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E8F">
      <w:pPr>
        <w:pStyle w:val="5"/>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77425"/>
      <w:bookmarkStart w:id="1" w:name="_Toc15378441"/>
      <w:bookmarkStart w:id="2" w:name="_Toc15396597"/>
      <w:bookmarkStart w:id="3" w:name="_Toc15377193"/>
      <w:bookmarkStart w:id="4" w:name="_Toc15396475"/>
      <w:bookmarkStart w:id="5" w:name="_Toc15306267"/>
      <w:bookmarkStart w:id="67" w:name="_GoBack"/>
      <w:bookmarkEnd w:id="67"/>
    </w:p>
    <w:p w14:paraId="120BBD7A">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14:paraId="49FBFC87">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14:paraId="5CB28DD6">
      <w:pPr>
        <w:pStyle w:val="5"/>
        <w:jc w:val="both"/>
        <w:rPr>
          <w:rFonts w:hint="eastAsia" w:ascii="Times New Roman" w:hAnsi="Times New Roman" w:eastAsia="方正小标宋简体" w:cs="Times New Roman"/>
          <w:color w:val="auto"/>
          <w:kern w:val="2"/>
          <w:sz w:val="44"/>
          <w:szCs w:val="44"/>
          <w:highlight w:val="none"/>
          <w:lang w:val="en-US" w:eastAsia="zh-CN" w:bidi="ar-SA"/>
        </w:rPr>
      </w:pPr>
    </w:p>
    <w:p w14:paraId="3585DC44">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2517BA78">
      <w:pPr>
        <w:pStyle w:val="5"/>
        <w:jc w:val="center"/>
        <w:rPr>
          <w:rFonts w:hint="eastAsia" w:ascii="方正小标宋简体" w:hAnsi="方正小标宋简体" w:eastAsia="方正小标宋简体" w:cs="方正小标宋简体"/>
          <w:color w:val="auto"/>
          <w:kern w:val="2"/>
          <w:sz w:val="72"/>
          <w:szCs w:val="72"/>
          <w:highlight w:val="none"/>
          <w:lang w:val="en-US" w:eastAsia="zh-CN" w:bidi="ar-SA"/>
        </w:rPr>
      </w:pPr>
      <w:bookmarkStart w:id="6" w:name="_Toc15378442"/>
      <w:bookmarkStart w:id="7" w:name="_Toc15396598"/>
      <w:bookmarkStart w:id="8" w:name="_Toc15377194"/>
      <w:bookmarkStart w:id="9" w:name="_Toc15377426"/>
      <w:bookmarkStart w:id="10" w:name="_Toc15396476"/>
      <w:r>
        <w:rPr>
          <w:rFonts w:hint="eastAsia" w:ascii="方正小标宋简体" w:hAnsi="方正小标宋简体" w:eastAsia="方正小标宋简体" w:cs="方正小标宋简体"/>
          <w:color w:val="auto"/>
          <w:kern w:val="2"/>
          <w:sz w:val="72"/>
          <w:szCs w:val="72"/>
          <w:highlight w:val="none"/>
          <w:lang w:val="en-US" w:eastAsia="zh-CN" w:bidi="ar-SA"/>
        </w:rPr>
        <w:t>2024年度</w:t>
      </w:r>
      <w:bookmarkEnd w:id="5"/>
      <w:bookmarkStart w:id="11" w:name="_Toc15306268"/>
      <w:r>
        <w:rPr>
          <w:rFonts w:hint="eastAsia" w:ascii="方正小标宋简体" w:hAnsi="方正小标宋简体" w:eastAsia="方正小标宋简体" w:cs="方正小标宋简体"/>
          <w:color w:val="auto"/>
          <w:kern w:val="2"/>
          <w:sz w:val="72"/>
          <w:szCs w:val="72"/>
          <w:highlight w:val="none"/>
          <w:lang w:val="en-US" w:eastAsia="zh-CN" w:bidi="ar-SA"/>
        </w:rPr>
        <w:t>中国民主建国会四川省委员会决算</w:t>
      </w:r>
      <w:bookmarkEnd w:id="6"/>
      <w:bookmarkEnd w:id="7"/>
      <w:bookmarkEnd w:id="8"/>
      <w:bookmarkEnd w:id="9"/>
      <w:bookmarkEnd w:id="10"/>
      <w:bookmarkEnd w:id="11"/>
    </w:p>
    <w:p w14:paraId="33AFE307">
      <w:pPr>
        <w:widowControl/>
        <w:jc w:val="center"/>
        <w:rPr>
          <w:rFonts w:hint="eastAsia" w:ascii="Times New Roman" w:hAnsi="Times New Roman"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79C7D188">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0E78B6D3">
      <w:pPr>
        <w:widowControl/>
        <w:jc w:val="center"/>
        <w:rPr>
          <w:rFonts w:ascii="Times New Roman" w:hAnsi="Times New Roman" w:eastAsia="黑体" w:cstheme="minorBidi"/>
          <w:color w:val="auto"/>
          <w:sz w:val="28"/>
          <w:szCs w:val="28"/>
          <w:highlight w:val="none"/>
        </w:rPr>
      </w:pPr>
    </w:p>
    <w:p w14:paraId="0A81846F">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w:t>
      </w:r>
    </w:p>
    <w:p w14:paraId="36C990F5">
      <w:pPr>
        <w:rPr>
          <w:rFonts w:ascii="Times New Roman" w:hAnsi="Times New Roman"/>
          <w:color w:val="auto"/>
          <w:highlight w:val="none"/>
        </w:rPr>
      </w:pPr>
    </w:p>
    <w:p w14:paraId="5A41B35E">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...................................................................1</w:t>
      </w:r>
    </w:p>
    <w:p w14:paraId="73426D8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.......................................................................1</w:t>
      </w:r>
    </w:p>
    <w:p w14:paraId="3F7B607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.......................................................................1</w:t>
      </w:r>
    </w:p>
    <w:p w14:paraId="2F6709F2">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...................................2</w:t>
      </w:r>
    </w:p>
    <w:p w14:paraId="64B1B2A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.......................................2</w:t>
      </w:r>
    </w:p>
    <w:p w14:paraId="1C48A1D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.......................................................2</w:t>
      </w:r>
    </w:p>
    <w:p w14:paraId="1A13436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.......................................................3</w:t>
      </w:r>
    </w:p>
    <w:p w14:paraId="6364FD5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.......................4</w:t>
      </w:r>
    </w:p>
    <w:p w14:paraId="47E14B1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...............4</w:t>
      </w:r>
    </w:p>
    <w:p w14:paraId="216BF5D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.......8</w:t>
      </w:r>
    </w:p>
    <w:p w14:paraId="22822B8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...............8</w:t>
      </w:r>
    </w:p>
    <w:p w14:paraId="5B997AE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.........................10</w:t>
      </w:r>
    </w:p>
    <w:p w14:paraId="4578174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.....................10</w:t>
      </w:r>
    </w:p>
    <w:p w14:paraId="09F59F5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.........................................11</w:t>
      </w:r>
    </w:p>
    <w:p w14:paraId="24879B59">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.................................................................13</w:t>
      </w:r>
    </w:p>
    <w:p w14:paraId="441B768A">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.........................................................................16</w:t>
      </w:r>
    </w:p>
    <w:p w14:paraId="3A3A13B4">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.........................................................................30</w:t>
      </w:r>
    </w:p>
    <w:p w14:paraId="087B2C3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p>
    <w:p w14:paraId="1E3D6B4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p>
    <w:p w14:paraId="0F432BC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p>
    <w:p w14:paraId="531E991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14:paraId="3C7C727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p>
    <w:p w14:paraId="344AECA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p>
    <w:p w14:paraId="4133A09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p>
    <w:p w14:paraId="05A7F17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p>
    <w:p w14:paraId="1525ECD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13E88CD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p>
    <w:p w14:paraId="2C08C33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p>
    <w:p w14:paraId="0D423C9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p>
    <w:p w14:paraId="4E2AB1C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34A2E09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p>
    <w:p w14:paraId="46486A76">
      <w:pPr>
        <w:pStyle w:val="2"/>
        <w:jc w:val="center"/>
        <w:rPr>
          <w:rFonts w:hint="eastAsia" w:ascii="Times New Roman" w:hAnsi="Times New Roman" w:eastAsia="方正小标宋简体" w:cs="方正小标宋简体"/>
          <w:b w:val="0"/>
          <w:color w:val="auto"/>
          <w:highlight w:val="none"/>
        </w:rPr>
        <w:sectPr>
          <w:footerReference r:id="rId9" w:type="first"/>
          <w:footerReference r:id="rId8" w:type="default"/>
          <w:pgSz w:w="11906" w:h="16838"/>
          <w:pgMar w:top="1440" w:right="1800" w:bottom="1440" w:left="1800" w:header="851" w:footer="992" w:gutter="0"/>
          <w:pgNumType w:fmt="decimal" w:start="1"/>
          <w:cols w:space="425" w:num="1"/>
          <w:docGrid w:type="lines" w:linePitch="312" w:charSpace="0"/>
        </w:sectPr>
      </w:pPr>
      <w:bookmarkStart w:id="12" w:name="_Toc15396599"/>
      <w:bookmarkStart w:id="13" w:name="_Toc15377196"/>
    </w:p>
    <w:p w14:paraId="65E2BC7A">
      <w:pPr>
        <w:pStyle w:val="2"/>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12"/>
      <w:bookmarkEnd w:id="13"/>
    </w:p>
    <w:p w14:paraId="0EB4E3F7">
      <w:pPr>
        <w:widowControl/>
        <w:jc w:val="left"/>
        <w:rPr>
          <w:rFonts w:ascii="Times New Roman" w:hAnsi="Times New Roman" w:eastAsia="黑体"/>
          <w:color w:val="auto"/>
          <w:sz w:val="32"/>
          <w:szCs w:val="32"/>
          <w:highlight w:val="none"/>
        </w:rPr>
      </w:pPr>
    </w:p>
    <w:p w14:paraId="2E9BC9E8">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1BD487D4">
      <w:pPr>
        <w:ind w:firstLine="800" w:firstLineChars="250"/>
        <w:rPr>
          <w:rFonts w:hint="eastAsia"/>
          <w:lang w:eastAsia="zh-CN"/>
        </w:rPr>
      </w:pPr>
      <w:r>
        <w:rPr>
          <w:rFonts w:hint="eastAsia" w:ascii="Times New Roman" w:hAnsi="Times New Roman" w:eastAsia="仿宋_GB2312" w:cs="仿宋_GB2312"/>
          <w:color w:val="auto"/>
          <w:sz w:val="32"/>
          <w:szCs w:val="32"/>
          <w:highlight w:val="none"/>
        </w:rPr>
        <w:t>本部门作为参政党</w:t>
      </w:r>
      <w:r>
        <w:rPr>
          <w:rFonts w:hint="eastAsia" w:eastAsia="仿宋_GB2312" w:cs="仿宋_GB2312"/>
          <w:color w:val="auto"/>
          <w:sz w:val="32"/>
          <w:szCs w:val="32"/>
          <w:highlight w:val="none"/>
          <w:lang w:eastAsia="zh-CN"/>
        </w:rPr>
        <w:t>省级组织</w:t>
      </w:r>
      <w:r>
        <w:rPr>
          <w:rFonts w:hint="eastAsia" w:ascii="Times New Roman" w:hAnsi="Times New Roman" w:eastAsia="仿宋_GB2312" w:cs="仿宋_GB2312"/>
          <w:color w:val="auto"/>
          <w:sz w:val="32"/>
          <w:szCs w:val="32"/>
          <w:highlight w:val="none"/>
        </w:rPr>
        <w:t>主要肩负参政议政、民主监督和参加中国共产党</w:t>
      </w:r>
      <w:r>
        <w:rPr>
          <w:rFonts w:hint="eastAsia" w:eastAsia="仿宋_GB2312" w:cs="仿宋_GB2312"/>
          <w:color w:val="auto"/>
          <w:sz w:val="32"/>
          <w:szCs w:val="32"/>
          <w:highlight w:val="none"/>
          <w:lang w:eastAsia="zh-CN"/>
        </w:rPr>
        <w:t>领导</w:t>
      </w:r>
      <w:r>
        <w:rPr>
          <w:rFonts w:hint="eastAsia" w:ascii="Times New Roman" w:hAnsi="Times New Roman" w:eastAsia="仿宋_GB2312" w:cs="仿宋_GB2312"/>
          <w:color w:val="auto"/>
          <w:sz w:val="32"/>
          <w:szCs w:val="32"/>
          <w:highlight w:val="none"/>
        </w:rPr>
        <w:t>的政治协商三大职能。围绕参政议政、社会服务、思想宣传教育、组织建设、机关建设等重点开展工作。</w:t>
      </w:r>
    </w:p>
    <w:p w14:paraId="7C234D43">
      <w:pPr>
        <w:pStyle w:val="3"/>
        <w:rPr>
          <w:rStyle w:val="31"/>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14"/>
      <w:bookmarkEnd w:id="15"/>
    </w:p>
    <w:p w14:paraId="3DE1982C">
      <w:pPr>
        <w:pStyle w:val="5"/>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本部门下属二级预算单位 1 个，其中行政单位 1 个，参照公务员管理的事业单位 0 个，其他事业单位 0 个。</w:t>
      </w:r>
    </w:p>
    <w:p w14:paraId="243C5761">
      <w:pPr>
        <w:pStyle w:val="5"/>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纳入中国民主建国会四川省委员会</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部门决算编制范围的二级预算单位包括：中国民主建国会四川省委员会机关（以下简称：民建四川省委会</w:t>
      </w:r>
      <w:r>
        <w:rPr>
          <w:rFonts w:hint="eastAsia" w:ascii="Times New Roman" w:cs="仿宋_GB2312"/>
          <w:color w:val="auto"/>
          <w:sz w:val="32"/>
          <w:szCs w:val="32"/>
          <w:highlight w:val="none"/>
          <w:lang w:eastAsia="zh-CN"/>
        </w:rPr>
        <w:t>机关</w:t>
      </w:r>
      <w:r>
        <w:rPr>
          <w:rFonts w:hint="eastAsia" w:ascii="Times New Roman" w:hAnsi="Times New Roman" w:eastAsia="仿宋_GB2312" w:cs="仿宋_GB2312"/>
          <w:color w:val="auto"/>
          <w:sz w:val="32"/>
          <w:szCs w:val="32"/>
          <w:highlight w:val="none"/>
        </w:rPr>
        <w:t>）。</w:t>
      </w:r>
    </w:p>
    <w:p w14:paraId="66778ABB">
      <w:pPr>
        <w:pStyle w:val="5"/>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14:paraId="1C71BE0A">
      <w:pPr>
        <w:pStyle w:val="5"/>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14:paraId="7D271F30">
      <w:pPr>
        <w:pStyle w:val="5"/>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14:paraId="6D669B59">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4DBFA8FD">
      <w:pPr>
        <w:pStyle w:val="2"/>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3D38E696">
      <w:pPr>
        <w:rPr>
          <w:rFonts w:ascii="Times New Roman" w:hAnsi="Times New Roman"/>
          <w:color w:val="auto"/>
          <w:highlight w:val="none"/>
        </w:rPr>
      </w:pPr>
    </w:p>
    <w:p w14:paraId="367E612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8"/>
      <w:bookmarkEnd w:id="19"/>
    </w:p>
    <w:p w14:paraId="3087D41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1214.33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61.43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5.33</w:t>
      </w:r>
      <w:r>
        <w:rPr>
          <w:rFonts w:hint="eastAsia" w:ascii="Times New Roman" w:hAnsi="Times New Roman" w:eastAsia="仿宋_GB2312" w:cs="仿宋_GB2312"/>
          <w:color w:val="auto"/>
          <w:sz w:val="32"/>
          <w:szCs w:val="32"/>
          <w:highlight w:val="none"/>
        </w:rPr>
        <w:t>%。主要变动原因</w:t>
      </w:r>
      <w:r>
        <w:rPr>
          <w:rFonts w:hint="eastAsia" w:ascii="Times New Roman" w:hAnsi="Times New Roman" w:eastAsia="仿宋_GB2312" w:cs="仿宋_GB2312"/>
          <w:color w:val="auto"/>
          <w:sz w:val="32"/>
          <w:szCs w:val="32"/>
          <w:highlight w:val="none"/>
          <w:lang w:eastAsia="zh-CN"/>
        </w:rPr>
        <w:t>一</w:t>
      </w:r>
      <w:r>
        <w:rPr>
          <w:rFonts w:hint="eastAsia" w:ascii="Times New Roman" w:hAnsi="Times New Roman" w:eastAsia="仿宋_GB2312" w:cs="仿宋_GB2312"/>
          <w:color w:val="auto"/>
          <w:sz w:val="32"/>
          <w:szCs w:val="32"/>
          <w:highlight w:val="none"/>
        </w:rPr>
        <w:t>是</w:t>
      </w:r>
      <w:r>
        <w:rPr>
          <w:rFonts w:hint="eastAsia" w:ascii="Times New Roman" w:hAnsi="Times New Roman" w:eastAsia="仿宋_GB2312" w:cs="仿宋_GB2312"/>
          <w:color w:val="auto"/>
          <w:sz w:val="32"/>
          <w:szCs w:val="32"/>
          <w:highlight w:val="none"/>
          <w:lang w:eastAsia="zh-CN"/>
        </w:rPr>
        <w:t>增加了</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建乐合作</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和省直工委专项工作经费；二是年中追加了</w:t>
      </w:r>
      <w:r>
        <w:rPr>
          <w:rFonts w:hint="eastAsia" w:ascii="Times New Roman" w:hAnsi="Times New Roman" w:eastAsia="仿宋_GB2312" w:cs="仿宋_GB2312"/>
          <w:color w:val="auto"/>
          <w:sz w:val="32"/>
          <w:szCs w:val="32"/>
          <w:highlight w:val="none"/>
          <w:lang w:val="en-US" w:eastAsia="zh-CN"/>
        </w:rPr>
        <w:t>2名</w:t>
      </w:r>
      <w:r>
        <w:rPr>
          <w:rFonts w:hint="eastAsia" w:ascii="Times New Roman" w:hAnsi="Times New Roman" w:eastAsia="仿宋_GB2312" w:cs="仿宋_GB2312"/>
          <w:color w:val="auto"/>
          <w:sz w:val="32"/>
          <w:szCs w:val="32"/>
          <w:highlight w:val="none"/>
          <w:lang w:eastAsia="zh-CN"/>
        </w:rPr>
        <w:t>调入人员的住房补贴。</w:t>
      </w:r>
    </w:p>
    <w:p w14:paraId="067A32D6">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yellow"/>
          <w:lang w:eastAsia="zh-CN"/>
        </w:rPr>
      </w:pPr>
    </w:p>
    <w:p w14:paraId="2A62D690">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14:paraId="6E6862A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C3FA42">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757C8284">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2024年度本年收入合计1214.33万元，其中：一般公共预算财政拨款收入1214.33万元，占</w:t>
      </w:r>
      <w:r>
        <w:rPr>
          <w:rFonts w:hint="eastAsia"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eastAsia="zh-CN"/>
        </w:rPr>
        <w:t>%。</w:t>
      </w:r>
    </w:p>
    <w:p w14:paraId="456BA5E5">
      <w:pPr>
        <w:jc w:val="center"/>
        <w:rPr>
          <w:rFonts w:hint="eastAsia" w:ascii="Times New Roman" w:hAnsi="Times New Roman" w:eastAsia="仿宋_GB2312" w:cs="仿宋_GB2312"/>
          <w:color w:val="auto"/>
          <w:sz w:val="32"/>
          <w:szCs w:val="32"/>
          <w:highlight w:val="none"/>
          <w:lang w:eastAsia="zh-CN"/>
        </w:rPr>
      </w:pPr>
    </w:p>
    <w:p w14:paraId="03BEB7EE">
      <w:pPr>
        <w:jc w:val="both"/>
        <w:rPr>
          <w:rFonts w:hint="eastAsia" w:ascii="Times New Roman" w:hAnsi="Times New Roman" w:eastAsia="仿宋_GB2312" w:cs="仿宋_GB2312"/>
          <w:color w:val="auto"/>
          <w:sz w:val="32"/>
          <w:szCs w:val="32"/>
          <w:highlight w:val="none"/>
          <w:lang w:eastAsia="zh-CN"/>
        </w:rPr>
      </w:pPr>
    </w:p>
    <w:p w14:paraId="261FFA2C">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14:paraId="00DA1ED6">
      <w:pPr>
        <w:rPr>
          <w:rFonts w:hint="eastAsia" w:ascii="Times New Roman" w:hAnsi="Times New Roman" w:eastAsia="仿宋_GB2312" w:cs="仿宋_GB2312"/>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5080</wp:posOffset>
            </wp:positionH>
            <wp:positionV relativeFrom="paragraph">
              <wp:posOffset>84455</wp:posOffset>
            </wp:positionV>
            <wp:extent cx="5256530" cy="2988310"/>
            <wp:effectExtent l="5080" t="4445" r="15240" b="17145"/>
            <wp:wrapThrough wrapText="bothSides">
              <wp:wrapPolygon>
                <wp:start x="-21" y="-32"/>
                <wp:lineTo x="-21" y="21449"/>
                <wp:lineTo x="21506" y="21449"/>
                <wp:lineTo x="21506" y="-32"/>
                <wp:lineTo x="-21" y="-32"/>
              </wp:wrapPolygon>
            </wp:wrapThrough>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44D2C2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22"/>
      <w:bookmarkEnd w:id="23"/>
    </w:p>
    <w:p w14:paraId="472DAE55">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2024年度本年支出合计1214.33万元，其中：基本支出1025.64万元，占</w:t>
      </w:r>
      <w:r>
        <w:rPr>
          <w:rFonts w:hint="eastAsia" w:eastAsia="仿宋_GB2312" w:cs="仿宋_GB2312"/>
          <w:color w:val="auto"/>
          <w:sz w:val="32"/>
          <w:szCs w:val="32"/>
          <w:highlight w:val="none"/>
          <w:lang w:val="en-US" w:eastAsia="zh-CN"/>
        </w:rPr>
        <w:t>84.46</w:t>
      </w:r>
      <w:r>
        <w:rPr>
          <w:rFonts w:hint="eastAsia" w:ascii="Times New Roman" w:hAnsi="Times New Roman" w:eastAsia="仿宋_GB2312" w:cs="仿宋_GB2312"/>
          <w:color w:val="auto"/>
          <w:sz w:val="32"/>
          <w:szCs w:val="32"/>
          <w:highlight w:val="none"/>
          <w:lang w:eastAsia="zh-CN"/>
        </w:rPr>
        <w:t>%；项目支出188.68万元，占</w:t>
      </w:r>
      <w:r>
        <w:rPr>
          <w:rFonts w:hint="eastAsia" w:eastAsia="仿宋_GB2312" w:cs="仿宋_GB2312"/>
          <w:color w:val="auto"/>
          <w:sz w:val="32"/>
          <w:szCs w:val="32"/>
          <w:highlight w:val="none"/>
          <w:lang w:val="en-US" w:eastAsia="zh-CN"/>
        </w:rPr>
        <w:t>14.54</w:t>
      </w:r>
      <w:r>
        <w:rPr>
          <w:rFonts w:hint="eastAsia" w:ascii="Times New Roman" w:hAnsi="Times New Roman" w:eastAsia="仿宋_GB2312" w:cs="仿宋_GB2312"/>
          <w:color w:val="auto"/>
          <w:sz w:val="32"/>
          <w:szCs w:val="32"/>
          <w:highlight w:val="none"/>
          <w:lang w:eastAsia="zh-CN"/>
        </w:rPr>
        <w:t>%。</w:t>
      </w:r>
    </w:p>
    <w:p w14:paraId="0B56B55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p>
    <w:p w14:paraId="5209E3E1">
      <w:pPr>
        <w:ind w:firstLine="800" w:firstLineChars="250"/>
        <w:jc w:val="center"/>
        <w:rPr>
          <w:rFonts w:hint="eastAsia" w:ascii="Times New Roman" w:hAnsi="Times New Roman" w:eastAsia="黑体"/>
          <w:color w:val="auto"/>
          <w:sz w:val="32"/>
          <w:szCs w:val="32"/>
          <w:highlight w:val="none"/>
        </w:rPr>
      </w:pPr>
      <w:r>
        <w:rPr>
          <w:rFonts w:hint="eastAsia" w:ascii="Times New Roman" w:hAnsi="Times New Roman" w:eastAsia="仿宋_GB2312" w:cs="仿宋_GB2312"/>
          <w:color w:val="auto"/>
          <w:sz w:val="32"/>
          <w:szCs w:val="32"/>
          <w:highlight w:val="none"/>
          <w:lang w:eastAsia="zh-CN"/>
        </w:rPr>
        <w:t>图3：支出决算结构图</w:t>
      </w:r>
      <w:r>
        <w:rPr>
          <w:rFonts w:hint="eastAsia" w:ascii="仿宋" w:hAnsi="仿宋" w:eastAsia="仿宋"/>
          <w:color w:val="auto"/>
          <w:sz w:val="32"/>
          <w:szCs w:val="32"/>
          <w:highlight w:val="none"/>
          <w:shd w:val="pct10" w:color="auto" w:fill="FFFFFF"/>
          <w:lang w:eastAsia="zh-CN"/>
        </w:rPr>
        <w:drawing>
          <wp:inline distT="0" distB="0" distL="114300" distR="114300">
            <wp:extent cx="5163820" cy="2933700"/>
            <wp:effectExtent l="5080" t="4445" r="12700"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4" w:name="_Toc15396606"/>
      <w:bookmarkStart w:id="25" w:name="_Toc15377208"/>
    </w:p>
    <w:p w14:paraId="43E9C9A3">
      <w:pPr>
        <w:spacing w:line="600" w:lineRule="exact"/>
        <w:ind w:firstLine="640" w:firstLineChars="200"/>
        <w:outlineLvl w:val="1"/>
        <w:rPr>
          <w:rStyle w:val="31"/>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24"/>
      <w:bookmarkEnd w:id="25"/>
    </w:p>
    <w:p w14:paraId="5CC25D5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1214.33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sz w:val="32"/>
          <w:szCs w:val="32"/>
          <w:highlight w:val="none"/>
          <w:lang w:val="en-US" w:eastAsia="zh-CN"/>
        </w:rPr>
        <w:t>61.43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5.33</w:t>
      </w:r>
      <w:r>
        <w:rPr>
          <w:rFonts w:hint="eastAsia" w:ascii="Times New Roman" w:hAnsi="Times New Roman" w:eastAsia="仿宋_GB2312" w:cs="仿宋_GB2312"/>
          <w:color w:val="auto"/>
          <w:kern w:val="2"/>
          <w:sz w:val="32"/>
          <w:szCs w:val="32"/>
          <w:highlight w:val="none"/>
          <w:lang w:val="en-US" w:eastAsia="zh-CN" w:bidi="ar-SA"/>
        </w:rPr>
        <w:t>%。主要变动原因一是增加了“建乐合作”和省直工委专项工作经费；二是年中追加了2名调入人员的住房补贴。</w:t>
      </w:r>
    </w:p>
    <w:p w14:paraId="504BE2DA">
      <w:pPr>
        <w:pStyle w:val="13"/>
        <w:rPr>
          <w:rFonts w:hint="eastAsia"/>
          <w:lang w:val="en-US" w:eastAsia="zh-CN"/>
        </w:rPr>
      </w:pPr>
    </w:p>
    <w:p w14:paraId="7C038148">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14FACA48">
      <w:pPr>
        <w:pStyle w:val="7"/>
        <w:ind w:left="0" w:leftChars="0" w:firstLine="0" w:firstLineChars="0"/>
        <w:rPr>
          <w:rFonts w:hint="eastAsia" w:ascii="Times New Roman" w:hAnsi="Times New Roman" w:eastAsia="黑体"/>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6" w:name="_Toc15377209"/>
      <w:bookmarkStart w:id="27" w:name="_Toc15396607"/>
    </w:p>
    <w:p w14:paraId="5073CB9E">
      <w:pPr>
        <w:spacing w:line="600" w:lineRule="exact"/>
        <w:ind w:firstLine="640" w:firstLineChars="200"/>
        <w:outlineLvl w:val="1"/>
        <w:rPr>
          <w:rStyle w:val="31"/>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6"/>
      <w:bookmarkEnd w:id="27"/>
    </w:p>
    <w:p w14:paraId="1B79320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21C312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2024年度一般公共预算财政拨款支出1214.33万元，占本年支出合计的</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%。与2023年度相比，一般公共预算财政拨款支出增加61.43万元，增长</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33%。主要变动原因一是增加了“建乐合作”和省直工委专项工作经费；二是年中追加了2名调入人员的住房补贴。</w:t>
      </w:r>
    </w:p>
    <w:p w14:paraId="4E4FA792">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16262F06">
      <w:pPr>
        <w:pStyle w:val="7"/>
        <w:ind w:left="0" w:leftChars="0" w:firstLine="0" w:firstLineChars="0"/>
        <w:jc w:val="center"/>
        <w:rPr>
          <w:rFonts w:hint="eastAsia"/>
          <w:lang w:val="en-US"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BAC23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2DFD40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2024年度一般公共预算财政拨款支出1214.33万元，主要用于以下方面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一般公共服务支出957.77万元，占</w:t>
      </w:r>
      <w:r>
        <w:rPr>
          <w:rFonts w:hint="eastAsia" w:eastAsia="仿宋_GB2312" w:cs="仿宋_GB2312"/>
          <w:color w:val="auto"/>
          <w:kern w:val="2"/>
          <w:sz w:val="32"/>
          <w:szCs w:val="32"/>
          <w:highlight w:val="none"/>
          <w:lang w:val="en-US" w:eastAsia="zh-CN" w:bidi="ar-SA"/>
        </w:rPr>
        <w:t>78.87</w:t>
      </w:r>
      <w:r>
        <w:rPr>
          <w:rFonts w:hint="eastAsia" w:ascii="Times New Roman" w:hAnsi="Times New Roman" w:eastAsia="仿宋_GB2312" w:cs="仿宋_GB2312"/>
          <w:color w:val="auto"/>
          <w:kern w:val="2"/>
          <w:sz w:val="32"/>
          <w:szCs w:val="32"/>
          <w:highlight w:val="none"/>
          <w:lang w:val="en-US" w:eastAsia="zh-CN" w:bidi="ar-SA"/>
        </w:rPr>
        <w:t>%；教育支出46.88万元，占</w:t>
      </w:r>
      <w:r>
        <w:rPr>
          <w:rFonts w:hint="eastAsia" w:eastAsia="仿宋_GB2312" w:cs="仿宋_GB2312"/>
          <w:color w:val="auto"/>
          <w:kern w:val="2"/>
          <w:sz w:val="32"/>
          <w:szCs w:val="32"/>
          <w:highlight w:val="none"/>
          <w:lang w:val="en-US" w:eastAsia="zh-CN" w:bidi="ar-SA"/>
        </w:rPr>
        <w:t>3.86</w:t>
      </w:r>
      <w:r>
        <w:rPr>
          <w:rFonts w:hint="eastAsia" w:ascii="Times New Roman" w:hAnsi="Times New Roman" w:eastAsia="仿宋_GB2312" w:cs="仿宋_GB2312"/>
          <w:color w:val="auto"/>
          <w:kern w:val="2"/>
          <w:sz w:val="32"/>
          <w:szCs w:val="32"/>
          <w:highlight w:val="none"/>
          <w:lang w:val="en-US" w:eastAsia="zh-CN" w:bidi="ar-SA"/>
        </w:rPr>
        <w:t>%；社会保障和就业支出68.81万元，占</w:t>
      </w:r>
      <w:r>
        <w:rPr>
          <w:rFonts w:hint="eastAsia" w:eastAsia="仿宋_GB2312" w:cs="仿宋_GB2312"/>
          <w:color w:val="auto"/>
          <w:kern w:val="2"/>
          <w:sz w:val="32"/>
          <w:szCs w:val="32"/>
          <w:highlight w:val="none"/>
          <w:lang w:val="en-US" w:eastAsia="zh-CN" w:bidi="ar-SA"/>
        </w:rPr>
        <w:t>5.67</w:t>
      </w:r>
      <w:r>
        <w:rPr>
          <w:rFonts w:hint="eastAsia" w:ascii="Times New Roman" w:hAnsi="Times New Roman" w:eastAsia="仿宋_GB2312" w:cs="仿宋_GB2312"/>
          <w:color w:val="auto"/>
          <w:kern w:val="2"/>
          <w:sz w:val="32"/>
          <w:szCs w:val="32"/>
          <w:highlight w:val="none"/>
          <w:lang w:val="en-US" w:eastAsia="zh-CN" w:bidi="ar-SA"/>
        </w:rPr>
        <w:t>%；卫生健康支出54.04万元，占</w:t>
      </w:r>
      <w:r>
        <w:rPr>
          <w:rFonts w:hint="eastAsia" w:eastAsia="仿宋_GB2312" w:cs="仿宋_GB2312"/>
          <w:color w:val="auto"/>
          <w:kern w:val="2"/>
          <w:sz w:val="32"/>
          <w:szCs w:val="32"/>
          <w:highlight w:val="none"/>
          <w:lang w:val="en-US" w:eastAsia="zh-CN" w:bidi="ar-SA"/>
        </w:rPr>
        <w:t>4.45</w:t>
      </w:r>
      <w:r>
        <w:rPr>
          <w:rFonts w:hint="eastAsia" w:ascii="Times New Roman" w:hAnsi="Times New Roman" w:eastAsia="仿宋_GB2312" w:cs="仿宋_GB2312"/>
          <w:color w:val="auto"/>
          <w:kern w:val="2"/>
          <w:sz w:val="32"/>
          <w:szCs w:val="32"/>
          <w:highlight w:val="none"/>
          <w:lang w:val="en-US" w:eastAsia="zh-CN" w:bidi="ar-SA"/>
        </w:rPr>
        <w:t>%；住房保障支出86.83万元，占</w:t>
      </w:r>
      <w:r>
        <w:rPr>
          <w:rFonts w:hint="eastAsia" w:eastAsia="仿宋_GB2312" w:cs="仿宋_GB2312"/>
          <w:color w:val="auto"/>
          <w:kern w:val="2"/>
          <w:sz w:val="32"/>
          <w:szCs w:val="32"/>
          <w:highlight w:val="none"/>
          <w:lang w:val="en-US" w:eastAsia="zh-CN" w:bidi="ar-SA"/>
        </w:rPr>
        <w:t>7.15</w:t>
      </w:r>
      <w:r>
        <w:rPr>
          <w:rFonts w:hint="eastAsia" w:ascii="Times New Roman" w:hAnsi="Times New Roman" w:eastAsia="仿宋_GB2312" w:cs="仿宋_GB2312"/>
          <w:color w:val="auto"/>
          <w:kern w:val="2"/>
          <w:sz w:val="32"/>
          <w:szCs w:val="32"/>
          <w:highlight w:val="none"/>
          <w:lang w:val="en-US" w:eastAsia="zh-CN" w:bidi="ar-SA"/>
        </w:rPr>
        <w:t>%。</w:t>
      </w:r>
    </w:p>
    <w:p w14:paraId="2A0289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8AD610D">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30F261C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B672AFE">
      <w:pPr>
        <w:pStyle w:val="13"/>
        <w:rPr>
          <w:rFonts w:hint="eastAsia" w:ascii="Times New Roman" w:hAnsi="Times New Roman" w:eastAsia="仿宋_GB2312" w:cs="仿宋_GB2312"/>
          <w:color w:val="auto"/>
          <w:kern w:val="2"/>
          <w:sz w:val="32"/>
          <w:szCs w:val="32"/>
          <w:highlight w:val="none"/>
          <w:lang w:val="en-US" w:eastAsia="zh-CN" w:bidi="ar-SA"/>
        </w:rPr>
      </w:pPr>
    </w:p>
    <w:p w14:paraId="1886A194">
      <w:pPr>
        <w:pStyle w:val="7"/>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drawing>
          <wp:inline distT="0" distB="0" distL="114300" distR="114300">
            <wp:extent cx="5113020" cy="2787650"/>
            <wp:effectExtent l="4445" t="4445" r="6985" b="825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4AAF2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0C2523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444"/>
      <w:bookmarkStart w:id="32" w:name="_Toc15377213"/>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kern w:val="2"/>
          <w:sz w:val="32"/>
          <w:szCs w:val="32"/>
          <w:highlight w:val="none"/>
          <w:lang w:val="en-US" w:eastAsia="zh-CN" w:bidi="ar-SA"/>
        </w:rPr>
        <w:t>1214.33万元</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90.87</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74107DC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一般公共服务（类）民主党派及工商联事务（款）行政运行（项）</w:t>
      </w: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支出决算为769.08万元，完成预算</w:t>
      </w:r>
      <w:r>
        <w:rPr>
          <w:rFonts w:hint="eastAsia" w:eastAsia="仿宋_GB2312" w:cs="仿宋_GB2312"/>
          <w:color w:val="auto"/>
          <w:kern w:val="2"/>
          <w:sz w:val="32"/>
          <w:szCs w:val="32"/>
          <w:highlight w:val="none"/>
          <w:lang w:val="en-US" w:eastAsia="zh-CN" w:bidi="ar-SA"/>
        </w:rPr>
        <w:t>91.56</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%，决算数小于预算数的主要原因是坚决落实过紧日子要求，严格控制会议费、差旅费、公务用车运行维护费、公务接待、办公费等费用支出。</w:t>
      </w:r>
    </w:p>
    <w:p w14:paraId="77C433C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2.一般公共服务（类）民主党派及工商联事务（款）一般行政管理事务（项）:支出决算为75.14万元，完成预算</w:t>
      </w:r>
      <w:r>
        <w:rPr>
          <w:rFonts w:hint="eastAsia" w:eastAsia="仿宋_GB2312" w:cs="仿宋_GB2312"/>
          <w:color w:val="auto"/>
          <w:kern w:val="2"/>
          <w:sz w:val="32"/>
          <w:szCs w:val="32"/>
          <w:highlight w:val="none"/>
          <w:lang w:val="en-US" w:eastAsia="zh-CN" w:bidi="ar-SA"/>
        </w:rPr>
        <w:t>77.33</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厉行节约，严格控制维（修）护费、印刷费等费用支出。</w:t>
      </w:r>
    </w:p>
    <w:p w14:paraId="75DB41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3.一般公共服务（类）民主党派及工商联事务（款）参政议政（项）: 支出决算为113.55万元，完成预算</w:t>
      </w:r>
      <w:r>
        <w:rPr>
          <w:rFonts w:hint="eastAsia" w:eastAsia="仿宋_GB2312" w:cs="仿宋_GB2312"/>
          <w:color w:val="auto"/>
          <w:kern w:val="2"/>
          <w:sz w:val="32"/>
          <w:szCs w:val="32"/>
          <w:highlight w:val="none"/>
          <w:lang w:val="en-US" w:eastAsia="zh-CN" w:bidi="ar-SA"/>
        </w:rPr>
        <w:t>82.37</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厉行节约，开展重大课题调研和相关工作调研时，严格</w:t>
      </w:r>
      <w:r>
        <w:rPr>
          <w:rFonts w:hint="eastAsia" w:ascii="Times New Roman" w:hAnsi="Times New Roman" w:eastAsia="仿宋_GB2312" w:cs="仿宋_GB2312"/>
          <w:color w:val="auto"/>
          <w:kern w:val="2"/>
          <w:sz w:val="32"/>
          <w:szCs w:val="32"/>
          <w:highlight w:val="none"/>
          <w:lang w:val="en-US" w:eastAsia="zh-CN" w:bidi="ar-SA"/>
        </w:rPr>
        <w:t>控制调研组规模</w:t>
      </w:r>
      <w:r>
        <w:rPr>
          <w:rFonts w:hint="eastAsia" w:eastAsia="仿宋_GB2312" w:cs="仿宋_GB2312"/>
          <w:color w:val="auto"/>
          <w:kern w:val="2"/>
          <w:sz w:val="32"/>
          <w:szCs w:val="32"/>
          <w:highlight w:val="none"/>
          <w:lang w:val="en-US" w:eastAsia="zh-CN" w:bidi="ar-SA"/>
        </w:rPr>
        <w:t>，减少相关支出。</w:t>
      </w:r>
    </w:p>
    <w:p w14:paraId="121315C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4.教育（类）进修及培训（款）培训支出（项）: 支出决算为46.88万元，完成预算</w:t>
      </w:r>
      <w:r>
        <w:rPr>
          <w:rFonts w:hint="eastAsia" w:eastAsia="仿宋_GB2312" w:cs="仿宋_GB2312"/>
          <w:color w:val="auto"/>
          <w:kern w:val="2"/>
          <w:sz w:val="32"/>
          <w:szCs w:val="32"/>
          <w:highlight w:val="none"/>
          <w:lang w:val="en-US" w:eastAsia="zh-CN" w:bidi="ar-SA"/>
        </w:rPr>
        <w:t>93.95</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实际参加培训的人数减少，培训支出相应减少。</w:t>
      </w:r>
    </w:p>
    <w:p w14:paraId="1E440366">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5.社会保障和就业（类）行政事业单位养老支出（款）行政单位离退休（项）:支出决算为1.08万元，完成预算</w:t>
      </w:r>
      <w:r>
        <w:rPr>
          <w:rFonts w:hint="eastAsia" w:eastAsia="仿宋_GB2312" w:cs="仿宋_GB2312"/>
          <w:color w:val="auto"/>
          <w:kern w:val="2"/>
          <w:sz w:val="32"/>
          <w:szCs w:val="32"/>
          <w:highlight w:val="none"/>
          <w:lang w:val="en-US" w:eastAsia="zh-CN" w:bidi="ar-SA"/>
        </w:rPr>
        <w:t>48.43</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 xml:space="preserve">根据当年实际需求开支。     </w:t>
      </w:r>
    </w:p>
    <w:p w14:paraId="52FC06D1">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6.社会保障和就业（类）行政事业单位养老支出（款）机关事业单位基本养老保险缴费支出（项）:支出决算为67.73万元，完成预算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14:paraId="4EC90E5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7.卫生健康（类）行政事业单位医疗（款）行政单位医疗（项）:支出决算为45.20万元，完成预算100%，决算数与预算数持平。</w:t>
      </w:r>
    </w:p>
    <w:p w14:paraId="50A034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8.卫生健康（类）行政事业单位医疗（款）公务员医疗补助（项）:支出决算为8.84万元，完成预算100%，决算数与预算数持平。</w:t>
      </w:r>
    </w:p>
    <w:p w14:paraId="3552620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.住房保障支出（类）</w:t>
      </w:r>
      <w:r>
        <w:rPr>
          <w:rFonts w:hint="default" w:ascii="Times New Roman" w:hAnsi="Times New Roman"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default" w:ascii="Times New Roman" w:hAnsi="Times New Roman"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（项）:支出决算为57.10万元，完成预算</w:t>
      </w:r>
      <w:r>
        <w:rPr>
          <w:rFonts w:hint="eastAsia" w:eastAsia="仿宋_GB2312" w:cs="仿宋_GB2312"/>
          <w:color w:val="auto"/>
          <w:kern w:val="2"/>
          <w:sz w:val="32"/>
          <w:szCs w:val="32"/>
          <w:highlight w:val="none"/>
          <w:lang w:val="en-US" w:eastAsia="zh-CN" w:bidi="ar-SA"/>
        </w:rPr>
        <w:t>98.96</w:t>
      </w:r>
      <w:r>
        <w:rPr>
          <w:rFonts w:hint="default"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，决算数与预算数</w:t>
      </w:r>
      <w:r>
        <w:rPr>
          <w:rFonts w:hint="eastAsia" w:eastAsia="仿宋_GB2312" w:cs="仿宋_GB2312"/>
          <w:color w:val="auto"/>
          <w:kern w:val="2"/>
          <w:sz w:val="32"/>
          <w:szCs w:val="32"/>
          <w:highlight w:val="none"/>
          <w:lang w:val="en-US" w:eastAsia="zh-CN" w:bidi="ar-SA"/>
        </w:rPr>
        <w:t>基本</w:t>
      </w:r>
      <w:r>
        <w:rPr>
          <w:rFonts w:hint="eastAsia" w:ascii="Times New Roman" w:hAnsi="Times New Roman" w:eastAsia="仿宋_GB2312" w:cs="仿宋_GB2312"/>
          <w:color w:val="auto"/>
          <w:kern w:val="2"/>
          <w:sz w:val="32"/>
          <w:szCs w:val="32"/>
          <w:highlight w:val="none"/>
          <w:lang w:val="en-US" w:eastAsia="zh-CN" w:bidi="ar-SA"/>
        </w:rPr>
        <w:t>持平。</w:t>
      </w:r>
    </w:p>
    <w:p w14:paraId="5993E44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住房保障支出（类）</w:t>
      </w:r>
      <w:r>
        <w:rPr>
          <w:rFonts w:hint="default" w:ascii="Times New Roman" w:hAnsi="Times New Roman"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（款）购房补贴（项）:支出决算为29.73万元，完成预算</w:t>
      </w:r>
      <w:r>
        <w:rPr>
          <w:rFonts w:hint="default"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，决算数与预算数持平。</w:t>
      </w:r>
    </w:p>
    <w:p w14:paraId="62B433F7">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1E68FD5">
      <w:pPr>
        <w:tabs>
          <w:tab w:val="right" w:pos="8306"/>
        </w:tabs>
        <w:spacing w:line="600" w:lineRule="exact"/>
        <w:ind w:firstLine="640"/>
        <w:outlineLvl w:val="1"/>
        <w:rPr>
          <w:rStyle w:val="31"/>
          <w:rFonts w:ascii="Times New Roman" w:hAnsi="Times New Roman"/>
          <w:color w:val="auto"/>
          <w:highlight w:val="none"/>
        </w:rPr>
      </w:pPr>
      <w:bookmarkStart w:id="34" w:name="_Toc15377214"/>
      <w:bookmarkStart w:id="35"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34"/>
      <w:bookmarkEnd w:id="35"/>
      <w:r>
        <w:rPr>
          <w:rStyle w:val="31"/>
          <w:rFonts w:ascii="Times New Roman" w:hAnsi="Times New Roman" w:eastAsia="黑体"/>
          <w:b w:val="0"/>
          <w:color w:val="auto"/>
          <w:highlight w:val="none"/>
        </w:rPr>
        <w:tab/>
      </w:r>
    </w:p>
    <w:p w14:paraId="4A7F734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2024年度一般公共预算财政拨款基本支出1025.64万元，其中：</w:t>
      </w:r>
    </w:p>
    <w:p w14:paraId="636EAA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人员经费793.9万元，主要包括：基本工资、津贴补贴、奖金、机关事业单位基本养老保险缴费、职工基本医疗保险缴费、公务员医疗补助缴费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其他社会保障缴费、其他工资福利支出、奖励金、住房公积金、其他对个人和家庭的补助支出等。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231.75万元，主要包括：办公费、印刷费、咨询费、水费、电费、邮电费、物业管理费、差旅费、维修（护）费、租赁费、会议费、培训费、公务接待费、劳务费、委托业务费、工会经费、福利费、公务用车运行维护费、其他交通费、其他商品和服务支出、办公设备购置。</w:t>
      </w:r>
    </w:p>
    <w:p w14:paraId="0ADCE9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3934DB0">
      <w:pPr>
        <w:spacing w:line="600" w:lineRule="exact"/>
        <w:ind w:firstLine="640"/>
        <w:outlineLvl w:val="1"/>
        <w:rPr>
          <w:rStyle w:val="31"/>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6"/>
      <w:bookmarkEnd w:id="37"/>
    </w:p>
    <w:p w14:paraId="47E3CAA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5649D44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2024年度“三公”经费财政拨款支出决算为10.85万元，完成预算</w:t>
      </w:r>
      <w:r>
        <w:rPr>
          <w:rFonts w:hint="eastAsia" w:eastAsia="仿宋_GB2312" w:cs="仿宋_GB2312"/>
          <w:color w:val="auto"/>
          <w:kern w:val="2"/>
          <w:sz w:val="32"/>
          <w:szCs w:val="32"/>
          <w:highlight w:val="none"/>
          <w:lang w:val="en-US" w:eastAsia="zh-CN" w:bidi="ar-SA"/>
        </w:rPr>
        <w:t>86.8</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1.11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11.4</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%。决算数小于预算数的主要原因是认真贯彻落实中央八项规定精神、省委省政府十项规定及其实施细则和厉行节约的有关要求，严格控制“三公”经费支出，公务用车运维费、公务接待费均有结余。</w:t>
      </w:r>
    </w:p>
    <w:p w14:paraId="462C9F1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724038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2024年度“三公”经费财政拨款支出决算中，因公出国（境）费支出决算0万元，占0%；公务用车购置及运行维护费支出决算9.26万元，占85.35%；公务接待费支出决算1.59万元，占14.65%。具体情况如下：</w:t>
      </w:r>
    </w:p>
    <w:p w14:paraId="496617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0630BF1">
      <w:pPr>
        <w:spacing w:line="600" w:lineRule="exact"/>
        <w:ind w:firstLine="640"/>
        <w:jc w:val="center"/>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681DA9F1">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58420</wp:posOffset>
            </wp:positionH>
            <wp:positionV relativeFrom="paragraph">
              <wp:posOffset>80645</wp:posOffset>
            </wp:positionV>
            <wp:extent cx="5123815" cy="2903220"/>
            <wp:effectExtent l="4445" t="4445" r="15240" b="698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84D17E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人。因公出国（境）支出决算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36FCF6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color w:val="auto"/>
          <w:kern w:val="2"/>
          <w:sz w:val="32"/>
          <w:szCs w:val="32"/>
          <w:highlight w:val="none"/>
          <w:lang w:val="en-US" w:eastAsia="zh-CN" w:bidi="ar-SA"/>
        </w:rPr>
        <w:t>9.26</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88.19</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1.32</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16.62</w:t>
      </w:r>
      <w:r>
        <w:rPr>
          <w:rFonts w:hint="eastAsia" w:ascii="Times New Roman" w:hAnsi="Times New Roman" w:eastAsia="仿宋_GB2312" w:cs="仿宋_GB2312"/>
          <w:color w:val="auto"/>
          <w:kern w:val="2"/>
          <w:sz w:val="32"/>
          <w:szCs w:val="32"/>
          <w:highlight w:val="none"/>
          <w:lang w:val="en-US" w:eastAsia="zh-CN" w:bidi="ar-SA"/>
        </w:rPr>
        <w:t>%。主要原因</w:t>
      </w:r>
      <w:r>
        <w:rPr>
          <w:rFonts w:hint="eastAsia" w:eastAsia="仿宋_GB2312" w:cs="仿宋_GB2312"/>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en-US" w:eastAsia="zh-CN" w:bidi="ar-SA"/>
        </w:rPr>
        <w:t>是</w:t>
      </w:r>
      <w:r>
        <w:rPr>
          <w:rFonts w:hint="eastAsia" w:eastAsia="仿宋_GB2312" w:cs="仿宋_GB2312"/>
          <w:color w:val="auto"/>
          <w:kern w:val="2"/>
          <w:sz w:val="32"/>
          <w:szCs w:val="32"/>
          <w:highlight w:val="none"/>
          <w:lang w:val="en-US" w:eastAsia="zh-CN" w:bidi="ar-SA"/>
        </w:rPr>
        <w:t>年中更换一辆公车，增加车辆保险支出；二是成品油价涨幅较大，运行经费有所增加。</w:t>
      </w:r>
    </w:p>
    <w:p w14:paraId="55FEDB6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辆，其中：轿车1辆、越野车0辆、载客汽车2辆。</w:t>
      </w:r>
    </w:p>
    <w:p w14:paraId="7A4835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w:t>
      </w:r>
      <w:r>
        <w:rPr>
          <w:rFonts w:hint="eastAsia" w:eastAsia="仿宋_GB2312" w:cs="仿宋_GB2312"/>
          <w:color w:val="auto"/>
          <w:kern w:val="2"/>
          <w:sz w:val="32"/>
          <w:szCs w:val="32"/>
          <w:highlight w:val="none"/>
          <w:lang w:val="en-US" w:eastAsia="zh-CN" w:bidi="ar-SA"/>
        </w:rPr>
        <w:t>9.26</w:t>
      </w:r>
      <w:r>
        <w:rPr>
          <w:rFonts w:hint="eastAsia" w:ascii="Times New Roman" w:hAnsi="Times New Roman" w:eastAsia="仿宋_GB2312" w:cs="仿宋_GB2312"/>
          <w:color w:val="auto"/>
          <w:kern w:val="2"/>
          <w:sz w:val="32"/>
          <w:szCs w:val="32"/>
          <w:highlight w:val="none"/>
          <w:lang w:val="en-US" w:eastAsia="zh-CN" w:bidi="ar-SA"/>
        </w:rPr>
        <w:t>万元。主要用于保障重要会议、重大活动、</w:t>
      </w:r>
      <w:r>
        <w:rPr>
          <w:rFonts w:hint="eastAsia" w:eastAsia="仿宋_GB2312" w:cs="仿宋_GB2312"/>
          <w:color w:val="auto"/>
          <w:kern w:val="2"/>
          <w:sz w:val="32"/>
          <w:szCs w:val="32"/>
          <w:highlight w:val="none"/>
          <w:lang w:val="en-US" w:eastAsia="zh-CN" w:bidi="ar-SA"/>
        </w:rPr>
        <w:t>课题</w:t>
      </w:r>
      <w:r>
        <w:rPr>
          <w:rFonts w:hint="eastAsia" w:ascii="Times New Roman" w:hAnsi="Times New Roman" w:eastAsia="仿宋_GB2312" w:cs="仿宋_GB2312"/>
          <w:color w:val="auto"/>
          <w:kern w:val="2"/>
          <w:sz w:val="32"/>
          <w:szCs w:val="32"/>
          <w:highlight w:val="none"/>
          <w:lang w:val="en-US" w:eastAsia="zh-CN" w:bidi="ar-SA"/>
        </w:rPr>
        <w:t>调研等所需的公务用车燃油费、维修费、过路过桥费、保险费等支出。</w:t>
      </w:r>
    </w:p>
    <w:p w14:paraId="590DFB4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b/>
          <w:bCs/>
          <w:color w:val="auto"/>
          <w:kern w:val="2"/>
          <w:sz w:val="32"/>
          <w:szCs w:val="32"/>
          <w:highlight w:val="none"/>
          <w:lang w:val="en-US" w:eastAsia="zh-CN" w:bidi="ar-SA"/>
        </w:rPr>
        <w:t>1.59</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79.5</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11.67</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厉行节约，公务接待活动频次减少</w:t>
      </w:r>
      <w:r>
        <w:rPr>
          <w:rFonts w:hint="eastAsia" w:ascii="Times New Roman" w:hAnsi="Times New Roman" w:eastAsia="仿宋_GB2312" w:cs="仿宋_GB2312"/>
          <w:color w:val="auto"/>
          <w:kern w:val="2"/>
          <w:sz w:val="32"/>
          <w:szCs w:val="32"/>
          <w:highlight w:val="none"/>
          <w:lang w:val="en-US" w:eastAsia="zh-CN" w:bidi="ar-SA"/>
        </w:rPr>
        <w:t>。其中：</w:t>
      </w:r>
    </w:p>
    <w:p w14:paraId="63A605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w:t>
      </w:r>
      <w:r>
        <w:rPr>
          <w:rFonts w:hint="eastAsia" w:eastAsia="仿宋_GB2312" w:cs="仿宋_GB2312"/>
          <w:color w:val="auto"/>
          <w:kern w:val="2"/>
          <w:sz w:val="32"/>
          <w:szCs w:val="32"/>
          <w:highlight w:val="none"/>
          <w:lang w:val="en-US" w:eastAsia="zh-CN" w:bidi="ar-SA"/>
        </w:rPr>
        <w:t>1.59</w:t>
      </w:r>
      <w:r>
        <w:rPr>
          <w:rFonts w:hint="eastAsia" w:ascii="Times New Roman" w:hAnsi="Times New Roman" w:eastAsia="仿宋_GB2312" w:cs="仿宋_GB2312"/>
          <w:color w:val="auto"/>
          <w:kern w:val="2"/>
          <w:sz w:val="32"/>
          <w:szCs w:val="32"/>
          <w:highlight w:val="none"/>
          <w:lang w:val="en-US" w:eastAsia="zh-CN" w:bidi="ar-SA"/>
        </w:rPr>
        <w:t>万元，主要用于执行公务、开展业务活动开支的用餐费。国内公务接待</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94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1.59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民建中央和省（区、市）来川检查指导、考察调研以及本省市（州）组织来省委会学习交流、请示汇报工作等服务保障</w:t>
      </w:r>
      <w:r>
        <w:rPr>
          <w:rFonts w:hint="eastAsia" w:ascii="Times New Roman" w:hAnsi="Times New Roman" w:eastAsia="仿宋_GB2312" w:cs="仿宋_GB2312"/>
          <w:color w:val="auto"/>
          <w:kern w:val="2"/>
          <w:sz w:val="32"/>
          <w:szCs w:val="32"/>
          <w:highlight w:val="none"/>
          <w:lang w:val="en-US" w:eastAsia="zh-CN" w:bidi="ar-SA"/>
        </w:rPr>
        <w:t>。</w:t>
      </w:r>
    </w:p>
    <w:p w14:paraId="385B3B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2A956A9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0" w:name="_Toc15396610"/>
      <w:bookmarkStart w:id="41" w:name="_Toc15377218"/>
    </w:p>
    <w:p w14:paraId="5EE79A9B">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40"/>
      <w:bookmarkEnd w:id="41"/>
    </w:p>
    <w:p w14:paraId="25E2E2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3AB638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FC8CAC2">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42" w:name="_Toc15396611"/>
      <w:bookmarkStart w:id="43"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42"/>
      <w:bookmarkEnd w:id="43"/>
    </w:p>
    <w:p w14:paraId="70365D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元。</w:t>
      </w:r>
    </w:p>
    <w:p w14:paraId="6B38787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3604B36">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44" w:name="_Toc15377221"/>
      <w:bookmarkStart w:id="45" w:name="_Toc1539661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44"/>
      <w:bookmarkEnd w:id="45"/>
    </w:p>
    <w:p w14:paraId="374A091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6DA2268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民建四川省委会</w:t>
      </w:r>
      <w:r>
        <w:rPr>
          <w:rFonts w:hint="eastAsia" w:ascii="Times New Roman" w:hAnsi="Times New Roman" w:eastAsia="仿宋_GB2312" w:cs="仿宋_GB2312"/>
          <w:color w:val="auto"/>
          <w:kern w:val="2"/>
          <w:sz w:val="32"/>
          <w:szCs w:val="32"/>
          <w:highlight w:val="none"/>
          <w:lang w:val="en-US" w:eastAsia="zh-CN" w:bidi="ar-SA"/>
        </w:rPr>
        <w:t>机关运行经费支出231.75万元，比2023年度减少</w:t>
      </w:r>
      <w:r>
        <w:rPr>
          <w:rFonts w:hint="eastAsia" w:eastAsia="仿宋_GB2312" w:cs="仿宋_GB2312"/>
          <w:color w:val="auto"/>
          <w:kern w:val="2"/>
          <w:sz w:val="32"/>
          <w:szCs w:val="32"/>
          <w:highlight w:val="none"/>
          <w:lang w:val="en-US" w:eastAsia="zh-CN" w:bidi="ar-SA"/>
        </w:rPr>
        <w:t>27.72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10.68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厉行节约，严格控制差旅费、会议费、培训费、公务接待、机关日常公用经费等费用支出。</w:t>
      </w:r>
    </w:p>
    <w:p w14:paraId="4AE7DA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ECC0C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10CD436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2024年度，民建四川省委会政府采购支出总额11.16万元，其中：政府采购货物支出4.75万元、政府采购工程支出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万元、政府采购服务支出6.41万元。主要用于办公设备采购和一般公务用车燃料费、维修保养费、保险费。授予中小企业合同金额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4F3CBFC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AAE51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0921A99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年12月31日，民建四川省委会共有车辆</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辆，其中：主要</w:t>
      </w:r>
      <w:r>
        <w:rPr>
          <w:rFonts w:hint="eastAsia" w:eastAsia="仿宋_GB2312" w:cs="仿宋_GB2312"/>
          <w:color w:val="auto"/>
          <w:kern w:val="2"/>
          <w:sz w:val="32"/>
          <w:szCs w:val="32"/>
          <w:highlight w:val="none"/>
          <w:lang w:val="en-US" w:eastAsia="zh-CN" w:bidi="ar-SA"/>
        </w:rPr>
        <w:t>负责人</w:t>
      </w:r>
      <w:r>
        <w:rPr>
          <w:rFonts w:hint="eastAsia" w:ascii="Times New Roman" w:hAnsi="Times New Roman" w:eastAsia="仿宋_GB2312" w:cs="仿宋_GB2312"/>
          <w:color w:val="auto"/>
          <w:kern w:val="2"/>
          <w:sz w:val="32"/>
          <w:szCs w:val="32"/>
          <w:highlight w:val="none"/>
          <w:lang w:val="en-US" w:eastAsia="zh-CN" w:bidi="ar-SA"/>
        </w:rPr>
        <w:t>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辆、机要通信用车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辆、应急保障用车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辆、其他用车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单价100万元</w:t>
      </w:r>
      <w:r>
        <w:rPr>
          <w:rFonts w:hint="eastAsia" w:eastAsia="仿宋_GB2312" w:cs="仿宋_GB2312"/>
          <w:color w:val="auto"/>
          <w:kern w:val="2"/>
          <w:sz w:val="32"/>
          <w:szCs w:val="32"/>
          <w:highlight w:val="none"/>
          <w:lang w:val="en-US" w:eastAsia="zh-CN" w:bidi="ar-SA"/>
        </w:rPr>
        <w:t>（含）</w:t>
      </w:r>
      <w:r>
        <w:rPr>
          <w:rFonts w:hint="eastAsia" w:ascii="Times New Roman" w:hAnsi="Times New Roman" w:eastAsia="仿宋_GB2312" w:cs="仿宋_GB2312"/>
          <w:color w:val="auto"/>
          <w:kern w:val="2"/>
          <w:sz w:val="32"/>
          <w:szCs w:val="32"/>
          <w:highlight w:val="none"/>
          <w:lang w:val="en-US" w:eastAsia="zh-CN" w:bidi="ar-SA"/>
        </w:rPr>
        <w:t>以上设备（不含车辆）</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台（套）。</w:t>
      </w:r>
    </w:p>
    <w:p w14:paraId="42FEB72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7C5DAA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2A9EBA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根据预算绩效管理要求，本部门在202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年度预算编制阶段，因项目未达到开展事前绩效评估要求，因此未开展预算事前绩效评估，对</w:t>
      </w: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4B66BA9E">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民建四川省委会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自评得分为</w:t>
      </w:r>
      <w:r>
        <w:rPr>
          <w:rFonts w:hint="eastAsia" w:eastAsia="仿宋_GB2312" w:cs="仿宋_GB2312"/>
          <w:color w:val="auto"/>
          <w:kern w:val="2"/>
          <w:sz w:val="32"/>
          <w:szCs w:val="32"/>
          <w:highlight w:val="none"/>
          <w:lang w:val="en-US" w:eastAsia="zh-CN" w:bidi="ar-SA"/>
        </w:rPr>
        <w:t>90.82</w:t>
      </w:r>
      <w:r>
        <w:rPr>
          <w:rFonts w:hint="eastAsia" w:ascii="Times New Roman" w:hAnsi="Times New Roman" w:eastAsia="仿宋_GB2312" w:cs="仿宋_GB2312"/>
          <w:color w:val="auto"/>
          <w:kern w:val="2"/>
          <w:sz w:val="32"/>
          <w:szCs w:val="32"/>
          <w:highlight w:val="none"/>
          <w:lang w:val="en-US" w:eastAsia="zh-CN" w:bidi="ar-SA"/>
        </w:rPr>
        <w:t>分，绩效自评报告详见附件。</w:t>
      </w:r>
    </w:p>
    <w:p w14:paraId="2BD2B06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0C1B77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7F591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BBF6B5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CCD3D0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81210F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D6FA36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FD4E41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D0567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07492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BA58D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25130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17CC5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19A5EE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AF95C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49F2836">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2A40B78C">
      <w:pPr>
        <w:spacing w:line="600" w:lineRule="exact"/>
        <w:jc w:val="left"/>
        <w:rPr>
          <w:rFonts w:ascii="Times New Roman" w:hAnsi="Times New Roman"/>
          <w:b/>
          <w:color w:val="auto"/>
          <w:sz w:val="44"/>
          <w:szCs w:val="44"/>
          <w:highlight w:val="none"/>
        </w:rPr>
      </w:pPr>
    </w:p>
    <w:p w14:paraId="30375F2A">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1F9ECF06">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一般公共服务支出（类）民主党派及工商联事务（款）行政运行（项）：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反应行政单位（包括实行公务员管理的事业单位）的基本支出。</w:t>
      </w:r>
    </w:p>
    <w:p w14:paraId="4D73547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3.一般公共服务支出（类）民</w:t>
      </w:r>
      <w:r>
        <w:rPr>
          <w:rFonts w:hint="eastAsia" w:ascii="仿宋_GB2312" w:eastAsia="仿宋_GB2312"/>
          <w:color w:val="auto"/>
          <w:sz w:val="32"/>
          <w:szCs w:val="32"/>
          <w:highlight w:val="none"/>
        </w:rPr>
        <w:t>主党派及工商联事务（款）参政议政（项）：反映各民主党派为参政议政进行的调研、会议、检查等方面的支出。</w:t>
      </w:r>
    </w:p>
    <w:p w14:paraId="4DC94E6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.一般公共服务（类）民主党派及工商联事务（款）一般行政管理事务（项）: 指行政单位未单独设置项级科目的其他项目支出。</w:t>
      </w:r>
    </w:p>
    <w:p w14:paraId="370A256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.教育支出（类）进修及培训（款）培训支出（项）：反映各部门安排的用于培训的支出。</w:t>
      </w:r>
    </w:p>
    <w:p w14:paraId="60B4732B">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6.社会保障和就业（类）行政事业单位养老支出（款）行政单位离退休（项）: 指行政单位开支的离退休经费。</w:t>
      </w:r>
    </w:p>
    <w:p w14:paraId="2F0BD453">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7.社会保障和就业（类）行政事业单位养老支出（款）机关事业单位基本养老保险缴费支出（项）: 指机关单位实施养老保险制度由单位缴纳的基本养老保险费支出。</w:t>
      </w:r>
    </w:p>
    <w:p w14:paraId="27C77E2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卫生健康（类）行政事业单位医疗（款）行政单位医疗（项）：反映财政部门安排的行政单位基本医疗保险缴费经费，未参加医疗保险的行政单位的公费医疗经费，按国家规定享受离休人员、红军老战士待遇人员的医疗经费。</w:t>
      </w:r>
    </w:p>
    <w:p w14:paraId="42A054EB">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9.卫生健康（类）行政事业单位医疗（款）公务员医疗补助（项）：反映财政部门安排的公务员医疗补助经费。</w:t>
      </w:r>
    </w:p>
    <w:p w14:paraId="734DDCF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.住房保障（类）住房改革支出（款）住房公积金（项）:指行政单位按人力资源和社会保障部、财政部规定的基本工</w:t>
      </w:r>
    </w:p>
    <w:p w14:paraId="0DE431B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资和津贴补贴以及规定比例为职工缴纳的住房公积金。</w:t>
      </w:r>
    </w:p>
    <w:p w14:paraId="03912BE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.住房保障（类）住房改革支出（款）购房补贴（项）:指按房改政策规定，行政单位向符合条件职工（含离退休人员）发放的用于购买住房的补贴。</w:t>
      </w:r>
    </w:p>
    <w:p w14:paraId="5313077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.基本支出：指为保障机构正常运转、完成日常工作任务而发生的人员支出和公用支出。</w:t>
      </w:r>
    </w:p>
    <w:p w14:paraId="3538181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.项目支出：指在基本支出之外为完成特定行政任务和事业发展目标所发生的支出。</w:t>
      </w:r>
    </w:p>
    <w:p w14:paraId="2185494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9C494CB">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351C1C">
      <w:pPr>
        <w:spacing w:line="600" w:lineRule="exact"/>
        <w:jc w:val="center"/>
        <w:rPr>
          <w:rStyle w:val="30"/>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1BD385C3">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6C1F8F0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61A3D73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0087AE1B">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民建四川省委会</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6C5B3D03">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5B7936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6E65E56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14:paraId="0CC820A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中国民主建国会四川省委员会（以下简称：民建四川省委会）为一级预算单位，下属二级预算单位1个，为民建四川省委机关。民建四川省委会机关内设办公室、组织处、宣传处、参政议政处和经济科技处5个处室。</w:t>
      </w:r>
    </w:p>
    <w:p w14:paraId="5005D7DB">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14:paraId="3008E0F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Times New Roman" w:hAnsi="Times New Roman" w:eastAsia="仿宋_GB2312" w:cs="Times New Roman"/>
          <w:sz w:val="32"/>
          <w:szCs w:val="32"/>
          <w:highlight w:val="none"/>
          <w:lang w:val="en-US" w:eastAsia="zh-CN"/>
        </w:rPr>
        <w:t>民建四川省委会作为参政党主要肩负议政、民主监督和参加中国共产党的政治协商的三大职能。围绕参政议政、社会服务、思想宣传、组织建设、机关建设等重点开展工作。</w:t>
      </w:r>
    </w:p>
    <w:p w14:paraId="75546EA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5C84AC6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民建四川省委会根据省编办核定编制29人，其中机关公务员27人（含单列编制1人），机关工勤人员2人。实有在职人员29人(机关公务员27人，机关工勤人员2人)，退休人员18人。在职人员与2023年持平，退休人员较上年减少1人（因病去世）。</w:t>
      </w:r>
    </w:p>
    <w:p w14:paraId="447E266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11CE1EA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0104D8B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eastAsia" w:ascii="Times New Roman" w:hAnsi="Times New Roman" w:eastAsia="仿宋_GB2312" w:cs="Times New Roman"/>
          <w:sz w:val="32"/>
          <w:szCs w:val="32"/>
          <w:highlight w:val="none"/>
          <w:lang w:val="en-US" w:eastAsia="zh-CN"/>
        </w:rPr>
        <w:t>民建四川省委会2024年年初预算收入1179.85万元，决算报表收入1214.33万元，均为一般公共预算财政拨款收入。</w:t>
      </w:r>
    </w:p>
    <w:p w14:paraId="328FC02B">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01F8EE3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highlight w:val="none"/>
          <w:lang w:val="zh-CN" w:eastAsia="zh-CN"/>
        </w:rPr>
      </w:pPr>
      <w:r>
        <w:rPr>
          <w:rFonts w:hint="eastAsia" w:ascii="Times New Roman" w:hAnsi="Times New Roman" w:eastAsia="仿宋_GB2312" w:cs="Times New Roman"/>
          <w:sz w:val="32"/>
          <w:szCs w:val="32"/>
          <w:highlight w:val="none"/>
          <w:lang w:val="en-US" w:eastAsia="zh-CN"/>
        </w:rPr>
        <w:t>民建四川省委会2024年年初预算支出1179.85万元，其中：一般公共服务支出918.6万元、教育支出49.9万元、社会保障和就业支出69.88万元、卫生健康支出54.04万元、住房保障支出87.43万元。决算报表支出1214.33万元，决算较年初预算增长2.92%。</w:t>
      </w:r>
    </w:p>
    <w:p w14:paraId="670BFCF1">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51F90F1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highlight w:val="none"/>
          <w:lang w:val="zh-CN" w:eastAsia="zh-CN"/>
        </w:rPr>
      </w:pPr>
      <w:r>
        <w:rPr>
          <w:rFonts w:hint="eastAsia" w:ascii="Times New Roman" w:hAnsi="Times New Roman" w:eastAsia="仿宋_GB2312" w:cs="Times New Roman"/>
          <w:sz w:val="32"/>
          <w:szCs w:val="32"/>
          <w:highlight w:val="none"/>
          <w:lang w:val="en-US" w:eastAsia="zh-CN"/>
        </w:rPr>
        <w:t>民建四川省委会</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年决算报表</w:t>
      </w:r>
      <w:r>
        <w:rPr>
          <w:rFonts w:hint="eastAsia" w:ascii="Times New Roman" w:hAnsi="Times New Roman" w:eastAsia="仿宋_GB2312" w:cs="Times New Roman"/>
          <w:sz w:val="32"/>
          <w:szCs w:val="32"/>
          <w:highlight w:val="none"/>
          <w:lang w:val="en-US" w:eastAsia="zh-CN"/>
        </w:rPr>
        <w:t>无</w:t>
      </w:r>
      <w:r>
        <w:rPr>
          <w:rFonts w:hint="default" w:ascii="Times New Roman" w:hAnsi="Times New Roman" w:eastAsia="仿宋_GB2312" w:cs="Times New Roman"/>
          <w:sz w:val="32"/>
          <w:szCs w:val="32"/>
          <w:highlight w:val="none"/>
          <w:lang w:val="en-US" w:eastAsia="zh-CN"/>
        </w:rPr>
        <w:t>结转结余情况。</w:t>
      </w:r>
    </w:p>
    <w:p w14:paraId="505FE29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63D8383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3598036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p>
    <w:p w14:paraId="4E4CA7C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完成社情民意信息报送。全年报送信息621篇，共有332篇被采用，其中，28篇被全国政协采用，74篇被民建中央采用，230篇被省政协采用，在民建中央、省政协等评比中名列前茅，获民建中央社情民意信息工作一等奖。年初目标设置为不少于350篇，超目标完成，该项目标得分4分。</w:t>
      </w:r>
    </w:p>
    <w:p w14:paraId="1BD5A2B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（2）完成重点课题数量。省委会围绕纵深推进成渝地区双城经济圈建设、全面深化改革扩大开放等中心工作，完成33个调研课题。呈报省政府《构建与科技创新相适应的科技金融生态体系 服务四川经济高质量发展》《建设我省集成电路IP产业生态夯实四川国家链主产业基础》的报告获省长及分管省领导肯定性批示。年初目标设置为不少于8个，超目标完成，该项目标得分4分。</w:t>
      </w:r>
    </w:p>
    <w:p w14:paraId="7DCCEA9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对泸定县开展乡村振兴定点帮扶工作。持续深化省委会定点帮扶泸定县相关工作,省委会领导及市州组织厅级领导，先后7次赴泸定县调研指导、开展帮扶工作。全年，各级组织和广大会员为巩固拓展脱贫攻坚成果、全面推进乡村振兴投入帮扶资金总额达1.1亿余元，通过购买、帮助销售脱贫地区农产品9400余万元。年初设置目标为不少于4次，超目标完成，该项目标得分4分。</w:t>
      </w:r>
    </w:p>
    <w:p w14:paraId="3ABCD79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4）开展“三下乡”活动。组织民建川大华西支部和省委会乡村振兴委、文艺委的医疗、农技、文化方面的会员专家和企业家，走进内江市东兴区，开展第28年“三下乡”活动，为期一周共计诊疗、咨询1200余人次，培训医务人员590余人次，捐赠药械共计价值25.8万元。目标完成，该项目标得分3分。</w:t>
      </w:r>
    </w:p>
    <w:p w14:paraId="372FB4D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p>
    <w:p w14:paraId="06EAFA0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预算编制质量。预算编制按照规定程序征求各业务处室意见，根据年度工作计划，参考上一年预算执行情况和有关支出绩效评价结果，科学、准确编制年初预算。加强部门预算编制审核，完善部门预算编制规程，在预算执行过程中加强部门预算管理相关部门之间的沟通协调，提高预算执行率。我部门按规定编制了2024年度部门预算，基本支出根据实有人数和人员经费标准确定，日常公用经费按定额计算确定；项目支出根据绩效目标、支出标准及承担的相关任务等进行编制，均设置了相应的绩效目标。我部门按要求在部门门户网站及时、完整公开了预决算。2024年度，我部门财政拨款年初预算数1179.85万元、预算执行数1214.33万元，偏离度为2.92%；资产配置年初预算数5.15万元，预算执行数4.75万元，偏离度为7.77%；政府采购年初预算数12.8万元，预算执行数11.16万元，偏离度为12.81%。该项指标得分7.47.</w:t>
      </w:r>
    </w:p>
    <w:p w14:paraId="39B637F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（2）单位收入统筹。2024年度，我部门无自有收入。该项指标得分4分。</w:t>
      </w:r>
    </w:p>
    <w:p w14:paraId="3F9E5F9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（3）支出执行进度。我部门2024年1-6月、1-10月预算执行情况见下表，根据下表数据，按照评价指标体系，该项指标得分5.76分</w:t>
      </w:r>
      <w:r>
        <w:rPr>
          <w:rFonts w:hint="eastAsia" w:eastAsia="仿宋_GB2312" w:cs="仿宋_GB2312"/>
          <w:color w:val="auto"/>
          <w:kern w:val="2"/>
          <w:sz w:val="32"/>
          <w:szCs w:val="32"/>
          <w:highlight w:val="none"/>
          <w:lang w:val="zh-CN" w:eastAsia="zh-CN" w:bidi="ar-SA"/>
        </w:rPr>
        <w:t>。</w:t>
      </w:r>
    </w:p>
    <w:p w14:paraId="3D35B3E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Times New Roman"/>
          <w:b w:val="0"/>
          <w:color w:val="000000"/>
          <w:kern w:val="0"/>
          <w:sz w:val="24"/>
          <w:szCs w:val="24"/>
          <w:highlight w:val="none"/>
          <w:shd w:val="clear" w:color="auto" w:fill="FFFFFF"/>
          <w:lang w:val="en-US" w:eastAsia="zh-CN" w:bidi="ar-SA"/>
        </w:rPr>
        <w:t>单位：万元</w:t>
      </w:r>
    </w:p>
    <w:tbl>
      <w:tblPr>
        <w:tblStyle w:val="17"/>
        <w:tblW w:w="925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920"/>
        <w:gridCol w:w="2070"/>
        <w:gridCol w:w="2040"/>
        <w:gridCol w:w="1830"/>
      </w:tblGrid>
      <w:tr w14:paraId="0B26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1395" w:type="dxa"/>
          </w:tcPr>
          <w:p w14:paraId="0D3C3E2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t>期间</w:t>
            </w:r>
          </w:p>
        </w:tc>
        <w:tc>
          <w:tcPr>
            <w:tcW w:w="1920" w:type="dxa"/>
          </w:tcPr>
          <w:p w14:paraId="38B8FD0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t>预算执行数</w:t>
            </w:r>
          </w:p>
        </w:tc>
        <w:tc>
          <w:tcPr>
            <w:tcW w:w="2070" w:type="dxa"/>
          </w:tcPr>
          <w:p w14:paraId="76A1560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t>全年部门预算数</w:t>
            </w:r>
          </w:p>
        </w:tc>
        <w:tc>
          <w:tcPr>
            <w:tcW w:w="2040" w:type="dxa"/>
          </w:tcPr>
          <w:p w14:paraId="219EAFB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t>支出预警金额</w:t>
            </w:r>
          </w:p>
        </w:tc>
        <w:tc>
          <w:tcPr>
            <w:tcW w:w="1830" w:type="dxa"/>
          </w:tcPr>
          <w:p w14:paraId="6BE5D10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zh-CN" w:eastAsia="zh-CN" w:bidi="ar-SA"/>
              </w:rPr>
              <w:t>支出违规金额</w:t>
            </w:r>
          </w:p>
        </w:tc>
      </w:tr>
      <w:tr w14:paraId="64C6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95" w:type="dxa"/>
          </w:tcPr>
          <w:p w14:paraId="0B330B8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ascii="Times New Roman" w:hAnsi="Times New Roman" w:eastAsia="仿宋_GB2312" w:cs="Times New Roman"/>
                <w:b w:val="0"/>
                <w:color w:val="000000"/>
                <w:kern w:val="0"/>
                <w:sz w:val="24"/>
                <w:szCs w:val="24"/>
                <w:highlight w:val="none"/>
                <w:shd w:val="clear" w:color="auto" w:fill="FFFFFF"/>
                <w:lang w:val="en-US" w:eastAsia="zh-CN" w:bidi="ar-SA"/>
              </w:rPr>
              <w:t>1-6月</w:t>
            </w:r>
          </w:p>
        </w:tc>
        <w:tc>
          <w:tcPr>
            <w:tcW w:w="1920" w:type="dxa"/>
          </w:tcPr>
          <w:p w14:paraId="2DC54FA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544.50</w:t>
            </w:r>
          </w:p>
        </w:tc>
        <w:tc>
          <w:tcPr>
            <w:tcW w:w="2070" w:type="dxa"/>
          </w:tcPr>
          <w:p w14:paraId="30DB95B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1179.85</w:t>
            </w:r>
          </w:p>
        </w:tc>
        <w:tc>
          <w:tcPr>
            <w:tcW w:w="2040" w:type="dxa"/>
          </w:tcPr>
          <w:p w14:paraId="23F0408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5.63</w:t>
            </w:r>
          </w:p>
        </w:tc>
        <w:tc>
          <w:tcPr>
            <w:tcW w:w="1830" w:type="dxa"/>
          </w:tcPr>
          <w:p w14:paraId="7EF8F45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0</w:t>
            </w:r>
          </w:p>
        </w:tc>
      </w:tr>
      <w:tr w14:paraId="1DA5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95" w:type="dxa"/>
          </w:tcPr>
          <w:p w14:paraId="4894640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1-10月</w:t>
            </w:r>
          </w:p>
        </w:tc>
        <w:tc>
          <w:tcPr>
            <w:tcW w:w="1920" w:type="dxa"/>
          </w:tcPr>
          <w:p w14:paraId="2BE8296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951.51</w:t>
            </w:r>
          </w:p>
        </w:tc>
        <w:tc>
          <w:tcPr>
            <w:tcW w:w="2070" w:type="dxa"/>
          </w:tcPr>
          <w:p w14:paraId="02CFDFC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1179.85</w:t>
            </w:r>
          </w:p>
        </w:tc>
        <w:tc>
          <w:tcPr>
            <w:tcW w:w="2040" w:type="dxa"/>
          </w:tcPr>
          <w:p w14:paraId="469D3D7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16.07</w:t>
            </w:r>
          </w:p>
        </w:tc>
        <w:tc>
          <w:tcPr>
            <w:tcW w:w="1830" w:type="dxa"/>
          </w:tcPr>
          <w:p w14:paraId="482B197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center"/>
              <w:textAlignment w:val="auto"/>
              <w:outlineLvl w:val="9"/>
              <w:rPr>
                <w:rFonts w:hint="default" w:ascii="Times New Roman" w:hAnsi="Times New Roman" w:eastAsia="仿宋_GB2312" w:cs="Times New Roman"/>
                <w:b w:val="0"/>
                <w:color w:val="000000"/>
                <w:kern w:val="0"/>
                <w:sz w:val="24"/>
                <w:szCs w:val="24"/>
                <w:highlight w:val="none"/>
                <w:shd w:val="clear" w:color="auto" w:fill="FFFFFF"/>
                <w:lang w:val="en-US" w:eastAsia="zh-CN" w:bidi="ar-SA"/>
              </w:rPr>
            </w:pPr>
            <w:r>
              <w:rPr>
                <w:rFonts w:hint="eastAsia" w:cs="Times New Roman"/>
                <w:b w:val="0"/>
                <w:color w:val="000000"/>
                <w:kern w:val="0"/>
                <w:sz w:val="24"/>
                <w:szCs w:val="24"/>
                <w:highlight w:val="none"/>
                <w:shd w:val="clear" w:color="auto" w:fill="FFFFFF"/>
                <w:lang w:val="en-US" w:eastAsia="zh-CN" w:bidi="ar-SA"/>
              </w:rPr>
              <w:t>0</w:t>
            </w:r>
          </w:p>
        </w:tc>
      </w:tr>
    </w:tbl>
    <w:p w14:paraId="2342A51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p>
    <w:p w14:paraId="39BF1E3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（4）预算年终结余。我部门2024年全年预算1336.30万元，决算支出1214.33万元，预算注销金额121.97万元，部门整体预算结余率9.13%。该项指标得分1.82分。</w:t>
      </w:r>
    </w:p>
    <w:p w14:paraId="7ACC48A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（5）严控一般性支出。我部门一般性支出财政拨款年初预算数2023年为194.95万元，2024年为187.05万元，同比下降4.</w:t>
      </w:r>
      <w:r>
        <w:rPr>
          <w:rFonts w:hint="eastAsia" w:eastAsia="仿宋_GB2312" w:cs="仿宋_GB2312"/>
          <w:color w:val="auto"/>
          <w:kern w:val="2"/>
          <w:sz w:val="32"/>
          <w:szCs w:val="32"/>
          <w:highlight w:val="none"/>
          <w:lang w:val="en-US" w:eastAsia="zh-CN" w:bidi="ar-SA"/>
        </w:rPr>
        <w:t>05</w:t>
      </w:r>
      <w:r>
        <w:rPr>
          <w:rFonts w:hint="eastAsia" w:ascii="Times New Roman" w:hAnsi="Times New Roman" w:eastAsia="仿宋_GB2312" w:cs="仿宋_GB2312"/>
          <w:color w:val="auto"/>
          <w:kern w:val="2"/>
          <w:sz w:val="32"/>
          <w:szCs w:val="32"/>
          <w:highlight w:val="none"/>
          <w:lang w:val="zh-CN" w:eastAsia="zh-CN" w:bidi="ar-SA"/>
        </w:rPr>
        <w:t>%；我部门一般性支出财政拨款预算执行数2023年为174.14万元，2024年为147.91万元，同比下降15.06%。该项指标得分4.8分。</w:t>
      </w:r>
    </w:p>
    <w:p w14:paraId="759C973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w:t>
      </w:r>
    </w:p>
    <w:p w14:paraId="71E1796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财务管理制度。我部门于2023年制定了《民建四川省委会机关财务管理规定》，并于2024年统一印发《民建四川省委会机关会议费管理规定》、《民建四川省委会机关培训费管理规定》等系列制度文件，内容涵盖了财务内控、职能分工、工作流程等方面，明确了财务工作原则、方法和流程，为财务管理工作提供了有力保障。该项指标得分4分。</w:t>
      </w:r>
    </w:p>
    <w:p w14:paraId="1DB8C51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财务岗位设置。根据《民建四川省委会机关财务管理规定》，设置财务工作岗位3人，分别是出纳、会计、财务负责人。严格实行不相容岗位分离的原则，对业务经办与会计核算、会计核算与财产保管、支出申请与审批、支出审批与付款等不相容岗位予以分离，并明确了相关职责权限。该项指标得分2分。</w:t>
      </w:r>
    </w:p>
    <w:p w14:paraId="2D39CEE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资金使用规范。根据内审及自查的情况，我部门资金使用符合相关财务管理制度，不存在超预算或无预算安排、虚列支出、超范围超标准使用经费、违规使用“三公”经费、滥发津补贴、报销不合规等情况。该项指标得分4分。</w:t>
      </w:r>
    </w:p>
    <w:p w14:paraId="05F71FD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w:t>
      </w:r>
    </w:p>
    <w:p w14:paraId="3FC3A99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人均资产变化率。我部门2023年资产净值72.48万元，人均占有资产2.5万元，2024年资产净值63.73万元，人均占有2.2万元，部门人均资产变化率为-12%，低于省直行政事业单位人均资产变化率（3.94%），该项指标得分1.5分；部门人均资产增长率为-12%，低于省直行政事业单位人均资产增长率（-1.8%），该项指标得分1.5分。</w:t>
      </w:r>
    </w:p>
    <w:p w14:paraId="201ACBE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资产利用率。我部门资产利用率较高，其中：超最低使用年限的办公家具原值13.86万元，办公家具账面原值26.22万元，办公家具超最低使用年限资产利用率为52.28%，高于省直行政事业单位平均值（16.77%）；超最低使用年限的办公设备原值27.26万元，办公设备账面原值134万元，办公设备超最低使用年限资产利用率为20.34%，低于省直行政事业单位平均值（41.2%），主要原因是我部门三台公务用车调拨时间均较近，原值较高，导致资产利用率偏低。该项指标得分1.8分（办公家具1.5分、办公设备0.3分）</w:t>
      </w:r>
    </w:p>
    <w:p w14:paraId="6925BFC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（3）资产盘活率。我部门连续两年无闲置资产，该项指标得分3分。</w:t>
      </w:r>
    </w:p>
    <w:p w14:paraId="5256DD5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w:t>
      </w:r>
    </w:p>
    <w:p w14:paraId="337F5B1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我部门加强对政府采购业务控制，科学合理确定采购需求，依法公开政府采购信息、实施采购活动，公告备案采购合同、规范管理政府采购项目档案，严格履行政府采购审批手续，提高财政资金的使用效率。</w:t>
      </w:r>
    </w:p>
    <w:p w14:paraId="4D3189B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（1）支持中小企业发展。2024年，我部门政府采购主要涉及公务用车运维和办公设备采购，其中公务用车维修面向中小企业采购，但未在采购预算中单独列示。该项指标得分1分。</w:t>
      </w:r>
    </w:p>
    <w:p w14:paraId="60100E9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（2）采购执行率。我部门2024年政府采购预算金额12.8万元，政府采购实际支付金额11.16万元，已完成采购项目节约金额1.64万元。该项指标得分3分。</w:t>
      </w:r>
    </w:p>
    <w:p w14:paraId="214060F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1EFEF31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ascii="Times New Roman" w:hAnsi="Times New Roman" w:eastAsia="仿宋_GB2312" w:cs="仿宋_GB2312"/>
          <w:color w:val="auto"/>
          <w:kern w:val="2"/>
          <w:sz w:val="32"/>
          <w:szCs w:val="32"/>
          <w:highlight w:val="none"/>
          <w:lang w:val="en-US" w:eastAsia="zh-CN" w:bidi="ar-SA"/>
        </w:rPr>
        <w:t>200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ascii="Times New Roman" w:hAnsi="Times New Roman" w:eastAsia="仿宋_GB2312" w:cs="仿宋_GB2312"/>
          <w:color w:val="auto"/>
          <w:kern w:val="2"/>
          <w:sz w:val="32"/>
          <w:szCs w:val="32"/>
          <w:highlight w:val="none"/>
          <w:lang w:val="en-US" w:eastAsia="zh-CN" w:bidi="ar-SA"/>
        </w:rPr>
        <w:t>82.2</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个。</w:t>
      </w:r>
    </w:p>
    <w:p w14:paraId="304B58C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含</w:t>
      </w:r>
      <w:r>
        <w:rPr>
          <w:rFonts w:hint="default" w:ascii="Times New Roman" w:hAnsi="Times New Roman" w:eastAsia="仿宋_GB2312" w:cs="仿宋_GB2312"/>
          <w:color w:val="auto"/>
          <w:kern w:val="2"/>
          <w:sz w:val="32"/>
          <w:szCs w:val="32"/>
          <w:highlight w:val="none"/>
          <w:lang w:val="en-US" w:eastAsia="zh-CN" w:bidi="ar-SA"/>
        </w:rPr>
        <w:t>一次性）项目绩效分析。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ascii="Times New Roman" w:hAnsi="Times New Roman" w:eastAsia="仿宋_GB2312" w:cs="仿宋_GB2312"/>
          <w:color w:val="auto"/>
          <w:kern w:val="2"/>
          <w:sz w:val="32"/>
          <w:szCs w:val="32"/>
          <w:highlight w:val="none"/>
          <w:lang w:val="en-US" w:eastAsia="zh-CN" w:bidi="ar-SA"/>
        </w:rPr>
        <w:t>35</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ascii="Times New Roman" w:hAnsi="Times New Roman" w:eastAsia="仿宋_GB2312" w:cs="仿宋_GB2312"/>
          <w:color w:val="auto"/>
          <w:kern w:val="2"/>
          <w:sz w:val="32"/>
          <w:szCs w:val="32"/>
          <w:highlight w:val="none"/>
          <w:lang w:val="en-US" w:eastAsia="zh-CN" w:bidi="ar-SA"/>
        </w:rPr>
        <w:t>69.37</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个。</w:t>
      </w:r>
    </w:p>
    <w:p w14:paraId="0A31C5C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p>
    <w:p w14:paraId="34EE753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2024年，我部门在项目决策程序中，按照《四川省省级预算绩效目标管理办法》（川财绩〔2017〕5号）的相关要求，对常年项目和阶段（一次性）项目进行了了集体决策，并在“预算管理一体化系统”内填报了绩效目标和阶段（一次性）项目事前绩效评估表，绩效目标编制合理、完整，并结合具体内容进行了细化量化，与预算安排相匹配。所有项目均按时入库，入库流程合理有效。该项指标得分12分。</w:t>
      </w:r>
    </w:p>
    <w:p w14:paraId="3597CD4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w:t>
      </w:r>
    </w:p>
    <w:p w14:paraId="454014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（1）执行同向。2024年，通过对部门预算项目进行自评，未发现实际列支内容与绩效目标设置方向不相符的项目，资金的使用与项目的目标和计划保持一致。该项指标得分4分。</w:t>
      </w:r>
    </w:p>
    <w:p w14:paraId="214DAF3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（2）项目调整。2024年，我部门开展了绩效动态监控，对预算执行进度以及绩效目标完成情况进行了重点监控，项目执行符合预期，无调整项目。该项指标得分4分。</w:t>
      </w:r>
    </w:p>
    <w:p w14:paraId="33C2AD9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（3）执行结果。2024年，我部门预算结余率小于10%的常年项目1个、阶段（一次性）项目0个，该项指标得分0.67分。</w:t>
      </w:r>
    </w:p>
    <w:p w14:paraId="19A0FD6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p>
    <w:p w14:paraId="4331A7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（1）目标完成。2024年，我部门两个阶段（一次性）项目共涉及数量指标11个，实际完成11个，完成率100%。该项指标得分4分。</w:t>
      </w:r>
    </w:p>
    <w:p w14:paraId="7944131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（2）目标偏离。2024年，我部门11个数量指标均达到或超过预期值，无偏离度超过30%的数量指标。该项指标得分4分。</w:t>
      </w:r>
    </w:p>
    <w:p w14:paraId="5995184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（3）实现效果。2024年，我部门两个阶段（一次性）项目共涉及效益指标3个，两个项目均完成效益指标，完成率100%。该项指标得分3分。</w:t>
      </w:r>
    </w:p>
    <w:p w14:paraId="7256B230">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6544DC9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1.内部应用情况。</w:t>
      </w:r>
    </w:p>
    <w:p w14:paraId="5AC544E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为确保部门绩效和预算目标的一致性，提高工作效率和绩效水平，我部门根据《四川省省级财政预算绩效结果应用管理办法》（川财绩〔2019〕15号）和《四川省省级财政预算绩效结果与预算安排挂钩实施细则（试行）》（川财办〔2020〕53号）的相关要求，结合民建四川省委工作实际，积极推动部门内部绩效考核与工作经费挂钩机制。根据绩效评估结果，对绩效表现优秀的项目原则上优先保障，对绩效评估中发现的问题和不足，对相关项目进行了优化和改进。绩效考评结果在部门内部进行了通报和分享，并作为部门制定下一年度的工作计划和预算安排的重要依据。</w:t>
      </w:r>
    </w:p>
    <w:p w14:paraId="609E78F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2.信息公开情况。</w:t>
      </w:r>
    </w:p>
    <w:p w14:paraId="53A08AD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2024年，我部门已按照相关要求，于2024年2月29日在部门门户网站上公开了2024年度部门预算和绩效目标，并于2024年9月2日将2023年度部门整体支出和项目支出自评报告连同部门决算在部门门户网站上进行了公开。</w:t>
      </w:r>
    </w:p>
    <w:p w14:paraId="2B91AF8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3.整改反馈情况。</w:t>
      </w:r>
    </w:p>
    <w:p w14:paraId="3736AF8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zh-CN" w:eastAsia="zh-CN" w:bidi="ar"/>
        </w:rPr>
      </w:pPr>
      <w:r>
        <w:rPr>
          <w:rFonts w:hint="eastAsia" w:ascii="Times New Roman" w:hAnsi="Times New Roman" w:eastAsia="仿宋_GB2312" w:cs="Times New Roman"/>
          <w:sz w:val="32"/>
          <w:szCs w:val="32"/>
          <w:highlight w:val="none"/>
          <w:u w:val="none"/>
          <w:lang w:val="zh-CN" w:eastAsia="zh-CN" w:bidi="ar"/>
        </w:rPr>
        <w:t>财政厅对我部门开展了2023年度部门整体支出绩效评价，结合2023年度绩效目标管理、事前绩效评估、绩效运行监控、事后绩效评价四个方面的绩效结果应用情况，针对绩效评价提出的整改意见，我部门逐项进行梳理整改，并及时将整改结果向省财政厅进行了反馈。</w:t>
      </w:r>
    </w:p>
    <w:p w14:paraId="75FB308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623A4B8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09AD713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highlight w:val="none"/>
          <w:u w:val="none"/>
          <w:lang w:val="en-US" w:eastAsia="zh-CN" w:bidi="ar"/>
        </w:rPr>
      </w:pPr>
      <w:r>
        <w:rPr>
          <w:rFonts w:hint="eastAsia" w:ascii="Times New Roman" w:hAnsi="Times New Roman" w:eastAsia="仿宋_GB2312" w:cs="Times New Roman"/>
          <w:sz w:val="32"/>
          <w:szCs w:val="32"/>
          <w:highlight w:val="none"/>
          <w:u w:val="none"/>
          <w:lang w:val="en-US" w:eastAsia="zh-CN" w:bidi="ar"/>
        </w:rPr>
        <w:t>2024年度，我部门认真贯彻《中共四川省委办公厅  四川省人民政府办公厅关于深入实施预算绩效管理的通知》精神，按照绩效管理与预算管理一体化的要求，努力将绩效管理融入预算编制、预算执行、预算监督全过程。根据《部门预算绩效评价指标体系》设定的绩效指标和计分标准，本次自评得分为90.82分。</w:t>
      </w:r>
    </w:p>
    <w:p w14:paraId="69215EC5">
      <w:pPr>
        <w:keepNext w:val="0"/>
        <w:keepLines w:val="0"/>
        <w:pageBreakBefore w:val="0"/>
        <w:widowControl/>
        <w:numPr>
          <w:ilvl w:val="0"/>
          <w:numId w:val="4"/>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14:paraId="0336CFF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highlight w:val="none"/>
          <w:u w:val="none"/>
          <w:lang w:val="zh-CN" w:eastAsia="zh-CN" w:bidi="ar"/>
        </w:rPr>
      </w:pPr>
      <w:r>
        <w:rPr>
          <w:rFonts w:hint="default" w:ascii="Times New Roman" w:hAnsi="Times New Roman" w:eastAsia="仿宋_GB2312" w:cs="Times New Roman"/>
          <w:sz w:val="32"/>
          <w:szCs w:val="32"/>
          <w:highlight w:val="none"/>
          <w:u w:val="none"/>
          <w:lang w:val="zh-CN" w:eastAsia="zh-CN" w:bidi="ar"/>
        </w:rPr>
        <w:t>1.预算执行进度需进一步加快。部分工作未能在预定的时间节点完成，导致资金执行进度略有滞后。</w:t>
      </w:r>
    </w:p>
    <w:p w14:paraId="255C0D4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highlight w:val="none"/>
          <w:u w:val="none"/>
          <w:lang w:val="zh-CN" w:eastAsia="zh-CN" w:bidi="ar"/>
        </w:rPr>
      </w:pPr>
      <w:r>
        <w:rPr>
          <w:rFonts w:hint="default" w:ascii="Times New Roman" w:hAnsi="Times New Roman" w:eastAsia="仿宋_GB2312" w:cs="Times New Roman"/>
          <w:sz w:val="32"/>
          <w:szCs w:val="32"/>
          <w:highlight w:val="none"/>
          <w:u w:val="none"/>
          <w:lang w:val="zh-CN" w:eastAsia="zh-CN" w:bidi="ar"/>
        </w:rPr>
        <w:t>2.绩效管理结果应用需进一步拓宽。我部门绩效管理结果应用目前主要体现在自评结果应用方面，在预算事前评估、绩效目标编制和绩效运行监控等方面缺少一定的制度支撑，影响了绩效管理效果。</w:t>
      </w:r>
    </w:p>
    <w:p w14:paraId="16103C8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p>
    <w:p w14:paraId="6B1340D7">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bidi="ar"/>
        </w:rPr>
      </w:pPr>
      <w:r>
        <w:rPr>
          <w:rFonts w:hint="eastAsia" w:ascii="Times New Roman" w:hAnsi="Times New Roman" w:eastAsia="仿宋_GB2312" w:cs="Times New Roman"/>
          <w:sz w:val="32"/>
          <w:szCs w:val="32"/>
          <w:highlight w:val="none"/>
          <w:u w:val="none"/>
          <w:lang w:val="en-US" w:eastAsia="zh-CN" w:bidi="ar"/>
        </w:rPr>
        <w:t>1.定期对预算执行情况进行通报，加强对项目资金支出的动态监控，及时发现和解决执行中的问题。</w:t>
      </w:r>
    </w:p>
    <w:p w14:paraId="397FFB70">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bidi="ar"/>
        </w:rPr>
      </w:pPr>
      <w:r>
        <w:rPr>
          <w:rFonts w:hint="eastAsia" w:ascii="Times New Roman" w:hAnsi="Times New Roman" w:eastAsia="仿宋_GB2312" w:cs="Times New Roman"/>
          <w:sz w:val="32"/>
          <w:szCs w:val="32"/>
          <w:highlight w:val="none"/>
          <w:u w:val="none"/>
          <w:lang w:val="en-US" w:eastAsia="zh-CN" w:bidi="ar"/>
        </w:rPr>
        <w:t>2.拓宽绩效结果应用范围，推动绩效管理提质增效。我部门将立足工作实际，一是科学合理制定绩效目标，推进绩效目标管理全覆盖，进一步提高绩效目标申报质量；二是进一步完善“事前、事中、事后”全过程绩效管理制度；三是狠抓预算绩效事前评估、绩效目标编制、绩效运行监控、事后绩效评价和评价结果应用等关键环节，绩效通过绩效评价，不断拓宽绩效管理范围、丰富绩效管理内容、增强绩效管理实效，深化预算绩效管理一体化，推动绩效管理提质增效。</w:t>
      </w:r>
    </w:p>
    <w:p w14:paraId="25851ADC">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u w:val="none"/>
          <w:lang w:val="zh-CN" w:eastAsia="zh-CN" w:bidi="ar"/>
        </w:rPr>
      </w:pPr>
    </w:p>
    <w:p w14:paraId="33034BE0">
      <w:pPr>
        <w:pStyle w:val="21"/>
        <w:pageBreakBefore w:val="0"/>
        <w:kinsoku/>
        <w:wordWrap/>
        <w:overflowPunct/>
        <w:topLinePunct w:val="0"/>
        <w:autoSpaceDE/>
        <w:autoSpaceDN/>
        <w:bidi w:val="0"/>
        <w:adjustRightInd/>
        <w:snapToGrid/>
        <w:spacing w:before="0" w:after="0" w:line="578" w:lineRule="exact"/>
        <w:ind w:firstLine="643" w:firstLineChars="200"/>
        <w:jc w:val="center"/>
        <w:rPr>
          <w:rFonts w:hint="eastAsia" w:ascii="Times New Roman" w:hAnsi="Times New Roman" w:eastAsia="仿宋_GB2312" w:cs="Times New Roman"/>
          <w:kern w:val="2"/>
          <w:sz w:val="32"/>
          <w:szCs w:val="32"/>
          <w:highlight w:val="none"/>
          <w:u w:val="none"/>
          <w:lang w:val="zh-CN" w:eastAsia="zh-CN" w:bidi="ar"/>
        </w:rPr>
      </w:pPr>
      <w:r>
        <w:rPr>
          <w:rFonts w:hint="eastAsia" w:ascii="Times New Roman" w:hAnsi="Times New Roman" w:eastAsia="仿宋_GB2312" w:cs="Times New Roman"/>
          <w:kern w:val="2"/>
          <w:sz w:val="32"/>
          <w:szCs w:val="32"/>
          <w:highlight w:val="none"/>
          <w:u w:val="none"/>
          <w:lang w:val="zh-CN" w:eastAsia="zh-CN" w:bidi="ar"/>
        </w:rPr>
        <w:t>附表：</w:t>
      </w:r>
      <w:r>
        <w:rPr>
          <w:rFonts w:hint="eastAsia" w:ascii="Times New Roman" w:hAnsi="Times New Roman" w:eastAsia="仿宋_GB2312" w:cs="Times New Roman"/>
          <w:kern w:val="2"/>
          <w:sz w:val="32"/>
          <w:szCs w:val="32"/>
          <w:highlight w:val="none"/>
          <w:u w:val="none"/>
          <w:lang w:val="en-US" w:eastAsia="zh-CN" w:bidi="ar"/>
        </w:rPr>
        <w:t>部门预算项目支出绩效自评表一（2024年度）</w:t>
      </w:r>
    </w:p>
    <w:tbl>
      <w:tblPr>
        <w:tblStyle w:val="16"/>
        <w:tblpPr w:leftFromText="180" w:rightFromText="180" w:vertAnchor="text" w:horzAnchor="page" w:tblpX="720" w:tblpY="648"/>
        <w:tblOverlap w:val="never"/>
        <w:tblW w:w="10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1185"/>
        <w:gridCol w:w="855"/>
        <w:gridCol w:w="1485"/>
        <w:gridCol w:w="601"/>
        <w:gridCol w:w="525"/>
        <w:gridCol w:w="569"/>
        <w:gridCol w:w="721"/>
        <w:gridCol w:w="585"/>
        <w:gridCol w:w="645"/>
        <w:gridCol w:w="2385"/>
      </w:tblGrid>
      <w:tr w14:paraId="7D7F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4462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8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5FC30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51000024T000010981214-建乐合作</w:t>
            </w:r>
          </w:p>
        </w:tc>
      </w:tr>
      <w:tr w14:paraId="08A3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BB93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E752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中国民主建国会四川省委员会部门</w:t>
            </w:r>
          </w:p>
        </w:tc>
        <w:tc>
          <w:tcPr>
            <w:tcW w:w="721" w:type="dxa"/>
            <w:tcBorders>
              <w:top w:val="nil"/>
              <w:left w:val="nil"/>
              <w:bottom w:val="nil"/>
              <w:right w:val="nil"/>
            </w:tcBorders>
            <w:shd w:val="clear" w:color="auto" w:fill="auto"/>
            <w:vAlign w:val="center"/>
          </w:tcPr>
          <w:p w14:paraId="1185E850">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B93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中国民主建国会四川省委员会</w:t>
            </w:r>
          </w:p>
        </w:tc>
      </w:tr>
      <w:tr w14:paraId="3ED8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3D45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E062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9D47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EE4DC">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年度目标完成情况</w:t>
            </w:r>
          </w:p>
        </w:tc>
      </w:tr>
      <w:tr w14:paraId="2559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81AC">
            <w:pPr>
              <w:jc w:val="left"/>
              <w:rPr>
                <w:rFonts w:hint="eastAsia" w:ascii="宋体" w:hAnsi="宋体" w:eastAsia="宋体" w:cs="宋体"/>
                <w:i w:val="0"/>
                <w:iCs w:val="0"/>
                <w:color w:val="000000"/>
                <w:sz w:val="15"/>
                <w:szCs w:val="15"/>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70F2">
            <w:pPr>
              <w:jc w:val="left"/>
              <w:rPr>
                <w:rFonts w:hint="eastAsia" w:ascii="宋体" w:hAnsi="宋体" w:eastAsia="宋体" w:cs="宋体"/>
                <w:i w:val="0"/>
                <w:iCs w:val="0"/>
                <w:color w:val="000000"/>
                <w:sz w:val="15"/>
                <w:szCs w:val="15"/>
                <w:u w:val="none"/>
              </w:rPr>
            </w:pP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46C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推进“建乐合作”纵深推进，坚持“尽力而为、量力而行”，着眼“战略合作、共商共建、共享共赢”，着力“牵线协调、搭建平台”。加强智力支持，推动产业发展，助力乡村振兴，服务社会民生。</w:t>
            </w:r>
          </w:p>
        </w:tc>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6E52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引进项目16个，落地14个，落地率87.5%</w:t>
            </w:r>
          </w:p>
        </w:tc>
      </w:tr>
      <w:tr w14:paraId="3AA1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521DD">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629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83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B28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建乐合作”正式启动以来，在民建中央的大力支持下，在中共四川省委统战部的指导和民建四川省委会的参与下，协议各方聚焦整合优势资源、助推双碳经济、助力乡村振兴、支持组织发展四大重要任务，全面谋划、高位推进，取得了较好成效。</w:t>
            </w:r>
            <w:r>
              <w:rPr>
                <w:rFonts w:hint="eastAsia" w:ascii="宋体" w:hAnsi="宋体" w:eastAsia="宋体" w:cs="宋体"/>
                <w:i w:val="0"/>
                <w:iCs w:val="0"/>
                <w:color w:val="000000"/>
                <w:sz w:val="15"/>
                <w:szCs w:val="15"/>
                <w:u w:val="none"/>
                <w:lang w:val="en" w:eastAsia="zh-CN"/>
              </w:rPr>
              <w:t>一是领导重视高位推动；二是项目建设稳步推进；三是组织基础持续巩固；四是宣传氛围愈发浓厚；五是总结部署及时到位。</w:t>
            </w:r>
          </w:p>
        </w:tc>
      </w:tr>
      <w:tr w14:paraId="4002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090C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990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6C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04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1BBC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59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57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B98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15B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14:paraId="4242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0753">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048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30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415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7527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7.91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B65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52.76%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EE0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754">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5.3</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63493">
            <w:pPr>
              <w:keepNext w:val="0"/>
              <w:keepLines w:val="0"/>
              <w:widowControl/>
              <w:suppressLineNumbers w:val="0"/>
              <w:jc w:val="left"/>
              <w:textAlignment w:val="center"/>
              <w:rPr>
                <w:rFonts w:hint="eastAsia" w:ascii="黑体" w:hAnsi="黑体" w:eastAsia="黑体" w:cs="黑体"/>
                <w:i/>
                <w:iCs/>
                <w:color w:val="000000"/>
                <w:sz w:val="15"/>
                <w:szCs w:val="15"/>
                <w:u w:val="none"/>
              </w:rPr>
            </w:pPr>
            <w:r>
              <w:rPr>
                <w:rFonts w:hint="eastAsia" w:ascii="宋体" w:hAnsi="宋体" w:eastAsia="宋体" w:cs="宋体"/>
                <w:i w:val="0"/>
                <w:iCs w:val="0"/>
                <w:color w:val="000000"/>
                <w:sz w:val="15"/>
                <w:szCs w:val="15"/>
                <w:u w:val="none"/>
                <w:lang w:val="en-US" w:eastAsia="zh-CN"/>
              </w:rPr>
              <w:t>计划举办两次项目推介会，实际执行中，其中一次推介会与中共乐山市委、市政府主办的“川渝知名民营企业乐山行活动暨乐山统一战线第四届合作投资对接大会”一并举办。本着经费节约的原则，提高资金使用效益，在确保顺利完成年初目标的前提下严控经费开支。</w:t>
            </w:r>
          </w:p>
        </w:tc>
      </w:tr>
      <w:tr w14:paraId="3A26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4948">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5F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B5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1E6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15.00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A14B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7.91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7BA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52.76%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A16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B3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64F9">
            <w:pPr>
              <w:jc w:val="left"/>
              <w:rPr>
                <w:rFonts w:hint="eastAsia" w:ascii="黑体" w:hAnsi="黑体" w:eastAsia="黑体" w:cs="黑体"/>
                <w:i/>
                <w:iCs/>
                <w:color w:val="000000"/>
                <w:sz w:val="15"/>
                <w:szCs w:val="15"/>
                <w:u w:val="none"/>
              </w:rPr>
            </w:pPr>
          </w:p>
        </w:tc>
      </w:tr>
      <w:tr w14:paraId="4816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1190">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A1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1F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EA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A16A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2E4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255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B8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14">
            <w:pPr>
              <w:jc w:val="left"/>
              <w:rPr>
                <w:rFonts w:hint="eastAsia" w:ascii="黑体" w:hAnsi="黑体" w:eastAsia="黑体" w:cs="黑体"/>
                <w:i/>
                <w:iCs/>
                <w:color w:val="000000"/>
                <w:sz w:val="15"/>
                <w:szCs w:val="15"/>
                <w:u w:val="none"/>
              </w:rPr>
            </w:pPr>
          </w:p>
        </w:tc>
      </w:tr>
      <w:tr w14:paraId="1CB0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FF06">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C3A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42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F20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FAE8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08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07D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DCE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B0DA">
            <w:pPr>
              <w:jc w:val="left"/>
              <w:rPr>
                <w:rFonts w:hint="eastAsia" w:ascii="黑体" w:hAnsi="黑体" w:eastAsia="黑体" w:cs="黑体"/>
                <w:i/>
                <w:iCs/>
                <w:color w:val="000000"/>
                <w:sz w:val="15"/>
                <w:szCs w:val="15"/>
                <w:u w:val="none"/>
              </w:rPr>
            </w:pPr>
          </w:p>
        </w:tc>
      </w:tr>
      <w:tr w14:paraId="787D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0B19">
            <w:pPr>
              <w:jc w:val="left"/>
              <w:rPr>
                <w:rFonts w:hint="eastAsia" w:ascii="宋体" w:hAnsi="宋体" w:eastAsia="宋体" w:cs="宋体"/>
                <w:i w:val="0"/>
                <w:iCs w:val="0"/>
                <w:color w:val="000000"/>
                <w:sz w:val="15"/>
                <w:szCs w:val="15"/>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1D2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1AB8">
            <w:pPr>
              <w:jc w:val="left"/>
              <w:rPr>
                <w:rFonts w:hint="eastAsia" w:ascii="微软雅黑" w:hAnsi="微软雅黑" w:eastAsia="微软雅黑" w:cs="微软雅黑"/>
                <w:i/>
                <w:iCs/>
                <w:color w:val="000000"/>
                <w:sz w:val="15"/>
                <w:szCs w:val="15"/>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6D66">
            <w:pPr>
              <w:jc w:val="left"/>
              <w:rPr>
                <w:rFonts w:hint="eastAsia" w:ascii="微软雅黑" w:hAnsi="微软雅黑" w:eastAsia="微软雅黑" w:cs="微软雅黑"/>
                <w:i/>
                <w:iCs/>
                <w:color w:val="000000"/>
                <w:sz w:val="15"/>
                <w:szCs w:val="15"/>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7AB5C">
            <w:pPr>
              <w:jc w:val="left"/>
              <w:rPr>
                <w:rFonts w:hint="eastAsia" w:ascii="微软雅黑" w:hAnsi="微软雅黑" w:eastAsia="微软雅黑" w:cs="微软雅黑"/>
                <w:i/>
                <w:iCs/>
                <w:color w:val="000000"/>
                <w:sz w:val="15"/>
                <w:szCs w:val="15"/>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6A9">
            <w:pPr>
              <w:jc w:val="left"/>
              <w:rPr>
                <w:rFonts w:hint="eastAsia" w:ascii="微软雅黑" w:hAnsi="微软雅黑" w:eastAsia="微软雅黑" w:cs="微软雅黑"/>
                <w:i/>
                <w:iCs/>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18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47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3300">
            <w:pPr>
              <w:jc w:val="left"/>
              <w:rPr>
                <w:rFonts w:hint="eastAsia" w:ascii="黑体" w:hAnsi="黑体" w:eastAsia="黑体" w:cs="黑体"/>
                <w:i/>
                <w:iCs/>
                <w:color w:val="000000"/>
                <w:sz w:val="15"/>
                <w:szCs w:val="15"/>
                <w:u w:val="none"/>
              </w:rPr>
            </w:pPr>
          </w:p>
        </w:tc>
      </w:tr>
      <w:tr w14:paraId="7A3A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B7FD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CB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EC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16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128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4E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8D8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14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2B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FE7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16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14:paraId="1B5A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F0AC">
            <w:pPr>
              <w:jc w:val="left"/>
              <w:rPr>
                <w:rFonts w:hint="eastAsia" w:ascii="宋体" w:hAnsi="宋体" w:eastAsia="宋体" w:cs="宋体"/>
                <w:i w:val="0"/>
                <w:iCs w:val="0"/>
                <w:color w:val="000000"/>
                <w:sz w:val="15"/>
                <w:szCs w:val="15"/>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644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466A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730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走访会员企业</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0D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E8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C7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CC1">
            <w:pPr>
              <w:jc w:val="left"/>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E49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9FF5">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E4A5">
            <w:pPr>
              <w:jc w:val="left"/>
              <w:rPr>
                <w:rFonts w:hint="eastAsia" w:ascii="微软雅黑" w:hAnsi="微软雅黑" w:eastAsia="微软雅黑" w:cs="微软雅黑"/>
                <w:i/>
                <w:iCs/>
                <w:color w:val="000000"/>
                <w:sz w:val="15"/>
                <w:szCs w:val="15"/>
                <w:u w:val="none"/>
              </w:rPr>
            </w:pPr>
          </w:p>
        </w:tc>
      </w:tr>
      <w:tr w14:paraId="443D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E11A">
            <w:pPr>
              <w:jc w:val="left"/>
              <w:rPr>
                <w:rFonts w:hint="eastAsia" w:ascii="宋体" w:hAnsi="宋体" w:eastAsia="宋体" w:cs="宋体"/>
                <w:i w:val="0"/>
                <w:iCs w:val="0"/>
                <w:color w:val="000000"/>
                <w:sz w:val="15"/>
                <w:szCs w:val="15"/>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04AE">
            <w:pPr>
              <w:jc w:val="left"/>
              <w:rPr>
                <w:rFonts w:hint="eastAsia" w:ascii="宋体" w:hAnsi="宋体" w:eastAsia="宋体" w:cs="宋体"/>
                <w:i w:val="0"/>
                <w:iCs w:val="0"/>
                <w:color w:val="000000"/>
                <w:sz w:val="15"/>
                <w:szCs w:val="15"/>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523A">
            <w:pPr>
              <w:jc w:val="left"/>
              <w:rPr>
                <w:rFonts w:hint="eastAsia" w:ascii="宋体" w:hAnsi="宋体" w:eastAsia="宋体" w:cs="宋体"/>
                <w:i w:val="0"/>
                <w:iCs w:val="0"/>
                <w:color w:val="000000"/>
                <w:sz w:val="15"/>
                <w:szCs w:val="15"/>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DC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开展调研次数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6F2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B4A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B0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FBA">
            <w:pPr>
              <w:jc w:val="left"/>
              <w:rPr>
                <w:rFonts w:hint="eastAsia"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DE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451">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4E8E">
            <w:pPr>
              <w:jc w:val="left"/>
              <w:rPr>
                <w:rFonts w:hint="eastAsia" w:ascii="微软雅黑" w:hAnsi="微软雅黑" w:eastAsia="微软雅黑" w:cs="微软雅黑"/>
                <w:i/>
                <w:iCs/>
                <w:color w:val="000000"/>
                <w:sz w:val="15"/>
                <w:szCs w:val="15"/>
                <w:u w:val="none"/>
              </w:rPr>
            </w:pPr>
          </w:p>
        </w:tc>
      </w:tr>
      <w:tr w14:paraId="63E2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4EE9">
            <w:pPr>
              <w:jc w:val="left"/>
              <w:rPr>
                <w:rFonts w:hint="eastAsia" w:ascii="宋体" w:hAnsi="宋体" w:eastAsia="宋体" w:cs="宋体"/>
                <w:i w:val="0"/>
                <w:iCs w:val="0"/>
                <w:color w:val="000000"/>
                <w:sz w:val="15"/>
                <w:szCs w:val="15"/>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6CB4">
            <w:pPr>
              <w:jc w:val="left"/>
              <w:rPr>
                <w:rFonts w:hint="eastAsia" w:ascii="宋体" w:hAnsi="宋体" w:eastAsia="宋体" w:cs="宋体"/>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57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86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对接项目落地率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173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B6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46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47F">
            <w:pPr>
              <w:jc w:val="left"/>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87.5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C34">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93A5">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10C">
            <w:pPr>
              <w:jc w:val="left"/>
              <w:rPr>
                <w:rFonts w:hint="eastAsia" w:ascii="微软雅黑" w:hAnsi="微软雅黑" w:eastAsia="微软雅黑" w:cs="微软雅黑"/>
                <w:i/>
                <w:iCs/>
                <w:color w:val="000000"/>
                <w:sz w:val="15"/>
                <w:szCs w:val="15"/>
                <w:u w:val="none"/>
              </w:rPr>
            </w:pPr>
          </w:p>
        </w:tc>
      </w:tr>
      <w:tr w14:paraId="7CE5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CA045">
            <w:pPr>
              <w:jc w:val="left"/>
              <w:rPr>
                <w:rFonts w:hint="eastAsia" w:ascii="宋体" w:hAnsi="宋体" w:eastAsia="宋体" w:cs="宋体"/>
                <w:i w:val="0"/>
                <w:iCs w:val="0"/>
                <w:color w:val="000000"/>
                <w:sz w:val="15"/>
                <w:szCs w:val="15"/>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1EE7">
            <w:pPr>
              <w:jc w:val="left"/>
              <w:rPr>
                <w:rFonts w:hint="eastAsia" w:ascii="宋体" w:hAnsi="宋体" w:eastAsia="宋体" w:cs="宋体"/>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FC2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9436">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w:t>
            </w:r>
            <w:r>
              <w:rPr>
                <w:rFonts w:ascii="宋体" w:hAnsi="宋体" w:eastAsia="宋体" w:cs="宋体"/>
                <w:i w:val="0"/>
                <w:iCs w:val="0"/>
                <w:color w:val="000000"/>
                <w:kern w:val="0"/>
                <w:sz w:val="15"/>
                <w:szCs w:val="15"/>
                <w:u w:val="none"/>
                <w:lang w:val="en-US" w:eastAsia="zh-CN" w:bidi="ar"/>
              </w:rPr>
              <w:t>建乐合作</w:t>
            </w:r>
            <w:r>
              <w:rPr>
                <w:rFonts w:hint="eastAsia" w:ascii="宋体" w:hAnsi="宋体" w:cs="宋体"/>
                <w:i w:val="0"/>
                <w:iCs w:val="0"/>
                <w:color w:val="000000"/>
                <w:kern w:val="0"/>
                <w:sz w:val="15"/>
                <w:szCs w:val="15"/>
                <w:u w:val="none"/>
                <w:lang w:val="en-US" w:eastAsia="zh-CN" w:bidi="ar"/>
              </w:rPr>
              <w:t>”</w:t>
            </w:r>
            <w:r>
              <w:rPr>
                <w:rFonts w:ascii="宋体" w:hAnsi="宋体" w:eastAsia="宋体" w:cs="宋体"/>
                <w:i w:val="0"/>
                <w:iCs w:val="0"/>
                <w:color w:val="000000"/>
                <w:kern w:val="0"/>
                <w:sz w:val="15"/>
                <w:szCs w:val="15"/>
                <w:u w:val="none"/>
                <w:lang w:val="en-US" w:eastAsia="zh-CN" w:bidi="ar"/>
              </w:rPr>
              <w:t>特色基地建设按时完成率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DDB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AA2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5A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0B9">
            <w:pPr>
              <w:jc w:val="left"/>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E6B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072D">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7D7">
            <w:pPr>
              <w:jc w:val="left"/>
              <w:rPr>
                <w:rFonts w:hint="eastAsia" w:ascii="微软雅黑" w:hAnsi="微软雅黑" w:eastAsia="微软雅黑" w:cs="微软雅黑"/>
                <w:i/>
                <w:iCs/>
                <w:color w:val="000000"/>
                <w:sz w:val="15"/>
                <w:szCs w:val="15"/>
                <w:u w:val="none"/>
              </w:rPr>
            </w:pPr>
          </w:p>
        </w:tc>
      </w:tr>
      <w:tr w14:paraId="3A22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C5DC">
            <w:pPr>
              <w:jc w:val="left"/>
              <w:rPr>
                <w:rFonts w:hint="eastAsia" w:ascii="宋体" w:hAnsi="宋体" w:eastAsia="宋体" w:cs="宋体"/>
                <w:i w:val="0"/>
                <w:iCs w:val="0"/>
                <w:color w:val="000000"/>
                <w:sz w:val="15"/>
                <w:szCs w:val="15"/>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CFF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829D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经济效益指标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7F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项目推介次数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87B">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65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4E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次</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884">
            <w:pPr>
              <w:jc w:val="left"/>
              <w:rPr>
                <w:rFonts w:hint="eastAsia"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B3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C4A7">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B3A">
            <w:pPr>
              <w:jc w:val="left"/>
              <w:rPr>
                <w:rFonts w:hint="eastAsia" w:ascii="微软雅黑" w:hAnsi="微软雅黑" w:eastAsia="微软雅黑" w:cs="微软雅黑"/>
                <w:i/>
                <w:iCs/>
                <w:color w:val="000000"/>
                <w:sz w:val="15"/>
                <w:szCs w:val="15"/>
                <w:u w:val="none"/>
              </w:rPr>
            </w:pPr>
          </w:p>
        </w:tc>
      </w:tr>
      <w:tr w14:paraId="5F36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0AB62">
            <w:pPr>
              <w:jc w:val="left"/>
              <w:rPr>
                <w:rFonts w:hint="eastAsia" w:ascii="宋体" w:hAnsi="宋体" w:eastAsia="宋体" w:cs="宋体"/>
                <w:i w:val="0"/>
                <w:iCs w:val="0"/>
                <w:color w:val="000000"/>
                <w:sz w:val="15"/>
                <w:szCs w:val="15"/>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8039">
            <w:pPr>
              <w:jc w:val="left"/>
              <w:rPr>
                <w:rFonts w:hint="eastAsia" w:ascii="宋体" w:hAnsi="宋体" w:eastAsia="宋体" w:cs="宋体"/>
                <w:i w:val="0"/>
                <w:iCs w:val="0"/>
                <w:color w:val="000000"/>
                <w:sz w:val="15"/>
                <w:szCs w:val="15"/>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A644">
            <w:pPr>
              <w:jc w:val="left"/>
              <w:rPr>
                <w:rFonts w:hint="eastAsia" w:ascii="宋体" w:hAnsi="宋体" w:eastAsia="宋体" w:cs="宋体"/>
                <w:i w:val="0"/>
                <w:iCs w:val="0"/>
                <w:color w:val="000000"/>
                <w:sz w:val="15"/>
                <w:szCs w:val="15"/>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31A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引进项目个数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6F5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7CF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616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个</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EFFC">
            <w:pPr>
              <w:jc w:val="left"/>
              <w:rPr>
                <w:rFonts w:hint="default" w:ascii="微软雅黑" w:hAnsi="微软雅黑" w:eastAsia="微软雅黑" w:cs="微软雅黑"/>
                <w:i/>
                <w:iCs/>
                <w:color w:val="000000"/>
                <w:sz w:val="15"/>
                <w:szCs w:val="15"/>
                <w:u w:val="none"/>
                <w:lang w:val="en-US" w:eastAsia="zh-CN"/>
              </w:rPr>
            </w:pPr>
            <w:r>
              <w:rPr>
                <w:rFonts w:hint="eastAsia" w:ascii="微软雅黑" w:hAnsi="微软雅黑" w:eastAsia="微软雅黑" w:cs="微软雅黑"/>
                <w:i/>
                <w:iCs/>
                <w:color w:val="000000"/>
                <w:sz w:val="15"/>
                <w:szCs w:val="15"/>
                <w:u w:val="none"/>
                <w:lang w:val="en-US" w:eastAsia="zh-CN"/>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C77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BF2">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FDEC">
            <w:pPr>
              <w:jc w:val="left"/>
              <w:rPr>
                <w:rFonts w:hint="eastAsia" w:ascii="微软雅黑" w:hAnsi="微软雅黑" w:eastAsia="微软雅黑" w:cs="微软雅黑"/>
                <w:i/>
                <w:iCs/>
                <w:color w:val="000000"/>
                <w:sz w:val="15"/>
                <w:szCs w:val="15"/>
                <w:u w:val="none"/>
              </w:rPr>
            </w:pPr>
          </w:p>
        </w:tc>
      </w:tr>
      <w:tr w14:paraId="3330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1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20D58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6CC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9780">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95.3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D3C1">
            <w:pPr>
              <w:jc w:val="left"/>
              <w:rPr>
                <w:rFonts w:hint="eastAsia" w:ascii="宋体" w:hAnsi="宋体" w:eastAsia="宋体" w:cs="宋体"/>
                <w:i w:val="0"/>
                <w:iCs w:val="0"/>
                <w:color w:val="000000"/>
                <w:sz w:val="15"/>
                <w:szCs w:val="15"/>
                <w:u w:val="none"/>
              </w:rPr>
            </w:pPr>
          </w:p>
        </w:tc>
      </w:tr>
      <w:tr w14:paraId="29B9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9B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95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3FBF5C">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绩效指标90分，预算执行5.3分，合计95.3分。</w:t>
            </w:r>
          </w:p>
        </w:tc>
      </w:tr>
      <w:tr w14:paraId="6EB7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E3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95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FF439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在预算执行上进度偏低。</w:t>
            </w:r>
          </w:p>
        </w:tc>
      </w:tr>
      <w:tr w14:paraId="422B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CE9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95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D5F67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合理安排既定工作，加快预算资金执行进度。</w:t>
            </w:r>
          </w:p>
        </w:tc>
      </w:tr>
    </w:tbl>
    <w:p w14:paraId="55B79EE3">
      <w:pPr>
        <w:pStyle w:val="21"/>
        <w:pageBreakBefore w:val="0"/>
        <w:kinsoku/>
        <w:wordWrap/>
        <w:overflowPunct/>
        <w:topLinePunct w:val="0"/>
        <w:autoSpaceDE/>
        <w:autoSpaceDN/>
        <w:bidi w:val="0"/>
        <w:adjustRightInd/>
        <w:snapToGrid/>
        <w:spacing w:before="0" w:after="0" w:line="578" w:lineRule="exact"/>
        <w:ind w:firstLine="643" w:firstLineChars="200"/>
        <w:jc w:val="center"/>
        <w:rPr>
          <w:rFonts w:hint="default"/>
          <w:highlight w:val="none"/>
          <w:lang w:val="en-US" w:eastAsia="zh-CN"/>
        </w:rPr>
      </w:pPr>
      <w:r>
        <w:rPr>
          <w:rFonts w:hint="eastAsia" w:ascii="Times New Roman" w:hAnsi="Times New Roman" w:eastAsia="仿宋_GB2312" w:cs="Times New Roman"/>
          <w:kern w:val="2"/>
          <w:sz w:val="32"/>
          <w:szCs w:val="32"/>
          <w:highlight w:val="none"/>
          <w:u w:val="none"/>
          <w:lang w:val="en-US" w:eastAsia="zh-CN" w:bidi="ar"/>
        </w:rPr>
        <w:t>部门预算项目支出绩效自评表</w:t>
      </w:r>
      <w:r>
        <w:rPr>
          <w:rFonts w:hint="eastAsia" w:ascii="Times New Roman" w:eastAsia="仿宋_GB2312" w:cs="Times New Roman"/>
          <w:kern w:val="2"/>
          <w:sz w:val="32"/>
          <w:szCs w:val="32"/>
          <w:highlight w:val="none"/>
          <w:u w:val="none"/>
          <w:lang w:val="en-US" w:eastAsia="zh-CN" w:bidi="ar"/>
        </w:rPr>
        <w:t>二</w:t>
      </w:r>
      <w:r>
        <w:rPr>
          <w:rFonts w:hint="eastAsia" w:ascii="Times New Roman" w:hAnsi="Times New Roman" w:eastAsia="仿宋_GB2312" w:cs="Times New Roman"/>
          <w:kern w:val="2"/>
          <w:sz w:val="32"/>
          <w:szCs w:val="32"/>
          <w:highlight w:val="none"/>
          <w:u w:val="none"/>
          <w:lang w:val="en-US" w:eastAsia="zh-CN" w:bidi="ar"/>
        </w:rPr>
        <w:t>（2024年度）</w:t>
      </w:r>
    </w:p>
    <w:p w14:paraId="67CEA55C">
      <w:pPr>
        <w:rPr>
          <w:rFonts w:hint="default"/>
          <w:lang w:val="en-US" w:eastAsia="zh-CN"/>
        </w:rPr>
      </w:pPr>
    </w:p>
    <w:tbl>
      <w:tblPr>
        <w:tblStyle w:val="16"/>
        <w:tblpPr w:leftFromText="180" w:rightFromText="180" w:vertAnchor="text" w:horzAnchor="page" w:tblpX="715" w:tblpY="143"/>
        <w:tblOverlap w:val="never"/>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1462"/>
        <w:gridCol w:w="833"/>
        <w:gridCol w:w="1800"/>
        <w:gridCol w:w="525"/>
        <w:gridCol w:w="585"/>
        <w:gridCol w:w="630"/>
        <w:gridCol w:w="1080"/>
        <w:gridCol w:w="570"/>
        <w:gridCol w:w="585"/>
        <w:gridCol w:w="1575"/>
      </w:tblGrid>
      <w:tr w14:paraId="69E8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6FA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项目名称</w:t>
            </w:r>
          </w:p>
        </w:tc>
        <w:tc>
          <w:tcPr>
            <w:tcW w:w="81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1C7E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51000024T000010981237-省直工委工作经费</w:t>
            </w:r>
          </w:p>
        </w:tc>
      </w:tr>
      <w:tr w14:paraId="572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2E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主管部门</w:t>
            </w: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5E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中国民主建国会四川省委员会部门</w:t>
            </w:r>
          </w:p>
        </w:tc>
        <w:tc>
          <w:tcPr>
            <w:tcW w:w="1080" w:type="dxa"/>
            <w:tcBorders>
              <w:top w:val="nil"/>
              <w:left w:val="nil"/>
              <w:bottom w:val="nil"/>
              <w:right w:val="nil"/>
            </w:tcBorders>
            <w:shd w:val="clear" w:color="auto" w:fill="auto"/>
            <w:vAlign w:val="center"/>
          </w:tcPr>
          <w:p w14:paraId="0302BB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实施单位 （盖章）</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FA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中国民主建国会四川省委员会</w:t>
            </w:r>
          </w:p>
        </w:tc>
      </w:tr>
      <w:tr w14:paraId="2345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21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项目基本情况</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9DC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1.项目年度目标完成情况</w:t>
            </w: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5F7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项目年度目标</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51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年度目标完成情况</w:t>
            </w:r>
          </w:p>
        </w:tc>
      </w:tr>
      <w:tr w14:paraId="369C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5850">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5F46">
            <w:pPr>
              <w:jc w:val="left"/>
              <w:rPr>
                <w:rFonts w:hint="eastAsia" w:asciiTheme="minorEastAsia" w:hAnsiTheme="minorEastAsia" w:eastAsiaTheme="minorEastAsia" w:cstheme="minorEastAsia"/>
                <w:i w:val="0"/>
                <w:iCs w:val="0"/>
                <w:color w:val="000000"/>
                <w:sz w:val="15"/>
                <w:szCs w:val="15"/>
                <w:u w:val="none"/>
              </w:rPr>
            </w:pPr>
          </w:p>
        </w:tc>
        <w:tc>
          <w:tcPr>
            <w:tcW w:w="4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154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sz w:val="15"/>
                <w:szCs w:val="15"/>
                <w:u w:val="none"/>
                <w:lang w:val="en-US" w:eastAsia="zh-CN"/>
              </w:rPr>
              <w:t>按照中国民主建国会章程，省直工委及各支部要开展调查研究，反映社情民意，定期开展组织活动，做好思想政治工作及开展各项会务活动，需相应经费保障。</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4B9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sz w:val="15"/>
                <w:szCs w:val="15"/>
                <w:u w:val="none"/>
              </w:rPr>
              <w:t>2024 年在民建省委会的坚强领导下，</w:t>
            </w:r>
            <w:r>
              <w:rPr>
                <w:rFonts w:hint="eastAsia" w:asciiTheme="minorEastAsia" w:hAnsiTheme="minorEastAsia" w:eastAsiaTheme="minorEastAsia" w:cstheme="minorEastAsia"/>
                <w:i w:val="0"/>
                <w:iCs w:val="0"/>
                <w:color w:val="000000"/>
                <w:sz w:val="15"/>
                <w:szCs w:val="15"/>
                <w:u w:val="none"/>
                <w:lang w:val="en-US" w:eastAsia="zh-CN"/>
              </w:rPr>
              <w:t>省直工委各项工作</w:t>
            </w:r>
            <w:r>
              <w:rPr>
                <w:rFonts w:hint="eastAsia" w:asciiTheme="minorEastAsia" w:hAnsiTheme="minorEastAsia" w:eastAsiaTheme="minorEastAsia" w:cstheme="minorEastAsia"/>
                <w:i w:val="0"/>
                <w:iCs w:val="0"/>
                <w:color w:val="000000"/>
                <w:sz w:val="15"/>
                <w:szCs w:val="15"/>
                <w:u w:val="none"/>
              </w:rPr>
              <w:t>在</w:t>
            </w:r>
            <w:r>
              <w:rPr>
                <w:rFonts w:hint="eastAsia" w:asciiTheme="minorEastAsia" w:hAnsiTheme="minorEastAsia" w:eastAsiaTheme="minorEastAsia" w:cstheme="minorEastAsia"/>
                <w:i w:val="0"/>
                <w:iCs w:val="0"/>
                <w:color w:val="000000"/>
                <w:sz w:val="15"/>
                <w:szCs w:val="15"/>
                <w:u w:val="none"/>
                <w:lang w:val="en-US" w:eastAsia="zh-CN"/>
              </w:rPr>
              <w:t>机关各</w:t>
            </w:r>
            <w:r>
              <w:rPr>
                <w:rFonts w:hint="eastAsia" w:asciiTheme="minorEastAsia" w:hAnsiTheme="minorEastAsia" w:eastAsiaTheme="minorEastAsia" w:cstheme="minorEastAsia"/>
                <w:i w:val="0"/>
                <w:iCs w:val="0"/>
                <w:color w:val="000000"/>
                <w:sz w:val="15"/>
                <w:szCs w:val="15"/>
                <w:u w:val="none"/>
              </w:rPr>
              <w:t>处室同志的悉心指导与帮助下</w:t>
            </w:r>
            <w:r>
              <w:rPr>
                <w:rFonts w:hint="eastAsia" w:asciiTheme="minorEastAsia" w:hAnsiTheme="minorEastAsia" w:eastAsiaTheme="minorEastAsia" w:cstheme="minorEastAsia"/>
                <w:i w:val="0"/>
                <w:iCs w:val="0"/>
                <w:color w:val="000000"/>
                <w:sz w:val="15"/>
                <w:szCs w:val="15"/>
                <w:u w:val="none"/>
                <w:lang w:val="en-US" w:eastAsia="zh-CN"/>
              </w:rPr>
              <w:t>荣获会的自身建设先进单位和组织、宣传、参政议政、社会服务、机关工作先进单位，包揽省委会年度全部先进奖项。</w:t>
            </w:r>
          </w:p>
        </w:tc>
      </w:tr>
      <w:tr w14:paraId="06EA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7DE7">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A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2.项目实施内容及过程概述</w:t>
            </w:r>
          </w:p>
        </w:tc>
        <w:tc>
          <w:tcPr>
            <w:tcW w:w="81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19EE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sz w:val="15"/>
                <w:szCs w:val="15"/>
                <w:u w:val="none"/>
              </w:rPr>
              <w:t>一、显著提升省直工委凝聚力。拍摄“爱永在”MV，充分表达了省直会员的爱国爱党爱会之情，赢得了领导和会员的广泛赞誉。二、扎实开展主题教育。举办各类专题集中学习研讨，班子成员撰写心得体会 20 余篇。开展“主题讲坛</w:t>
            </w:r>
            <w:r>
              <w:rPr>
                <w:rFonts w:hint="eastAsia" w:asciiTheme="minorEastAsia" w:hAnsiTheme="minorEastAsia" w:eastAsiaTheme="minorEastAsia" w:cstheme="minorEastAsia"/>
                <w:i w:val="0"/>
                <w:iCs w:val="0"/>
                <w:color w:val="000000"/>
                <w:sz w:val="15"/>
                <w:szCs w:val="15"/>
                <w:u w:val="none"/>
                <w:lang w:eastAsia="zh-CN"/>
              </w:rPr>
              <w:t>”</w:t>
            </w:r>
            <w:r>
              <w:rPr>
                <w:rFonts w:hint="eastAsia" w:asciiTheme="minorEastAsia" w:hAnsiTheme="minorEastAsia" w:eastAsiaTheme="minorEastAsia" w:cstheme="minorEastAsia"/>
                <w:i w:val="0"/>
                <w:iCs w:val="0"/>
                <w:color w:val="000000"/>
                <w:sz w:val="15"/>
                <w:szCs w:val="15"/>
                <w:u w:val="none"/>
              </w:rPr>
              <w:t>“建华课堂”等各类主题教育学习活动 5场（次），100人次会员参与其中。三、压紧压实反腐倡廉工作。省直工委高度重视会的纪律教育，领导班子成员与所联系基层组织主委谈心交流，分享学习心得体会，充分发挥民建领导干部知纪明纪、遵规守纪的“关键少数” 和示范作用。四、高位谋划组织建设。严格执行 “三个文件”“六个纪要” 要求，实现会员质量与数量同步发展。五、高校支部实现新突破</w:t>
            </w:r>
            <w:r>
              <w:rPr>
                <w:rFonts w:hint="eastAsia" w:asciiTheme="minorEastAsia" w:hAnsiTheme="minorEastAsia" w:eastAsiaTheme="minorEastAsia" w:cstheme="minorEastAsia"/>
                <w:i w:val="0"/>
                <w:iCs w:val="0"/>
                <w:color w:val="000000"/>
                <w:sz w:val="15"/>
                <w:szCs w:val="15"/>
                <w:u w:val="none"/>
                <w:lang w:eastAsia="zh-CN"/>
              </w:rPr>
              <w:t>，成立</w:t>
            </w:r>
            <w:r>
              <w:rPr>
                <w:rFonts w:hint="eastAsia" w:asciiTheme="minorEastAsia" w:hAnsiTheme="minorEastAsia" w:eastAsiaTheme="minorEastAsia" w:cstheme="minorEastAsia"/>
                <w:i w:val="0"/>
                <w:iCs w:val="0"/>
                <w:color w:val="000000"/>
                <w:sz w:val="15"/>
                <w:szCs w:val="15"/>
                <w:u w:val="none"/>
              </w:rPr>
              <w:t>民建四川传媒学院支部。六、成功举办省直工委首届运动会</w:t>
            </w:r>
            <w:r>
              <w:rPr>
                <w:rFonts w:hint="eastAsia" w:asciiTheme="minorEastAsia" w:hAnsiTheme="minorEastAsia" w:eastAsiaTheme="minorEastAsia" w:cstheme="minorEastAsia"/>
                <w:i w:val="0"/>
                <w:iCs w:val="0"/>
                <w:color w:val="000000"/>
                <w:sz w:val="15"/>
                <w:szCs w:val="15"/>
                <w:u w:val="none"/>
                <w:lang w:eastAsia="zh-CN"/>
              </w:rPr>
              <w:t>，</w:t>
            </w:r>
            <w:r>
              <w:rPr>
                <w:rFonts w:hint="eastAsia" w:asciiTheme="minorEastAsia" w:hAnsiTheme="minorEastAsia" w:eastAsiaTheme="minorEastAsia" w:cstheme="minorEastAsia"/>
                <w:i w:val="0"/>
                <w:iCs w:val="0"/>
                <w:color w:val="000000"/>
                <w:sz w:val="15"/>
                <w:szCs w:val="15"/>
                <w:u w:val="none"/>
              </w:rPr>
              <w:t>营造了全民健身的良好氛围，增强了省直各支部之间的凝聚力</w:t>
            </w:r>
            <w:r>
              <w:rPr>
                <w:rFonts w:hint="eastAsia" w:asciiTheme="minorEastAsia" w:hAnsiTheme="minorEastAsia" w:eastAsiaTheme="minorEastAsia" w:cstheme="minorEastAsia"/>
                <w:i w:val="0"/>
                <w:iCs w:val="0"/>
                <w:color w:val="000000"/>
                <w:sz w:val="15"/>
                <w:szCs w:val="15"/>
                <w:u w:val="none"/>
                <w:lang w:eastAsia="zh-CN"/>
              </w:rPr>
              <w:t>。</w:t>
            </w:r>
            <w:r>
              <w:rPr>
                <w:rFonts w:hint="eastAsia" w:asciiTheme="minorEastAsia" w:hAnsiTheme="minorEastAsia" w:eastAsiaTheme="minorEastAsia" w:cstheme="minorEastAsia"/>
                <w:i w:val="0"/>
                <w:iCs w:val="0"/>
                <w:color w:val="000000"/>
                <w:sz w:val="15"/>
                <w:szCs w:val="15"/>
                <w:u w:val="none"/>
              </w:rPr>
              <w:t>七、会员日活动丰富多彩。</w:t>
            </w:r>
            <w:r>
              <w:rPr>
                <w:rFonts w:hint="eastAsia" w:asciiTheme="minorEastAsia" w:hAnsiTheme="minorEastAsia" w:eastAsiaTheme="minorEastAsia" w:cstheme="minorEastAsia"/>
                <w:i w:val="0"/>
                <w:iCs w:val="0"/>
                <w:color w:val="000000"/>
                <w:sz w:val="15"/>
                <w:szCs w:val="15"/>
                <w:u w:val="none"/>
                <w:lang w:val="en-US" w:eastAsia="zh-CN"/>
              </w:rPr>
              <w:t>2024年</w:t>
            </w:r>
            <w:r>
              <w:rPr>
                <w:rFonts w:hint="eastAsia" w:asciiTheme="minorEastAsia" w:hAnsiTheme="minorEastAsia" w:eastAsiaTheme="minorEastAsia" w:cstheme="minorEastAsia"/>
                <w:i w:val="0"/>
                <w:iCs w:val="0"/>
                <w:color w:val="000000"/>
                <w:sz w:val="15"/>
                <w:szCs w:val="15"/>
                <w:u w:val="none"/>
              </w:rPr>
              <w:t>年共举办</w:t>
            </w:r>
            <w:r>
              <w:rPr>
                <w:rFonts w:hint="eastAsia" w:asciiTheme="minorEastAsia" w:hAnsiTheme="minorEastAsia" w:eastAsiaTheme="minorEastAsia" w:cstheme="minorEastAsia"/>
                <w:i w:val="0"/>
                <w:iCs w:val="0"/>
                <w:color w:val="000000"/>
                <w:sz w:val="15"/>
                <w:szCs w:val="15"/>
                <w:u w:val="none"/>
                <w:lang w:val="en-US" w:eastAsia="zh-CN"/>
              </w:rPr>
              <w:t>12</w:t>
            </w:r>
            <w:r>
              <w:rPr>
                <w:rFonts w:hint="eastAsia" w:asciiTheme="minorEastAsia" w:hAnsiTheme="minorEastAsia" w:eastAsiaTheme="minorEastAsia" w:cstheme="minorEastAsia"/>
                <w:i w:val="0"/>
                <w:iCs w:val="0"/>
                <w:color w:val="000000"/>
                <w:sz w:val="15"/>
                <w:szCs w:val="15"/>
                <w:u w:val="none"/>
              </w:rPr>
              <w:t xml:space="preserve"> 期会员日活动，邀请 400 余名会员走进民建省委会机关。</w:t>
            </w:r>
          </w:p>
        </w:tc>
      </w:tr>
      <w:tr w14:paraId="6FC8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41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预算执行情况（10分）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年度预算数（万元）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E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年初预算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F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调整后预算数</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8BD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AA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9F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BE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得分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E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原因</w:t>
            </w:r>
          </w:p>
        </w:tc>
      </w:tr>
      <w:tr w14:paraId="769F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DACA5">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BB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总额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5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ED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20.00</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173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D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81.86%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5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6F6">
            <w:pPr>
              <w:jc w:val="left"/>
              <w:rPr>
                <w:rFonts w:hint="eastAsia" w:asciiTheme="minorEastAsia" w:hAnsiTheme="minorEastAsia" w:eastAsiaTheme="minorEastAsia" w:cstheme="minorEastAsia"/>
                <w:i w:val="0"/>
                <w:iCs w:val="0"/>
                <w:color w:val="000000"/>
                <w:sz w:val="15"/>
                <w:szCs w:val="15"/>
                <w:u w:val="none"/>
                <w:lang w:val="en-US" w:eastAsia="zh-CN"/>
              </w:rPr>
            </w:pPr>
            <w:r>
              <w:rPr>
                <w:rFonts w:hint="eastAsia" w:asciiTheme="minorEastAsia" w:hAnsiTheme="minorEastAsia" w:eastAsiaTheme="minorEastAsia" w:cstheme="minorEastAsia"/>
                <w:i w:val="0"/>
                <w:iCs w:val="0"/>
                <w:color w:val="000000"/>
                <w:sz w:val="15"/>
                <w:szCs w:val="15"/>
                <w:u w:val="none"/>
                <w:lang w:val="en-US" w:eastAsia="zh-CN"/>
              </w:rPr>
              <w:t>8.2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BC1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iCs/>
                <w:color w:val="000000"/>
                <w:sz w:val="15"/>
                <w:szCs w:val="15"/>
                <w:u w:val="none"/>
                <w:lang w:eastAsia="zh-CN"/>
              </w:rPr>
            </w:pPr>
            <w:r>
              <w:rPr>
                <w:rFonts w:hint="eastAsia" w:asciiTheme="minorEastAsia" w:hAnsiTheme="minorEastAsia" w:eastAsiaTheme="minorEastAsia" w:cstheme="minorEastAsia"/>
                <w:i w:val="0"/>
                <w:iCs w:val="0"/>
                <w:color w:val="000000"/>
                <w:sz w:val="15"/>
                <w:szCs w:val="15"/>
                <w:u w:val="none"/>
                <w:lang w:eastAsia="zh-CN"/>
              </w:rPr>
              <w:t>本着节约的原则，在预算执行过程中，在确保完成既定目标的前提下严控各项经费支出。</w:t>
            </w:r>
          </w:p>
        </w:tc>
      </w:tr>
      <w:tr w14:paraId="5E90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EF7B">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C6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其中：财政资金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5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20.00</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12F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C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81.86%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4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EA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9757">
            <w:pPr>
              <w:jc w:val="left"/>
              <w:rPr>
                <w:rFonts w:hint="eastAsia" w:asciiTheme="minorEastAsia" w:hAnsiTheme="minorEastAsia" w:eastAsiaTheme="minorEastAsia" w:cstheme="minorEastAsia"/>
                <w:i/>
                <w:iCs/>
                <w:color w:val="000000"/>
                <w:sz w:val="15"/>
                <w:szCs w:val="15"/>
                <w:u w:val="none"/>
              </w:rPr>
            </w:pPr>
          </w:p>
        </w:tc>
      </w:tr>
      <w:tr w14:paraId="68E0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212C">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5B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财政专户管理资金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DD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1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CBF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4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B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6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6ED0">
            <w:pPr>
              <w:jc w:val="left"/>
              <w:rPr>
                <w:rFonts w:hint="eastAsia" w:asciiTheme="minorEastAsia" w:hAnsiTheme="minorEastAsia" w:eastAsiaTheme="minorEastAsia" w:cstheme="minorEastAsia"/>
                <w:i/>
                <w:iCs/>
                <w:color w:val="000000"/>
                <w:sz w:val="15"/>
                <w:szCs w:val="15"/>
                <w:u w:val="none"/>
              </w:rPr>
            </w:pPr>
          </w:p>
        </w:tc>
      </w:tr>
      <w:tr w14:paraId="7B92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6A3FE">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单位资金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F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F4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AC0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69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66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D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DE29">
            <w:pPr>
              <w:jc w:val="left"/>
              <w:rPr>
                <w:rFonts w:hint="eastAsia" w:asciiTheme="minorEastAsia" w:hAnsiTheme="minorEastAsia" w:eastAsiaTheme="minorEastAsia" w:cstheme="minorEastAsia"/>
                <w:i/>
                <w:iCs/>
                <w:color w:val="000000"/>
                <w:sz w:val="15"/>
                <w:szCs w:val="15"/>
                <w:u w:val="none"/>
              </w:rPr>
            </w:pPr>
          </w:p>
        </w:tc>
      </w:tr>
      <w:tr w14:paraId="61DC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367C">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其他资金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E158">
            <w:pPr>
              <w:jc w:val="left"/>
              <w:rPr>
                <w:rFonts w:hint="eastAsia" w:asciiTheme="minorEastAsia" w:hAnsiTheme="minorEastAsia" w:eastAsiaTheme="minorEastAsia" w:cstheme="minorEastAsia"/>
                <w:i/>
                <w:iCs/>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69E">
            <w:pPr>
              <w:jc w:val="left"/>
              <w:rPr>
                <w:rFonts w:hint="eastAsia" w:asciiTheme="minorEastAsia" w:hAnsiTheme="minorEastAsia" w:eastAsiaTheme="minorEastAsia" w:cstheme="minorEastAsia"/>
                <w:i/>
                <w:iCs/>
                <w:color w:val="000000"/>
                <w:sz w:val="15"/>
                <w:szCs w:val="15"/>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AF863">
            <w:pPr>
              <w:jc w:val="left"/>
              <w:rPr>
                <w:rFonts w:hint="eastAsia" w:asciiTheme="minorEastAsia" w:hAnsiTheme="minorEastAsia" w:eastAsiaTheme="minorEastAsia" w:cstheme="minorEastAsia"/>
                <w:i/>
                <w:iCs/>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049">
            <w:pPr>
              <w:jc w:val="left"/>
              <w:rPr>
                <w:rFonts w:hint="eastAsia" w:asciiTheme="minorEastAsia" w:hAnsiTheme="minorEastAsia" w:eastAsiaTheme="minorEastAsia" w:cstheme="minorEastAsia"/>
                <w:i/>
                <w:iCs/>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4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CB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6220">
            <w:pPr>
              <w:jc w:val="left"/>
              <w:rPr>
                <w:rFonts w:hint="eastAsia" w:asciiTheme="minorEastAsia" w:hAnsiTheme="minorEastAsia" w:eastAsiaTheme="minorEastAsia" w:cstheme="minorEastAsia"/>
                <w:i/>
                <w:iCs/>
                <w:color w:val="000000"/>
                <w:sz w:val="15"/>
                <w:szCs w:val="15"/>
                <w:u w:val="none"/>
              </w:rPr>
            </w:pPr>
          </w:p>
        </w:tc>
      </w:tr>
      <w:tr w14:paraId="5BCE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DF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绩效指标（90分）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10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一级指标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B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11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E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指标性质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7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E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B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A4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得分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C3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未完成原因分析</w:t>
            </w:r>
          </w:p>
        </w:tc>
      </w:tr>
      <w:tr w14:paraId="22D4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C0AE">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A5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产出指标</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60C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4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组织开展学习、考察等系列活动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2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0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F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7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D11A">
            <w:pPr>
              <w:jc w:val="left"/>
              <w:rPr>
                <w:rFonts w:hint="eastAsia" w:asciiTheme="minorEastAsia" w:hAnsiTheme="minorEastAsia" w:eastAsiaTheme="minorEastAsia" w:cstheme="minorEastAsia"/>
                <w:i w:val="0"/>
                <w:iCs w:val="0"/>
                <w:color w:val="000000"/>
                <w:sz w:val="15"/>
                <w:szCs w:val="15"/>
                <w:u w:val="none"/>
                <w:lang w:val="en-US" w:eastAsia="zh-CN"/>
              </w:rPr>
            </w:pPr>
            <w:r>
              <w:rPr>
                <w:rFonts w:hint="eastAsia" w:asciiTheme="minorEastAsia" w:hAnsiTheme="minorEastAsia" w:eastAsiaTheme="minorEastAsia" w:cstheme="minorEastAsia"/>
                <w:i w:val="0"/>
                <w:iCs w:val="0"/>
                <w:color w:val="000000"/>
                <w:sz w:val="15"/>
                <w:szCs w:val="15"/>
                <w:u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788">
            <w:pPr>
              <w:jc w:val="left"/>
              <w:rPr>
                <w:rFonts w:hint="eastAsia" w:asciiTheme="minorEastAsia" w:hAnsiTheme="minorEastAsia" w:eastAsiaTheme="minorEastAsia" w:cstheme="minorEastAsia"/>
                <w:i/>
                <w:iCs/>
                <w:color w:val="000000"/>
                <w:sz w:val="15"/>
                <w:szCs w:val="15"/>
                <w:u w:val="none"/>
              </w:rPr>
            </w:pPr>
          </w:p>
        </w:tc>
      </w:tr>
      <w:tr w14:paraId="2332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7BE1">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BA5F">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650C">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支持各支部开展主题活动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9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8F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F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B7F9">
            <w:pPr>
              <w:jc w:val="left"/>
              <w:rPr>
                <w:rFonts w:hint="eastAsia" w:asciiTheme="minorEastAsia" w:hAnsiTheme="minorEastAsia" w:eastAsiaTheme="minorEastAsia" w:cstheme="minorEastAsia"/>
                <w:i w:val="0"/>
                <w:iCs w:val="0"/>
                <w:color w:val="000000"/>
                <w:sz w:val="15"/>
                <w:szCs w:val="15"/>
                <w:u w:val="none"/>
                <w:lang w:val="en-US" w:eastAsia="zh-CN"/>
              </w:rPr>
            </w:pPr>
            <w:r>
              <w:rPr>
                <w:rFonts w:hint="eastAsia" w:asciiTheme="minorEastAsia" w:hAnsiTheme="minorEastAsia" w:eastAsiaTheme="minorEastAsia" w:cstheme="minorEastAsia"/>
                <w:i w:val="0"/>
                <w:iCs w:val="0"/>
                <w:color w:val="000000"/>
                <w:sz w:val="15"/>
                <w:szCs w:val="15"/>
                <w:u w:val="none"/>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07D9">
            <w:pPr>
              <w:jc w:val="left"/>
              <w:rPr>
                <w:rFonts w:hint="eastAsia" w:asciiTheme="minorEastAsia" w:hAnsiTheme="minorEastAsia" w:eastAsiaTheme="minorEastAsia" w:cstheme="minorEastAsia"/>
                <w:i/>
                <w:iCs/>
                <w:color w:val="000000"/>
                <w:sz w:val="15"/>
                <w:szCs w:val="15"/>
                <w:u w:val="none"/>
              </w:rPr>
            </w:pPr>
          </w:p>
        </w:tc>
      </w:tr>
      <w:tr w14:paraId="5F7B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84AE">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B023">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31D7">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DB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编印《川省直工委民讯》期刊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5E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7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3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B369">
            <w:pPr>
              <w:jc w:val="left"/>
              <w:rPr>
                <w:rFonts w:hint="eastAsia" w:asciiTheme="minorEastAsia" w:hAnsiTheme="minorEastAsia" w:eastAsiaTheme="minorEastAsia" w:cstheme="minorEastAsia"/>
                <w:i/>
                <w:iCs/>
                <w:color w:val="000000"/>
                <w:sz w:val="15"/>
                <w:szCs w:val="15"/>
                <w:u w:val="none"/>
              </w:rPr>
            </w:pPr>
          </w:p>
        </w:tc>
      </w:tr>
      <w:tr w14:paraId="22A2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3CBE">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0493">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04C4">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7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“民建会员之家”打造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38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4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7A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63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3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A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233">
            <w:pPr>
              <w:jc w:val="left"/>
              <w:rPr>
                <w:rFonts w:hint="eastAsia" w:asciiTheme="minorEastAsia" w:hAnsiTheme="minorEastAsia" w:eastAsiaTheme="minorEastAsia" w:cstheme="minorEastAsia"/>
                <w:i/>
                <w:iCs/>
                <w:color w:val="000000"/>
                <w:sz w:val="15"/>
                <w:szCs w:val="15"/>
                <w:u w:val="none"/>
              </w:rPr>
            </w:pPr>
          </w:p>
        </w:tc>
      </w:tr>
      <w:tr w14:paraId="6CF5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1919">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9344">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1014">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4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开展新中国成立75周年专题活动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8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B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D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6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F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FED">
            <w:pPr>
              <w:jc w:val="left"/>
              <w:rPr>
                <w:rFonts w:hint="eastAsia" w:asciiTheme="minorEastAsia" w:hAnsiTheme="minorEastAsia" w:eastAsiaTheme="minorEastAsia" w:cstheme="minorEastAsia"/>
                <w:i/>
                <w:iCs/>
                <w:color w:val="000000"/>
                <w:sz w:val="15"/>
                <w:szCs w:val="15"/>
                <w:u w:val="none"/>
              </w:rPr>
            </w:pPr>
          </w:p>
        </w:tc>
      </w:tr>
      <w:tr w14:paraId="1CBB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0D3E">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A15A">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BFBA5">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开展重点调研活动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CE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4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0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14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B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43D6">
            <w:pPr>
              <w:jc w:val="left"/>
              <w:rPr>
                <w:rFonts w:hint="eastAsia" w:asciiTheme="minorEastAsia" w:hAnsiTheme="minorEastAsia" w:eastAsiaTheme="minorEastAsia" w:cstheme="minorEastAsia"/>
                <w:i/>
                <w:iCs/>
                <w:color w:val="000000"/>
                <w:sz w:val="15"/>
                <w:szCs w:val="15"/>
                <w:u w:val="none"/>
              </w:rPr>
            </w:pPr>
          </w:p>
        </w:tc>
      </w:tr>
      <w:tr w14:paraId="769C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1B25">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BF48">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6175">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A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开展会员日活动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1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4E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47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98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1AE">
            <w:pPr>
              <w:jc w:val="left"/>
              <w:rPr>
                <w:rFonts w:hint="eastAsia" w:asciiTheme="minorEastAsia" w:hAnsiTheme="minorEastAsia" w:eastAsiaTheme="minorEastAsia" w:cstheme="minorEastAsia"/>
                <w:i/>
                <w:iCs/>
                <w:color w:val="000000"/>
                <w:sz w:val="15"/>
                <w:szCs w:val="15"/>
                <w:u w:val="none"/>
              </w:rPr>
            </w:pPr>
          </w:p>
        </w:tc>
      </w:tr>
      <w:tr w14:paraId="64DE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8B068">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77BB">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909D">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D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召开省直工委全会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D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E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4EF">
            <w:pPr>
              <w:jc w:val="left"/>
              <w:rPr>
                <w:rFonts w:hint="eastAsia" w:asciiTheme="minorEastAsia" w:hAnsiTheme="minorEastAsia" w:eastAsiaTheme="minorEastAsia" w:cstheme="minorEastAsia"/>
                <w:i/>
                <w:iCs/>
                <w:color w:val="000000"/>
                <w:sz w:val="15"/>
                <w:szCs w:val="15"/>
                <w:u w:val="none"/>
              </w:rPr>
            </w:pPr>
          </w:p>
        </w:tc>
      </w:tr>
      <w:tr w14:paraId="6545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9D4A">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1F00">
            <w:pPr>
              <w:jc w:val="left"/>
              <w:rPr>
                <w:rFonts w:hint="eastAsia" w:asciiTheme="minorEastAsia" w:hAnsiTheme="minorEastAsia" w:eastAsiaTheme="minorEastAsia" w:cstheme="minorEastAsia"/>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A6C2">
            <w:pPr>
              <w:jc w:val="left"/>
              <w:rPr>
                <w:rFonts w:hint="eastAsia" w:asciiTheme="minorEastAsia" w:hAnsiTheme="minorEastAsia" w:eastAsiaTheme="minorEastAsia" w:cstheme="minorEastAsia"/>
                <w:i w:val="0"/>
                <w:iCs w:val="0"/>
                <w:color w:val="000000"/>
                <w:sz w:val="15"/>
                <w:szCs w:val="15"/>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B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新会员培训班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4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9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6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01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A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8544">
            <w:pPr>
              <w:jc w:val="left"/>
              <w:rPr>
                <w:rFonts w:hint="eastAsia" w:asciiTheme="minorEastAsia" w:hAnsiTheme="minorEastAsia" w:eastAsiaTheme="minorEastAsia" w:cstheme="minorEastAsia"/>
                <w:i/>
                <w:iCs/>
                <w:color w:val="000000"/>
                <w:sz w:val="15"/>
                <w:szCs w:val="15"/>
                <w:u w:val="none"/>
              </w:rPr>
            </w:pPr>
          </w:p>
        </w:tc>
      </w:tr>
      <w:tr w14:paraId="20C8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0723A">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4CB2">
            <w:pPr>
              <w:jc w:val="left"/>
              <w:rPr>
                <w:rFonts w:hint="eastAsia" w:asciiTheme="minorEastAsia" w:hAnsiTheme="minorEastAsia" w:eastAsiaTheme="minorEastAsia" w:cstheme="minorEastAsia"/>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7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上级采用（报道）数量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1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72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0C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B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E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370">
            <w:pPr>
              <w:jc w:val="left"/>
              <w:rPr>
                <w:rFonts w:hint="eastAsia" w:asciiTheme="minorEastAsia" w:hAnsiTheme="minorEastAsia" w:eastAsiaTheme="minorEastAsia" w:cstheme="minorEastAsia"/>
                <w:i/>
                <w:iCs/>
                <w:color w:val="000000"/>
                <w:sz w:val="15"/>
                <w:szCs w:val="15"/>
                <w:u w:val="none"/>
              </w:rPr>
            </w:pPr>
          </w:p>
        </w:tc>
      </w:tr>
      <w:tr w14:paraId="76B4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F503">
            <w:pPr>
              <w:jc w:val="left"/>
              <w:rPr>
                <w:rFonts w:hint="eastAsia" w:asciiTheme="minorEastAsia" w:hAnsiTheme="minorEastAsia" w:eastAsiaTheme="minorEastAsia" w:cstheme="minorEastAsia"/>
                <w:i w:val="0"/>
                <w:iCs w:val="0"/>
                <w:color w:val="000000"/>
                <w:sz w:val="15"/>
                <w:szCs w:val="15"/>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3087">
            <w:pPr>
              <w:jc w:val="left"/>
              <w:rPr>
                <w:rFonts w:hint="eastAsia" w:asciiTheme="minorEastAsia" w:hAnsiTheme="minorEastAsia" w:eastAsiaTheme="minorEastAsia" w:cstheme="minorEastAsia"/>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1C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主题活动方案的执行率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48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88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0F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D6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1C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0D97">
            <w:pPr>
              <w:jc w:val="left"/>
              <w:rPr>
                <w:rFonts w:hint="eastAsia" w:asciiTheme="minorEastAsia" w:hAnsiTheme="minorEastAsia" w:eastAsiaTheme="minorEastAsia" w:cstheme="minorEastAsia"/>
                <w:i/>
                <w:iCs/>
                <w:color w:val="000000"/>
                <w:sz w:val="15"/>
                <w:szCs w:val="15"/>
                <w:u w:val="none"/>
              </w:rPr>
            </w:pPr>
          </w:p>
        </w:tc>
      </w:tr>
      <w:tr w14:paraId="1F21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E865">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效益指标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C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6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工作宣传报道数量增长率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1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D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0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8C57">
            <w:pPr>
              <w:jc w:val="left"/>
              <w:rPr>
                <w:rFonts w:hint="eastAsia" w:asciiTheme="minorEastAsia" w:hAnsiTheme="minorEastAsia" w:eastAsiaTheme="minorEastAsia" w:cstheme="minorEastAsia"/>
                <w:i/>
                <w:iCs/>
                <w:color w:val="000000"/>
                <w:sz w:val="15"/>
                <w:szCs w:val="15"/>
                <w:u w:val="none"/>
              </w:rPr>
            </w:pPr>
          </w:p>
        </w:tc>
      </w:tr>
      <w:tr w14:paraId="7C5D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718C">
            <w:pPr>
              <w:jc w:val="left"/>
              <w:rPr>
                <w:rFonts w:hint="eastAsia" w:asciiTheme="minorEastAsia" w:hAnsiTheme="minorEastAsia" w:eastAsiaTheme="minorEastAsia" w:cstheme="minorEastAsia"/>
                <w:i w:val="0"/>
                <w:iCs w:val="0"/>
                <w:color w:val="000000"/>
                <w:sz w:val="15"/>
                <w:szCs w:val="15"/>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7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满意度指标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FB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会员对活动的满意度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7C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39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75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AB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DF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AC52">
            <w:pPr>
              <w:jc w:val="left"/>
              <w:rPr>
                <w:rFonts w:hint="eastAsia" w:asciiTheme="minorEastAsia" w:hAnsiTheme="minorEastAsia" w:eastAsiaTheme="minorEastAsia" w:cstheme="minorEastAsia"/>
                <w:i/>
                <w:iCs/>
                <w:color w:val="000000"/>
                <w:sz w:val="15"/>
                <w:szCs w:val="15"/>
                <w:u w:val="none"/>
              </w:rPr>
            </w:pPr>
          </w:p>
        </w:tc>
      </w:tr>
      <w:tr w14:paraId="0519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DEB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9C6C">
            <w:pPr>
              <w:jc w:val="left"/>
              <w:rPr>
                <w:rFonts w:hint="eastAsia" w:asciiTheme="minorEastAsia" w:hAnsiTheme="minorEastAsia" w:eastAsiaTheme="minorEastAsia" w:cstheme="minorEastAsia"/>
                <w:i w:val="0"/>
                <w:iCs w:val="0"/>
                <w:color w:val="000000"/>
                <w:sz w:val="15"/>
                <w:szCs w:val="15"/>
                <w:u w:val="none"/>
                <w:lang w:val="en-US" w:eastAsia="zh-CN"/>
              </w:rPr>
            </w:pPr>
            <w:r>
              <w:rPr>
                <w:rFonts w:hint="eastAsia" w:asciiTheme="minorEastAsia" w:hAnsiTheme="minorEastAsia" w:eastAsiaTheme="minorEastAsia" w:cstheme="minorEastAsia"/>
                <w:i w:val="0"/>
                <w:iCs w:val="0"/>
                <w:color w:val="000000"/>
                <w:sz w:val="15"/>
                <w:szCs w:val="15"/>
                <w:u w:val="none"/>
                <w:lang w:val="en-US" w:eastAsia="zh-CN"/>
              </w:rPr>
              <w:t>98.2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931">
            <w:pPr>
              <w:jc w:val="left"/>
              <w:rPr>
                <w:rFonts w:hint="eastAsia" w:asciiTheme="minorEastAsia" w:hAnsiTheme="minorEastAsia" w:eastAsiaTheme="minorEastAsia" w:cstheme="minorEastAsia"/>
                <w:i w:val="0"/>
                <w:iCs w:val="0"/>
                <w:color w:val="000000"/>
                <w:sz w:val="15"/>
                <w:szCs w:val="15"/>
                <w:u w:val="none"/>
              </w:rPr>
            </w:pPr>
          </w:p>
        </w:tc>
      </w:tr>
      <w:tr w14:paraId="3266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78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评价结论</w:t>
            </w:r>
          </w:p>
        </w:tc>
        <w:tc>
          <w:tcPr>
            <w:tcW w:w="96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CBB5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绩效指标90分，预算执行8.2分，合计98.2分。</w:t>
            </w:r>
          </w:p>
        </w:tc>
      </w:tr>
      <w:tr w14:paraId="5224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C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存在问题</w:t>
            </w:r>
          </w:p>
        </w:tc>
        <w:tc>
          <w:tcPr>
            <w:tcW w:w="96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DB1F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在预算执行上进度偏低。</w:t>
            </w:r>
          </w:p>
        </w:tc>
      </w:tr>
      <w:tr w14:paraId="4C94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78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改进措施</w:t>
            </w:r>
          </w:p>
        </w:tc>
        <w:tc>
          <w:tcPr>
            <w:tcW w:w="96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DB7A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合理安排既定工作，加快预算资金执行进度。</w:t>
            </w:r>
          </w:p>
        </w:tc>
      </w:tr>
    </w:tbl>
    <w:p w14:paraId="76D33E30">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7636A26E">
      <w:pPr>
        <w:pStyle w:val="5"/>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40B7C59B">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529BCAE2">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14:paraId="77B2C24A">
      <w:pPr>
        <w:keepNext w:val="0"/>
        <w:keepLines w:val="0"/>
        <w:pageBreakBefore w:val="0"/>
        <w:widowControl w:val="0"/>
        <w:kinsoku/>
        <w:wordWrap/>
        <w:overflowPunct/>
        <w:topLinePunct w:val="0"/>
        <w:autoSpaceDE/>
        <w:autoSpaceDN/>
        <w:bidi w:val="0"/>
        <w:spacing w:line="578" w:lineRule="exact"/>
        <w:jc w:val="lef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62C779C3">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本部门无专项资金预算项目。</w:t>
      </w:r>
      <w:bookmarkStart w:id="53"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ED18D81">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51"/>
      <w:bookmarkEnd w:id="53"/>
      <w:bookmarkStart w:id="54" w:name="_Toc15396619"/>
    </w:p>
    <w:p w14:paraId="51A9165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24CBA9E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23E2BA7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4AB8381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7D343AB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1E25963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29C3818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4E79C77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27E5F39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48EE65C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52605B4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14:paraId="3BDD17A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87A88D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14:paraId="6C6C93D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14:paraId="77A35183">
      <w:pPr>
        <w:rPr>
          <w:rFonts w:hint="eastAsia" w:ascii="Times New Roman" w:hAnsi="Times New Roman"/>
          <w:highlight w:val="none"/>
          <w:lang w:eastAsia="zh-CN"/>
        </w:rPr>
      </w:pPr>
    </w:p>
    <w:p w14:paraId="43B3FDA8">
      <w:pPr>
        <w:rPr>
          <w:rFonts w:hint="eastAsia" w:ascii="Times New Roman" w:hAnsi="Times New Roman"/>
          <w:highlight w:val="none"/>
          <w:lang w:eastAsia="zh-CN"/>
        </w:rPr>
      </w:pPr>
    </w:p>
    <w:p w14:paraId="6401FE56">
      <w:pPr>
        <w:rPr>
          <w:rFonts w:hint="eastAsia" w:ascii="Times New Roman" w:hAnsi="Times New Roman"/>
          <w:highlight w:val="none"/>
          <w:lang w:eastAsia="zh-CN"/>
        </w:rPr>
      </w:pPr>
    </w:p>
    <w:p w14:paraId="65973A61">
      <w:pPr>
        <w:rPr>
          <w:rFonts w:hint="eastAsia" w:ascii="Times New Roman" w:hAnsi="Times New Roman"/>
          <w:highlight w:val="none"/>
          <w:lang w:eastAsia="zh-CN"/>
        </w:rPr>
      </w:pPr>
    </w:p>
    <w:p w14:paraId="14E1616C">
      <w:pPr>
        <w:rPr>
          <w:rFonts w:hint="eastAsia" w:ascii="Times New Roman" w:hAnsi="Times New Roman"/>
          <w:highlight w:val="none"/>
          <w:lang w:eastAsia="zh-CN"/>
        </w:rPr>
      </w:pPr>
    </w:p>
    <w:p w14:paraId="374FE559">
      <w:pPr>
        <w:rPr>
          <w:rFonts w:hint="eastAsia" w:ascii="Times New Roman" w:hAnsi="Times New Roman"/>
          <w:highlight w:val="none"/>
          <w:lang w:eastAsia="zh-CN"/>
        </w:rPr>
      </w:pPr>
    </w:p>
    <w:p w14:paraId="2079752D">
      <w:pPr>
        <w:rPr>
          <w:rFonts w:hint="eastAsia" w:ascii="Times New Roman" w:hAnsi="Times New Roman"/>
          <w:highlight w:val="none"/>
          <w:lang w:eastAsia="zh-CN"/>
        </w:rPr>
      </w:pPr>
    </w:p>
    <w:p w14:paraId="71B9AFCF">
      <w:pPr>
        <w:rPr>
          <w:rFonts w:hint="eastAsia" w:ascii="Times New Roman" w:hAnsi="Times New Roman"/>
          <w:highlight w:val="none"/>
          <w:lang w:eastAsia="zh-CN"/>
        </w:rPr>
      </w:pPr>
    </w:p>
    <w:p w14:paraId="274E2B5B">
      <w:pPr>
        <w:rPr>
          <w:rFonts w:hint="eastAsia" w:ascii="Times New Roman" w:hAnsi="Times New Roman"/>
          <w:highlight w:val="none"/>
          <w:lang w:eastAsia="zh-CN"/>
        </w:rPr>
      </w:pPr>
    </w:p>
    <w:p w14:paraId="414E819D">
      <w:pPr>
        <w:rPr>
          <w:rFonts w:hint="eastAsia" w:ascii="Times New Roman" w:hAnsi="Times New Roman"/>
          <w:highlight w:val="none"/>
          <w:lang w:eastAsia="zh-CN"/>
        </w:rPr>
      </w:pPr>
    </w:p>
    <w:p w14:paraId="1922368E">
      <w:pPr>
        <w:rPr>
          <w:rFonts w:hint="eastAsia" w:ascii="Times New Roman" w:hAnsi="Times New Roman"/>
          <w:highlight w:val="none"/>
          <w:lang w:eastAsia="zh-CN"/>
        </w:rPr>
      </w:pPr>
    </w:p>
    <w:p w14:paraId="483D894A">
      <w:pPr>
        <w:rPr>
          <w:rFonts w:hint="eastAsia" w:ascii="Times New Roman" w:hAnsi="Times New Roman"/>
          <w:highlight w:val="none"/>
          <w:lang w:eastAsia="zh-CN"/>
        </w:rPr>
      </w:pPr>
    </w:p>
    <w:p w14:paraId="70F5048B">
      <w:pPr>
        <w:rPr>
          <w:rFonts w:hint="eastAsia" w:ascii="Times New Roman" w:hAnsi="Times New Roman"/>
          <w:highlight w:val="none"/>
          <w:lang w:eastAsia="zh-CN"/>
        </w:rPr>
      </w:pPr>
    </w:p>
    <w:p w14:paraId="3DC2CCA3">
      <w:pPr>
        <w:rPr>
          <w:rFonts w:hint="eastAsia" w:ascii="Times New Roman" w:hAnsi="Times New Roman"/>
          <w:highlight w:val="none"/>
          <w:lang w:eastAsia="zh-CN"/>
        </w:rPr>
      </w:pPr>
    </w:p>
    <w:p w14:paraId="0FABE2D0">
      <w:pPr>
        <w:rPr>
          <w:rFonts w:hint="eastAsia" w:ascii="Times New Roman" w:hAnsi="Times New Roman"/>
          <w:highlight w:val="none"/>
          <w:lang w:eastAsia="zh-CN"/>
        </w:rPr>
      </w:pPr>
    </w:p>
    <w:sectPr>
      <w:footerReference r:id="rId11" w:type="first"/>
      <w:footerReference r:id="rId10"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5D49">
    <w:pPr>
      <w:pStyle w:val="10"/>
      <w:jc w:val="center"/>
    </w:pPr>
  </w:p>
  <w:p w14:paraId="26FF2FF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976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2E533">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F2E533">
                    <w:pPr>
                      <w:pStyle w:val="10"/>
                    </w:pPr>
                  </w:p>
                </w:txbxContent>
              </v:textbox>
            </v:shape>
          </w:pict>
        </mc:Fallback>
      </mc:AlternateContent>
    </w:r>
  </w:p>
  <w:p w14:paraId="6CDA921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8A4F">
    <w:pPr>
      <w:pStyle w:val="10"/>
      <w:jc w:val="center"/>
    </w:pPr>
  </w:p>
  <w:p w14:paraId="6A9AF79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4B25">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5160E">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D5160E">
                    <w:pPr>
                      <w:pStyle w:val="10"/>
                    </w:pPr>
                  </w:p>
                </w:txbxContent>
              </v:textbox>
            </v:shape>
          </w:pict>
        </mc:Fallback>
      </mc:AlternateContent>
    </w:r>
  </w:p>
  <w:p w14:paraId="3A049432">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300C">
    <w:pPr>
      <w:pStyle w:val="10"/>
      <w:jc w:val="center"/>
    </w:pPr>
  </w:p>
  <w:p w14:paraId="75BDDDE8">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37DB">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FC6C">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07FC6C">
                    <w:pPr>
                      <w:pStyle w:val="10"/>
                    </w:pPr>
                  </w:p>
                </w:txbxContent>
              </v:textbox>
            </v:shape>
          </w:pict>
        </mc:Fallback>
      </mc:AlternateContent>
    </w:r>
  </w:p>
  <w:p w14:paraId="283C0AFE">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6561">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955E0E">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43955E0E">
                    <w:pPr>
                      <w:pStyle w:val="10"/>
                    </w:pPr>
                    <w:r>
                      <w:fldChar w:fldCharType="begin"/>
                    </w:r>
                    <w:r>
                      <w:instrText xml:space="preserve"> PAGE  \* MERGEFORMAT </w:instrText>
                    </w:r>
                    <w:r>
                      <w:fldChar w:fldCharType="separate"/>
                    </w:r>
                    <w:r>
                      <w:t>32</w:t>
                    </w:r>
                    <w:r>
                      <w:fldChar w:fldCharType="end"/>
                    </w:r>
                  </w:p>
                </w:txbxContent>
              </v:textbox>
            </v:shape>
          </w:pict>
        </mc:Fallback>
      </mc:AlternateContent>
    </w:r>
  </w:p>
  <w:p w14:paraId="7D76701E">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4797">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A34A3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03A34A3A">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E4940">
                          <w:pPr>
                            <w:pStyle w:val="10"/>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EE4940">
                    <w:pPr>
                      <w:pStyle w:val="10"/>
                      <w:rPr>
                        <w:rFonts w:hint="eastAsia" w:eastAsia="宋体"/>
                        <w:lang w:val="en-US" w:eastAsia="zh-CN"/>
                      </w:rPr>
                    </w:pPr>
                    <w:r>
                      <w:rPr>
                        <w:rFonts w:hint="eastAsia"/>
                        <w:lang w:val="en-US" w:eastAsia="zh-CN"/>
                      </w:rPr>
                      <w:t>1</w:t>
                    </w:r>
                  </w:p>
                </w:txbxContent>
              </v:textbox>
            </v:shape>
          </w:pict>
        </mc:Fallback>
      </mc:AlternateContent>
    </w:r>
  </w:p>
  <w:p w14:paraId="3789003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1D1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39716"/>
    <w:multiLevelType w:val="singleLevel"/>
    <w:tmpl w:val="86E39716"/>
    <w:lvl w:ilvl="0" w:tentative="0">
      <w:start w:val="2"/>
      <w:numFmt w:val="chineseCounting"/>
      <w:suff w:val="nothing"/>
      <w:lvlText w:val="（%1）"/>
      <w:lvlJc w:val="left"/>
      <w:rPr>
        <w:rFonts w:hint="eastAsia"/>
      </w:rPr>
    </w:lvl>
  </w:abstractNum>
  <w:abstractNum w:abstractNumId="1">
    <w:nsid w:val="D0BB2B09"/>
    <w:multiLevelType w:val="singleLevel"/>
    <w:tmpl w:val="D0BB2B09"/>
    <w:lvl w:ilvl="0" w:tentative="0">
      <w:start w:val="2"/>
      <w:numFmt w:val="chineseCounting"/>
      <w:suff w:val="nothing"/>
      <w:lvlText w:val="（%1）"/>
      <w:lvlJc w:val="left"/>
      <w:rPr>
        <w:rFonts w:hint="eastAsia"/>
      </w:rPr>
    </w:lvl>
  </w:abstractNum>
  <w:abstractNum w:abstractNumId="2">
    <w:nsid w:val="FD5EF36F"/>
    <w:multiLevelType w:val="singleLevel"/>
    <w:tmpl w:val="FD5EF36F"/>
    <w:lvl w:ilvl="0" w:tentative="0">
      <w:start w:val="2"/>
      <w:numFmt w:val="chineseCounting"/>
      <w:suff w:val="nothing"/>
      <w:lvlText w:val="（%1）"/>
      <w:lvlJc w:val="left"/>
      <w:rPr>
        <w:rFonts w:hint="eastAsia"/>
      </w:rPr>
    </w:lvl>
  </w:abstractNum>
  <w:abstractNum w:abstractNumId="3">
    <w:nsid w:val="6D529C52"/>
    <w:multiLevelType w:val="singleLevel"/>
    <w:tmpl w:val="6D529C52"/>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5D66"/>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62F5"/>
    <w:rsid w:val="00FD3CC1"/>
    <w:rsid w:val="00FF1E02"/>
    <w:rsid w:val="00FF30B4"/>
    <w:rsid w:val="014A2DD9"/>
    <w:rsid w:val="015975B8"/>
    <w:rsid w:val="02253F83"/>
    <w:rsid w:val="027C5214"/>
    <w:rsid w:val="02FEBE30"/>
    <w:rsid w:val="035D0859"/>
    <w:rsid w:val="036363D4"/>
    <w:rsid w:val="03B7227C"/>
    <w:rsid w:val="03C76963"/>
    <w:rsid w:val="03F37758"/>
    <w:rsid w:val="042A6EF2"/>
    <w:rsid w:val="0477594A"/>
    <w:rsid w:val="04910D1F"/>
    <w:rsid w:val="04932CE9"/>
    <w:rsid w:val="04FA4B16"/>
    <w:rsid w:val="0575419C"/>
    <w:rsid w:val="05A23FE4"/>
    <w:rsid w:val="05EC26B0"/>
    <w:rsid w:val="061E35DE"/>
    <w:rsid w:val="066E0107"/>
    <w:rsid w:val="068428E9"/>
    <w:rsid w:val="07126147"/>
    <w:rsid w:val="071747CF"/>
    <w:rsid w:val="0722584D"/>
    <w:rsid w:val="07996F6E"/>
    <w:rsid w:val="07DFD8BA"/>
    <w:rsid w:val="07F27D26"/>
    <w:rsid w:val="08393BA7"/>
    <w:rsid w:val="08C96CD9"/>
    <w:rsid w:val="09867E8F"/>
    <w:rsid w:val="099077F7"/>
    <w:rsid w:val="0A2032A3"/>
    <w:rsid w:val="0A3B7763"/>
    <w:rsid w:val="0B965F7F"/>
    <w:rsid w:val="0C8E2713"/>
    <w:rsid w:val="0CA8290A"/>
    <w:rsid w:val="0CEC568C"/>
    <w:rsid w:val="0D35B1ED"/>
    <w:rsid w:val="0D501777"/>
    <w:rsid w:val="0DDA1988"/>
    <w:rsid w:val="0ECF491D"/>
    <w:rsid w:val="0ED40186"/>
    <w:rsid w:val="0F276507"/>
    <w:rsid w:val="0F823BB2"/>
    <w:rsid w:val="0F98263C"/>
    <w:rsid w:val="0FCD5301"/>
    <w:rsid w:val="101860EC"/>
    <w:rsid w:val="10594DE6"/>
    <w:rsid w:val="10645539"/>
    <w:rsid w:val="1097590F"/>
    <w:rsid w:val="10C055FF"/>
    <w:rsid w:val="11072A94"/>
    <w:rsid w:val="111F7AA8"/>
    <w:rsid w:val="11772AA4"/>
    <w:rsid w:val="118107EC"/>
    <w:rsid w:val="11BF6ECB"/>
    <w:rsid w:val="11FE3E97"/>
    <w:rsid w:val="126E269F"/>
    <w:rsid w:val="12B66520"/>
    <w:rsid w:val="13D50BC4"/>
    <w:rsid w:val="13D604FC"/>
    <w:rsid w:val="13FA068E"/>
    <w:rsid w:val="149D101A"/>
    <w:rsid w:val="15080B89"/>
    <w:rsid w:val="156E0057"/>
    <w:rsid w:val="15710194"/>
    <w:rsid w:val="15A46B04"/>
    <w:rsid w:val="15A5462A"/>
    <w:rsid w:val="16351E52"/>
    <w:rsid w:val="165E0673"/>
    <w:rsid w:val="16BB723D"/>
    <w:rsid w:val="16E82A20"/>
    <w:rsid w:val="17D47448"/>
    <w:rsid w:val="17FB49D5"/>
    <w:rsid w:val="186504BB"/>
    <w:rsid w:val="186E51A7"/>
    <w:rsid w:val="19A445FC"/>
    <w:rsid w:val="1A734CF7"/>
    <w:rsid w:val="1A75281D"/>
    <w:rsid w:val="1A9FE8C6"/>
    <w:rsid w:val="1AC92B69"/>
    <w:rsid w:val="1B6D1746"/>
    <w:rsid w:val="1BE8440E"/>
    <w:rsid w:val="1D091942"/>
    <w:rsid w:val="1D155CEE"/>
    <w:rsid w:val="1D3A1AFC"/>
    <w:rsid w:val="1D61352C"/>
    <w:rsid w:val="1D70376F"/>
    <w:rsid w:val="1DA84CB7"/>
    <w:rsid w:val="1E740ACF"/>
    <w:rsid w:val="1EB61656"/>
    <w:rsid w:val="1ECE699F"/>
    <w:rsid w:val="1F52137F"/>
    <w:rsid w:val="1FF35744"/>
    <w:rsid w:val="1FF6BC77"/>
    <w:rsid w:val="209E05F3"/>
    <w:rsid w:val="2184124F"/>
    <w:rsid w:val="21C85928"/>
    <w:rsid w:val="22D402FC"/>
    <w:rsid w:val="22DD18A7"/>
    <w:rsid w:val="22F34C27"/>
    <w:rsid w:val="23860B96"/>
    <w:rsid w:val="23C44815"/>
    <w:rsid w:val="23DE7685"/>
    <w:rsid w:val="240371BF"/>
    <w:rsid w:val="25177A63"/>
    <w:rsid w:val="255045B2"/>
    <w:rsid w:val="260F557C"/>
    <w:rsid w:val="26B741BD"/>
    <w:rsid w:val="26C07516"/>
    <w:rsid w:val="26C863CA"/>
    <w:rsid w:val="27135897"/>
    <w:rsid w:val="272F01F7"/>
    <w:rsid w:val="281408E2"/>
    <w:rsid w:val="28212236"/>
    <w:rsid w:val="2879797C"/>
    <w:rsid w:val="291366C1"/>
    <w:rsid w:val="29891E41"/>
    <w:rsid w:val="29FD04D3"/>
    <w:rsid w:val="2A225DF1"/>
    <w:rsid w:val="2A3D0E7D"/>
    <w:rsid w:val="2A64640A"/>
    <w:rsid w:val="2AA53905"/>
    <w:rsid w:val="2B667F60"/>
    <w:rsid w:val="2B9D7E25"/>
    <w:rsid w:val="2BFF7BC6"/>
    <w:rsid w:val="2C8A61B5"/>
    <w:rsid w:val="2C8B4122"/>
    <w:rsid w:val="2C90798A"/>
    <w:rsid w:val="2D6B0B0E"/>
    <w:rsid w:val="2DDB69E3"/>
    <w:rsid w:val="2DF04E50"/>
    <w:rsid w:val="2E0E4EC1"/>
    <w:rsid w:val="2E505623"/>
    <w:rsid w:val="2E5C5D76"/>
    <w:rsid w:val="2EA15273"/>
    <w:rsid w:val="2EA15E7F"/>
    <w:rsid w:val="2ED27DE6"/>
    <w:rsid w:val="2F040D46"/>
    <w:rsid w:val="2F3F175D"/>
    <w:rsid w:val="2F4800A8"/>
    <w:rsid w:val="2FAE5751"/>
    <w:rsid w:val="2FB1A395"/>
    <w:rsid w:val="2FCD4A51"/>
    <w:rsid w:val="2FD9A7D8"/>
    <w:rsid w:val="2FDBF714"/>
    <w:rsid w:val="2FF67B04"/>
    <w:rsid w:val="31376626"/>
    <w:rsid w:val="319F7F4E"/>
    <w:rsid w:val="322841C1"/>
    <w:rsid w:val="32472899"/>
    <w:rsid w:val="32BD1EF1"/>
    <w:rsid w:val="32C71C2C"/>
    <w:rsid w:val="3304709D"/>
    <w:rsid w:val="330C763F"/>
    <w:rsid w:val="336B0809"/>
    <w:rsid w:val="33F04051"/>
    <w:rsid w:val="34533777"/>
    <w:rsid w:val="349D6851"/>
    <w:rsid w:val="349F69BC"/>
    <w:rsid w:val="351D3D85"/>
    <w:rsid w:val="355D23D3"/>
    <w:rsid w:val="357A2F85"/>
    <w:rsid w:val="35FB2318"/>
    <w:rsid w:val="365B6913"/>
    <w:rsid w:val="36AA5135"/>
    <w:rsid w:val="36BE0DA7"/>
    <w:rsid w:val="374101FF"/>
    <w:rsid w:val="376B6AA6"/>
    <w:rsid w:val="376D39B2"/>
    <w:rsid w:val="37BD0825"/>
    <w:rsid w:val="37DE3D29"/>
    <w:rsid w:val="37E16F03"/>
    <w:rsid w:val="37F53A3B"/>
    <w:rsid w:val="383C2774"/>
    <w:rsid w:val="3881462B"/>
    <w:rsid w:val="389B6C89"/>
    <w:rsid w:val="38D469F0"/>
    <w:rsid w:val="39627CCD"/>
    <w:rsid w:val="397BAF1F"/>
    <w:rsid w:val="399860D0"/>
    <w:rsid w:val="3A231E3E"/>
    <w:rsid w:val="3A296D28"/>
    <w:rsid w:val="3AB79AF3"/>
    <w:rsid w:val="3AC802EF"/>
    <w:rsid w:val="3AF13CEA"/>
    <w:rsid w:val="3B497682"/>
    <w:rsid w:val="3B6B6959"/>
    <w:rsid w:val="3B7EF35A"/>
    <w:rsid w:val="3B9FDB6C"/>
    <w:rsid w:val="3BA82A38"/>
    <w:rsid w:val="3BF5BC2F"/>
    <w:rsid w:val="3C4F6F1A"/>
    <w:rsid w:val="3CEBA265"/>
    <w:rsid w:val="3CEF4259"/>
    <w:rsid w:val="3CF63839"/>
    <w:rsid w:val="3D98207C"/>
    <w:rsid w:val="3D9D1752"/>
    <w:rsid w:val="3DEE7CF3"/>
    <w:rsid w:val="3DF00289"/>
    <w:rsid w:val="3E78745D"/>
    <w:rsid w:val="3E9B4698"/>
    <w:rsid w:val="3EA177D5"/>
    <w:rsid w:val="3EDC080D"/>
    <w:rsid w:val="3F55381A"/>
    <w:rsid w:val="3F566811"/>
    <w:rsid w:val="3F7F7599"/>
    <w:rsid w:val="3FF4CAE0"/>
    <w:rsid w:val="3FF7B227"/>
    <w:rsid w:val="409D5D7A"/>
    <w:rsid w:val="40B21825"/>
    <w:rsid w:val="41A53138"/>
    <w:rsid w:val="41B24CC0"/>
    <w:rsid w:val="42CB4E20"/>
    <w:rsid w:val="432F53AF"/>
    <w:rsid w:val="4374370A"/>
    <w:rsid w:val="44AB315B"/>
    <w:rsid w:val="44E268DA"/>
    <w:rsid w:val="45BE2A1A"/>
    <w:rsid w:val="46492C2C"/>
    <w:rsid w:val="47A619B8"/>
    <w:rsid w:val="480A0199"/>
    <w:rsid w:val="486A6C7A"/>
    <w:rsid w:val="48DA7B6B"/>
    <w:rsid w:val="48DC5BB6"/>
    <w:rsid w:val="48E409EA"/>
    <w:rsid w:val="4910085F"/>
    <w:rsid w:val="49817868"/>
    <w:rsid w:val="498875C7"/>
    <w:rsid w:val="498E6BA8"/>
    <w:rsid w:val="49DB0BE4"/>
    <w:rsid w:val="4A627F82"/>
    <w:rsid w:val="4A9401EE"/>
    <w:rsid w:val="4AC408E4"/>
    <w:rsid w:val="4B0E749A"/>
    <w:rsid w:val="4B4F25DA"/>
    <w:rsid w:val="4B7A5635"/>
    <w:rsid w:val="4BE068DB"/>
    <w:rsid w:val="4C115F9A"/>
    <w:rsid w:val="4C404189"/>
    <w:rsid w:val="4D0C49B3"/>
    <w:rsid w:val="4D577224"/>
    <w:rsid w:val="4DBF1CEB"/>
    <w:rsid w:val="4EAB630A"/>
    <w:rsid w:val="4EC866B8"/>
    <w:rsid w:val="4ECE2238"/>
    <w:rsid w:val="4F0F2539"/>
    <w:rsid w:val="4F1D6A04"/>
    <w:rsid w:val="4F833267"/>
    <w:rsid w:val="4FD33566"/>
    <w:rsid w:val="4FE9BD67"/>
    <w:rsid w:val="4FFB052F"/>
    <w:rsid w:val="501E2A33"/>
    <w:rsid w:val="50C730CB"/>
    <w:rsid w:val="51E97071"/>
    <w:rsid w:val="52021EE1"/>
    <w:rsid w:val="523E1829"/>
    <w:rsid w:val="5252496E"/>
    <w:rsid w:val="52903990"/>
    <w:rsid w:val="52A675A0"/>
    <w:rsid w:val="537E6D0A"/>
    <w:rsid w:val="53D61877"/>
    <w:rsid w:val="53F74C96"/>
    <w:rsid w:val="544B7B6F"/>
    <w:rsid w:val="55986DE4"/>
    <w:rsid w:val="56E47B74"/>
    <w:rsid w:val="56FA587C"/>
    <w:rsid w:val="570B1838"/>
    <w:rsid w:val="57BD3DD4"/>
    <w:rsid w:val="57CF0AB7"/>
    <w:rsid w:val="584D65AC"/>
    <w:rsid w:val="58586CFE"/>
    <w:rsid w:val="5875165E"/>
    <w:rsid w:val="58B33F35"/>
    <w:rsid w:val="58BD4DB3"/>
    <w:rsid w:val="59172716"/>
    <w:rsid w:val="59653481"/>
    <w:rsid w:val="5A56726E"/>
    <w:rsid w:val="5A751DEA"/>
    <w:rsid w:val="5A9A1850"/>
    <w:rsid w:val="5AF92295"/>
    <w:rsid w:val="5B1038C0"/>
    <w:rsid w:val="5B200485"/>
    <w:rsid w:val="5B2D7FCE"/>
    <w:rsid w:val="5B6854AA"/>
    <w:rsid w:val="5B6B6353"/>
    <w:rsid w:val="5B9B762E"/>
    <w:rsid w:val="5BDD79E6"/>
    <w:rsid w:val="5BF561CA"/>
    <w:rsid w:val="5BFF5DFC"/>
    <w:rsid w:val="5C294C3A"/>
    <w:rsid w:val="5C6519EA"/>
    <w:rsid w:val="5CD71FC4"/>
    <w:rsid w:val="5CF51716"/>
    <w:rsid w:val="5D1F11B5"/>
    <w:rsid w:val="5D8A2EEE"/>
    <w:rsid w:val="5DAE1B18"/>
    <w:rsid w:val="5DC6470A"/>
    <w:rsid w:val="5DE11544"/>
    <w:rsid w:val="5DE7D9E5"/>
    <w:rsid w:val="5E7B72A3"/>
    <w:rsid w:val="5ECEC941"/>
    <w:rsid w:val="5F555D46"/>
    <w:rsid w:val="5FBF9FF3"/>
    <w:rsid w:val="5FCD4E2C"/>
    <w:rsid w:val="5FEF394A"/>
    <w:rsid w:val="5FF67715"/>
    <w:rsid w:val="6005603A"/>
    <w:rsid w:val="603D5158"/>
    <w:rsid w:val="60B371C8"/>
    <w:rsid w:val="612B4FB0"/>
    <w:rsid w:val="61E82EA1"/>
    <w:rsid w:val="62BF3928"/>
    <w:rsid w:val="62C21944"/>
    <w:rsid w:val="634560D1"/>
    <w:rsid w:val="63640C4D"/>
    <w:rsid w:val="63B70D7D"/>
    <w:rsid w:val="63BC2837"/>
    <w:rsid w:val="63D062E3"/>
    <w:rsid w:val="63DD630A"/>
    <w:rsid w:val="63F7561D"/>
    <w:rsid w:val="643B7C00"/>
    <w:rsid w:val="647F5392"/>
    <w:rsid w:val="64A50A0F"/>
    <w:rsid w:val="64CD45D0"/>
    <w:rsid w:val="653D3504"/>
    <w:rsid w:val="657D1B52"/>
    <w:rsid w:val="664B1D71"/>
    <w:rsid w:val="669E7FD2"/>
    <w:rsid w:val="66C537B1"/>
    <w:rsid w:val="676905E0"/>
    <w:rsid w:val="677D22DE"/>
    <w:rsid w:val="67AA3209"/>
    <w:rsid w:val="67B37AAD"/>
    <w:rsid w:val="67E45EB9"/>
    <w:rsid w:val="682B1D3A"/>
    <w:rsid w:val="68356714"/>
    <w:rsid w:val="689F5DD7"/>
    <w:rsid w:val="68BC6E36"/>
    <w:rsid w:val="690305C1"/>
    <w:rsid w:val="691B3B5C"/>
    <w:rsid w:val="69270753"/>
    <w:rsid w:val="69382960"/>
    <w:rsid w:val="69777577"/>
    <w:rsid w:val="698D0931"/>
    <w:rsid w:val="699851AD"/>
    <w:rsid w:val="69B63885"/>
    <w:rsid w:val="6A116D0D"/>
    <w:rsid w:val="6A576E16"/>
    <w:rsid w:val="6A7FE5F3"/>
    <w:rsid w:val="6AD77F57"/>
    <w:rsid w:val="6AF705F9"/>
    <w:rsid w:val="6B053271"/>
    <w:rsid w:val="6B105217"/>
    <w:rsid w:val="6B7632CC"/>
    <w:rsid w:val="6C4A05C8"/>
    <w:rsid w:val="6C8742B8"/>
    <w:rsid w:val="6CA43E69"/>
    <w:rsid w:val="6CBE317C"/>
    <w:rsid w:val="6DAA3701"/>
    <w:rsid w:val="6DBF5E93"/>
    <w:rsid w:val="6DFF077E"/>
    <w:rsid w:val="6E1B63AC"/>
    <w:rsid w:val="6E7C509D"/>
    <w:rsid w:val="6E7E3605"/>
    <w:rsid w:val="6E7FDCC7"/>
    <w:rsid w:val="6ED6A62E"/>
    <w:rsid w:val="6EE00B15"/>
    <w:rsid w:val="6F060E0B"/>
    <w:rsid w:val="6F2179F2"/>
    <w:rsid w:val="6F361B5C"/>
    <w:rsid w:val="6F6A1399"/>
    <w:rsid w:val="6F6FB3EB"/>
    <w:rsid w:val="6F8731EA"/>
    <w:rsid w:val="6FCE6052"/>
    <w:rsid w:val="6FD57C00"/>
    <w:rsid w:val="6FDB4045"/>
    <w:rsid w:val="6FEFFFD8"/>
    <w:rsid w:val="6FF5CC65"/>
    <w:rsid w:val="6FFB47EC"/>
    <w:rsid w:val="6FFF034A"/>
    <w:rsid w:val="70A408DB"/>
    <w:rsid w:val="70D80585"/>
    <w:rsid w:val="70DF084C"/>
    <w:rsid w:val="710B6BAC"/>
    <w:rsid w:val="71191CD8"/>
    <w:rsid w:val="712A28F1"/>
    <w:rsid w:val="71416D5B"/>
    <w:rsid w:val="715C0E4B"/>
    <w:rsid w:val="719018DC"/>
    <w:rsid w:val="71CC38FD"/>
    <w:rsid w:val="72233669"/>
    <w:rsid w:val="72734D90"/>
    <w:rsid w:val="7295497F"/>
    <w:rsid w:val="729A01E8"/>
    <w:rsid w:val="7332FE48"/>
    <w:rsid w:val="73491C0D"/>
    <w:rsid w:val="73AB61DA"/>
    <w:rsid w:val="73AD73D5"/>
    <w:rsid w:val="73B6EB34"/>
    <w:rsid w:val="73FA497D"/>
    <w:rsid w:val="73FB4CB6"/>
    <w:rsid w:val="74147B26"/>
    <w:rsid w:val="744731E5"/>
    <w:rsid w:val="74BBD01D"/>
    <w:rsid w:val="74ED5379"/>
    <w:rsid w:val="74EE2806"/>
    <w:rsid w:val="74F040EF"/>
    <w:rsid w:val="75DEEEC2"/>
    <w:rsid w:val="762322A2"/>
    <w:rsid w:val="76E3355F"/>
    <w:rsid w:val="76FF5125"/>
    <w:rsid w:val="776F6FFA"/>
    <w:rsid w:val="778769C8"/>
    <w:rsid w:val="77DC22F5"/>
    <w:rsid w:val="78414C61"/>
    <w:rsid w:val="786848E4"/>
    <w:rsid w:val="78AF606F"/>
    <w:rsid w:val="79086DAD"/>
    <w:rsid w:val="791F1447"/>
    <w:rsid w:val="79450781"/>
    <w:rsid w:val="79A47B9E"/>
    <w:rsid w:val="79C478F8"/>
    <w:rsid w:val="79CB6ED9"/>
    <w:rsid w:val="79D7FD79"/>
    <w:rsid w:val="79EE5BA4"/>
    <w:rsid w:val="7A0D0392"/>
    <w:rsid w:val="7A6510DB"/>
    <w:rsid w:val="7A894339"/>
    <w:rsid w:val="7AAC4F5C"/>
    <w:rsid w:val="7AD284E8"/>
    <w:rsid w:val="7AFF7572"/>
    <w:rsid w:val="7B000E04"/>
    <w:rsid w:val="7B6C7DFB"/>
    <w:rsid w:val="7BA01443"/>
    <w:rsid w:val="7BBFBED0"/>
    <w:rsid w:val="7BC3E394"/>
    <w:rsid w:val="7C1F3737"/>
    <w:rsid w:val="7CBFC87B"/>
    <w:rsid w:val="7CE77ABA"/>
    <w:rsid w:val="7CED7166"/>
    <w:rsid w:val="7CFE0F48"/>
    <w:rsid w:val="7D7EC23E"/>
    <w:rsid w:val="7E6E2528"/>
    <w:rsid w:val="7E8ADEBF"/>
    <w:rsid w:val="7EEF11D3"/>
    <w:rsid w:val="7EFE4840"/>
    <w:rsid w:val="7F0971A6"/>
    <w:rsid w:val="7F364DF4"/>
    <w:rsid w:val="7F3F679B"/>
    <w:rsid w:val="7F4A606E"/>
    <w:rsid w:val="7F4FC4EF"/>
    <w:rsid w:val="7F54171E"/>
    <w:rsid w:val="7F5E4D54"/>
    <w:rsid w:val="7F637BB3"/>
    <w:rsid w:val="7F6E0135"/>
    <w:rsid w:val="7F6F0306"/>
    <w:rsid w:val="7F79F205"/>
    <w:rsid w:val="7F7E49ED"/>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7DAB09"/>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2"/>
    <w:qFormat/>
    <w:uiPriority w:val="9"/>
    <w:rPr>
      <w:rFonts w:ascii="Times New Roman" w:hAnsi="Times New Roman"/>
      <w:b/>
      <w:bCs/>
      <w:kern w:val="44"/>
      <w:sz w:val="44"/>
      <w:szCs w:val="44"/>
    </w:rPr>
  </w:style>
  <w:style w:type="character" w:customStyle="1" w:styleId="31">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4"/>
    <w:qFormat/>
    <w:uiPriority w:val="9"/>
    <w:rPr>
      <w:rFonts w:ascii="Times New Roman" w:hAnsi="Times New Roman"/>
      <w:b/>
      <w:bCs/>
      <w:kern w:val="2"/>
      <w:sz w:val="32"/>
      <w:szCs w:val="32"/>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000" b="0">
                <a:solidFill>
                  <a:schemeClr val="tx1">
                    <a:lumMod val="75000"/>
                    <a:lumOff val="25000"/>
                  </a:schemeClr>
                </a:solidFill>
                <a:uFillTx/>
              </a:rPr>
              <a:t>单位：万元</a:t>
            </a:r>
            <a:endParaRPr sz="1000" b="0">
              <a:solidFill>
                <a:schemeClr val="tx1">
                  <a:lumMod val="75000"/>
                  <a:lumOff val="25000"/>
                </a:schemeClr>
              </a:solidFill>
              <a:uFillTx/>
            </a:endParaRPr>
          </a:p>
        </c:rich>
      </c:tx>
      <c:layout>
        <c:manualLayout>
          <c:xMode val="edge"/>
          <c:yMode val="edge"/>
          <c:x val="0.854554240154627"/>
          <c:y val="0.0342116447088823"/>
        </c:manualLayout>
      </c:layout>
      <c:overlay val="0"/>
      <c:spPr>
        <a:noFill/>
        <a:ln>
          <a:noFill/>
        </a:ln>
        <a:effectLst/>
      </c:spPr>
    </c:title>
    <c:autoTitleDeleted val="0"/>
    <c:plotArea>
      <c:layout>
        <c:manualLayout>
          <c:layoutTarget val="inner"/>
          <c:xMode val="edge"/>
          <c:yMode val="edge"/>
          <c:x val="0.0778690504952887"/>
          <c:y val="0.141521461963451"/>
          <c:w val="0.89736651365064"/>
          <c:h val="0.715044623884403"/>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1152.90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1152.9</c:v>
                </c:pt>
              </c:numCache>
            </c:numRef>
          </c:val>
        </c:ser>
        <c:ser>
          <c:idx val="1"/>
          <c:order val="1"/>
          <c:tx>
            <c:strRef>
              <c:f>Sheet1!$C$1</c:f>
              <c:strCache>
                <c:ptCount val="1"/>
                <c:pt idx="0">
                  <c:v>2024年</c:v>
                </c:pt>
              </c:strCache>
            </c:strRef>
          </c:tx>
          <c:spPr>
            <a:solidFill>
              <a:schemeClr val="accent6"/>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1214.33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1214.33</c:v>
                </c:pt>
              </c:numCache>
            </c:numRef>
          </c:val>
        </c:ser>
        <c:dLbls>
          <c:showLegendKey val="0"/>
          <c:showVal val="0"/>
          <c:showCatName val="0"/>
          <c:showSerName val="0"/>
          <c:showPercent val="0"/>
          <c:showBubbleSize val="0"/>
        </c:dLbls>
        <c:gapWidth val="246"/>
        <c:overlap val="-28"/>
        <c:axId val="247994349"/>
        <c:axId val="803206640"/>
      </c:barChart>
      <c:catAx>
        <c:axId val="24799434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206640"/>
        <c:crosses val="autoZero"/>
        <c:auto val="1"/>
        <c:lblAlgn val="ctr"/>
        <c:lblOffset val="100"/>
        <c:noMultiLvlLbl val="0"/>
      </c:catAx>
      <c:valAx>
        <c:axId val="803206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79943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be11ae-e383-4ed3-ad36-e38f15acc2a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2035d3-e3b5-4679-b296-87c7efdd586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58659683371"/>
          <c:y val="0.138797846626355"/>
          <c:w val="0.450422568741816"/>
          <c:h val="0.76228847703465"/>
        </c:manualLayout>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515991513749428"/>
                  <c:y val="-0.18077364073074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84.46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384317088011085"/>
                  <c:y val="0.1247335937392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14.54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84.46</c:v>
                </c:pt>
                <c:pt idx="1">
                  <c:v>14.54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78996556812592"/>
          <c:y val="0.00800865800865801"/>
          <c:w val="0.266724053123463"/>
          <c:h val="0.1038961038961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d348a2-f4f6-4a16-b244-656c132ecb7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000" b="0">
                <a:solidFill>
                  <a:schemeClr val="tx1">
                    <a:lumMod val="75000"/>
                    <a:lumOff val="25000"/>
                  </a:schemeClr>
                </a:solidFill>
                <a:uFillTx/>
              </a:rPr>
              <a:t>单位：万元</a:t>
            </a:r>
            <a:endParaRPr sz="1000" b="0">
              <a:solidFill>
                <a:schemeClr val="tx1">
                  <a:lumMod val="75000"/>
                  <a:lumOff val="25000"/>
                </a:schemeClr>
              </a:solidFill>
              <a:uFillTx/>
            </a:endParaRPr>
          </a:p>
        </c:rich>
      </c:tx>
      <c:layout>
        <c:manualLayout>
          <c:xMode val="edge"/>
          <c:yMode val="edge"/>
          <c:x val="0.854554240154627"/>
          <c:y val="0.0342116447088823"/>
        </c:manualLayout>
      </c:layout>
      <c:overlay val="0"/>
      <c:spPr>
        <a:noFill/>
        <a:ln>
          <a:noFill/>
        </a:ln>
        <a:effectLst/>
      </c:spPr>
    </c:title>
    <c:autoTitleDeleted val="0"/>
    <c:plotArea>
      <c:layout>
        <c:manualLayout>
          <c:layoutTarget val="inner"/>
          <c:xMode val="edge"/>
          <c:yMode val="edge"/>
          <c:x val="0.0760570186035274"/>
          <c:y val="0.135146621334467"/>
          <c:w val="0.89736651365064"/>
          <c:h val="0.715044623884403"/>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1152.9</c:v>
                </c:pt>
              </c:numCache>
            </c:numRef>
          </c:val>
        </c:ser>
        <c:ser>
          <c:idx val="1"/>
          <c:order val="1"/>
          <c:tx>
            <c:strRef>
              <c:f>Sheet1!$C$1</c:f>
              <c:strCache>
                <c:ptCount val="1"/>
                <c:pt idx="0">
                  <c:v>2024年</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1214.33</c:v>
                </c:pt>
              </c:numCache>
            </c:numRef>
          </c:val>
        </c:ser>
        <c:dLbls>
          <c:showLegendKey val="0"/>
          <c:showVal val="0"/>
          <c:showCatName val="0"/>
          <c:showSerName val="0"/>
          <c:showPercent val="0"/>
          <c:showBubbleSize val="0"/>
        </c:dLbls>
        <c:gapWidth val="246"/>
        <c:overlap val="-28"/>
        <c:axId val="247994349"/>
        <c:axId val="803206640"/>
      </c:barChart>
      <c:catAx>
        <c:axId val="24799434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206640"/>
        <c:crosses val="autoZero"/>
        <c:auto val="1"/>
        <c:lblAlgn val="ctr"/>
        <c:lblOffset val="100"/>
        <c:noMultiLvlLbl val="0"/>
      </c:catAx>
      <c:valAx>
        <c:axId val="803206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79943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2037fb-dbc3-4ddf-9d9d-3d49f2b84c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000" b="0">
                <a:solidFill>
                  <a:schemeClr val="tx1">
                    <a:lumMod val="75000"/>
                    <a:lumOff val="25000"/>
                  </a:schemeClr>
                </a:solidFill>
                <a:uFillTx/>
              </a:rPr>
              <a:t>单位：万元</a:t>
            </a:r>
            <a:endParaRPr sz="1000" b="0">
              <a:solidFill>
                <a:schemeClr val="tx1">
                  <a:lumMod val="75000"/>
                  <a:lumOff val="25000"/>
                </a:schemeClr>
              </a:solidFill>
              <a:uFillTx/>
            </a:endParaRPr>
          </a:p>
        </c:rich>
      </c:tx>
      <c:layout>
        <c:manualLayout>
          <c:xMode val="edge"/>
          <c:yMode val="edge"/>
          <c:x val="0.854554240154627"/>
          <c:y val="0.0342116447088823"/>
        </c:manualLayout>
      </c:layout>
      <c:overlay val="0"/>
      <c:spPr>
        <a:noFill/>
        <a:ln>
          <a:noFill/>
        </a:ln>
        <a:effectLst/>
      </c:spPr>
    </c:title>
    <c:autoTitleDeleted val="0"/>
    <c:plotArea>
      <c:layout>
        <c:manualLayout>
          <c:layoutTarget val="inner"/>
          <c:xMode val="edge"/>
          <c:yMode val="edge"/>
          <c:x val="0.0760570186035274"/>
          <c:y val="0.135146621334467"/>
          <c:w val="0.89736651365064"/>
          <c:h val="0.715044623884403"/>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1152.9</c:v>
                </c:pt>
              </c:numCache>
            </c:numRef>
          </c:val>
        </c:ser>
        <c:ser>
          <c:idx val="1"/>
          <c:order val="1"/>
          <c:tx>
            <c:strRef>
              <c:f>Sheet1!$C$1</c:f>
              <c:strCache>
                <c:ptCount val="1"/>
                <c:pt idx="0">
                  <c:v>2024年</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1214.33</c:v>
                </c:pt>
              </c:numCache>
            </c:numRef>
          </c:val>
        </c:ser>
        <c:dLbls>
          <c:showLegendKey val="0"/>
          <c:showVal val="0"/>
          <c:showCatName val="0"/>
          <c:showSerName val="0"/>
          <c:showPercent val="0"/>
          <c:showBubbleSize val="0"/>
        </c:dLbls>
        <c:gapWidth val="246"/>
        <c:overlap val="-28"/>
        <c:axId val="247994349"/>
        <c:axId val="803206640"/>
      </c:barChart>
      <c:catAx>
        <c:axId val="24799434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206640"/>
        <c:crosses val="autoZero"/>
        <c:auto val="1"/>
        <c:lblAlgn val="ctr"/>
        <c:lblOffset val="100"/>
        <c:noMultiLvlLbl val="0"/>
      </c:catAx>
      <c:valAx>
        <c:axId val="803206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79943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2037fb-dbc3-4ddf-9d9d-3d49f2b84c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1"/>
              <c:layout>
                <c:manualLayout>
                  <c:x val="-0.00169122976564388"/>
                  <c:y val="-0.002762430939226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0.00%</c:formatCode>
                <c:ptCount val="5"/>
                <c:pt idx="0">
                  <c:v>0.7887</c:v>
                </c:pt>
                <c:pt idx="1">
                  <c:v>0.0386</c:v>
                </c:pt>
                <c:pt idx="2">
                  <c:v>0.0567</c:v>
                </c:pt>
                <c:pt idx="3">
                  <c:v>0.0445</c:v>
                </c:pt>
                <c:pt idx="4">
                  <c:v>0.0715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559313843923653"/>
          <c:y val="0.0174245643858904"/>
          <c:w val="0.904203913988886"/>
          <c:h val="0.1306842328941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aef32d-ac6a-41ea-9dec-37abb3e6c3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olidFill>
              <a:schemeClr val="accent1"/>
            </a:solidFill>
          </c:spPr>
          <c:explosion val="0"/>
          <c:dPt>
            <c:idx val="0"/>
            <c:bubble3D val="0"/>
            <c:spPr>
              <a:solidFill>
                <a:schemeClr val="accent2"/>
              </a:solidFill>
              <a:ln>
                <a:solidFill>
                  <a:schemeClr val="bg1"/>
                </a:solidFill>
              </a:ln>
              <a:effectLst/>
            </c:spPr>
          </c:dPt>
          <c:dPt>
            <c:idx val="1"/>
            <c:bubble3D val="0"/>
            <c:spPr>
              <a:solidFill>
                <a:schemeClr val="accent1"/>
              </a:solidFill>
              <a:ln>
                <a:solidFill>
                  <a:schemeClr val="bg1"/>
                </a:solidFill>
              </a:ln>
              <a:effectLst/>
            </c:spPr>
          </c:dPt>
          <c:dPt>
            <c:idx val="2"/>
            <c:bubble3D val="0"/>
            <c:spPr>
              <a:solidFill>
                <a:schemeClr val="accent6"/>
              </a:solidFill>
              <a:ln>
                <a:solidFill>
                  <a:schemeClr val="bg1"/>
                </a:solidFill>
              </a:ln>
              <a:effectLst/>
            </c:spPr>
          </c:dPt>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85.35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14.65</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0.00%</c:formatCode>
                <c:ptCount val="3"/>
                <c:pt idx="0">
                  <c:v>0</c:v>
                </c:pt>
                <c:pt idx="1">
                  <c:v>0.8152</c:v>
                </c:pt>
                <c:pt idx="2">
                  <c:v>0.1848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73875325319123"/>
          <c:y val="0.026246719160105"/>
          <c:w val="0.676291981658198"/>
          <c:h val="0.11657917760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397454-8166-452a-8d9d-4123dd489f3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11699</Words>
  <Characters>13664</Characters>
  <Lines>61</Lines>
  <Paragraphs>17</Paragraphs>
  <TotalTime>27</TotalTime>
  <ScaleCrop>false</ScaleCrop>
  <LinksUpToDate>false</LinksUpToDate>
  <CharactersWithSpaces>13756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凌肥猫</cp:lastModifiedBy>
  <cp:lastPrinted>2025-08-26T03:02:00Z</cp:lastPrinted>
  <dcterms:modified xsi:type="dcterms:W3CDTF">2025-08-26T03:20:28Z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3BF536824C220DA3E40E8B68BA118B1C_42</vt:lpwstr>
  </property>
  <property fmtid="{D5CDD505-2E9C-101B-9397-08002B2CF9AE}" pid="4" name="KSOTemplateDocerSaveRecord">
    <vt:lpwstr>eyJoZGlkIjoiMTQzODBkZWI1Y2EzNTU2Y2NmYmRkNjE3MWYwZWRiNDQiLCJ1c2VySWQiOiI4NzI1NzQ4MDgifQ==</vt:lpwstr>
  </property>
</Properties>
</file>