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highlight w:val="none"/>
        </w:rPr>
      </w:pPr>
      <w:bookmarkStart w:id="0" w:name="_Toc15377193"/>
      <w:bookmarkStart w:id="1" w:name="_Toc15396597"/>
      <w:bookmarkStart w:id="2" w:name="_Toc15378441"/>
      <w:bookmarkStart w:id="3" w:name="_Toc15396475"/>
      <w:bookmarkStart w:id="4" w:name="_Toc15377425"/>
      <w:bookmarkStart w:id="5" w:name="_Toc15306267"/>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8"/>
        <w:jc w:val="center"/>
        <w:rPr>
          <w:rFonts w:hint="eastAsia" w:ascii="Times New Roman" w:eastAsia="方正小标宋简体" w:cs="Times New Roman"/>
          <w:color w:val="auto"/>
          <w:kern w:val="2"/>
          <w:sz w:val="44"/>
          <w:szCs w:val="44"/>
          <w:highlight w:val="none"/>
          <w:lang w:val="en-US" w:eastAsia="zh-CN" w:bidi="ar-SA"/>
        </w:rPr>
      </w:pPr>
      <w:bookmarkStart w:id="6" w:name="_Toc15377426"/>
      <w:bookmarkStart w:id="7" w:name="_Toc15396476"/>
      <w:bookmarkStart w:id="8" w:name="_Toc15396598"/>
      <w:bookmarkStart w:id="9" w:name="_Toc15378442"/>
      <w:bookmarkStart w:id="10" w:name="_Toc15377194"/>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九三学社</w:t>
      </w:r>
      <w:r>
        <w:rPr>
          <w:rFonts w:hint="eastAsia" w:ascii="Times New Roman" w:hAnsi="Times New Roman" w:eastAsia="方正小标宋简体" w:cs="Times New Roman"/>
          <w:color w:val="auto"/>
          <w:kern w:val="2"/>
          <w:sz w:val="44"/>
          <w:szCs w:val="44"/>
          <w:highlight w:val="none"/>
          <w:lang w:val="en-US" w:eastAsia="zh-CN" w:bidi="ar-SA"/>
        </w:rPr>
        <w:t>四川省</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委员会</w:t>
      </w: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部门决算</w:t>
      </w:r>
      <w:bookmarkEnd w:id="6"/>
      <w:bookmarkEnd w:id="7"/>
      <w:bookmarkEnd w:id="8"/>
      <w:bookmarkEnd w:id="9"/>
      <w:bookmarkEnd w:id="10"/>
      <w:bookmarkEnd w:id="11"/>
    </w:p>
    <w:p>
      <w:pPr>
        <w:widowControl/>
        <w:jc w:val="center"/>
        <w:rPr>
          <w:rFonts w:hint="eastAsia" w:ascii="Times New Roman" w:hAnsi="Times New Roman"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bookmarkStart w:id="76" w:name="_GoBack"/>
      <w:bookmarkEnd w:id="76"/>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cs="黑体" w:eastAsiaTheme="minorEastAsia"/>
          <w:color w:val="auto"/>
          <w:sz w:val="32"/>
          <w:szCs w:val="32"/>
          <w:highlight w:val="none"/>
          <w:lang w:val="en-US" w:eastAsia="zh-CN"/>
        </w:rPr>
      </w:pPr>
      <w:r>
        <w:rPr>
          <w:rFonts w:hint="eastAsia" w:ascii="Times New Roman" w:hAnsi="Times New Roman" w:eastAsia="黑体" w:cs="黑体"/>
          <w:color w:val="auto"/>
          <w:sz w:val="32"/>
          <w:szCs w:val="32"/>
          <w:highlight w:val="none"/>
        </w:rPr>
        <w:t>第一部分 部门概况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1</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机构设置</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1</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cs="黑体" w:eastAsiaTheme="minorEastAsia"/>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8</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cs="黑体" w:eastAsiaTheme="minorEastAsia"/>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12</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cs="黑体" w:eastAsiaTheme="minorEastAsia"/>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15</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cs="黑体" w:eastAsiaTheme="minorEastAsia"/>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cs="仿宋_GB2312" w:eastAsiaTheme="minorEastAsia"/>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24</w:t>
      </w:r>
    </w:p>
    <w:p>
      <w:pPr>
        <w:pStyle w:val="5"/>
        <w:jc w:val="center"/>
        <w:rPr>
          <w:rFonts w:hint="eastAsia" w:ascii="Times New Roman" w:hAnsi="Times New Roman" w:eastAsia="方正小标宋简体" w:cs="方正小标宋简体"/>
          <w:b w:val="0"/>
          <w:color w:val="auto"/>
          <w:highlight w:val="none"/>
        </w:rPr>
        <w:sectPr>
          <w:footerReference r:id="rId8" w:type="first"/>
          <w:footerReference r:id="rId7" w:type="default"/>
          <w:pgSz w:w="11906" w:h="16838"/>
          <w:pgMar w:top="1440" w:right="1800" w:bottom="1440" w:left="1800" w:header="851" w:footer="992" w:gutter="0"/>
          <w:pgNumType w:fmt="numberInDash" w:start="1"/>
          <w:cols w:space="425" w:num="1"/>
          <w:titlePg/>
          <w:docGrid w:type="lines" w:linePitch="312" w:charSpace="0"/>
        </w:sectPr>
      </w:pPr>
      <w:bookmarkStart w:id="12" w:name="_Toc15396599"/>
      <w:bookmarkStart w:id="13" w:name="_Toc15377196"/>
    </w:p>
    <w:p>
      <w:pPr>
        <w:pStyle w:val="5"/>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ascii="Times New Roman" w:hAnsi="Times New Roman" w:eastAsia="方正小标宋简体" w:cs="方正小标宋简体"/>
          <w:b w:val="0"/>
          <w:bCs w:val="0"/>
          <w:color w:val="auto"/>
          <w:highlight w:val="none"/>
        </w:rPr>
        <w:t>部门概况</w:t>
      </w:r>
      <w:bookmarkEnd w:id="12"/>
      <w:bookmarkEnd w:id="13"/>
    </w:p>
    <w:p>
      <w:pPr>
        <w:pStyle w:val="6"/>
        <w:keepNext/>
        <w:keepLines/>
        <w:pageBreakBefore w:val="0"/>
        <w:widowControl w:val="0"/>
        <w:numPr>
          <w:ilvl w:val="0"/>
          <w:numId w:val="2"/>
        </w:numPr>
        <w:kinsoku/>
        <w:wordWrap/>
        <w:overflowPunct/>
        <w:topLinePunct w:val="0"/>
        <w:autoSpaceDE/>
        <w:autoSpaceDN/>
        <w:bidi w:val="0"/>
        <w:adjustRightInd/>
        <w:snapToGrid/>
        <w:spacing w:before="40" w:line="560" w:lineRule="exact"/>
        <w:ind w:left="420" w:leftChars="200"/>
        <w:textAlignment w:val="auto"/>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color w:val="auto"/>
          <w:kern w:val="2"/>
          <w:sz w:val="32"/>
          <w:szCs w:val="32"/>
          <w:highlight w:val="none"/>
          <w:lang w:val="en-US" w:eastAsia="zh-CN" w:bidi="ar-SA"/>
        </w:rPr>
      </w:pPr>
      <w:bookmarkStart w:id="14" w:name="_Toc11808"/>
      <w:bookmarkStart w:id="15" w:name="_Toc15377200"/>
      <w:bookmarkStart w:id="16" w:name="_Toc15396601"/>
      <w:r>
        <w:rPr>
          <w:rFonts w:hint="eastAsia" w:ascii="仿宋" w:hAnsi="仿宋" w:eastAsia="仿宋" w:cs="Times New Roman"/>
          <w:color w:val="auto"/>
          <w:kern w:val="2"/>
          <w:sz w:val="32"/>
          <w:szCs w:val="32"/>
          <w:highlight w:val="none"/>
          <w:lang w:val="en-US" w:eastAsia="zh-CN" w:bidi="ar-SA"/>
        </w:rPr>
        <w:t>本部门系民主党派省级组织，主要职能是民主监督、参政议政、参加中国共产党领导的政治协商。</w:t>
      </w:r>
      <w:bookmarkEnd w:id="14"/>
    </w:p>
    <w:p>
      <w:pPr>
        <w:pStyle w:val="6"/>
        <w:keepNext/>
        <w:keepLines/>
        <w:pageBreakBefore w:val="0"/>
        <w:widowControl w:val="0"/>
        <w:numPr>
          <w:ilvl w:val="0"/>
          <w:numId w:val="2"/>
        </w:numPr>
        <w:kinsoku/>
        <w:wordWrap/>
        <w:overflowPunct/>
        <w:topLinePunct w:val="0"/>
        <w:autoSpaceDE/>
        <w:autoSpaceDN/>
        <w:bidi w:val="0"/>
        <w:adjustRightInd/>
        <w:snapToGrid/>
        <w:spacing w:line="560" w:lineRule="exact"/>
        <w:ind w:left="420" w:leftChars="200"/>
        <w:textAlignment w:val="auto"/>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机构设置</w:t>
      </w:r>
      <w:bookmarkEnd w:id="15"/>
      <w:bookmarkEnd w:id="16"/>
    </w:p>
    <w:p>
      <w:pPr>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lang w:eastAsia="zh-CN"/>
        </w:rPr>
      </w:pPr>
      <w:r>
        <w:rPr>
          <w:rFonts w:hint="eastAsia" w:ascii="Times New Roman" w:hAnsi="Times New Roman" w:eastAsia="仿宋_GB2312" w:cs="仿宋_GB2312"/>
          <w:color w:val="auto"/>
          <w:sz w:val="32"/>
          <w:szCs w:val="32"/>
          <w:highlight w:val="none"/>
        </w:rPr>
        <w:t>九三学社四川省委员会下属二级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r>
        <w:rPr>
          <w:rFonts w:hint="eastAsia" w:eastAsia="仿宋_GB2312" w:cs="仿宋_GB2312"/>
          <w:color w:val="auto"/>
          <w:sz w:val="32"/>
          <w:szCs w:val="32"/>
          <w:highlight w:val="none"/>
          <w:lang w:eastAsia="zh-CN"/>
        </w:rPr>
        <w:t>。</w:t>
      </w:r>
    </w:p>
    <w:p>
      <w:pPr>
        <w:pStyle w:val="8"/>
        <w:adjustRightInd w:val="0"/>
        <w:snapToGrid w:val="0"/>
        <w:spacing w:before="93" w:line="600" w:lineRule="exact"/>
        <w:ind w:firstLine="672" w:firstLineChars="21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纳入</w:t>
      </w:r>
      <w:r>
        <w:rPr>
          <w:rFonts w:hint="eastAsia" w:ascii="仿宋" w:hAnsi="仿宋" w:eastAsia="仿宋"/>
          <w:color w:val="auto"/>
          <w:sz w:val="32"/>
          <w:szCs w:val="32"/>
          <w:highlight w:val="none"/>
          <w:lang w:val="en-US" w:eastAsia="zh-CN"/>
        </w:rPr>
        <w:t>九三学社四川省委员会</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部门决算编制范围的二级预算单位包括：</w:t>
      </w:r>
    </w:p>
    <w:p>
      <w:pPr>
        <w:pStyle w:val="8"/>
        <w:numPr>
          <w:ilvl w:val="0"/>
          <w:numId w:val="3"/>
        </w:numPr>
        <w:adjustRightInd w:val="0"/>
        <w:snapToGrid w:val="0"/>
        <w:spacing w:before="93" w:line="600" w:lineRule="exact"/>
        <w:outlineLvl w:val="2"/>
        <w:rPr>
          <w:rFonts w:hint="eastAsia" w:ascii="Times New Roman" w:hAnsi="Times New Roman" w:eastAsia="仿宋_GB2312" w:cs="仿宋_GB2312"/>
          <w:color w:val="auto"/>
          <w:sz w:val="32"/>
          <w:szCs w:val="32"/>
          <w:highlight w:val="none"/>
        </w:rPr>
      </w:pPr>
      <w:bookmarkStart w:id="17" w:name="_Toc15306276"/>
      <w:bookmarkStart w:id="18" w:name="_Toc15378449"/>
      <w:bookmarkStart w:id="19" w:name="_Toc15377433"/>
      <w:bookmarkStart w:id="20" w:name="_Toc15377202"/>
      <w:r>
        <w:rPr>
          <w:rFonts w:hint="eastAsia" w:ascii="仿宋" w:hAnsi="仿宋" w:eastAsia="仿宋"/>
          <w:color w:val="auto"/>
          <w:sz w:val="32"/>
          <w:szCs w:val="32"/>
          <w:highlight w:val="none"/>
          <w:lang w:val="en-US" w:eastAsia="zh-CN"/>
        </w:rPr>
        <w:t>九三学社四川省委员会</w:t>
      </w:r>
      <w:bookmarkEnd w:id="17"/>
      <w:bookmarkEnd w:id="18"/>
      <w:bookmarkEnd w:id="19"/>
      <w:bookmarkEnd w:id="20"/>
      <w:r>
        <w:rPr>
          <w:rFonts w:hint="eastAsia" w:ascii="仿宋" w:hAnsi="仿宋" w:eastAsia="仿宋"/>
          <w:color w:val="auto"/>
          <w:sz w:val="32"/>
          <w:szCs w:val="32"/>
          <w:highlight w:val="none"/>
          <w:lang w:val="en-US" w:eastAsia="zh-CN"/>
        </w:rPr>
        <w:t>（本级）</w:t>
      </w: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5"/>
        <w:jc w:val="center"/>
        <w:rPr>
          <w:rFonts w:hint="eastAsia" w:ascii="Times New Roman" w:hAnsi="Times New Roman" w:eastAsia="方正小标宋简体" w:cs="方正小标宋简体"/>
          <w:b w:val="0"/>
          <w:color w:val="auto"/>
          <w:highlight w:val="none"/>
        </w:rPr>
      </w:pPr>
      <w:bookmarkStart w:id="21" w:name="_Toc15377204"/>
      <w:bookmarkStart w:id="22"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21"/>
      <w:bookmarkEnd w:id="22"/>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3" w:name="_Toc15377205"/>
      <w:bookmarkStart w:id="24"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23"/>
      <w:bookmarkEnd w:id="24"/>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eastAsia="仿宋_GB2312" w:cs="仿宋_GB2312"/>
          <w:color w:val="auto"/>
          <w:sz w:val="32"/>
          <w:szCs w:val="32"/>
          <w:highlight w:val="none"/>
          <w:lang w:val="en-US" w:eastAsia="zh-CN"/>
        </w:rPr>
        <w:t>1476.30</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156.40</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12</w:t>
      </w:r>
      <w:r>
        <w:rPr>
          <w:rFonts w:hint="eastAsia" w:ascii="Times New Roman" w:hAnsi="Times New Roman" w:eastAsia="仿宋_GB2312" w:cs="仿宋_GB2312"/>
          <w:color w:val="auto"/>
          <w:sz w:val="32"/>
          <w:szCs w:val="32"/>
          <w:highlight w:val="none"/>
        </w:rPr>
        <w:t>%。主要变动原因是增加</w:t>
      </w:r>
      <w:r>
        <w:rPr>
          <w:rFonts w:hint="eastAsia" w:eastAsia="仿宋_GB2312" w:cs="仿宋_GB2312"/>
          <w:color w:val="auto"/>
          <w:sz w:val="32"/>
          <w:szCs w:val="32"/>
          <w:highlight w:val="none"/>
          <w:lang w:val="en-US" w:eastAsia="zh-CN"/>
        </w:rPr>
        <w:t>新调入</w:t>
      </w:r>
      <w:r>
        <w:rPr>
          <w:rFonts w:hint="eastAsia" w:ascii="Times New Roman" w:hAnsi="Times New Roman" w:eastAsia="仿宋_GB2312" w:cs="仿宋_GB2312"/>
          <w:color w:val="auto"/>
          <w:sz w:val="32"/>
          <w:szCs w:val="32"/>
          <w:highlight w:val="none"/>
        </w:rPr>
        <w:t>人员经费及四十周年社庆</w:t>
      </w:r>
      <w:r>
        <w:rPr>
          <w:rFonts w:hint="eastAsia" w:eastAsia="仿宋_GB2312" w:cs="仿宋_GB2312"/>
          <w:color w:val="auto"/>
          <w:sz w:val="32"/>
          <w:szCs w:val="32"/>
          <w:highlight w:val="none"/>
          <w:lang w:val="en-US" w:eastAsia="zh-CN"/>
        </w:rPr>
        <w:t>经费</w:t>
      </w:r>
      <w:r>
        <w:rPr>
          <w:rFonts w:hint="eastAsia" w:ascii="Times New Roman" w:hAnsi="Times New Roman" w:eastAsia="仿宋_GB2312" w:cs="仿宋_GB2312"/>
          <w:color w:val="auto"/>
          <w:sz w:val="32"/>
          <w:szCs w:val="32"/>
          <w:highlight w:val="none"/>
        </w:rPr>
        <w:t>等。</w:t>
      </w:r>
    </w:p>
    <w:p>
      <w:pPr>
        <w:pStyle w:val="3"/>
        <w:ind w:left="0" w:leftChars="0" w:firstLine="0" w:firstLineChars="0"/>
        <w:jc w:val="center"/>
        <w:rPr>
          <w:rFonts w:hint="eastAsia" w:ascii="Times New Roman" w:hAnsi="Times New Roman" w:eastAsia="仿宋_GB2312" w:cs="仿宋_GB2312"/>
          <w:color w:val="auto"/>
          <w:sz w:val="32"/>
          <w:szCs w:val="32"/>
          <w:highlight w:val="green"/>
        </w:rPr>
      </w:pPr>
      <w:r>
        <w:drawing>
          <wp:inline distT="0" distB="0" distL="114300" distR="114300">
            <wp:extent cx="4826000" cy="2743200"/>
            <wp:effectExtent l="4445" t="4445" r="15875" b="107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5" w:name="_Toc15377206"/>
      <w:bookmarkStart w:id="26" w:name="_Toc15396604"/>
      <w:r>
        <w:rPr>
          <w:rFonts w:hint="eastAsia" w:ascii="Times New Roman" w:hAnsi="Times New Roman" w:eastAsia="黑体"/>
          <w:color w:val="auto"/>
          <w:sz w:val="32"/>
          <w:szCs w:val="32"/>
          <w:highlight w:val="none"/>
          <w:lang w:eastAsia="zh-CN"/>
        </w:rPr>
        <w:t>二、收入决算情况说明</w:t>
      </w:r>
      <w:bookmarkEnd w:id="25"/>
      <w:bookmarkEnd w:id="26"/>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2024年度本年收入合计</w:t>
      </w:r>
      <w:r>
        <w:rPr>
          <w:rFonts w:hint="eastAsia" w:eastAsia="仿宋_GB2312" w:cs="仿宋_GB2312"/>
          <w:color w:val="auto"/>
          <w:sz w:val="32"/>
          <w:szCs w:val="32"/>
          <w:highlight w:val="none"/>
          <w:lang w:val="en-US" w:eastAsia="zh-CN"/>
        </w:rPr>
        <w:t>1476.30</w:t>
      </w:r>
      <w:r>
        <w:rPr>
          <w:rFonts w:hint="eastAsia" w:ascii="Times New Roman" w:hAnsi="Times New Roman" w:eastAsia="仿宋_GB2312" w:cs="仿宋_GB2312"/>
          <w:color w:val="auto"/>
          <w:sz w:val="32"/>
          <w:szCs w:val="32"/>
          <w:highlight w:val="none"/>
          <w:lang w:eastAsia="zh-CN"/>
        </w:rPr>
        <w:t>万元，其中：一般公共预算财政拨款收入</w:t>
      </w:r>
      <w:r>
        <w:rPr>
          <w:rFonts w:hint="eastAsia" w:eastAsia="仿宋_GB2312" w:cs="仿宋_GB2312"/>
          <w:color w:val="auto"/>
          <w:sz w:val="32"/>
          <w:szCs w:val="32"/>
          <w:highlight w:val="none"/>
          <w:lang w:val="en-US" w:eastAsia="zh-CN"/>
        </w:rPr>
        <w:t>1476.30</w:t>
      </w:r>
      <w:r>
        <w:rPr>
          <w:rFonts w:hint="eastAsia" w:ascii="Times New Roman" w:hAnsi="Times New Roman"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100</w:t>
      </w:r>
      <w:r>
        <w:rPr>
          <w:rFonts w:hint="eastAsia" w:ascii="Times New Roman" w:hAnsi="Times New Roman" w:eastAsia="仿宋_GB2312" w:cs="仿宋_GB2312"/>
          <w:color w:val="auto"/>
          <w:sz w:val="32"/>
          <w:szCs w:val="32"/>
          <w:highlight w:val="none"/>
          <w:lang w:eastAsia="zh-CN"/>
        </w:rPr>
        <w:t>%</w:t>
      </w:r>
      <w:r>
        <w:rPr>
          <w:rFonts w:hint="eastAsia" w:eastAsia="仿宋_GB2312" w:cs="仿宋_GB2312"/>
          <w:color w:val="auto"/>
          <w:sz w:val="32"/>
          <w:szCs w:val="32"/>
          <w:highlight w:val="none"/>
          <w:lang w:eastAsia="zh-CN"/>
        </w:rPr>
        <w:t>。</w:t>
      </w:r>
    </w:p>
    <w:p>
      <w:pPr>
        <w:jc w:val="center"/>
        <w:rPr>
          <w:rFonts w:hint="eastAsia" w:ascii="Times New Roman" w:hAnsi="Times New Roman" w:eastAsia="仿宋_GB2312" w:cs="仿宋_GB2312"/>
          <w:color w:val="auto"/>
          <w:sz w:val="32"/>
          <w:szCs w:val="32"/>
          <w:highlight w:val="none"/>
          <w:lang w:eastAsia="zh-CN"/>
        </w:rPr>
      </w:pPr>
      <w:r>
        <w:drawing>
          <wp:inline distT="0" distB="0" distL="114300" distR="114300">
            <wp:extent cx="3569335" cy="2515235"/>
            <wp:effectExtent l="4445" t="4445" r="7620" b="101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7" w:name="_Toc15377207"/>
      <w:bookmarkStart w:id="28"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7"/>
      <w:bookmarkEnd w:id="28"/>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2024年度支出合计</w:t>
      </w:r>
      <w:r>
        <w:rPr>
          <w:rFonts w:hint="eastAsia" w:eastAsia="仿宋_GB2312" w:cs="仿宋_GB2312"/>
          <w:color w:val="auto"/>
          <w:sz w:val="32"/>
          <w:szCs w:val="32"/>
          <w:highlight w:val="none"/>
          <w:lang w:val="en-US" w:eastAsia="zh-CN"/>
        </w:rPr>
        <w:t>1476.30</w:t>
      </w:r>
      <w:r>
        <w:rPr>
          <w:rFonts w:hint="eastAsia" w:ascii="Times New Roman" w:hAnsi="Times New Roman" w:eastAsia="仿宋_GB2312" w:cs="仿宋_GB2312"/>
          <w:color w:val="auto"/>
          <w:sz w:val="32"/>
          <w:szCs w:val="32"/>
          <w:highlight w:val="none"/>
          <w:lang w:eastAsia="zh-CN"/>
        </w:rPr>
        <w:t>万元，其中：基本支出</w:t>
      </w:r>
      <w:r>
        <w:rPr>
          <w:rFonts w:hint="eastAsia" w:eastAsia="仿宋_GB2312" w:cs="仿宋_GB2312"/>
          <w:color w:val="auto"/>
          <w:sz w:val="32"/>
          <w:szCs w:val="32"/>
          <w:highlight w:val="none"/>
          <w:lang w:val="en-US" w:eastAsia="zh-CN"/>
        </w:rPr>
        <w:t>1176.70</w:t>
      </w:r>
      <w:r>
        <w:rPr>
          <w:rFonts w:hint="eastAsia" w:ascii="Times New Roman" w:hAnsi="Times New Roman"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79.70</w:t>
      </w:r>
      <w:r>
        <w:rPr>
          <w:rFonts w:hint="eastAsia" w:ascii="Times New Roman" w:hAnsi="Times New Roman" w:eastAsia="仿宋_GB2312" w:cs="仿宋_GB2312"/>
          <w:color w:val="auto"/>
          <w:sz w:val="32"/>
          <w:szCs w:val="32"/>
          <w:highlight w:val="none"/>
          <w:lang w:eastAsia="zh-CN"/>
        </w:rPr>
        <w:t>%；项目支出</w:t>
      </w:r>
      <w:r>
        <w:rPr>
          <w:rFonts w:hint="eastAsia" w:eastAsia="仿宋_GB2312" w:cs="仿宋_GB2312"/>
          <w:color w:val="auto"/>
          <w:sz w:val="32"/>
          <w:szCs w:val="32"/>
          <w:highlight w:val="none"/>
          <w:lang w:val="en-US" w:eastAsia="zh-CN"/>
        </w:rPr>
        <w:t>299.60</w:t>
      </w:r>
      <w:r>
        <w:rPr>
          <w:rFonts w:hint="eastAsia" w:ascii="Times New Roman" w:hAnsi="Times New Roman"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20.30</w:t>
      </w:r>
      <w:r>
        <w:rPr>
          <w:rFonts w:hint="eastAsia" w:ascii="Times New Roman" w:hAnsi="Times New Roman" w:eastAsia="仿宋_GB2312" w:cs="仿宋_GB2312"/>
          <w:color w:val="auto"/>
          <w:sz w:val="32"/>
          <w:szCs w:val="32"/>
          <w:highlight w:val="none"/>
          <w:lang w:eastAsia="zh-CN"/>
        </w:rPr>
        <w:t>%</w:t>
      </w:r>
      <w:r>
        <w:rPr>
          <w:rFonts w:hint="eastAsia" w:eastAsia="仿宋_GB2312" w:cs="仿宋_GB2312"/>
          <w:color w:val="auto"/>
          <w:sz w:val="32"/>
          <w:szCs w:val="32"/>
          <w:highlight w:val="none"/>
          <w:lang w:val="en-US" w:eastAsia="zh-CN"/>
        </w:rPr>
        <w:t>.</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eastAsia" w:eastAsia="仿宋_GB2312" w:cs="仿宋_GB2312"/>
          <w:color w:val="auto"/>
          <w:sz w:val="32"/>
          <w:szCs w:val="32"/>
          <w:highlight w:val="none"/>
          <w:lang w:val="en-US" w:eastAsia="zh-CN"/>
        </w:rPr>
      </w:pPr>
      <w:r>
        <w:drawing>
          <wp:anchor distT="0" distB="0" distL="114300" distR="114300" simplePos="0" relativeHeight="251660288" behindDoc="1" locked="0" layoutInCell="1" allowOverlap="1">
            <wp:simplePos x="0" y="0"/>
            <wp:positionH relativeFrom="column">
              <wp:posOffset>481965</wp:posOffset>
            </wp:positionH>
            <wp:positionV relativeFrom="paragraph">
              <wp:posOffset>202565</wp:posOffset>
            </wp:positionV>
            <wp:extent cx="3957320" cy="2803525"/>
            <wp:effectExtent l="4445" t="5080" r="15875" b="10795"/>
            <wp:wrapTight wrapText="bothSides">
              <wp:wrapPolygon>
                <wp:start x="-24" y="-39"/>
                <wp:lineTo x="-24" y="21566"/>
                <wp:lineTo x="21520" y="21566"/>
                <wp:lineTo x="21520" y="-39"/>
                <wp:lineTo x="-24" y="-39"/>
              </wp:wrapPolygon>
            </wp:wrapTight>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green"/>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green"/>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green"/>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green"/>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outlineLvl w:val="1"/>
        <w:rPr>
          <w:rFonts w:hint="eastAsia" w:ascii="Times New Roman" w:hAnsi="Times New Roman" w:eastAsia="仿宋_GB2312" w:cs="仿宋_GB2312"/>
          <w:color w:val="auto"/>
          <w:sz w:val="32"/>
          <w:szCs w:val="32"/>
          <w:highlight w:val="green"/>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pPr>
        <w:spacing w:line="600" w:lineRule="exact"/>
        <w:ind w:firstLine="640" w:firstLineChars="200"/>
        <w:outlineLvl w:val="1"/>
        <w:rPr>
          <w:rStyle w:val="29"/>
          <w:rFonts w:ascii="Times New Roman" w:hAnsi="Times New Roman" w:eastAsia="黑体"/>
          <w:b w:val="0"/>
          <w:color w:val="auto"/>
          <w:highlight w:val="none"/>
        </w:rPr>
      </w:pPr>
      <w:bookmarkStart w:id="29" w:name="_Toc15396606"/>
      <w:bookmarkStart w:id="30" w:name="_Toc15377208"/>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9"/>
      <w:bookmarkEnd w:id="30"/>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eastAsia="仿宋_GB2312" w:cs="仿宋_GB2312"/>
          <w:color w:val="auto"/>
          <w:kern w:val="2"/>
          <w:sz w:val="32"/>
          <w:szCs w:val="32"/>
          <w:highlight w:val="none"/>
          <w:lang w:val="en-US" w:eastAsia="zh-CN" w:bidi="ar-SA"/>
        </w:rPr>
        <w:t>1476.30</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eastAsia="仿宋_GB2312" w:cs="仿宋_GB2312"/>
          <w:color w:val="auto"/>
          <w:kern w:val="2"/>
          <w:sz w:val="32"/>
          <w:szCs w:val="32"/>
          <w:highlight w:val="none"/>
          <w:lang w:val="en-US" w:eastAsia="zh-CN" w:bidi="ar-SA"/>
        </w:rPr>
        <w:t>156.40</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ascii="Times New Roman" w:hAnsi="Times New Roman" w:eastAsia="仿宋_GB2312" w:cs="仿宋_GB2312"/>
          <w:color w:val="auto"/>
          <w:sz w:val="32"/>
          <w:szCs w:val="32"/>
          <w:highlight w:val="none"/>
        </w:rPr>
        <w:t>增加</w:t>
      </w:r>
      <w:r>
        <w:rPr>
          <w:rFonts w:hint="eastAsia" w:eastAsia="仿宋_GB2312" w:cs="仿宋_GB2312"/>
          <w:color w:val="auto"/>
          <w:sz w:val="32"/>
          <w:szCs w:val="32"/>
          <w:highlight w:val="none"/>
          <w:lang w:val="en-US" w:eastAsia="zh-CN"/>
        </w:rPr>
        <w:t>新调入</w:t>
      </w:r>
      <w:r>
        <w:rPr>
          <w:rFonts w:hint="eastAsia" w:ascii="Times New Roman" w:hAnsi="Times New Roman" w:eastAsia="仿宋_GB2312" w:cs="仿宋_GB2312"/>
          <w:color w:val="auto"/>
          <w:sz w:val="32"/>
          <w:szCs w:val="32"/>
          <w:highlight w:val="none"/>
        </w:rPr>
        <w:t>人员经费及四十周年社庆</w:t>
      </w:r>
      <w:r>
        <w:rPr>
          <w:rFonts w:hint="eastAsia" w:eastAsia="仿宋_GB2312" w:cs="仿宋_GB2312"/>
          <w:color w:val="auto"/>
          <w:sz w:val="32"/>
          <w:szCs w:val="32"/>
          <w:highlight w:val="none"/>
          <w:lang w:val="en-US" w:eastAsia="zh-CN"/>
        </w:rPr>
        <w:t>经费</w:t>
      </w:r>
      <w:r>
        <w:rPr>
          <w:rFonts w:hint="eastAsia" w:ascii="Times New Roman" w:hAnsi="Times New Roman" w:eastAsia="仿宋_GB2312" w:cs="仿宋_GB2312"/>
          <w:color w:val="auto"/>
          <w:sz w:val="32"/>
          <w:szCs w:val="32"/>
          <w:highlight w:val="none"/>
        </w:rPr>
        <w:t>等。</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eastAsia" w:ascii="Times New Roman" w:hAnsi="Times New Roman" w:eastAsia="仿宋_GB2312" w:cs="仿宋_GB2312"/>
          <w:color w:val="auto"/>
          <w:sz w:val="32"/>
          <w:szCs w:val="32"/>
          <w:highlight w:val="none"/>
        </w:rPr>
      </w:pPr>
      <w:r>
        <w:drawing>
          <wp:anchor distT="0" distB="0" distL="114300" distR="114300" simplePos="0" relativeHeight="251661312" behindDoc="1" locked="0" layoutInCell="1" allowOverlap="1">
            <wp:simplePos x="0" y="0"/>
            <wp:positionH relativeFrom="column">
              <wp:posOffset>164465</wp:posOffset>
            </wp:positionH>
            <wp:positionV relativeFrom="paragraph">
              <wp:posOffset>42545</wp:posOffset>
            </wp:positionV>
            <wp:extent cx="4826000" cy="2743200"/>
            <wp:effectExtent l="4445" t="4445" r="15875" b="10795"/>
            <wp:wrapTight wrapText="bothSides">
              <wp:wrapPolygon>
                <wp:start x="-20" y="-35"/>
                <wp:lineTo x="-20" y="21565"/>
                <wp:lineTo x="21535" y="21565"/>
                <wp:lineTo x="21535" y="-35"/>
                <wp:lineTo x="-20" y="-35"/>
              </wp:wrapPolygon>
            </wp:wrapTight>
            <wp:docPr id="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仿宋_GB2312" w:cs="仿宋_GB2312"/>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p>
    <w:p>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pPr>
        <w:spacing w:line="600" w:lineRule="exact"/>
        <w:ind w:firstLine="640" w:firstLineChars="200"/>
        <w:outlineLvl w:val="1"/>
        <w:rPr>
          <w:rStyle w:val="29"/>
          <w:rFonts w:ascii="Times New Roman" w:hAnsi="Times New Roman" w:eastAsia="黑体"/>
          <w:b w:val="0"/>
          <w:color w:val="auto"/>
          <w:highlight w:val="none"/>
        </w:rPr>
      </w:pPr>
      <w:bookmarkStart w:id="31" w:name="_Toc15396607"/>
      <w:bookmarkStart w:id="32"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31"/>
      <w:bookmarkEnd w:id="32"/>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3"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33"/>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eastAsia="仿宋_GB2312" w:cs="仿宋_GB2312"/>
          <w:color w:val="auto"/>
          <w:kern w:val="2"/>
          <w:sz w:val="32"/>
          <w:szCs w:val="32"/>
          <w:highlight w:val="none"/>
          <w:lang w:val="en-US" w:eastAsia="zh-CN" w:bidi="ar-SA"/>
        </w:rPr>
        <w:t>1476.30</w:t>
      </w:r>
      <w:r>
        <w:rPr>
          <w:rFonts w:hint="eastAsia" w:ascii="Times New Roman" w:hAnsi="Times New Roman" w:eastAsia="仿宋_GB2312" w:cs="仿宋_GB2312"/>
          <w:color w:val="auto"/>
          <w:kern w:val="2"/>
          <w:sz w:val="32"/>
          <w:szCs w:val="32"/>
          <w:highlight w:val="none"/>
          <w:lang w:val="en-US" w:eastAsia="zh-CN" w:bidi="ar-SA"/>
        </w:rPr>
        <w:t>万元，占本年支出合计的</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%。与2023年度相比，一般公共预算财政拨款支出增加</w:t>
      </w:r>
      <w:r>
        <w:rPr>
          <w:rFonts w:hint="eastAsia" w:eastAsia="仿宋_GB2312" w:cs="仿宋_GB2312"/>
          <w:color w:val="auto"/>
          <w:kern w:val="2"/>
          <w:sz w:val="32"/>
          <w:szCs w:val="32"/>
          <w:highlight w:val="none"/>
          <w:lang w:val="en-US" w:eastAsia="zh-CN" w:bidi="ar-SA"/>
        </w:rPr>
        <w:t>156.40</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ascii="Times New Roman" w:hAnsi="Times New Roman" w:eastAsia="仿宋_GB2312" w:cs="仿宋_GB2312"/>
          <w:color w:val="auto"/>
          <w:sz w:val="32"/>
          <w:szCs w:val="32"/>
          <w:highlight w:val="none"/>
        </w:rPr>
        <w:t>增加</w:t>
      </w:r>
      <w:r>
        <w:rPr>
          <w:rFonts w:hint="eastAsia" w:eastAsia="仿宋_GB2312" w:cs="仿宋_GB2312"/>
          <w:color w:val="auto"/>
          <w:sz w:val="32"/>
          <w:szCs w:val="32"/>
          <w:highlight w:val="none"/>
          <w:lang w:val="en-US" w:eastAsia="zh-CN"/>
        </w:rPr>
        <w:t>新调入</w:t>
      </w:r>
      <w:r>
        <w:rPr>
          <w:rFonts w:hint="eastAsia" w:ascii="Times New Roman" w:hAnsi="Times New Roman" w:eastAsia="仿宋_GB2312" w:cs="仿宋_GB2312"/>
          <w:color w:val="auto"/>
          <w:sz w:val="32"/>
          <w:szCs w:val="32"/>
          <w:highlight w:val="none"/>
        </w:rPr>
        <w:t>人员经费及四十周年社庆等。</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p>
    <w:p>
      <w:pPr>
        <w:spacing w:line="600" w:lineRule="exact"/>
        <w:rPr>
          <w:rFonts w:hint="eastAsia" w:ascii="Times New Roman" w:hAnsi="Times New Roman" w:eastAsia="仿宋_GB2312" w:cs="仿宋_GB2312"/>
          <w:color w:val="auto"/>
          <w:kern w:val="2"/>
          <w:sz w:val="32"/>
          <w:szCs w:val="32"/>
          <w:highlight w:val="green"/>
          <w:lang w:val="en-US" w:eastAsia="zh-CN" w:bidi="ar-SA"/>
        </w:rPr>
      </w:pPr>
      <w:r>
        <w:drawing>
          <wp:anchor distT="0" distB="0" distL="114300" distR="114300" simplePos="0" relativeHeight="251662336" behindDoc="1" locked="0" layoutInCell="1" allowOverlap="1">
            <wp:simplePos x="0" y="0"/>
            <wp:positionH relativeFrom="column">
              <wp:posOffset>410845</wp:posOffset>
            </wp:positionH>
            <wp:positionV relativeFrom="paragraph">
              <wp:posOffset>-2449195</wp:posOffset>
            </wp:positionV>
            <wp:extent cx="4826000" cy="2743200"/>
            <wp:effectExtent l="4445" t="4445" r="15875" b="10795"/>
            <wp:wrapTight wrapText="bothSides">
              <wp:wrapPolygon>
                <wp:start x="-20" y="-35"/>
                <wp:lineTo x="-20" y="21565"/>
                <wp:lineTo x="21535" y="21565"/>
                <wp:lineTo x="21535" y="-35"/>
                <wp:lineTo x="-20" y="-35"/>
              </wp:wrapPolygon>
            </wp:wrapTight>
            <wp:docPr id="2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jc w:val="both"/>
        <w:rPr>
          <w:rFonts w:hint="eastAsia" w:ascii="Times New Roman" w:hAnsi="Times New Roman" w:eastAsia="仿宋_GB2312" w:cs="仿宋_GB2312"/>
          <w:color w:val="auto"/>
          <w:kern w:val="2"/>
          <w:sz w:val="32"/>
          <w:szCs w:val="32"/>
          <w:highlight w:val="none"/>
          <w:lang w:val="en-US" w:eastAsia="zh-CN" w:bidi="ar-SA"/>
        </w:rPr>
      </w:pPr>
    </w:p>
    <w:p>
      <w:pPr>
        <w:spacing w:line="600" w:lineRule="exact"/>
        <w:jc w:val="both"/>
        <w:rPr>
          <w:rFonts w:hint="eastAsia" w:ascii="Times New Roman" w:hAnsi="Times New Roman" w:eastAsia="仿宋_GB2312" w:cs="仿宋_GB2312"/>
          <w:color w:val="auto"/>
          <w:kern w:val="2"/>
          <w:sz w:val="32"/>
          <w:szCs w:val="32"/>
          <w:highlight w:val="none"/>
          <w:lang w:val="en-US" w:eastAsia="zh-CN" w:bidi="ar-SA"/>
        </w:rPr>
      </w:pPr>
    </w:p>
    <w:p>
      <w:pPr>
        <w:spacing w:line="600" w:lineRule="exact"/>
        <w:jc w:val="both"/>
        <w:rPr>
          <w:rFonts w:hint="eastAsia" w:ascii="Times New Roman" w:hAnsi="Times New Roman" w:eastAsia="仿宋_GB2312" w:cs="仿宋_GB2312"/>
          <w:color w:val="auto"/>
          <w:kern w:val="2"/>
          <w:sz w:val="32"/>
          <w:szCs w:val="32"/>
          <w:highlight w:val="none"/>
          <w:lang w:val="en-US" w:eastAsia="zh-CN" w:bidi="ar-SA"/>
        </w:rPr>
      </w:pPr>
    </w:p>
    <w:p>
      <w:pPr>
        <w:spacing w:line="600" w:lineRule="exact"/>
        <w:jc w:val="both"/>
        <w:rPr>
          <w:rFonts w:hint="eastAsia" w:ascii="Times New Roman" w:hAnsi="Times New Roman" w:eastAsia="仿宋_GB2312" w:cs="仿宋_GB2312"/>
          <w:color w:val="auto"/>
          <w:kern w:val="2"/>
          <w:sz w:val="32"/>
          <w:szCs w:val="32"/>
          <w:highlight w:val="none"/>
          <w:lang w:val="en-US" w:eastAsia="zh-CN" w:bidi="ar-SA"/>
        </w:rPr>
      </w:pPr>
    </w:p>
    <w:p>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4"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34"/>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eastAsia="仿宋_GB2312" w:cs="仿宋_GB2312"/>
          <w:color w:val="auto"/>
          <w:kern w:val="2"/>
          <w:sz w:val="32"/>
          <w:szCs w:val="32"/>
          <w:highlight w:val="none"/>
          <w:lang w:val="en-US" w:eastAsia="zh-CN" w:bidi="ar-SA"/>
        </w:rPr>
        <w:t>1476.30</w:t>
      </w:r>
      <w:r>
        <w:rPr>
          <w:rFonts w:hint="eastAsia" w:ascii="Times New Roman" w:hAnsi="Times New Roman" w:eastAsia="仿宋_GB2312" w:cs="仿宋_GB2312"/>
          <w:color w:val="auto"/>
          <w:kern w:val="2"/>
          <w:sz w:val="32"/>
          <w:szCs w:val="32"/>
          <w:highlight w:val="none"/>
          <w:lang w:val="en-US" w:eastAsia="zh-CN" w:bidi="ar-SA"/>
        </w:rPr>
        <w:t>万元，主要用于以下方面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1151.43</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78</w:t>
      </w:r>
      <w:r>
        <w:rPr>
          <w:rFonts w:hint="eastAsia" w:ascii="Times New Roman" w:hAnsi="Times New Roman" w:eastAsia="仿宋_GB2312" w:cs="仿宋_GB2312"/>
          <w:color w:val="auto"/>
          <w:kern w:val="2"/>
          <w:sz w:val="32"/>
          <w:szCs w:val="32"/>
          <w:highlight w:val="none"/>
          <w:lang w:val="en-US" w:eastAsia="zh-CN" w:bidi="ar-SA"/>
        </w:rPr>
        <w:t>%；教育支出</w:t>
      </w:r>
      <w:r>
        <w:rPr>
          <w:rFonts w:hint="eastAsia" w:eastAsia="仿宋_GB2312" w:cs="仿宋_GB2312"/>
          <w:color w:val="auto"/>
          <w:kern w:val="2"/>
          <w:sz w:val="32"/>
          <w:szCs w:val="32"/>
          <w:highlight w:val="none"/>
          <w:lang w:val="en-US" w:eastAsia="zh-CN" w:bidi="ar-SA"/>
        </w:rPr>
        <w:t>37.91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2.57</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131.96</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8.95</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58.45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3.95</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96.55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6.53</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pStyle w:val="3"/>
        <w:rPr>
          <w:rFonts w:hint="eastAsia" w:eastAsia="仿宋_GB2312" w:cs="仿宋_GB2312"/>
          <w:color w:val="auto"/>
          <w:kern w:val="2"/>
          <w:sz w:val="32"/>
          <w:szCs w:val="32"/>
          <w:highlight w:val="none"/>
          <w:lang w:val="en-US" w:eastAsia="zh-CN" w:bidi="ar-SA"/>
        </w:rPr>
      </w:pPr>
    </w:p>
    <w:p>
      <w:pPr>
        <w:pStyle w:val="3"/>
        <w:rPr>
          <w:rFonts w:hint="eastAsia" w:eastAsia="仿宋_GB2312" w:cs="仿宋_GB2312"/>
          <w:color w:val="auto"/>
          <w:kern w:val="2"/>
          <w:sz w:val="32"/>
          <w:szCs w:val="32"/>
          <w:highlight w:val="none"/>
          <w:lang w:val="en-US" w:eastAsia="zh-CN" w:bidi="ar-SA"/>
        </w:rPr>
      </w:pPr>
    </w:p>
    <w:p>
      <w:pPr>
        <w:pStyle w:val="3"/>
        <w:rPr>
          <w:rFonts w:hint="eastAsia" w:eastAsia="仿宋_GB2312" w:cs="仿宋_GB2312"/>
          <w:color w:val="auto"/>
          <w:kern w:val="2"/>
          <w:sz w:val="32"/>
          <w:szCs w:val="32"/>
          <w:highlight w:val="none"/>
          <w:lang w:val="en-US" w:eastAsia="zh-CN" w:bidi="ar-SA"/>
        </w:rPr>
      </w:pPr>
    </w:p>
    <w:p>
      <w:pPr>
        <w:pStyle w:val="3"/>
        <w:rPr>
          <w:rFonts w:hint="eastAsia" w:eastAsia="仿宋_GB2312" w:cs="仿宋_GB2312"/>
          <w:color w:val="auto"/>
          <w:kern w:val="2"/>
          <w:sz w:val="32"/>
          <w:szCs w:val="32"/>
          <w:highlight w:val="none"/>
          <w:lang w:val="en-US" w:eastAsia="zh-CN" w:bidi="ar-SA"/>
        </w:rPr>
      </w:pPr>
    </w:p>
    <w:p>
      <w:pPr>
        <w:pStyle w:val="3"/>
        <w:rPr>
          <w:rFonts w:hint="eastAsia" w:eastAsia="仿宋_GB2312" w:cs="仿宋_GB2312"/>
          <w:color w:val="auto"/>
          <w:kern w:val="2"/>
          <w:sz w:val="32"/>
          <w:szCs w:val="32"/>
          <w:highlight w:val="none"/>
          <w:lang w:val="en-US" w:eastAsia="zh-CN" w:bidi="ar-SA"/>
        </w:rPr>
      </w:pPr>
    </w:p>
    <w:p>
      <w:pPr>
        <w:pStyle w:val="3"/>
        <w:rPr>
          <w:rFonts w:hint="eastAsia" w:eastAsia="仿宋_GB2312" w:cs="仿宋_GB2312"/>
          <w:color w:val="auto"/>
          <w:kern w:val="2"/>
          <w:sz w:val="32"/>
          <w:szCs w:val="32"/>
          <w:highlight w:val="none"/>
          <w:lang w:val="en-US" w:eastAsia="zh-CN" w:bidi="ar-SA"/>
        </w:rPr>
      </w:pPr>
    </w:p>
    <w:p>
      <w:pPr>
        <w:pStyle w:val="3"/>
        <w:jc w:val="both"/>
        <w:rPr>
          <w:rFonts w:hint="eastAsia" w:eastAsia="仿宋_GB2312" w:cs="仿宋_GB2312"/>
          <w:color w:val="auto"/>
          <w:kern w:val="2"/>
          <w:sz w:val="32"/>
          <w:szCs w:val="32"/>
          <w:highlight w:val="none"/>
          <w:lang w:val="en-US" w:eastAsia="zh-CN" w:bidi="ar-SA"/>
        </w:rPr>
      </w:pPr>
      <w:r>
        <w:drawing>
          <wp:inline distT="0" distB="0" distL="114300" distR="114300">
            <wp:extent cx="3752215" cy="3208020"/>
            <wp:effectExtent l="4445" t="4445" r="7620" b="1841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5"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5"/>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6" w:name="_Toc15378460"/>
      <w:bookmarkStart w:id="37" w:name="_Toc15377213"/>
      <w:bookmarkStart w:id="38"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eastAsia="仿宋_GB2312" w:cs="仿宋_GB2312"/>
          <w:color w:val="auto"/>
          <w:kern w:val="2"/>
          <w:sz w:val="32"/>
          <w:szCs w:val="32"/>
          <w:highlight w:val="none"/>
          <w:lang w:val="en-US" w:eastAsia="zh-CN" w:bidi="ar-SA"/>
        </w:rPr>
        <w:t>1476.30</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98.53</w:t>
      </w:r>
      <w:r>
        <w:rPr>
          <w:rFonts w:hint="eastAsia" w:ascii="Times New Roman" w:hAnsi="Times New Roman" w:eastAsia="仿宋_GB2312" w:cs="仿宋_GB2312"/>
          <w:color w:val="auto"/>
          <w:kern w:val="2"/>
          <w:sz w:val="32"/>
          <w:szCs w:val="32"/>
          <w:highlight w:val="none"/>
          <w:lang w:val="en-US" w:eastAsia="zh-CN" w:bidi="ar-SA"/>
        </w:rPr>
        <w:t>%。其中：</w:t>
      </w:r>
      <w:bookmarkEnd w:id="36"/>
      <w:bookmarkEnd w:id="37"/>
      <w:bookmarkEnd w:id="38"/>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民主党派及工商联事务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行政运行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851.83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97.70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2.一般公共服务（类）</w:t>
      </w:r>
      <w:r>
        <w:rPr>
          <w:rFonts w:hint="eastAsia" w:eastAsia="仿宋_GB2312" w:cs="仿宋_GB2312"/>
          <w:color w:val="auto"/>
          <w:kern w:val="2"/>
          <w:sz w:val="32"/>
          <w:szCs w:val="32"/>
          <w:highlight w:val="none"/>
          <w:lang w:val="en-US" w:eastAsia="zh-CN" w:bidi="ar-SA"/>
        </w:rPr>
        <w:t>民主党派及工商联事务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参政议政</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299.60</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99.87</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教育（类）</w:t>
      </w:r>
      <w:r>
        <w:rPr>
          <w:rFonts w:hint="eastAsia" w:eastAsia="仿宋_GB2312" w:cs="仿宋_GB2312"/>
          <w:color w:val="auto"/>
          <w:kern w:val="2"/>
          <w:sz w:val="32"/>
          <w:szCs w:val="32"/>
          <w:highlight w:val="none"/>
          <w:lang w:val="en-US" w:eastAsia="zh-CN" w:bidi="ar-SA"/>
        </w:rPr>
        <w:t>进修与培训</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培训支出</w:t>
      </w:r>
      <w:r>
        <w:rPr>
          <w:rFonts w:hint="eastAsia" w:ascii="Times New Roman" w:hAnsi="Times New Roman" w:eastAsia="仿宋_GB2312" w:cs="仿宋_GB2312"/>
          <w:color w:val="auto"/>
          <w:kern w:val="2"/>
          <w:sz w:val="32"/>
          <w:szCs w:val="32"/>
          <w:highlight w:val="none"/>
          <w:lang w:val="en-US" w:eastAsia="zh-CN" w:bidi="ar-SA"/>
        </w:rPr>
        <w:t>（项）: 支出决算为37.91万元，完成预算99.76%</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4.社会保障和就业（类）行政事业单位养老支出（款）行政单位离退休（项）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支出决算为55.47万元，完成预算99.98%</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.社会保障和就业（类）行政事业单位养老支出（款）机关事业单位基本养老保险缴费支出（项）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支出决算为76.49万元，完成预算99.60%</w:t>
      </w:r>
      <w:r>
        <w:rPr>
          <w:rFonts w:hint="eastAsia" w:eastAsia="仿宋_GB2312" w:cs="仿宋_GB2312"/>
          <w:color w:val="auto"/>
          <w:kern w:val="2"/>
          <w:sz w:val="32"/>
          <w:szCs w:val="32"/>
          <w:highlight w:val="none"/>
          <w:lang w:val="en-US" w:eastAsia="zh-CN" w:bidi="ar-SA"/>
        </w:rPr>
        <w:t>。</w:t>
      </w:r>
    </w:p>
    <w:p>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卫生健康（类）行政事业单位医疗（款）行政单位医疗（项）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支出决算为50.54万元，完成预算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.卫生健康（类）行政事业单位医疗（款）公务员医疗补助（项）:支出决算为7.91万元，完成预算98.03%。</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.住房保障支出（类）住房改革支出（款）住房公积金（项）:支出决算为63.63万元，完成预算98.62%。</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9.住房保障支出（类）住房改革支出（款）购房补贴（项）:支出决算为32.92万元，完成预算99.97%。</w:t>
      </w:r>
    </w:p>
    <w:p>
      <w:pPr>
        <w:tabs>
          <w:tab w:val="right" w:pos="8306"/>
        </w:tabs>
        <w:spacing w:line="600" w:lineRule="exact"/>
        <w:ind w:firstLine="640"/>
        <w:outlineLvl w:val="1"/>
        <w:rPr>
          <w:rStyle w:val="29"/>
          <w:rFonts w:ascii="Times New Roman" w:hAnsi="Times New Roman"/>
          <w:color w:val="auto"/>
          <w:highlight w:val="none"/>
        </w:rPr>
      </w:pPr>
      <w:bookmarkStart w:id="39" w:name="_Toc15396608"/>
      <w:bookmarkStart w:id="40"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9"/>
      <w:bookmarkEnd w:id="40"/>
      <w:r>
        <w:rPr>
          <w:rStyle w:val="29"/>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eastAsia="仿宋_GB2312" w:cs="仿宋_GB2312"/>
          <w:color w:val="auto"/>
          <w:kern w:val="2"/>
          <w:sz w:val="32"/>
          <w:szCs w:val="32"/>
          <w:highlight w:val="none"/>
          <w:lang w:val="en-US" w:eastAsia="zh-CN" w:bidi="ar-SA"/>
        </w:rPr>
        <w:t>1176.70</w:t>
      </w:r>
      <w:r>
        <w:rPr>
          <w:rFonts w:hint="eastAsia" w:ascii="Times New Roman" w:hAnsi="Times New Roman" w:eastAsia="仿宋_GB2312" w:cs="仿宋_GB2312"/>
          <w:color w:val="auto"/>
          <w:kern w:val="2"/>
          <w:sz w:val="32"/>
          <w:szCs w:val="32"/>
          <w:highlight w:val="none"/>
          <w:lang w:val="en-US" w:eastAsia="zh-CN" w:bidi="ar-SA"/>
        </w:rPr>
        <w:t>万元，其中：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eastAsia="仿宋_GB2312" w:cs="仿宋_GB2312"/>
          <w:color w:val="auto"/>
          <w:kern w:val="2"/>
          <w:sz w:val="32"/>
          <w:szCs w:val="32"/>
          <w:highlight w:val="none"/>
          <w:lang w:val="en-US" w:eastAsia="zh-CN" w:bidi="ar-SA"/>
        </w:rPr>
        <w:t>847.85</w:t>
      </w:r>
      <w:r>
        <w:rPr>
          <w:rFonts w:hint="eastAsia" w:ascii="Times New Roman" w:hAnsi="Times New Roman" w:eastAsia="仿宋_GB2312" w:cs="仿宋_GB2312"/>
          <w:color w:val="auto"/>
          <w:kern w:val="2"/>
          <w:sz w:val="32"/>
          <w:szCs w:val="32"/>
          <w:highlight w:val="none"/>
          <w:lang w:val="en-US" w:eastAsia="zh-CN" w:bidi="ar-SA"/>
        </w:rPr>
        <w:t>万元，主要包括：基本工资、津贴补贴、奖金、绩效工资、机关事业单位基本养老保险缴费、其他社会保障缴费、其他工资福利支出、生活补助、医疗费补助、住房公积金、其他对个人和家庭的补助支出等。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eastAsia="仿宋_GB2312" w:cs="仿宋_GB2312"/>
          <w:color w:val="auto"/>
          <w:kern w:val="2"/>
          <w:sz w:val="32"/>
          <w:szCs w:val="32"/>
          <w:highlight w:val="none"/>
          <w:lang w:val="en-US" w:eastAsia="zh-CN" w:bidi="ar-SA"/>
        </w:rPr>
        <w:t xml:space="preserve">    </w:t>
      </w:r>
      <w:r>
        <w:rPr>
          <w:rFonts w:hint="eastAsia" w:ascii="Times New Roman" w:hAnsi="Times New Roman" w:eastAsia="仿宋_GB2312" w:cs="仿宋_GB2312"/>
          <w:color w:val="auto"/>
          <w:kern w:val="2"/>
          <w:sz w:val="32"/>
          <w:szCs w:val="32"/>
          <w:highlight w:val="none"/>
          <w:lang w:val="en-US" w:eastAsia="zh-CN" w:bidi="ar-SA"/>
        </w:rPr>
        <w:t>公用经费</w:t>
      </w:r>
      <w:r>
        <w:rPr>
          <w:rFonts w:hint="eastAsia" w:eastAsia="仿宋_GB2312" w:cs="仿宋_GB2312"/>
          <w:color w:val="auto"/>
          <w:kern w:val="2"/>
          <w:sz w:val="32"/>
          <w:szCs w:val="32"/>
          <w:highlight w:val="none"/>
          <w:lang w:val="en-US" w:eastAsia="zh-CN" w:bidi="ar-SA"/>
        </w:rPr>
        <w:t>328.85</w:t>
      </w:r>
      <w:r>
        <w:rPr>
          <w:rFonts w:hint="eastAsia" w:ascii="Times New Roman" w:hAnsi="Times New Roman" w:eastAsia="仿宋_GB2312" w:cs="仿宋_GB2312"/>
          <w:color w:val="auto"/>
          <w:kern w:val="2"/>
          <w:sz w:val="32"/>
          <w:szCs w:val="32"/>
          <w:highlight w:val="none"/>
          <w:lang w:val="en-US" w:eastAsia="zh-CN" w:bidi="ar-SA"/>
        </w:rPr>
        <w:t>万元，主要包括：办公费、印刷费、咨询费、水费、电费、邮电费、差旅费、因公出国（境）费用、维修（护）费、租赁费、会议费、培训费、公务接待费、劳务费、委托业务费、工会经费、福利费、公务用车运行维护费、其他交通费、其他商品和服务支出等。</w:t>
      </w:r>
    </w:p>
    <w:p>
      <w:pPr>
        <w:spacing w:line="600" w:lineRule="exact"/>
        <w:ind w:firstLine="640"/>
        <w:outlineLvl w:val="1"/>
        <w:rPr>
          <w:rStyle w:val="29"/>
          <w:rFonts w:ascii="Times New Roman" w:hAnsi="Times New Roman" w:eastAsia="黑体"/>
          <w:b w:val="0"/>
          <w:color w:val="auto"/>
          <w:highlight w:val="none"/>
        </w:rPr>
      </w:pPr>
      <w:bookmarkStart w:id="41" w:name="_Toc15396609"/>
      <w:bookmarkStart w:id="42"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41"/>
      <w:bookmarkEnd w:id="42"/>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3"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43"/>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eastAsia="仿宋_GB2312" w:cs="仿宋_GB2312"/>
          <w:color w:val="auto"/>
          <w:kern w:val="2"/>
          <w:sz w:val="32"/>
          <w:szCs w:val="32"/>
          <w:highlight w:val="none"/>
          <w:lang w:val="en-US" w:eastAsia="zh-CN" w:bidi="ar-SA"/>
        </w:rPr>
        <w:t>21.78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82.88</w:t>
      </w:r>
      <w:r>
        <w:rPr>
          <w:rFonts w:hint="eastAsia" w:ascii="Times New Roman" w:hAnsi="Times New Roman" w:eastAsia="仿宋_GB2312" w:cs="仿宋_GB2312"/>
          <w:color w:val="auto"/>
          <w:kern w:val="2"/>
          <w:sz w:val="32"/>
          <w:szCs w:val="32"/>
          <w:highlight w:val="none"/>
          <w:lang w:val="en-US" w:eastAsia="zh-CN" w:bidi="ar-SA"/>
        </w:rPr>
        <w:t>%，较上年度增加</w:t>
      </w:r>
      <w:r>
        <w:rPr>
          <w:rFonts w:hint="eastAsia" w:eastAsia="仿宋_GB2312" w:cs="仿宋_GB2312"/>
          <w:color w:val="auto"/>
          <w:kern w:val="2"/>
          <w:sz w:val="32"/>
          <w:szCs w:val="32"/>
          <w:highlight w:val="none"/>
          <w:lang w:val="en-US" w:eastAsia="zh-CN" w:bidi="ar-SA"/>
        </w:rPr>
        <w:t>4.89</w:t>
      </w:r>
      <w:r>
        <w:rPr>
          <w:rFonts w:hint="eastAsia" w:ascii="Times New Roman" w:hAnsi="Times New Roman" w:eastAsia="仿宋_GB2312" w:cs="仿宋_GB2312"/>
          <w:color w:val="auto"/>
          <w:kern w:val="2"/>
          <w:sz w:val="32"/>
          <w:szCs w:val="32"/>
          <w:highlight w:val="none"/>
          <w:lang w:val="en-US" w:eastAsia="zh-CN" w:bidi="ar-SA"/>
        </w:rPr>
        <w:t>万元，增长55.60%。决算数小于预算数的主要原因是2024年</w:t>
      </w:r>
      <w:r>
        <w:rPr>
          <w:rFonts w:hint="eastAsia" w:eastAsia="仿宋_GB2312" w:cs="仿宋_GB2312"/>
          <w:color w:val="auto"/>
          <w:kern w:val="2"/>
          <w:sz w:val="32"/>
          <w:szCs w:val="32"/>
          <w:highlight w:val="none"/>
          <w:lang w:val="en-US" w:eastAsia="zh-CN" w:bidi="ar-SA"/>
        </w:rPr>
        <w:t>部门</w:t>
      </w:r>
      <w:r>
        <w:rPr>
          <w:rFonts w:hint="eastAsia" w:ascii="Times New Roman" w:hAnsi="Times New Roman" w:eastAsia="仿宋_GB2312" w:cs="仿宋_GB2312"/>
          <w:color w:val="auto"/>
          <w:kern w:val="2"/>
          <w:sz w:val="32"/>
          <w:szCs w:val="32"/>
          <w:highlight w:val="none"/>
          <w:lang w:val="en-US" w:eastAsia="zh-CN" w:bidi="ar-SA"/>
        </w:rPr>
        <w:t>核销公务车1辆，故减少公务车运行费</w:t>
      </w:r>
      <w:r>
        <w:rPr>
          <w:rFonts w:hint="eastAsia" w:eastAsia="仿宋_GB2312" w:cs="仿宋_GB2312"/>
          <w:color w:val="auto"/>
          <w:kern w:val="2"/>
          <w:sz w:val="32"/>
          <w:szCs w:val="32"/>
          <w:highlight w:val="none"/>
          <w:lang w:val="en-US" w:eastAsia="zh-CN" w:bidi="ar-SA"/>
        </w:rPr>
        <w:t>。</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4"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4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2024年度“三公”经费财政拨款支出决算中，因公出国（境）费支出决算11.28万元，占51.79%；公务用车购置及运行维护费支出决算7.55万元，占34.67%；公务接待费支出决算2.95万元，占13.54%。具体情况如下：</w:t>
      </w:r>
    </w:p>
    <w:p>
      <w:pPr>
        <w:pStyle w:val="3"/>
        <w:jc w:val="both"/>
        <w:rPr>
          <w:rFonts w:hint="eastAsia" w:ascii="Times New Roman" w:hAnsi="Times New Roman" w:eastAsia="仿宋_GB2312" w:cs="仿宋_GB2312"/>
          <w:color w:val="auto"/>
          <w:kern w:val="2"/>
          <w:sz w:val="32"/>
          <w:szCs w:val="32"/>
          <w:highlight w:val="green"/>
          <w:lang w:val="en-US" w:eastAsia="zh-CN" w:bidi="ar-SA"/>
        </w:rPr>
      </w:pPr>
      <w:r>
        <w:drawing>
          <wp:inline distT="0" distB="0" distL="114300" distR="114300">
            <wp:extent cx="4241165" cy="2463800"/>
            <wp:effectExtent l="4445" t="5080" r="6350" b="1524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pPr>
        <w:pStyle w:val="2"/>
        <w:jc w:val="center"/>
        <w:rPr>
          <w:rFonts w:hint="eastAsia"/>
          <w:lang w:val="en-US" w:eastAsia="zh-CN"/>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1.因公出国（境）经费支出11.28万元，完成预算100%。</w:t>
      </w:r>
      <w:r>
        <w:rPr>
          <w:rFonts w:hint="eastAsia" w:ascii="Times New Roman" w:hAnsi="Times New Roman" w:eastAsia="仿宋_GB2312" w:cs="仿宋_GB2312"/>
          <w:color w:val="auto"/>
          <w:kern w:val="2"/>
          <w:sz w:val="32"/>
          <w:szCs w:val="32"/>
          <w:highlight w:val="none"/>
          <w:lang w:val="en-US" w:eastAsia="zh-CN" w:bidi="ar-SA"/>
        </w:rPr>
        <w:t>全年安排因公出国（境）团组1次，出国（境）1人。因公出国（境）支出决算比2023年增加11.28万元，增长</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%。主要原因是随四川代表团赴白俄罗斯、尼泊尔、柬埔寨进行交流合作</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开支内容包括：随四川代表团赴白俄罗斯、尼泊尔、柬埔寨进行交流合作</w:t>
      </w:r>
      <w:r>
        <w:rPr>
          <w:rFonts w:hint="eastAsia" w:eastAsia="仿宋_GB2312" w:cs="仿宋_GB2312"/>
          <w:color w:val="auto"/>
          <w:kern w:val="2"/>
          <w:sz w:val="32"/>
          <w:szCs w:val="32"/>
          <w:highlight w:val="none"/>
          <w:lang w:val="en-US" w:eastAsia="zh-CN" w:bidi="ar-SA"/>
        </w:rPr>
        <w:t>，出防人员机票费、住宿费、伙食费、公杂费、保险费、国外城市间交通费等。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Times New Roman" w:hAnsi="Times New Roman" w:eastAsia="仿宋_GB2312" w:cs="仿宋_GB2312"/>
          <w:color w:val="auto"/>
          <w:kern w:val="2"/>
          <w:sz w:val="32"/>
          <w:szCs w:val="32"/>
          <w:highlight w:val="none"/>
          <w:lang w:val="en-US" w:eastAsia="zh-CN" w:bidi="ar-SA"/>
        </w:rPr>
        <w:t>7.55</w:t>
      </w:r>
      <w:r>
        <w:rPr>
          <w:rFonts w:hint="eastAsia" w:ascii="Times New Roman" w:hAnsi="Times New Roman" w:eastAsia="仿宋_GB2312" w:cs="仿宋_GB2312"/>
          <w:b/>
          <w:bCs/>
          <w:color w:val="auto"/>
          <w:kern w:val="2"/>
          <w:sz w:val="32"/>
          <w:szCs w:val="32"/>
          <w:highlight w:val="none"/>
          <w:lang w:val="en-US" w:eastAsia="zh-CN" w:bidi="ar-SA"/>
        </w:rPr>
        <w:t>万元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完成预算62.92%。</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公务用车购置及运行维护费支出决算比2023年度减少5.2万元，下降5.88%。主要原因是2024年核销公务车1辆，减少公务车运行</w:t>
      </w:r>
      <w:r>
        <w:rPr>
          <w:rFonts w:hint="eastAsia" w:eastAsia="仿宋_GB2312" w:cs="仿宋_GB2312"/>
          <w:color w:val="auto"/>
          <w:kern w:val="2"/>
          <w:sz w:val="32"/>
          <w:szCs w:val="32"/>
          <w:highlight w:val="none"/>
          <w:lang w:val="en-US" w:eastAsia="zh-CN" w:bidi="ar-SA"/>
        </w:rPr>
        <w:t>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万元。全年未购置公务用车。截至2024年12月31日，单位共有公务用车</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公务用车运行维护费支出7.55万元。主要用于参政议政调研、社会服务、民主监督等所需的公务用车燃料费、维修费、过路过桥费、保险费等支出。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3.公务接待费支出2.95万元，完成预算98.33%。</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公务接待费支出决算比2023年度减少1.19万元，下降27.54%。主要原因是</w:t>
      </w:r>
      <w:r>
        <w:rPr>
          <w:rFonts w:hint="eastAsia" w:eastAsia="仿宋_GB2312" w:cs="仿宋_GB2312"/>
          <w:color w:val="auto"/>
          <w:kern w:val="2"/>
          <w:sz w:val="32"/>
          <w:szCs w:val="32"/>
          <w:highlight w:val="none"/>
          <w:lang w:val="en-US" w:eastAsia="zh-CN" w:bidi="ar-SA"/>
        </w:rPr>
        <w:t>单位</w:t>
      </w:r>
      <w:r>
        <w:rPr>
          <w:rFonts w:hint="eastAsia" w:ascii="Times New Roman" w:hAnsi="Times New Roman" w:eastAsia="仿宋_GB2312" w:cs="仿宋_GB2312"/>
          <w:color w:val="auto"/>
          <w:kern w:val="2"/>
          <w:sz w:val="32"/>
          <w:szCs w:val="32"/>
          <w:highlight w:val="none"/>
          <w:lang w:val="en-US" w:eastAsia="zh-CN" w:bidi="ar-SA"/>
        </w:rPr>
        <w:t>厉行节约，压减三公经费支出。其中：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出2.95万元，主要用于用于执行公务、开展业务活动开支的用餐费。国内公务接待25批次，266人次（不包括陪同人员），共计支出2.95万元，具体内容包括：同级部门之间的工作交接，学习及下级部门的工作汇报等，</w:t>
      </w:r>
      <w:r>
        <w:rPr>
          <w:rFonts w:hint="eastAsia" w:eastAsia="仿宋_GB2312" w:cs="仿宋_GB2312"/>
          <w:color w:val="auto"/>
          <w:kern w:val="2"/>
          <w:sz w:val="32"/>
          <w:szCs w:val="32"/>
          <w:highlight w:val="none"/>
          <w:lang w:val="en-US" w:eastAsia="zh-CN" w:bidi="ar-SA"/>
        </w:rPr>
        <w:t>金额为2.95万元</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年无外事接待支出。</w:t>
      </w:r>
    </w:p>
    <w:p>
      <w:pPr>
        <w:spacing w:line="600" w:lineRule="exact"/>
        <w:ind w:firstLine="640"/>
        <w:outlineLvl w:val="1"/>
        <w:rPr>
          <w:rStyle w:val="29"/>
          <w:rFonts w:ascii="Times New Roman" w:hAnsi="Times New Roman" w:eastAsia="黑体"/>
          <w:color w:val="auto"/>
          <w:highlight w:val="none"/>
        </w:rPr>
      </w:pPr>
      <w:bookmarkStart w:id="45" w:name="_Toc15377218"/>
      <w:bookmarkStart w:id="46" w:name="_Toc15396610"/>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45"/>
      <w:bookmarkEnd w:id="46"/>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年度政府性基金预算财政拨款支出0万元。</w:t>
      </w:r>
    </w:p>
    <w:p>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47" w:name="_Toc15377219"/>
      <w:bookmarkStart w:id="48" w:name="_Toc15396611"/>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47"/>
      <w:bookmarkEnd w:id="48"/>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年度国有资本经营预算财政拨款支出0万元。</w:t>
      </w:r>
    </w:p>
    <w:p>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49" w:name="_Toc15396612"/>
      <w:bookmarkStart w:id="50" w:name="_Toc15377221"/>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49"/>
      <w:bookmarkEnd w:id="50"/>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1" w:name="_Toc15377222"/>
      <w:r>
        <w:rPr>
          <w:rFonts w:hint="eastAsia" w:ascii="Times New Roman" w:hAnsi="Times New Roman" w:eastAsia="楷体_GB2312" w:cs="楷体_GB2312"/>
          <w:b/>
          <w:color w:val="auto"/>
          <w:sz w:val="32"/>
          <w:szCs w:val="32"/>
          <w:highlight w:val="none"/>
        </w:rPr>
        <w:t>（一）机关运行经费支出情况</w:t>
      </w:r>
      <w:bookmarkEnd w:id="51"/>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2024年度，九三学社四川省委员机关运行经费支出</w:t>
      </w:r>
      <w:r>
        <w:rPr>
          <w:rFonts w:hint="eastAsia" w:eastAsia="仿宋_GB2312" w:cs="仿宋_GB2312"/>
          <w:color w:val="auto"/>
          <w:kern w:val="2"/>
          <w:sz w:val="32"/>
          <w:szCs w:val="32"/>
          <w:highlight w:val="none"/>
          <w:lang w:val="en-US" w:eastAsia="zh-CN" w:bidi="ar-SA"/>
        </w:rPr>
        <w:t>328.85</w:t>
      </w:r>
      <w:r>
        <w:rPr>
          <w:rFonts w:hint="eastAsia" w:ascii="Times New Roman" w:hAnsi="Times New Roman" w:eastAsia="仿宋_GB2312" w:cs="仿宋_GB2312"/>
          <w:color w:val="auto"/>
          <w:kern w:val="2"/>
          <w:sz w:val="32"/>
          <w:szCs w:val="32"/>
          <w:highlight w:val="none"/>
          <w:lang w:val="en-US" w:eastAsia="zh-CN" w:bidi="ar-SA"/>
        </w:rPr>
        <w:t>万元，比2023年度增加</w:t>
      </w:r>
      <w:r>
        <w:rPr>
          <w:rFonts w:hint="eastAsia" w:eastAsia="仿宋_GB2312" w:cs="仿宋_GB2312"/>
          <w:color w:val="auto"/>
          <w:kern w:val="2"/>
          <w:sz w:val="32"/>
          <w:szCs w:val="32"/>
          <w:highlight w:val="none"/>
          <w:lang w:val="en-US" w:eastAsia="zh-CN" w:bidi="ar-SA"/>
        </w:rPr>
        <w:t>45.13</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新调入人员经费及运转经费。</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2" w:name="_Toc15377223"/>
      <w:r>
        <w:rPr>
          <w:rFonts w:hint="eastAsia" w:ascii="Times New Roman" w:hAnsi="Times New Roman" w:eastAsia="楷体_GB2312" w:cs="楷体_GB2312"/>
          <w:b/>
          <w:color w:val="auto"/>
          <w:sz w:val="32"/>
          <w:szCs w:val="32"/>
          <w:highlight w:val="none"/>
        </w:rPr>
        <w:t>（二）政府采购支出情况</w:t>
      </w:r>
      <w:bookmarkEnd w:id="5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eastAsia="仿宋_GB2312" w:cs="仿宋_GB2312"/>
          <w:color w:val="auto"/>
          <w:kern w:val="2"/>
          <w:sz w:val="32"/>
          <w:szCs w:val="32"/>
          <w:highlight w:val="none"/>
          <w:lang w:val="en-US" w:eastAsia="zh-CN" w:bidi="ar-SA"/>
        </w:rPr>
        <w:t>九三学社四川省委员会</w:t>
      </w:r>
      <w:r>
        <w:rPr>
          <w:rFonts w:hint="eastAsia" w:ascii="Times New Roman" w:hAnsi="Times New Roman" w:eastAsia="仿宋_GB2312" w:cs="仿宋_GB2312"/>
          <w:color w:val="auto"/>
          <w:kern w:val="2"/>
          <w:sz w:val="32"/>
          <w:szCs w:val="32"/>
          <w:highlight w:val="none"/>
          <w:lang w:val="en-US" w:eastAsia="zh-CN" w:bidi="ar-SA"/>
        </w:rPr>
        <w:t>政府采购支出总额</w:t>
      </w:r>
      <w:r>
        <w:rPr>
          <w:rFonts w:hint="eastAsia" w:eastAsia="仿宋_GB2312" w:cs="仿宋_GB2312"/>
          <w:color w:val="auto"/>
          <w:kern w:val="2"/>
          <w:sz w:val="32"/>
          <w:szCs w:val="32"/>
          <w:highlight w:val="none"/>
          <w:lang w:val="en-US" w:eastAsia="zh-CN" w:bidi="ar-SA"/>
        </w:rPr>
        <w:t>32.71</w:t>
      </w:r>
      <w:r>
        <w:rPr>
          <w:rFonts w:hint="eastAsia" w:ascii="Times New Roman" w:hAnsi="Times New Roman" w:eastAsia="仿宋_GB2312" w:cs="仿宋_GB2312"/>
          <w:color w:val="auto"/>
          <w:kern w:val="2"/>
          <w:sz w:val="32"/>
          <w:szCs w:val="32"/>
          <w:highlight w:val="none"/>
          <w:lang w:val="en-US" w:eastAsia="zh-CN" w:bidi="ar-SA"/>
        </w:rPr>
        <w:t>万元，其中：政府采购货物支出</w:t>
      </w:r>
      <w:r>
        <w:rPr>
          <w:rFonts w:hint="eastAsia" w:eastAsia="仿宋_GB2312" w:cs="仿宋_GB2312"/>
          <w:color w:val="auto"/>
          <w:kern w:val="2"/>
          <w:sz w:val="32"/>
          <w:szCs w:val="32"/>
          <w:highlight w:val="none"/>
          <w:lang w:val="en-US" w:eastAsia="zh-CN" w:bidi="ar-SA"/>
        </w:rPr>
        <w:t>23.71</w:t>
      </w:r>
      <w:r>
        <w:rPr>
          <w:rFonts w:hint="eastAsia" w:ascii="Times New Roman" w:hAnsi="Times New Roman" w:eastAsia="仿宋_GB2312" w:cs="仿宋_GB2312"/>
          <w:color w:val="auto"/>
          <w:kern w:val="2"/>
          <w:sz w:val="32"/>
          <w:szCs w:val="32"/>
          <w:highlight w:val="none"/>
          <w:lang w:val="en-US" w:eastAsia="zh-CN" w:bidi="ar-SA"/>
        </w:rPr>
        <w:t>万元、政府采购工程支出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万元、政府采购服务支出</w:t>
      </w: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购买公务用车加油，保险，维修等服务</w:t>
      </w:r>
      <w:r>
        <w:rPr>
          <w:rFonts w:hint="eastAsia" w:ascii="Times New Roman" w:hAnsi="Times New Roman" w:eastAsia="仿宋_GB2312" w:cs="仿宋_GB2312"/>
          <w:color w:val="auto"/>
          <w:kern w:val="2"/>
          <w:sz w:val="32"/>
          <w:szCs w:val="32"/>
          <w:highlight w:val="none"/>
          <w:lang w:val="en-US" w:eastAsia="zh-CN" w:bidi="ar-SA"/>
        </w:rPr>
        <w:t>。授予中小企业合同金额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3" w:name="_Toc15377224"/>
      <w:r>
        <w:rPr>
          <w:rFonts w:hint="eastAsia" w:ascii="Times New Roman" w:hAnsi="Times New Roman" w:eastAsia="楷体_GB2312" w:cs="楷体_GB2312"/>
          <w:b/>
          <w:color w:val="auto"/>
          <w:sz w:val="32"/>
          <w:szCs w:val="32"/>
          <w:highlight w:val="none"/>
        </w:rPr>
        <w:t>（三）国有资产占有使用情况</w:t>
      </w:r>
      <w:bookmarkEnd w:id="53"/>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截至202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年12月31日，九三学社四川省委员会共有车辆</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辆，其中：机要通信用车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辆、应急保障用车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辆、其他用车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辆，其他用车主要是用于离退休干部服务用车和实物保障用车</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单价100万元</w:t>
      </w:r>
      <w:r>
        <w:rPr>
          <w:rFonts w:hint="eastAsia" w:eastAsia="仿宋_GB2312" w:cs="仿宋_GB2312"/>
          <w:color w:val="auto"/>
          <w:kern w:val="2"/>
          <w:sz w:val="32"/>
          <w:szCs w:val="32"/>
          <w:highlight w:val="none"/>
          <w:lang w:val="en-US" w:eastAsia="zh-CN" w:bidi="ar-SA"/>
        </w:rPr>
        <w:t>（含）</w:t>
      </w:r>
      <w:r>
        <w:rPr>
          <w:rFonts w:hint="eastAsia" w:ascii="Times New Roman" w:hAnsi="Times New Roman" w:eastAsia="仿宋_GB2312" w:cs="仿宋_GB2312"/>
          <w:color w:val="auto"/>
          <w:kern w:val="2"/>
          <w:sz w:val="32"/>
          <w:szCs w:val="32"/>
          <w:highlight w:val="none"/>
          <w:lang w:val="en-US" w:eastAsia="zh-CN" w:bidi="ar-SA"/>
        </w:rPr>
        <w:t>以上设备（不含车辆）</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台。</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根据预算绩效管理要求，九三学社四川省委员会在2024年度预算编制阶段，组织对四十周年庆</w:t>
      </w:r>
      <w:r>
        <w:rPr>
          <w:rFonts w:hint="eastAsia" w:eastAsia="仿宋_GB2312" w:cs="仿宋_GB2312"/>
          <w:color w:val="auto"/>
          <w:kern w:val="2"/>
          <w:sz w:val="32"/>
          <w:szCs w:val="32"/>
          <w:highlight w:val="none"/>
          <w:lang w:val="en-US" w:eastAsia="zh-CN" w:bidi="ar-SA"/>
        </w:rPr>
        <w:t>、长江生态保护民主监督</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单位运转项目(不可细化)、承接中央、省委、省政府、省政协重大课题经纲等2</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spacing w:line="600" w:lineRule="exact"/>
        <w:ind w:firstLine="640"/>
        <w:rPr>
          <w:rFonts w:hint="eastAsia" w:ascii="Times New Roman" w:hAnsi="Times New Roman" w:eastAsia="仿宋_GB2312" w:cs="仿宋_GB2312"/>
          <w:b/>
          <w:bCs/>
          <w:color w:val="0000FF"/>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九三学社四川省委员会部门整体绩效自评报告，其中，九三学社四川省委员会部门整体绩效自评得分为</w:t>
      </w:r>
      <w:r>
        <w:rPr>
          <w:rFonts w:hint="eastAsia" w:eastAsia="仿宋_GB2312" w:cs="仿宋_GB2312"/>
          <w:color w:val="auto"/>
          <w:kern w:val="2"/>
          <w:sz w:val="32"/>
          <w:szCs w:val="32"/>
          <w:highlight w:val="none"/>
          <w:lang w:val="en-US" w:eastAsia="zh-CN" w:bidi="ar-SA"/>
        </w:rPr>
        <w:t>88.39</w:t>
      </w:r>
      <w:r>
        <w:rPr>
          <w:rFonts w:hint="eastAsia" w:ascii="Times New Roman" w:hAnsi="Times New Roman" w:eastAsia="仿宋_GB2312" w:cs="仿宋_GB2312"/>
          <w:color w:val="auto"/>
          <w:kern w:val="2"/>
          <w:sz w:val="32"/>
          <w:szCs w:val="32"/>
          <w:highlight w:val="none"/>
          <w:lang w:val="en-US" w:eastAsia="zh-CN" w:bidi="ar-SA"/>
        </w:rPr>
        <w:t>分</w:t>
      </w:r>
      <w:r>
        <w:rPr>
          <w:rFonts w:hint="eastAsia" w:eastAsia="仿宋_GB2312" w:cs="仿宋_GB2312"/>
          <w:color w:val="auto"/>
          <w:kern w:val="2"/>
          <w:sz w:val="32"/>
          <w:szCs w:val="32"/>
          <w:highlight w:val="none"/>
          <w:lang w:val="en-US" w:eastAsia="zh-CN" w:bidi="ar-SA"/>
        </w:rPr>
        <w:t>。</w:t>
      </w: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54" w:name="_Toc15396613"/>
      <w:bookmarkStart w:id="55" w:name="_Toc15377225"/>
    </w:p>
    <w:p>
      <w:pPr>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br w:type="page"/>
      </w:r>
    </w:p>
    <w:p>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54"/>
      <w:bookmarkEnd w:id="55"/>
    </w:p>
    <w:p>
      <w:pPr>
        <w:spacing w:line="600" w:lineRule="exact"/>
        <w:jc w:val="left"/>
        <w:rPr>
          <w:rFonts w:ascii="Times New Roman" w:hAnsi="Times New Roman"/>
          <w:b/>
          <w:color w:val="auto"/>
          <w:sz w:val="44"/>
          <w:szCs w:val="44"/>
          <w:highlight w:val="none"/>
        </w:rPr>
      </w:pPr>
    </w:p>
    <w:p>
      <w:pPr>
        <w:spacing w:line="600" w:lineRule="exact"/>
        <w:ind w:firstLine="640" w:firstLineChars="200"/>
        <w:outlineLvl w:val="1"/>
        <w:rPr>
          <w:rFonts w:hint="eastAsia" w:ascii="仿宋_GB2312" w:eastAsia="仿宋_GB2312"/>
          <w:color w:val="auto"/>
          <w:sz w:val="32"/>
          <w:szCs w:val="32"/>
          <w:highlight w:val="none"/>
          <w:lang w:val="en-US" w:eastAsia="zh-CN"/>
        </w:rPr>
      </w:pPr>
      <w:bookmarkStart w:id="56" w:name="_Toc15079"/>
      <w:r>
        <w:rPr>
          <w:rFonts w:hint="eastAsia" w:ascii="仿宋_GB2312" w:eastAsia="仿宋_GB2312"/>
          <w:color w:val="auto"/>
          <w:sz w:val="32"/>
          <w:szCs w:val="32"/>
          <w:highlight w:val="none"/>
          <w:lang w:val="en-US" w:eastAsia="zh-CN"/>
        </w:rPr>
        <w:t>1.财政拨款收入：指单位从同级财政部门取得的财政预算资金。</w:t>
      </w:r>
      <w:bookmarkEnd w:id="56"/>
    </w:p>
    <w:p>
      <w:pPr>
        <w:spacing w:line="60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2.一般公共服务（类）民主党派及工商联事务（款）行政运行（项）:反映行政单位（包括实行公务员管理的事业单位）的基本支出。</w:t>
      </w:r>
    </w:p>
    <w:p>
      <w:pPr>
        <w:spacing w:line="60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3.一般公共服务（类）民主党派及工商联事务（款）参政议政（项）:反映各民主党派为参政议政进行的调研、会议、检查等方面的支出。</w:t>
      </w:r>
    </w:p>
    <w:p>
      <w:pPr>
        <w:spacing w:line="600" w:lineRule="exact"/>
        <w:ind w:firstLine="640" w:firstLineChars="200"/>
        <w:outlineLvl w:val="1"/>
        <w:rPr>
          <w:rFonts w:hint="eastAsia" w:ascii="仿宋_GB2312" w:eastAsia="仿宋_GB2312"/>
          <w:color w:val="auto"/>
          <w:sz w:val="32"/>
          <w:szCs w:val="32"/>
          <w:highlight w:val="none"/>
          <w:lang w:val="en-US" w:eastAsia="zh-CN"/>
        </w:rPr>
      </w:pPr>
      <w:bookmarkStart w:id="57" w:name="_Toc4101"/>
      <w:r>
        <w:rPr>
          <w:rFonts w:hint="eastAsia" w:ascii="仿宋_GB2312" w:eastAsia="仿宋_GB2312"/>
          <w:color w:val="auto"/>
          <w:sz w:val="32"/>
          <w:szCs w:val="32"/>
          <w:highlight w:val="none"/>
          <w:lang w:val="en-US" w:eastAsia="zh-CN"/>
        </w:rPr>
        <w:t>4.教育（类）进修及培训（款）培训支出（项）：反映各部门安排的用于培训的支出。教育部门的师资培训，党校、行政学院等专业干部教育机构的支出，以及退役士兵、转业士官的培训支出，不在本科目反映。</w:t>
      </w:r>
      <w:bookmarkEnd w:id="57"/>
    </w:p>
    <w:p>
      <w:pPr>
        <w:spacing w:line="60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5.社会保障和就业（类）行政事业单位养老支出（款）行政单位离退休（项）:反映未实现归口管理的行政单位开支的离退休经费。</w:t>
      </w:r>
    </w:p>
    <w:p>
      <w:pPr>
        <w:spacing w:line="600" w:lineRule="exact"/>
        <w:ind w:firstLine="640" w:firstLineChars="200"/>
        <w:outlineLvl w:val="1"/>
        <w:rPr>
          <w:rFonts w:hint="eastAsia" w:ascii="仿宋_GB2312" w:eastAsia="仿宋_GB2312"/>
          <w:color w:val="auto"/>
          <w:sz w:val="32"/>
          <w:szCs w:val="32"/>
          <w:highlight w:val="none"/>
          <w:lang w:val="en-US" w:eastAsia="zh-CN"/>
        </w:rPr>
      </w:pPr>
      <w:bookmarkStart w:id="58" w:name="_Toc554"/>
      <w:r>
        <w:rPr>
          <w:rFonts w:hint="eastAsia" w:ascii="仿宋_GB2312" w:eastAsia="仿宋_GB2312"/>
          <w:color w:val="auto"/>
          <w:sz w:val="32"/>
          <w:szCs w:val="32"/>
          <w:highlight w:val="none"/>
          <w:lang w:val="en-US" w:eastAsia="zh-CN"/>
        </w:rPr>
        <w:t>6.社会保障和就业（类）行政事业单位养老支出（款）</w:t>
      </w:r>
      <w:bookmarkEnd w:id="58"/>
      <w:r>
        <w:rPr>
          <w:rFonts w:hint="eastAsia" w:ascii="仿宋_GB2312" w:eastAsia="仿宋_GB2312"/>
          <w:color w:val="auto"/>
          <w:sz w:val="32"/>
          <w:szCs w:val="32"/>
          <w:highlight w:val="none"/>
          <w:lang w:val="en-US" w:eastAsia="zh-CN"/>
        </w:rPr>
        <w:t>机关事业单位基本养老保险缴费支出（项）:反映行政事业单位开支的基本养老保险经费单位支出部分。</w:t>
      </w:r>
    </w:p>
    <w:p>
      <w:pPr>
        <w:spacing w:line="60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卫生健康（类）行政事业单位医疗（款）行政单位医疗（项）:反映财政部门集中安排的行政单位基本医疗保险缴费，未参加医疗保险的行政单位的公费医疗经费，按国家规定享受离休人员、红军老战士待遇人员的医疗经费。</w:t>
      </w:r>
    </w:p>
    <w:p>
      <w:pPr>
        <w:spacing w:line="60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8.卫生健康（类）行政事业单位医疗（款）公务员医疗补助（项）:反映财政部门集中安排的公务员医疗补助经费。</w:t>
      </w:r>
    </w:p>
    <w:p>
      <w:pPr>
        <w:spacing w:line="60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9.住房保障（类）住房改革支出（款）住房公积金（项）:反映行政事业单位按人力资源和社会保障部、财政部规定的基本工资和津贴补贴以及规定比例为职工缴纳的住房公积金。</w:t>
      </w:r>
    </w:p>
    <w:p>
      <w:pPr>
        <w:spacing w:line="60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10.住房保障（类）住房改革支出（款）购房补贴（项）:反映按房改政策规定标准，行政事业单位向符合条件职工发放的用于购买住房的补贴。</w:t>
      </w:r>
    </w:p>
    <w:p>
      <w:pPr>
        <w:spacing w:line="60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11.基本支出：指为保障机构正常运转、完成日常工作任务而发生的人员支出和公用支出。</w:t>
      </w:r>
    </w:p>
    <w:p>
      <w:pPr>
        <w:spacing w:line="60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12.项目支出：指在基本支出之外为完成特定行政任务和事业发展目标所发生的支出。</w:t>
      </w:r>
    </w:p>
    <w:p>
      <w:pPr>
        <w:spacing w:line="60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28"/>
          <w:rFonts w:hint="eastAsia" w:ascii="Times New Roman" w:hAnsi="Times New Roman" w:eastAsia="黑体"/>
          <w:b w:val="0"/>
          <w:color w:val="auto"/>
          <w:highlight w:val="none"/>
          <w:lang w:eastAsia="zh-CN"/>
        </w:rPr>
      </w:pPr>
      <w:bookmarkStart w:id="59"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60"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60"/>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pPr>
        <w:keepNext w:val="0"/>
        <w:keepLines w:val="0"/>
        <w:pageBreakBefore w:val="0"/>
        <w:widowControl/>
        <w:kinsoku/>
        <w:wordWrap/>
        <w:overflowPunct/>
        <w:topLinePunct w:val="0"/>
        <w:autoSpaceDE/>
        <w:autoSpaceDN/>
        <w:bidi w:val="0"/>
        <w:spacing w:line="578" w:lineRule="exact"/>
        <w:contextualSpacing/>
        <w:jc w:val="both"/>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九三学社四川省委员会</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2023年部门预算绩效评价报告</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（报告范围包括机关和下属单位）</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楷体_GB2312"/>
          <w:b/>
          <w:color w:val="auto"/>
          <w:sz w:val="32"/>
          <w:szCs w:val="32"/>
          <w:highlight w:val="none"/>
          <w:lang w:val="zh-CN"/>
        </w:rPr>
      </w:pPr>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九三学社四川省委员会系省财政一级预算部门，本部门下属二级预算行政单位1个，即九三学社四川省委员会机关。九三学社四川省委员会机关内设处室6个，分别是办公室、组织处、宣传处、参政议政处、科技工作处、研究室。</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楷体_GB2312"/>
          <w:b/>
          <w:color w:val="auto"/>
          <w:sz w:val="32"/>
          <w:szCs w:val="32"/>
          <w:highlight w:val="none"/>
          <w:lang w:val="zh-CN"/>
        </w:rPr>
        <w:t>机构职能</w:t>
      </w:r>
      <w:r>
        <w:rPr>
          <w:rFonts w:hint="eastAsia" w:ascii="Times New Roman" w:hAnsi="Times New Roman" w:eastAsia="楷体_GB2312" w:cs="楷体_GB2312"/>
          <w:b/>
          <w:color w:val="auto"/>
          <w:sz w:val="32"/>
          <w:szCs w:val="32"/>
          <w:highlight w:val="none"/>
          <w:lang w:val="zh-CN"/>
        </w:rPr>
        <w:t>。</w:t>
      </w:r>
      <w:r>
        <w:rPr>
          <w:rFonts w:hint="eastAsia" w:eastAsia="仿宋_GB2312" w:cs="Times New Roman"/>
          <w:sz w:val="32"/>
          <w:szCs w:val="32"/>
          <w:lang w:val="en-US" w:eastAsia="zh-CN"/>
        </w:rPr>
        <w:t>九三学社四川省委员会</w:t>
      </w:r>
      <w:r>
        <w:rPr>
          <w:rFonts w:eastAsia="仿宋_GB2312"/>
          <w:color w:val="000000"/>
          <w:kern w:val="0"/>
          <w:sz w:val="32"/>
          <w:szCs w:val="32"/>
        </w:rPr>
        <w:t>系民主党派省级组织</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主要</w:t>
      </w:r>
      <w:r>
        <w:rPr>
          <w:rFonts w:hint="eastAsia" w:eastAsia="仿宋_GB2312" w:cs="Times New Roman"/>
          <w:sz w:val="32"/>
          <w:szCs w:val="32"/>
          <w:lang w:val="en-US" w:eastAsia="zh-CN"/>
        </w:rPr>
        <w:t>职能为：</w:t>
      </w:r>
      <w:r>
        <w:rPr>
          <w:rFonts w:eastAsia="仿宋_GB2312"/>
          <w:color w:val="000000"/>
          <w:kern w:val="0"/>
          <w:sz w:val="32"/>
          <w:szCs w:val="32"/>
        </w:rPr>
        <w:t>民主监督、参政议政、参加中国共产党领导的政治协商。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Times New Roman"/>
          <w:sz w:val="32"/>
          <w:szCs w:val="32"/>
          <w:highlight w:val="none"/>
          <w:lang w:val="en-US" w:eastAsia="zh-CN"/>
        </w:rPr>
        <w:t>截至202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年末，</w:t>
      </w:r>
      <w:r>
        <w:rPr>
          <w:rFonts w:hint="eastAsia" w:eastAsia="仿宋_GB2312" w:cs="Times New Roman"/>
          <w:sz w:val="32"/>
          <w:szCs w:val="32"/>
          <w:lang w:val="en-US" w:eastAsia="zh-CN"/>
        </w:rPr>
        <w:t>九三学社四川省委员会</w:t>
      </w:r>
      <w:r>
        <w:rPr>
          <w:rFonts w:hint="eastAsia" w:ascii="Times New Roman" w:hAnsi="Times New Roman" w:eastAsia="仿宋_GB2312" w:cs="Times New Roman"/>
          <w:sz w:val="32"/>
          <w:szCs w:val="32"/>
          <w:lang w:val="en-US" w:eastAsia="zh-CN"/>
        </w:rPr>
        <w:t>部门</w:t>
      </w:r>
      <w:r>
        <w:rPr>
          <w:rFonts w:hint="eastAsia" w:eastAsia="仿宋_GB2312"/>
          <w:sz w:val="32"/>
          <w:szCs w:val="32"/>
        </w:rPr>
        <w:t>核定编制人数</w:t>
      </w:r>
      <w:r>
        <w:rPr>
          <w:rFonts w:hint="eastAsia" w:eastAsia="仿宋_GB2312"/>
          <w:color w:val="auto"/>
          <w:sz w:val="32"/>
          <w:szCs w:val="32"/>
          <w:lang w:val="en-US" w:eastAsia="zh-CN"/>
        </w:rPr>
        <w:t>31</w:t>
      </w:r>
      <w:r>
        <w:rPr>
          <w:rFonts w:hint="eastAsia" w:eastAsia="仿宋_GB2312"/>
          <w:sz w:val="32"/>
          <w:szCs w:val="32"/>
        </w:rPr>
        <w:t>人，</w:t>
      </w:r>
      <w:r>
        <w:rPr>
          <w:rFonts w:hint="eastAsia" w:eastAsia="仿宋_GB2312"/>
          <w:sz w:val="32"/>
          <w:szCs w:val="32"/>
          <w:lang w:val="en-US" w:eastAsia="zh-CN"/>
        </w:rPr>
        <w:t>其中，行政编制29人，事业编制2名</w:t>
      </w:r>
      <w:r>
        <w:rPr>
          <w:rFonts w:hint="eastAsia" w:eastAsia="仿宋_GB2312"/>
          <w:sz w:val="32"/>
          <w:szCs w:val="32"/>
        </w:rPr>
        <w:t>。</w:t>
      </w:r>
      <w:r>
        <w:rPr>
          <w:rFonts w:hint="eastAsia" w:eastAsia="仿宋_GB2312"/>
          <w:sz w:val="32"/>
          <w:szCs w:val="32"/>
          <w:lang w:val="en-US" w:eastAsia="zh-CN"/>
        </w:rPr>
        <w:t>年末</w:t>
      </w:r>
      <w:r>
        <w:rPr>
          <w:rFonts w:hint="eastAsia" w:eastAsia="仿宋_GB2312"/>
          <w:sz w:val="32"/>
          <w:szCs w:val="32"/>
        </w:rPr>
        <w:t>实有在编人员</w:t>
      </w:r>
      <w:r>
        <w:rPr>
          <w:rFonts w:hint="eastAsia" w:eastAsia="仿宋_GB2312"/>
          <w:sz w:val="32"/>
          <w:szCs w:val="32"/>
          <w:lang w:val="en-US" w:eastAsia="zh-CN"/>
        </w:rPr>
        <w:t>30人，</w:t>
      </w:r>
      <w:r>
        <w:rPr>
          <w:rFonts w:eastAsia="仿宋_GB2312"/>
          <w:sz w:val="32"/>
          <w:szCs w:val="32"/>
          <w:highlight w:val="none"/>
        </w:rPr>
        <w:t>其中：行政人员</w:t>
      </w:r>
      <w:r>
        <w:rPr>
          <w:rFonts w:hint="eastAsia" w:eastAsia="仿宋_GB2312"/>
          <w:sz w:val="32"/>
          <w:szCs w:val="32"/>
          <w:highlight w:val="none"/>
          <w:lang w:val="en-US" w:eastAsia="zh-CN"/>
        </w:rPr>
        <w:t>29</w:t>
      </w:r>
      <w:r>
        <w:rPr>
          <w:rFonts w:eastAsia="仿宋_GB2312"/>
          <w:sz w:val="32"/>
          <w:szCs w:val="32"/>
          <w:highlight w:val="none"/>
        </w:rPr>
        <w:t>人；参照公务员管理事业人员</w:t>
      </w:r>
      <w:r>
        <w:rPr>
          <w:rFonts w:hint="eastAsia" w:eastAsia="仿宋_GB2312"/>
          <w:sz w:val="32"/>
          <w:szCs w:val="32"/>
          <w:highlight w:val="none"/>
          <w:lang w:val="en-US" w:eastAsia="zh-CN"/>
        </w:rPr>
        <w:t>1人</w:t>
      </w:r>
      <w:r>
        <w:rPr>
          <w:rFonts w:hint="eastAsia" w:eastAsia="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en-US"/>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仿宋_GB2312" w:cs="仿宋_GB2312"/>
          <w:color w:val="auto"/>
          <w:kern w:val="2"/>
          <w:sz w:val="32"/>
          <w:szCs w:val="32"/>
          <w:highlight w:val="none"/>
          <w:lang w:val="en-US" w:eastAsia="zh-CN" w:bidi="ar-SA"/>
        </w:rPr>
        <w:t>九三学社四川省委员会</w:t>
      </w:r>
      <w:r>
        <w:rPr>
          <w:rFonts w:hint="eastAsia" w:ascii="Times New Roman" w:hAnsi="Times New Roman" w:eastAsia="仿宋_GB2312" w:cs="Times New Roman"/>
          <w:sz w:val="32"/>
          <w:szCs w:val="32"/>
          <w:highlight w:val="none"/>
          <w:lang w:val="en-US" w:eastAsia="zh-CN"/>
        </w:rPr>
        <w:t>2024年年初预算收入1,</w:t>
      </w:r>
      <w:r>
        <w:rPr>
          <w:rFonts w:hint="eastAsia" w:eastAsia="仿宋_GB2312" w:cs="Times New Roman"/>
          <w:sz w:val="32"/>
          <w:szCs w:val="32"/>
          <w:highlight w:val="none"/>
          <w:lang w:val="en-US" w:eastAsia="zh-CN"/>
        </w:rPr>
        <w:t>365</w:t>
      </w:r>
      <w:r>
        <w:rPr>
          <w:rFonts w:hint="eastAsia"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16</w:t>
      </w:r>
      <w:r>
        <w:rPr>
          <w:rFonts w:hint="eastAsia" w:ascii="Times New Roman" w:hAnsi="Times New Roman" w:eastAsia="仿宋_GB2312" w:cs="Times New Roman"/>
          <w:sz w:val="32"/>
          <w:szCs w:val="32"/>
          <w:highlight w:val="none"/>
          <w:lang w:val="en-US" w:eastAsia="zh-CN"/>
        </w:rPr>
        <w:t>万元，均为一般公共预算财政拨款收入；决算报表收入总计1,</w:t>
      </w:r>
      <w:r>
        <w:rPr>
          <w:rFonts w:hint="eastAsia" w:eastAsia="仿宋_GB2312" w:cs="Times New Roman"/>
          <w:sz w:val="32"/>
          <w:szCs w:val="32"/>
          <w:highlight w:val="none"/>
          <w:lang w:val="en-US" w:eastAsia="zh-CN"/>
        </w:rPr>
        <w:t>476</w:t>
      </w:r>
      <w:r>
        <w:rPr>
          <w:rFonts w:hint="eastAsia"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0万元。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both"/>
        <w:textAlignment w:val="auto"/>
        <w:outlineLvl w:val="9"/>
        <w:rPr>
          <w:rFonts w:hint="default" w:eastAsia="仿宋_GB2312"/>
          <w:sz w:val="32"/>
          <w:highlight w:val="none"/>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仿宋_GB2312" w:cs="仿宋_GB2312"/>
          <w:color w:val="auto"/>
          <w:kern w:val="2"/>
          <w:sz w:val="32"/>
          <w:szCs w:val="32"/>
          <w:highlight w:val="none"/>
          <w:lang w:val="en-US" w:eastAsia="zh-CN" w:bidi="ar-SA"/>
        </w:rPr>
        <w:t>九三学社四川省委员会</w:t>
      </w:r>
      <w:r>
        <w:rPr>
          <w:rFonts w:hint="eastAsia" w:ascii="Times New Roman" w:hAnsi="Times New Roman" w:eastAsia="仿宋_GB2312" w:cs="Times New Roman"/>
          <w:sz w:val="32"/>
          <w:szCs w:val="32"/>
          <w:highlight w:val="none"/>
          <w:lang w:val="en-US" w:eastAsia="zh-CN"/>
        </w:rPr>
        <w:t>2024年年初预算1,365.16万元，其中：其中：基本支出</w:t>
      </w:r>
      <w:r>
        <w:rPr>
          <w:rFonts w:hint="eastAsia" w:eastAsia="仿宋_GB2312" w:cs="Times New Roman"/>
          <w:sz w:val="32"/>
          <w:szCs w:val="32"/>
          <w:highlight w:val="none"/>
          <w:lang w:val="en-US" w:eastAsia="zh-CN"/>
        </w:rPr>
        <w:t>1065.16</w:t>
      </w:r>
      <w:r>
        <w:rPr>
          <w:rFonts w:hint="eastAsia" w:ascii="Times New Roman" w:hAnsi="Times New Roman" w:eastAsia="仿宋_GB2312" w:cs="Times New Roman"/>
          <w:sz w:val="32"/>
          <w:szCs w:val="32"/>
          <w:highlight w:val="none"/>
          <w:lang w:val="en-US" w:eastAsia="zh-CN"/>
        </w:rPr>
        <w:t>万元（人员经费</w:t>
      </w:r>
      <w:r>
        <w:rPr>
          <w:rFonts w:hint="eastAsia" w:eastAsia="仿宋_GB2312" w:cs="Times New Roman"/>
          <w:sz w:val="32"/>
          <w:szCs w:val="32"/>
          <w:highlight w:val="none"/>
          <w:lang w:val="en-US" w:eastAsia="zh-CN"/>
        </w:rPr>
        <w:t>733.63</w:t>
      </w:r>
      <w:r>
        <w:rPr>
          <w:rFonts w:hint="eastAsia" w:ascii="Times New Roman" w:hAnsi="Times New Roman" w:eastAsia="仿宋_GB2312" w:cs="Times New Roman"/>
          <w:sz w:val="32"/>
          <w:szCs w:val="32"/>
          <w:highlight w:val="none"/>
          <w:lang w:val="en-US" w:eastAsia="zh-CN"/>
        </w:rPr>
        <w:t>万元、日常公用经费</w:t>
      </w:r>
      <w:r>
        <w:rPr>
          <w:rFonts w:hint="eastAsia" w:eastAsia="仿宋_GB2312" w:cs="Times New Roman"/>
          <w:sz w:val="32"/>
          <w:szCs w:val="32"/>
          <w:highlight w:val="none"/>
          <w:lang w:val="en-US" w:eastAsia="zh-CN"/>
        </w:rPr>
        <w:t>331.53</w:t>
      </w:r>
      <w:r>
        <w:rPr>
          <w:rFonts w:hint="eastAsia" w:ascii="Times New Roman" w:hAnsi="Times New Roman" w:eastAsia="仿宋_GB2312" w:cs="Times New Roman"/>
          <w:sz w:val="32"/>
          <w:szCs w:val="32"/>
          <w:highlight w:val="none"/>
          <w:lang w:val="en-US" w:eastAsia="zh-CN"/>
        </w:rPr>
        <w:t>万元），项目支出</w:t>
      </w:r>
      <w:r>
        <w:rPr>
          <w:rFonts w:hint="eastAsia" w:eastAsia="仿宋_GB2312" w:cs="Times New Roman"/>
          <w:sz w:val="32"/>
          <w:szCs w:val="32"/>
          <w:highlight w:val="none"/>
          <w:lang w:val="en-US" w:eastAsia="zh-CN"/>
        </w:rPr>
        <w:t>300</w:t>
      </w:r>
      <w:r>
        <w:rPr>
          <w:rFonts w:hint="eastAsia" w:ascii="Times New Roman" w:hAnsi="Times New Roman" w:eastAsia="仿宋_GB2312" w:cs="Times New Roman"/>
          <w:sz w:val="32"/>
          <w:szCs w:val="32"/>
          <w:highlight w:val="none"/>
          <w:lang w:val="en-US" w:eastAsia="zh-CN"/>
        </w:rPr>
        <w:t>万元；决算报表支出</w:t>
      </w:r>
      <w:r>
        <w:rPr>
          <w:rFonts w:hint="eastAsia" w:eastAsia="仿宋_GB2312" w:cs="Times New Roman"/>
          <w:sz w:val="32"/>
          <w:szCs w:val="32"/>
          <w:highlight w:val="none"/>
          <w:lang w:val="en-US" w:eastAsia="zh-CN"/>
        </w:rPr>
        <w:t>1,476.30</w:t>
      </w:r>
      <w:r>
        <w:rPr>
          <w:rFonts w:hint="eastAsia" w:ascii="Times New Roman" w:hAnsi="Times New Roman" w:eastAsia="仿宋_GB2312" w:cs="Times New Roman"/>
          <w:sz w:val="32"/>
          <w:szCs w:val="32"/>
          <w:highlight w:val="none"/>
          <w:lang w:val="en-US" w:eastAsia="zh-CN"/>
        </w:rPr>
        <w:t>万元，其中：基本支出</w:t>
      </w:r>
      <w:r>
        <w:rPr>
          <w:rFonts w:hint="eastAsia" w:eastAsia="仿宋_GB2312" w:cs="Times New Roman"/>
          <w:sz w:val="32"/>
          <w:szCs w:val="32"/>
          <w:highlight w:val="none"/>
          <w:lang w:val="en-US" w:eastAsia="zh-CN"/>
        </w:rPr>
        <w:t>1,176.70</w:t>
      </w:r>
      <w:r>
        <w:rPr>
          <w:rFonts w:hint="eastAsia" w:ascii="Times New Roman" w:hAnsi="Times New Roman" w:eastAsia="仿宋_GB2312" w:cs="Times New Roman"/>
          <w:sz w:val="32"/>
          <w:szCs w:val="32"/>
          <w:highlight w:val="none"/>
          <w:lang w:val="en-US" w:eastAsia="zh-CN"/>
        </w:rPr>
        <w:t>万元（人员经费</w:t>
      </w:r>
      <w:r>
        <w:rPr>
          <w:rFonts w:hint="eastAsia" w:eastAsia="仿宋_GB2312" w:cs="Times New Roman"/>
          <w:sz w:val="32"/>
          <w:szCs w:val="32"/>
          <w:highlight w:val="none"/>
          <w:lang w:val="en-US" w:eastAsia="zh-CN"/>
        </w:rPr>
        <w:t>847.85</w:t>
      </w:r>
      <w:r>
        <w:rPr>
          <w:rFonts w:hint="eastAsia" w:ascii="Times New Roman" w:hAnsi="Times New Roman" w:eastAsia="仿宋_GB2312" w:cs="Times New Roman"/>
          <w:sz w:val="32"/>
          <w:szCs w:val="32"/>
          <w:highlight w:val="none"/>
          <w:lang w:val="en-US" w:eastAsia="zh-CN"/>
        </w:rPr>
        <w:t>万元、日常公用经费</w:t>
      </w:r>
      <w:r>
        <w:rPr>
          <w:rFonts w:hint="eastAsia" w:eastAsia="仿宋_GB2312" w:cs="Times New Roman"/>
          <w:sz w:val="32"/>
          <w:szCs w:val="32"/>
          <w:highlight w:val="none"/>
          <w:lang w:val="en-US" w:eastAsia="zh-CN"/>
        </w:rPr>
        <w:t>328.85</w:t>
      </w:r>
      <w:r>
        <w:rPr>
          <w:rFonts w:hint="eastAsia" w:ascii="Times New Roman" w:hAnsi="Times New Roman" w:eastAsia="仿宋_GB2312" w:cs="Times New Roman"/>
          <w:sz w:val="32"/>
          <w:szCs w:val="32"/>
          <w:highlight w:val="none"/>
          <w:lang w:val="en-US" w:eastAsia="zh-CN"/>
        </w:rPr>
        <w:t>万元）</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项目支出</w:t>
      </w:r>
      <w:r>
        <w:rPr>
          <w:rFonts w:hint="eastAsia" w:eastAsia="仿宋_GB2312" w:cs="Times New Roman"/>
          <w:sz w:val="32"/>
          <w:szCs w:val="32"/>
          <w:highlight w:val="none"/>
          <w:lang w:val="en-US" w:eastAsia="zh-CN"/>
        </w:rPr>
        <w:t>299.60</w:t>
      </w:r>
      <w:r>
        <w:rPr>
          <w:rFonts w:hint="eastAsia" w:ascii="Times New Roman" w:hAnsi="Times New Roman" w:eastAsia="仿宋_GB2312" w:cs="Times New Roman"/>
          <w:sz w:val="32"/>
          <w:szCs w:val="32"/>
          <w:highlight w:val="none"/>
          <w:lang w:val="en-US" w:eastAsia="zh-CN"/>
        </w:rPr>
        <w:t>万元。</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b w:val="0"/>
          <w:bCs w:val="0"/>
          <w:color w:val="000000"/>
          <w:kern w:val="0"/>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ascii="Times New Roman" w:hAnsi="Times New Roman" w:eastAsia="仿宋_GB2312" w:cs="仿宋_GB2312"/>
          <w:color w:val="auto"/>
          <w:kern w:val="2"/>
          <w:sz w:val="32"/>
          <w:szCs w:val="32"/>
          <w:highlight w:val="none"/>
          <w:lang w:val="en-US" w:eastAsia="zh-CN" w:bidi="ar-SA"/>
        </w:rPr>
        <w:t>九三学社四川省委员会</w:t>
      </w:r>
      <w:r>
        <w:rPr>
          <w:rFonts w:hint="eastAsia" w:ascii="Times New Roman" w:hAnsi="Times New Roman" w:eastAsia="仿宋_GB2312" w:cs="Times New Roman"/>
          <w:sz w:val="32"/>
          <w:szCs w:val="32"/>
          <w:highlight w:val="none"/>
          <w:lang w:val="en-US" w:eastAsia="zh-CN"/>
        </w:rPr>
        <w:t>2024年决算决算报表决算收入1,476.30万元，决算支出1,476.30万元，年末无结转结余。</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仿宋_GB2312"/>
          <w:color w:val="0000FF"/>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履职效能。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1）开展“九地合作”次数：2024年，九三学社四川省委员会年初绩效指标开展“九地合作”次数目标值为6次，实际完成值为7次，超目标值1次。该项指标得分为5分</w:t>
      </w:r>
      <w:r>
        <w:rPr>
          <w:rFonts w:hint="eastAsia" w:ascii="Times New Roman" w:hAnsi="Times New Roman" w:eastAsia="仿宋_GB2312" w:cs="仿宋_GB2312"/>
          <w:color w:val="auto"/>
          <w:kern w:val="2"/>
          <w:sz w:val="32"/>
          <w:szCs w:val="32"/>
          <w:highlight w:val="none"/>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（2）提交省两会集体提案：2024年，九三学社四川省委员会年初绩效指标提交省两会集体提案目标值为20条，实际完成值为21条，超目标值17%。该项指标得分为5分。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（3）社员主体界别覆盖率：2024年，九三学社四川省委员会年初绩效指标社员主体界别覆盖率目标值为70%，实际完成值为72%，超目标2%。该项指标得分为5分。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预算管理</w:t>
      </w:r>
      <w:r>
        <w:rPr>
          <w:rFonts w:hint="eastAsia" w:ascii="Times New Roman" w:hAnsi="Times New Roman" w:eastAsia="仿宋_GB2312" w:cs="仿宋_GB2312"/>
          <w:color w:val="auto"/>
          <w:kern w:val="2"/>
          <w:sz w:val="32"/>
          <w:szCs w:val="32"/>
          <w:highlight w:val="none"/>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预算编制质量</w:t>
      </w:r>
      <w:r>
        <w:rPr>
          <w:rFonts w:hint="eastAsia" w:eastAsia="仿宋_GB2312" w:cs="仿宋_GB2312"/>
          <w:color w:val="auto"/>
          <w:kern w:val="2"/>
          <w:sz w:val="32"/>
          <w:szCs w:val="32"/>
          <w:highlight w:val="none"/>
          <w:lang w:val="zh-CN" w:eastAsia="zh-CN" w:bidi="ar-SA"/>
        </w:rPr>
        <w:t>：2024年度，九三学社四川省委员会财政拨款年初预算1365.16万元、实际执行1476.30万元，偏离度为8%；资产配置年初预算25.9万元，实际执行25.65万元，偏离度为0.96%；政府采购年初预算32.9万元，实际执行32.68万元，偏离度为8%，该项指标得分为7.5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zh-CN" w:eastAsia="zh-CN" w:bidi="ar-SA"/>
        </w:rPr>
        <w:t>单位收入统筹</w:t>
      </w:r>
      <w:r>
        <w:rPr>
          <w:rFonts w:hint="eastAsia" w:eastAsia="仿宋_GB2312" w:cs="仿宋_GB2312"/>
          <w:color w:val="auto"/>
          <w:kern w:val="2"/>
          <w:sz w:val="32"/>
          <w:szCs w:val="32"/>
          <w:highlight w:val="none"/>
          <w:lang w:val="zh-CN" w:eastAsia="zh-CN" w:bidi="ar-SA"/>
        </w:rPr>
        <w:t>：2024年九三学社四川省委员会年初无自有收入及自有收入执行。该项指标得分为4分。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zh-CN" w:eastAsia="zh-CN" w:bidi="ar-SA"/>
        </w:rPr>
        <w:t>支出执行进度</w:t>
      </w:r>
      <w:r>
        <w:rPr>
          <w:rFonts w:hint="eastAsia" w:eastAsia="仿宋_GB2312" w:cs="仿宋_GB2312"/>
          <w:color w:val="auto"/>
          <w:kern w:val="2"/>
          <w:sz w:val="32"/>
          <w:szCs w:val="32"/>
          <w:highlight w:val="none"/>
          <w:lang w:val="zh-CN" w:eastAsia="zh-CN" w:bidi="ar-SA"/>
        </w:rPr>
        <w:t>：2024年九三学社四川省委员会1-6月预算执行数为633.48万元，部门预算数为1498.21万元，执行率为42.3%，1-6月支出预警金额为6.9万元，占支出金额的1%，1-6月无违规金额，1-10月预算执行数为1138.15万元，部门预算数为1498.21万元，执行率为76%，1-10月支出预警金额为7.47万元，占支出金额的0.6%，1-10月无违规金额，该项指标得分为3.52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zh-CN" w:eastAsia="zh-CN" w:bidi="ar-SA"/>
        </w:rPr>
        <w:t>预算年终结余</w:t>
      </w:r>
      <w:r>
        <w:rPr>
          <w:rFonts w:hint="eastAsia" w:eastAsia="仿宋_GB2312" w:cs="仿宋_GB2312"/>
          <w:color w:val="auto"/>
          <w:kern w:val="2"/>
          <w:sz w:val="32"/>
          <w:szCs w:val="32"/>
          <w:highlight w:val="none"/>
          <w:lang w:val="zh-CN" w:eastAsia="zh-CN" w:bidi="ar-SA"/>
        </w:rPr>
        <w:t>：2024年九三学社四川省委员会全年预算数为1498.2万元，执行数为1476.3万元，执行率为98.54%，部门整体预算结余率为1.46%。该项指标得分为1.9708分。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zh-CN" w:eastAsia="zh-CN" w:bidi="ar-SA"/>
        </w:rPr>
        <w:t>严控一般性支出</w:t>
      </w:r>
      <w:r>
        <w:rPr>
          <w:rFonts w:hint="eastAsia" w:eastAsia="仿宋_GB2312" w:cs="仿宋_GB2312"/>
          <w:color w:val="auto"/>
          <w:kern w:val="2"/>
          <w:sz w:val="32"/>
          <w:szCs w:val="32"/>
          <w:highlight w:val="none"/>
          <w:lang w:val="zh-CN" w:eastAsia="zh-CN" w:bidi="ar-SA"/>
        </w:rPr>
        <w:t>：2023年度，九三学社四川省委员会一般性支出财政拨款年初预算168万元，2024年度，九三学社四川省委员会一般性支出财政拨款年初预算179万元，与上年相比，增长11万元，未压减率；2023年度，九三学社四川省委员会一般性支出财政拨款预算执行150万元，2024年度，九三学社四川省委员会一般性支出财政拨款预算执行170万元，与上年相比，增长20万元，未压减。故该项不得分。</w:t>
      </w:r>
      <w:r>
        <w:rPr>
          <w:rFonts w:hint="eastAsia" w:ascii="Times New Roman" w:hAnsi="Times New Roman" w:eastAsia="仿宋_GB2312" w:cs="仿宋_GB2312"/>
          <w:color w:val="auto"/>
          <w:kern w:val="2"/>
          <w:sz w:val="32"/>
          <w:szCs w:val="32"/>
          <w:highlight w:val="none"/>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default" w:ascii="Times New Roman" w:hAnsi="Times New Roman" w:eastAsia="仿宋_GB2312" w:cs="仿宋_GB2312"/>
          <w:color w:val="auto"/>
          <w:kern w:val="2"/>
          <w:sz w:val="32"/>
          <w:szCs w:val="32"/>
          <w:highlight w:val="none"/>
          <w:lang w:val="zh-CN" w:eastAsia="zh-CN" w:bidi="ar-SA"/>
        </w:rPr>
        <w:t>财务管理</w:t>
      </w:r>
      <w:r>
        <w:rPr>
          <w:rFonts w:hint="eastAsia" w:ascii="Times New Roman" w:hAnsi="Times New Roman" w:eastAsia="仿宋_GB2312" w:cs="仿宋_GB2312"/>
          <w:color w:val="auto"/>
          <w:kern w:val="2"/>
          <w:sz w:val="32"/>
          <w:szCs w:val="32"/>
          <w:highlight w:val="none"/>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财务管理制度</w:t>
      </w:r>
      <w:r>
        <w:rPr>
          <w:rFonts w:hint="eastAsia" w:eastAsia="仿宋_GB2312" w:cs="仿宋_GB2312"/>
          <w:color w:val="auto"/>
          <w:kern w:val="2"/>
          <w:sz w:val="32"/>
          <w:szCs w:val="32"/>
          <w:highlight w:val="none"/>
          <w:lang w:val="zh-CN" w:eastAsia="zh-CN" w:bidi="ar-SA"/>
        </w:rPr>
        <w:t>：2024年九三学社四川省委员会按照《行政事业单位内部控制规范（试行）》（财会〔2012〕21号）和《四川省财政厅关于印发〈四川省省级行政事业单位内部控制建设指引〉的通知》（川财会〔2019〕37号）的要求编制了内控制度，对单位内部财务管理制度进行了规范。从每年开展的内控制度评价情况，以及历年内审和绩效评价结果来看，相关财务管理制度得到了有效的执行。该项指标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lang w:val="zh-CN" w:eastAsia="zh-CN"/>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zh-CN" w:eastAsia="zh-CN" w:bidi="ar-SA"/>
        </w:rPr>
        <w:t>财务岗位设置</w:t>
      </w:r>
      <w:r>
        <w:rPr>
          <w:rFonts w:hint="eastAsia" w:eastAsia="仿宋_GB2312" w:cs="仿宋_GB2312"/>
          <w:color w:val="auto"/>
          <w:kern w:val="2"/>
          <w:sz w:val="32"/>
          <w:szCs w:val="32"/>
          <w:highlight w:val="none"/>
          <w:lang w:val="zh-CN" w:eastAsia="zh-CN" w:bidi="ar-SA"/>
        </w:rPr>
        <w:t>：根据《九三学社四川省委员会内部控制管理手册》，设置财务工作岗位3人，分别是出纳、会计和财务负责人，按照不相容岗位相分离的原则，对收款与会计核算、支出申请与审批、支出审批与付款、业务经办与会计核算等不相容岗位予以分离，并明确了相关职责权限。该项指标得分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zh-CN" w:eastAsia="zh-CN" w:bidi="ar-SA"/>
        </w:rPr>
        <w:t>资金使用规范</w:t>
      </w:r>
      <w:r>
        <w:rPr>
          <w:rFonts w:hint="eastAsia" w:eastAsia="仿宋_GB2312" w:cs="仿宋_GB2312"/>
          <w:color w:val="auto"/>
          <w:kern w:val="2"/>
          <w:sz w:val="32"/>
          <w:szCs w:val="32"/>
          <w:highlight w:val="none"/>
          <w:lang w:val="zh-CN" w:eastAsia="zh-CN" w:bidi="ar-SA"/>
        </w:rPr>
        <w:t>：</w:t>
      </w:r>
      <w:r>
        <w:rPr>
          <w:rFonts w:hint="eastAsia" w:ascii="Times New Roman" w:hAnsi="Times New Roman" w:eastAsia="仿宋_GB2312" w:cs="仿宋_GB2312"/>
          <w:color w:val="auto"/>
          <w:kern w:val="2"/>
          <w:sz w:val="32"/>
          <w:szCs w:val="32"/>
          <w:highlight w:val="none"/>
          <w:lang w:val="zh-CN" w:eastAsia="zh-CN" w:bidi="ar-SA"/>
        </w:rPr>
        <w:t>。九三学社四川省委员会按照财政预算批复的资金使用资金，未发现违反财务管理制度规定的。该项指标得分4分。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zh-CN" w:eastAsia="zh-CN" w:bidi="ar-SA"/>
        </w:rPr>
        <w:t>资产管理</w:t>
      </w:r>
      <w:r>
        <w:rPr>
          <w:rFonts w:hint="eastAsia" w:ascii="Times New Roman" w:hAnsi="Times New Roman" w:eastAsia="仿宋_GB2312" w:cs="仿宋_GB2312"/>
          <w:color w:val="auto"/>
          <w:kern w:val="2"/>
          <w:sz w:val="32"/>
          <w:szCs w:val="32"/>
          <w:highlight w:val="none"/>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人均资产变化率</w:t>
      </w:r>
      <w:r>
        <w:rPr>
          <w:rFonts w:hint="eastAsia" w:eastAsia="仿宋_GB2312" w:cs="仿宋_GB2312"/>
          <w:color w:val="auto"/>
          <w:kern w:val="2"/>
          <w:sz w:val="32"/>
          <w:szCs w:val="32"/>
          <w:highlight w:val="none"/>
          <w:lang w:val="zh-CN" w:eastAsia="zh-CN" w:bidi="ar-SA"/>
        </w:rPr>
        <w:t>：九三学社四川省委员会2024年资产净值为100.27万元，年末实有人数为30人，人均占有资产3.34万元；2023年资产净为92.35万元，2023年年末实有人数为29人，2023年人均占有资产3.18万元，单位2024年人均资产变化率为5%，省级单位人均资产变化率为3.94%，则3.94%＜4.7%≤1.2×3.94%，故得分为0.9分，2024年单位人均资产增长率为5%，高于省直财政收入增长率1.8%，不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zh-CN" w:eastAsia="zh-CN" w:bidi="ar-SA"/>
        </w:rPr>
        <w:t>资产利用率</w:t>
      </w:r>
      <w:r>
        <w:rPr>
          <w:rFonts w:hint="eastAsia" w:eastAsia="仿宋_GB2312" w:cs="仿宋_GB2312"/>
          <w:color w:val="auto"/>
          <w:kern w:val="2"/>
          <w:sz w:val="32"/>
          <w:szCs w:val="32"/>
          <w:highlight w:val="none"/>
          <w:lang w:val="zh-CN" w:eastAsia="zh-CN" w:bidi="ar-SA"/>
        </w:rPr>
        <w:t>：九三学社四川省委员会2024年办公家具的超最低使用年限账面价值为2.58万元，办公家具账面价值为19.05万元，办公冡具的超最低使用年限为资产利用率为13.54%，0.8*16.77%＜13.54%＜省直部门办公家具超最低使用年限资产利用率为16.77%，得0.9分</w:t>
      </w:r>
      <w:r>
        <w:rPr>
          <w:rFonts w:hint="eastAsia"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zh-CN" w:eastAsia="zh-CN" w:bidi="ar-SA"/>
        </w:rPr>
        <w:t>九三学社四川省委员会2024年办公设超最低使用年限账面价值为62.63万元，办公设备账面价值为200.66万元，办公设备账的超最低使用年限为资产利用率为31.2%，省直部门办公设务超最低使用年限资产利用率为41.2%，办公设备的超最低使用年限为资产利用率为0.6*41.2%＜31.2%＜省直部门办公设备超最低使用年限资产利用率为41.2%，得0.6分，该项指标得分1.5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zh-CN" w:eastAsia="zh-CN" w:bidi="ar-SA"/>
        </w:rPr>
        <w:t>资产盘活率</w:t>
      </w:r>
      <w:r>
        <w:rPr>
          <w:rFonts w:hint="eastAsia" w:eastAsia="仿宋_GB2312" w:cs="仿宋_GB2312"/>
          <w:color w:val="auto"/>
          <w:kern w:val="2"/>
          <w:sz w:val="32"/>
          <w:szCs w:val="32"/>
          <w:highlight w:val="none"/>
          <w:lang w:val="zh-CN" w:eastAsia="zh-CN" w:bidi="ar-SA"/>
        </w:rPr>
        <w:t>：九三学社四川省委员会2024年无闲置资产，该项指标得分3分。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5.</w:t>
      </w:r>
      <w:r>
        <w:rPr>
          <w:rFonts w:hint="default" w:ascii="Times New Roman" w:hAnsi="Times New Roman" w:eastAsia="仿宋_GB2312" w:cs="仿宋_GB2312"/>
          <w:color w:val="auto"/>
          <w:kern w:val="2"/>
          <w:sz w:val="32"/>
          <w:szCs w:val="32"/>
          <w:highlight w:val="none"/>
          <w:lang w:val="zh-CN" w:eastAsia="zh-CN" w:bidi="ar-SA"/>
        </w:rPr>
        <w:t>采购管理</w:t>
      </w:r>
      <w:r>
        <w:rPr>
          <w:rFonts w:hint="eastAsia" w:ascii="Times New Roman" w:hAnsi="Times New Roman" w:eastAsia="仿宋_GB2312" w:cs="仿宋_GB2312"/>
          <w:color w:val="auto"/>
          <w:kern w:val="2"/>
          <w:sz w:val="32"/>
          <w:szCs w:val="32"/>
          <w:highlight w:val="none"/>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支持中小企业发展</w:t>
      </w:r>
      <w:r>
        <w:rPr>
          <w:rFonts w:hint="eastAsia" w:eastAsia="仿宋_GB2312" w:cs="仿宋_GB2312"/>
          <w:color w:val="auto"/>
          <w:kern w:val="2"/>
          <w:sz w:val="32"/>
          <w:szCs w:val="32"/>
          <w:highlight w:val="none"/>
          <w:lang w:val="zh-CN" w:eastAsia="zh-CN" w:bidi="ar-SA"/>
        </w:rPr>
        <w:t>：九三学社四川省委员会2024年涉及政府采购的事项主要是公务车运行维护费，包括公车车加油、维修和保险，其中公务车维修适宜面向中小企业采购。在编制政府采购预算时，对公务车维修服务明确面向中小企业采购。该项目指标得分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zh-CN" w:eastAsia="zh-CN" w:bidi="ar-SA"/>
        </w:rPr>
        <w:t>采购执行率</w:t>
      </w:r>
      <w:r>
        <w:rPr>
          <w:rFonts w:hint="eastAsia" w:eastAsia="仿宋_GB2312" w:cs="仿宋_GB2312"/>
          <w:color w:val="auto"/>
          <w:kern w:val="2"/>
          <w:sz w:val="32"/>
          <w:szCs w:val="32"/>
          <w:highlight w:val="none"/>
          <w:lang w:val="zh-CN" w:eastAsia="zh-CN" w:bidi="ar-SA"/>
        </w:rPr>
        <w:t>：</w:t>
      </w:r>
      <w:r>
        <w:rPr>
          <w:rFonts w:hint="eastAsia" w:ascii="Times New Roman" w:hAnsi="Times New Roman" w:eastAsia="仿宋_GB2312" w:cs="仿宋_GB2312"/>
          <w:color w:val="auto"/>
          <w:kern w:val="2"/>
          <w:sz w:val="32"/>
          <w:szCs w:val="32"/>
          <w:highlight w:val="none"/>
          <w:lang w:val="zh-CN" w:eastAsia="zh-CN" w:bidi="ar-SA"/>
        </w:rPr>
        <w:t>九三学社四川省委员会2024年度政府采购预算32.9万元，当年实际支付29.94万元，当年已完成采购项目节约金额为2.96万元，故该项指标得分3分。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both"/>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zh-CN" w:eastAsia="zh-CN" w:bidi="ar-SA"/>
        </w:rPr>
        <w:t>年度，九三学社四川省委员会共有项目</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zh-CN" w:eastAsia="zh-CN" w:bidi="ar-SA"/>
        </w:rPr>
        <w:t>个，</w:t>
      </w:r>
      <w:r>
        <w:rPr>
          <w:rFonts w:hint="eastAsia" w:eastAsia="仿宋_GB2312" w:cs="仿宋_GB2312"/>
          <w:color w:val="auto"/>
          <w:kern w:val="2"/>
          <w:sz w:val="32"/>
          <w:szCs w:val="32"/>
          <w:highlight w:val="none"/>
          <w:lang w:val="en-US" w:eastAsia="zh-CN" w:bidi="ar-SA"/>
        </w:rPr>
        <w:t>其中，</w:t>
      </w:r>
      <w:r>
        <w:rPr>
          <w:rFonts w:hint="eastAsia" w:ascii="Times New Roman" w:hAnsi="Times New Roman" w:eastAsia="仿宋_GB2312" w:cs="仿宋_GB2312"/>
          <w:color w:val="auto"/>
          <w:kern w:val="2"/>
          <w:sz w:val="32"/>
          <w:szCs w:val="32"/>
          <w:highlight w:val="none"/>
          <w:lang w:val="zh-CN" w:eastAsia="zh-CN" w:bidi="ar-SA"/>
        </w:rPr>
        <w:t>运转类项目</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zh-CN" w:eastAsia="zh-CN" w:bidi="ar-SA"/>
        </w:rPr>
        <w:t>个，特定目标类项目</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zh-CN" w:eastAsia="zh-CN" w:bidi="ar-SA"/>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仿宋_GB2312" w:cs="仿宋_GB2312"/>
          <w:color w:val="auto"/>
          <w:kern w:val="2"/>
          <w:sz w:val="32"/>
          <w:szCs w:val="32"/>
          <w:highlight w:val="none"/>
          <w:lang w:val="en-US" w:eastAsia="zh-CN" w:bidi="ar-SA"/>
        </w:rPr>
        <w:t>常年项目绩效分析。</w:t>
      </w:r>
      <w:r>
        <w:rPr>
          <w:rFonts w:hint="default" w:ascii="Times New Roman" w:hAnsi="Times New Roman" w:eastAsia="仿宋_GB2312" w:cs="仿宋_GB2312"/>
          <w:color w:val="auto"/>
          <w:kern w:val="2"/>
          <w:sz w:val="32"/>
          <w:szCs w:val="32"/>
          <w:highlight w:val="none"/>
          <w:lang w:val="zh-CN" w:eastAsia="zh-CN" w:bidi="ar-SA"/>
        </w:rPr>
        <w:t>该类项目总数</w:t>
      </w:r>
      <w:r>
        <w:rPr>
          <w:rFonts w:hint="eastAsia"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个，涉及预算总金额</w:t>
      </w:r>
      <w:r>
        <w:rPr>
          <w:rFonts w:hint="eastAsia" w:eastAsia="仿宋_GB2312" w:cs="仿宋_GB2312"/>
          <w:color w:val="auto"/>
          <w:kern w:val="2"/>
          <w:sz w:val="32"/>
          <w:szCs w:val="32"/>
          <w:highlight w:val="none"/>
          <w:lang w:val="en-US" w:eastAsia="zh-CN" w:bidi="ar-SA"/>
        </w:rPr>
        <w:t>220</w:t>
      </w:r>
      <w:r>
        <w:rPr>
          <w:rFonts w:hint="default" w:ascii="Times New Roman" w:hAnsi="Times New Roman" w:eastAsia="仿宋_GB2312" w:cs="仿宋_GB2312"/>
          <w:color w:val="auto"/>
          <w:kern w:val="2"/>
          <w:sz w:val="32"/>
          <w:szCs w:val="32"/>
          <w:highlight w:val="none"/>
          <w:lang w:val="zh-CN" w:eastAsia="zh-CN" w:bidi="ar-SA"/>
        </w:rPr>
        <w:t>万元，1</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1</w:t>
      </w:r>
      <w:r>
        <w:rPr>
          <w:rFonts w:hint="default"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月预算执行总体进度为</w:t>
      </w:r>
      <w:r>
        <w:rPr>
          <w:rFonts w:hint="eastAsia" w:eastAsia="仿宋_GB2312" w:cs="仿宋_GB2312"/>
          <w:color w:val="auto"/>
          <w:kern w:val="2"/>
          <w:sz w:val="32"/>
          <w:szCs w:val="32"/>
          <w:highlight w:val="none"/>
          <w:lang w:val="en-US" w:eastAsia="zh-CN" w:bidi="ar-SA"/>
        </w:rPr>
        <w:t>99.87</w:t>
      </w:r>
      <w:r>
        <w:rPr>
          <w:rFonts w:hint="default" w:ascii="Times New Roman" w:hAnsi="Times New Roman" w:eastAsia="仿宋_GB2312" w:cs="仿宋_GB2312"/>
          <w:color w:val="auto"/>
          <w:kern w:val="2"/>
          <w:sz w:val="32"/>
          <w:szCs w:val="32"/>
          <w:highlight w:val="none"/>
          <w:lang w:val="zh-CN" w:eastAsia="zh-CN" w:bidi="ar-SA"/>
        </w:rPr>
        <w:t>%，其中：预算结余率大于</w:t>
      </w:r>
      <w:r>
        <w:rPr>
          <w:rFonts w:hint="default" w:ascii="Times New Roman" w:hAnsi="Times New Roman" w:eastAsia="仿宋_GB2312" w:cs="仿宋_GB2312"/>
          <w:color w:val="auto"/>
          <w:kern w:val="2"/>
          <w:sz w:val="32"/>
          <w:szCs w:val="32"/>
          <w:highlight w:val="none"/>
          <w:lang w:val="en-US" w:eastAsia="zh-CN" w:bidi="ar-SA"/>
        </w:rPr>
        <w:t>10%</w:t>
      </w:r>
      <w:r>
        <w:rPr>
          <w:rFonts w:hint="default" w:ascii="Times New Roman" w:hAnsi="Times New Roman" w:eastAsia="仿宋_GB2312" w:cs="仿宋_GB2312"/>
          <w:color w:val="auto"/>
          <w:kern w:val="2"/>
          <w:sz w:val="32"/>
          <w:szCs w:val="32"/>
          <w:highlight w:val="none"/>
          <w:lang w:val="zh-CN" w:eastAsia="zh-CN" w:bidi="ar-SA"/>
        </w:rPr>
        <w:t>的项目共计</w:t>
      </w:r>
      <w:r>
        <w:rPr>
          <w:rFonts w:hint="eastAsia" w:eastAsia="仿宋_GB2312" w:cs="仿宋_GB2312"/>
          <w:color w:val="auto"/>
          <w:kern w:val="2"/>
          <w:sz w:val="32"/>
          <w:szCs w:val="32"/>
          <w:highlight w:val="none"/>
          <w:lang w:val="en-US" w:eastAsia="zh-CN" w:bidi="ar-SA"/>
        </w:rPr>
        <w:t>0</w:t>
      </w:r>
      <w:r>
        <w:rPr>
          <w:rFonts w:hint="default" w:ascii="Times New Roman" w:hAnsi="Times New Roman" w:eastAsia="仿宋_GB2312" w:cs="仿宋_GB2312"/>
          <w:color w:val="auto"/>
          <w:kern w:val="2"/>
          <w:sz w:val="32"/>
          <w:szCs w:val="32"/>
          <w:highlight w:val="none"/>
          <w:lang w:val="zh-CN" w:eastAsia="zh-CN" w:bidi="ar-SA"/>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仿宋_GB2312" w:cs="仿宋_GB2312"/>
          <w:color w:val="auto"/>
          <w:kern w:val="2"/>
          <w:sz w:val="32"/>
          <w:szCs w:val="32"/>
          <w:highlight w:val="none"/>
          <w:lang w:val="en-US" w:eastAsia="zh-CN" w:bidi="ar-SA"/>
        </w:rPr>
        <w:t>阶段</w:t>
      </w:r>
      <w:r>
        <w:rPr>
          <w:rFonts w:hint="eastAsia" w:ascii="Times New Roman" w:hAnsi="Times New Roman"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US" w:eastAsia="zh-CN" w:bidi="ar-SA"/>
        </w:rPr>
        <w:t>一次性</w:t>
      </w:r>
      <w:r>
        <w:rPr>
          <w:rFonts w:hint="eastAsia" w:ascii="Times New Roman" w:hAnsi="Times New Roman"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US" w:eastAsia="zh-CN" w:bidi="ar-SA"/>
        </w:rPr>
        <w:t>项目绩效分析。</w:t>
      </w:r>
      <w:r>
        <w:rPr>
          <w:rFonts w:hint="default" w:ascii="Times New Roman" w:hAnsi="Times New Roman" w:eastAsia="仿宋_GB2312" w:cs="仿宋_GB2312"/>
          <w:color w:val="auto"/>
          <w:kern w:val="2"/>
          <w:sz w:val="32"/>
          <w:szCs w:val="32"/>
          <w:highlight w:val="none"/>
          <w:lang w:val="zh-CN" w:eastAsia="zh-CN" w:bidi="ar-SA"/>
        </w:rPr>
        <w:t>该类项目总数</w:t>
      </w:r>
      <w:r>
        <w:rPr>
          <w:rFonts w:hint="eastAsia"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个，涉及预算总金额</w:t>
      </w:r>
      <w:r>
        <w:rPr>
          <w:rFonts w:hint="eastAsia" w:eastAsia="仿宋_GB2312" w:cs="仿宋_GB2312"/>
          <w:color w:val="auto"/>
          <w:kern w:val="2"/>
          <w:sz w:val="32"/>
          <w:szCs w:val="32"/>
          <w:highlight w:val="none"/>
          <w:lang w:val="en-US" w:eastAsia="zh-CN" w:bidi="ar-SA"/>
        </w:rPr>
        <w:t>80</w:t>
      </w:r>
      <w:r>
        <w:rPr>
          <w:rFonts w:hint="default" w:ascii="Times New Roman" w:hAnsi="Times New Roman" w:eastAsia="仿宋_GB2312" w:cs="仿宋_GB2312"/>
          <w:color w:val="auto"/>
          <w:kern w:val="2"/>
          <w:sz w:val="32"/>
          <w:szCs w:val="32"/>
          <w:highlight w:val="none"/>
          <w:lang w:val="zh-CN" w:eastAsia="zh-CN" w:bidi="ar-SA"/>
        </w:rPr>
        <w:t>万元，1</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1</w:t>
      </w:r>
      <w:r>
        <w:rPr>
          <w:rFonts w:hint="default"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月预算执行总体进度为</w:t>
      </w:r>
      <w:r>
        <w:rPr>
          <w:rFonts w:hint="eastAsia" w:eastAsia="仿宋_GB2312" w:cs="仿宋_GB2312"/>
          <w:color w:val="auto"/>
          <w:kern w:val="2"/>
          <w:sz w:val="32"/>
          <w:szCs w:val="32"/>
          <w:highlight w:val="none"/>
          <w:lang w:val="en-US" w:eastAsia="zh-CN" w:bidi="ar-SA"/>
        </w:rPr>
        <w:t>100</w:t>
      </w:r>
      <w:r>
        <w:rPr>
          <w:rFonts w:hint="default" w:ascii="Times New Roman" w:hAnsi="Times New Roman" w:eastAsia="仿宋_GB2312" w:cs="仿宋_GB2312"/>
          <w:color w:val="auto"/>
          <w:kern w:val="2"/>
          <w:sz w:val="32"/>
          <w:szCs w:val="32"/>
          <w:highlight w:val="none"/>
          <w:lang w:val="zh-CN" w:eastAsia="zh-CN" w:bidi="ar-SA"/>
        </w:rPr>
        <w:t>%，其中：预算结余率大于</w:t>
      </w:r>
      <w:r>
        <w:rPr>
          <w:rFonts w:hint="default" w:ascii="Times New Roman" w:hAnsi="Times New Roman" w:eastAsia="仿宋_GB2312" w:cs="仿宋_GB2312"/>
          <w:color w:val="auto"/>
          <w:kern w:val="2"/>
          <w:sz w:val="32"/>
          <w:szCs w:val="32"/>
          <w:highlight w:val="none"/>
          <w:lang w:val="en-US" w:eastAsia="zh-CN" w:bidi="ar-SA"/>
        </w:rPr>
        <w:t>10%</w:t>
      </w:r>
      <w:r>
        <w:rPr>
          <w:rFonts w:hint="default" w:ascii="Times New Roman" w:hAnsi="Times New Roman" w:eastAsia="仿宋_GB2312" w:cs="仿宋_GB2312"/>
          <w:color w:val="auto"/>
          <w:kern w:val="2"/>
          <w:sz w:val="32"/>
          <w:szCs w:val="32"/>
          <w:highlight w:val="none"/>
          <w:lang w:val="zh-CN" w:eastAsia="zh-CN" w:bidi="ar-SA"/>
        </w:rPr>
        <w:t>的项目共计</w:t>
      </w:r>
      <w:r>
        <w:rPr>
          <w:rFonts w:hint="eastAsia" w:eastAsia="仿宋_GB2312" w:cs="仿宋_GB2312"/>
          <w:color w:val="auto"/>
          <w:kern w:val="2"/>
          <w:sz w:val="32"/>
          <w:szCs w:val="32"/>
          <w:highlight w:val="none"/>
          <w:lang w:val="en-US" w:eastAsia="zh-CN" w:bidi="ar-SA"/>
        </w:rPr>
        <w:t>0</w:t>
      </w:r>
      <w:r>
        <w:rPr>
          <w:rFonts w:hint="default" w:ascii="Times New Roman" w:hAnsi="Times New Roman" w:eastAsia="仿宋_GB2312" w:cs="仿宋_GB2312"/>
          <w:color w:val="auto"/>
          <w:kern w:val="2"/>
          <w:sz w:val="32"/>
          <w:szCs w:val="32"/>
          <w:highlight w:val="none"/>
          <w:lang w:val="zh-CN" w:eastAsia="zh-CN" w:bidi="ar-SA"/>
        </w:rPr>
        <w:t>个。</w:t>
      </w:r>
    </w:p>
    <w:p>
      <w:pPr>
        <w:keepNext w:val="0"/>
        <w:keepLines w:val="0"/>
        <w:pageBreakBefore w:val="0"/>
        <w:widowControl w:val="0"/>
        <w:numPr>
          <w:ilvl w:val="0"/>
          <w:numId w:val="4"/>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项目决策。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lang w:val="zh-CN" w:eastAsia="zh-CN"/>
        </w:rPr>
      </w:pPr>
      <w:r>
        <w:rPr>
          <w:rFonts w:hint="eastAsia" w:eastAsia="仿宋_GB2312" w:cs="仿宋_GB2312"/>
          <w:color w:val="auto"/>
          <w:kern w:val="2"/>
          <w:sz w:val="32"/>
          <w:szCs w:val="32"/>
          <w:highlight w:val="none"/>
          <w:lang w:val="en-US" w:eastAsia="zh-CN" w:bidi="ar-SA"/>
        </w:rPr>
        <w:t>（1）决策程序：</w:t>
      </w:r>
      <w:r>
        <w:rPr>
          <w:rFonts w:hint="eastAsia" w:ascii="Times New Roman" w:hAnsi="Times New Roman" w:eastAsia="仿宋_GB2312" w:cs="仿宋_GB2312"/>
          <w:color w:val="auto"/>
          <w:kern w:val="2"/>
          <w:sz w:val="32"/>
          <w:szCs w:val="32"/>
          <w:highlight w:val="none"/>
          <w:lang w:val="zh-CN" w:eastAsia="zh-CN" w:bidi="ar-SA"/>
        </w:rPr>
        <w:t>2024年九三学社四川省委员会特定目标项目2个（一次性项目），履行事前绩效评估程序的部门预算阶段2个。部门无未履行的事前评估程序的预算阶段项目。该项指标得分4分</w:t>
      </w:r>
      <w:r>
        <w:rPr>
          <w:rFonts w:hint="eastAsia" w:eastAsia="仿宋_GB2312" w:cs="仿宋_GB2312"/>
          <w:color w:val="auto"/>
          <w:kern w:val="2"/>
          <w:sz w:val="32"/>
          <w:szCs w:val="32"/>
          <w:highlight w:val="none"/>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目标设置：2024年度，九三学社四川省委员会共有项目2个，按《四川省财政厅关于加强2023年度省级预算编制阶段绩效目标管理和事前绩效评估工作的通知》（川财绩〔2022〕12号）的要求，编制了绩效目标，绩效目标内容完整、要素齐全、指标值合理，预算与实施内容匹配。根据自评情况来看，没有未完成的绩效目标。该项指标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（3）项目入库：九三学社四川省委员会2024年度按规定时间项目已入库2个，入库及时率100%。该项指标得分4分。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2.项目执行</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资金执行同向</w:t>
      </w:r>
      <w:r>
        <w:rPr>
          <w:rFonts w:hint="eastAsia" w:eastAsia="仿宋_GB2312" w:cs="仿宋_GB2312"/>
          <w:color w:val="auto"/>
          <w:kern w:val="2"/>
          <w:sz w:val="32"/>
          <w:szCs w:val="32"/>
          <w:highlight w:val="none"/>
          <w:lang w:val="zh-CN" w:eastAsia="zh-CN" w:bidi="ar-SA"/>
        </w:rPr>
        <w:t>：通过对2个项目开展自评，项目实际列支内容均与绩效目标设置方向相符，吻合率100%，未发现资金用于非关键领域、存在不合理支出或低效浪费等情况。该项指标得分为4分。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zh-CN" w:eastAsia="zh-CN" w:bidi="ar-SA"/>
        </w:rPr>
        <w:t>项目调整</w:t>
      </w:r>
      <w:r>
        <w:rPr>
          <w:rFonts w:hint="eastAsia" w:eastAsia="仿宋_GB2312" w:cs="仿宋_GB2312"/>
          <w:color w:val="auto"/>
          <w:kern w:val="2"/>
          <w:sz w:val="32"/>
          <w:szCs w:val="32"/>
          <w:highlight w:val="none"/>
          <w:lang w:val="zh-CN" w:eastAsia="zh-CN" w:bidi="ar-SA"/>
        </w:rPr>
        <w:t>：根据省财政厅要求，九三学社四川省委员会开展了2024年度绩效动态监控，重点对项目过程管控、预算执行进度、绩效目标实现程度等开展监控，并根据监控结果，采取了对应调整措施，不涉及回收预算，调整措施应用率100.%。该项指标得分为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zh-CN" w:eastAsia="zh-CN" w:bidi="ar-SA"/>
        </w:rPr>
        <w:t>执行结果</w:t>
      </w:r>
      <w:r>
        <w:rPr>
          <w:rFonts w:hint="eastAsia" w:eastAsia="仿宋_GB2312" w:cs="仿宋_GB2312"/>
          <w:color w:val="auto"/>
          <w:kern w:val="2"/>
          <w:sz w:val="32"/>
          <w:szCs w:val="32"/>
          <w:highlight w:val="none"/>
          <w:lang w:val="zh-CN" w:eastAsia="zh-CN" w:bidi="ar-SA"/>
        </w:rPr>
        <w:t>：2024年，九三学社四川省委员会部门预算常年项目2个，特定目标类预算项目2个，项目预算结余率均小于10%，故该项指标得分4分。</w:t>
      </w:r>
      <w:r>
        <w:rPr>
          <w:rFonts w:hint="eastAsia" w:ascii="Times New Roman" w:hAnsi="Times New Roman" w:eastAsia="仿宋_GB2312" w:cs="仿宋_GB2312"/>
          <w:color w:val="auto"/>
          <w:kern w:val="2"/>
          <w:sz w:val="32"/>
          <w:szCs w:val="32"/>
          <w:highlight w:val="none"/>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zh-CN" w:eastAsia="zh-CN" w:bidi="ar-SA"/>
        </w:rPr>
        <w:t>目标实现</w:t>
      </w:r>
      <w:r>
        <w:rPr>
          <w:rFonts w:hint="eastAsia" w:eastAsia="仿宋_GB2312" w:cs="仿宋_GB2312"/>
          <w:color w:val="auto"/>
          <w:kern w:val="2"/>
          <w:sz w:val="32"/>
          <w:szCs w:val="32"/>
          <w:highlight w:val="none"/>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围绕目标完成</w:t>
      </w:r>
      <w:r>
        <w:rPr>
          <w:rFonts w:hint="eastAsia" w:eastAsia="仿宋_GB2312" w:cs="仿宋_GB2312"/>
          <w:color w:val="auto"/>
          <w:kern w:val="2"/>
          <w:sz w:val="32"/>
          <w:szCs w:val="32"/>
          <w:highlight w:val="none"/>
          <w:lang w:val="zh-CN" w:eastAsia="zh-CN" w:bidi="ar-SA"/>
        </w:rPr>
        <w:t>：2024年度，九三学社四川省委员会4个部门预算项目涉及数量指标24个，均达到或超过了预期目标值，数量指标完成率100%。故该项指标得分4分。。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zh-CN" w:eastAsia="zh-CN" w:bidi="ar-SA"/>
        </w:rPr>
        <w:t>目标偏离</w:t>
      </w:r>
      <w:r>
        <w:rPr>
          <w:rFonts w:hint="eastAsia" w:eastAsia="仿宋_GB2312" w:cs="仿宋_GB2312"/>
          <w:color w:val="auto"/>
          <w:kern w:val="2"/>
          <w:sz w:val="32"/>
          <w:szCs w:val="32"/>
          <w:highlight w:val="none"/>
          <w:lang w:val="zh-CN" w:eastAsia="zh-CN" w:bidi="ar-SA"/>
        </w:rPr>
        <w:t>：024年度，九三学社四川省委员会部门4个预算专项类项目涉及数量指标24个，均达到或超过了预期目标值，最大偏离度为10%，无偏离度超过30%的数量指标。故该项指标得分4分。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zh-CN" w:eastAsia="zh-CN" w:bidi="ar-SA"/>
        </w:rPr>
        <w:t>实现效果</w:t>
      </w:r>
      <w:r>
        <w:rPr>
          <w:rFonts w:hint="eastAsia" w:eastAsia="仿宋_GB2312" w:cs="仿宋_GB2312"/>
          <w:color w:val="auto"/>
          <w:kern w:val="2"/>
          <w:sz w:val="32"/>
          <w:szCs w:val="32"/>
          <w:highlight w:val="none"/>
          <w:lang w:val="zh-CN" w:eastAsia="zh-CN" w:bidi="ar-SA"/>
        </w:rPr>
        <w:t>：2024年度，九三学社四川省委员会4个部门预算项目涉及效益指标14个（含满意度指标），完成效益指标14个，效益指标完成率100%。故该项指标得分3分。</w:t>
      </w:r>
    </w:p>
    <w:p>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eastAsia"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eastAsia="楷体_GB2312" w:cs="Times New Roman"/>
          <w:b/>
          <w:bCs/>
          <w:color w:val="000000"/>
          <w:kern w:val="0"/>
          <w:sz w:val="32"/>
          <w:szCs w:val="32"/>
          <w:highlight w:val="none"/>
          <w:shd w:val="clear" w:color="auto" w:fill="FFFFFF"/>
          <w:lang w:val="en-US" w:eastAsia="zh-CN"/>
        </w:rPr>
        <w:t>三</w:t>
      </w:r>
      <w:r>
        <w:rPr>
          <w:rFonts w:hint="default" w:ascii="Times New Roman" w:hAnsi="Times New Roman" w:eastAsia="楷体_GB2312" w:cs="Times New Roman"/>
          <w:b/>
          <w:bCs/>
          <w:color w:val="000000"/>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eastAsia="仿宋_GB2312" w:cs="Times New Roman"/>
          <w:sz w:val="32"/>
          <w:szCs w:val="32"/>
          <w:highlight w:val="none"/>
          <w:u w:val="none"/>
          <w:lang w:val="zh-CN" w:eastAsia="zh-CN" w:bidi="ar"/>
        </w:rPr>
      </w:pPr>
      <w:r>
        <w:rPr>
          <w:rFonts w:hint="eastAsia" w:eastAsia="仿宋_GB2312" w:cs="Times New Roman"/>
          <w:sz w:val="32"/>
          <w:szCs w:val="32"/>
          <w:highlight w:val="none"/>
          <w:u w:val="none"/>
          <w:lang w:val="en-US" w:eastAsia="zh-CN" w:bidi="ar"/>
        </w:rPr>
        <w:t>1.</w:t>
      </w:r>
      <w:r>
        <w:rPr>
          <w:rFonts w:hint="eastAsia" w:ascii="Times New Roman" w:hAnsi="Times New Roman" w:eastAsia="仿宋_GB2312" w:cs="Times New Roman"/>
          <w:sz w:val="32"/>
          <w:szCs w:val="32"/>
          <w:highlight w:val="none"/>
          <w:u w:val="none"/>
          <w:lang w:val="zh-CN" w:eastAsia="zh-CN" w:bidi="ar"/>
        </w:rPr>
        <w:t>内部应用情况</w:t>
      </w:r>
      <w:r>
        <w:rPr>
          <w:rFonts w:hint="eastAsia" w:eastAsia="仿宋_GB2312" w:cs="Times New Roman"/>
          <w:sz w:val="32"/>
          <w:szCs w:val="32"/>
          <w:highlight w:val="none"/>
          <w:u w:val="none"/>
          <w:lang w:val="zh-CN" w:eastAsia="zh-CN" w:bidi="ar"/>
        </w:rPr>
        <w:t>：为确保部门绩效和预算目标的一致性，提高部门的工作效率和绩效水平。九三学社四川省委员会根据《四川省省级财政预算绩效结果应用管理办法》（川财绩〔2019〕15号）和《四川省省级财政预算绩效结果与预算安排挂钩实施细则（试行）》（川财办〔2020〕53号）的相关要求，结合九三学社四川省委员会实际工作，积极推动部门内部绩效考核与工作经费挂钩机制，探索将成本效益分析方法运用在单位预算编制和绩效考核工作中。</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eastAsia="仿宋_GB2312" w:cs="Times New Roman"/>
          <w:color w:val="auto"/>
          <w:sz w:val="32"/>
          <w:szCs w:val="32"/>
          <w:highlight w:val="none"/>
          <w:u w:val="none"/>
          <w:lang w:val="zh-CN" w:eastAsia="zh-CN" w:bidi="ar"/>
        </w:rPr>
      </w:pPr>
      <w:r>
        <w:rPr>
          <w:rFonts w:hint="eastAsia" w:eastAsia="仿宋_GB2312" w:cs="Times New Roman"/>
          <w:sz w:val="32"/>
          <w:szCs w:val="32"/>
          <w:highlight w:val="none"/>
          <w:u w:val="none"/>
          <w:lang w:val="en-US" w:eastAsia="zh-CN" w:bidi="ar"/>
        </w:rPr>
        <w:t>2.</w:t>
      </w:r>
      <w:r>
        <w:rPr>
          <w:rFonts w:hint="default" w:ascii="Times New Roman" w:hAnsi="Times New Roman" w:eastAsia="仿宋_GB2312" w:cs="Times New Roman"/>
          <w:sz w:val="32"/>
          <w:szCs w:val="32"/>
          <w:highlight w:val="none"/>
          <w:u w:val="none"/>
          <w:lang w:val="zh-CN" w:eastAsia="zh-CN" w:bidi="ar"/>
        </w:rPr>
        <w:t>信息公开情况</w:t>
      </w:r>
      <w:r>
        <w:rPr>
          <w:rFonts w:hint="eastAsia" w:eastAsia="仿宋_GB2312" w:cs="Times New Roman"/>
          <w:sz w:val="32"/>
          <w:szCs w:val="32"/>
          <w:highlight w:val="none"/>
          <w:u w:val="none"/>
          <w:lang w:val="zh-CN" w:eastAsia="zh-CN" w:bidi="ar"/>
        </w:rPr>
        <w:t>：</w:t>
      </w:r>
      <w:r>
        <w:rPr>
          <w:rFonts w:hint="eastAsia" w:eastAsia="仿宋_GB2312" w:cs="Times New Roman"/>
          <w:color w:val="auto"/>
          <w:sz w:val="32"/>
          <w:szCs w:val="32"/>
          <w:highlight w:val="none"/>
          <w:u w:val="none"/>
          <w:lang w:val="zh-CN" w:eastAsia="zh-CN" w:bidi="ar"/>
        </w:rPr>
        <w:t>202</w:t>
      </w:r>
      <w:r>
        <w:rPr>
          <w:rFonts w:hint="eastAsia" w:eastAsia="仿宋_GB2312" w:cs="Times New Roman"/>
          <w:color w:val="auto"/>
          <w:sz w:val="32"/>
          <w:szCs w:val="32"/>
          <w:highlight w:val="none"/>
          <w:u w:val="none"/>
          <w:lang w:val="en-US" w:eastAsia="zh-CN" w:bidi="ar"/>
        </w:rPr>
        <w:t>4</w:t>
      </w:r>
      <w:r>
        <w:rPr>
          <w:rFonts w:hint="eastAsia" w:eastAsia="仿宋_GB2312" w:cs="Times New Roman"/>
          <w:color w:val="auto"/>
          <w:sz w:val="32"/>
          <w:szCs w:val="32"/>
          <w:highlight w:val="none"/>
          <w:u w:val="none"/>
          <w:lang w:val="zh-CN" w:eastAsia="zh-CN" w:bidi="ar"/>
        </w:rPr>
        <w:t>年2月2</w:t>
      </w:r>
      <w:r>
        <w:rPr>
          <w:rFonts w:hint="eastAsia" w:eastAsia="仿宋_GB2312" w:cs="Times New Roman"/>
          <w:color w:val="auto"/>
          <w:sz w:val="32"/>
          <w:szCs w:val="32"/>
          <w:highlight w:val="none"/>
          <w:u w:val="none"/>
          <w:lang w:val="en-US" w:eastAsia="zh-CN" w:bidi="ar"/>
        </w:rPr>
        <w:t>9</w:t>
      </w:r>
      <w:r>
        <w:rPr>
          <w:rFonts w:hint="eastAsia" w:eastAsia="仿宋_GB2312" w:cs="Times New Roman"/>
          <w:color w:val="auto"/>
          <w:sz w:val="32"/>
          <w:szCs w:val="32"/>
          <w:highlight w:val="none"/>
          <w:u w:val="none"/>
          <w:lang w:val="zh-CN" w:eastAsia="zh-CN" w:bidi="ar"/>
        </w:rPr>
        <w:t>日，九三学社四川省委员会已按照省财政厅的要求，在四川省财政厅网站公开了202</w:t>
      </w:r>
      <w:r>
        <w:rPr>
          <w:rFonts w:hint="eastAsia" w:eastAsia="仿宋_GB2312" w:cs="Times New Roman"/>
          <w:color w:val="auto"/>
          <w:sz w:val="32"/>
          <w:szCs w:val="32"/>
          <w:highlight w:val="none"/>
          <w:u w:val="none"/>
          <w:lang w:val="en-US" w:eastAsia="zh-CN" w:bidi="ar"/>
        </w:rPr>
        <w:t>4</w:t>
      </w:r>
      <w:r>
        <w:rPr>
          <w:rFonts w:hint="eastAsia" w:eastAsia="仿宋_GB2312" w:cs="Times New Roman"/>
          <w:color w:val="auto"/>
          <w:sz w:val="32"/>
          <w:szCs w:val="32"/>
          <w:highlight w:val="none"/>
          <w:u w:val="none"/>
          <w:lang w:val="zh-CN" w:eastAsia="zh-CN" w:bidi="ar"/>
        </w:rPr>
        <w:t>年部门预算和绩效目标；202</w:t>
      </w:r>
      <w:r>
        <w:rPr>
          <w:rFonts w:hint="eastAsia" w:eastAsia="仿宋_GB2312" w:cs="Times New Roman"/>
          <w:color w:val="auto"/>
          <w:sz w:val="32"/>
          <w:szCs w:val="32"/>
          <w:highlight w:val="none"/>
          <w:u w:val="none"/>
          <w:lang w:val="en-US" w:eastAsia="zh-CN" w:bidi="ar"/>
        </w:rPr>
        <w:t>4</w:t>
      </w:r>
      <w:r>
        <w:rPr>
          <w:rFonts w:hint="eastAsia" w:eastAsia="仿宋_GB2312" w:cs="Times New Roman"/>
          <w:color w:val="auto"/>
          <w:sz w:val="32"/>
          <w:szCs w:val="32"/>
          <w:highlight w:val="none"/>
          <w:u w:val="none"/>
          <w:lang w:val="zh-CN" w:eastAsia="zh-CN" w:bidi="ar"/>
        </w:rPr>
        <w:t>年</w:t>
      </w:r>
      <w:r>
        <w:rPr>
          <w:rFonts w:hint="eastAsia" w:eastAsia="仿宋_GB2312" w:cs="Times New Roman"/>
          <w:color w:val="auto"/>
          <w:sz w:val="32"/>
          <w:szCs w:val="32"/>
          <w:highlight w:val="none"/>
          <w:u w:val="none"/>
          <w:lang w:val="en-US" w:eastAsia="zh-CN" w:bidi="ar"/>
        </w:rPr>
        <w:t>9</w:t>
      </w:r>
      <w:r>
        <w:rPr>
          <w:rFonts w:hint="eastAsia" w:eastAsia="仿宋_GB2312" w:cs="Times New Roman"/>
          <w:color w:val="auto"/>
          <w:sz w:val="32"/>
          <w:szCs w:val="32"/>
          <w:highlight w:val="none"/>
          <w:u w:val="none"/>
          <w:lang w:val="zh-CN" w:eastAsia="zh-CN" w:bidi="ar"/>
        </w:rPr>
        <w:t>月</w:t>
      </w:r>
      <w:r>
        <w:rPr>
          <w:rFonts w:hint="eastAsia" w:eastAsia="仿宋_GB2312" w:cs="Times New Roman"/>
          <w:color w:val="auto"/>
          <w:sz w:val="32"/>
          <w:szCs w:val="32"/>
          <w:highlight w:val="none"/>
          <w:u w:val="none"/>
          <w:lang w:val="en-US" w:eastAsia="zh-CN" w:bidi="ar"/>
        </w:rPr>
        <w:t>02</w:t>
      </w:r>
      <w:r>
        <w:rPr>
          <w:rFonts w:hint="eastAsia" w:eastAsia="仿宋_GB2312" w:cs="Times New Roman"/>
          <w:color w:val="auto"/>
          <w:sz w:val="32"/>
          <w:szCs w:val="32"/>
          <w:highlight w:val="none"/>
          <w:u w:val="none"/>
          <w:lang w:val="zh-CN" w:eastAsia="zh-CN" w:bidi="ar"/>
        </w:rPr>
        <w:t>日，将202</w:t>
      </w:r>
      <w:r>
        <w:rPr>
          <w:rFonts w:hint="eastAsia" w:eastAsia="仿宋_GB2312" w:cs="Times New Roman"/>
          <w:color w:val="auto"/>
          <w:sz w:val="32"/>
          <w:szCs w:val="32"/>
          <w:highlight w:val="none"/>
          <w:u w:val="none"/>
          <w:lang w:val="en-US" w:eastAsia="zh-CN" w:bidi="ar"/>
        </w:rPr>
        <w:t>3</w:t>
      </w:r>
      <w:r>
        <w:rPr>
          <w:rFonts w:hint="eastAsia" w:eastAsia="仿宋_GB2312" w:cs="Times New Roman"/>
          <w:color w:val="auto"/>
          <w:sz w:val="32"/>
          <w:szCs w:val="32"/>
          <w:highlight w:val="none"/>
          <w:u w:val="none"/>
          <w:lang w:val="zh-CN" w:eastAsia="zh-CN" w:bidi="ar"/>
        </w:rPr>
        <w:t>年度部门整体支出和项目支出自评报告连同单位决算在四川省财政厅网站向社会进行了公开。</w:t>
      </w:r>
    </w:p>
    <w:p>
      <w:pPr>
        <w:numPr>
          <w:ilvl w:val="0"/>
          <w:numId w:val="0"/>
        </w:numPr>
        <w:spacing w:after="0" w:line="600" w:lineRule="exact"/>
        <w:ind w:firstLine="640" w:firstLineChars="200"/>
        <w:outlineLvl w:val="2"/>
        <w:rPr>
          <w:rFonts w:hint="eastAsia" w:eastAsia="仿宋_GB2312"/>
          <w:color w:val="000000"/>
          <w:sz w:val="32"/>
          <w:szCs w:val="32"/>
          <w:shd w:val="clear" w:color="auto" w:fill="FFFFFF"/>
          <w:lang w:val="zh-CN"/>
        </w:rPr>
      </w:pPr>
      <w:r>
        <w:rPr>
          <w:rFonts w:hint="eastAsia" w:eastAsia="仿宋_GB2312" w:cs="Times New Roman"/>
          <w:sz w:val="32"/>
          <w:szCs w:val="32"/>
          <w:highlight w:val="none"/>
          <w:u w:val="none"/>
          <w:lang w:val="en-US" w:eastAsia="zh-CN" w:bidi="ar"/>
        </w:rPr>
        <w:t>3.</w:t>
      </w:r>
      <w:r>
        <w:rPr>
          <w:rFonts w:hint="default" w:ascii="Times New Roman" w:hAnsi="Times New Roman" w:eastAsia="仿宋_GB2312" w:cs="Times New Roman"/>
          <w:sz w:val="32"/>
          <w:szCs w:val="32"/>
          <w:highlight w:val="none"/>
          <w:u w:val="none"/>
          <w:lang w:val="zh-CN" w:eastAsia="zh-CN" w:bidi="ar"/>
        </w:rPr>
        <w:t>整改反馈情况</w:t>
      </w:r>
      <w:r>
        <w:rPr>
          <w:rFonts w:hint="eastAsia" w:eastAsia="仿宋_GB2312" w:cs="Times New Roman"/>
          <w:sz w:val="32"/>
          <w:szCs w:val="32"/>
          <w:highlight w:val="none"/>
          <w:u w:val="none"/>
          <w:lang w:val="zh-CN" w:eastAsia="zh-CN" w:bidi="ar"/>
        </w:rPr>
        <w:t>：</w:t>
      </w:r>
      <w:r>
        <w:rPr>
          <w:rFonts w:hint="eastAsia" w:eastAsia="仿宋_GB2312"/>
          <w:color w:val="000000"/>
          <w:sz w:val="32"/>
          <w:szCs w:val="32"/>
          <w:shd w:val="clear" w:color="auto" w:fill="FFFFFF"/>
          <w:lang w:val="zh-CN"/>
        </w:rPr>
        <w:t>202</w:t>
      </w:r>
      <w:r>
        <w:rPr>
          <w:rFonts w:hint="eastAsia" w:eastAsia="仿宋_GB2312"/>
          <w:color w:val="000000"/>
          <w:sz w:val="32"/>
          <w:szCs w:val="32"/>
          <w:shd w:val="clear" w:color="auto" w:fill="FFFFFF"/>
          <w:lang w:val="en-US" w:eastAsia="zh-CN"/>
        </w:rPr>
        <w:t>4</w:t>
      </w:r>
      <w:r>
        <w:rPr>
          <w:rFonts w:hint="eastAsia" w:eastAsia="仿宋_GB2312"/>
          <w:color w:val="000000"/>
          <w:sz w:val="32"/>
          <w:szCs w:val="32"/>
          <w:shd w:val="clear" w:color="auto" w:fill="FFFFFF"/>
          <w:lang w:val="zh-CN"/>
        </w:rPr>
        <w:t>年度，</w:t>
      </w:r>
      <w:r>
        <w:rPr>
          <w:rFonts w:hint="eastAsia" w:eastAsia="仿宋_GB2312"/>
          <w:color w:val="auto"/>
          <w:sz w:val="32"/>
          <w:szCs w:val="32"/>
        </w:rPr>
        <w:t>九三学社四川省委员会</w:t>
      </w:r>
      <w:r>
        <w:rPr>
          <w:rFonts w:hint="eastAsia" w:eastAsia="仿宋_GB2312"/>
          <w:color w:val="auto"/>
          <w:sz w:val="32"/>
          <w:szCs w:val="32"/>
          <w:shd w:val="clear" w:color="auto" w:fill="FFFFFF"/>
          <w:lang w:val="zh-CN"/>
        </w:rPr>
        <w:t>重点绩效评价、绩效目标审核和绩效运行监控反馈的问题，</w:t>
      </w:r>
      <w:r>
        <w:rPr>
          <w:rFonts w:hint="eastAsia" w:eastAsia="仿宋_GB2312"/>
          <w:color w:val="auto"/>
          <w:sz w:val="32"/>
          <w:szCs w:val="32"/>
        </w:rPr>
        <w:t>九三学社四川省委员会</w:t>
      </w:r>
      <w:r>
        <w:rPr>
          <w:rFonts w:hint="eastAsia" w:eastAsia="仿宋_GB2312"/>
          <w:color w:val="auto"/>
          <w:sz w:val="32"/>
          <w:szCs w:val="32"/>
          <w:shd w:val="clear" w:color="auto" w:fill="FFFFFF"/>
          <w:lang w:val="zh-CN"/>
        </w:rPr>
        <w:t>认真落实整改，</w:t>
      </w:r>
      <w:r>
        <w:rPr>
          <w:rFonts w:hint="eastAsia" w:eastAsia="仿宋_GB2312"/>
          <w:color w:val="auto"/>
          <w:sz w:val="32"/>
          <w:szCs w:val="32"/>
          <w:shd w:val="clear" w:color="auto" w:fill="FFFFFF"/>
          <w:lang w:val="en-US" w:eastAsia="zh-CN"/>
        </w:rPr>
        <w:t>并将整改情况及时报送财政厅。为加强绩效管理，部门</w:t>
      </w:r>
      <w:r>
        <w:rPr>
          <w:rFonts w:hint="eastAsia" w:eastAsia="仿宋_GB2312"/>
          <w:color w:val="auto"/>
          <w:sz w:val="32"/>
          <w:szCs w:val="32"/>
          <w:shd w:val="clear" w:color="auto" w:fill="FFFFFF"/>
          <w:lang w:val="zh-CN"/>
        </w:rPr>
        <w:t>召开全体职工培训会，讲解</w:t>
      </w:r>
      <w:r>
        <w:rPr>
          <w:rFonts w:hint="eastAsia" w:eastAsia="仿宋_GB2312"/>
          <w:color w:val="000000"/>
          <w:sz w:val="32"/>
          <w:szCs w:val="32"/>
          <w:shd w:val="clear" w:color="auto" w:fill="FFFFFF"/>
          <w:lang w:val="zh-CN"/>
        </w:rPr>
        <w:t>绩效相关知识，提高职工绩效意识，为下一步绩效管理工作奠定基础。</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eastAsia="仿宋_GB2312"/>
          <w:color w:val="auto"/>
          <w:sz w:val="32"/>
          <w:szCs w:val="32"/>
          <w:shd w:val="clear" w:color="auto" w:fill="FFFFFF"/>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r>
        <w:rPr>
          <w:rFonts w:hint="eastAsia" w:eastAsia="仿宋_GB2312"/>
          <w:color w:val="auto"/>
          <w:sz w:val="32"/>
          <w:szCs w:val="32"/>
          <w:shd w:val="clear" w:color="auto" w:fill="FFFFFF"/>
          <w:lang w:val="en-US" w:eastAsia="zh-CN"/>
        </w:rPr>
        <w:t>本次部门预算绩效评价自评得分为88.39分。2024年度，九三学社四川省委员会认真贯彻《中共四川省委办公厅 四川省人民政府办公厅关于深入实施预算绩效管理的通知》（川委厅〔2022〕5号）和《四川省人民政府关于进一步深化预算管理制度改革的实施意见》（川府发〔2022〕4号）精神，按照绩效管理与预算管理一体化的要求，努力将绩效管理融入预算编制、预算执行、预算监督全过程。通过开展事前绩效评估，严格绩效目标管理，强化绩效运行监控，完善绩效自评机制，拓宽结果应用范围等方式，结合部门工作实际，聚焦构建以绩效为核心的财政资金管理机制，积极推进“全方位、全过程、全覆盖”和“1+N制度”预算绩效管理体系建设，落实预算管理和绩效管理的主体责任，牢固树立“过紧日子”意识，增强预算刚性约束，提高资产配置效率，圆满完成了各项目标任务。</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eastAsia="楷体_GB2312" w:cs="Times New Roman"/>
          <w:b/>
          <w:bCs/>
          <w:color w:val="000000"/>
          <w:kern w:val="0"/>
          <w:sz w:val="32"/>
          <w:szCs w:val="32"/>
          <w:highlight w:val="none"/>
          <w:shd w:val="clear" w:color="auto" w:fill="FFFFFF"/>
          <w:lang w:val="en-US" w:eastAsia="zh-CN"/>
        </w:rPr>
      </w:pPr>
      <w:r>
        <w:rPr>
          <w:rFonts w:hint="eastAsia" w:eastAsia="楷体_GB2312" w:cs="Times New Roman"/>
          <w:b/>
          <w:bCs/>
          <w:color w:val="000000"/>
          <w:kern w:val="0"/>
          <w:sz w:val="32"/>
          <w:szCs w:val="32"/>
          <w:highlight w:val="none"/>
          <w:shd w:val="clear" w:color="auto" w:fill="FFFFFF"/>
          <w:lang w:val="en-US" w:eastAsia="zh-CN"/>
        </w:rPr>
        <w:t>1.预算编制不完整，编制质量有待提高：</w:t>
      </w:r>
      <w:r>
        <w:rPr>
          <w:rFonts w:hint="eastAsia" w:eastAsia="楷体_GB2312" w:cs="Times New Roman"/>
          <w:b w:val="0"/>
          <w:bCs w:val="0"/>
          <w:color w:val="000000"/>
          <w:kern w:val="0"/>
          <w:sz w:val="32"/>
          <w:szCs w:val="32"/>
          <w:highlight w:val="none"/>
          <w:shd w:val="clear" w:color="auto" w:fill="FFFFFF"/>
          <w:lang w:val="en-US" w:eastAsia="zh-CN"/>
        </w:rPr>
        <w:t>2024年，九三学社四川省委员会年初预算1,365.16万元，均为一般公共预算拨款收入；年终决算收入总计1,476.30万元，均为一般公共预算财政拨款收入。预算编制不完整，考虑不充分。</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eastAsia="楷体_GB2312" w:cs="Times New Roman"/>
          <w:b w:val="0"/>
          <w:bCs w:val="0"/>
          <w:color w:val="000000"/>
          <w:kern w:val="0"/>
          <w:sz w:val="32"/>
          <w:szCs w:val="32"/>
          <w:highlight w:val="none"/>
          <w:shd w:val="clear" w:color="auto" w:fill="FFFFFF"/>
          <w:lang w:val="en-US" w:eastAsia="zh-CN"/>
        </w:rPr>
      </w:pPr>
      <w:r>
        <w:rPr>
          <w:rFonts w:hint="eastAsia" w:eastAsia="楷体_GB2312" w:cs="Times New Roman"/>
          <w:b/>
          <w:bCs/>
          <w:color w:val="000000"/>
          <w:kern w:val="0"/>
          <w:sz w:val="32"/>
          <w:szCs w:val="32"/>
          <w:highlight w:val="none"/>
          <w:shd w:val="clear" w:color="auto" w:fill="FFFFFF"/>
          <w:lang w:val="en-US" w:eastAsia="zh-CN"/>
        </w:rPr>
        <w:t>2.支出执行进度有待加强：2</w:t>
      </w:r>
      <w:r>
        <w:rPr>
          <w:rFonts w:hint="eastAsia" w:eastAsia="楷体_GB2312" w:cs="Times New Roman"/>
          <w:b w:val="0"/>
          <w:bCs w:val="0"/>
          <w:color w:val="000000"/>
          <w:kern w:val="0"/>
          <w:sz w:val="32"/>
          <w:szCs w:val="32"/>
          <w:highlight w:val="none"/>
          <w:shd w:val="clear" w:color="auto" w:fill="FFFFFF"/>
          <w:lang w:val="en-US" w:eastAsia="zh-CN"/>
        </w:rPr>
        <w:t>024年九三学社四川省委员会1-6月预算执行数为633.48万元，预算数为1498.21万元，执行率为42.3%，1-10月预算执行数为1138.15万元，部门预算数为1498.21万元，执行率为76%，部门需科学合理安排预算支出。</w:t>
      </w:r>
    </w:p>
    <w:p>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改进建议。</w:t>
      </w:r>
      <w:bookmarkStart w:id="61" w:name="_Hlk110546638"/>
    </w:p>
    <w:bookmarkEnd w:id="61"/>
    <w:p>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highlight w:val="none"/>
          <w:u w:val="none"/>
          <w:lang w:val="zh-CN" w:eastAsia="zh-CN" w:bidi="ar"/>
        </w:rPr>
      </w:pPr>
      <w:r>
        <w:rPr>
          <w:rFonts w:hint="eastAsia" w:ascii="Times New Roman" w:hAnsi="Times New Roman" w:eastAsia="仿宋_GB2312" w:cs="Times New Roman"/>
          <w:kern w:val="2"/>
          <w:sz w:val="32"/>
          <w:szCs w:val="32"/>
          <w:highlight w:val="none"/>
          <w:u w:val="none"/>
          <w:lang w:val="zh-CN" w:eastAsia="zh-CN" w:bidi="ar"/>
        </w:rPr>
        <w:t>1.提高预算编制质量</w:t>
      </w:r>
    </w:p>
    <w:p>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highlight w:val="none"/>
          <w:u w:val="none"/>
          <w:lang w:val="zh-CN" w:eastAsia="zh-CN" w:bidi="ar"/>
        </w:rPr>
      </w:pPr>
      <w:r>
        <w:rPr>
          <w:rFonts w:hint="eastAsia" w:ascii="Times New Roman" w:hAnsi="Times New Roman" w:eastAsia="仿宋_GB2312" w:cs="Times New Roman"/>
          <w:kern w:val="2"/>
          <w:sz w:val="32"/>
          <w:szCs w:val="32"/>
          <w:highlight w:val="none"/>
          <w:u w:val="none"/>
          <w:lang w:val="zh-CN" w:eastAsia="zh-CN" w:bidi="ar"/>
        </w:rPr>
        <w:t>针对预算编制不完整的问题，提高预算编制质量，九三学社四川省委员会应结合本部门以前年度的人员工资的调档，调级，社保及公积金的增减变化，全面，合理的编制年度预算，保障年初预算编制的准确性。</w:t>
      </w:r>
    </w:p>
    <w:p>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highlight w:val="none"/>
          <w:u w:val="none"/>
          <w:lang w:val="zh-CN" w:eastAsia="zh-CN" w:bidi="ar"/>
        </w:rPr>
      </w:pPr>
      <w:r>
        <w:rPr>
          <w:rFonts w:hint="eastAsia" w:ascii="Times New Roman" w:hAnsi="Times New Roman" w:eastAsia="仿宋_GB2312" w:cs="Times New Roman"/>
          <w:kern w:val="2"/>
          <w:sz w:val="32"/>
          <w:szCs w:val="32"/>
          <w:highlight w:val="none"/>
          <w:u w:val="none"/>
          <w:lang w:val="zh-CN" w:eastAsia="zh-CN" w:bidi="ar"/>
        </w:rPr>
        <w:t>2.加强预算支出执行进度</w:t>
      </w:r>
    </w:p>
    <w:p>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cs="Times New Roman"/>
          <w:sz w:val="32"/>
          <w:szCs w:val="32"/>
          <w:highlight w:val="none"/>
          <w:lang w:val="zh-CN" w:eastAsia="zh-CN"/>
        </w:rPr>
      </w:pPr>
      <w:r>
        <w:rPr>
          <w:rFonts w:hint="eastAsia" w:ascii="Times New Roman" w:hAnsi="Times New Roman" w:eastAsia="仿宋_GB2312" w:cs="Times New Roman"/>
          <w:kern w:val="2"/>
          <w:sz w:val="32"/>
          <w:szCs w:val="32"/>
          <w:highlight w:val="none"/>
          <w:u w:val="none"/>
          <w:lang w:val="zh-CN" w:eastAsia="zh-CN" w:bidi="ar"/>
        </w:rPr>
        <w:t>九三学社四川省委员会应加强预算支出进度。年初预算下达后，部门可根据预算下达数，编制本部门的年度工作计划或项目实施方案。根据工作计划及项目的实施方案，有序推进项目执行。</w:t>
      </w:r>
    </w:p>
    <w:p>
      <w:pPr>
        <w:pStyle w:val="8"/>
        <w:rPr>
          <w:rFonts w:hint="eastAsia" w:ascii="Times New Roman" w:hAnsi="Times New Roman" w:cs="宋体"/>
          <w:color w:val="FF0000"/>
          <w:kern w:val="0"/>
          <w:sz w:val="32"/>
          <w:szCs w:val="32"/>
          <w:highlight w:val="none"/>
          <w:shd w:val="clear" w:color="auto" w:fill="FFFFFF"/>
          <w:lang w:val="zh-CN"/>
        </w:rPr>
      </w:pPr>
    </w:p>
    <w:p>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pPr>
        <w:widowControl/>
        <w:jc w:val="center"/>
        <w:rPr>
          <w:rFonts w:hint="eastAsia" w:ascii="Times New Roman" w:hAnsi="Times New Roman" w:eastAsia="仿宋"/>
          <w:b w:val="0"/>
          <w:color w:val="auto"/>
          <w:highlight w:val="none"/>
        </w:rPr>
      </w:pPr>
      <w:bookmarkStart w:id="62" w:name="_Toc15396618"/>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59"/>
      <w:bookmarkEnd w:id="62"/>
      <w:bookmarkStart w:id="63"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6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0"/>
      <w:r>
        <w:rPr>
          <w:rFonts w:hint="eastAsia" w:ascii="Times New Roman" w:hAnsi="Times New Roman" w:eastAsia="仿宋_GB2312" w:cs="仿宋_GB2312"/>
          <w:color w:val="auto"/>
          <w:sz w:val="32"/>
          <w:szCs w:val="32"/>
          <w:highlight w:val="none"/>
        </w:rPr>
        <w:t>二、收入决算表</w:t>
      </w:r>
      <w:bookmarkEnd w:id="6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21"/>
      <w:r>
        <w:rPr>
          <w:rFonts w:hint="eastAsia" w:ascii="Times New Roman" w:hAnsi="Times New Roman" w:eastAsia="仿宋_GB2312" w:cs="仿宋_GB2312"/>
          <w:color w:val="auto"/>
          <w:sz w:val="32"/>
          <w:szCs w:val="32"/>
          <w:highlight w:val="none"/>
        </w:rPr>
        <w:t>三、支出决算表</w:t>
      </w:r>
      <w:bookmarkEnd w:id="6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6" w:name="_Toc15396622"/>
      <w:r>
        <w:rPr>
          <w:rFonts w:hint="eastAsia" w:ascii="Times New Roman" w:hAnsi="Times New Roman" w:eastAsia="仿宋_GB2312" w:cs="仿宋_GB2312"/>
          <w:color w:val="auto"/>
          <w:sz w:val="32"/>
          <w:szCs w:val="32"/>
          <w:highlight w:val="none"/>
        </w:rPr>
        <w:t>四、财政拨款收入支出决算总表</w:t>
      </w:r>
      <w:bookmarkEnd w:id="66"/>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7" w:name="_Toc15396623"/>
      <w:r>
        <w:rPr>
          <w:rFonts w:hint="eastAsia" w:ascii="Times New Roman" w:hAnsi="Times New Roman" w:eastAsia="仿宋_GB2312" w:cs="仿宋_GB2312"/>
          <w:color w:val="auto"/>
          <w:sz w:val="32"/>
          <w:szCs w:val="32"/>
          <w:highlight w:val="none"/>
        </w:rPr>
        <w:t>五、财政拨款支出决算明细表</w:t>
      </w:r>
      <w:bookmarkEnd w:id="67"/>
      <w:bookmarkStart w:id="68"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68"/>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9" w:name="_Toc15396625"/>
      <w:r>
        <w:rPr>
          <w:rFonts w:hint="eastAsia" w:ascii="Times New Roman" w:hAnsi="Times New Roman" w:eastAsia="仿宋_GB2312" w:cs="仿宋_GB2312"/>
          <w:color w:val="auto"/>
          <w:sz w:val="32"/>
          <w:szCs w:val="32"/>
          <w:highlight w:val="none"/>
        </w:rPr>
        <w:t>七、一般公共预算财政拨款支出决算明细表</w:t>
      </w:r>
      <w:bookmarkEnd w:id="6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0" w:name="_Toc15396626"/>
      <w:r>
        <w:rPr>
          <w:rFonts w:hint="eastAsia" w:ascii="Times New Roman" w:hAnsi="Times New Roman" w:eastAsia="仿宋_GB2312" w:cs="仿宋_GB2312"/>
          <w:color w:val="auto"/>
          <w:sz w:val="32"/>
          <w:szCs w:val="32"/>
          <w:highlight w:val="none"/>
        </w:rPr>
        <w:t>八、一般公共预算财政拨款基本支出决算表</w:t>
      </w:r>
      <w:bookmarkEnd w:id="70"/>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1" w:name="_Toc15396627"/>
      <w:r>
        <w:rPr>
          <w:rFonts w:hint="eastAsia" w:ascii="Times New Roman" w:hAnsi="Times New Roman" w:eastAsia="仿宋_GB2312" w:cs="仿宋_GB2312"/>
          <w:color w:val="auto"/>
          <w:sz w:val="32"/>
          <w:szCs w:val="32"/>
          <w:highlight w:val="none"/>
        </w:rPr>
        <w:t>九、一般公共预算财政拨款项目支出决算表</w:t>
      </w:r>
      <w:bookmarkEnd w:id="7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2" w:name="_Toc15396628"/>
      <w:r>
        <w:rPr>
          <w:rFonts w:hint="eastAsia" w:ascii="Times New Roman" w:hAnsi="Times New Roman" w:eastAsia="仿宋_GB2312" w:cs="仿宋_GB2312"/>
          <w:color w:val="auto"/>
          <w:sz w:val="32"/>
          <w:szCs w:val="32"/>
          <w:highlight w:val="none"/>
        </w:rPr>
        <w:t>十、</w:t>
      </w:r>
      <w:bookmarkEnd w:id="72"/>
      <w:r>
        <w:rPr>
          <w:rFonts w:hint="eastAsia" w:ascii="Times New Roman" w:hAnsi="Times New Roman" w:eastAsia="仿宋_GB2312" w:cs="仿宋_GB2312"/>
          <w:color w:val="auto"/>
          <w:sz w:val="32"/>
          <w:szCs w:val="32"/>
          <w:highlight w:val="none"/>
        </w:rPr>
        <w:t>政府性基金预算财政拨款收入支出决算表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3" w:name="_Toc15396629"/>
      <w:r>
        <w:rPr>
          <w:rFonts w:hint="eastAsia" w:ascii="Times New Roman" w:hAnsi="Times New Roman" w:eastAsia="仿宋_GB2312" w:cs="仿宋_GB2312"/>
          <w:color w:val="auto"/>
          <w:sz w:val="32"/>
          <w:szCs w:val="32"/>
          <w:highlight w:val="none"/>
        </w:rPr>
        <w:t>十一、</w:t>
      </w:r>
      <w:bookmarkEnd w:id="73"/>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4" w:name="_Toc15396630"/>
      <w:r>
        <w:rPr>
          <w:rFonts w:hint="eastAsia" w:ascii="Times New Roman" w:hAnsi="Times New Roman" w:eastAsia="仿宋_GB2312" w:cs="仿宋_GB2312"/>
          <w:color w:val="auto"/>
          <w:sz w:val="32"/>
          <w:szCs w:val="32"/>
          <w:highlight w:val="none"/>
        </w:rPr>
        <w:t>十二、</w:t>
      </w:r>
      <w:bookmarkEnd w:id="74"/>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75" w:name="_Toc15396631"/>
      <w:r>
        <w:rPr>
          <w:rFonts w:hint="eastAsia" w:ascii="Times New Roman" w:hAnsi="Times New Roman" w:eastAsia="仿宋_GB2312" w:cs="仿宋_GB2312"/>
          <w:color w:val="auto"/>
          <w:sz w:val="32"/>
          <w:szCs w:val="32"/>
          <w:highlight w:val="none"/>
        </w:rPr>
        <w:t>十三、</w:t>
      </w:r>
      <w:bookmarkEnd w:id="75"/>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highlight w:val="none"/>
          <w:lang w:eastAsia="zh-CN"/>
        </w:rPr>
      </w:pPr>
    </w:p>
    <w:sectPr>
      <w:footerReference r:id="rId10" w:type="first"/>
      <w:footerReference r:id="rId9"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FE990"/>
    <w:multiLevelType w:val="singleLevel"/>
    <w:tmpl w:val="83EFE990"/>
    <w:lvl w:ilvl="0" w:tentative="0">
      <w:start w:val="1"/>
      <w:numFmt w:val="decimal"/>
      <w:lvlText w:val="%1."/>
      <w:lvlJc w:val="left"/>
      <w:pPr>
        <w:tabs>
          <w:tab w:val="left" w:pos="312"/>
        </w:tabs>
      </w:pPr>
    </w:lvl>
  </w:abstractNum>
  <w:abstractNum w:abstractNumId="1">
    <w:nsid w:val="C7EEBCCB"/>
    <w:multiLevelType w:val="singleLevel"/>
    <w:tmpl w:val="C7EEBCCB"/>
    <w:lvl w:ilvl="0" w:tentative="0">
      <w:start w:val="2"/>
      <w:numFmt w:val="chineseCounting"/>
      <w:suff w:val="nothing"/>
      <w:lvlText w:val="%1、"/>
      <w:lvlJc w:val="left"/>
      <w:rPr>
        <w:rFonts w:hint="eastAsia"/>
      </w:rPr>
    </w:lvl>
  </w:abstractNum>
  <w:abstractNum w:abstractNumId="2">
    <w:nsid w:val="CAD4C049"/>
    <w:multiLevelType w:val="singleLevel"/>
    <w:tmpl w:val="CAD4C049"/>
    <w:lvl w:ilvl="0" w:tentative="0">
      <w:start w:val="1"/>
      <w:numFmt w:val="chineseCounting"/>
      <w:suff w:val="nothing"/>
      <w:lvlText w:val="%1、"/>
      <w:lvlJc w:val="left"/>
      <w:rPr>
        <w:rFonts w:hint="eastAsia"/>
      </w:rPr>
    </w:lvl>
  </w:abstractNum>
  <w:abstractNum w:abstractNumId="3">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4">
    <w:nsid w:val="62B55D5C"/>
    <w:multiLevelType w:val="singleLevel"/>
    <w:tmpl w:val="62B55D5C"/>
    <w:lvl w:ilvl="0" w:tentative="0">
      <w:start w:val="3"/>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6918"/>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57174"/>
    <w:rsid w:val="01121891"/>
    <w:rsid w:val="01493235"/>
    <w:rsid w:val="015975B8"/>
    <w:rsid w:val="02F43599"/>
    <w:rsid w:val="02FEBE30"/>
    <w:rsid w:val="036F4D79"/>
    <w:rsid w:val="045B52FD"/>
    <w:rsid w:val="048E122E"/>
    <w:rsid w:val="04CC1D57"/>
    <w:rsid w:val="05945126"/>
    <w:rsid w:val="061E35DE"/>
    <w:rsid w:val="06367DD0"/>
    <w:rsid w:val="066E0107"/>
    <w:rsid w:val="07996F6E"/>
    <w:rsid w:val="079C1EB4"/>
    <w:rsid w:val="07DFD8BA"/>
    <w:rsid w:val="08071A24"/>
    <w:rsid w:val="090839A8"/>
    <w:rsid w:val="09095327"/>
    <w:rsid w:val="091268D2"/>
    <w:rsid w:val="09832281"/>
    <w:rsid w:val="09867E8F"/>
    <w:rsid w:val="09AD3122"/>
    <w:rsid w:val="0A2032A3"/>
    <w:rsid w:val="0A434869"/>
    <w:rsid w:val="0A8F3F52"/>
    <w:rsid w:val="0BBA4FFF"/>
    <w:rsid w:val="0BD460C1"/>
    <w:rsid w:val="0C822053"/>
    <w:rsid w:val="0CA8290A"/>
    <w:rsid w:val="0CC55A09"/>
    <w:rsid w:val="0D35493D"/>
    <w:rsid w:val="0D35B1ED"/>
    <w:rsid w:val="0D38442D"/>
    <w:rsid w:val="0D6E42F3"/>
    <w:rsid w:val="0E5B6625"/>
    <w:rsid w:val="0F1B7B63"/>
    <w:rsid w:val="0F29268F"/>
    <w:rsid w:val="0F98263C"/>
    <w:rsid w:val="0FA933C0"/>
    <w:rsid w:val="0FBA381F"/>
    <w:rsid w:val="101860EC"/>
    <w:rsid w:val="10765998"/>
    <w:rsid w:val="10C055FF"/>
    <w:rsid w:val="11772AA4"/>
    <w:rsid w:val="118107EC"/>
    <w:rsid w:val="11845E93"/>
    <w:rsid w:val="11B83D8F"/>
    <w:rsid w:val="11E335FF"/>
    <w:rsid w:val="120E7E53"/>
    <w:rsid w:val="12485112"/>
    <w:rsid w:val="126F6B43"/>
    <w:rsid w:val="12A2465F"/>
    <w:rsid w:val="13AF2F6F"/>
    <w:rsid w:val="13D50BC4"/>
    <w:rsid w:val="13E2687D"/>
    <w:rsid w:val="14447B5C"/>
    <w:rsid w:val="14575AE1"/>
    <w:rsid w:val="14B940A6"/>
    <w:rsid w:val="15227E9D"/>
    <w:rsid w:val="15C9656A"/>
    <w:rsid w:val="165E0673"/>
    <w:rsid w:val="16BB723D"/>
    <w:rsid w:val="16F5513D"/>
    <w:rsid w:val="1740285C"/>
    <w:rsid w:val="17A50911"/>
    <w:rsid w:val="17FD699F"/>
    <w:rsid w:val="181635BD"/>
    <w:rsid w:val="184C3483"/>
    <w:rsid w:val="186504BB"/>
    <w:rsid w:val="187327BD"/>
    <w:rsid w:val="18B16FBC"/>
    <w:rsid w:val="193957B5"/>
    <w:rsid w:val="19A445FC"/>
    <w:rsid w:val="1A7647E7"/>
    <w:rsid w:val="1A9FE8C6"/>
    <w:rsid w:val="1ABC48F0"/>
    <w:rsid w:val="1AE41750"/>
    <w:rsid w:val="1B2F50C2"/>
    <w:rsid w:val="1B574618"/>
    <w:rsid w:val="1BD87507"/>
    <w:rsid w:val="1BE614F8"/>
    <w:rsid w:val="1BE8440E"/>
    <w:rsid w:val="1C1E6EE4"/>
    <w:rsid w:val="1D155CEE"/>
    <w:rsid w:val="1D8D4321"/>
    <w:rsid w:val="1E6037E4"/>
    <w:rsid w:val="1E740ACF"/>
    <w:rsid w:val="1F1E4819"/>
    <w:rsid w:val="1F212F73"/>
    <w:rsid w:val="1FBE11BA"/>
    <w:rsid w:val="1FE65F6B"/>
    <w:rsid w:val="1FF35744"/>
    <w:rsid w:val="1FF6BC77"/>
    <w:rsid w:val="203A4E33"/>
    <w:rsid w:val="20605D1D"/>
    <w:rsid w:val="20FC3C98"/>
    <w:rsid w:val="21CE6CB6"/>
    <w:rsid w:val="222A0391"/>
    <w:rsid w:val="226C6BFB"/>
    <w:rsid w:val="22D8603F"/>
    <w:rsid w:val="22D93B65"/>
    <w:rsid w:val="22EC1AEA"/>
    <w:rsid w:val="22F8048F"/>
    <w:rsid w:val="234E0E48"/>
    <w:rsid w:val="237C1998"/>
    <w:rsid w:val="23860B96"/>
    <w:rsid w:val="23963804"/>
    <w:rsid w:val="23AD1279"/>
    <w:rsid w:val="23B51EDC"/>
    <w:rsid w:val="23B73EA6"/>
    <w:rsid w:val="23FA0237"/>
    <w:rsid w:val="240115C5"/>
    <w:rsid w:val="240371BF"/>
    <w:rsid w:val="24482D50"/>
    <w:rsid w:val="252F5CBE"/>
    <w:rsid w:val="260F557C"/>
    <w:rsid w:val="264659B5"/>
    <w:rsid w:val="264834DB"/>
    <w:rsid w:val="265D0C6A"/>
    <w:rsid w:val="269009DE"/>
    <w:rsid w:val="26AA1AA0"/>
    <w:rsid w:val="27595274"/>
    <w:rsid w:val="27C748D4"/>
    <w:rsid w:val="28125BE6"/>
    <w:rsid w:val="281408E2"/>
    <w:rsid w:val="291E6775"/>
    <w:rsid w:val="29A90543"/>
    <w:rsid w:val="29FD04D3"/>
    <w:rsid w:val="2A1F09F7"/>
    <w:rsid w:val="2A2953D2"/>
    <w:rsid w:val="2A506E02"/>
    <w:rsid w:val="2B287437"/>
    <w:rsid w:val="2B97636B"/>
    <w:rsid w:val="2BFF7BC6"/>
    <w:rsid w:val="2C8A61B5"/>
    <w:rsid w:val="2DB66F7C"/>
    <w:rsid w:val="2DF04E50"/>
    <w:rsid w:val="2E516CA5"/>
    <w:rsid w:val="2EAD65D1"/>
    <w:rsid w:val="2F040D46"/>
    <w:rsid w:val="2F34284F"/>
    <w:rsid w:val="2FAD2601"/>
    <w:rsid w:val="2FAE5751"/>
    <w:rsid w:val="2FB1A395"/>
    <w:rsid w:val="2FD9A7D8"/>
    <w:rsid w:val="2FDBF714"/>
    <w:rsid w:val="2FFD5337"/>
    <w:rsid w:val="30703D5A"/>
    <w:rsid w:val="311C17EC"/>
    <w:rsid w:val="319F7F4E"/>
    <w:rsid w:val="32BD1EF1"/>
    <w:rsid w:val="32DA54BB"/>
    <w:rsid w:val="32FD2435"/>
    <w:rsid w:val="3304709D"/>
    <w:rsid w:val="330C5891"/>
    <w:rsid w:val="334868C9"/>
    <w:rsid w:val="343A01EC"/>
    <w:rsid w:val="349D6851"/>
    <w:rsid w:val="34BB756E"/>
    <w:rsid w:val="35DC779C"/>
    <w:rsid w:val="362A76DE"/>
    <w:rsid w:val="36AA5135"/>
    <w:rsid w:val="36B529EC"/>
    <w:rsid w:val="36BE0DA7"/>
    <w:rsid w:val="372D1FC1"/>
    <w:rsid w:val="376B6AA6"/>
    <w:rsid w:val="376D39B2"/>
    <w:rsid w:val="37DD0BA0"/>
    <w:rsid w:val="37E16F03"/>
    <w:rsid w:val="37F53A3B"/>
    <w:rsid w:val="389B6C89"/>
    <w:rsid w:val="38D469F0"/>
    <w:rsid w:val="38F77969"/>
    <w:rsid w:val="39627CCD"/>
    <w:rsid w:val="397BAF1F"/>
    <w:rsid w:val="39C90037"/>
    <w:rsid w:val="3AB79AF3"/>
    <w:rsid w:val="3B7EF35A"/>
    <w:rsid w:val="3B9FDB6C"/>
    <w:rsid w:val="3BF5BC2F"/>
    <w:rsid w:val="3CEBA265"/>
    <w:rsid w:val="3D0E0B83"/>
    <w:rsid w:val="3D141F11"/>
    <w:rsid w:val="3D7D4F8E"/>
    <w:rsid w:val="3D98207C"/>
    <w:rsid w:val="3DC824ED"/>
    <w:rsid w:val="3DEE7CF3"/>
    <w:rsid w:val="3E78745D"/>
    <w:rsid w:val="3F55381A"/>
    <w:rsid w:val="3F6031EC"/>
    <w:rsid w:val="3F7F7599"/>
    <w:rsid w:val="3F964E60"/>
    <w:rsid w:val="3FF4CAE0"/>
    <w:rsid w:val="3FF7B227"/>
    <w:rsid w:val="406960D0"/>
    <w:rsid w:val="40DC2D46"/>
    <w:rsid w:val="40E65973"/>
    <w:rsid w:val="410B7187"/>
    <w:rsid w:val="41686388"/>
    <w:rsid w:val="417503F9"/>
    <w:rsid w:val="41D57EC1"/>
    <w:rsid w:val="41E77A6F"/>
    <w:rsid w:val="42336996"/>
    <w:rsid w:val="423C1CEE"/>
    <w:rsid w:val="42CA554C"/>
    <w:rsid w:val="431A7B56"/>
    <w:rsid w:val="43566DE0"/>
    <w:rsid w:val="43D41B8C"/>
    <w:rsid w:val="441445A5"/>
    <w:rsid w:val="44A65B45"/>
    <w:rsid w:val="44E268DA"/>
    <w:rsid w:val="45050ABD"/>
    <w:rsid w:val="45264590"/>
    <w:rsid w:val="456E6B63"/>
    <w:rsid w:val="46183B55"/>
    <w:rsid w:val="461E795D"/>
    <w:rsid w:val="46317690"/>
    <w:rsid w:val="46AB7443"/>
    <w:rsid w:val="47655843"/>
    <w:rsid w:val="47A3636C"/>
    <w:rsid w:val="47CA1B4A"/>
    <w:rsid w:val="47CB141F"/>
    <w:rsid w:val="47EC1AC1"/>
    <w:rsid w:val="485B6C46"/>
    <w:rsid w:val="486A6C7A"/>
    <w:rsid w:val="487C3D9A"/>
    <w:rsid w:val="48FC3F85"/>
    <w:rsid w:val="49543DC1"/>
    <w:rsid w:val="495D254A"/>
    <w:rsid w:val="4A1277D9"/>
    <w:rsid w:val="4A413C1A"/>
    <w:rsid w:val="4A627F82"/>
    <w:rsid w:val="4B0E749A"/>
    <w:rsid w:val="4B4F25DA"/>
    <w:rsid w:val="4B616322"/>
    <w:rsid w:val="4B977F95"/>
    <w:rsid w:val="4BB072A9"/>
    <w:rsid w:val="4BE068DB"/>
    <w:rsid w:val="4CAF57B3"/>
    <w:rsid w:val="4D577224"/>
    <w:rsid w:val="4D9F1383"/>
    <w:rsid w:val="4DAC584E"/>
    <w:rsid w:val="4DBF1CEB"/>
    <w:rsid w:val="4DBF5582"/>
    <w:rsid w:val="4DD23507"/>
    <w:rsid w:val="4E7B3B9E"/>
    <w:rsid w:val="4EAB630A"/>
    <w:rsid w:val="4ECE2238"/>
    <w:rsid w:val="4F817C52"/>
    <w:rsid w:val="4F833267"/>
    <w:rsid w:val="4FE9BD67"/>
    <w:rsid w:val="4FEB08B0"/>
    <w:rsid w:val="4FFB052F"/>
    <w:rsid w:val="51087240"/>
    <w:rsid w:val="51F83758"/>
    <w:rsid w:val="52F43F1F"/>
    <w:rsid w:val="537E6D0A"/>
    <w:rsid w:val="53F74C96"/>
    <w:rsid w:val="54660E4D"/>
    <w:rsid w:val="54C02D7A"/>
    <w:rsid w:val="55F70845"/>
    <w:rsid w:val="560B1CAC"/>
    <w:rsid w:val="56E47B74"/>
    <w:rsid w:val="578568A4"/>
    <w:rsid w:val="57BD3DD4"/>
    <w:rsid w:val="58B31C4F"/>
    <w:rsid w:val="58D2260D"/>
    <w:rsid w:val="592A069B"/>
    <w:rsid w:val="59C873C6"/>
    <w:rsid w:val="5A92474A"/>
    <w:rsid w:val="5AB67D0C"/>
    <w:rsid w:val="5AF30F60"/>
    <w:rsid w:val="5AF92295"/>
    <w:rsid w:val="5B5714EF"/>
    <w:rsid w:val="5B7025B1"/>
    <w:rsid w:val="5B7756EE"/>
    <w:rsid w:val="5BDD79E6"/>
    <w:rsid w:val="5BF561CA"/>
    <w:rsid w:val="5BFF5DFC"/>
    <w:rsid w:val="5C62639E"/>
    <w:rsid w:val="5CD71FC4"/>
    <w:rsid w:val="5D1F11B5"/>
    <w:rsid w:val="5D224252"/>
    <w:rsid w:val="5D494E68"/>
    <w:rsid w:val="5DAE1B18"/>
    <w:rsid w:val="5DBE5856"/>
    <w:rsid w:val="5DE7D9E5"/>
    <w:rsid w:val="5E810661"/>
    <w:rsid w:val="5EA42C9D"/>
    <w:rsid w:val="5ECEC941"/>
    <w:rsid w:val="5EE017FC"/>
    <w:rsid w:val="5F30008D"/>
    <w:rsid w:val="5FBF9FF3"/>
    <w:rsid w:val="5FCD4E2C"/>
    <w:rsid w:val="5FEF394A"/>
    <w:rsid w:val="5FF67715"/>
    <w:rsid w:val="60007EAA"/>
    <w:rsid w:val="600D39A3"/>
    <w:rsid w:val="604162CA"/>
    <w:rsid w:val="60567FC7"/>
    <w:rsid w:val="62BF3928"/>
    <w:rsid w:val="62DB0C58"/>
    <w:rsid w:val="634E4F86"/>
    <w:rsid w:val="63640C4D"/>
    <w:rsid w:val="646F3406"/>
    <w:rsid w:val="647924D6"/>
    <w:rsid w:val="647F5392"/>
    <w:rsid w:val="64EB5456"/>
    <w:rsid w:val="65BF03BD"/>
    <w:rsid w:val="664B1D71"/>
    <w:rsid w:val="6659677A"/>
    <w:rsid w:val="672F1572"/>
    <w:rsid w:val="67890C82"/>
    <w:rsid w:val="67AA3209"/>
    <w:rsid w:val="68C659C4"/>
    <w:rsid w:val="69603C65"/>
    <w:rsid w:val="697E058F"/>
    <w:rsid w:val="698D0931"/>
    <w:rsid w:val="6A521800"/>
    <w:rsid w:val="6A7FE5F3"/>
    <w:rsid w:val="6B053271"/>
    <w:rsid w:val="6B3813B8"/>
    <w:rsid w:val="6B3D425E"/>
    <w:rsid w:val="6BA0659B"/>
    <w:rsid w:val="6C4A05C8"/>
    <w:rsid w:val="6C8742B8"/>
    <w:rsid w:val="6DBF5E93"/>
    <w:rsid w:val="6DC01176"/>
    <w:rsid w:val="6DFF077E"/>
    <w:rsid w:val="6E380BDF"/>
    <w:rsid w:val="6E7E3605"/>
    <w:rsid w:val="6E7FDCC7"/>
    <w:rsid w:val="6E867CCA"/>
    <w:rsid w:val="6EA044B3"/>
    <w:rsid w:val="6ED6A62E"/>
    <w:rsid w:val="6EE00B15"/>
    <w:rsid w:val="6F0D03EB"/>
    <w:rsid w:val="6F6FB3EB"/>
    <w:rsid w:val="6F861D86"/>
    <w:rsid w:val="6F8731EA"/>
    <w:rsid w:val="6FCE6052"/>
    <w:rsid w:val="6FD57C00"/>
    <w:rsid w:val="6FEFFFD8"/>
    <w:rsid w:val="6FF5CC65"/>
    <w:rsid w:val="6FFB47EC"/>
    <w:rsid w:val="6FFF034A"/>
    <w:rsid w:val="71265794"/>
    <w:rsid w:val="712A28F1"/>
    <w:rsid w:val="714E0847"/>
    <w:rsid w:val="715C0E4B"/>
    <w:rsid w:val="72233669"/>
    <w:rsid w:val="72734D90"/>
    <w:rsid w:val="728A3B01"/>
    <w:rsid w:val="72C40DC1"/>
    <w:rsid w:val="73243F55"/>
    <w:rsid w:val="7332FE48"/>
    <w:rsid w:val="73814F04"/>
    <w:rsid w:val="73903399"/>
    <w:rsid w:val="73AB61DA"/>
    <w:rsid w:val="73AD73D5"/>
    <w:rsid w:val="73B6EB34"/>
    <w:rsid w:val="73FA497D"/>
    <w:rsid w:val="744731E5"/>
    <w:rsid w:val="74542618"/>
    <w:rsid w:val="74BBD01D"/>
    <w:rsid w:val="74DD260E"/>
    <w:rsid w:val="74ED5379"/>
    <w:rsid w:val="75330480"/>
    <w:rsid w:val="756D573F"/>
    <w:rsid w:val="75DEEEC2"/>
    <w:rsid w:val="762D3121"/>
    <w:rsid w:val="76E3355F"/>
    <w:rsid w:val="76FF5125"/>
    <w:rsid w:val="7726029C"/>
    <w:rsid w:val="775C1F10"/>
    <w:rsid w:val="776F6FFA"/>
    <w:rsid w:val="778769C8"/>
    <w:rsid w:val="779A47E6"/>
    <w:rsid w:val="77B84C6C"/>
    <w:rsid w:val="77DC22F5"/>
    <w:rsid w:val="77F959B0"/>
    <w:rsid w:val="79086DAD"/>
    <w:rsid w:val="79C97604"/>
    <w:rsid w:val="79D7FD79"/>
    <w:rsid w:val="79EE5BA4"/>
    <w:rsid w:val="7A0E5017"/>
    <w:rsid w:val="7A894339"/>
    <w:rsid w:val="7AD284E8"/>
    <w:rsid w:val="7AFF7572"/>
    <w:rsid w:val="7B046B46"/>
    <w:rsid w:val="7B1169F2"/>
    <w:rsid w:val="7B6C7DFB"/>
    <w:rsid w:val="7BBFBED0"/>
    <w:rsid w:val="7BC3E394"/>
    <w:rsid w:val="7BF87D2D"/>
    <w:rsid w:val="7C0861C2"/>
    <w:rsid w:val="7C1F3737"/>
    <w:rsid w:val="7C5E5DE2"/>
    <w:rsid w:val="7C703D67"/>
    <w:rsid w:val="7CBFC87B"/>
    <w:rsid w:val="7CFE0F48"/>
    <w:rsid w:val="7D7EC23E"/>
    <w:rsid w:val="7DD345AE"/>
    <w:rsid w:val="7E2D31D0"/>
    <w:rsid w:val="7E527BC8"/>
    <w:rsid w:val="7E633B84"/>
    <w:rsid w:val="7E8ADEBF"/>
    <w:rsid w:val="7E955D07"/>
    <w:rsid w:val="7EEF11D3"/>
    <w:rsid w:val="7EFE4840"/>
    <w:rsid w:val="7F0971A6"/>
    <w:rsid w:val="7F3F679B"/>
    <w:rsid w:val="7F4FC4EF"/>
    <w:rsid w:val="7F5E4D54"/>
    <w:rsid w:val="7F6E0135"/>
    <w:rsid w:val="7F79F205"/>
    <w:rsid w:val="7FA30C79"/>
    <w:rsid w:val="7FA79C44"/>
    <w:rsid w:val="7FAF8ABF"/>
    <w:rsid w:val="7FB7269E"/>
    <w:rsid w:val="7FC96657"/>
    <w:rsid w:val="7FD64829"/>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7DAB09"/>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024&#24180;&#20915;&#31639;&#25209;&#22797;&#21450;&#20844;&#24320;\2024&#24180;&#20915;&#31639;&#25209;&#22797;&#21450;&#20844;&#24320;&#65288;(&#20061;&#19977;&#65289;\&#20915;&#31639;&#39044;&#20915;&#31639;&#34920;&#26684;&#26680;&#3163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2024&#24180;&#20915;&#31639;&#25209;&#22797;&#21450;&#20844;&#24320;\2024&#24180;&#20915;&#31639;&#25209;&#22797;&#21450;&#20844;&#24320;&#65288;(&#20061;&#19977;&#65289;\&#20915;&#31639;&#39044;&#20915;&#31639;&#34920;&#26684;&#26680;&#31639;.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2024&#24180;&#20915;&#31639;&#25209;&#22797;&#21450;&#20844;&#24320;\2024&#24180;&#20915;&#31639;&#25209;&#22797;&#21450;&#20844;&#24320;&#65288;(&#20061;&#19977;&#65289;\&#20915;&#31639;&#39044;&#20915;&#31639;&#34920;&#26684;&#26680;&#31639;.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2024&#24180;&#20915;&#31639;&#25209;&#22797;&#21450;&#20844;&#24320;\2024&#24180;&#20915;&#31639;&#25209;&#22797;&#21450;&#20844;&#24320;&#65288;(&#20061;&#19977;&#65289;\&#20915;&#31639;&#39044;&#20915;&#31639;&#34920;&#26684;&#26680;&#31639;.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2024&#24180;&#20915;&#31639;&#25209;&#22797;&#21450;&#20844;&#24320;\2024&#24180;&#20915;&#31639;&#25209;&#22797;&#21450;&#20844;&#24320;&#65288;(&#20061;&#19977;&#65289;\&#20915;&#31639;&#39044;&#20915;&#31639;&#34920;&#26684;&#26680;&#31639;.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2024&#24180;&#20915;&#31639;&#25209;&#22797;&#21450;&#20844;&#24320;\2024&#24180;&#20915;&#31639;&#25209;&#22797;&#21450;&#20844;&#24320;&#65288;(&#20061;&#19977;&#65289;\&#20915;&#31639;&#39044;&#20915;&#31639;&#34920;&#26684;&#26680;&#31639;.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2024&#24180;&#20915;&#31639;&#25209;&#22797;&#21450;&#20844;&#24320;\2024&#24180;&#20915;&#31639;&#25209;&#22797;&#21450;&#20844;&#24320;&#65288;(&#20061;&#19977;&#65289;\&#20915;&#31639;&#39044;&#20915;&#31639;&#34920;&#26684;&#26680;&#3163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[决算预决算表格核算.xlsx]收入、支出对比表!$B$5</c:f>
              <c:strCache>
                <c:ptCount val="1"/>
                <c:pt idx="0">
                  <c:v>2024年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[决算预决算表格核算.xlsx]收入、支出对比表!$C$4:$D$4</c:f>
              <c:strCache>
                <c:ptCount val="2"/>
                <c:pt idx="0">
                  <c:v>收入数</c:v>
                </c:pt>
                <c:pt idx="1">
                  <c:v>支出数</c:v>
                </c:pt>
              </c:strCache>
            </c:strRef>
          </c:cat>
          <c:val>
            <c:numRef>
              <c:f>[决算预决算表格核算.xlsx]收入、支出对比表!$C$5:$D$5</c:f>
              <c:numCache>
                <c:formatCode>0.00_ </c:formatCode>
                <c:ptCount val="2"/>
                <c:pt idx="0">
                  <c:v>1476.3</c:v>
                </c:pt>
                <c:pt idx="1">
                  <c:v>1476.3</c:v>
                </c:pt>
              </c:numCache>
            </c:numRef>
          </c:val>
        </c:ser>
        <c:ser>
          <c:idx val="1"/>
          <c:order val="1"/>
          <c:tx>
            <c:strRef>
              <c:f>[决算预决算表格核算.xlsx]收入、支出对比表!$B$6</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[决算预决算表格核算.xlsx]收入、支出对比表!$C$4:$D$4</c:f>
              <c:strCache>
                <c:ptCount val="2"/>
                <c:pt idx="0">
                  <c:v>收入数</c:v>
                </c:pt>
                <c:pt idx="1">
                  <c:v>支出数</c:v>
                </c:pt>
              </c:strCache>
            </c:strRef>
          </c:cat>
          <c:val>
            <c:numRef>
              <c:f>[决算预决算表格核算.xlsx]收入、支出对比表!$C$6:$D$6</c:f>
              <c:numCache>
                <c:formatCode>0.00_ </c:formatCode>
                <c:ptCount val="2"/>
                <c:pt idx="0">
                  <c:v>1319.9</c:v>
                </c:pt>
                <c:pt idx="1">
                  <c:v>1319.9</c:v>
                </c:pt>
              </c:numCache>
            </c:numRef>
          </c:val>
        </c:ser>
        <c:dLbls>
          <c:showLegendKey val="0"/>
          <c:showVal val="1"/>
          <c:showCatName val="0"/>
          <c:showSerName val="0"/>
          <c:showPercent val="0"/>
          <c:showBubbleSize val="0"/>
        </c:dLbls>
        <c:gapWidth val="246"/>
        <c:overlap val="-28"/>
        <c:axId val="24175751"/>
        <c:axId val="466749301"/>
      </c:barChart>
      <c:catAx>
        <c:axId val="241757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6749301"/>
        <c:crosses val="autoZero"/>
        <c:auto val="1"/>
        <c:lblAlgn val="ctr"/>
        <c:lblOffset val="100"/>
        <c:noMultiLvlLbl val="0"/>
      </c:catAx>
      <c:valAx>
        <c:axId val="466749301"/>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17575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[决算预决算表格核算.xlsx]本年收入图!$D$3</c:f>
              <c:strCache>
                <c:ptCount val="1"/>
                <c:pt idx="0">
                  <c:v>2024年</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[决算预决算表格核算.xlsx]本年收入图!$E$2</c:f>
              <c:strCache>
                <c:ptCount val="1"/>
                <c:pt idx="0">
                  <c:v>一般公共预算收入</c:v>
                </c:pt>
              </c:strCache>
            </c:strRef>
          </c:cat>
          <c:val>
            <c:numRef>
              <c:f>[决算预决算表格核算.xlsx]本年收入图!$E$3</c:f>
              <c:numCache>
                <c:formatCode>General</c:formatCode>
                <c:ptCount val="1"/>
                <c:pt idx="0">
                  <c:v>1476.3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313734210994485"/>
          <c:y val="0.90835647563746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[决算预决算表格核算.xlsx]支出决算图!$D$5</c:f>
              <c:strCache>
                <c:ptCount val="1"/>
                <c:pt idx="0">
                  <c:v>支出决算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[决算预决算表格核算.xlsx]支出决算图!$C$6:$C$7</c:f>
              <c:strCache>
                <c:ptCount val="2"/>
                <c:pt idx="0">
                  <c:v>基本支出</c:v>
                </c:pt>
                <c:pt idx="1">
                  <c:v>项目支出</c:v>
                </c:pt>
              </c:strCache>
            </c:strRef>
          </c:cat>
          <c:val>
            <c:numRef>
              <c:f>[决算预决算表格核算.xlsx]支出决算图!$D$6:$D$7</c:f>
              <c:numCache>
                <c:formatCode>0.00_ </c:formatCode>
                <c:ptCount val="2"/>
                <c:pt idx="0">
                  <c:v>1176.7</c:v>
                </c:pt>
                <c:pt idx="1">
                  <c:v>299.6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347801668806162"/>
          <c:y val="0.91778029445073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[决算预决算表格核算.xlsx]财政拨款收入支出!$C$8</c:f>
              <c:strCache>
                <c:ptCount val="1"/>
                <c:pt idx="0">
                  <c:v>2024年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[决算预决算表格核算.xlsx]财政拨款收入支出!$D$7:$E$7</c:f>
              <c:strCache>
                <c:ptCount val="2"/>
                <c:pt idx="0">
                  <c:v>财政拨款收入数</c:v>
                </c:pt>
                <c:pt idx="1">
                  <c:v>财政拨款支出数</c:v>
                </c:pt>
              </c:strCache>
            </c:strRef>
          </c:cat>
          <c:val>
            <c:numRef>
              <c:f>[决算预决算表格核算.xlsx]财政拨款收入支出!$D$8:$E$8</c:f>
              <c:numCache>
                <c:formatCode>0.00_ </c:formatCode>
                <c:ptCount val="2"/>
                <c:pt idx="0">
                  <c:v>1476.3</c:v>
                </c:pt>
                <c:pt idx="1">
                  <c:v>1476.3</c:v>
                </c:pt>
              </c:numCache>
            </c:numRef>
          </c:val>
        </c:ser>
        <c:ser>
          <c:idx val="1"/>
          <c:order val="1"/>
          <c:tx>
            <c:strRef>
              <c:f>[决算预决算表格核算.xlsx]财政拨款收入支出!$C$9</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[决算预决算表格核算.xlsx]财政拨款收入支出!$D$7:$E$7</c:f>
              <c:strCache>
                <c:ptCount val="2"/>
                <c:pt idx="0">
                  <c:v>财政拨款收入数</c:v>
                </c:pt>
                <c:pt idx="1">
                  <c:v>财政拨款支出数</c:v>
                </c:pt>
              </c:strCache>
            </c:strRef>
          </c:cat>
          <c:val>
            <c:numRef>
              <c:f>[决算预决算表格核算.xlsx]财政拨款收入支出!$D$9:$E$9</c:f>
              <c:numCache>
                <c:formatCode>0.00_ </c:formatCode>
                <c:ptCount val="2"/>
                <c:pt idx="0">
                  <c:v>1319.9</c:v>
                </c:pt>
                <c:pt idx="1">
                  <c:v>1319.9</c:v>
                </c:pt>
              </c:numCache>
            </c:numRef>
          </c:val>
        </c:ser>
        <c:dLbls>
          <c:showLegendKey val="0"/>
          <c:showVal val="1"/>
          <c:showCatName val="0"/>
          <c:showSerName val="0"/>
          <c:showPercent val="0"/>
          <c:showBubbleSize val="0"/>
        </c:dLbls>
        <c:gapWidth val="246"/>
        <c:overlap val="-28"/>
        <c:axId val="125749420"/>
        <c:axId val="932940499"/>
      </c:barChart>
      <c:catAx>
        <c:axId val="1257494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2940499"/>
        <c:crosses val="autoZero"/>
        <c:auto val="1"/>
        <c:lblAlgn val="ctr"/>
        <c:lblOffset val="100"/>
        <c:noMultiLvlLbl val="0"/>
      </c:catAx>
      <c:valAx>
        <c:axId val="932940499"/>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7494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[决算预决算表格核算.xlsx]财政拨款支出决算数!$C$4</c:f>
              <c:strCache>
                <c:ptCount val="1"/>
                <c:pt idx="0">
                  <c:v>财政拨款支出决算数</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[决算预决算表格核算.xlsx]财政拨款支出决算数!$B$5:$B$6</c:f>
              <c:strCache>
                <c:ptCount val="2"/>
                <c:pt idx="0">
                  <c:v>2024年</c:v>
                </c:pt>
                <c:pt idx="1">
                  <c:v>2023年</c:v>
                </c:pt>
              </c:strCache>
            </c:strRef>
          </c:cat>
          <c:val>
            <c:numRef>
              <c:f>[决算预决算表格核算.xlsx]财政拨款支出决算数!$C$5:$C$6</c:f>
              <c:numCache>
                <c:formatCode>0.00_ </c:formatCode>
                <c:ptCount val="2"/>
                <c:pt idx="0">
                  <c:v>1476.3</c:v>
                </c:pt>
                <c:pt idx="1">
                  <c:v>1319.9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404671052631579"/>
          <c:y val="0.91550925925925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[决算预决算表格核算.xlsx]Sheet5!$C$7:$C$11</c:f>
              <c:strCache>
                <c:ptCount val="5"/>
                <c:pt idx="0">
                  <c:v>一般公共服务支出</c:v>
                </c:pt>
                <c:pt idx="1">
                  <c:v>教育支出</c:v>
                </c:pt>
                <c:pt idx="2">
                  <c:v>社会保障和就业支出</c:v>
                </c:pt>
                <c:pt idx="3">
                  <c:v>卫生健康支出</c:v>
                </c:pt>
                <c:pt idx="4">
                  <c:v>住房保障支出</c:v>
                </c:pt>
              </c:strCache>
            </c:strRef>
          </c:cat>
          <c:val>
            <c:numRef>
              <c:f>[决算预决算表格核算.xlsx]Sheet5!$D$7:$D$11</c:f>
              <c:numCache>
                <c:formatCode>0.00%</c:formatCode>
                <c:ptCount val="5"/>
                <c:pt idx="0">
                  <c:v>0.78</c:v>
                </c:pt>
                <c:pt idx="1">
                  <c:v>0.0257</c:v>
                </c:pt>
                <c:pt idx="2">
                  <c:v>0.0895</c:v>
                </c:pt>
                <c:pt idx="3">
                  <c:v>0.0395</c:v>
                </c:pt>
                <c:pt idx="4">
                  <c:v>0.0653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81079708918599"/>
          <c:y val="0.0237529691211401"/>
          <c:w val="0.813843289896768"/>
          <c:h val="0.17478226444972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[决算预决算表格核算.xlsx]三公经费!$B$12:$B$14</c:f>
              <c:strCache>
                <c:ptCount val="3"/>
                <c:pt idx="0">
                  <c:v>因公出国（境）费</c:v>
                </c:pt>
                <c:pt idx="1">
                  <c:v>公务用车购置及运行维护费</c:v>
                </c:pt>
                <c:pt idx="2">
                  <c:v>公务接待费支出</c:v>
                </c:pt>
              </c:strCache>
            </c:strRef>
          </c:cat>
          <c:val>
            <c:numRef>
              <c:f>[决算预决算表格核算.xlsx]三公经费!$C$12:$C$14</c:f>
              <c:numCache>
                <c:formatCode>0.00%</c:formatCode>
                <c:ptCount val="3"/>
                <c:pt idx="0">
                  <c:v>0.5179</c:v>
                </c:pt>
                <c:pt idx="1">
                  <c:v>0.3467</c:v>
                </c:pt>
                <c:pt idx="2">
                  <c:v>0.1354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130925060375601"/>
          <c:y val="0.92703517587939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9278</Words>
  <Characters>10394</Characters>
  <Lines>61</Lines>
  <Paragraphs>17</Paragraphs>
  <TotalTime>8</TotalTime>
  <ScaleCrop>false</ScaleCrop>
  <LinksUpToDate>false</LinksUpToDate>
  <CharactersWithSpaces>10445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2020-08-10T01:49:00Z</dcterms:created>
  <dc:creator>曹颖</dc:creator>
  <cp:lastModifiedBy>Administrator</cp:lastModifiedBy>
  <cp:lastPrinted>2025-08-29T11:11:00Z</cp:lastPrinted>
  <dcterms:modified xsi:type="dcterms:W3CDTF">2025-09-01T07:28:55Z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3BF536824C220DA3E40E8B68BA118B1C_42</vt:lpwstr>
  </property>
  <property fmtid="{D5CDD505-2E9C-101B-9397-08002B2CF9AE}" pid="4" name="KSOTemplateDocerSaveRecord">
    <vt:lpwstr>eyJoZGlkIjoiOWQ2ZWExMDIwMTAyNTlkY2I3MDQ0MGE2NzkwYzQ5NGQiLCJ1c2VySWQiOiIxMTI0NDg5MDA5In0=</vt:lpwstr>
  </property>
</Properties>
</file>