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left"/>
        <w:textAlignment w:val="auto"/>
        <w:outlineLvl w:val="0"/>
        <w:rPr>
          <w:rFonts w:hint="default" w:ascii="方正小标宋简体" w:hAnsi="宋体" w:eastAsia="方正小标宋简体"/>
          <w:color w:val="000000"/>
          <w:sz w:val="30"/>
          <w:szCs w:val="30"/>
          <w:lang w:val="en-US" w:eastAsia="zh-CN"/>
        </w:rPr>
      </w:pPr>
      <w:bookmarkStart w:id="0" w:name="_Toc15306267"/>
    </w:p>
    <w:p>
      <w:pPr>
        <w:pageBreakBefore w:val="0"/>
        <w:kinsoku/>
        <w:wordWrap/>
        <w:overflowPunct/>
        <w:topLinePunct w:val="0"/>
        <w:bidi w:val="0"/>
        <w:spacing w:line="600" w:lineRule="exact"/>
        <w:jc w:val="center"/>
        <w:textAlignment w:val="auto"/>
        <w:outlineLvl w:val="0"/>
        <w:rPr>
          <w:rFonts w:ascii="方正小标宋简体" w:hAnsi="宋体" w:eastAsia="方正小标宋简体"/>
          <w:color w:val="000000"/>
          <w:sz w:val="72"/>
          <w:szCs w:val="72"/>
        </w:rPr>
      </w:pPr>
    </w:p>
    <w:p>
      <w:pPr>
        <w:pageBreakBefore w:val="0"/>
        <w:kinsoku/>
        <w:wordWrap/>
        <w:overflowPunct/>
        <w:topLinePunct w:val="0"/>
        <w:bidi w:val="0"/>
        <w:spacing w:line="600" w:lineRule="exact"/>
        <w:jc w:val="center"/>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bCs/>
          <w:color w:val="000000"/>
          <w:sz w:val="72"/>
          <w:szCs w:val="72"/>
        </w:rPr>
      </w:pPr>
      <w:bookmarkStart w:id="1" w:name="_Toc15377193"/>
      <w:bookmarkStart w:id="2" w:name="_Toc15396475"/>
      <w:bookmarkStart w:id="3" w:name="_Toc15396597"/>
      <w:bookmarkStart w:id="4" w:name="_Toc15378441"/>
      <w:bookmarkStart w:id="5" w:name="_Toc15377425"/>
      <w:r>
        <w:rPr>
          <w:rFonts w:hint="eastAsia" w:ascii="黑体" w:hAnsi="黑体" w:eastAsia="黑体" w:cs="黑体"/>
          <w:b/>
          <w:bCs/>
          <w:color w:val="000000"/>
          <w:sz w:val="72"/>
          <w:szCs w:val="72"/>
        </w:rPr>
        <w:t>20</w:t>
      </w:r>
      <w:r>
        <w:rPr>
          <w:rFonts w:hint="eastAsia" w:ascii="黑体" w:hAnsi="黑体" w:eastAsia="黑体" w:cs="黑体"/>
          <w:b/>
          <w:bCs/>
          <w:color w:val="000000"/>
          <w:sz w:val="72"/>
          <w:szCs w:val="72"/>
          <w:lang w:val="en-US" w:eastAsia="zh-CN"/>
        </w:rPr>
        <w:t>20</w:t>
      </w:r>
      <w:r>
        <w:rPr>
          <w:rFonts w:hint="eastAsia" w:ascii="黑体" w:hAnsi="黑体" w:eastAsia="黑体" w:cs="黑体"/>
          <w:b/>
          <w:bCs/>
          <w:color w:val="000000"/>
          <w:sz w:val="72"/>
          <w:szCs w:val="72"/>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bCs/>
          <w:color w:val="000000"/>
          <w:sz w:val="72"/>
          <w:szCs w:val="72"/>
          <w:lang w:eastAsia="zh-CN"/>
        </w:rPr>
      </w:pPr>
      <w:bookmarkStart w:id="6" w:name="_Toc15377426"/>
      <w:bookmarkStart w:id="7" w:name="_Toc15396598"/>
      <w:bookmarkStart w:id="8" w:name="_Toc15377194"/>
      <w:bookmarkStart w:id="9" w:name="_Toc15396476"/>
      <w:bookmarkStart w:id="10" w:name="_Toc15378442"/>
      <w:r>
        <w:rPr>
          <w:rFonts w:hint="eastAsia" w:ascii="黑体" w:hAnsi="黑体" w:eastAsia="黑体" w:cs="黑体"/>
          <w:b/>
          <w:bCs/>
          <w:color w:val="000000"/>
          <w:sz w:val="72"/>
          <w:szCs w:val="72"/>
        </w:rPr>
        <w:t>四川省</w:t>
      </w:r>
      <w:bookmarkEnd w:id="0"/>
      <w:bookmarkStart w:id="11" w:name="_Toc15306268"/>
      <w:r>
        <w:rPr>
          <w:rFonts w:hint="eastAsia" w:ascii="黑体" w:hAnsi="黑体" w:eastAsia="黑体" w:cs="黑体"/>
          <w:b/>
          <w:bCs/>
          <w:color w:val="000000"/>
          <w:sz w:val="72"/>
          <w:szCs w:val="72"/>
          <w:lang w:eastAsia="zh-CN"/>
        </w:rPr>
        <w:t>资产评估事务中心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宋体" w:eastAsia="方正小标宋简体"/>
          <w:b/>
          <w:bCs/>
          <w:color w:val="000000"/>
          <w:sz w:val="72"/>
          <w:szCs w:val="72"/>
        </w:rPr>
      </w:pPr>
      <w:r>
        <w:rPr>
          <w:rFonts w:hint="eastAsia" w:ascii="黑体" w:hAnsi="黑体" w:eastAsia="黑体" w:cs="黑体"/>
          <w:b/>
          <w:bCs/>
          <w:color w:val="000000"/>
          <w:sz w:val="72"/>
          <w:szCs w:val="72"/>
          <w:lang w:eastAsia="zh-CN"/>
        </w:rPr>
        <w:t>单位</w:t>
      </w:r>
      <w:r>
        <w:rPr>
          <w:rFonts w:hint="eastAsia" w:ascii="黑体" w:hAnsi="黑体" w:eastAsia="黑体" w:cs="黑体"/>
          <w:b/>
          <w:bCs/>
          <w:color w:val="000000"/>
          <w:sz w:val="72"/>
          <w:szCs w:val="72"/>
        </w:rPr>
        <w:t>决算</w:t>
      </w:r>
      <w:bookmarkEnd w:id="6"/>
      <w:bookmarkEnd w:id="7"/>
      <w:bookmarkEnd w:id="8"/>
      <w:bookmarkEnd w:id="9"/>
      <w:bookmarkEnd w:id="10"/>
      <w:bookmarkEnd w:id="11"/>
    </w:p>
    <w:p>
      <w:pPr>
        <w:pageBreakBefore w:val="0"/>
        <w:widowControl/>
        <w:kinsoku/>
        <w:wordWrap/>
        <w:overflowPunct/>
        <w:topLinePunct w:val="0"/>
        <w:bidi w:val="0"/>
        <w:spacing w:line="600" w:lineRule="exact"/>
        <w:jc w:val="center"/>
        <w:textAlignment w:val="auto"/>
        <w:rPr>
          <w:rFonts w:hint="eastAsia" w:ascii="仿宋" w:hAnsi="仿宋" w:eastAsia="仿宋" w:cs="仿宋"/>
          <w:color w:val="000000"/>
          <w:sz w:val="32"/>
          <w:szCs w:val="32"/>
        </w:rPr>
      </w:pPr>
      <w:r>
        <w:rPr>
          <w:rFonts w:ascii="方正小标宋简体" w:hAnsi="宋体" w:eastAsia="方正小标宋简体"/>
          <w:color w:val="000000"/>
          <w:sz w:val="36"/>
          <w:szCs w:val="36"/>
        </w:rPr>
        <w:br w:type="page"/>
      </w:r>
      <w:r>
        <w:rPr>
          <w:rFonts w:hint="eastAsia" w:ascii="黑体" w:hAnsi="黑体" w:eastAsia="黑体" w:cs="黑体"/>
          <w:color w:val="000000"/>
          <w:sz w:val="44"/>
          <w:szCs w:val="44"/>
        </w:rPr>
        <w:t>目</w:t>
      </w:r>
      <w:r>
        <w:rPr>
          <w:rFonts w:hint="eastAsia" w:ascii="黑体" w:hAnsi="黑体" w:eastAsia="黑体" w:cs="黑体"/>
          <w:color w:val="000000"/>
          <w:sz w:val="44"/>
          <w:szCs w:val="44"/>
          <w:lang w:val="en-US" w:eastAsia="zh-CN"/>
        </w:rPr>
        <w:t xml:space="preserve">  </w:t>
      </w:r>
      <w:r>
        <w:rPr>
          <w:rFonts w:hint="eastAsia" w:ascii="黑体" w:hAnsi="黑体" w:eastAsia="黑体" w:cs="黑体"/>
          <w:color w:val="000000"/>
          <w:sz w:val="44"/>
          <w:szCs w:val="44"/>
        </w:rPr>
        <w:t>录</w:t>
      </w:r>
    </w:p>
    <w:p>
      <w:pPr>
        <w:pageBreakBefore w:val="0"/>
        <w:widowControl/>
        <w:kinsoku/>
        <w:wordWrap/>
        <w:overflowPunct/>
        <w:topLinePunct w:val="0"/>
        <w:bidi w:val="0"/>
        <w:spacing w:line="600" w:lineRule="exact"/>
        <w:jc w:val="center"/>
        <w:textAlignment w:val="auto"/>
        <w:rPr>
          <w:rFonts w:hint="eastAsia" w:ascii="仿宋" w:hAnsi="仿宋" w:eastAsia="仿宋" w:cs="仿宋"/>
          <w:sz w:val="32"/>
          <w:szCs w:val="32"/>
        </w:rPr>
      </w:pPr>
    </w:p>
    <w:p>
      <w:pPr>
        <w:pStyle w:val="12"/>
        <w:pageBreakBefore w:val="0"/>
        <w:kinsoku/>
        <w:wordWrap/>
        <w:overflowPunct/>
        <w:topLinePunct w:val="0"/>
        <w:bidi w:val="0"/>
        <w:spacing w:line="60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公开时间：20</w:t>
      </w:r>
      <w:r>
        <w:rPr>
          <w:rFonts w:hint="eastAsia" w:ascii="仿宋" w:hAnsi="仿宋" w:eastAsia="仿宋" w:cs="仿宋"/>
          <w:b w:val="0"/>
          <w:bCs w:val="0"/>
          <w:sz w:val="30"/>
          <w:szCs w:val="30"/>
          <w:lang w:val="en-US" w:eastAsia="zh-CN"/>
        </w:rPr>
        <w:t>21</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日</w:t>
      </w:r>
    </w:p>
    <w:p>
      <w:pPr>
        <w:pageBreakBefore w:val="0"/>
        <w:kinsoku/>
        <w:wordWrap/>
        <w:overflowPunct/>
        <w:topLinePunct w:val="0"/>
        <w:bidi w:val="0"/>
        <w:spacing w:line="600" w:lineRule="exact"/>
        <w:textAlignment w:val="auto"/>
        <w:rPr>
          <w:rFonts w:hint="eastAsia" w:ascii="仿宋" w:hAnsi="仿宋" w:eastAsia="仿宋" w:cs="仿宋"/>
          <w:sz w:val="32"/>
          <w:szCs w:val="32"/>
        </w:rPr>
      </w:pPr>
    </w:p>
    <w:p>
      <w:pPr>
        <w:pStyle w:val="12"/>
        <w:keepNext w:val="0"/>
        <w:keepLines w:val="0"/>
        <w:pageBreakBefore w:val="0"/>
        <w:widowControl w:val="0"/>
        <w:kinsoku/>
        <w:wordWrap/>
        <w:overflowPunct/>
        <w:topLinePunct w:val="0"/>
        <w:autoSpaceDE/>
        <w:autoSpaceDN/>
        <w:bidi w:val="0"/>
        <w:adjustRightInd w:val="0"/>
        <w:snapToGrid w:val="0"/>
        <w:spacing w:before="0" w:line="600" w:lineRule="exact"/>
        <w:jc w:val="distribute"/>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第一部分 </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概况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4</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一、职能</w:t>
      </w:r>
      <w:r>
        <w:rPr>
          <w:rFonts w:hint="eastAsia" w:ascii="仿宋_GB2312" w:hAnsi="仿宋_GB2312" w:eastAsia="仿宋_GB2312" w:cs="仿宋_GB2312"/>
          <w:color w:val="auto"/>
          <w:sz w:val="32"/>
          <w:szCs w:val="32"/>
          <w:lang w:eastAsia="zh-CN"/>
        </w:rPr>
        <w:t>简介</w:t>
      </w:r>
      <w:r>
        <w:rPr>
          <w:rFonts w:hint="eastAsia" w:ascii="仿宋_GB2312" w:hAnsi="仿宋_GB2312" w:eastAsia="仿宋_GB2312" w:cs="仿宋_GB2312"/>
          <w:color w:val="auto"/>
          <w:sz w:val="32"/>
          <w:szCs w:val="32"/>
          <w:lang w:val="en-US" w:eastAsia="zh-CN"/>
        </w:rPr>
        <w:t>....................................4</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2020年重点</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完成情况</w:t>
      </w:r>
      <w:r>
        <w:rPr>
          <w:rFonts w:hint="eastAsia" w:ascii="仿宋_GB2312" w:hAnsi="仿宋_GB2312" w:eastAsia="仿宋_GB2312" w:cs="仿宋_GB2312"/>
          <w:color w:val="auto"/>
          <w:sz w:val="32"/>
          <w:szCs w:val="32"/>
          <w:lang w:val="en-US" w:eastAsia="zh-CN"/>
        </w:rPr>
        <w:t>......................4</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default"/>
          <w:lang w:val="en-US" w:eastAsia="zh-CN"/>
        </w:rPr>
      </w:pPr>
      <w:r>
        <w:rPr>
          <w:rFonts w:hint="eastAsia" w:ascii="仿宋_GB2312" w:hAnsi="仿宋_GB2312" w:eastAsia="仿宋_GB2312" w:cs="仿宋_GB2312"/>
          <w:color w:val="auto"/>
          <w:sz w:val="32"/>
          <w:szCs w:val="32"/>
          <w:lang w:val="en-US" w:eastAsia="zh-CN"/>
        </w:rPr>
        <w:t>三、机构设置情况...........................5</w:t>
      </w:r>
    </w:p>
    <w:p>
      <w:pPr>
        <w:pStyle w:val="12"/>
        <w:keepNext w:val="0"/>
        <w:keepLines w:val="0"/>
        <w:pageBreakBefore w:val="0"/>
        <w:widowControl w:val="0"/>
        <w:kinsoku/>
        <w:wordWrap/>
        <w:overflowPunct/>
        <w:topLinePunct w:val="0"/>
        <w:autoSpaceDE/>
        <w:autoSpaceDN/>
        <w:bidi w:val="0"/>
        <w:adjustRightInd w:val="0"/>
        <w:snapToGrid w:val="0"/>
        <w:spacing w:before="0" w:line="600" w:lineRule="exact"/>
        <w:jc w:val="distribute"/>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第二部分</w:t>
      </w:r>
      <w:r>
        <w:rPr>
          <w:rFonts w:hint="eastAsia" w:ascii="仿宋_GB2312" w:hAnsi="仿宋_GB2312" w:eastAsia="仿宋_GB2312" w:cs="仿宋_GB2312"/>
          <w:b/>
          <w:bCs/>
          <w:color w:val="auto"/>
          <w:sz w:val="32"/>
          <w:szCs w:val="32"/>
          <w:lang w:val="en-US" w:eastAsia="zh-CN"/>
        </w:rPr>
        <w:t xml:space="preserve"> 2020年度单位</w:t>
      </w:r>
      <w:r>
        <w:rPr>
          <w:rFonts w:hint="eastAsia" w:ascii="仿宋_GB2312" w:hAnsi="仿宋_GB2312" w:eastAsia="仿宋_GB2312" w:cs="仿宋_GB2312"/>
          <w:b/>
          <w:bCs/>
          <w:color w:val="auto"/>
          <w:sz w:val="32"/>
          <w:szCs w:val="32"/>
        </w:rPr>
        <w:t>决算情况说明</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6</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.....................6</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lang w:val="en-US" w:eastAsia="zh-CN"/>
        </w:rPr>
        <w:t>.............................6</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..............11</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lang w:val="en-US" w:eastAsia="zh-CN"/>
        </w:rPr>
        <w:t>............11</w:t>
      </w:r>
    </w:p>
    <w:p>
      <w:pPr>
        <w:pStyle w:val="13"/>
        <w:keepNext w:val="0"/>
        <w:keepLines w:val="0"/>
        <w:pageBreakBefore w:val="0"/>
        <w:widowControl w:val="0"/>
        <w:kinsoku/>
        <w:wordWrap/>
        <w:overflowPunct/>
        <w:topLinePunct w:val="0"/>
        <w:autoSpaceDE/>
        <w:autoSpaceDN/>
        <w:bidi w:val="0"/>
        <w:adjustRightInd w:val="0"/>
        <w:snapToGrid w:val="0"/>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sz w:val="32"/>
          <w:szCs w:val="32"/>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before="0"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第三部分 名词解释</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12</w:t>
      </w:r>
    </w:p>
    <w:p>
      <w:pPr>
        <w:pStyle w:val="12"/>
        <w:keepNext w:val="0"/>
        <w:keepLines w:val="0"/>
        <w:pageBreakBefore w:val="0"/>
        <w:widowControl w:val="0"/>
        <w:kinsoku/>
        <w:wordWrap/>
        <w:overflowPunct/>
        <w:topLinePunct w:val="0"/>
        <w:autoSpaceDE/>
        <w:autoSpaceDN/>
        <w:bidi w:val="0"/>
        <w:adjustRightInd w:val="0"/>
        <w:snapToGrid w:val="0"/>
        <w:spacing w:before="0" w:line="60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部分 </w:t>
      </w: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14</w:t>
      </w:r>
    </w:p>
    <w:p>
      <w:pPr>
        <w:keepNext w:val="0"/>
        <w:keepLines w:val="0"/>
        <w:pageBreakBefore w:val="0"/>
        <w:widowControl w:val="0"/>
        <w:kinsoku/>
        <w:wordWrap/>
        <w:overflowPunct/>
        <w:topLinePunct w:val="0"/>
        <w:autoSpaceDE/>
        <w:autoSpaceDN/>
        <w:bidi w:val="0"/>
        <w:jc w:val="distribute"/>
        <w:textAlignment w:val="auto"/>
        <w:rPr>
          <w:rFonts w:hint="eastAsia"/>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部分 </w:t>
      </w:r>
      <w:r>
        <w:rPr>
          <w:rFonts w:hint="eastAsia" w:ascii="仿宋_GB2312" w:hAnsi="仿宋_GB2312" w:eastAsia="仿宋_GB2312" w:cs="仿宋_GB2312"/>
          <w:b/>
          <w:bCs/>
          <w:sz w:val="32"/>
          <w:szCs w:val="32"/>
          <w:lang w:eastAsia="zh-CN"/>
        </w:rPr>
        <w:t>附表</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15</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p>
    <w:p>
      <w:pPr>
        <w:pStyle w:val="13"/>
        <w:pageBreakBefore w:val="0"/>
        <w:kinsoku/>
        <w:wordWrap/>
        <w:overflowPunct/>
        <w:topLinePunct w:val="0"/>
        <w:bidi w:val="0"/>
        <w:adjustRightInd w:val="0"/>
        <w:snapToGrid w:val="0"/>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十四、国有资本经营预算财政拨款支出决算表</w:t>
      </w:r>
    </w:p>
    <w:p>
      <w:pPr>
        <w:pageBreakBefore w:val="0"/>
        <w:widowControl/>
        <w:kinsoku/>
        <w:wordWrap/>
        <w:overflowPunct/>
        <w:topLinePunct w:val="0"/>
        <w:bidi w:val="0"/>
        <w:adjustRightInd w:val="0"/>
        <w:snapToGrid w:val="0"/>
        <w:spacing w:line="600" w:lineRule="exact"/>
        <w:ind w:firstLine="1320" w:firstLineChars="550"/>
        <w:jc w:val="left"/>
        <w:textAlignment w:val="auto"/>
        <w:rPr>
          <w:rFonts w:ascii="仿宋" w:hAnsi="仿宋" w:eastAsia="仿宋"/>
          <w:color w:val="auto"/>
          <w:sz w:val="24"/>
          <w:highlight w:val="yellow"/>
        </w:rPr>
      </w:pPr>
    </w:p>
    <w:p>
      <w:pPr>
        <w:pageBreakBefore w:val="0"/>
        <w:widowControl/>
        <w:kinsoku/>
        <w:wordWrap/>
        <w:overflowPunct/>
        <w:topLinePunct w:val="0"/>
        <w:bidi w:val="0"/>
        <w:spacing w:line="600" w:lineRule="exact"/>
        <w:jc w:val="left"/>
        <w:textAlignment w:val="auto"/>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pageBreakBefore w:val="0"/>
        <w:kinsoku/>
        <w:wordWrap/>
        <w:overflowPunct/>
        <w:topLinePunct w:val="0"/>
        <w:bidi w:val="0"/>
        <w:spacing w:line="600" w:lineRule="exact"/>
        <w:jc w:val="center"/>
        <w:textAlignment w:val="auto"/>
        <w:rPr>
          <w:rFonts w:ascii="黑体" w:eastAsia="黑体"/>
          <w:b w:val="0"/>
          <w:bCs/>
          <w:color w:val="000000"/>
          <w:sz w:val="32"/>
          <w:szCs w:val="32"/>
        </w:rPr>
      </w:pPr>
      <w:r>
        <w:rPr>
          <w:rFonts w:hint="eastAsia" w:ascii="黑体" w:hAnsi="黑体" w:eastAsia="黑体"/>
          <w:b w:val="0"/>
          <w:bCs/>
        </w:rPr>
        <w:t xml:space="preserve">第一部分 </w:t>
      </w:r>
      <w:r>
        <w:rPr>
          <w:rFonts w:hint="eastAsia" w:ascii="黑体" w:hAnsi="黑体" w:eastAsia="黑体"/>
          <w:b w:val="0"/>
          <w:bCs/>
          <w:lang w:eastAsia="zh-CN"/>
        </w:rPr>
        <w:t>单位</w:t>
      </w:r>
      <w:r>
        <w:rPr>
          <w:rStyle w:val="28"/>
          <w:rFonts w:hint="eastAsia" w:ascii="黑体" w:hAnsi="黑体" w:eastAsia="黑体"/>
          <w:b w:val="0"/>
          <w:bCs/>
        </w:rPr>
        <w:t>概况</w:t>
      </w:r>
      <w:bookmarkEnd w:id="12"/>
      <w:bookmarkEnd w:id="13"/>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rPr>
          <w:rStyle w:val="29"/>
          <w:rFonts w:hint="eastAsia" w:ascii="黑体" w:hAnsi="黑体" w:eastAsia="黑体"/>
          <w:b/>
          <w:bCs/>
          <w:color w:val="auto"/>
          <w:lang w:eastAsia="zh-CN"/>
        </w:rPr>
      </w:pPr>
      <w:bookmarkStart w:id="14" w:name="_Toc15377197"/>
      <w:bookmarkStart w:id="15" w:name="_Toc15396600"/>
      <w:r>
        <w:rPr>
          <w:rStyle w:val="29"/>
          <w:rFonts w:hint="eastAsia" w:ascii="黑体" w:hAnsi="黑体" w:eastAsia="黑体"/>
          <w:b/>
          <w:bCs/>
          <w:color w:val="auto"/>
          <w:lang w:eastAsia="zh-CN"/>
        </w:rPr>
        <w:t>一、</w:t>
      </w:r>
      <w:r>
        <w:rPr>
          <w:rStyle w:val="29"/>
          <w:rFonts w:hint="eastAsia" w:ascii="黑体" w:hAnsi="黑体" w:eastAsia="黑体"/>
          <w:b/>
          <w:bCs/>
          <w:color w:val="auto"/>
        </w:rPr>
        <w:t>职能</w:t>
      </w:r>
      <w:r>
        <w:rPr>
          <w:rStyle w:val="29"/>
          <w:rFonts w:hint="eastAsia" w:ascii="黑体" w:hAnsi="黑体" w:eastAsia="黑体"/>
          <w:b/>
          <w:bCs/>
          <w:color w:val="auto"/>
          <w:lang w:eastAsia="zh-CN"/>
        </w:rPr>
        <w:t>简介</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highlight w:val="none"/>
          <w:lang w:val="en-US" w:eastAsia="zh-CN"/>
        </w:rPr>
        <w:t>四川省资产评估事务中心(以下简称:评估中心)</w:t>
      </w:r>
      <w:r>
        <w:rPr>
          <w:rFonts w:hint="eastAsia" w:ascii="仿宋_GB2312" w:hAnsi="仿宋_GB2312" w:eastAsia="仿宋_GB2312" w:cs="仿宋_GB2312"/>
          <w:b w:val="0"/>
          <w:bCs w:val="0"/>
          <w:sz w:val="32"/>
        </w:rPr>
        <w:t>宗旨是为资产评估机构和资产评估师服务，维护资产评估机构</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资产评估师合法权益和社会公众利益，加强资产评估行业管理，提升行业公信力，促进行业持续健康发展。</w:t>
      </w:r>
      <w:r>
        <w:rPr>
          <w:rFonts w:hint="eastAsia" w:ascii="仿宋_GB2312" w:hAnsi="仿宋_GB2312" w:eastAsia="仿宋_GB2312" w:cs="仿宋_GB2312"/>
          <w:b w:val="0"/>
          <w:bCs w:val="0"/>
          <w:sz w:val="32"/>
          <w:lang w:val="en-US" w:eastAsia="zh-CN"/>
        </w:rPr>
        <w:t xml:space="preserve"> </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highlight w:val="none"/>
          <w:lang w:val="en-US" w:eastAsia="zh-CN"/>
        </w:rPr>
        <w:t>评估中心</w:t>
      </w:r>
      <w:r>
        <w:rPr>
          <w:rFonts w:hint="eastAsia" w:ascii="仿宋_GB2312" w:hAnsi="仿宋_GB2312" w:eastAsia="仿宋_GB2312" w:cs="仿宋_GB2312"/>
          <w:b w:val="0"/>
          <w:bCs w:val="0"/>
          <w:sz w:val="32"/>
        </w:rPr>
        <w:t>的业务范围是：</w:t>
      </w:r>
      <w:r>
        <w:rPr>
          <w:rFonts w:hint="eastAsia" w:ascii="仿宋_GB2312" w:hAnsi="仿宋_GB2312" w:eastAsia="仿宋_GB2312" w:cs="仿宋_GB2312"/>
          <w:b w:val="0"/>
          <w:bCs w:val="0"/>
          <w:sz w:val="32"/>
          <w:lang w:val="en-US" w:eastAsia="zh-CN"/>
        </w:rPr>
        <w:t>1.</w:t>
      </w:r>
      <w:r>
        <w:rPr>
          <w:rFonts w:hint="eastAsia" w:ascii="仿宋_GB2312" w:hAnsi="仿宋_GB2312" w:eastAsia="仿宋_GB2312" w:cs="仿宋_GB2312"/>
          <w:b w:val="0"/>
          <w:bCs w:val="0"/>
          <w:sz w:val="32"/>
        </w:rPr>
        <w:t>承担全省资产评估机构和资产评估师服务工作；</w:t>
      </w:r>
      <w:r>
        <w:rPr>
          <w:rFonts w:hint="eastAsia" w:ascii="仿宋_GB2312" w:hAnsi="仿宋_GB2312" w:eastAsia="仿宋_GB2312" w:cs="仿宋_GB2312"/>
          <w:b w:val="0"/>
          <w:bCs w:val="0"/>
          <w:sz w:val="32"/>
          <w:lang w:val="en-US" w:eastAsia="zh-CN"/>
        </w:rPr>
        <w:t>2.</w:t>
      </w:r>
      <w:r>
        <w:rPr>
          <w:rFonts w:hint="eastAsia" w:ascii="仿宋_GB2312" w:hAnsi="仿宋_GB2312" w:eastAsia="仿宋_GB2312" w:cs="仿宋_GB2312"/>
          <w:b w:val="0"/>
          <w:bCs w:val="0"/>
          <w:sz w:val="32"/>
        </w:rPr>
        <w:t>承办省财政厅交办的其他相关工作。</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rPr>
          <w:rStyle w:val="29"/>
          <w:rFonts w:hint="default" w:ascii="黑体" w:hAnsi="黑体" w:eastAsia="黑体"/>
          <w:b/>
          <w:bCs/>
          <w:color w:val="auto"/>
          <w:lang w:val="en-US" w:eastAsia="zh-CN"/>
        </w:rPr>
      </w:pPr>
      <w:r>
        <w:rPr>
          <w:rStyle w:val="29"/>
          <w:rFonts w:hint="eastAsia" w:ascii="黑体" w:hAnsi="黑体" w:eastAsia="黑体"/>
          <w:b/>
          <w:bCs/>
          <w:color w:val="auto"/>
          <w:lang w:val="en-US" w:eastAsia="zh-CN"/>
        </w:rPr>
        <w:t>二、2020年重点</w:t>
      </w:r>
      <w:r>
        <w:rPr>
          <w:rStyle w:val="29"/>
          <w:rFonts w:hint="eastAsia" w:ascii="黑体" w:hAnsi="黑体" w:eastAsia="黑体"/>
          <w:b/>
          <w:bCs/>
          <w:color w:val="auto"/>
          <w:lang w:eastAsia="zh-CN"/>
        </w:rPr>
        <w:t>工作</w:t>
      </w:r>
      <w:bookmarkEnd w:id="14"/>
      <w:bookmarkEnd w:id="15"/>
      <w:r>
        <w:rPr>
          <w:rStyle w:val="29"/>
          <w:rFonts w:hint="eastAsia" w:ascii="黑体" w:hAnsi="黑体" w:eastAsia="黑体"/>
          <w:b/>
          <w:bCs/>
          <w:color w:val="auto"/>
          <w:lang w:eastAsia="zh-CN"/>
        </w:rPr>
        <w:t>完成情况</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（一）以政治建设为统领，推进我省资产评估行业党的建设。</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带领行业全体党员认真学习贯彻习近平新时代中国特色社会主义思想，持续推进“两个覆盖”提质扩面，推动8家资产评估机构单建党支部，向尚未建立党组织的机构选派党建指导员，确保了党的组织和工作在资产评估机构的全覆盖。及时将党建补助经费拨付给各党支部，推动党支部标准化、规范化水平提升。</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（二）组织领导行业抗击新冠肺炎疫情。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切</w:t>
      </w:r>
      <w:r>
        <w:rPr>
          <w:rFonts w:hint="eastAsia" w:ascii="仿宋_GB2312" w:hAnsi="仿宋_GB2312" w:eastAsia="仿宋_GB2312" w:cs="仿宋_GB2312"/>
          <w:b w:val="0"/>
          <w:bCs w:val="0"/>
          <w:kern w:val="2"/>
          <w:sz w:val="32"/>
          <w:szCs w:val="32"/>
          <w:lang w:val="en-US" w:eastAsia="zh-CN" w:bidi="ar-SA"/>
        </w:rPr>
        <w:t>实落实党中央、省委、厅党组关于疫情防控有关要求，构建抗击疫情行业统一战线，主动配合属地政府做好疫情防控工作，动员全省资产评</w:t>
      </w:r>
      <w:r>
        <w:rPr>
          <w:rFonts w:hint="eastAsia" w:ascii="仿宋_GB2312" w:hAnsi="仿宋_GB2312" w:eastAsia="仿宋_GB2312" w:cs="仿宋_GB2312"/>
          <w:b w:val="0"/>
          <w:bCs w:val="0"/>
          <w:sz w:val="32"/>
          <w:szCs w:val="32"/>
          <w:shd w:val="clear" w:color="auto" w:fill="FFFFFF"/>
        </w:rPr>
        <w:t>估行业向湖北疫区捐款捐物总价值约45.61万。</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（三）严格行业自律检查，督促机构不断提高执业质量。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shd w:val="clear" w:color="auto" w:fill="FFFFFF"/>
        </w:rPr>
        <w:t>对24家省内资产评估机构进行实地检查，</w:t>
      </w:r>
      <w:r>
        <w:rPr>
          <w:rFonts w:hint="eastAsia" w:ascii="仿宋_GB2312" w:hAnsi="仿宋_GB2312" w:eastAsia="仿宋_GB2312" w:cs="仿宋_GB2312"/>
          <w:b w:val="0"/>
          <w:bCs w:val="0"/>
          <w:kern w:val="0"/>
          <w:sz w:val="32"/>
          <w:szCs w:val="32"/>
        </w:rPr>
        <w:t>对1家机构和2名资产评估师予以公开谴责，对1家机构和2名资产评估师予以通报批评，对1家机构和1名资产评估师予以严重警告，对2家机构进行谈话提醒，向2家机构发关注函。</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（四）认真做好《四川资产评估》杂志的组稿刊发工作，做好会员继续教育培训。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kern w:val="2"/>
          <w:sz w:val="32"/>
          <w:szCs w:val="32"/>
          <w:shd w:val="clear" w:color="auto" w:fill="FFFFFF"/>
          <w:lang w:val="en-US" w:eastAsia="zh-CN" w:bidi="ar-SA"/>
        </w:rPr>
        <w:t>2020年度共刊发《四川资产评估》6期，2020年，杂志共出版6期，全年共出版13750册，平均每期出版2291册。</w:t>
      </w:r>
      <w:r>
        <w:rPr>
          <w:rFonts w:hint="eastAsia" w:ascii="仿宋_GB2312" w:hAnsi="仿宋_GB2312" w:eastAsia="仿宋_GB2312" w:cs="仿宋_GB2312"/>
          <w:b w:val="0"/>
          <w:bCs w:val="0"/>
          <w:sz w:val="32"/>
          <w:szCs w:val="32"/>
          <w:shd w:val="clear" w:color="auto" w:fill="FFFFFF"/>
        </w:rPr>
        <w:t>组织我省资产评估师参加中评协举办的培训班共7期，组织我省资产评估师在北京会计学院和上海会计学院进行网培约1900人次。</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（五）积极服务中心大局。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积极参加省委两新工委组织的“两新联万村·党建助振兴”2020年凉山行活动，</w:t>
      </w:r>
      <w:r>
        <w:rPr>
          <w:rFonts w:hint="eastAsia" w:ascii="仿宋_GB2312" w:hAnsi="仿宋_GB2312" w:eastAsia="仿宋_GB2312" w:cs="仿宋_GB2312"/>
          <w:b w:val="0"/>
          <w:bCs w:val="0"/>
          <w:sz w:val="32"/>
          <w:szCs w:val="32"/>
          <w:shd w:val="clear" w:color="auto" w:fill="FFFFFF"/>
          <w:lang w:val="en-US" w:eastAsia="zh-CN"/>
        </w:rPr>
        <w:t>资助10.5万元</w:t>
      </w:r>
      <w:r>
        <w:rPr>
          <w:rFonts w:hint="eastAsia" w:ascii="仿宋_GB2312" w:hAnsi="仿宋_GB2312" w:eastAsia="仿宋_GB2312" w:cs="仿宋_GB2312"/>
          <w:b w:val="0"/>
          <w:bCs w:val="0"/>
          <w:sz w:val="32"/>
          <w:szCs w:val="32"/>
          <w:shd w:val="clear" w:color="auto" w:fill="FFFFFF"/>
        </w:rPr>
        <w:t>完成布拖县特木里镇则洛小学旱厕改造项目，助力改善学校学习环境。</w:t>
      </w:r>
      <w:bookmarkStart w:id="16" w:name="_Toc15377204"/>
      <w:bookmarkStart w:id="17" w:name="_Toc15396602"/>
    </w:p>
    <w:p>
      <w:pPr>
        <w:pStyle w:val="4"/>
        <w:pageBreakBefore w:val="0"/>
        <w:widowControl w:val="0"/>
        <w:numPr>
          <w:ilvl w:val="0"/>
          <w:numId w:val="1"/>
        </w:numPr>
        <w:kinsoku/>
        <w:wordWrap/>
        <w:overflowPunct/>
        <w:topLinePunct w:val="0"/>
        <w:autoSpaceDE/>
        <w:autoSpaceDN/>
        <w:bidi w:val="0"/>
        <w:adjustRightInd/>
        <w:snapToGrid/>
        <w:spacing w:before="0" w:after="0" w:line="560" w:lineRule="exact"/>
        <w:ind w:right="0" w:firstLine="643" w:firstLineChars="200"/>
        <w:textAlignment w:val="auto"/>
        <w:rPr>
          <w:rFonts w:hint="default"/>
          <w:b/>
          <w:bCs/>
          <w:lang w:val="en-US" w:eastAsia="zh-CN"/>
        </w:rPr>
      </w:pPr>
      <w:r>
        <w:rPr>
          <w:rStyle w:val="29"/>
          <w:rFonts w:hint="eastAsia" w:ascii="黑体" w:hAnsi="黑体" w:eastAsia="黑体"/>
          <w:b/>
          <w:bCs/>
          <w:color w:val="auto"/>
          <w:lang w:val="en-US" w:eastAsia="zh-CN"/>
        </w:rPr>
        <w:t>机构设置情况</w:t>
      </w:r>
      <w:bookmarkStart w:id="62" w:name="_GoBack"/>
      <w:bookmarkEnd w:id="62"/>
    </w:p>
    <w:p>
      <w:pPr>
        <w:ind w:firstLine="640" w:firstLineChars="200"/>
        <w:rPr>
          <w:rFonts w:hint="eastAsia" w:ascii="仿宋_GB2312" w:hAnsi="仿宋_GB2312" w:eastAsia="仿宋_GB2312" w:cs="仿宋_GB2312"/>
          <w:b w:val="0"/>
          <w:bCs w:val="0"/>
          <w:sz w:val="32"/>
          <w:szCs w:val="32"/>
          <w:shd w:val="clear" w:color="auto" w:fill="FFFFFF"/>
        </w:rPr>
      </w:pPr>
      <w:r>
        <w:rPr>
          <w:rFonts w:hint="default" w:ascii="仿宋_GB2312" w:hAnsi="仿宋_GB2312" w:eastAsia="仿宋_GB2312" w:cs="仿宋_GB2312"/>
          <w:b w:val="0"/>
          <w:bCs w:val="0"/>
          <w:sz w:val="32"/>
          <w:szCs w:val="32"/>
          <w:shd w:val="clear" w:color="auto" w:fill="FFFFFF"/>
          <w:lang w:val="en-US" w:eastAsia="zh-CN"/>
        </w:rPr>
        <w:t>本单位</w:t>
      </w:r>
      <w:r>
        <w:rPr>
          <w:rFonts w:hint="eastAsia" w:ascii="仿宋_GB2312" w:hAnsi="仿宋_GB2312" w:eastAsia="仿宋_GB2312" w:cs="仿宋_GB2312"/>
          <w:b w:val="0"/>
          <w:bCs w:val="0"/>
          <w:sz w:val="32"/>
          <w:szCs w:val="32"/>
          <w:shd w:val="clear" w:color="auto" w:fill="FFFFFF"/>
          <w:lang w:val="en-US" w:eastAsia="zh-CN"/>
        </w:rPr>
        <w:t>是</w:t>
      </w:r>
      <w:r>
        <w:rPr>
          <w:rFonts w:hint="default" w:ascii="仿宋_GB2312" w:hAnsi="仿宋_GB2312" w:eastAsia="仿宋_GB2312" w:cs="仿宋_GB2312"/>
          <w:b w:val="0"/>
          <w:bCs w:val="0"/>
          <w:sz w:val="32"/>
          <w:szCs w:val="32"/>
          <w:shd w:val="clear" w:color="auto" w:fill="FFFFFF"/>
          <w:lang w:val="en-US" w:eastAsia="zh-CN"/>
        </w:rPr>
        <w:t>隶属于四川省财政厅</w:t>
      </w:r>
      <w:r>
        <w:rPr>
          <w:rFonts w:hint="eastAsia" w:ascii="仿宋_GB2312" w:hAnsi="仿宋_GB2312" w:eastAsia="仿宋_GB2312" w:cs="仿宋_GB2312"/>
          <w:b w:val="0"/>
          <w:bCs w:val="0"/>
          <w:sz w:val="32"/>
          <w:szCs w:val="32"/>
          <w:shd w:val="clear" w:color="auto" w:fill="FFFFFF"/>
          <w:lang w:val="en-US" w:eastAsia="zh-CN"/>
        </w:rPr>
        <w:t>的</w:t>
      </w:r>
      <w:r>
        <w:rPr>
          <w:rFonts w:hint="default" w:ascii="仿宋_GB2312" w:hAnsi="仿宋_GB2312" w:eastAsia="仿宋_GB2312" w:cs="仿宋_GB2312"/>
          <w:b w:val="0"/>
          <w:bCs w:val="0"/>
          <w:sz w:val="32"/>
          <w:szCs w:val="32"/>
          <w:shd w:val="clear" w:color="auto" w:fill="FFFFFF"/>
          <w:lang w:val="en-US" w:eastAsia="zh-CN"/>
        </w:rPr>
        <w:t>二级预算单位，本单位无下属单位</w:t>
      </w:r>
      <w:r>
        <w:rPr>
          <w:rFonts w:hint="eastAsia" w:ascii="仿宋_GB2312" w:hAnsi="仿宋_GB2312" w:eastAsia="仿宋_GB2312" w:cs="仿宋_GB2312"/>
          <w:b w:val="0"/>
          <w:bCs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b/>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b/>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883" w:firstLineChars="200"/>
        <w:textAlignment w:val="auto"/>
        <w:rPr>
          <w:rFonts w:hint="eastAsia" w:ascii="黑体" w:hAnsi="黑体" w:eastAsia="黑体"/>
          <w:b/>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b/>
          <w:bCs/>
          <w:color w:val="auto"/>
          <w:sz w:val="44"/>
          <w:szCs w:val="44"/>
        </w:rPr>
      </w:pPr>
    </w:p>
    <w:p>
      <w:pPr>
        <w:pStyle w:val="2"/>
        <w:rPr>
          <w:rFonts w:hint="eastAsia" w:ascii="黑体" w:hAnsi="黑体" w:eastAsia="黑体"/>
          <w:b/>
          <w:bCs/>
          <w:color w:val="auto"/>
          <w:sz w:val="44"/>
          <w:szCs w:val="44"/>
        </w:rPr>
      </w:pPr>
    </w:p>
    <w:p>
      <w:pPr>
        <w:pStyle w:val="2"/>
        <w:rPr>
          <w:rFonts w:hint="eastAsia" w:ascii="黑体" w:hAnsi="黑体" w:eastAsia="黑体"/>
          <w:b/>
          <w:bCs/>
          <w:color w:val="auto"/>
          <w:sz w:val="44"/>
          <w:szCs w:val="44"/>
        </w:rPr>
      </w:pPr>
    </w:p>
    <w:p>
      <w:pPr>
        <w:pStyle w:val="2"/>
        <w:rPr>
          <w:rFonts w:hint="eastAsia" w:ascii="黑体" w:hAnsi="黑体" w:eastAsia="黑体"/>
          <w:b/>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b/>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Style w:val="28"/>
          <w:rFonts w:hint="eastAsia" w:ascii="黑体" w:hAnsi="黑体" w:eastAsia="黑体"/>
          <w:b/>
          <w:bCs/>
          <w:color w:val="auto"/>
        </w:rPr>
      </w:pPr>
      <w:r>
        <w:rPr>
          <w:rFonts w:hint="eastAsia" w:ascii="黑体" w:hAnsi="黑体" w:eastAsia="黑体"/>
          <w:b/>
          <w:bCs/>
          <w:color w:val="auto"/>
          <w:sz w:val="44"/>
          <w:szCs w:val="44"/>
        </w:rPr>
        <w:t>第二部分</w:t>
      </w:r>
      <w:r>
        <w:rPr>
          <w:rFonts w:hint="eastAsia" w:ascii="黑体" w:hAnsi="黑体" w:eastAsia="黑体"/>
          <w:b/>
          <w:bCs/>
          <w:color w:val="auto"/>
          <w:sz w:val="44"/>
          <w:szCs w:val="44"/>
          <w:lang w:val="en-US" w:eastAsia="zh-CN"/>
        </w:rPr>
        <w:t xml:space="preserve"> </w:t>
      </w:r>
      <w:r>
        <w:rPr>
          <w:rFonts w:hint="eastAsia" w:ascii="黑体" w:hAnsi="黑体" w:eastAsia="黑体"/>
          <w:b/>
          <w:bCs/>
          <w:color w:val="auto"/>
          <w:sz w:val="44"/>
          <w:szCs w:val="44"/>
        </w:rPr>
        <w:t xml:space="preserve"> </w:t>
      </w:r>
      <w:r>
        <w:rPr>
          <w:rFonts w:hint="eastAsia" w:ascii="黑体" w:hAnsi="黑体" w:eastAsia="黑体"/>
          <w:b/>
          <w:bCs/>
          <w:color w:val="auto"/>
          <w:sz w:val="44"/>
          <w:szCs w:val="44"/>
          <w:lang w:val="en-US" w:eastAsia="zh-CN"/>
        </w:rPr>
        <w:t>2020年度</w:t>
      </w:r>
      <w:r>
        <w:rPr>
          <w:rStyle w:val="28"/>
          <w:rFonts w:hint="eastAsia" w:ascii="黑体" w:hAnsi="黑体" w:eastAsia="黑体"/>
          <w:b/>
          <w:bCs/>
          <w:color w:val="auto"/>
          <w:sz w:val="44"/>
          <w:szCs w:val="44"/>
          <w:lang w:eastAsia="zh-CN"/>
        </w:rPr>
        <w:t>单位</w:t>
      </w:r>
      <w:r>
        <w:rPr>
          <w:rStyle w:val="28"/>
          <w:rFonts w:hint="eastAsia" w:ascii="黑体" w:hAnsi="黑体" w:eastAsia="黑体"/>
          <w:b/>
          <w:bCs/>
          <w:color w:val="auto"/>
          <w:sz w:val="44"/>
          <w:szCs w:val="44"/>
        </w:rPr>
        <w:t>决算情况说明</w:t>
      </w:r>
      <w:bookmarkEnd w:id="16"/>
      <w:bookmarkEnd w:id="17"/>
      <w:bookmarkStart w:id="18" w:name="_Toc15377205"/>
      <w:bookmarkStart w:id="19" w:name="_Toc153966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rPr>
          <w:rFonts w:hint="eastAsia" w:ascii="黑体" w:hAnsi="黑体" w:eastAsia="黑体"/>
          <w:b/>
          <w:bCs/>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textAlignment w:val="auto"/>
        <w:rPr>
          <w:rStyle w:val="29"/>
          <w:rFonts w:ascii="黑体" w:hAnsi="黑体" w:eastAsia="黑体"/>
          <w:b/>
          <w:bCs/>
        </w:rPr>
      </w:pPr>
      <w:r>
        <w:rPr>
          <w:rFonts w:hint="eastAsia" w:ascii="黑体" w:hAnsi="黑体" w:eastAsia="黑体"/>
          <w:b/>
          <w:bCs/>
          <w:color w:val="000000"/>
          <w:sz w:val="32"/>
          <w:szCs w:val="32"/>
          <w:lang w:eastAsia="zh-CN"/>
        </w:rPr>
        <w:t>一、</w:t>
      </w:r>
      <w:r>
        <w:rPr>
          <w:rFonts w:hint="eastAsia" w:ascii="黑体" w:hAnsi="黑体" w:eastAsia="黑体"/>
          <w:b/>
          <w:bCs/>
          <w:color w:val="000000"/>
          <w:sz w:val="32"/>
          <w:szCs w:val="32"/>
        </w:rPr>
        <w:t>收</w:t>
      </w:r>
      <w:r>
        <w:rPr>
          <w:rStyle w:val="29"/>
          <w:rFonts w:hint="eastAsia" w:ascii="黑体" w:hAnsi="黑体" w:eastAsia="黑体"/>
          <w:b/>
          <w:bCs/>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 w:hAnsi="仿宋" w:eastAsia="仿宋"/>
          <w:b w:val="0"/>
          <w:bCs w:val="0"/>
          <w:color w:val="000000"/>
          <w:sz w:val="32"/>
          <w:szCs w:val="32"/>
          <w:lang w:val="en-US" w:eastAsia="zh-CN"/>
        </w:rPr>
      </w:pPr>
      <w:r>
        <w:rPr>
          <w:rFonts w:hint="eastAsia" w:ascii="仿宋_GB2312" w:hAnsi="仿宋_GB2312" w:eastAsia="仿宋_GB2312" w:cs="仿宋_GB2312"/>
          <w:b w:val="0"/>
          <w:bCs w:val="0"/>
          <w:sz w:val="32"/>
          <w:szCs w:val="32"/>
          <w:shd w:val="clear" w:color="auto" w:fill="FFFFFF"/>
        </w:rPr>
        <w:t>20</w:t>
      </w:r>
      <w:r>
        <w:rPr>
          <w:rFonts w:hint="eastAsia" w:ascii="仿宋_GB2312" w:hAnsi="仿宋_GB2312" w:eastAsia="仿宋_GB2312" w:cs="仿宋_GB2312"/>
          <w:b w:val="0"/>
          <w:bCs w:val="0"/>
          <w:sz w:val="32"/>
          <w:szCs w:val="32"/>
          <w:shd w:val="clear" w:color="auto" w:fill="FFFFFF"/>
          <w:lang w:val="en-US" w:eastAsia="zh-CN"/>
        </w:rPr>
        <w:t>20</w:t>
      </w:r>
      <w:r>
        <w:rPr>
          <w:rFonts w:hint="eastAsia" w:ascii="仿宋_GB2312" w:hAnsi="仿宋_GB2312" w:eastAsia="仿宋_GB2312" w:cs="仿宋_GB2312"/>
          <w:b w:val="0"/>
          <w:bCs w:val="0"/>
          <w:sz w:val="32"/>
          <w:szCs w:val="32"/>
          <w:shd w:val="clear" w:color="auto" w:fill="FFFFFF"/>
        </w:rPr>
        <w:t>年度收、支总计</w:t>
      </w:r>
      <w:r>
        <w:rPr>
          <w:rFonts w:hint="eastAsia" w:ascii="仿宋_GB2312" w:hAnsi="仿宋_GB2312" w:eastAsia="仿宋_GB2312" w:cs="仿宋_GB2312"/>
          <w:b w:val="0"/>
          <w:bCs w:val="0"/>
          <w:sz w:val="32"/>
          <w:szCs w:val="32"/>
          <w:shd w:val="clear" w:color="auto" w:fill="FFFFFF"/>
          <w:lang w:val="en-US" w:eastAsia="zh-CN"/>
        </w:rPr>
        <w:t>101.69</w:t>
      </w:r>
      <w:r>
        <w:rPr>
          <w:rFonts w:hint="eastAsia" w:ascii="仿宋_GB2312" w:hAnsi="仿宋_GB2312" w:eastAsia="仿宋_GB2312" w:cs="仿宋_GB2312"/>
          <w:b w:val="0"/>
          <w:bCs w:val="0"/>
          <w:sz w:val="32"/>
          <w:szCs w:val="32"/>
          <w:shd w:val="clear" w:color="auto" w:fill="FFFFFF"/>
        </w:rPr>
        <w:t>万元。与201</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年相比，收、支总计各减少</w:t>
      </w:r>
      <w:r>
        <w:rPr>
          <w:rFonts w:hint="eastAsia" w:ascii="仿宋_GB2312" w:hAnsi="仿宋_GB2312" w:eastAsia="仿宋_GB2312" w:cs="仿宋_GB2312"/>
          <w:b w:val="0"/>
          <w:bCs w:val="0"/>
          <w:sz w:val="32"/>
          <w:szCs w:val="32"/>
          <w:shd w:val="clear" w:color="auto" w:fill="FFFFFF"/>
          <w:lang w:val="en-US" w:eastAsia="zh-CN"/>
        </w:rPr>
        <w:t>39.72</w:t>
      </w:r>
      <w:r>
        <w:rPr>
          <w:rFonts w:hint="eastAsia" w:ascii="仿宋_GB2312" w:hAnsi="仿宋_GB2312" w:eastAsia="仿宋_GB2312" w:cs="仿宋_GB2312"/>
          <w:b w:val="0"/>
          <w:bCs w:val="0"/>
          <w:sz w:val="32"/>
          <w:szCs w:val="32"/>
          <w:shd w:val="clear" w:color="auto" w:fill="FFFFFF"/>
        </w:rPr>
        <w:t>万元，下降</w:t>
      </w:r>
      <w:r>
        <w:rPr>
          <w:rFonts w:hint="eastAsia" w:ascii="仿宋_GB2312" w:hAnsi="仿宋_GB2312" w:eastAsia="仿宋_GB2312" w:cs="仿宋_GB2312"/>
          <w:b w:val="0"/>
          <w:bCs w:val="0"/>
          <w:sz w:val="32"/>
          <w:szCs w:val="32"/>
          <w:shd w:val="clear" w:color="auto" w:fill="FFFFFF"/>
          <w:lang w:val="en-US" w:eastAsia="zh-CN"/>
        </w:rPr>
        <w:t>28.09</w:t>
      </w:r>
      <w:r>
        <w:rPr>
          <w:rFonts w:hint="eastAsia" w:ascii="仿宋_GB2312" w:hAnsi="仿宋_GB2312" w:eastAsia="仿宋_GB2312" w:cs="仿宋_GB2312"/>
          <w:b w:val="0"/>
          <w:bCs w:val="0"/>
          <w:sz w:val="32"/>
          <w:szCs w:val="32"/>
          <w:shd w:val="clear" w:color="auto" w:fill="FFFFFF"/>
        </w:rPr>
        <w:t>%。主要变动原因是</w:t>
      </w:r>
      <w:r>
        <w:rPr>
          <w:rFonts w:hint="eastAsia" w:ascii="仿宋_GB2312" w:hAnsi="仿宋_GB2312" w:eastAsia="仿宋_GB2312" w:cs="仿宋_GB2312"/>
          <w:b w:val="0"/>
          <w:bCs w:val="0"/>
          <w:sz w:val="32"/>
          <w:szCs w:val="32"/>
          <w:shd w:val="clear" w:color="auto" w:fill="FFFFFF"/>
          <w:lang w:val="en-US" w:eastAsia="zh-CN"/>
        </w:rPr>
        <w:t>2020年度资产评估专项经费减少。</w:t>
      </w:r>
    </w:p>
    <w:p>
      <w:pPr>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图1：收、支决算总计变动情况图</w:t>
      </w:r>
      <w:r>
        <w:rPr>
          <w:rFonts w:hint="eastAsia" w:ascii="楷体" w:hAnsi="楷体" w:eastAsia="楷体" w:cs="楷体"/>
          <w:b/>
          <w:bCs/>
          <w:color w:val="000000" w:themeColor="text1"/>
          <w:sz w:val="32"/>
          <w:szCs w:val="32"/>
          <w:lang w:val="en-US" w:eastAsia="zh-CN"/>
          <w14:textFill>
            <w14:solidFill>
              <w14:schemeClr w14:val="tx1"/>
            </w14:solidFill>
          </w14:textFill>
        </w:rPr>
        <w:t>(单位：万元）</w:t>
      </w:r>
    </w:p>
    <w:p>
      <w:pPr>
        <w:pStyle w:val="2"/>
        <w:jc w:val="center"/>
        <w:rPr>
          <w:rFonts w:hint="eastAsia"/>
          <w:lang w:eastAsia="zh-CN"/>
        </w:rPr>
      </w:pPr>
      <w:r>
        <w:rPr>
          <w:rFonts w:hint="eastAsia" w:eastAsia="仿宋"/>
          <w:lang w:eastAsia="zh-CN"/>
        </w:rPr>
        <w:drawing>
          <wp:anchor distT="0" distB="0" distL="114300" distR="114300" simplePos="0" relativeHeight="251660288" behindDoc="0" locked="0" layoutInCell="1" allowOverlap="1">
            <wp:simplePos x="0" y="0"/>
            <wp:positionH relativeFrom="column">
              <wp:posOffset>259715</wp:posOffset>
            </wp:positionH>
            <wp:positionV relativeFrom="paragraph">
              <wp:posOffset>62230</wp:posOffset>
            </wp:positionV>
            <wp:extent cx="5080000" cy="2344420"/>
            <wp:effectExtent l="4445" t="4445" r="20955" b="1333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 w:hAnsi="仿宋" w:eastAsia="仿宋"/>
          <w:b/>
          <w:bCs/>
          <w:color w:val="000000"/>
          <w:sz w:val="32"/>
          <w:szCs w:val="32"/>
          <w:lang w:eastAsia="zh-CN"/>
        </w:rPr>
      </w:pPr>
      <w:bookmarkStart w:id="20" w:name="_Toc15377206"/>
      <w:bookmarkStart w:id="21" w:name="_Toc15396604"/>
      <w:r>
        <w:rPr>
          <w:rFonts w:hint="eastAsia" w:ascii="黑体" w:hAnsi="黑体" w:eastAsia="黑体"/>
          <w:b/>
          <w:bCs/>
          <w:color w:val="000000"/>
          <w:sz w:val="32"/>
          <w:szCs w:val="32"/>
          <w:lang w:eastAsia="zh-CN"/>
        </w:rPr>
        <w:t>二、</w:t>
      </w:r>
      <w:r>
        <w:rPr>
          <w:rFonts w:hint="eastAsia" w:ascii="黑体" w:hAnsi="黑体" w:eastAsia="黑体"/>
          <w:b/>
          <w:bCs/>
          <w:color w:val="000000"/>
          <w:sz w:val="32"/>
          <w:szCs w:val="32"/>
        </w:rPr>
        <w:t>收</w:t>
      </w:r>
      <w:r>
        <w:rPr>
          <w:rStyle w:val="29"/>
          <w:rFonts w:hint="eastAsia" w:ascii="黑体" w:hAnsi="黑体" w:eastAsia="黑体"/>
          <w:b/>
          <w:bCs/>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2020年本年收入合计101.69万元，其中：一般公共预算财政拨款收入101.69万元，占100%。</w:t>
      </w:r>
    </w:p>
    <w:p>
      <w:pPr>
        <w:pageBreakBefore w:val="0"/>
        <w:kinsoku/>
        <w:wordWrap/>
        <w:overflowPunct/>
        <w:topLinePunct w:val="0"/>
        <w:bidi w:val="0"/>
        <w:spacing w:line="600" w:lineRule="exact"/>
        <w:jc w:val="center"/>
        <w:textAlignment w:val="auto"/>
        <w:outlineLvl w:val="1"/>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图2：收入决算结构图</w:t>
      </w:r>
      <w:bookmarkStart w:id="22" w:name="_Toc15396605"/>
      <w:bookmarkStart w:id="23" w:name="_Toc15377207"/>
    </w:p>
    <w:p>
      <w:pPr>
        <w:pStyle w:val="2"/>
        <w:jc w:val="center"/>
        <w:rPr>
          <w:rFonts w:hint="eastAsia"/>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264795</wp:posOffset>
            </wp:positionH>
            <wp:positionV relativeFrom="paragraph">
              <wp:posOffset>-6815455</wp:posOffset>
            </wp:positionV>
            <wp:extent cx="5080000" cy="2221865"/>
            <wp:effectExtent l="0" t="0" r="6350" b="69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29"/>
          <w:rFonts w:ascii="黑体" w:hAnsi="黑体" w:eastAsia="黑体"/>
          <w:b/>
          <w:bCs/>
        </w:rPr>
      </w:pPr>
      <w:r>
        <w:rPr>
          <w:rFonts w:hint="eastAsia" w:ascii="黑体" w:hAnsi="黑体" w:eastAsia="黑体"/>
          <w:b/>
          <w:bCs/>
          <w:color w:val="000000"/>
          <w:sz w:val="32"/>
          <w:szCs w:val="32"/>
          <w:lang w:eastAsia="zh-CN"/>
        </w:rPr>
        <w:t>三、</w:t>
      </w:r>
      <w:r>
        <w:rPr>
          <w:rFonts w:hint="eastAsia" w:ascii="黑体" w:hAnsi="黑体" w:eastAsia="黑体"/>
          <w:b/>
          <w:bCs/>
          <w:color w:val="000000"/>
          <w:sz w:val="32"/>
          <w:szCs w:val="32"/>
        </w:rPr>
        <w:t>支</w:t>
      </w:r>
      <w:r>
        <w:rPr>
          <w:rStyle w:val="29"/>
          <w:rFonts w:hint="eastAsia" w:ascii="黑体" w:hAnsi="黑体" w:eastAsia="黑体"/>
          <w:b/>
          <w:bCs/>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shd w:val="clear" w:color="auto" w:fill="FFFFFF"/>
          <w:lang w:val="en-US" w:eastAsia="zh-CN"/>
        </w:rPr>
        <w:t>2020年本年支出合计101.69万元，其中：基本支出51.98万元，占51.12%；项目支出49.71万元，占48.88%。</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图3：支出决算结构图</w:t>
      </w:r>
    </w:p>
    <w:p>
      <w:pPr>
        <w:jc w:val="center"/>
        <w:rPr>
          <w:rFonts w:hint="eastAsia"/>
          <w:lang w:eastAsia="zh-CN"/>
        </w:rPr>
      </w:pPr>
      <w:r>
        <w:rPr>
          <w:rFonts w:hint="eastAsia" w:eastAsia="仿宋_GB2312"/>
          <w:lang w:eastAsia="zh-CN"/>
        </w:rPr>
        <w:drawing>
          <wp:anchor distT="0" distB="0" distL="114300" distR="114300" simplePos="0" relativeHeight="251664384" behindDoc="0" locked="0" layoutInCell="1" allowOverlap="1">
            <wp:simplePos x="0" y="0"/>
            <wp:positionH relativeFrom="column">
              <wp:posOffset>264795</wp:posOffset>
            </wp:positionH>
            <wp:positionV relativeFrom="paragraph">
              <wp:posOffset>30480</wp:posOffset>
            </wp:positionV>
            <wp:extent cx="5080000" cy="2506345"/>
            <wp:effectExtent l="0" t="0" r="6350" b="825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9"/>
          <w:rFonts w:ascii="黑体" w:hAnsi="黑体" w:eastAsia="黑体"/>
          <w:b/>
          <w:bCs/>
        </w:rPr>
      </w:pPr>
      <w:bookmarkStart w:id="24" w:name="_Toc15396606"/>
      <w:bookmarkStart w:id="25" w:name="_Toc15377208"/>
      <w:r>
        <w:rPr>
          <w:rFonts w:hint="eastAsia" w:ascii="黑体" w:hAnsi="黑体" w:eastAsia="黑体"/>
          <w:b/>
          <w:bCs/>
          <w:color w:val="000000"/>
          <w:sz w:val="32"/>
          <w:szCs w:val="32"/>
        </w:rPr>
        <w:t>四、财</w:t>
      </w:r>
      <w:r>
        <w:rPr>
          <w:rStyle w:val="29"/>
          <w:rFonts w:hint="eastAsia" w:ascii="黑体" w:hAnsi="黑体" w:eastAsia="黑体"/>
          <w:b/>
          <w:bCs/>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rPr>
        <w:t>20</w:t>
      </w:r>
      <w:r>
        <w:rPr>
          <w:rFonts w:hint="eastAsia" w:ascii="仿宋_GB2312" w:hAnsi="仿宋_GB2312" w:eastAsia="仿宋_GB2312" w:cs="仿宋_GB2312"/>
          <w:b w:val="0"/>
          <w:bCs w:val="0"/>
          <w:sz w:val="32"/>
          <w:szCs w:val="32"/>
          <w:shd w:val="clear" w:color="auto" w:fill="FFFFFF"/>
          <w:lang w:val="en-US" w:eastAsia="zh-CN"/>
        </w:rPr>
        <w:t>20</w:t>
      </w:r>
      <w:r>
        <w:rPr>
          <w:rFonts w:hint="eastAsia" w:ascii="仿宋_GB2312" w:hAnsi="仿宋_GB2312" w:eastAsia="仿宋_GB2312" w:cs="仿宋_GB2312"/>
          <w:b w:val="0"/>
          <w:bCs w:val="0"/>
          <w:sz w:val="32"/>
          <w:szCs w:val="32"/>
          <w:shd w:val="clear" w:color="auto" w:fill="FFFFFF"/>
        </w:rPr>
        <w:t>年财政拨款收、支总计</w:t>
      </w:r>
      <w:r>
        <w:rPr>
          <w:rFonts w:hint="eastAsia" w:ascii="仿宋_GB2312" w:hAnsi="仿宋_GB2312" w:eastAsia="仿宋_GB2312" w:cs="仿宋_GB2312"/>
          <w:b w:val="0"/>
          <w:bCs w:val="0"/>
          <w:sz w:val="32"/>
          <w:szCs w:val="32"/>
          <w:shd w:val="clear" w:color="auto" w:fill="FFFFFF"/>
          <w:lang w:val="en-US" w:eastAsia="zh-CN"/>
        </w:rPr>
        <w:t>101.69</w:t>
      </w:r>
      <w:r>
        <w:rPr>
          <w:rFonts w:hint="eastAsia" w:ascii="仿宋_GB2312" w:hAnsi="仿宋_GB2312" w:eastAsia="仿宋_GB2312" w:cs="仿宋_GB2312"/>
          <w:b w:val="0"/>
          <w:bCs w:val="0"/>
          <w:sz w:val="32"/>
          <w:szCs w:val="32"/>
          <w:shd w:val="clear" w:color="auto" w:fill="FFFFFF"/>
        </w:rPr>
        <w:t>万元。与201</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年相比，财政拨款收、支总计各减少</w:t>
      </w:r>
      <w:r>
        <w:rPr>
          <w:rFonts w:hint="eastAsia" w:ascii="仿宋_GB2312" w:hAnsi="仿宋_GB2312" w:eastAsia="仿宋_GB2312" w:cs="仿宋_GB2312"/>
          <w:b w:val="0"/>
          <w:bCs w:val="0"/>
          <w:sz w:val="32"/>
          <w:szCs w:val="32"/>
          <w:shd w:val="clear" w:color="auto" w:fill="FFFFFF"/>
          <w:lang w:val="en-US" w:eastAsia="zh-CN"/>
        </w:rPr>
        <w:t>39.72</w:t>
      </w:r>
      <w:r>
        <w:rPr>
          <w:rFonts w:hint="eastAsia" w:ascii="仿宋_GB2312" w:hAnsi="仿宋_GB2312" w:eastAsia="仿宋_GB2312" w:cs="仿宋_GB2312"/>
          <w:b w:val="0"/>
          <w:bCs w:val="0"/>
          <w:sz w:val="32"/>
          <w:szCs w:val="32"/>
          <w:shd w:val="clear" w:color="auto" w:fill="FFFFFF"/>
        </w:rPr>
        <w:t>万元，下降</w:t>
      </w:r>
      <w:r>
        <w:rPr>
          <w:rFonts w:hint="eastAsia" w:ascii="仿宋_GB2312" w:hAnsi="仿宋_GB2312" w:eastAsia="仿宋_GB2312" w:cs="仿宋_GB2312"/>
          <w:b w:val="0"/>
          <w:bCs w:val="0"/>
          <w:sz w:val="32"/>
          <w:szCs w:val="32"/>
          <w:shd w:val="clear" w:color="auto" w:fill="FFFFFF"/>
          <w:lang w:val="en-US" w:eastAsia="zh-CN"/>
        </w:rPr>
        <w:t>28.09</w:t>
      </w:r>
      <w:r>
        <w:rPr>
          <w:rFonts w:hint="eastAsia" w:ascii="仿宋_GB2312" w:hAnsi="仿宋_GB2312" w:eastAsia="仿宋_GB2312" w:cs="仿宋_GB2312"/>
          <w:b w:val="0"/>
          <w:bCs w:val="0"/>
          <w:sz w:val="32"/>
          <w:szCs w:val="32"/>
          <w:shd w:val="clear" w:color="auto" w:fill="FFFFFF"/>
        </w:rPr>
        <w:t>%。主要变动原因是</w:t>
      </w:r>
      <w:r>
        <w:rPr>
          <w:rFonts w:hint="eastAsia" w:ascii="仿宋_GB2312" w:hAnsi="仿宋_GB2312" w:eastAsia="仿宋_GB2312" w:cs="仿宋_GB2312"/>
          <w:b w:val="0"/>
          <w:bCs w:val="0"/>
          <w:sz w:val="32"/>
          <w:szCs w:val="32"/>
          <w:shd w:val="clear" w:color="auto" w:fill="FFFFFF"/>
          <w:lang w:val="en-US" w:eastAsia="zh-CN"/>
        </w:rPr>
        <w:t>2020年度资产评估专项经费减少导致。</w:t>
      </w:r>
    </w:p>
    <w:p>
      <w:pPr>
        <w:pageBreakBefore w:val="0"/>
        <w:kinsoku/>
        <w:wordWrap/>
        <w:overflowPunct/>
        <w:topLinePunct w:val="0"/>
        <w:bidi w:val="0"/>
        <w:spacing w:line="600" w:lineRule="exact"/>
        <w:jc w:val="center"/>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eastAsia="zh-CN"/>
        </w:rPr>
        <w:t>图</w:t>
      </w:r>
      <w:r>
        <w:rPr>
          <w:rFonts w:hint="eastAsia" w:ascii="楷体" w:hAnsi="楷体" w:eastAsia="楷体" w:cs="楷体"/>
          <w:b/>
          <w:bCs w:val="0"/>
          <w:color w:val="auto"/>
          <w:sz w:val="32"/>
          <w:szCs w:val="32"/>
          <w:lang w:val="en-US" w:eastAsia="zh-CN"/>
        </w:rPr>
        <w:t>4：财政拨款收入、支出总计变动情况（单位：万元）</w:t>
      </w:r>
    </w:p>
    <w:p>
      <w:pPr>
        <w:pStyle w:val="2"/>
        <w:jc w:val="center"/>
        <w:rPr>
          <w:rFonts w:hint="eastAsia"/>
          <w:lang w:val="en-US" w:eastAsia="zh-CN"/>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259715</wp:posOffset>
            </wp:positionH>
            <wp:positionV relativeFrom="paragraph">
              <wp:posOffset>115570</wp:posOffset>
            </wp:positionV>
            <wp:extent cx="5080000" cy="2050415"/>
            <wp:effectExtent l="4445" t="4445" r="20955" b="2159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9"/>
          <w:rFonts w:ascii="黑体" w:hAnsi="黑体" w:eastAsia="黑体"/>
          <w:b/>
          <w:bCs/>
        </w:rPr>
      </w:pPr>
      <w:bookmarkStart w:id="26" w:name="_Toc15396607"/>
      <w:bookmarkStart w:id="27" w:name="_Toc15377209"/>
      <w:r>
        <w:rPr>
          <w:rFonts w:hint="eastAsia" w:ascii="黑体" w:hAnsi="黑体" w:eastAsia="黑体"/>
          <w:b/>
          <w:bCs/>
          <w:color w:val="000000"/>
          <w:sz w:val="32"/>
          <w:szCs w:val="32"/>
        </w:rPr>
        <w:t>五、一</w:t>
      </w:r>
      <w:r>
        <w:rPr>
          <w:rStyle w:val="29"/>
          <w:rFonts w:hint="eastAsia" w:ascii="黑体" w:hAnsi="黑体" w:eastAsia="黑体"/>
          <w:b/>
          <w:bCs/>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color w:val="000000"/>
          <w:sz w:val="32"/>
          <w:szCs w:val="32"/>
          <w:lang w:eastAsia="zh-CN"/>
        </w:rPr>
      </w:pPr>
      <w:bookmarkStart w:id="28" w:name="_Toc15377210"/>
      <w:r>
        <w:rPr>
          <w:rFonts w:hint="eastAsia" w:ascii="楷体_GB2312" w:hAnsi="楷体_GB2312" w:eastAsia="楷体_GB2312" w:cs="楷体_GB2312"/>
          <w:b/>
          <w:bCs/>
          <w:color w:val="000000"/>
          <w:sz w:val="32"/>
          <w:szCs w:val="32"/>
        </w:rPr>
        <w:t>（一）一般公共预算财政拨款支出决算总体情况</w:t>
      </w:r>
      <w:bookmarkEnd w:id="28"/>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rPr>
        <w:t>20</w:t>
      </w:r>
      <w:r>
        <w:rPr>
          <w:rFonts w:hint="eastAsia" w:ascii="仿宋_GB2312" w:hAnsi="仿宋_GB2312" w:eastAsia="仿宋_GB2312" w:cs="仿宋_GB2312"/>
          <w:b w:val="0"/>
          <w:bCs w:val="0"/>
          <w:sz w:val="32"/>
          <w:szCs w:val="32"/>
          <w:shd w:val="clear" w:color="auto" w:fill="FFFFFF"/>
          <w:lang w:val="en-US" w:eastAsia="zh-CN"/>
        </w:rPr>
        <w:t>20</w:t>
      </w:r>
      <w:r>
        <w:rPr>
          <w:rFonts w:hint="eastAsia" w:ascii="仿宋_GB2312" w:hAnsi="仿宋_GB2312" w:eastAsia="仿宋_GB2312" w:cs="仿宋_GB2312"/>
          <w:b w:val="0"/>
          <w:bCs w:val="0"/>
          <w:sz w:val="32"/>
          <w:szCs w:val="32"/>
          <w:shd w:val="clear" w:color="auto" w:fill="FFFFFF"/>
        </w:rPr>
        <w:t>年一般公共预算财政拨款支出</w:t>
      </w:r>
      <w:r>
        <w:rPr>
          <w:rFonts w:hint="eastAsia" w:ascii="仿宋_GB2312" w:hAnsi="仿宋_GB2312" w:eastAsia="仿宋_GB2312" w:cs="仿宋_GB2312"/>
          <w:b w:val="0"/>
          <w:bCs w:val="0"/>
          <w:sz w:val="32"/>
          <w:szCs w:val="32"/>
          <w:shd w:val="clear" w:color="auto" w:fill="FFFFFF"/>
          <w:lang w:val="en-US" w:eastAsia="zh-CN"/>
        </w:rPr>
        <w:t>101.69</w:t>
      </w:r>
      <w:r>
        <w:rPr>
          <w:rFonts w:hint="eastAsia" w:ascii="仿宋_GB2312" w:hAnsi="仿宋_GB2312" w:eastAsia="仿宋_GB2312" w:cs="仿宋_GB2312"/>
          <w:b w:val="0"/>
          <w:bCs w:val="0"/>
          <w:sz w:val="32"/>
          <w:szCs w:val="32"/>
          <w:shd w:val="clear" w:color="auto" w:fill="FFFFFF"/>
        </w:rPr>
        <w:t>万元，占本年支出合计的</w:t>
      </w:r>
      <w:r>
        <w:rPr>
          <w:rFonts w:hint="eastAsia" w:ascii="仿宋_GB2312" w:hAnsi="仿宋_GB2312" w:eastAsia="仿宋_GB2312" w:cs="仿宋_GB2312"/>
          <w:b w:val="0"/>
          <w:bCs w:val="0"/>
          <w:sz w:val="32"/>
          <w:szCs w:val="32"/>
          <w:shd w:val="clear" w:color="auto" w:fill="FFFFFF"/>
          <w:lang w:val="en-US" w:eastAsia="zh-CN"/>
        </w:rPr>
        <w:t>100</w:t>
      </w:r>
      <w:r>
        <w:rPr>
          <w:rFonts w:hint="eastAsia" w:ascii="仿宋_GB2312" w:hAnsi="仿宋_GB2312" w:eastAsia="仿宋_GB2312" w:cs="仿宋_GB2312"/>
          <w:b w:val="0"/>
          <w:bCs w:val="0"/>
          <w:sz w:val="32"/>
          <w:szCs w:val="32"/>
          <w:shd w:val="clear" w:color="auto" w:fill="FFFFFF"/>
        </w:rPr>
        <w:t>%。与201</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年相比，一般公共预算财政拨款减少</w:t>
      </w:r>
      <w:r>
        <w:rPr>
          <w:rFonts w:hint="eastAsia" w:ascii="仿宋_GB2312" w:hAnsi="仿宋_GB2312" w:eastAsia="仿宋_GB2312" w:cs="仿宋_GB2312"/>
          <w:b w:val="0"/>
          <w:bCs w:val="0"/>
          <w:sz w:val="32"/>
          <w:szCs w:val="32"/>
          <w:shd w:val="clear" w:color="auto" w:fill="FFFFFF"/>
          <w:lang w:val="en-US" w:eastAsia="zh-CN"/>
        </w:rPr>
        <w:t>39.72</w:t>
      </w:r>
      <w:r>
        <w:rPr>
          <w:rFonts w:hint="eastAsia" w:ascii="仿宋_GB2312" w:hAnsi="仿宋_GB2312" w:eastAsia="仿宋_GB2312" w:cs="仿宋_GB2312"/>
          <w:b w:val="0"/>
          <w:bCs w:val="0"/>
          <w:sz w:val="32"/>
          <w:szCs w:val="32"/>
          <w:shd w:val="clear" w:color="auto" w:fill="FFFFFF"/>
        </w:rPr>
        <w:t>万元，下降</w:t>
      </w:r>
      <w:r>
        <w:rPr>
          <w:rFonts w:hint="eastAsia" w:ascii="仿宋_GB2312" w:hAnsi="仿宋_GB2312" w:eastAsia="仿宋_GB2312" w:cs="仿宋_GB2312"/>
          <w:b w:val="0"/>
          <w:bCs w:val="0"/>
          <w:sz w:val="32"/>
          <w:szCs w:val="32"/>
          <w:shd w:val="clear" w:color="auto" w:fill="FFFFFF"/>
          <w:lang w:val="en-US" w:eastAsia="zh-CN"/>
        </w:rPr>
        <w:t>28.09</w:t>
      </w:r>
      <w:r>
        <w:rPr>
          <w:rFonts w:hint="eastAsia" w:ascii="仿宋_GB2312" w:hAnsi="仿宋_GB2312" w:eastAsia="仿宋_GB2312" w:cs="仿宋_GB2312"/>
          <w:b w:val="0"/>
          <w:bCs w:val="0"/>
          <w:sz w:val="32"/>
          <w:szCs w:val="32"/>
          <w:shd w:val="clear" w:color="auto" w:fill="FFFFFF"/>
        </w:rPr>
        <w:t>%。主要变动原因是</w:t>
      </w:r>
      <w:r>
        <w:rPr>
          <w:rFonts w:hint="eastAsia" w:ascii="仿宋_GB2312" w:hAnsi="仿宋_GB2312" w:eastAsia="仿宋_GB2312" w:cs="仿宋_GB2312"/>
          <w:b w:val="0"/>
          <w:bCs w:val="0"/>
          <w:sz w:val="32"/>
          <w:szCs w:val="32"/>
          <w:shd w:val="clear" w:color="auto" w:fill="FFFFFF"/>
          <w:lang w:val="en-US" w:eastAsia="zh-CN"/>
        </w:rPr>
        <w:t>2020年度资产评估专项经费减少导致。</w:t>
      </w:r>
    </w:p>
    <w:p>
      <w:pPr>
        <w:pageBreakBefore w:val="0"/>
        <w:kinsoku/>
        <w:wordWrap/>
        <w:overflowPunct/>
        <w:topLinePunct w:val="0"/>
        <w:bidi w:val="0"/>
        <w:spacing w:line="600" w:lineRule="exact"/>
        <w:ind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图</w:t>
      </w:r>
      <w:r>
        <w:rPr>
          <w:rFonts w:hint="eastAsia" w:ascii="楷体" w:hAnsi="楷体" w:eastAsia="楷体" w:cs="楷体"/>
          <w:b/>
          <w:bCs/>
          <w:sz w:val="32"/>
          <w:szCs w:val="32"/>
          <w:lang w:val="en-US" w:eastAsia="zh-CN"/>
        </w:rPr>
        <w:t>5：一般公共预算财政拨款支出变动情况（单位：万元）</w:t>
      </w:r>
      <w:bookmarkStart w:id="29" w:name="_Toc15377211"/>
    </w:p>
    <w:p>
      <w:pPr>
        <w:pStyle w:val="2"/>
        <w:jc w:val="center"/>
        <w:rPr>
          <w:rFonts w:hint="eastAsia"/>
          <w:lang w:eastAsia="zh-CN"/>
        </w:rPr>
      </w:pPr>
      <w:r>
        <w:rPr>
          <w:rFonts w:hint="eastAsia" w:eastAsia="仿宋"/>
          <w:lang w:eastAsia="zh-CN"/>
        </w:rPr>
        <w:drawing>
          <wp:anchor distT="0" distB="0" distL="114300" distR="114300" simplePos="0" relativeHeight="251662336" behindDoc="0" locked="0" layoutInCell="1" allowOverlap="1">
            <wp:simplePos x="0" y="0"/>
            <wp:positionH relativeFrom="column">
              <wp:posOffset>264795</wp:posOffset>
            </wp:positionH>
            <wp:positionV relativeFrom="paragraph">
              <wp:posOffset>82550</wp:posOffset>
            </wp:positionV>
            <wp:extent cx="5080000" cy="2125980"/>
            <wp:effectExtent l="0" t="0" r="6350" b="762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（二）一般公共预算财政拨款支出决算结构情况</w:t>
      </w:r>
      <w:bookmarkEnd w:id="29"/>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2020年一般公共预算财政拨款支出101.69万元，主要用于以下方面:一般公共服务（类）支出82.69万元，占81.32%；社会保障和就业（类）支出16万元，占15.73%；卫生健康类支出3万元，占2.95%。</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eastAsia="zh-CN"/>
        </w:rPr>
        <w:t>图</w:t>
      </w:r>
      <w:r>
        <w:rPr>
          <w:rFonts w:hint="eastAsia" w:ascii="楷体" w:hAnsi="楷体" w:eastAsia="楷体" w:cs="楷体"/>
          <w:b/>
          <w:bCs/>
          <w:sz w:val="32"/>
          <w:szCs w:val="32"/>
          <w:highlight w:val="none"/>
          <w:lang w:val="en-US" w:eastAsia="zh-CN"/>
        </w:rPr>
        <w:t>6：一般公共预算财政拨款支出决算情况</w:t>
      </w:r>
    </w:p>
    <w:p>
      <w:pPr>
        <w:jc w:val="center"/>
        <w:rPr>
          <w:rFonts w:hint="eastAsia"/>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66675</wp:posOffset>
            </wp:positionV>
            <wp:extent cx="5851525" cy="3820160"/>
            <wp:effectExtent l="0" t="0" r="15875" b="889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jc w:val="center"/>
        <w:rPr>
          <w:rFonts w:hint="eastAsia"/>
          <w:lang w:eastAsia="zh-CN"/>
        </w:rPr>
      </w:pP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000000"/>
          <w:sz w:val="32"/>
          <w:szCs w:val="32"/>
          <w:lang w:val="en-US" w:eastAsia="zh-CN"/>
        </w:rPr>
      </w:pPr>
      <w:bookmarkStart w:id="30" w:name="_Toc15377212"/>
      <w:r>
        <w:rPr>
          <w:rFonts w:hint="eastAsia" w:ascii="楷体_GB2312" w:hAnsi="楷体_GB2312" w:eastAsia="楷体_GB2312" w:cs="楷体_GB2312"/>
          <w:b/>
          <w:bCs/>
          <w:color w:val="000000"/>
          <w:sz w:val="32"/>
          <w:szCs w:val="32"/>
          <w:lang w:val="en-US" w:eastAsia="zh-CN"/>
        </w:rPr>
        <w:t>（三）一般公共预算财政拨款支出决算具体情况</w:t>
      </w:r>
      <w:bookmarkEnd w:id="30"/>
      <w:r>
        <w:rPr>
          <w:rFonts w:hint="eastAsia" w:ascii="楷体_GB2312" w:hAnsi="楷体_GB2312" w:eastAsia="楷体_GB2312" w:cs="楷体_GB2312"/>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shd w:val="clear" w:color="auto" w:fill="FFFFFF"/>
          <w:lang w:val="en-US" w:eastAsia="zh-CN"/>
        </w:rPr>
      </w:pPr>
      <w:bookmarkStart w:id="31" w:name="_Toc15377444"/>
      <w:bookmarkStart w:id="32" w:name="_Toc15378460"/>
      <w:bookmarkStart w:id="33" w:name="_Toc15377213"/>
      <w:r>
        <w:rPr>
          <w:rFonts w:hint="eastAsia" w:ascii="仿宋_GB2312" w:hAnsi="仿宋_GB2312" w:eastAsia="仿宋_GB2312" w:cs="仿宋_GB2312"/>
          <w:b/>
          <w:bCs/>
          <w:sz w:val="32"/>
          <w:szCs w:val="32"/>
          <w:shd w:val="clear" w:color="auto" w:fill="FFFFFF"/>
          <w:lang w:val="en-US" w:eastAsia="zh-CN"/>
        </w:rPr>
        <w:t>2020年一般公共预算支出决算数为101.69，完成预算72.36%。其中：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1.一般公共服务（类）财政事务（款）事业运行（项）:</w:t>
      </w:r>
      <w:r>
        <w:rPr>
          <w:rFonts w:hint="eastAsia" w:ascii="仿宋_GB2312" w:hAnsi="仿宋_GB2312" w:eastAsia="仿宋_GB2312" w:cs="仿宋_GB2312"/>
          <w:b w:val="0"/>
          <w:bCs w:val="0"/>
          <w:sz w:val="32"/>
          <w:szCs w:val="32"/>
          <w:shd w:val="clear" w:color="auto" w:fill="FFFFFF"/>
          <w:lang w:val="en-US" w:eastAsia="zh-CN"/>
        </w:rPr>
        <w:t xml:space="preserve"> 支出决算为32.98万元，完成预算82.49%。决算数小于预算数的主要原因是疫情期间差旅费、工会经费等部分支出减少。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 xml:space="preserve">2.一般公共服务（类）财政事务（款）其他财政事务支出（项）: </w:t>
      </w:r>
      <w:r>
        <w:rPr>
          <w:rFonts w:hint="eastAsia" w:ascii="仿宋_GB2312" w:hAnsi="仿宋_GB2312" w:eastAsia="仿宋_GB2312" w:cs="仿宋_GB2312"/>
          <w:b w:val="0"/>
          <w:bCs w:val="0"/>
          <w:sz w:val="32"/>
          <w:szCs w:val="32"/>
          <w:shd w:val="clear" w:color="auto" w:fill="FFFFFF"/>
          <w:lang w:val="en-US" w:eastAsia="zh-CN"/>
        </w:rPr>
        <w:t>支出决算为49.71万元，完成预算60.92%，决算数小于预算数的主要原因是疫情期间未开展资产评估师培训工作，以及减少了资产评估执业质量检查工作。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3.社会保障和就业（类）行政事业单位养老支出（款）机关事业单位基本养老保险缴费支出（项）: 支出决算为10万元，完成预算100%。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4.社会保障和就业（类）行政事业单位养老支出（款）机关事业单位职业年金缴费支出（项）</w:t>
      </w:r>
      <w:r>
        <w:rPr>
          <w:rFonts w:hint="eastAsia" w:ascii="仿宋_GB2312" w:hAnsi="仿宋_GB2312" w:eastAsia="仿宋_GB2312" w:cs="仿宋_GB2312"/>
          <w:b w:val="0"/>
          <w:bCs w:val="0"/>
          <w:sz w:val="32"/>
          <w:szCs w:val="32"/>
          <w:shd w:val="clear" w:color="auto" w:fill="FFFFFF"/>
          <w:lang w:val="en-US" w:eastAsia="zh-CN"/>
        </w:rPr>
        <w:t>支出决算为6万元，完成预算100%。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5.卫生健康（类）行政事业单位医疗（款）事业单位医疗（项）:</w:t>
      </w:r>
      <w:r>
        <w:rPr>
          <w:rFonts w:hint="eastAsia" w:ascii="仿宋_GB2312" w:hAnsi="仿宋_GB2312" w:eastAsia="仿宋_GB2312" w:cs="仿宋_GB2312"/>
          <w:b w:val="0"/>
          <w:bCs w:val="0"/>
          <w:sz w:val="32"/>
          <w:szCs w:val="32"/>
          <w:shd w:val="clear" w:color="auto" w:fill="FFFFFF"/>
          <w:lang w:val="en-US" w:eastAsia="zh-CN"/>
        </w:rPr>
        <w:t>支出决算为3万元，完成预算100%。</w:t>
      </w:r>
    </w:p>
    <w:p>
      <w:pPr>
        <w:keepNext w:val="0"/>
        <w:keepLines w:val="0"/>
        <w:pageBreakBefore w:val="0"/>
        <w:widowControl w:val="0"/>
        <w:tabs>
          <w:tab w:val="right" w:pos="8306"/>
        </w:tabs>
        <w:kinsoku/>
        <w:wordWrap/>
        <w:overflowPunct/>
        <w:topLinePunct w:val="0"/>
        <w:bidi w:val="0"/>
        <w:snapToGrid/>
        <w:spacing w:line="560" w:lineRule="exact"/>
        <w:ind w:firstLine="640"/>
        <w:textAlignment w:val="auto"/>
        <w:outlineLvl w:val="1"/>
        <w:rPr>
          <w:rStyle w:val="29"/>
        </w:rPr>
      </w:pPr>
      <w:bookmarkStart w:id="34" w:name="_Toc15377214"/>
      <w:bookmarkStart w:id="35" w:name="_Toc15396608"/>
      <w:r>
        <w:rPr>
          <w:rFonts w:hint="eastAsia" w:ascii="黑体" w:eastAsia="黑体"/>
          <w:b/>
          <w:bCs/>
          <w:color w:val="000000"/>
          <w:sz w:val="32"/>
          <w:szCs w:val="32"/>
        </w:rPr>
        <w:t>六、</w:t>
      </w:r>
      <w:r>
        <w:rPr>
          <w:rFonts w:hint="eastAsia" w:ascii="黑体" w:hAnsi="黑体" w:eastAsia="黑体"/>
          <w:b/>
          <w:bCs/>
          <w:color w:val="000000"/>
          <w:sz w:val="32"/>
          <w:szCs w:val="32"/>
        </w:rPr>
        <w:t>一</w:t>
      </w:r>
      <w:r>
        <w:rPr>
          <w:rStyle w:val="29"/>
          <w:rFonts w:hint="eastAsia" w:ascii="黑体" w:hAnsi="黑体" w:eastAsia="黑体"/>
          <w:b/>
          <w:bCs/>
        </w:rPr>
        <w:t>般公共预算财政拨款基本支出决算情况说明</w:t>
      </w:r>
      <w:bookmarkEnd w:id="34"/>
      <w:bookmarkEnd w:id="35"/>
      <w:r>
        <w:rPr>
          <w:rStyle w:val="29"/>
          <w:rFonts w:ascii="黑体" w:hAnsi="黑体" w:eastAsia="黑体"/>
          <w:b w:val="0"/>
        </w:rPr>
        <w:tab/>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2020年一般公共预算财政拨款基本支出51.98万元，其中：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人员经费48.42万元，主要包括：基本工资、津贴补贴、奖金、机关事业单位基本养老保险缴费、职业年金缴费、其他社会保障缴费。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　　公用经费3.56万元，主要包括：办公费、电费、差旅费。</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9"/>
          <w:rFonts w:ascii="黑体" w:hAnsi="黑体" w:eastAsia="黑体"/>
          <w:b/>
          <w:bCs/>
        </w:rPr>
      </w:pPr>
      <w:bookmarkStart w:id="36" w:name="_Toc15377215"/>
      <w:bookmarkStart w:id="37" w:name="_Toc15396609"/>
      <w:r>
        <w:rPr>
          <w:rFonts w:hint="eastAsia" w:ascii="黑体" w:eastAsia="黑体"/>
          <w:b/>
          <w:bCs/>
          <w:color w:val="000000"/>
          <w:sz w:val="32"/>
          <w:szCs w:val="32"/>
        </w:rPr>
        <w:t>七、</w:t>
      </w:r>
      <w:r>
        <w:rPr>
          <w:rStyle w:val="29"/>
          <w:rFonts w:hint="eastAsia" w:ascii="黑体" w:hAnsi="黑体" w:eastAsia="黑体"/>
          <w:b/>
          <w:bCs/>
        </w:rPr>
        <w:t>“三公”经费财政拨款支出决算情况说明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2020年评估中心“三公”经费财政拨款支出0万元。</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9"/>
          <w:rFonts w:ascii="黑体" w:hAnsi="黑体" w:eastAsia="黑体"/>
          <w:b/>
          <w:bCs/>
        </w:rPr>
      </w:pPr>
      <w:bookmarkStart w:id="38" w:name="_Toc15377218"/>
      <w:bookmarkStart w:id="39" w:name="_Toc15396610"/>
      <w:r>
        <w:rPr>
          <w:rFonts w:hint="eastAsia" w:ascii="黑体" w:eastAsia="黑体"/>
          <w:b/>
          <w:bCs/>
          <w:color w:val="000000"/>
          <w:sz w:val="32"/>
          <w:szCs w:val="32"/>
        </w:rPr>
        <w:t>八、</w:t>
      </w:r>
      <w:r>
        <w:rPr>
          <w:rStyle w:val="29"/>
          <w:rFonts w:hint="eastAsia" w:ascii="黑体" w:hAnsi="黑体" w:eastAsia="黑体"/>
          <w:b/>
          <w:bCs/>
        </w:rPr>
        <w:t>政府性基金预算支出决算情况说明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2020年评估中心政府性基金预算财政拨款支出0万元。</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outlineLvl w:val="1"/>
        <w:rPr>
          <w:rStyle w:val="29"/>
          <w:rFonts w:ascii="黑体" w:hAnsi="黑体" w:eastAsia="黑体"/>
          <w:b/>
          <w:bCs w:val="0"/>
        </w:rPr>
      </w:pPr>
      <w:bookmarkStart w:id="40" w:name="_Toc15377219"/>
      <w:bookmarkStart w:id="41" w:name="_Toc15396611"/>
      <w:r>
        <w:rPr>
          <w:rStyle w:val="29"/>
          <w:rFonts w:hint="eastAsia" w:ascii="黑体" w:hAnsi="黑体" w:eastAsia="黑体"/>
          <w:b/>
          <w:bCs w:val="0"/>
          <w:lang w:eastAsia="zh-CN"/>
        </w:rPr>
        <w:t>九、</w:t>
      </w:r>
      <w:r>
        <w:rPr>
          <w:rStyle w:val="29"/>
          <w:rFonts w:hint="eastAsia" w:ascii="黑体" w:hAnsi="黑体" w:eastAsia="黑体"/>
          <w:b/>
          <w:bCs w:val="0"/>
        </w:rPr>
        <w:t>国有资本经营预算支出决算情况说明</w:t>
      </w:r>
      <w:bookmarkEnd w:id="40"/>
      <w:bookmarkEnd w:id="41"/>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b w:val="0"/>
          <w:bCs w:val="0"/>
          <w:sz w:val="32"/>
          <w:szCs w:val="32"/>
          <w:shd w:val="clear" w:color="auto" w:fill="FFFFFF"/>
          <w:lang w:val="en-US" w:eastAsia="zh-CN"/>
        </w:rPr>
      </w:pPr>
      <w:r>
        <w:rPr>
          <w:rFonts w:ascii="仿宋_GB2312" w:eastAsia="仿宋_GB2312"/>
          <w:color w:val="000000"/>
          <w:sz w:val="32"/>
          <w:szCs w:val="32"/>
        </w:rPr>
        <w:t>2</w:t>
      </w:r>
      <w:r>
        <w:rPr>
          <w:rFonts w:hint="eastAsia" w:ascii="仿宋_GB2312" w:hAnsi="仿宋_GB2312" w:eastAsia="仿宋_GB2312" w:cs="仿宋_GB2312"/>
          <w:b w:val="0"/>
          <w:bCs w:val="0"/>
          <w:sz w:val="32"/>
          <w:szCs w:val="32"/>
          <w:shd w:val="clear" w:color="auto" w:fill="FFFFFF"/>
          <w:lang w:val="en-US" w:eastAsia="zh-CN"/>
        </w:rPr>
        <w:t>020年评估中心国有资本经营预算财政拨款支出0万元。</w:t>
      </w:r>
      <w:bookmarkStart w:id="42" w:name="_Toc15377221"/>
      <w:bookmarkStart w:id="43" w:name="_Toc15396612"/>
    </w:p>
    <w:p>
      <w:pPr>
        <w:keepNext w:val="0"/>
        <w:keepLines w:val="0"/>
        <w:pageBreakBefore w:val="0"/>
        <w:widowControl w:val="0"/>
        <w:kinsoku/>
        <w:wordWrap/>
        <w:overflowPunct/>
        <w:topLinePunct w:val="0"/>
        <w:bidi w:val="0"/>
        <w:snapToGrid/>
        <w:spacing w:line="560" w:lineRule="exact"/>
        <w:ind w:firstLine="640"/>
        <w:textAlignment w:val="auto"/>
        <w:rPr>
          <w:rStyle w:val="29"/>
          <w:rFonts w:hint="eastAsia" w:ascii="黑体" w:hAnsi="黑体" w:eastAsia="黑体" w:cs="黑体"/>
          <w:b/>
          <w:bCs/>
        </w:rPr>
      </w:pPr>
      <w:r>
        <w:rPr>
          <w:rFonts w:hint="eastAsia" w:ascii="黑体" w:hAnsi="黑体" w:eastAsia="黑体" w:cs="黑体"/>
          <w:b/>
          <w:bCs/>
          <w:color w:val="000000"/>
          <w:sz w:val="32"/>
          <w:szCs w:val="32"/>
          <w:lang w:eastAsia="zh-CN"/>
        </w:rPr>
        <w:t>十、</w:t>
      </w:r>
      <w:r>
        <w:rPr>
          <w:rStyle w:val="29"/>
          <w:rFonts w:hint="eastAsia" w:ascii="黑体" w:hAnsi="黑体" w:eastAsia="黑体" w:cs="黑体"/>
          <w:b/>
          <w:bCs/>
        </w:rPr>
        <w:t>其他重要事项的情况说明</w:t>
      </w:r>
      <w:bookmarkEnd w:id="42"/>
      <w:bookmarkEnd w:id="43"/>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color w:val="000000"/>
          <w:sz w:val="32"/>
          <w:szCs w:val="32"/>
          <w:lang w:eastAsia="zh-CN"/>
        </w:rPr>
      </w:pPr>
      <w:bookmarkStart w:id="44" w:name="_Toc15377222"/>
      <w:r>
        <w:rPr>
          <w:rFonts w:hint="eastAsia" w:ascii="楷体_GB2312" w:hAnsi="楷体_GB2312" w:eastAsia="楷体_GB2312" w:cs="楷体_GB2312"/>
          <w:b/>
          <w:color w:val="000000"/>
          <w:sz w:val="32"/>
          <w:szCs w:val="32"/>
        </w:rPr>
        <w:t>（一）机关运行经费支出情况</w:t>
      </w:r>
      <w:bookmarkEnd w:id="44"/>
      <w:r>
        <w:rPr>
          <w:rFonts w:hint="eastAsia" w:ascii="楷体_GB2312" w:hAnsi="楷体_GB2312" w:eastAsia="楷体_GB2312" w:cs="楷体_GB2312"/>
          <w:b/>
          <w:color w:val="00000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评估中心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lang w:eastAsia="zh-CN"/>
        </w:rPr>
      </w:pPr>
      <w:bookmarkStart w:id="45" w:name="_Toc15377223"/>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二</w:t>
      </w:r>
      <w:r>
        <w:rPr>
          <w:rFonts w:hint="eastAsia" w:ascii="楷体_GB2312" w:hAnsi="楷体_GB2312" w:eastAsia="楷体_GB2312" w:cs="楷体_GB2312"/>
          <w:b/>
          <w:color w:val="000000"/>
          <w:sz w:val="32"/>
          <w:szCs w:val="32"/>
        </w:rPr>
        <w:t>）政府采购支出情况</w:t>
      </w:r>
      <w:bookmarkEnd w:id="45"/>
      <w:r>
        <w:rPr>
          <w:rFonts w:hint="eastAsia" w:ascii="楷体_GB2312" w:hAnsi="楷体_GB2312" w:eastAsia="楷体_GB2312" w:cs="楷体_GB2312"/>
          <w:b/>
          <w:color w:val="00000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b/>
          <w:color w:val="auto"/>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评估中心</w:t>
      </w:r>
      <w:r>
        <w:rPr>
          <w:rFonts w:hint="eastAsia" w:ascii="仿宋_GB2312" w:eastAsia="仿宋_GB2312"/>
          <w:color w:val="000000"/>
          <w:sz w:val="32"/>
          <w:szCs w:val="32"/>
          <w:highlight w:val="none"/>
        </w:rPr>
        <w:t>政府采购支出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lang w:eastAsia="zh-CN"/>
        </w:rPr>
      </w:pPr>
      <w:bookmarkStart w:id="46" w:name="_Toc15377224"/>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）国有资产占有使用情况</w:t>
      </w:r>
      <w:bookmarkEnd w:id="46"/>
      <w:r>
        <w:rPr>
          <w:rFonts w:hint="eastAsia" w:ascii="楷体_GB2312" w:hAnsi="楷体_GB2312" w:eastAsia="楷体_GB2312" w:cs="楷体_GB2312"/>
          <w:b/>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评估中心</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themeColor="text1"/>
          <w:sz w:val="32"/>
          <w:szCs w:val="32"/>
          <w:highlight w:val="none"/>
          <w14:textFill>
            <w14:solidFill>
              <w14:schemeClr w14:val="tx1"/>
            </w14:solidFill>
          </w14:textFill>
        </w:rPr>
        <w:t>价</w:t>
      </w:r>
      <w:r>
        <w:rPr>
          <w:rFonts w:ascii="仿宋_GB2312" w:eastAsia="仿宋_GB2312"/>
          <w:color w:val="000000" w:themeColor="text1"/>
          <w:sz w:val="32"/>
          <w:szCs w:val="32"/>
          <w:highlight w:val="none"/>
          <w14:textFill>
            <w14:solidFill>
              <w14:schemeClr w14:val="tx1"/>
            </w14:solidFill>
          </w14:textFill>
        </w:rPr>
        <w:t>50</w:t>
      </w:r>
      <w:r>
        <w:rPr>
          <w:rFonts w:hint="eastAsia" w:ascii="仿宋_GB2312" w:eastAsia="仿宋_GB2312"/>
          <w:color w:val="000000" w:themeColor="text1"/>
          <w:sz w:val="32"/>
          <w:szCs w:val="32"/>
          <w:highlight w:val="none"/>
          <w14:textFill>
            <w14:solidFill>
              <w14:schemeClr w14:val="tx1"/>
            </w14:solidFill>
          </w14:textFill>
        </w:rPr>
        <w:t>万元以上通用设备</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台（套），单价</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sz w:val="32"/>
          <w:szCs w:val="32"/>
          <w:highlight w:val="none"/>
        </w:rPr>
        <w:t>万元以上专用设备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四</w:t>
      </w:r>
      <w:r>
        <w:rPr>
          <w:rFonts w:hint="eastAsia" w:ascii="楷体_GB2312" w:hAnsi="楷体_GB2312" w:eastAsia="楷体_GB2312" w:cs="楷体_GB2312"/>
          <w:b/>
          <w:color w:val="000000"/>
          <w:sz w:val="32"/>
          <w:szCs w:val="32"/>
        </w:rPr>
        <w:t>）预算绩效管理情况</w:t>
      </w:r>
      <w:r>
        <w:rPr>
          <w:rFonts w:hint="eastAsia" w:ascii="楷体_GB2312" w:hAnsi="楷体_GB2312" w:eastAsia="楷体_GB2312" w:cs="楷体_GB2312"/>
          <w:b/>
          <w:color w:val="00000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根据预算绩效管理要求，本单位无</w:t>
      </w:r>
      <w:r>
        <w:rPr>
          <w:rFonts w:hint="eastAsia" w:ascii="仿宋_GB2312" w:hAnsi="仿宋_GB2312" w:eastAsia="仿宋_GB2312" w:cs="仿宋_GB2312"/>
          <w:color w:val="auto"/>
          <w:sz w:val="32"/>
          <w:szCs w:val="32"/>
          <w:highlight w:val="none"/>
          <w:lang w:val="en-US" w:eastAsia="zh-CN"/>
        </w:rPr>
        <w:t>100万元以上</w:t>
      </w:r>
      <w:r>
        <w:rPr>
          <w:rFonts w:hint="eastAsia" w:ascii="仿宋_GB2312" w:hAnsi="仿宋_GB2312" w:eastAsia="仿宋_GB2312" w:cs="仿宋_GB2312"/>
          <w:color w:val="auto"/>
          <w:sz w:val="32"/>
          <w:szCs w:val="32"/>
          <w:highlight w:val="none"/>
        </w:rPr>
        <w:t>项目，因此未</w:t>
      </w:r>
      <w:r>
        <w:rPr>
          <w:rFonts w:hint="eastAsia" w:ascii="仿宋_GB2312" w:hAnsi="仿宋_GB2312" w:eastAsia="仿宋_GB2312" w:cs="仿宋_GB2312"/>
          <w:color w:val="auto"/>
          <w:sz w:val="32"/>
          <w:szCs w:val="32"/>
          <w:highlight w:val="none"/>
          <w:lang w:eastAsia="zh-CN"/>
        </w:rPr>
        <w:t>开展预算事前评估、编制绩效目标、开展绩效监控、项目绩效目标完成情况自评</w:t>
      </w:r>
      <w:r>
        <w:rPr>
          <w:rFonts w:hint="eastAsia" w:ascii="仿宋_GB2312" w:hAnsi="仿宋_GB2312" w:eastAsia="仿宋_GB2312" w:cs="仿宋_GB2312"/>
          <w:color w:val="auto"/>
          <w:sz w:val="32"/>
          <w:szCs w:val="32"/>
          <w:highlight w:val="none"/>
        </w:rPr>
        <w:t>。</w:t>
      </w:r>
    </w:p>
    <w:p>
      <w:pPr>
        <w:pStyle w:val="2"/>
        <w:pageBreakBefore w:val="0"/>
        <w:kinsoku/>
        <w:wordWrap/>
        <w:overflowPunct/>
        <w:topLinePunct w:val="0"/>
        <w:bidi w:val="0"/>
        <w:spacing w:line="600" w:lineRule="exact"/>
        <w:textAlignment w:val="auto"/>
        <w:rPr>
          <w:rFonts w:hint="eastAsia"/>
        </w:rPr>
      </w:pPr>
    </w:p>
    <w:p>
      <w:pPr>
        <w:pStyle w:val="2"/>
        <w:pageBreakBefore w:val="0"/>
        <w:kinsoku/>
        <w:wordWrap/>
        <w:overflowPunct/>
        <w:topLinePunct w:val="0"/>
        <w:bidi w:val="0"/>
        <w:spacing w:line="600" w:lineRule="exact"/>
        <w:ind w:firstLine="640"/>
        <w:textAlignment w:val="auto"/>
        <w:rPr>
          <w:rFonts w:hint="eastAsia" w:hAnsi="仿宋_GB2312" w:cs="仿宋_GB2312"/>
          <w:color w:val="auto"/>
          <w:sz w:val="32"/>
          <w:szCs w:val="32"/>
          <w:highlight w:val="none"/>
          <w:lang w:val="en-US" w:eastAsia="zh-CN"/>
        </w:rPr>
      </w:pPr>
    </w:p>
    <w:p>
      <w:pPr>
        <w:pStyle w:val="2"/>
        <w:pageBreakBefore w:val="0"/>
        <w:kinsoku/>
        <w:wordWrap/>
        <w:overflowPunct/>
        <w:topLinePunct w:val="0"/>
        <w:bidi w:val="0"/>
        <w:spacing w:line="600" w:lineRule="exact"/>
        <w:ind w:firstLine="640"/>
        <w:textAlignment w:val="auto"/>
        <w:rPr>
          <w:rFonts w:hint="eastAsia" w:hAnsi="仿宋_GB2312" w:cs="仿宋_GB2312"/>
          <w:color w:val="auto"/>
          <w:sz w:val="32"/>
          <w:szCs w:val="32"/>
          <w:highlight w:val="none"/>
          <w:lang w:val="en-US" w:eastAsia="zh-CN"/>
        </w:rPr>
      </w:pPr>
    </w:p>
    <w:p>
      <w:pPr>
        <w:pStyle w:val="2"/>
        <w:pageBreakBefore w:val="0"/>
        <w:kinsoku/>
        <w:wordWrap/>
        <w:overflowPunct/>
        <w:topLinePunct w:val="0"/>
        <w:bidi w:val="0"/>
        <w:spacing w:line="600" w:lineRule="exact"/>
        <w:ind w:firstLine="640"/>
        <w:textAlignment w:val="auto"/>
        <w:rPr>
          <w:rFonts w:hint="eastAsia" w:hAnsi="仿宋_GB2312" w:cs="仿宋_GB2312"/>
          <w:color w:val="auto"/>
          <w:sz w:val="32"/>
          <w:szCs w:val="32"/>
          <w:highlight w:val="none"/>
          <w:lang w:val="en-US" w:eastAsia="zh-CN"/>
        </w:rPr>
      </w:pPr>
    </w:p>
    <w:p>
      <w:pPr>
        <w:pStyle w:val="2"/>
        <w:pageBreakBefore w:val="0"/>
        <w:kinsoku/>
        <w:wordWrap/>
        <w:overflowPunct/>
        <w:topLinePunct w:val="0"/>
        <w:bidi w:val="0"/>
        <w:spacing w:line="600" w:lineRule="exact"/>
        <w:ind w:firstLine="640"/>
        <w:textAlignment w:val="auto"/>
        <w:rPr>
          <w:rFonts w:hint="eastAsia" w:hAnsi="仿宋_GB2312" w:cs="仿宋_GB2312"/>
          <w:color w:val="auto"/>
          <w:sz w:val="32"/>
          <w:szCs w:val="32"/>
          <w:highlight w:val="none"/>
          <w:lang w:val="en-US" w:eastAsia="zh-CN"/>
        </w:rPr>
      </w:pPr>
    </w:p>
    <w:p>
      <w:pPr>
        <w:pageBreakBefore w:val="0"/>
        <w:numPr>
          <w:ilvl w:val="0"/>
          <w:numId w:val="0"/>
        </w:numPr>
        <w:kinsoku/>
        <w:wordWrap/>
        <w:overflowPunct/>
        <w:topLinePunct w:val="0"/>
        <w:bidi w:val="0"/>
        <w:spacing w:line="600" w:lineRule="exact"/>
        <w:jc w:val="both"/>
        <w:textAlignment w:val="auto"/>
        <w:outlineLvl w:val="0"/>
        <w:rPr>
          <w:rFonts w:hint="eastAsia" w:ascii="黑体" w:hAnsi="黑体" w:eastAsia="黑体"/>
          <w:color w:val="000000"/>
          <w:sz w:val="44"/>
          <w:szCs w:val="44"/>
          <w:lang w:eastAsia="zh-CN"/>
        </w:rPr>
      </w:pPr>
      <w:bookmarkStart w:id="47" w:name="_Toc15377225"/>
      <w:bookmarkStart w:id="48" w:name="_Toc15396613"/>
    </w:p>
    <w:p>
      <w:pPr>
        <w:pageBreakBefore w:val="0"/>
        <w:numPr>
          <w:ilvl w:val="0"/>
          <w:numId w:val="0"/>
        </w:numPr>
        <w:kinsoku/>
        <w:wordWrap/>
        <w:overflowPunct/>
        <w:topLinePunct w:val="0"/>
        <w:bidi w:val="0"/>
        <w:spacing w:line="600" w:lineRule="exact"/>
        <w:jc w:val="center"/>
        <w:textAlignment w:val="auto"/>
        <w:outlineLvl w:val="0"/>
        <w:rPr>
          <w:rStyle w:val="28"/>
          <w:rFonts w:ascii="黑体" w:hAnsi="黑体" w:eastAsia="黑体"/>
          <w:b w:val="0"/>
        </w:rPr>
      </w:pPr>
      <w:r>
        <w:rPr>
          <w:rFonts w:hint="eastAsia" w:ascii="黑体" w:hAnsi="黑体" w:eastAsia="黑体"/>
          <w:color w:val="000000"/>
          <w:sz w:val="44"/>
          <w:szCs w:val="44"/>
          <w:lang w:eastAsia="zh-CN"/>
        </w:rPr>
        <w:t>第三部分</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名</w:t>
      </w:r>
      <w:r>
        <w:rPr>
          <w:rStyle w:val="28"/>
          <w:rFonts w:hint="eastAsia" w:ascii="黑体" w:hAnsi="黑体" w:eastAsia="黑体"/>
          <w:b w:val="0"/>
        </w:rPr>
        <w:t>词解释</w:t>
      </w:r>
      <w:bookmarkEnd w:id="47"/>
      <w:bookmarkEnd w:id="48"/>
    </w:p>
    <w:p>
      <w:pPr>
        <w:pageBreakBefore w:val="0"/>
        <w:kinsoku/>
        <w:wordWrap/>
        <w:overflowPunct/>
        <w:topLinePunct w:val="0"/>
        <w:bidi w:val="0"/>
        <w:spacing w:line="600" w:lineRule="exact"/>
        <w:jc w:val="left"/>
        <w:textAlignment w:val="auto"/>
        <w:rPr>
          <w:rFonts w:ascii="宋体"/>
          <w:b/>
          <w:color w:val="000000"/>
          <w:sz w:val="44"/>
          <w:szCs w:val="44"/>
        </w:rPr>
      </w:pP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1.财政拨款收入：指单位从同级财政部门取得的财政预算资金。</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2.一般公共服务（类）财政事务（款）事业运行（项）：指单位用于保障机构正常运行、开展日常工作的基本支出。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3.一般公共服务（类）财政事务（款）事业运行（项）：指单位用于保障机构正常运行、开展日常工作的基本支出。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4.一般公共服务（类）财政事务（款）其他财政事务支出（项）：指单位开展其他财政事务方面专门性工作任务的项目支出。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5.社会保障和就业（类）行政事业单位养老支出（款）机关事业单位基本养老保险缴费支出（项）：指单位实施养老保险制度由单位缴纳的养老保险费的支出。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6.社会保障和就业（类）行政事业单位养老支出（款）机关事业单位职业年金缴费支出（项）：指单位实施养老保险制度由单位缴纳的职业年金的支出。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7.卫生健康（类）行政事业单位医疗（款）事业单位医疗（项）：指事业单位用于单位应缴纳基本医疗保险支出。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8.基本支出：指为保证机构正常运转，完成日常工作任务而发生的人员支出和公用支出。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9.项目支出：指在基本支出之外为完成特定行政任务和事业发展目标所发生的支出。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三公”经费：纳入财政厅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11.机关运行经费：为保障行政单位（含参照公务员法</w:t>
      </w:r>
      <w:r>
        <w:rPr>
          <w:rFonts w:hint="eastAsia" w:ascii="仿宋_GB2312" w:eastAsia="仿宋_GB2312"/>
          <w:sz w:val="32"/>
          <w:szCs w:val="32"/>
          <w:highlight w:val="none"/>
        </w:rPr>
        <w:t>管理的事业单位）运行用于购买货物和服务的各项资金，包括办公</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印刷费、邮电费、差旅费、会议费、福利费、日常维修费、一般购置费、办公用房水电费以及其他费用。</w:t>
      </w: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textAlignment w:val="auto"/>
        <w:rPr>
          <w:rFonts w:hint="eastAsia" w:ascii="仿宋_GB2312" w:eastAsia="仿宋_GB2312"/>
          <w:sz w:val="32"/>
          <w:szCs w:val="32"/>
          <w:highlight w:val="none"/>
        </w:rPr>
      </w:pPr>
    </w:p>
    <w:p>
      <w:pPr>
        <w:pStyle w:val="26"/>
        <w:pageBreakBefore w:val="0"/>
        <w:kinsoku/>
        <w:wordWrap/>
        <w:overflowPunct/>
        <w:topLinePunct w:val="0"/>
        <w:bidi w:val="0"/>
        <w:spacing w:line="600" w:lineRule="exact"/>
        <w:textAlignment w:val="auto"/>
        <w:rPr>
          <w:rFonts w:hint="eastAsia" w:ascii="仿宋_GB2312" w:eastAsia="仿宋_GB2312"/>
          <w:sz w:val="32"/>
          <w:szCs w:val="32"/>
          <w:highlight w:val="none"/>
        </w:rPr>
      </w:pPr>
    </w:p>
    <w:p>
      <w:pPr>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0"/>
        <w:rPr>
          <w:rStyle w:val="28"/>
          <w:rFonts w:hint="eastAsia" w:ascii="黑体" w:hAnsi="黑体" w:eastAsia="黑体"/>
          <w:b w:val="0"/>
          <w:lang w:eastAsia="zh-CN"/>
        </w:rPr>
      </w:pPr>
      <w:bookmarkStart w:id="49" w:name="_Toc15396619"/>
      <w:r>
        <w:rPr>
          <w:rStyle w:val="28"/>
          <w:rFonts w:hint="eastAsia" w:ascii="黑体" w:hAnsi="黑体" w:eastAsia="黑体"/>
          <w:b w:val="0"/>
          <w:lang w:eastAsia="zh-CN"/>
        </w:rPr>
        <w:t>附件</w:t>
      </w:r>
    </w:p>
    <w:p>
      <w:pPr>
        <w:pStyle w:val="2"/>
        <w:numPr>
          <w:ilvl w:val="0"/>
          <w:numId w:val="0"/>
        </w:num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四川省资产评估事务中心</w:t>
      </w:r>
    </w:p>
    <w:p>
      <w:pPr>
        <w:pStyle w:val="2"/>
        <w:numPr>
          <w:ilvl w:val="0"/>
          <w:numId w:val="0"/>
        </w:numPr>
        <w:jc w:val="center"/>
        <w:rPr>
          <w:rFonts w:hint="eastAsia" w:ascii="黑体" w:hAnsi="黑体" w:eastAsia="黑体" w:cs="黑体"/>
          <w:b w:val="0"/>
          <w:bCs w:val="0"/>
          <w:lang w:val="en-US" w:eastAsia="zh-CN"/>
        </w:rPr>
      </w:pPr>
      <w:r>
        <w:rPr>
          <w:rFonts w:hint="eastAsia" w:ascii="黑体" w:hAnsi="黑体" w:eastAsia="黑体" w:cs="黑体"/>
          <w:b w:val="0"/>
          <w:bCs w:val="0"/>
          <w:sz w:val="36"/>
          <w:szCs w:val="36"/>
          <w:lang w:val="en-US" w:eastAsia="zh-CN"/>
        </w:rPr>
        <w:t>2020年预算项目支出绩效自评报告</w:t>
      </w:r>
    </w:p>
    <w:p>
      <w:pPr>
        <w:pStyle w:val="2"/>
        <w:numPr>
          <w:ilvl w:val="0"/>
          <w:numId w:val="0"/>
        </w:numPr>
        <w:jc w:val="center"/>
        <w:rPr>
          <w:rFonts w:hint="eastAsia" w:hAnsi="仿宋_GB2312" w:cs="仿宋_GB2312"/>
          <w:b w:val="0"/>
          <w:bCs w:val="0"/>
          <w:lang w:val="en-US" w:eastAsia="zh-CN"/>
        </w:rPr>
      </w:pPr>
      <w:r>
        <w:rPr>
          <w:rFonts w:hint="eastAsia" w:hAnsi="仿宋_GB2312" w:cs="仿宋_GB2312"/>
          <w:b w:val="0"/>
          <w:bCs w:val="0"/>
          <w:lang w:val="en-US" w:eastAsia="zh-CN"/>
        </w:rPr>
        <w:t>（本单位未开展此项工作）</w:t>
      </w: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Style w:val="2"/>
        <w:numPr>
          <w:ilvl w:val="0"/>
          <w:numId w:val="0"/>
        </w:numPr>
        <w:jc w:val="center"/>
        <w:rPr>
          <w:rFonts w:hint="eastAsia" w:hAnsi="仿宋_GB2312" w:cs="仿宋_GB2312"/>
          <w:b w:val="0"/>
          <w:bCs w:val="0"/>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b/>
          <w:bCs/>
          <w:color w:val="000000"/>
          <w:sz w:val="44"/>
          <w:szCs w:val="44"/>
          <w:lang w:val="en-US" w:eastAsia="zh-CN"/>
        </w:rPr>
      </w:pPr>
      <w:r>
        <w:rPr>
          <w:rFonts w:hint="eastAsia" w:ascii="黑体" w:hAnsi="黑体" w:eastAsia="黑体" w:cs="黑体"/>
          <w:b w:val="0"/>
          <w:bCs w:val="0"/>
          <w:color w:val="000000"/>
          <w:sz w:val="44"/>
          <w:szCs w:val="44"/>
          <w:lang w:eastAsia="zh-CN"/>
        </w:rPr>
        <w:t>第五部分</w:t>
      </w:r>
      <w:r>
        <w:rPr>
          <w:rFonts w:hint="eastAsia" w:ascii="黑体" w:hAnsi="黑体" w:eastAsia="黑体" w:cs="黑体"/>
          <w:b w:val="0"/>
          <w:bCs w:val="0"/>
          <w:color w:val="000000"/>
          <w:sz w:val="44"/>
          <w:szCs w:val="44"/>
          <w:lang w:val="en-US" w:eastAsia="zh-CN"/>
        </w:rPr>
        <w:t xml:space="preserve"> 附表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一、收</w:t>
      </w:r>
      <w:r>
        <w:rPr>
          <w:rStyle w:val="29"/>
          <w:rFonts w:hint="eastAsia" w:ascii="仿宋_GB2312" w:hAnsi="仿宋_GB2312" w:eastAsia="仿宋_GB2312" w:cs="仿宋_GB2312"/>
          <w:b w:val="0"/>
          <w:bCs w:val="0"/>
          <w:sz w:val="32"/>
          <w:szCs w:val="32"/>
        </w:rPr>
        <w:t>入支出决算总表</w:t>
      </w:r>
      <w:bookmarkEnd w:id="49"/>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0" w:name="_Toc15396620"/>
      <w:r>
        <w:rPr>
          <w:rFonts w:hint="eastAsia" w:ascii="仿宋_GB2312" w:hAnsi="仿宋_GB2312" w:eastAsia="仿宋_GB2312" w:cs="仿宋_GB2312"/>
          <w:b w:val="0"/>
          <w:color w:val="000000"/>
          <w:sz w:val="32"/>
          <w:szCs w:val="32"/>
        </w:rPr>
        <w:t>二、收</w:t>
      </w:r>
      <w:r>
        <w:rPr>
          <w:rStyle w:val="29"/>
          <w:rFonts w:hint="eastAsia" w:ascii="仿宋_GB2312" w:hAnsi="仿宋_GB2312" w:eastAsia="仿宋_GB2312" w:cs="仿宋_GB2312"/>
          <w:b w:val="0"/>
          <w:bCs w:val="0"/>
          <w:sz w:val="32"/>
          <w:szCs w:val="32"/>
        </w:rPr>
        <w:t>入决算表</w:t>
      </w:r>
      <w:bookmarkEnd w:id="50"/>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1" w:name="_Toc15396621"/>
      <w:r>
        <w:rPr>
          <w:rStyle w:val="29"/>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9"/>
          <w:rFonts w:hint="eastAsia" w:ascii="仿宋_GB2312" w:hAnsi="仿宋_GB2312" w:eastAsia="仿宋_GB2312" w:cs="仿宋_GB2312"/>
          <w:b w:val="0"/>
          <w:bCs w:val="0"/>
          <w:sz w:val="32"/>
          <w:szCs w:val="32"/>
        </w:rPr>
        <w:t>出决算表</w:t>
      </w:r>
      <w:bookmarkEnd w:id="51"/>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color w:val="000000"/>
          <w:sz w:val="32"/>
          <w:szCs w:val="32"/>
        </w:rPr>
      </w:pPr>
      <w:bookmarkStart w:id="52" w:name="_Toc15396622"/>
      <w:r>
        <w:rPr>
          <w:rStyle w:val="29"/>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9"/>
          <w:rFonts w:hint="eastAsia" w:ascii="仿宋_GB2312" w:hAnsi="仿宋_GB2312" w:eastAsia="仿宋_GB2312" w:cs="仿宋_GB2312"/>
          <w:b w:val="0"/>
          <w:bCs w:val="0"/>
          <w:sz w:val="32"/>
          <w:szCs w:val="32"/>
        </w:rPr>
        <w:t>政拨款收入支出决算总表</w:t>
      </w:r>
      <w:bookmarkEnd w:id="52"/>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29"/>
          <w:rFonts w:hint="eastAsia" w:ascii="仿宋_GB2312" w:hAnsi="仿宋_GB2312" w:eastAsia="仿宋_GB2312" w:cs="仿宋_GB2312"/>
          <w:b w:val="0"/>
          <w:bCs w:val="0"/>
          <w:sz w:val="32"/>
          <w:szCs w:val="32"/>
        </w:rPr>
      </w:pPr>
      <w:bookmarkStart w:id="53" w:name="_Toc15396623"/>
      <w:r>
        <w:rPr>
          <w:rStyle w:val="29"/>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9"/>
          <w:rFonts w:hint="eastAsia" w:ascii="仿宋_GB2312" w:hAnsi="仿宋_GB2312" w:eastAsia="仿宋_GB2312" w:cs="仿宋_GB2312"/>
          <w:b w:val="0"/>
          <w:bCs w:val="0"/>
          <w:sz w:val="32"/>
          <w:szCs w:val="32"/>
        </w:rPr>
        <w:t>政拨款支出决算明细表</w:t>
      </w:r>
      <w:bookmarkEnd w:id="53"/>
      <w:bookmarkStart w:id="54" w:name="_Toc15396624"/>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r>
        <w:rPr>
          <w:rStyle w:val="29"/>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9"/>
          <w:rFonts w:hint="eastAsia" w:ascii="仿宋_GB2312" w:hAnsi="仿宋_GB2312" w:eastAsia="仿宋_GB2312" w:cs="仿宋_GB2312"/>
          <w:b w:val="0"/>
          <w:bCs w:val="0"/>
          <w:sz w:val="32"/>
          <w:szCs w:val="32"/>
        </w:rPr>
        <w:t>般公共预算财政拨款支出决算表</w:t>
      </w:r>
      <w:bookmarkEnd w:id="54"/>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5" w:name="_Toc15396625"/>
      <w:r>
        <w:rPr>
          <w:rStyle w:val="29"/>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29"/>
          <w:rFonts w:hint="eastAsia" w:ascii="仿宋_GB2312" w:hAnsi="仿宋_GB2312" w:eastAsia="仿宋_GB2312" w:cs="仿宋_GB2312"/>
          <w:b w:val="0"/>
          <w:bCs w:val="0"/>
          <w:sz w:val="32"/>
          <w:szCs w:val="32"/>
        </w:rPr>
        <w:t>般公共预算财政拨款支出决算明细表</w:t>
      </w:r>
      <w:bookmarkEnd w:id="55"/>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6" w:name="_Toc15396626"/>
      <w:r>
        <w:rPr>
          <w:rStyle w:val="29"/>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29"/>
          <w:rFonts w:hint="eastAsia" w:ascii="仿宋_GB2312" w:hAnsi="仿宋_GB2312" w:eastAsia="仿宋_GB2312" w:cs="仿宋_GB2312"/>
          <w:b w:val="0"/>
          <w:bCs w:val="0"/>
          <w:sz w:val="32"/>
          <w:szCs w:val="32"/>
        </w:rPr>
        <w:t>般公共预算财政拨款基本支出决算表</w:t>
      </w:r>
      <w:bookmarkEnd w:id="56"/>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7" w:name="_Toc15396627"/>
      <w:r>
        <w:rPr>
          <w:rStyle w:val="29"/>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29"/>
          <w:rFonts w:hint="eastAsia" w:ascii="仿宋_GB2312" w:hAnsi="仿宋_GB2312" w:eastAsia="仿宋_GB2312" w:cs="仿宋_GB2312"/>
          <w:b w:val="0"/>
          <w:bCs w:val="0"/>
          <w:sz w:val="32"/>
          <w:szCs w:val="32"/>
        </w:rPr>
        <w:t>般公共预算财政拨款项目支出决算表</w:t>
      </w:r>
      <w:bookmarkEnd w:id="57"/>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8" w:name="_Toc15396628"/>
      <w:r>
        <w:rPr>
          <w:rStyle w:val="29"/>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29"/>
          <w:rFonts w:hint="eastAsia" w:ascii="仿宋_GB2312" w:hAnsi="仿宋_GB2312" w:eastAsia="仿宋_GB2312" w:cs="仿宋_GB2312"/>
          <w:b w:val="0"/>
          <w:bCs w:val="0"/>
          <w:sz w:val="32"/>
          <w:szCs w:val="32"/>
        </w:rPr>
        <w:t>般公共预算财政拨款“三公”经费支出决算表</w:t>
      </w:r>
      <w:bookmarkEnd w:id="58"/>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z w:val="32"/>
          <w:szCs w:val="32"/>
        </w:rPr>
      </w:pPr>
      <w:bookmarkStart w:id="59" w:name="_Toc15396629"/>
      <w:r>
        <w:rPr>
          <w:rStyle w:val="29"/>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29"/>
          <w:rFonts w:hint="eastAsia" w:ascii="仿宋_GB2312" w:hAnsi="仿宋_GB2312" w:eastAsia="仿宋_GB2312" w:cs="仿宋_GB2312"/>
          <w:b w:val="0"/>
          <w:bCs w:val="0"/>
          <w:sz w:val="32"/>
          <w:szCs w:val="32"/>
        </w:rPr>
        <w:t>府性基金预算财政拨款收入支出决算表</w:t>
      </w:r>
      <w:bookmarkEnd w:id="59"/>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spacing w:val="-20"/>
          <w:sz w:val="32"/>
          <w:szCs w:val="32"/>
        </w:rPr>
      </w:pPr>
      <w:bookmarkStart w:id="60" w:name="_Toc15396630"/>
      <w:r>
        <w:rPr>
          <w:rStyle w:val="29"/>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pacing w:val="-20"/>
          <w:sz w:val="32"/>
          <w:szCs w:val="32"/>
        </w:rPr>
        <w:t>政</w:t>
      </w:r>
      <w:r>
        <w:rPr>
          <w:rStyle w:val="29"/>
          <w:rFonts w:hint="eastAsia" w:ascii="仿宋_GB2312" w:hAnsi="仿宋_GB2312" w:eastAsia="仿宋_GB2312" w:cs="仿宋_GB2312"/>
          <w:b w:val="0"/>
          <w:bCs w:val="0"/>
          <w:spacing w:val="-20"/>
          <w:sz w:val="32"/>
          <w:szCs w:val="32"/>
        </w:rPr>
        <w:t>府性基金预算财政拨款“三公”经费支出决算表</w:t>
      </w:r>
      <w:bookmarkEnd w:id="60"/>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29"/>
          <w:rFonts w:hint="eastAsia" w:ascii="仿宋_GB2312" w:hAnsi="仿宋_GB2312" w:eastAsia="仿宋_GB2312" w:cs="仿宋_GB2312"/>
          <w:b w:val="0"/>
          <w:bCs w:val="0"/>
          <w:sz w:val="32"/>
          <w:szCs w:val="32"/>
        </w:rPr>
      </w:pPr>
      <w:bookmarkStart w:id="61" w:name="_Toc15396631"/>
      <w:r>
        <w:rPr>
          <w:rStyle w:val="29"/>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29"/>
          <w:rFonts w:hint="eastAsia" w:ascii="仿宋_GB2312" w:hAnsi="仿宋_GB2312" w:eastAsia="仿宋_GB2312" w:cs="仿宋_GB2312"/>
          <w:b w:val="0"/>
          <w:bCs w:val="0"/>
          <w:sz w:val="32"/>
          <w:szCs w:val="32"/>
        </w:rPr>
        <w:t>有资本经营预算</w:t>
      </w:r>
      <w:r>
        <w:rPr>
          <w:rStyle w:val="29"/>
          <w:rFonts w:hint="eastAsia" w:ascii="仿宋_GB2312" w:hAnsi="仿宋_GB2312" w:eastAsia="仿宋_GB2312" w:cs="仿宋_GB2312"/>
          <w:b w:val="0"/>
          <w:bCs w:val="0"/>
          <w:sz w:val="32"/>
          <w:szCs w:val="32"/>
          <w:lang w:eastAsia="zh-CN"/>
        </w:rPr>
        <w:t>财政拨款收入</w:t>
      </w:r>
      <w:r>
        <w:rPr>
          <w:rStyle w:val="29"/>
          <w:rFonts w:hint="eastAsia" w:ascii="仿宋_GB2312" w:hAnsi="仿宋_GB2312" w:eastAsia="仿宋_GB2312" w:cs="仿宋_GB2312"/>
          <w:b w:val="0"/>
          <w:bCs w:val="0"/>
          <w:sz w:val="32"/>
          <w:szCs w:val="32"/>
        </w:rPr>
        <w:t>支出决算表</w:t>
      </w:r>
      <w:bookmarkEnd w:id="6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Style w:val="29"/>
          <w:rFonts w:hint="eastAsia" w:ascii="仿宋_GB2312" w:hAnsi="仿宋_GB2312" w:eastAsia="仿宋_GB2312" w:cs="仿宋_GB2312"/>
          <w:b w:val="0"/>
          <w:bCs w:val="0"/>
          <w:sz w:val="32"/>
          <w:szCs w:val="32"/>
          <w:lang w:eastAsia="zh-CN"/>
        </w:rPr>
        <w:t>十四、国有资本经营预算财政拨款支出决算表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书宋简">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5AFAB"/>
    <w:multiLevelType w:val="singleLevel"/>
    <w:tmpl w:val="A105AFAB"/>
    <w:lvl w:ilvl="0" w:tentative="0">
      <w:start w:val="3"/>
      <w:numFmt w:val="chineseCounting"/>
      <w:suff w:val="nothing"/>
      <w:lvlText w:val="%1、"/>
      <w:lvlJc w:val="left"/>
      <w:rPr>
        <w:rFonts w:hint="eastAsia"/>
      </w:rPr>
    </w:lvl>
  </w:abstractNum>
  <w:abstractNum w:abstractNumId="1">
    <w:nsid w:val="79E95E2A"/>
    <w:multiLevelType w:val="singleLevel"/>
    <w:tmpl w:val="79E95E2A"/>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WRiMTQwZjYyOTE5NGY0ZjYwNzEzZWJkZjY2N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0264AF"/>
    <w:rsid w:val="090C5E49"/>
    <w:rsid w:val="09DE4815"/>
    <w:rsid w:val="0A2032A3"/>
    <w:rsid w:val="0F52450D"/>
    <w:rsid w:val="10C055FF"/>
    <w:rsid w:val="118107EC"/>
    <w:rsid w:val="16BB723D"/>
    <w:rsid w:val="18015F3F"/>
    <w:rsid w:val="18F73209"/>
    <w:rsid w:val="1A0013A4"/>
    <w:rsid w:val="1AC82FCC"/>
    <w:rsid w:val="1B7A7154"/>
    <w:rsid w:val="1BE8440E"/>
    <w:rsid w:val="1C0E55C6"/>
    <w:rsid w:val="1D155CEE"/>
    <w:rsid w:val="20F57F95"/>
    <w:rsid w:val="21CD577C"/>
    <w:rsid w:val="221251F3"/>
    <w:rsid w:val="22D752AF"/>
    <w:rsid w:val="240371BF"/>
    <w:rsid w:val="25575093"/>
    <w:rsid w:val="25E84568"/>
    <w:rsid w:val="28A42688"/>
    <w:rsid w:val="29FD04D3"/>
    <w:rsid w:val="2ABE7A3E"/>
    <w:rsid w:val="2CCA0153"/>
    <w:rsid w:val="2D9C2DC2"/>
    <w:rsid w:val="2F391180"/>
    <w:rsid w:val="30157A93"/>
    <w:rsid w:val="318D2E01"/>
    <w:rsid w:val="319F7F4E"/>
    <w:rsid w:val="348D5A28"/>
    <w:rsid w:val="37B713F6"/>
    <w:rsid w:val="384333D4"/>
    <w:rsid w:val="3C0C0783"/>
    <w:rsid w:val="41CF1922"/>
    <w:rsid w:val="424B5C6B"/>
    <w:rsid w:val="482C4EEB"/>
    <w:rsid w:val="496F39ED"/>
    <w:rsid w:val="4B307F16"/>
    <w:rsid w:val="4BE068DB"/>
    <w:rsid w:val="4BF6002B"/>
    <w:rsid w:val="4C36179E"/>
    <w:rsid w:val="4C8D6C05"/>
    <w:rsid w:val="4ECE2238"/>
    <w:rsid w:val="4FEB250F"/>
    <w:rsid w:val="55D50455"/>
    <w:rsid w:val="58503B9F"/>
    <w:rsid w:val="5C2A7B47"/>
    <w:rsid w:val="5CE27173"/>
    <w:rsid w:val="60BD7904"/>
    <w:rsid w:val="64CA39A1"/>
    <w:rsid w:val="65511F45"/>
    <w:rsid w:val="65890EDA"/>
    <w:rsid w:val="68ED30C0"/>
    <w:rsid w:val="69223AAF"/>
    <w:rsid w:val="6C4A05C8"/>
    <w:rsid w:val="6ECB23E7"/>
    <w:rsid w:val="6FA62475"/>
    <w:rsid w:val="6FEA75E4"/>
    <w:rsid w:val="70150D7E"/>
    <w:rsid w:val="709B16B0"/>
    <w:rsid w:val="72734D90"/>
    <w:rsid w:val="76CB445E"/>
    <w:rsid w:val="789C1B73"/>
    <w:rsid w:val="7CBF4627"/>
    <w:rsid w:val="7D9E3D63"/>
    <w:rsid w:val="7E3400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Body Text Indent"/>
    <w:basedOn w:val="1"/>
    <w:qFormat/>
    <w:uiPriority w:val="0"/>
    <w:pPr>
      <w:spacing w:after="120" w:line="312" w:lineRule="auto"/>
      <w:ind w:left="420" w:leftChars="200" w:firstLine="510"/>
    </w:pPr>
    <w:rPr>
      <w:rFonts w:ascii="宋体"/>
      <w:spacing w:val="1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7"/>
    <w:next w:val="1"/>
    <w:qFormat/>
    <w:uiPriority w:val="0"/>
    <w:pPr>
      <w:spacing w:line="240" w:lineRule="auto"/>
      <w:ind w:firstLine="420" w:firstLineChars="200"/>
    </w:pPr>
    <w:rPr>
      <w:rFonts w:ascii="文鼎书宋简" w:eastAsia="文鼎书宋简"/>
      <w:spacing w:val="0"/>
      <w:szCs w:val="22"/>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61"/>
    <w:basedOn w:val="17"/>
    <w:qFormat/>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575"/>
          <c:y val="0.0376489707475623"/>
          <c:w val="0.905175"/>
          <c:h val="0.773943661971831"/>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2020年度收、支总计</c:v>
                </c:pt>
              </c:strCache>
            </c:strRef>
          </c:cat>
          <c:val>
            <c:numRef>
              <c:f>Sheet1!$B$2</c:f>
              <c:numCache>
                <c:formatCode>General</c:formatCode>
                <c:ptCount val="1"/>
                <c:pt idx="0">
                  <c:v>141.41</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2020年度收、支总计</c:v>
                </c:pt>
              </c:strCache>
            </c:strRef>
          </c:cat>
          <c:val>
            <c:numRef>
              <c:f>Sheet1!$C$2</c:f>
              <c:numCache>
                <c:formatCode>General</c:formatCode>
                <c:ptCount val="1"/>
                <c:pt idx="0">
                  <c:v>101.69</c:v>
                </c:pt>
              </c:numCache>
            </c:numRef>
          </c:val>
        </c:ser>
        <c:dLbls>
          <c:showLegendKey val="0"/>
          <c:showVal val="0"/>
          <c:showCatName val="0"/>
          <c:showSerName val="0"/>
          <c:showPercent val="0"/>
          <c:showBubbleSize val="0"/>
        </c:dLbls>
        <c:gapWidth val="219"/>
        <c:overlap val="-27"/>
        <c:axId val="920200138"/>
        <c:axId val="947167443"/>
      </c:barChart>
      <c:catAx>
        <c:axId val="9202001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67443"/>
        <c:crosses val="autoZero"/>
        <c:auto val="1"/>
        <c:lblAlgn val="ctr"/>
        <c:lblOffset val="100"/>
        <c:noMultiLvlLbl val="0"/>
      </c:catAx>
      <c:valAx>
        <c:axId val="9471674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200138"/>
        <c:crosses val="autoZero"/>
        <c:crossBetween val="between"/>
      </c:valAx>
      <c:spPr>
        <a:noFill/>
        <a:ln>
          <a:noFill/>
        </a:ln>
        <a:effectLst/>
      </c:spPr>
    </c:plotArea>
    <c:legend>
      <c:legendPos val="b"/>
      <c:layout>
        <c:manualLayout>
          <c:xMode val="edge"/>
          <c:yMode val="edge"/>
          <c:x val="0.393625"/>
          <c:y val="0.911582352057319"/>
          <c:w val="0.209"/>
          <c:h val="0.08029197080291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manualLayout>
                  <c:x val="0.00375"/>
                  <c:y val="-0.3634265935967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a:solidFill>
                          <a:sysClr val="windowText" lastClr="000000"/>
                        </a:solidFill>
                      </a:rPr>
                      <a:t>一般公共预算收入101.69万元，占100%</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101.69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2020年本年支出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48125"/>
                  <c:y val="0.0038003546997719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基本支出51.98万元，占51.12%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475"/>
                      <c:h val="0.180643526729161"/>
                    </c:manualLayout>
                  </c15:layout>
                </c:ext>
              </c:extLst>
            </c:dLbl>
            <c:dLbl>
              <c:idx val="1"/>
              <c:layout>
                <c:manualLayout>
                  <c:x val="0.14625"/>
                  <c:y val="0.011401064099315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项目支出49.71万元，占48.88%</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23125"/>
                      <c:h val="0.23207499366607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51.98</c:v>
                </c:pt>
                <c:pt idx="1">
                  <c:v>49.71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2"/>
          <c:y val="0.00609756097560976"/>
          <c:w val="0.905175"/>
          <c:h val="0.654146341463415"/>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2020年财政拨款收、支总计</c:v>
                </c:pt>
              </c:strCache>
            </c:strRef>
          </c:cat>
          <c:val>
            <c:numRef>
              <c:f>Sheet1!$B$2</c:f>
              <c:numCache>
                <c:formatCode>General</c:formatCode>
                <c:ptCount val="1"/>
                <c:pt idx="0">
                  <c:v>141.41</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2020年财政拨款收、支总计</c:v>
                </c:pt>
              </c:strCache>
            </c:strRef>
          </c:cat>
          <c:val>
            <c:numRef>
              <c:f>Sheet1!$C$2</c:f>
              <c:numCache>
                <c:formatCode>General</c:formatCode>
                <c:ptCount val="1"/>
                <c:pt idx="0">
                  <c:v>101.69</c:v>
                </c:pt>
              </c:numCache>
            </c:numRef>
          </c:val>
        </c:ser>
        <c:dLbls>
          <c:showLegendKey val="0"/>
          <c:showVal val="0"/>
          <c:showCatName val="0"/>
          <c:showSerName val="0"/>
          <c:showPercent val="0"/>
          <c:showBubbleSize val="0"/>
        </c:dLbls>
        <c:gapWidth val="219"/>
        <c:overlap val="-27"/>
        <c:axId val="920200138"/>
        <c:axId val="947167443"/>
      </c:barChart>
      <c:catAx>
        <c:axId val="9202001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67443"/>
        <c:crosses val="autoZero"/>
        <c:auto val="1"/>
        <c:lblAlgn val="ctr"/>
        <c:lblOffset val="100"/>
        <c:noMultiLvlLbl val="0"/>
      </c:catAx>
      <c:valAx>
        <c:axId val="9471674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2001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325"/>
          <c:y val="0.140083632019116"/>
          <c:w val="0.905175"/>
          <c:h val="0.654146341463415"/>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141.41</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101.69</c:v>
                </c:pt>
              </c:numCache>
            </c:numRef>
          </c:val>
        </c:ser>
        <c:dLbls>
          <c:showLegendKey val="0"/>
          <c:showVal val="0"/>
          <c:showCatName val="0"/>
          <c:showSerName val="0"/>
          <c:showPercent val="0"/>
          <c:showBubbleSize val="0"/>
        </c:dLbls>
        <c:gapWidth val="219"/>
        <c:overlap val="-27"/>
        <c:axId val="920200138"/>
        <c:axId val="947167443"/>
      </c:barChart>
      <c:catAx>
        <c:axId val="9202001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67443"/>
        <c:crosses val="autoZero"/>
        <c:auto val="1"/>
        <c:lblAlgn val="ctr"/>
        <c:lblOffset val="100"/>
        <c:noMultiLvlLbl val="0"/>
      </c:catAx>
      <c:valAx>
        <c:axId val="9471674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200138"/>
        <c:crosses val="autoZero"/>
        <c:crossBetween val="between"/>
      </c:valAx>
      <c:spPr>
        <a:noFill/>
        <a:ln>
          <a:noFill/>
        </a:ln>
        <a:effectLst/>
      </c:spPr>
    </c:plotArea>
    <c:legend>
      <c:legendPos val="b"/>
      <c:layout>
        <c:manualLayout>
          <c:xMode val="edge"/>
          <c:yMode val="edge"/>
          <c:x val="0.404875"/>
          <c:y val="0.882063155691599"/>
          <c:w val="0.209"/>
          <c:h val="0.08029197080291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60221916335508"/>
                  <c:y val="-0.19418242300070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一般公共服务82.69万元，占81.32%</a:t>
                    </a:r>
                  </a:p>
                  <a:p>
                    <a:pPr defTabSz="914400">
                      <a:defRPr lang="zh-CN" sz="900" b="0" i="0" u="none" strike="noStrike" kern="1200" baseline="0">
                        <a:solidFill>
                          <a:schemeClr val="tx2"/>
                        </a:solidFill>
                        <a:latin typeface="+mn-lt"/>
                        <a:ea typeface="+mn-ea"/>
                        <a:cs typeface="+mn-cs"/>
                      </a:defRPr>
                    </a:p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社会保障就业类16万元，占15.73%</a:t>
                    </a:r>
                  </a:p>
                  <a:p>
                    <a:pPr defTabSz="914400">
                      <a:defRPr lang="zh-CN" sz="900" b="0" i="0" u="none" strike="noStrike" kern="1200" baseline="0">
                        <a:solidFill>
                          <a:schemeClr val="tx2"/>
                        </a:solidFill>
                        <a:latin typeface="+mn-lt"/>
                        <a:ea typeface="+mn-ea"/>
                        <a:cs typeface="+mn-cs"/>
                      </a:defRPr>
                    </a:pP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168176717630788"/>
                  <c:y val="0.02455643958667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卫生健康类支出3万元，占2.95%</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一般公共服务（类）支出</c:v>
                </c:pt>
                <c:pt idx="1">
                  <c:v>社会保障和就业（类）支出</c:v>
                </c:pt>
                <c:pt idx="2">
                  <c:v>卫生健康支出</c:v>
                </c:pt>
              </c:strCache>
            </c:strRef>
          </c:cat>
          <c:val>
            <c:numRef>
              <c:f>Sheet1!$B$2:$B$4</c:f>
              <c:numCache>
                <c:formatCode>General</c:formatCode>
                <c:ptCount val="3"/>
                <c:pt idx="0">
                  <c:v>82.69</c:v>
                </c:pt>
                <c:pt idx="1">
                  <c:v>16</c:v>
                </c:pt>
                <c:pt idx="2">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3802</Words>
  <Characters>4501</Characters>
  <Lines>61</Lines>
  <Paragraphs>17</Paragraphs>
  <TotalTime>9</TotalTime>
  <ScaleCrop>false</ScaleCrop>
  <LinksUpToDate>false</LinksUpToDate>
  <CharactersWithSpaces>4537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lenovo</cp:lastModifiedBy>
  <cp:lastPrinted>2021-08-27T07:13:00Z</cp:lastPrinted>
  <dcterms:modified xsi:type="dcterms:W3CDTF">2022-11-11T08:53:03Z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A4357607ACEC41F09570449D72F76070</vt:lpwstr>
  </property>
</Properties>
</file>