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default" w:ascii="Times New Roman" w:hAnsi="Times New Roman" w:eastAsia="方正小标宋简体" w:cs="Times New Roman"/>
          <w:color w:val="000000"/>
          <w:sz w:val="30"/>
          <w:szCs w:val="30"/>
        </w:rPr>
      </w:pPr>
      <w:bookmarkStart w:id="0" w:name="_Toc15306267"/>
    </w:p>
    <w:p>
      <w:pPr>
        <w:spacing w:line="560" w:lineRule="exact"/>
        <w:jc w:val="center"/>
        <w:outlineLvl w:val="0"/>
        <w:rPr>
          <w:rFonts w:hint="default" w:ascii="Times New Roman" w:hAnsi="Times New Roman" w:eastAsia="方正小标宋简体" w:cs="Times New Roman"/>
          <w:color w:val="000000"/>
          <w:sz w:val="72"/>
          <w:szCs w:val="72"/>
        </w:rPr>
      </w:pPr>
    </w:p>
    <w:p>
      <w:pPr>
        <w:spacing w:line="560" w:lineRule="exact"/>
        <w:jc w:val="center"/>
        <w:outlineLvl w:val="0"/>
        <w:rPr>
          <w:rFonts w:hint="default" w:ascii="Times New Roman" w:hAnsi="Times New Roman" w:eastAsia="方正小标宋简体" w:cs="Times New Roman"/>
          <w:color w:val="000000"/>
          <w:sz w:val="72"/>
          <w:szCs w:val="72"/>
        </w:rPr>
      </w:pPr>
    </w:p>
    <w:p>
      <w:pPr>
        <w:spacing w:line="560" w:lineRule="exact"/>
        <w:jc w:val="center"/>
        <w:outlineLvl w:val="0"/>
        <w:rPr>
          <w:rFonts w:hint="default" w:ascii="Times New Roman" w:hAnsi="Times New Roman" w:eastAsia="方正小标宋简体" w:cs="Times New Roman"/>
          <w:color w:val="000000"/>
          <w:sz w:val="72"/>
          <w:szCs w:val="72"/>
        </w:rPr>
      </w:pPr>
    </w:p>
    <w:p>
      <w:pPr>
        <w:adjustRightInd w:val="0"/>
        <w:snapToGrid w:val="0"/>
        <w:spacing w:line="240" w:lineRule="auto"/>
        <w:jc w:val="center"/>
        <w:outlineLvl w:val="0"/>
        <w:rPr>
          <w:rFonts w:hint="default" w:ascii="Times New Roman" w:hAnsi="Times New Roman" w:eastAsia="方正小标宋简体" w:cs="Times New Roman"/>
          <w:color w:val="000000"/>
          <w:sz w:val="72"/>
          <w:szCs w:val="72"/>
        </w:rPr>
      </w:pPr>
      <w:bookmarkStart w:id="1" w:name="_Toc15378441"/>
      <w:bookmarkStart w:id="2" w:name="_Toc15396597"/>
      <w:bookmarkStart w:id="3" w:name="_Toc15377193"/>
      <w:bookmarkStart w:id="4" w:name="_Toc15377425"/>
      <w:bookmarkStart w:id="5" w:name="_Toc15396475"/>
      <w:r>
        <w:rPr>
          <w:rFonts w:hint="default" w:ascii="Times New Roman" w:hAnsi="Times New Roman" w:eastAsia="黑体" w:cs="Times New Roman"/>
          <w:color w:val="000000"/>
          <w:sz w:val="72"/>
          <w:szCs w:val="72"/>
        </w:rPr>
        <w:t>2020</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p>
      <w:pPr>
        <w:adjustRightInd w:val="0"/>
        <w:snapToGrid w:val="0"/>
        <w:spacing w:line="240" w:lineRule="auto"/>
        <w:jc w:val="center"/>
        <w:outlineLvl w:val="0"/>
        <w:rPr>
          <w:rFonts w:hint="default" w:ascii="Times New Roman" w:hAnsi="Times New Roman" w:eastAsia="方正小标宋简体" w:cs="Times New Roman"/>
          <w:color w:val="000000"/>
          <w:sz w:val="72"/>
          <w:szCs w:val="72"/>
        </w:rPr>
      </w:pPr>
      <w:bookmarkStart w:id="6" w:name="_Toc15377426"/>
      <w:bookmarkStart w:id="7" w:name="_Toc15378442"/>
      <w:bookmarkStart w:id="8" w:name="_Toc15396476"/>
      <w:bookmarkStart w:id="9" w:name="_Toc15396598"/>
      <w:bookmarkStart w:id="10" w:name="_Toc15377194"/>
      <w:r>
        <w:rPr>
          <w:rFonts w:hint="default" w:ascii="Times New Roman" w:hAnsi="Times New Roman" w:eastAsia="方正小标宋简体" w:cs="Times New Roman"/>
          <w:color w:val="000000"/>
          <w:spacing w:val="-6"/>
          <w:w w:val="95"/>
          <w:sz w:val="72"/>
          <w:szCs w:val="72"/>
        </w:rPr>
        <w:t>四川省</w:t>
      </w:r>
      <w:bookmarkEnd w:id="0"/>
      <w:bookmarkStart w:id="11" w:name="_Toc15306268"/>
      <w:r>
        <w:rPr>
          <w:rFonts w:hint="default" w:ascii="Times New Roman" w:hAnsi="Times New Roman" w:eastAsia="方正小标宋简体" w:cs="Times New Roman"/>
          <w:color w:val="000000"/>
          <w:spacing w:val="-6"/>
          <w:w w:val="95"/>
          <w:sz w:val="72"/>
          <w:szCs w:val="72"/>
        </w:rPr>
        <w:t>省级财政国库支付中心</w:t>
      </w:r>
      <w:r>
        <w:rPr>
          <w:rFonts w:hint="eastAsia" w:eastAsia="方正小标宋简体" w:cs="Times New Roman"/>
          <w:color w:val="000000"/>
          <w:sz w:val="72"/>
          <w:szCs w:val="72"/>
          <w:lang w:eastAsia="zh-CN"/>
        </w:rPr>
        <w:t>单位</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p>
    <w:p>
      <w:pPr>
        <w:widowControl/>
        <w:spacing w:line="560" w:lineRule="exact"/>
        <w:jc w:val="center"/>
        <w:rPr>
          <w:rFonts w:hint="default" w:ascii="Times New Roman" w:hAnsi="Times New Roman" w:eastAsia="黑体" w:cs="Times New Roman"/>
          <w:color w:val="000000"/>
          <w:sz w:val="48"/>
          <w:szCs w:val="48"/>
        </w:rPr>
        <w:sectPr>
          <w:headerReference r:id="rId3" w:type="default"/>
          <w:footerReference r:id="rId4" w:type="default"/>
          <w:pgSz w:w="11906" w:h="16838"/>
          <w:pgMar w:top="2098" w:right="1474" w:bottom="1984" w:left="1587" w:header="851" w:footer="992" w:gutter="0"/>
          <w:pgNumType w:fmt="numberInDash" w:start="1"/>
          <w:cols w:space="0" w:num="1"/>
          <w:titlePg/>
          <w:docGrid w:type="lines" w:linePitch="312" w:charSpace="0"/>
        </w:sectPr>
      </w:pPr>
    </w:p>
    <w:p>
      <w:pPr>
        <w:widowControl/>
        <w:spacing w:line="560" w:lineRule="exact"/>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w:t>
      </w:r>
      <w:r>
        <w:rPr>
          <w:rFonts w:hint="default" w:ascii="Times New Roman" w:hAnsi="Times New Roman" w:eastAsia="黑体" w:cs="Times New Roman"/>
          <w:color w:val="000000"/>
          <w:sz w:val="48"/>
          <w:szCs w:val="48"/>
          <w:lang w:val="en-US" w:eastAsia="zh-CN"/>
        </w:rPr>
        <w:t xml:space="preserve">  </w:t>
      </w:r>
      <w:r>
        <w:rPr>
          <w:rFonts w:hint="default" w:ascii="Times New Roman" w:hAnsi="Times New Roman" w:eastAsia="黑体" w:cs="Times New Roman"/>
          <w:color w:val="000000"/>
          <w:sz w:val="48"/>
          <w:szCs w:val="48"/>
        </w:rPr>
        <w:t>录</w:t>
      </w:r>
    </w:p>
    <w:p>
      <w:pPr>
        <w:spacing w:line="560" w:lineRule="exact"/>
        <w:rPr>
          <w:rFonts w:hint="default" w:ascii="Times New Roman" w:hAnsi="Times New Roman" w:cs="Times New Roman"/>
          <w:sz w:val="24"/>
        </w:rPr>
      </w:pPr>
    </w:p>
    <w:p>
      <w:pPr>
        <w:pStyle w:val="14"/>
        <w:adjustRightInd w:val="0"/>
        <w:snapToGrid w:val="0"/>
        <w:spacing w:line="560" w:lineRule="exact"/>
        <w:ind w:left="0" w:leftChars="0" w:firstLine="0" w:firstLineChars="0"/>
        <w:jc w:val="distribute"/>
        <w:rPr>
          <w:rFonts w:hint="default" w:ascii="Times New Roman" w:hAnsi="Times New Roman" w:eastAsia="仿宋_GB2312" w:cs="Times New Roman"/>
          <w:b w:val="0"/>
          <w:bCs w:val="0"/>
          <w:sz w:val="32"/>
          <w:szCs w:val="24"/>
          <w:lang w:val="en-US" w:eastAsia="zh-CN"/>
        </w:rPr>
      </w:pPr>
      <w:r>
        <w:rPr>
          <w:rFonts w:hint="default" w:ascii="Times New Roman" w:hAnsi="Times New Roman" w:eastAsia="仿宋_GB2312" w:cs="Times New Roman"/>
          <w:b/>
          <w:bCs/>
          <w:sz w:val="32"/>
        </w:rPr>
        <w:t>第一部分 单位概况</w:t>
      </w:r>
      <w:r>
        <w:rPr>
          <w:rFonts w:hint="default" w:ascii="Times New Roman" w:hAnsi="Times New Roman" w:eastAsia="仿宋_GB2312" w:cs="Times New Roman"/>
          <w:color w:val="auto"/>
          <w:sz w:val="32"/>
          <w:lang w:val="en-US" w:eastAsia="zh-CN"/>
        </w:rPr>
        <w:t>..........................................................................1</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一、职能简介</w:t>
      </w:r>
      <w:r>
        <w:rPr>
          <w:rFonts w:hint="default" w:ascii="Times New Roman" w:hAnsi="Times New Roman" w:eastAsia="仿宋_GB2312" w:cs="Times New Roman"/>
          <w:color w:val="auto"/>
          <w:sz w:val="32"/>
          <w:lang w:val="en-US" w:eastAsia="zh-CN"/>
        </w:rPr>
        <w:t>..............................................................................1</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二、2020年重点工作完成情况</w:t>
      </w:r>
      <w:r>
        <w:rPr>
          <w:rFonts w:hint="default" w:ascii="Times New Roman" w:hAnsi="Times New Roman" w:eastAsia="仿宋_GB2312" w:cs="Times New Roman"/>
          <w:color w:val="auto"/>
          <w:sz w:val="32"/>
          <w:lang w:val="en-US" w:eastAsia="zh-CN"/>
        </w:rPr>
        <w:t>..................................................1</w:t>
      </w:r>
    </w:p>
    <w:p>
      <w:pPr>
        <w:rPr>
          <w:rFonts w:hint="default"/>
          <w:lang w:val="en-US" w:eastAsia="zh-CN"/>
        </w:rPr>
      </w:pPr>
      <w:r>
        <w:rPr>
          <w:rFonts w:hint="eastAsia" w:eastAsia="仿宋_GB2312" w:cs="Times New Roman"/>
          <w:color w:val="auto"/>
          <w:sz w:val="32"/>
          <w:lang w:val="en-US" w:eastAsia="zh-CN"/>
        </w:rPr>
        <w:t xml:space="preserve">    三、机构设置情况</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3</w:t>
      </w:r>
    </w:p>
    <w:p>
      <w:pPr>
        <w:pStyle w:val="14"/>
        <w:adjustRightInd w:val="0"/>
        <w:snapToGrid w:val="0"/>
        <w:spacing w:line="560" w:lineRule="exact"/>
        <w:ind w:left="0" w:leftChars="0" w:firstLine="0" w:firstLineChars="0"/>
        <w:jc w:val="distribute"/>
        <w:rPr>
          <w:rFonts w:hint="default" w:ascii="Times New Roman" w:hAnsi="Times New Roman" w:eastAsia="仿宋_GB2312" w:cs="Times New Roman"/>
          <w:b w:val="0"/>
          <w:bCs w:val="0"/>
          <w:color w:val="auto"/>
          <w:sz w:val="32"/>
          <w:szCs w:val="24"/>
          <w:lang w:val="en-US" w:eastAsia="zh-CN"/>
        </w:rPr>
      </w:pPr>
      <w:r>
        <w:rPr>
          <w:rFonts w:hint="default" w:ascii="Times New Roman" w:hAnsi="Times New Roman" w:eastAsia="仿宋_GB2312" w:cs="Times New Roman"/>
          <w:b/>
          <w:bCs/>
          <w:color w:val="auto"/>
          <w:sz w:val="32"/>
        </w:rPr>
        <w:t>第二部分 2020年度</w:t>
      </w:r>
      <w:r>
        <w:rPr>
          <w:rFonts w:hint="eastAsia" w:eastAsia="仿宋_GB2312" w:cs="Times New Roman"/>
          <w:b/>
          <w:bCs/>
          <w:color w:val="auto"/>
          <w:sz w:val="32"/>
          <w:lang w:eastAsia="zh-CN"/>
        </w:rPr>
        <w:t>单位</w:t>
      </w:r>
      <w:r>
        <w:rPr>
          <w:rFonts w:hint="default" w:ascii="Times New Roman" w:hAnsi="Times New Roman" w:eastAsia="仿宋_GB2312" w:cs="Times New Roman"/>
          <w:b/>
          <w:bCs/>
          <w:color w:val="auto"/>
          <w:sz w:val="32"/>
        </w:rPr>
        <w:t>决算情况说明</w:t>
      </w:r>
      <w:r>
        <w:rPr>
          <w:rFonts w:hint="default" w:ascii="Times New Roman" w:hAnsi="Times New Roman" w:eastAsia="仿宋_GB2312" w:cs="Times New Roman"/>
          <w:b w:val="0"/>
          <w:bCs w:val="0"/>
          <w:color w:val="auto"/>
          <w:sz w:val="32"/>
          <w:lang w:val="en-US" w:eastAsia="zh-CN"/>
        </w:rPr>
        <w:t>.........................................</w:t>
      </w:r>
      <w:r>
        <w:rPr>
          <w:rFonts w:hint="eastAsia" w:eastAsia="仿宋_GB2312" w:cs="Times New Roman"/>
          <w:b w:val="0"/>
          <w:bCs w:val="0"/>
          <w:color w:val="auto"/>
          <w:sz w:val="32"/>
          <w:lang w:val="en-US" w:eastAsia="zh-CN"/>
        </w:rPr>
        <w:t>4</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一、收入支出决算总体情况说明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4</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二、收入决算情况说明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4</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三、支出决算情况说明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5</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四、财政拨款收入支出决算总体情况说明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5</w:t>
      </w:r>
    </w:p>
    <w:p>
      <w:pPr>
        <w:pStyle w:val="14"/>
        <w:adjustRightInd w:val="0"/>
        <w:snapToGrid w:val="0"/>
        <w:spacing w:line="560" w:lineRule="exact"/>
        <w:ind w:left="638" w:leftChars="304" w:firstLine="0" w:firstLineChars="0"/>
        <w:jc w:val="left"/>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五、一般公共预算财政拨款支出决算情况说明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6</w:t>
      </w:r>
      <w:r>
        <w:rPr>
          <w:rFonts w:hint="default" w:ascii="Times New Roman" w:hAnsi="Times New Roman" w:eastAsia="仿宋_GB2312" w:cs="Times New Roman"/>
          <w:color w:val="auto"/>
          <w:sz w:val="32"/>
        </w:rPr>
        <w:t>六、一般公共预算财政拨款基本支出决算情况说明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8</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七、“三公”经费财政拨款支出决算情况说明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8</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八、政府性基金预算支出决算情况说明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9</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九、国有资本经营预算支出决算情况说明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9</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十、其他重要事项的情况说明</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10</w:t>
      </w:r>
    </w:p>
    <w:p>
      <w:pPr>
        <w:pStyle w:val="14"/>
        <w:adjustRightInd w:val="0"/>
        <w:snapToGrid w:val="0"/>
        <w:spacing w:line="560" w:lineRule="exact"/>
        <w:ind w:left="0" w:leftChars="0" w:firstLine="0" w:firstLineChars="0"/>
        <w:jc w:val="distribute"/>
        <w:rPr>
          <w:rFonts w:hint="default" w:ascii="Times New Roman" w:hAnsi="Times New Roman" w:eastAsia="仿宋_GB2312" w:cs="Times New Roman"/>
          <w:b w:val="0"/>
          <w:bCs w:val="0"/>
          <w:color w:val="auto"/>
          <w:sz w:val="32"/>
          <w:szCs w:val="24"/>
          <w:lang w:val="en-US" w:eastAsia="zh-CN"/>
        </w:rPr>
      </w:pPr>
      <w:r>
        <w:rPr>
          <w:rFonts w:hint="default" w:ascii="Times New Roman" w:hAnsi="Times New Roman" w:eastAsia="仿宋_GB2312" w:cs="Times New Roman"/>
          <w:b/>
          <w:bCs/>
          <w:color w:val="auto"/>
          <w:sz w:val="32"/>
        </w:rPr>
        <w:t>第三部分 名词解释</w:t>
      </w:r>
      <w:r>
        <w:rPr>
          <w:rFonts w:hint="default" w:ascii="Times New Roman" w:hAnsi="Times New Roman" w:eastAsia="仿宋_GB2312" w:cs="Times New Roman"/>
          <w:b w:val="0"/>
          <w:bCs w:val="0"/>
          <w:color w:val="auto"/>
          <w:sz w:val="32"/>
          <w:lang w:val="en-US" w:eastAsia="zh-CN"/>
        </w:rPr>
        <w:t>........................................................................1</w:t>
      </w:r>
      <w:r>
        <w:rPr>
          <w:rFonts w:hint="eastAsia" w:eastAsia="仿宋_GB2312" w:cs="Times New Roman"/>
          <w:b w:val="0"/>
          <w:bCs w:val="0"/>
          <w:color w:val="auto"/>
          <w:sz w:val="32"/>
          <w:lang w:val="en-US" w:eastAsia="zh-CN"/>
        </w:rPr>
        <w:t>1</w:t>
      </w:r>
    </w:p>
    <w:p>
      <w:pPr>
        <w:pStyle w:val="12"/>
        <w:adjustRightInd w:val="0"/>
        <w:snapToGrid w:val="0"/>
        <w:spacing w:before="0" w:line="560" w:lineRule="exact"/>
        <w:jc w:val="distribute"/>
        <w:rPr>
          <w:rFonts w:hint="default" w:ascii="Times New Roman" w:hAnsi="Times New Roman" w:eastAsia="仿宋_GB2312" w:cs="Times New Roman"/>
          <w:b/>
          <w:bCs/>
          <w:color w:val="auto"/>
          <w:sz w:val="32"/>
          <w:szCs w:val="24"/>
          <w:lang w:val="en-US" w:eastAsia="zh-CN"/>
        </w:rPr>
      </w:pPr>
      <w:r>
        <w:rPr>
          <w:rFonts w:hint="default" w:ascii="Times New Roman" w:hAnsi="Times New Roman" w:eastAsia="仿宋_GB2312" w:cs="Times New Roman"/>
          <w:b/>
          <w:bCs/>
          <w:color w:val="auto"/>
          <w:sz w:val="32"/>
        </w:rPr>
        <w:t>第四部分 附件</w:t>
      </w:r>
      <w:r>
        <w:rPr>
          <w:rFonts w:hint="default" w:ascii="Times New Roman" w:hAnsi="Times New Roman" w:eastAsia="仿宋_GB2312" w:cs="Times New Roman"/>
          <w:b w:val="0"/>
          <w:bCs w:val="0"/>
          <w:color w:val="auto"/>
          <w:sz w:val="32"/>
          <w:lang w:val="en-US" w:eastAsia="zh-CN"/>
        </w:rPr>
        <w:t>................................................................................1</w:t>
      </w:r>
      <w:r>
        <w:rPr>
          <w:rFonts w:hint="eastAsia" w:ascii="Times New Roman" w:hAnsi="Times New Roman" w:eastAsia="仿宋_GB2312" w:cs="Times New Roman"/>
          <w:b w:val="0"/>
          <w:bCs w:val="0"/>
          <w:color w:val="auto"/>
          <w:sz w:val="32"/>
          <w:lang w:val="en-US" w:eastAsia="zh-CN"/>
        </w:rPr>
        <w:t>3</w:t>
      </w:r>
    </w:p>
    <w:p>
      <w:pPr>
        <w:pStyle w:val="12"/>
        <w:adjustRightInd w:val="0"/>
        <w:snapToGrid w:val="0"/>
        <w:spacing w:before="0" w:line="560" w:lineRule="exact"/>
        <w:jc w:val="distribute"/>
        <w:rPr>
          <w:rFonts w:hint="default" w:ascii="Times New Roman" w:hAnsi="Times New Roman" w:eastAsia="仿宋_GB2312" w:cs="Times New Roman"/>
          <w:b w:val="0"/>
          <w:bCs w:val="0"/>
          <w:color w:val="auto"/>
          <w:sz w:val="32"/>
          <w:szCs w:val="24"/>
          <w:lang w:val="en-US" w:eastAsia="zh-CN"/>
        </w:rPr>
      </w:pPr>
      <w:r>
        <w:rPr>
          <w:rFonts w:hint="default" w:ascii="Times New Roman" w:hAnsi="Times New Roman" w:eastAsia="仿宋_GB2312" w:cs="Times New Roman"/>
          <w:b/>
          <w:bCs/>
          <w:color w:val="auto"/>
          <w:sz w:val="32"/>
        </w:rPr>
        <w:t>第五部分 附表</w:t>
      </w:r>
      <w:r>
        <w:rPr>
          <w:rFonts w:hint="default" w:ascii="Times New Roman" w:hAnsi="Times New Roman" w:eastAsia="仿宋_GB2312" w:cs="Times New Roman"/>
          <w:b w:val="0"/>
          <w:bCs w:val="0"/>
          <w:color w:val="auto"/>
          <w:sz w:val="32"/>
          <w:lang w:val="en-US" w:eastAsia="zh-CN"/>
        </w:rPr>
        <w:t>................................................................................1</w:t>
      </w:r>
      <w:r>
        <w:rPr>
          <w:rFonts w:hint="eastAsia" w:ascii="Times New Roman" w:hAnsi="Times New Roman" w:eastAsia="仿宋_GB2312" w:cs="Times New Roman"/>
          <w:b w:val="0"/>
          <w:bCs w:val="0"/>
          <w:color w:val="auto"/>
          <w:sz w:val="32"/>
          <w:lang w:val="en-US" w:eastAsia="zh-CN"/>
        </w:rPr>
        <w:t>4</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一、收入支出决算总表</w:t>
      </w:r>
      <w:r>
        <w:rPr>
          <w:rFonts w:hint="default" w:ascii="Times New Roman" w:hAnsi="Times New Roman" w:eastAsia="仿宋_GB2312" w:cs="Times New Roman"/>
          <w:color w:val="auto"/>
          <w:sz w:val="32"/>
          <w:lang w:val="en-US" w:eastAsia="zh-CN"/>
        </w:rPr>
        <w:t>............................................................1</w:t>
      </w:r>
      <w:r>
        <w:rPr>
          <w:rFonts w:hint="eastAsia" w:eastAsia="仿宋_GB2312" w:cs="Times New Roman"/>
          <w:color w:val="auto"/>
          <w:sz w:val="32"/>
          <w:lang w:val="en-US" w:eastAsia="zh-CN"/>
        </w:rPr>
        <w:t>5</w:t>
      </w:r>
      <w:bookmarkStart w:id="67" w:name="_GoBack"/>
      <w:bookmarkEnd w:id="67"/>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二、收入决算表</w:t>
      </w:r>
      <w:r>
        <w:rPr>
          <w:rFonts w:hint="default" w:ascii="Times New Roman" w:hAnsi="Times New Roman" w:eastAsia="仿宋_GB2312" w:cs="Times New Roman"/>
          <w:color w:val="auto"/>
          <w:sz w:val="32"/>
          <w:lang w:val="en-US" w:eastAsia="zh-CN"/>
        </w:rPr>
        <w:t>........................................................................1</w:t>
      </w:r>
      <w:r>
        <w:rPr>
          <w:rFonts w:hint="eastAsia" w:eastAsia="仿宋_GB2312" w:cs="Times New Roman"/>
          <w:color w:val="auto"/>
          <w:sz w:val="32"/>
          <w:lang w:val="en-US" w:eastAsia="zh-CN"/>
        </w:rPr>
        <w:t>6</w:t>
      </w:r>
    </w:p>
    <w:p>
      <w:pPr>
        <w:pStyle w:val="14"/>
        <w:adjustRightInd w:val="0"/>
        <w:snapToGrid w:val="0"/>
        <w:spacing w:line="560" w:lineRule="exact"/>
        <w:ind w:left="0" w:leftChars="0" w:firstLine="640" w:firstLineChars="200"/>
        <w:jc w:val="distribute"/>
        <w:rPr>
          <w:rFonts w:hint="eastAsia"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三、支出决算表</w:t>
      </w:r>
      <w:r>
        <w:rPr>
          <w:rFonts w:hint="default" w:ascii="Times New Roman" w:hAnsi="Times New Roman" w:eastAsia="仿宋_GB2312" w:cs="Times New Roman"/>
          <w:color w:val="auto"/>
          <w:sz w:val="32"/>
          <w:lang w:val="en-US" w:eastAsia="zh-CN"/>
        </w:rPr>
        <w:t>........................................................................1</w:t>
      </w:r>
      <w:r>
        <w:rPr>
          <w:rFonts w:hint="eastAsia" w:eastAsia="仿宋_GB2312" w:cs="Times New Roman"/>
          <w:color w:val="auto"/>
          <w:sz w:val="32"/>
          <w:lang w:val="en-US" w:eastAsia="zh-CN"/>
        </w:rPr>
        <w:t>7</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四、财政拨款收入支出决算总表</w:t>
      </w:r>
      <w:r>
        <w:rPr>
          <w:rFonts w:hint="default" w:ascii="Times New Roman" w:hAnsi="Times New Roman" w:eastAsia="仿宋_GB2312" w:cs="Times New Roman"/>
          <w:color w:val="auto"/>
          <w:sz w:val="32"/>
          <w:lang w:val="en-US" w:eastAsia="zh-CN"/>
        </w:rPr>
        <w:t>............................................1</w:t>
      </w:r>
      <w:r>
        <w:rPr>
          <w:rFonts w:hint="eastAsia" w:eastAsia="仿宋_GB2312" w:cs="Times New Roman"/>
          <w:color w:val="auto"/>
          <w:sz w:val="32"/>
          <w:lang w:val="en-US" w:eastAsia="zh-CN"/>
        </w:rPr>
        <w:t>8</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五、财政拨款支出决算明细表</w:t>
      </w:r>
      <w:r>
        <w:rPr>
          <w:rFonts w:hint="default" w:ascii="Times New Roman" w:hAnsi="Times New Roman" w:eastAsia="仿宋_GB2312" w:cs="Times New Roman"/>
          <w:color w:val="auto"/>
          <w:sz w:val="32"/>
          <w:lang w:val="en-US" w:eastAsia="zh-CN"/>
        </w:rPr>
        <w:t>................................................1</w:t>
      </w:r>
      <w:r>
        <w:rPr>
          <w:rFonts w:hint="eastAsia" w:eastAsia="仿宋_GB2312" w:cs="Times New Roman"/>
          <w:color w:val="auto"/>
          <w:sz w:val="32"/>
          <w:lang w:val="en-US" w:eastAsia="zh-CN"/>
        </w:rPr>
        <w:t>9</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六、一般公共预算财政拨款支出决算表</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20</w:t>
      </w:r>
    </w:p>
    <w:p>
      <w:pPr>
        <w:pStyle w:val="14"/>
        <w:adjustRightInd w:val="0"/>
        <w:snapToGrid w:val="0"/>
        <w:spacing w:line="560" w:lineRule="exact"/>
        <w:ind w:left="0" w:leftChars="0" w:firstLine="640" w:firstLineChars="200"/>
        <w:jc w:val="distribute"/>
        <w:rPr>
          <w:rFonts w:hint="eastAsia"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七、一般公共预算财政拨款支出决算明细表</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1</w:t>
      </w:r>
      <w:r>
        <w:rPr>
          <w:rFonts w:hint="eastAsia" w:ascii="Times New Roman" w:hAnsi="Times New Roman" w:eastAsia="仿宋_GB2312" w:cs="Times New Roman"/>
          <w:color w:val="auto"/>
          <w:sz w:val="32"/>
          <w:lang w:val="en-US" w:eastAsia="zh-CN"/>
        </w:rPr>
        <w:t xml:space="preserve">    </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八、一般公共预算财政拨款基本支出决算表</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2</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九、一般公共预算财政拨款项目支出决算表</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3</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十、一般公共预算财政拨款“三公”经费支出决算表</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4</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十一、政府性基金预算财政拨款收入支出决算表</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5</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十二、政府性基金预算财政拨款“三公”经费支出决算表</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6</w:t>
      </w:r>
      <w:r>
        <w:rPr>
          <w:rFonts w:hint="default" w:ascii="Times New Roman" w:hAnsi="Times New Roman" w:eastAsia="仿宋_GB2312" w:cs="Times New Roman"/>
          <w:color w:val="auto"/>
          <w:sz w:val="32"/>
          <w:lang w:val="en-US" w:eastAsia="zh-CN"/>
        </w:rPr>
        <w:t xml:space="preserve">  </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十三、国有资本经营预算财政拨款收入支出决算表</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7</w:t>
      </w:r>
    </w:p>
    <w:p>
      <w:pPr>
        <w:pStyle w:val="14"/>
        <w:adjustRightInd w:val="0"/>
        <w:snapToGrid w:val="0"/>
        <w:spacing w:line="560" w:lineRule="exact"/>
        <w:ind w:left="0" w:leftChars="0" w:firstLine="640" w:firstLineChars="200"/>
        <w:jc w:val="distribut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十四、国有资本经营预算财政拨款支出决算表</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8</w:t>
      </w:r>
    </w:p>
    <w:p>
      <w:pPr>
        <w:pStyle w:val="3"/>
        <w:spacing w:before="0" w:after="0" w:line="560" w:lineRule="exact"/>
        <w:jc w:val="center"/>
        <w:rPr>
          <w:rFonts w:hint="default" w:ascii="Times New Roman" w:hAnsi="Times New Roman" w:eastAsia="黑体" w:cs="Times New Roman"/>
          <w:b w:val="0"/>
        </w:rPr>
        <w:sectPr>
          <w:footerReference r:id="rId6" w:type="first"/>
          <w:footerReference r:id="rId5" w:type="default"/>
          <w:pgSz w:w="11906" w:h="16838"/>
          <w:pgMar w:top="2098" w:right="1474" w:bottom="1984" w:left="1587" w:header="851" w:footer="992" w:gutter="0"/>
          <w:pgNumType w:fmt="numberInDash" w:start="1"/>
          <w:cols w:space="0" w:num="1"/>
          <w:docGrid w:type="lines" w:linePitch="312" w:charSpace="0"/>
        </w:sectPr>
      </w:pPr>
      <w:bookmarkStart w:id="12" w:name="_Toc15377196"/>
      <w:bookmarkStart w:id="13" w:name="_Toc15396599"/>
    </w:p>
    <w:bookmarkEnd w:id="12"/>
    <w:bookmarkEnd w:id="13"/>
    <w:p>
      <w:pPr>
        <w:pStyle w:val="3"/>
        <w:pageBreakBefore w:val="0"/>
        <w:kinsoku/>
        <w:wordWrap/>
        <w:overflowPunct/>
        <w:topLinePunct w:val="0"/>
        <w:autoSpaceDE/>
        <w:autoSpaceDN/>
        <w:bidi w:val="0"/>
        <w:spacing w:before="0" w:after="0" w:line="560" w:lineRule="exact"/>
        <w:jc w:val="center"/>
        <w:textAlignment w:val="auto"/>
        <w:rPr>
          <w:rStyle w:val="28"/>
          <w:rFonts w:hint="default" w:ascii="Times New Roman" w:hAnsi="Times New Roman" w:eastAsia="黑体" w:cs="Times New Roman"/>
          <w:b/>
          <w:bCs w:val="0"/>
        </w:rPr>
      </w:pPr>
      <w:bookmarkStart w:id="14" w:name="_Toc15377204"/>
      <w:bookmarkStart w:id="15" w:name="_Toc15396602"/>
      <w:r>
        <w:rPr>
          <w:rFonts w:hint="default" w:ascii="Times New Roman" w:hAnsi="Times New Roman" w:eastAsia="黑体" w:cs="Times New Roman"/>
          <w:b w:val="0"/>
        </w:rPr>
        <w:t xml:space="preserve">第一部分 </w:t>
      </w:r>
      <w:r>
        <w:rPr>
          <w:rFonts w:hint="default" w:ascii="Times New Roman" w:hAnsi="Times New Roman" w:eastAsia="黑体" w:cs="Times New Roman"/>
          <w:b w:val="0"/>
          <w:lang w:val="en-US" w:eastAsia="zh-CN"/>
        </w:rPr>
        <w:t xml:space="preserve"> </w:t>
      </w:r>
      <w:r>
        <w:rPr>
          <w:rFonts w:hint="default" w:ascii="Times New Roman" w:hAnsi="Times New Roman" w:eastAsia="黑体" w:cs="Times New Roman"/>
          <w:b w:val="0"/>
        </w:rPr>
        <w:t>单位</w:t>
      </w:r>
      <w:r>
        <w:rPr>
          <w:rStyle w:val="28"/>
          <w:rFonts w:hint="default" w:ascii="Times New Roman" w:hAnsi="Times New Roman" w:eastAsia="黑体" w:cs="Times New Roman"/>
          <w:b w:val="0"/>
          <w:bCs w:val="0"/>
        </w:rPr>
        <w:t>概况</w:t>
      </w:r>
    </w:p>
    <w:p>
      <w:pPr>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color w:val="000000"/>
          <w:sz w:val="32"/>
          <w:szCs w:val="32"/>
        </w:rPr>
      </w:pPr>
    </w:p>
    <w:p>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default" w:ascii="Times New Roman" w:hAnsi="Times New Roman" w:eastAsia="仿宋_GB2312" w:cs="Times New Roman"/>
          <w:b w:val="0"/>
          <w:color w:val="auto"/>
        </w:rPr>
      </w:pPr>
      <w:bookmarkStart w:id="16" w:name="_Toc15377197"/>
      <w:bookmarkStart w:id="17" w:name="_Toc15396600"/>
      <w:r>
        <w:rPr>
          <w:rStyle w:val="29"/>
          <w:rFonts w:hint="default" w:ascii="Times New Roman" w:hAnsi="Times New Roman" w:eastAsia="黑体" w:cs="Times New Roman"/>
          <w:b w:val="0"/>
          <w:bCs w:val="0"/>
          <w:color w:val="auto"/>
        </w:rPr>
        <w:t>一、职能简介</w:t>
      </w:r>
    </w:p>
    <w:p>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b w:val="0"/>
        </w:rPr>
        <w:t>配合财政国库部门管理省级国库单一账户体系，审核省级预算单位用款计划，具体办理财政资金支付业务；进行</w:t>
      </w:r>
      <w:r>
        <w:rPr>
          <w:rFonts w:hint="default" w:ascii="Times New Roman" w:hAnsi="Times New Roman" w:eastAsia="仿宋_GB2312" w:cs="Times New Roman"/>
          <w:b w:val="0"/>
          <w:lang w:eastAsia="zh-CN"/>
        </w:rPr>
        <w:t>财政</w:t>
      </w:r>
      <w:r>
        <w:rPr>
          <w:rFonts w:hint="default" w:ascii="Times New Roman" w:hAnsi="Times New Roman" w:eastAsia="仿宋_GB2312" w:cs="Times New Roman"/>
          <w:b w:val="0"/>
        </w:rPr>
        <w:t>总</w:t>
      </w:r>
      <w:r>
        <w:rPr>
          <w:rFonts w:hint="default" w:ascii="Times New Roman" w:hAnsi="Times New Roman" w:eastAsia="仿宋_GB2312" w:cs="Times New Roman"/>
          <w:b w:val="0"/>
          <w:lang w:eastAsia="zh-CN"/>
        </w:rPr>
        <w:t>预算</w:t>
      </w:r>
      <w:r>
        <w:rPr>
          <w:rFonts w:hint="default" w:ascii="Times New Roman" w:hAnsi="Times New Roman" w:eastAsia="仿宋_GB2312" w:cs="Times New Roman"/>
          <w:b w:val="0"/>
        </w:rPr>
        <w:t>会计明细核算，编制会计报表</w:t>
      </w:r>
      <w:r>
        <w:rPr>
          <w:rFonts w:hint="default" w:ascii="Times New Roman" w:hAnsi="Times New Roman" w:eastAsia="仿宋_GB2312" w:cs="Times New Roman"/>
          <w:b w:val="0"/>
          <w:lang w:eastAsia="zh-CN"/>
        </w:rPr>
        <w:t>、财务报告</w:t>
      </w:r>
      <w:r>
        <w:rPr>
          <w:rFonts w:hint="default" w:ascii="Times New Roman" w:hAnsi="Times New Roman" w:eastAsia="仿宋_GB2312" w:cs="Times New Roman"/>
          <w:b w:val="0"/>
        </w:rPr>
        <w:t>，定期报告财政资金支付情况，汇总资金管理和清算情况；定期与人民银行、代理银行、预算单位核对账务等。</w:t>
      </w:r>
    </w:p>
    <w:p>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default" w:ascii="Times New Roman" w:hAnsi="Times New Roman" w:eastAsia="仿宋_GB2312" w:cs="Times New Roman"/>
          <w:b w:val="0"/>
          <w:bCs/>
          <w:sz w:val="32"/>
          <w:highlight w:val="none"/>
          <w:lang w:val="en-US" w:eastAsia="zh-CN"/>
        </w:rPr>
      </w:pPr>
      <w:r>
        <w:rPr>
          <w:rFonts w:hint="default" w:ascii="Times New Roman" w:hAnsi="Times New Roman" w:eastAsia="黑体" w:cs="Times New Roman"/>
          <w:b w:val="0"/>
          <w:color w:val="auto"/>
        </w:rPr>
        <w:t>二、2020年重点工作</w:t>
      </w:r>
      <w:bookmarkEnd w:id="16"/>
      <w:bookmarkEnd w:id="17"/>
      <w:r>
        <w:rPr>
          <w:rFonts w:hint="default" w:ascii="Times New Roman" w:hAnsi="Times New Roman" w:eastAsia="黑体" w:cs="Times New Roman"/>
          <w:b w:val="0"/>
          <w:color w:val="auto"/>
        </w:rPr>
        <w:t>完成情况</w:t>
      </w:r>
    </w:p>
    <w:p>
      <w:pPr>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val="0"/>
          <w:sz w:val="32"/>
          <w:highlight w:val="none"/>
          <w:lang w:eastAsia="zh-CN"/>
        </w:rPr>
        <w:t>（一）完成省级财政资金支付工作</w:t>
      </w:r>
      <w:r>
        <w:rPr>
          <w:rFonts w:hint="default" w:ascii="Times New Roman" w:hAnsi="Times New Roman" w:eastAsia="楷体_GB2312" w:cs="Times New Roman"/>
          <w:b/>
          <w:bCs w:val="0"/>
          <w:color w:val="auto"/>
          <w:sz w:val="32"/>
          <w:highlight w:val="none"/>
        </w:rPr>
        <w:t>。</w:t>
      </w:r>
      <w:r>
        <w:rPr>
          <w:rFonts w:hint="default" w:ascii="Times New Roman" w:hAnsi="Times New Roman" w:eastAsia="仿宋_GB2312" w:cs="Times New Roman"/>
          <w:b w:val="0"/>
          <w:bCs/>
          <w:color w:val="auto"/>
          <w:sz w:val="32"/>
          <w:szCs w:val="32"/>
          <w:highlight w:val="none"/>
          <w:lang w:eastAsia="zh-CN"/>
        </w:rPr>
        <w:t>严格执行财政资金支付相关规定，及时审核预算单位</w:t>
      </w:r>
      <w:r>
        <w:rPr>
          <w:rFonts w:hint="default" w:ascii="Times New Roman" w:hAnsi="Times New Roman" w:eastAsia="仿宋_GB2312" w:cs="Times New Roman"/>
          <w:b w:val="0"/>
          <w:bCs/>
          <w:color w:val="auto"/>
          <w:sz w:val="32"/>
          <w:szCs w:val="32"/>
          <w:highlight w:val="none"/>
        </w:rPr>
        <w:t>用款计划，</w:t>
      </w:r>
      <w:r>
        <w:rPr>
          <w:rFonts w:hint="default" w:ascii="Times New Roman" w:hAnsi="Times New Roman" w:eastAsia="仿宋_GB2312" w:cs="Times New Roman"/>
          <w:b w:val="0"/>
          <w:bCs/>
          <w:color w:val="auto"/>
          <w:sz w:val="32"/>
          <w:szCs w:val="32"/>
          <w:highlight w:val="none"/>
          <w:lang w:eastAsia="zh-CN"/>
        </w:rPr>
        <w:t>强化</w:t>
      </w:r>
      <w:r>
        <w:rPr>
          <w:rFonts w:hint="default" w:ascii="Times New Roman" w:hAnsi="Times New Roman" w:eastAsia="仿宋_GB2312" w:cs="Times New Roman"/>
          <w:b w:val="0"/>
          <w:bCs/>
          <w:color w:val="auto"/>
          <w:sz w:val="32"/>
          <w:szCs w:val="32"/>
          <w:highlight w:val="none"/>
        </w:rPr>
        <w:t>部门单位预算执行主体责任，提升财政资金支付规范性</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
          <w:bCs/>
          <w:color w:val="000000"/>
          <w:sz w:val="32"/>
          <w:szCs w:val="32"/>
          <w:lang w:val="en-US" w:eastAsia="zh-CN"/>
        </w:rPr>
        <w:t>一是承办省级财政资金支付。</w:t>
      </w:r>
      <w:r>
        <w:rPr>
          <w:rFonts w:hint="default" w:ascii="Times New Roman" w:hAnsi="Times New Roman" w:eastAsia="仿宋_GB2312" w:cs="Times New Roman"/>
          <w:color w:val="000000"/>
          <w:sz w:val="32"/>
          <w:szCs w:val="32"/>
        </w:rPr>
        <w:t>2020年，</w:t>
      </w:r>
      <w:r>
        <w:rPr>
          <w:rFonts w:hint="default" w:ascii="Times New Roman" w:hAnsi="Times New Roman" w:eastAsia="仿宋_GB2312" w:cs="Times New Roman"/>
          <w:color w:val="000000"/>
          <w:sz w:val="32"/>
          <w:szCs w:val="32"/>
          <w:lang w:eastAsia="zh-CN"/>
        </w:rPr>
        <w:t>累计</w:t>
      </w:r>
      <w:r>
        <w:rPr>
          <w:rFonts w:hint="default" w:ascii="Times New Roman" w:hAnsi="Times New Roman" w:eastAsia="仿宋_GB2312" w:cs="Times New Roman"/>
          <w:color w:val="000000"/>
          <w:sz w:val="32"/>
          <w:szCs w:val="32"/>
        </w:rPr>
        <w:t>审核</w:t>
      </w:r>
      <w:r>
        <w:rPr>
          <w:rFonts w:hint="default" w:ascii="Times New Roman" w:hAnsi="Times New Roman" w:eastAsia="仿宋_GB2312" w:cs="Times New Roman"/>
          <w:color w:val="000000"/>
          <w:sz w:val="32"/>
          <w:szCs w:val="32"/>
          <w:lang w:eastAsia="zh-CN"/>
        </w:rPr>
        <w:t>省级预算单位</w:t>
      </w:r>
      <w:r>
        <w:rPr>
          <w:rFonts w:hint="default" w:ascii="Times New Roman" w:hAnsi="Times New Roman" w:eastAsia="仿宋_GB2312" w:cs="Times New Roman"/>
          <w:color w:val="000000"/>
          <w:sz w:val="32"/>
          <w:szCs w:val="32"/>
        </w:rPr>
        <w:t>一般计划、政府采购计划和基建计划</w:t>
      </w:r>
      <w:r>
        <w:rPr>
          <w:rFonts w:hint="default" w:ascii="Times New Roman" w:hAnsi="Times New Roman" w:eastAsia="仿宋_GB2312" w:cs="Times New Roman"/>
          <w:color w:val="000000"/>
          <w:sz w:val="32"/>
          <w:szCs w:val="32"/>
          <w:lang w:eastAsia="zh-CN"/>
        </w:rPr>
        <w:t>等部门用款计划</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w:t>
      </w:r>
      <w:r>
        <w:rPr>
          <w:rFonts w:hint="default" w:ascii="Times New Roman" w:hAnsi="Times New Roman" w:eastAsia="仿宋_GB2312" w:cs="Times New Roman"/>
          <w:color w:val="000000"/>
          <w:sz w:val="32"/>
          <w:szCs w:val="32"/>
          <w:lang w:eastAsia="zh-CN"/>
        </w:rPr>
        <w:t>余</w:t>
      </w:r>
      <w:r>
        <w:rPr>
          <w:rFonts w:hint="default" w:ascii="Times New Roman" w:hAnsi="Times New Roman" w:eastAsia="仿宋_GB2312" w:cs="Times New Roman"/>
          <w:color w:val="000000"/>
          <w:sz w:val="32"/>
          <w:szCs w:val="32"/>
        </w:rPr>
        <w:t>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审核</w:t>
      </w:r>
      <w:r>
        <w:rPr>
          <w:rFonts w:hint="default" w:ascii="Times New Roman" w:hAnsi="Times New Roman" w:eastAsia="仿宋_GB2312" w:cs="Times New Roman"/>
          <w:color w:val="000000"/>
          <w:sz w:val="32"/>
          <w:szCs w:val="32"/>
          <w:lang w:eastAsia="zh-CN"/>
        </w:rPr>
        <w:t>办理财政</w:t>
      </w:r>
      <w:r>
        <w:rPr>
          <w:rFonts w:hint="default" w:ascii="Times New Roman" w:hAnsi="Times New Roman" w:eastAsia="仿宋_GB2312" w:cs="Times New Roman"/>
          <w:color w:val="000000"/>
          <w:sz w:val="32"/>
          <w:szCs w:val="32"/>
        </w:rPr>
        <w:t>直接支付、财政专户支付</w:t>
      </w:r>
      <w:r>
        <w:rPr>
          <w:rFonts w:hint="default" w:ascii="Times New Roman" w:hAnsi="Times New Roman" w:eastAsia="仿宋_GB2312" w:cs="Times New Roman"/>
          <w:color w:val="000000"/>
          <w:sz w:val="32"/>
          <w:szCs w:val="32"/>
          <w:lang w:eastAsia="zh-CN"/>
        </w:rPr>
        <w:t>上</w:t>
      </w:r>
      <w:r>
        <w:rPr>
          <w:rFonts w:hint="default" w:ascii="Times New Roman" w:hAnsi="Times New Roman" w:eastAsia="仿宋_GB2312" w:cs="Times New Roman"/>
          <w:color w:val="000000"/>
          <w:sz w:val="32"/>
          <w:szCs w:val="32"/>
        </w:rPr>
        <w:t>万笔</w:t>
      </w:r>
      <w:r>
        <w:rPr>
          <w:rFonts w:hint="default" w:ascii="Times New Roman" w:hAnsi="Times New Roman" w:eastAsia="仿宋_GB2312" w:cs="Times New Roman"/>
          <w:color w:val="000000"/>
          <w:sz w:val="32"/>
          <w:szCs w:val="32"/>
          <w:lang w:eastAsia="zh-CN"/>
        </w:rPr>
        <w:t>，确保财政资金及时、准确支付到收款人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b/>
          <w:bCs/>
          <w:color w:val="000000"/>
          <w:sz w:val="32"/>
          <w:szCs w:val="32"/>
          <w:lang w:eastAsia="zh-CN"/>
        </w:rPr>
        <w:t>组织</w:t>
      </w:r>
      <w:r>
        <w:rPr>
          <w:rFonts w:hint="default" w:ascii="Times New Roman" w:hAnsi="Times New Roman" w:eastAsia="仿宋_GB2312" w:cs="Times New Roman"/>
          <w:b/>
          <w:bCs/>
          <w:color w:val="000000"/>
          <w:sz w:val="32"/>
          <w:szCs w:val="32"/>
        </w:rPr>
        <w:t>完成省级部门单位工资直</w:t>
      </w:r>
      <w:r>
        <w:rPr>
          <w:rFonts w:hint="default" w:ascii="Times New Roman" w:hAnsi="Times New Roman" w:eastAsia="仿宋_GB2312" w:cs="Times New Roman"/>
          <w:b/>
          <w:bCs/>
          <w:color w:val="000000"/>
          <w:sz w:val="32"/>
          <w:szCs w:val="32"/>
          <w:lang w:eastAsia="zh-CN"/>
        </w:rPr>
        <w:t>接</w:t>
      </w:r>
      <w:r>
        <w:rPr>
          <w:rFonts w:hint="default" w:ascii="Times New Roman" w:hAnsi="Times New Roman" w:eastAsia="仿宋_GB2312" w:cs="Times New Roman"/>
          <w:b/>
          <w:bCs/>
          <w:color w:val="000000"/>
          <w:sz w:val="32"/>
          <w:szCs w:val="32"/>
        </w:rPr>
        <w:t>发</w:t>
      </w:r>
      <w:r>
        <w:rPr>
          <w:rFonts w:hint="default" w:ascii="Times New Roman" w:hAnsi="Times New Roman" w:eastAsia="仿宋_GB2312" w:cs="Times New Roman"/>
          <w:b/>
          <w:bCs/>
          <w:color w:val="000000"/>
          <w:sz w:val="32"/>
          <w:szCs w:val="32"/>
          <w:lang w:eastAsia="zh-CN"/>
        </w:rPr>
        <w:t>放</w:t>
      </w:r>
      <w:r>
        <w:rPr>
          <w:rFonts w:hint="default" w:ascii="Times New Roman" w:hAnsi="Times New Roman" w:eastAsia="仿宋_GB2312" w:cs="Times New Roman"/>
          <w:b/>
          <w:bCs/>
          <w:color w:val="000000"/>
          <w:sz w:val="32"/>
          <w:szCs w:val="32"/>
        </w:rPr>
        <w:t>工作。</w:t>
      </w:r>
      <w:r>
        <w:rPr>
          <w:rFonts w:hint="default" w:ascii="Times New Roman" w:hAnsi="Times New Roman" w:eastAsia="仿宋_GB2312" w:cs="Times New Roman"/>
          <w:color w:val="000000"/>
          <w:sz w:val="32"/>
          <w:szCs w:val="32"/>
          <w:lang w:eastAsia="zh-CN"/>
        </w:rPr>
        <w:t>组织</w:t>
      </w:r>
      <w:r>
        <w:rPr>
          <w:rFonts w:hint="default" w:ascii="Times New Roman" w:hAnsi="Times New Roman" w:eastAsia="仿宋_GB2312" w:cs="Times New Roman"/>
          <w:color w:val="000000"/>
          <w:sz w:val="32"/>
          <w:szCs w:val="32"/>
        </w:rPr>
        <w:t>预算单位</w:t>
      </w:r>
      <w:r>
        <w:rPr>
          <w:rFonts w:hint="default"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rPr>
        <w:t>工资直</w:t>
      </w:r>
      <w:r>
        <w:rPr>
          <w:rFonts w:hint="default" w:ascii="Times New Roman" w:hAnsi="Times New Roman" w:eastAsia="仿宋_GB2312" w:cs="Times New Roman"/>
          <w:color w:val="000000"/>
          <w:sz w:val="32"/>
          <w:szCs w:val="32"/>
          <w:lang w:eastAsia="zh-CN"/>
        </w:rPr>
        <w:t>接</w:t>
      </w:r>
      <w:r>
        <w:rPr>
          <w:rFonts w:hint="default" w:ascii="Times New Roman" w:hAnsi="Times New Roman" w:eastAsia="仿宋_GB2312" w:cs="Times New Roman"/>
          <w:color w:val="000000"/>
          <w:sz w:val="32"/>
          <w:szCs w:val="32"/>
        </w:rPr>
        <w:t>发</w:t>
      </w:r>
      <w:r>
        <w:rPr>
          <w:rFonts w:hint="default" w:ascii="Times New Roman" w:hAnsi="Times New Roman" w:eastAsia="仿宋_GB2312" w:cs="Times New Roman"/>
          <w:color w:val="000000"/>
          <w:sz w:val="32"/>
          <w:szCs w:val="32"/>
          <w:lang w:eastAsia="zh-CN"/>
        </w:rPr>
        <w:t>放</w:t>
      </w:r>
      <w:r>
        <w:rPr>
          <w:rFonts w:hint="default" w:ascii="Times New Roman" w:hAnsi="Times New Roman" w:eastAsia="仿宋_GB2312" w:cs="Times New Roman"/>
          <w:color w:val="000000"/>
          <w:sz w:val="32"/>
          <w:szCs w:val="32"/>
        </w:rPr>
        <w:t>信息，按时</w:t>
      </w:r>
      <w:r>
        <w:rPr>
          <w:rFonts w:hint="default" w:ascii="Times New Roman" w:hAnsi="Times New Roman" w:eastAsia="仿宋_GB2312" w:cs="Times New Roman"/>
          <w:color w:val="000000"/>
          <w:sz w:val="32"/>
          <w:szCs w:val="32"/>
          <w:lang w:eastAsia="zh-CN"/>
        </w:rPr>
        <w:t>完成各月</w:t>
      </w:r>
      <w:r>
        <w:rPr>
          <w:rFonts w:hint="default" w:ascii="Times New Roman" w:hAnsi="Times New Roman" w:eastAsia="仿宋_GB2312" w:cs="Times New Roman"/>
          <w:color w:val="000000"/>
          <w:sz w:val="32"/>
          <w:szCs w:val="32"/>
        </w:rPr>
        <w:t>省级工资</w:t>
      </w:r>
      <w:r>
        <w:rPr>
          <w:rFonts w:hint="default" w:ascii="Times New Roman" w:hAnsi="Times New Roman" w:eastAsia="仿宋_GB2312" w:cs="Times New Roman"/>
          <w:color w:val="000000"/>
          <w:sz w:val="32"/>
          <w:szCs w:val="32"/>
          <w:lang w:eastAsia="zh-CN"/>
        </w:rPr>
        <w:t>发放，确保全年省级财政负担工资及时足额发放到个人账户。</w:t>
      </w:r>
      <w:r>
        <w:rPr>
          <w:rFonts w:hint="default" w:ascii="Times New Roman" w:hAnsi="Times New Roman" w:eastAsia="仿宋_GB2312" w:cs="Times New Roman"/>
          <w:color w:val="000000"/>
          <w:sz w:val="32"/>
          <w:szCs w:val="32"/>
        </w:rPr>
        <w:t>2020年，累计审核预算单位工资分解计划2万</w:t>
      </w:r>
      <w:r>
        <w:rPr>
          <w:rFonts w:hint="default" w:ascii="Times New Roman" w:hAnsi="Times New Roman" w:eastAsia="仿宋_GB2312" w:cs="Times New Roman"/>
          <w:color w:val="000000"/>
          <w:sz w:val="32"/>
          <w:szCs w:val="32"/>
          <w:lang w:eastAsia="zh-CN"/>
        </w:rPr>
        <w:t>余</w:t>
      </w:r>
      <w:r>
        <w:rPr>
          <w:rFonts w:hint="default" w:ascii="Times New Roman" w:hAnsi="Times New Roman" w:eastAsia="仿宋_GB2312" w:cs="Times New Roman"/>
          <w:color w:val="000000"/>
          <w:sz w:val="32"/>
          <w:szCs w:val="32"/>
        </w:rPr>
        <w:t>笔，</w:t>
      </w:r>
      <w:r>
        <w:rPr>
          <w:rFonts w:hint="default" w:ascii="Times New Roman" w:hAnsi="Times New Roman" w:eastAsia="仿宋_GB2312" w:cs="Times New Roman"/>
          <w:color w:val="000000"/>
          <w:sz w:val="32"/>
          <w:szCs w:val="32"/>
          <w:lang w:eastAsia="zh-CN"/>
        </w:rPr>
        <w:t>办理省级预算单位工资直接发放</w:t>
      </w:r>
      <w:r>
        <w:rPr>
          <w:rFonts w:hint="default" w:ascii="Times New Roman" w:hAnsi="Times New Roman" w:eastAsia="仿宋_GB2312" w:cs="Times New Roman"/>
          <w:color w:val="000000"/>
          <w:sz w:val="32"/>
          <w:szCs w:val="32"/>
        </w:rPr>
        <w:t>68万</w:t>
      </w:r>
      <w:r>
        <w:rPr>
          <w:rFonts w:hint="default" w:ascii="Times New Roman" w:hAnsi="Times New Roman" w:eastAsia="仿宋_GB2312" w:cs="Times New Roman"/>
          <w:color w:val="000000"/>
          <w:sz w:val="32"/>
          <w:szCs w:val="32"/>
          <w:lang w:eastAsia="zh-CN"/>
        </w:rPr>
        <w:t>余</w:t>
      </w:r>
      <w:r>
        <w:rPr>
          <w:rFonts w:hint="default" w:ascii="Times New Roman" w:hAnsi="Times New Roman" w:eastAsia="仿宋_GB2312" w:cs="Times New Roman"/>
          <w:color w:val="000000"/>
          <w:sz w:val="32"/>
          <w:szCs w:val="32"/>
        </w:rPr>
        <w:t>人次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lang w:eastAsia="zh-CN"/>
        </w:rPr>
        <w:t>三是执行应急资金拨付机制</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val="0"/>
          <w:bCs w:val="0"/>
          <w:color w:val="000000"/>
          <w:sz w:val="32"/>
          <w:szCs w:val="32"/>
          <w:lang w:eastAsia="zh-CN"/>
        </w:rPr>
        <w:t>严格落实节假日应急资金支付值班值守制度，畅通与人民银行、代理银行资金拨付应急通道，确保</w:t>
      </w:r>
      <w:r>
        <w:rPr>
          <w:rFonts w:hint="default" w:ascii="Times New Roman" w:hAnsi="Times New Roman" w:eastAsia="仿宋_GB2312" w:cs="Times New Roman"/>
          <w:b w:val="0"/>
          <w:bCs w:val="0"/>
          <w:color w:val="000000"/>
          <w:sz w:val="32"/>
          <w:szCs w:val="32"/>
          <w:lang w:val="en-US" w:eastAsia="zh-CN"/>
        </w:rPr>
        <w:t>疫情防控、自然灾害救助等</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eastAsia="zh-CN"/>
        </w:rPr>
        <w:t>资金第一时间拨付到位</w:t>
      </w:r>
      <w:r>
        <w:rPr>
          <w:rFonts w:hint="default" w:ascii="Times New Roman" w:hAnsi="Times New Roman" w:eastAsia="仿宋_GB2312" w:cs="Times New Roman"/>
          <w:color w:val="000000"/>
          <w:sz w:val="32"/>
          <w:szCs w:val="32"/>
        </w:rPr>
        <w:t>。</w:t>
      </w:r>
    </w:p>
    <w:p>
      <w:pPr>
        <w:pStyle w:val="15"/>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二</w:t>
      </w:r>
      <w:r>
        <w:rPr>
          <w:rFonts w:hint="default" w:ascii="Times New Roman" w:hAnsi="Times New Roman" w:eastAsia="楷体_GB2312" w:cs="Times New Roman"/>
          <w:b/>
          <w:bCs/>
          <w:color w:val="000000"/>
          <w:sz w:val="32"/>
          <w:szCs w:val="32"/>
        </w:rPr>
        <w:t>）全面</w:t>
      </w:r>
      <w:r>
        <w:rPr>
          <w:rFonts w:hint="default" w:ascii="Times New Roman" w:hAnsi="Times New Roman" w:eastAsia="楷体_GB2312" w:cs="Times New Roman"/>
          <w:b/>
          <w:bCs/>
          <w:color w:val="000000"/>
          <w:sz w:val="32"/>
          <w:szCs w:val="32"/>
          <w:lang w:eastAsia="zh-CN"/>
        </w:rPr>
        <w:t>深化</w:t>
      </w:r>
      <w:r>
        <w:rPr>
          <w:rFonts w:hint="default" w:ascii="Times New Roman" w:hAnsi="Times New Roman" w:eastAsia="楷体_GB2312" w:cs="Times New Roman"/>
          <w:b/>
          <w:bCs/>
          <w:color w:val="000000"/>
          <w:sz w:val="32"/>
          <w:szCs w:val="32"/>
        </w:rPr>
        <w:t>全省支付电子化改革</w:t>
      </w: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制定</w:t>
      </w:r>
      <w:r>
        <w:rPr>
          <w:rFonts w:hint="default" w:ascii="Times New Roman" w:hAnsi="Times New Roman" w:eastAsia="仿宋_GB2312" w:cs="Times New Roman"/>
          <w:color w:val="000000"/>
          <w:sz w:val="32"/>
          <w:szCs w:val="32"/>
        </w:rPr>
        <w:t>印发财政国库集中支付电子化改革实施方案，</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明确工作目标</w:t>
      </w:r>
      <w:r>
        <w:rPr>
          <w:rFonts w:hint="default" w:ascii="Times New Roman" w:hAnsi="Times New Roman" w:eastAsia="仿宋_GB2312" w:cs="Times New Roman"/>
          <w:sz w:val="32"/>
          <w:szCs w:val="32"/>
          <w:lang w:eastAsia="zh-CN"/>
        </w:rPr>
        <w:t>任务</w:t>
      </w:r>
      <w:r>
        <w:rPr>
          <w:rFonts w:hint="default" w:ascii="Times New Roman" w:hAnsi="Times New Roman" w:eastAsia="仿宋_GB2312" w:cs="Times New Roman"/>
          <w:color w:val="000000"/>
          <w:sz w:val="32"/>
          <w:szCs w:val="32"/>
        </w:rPr>
        <w:t>。研究修订省级支付电子化管理制度办法，持续做好预算单位电子化上线指导，</w:t>
      </w:r>
      <w:r>
        <w:rPr>
          <w:rFonts w:hint="default" w:ascii="Times New Roman" w:hAnsi="Times New Roman" w:eastAsia="仿宋_GB2312" w:cs="Times New Roman"/>
          <w:color w:val="000000"/>
          <w:sz w:val="32"/>
          <w:szCs w:val="32"/>
          <w:lang w:eastAsia="zh-CN"/>
        </w:rPr>
        <w:t>确保</w:t>
      </w:r>
      <w:r>
        <w:rPr>
          <w:rFonts w:hint="default" w:ascii="Times New Roman" w:hAnsi="Times New Roman" w:eastAsia="仿宋_GB2312" w:cs="Times New Roman"/>
          <w:color w:val="000000"/>
          <w:sz w:val="32"/>
          <w:szCs w:val="32"/>
        </w:rPr>
        <w:t>支付电子化</w:t>
      </w:r>
      <w:r>
        <w:rPr>
          <w:rFonts w:hint="default" w:ascii="Times New Roman" w:hAnsi="Times New Roman" w:eastAsia="仿宋_GB2312" w:cs="Times New Roman"/>
          <w:color w:val="000000"/>
          <w:sz w:val="32"/>
          <w:szCs w:val="32"/>
          <w:lang w:eastAsia="zh-CN"/>
        </w:rPr>
        <w:t>工作有序推进</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省级国库集中支付代理银行完成电子化改造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rPr>
        <w:t>预算单位采用支付电子化方式办理了资金支付业务</w:t>
      </w:r>
      <w:r>
        <w:rPr>
          <w:rFonts w:hint="default" w:ascii="Times New Roman" w:hAnsi="Times New Roman" w:eastAsia="仿宋_GB2312" w:cs="Times New Roman"/>
          <w:sz w:val="32"/>
          <w:szCs w:val="32"/>
          <w:lang w:eastAsia="zh-CN"/>
        </w:rPr>
        <w:t>，有效利用电子化手段提升财政资金支付效益</w:t>
      </w:r>
      <w:r>
        <w:rPr>
          <w:rFonts w:hint="default" w:ascii="Times New Roman" w:hAnsi="Times New Roman" w:eastAsia="仿宋_GB2312" w:cs="Times New Roman"/>
          <w:sz w:val="32"/>
          <w:szCs w:val="32"/>
          <w:highlight w:val="none"/>
        </w:rPr>
        <w:t>。</w:t>
      </w:r>
    </w:p>
    <w:p>
      <w:pPr>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eastAsia="zh-CN"/>
        </w:rPr>
        <w:t>（三）严格</w:t>
      </w:r>
      <w:r>
        <w:rPr>
          <w:rFonts w:hint="default" w:ascii="Times New Roman" w:hAnsi="Times New Roman" w:eastAsia="楷体_GB2312" w:cs="Times New Roman"/>
          <w:b/>
          <w:sz w:val="32"/>
          <w:szCs w:val="32"/>
        </w:rPr>
        <w:t>省级预算单位账户管理。</w:t>
      </w:r>
      <w:r>
        <w:rPr>
          <w:rFonts w:hint="default" w:ascii="Times New Roman" w:hAnsi="Times New Roman" w:eastAsia="仿宋_GB2312" w:cs="Times New Roman"/>
          <w:b w:val="0"/>
          <w:bCs/>
          <w:sz w:val="32"/>
          <w:szCs w:val="32"/>
        </w:rPr>
        <w:t>依规开展省级预算单位银行账户日常核准、备案管理工作，</w:t>
      </w:r>
      <w:r>
        <w:rPr>
          <w:rFonts w:hint="default" w:ascii="Times New Roman" w:hAnsi="Times New Roman" w:eastAsia="仿宋_GB2312" w:cs="Times New Roman"/>
          <w:sz w:val="32"/>
          <w:szCs w:val="32"/>
          <w:lang w:eastAsia="zh-CN"/>
        </w:rPr>
        <w:t>从严</w:t>
      </w:r>
      <w:r>
        <w:rPr>
          <w:rFonts w:hint="default" w:ascii="Times New Roman" w:hAnsi="Times New Roman" w:eastAsia="仿宋_GB2312" w:cs="Times New Roman"/>
          <w:sz w:val="32"/>
          <w:szCs w:val="32"/>
        </w:rPr>
        <w:t>审批</w:t>
      </w:r>
      <w:r>
        <w:rPr>
          <w:rFonts w:hint="default" w:ascii="Times New Roman" w:hAnsi="Times New Roman" w:eastAsia="仿宋_GB2312" w:cs="Times New Roman"/>
          <w:sz w:val="32"/>
          <w:szCs w:val="32"/>
          <w:lang w:eastAsia="zh-CN"/>
        </w:rPr>
        <w:t>预算单位开立</w:t>
      </w:r>
      <w:r>
        <w:rPr>
          <w:rFonts w:hint="default" w:ascii="Times New Roman" w:hAnsi="Times New Roman" w:eastAsia="仿宋_GB2312" w:cs="Times New Roman"/>
          <w:sz w:val="32"/>
          <w:szCs w:val="32"/>
        </w:rPr>
        <w:t>银行账户</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建立预算单位银行账户常态化清查机制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省级预算单位及时对失效账户进行清理</w:t>
      </w:r>
      <w:r>
        <w:rPr>
          <w:rFonts w:hint="default" w:ascii="Times New Roman" w:hAnsi="Times New Roman" w:eastAsia="仿宋_GB2312" w:cs="Times New Roman"/>
          <w:sz w:val="32"/>
          <w:szCs w:val="32"/>
          <w:lang w:eastAsia="zh-CN"/>
        </w:rPr>
        <w:t>，进一步加强省级预算单位银行账户管理</w:t>
      </w:r>
      <w:r>
        <w:rPr>
          <w:rFonts w:hint="default" w:ascii="Times New Roman" w:hAnsi="Times New Roman" w:eastAsia="仿宋_GB2312" w:cs="Times New Roman"/>
          <w:sz w:val="32"/>
          <w:szCs w:val="32"/>
        </w:rPr>
        <w:t>。</w:t>
      </w:r>
    </w:p>
    <w:p>
      <w:pPr>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19" w:firstLineChars="200"/>
        <w:textAlignment w:val="auto"/>
        <w:outlineLvl w:val="0"/>
        <w:rPr>
          <w:rFonts w:hint="default" w:ascii="Times New Roman" w:hAnsi="Times New Roman" w:eastAsia="仿宋_GB2312" w:cs="Times New Roman"/>
          <w:b w:val="0"/>
          <w:bCs/>
          <w:color w:val="auto"/>
          <w:sz w:val="32"/>
          <w:szCs w:val="32"/>
          <w:highlight w:val="none"/>
          <w:lang w:val="zh-CN"/>
        </w:rPr>
      </w:pPr>
      <w:r>
        <w:rPr>
          <w:rFonts w:hint="default" w:ascii="Times New Roman" w:hAnsi="Times New Roman" w:eastAsia="楷体_GB2312" w:cs="Times New Roman"/>
          <w:b/>
          <w:bCs/>
          <w:spacing w:val="-6"/>
          <w:sz w:val="32"/>
          <w:szCs w:val="32"/>
          <w:lang w:eastAsia="zh-CN"/>
        </w:rPr>
        <w:t>（四）做好</w:t>
      </w:r>
      <w:r>
        <w:rPr>
          <w:rFonts w:hint="default" w:ascii="Times New Roman" w:hAnsi="Times New Roman" w:eastAsia="楷体_GB2312" w:cs="Times New Roman"/>
          <w:b/>
          <w:bCs w:val="0"/>
          <w:color w:val="auto"/>
          <w:sz w:val="32"/>
          <w:szCs w:val="32"/>
          <w:highlight w:val="none"/>
        </w:rPr>
        <w:t>省级部门决算工作。</w:t>
      </w:r>
      <w:r>
        <w:rPr>
          <w:rFonts w:hint="default" w:ascii="Times New Roman" w:hAnsi="Times New Roman" w:eastAsia="仿宋_GB2312" w:cs="Times New Roman"/>
          <w:b w:val="0"/>
          <w:bCs/>
          <w:color w:val="auto"/>
          <w:sz w:val="32"/>
          <w:szCs w:val="32"/>
          <w:highlight w:val="none"/>
          <w:lang w:eastAsia="zh-CN"/>
        </w:rPr>
        <w:t>按照财政部统一部署，组织省级部门单位完成部门决算编制。会同相关部门强化部门决算审核，提高决</w:t>
      </w:r>
      <w:r>
        <w:rPr>
          <w:rFonts w:hint="default" w:ascii="Times New Roman" w:hAnsi="Times New Roman" w:eastAsia="仿宋_GB2312" w:cs="Times New Roman"/>
          <w:b w:val="0"/>
          <w:bCs/>
          <w:color w:val="auto"/>
          <w:sz w:val="32"/>
          <w:szCs w:val="32"/>
          <w:highlight w:val="none"/>
        </w:rPr>
        <w:t>算数据质量</w:t>
      </w:r>
      <w:r>
        <w:rPr>
          <w:rFonts w:hint="default" w:ascii="Times New Roman" w:hAnsi="Times New Roman" w:eastAsia="仿宋_GB2312" w:cs="Times New Roman"/>
          <w:b w:val="0"/>
          <w:bCs/>
          <w:color w:val="auto"/>
          <w:sz w:val="32"/>
          <w:szCs w:val="32"/>
          <w:highlight w:val="none"/>
          <w:lang w:eastAsia="zh-CN"/>
        </w:rPr>
        <w:t>，按时向财政部报送省级部门决算。严格按照《预算法》和《四川省预决算公开操作规程》等相关要求，按时组织批复省级部门决算，组织省级部门依法依规完成部门决算公开工作</w:t>
      </w:r>
      <w:r>
        <w:rPr>
          <w:rFonts w:hint="default" w:ascii="Times New Roman" w:hAnsi="Times New Roman" w:eastAsia="仿宋_GB2312" w:cs="Times New Roman"/>
          <w:b w:val="0"/>
          <w:bCs/>
          <w:color w:val="auto"/>
          <w:sz w:val="32"/>
          <w:szCs w:val="32"/>
          <w:highlight w:val="none"/>
          <w:lang w:val="zh-CN"/>
        </w:rPr>
        <w:t>。</w:t>
      </w:r>
    </w:p>
    <w:p>
      <w:pPr>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outlineLvl w:val="0"/>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楷体_GB2312" w:cs="Times New Roman"/>
          <w:b/>
          <w:bCs w:val="0"/>
          <w:color w:val="auto"/>
          <w:sz w:val="32"/>
          <w:szCs w:val="32"/>
          <w:highlight w:val="none"/>
          <w:lang w:val="zh-CN"/>
        </w:rPr>
        <w:t>（五）做好省级财政</w:t>
      </w:r>
      <w:r>
        <w:rPr>
          <w:rFonts w:hint="default" w:ascii="Times New Roman" w:hAnsi="Times New Roman" w:eastAsia="楷体_GB2312" w:cs="Times New Roman"/>
          <w:b/>
          <w:bCs w:val="0"/>
          <w:color w:val="auto"/>
          <w:sz w:val="32"/>
          <w:szCs w:val="32"/>
          <w:highlight w:val="none"/>
        </w:rPr>
        <w:t>总</w:t>
      </w:r>
      <w:r>
        <w:rPr>
          <w:rFonts w:hint="default" w:ascii="Times New Roman" w:hAnsi="Times New Roman" w:eastAsia="楷体_GB2312" w:cs="Times New Roman"/>
          <w:b/>
          <w:bCs w:val="0"/>
          <w:color w:val="auto"/>
          <w:sz w:val="32"/>
          <w:szCs w:val="32"/>
          <w:highlight w:val="none"/>
          <w:lang w:eastAsia="zh-CN"/>
        </w:rPr>
        <w:t>预算</w:t>
      </w:r>
      <w:r>
        <w:rPr>
          <w:rFonts w:hint="default" w:ascii="Times New Roman" w:hAnsi="Times New Roman" w:eastAsia="楷体_GB2312" w:cs="Times New Roman"/>
          <w:b/>
          <w:bCs w:val="0"/>
          <w:color w:val="auto"/>
          <w:sz w:val="32"/>
          <w:szCs w:val="32"/>
          <w:highlight w:val="none"/>
        </w:rPr>
        <w:t>会计核算</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严格执行《财政总预算会计制度》，做好省级财政总预算会计核算工作，按时编制省级财政总预算会计收支报表，确保账表相符、账账相符、账实相符。</w:t>
      </w:r>
    </w:p>
    <w:p>
      <w:pPr>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三、机构设置情况</w:t>
      </w:r>
    </w:p>
    <w:p>
      <w:pPr>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pPr>
      <w:r>
        <w:rPr>
          <w:rFonts w:hint="eastAsia" w:ascii="Times New Roman" w:hAnsi="Times New Roman" w:eastAsia="仿宋_GB2312" w:cs="Times New Roman"/>
          <w:b w:val="0"/>
          <w:bCs w:val="0"/>
          <w:i w:val="0"/>
          <w:iCs w:val="0"/>
          <w:color w:val="000000"/>
          <w:kern w:val="2"/>
          <w:sz w:val="32"/>
          <w:szCs w:val="32"/>
          <w:highlight w:val="none"/>
          <w:vertAlign w:val="baseline"/>
          <w:lang w:val="en-US" w:eastAsia="zh-CN" w:bidi="ar-SA"/>
        </w:rPr>
        <w:t>本单位是隶属于四川省财政厅的二级预算单位，本单位无下属单位</w:t>
      </w:r>
      <w:r>
        <w:rPr>
          <w:rFonts w:hint="eastAsia" w:eastAsia="仿宋_GB2312" w:cs="Times New Roman"/>
          <w:b w:val="0"/>
          <w:bCs w:val="0"/>
          <w:i w:val="0"/>
          <w:iCs w:val="0"/>
          <w:color w:val="000000"/>
          <w:kern w:val="2"/>
          <w:sz w:val="32"/>
          <w:szCs w:val="32"/>
          <w:highlight w:val="none"/>
          <w:vertAlign w:val="baseline"/>
          <w:lang w:val="en-US" w:eastAsia="zh-CN" w:bidi="ar-SA"/>
        </w:rPr>
        <w:t>。</w:t>
      </w:r>
    </w:p>
    <w:p>
      <w:pPr>
        <w:pageBreakBefore w:val="0"/>
        <w:widowControl w:val="0"/>
        <w:pBdr>
          <w:bottom w:val="single" w:color="FFFFFF" w:sz="4" w:space="31"/>
        </w:pBdr>
        <w:kinsoku/>
        <w:wordWrap/>
        <w:overflowPunct/>
        <w:topLinePunct w:val="0"/>
        <w:autoSpaceDE/>
        <w:autoSpaceDN/>
        <w:bidi w:val="0"/>
        <w:adjustRightInd w:val="0"/>
        <w:snapToGrid w:val="0"/>
        <w:spacing w:line="550" w:lineRule="exact"/>
        <w:ind w:firstLine="420" w:firstLineChars="200"/>
        <w:textAlignment w:val="auto"/>
        <w:outlineLvl w:val="0"/>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spacing w:line="560" w:lineRule="exact"/>
        <w:ind w:right="440"/>
        <w:jc w:val="center"/>
        <w:rPr>
          <w:rFonts w:hint="default" w:ascii="Times New Roman" w:hAnsi="Times New Roman" w:cs="Times New Roman"/>
        </w:rPr>
      </w:pPr>
      <w:r>
        <w:rPr>
          <w:rFonts w:hint="default" w:ascii="Times New Roman" w:hAnsi="Times New Roman" w:eastAsia="黑体" w:cs="Times New Roman"/>
          <w:b w:val="0"/>
          <w:lang w:val="en-US" w:eastAsia="zh-CN"/>
        </w:rPr>
        <w:t xml:space="preserve">   </w:t>
      </w:r>
      <w:r>
        <w:rPr>
          <w:rFonts w:hint="default" w:ascii="Times New Roman" w:hAnsi="Times New Roman" w:eastAsia="黑体" w:cs="Times New Roman"/>
          <w:b w:val="0"/>
        </w:rPr>
        <w:t>第二部分</w:t>
      </w:r>
      <w:r>
        <w:rPr>
          <w:rFonts w:hint="default" w:ascii="Times New Roman" w:hAnsi="Times New Roman" w:eastAsia="黑体" w:cs="Times New Roman"/>
          <w:b w:val="0"/>
          <w:lang w:val="en-US" w:eastAsia="zh-CN"/>
        </w:rPr>
        <w:t xml:space="preserve"> </w:t>
      </w:r>
      <w:r>
        <w:rPr>
          <w:rFonts w:hint="default" w:ascii="Times New Roman" w:hAnsi="Times New Roman" w:eastAsia="黑体" w:cs="Times New Roman"/>
          <w:b w:val="0"/>
        </w:rPr>
        <w:t xml:space="preserve"> 2020年度</w:t>
      </w:r>
      <w:r>
        <w:rPr>
          <w:rStyle w:val="28"/>
          <w:rFonts w:hint="eastAsia" w:eastAsia="黑体" w:cs="Times New Roman"/>
          <w:b w:val="0"/>
          <w:bCs/>
          <w:lang w:eastAsia="zh-CN"/>
        </w:rPr>
        <w:t>单位</w:t>
      </w:r>
      <w:r>
        <w:rPr>
          <w:rStyle w:val="28"/>
          <w:rFonts w:hint="default" w:ascii="Times New Roman" w:hAnsi="Times New Roman" w:eastAsia="黑体" w:cs="Times New Roman"/>
          <w:b w:val="0"/>
          <w:bCs/>
        </w:rPr>
        <w:t>决算情况说明</w:t>
      </w:r>
      <w:bookmarkEnd w:id="14"/>
      <w:bookmarkEnd w:id="15"/>
    </w:p>
    <w:p>
      <w:pPr>
        <w:pStyle w:val="27"/>
        <w:numPr>
          <w:ilvl w:val="0"/>
          <w:numId w:val="1"/>
        </w:numPr>
        <w:spacing w:line="560" w:lineRule="exact"/>
        <w:ind w:firstLineChars="0"/>
        <w:outlineLvl w:val="1"/>
        <w:rPr>
          <w:rStyle w:val="29"/>
          <w:rFonts w:hint="default" w:ascii="Times New Roman" w:hAnsi="Times New Roman" w:eastAsia="黑体" w:cs="Times New Roman"/>
          <w:b w:val="0"/>
          <w:color w:val="auto"/>
        </w:rPr>
      </w:pPr>
      <w:bookmarkStart w:id="18" w:name="_Toc15377205"/>
      <w:bookmarkStart w:id="19" w:name="_Toc15396603"/>
      <w:r>
        <w:rPr>
          <w:rFonts w:hint="default" w:ascii="Times New Roman" w:hAnsi="Times New Roman" w:eastAsia="黑体" w:cs="Times New Roman"/>
          <w:color w:val="auto"/>
          <w:sz w:val="32"/>
          <w:szCs w:val="32"/>
        </w:rPr>
        <w:t>收</w:t>
      </w:r>
      <w:r>
        <w:rPr>
          <w:rStyle w:val="29"/>
          <w:rFonts w:hint="default" w:ascii="Times New Roman" w:hAnsi="Times New Roman" w:eastAsia="黑体" w:cs="Times New Roman"/>
          <w:b w:val="0"/>
          <w:color w:val="auto"/>
        </w:rPr>
        <w:t>入支出决算总体情况说明</w:t>
      </w:r>
      <w:bookmarkEnd w:id="18"/>
      <w:bookmarkEnd w:id="19"/>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 w:cs="Times New Roman"/>
          <w:color w:val="auto"/>
          <w:sz w:val="32"/>
          <w:szCs w:val="32"/>
        </w:rPr>
        <w:t>2020年度收、支总计452.78万元。与2019年相比，收、支总计各减少55.23万元，下降10.87%。主要变动原因是人员减少。</w:t>
      </w:r>
    </w:p>
    <w:p>
      <w:pPr>
        <w:pStyle w:val="6"/>
        <w:spacing w:before="93" w:line="560" w:lineRule="exact"/>
        <w:rPr>
          <w:rFonts w:hint="default" w:ascii="Times New Roman" w:hAnsi="Times New Roman" w:cs="Times New Roman"/>
        </w:rPr>
      </w:pPr>
      <w:r>
        <w:rPr>
          <w:rFonts w:hint="default" w:ascii="Times New Roman" w:hAnsi="Times New Roman" w:eastAsia="仿宋" w:cs="Times New Roman"/>
          <w:color w:val="000000" w:themeColor="text1"/>
          <w:sz w:val="32"/>
          <w:szCs w:val="32"/>
        </w:rPr>
        <w:drawing>
          <wp:anchor distT="0" distB="0" distL="114300" distR="114300" simplePos="0" relativeHeight="251667456" behindDoc="0" locked="0" layoutInCell="1" allowOverlap="1">
            <wp:simplePos x="0" y="0"/>
            <wp:positionH relativeFrom="column">
              <wp:posOffset>459105</wp:posOffset>
            </wp:positionH>
            <wp:positionV relativeFrom="paragraph">
              <wp:posOffset>45085</wp:posOffset>
            </wp:positionV>
            <wp:extent cx="4667250" cy="2703195"/>
            <wp:effectExtent l="4445" t="5080" r="14605" b="15875"/>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7"/>
        <w:numPr>
          <w:ilvl w:val="0"/>
          <w:numId w:val="1"/>
        </w:numPr>
        <w:spacing w:line="560" w:lineRule="exact"/>
        <w:ind w:firstLineChars="0"/>
        <w:outlineLvl w:val="1"/>
        <w:rPr>
          <w:rStyle w:val="29"/>
          <w:rFonts w:hint="default" w:ascii="Times New Roman" w:hAnsi="Times New Roman" w:eastAsia="黑体" w:cs="Times New Roman"/>
          <w:b w:val="0"/>
        </w:rPr>
      </w:pPr>
      <w:bookmarkStart w:id="20" w:name="_Toc15396604"/>
      <w:bookmarkStart w:id="21" w:name="_Toc15377206"/>
      <w:r>
        <w:rPr>
          <w:rFonts w:hint="default" w:ascii="Times New Roman" w:hAnsi="Times New Roman" w:eastAsia="黑体" w:cs="Times New Roman"/>
          <w:color w:val="000000"/>
          <w:sz w:val="32"/>
          <w:szCs w:val="32"/>
        </w:rPr>
        <w:t>收</w:t>
      </w:r>
      <w:r>
        <w:rPr>
          <w:rStyle w:val="29"/>
          <w:rFonts w:hint="default" w:ascii="Times New Roman" w:hAnsi="Times New Roman" w:eastAsia="黑体" w:cs="Times New Roman"/>
          <w:b w:val="0"/>
        </w:rPr>
        <w:t>入决算情况说明</w:t>
      </w:r>
      <w:bookmarkEnd w:id="20"/>
      <w:bookmarkEnd w:id="21"/>
    </w:p>
    <w:p>
      <w:pPr>
        <w:spacing w:line="56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2020年本年收入合计452.78万元，其中：一般公共预算财政拨款收入452.78万元，占100%。</w:t>
      </w:r>
    </w:p>
    <w:p>
      <w:pPr>
        <w:pStyle w:val="27"/>
        <w:numPr>
          <w:ilvl w:val="0"/>
          <w:numId w:val="0"/>
        </w:numPr>
        <w:spacing w:line="560" w:lineRule="exact"/>
        <w:outlineLvl w:val="1"/>
        <w:rPr>
          <w:rFonts w:hint="default" w:ascii="Times New Roman" w:hAnsi="Times New Roman" w:eastAsia="黑体" w:cs="Times New Roman"/>
          <w:color w:val="auto"/>
          <w:sz w:val="32"/>
          <w:szCs w:val="32"/>
          <w:lang w:eastAsia="zh-CN"/>
        </w:rPr>
      </w:pPr>
      <w:bookmarkStart w:id="22" w:name="_Toc15396605"/>
      <w:bookmarkStart w:id="23" w:name="_Toc15377207"/>
      <w:r>
        <w:rPr>
          <w:rFonts w:hint="default" w:ascii="Times New Roman" w:hAnsi="Times New Roman" w:cs="Times New Roman"/>
        </w:rPr>
        <w:drawing>
          <wp:anchor distT="0" distB="0" distL="114300" distR="114300" simplePos="0" relativeHeight="251658240" behindDoc="1" locked="0" layoutInCell="1" allowOverlap="1">
            <wp:simplePos x="0" y="0"/>
            <wp:positionH relativeFrom="column">
              <wp:posOffset>490220</wp:posOffset>
            </wp:positionH>
            <wp:positionV relativeFrom="paragraph">
              <wp:posOffset>65405</wp:posOffset>
            </wp:positionV>
            <wp:extent cx="4572000" cy="2418080"/>
            <wp:effectExtent l="4445" t="4445" r="14605" b="1587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7"/>
        <w:numPr>
          <w:ilvl w:val="0"/>
          <w:numId w:val="0"/>
        </w:numPr>
        <w:spacing w:line="560" w:lineRule="exact"/>
        <w:ind w:firstLine="960" w:firstLineChars="300"/>
        <w:outlineLvl w:val="1"/>
        <w:rPr>
          <w:rFonts w:hint="default" w:ascii="Times New Roman" w:hAnsi="Times New Roman" w:eastAsia="黑体" w:cs="Times New Roman"/>
          <w:color w:val="auto"/>
          <w:sz w:val="32"/>
          <w:szCs w:val="32"/>
          <w:lang w:eastAsia="zh-CN"/>
        </w:rPr>
      </w:pPr>
    </w:p>
    <w:p>
      <w:pPr>
        <w:pStyle w:val="27"/>
        <w:numPr>
          <w:ilvl w:val="0"/>
          <w:numId w:val="0"/>
        </w:numPr>
        <w:spacing w:line="560" w:lineRule="exact"/>
        <w:ind w:firstLine="960" w:firstLineChars="300"/>
        <w:outlineLvl w:val="1"/>
        <w:rPr>
          <w:rFonts w:hint="default" w:ascii="Times New Roman" w:hAnsi="Times New Roman" w:eastAsia="黑体" w:cs="Times New Roman"/>
          <w:color w:val="auto"/>
          <w:sz w:val="32"/>
          <w:szCs w:val="32"/>
          <w:lang w:eastAsia="zh-CN"/>
        </w:rPr>
      </w:pPr>
    </w:p>
    <w:p>
      <w:pPr>
        <w:pStyle w:val="27"/>
        <w:numPr>
          <w:ilvl w:val="0"/>
          <w:numId w:val="0"/>
        </w:numPr>
        <w:spacing w:line="560" w:lineRule="exact"/>
        <w:outlineLvl w:val="1"/>
        <w:rPr>
          <w:rFonts w:hint="default" w:ascii="Times New Roman" w:hAnsi="Times New Roman" w:eastAsia="黑体" w:cs="Times New Roman"/>
          <w:color w:val="auto"/>
          <w:sz w:val="32"/>
          <w:szCs w:val="32"/>
          <w:lang w:eastAsia="zh-CN"/>
        </w:rPr>
      </w:pPr>
    </w:p>
    <w:p>
      <w:pPr>
        <w:pStyle w:val="27"/>
        <w:numPr>
          <w:ilvl w:val="0"/>
          <w:numId w:val="0"/>
        </w:numPr>
        <w:spacing w:line="560" w:lineRule="exact"/>
        <w:ind w:firstLine="960" w:firstLineChars="300"/>
        <w:outlineLvl w:val="1"/>
        <w:rPr>
          <w:rFonts w:hint="default" w:ascii="Times New Roman" w:hAnsi="Times New Roman" w:eastAsia="黑体" w:cs="Times New Roman"/>
          <w:color w:val="auto"/>
          <w:sz w:val="32"/>
          <w:szCs w:val="32"/>
          <w:lang w:eastAsia="zh-CN"/>
        </w:rPr>
      </w:pPr>
    </w:p>
    <w:p>
      <w:pPr>
        <w:pStyle w:val="27"/>
        <w:numPr>
          <w:ilvl w:val="0"/>
          <w:numId w:val="0"/>
        </w:numPr>
        <w:spacing w:line="560" w:lineRule="exact"/>
        <w:ind w:firstLine="960" w:firstLineChars="300"/>
        <w:outlineLvl w:val="1"/>
        <w:rPr>
          <w:rFonts w:hint="default" w:ascii="Times New Roman" w:hAnsi="Times New Roman" w:eastAsia="黑体" w:cs="Times New Roman"/>
          <w:color w:val="auto"/>
          <w:sz w:val="32"/>
          <w:szCs w:val="32"/>
          <w:lang w:eastAsia="zh-CN"/>
        </w:rPr>
      </w:pPr>
    </w:p>
    <w:p>
      <w:pPr>
        <w:pStyle w:val="27"/>
        <w:numPr>
          <w:ilvl w:val="0"/>
          <w:numId w:val="0"/>
        </w:numPr>
        <w:spacing w:line="560" w:lineRule="exact"/>
        <w:outlineLvl w:val="1"/>
        <w:rPr>
          <w:rFonts w:hint="default" w:ascii="Times New Roman" w:hAnsi="Times New Roman" w:eastAsia="黑体" w:cs="Times New Roman"/>
          <w:color w:val="auto"/>
          <w:sz w:val="32"/>
          <w:szCs w:val="32"/>
          <w:lang w:eastAsia="zh-CN"/>
        </w:rPr>
      </w:pPr>
    </w:p>
    <w:p>
      <w:pPr>
        <w:pStyle w:val="27"/>
        <w:numPr>
          <w:ilvl w:val="0"/>
          <w:numId w:val="0"/>
        </w:numPr>
        <w:spacing w:line="560" w:lineRule="exact"/>
        <w:ind w:firstLine="640" w:firstLineChars="200"/>
        <w:outlineLvl w:val="1"/>
        <w:rPr>
          <w:rStyle w:val="29"/>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支</w:t>
      </w:r>
      <w:r>
        <w:rPr>
          <w:rStyle w:val="29"/>
          <w:rFonts w:hint="default" w:ascii="Times New Roman" w:hAnsi="Times New Roman" w:eastAsia="黑体" w:cs="Times New Roman"/>
          <w:b w:val="0"/>
          <w:color w:val="auto"/>
        </w:rPr>
        <w:t>出决算情况说明</w:t>
      </w:r>
      <w:bookmarkEnd w:id="22"/>
      <w:bookmarkEnd w:id="23"/>
    </w:p>
    <w:p>
      <w:pPr>
        <w:spacing w:line="560" w:lineRule="exact"/>
        <w:ind w:firstLine="640" w:firstLineChars="200"/>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w:t>2020年本年支出合计452.78万元，其中：基本支出437.80万元，占96.69%；项目支出14.98万元，占3.31%。</w:t>
      </w:r>
    </w:p>
    <w:p>
      <w:pPr>
        <w:spacing w:line="560" w:lineRule="exact"/>
        <w:ind w:firstLine="640"/>
        <w:rPr>
          <w:rFonts w:hint="default" w:ascii="Times New Roman" w:hAnsi="Times New Roman" w:eastAsia="仿宋" w:cs="Times New Roman"/>
          <w:color w:val="000000"/>
          <w:sz w:val="32"/>
          <w:szCs w:val="32"/>
          <w:shd w:val="pct10" w:color="auto" w:fill="FFFFFF"/>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582295</wp:posOffset>
            </wp:positionH>
            <wp:positionV relativeFrom="paragraph">
              <wp:posOffset>80645</wp:posOffset>
            </wp:positionV>
            <wp:extent cx="4572000" cy="2534285"/>
            <wp:effectExtent l="4445" t="4445" r="14605" b="1397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60" w:lineRule="exact"/>
        <w:ind w:firstLine="640" w:firstLineChars="200"/>
        <w:rPr>
          <w:rFonts w:hint="default" w:ascii="Times New Roman" w:hAnsi="Times New Roman" w:eastAsia="仿宋_GB2312" w:cs="Times New Roman"/>
          <w:color w:val="FF0000"/>
          <w:sz w:val="32"/>
          <w:szCs w:val="32"/>
        </w:rPr>
      </w:pPr>
    </w:p>
    <w:p>
      <w:pPr>
        <w:spacing w:line="560" w:lineRule="exact"/>
        <w:ind w:firstLine="640" w:firstLineChars="200"/>
        <w:outlineLvl w:val="1"/>
        <w:rPr>
          <w:rFonts w:hint="default" w:ascii="Times New Roman" w:hAnsi="Times New Roman" w:eastAsia="黑体" w:cs="Times New Roman"/>
          <w:color w:val="auto"/>
          <w:sz w:val="32"/>
          <w:szCs w:val="32"/>
        </w:rPr>
      </w:pPr>
      <w:bookmarkStart w:id="24" w:name="_Toc15396606"/>
      <w:bookmarkStart w:id="25" w:name="_Toc15377208"/>
    </w:p>
    <w:p>
      <w:pPr>
        <w:spacing w:line="560" w:lineRule="exact"/>
        <w:ind w:firstLine="640" w:firstLineChars="200"/>
        <w:outlineLvl w:val="1"/>
        <w:rPr>
          <w:rFonts w:hint="default" w:ascii="Times New Roman" w:hAnsi="Times New Roman" w:eastAsia="黑体" w:cs="Times New Roman"/>
          <w:color w:val="auto"/>
          <w:sz w:val="32"/>
          <w:szCs w:val="32"/>
        </w:rPr>
      </w:pPr>
    </w:p>
    <w:p>
      <w:pPr>
        <w:spacing w:line="560" w:lineRule="exact"/>
        <w:ind w:firstLine="640" w:firstLineChars="200"/>
        <w:outlineLvl w:val="1"/>
        <w:rPr>
          <w:rFonts w:hint="default" w:ascii="Times New Roman" w:hAnsi="Times New Roman" w:eastAsia="黑体" w:cs="Times New Roman"/>
          <w:color w:val="auto"/>
          <w:sz w:val="32"/>
          <w:szCs w:val="32"/>
        </w:rPr>
      </w:pPr>
    </w:p>
    <w:p>
      <w:pPr>
        <w:spacing w:line="560" w:lineRule="exact"/>
        <w:ind w:firstLine="640" w:firstLineChars="200"/>
        <w:outlineLvl w:val="1"/>
        <w:rPr>
          <w:rFonts w:hint="default" w:ascii="Times New Roman" w:hAnsi="Times New Roman" w:eastAsia="黑体" w:cs="Times New Roman"/>
          <w:color w:val="auto"/>
          <w:sz w:val="32"/>
          <w:szCs w:val="32"/>
        </w:rPr>
      </w:pPr>
    </w:p>
    <w:p>
      <w:pPr>
        <w:spacing w:line="560" w:lineRule="exact"/>
        <w:ind w:firstLine="640" w:firstLineChars="200"/>
        <w:outlineLvl w:val="1"/>
        <w:rPr>
          <w:rStyle w:val="29"/>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四、财</w:t>
      </w:r>
      <w:r>
        <w:rPr>
          <w:rStyle w:val="29"/>
          <w:rFonts w:hint="default" w:ascii="Times New Roman" w:hAnsi="Times New Roman" w:eastAsia="黑体" w:cs="Times New Roman"/>
          <w:b w:val="0"/>
          <w:color w:val="auto"/>
        </w:rPr>
        <w:t>政拨款收入支出决算总体情况说明</w:t>
      </w:r>
      <w:bookmarkEnd w:id="24"/>
      <w:bookmarkEnd w:id="25"/>
    </w:p>
    <w:p>
      <w:pPr>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auto"/>
          <w:sz w:val="32"/>
          <w:szCs w:val="32"/>
        </w:rPr>
        <w:t>2020年财政拨款收、支总计452.78万元。与2019年相比，财政拨款收、支总计各减少55.23万元，下降10.87%。主要变动原因</w:t>
      </w:r>
      <w:r>
        <w:rPr>
          <w:rFonts w:hint="default" w:ascii="Times New Roman" w:hAnsi="Times New Roman" w:eastAsia="仿宋" w:cs="Times New Roman"/>
          <w:color w:val="auto"/>
          <w:sz w:val="32"/>
          <w:szCs w:val="32"/>
          <w:lang w:eastAsia="zh-CN"/>
        </w:rPr>
        <w:t>是</w:t>
      </w:r>
      <w:r>
        <w:rPr>
          <w:rFonts w:hint="default" w:ascii="Times New Roman" w:hAnsi="Times New Roman" w:eastAsia="仿宋" w:cs="Times New Roman"/>
          <w:color w:val="auto"/>
          <w:sz w:val="32"/>
          <w:szCs w:val="32"/>
        </w:rPr>
        <w:t>人员减少。</w:t>
      </w:r>
    </w:p>
    <w:p>
      <w:pPr>
        <w:spacing w:line="560" w:lineRule="exact"/>
        <w:ind w:firstLine="640"/>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8480" behindDoc="0" locked="0" layoutInCell="1" allowOverlap="1">
            <wp:simplePos x="0" y="0"/>
            <wp:positionH relativeFrom="column">
              <wp:posOffset>573405</wp:posOffset>
            </wp:positionH>
            <wp:positionV relativeFrom="paragraph">
              <wp:posOffset>61595</wp:posOffset>
            </wp:positionV>
            <wp:extent cx="4572000" cy="2609215"/>
            <wp:effectExtent l="4445" t="4445" r="14605" b="1524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6"/>
        <w:spacing w:before="93"/>
        <w:rPr>
          <w:rFonts w:hint="default" w:ascii="Times New Roman" w:hAnsi="Times New Roman" w:cs="Times New Roman"/>
        </w:rPr>
      </w:pPr>
    </w:p>
    <w:p>
      <w:pPr>
        <w:pStyle w:val="6"/>
        <w:spacing w:before="93"/>
        <w:rPr>
          <w:rFonts w:hint="default" w:ascii="Times New Roman" w:hAnsi="Times New Roman" w:cs="Times New Roman"/>
        </w:rPr>
      </w:pPr>
    </w:p>
    <w:p>
      <w:pPr>
        <w:spacing w:line="560" w:lineRule="exact"/>
        <w:outlineLvl w:val="1"/>
        <w:rPr>
          <w:rFonts w:hint="default" w:ascii="Times New Roman" w:hAnsi="Times New Roman" w:eastAsia="黑体" w:cs="Times New Roman"/>
          <w:color w:val="0000FF"/>
          <w:sz w:val="32"/>
          <w:szCs w:val="32"/>
        </w:rPr>
      </w:pPr>
      <w:bookmarkStart w:id="26" w:name="_Toc15377209"/>
      <w:bookmarkStart w:id="27" w:name="_Toc1539660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Style w:val="29"/>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五、</w:t>
      </w:r>
      <w:r>
        <w:rPr>
          <w:rFonts w:hint="default" w:ascii="Times New Roman" w:hAnsi="Times New Roman" w:eastAsia="黑体" w:cs="Times New Roman"/>
          <w:b/>
          <w:color w:val="auto"/>
          <w:sz w:val="32"/>
          <w:szCs w:val="32"/>
        </w:rPr>
        <w:t>一</w:t>
      </w:r>
      <w:r>
        <w:rPr>
          <w:rStyle w:val="29"/>
          <w:rFonts w:hint="default" w:ascii="Times New Roman" w:hAnsi="Times New Roman" w:eastAsia="黑体" w:cs="Times New Roman"/>
          <w:b w:val="0"/>
          <w:color w:val="auto"/>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楷体_GB2312" w:cs="Times New Roman"/>
          <w:b/>
          <w:color w:val="auto"/>
          <w:sz w:val="32"/>
          <w:szCs w:val="32"/>
        </w:rPr>
      </w:pPr>
      <w:bookmarkStart w:id="28" w:name="_Toc15377210"/>
      <w:r>
        <w:rPr>
          <w:rFonts w:hint="default" w:ascii="Times New Roman" w:hAnsi="Times New Roman" w:eastAsia="楷体_GB2312" w:cs="Times New Roman"/>
          <w:b/>
          <w:color w:val="auto"/>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2020年一般公共预算财政拨款支出452.78万元，占本年支出合计的100%。与2019年相比，一般公共预算财政拨款减少55.23万元，下降10.87%。主要变动原因是人员减少。</w:t>
      </w:r>
    </w:p>
    <w:p>
      <w:pPr>
        <w:pStyle w:val="6"/>
        <w:spacing w:before="93" w:line="560" w:lineRule="exact"/>
        <w:rPr>
          <w:rFonts w:hint="default" w:ascii="Times New Roman" w:hAnsi="Times New Roman" w:cs="Times New Roman"/>
        </w:rPr>
      </w:pPr>
      <w:r>
        <w:drawing>
          <wp:anchor distT="0" distB="0" distL="114300" distR="114300" simplePos="0" relativeHeight="251669504" behindDoc="0" locked="0" layoutInCell="1" allowOverlap="1">
            <wp:simplePos x="0" y="0"/>
            <wp:positionH relativeFrom="column">
              <wp:posOffset>596265</wp:posOffset>
            </wp:positionH>
            <wp:positionV relativeFrom="paragraph">
              <wp:posOffset>84455</wp:posOffset>
            </wp:positionV>
            <wp:extent cx="4572000" cy="2052955"/>
            <wp:effectExtent l="4445" t="4445" r="14605" b="19050"/>
            <wp:wrapSquare wrapText="bothSides"/>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6"/>
        <w:spacing w:before="93" w:line="560" w:lineRule="exact"/>
        <w:rPr>
          <w:rFonts w:hint="default" w:ascii="Times New Roman" w:hAnsi="Times New Roman" w:eastAsia="仿宋" w:cs="Times New Roman"/>
          <w:b/>
          <w:bCs/>
          <w:color w:val="000000" w:themeColor="text1"/>
          <w:sz w:val="32"/>
          <w:szCs w:val="32"/>
        </w:rPr>
      </w:pPr>
    </w:p>
    <w:p>
      <w:pPr>
        <w:pStyle w:val="6"/>
        <w:spacing w:before="93" w:line="560" w:lineRule="exact"/>
        <w:rPr>
          <w:rFonts w:hint="default" w:ascii="Times New Roman" w:hAnsi="Times New Roman" w:eastAsia="楷体_GB2312" w:cs="Times New Roman"/>
          <w:b/>
          <w:color w:val="0000FF"/>
          <w:sz w:val="32"/>
          <w:szCs w:val="32"/>
        </w:rPr>
      </w:pPr>
      <w:bookmarkStart w:id="29" w:name="_Toc15377211"/>
    </w:p>
    <w:p>
      <w:pPr>
        <w:spacing w:line="560" w:lineRule="exact"/>
        <w:ind w:firstLine="643" w:firstLineChars="200"/>
        <w:outlineLvl w:val="2"/>
        <w:rPr>
          <w:rFonts w:hint="default" w:ascii="Times New Roman" w:hAnsi="Times New Roman" w:eastAsia="楷体_GB2312" w:cs="Times New Roman"/>
          <w:b/>
          <w:color w:val="auto"/>
          <w:sz w:val="32"/>
          <w:szCs w:val="32"/>
        </w:rPr>
      </w:pPr>
    </w:p>
    <w:p>
      <w:pPr>
        <w:spacing w:line="560" w:lineRule="exact"/>
        <w:ind w:firstLine="643" w:firstLineChars="200"/>
        <w:outlineLvl w:val="2"/>
        <w:rPr>
          <w:rFonts w:hint="default" w:ascii="Times New Roman" w:hAnsi="Times New Roman" w:eastAsia="楷体_GB2312" w:cs="Times New Roman"/>
          <w:b/>
          <w:color w:val="auto"/>
          <w:sz w:val="32"/>
          <w:szCs w:val="32"/>
        </w:rPr>
      </w:pPr>
    </w:p>
    <w:p>
      <w:pPr>
        <w:spacing w:line="560" w:lineRule="exact"/>
        <w:outlineLvl w:val="2"/>
        <w:rPr>
          <w:rFonts w:hint="default" w:ascii="Times New Roman" w:hAnsi="Times New Roman" w:eastAsia="楷体_GB2312"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w:t>2020年一般公共预算财政拨款支出452.78万元，主要用于以下方面:</w:t>
      </w:r>
      <w:r>
        <w:rPr>
          <w:rFonts w:hint="default" w:ascii="Times New Roman" w:hAnsi="Times New Roman" w:eastAsia="仿宋" w:cs="Times New Roman"/>
          <w:b/>
          <w:color w:val="auto"/>
          <w:sz w:val="32"/>
          <w:szCs w:val="32"/>
        </w:rPr>
        <w:t>一般公共服务（类）</w:t>
      </w:r>
      <w:r>
        <w:rPr>
          <w:rFonts w:hint="default" w:ascii="Times New Roman" w:hAnsi="Times New Roman" w:eastAsia="仿宋" w:cs="Times New Roman"/>
          <w:color w:val="auto"/>
          <w:sz w:val="32"/>
          <w:szCs w:val="32"/>
        </w:rPr>
        <w:t>支出349.27万元，占77.14%；</w:t>
      </w:r>
      <w:r>
        <w:rPr>
          <w:rFonts w:hint="default" w:ascii="Times New Roman" w:hAnsi="Times New Roman" w:eastAsia="仿宋" w:cs="Times New Roman"/>
          <w:b/>
          <w:color w:val="auto"/>
          <w:sz w:val="32"/>
          <w:szCs w:val="32"/>
        </w:rPr>
        <w:t>社会保障和就业（类）</w:t>
      </w:r>
      <w:r>
        <w:rPr>
          <w:rFonts w:hint="default" w:ascii="Times New Roman" w:hAnsi="Times New Roman" w:eastAsia="仿宋" w:cs="Times New Roman"/>
          <w:color w:val="auto"/>
          <w:sz w:val="32"/>
          <w:szCs w:val="32"/>
        </w:rPr>
        <w:t>支出25.12万元，占5.55%；</w:t>
      </w:r>
      <w:r>
        <w:rPr>
          <w:rFonts w:hint="default" w:ascii="Times New Roman" w:hAnsi="Times New Roman" w:eastAsia="仿宋" w:cs="Times New Roman"/>
          <w:b/>
          <w:bCs/>
          <w:color w:val="auto"/>
          <w:sz w:val="32"/>
          <w:szCs w:val="32"/>
        </w:rPr>
        <w:t>卫生健康</w:t>
      </w:r>
      <w:r>
        <w:rPr>
          <w:rFonts w:hint="default" w:ascii="Times New Roman" w:hAnsi="Times New Roman" w:eastAsia="仿宋" w:cs="Times New Roman"/>
          <w:b/>
          <w:color w:val="auto"/>
          <w:sz w:val="32"/>
          <w:szCs w:val="32"/>
        </w:rPr>
        <w:t>（类）</w:t>
      </w:r>
      <w:r>
        <w:rPr>
          <w:rFonts w:hint="default" w:ascii="Times New Roman" w:hAnsi="Times New Roman" w:eastAsia="仿宋" w:cs="Times New Roman"/>
          <w:b w:val="0"/>
          <w:bCs w:val="0"/>
          <w:color w:val="auto"/>
          <w:sz w:val="32"/>
          <w:szCs w:val="32"/>
        </w:rPr>
        <w:t>支出</w:t>
      </w:r>
      <w:r>
        <w:rPr>
          <w:rFonts w:hint="default" w:ascii="Times New Roman" w:hAnsi="Times New Roman" w:eastAsia="仿宋" w:cs="Times New Roman"/>
          <w:color w:val="auto"/>
          <w:sz w:val="32"/>
          <w:szCs w:val="32"/>
        </w:rPr>
        <w:t>21.87万元，占4.83%；</w:t>
      </w:r>
      <w:r>
        <w:rPr>
          <w:rFonts w:hint="default" w:ascii="Times New Roman" w:hAnsi="Times New Roman" w:eastAsia="仿宋" w:cs="Times New Roman"/>
          <w:b/>
          <w:bCs/>
          <w:color w:val="auto"/>
          <w:sz w:val="32"/>
          <w:szCs w:val="32"/>
        </w:rPr>
        <w:t>住房保障</w:t>
      </w:r>
      <w:r>
        <w:rPr>
          <w:rFonts w:hint="default" w:ascii="Times New Roman" w:hAnsi="Times New Roman" w:eastAsia="仿宋" w:cs="Times New Roman"/>
          <w:b/>
          <w:color w:val="auto"/>
          <w:sz w:val="32"/>
          <w:szCs w:val="32"/>
        </w:rPr>
        <w:t>（类）</w:t>
      </w:r>
      <w:r>
        <w:rPr>
          <w:rFonts w:hint="default" w:ascii="Times New Roman" w:hAnsi="Times New Roman" w:eastAsia="仿宋" w:cs="Times New Roman"/>
          <w:color w:val="auto"/>
          <w:sz w:val="32"/>
          <w:szCs w:val="32"/>
        </w:rPr>
        <w:t>支出56.52万元，占12.48%。</w:t>
      </w:r>
    </w:p>
    <w:p>
      <w:pPr>
        <w:spacing w:line="560" w:lineRule="exact"/>
        <w:ind w:firstLine="640"/>
        <w:rPr>
          <w:rFonts w:hint="default" w:ascii="Times New Roman" w:hAnsi="Times New Roman" w:eastAsia="仿宋" w:cs="Times New Roman"/>
          <w:color w:val="000000" w:themeColor="text1"/>
          <w:sz w:val="32"/>
          <w:szCs w:val="32"/>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515620</wp:posOffset>
            </wp:positionH>
            <wp:positionV relativeFrom="paragraph">
              <wp:posOffset>22860</wp:posOffset>
            </wp:positionV>
            <wp:extent cx="4572000" cy="2007870"/>
            <wp:effectExtent l="4445" t="4445" r="14605" b="698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6"/>
        <w:spacing w:before="93" w:line="560" w:lineRule="exact"/>
        <w:rPr>
          <w:rFonts w:hint="default" w:ascii="Times New Roman" w:hAnsi="Times New Roman" w:cs="Times New Roman"/>
        </w:rPr>
      </w:pPr>
    </w:p>
    <w:p>
      <w:pPr>
        <w:pStyle w:val="6"/>
        <w:spacing w:before="93" w:line="560" w:lineRule="exact"/>
        <w:rPr>
          <w:rFonts w:hint="default" w:ascii="Times New Roman" w:hAnsi="Times New Roman" w:cs="Times New Roman"/>
        </w:rPr>
      </w:pPr>
    </w:p>
    <w:p>
      <w:pPr>
        <w:spacing w:line="560" w:lineRule="exact"/>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2"/>
        <w:rPr>
          <w:rFonts w:hint="default" w:ascii="Times New Roman" w:hAnsi="Times New Roman" w:eastAsia="楷体_GB2312" w:cs="Times New Roman"/>
          <w:b/>
          <w:color w:val="auto"/>
          <w:sz w:val="32"/>
          <w:szCs w:val="32"/>
          <w:highlight w:val="none"/>
        </w:rPr>
      </w:pPr>
      <w:bookmarkStart w:id="30"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31" w:name="_Toc15378460"/>
      <w:bookmarkStart w:id="32" w:name="_Toc15377213"/>
      <w:bookmarkStart w:id="33" w:name="_Toc15377444"/>
      <w:r>
        <w:rPr>
          <w:rFonts w:hint="default" w:ascii="Times New Roman" w:hAnsi="Times New Roman" w:eastAsia="仿宋" w:cs="Times New Roman"/>
          <w:b/>
          <w:color w:val="auto"/>
          <w:sz w:val="32"/>
          <w:szCs w:val="32"/>
          <w:highlight w:val="none"/>
        </w:rPr>
        <w:t>2020年一般公共预算支出决算数为452.78万元</w:t>
      </w:r>
      <w:r>
        <w:rPr>
          <w:rFonts w:hint="default" w:ascii="Times New Roman" w:hAnsi="Times New Roman" w:eastAsia="仿宋" w:cs="Times New Roman"/>
          <w:color w:val="auto"/>
          <w:sz w:val="32"/>
          <w:szCs w:val="32"/>
          <w:highlight w:val="none"/>
        </w:rPr>
        <w:t>，</w:t>
      </w:r>
      <w:r>
        <w:rPr>
          <w:rStyle w:val="18"/>
          <w:rFonts w:hint="default" w:ascii="Times New Roman" w:hAnsi="Times New Roman" w:eastAsia="仿宋" w:cs="Times New Roman"/>
          <w:bCs/>
          <w:color w:val="auto"/>
          <w:sz w:val="32"/>
          <w:szCs w:val="32"/>
          <w:highlight w:val="none"/>
        </w:rPr>
        <w:t>完成预算83.67%。其中：</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Style w:val="18"/>
          <w:rFonts w:hint="eastAsia" w:eastAsia="仿宋" w:cs="Times New Roman"/>
          <w:bCs/>
          <w:color w:val="auto"/>
          <w:sz w:val="32"/>
          <w:szCs w:val="32"/>
          <w:highlight w:val="none"/>
          <w:lang w:val="en-US" w:eastAsia="zh-CN"/>
        </w:rPr>
        <w:t>1.</w:t>
      </w:r>
      <w:r>
        <w:rPr>
          <w:rStyle w:val="18"/>
          <w:rFonts w:hint="default" w:ascii="Times New Roman" w:hAnsi="Times New Roman" w:eastAsia="仿宋" w:cs="Times New Roman"/>
          <w:bCs/>
          <w:color w:val="auto"/>
          <w:sz w:val="32"/>
          <w:szCs w:val="32"/>
          <w:highlight w:val="none"/>
        </w:rPr>
        <w:t>一般公共服务（类）财政事务（款）行政运行（项）</w:t>
      </w:r>
      <w:r>
        <w:rPr>
          <w:rStyle w:val="18"/>
          <w:rFonts w:hint="default" w:ascii="Times New Roman" w:hAnsi="Times New Roman" w:eastAsia="仿宋" w:cs="Times New Roman"/>
          <w:bCs/>
          <w:color w:val="auto"/>
          <w:sz w:val="32"/>
          <w:szCs w:val="32"/>
          <w:highlight w:val="none"/>
          <w:lang w:eastAsia="zh-CN"/>
        </w:rPr>
        <w:t>：</w:t>
      </w:r>
      <w:r>
        <w:rPr>
          <w:rStyle w:val="18"/>
          <w:rFonts w:hint="default" w:ascii="Times New Roman" w:hAnsi="Times New Roman" w:eastAsia="仿宋" w:cs="Times New Roman"/>
          <w:b w:val="0"/>
          <w:bCs/>
          <w:color w:val="auto"/>
          <w:sz w:val="32"/>
          <w:szCs w:val="32"/>
          <w:highlight w:val="none"/>
        </w:rPr>
        <w:t>支出决算为3</w:t>
      </w:r>
      <w:r>
        <w:rPr>
          <w:rStyle w:val="18"/>
          <w:rFonts w:hint="eastAsia" w:eastAsia="仿宋" w:cs="Times New Roman"/>
          <w:b w:val="0"/>
          <w:bCs/>
          <w:color w:val="auto"/>
          <w:sz w:val="32"/>
          <w:szCs w:val="32"/>
          <w:highlight w:val="none"/>
          <w:lang w:val="en-US" w:eastAsia="zh-CN"/>
        </w:rPr>
        <w:t>34.29</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89.80</w:t>
      </w:r>
      <w:r>
        <w:rPr>
          <w:rStyle w:val="18"/>
          <w:rFonts w:hint="default" w:ascii="Times New Roman" w:hAnsi="Times New Roman" w:eastAsia="仿宋" w:cs="Times New Roman"/>
          <w:b w:val="0"/>
          <w:bCs/>
          <w:color w:val="auto"/>
          <w:sz w:val="32"/>
          <w:szCs w:val="32"/>
          <w:highlight w:val="none"/>
        </w:rPr>
        <w:t>%，决算数小于预算数的主要原因一是人员减少；二是继续积极贯彻落实中央八项规定及省委省政府十项规定要求，加强单位日常经费管理。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rPr>
      </w:pPr>
      <w:r>
        <w:rPr>
          <w:rStyle w:val="18"/>
          <w:rFonts w:hint="eastAsia" w:eastAsia="仿宋" w:cs="Times New Roman"/>
          <w:bCs/>
          <w:color w:val="auto"/>
          <w:sz w:val="32"/>
          <w:szCs w:val="32"/>
          <w:highlight w:val="none"/>
          <w:lang w:val="en-US" w:eastAsia="zh-CN"/>
        </w:rPr>
        <w:t>2</w:t>
      </w:r>
      <w:r>
        <w:rPr>
          <w:rStyle w:val="18"/>
          <w:rFonts w:hint="default" w:ascii="Times New Roman" w:hAnsi="Times New Roman" w:eastAsia="仿宋" w:cs="Times New Roman"/>
          <w:bCs/>
          <w:color w:val="auto"/>
          <w:sz w:val="32"/>
          <w:szCs w:val="32"/>
          <w:highlight w:val="none"/>
        </w:rPr>
        <w:t>.一般公共服务（类）财政事务（款）一般行政管理事务（项）</w:t>
      </w:r>
      <w:r>
        <w:rPr>
          <w:rStyle w:val="18"/>
          <w:rFonts w:hint="default" w:ascii="Times New Roman" w:hAnsi="Times New Roman" w:eastAsia="仿宋" w:cs="Times New Roman"/>
          <w:bCs/>
          <w:color w:val="auto"/>
          <w:sz w:val="32"/>
          <w:szCs w:val="32"/>
          <w:highlight w:val="none"/>
          <w:lang w:eastAsia="zh-CN"/>
        </w:rPr>
        <w:t>：</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14.98</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27.74</w:t>
      </w:r>
      <w:r>
        <w:rPr>
          <w:rStyle w:val="18"/>
          <w:rFonts w:hint="default" w:ascii="Times New Roman" w:hAnsi="Times New Roman" w:eastAsia="仿宋" w:cs="Times New Roman"/>
          <w:b w:val="0"/>
          <w:bCs/>
          <w:color w:val="auto"/>
          <w:sz w:val="32"/>
          <w:szCs w:val="32"/>
          <w:highlight w:val="none"/>
        </w:rPr>
        <w:t>%，决算数小于预算数的主要原因</w:t>
      </w:r>
      <w:r>
        <w:rPr>
          <w:rStyle w:val="18"/>
          <w:rFonts w:hint="eastAsia" w:eastAsia="仿宋" w:cs="Times New Roman"/>
          <w:b w:val="0"/>
          <w:bCs/>
          <w:color w:val="auto"/>
          <w:sz w:val="32"/>
          <w:szCs w:val="32"/>
          <w:highlight w:val="none"/>
          <w:lang w:eastAsia="zh-CN"/>
        </w:rPr>
        <w:t>是系统整合后部分运维费减少</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 w:cs="Times New Roman"/>
          <w:b/>
          <w:color w:val="auto"/>
          <w:sz w:val="32"/>
          <w:szCs w:val="32"/>
          <w:highlight w:val="none"/>
        </w:rPr>
      </w:pPr>
      <w:r>
        <w:rPr>
          <w:rStyle w:val="18"/>
          <w:rFonts w:hint="eastAsia" w:eastAsia="仿宋" w:cs="Times New Roman"/>
          <w:bCs/>
          <w:color w:val="auto"/>
          <w:sz w:val="32"/>
          <w:szCs w:val="32"/>
          <w:highlight w:val="none"/>
          <w:lang w:val="en-US" w:eastAsia="zh-CN"/>
        </w:rPr>
        <w:t>3</w:t>
      </w:r>
      <w:r>
        <w:rPr>
          <w:rStyle w:val="18"/>
          <w:rFonts w:hint="default" w:ascii="Times New Roman" w:hAnsi="Times New Roman" w:eastAsia="仿宋" w:cs="Times New Roman"/>
          <w:bCs/>
          <w:color w:val="auto"/>
          <w:sz w:val="32"/>
          <w:szCs w:val="32"/>
          <w:highlight w:val="none"/>
        </w:rPr>
        <w:t>.社会保障和就业（类）行政事业单位养老（款）机关事业单位基本养老保险缴费（项）</w:t>
      </w:r>
      <w:r>
        <w:rPr>
          <w:rStyle w:val="18"/>
          <w:rFonts w:hint="default" w:ascii="Times New Roman" w:hAnsi="Times New Roman" w:eastAsia="仿宋" w:cs="Times New Roman"/>
          <w:bCs/>
          <w:color w:val="auto"/>
          <w:sz w:val="32"/>
          <w:szCs w:val="32"/>
          <w:highlight w:val="none"/>
          <w:lang w:eastAsia="zh-CN"/>
        </w:rPr>
        <w:t>：</w:t>
      </w:r>
      <w:r>
        <w:rPr>
          <w:rStyle w:val="18"/>
          <w:rFonts w:hint="default" w:ascii="Times New Roman" w:hAnsi="Times New Roman" w:eastAsia="仿宋" w:cs="Times New Roman"/>
          <w:b w:val="0"/>
          <w:bCs w:val="0"/>
          <w:color w:val="auto"/>
          <w:sz w:val="32"/>
          <w:szCs w:val="32"/>
          <w:highlight w:val="none"/>
          <w:lang w:eastAsia="zh-CN"/>
        </w:rPr>
        <w:t>支出</w:t>
      </w:r>
      <w:r>
        <w:rPr>
          <w:rStyle w:val="18"/>
          <w:rFonts w:hint="default" w:ascii="Times New Roman" w:hAnsi="Times New Roman" w:eastAsia="仿宋" w:cs="Times New Roman"/>
          <w:b w:val="0"/>
          <w:bCs/>
          <w:color w:val="auto"/>
          <w:sz w:val="32"/>
          <w:szCs w:val="32"/>
          <w:highlight w:val="none"/>
        </w:rPr>
        <w:t>决算为25.12万元，完成预算88.51%，决算数小于预算数的主要原因是人员减少。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Style w:val="18"/>
          <w:rFonts w:hint="eastAsia" w:eastAsia="仿宋" w:cs="Times New Roman"/>
          <w:bCs/>
          <w:color w:val="auto"/>
          <w:sz w:val="32"/>
          <w:szCs w:val="32"/>
          <w:highlight w:val="none"/>
          <w:lang w:val="en-US" w:eastAsia="zh-CN"/>
        </w:rPr>
        <w:t>4</w:t>
      </w:r>
      <w:r>
        <w:rPr>
          <w:rStyle w:val="18"/>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
          <w:bCs/>
          <w:color w:val="auto"/>
          <w:sz w:val="32"/>
          <w:szCs w:val="32"/>
          <w:highlight w:val="none"/>
        </w:rPr>
        <w:t>卫生健康</w:t>
      </w:r>
      <w:r>
        <w:rPr>
          <w:rStyle w:val="18"/>
          <w:rFonts w:hint="default" w:ascii="Times New Roman" w:hAnsi="Times New Roman" w:eastAsia="仿宋" w:cs="Times New Roman"/>
          <w:bCs/>
          <w:color w:val="auto"/>
          <w:sz w:val="32"/>
          <w:szCs w:val="32"/>
          <w:highlight w:val="none"/>
        </w:rPr>
        <w:t>（类）行政事业单位医疗（款）行政单位医疗（项）</w:t>
      </w:r>
      <w:r>
        <w:rPr>
          <w:rStyle w:val="18"/>
          <w:rFonts w:hint="default" w:ascii="Times New Roman" w:hAnsi="Times New Roman" w:eastAsia="仿宋" w:cs="Times New Roman"/>
          <w:bCs/>
          <w:color w:val="auto"/>
          <w:sz w:val="32"/>
          <w:szCs w:val="32"/>
          <w:highlight w:val="none"/>
          <w:lang w:eastAsia="zh-CN"/>
        </w:rPr>
        <w:t>：</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17.64</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75.55</w:t>
      </w:r>
      <w:r>
        <w:rPr>
          <w:rStyle w:val="18"/>
          <w:rFonts w:hint="default" w:ascii="Times New Roman" w:hAnsi="Times New Roman" w:eastAsia="仿宋" w:cs="Times New Roman"/>
          <w:b w:val="0"/>
          <w:bCs/>
          <w:color w:val="auto"/>
          <w:sz w:val="32"/>
          <w:szCs w:val="32"/>
          <w:highlight w:val="none"/>
        </w:rPr>
        <w:t>%，决算数小于预算数的主要原因是人员减少。</w:t>
      </w:r>
    </w:p>
    <w:p>
      <w:pPr>
        <w:pStyle w:val="15"/>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default"/>
        </w:rPr>
      </w:pPr>
      <w:r>
        <w:rPr>
          <w:rStyle w:val="18"/>
          <w:rFonts w:hint="eastAsia" w:eastAsia="仿宋" w:cs="Times New Roman"/>
          <w:bCs/>
          <w:color w:val="auto"/>
          <w:sz w:val="32"/>
          <w:szCs w:val="32"/>
          <w:highlight w:val="none"/>
          <w:lang w:val="en-US" w:eastAsia="zh-CN"/>
        </w:rPr>
        <w:t>5</w:t>
      </w:r>
      <w:r>
        <w:rPr>
          <w:rStyle w:val="18"/>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
          <w:bCs/>
          <w:color w:val="auto"/>
          <w:sz w:val="32"/>
          <w:szCs w:val="32"/>
          <w:highlight w:val="none"/>
        </w:rPr>
        <w:t>卫生健康</w:t>
      </w:r>
      <w:r>
        <w:rPr>
          <w:rStyle w:val="18"/>
          <w:rFonts w:hint="default" w:ascii="Times New Roman" w:hAnsi="Times New Roman" w:eastAsia="仿宋" w:cs="Times New Roman"/>
          <w:bCs/>
          <w:color w:val="auto"/>
          <w:sz w:val="32"/>
          <w:szCs w:val="32"/>
          <w:highlight w:val="none"/>
        </w:rPr>
        <w:t>（类）行政事业单位医疗（款）公务员医疗补助（项）</w:t>
      </w:r>
      <w:r>
        <w:rPr>
          <w:rStyle w:val="18"/>
          <w:rFonts w:hint="default" w:ascii="Times New Roman" w:hAnsi="Times New Roman" w:eastAsia="仿宋" w:cs="Times New Roman"/>
          <w:bCs/>
          <w:color w:val="auto"/>
          <w:sz w:val="32"/>
          <w:szCs w:val="32"/>
          <w:highlight w:val="none"/>
          <w:lang w:eastAsia="zh-CN"/>
        </w:rPr>
        <w:t>：</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4.23</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Fonts w:hint="eastAsia" w:eastAsia="仿宋" w:cs="Times New Roman"/>
          <w:b/>
          <w:bCs/>
          <w:color w:val="auto"/>
          <w:sz w:val="32"/>
          <w:szCs w:val="32"/>
          <w:highlight w:val="none"/>
          <w:lang w:val="en-US" w:eastAsia="zh-CN"/>
        </w:rPr>
        <w:t>6</w:t>
      </w:r>
      <w:r>
        <w:rPr>
          <w:rFonts w:hint="default" w:ascii="Times New Roman" w:hAnsi="Times New Roman" w:eastAsia="仿宋" w:cs="Times New Roman"/>
          <w:b/>
          <w:bCs/>
          <w:color w:val="auto"/>
          <w:sz w:val="32"/>
          <w:szCs w:val="32"/>
          <w:highlight w:val="none"/>
        </w:rPr>
        <w:t>.住房保障</w:t>
      </w:r>
      <w:r>
        <w:rPr>
          <w:rStyle w:val="18"/>
          <w:rFonts w:hint="default" w:ascii="Times New Roman" w:hAnsi="Times New Roman" w:eastAsia="仿宋" w:cs="Times New Roman"/>
          <w:bCs/>
          <w:color w:val="auto"/>
          <w:sz w:val="32"/>
          <w:szCs w:val="32"/>
          <w:highlight w:val="none"/>
        </w:rPr>
        <w:t>（类）住房改革（款）住房公积金（项）</w:t>
      </w:r>
      <w:r>
        <w:rPr>
          <w:rStyle w:val="18"/>
          <w:rFonts w:hint="default" w:ascii="Times New Roman" w:hAnsi="Times New Roman" w:eastAsia="仿宋" w:cs="Times New Roman"/>
          <w:bCs/>
          <w:color w:val="auto"/>
          <w:sz w:val="32"/>
          <w:szCs w:val="32"/>
          <w:highlight w:val="none"/>
          <w:lang w:eastAsia="zh-CN"/>
        </w:rPr>
        <w:t>：</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31.14</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rPr>
      </w:pPr>
      <w:r>
        <w:rPr>
          <w:rFonts w:hint="eastAsia" w:eastAsia="仿宋" w:cs="Times New Roman"/>
          <w:b/>
          <w:bCs/>
          <w:color w:val="auto"/>
          <w:sz w:val="32"/>
          <w:szCs w:val="32"/>
          <w:highlight w:val="none"/>
          <w:lang w:val="en-US" w:eastAsia="zh-CN"/>
        </w:rPr>
        <w:t>7</w:t>
      </w:r>
      <w:r>
        <w:rPr>
          <w:rFonts w:hint="default" w:ascii="Times New Roman" w:hAnsi="Times New Roman" w:eastAsia="仿宋" w:cs="Times New Roman"/>
          <w:b/>
          <w:bCs/>
          <w:color w:val="auto"/>
          <w:sz w:val="32"/>
          <w:szCs w:val="32"/>
          <w:highlight w:val="none"/>
        </w:rPr>
        <w:t>.住房保障</w:t>
      </w:r>
      <w:r>
        <w:rPr>
          <w:rStyle w:val="18"/>
          <w:rFonts w:hint="default" w:ascii="Times New Roman" w:hAnsi="Times New Roman" w:eastAsia="仿宋" w:cs="Times New Roman"/>
          <w:bCs/>
          <w:color w:val="auto"/>
          <w:sz w:val="32"/>
          <w:szCs w:val="32"/>
          <w:highlight w:val="none"/>
        </w:rPr>
        <w:t>（类）住房改革（款）购房补贴（项）</w:t>
      </w:r>
      <w:r>
        <w:rPr>
          <w:rStyle w:val="18"/>
          <w:rFonts w:hint="default" w:ascii="Times New Roman" w:hAnsi="Times New Roman" w:eastAsia="仿宋" w:cs="Times New Roman"/>
          <w:bCs/>
          <w:color w:val="auto"/>
          <w:sz w:val="32"/>
          <w:szCs w:val="32"/>
          <w:highlight w:val="none"/>
          <w:lang w:eastAsia="zh-CN"/>
        </w:rPr>
        <w:t>：</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25.38</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91.43</w:t>
      </w:r>
      <w:r>
        <w:rPr>
          <w:rStyle w:val="18"/>
          <w:rFonts w:hint="default" w:ascii="Times New Roman" w:hAnsi="Times New Roman" w:eastAsia="仿宋" w:cs="Times New Roman"/>
          <w:b w:val="0"/>
          <w:bCs/>
          <w:color w:val="auto"/>
          <w:sz w:val="32"/>
          <w:szCs w:val="32"/>
          <w:highlight w:val="none"/>
        </w:rPr>
        <w:t>%，决算数小于预算数的主要原因是人员减少。</w:t>
      </w:r>
    </w:p>
    <w:p>
      <w:pPr>
        <w:keepNext w:val="0"/>
        <w:keepLines w:val="0"/>
        <w:pageBreakBefore w:val="0"/>
        <w:widowControl w:val="0"/>
        <w:tabs>
          <w:tab w:val="right" w:pos="8306"/>
        </w:tabs>
        <w:kinsoku/>
        <w:wordWrap/>
        <w:overflowPunct/>
        <w:topLinePunct w:val="0"/>
        <w:autoSpaceDE/>
        <w:autoSpaceDN/>
        <w:bidi w:val="0"/>
        <w:adjustRightInd/>
        <w:snapToGrid/>
        <w:spacing w:line="580" w:lineRule="exact"/>
        <w:ind w:firstLine="640"/>
        <w:textAlignment w:val="auto"/>
        <w:outlineLvl w:val="1"/>
        <w:rPr>
          <w:rStyle w:val="29"/>
          <w:rFonts w:hint="default" w:ascii="Times New Roman" w:hAnsi="Times New Roman" w:cs="Times New Roman"/>
        </w:rPr>
      </w:pPr>
      <w:bookmarkStart w:id="34" w:name="_Toc15377214"/>
      <w:bookmarkStart w:id="35"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9"/>
          <w:rFonts w:hint="default" w:ascii="Times New Roman" w:hAnsi="Times New Roman" w:eastAsia="黑体" w:cs="Times New Roman"/>
          <w:b w:val="0"/>
        </w:rPr>
        <w:t>般公共预算财政拨款基本支出决算情况说明</w:t>
      </w:r>
      <w:bookmarkEnd w:id="34"/>
      <w:bookmarkEnd w:id="35"/>
      <w:r>
        <w:rPr>
          <w:rStyle w:val="29"/>
          <w:rFonts w:hint="default" w:ascii="Times New Roman" w:hAnsi="Times New Roman" w:eastAsia="黑体" w:cs="Times New Roman"/>
          <w:b w:val="0"/>
        </w:rPr>
        <w:tab/>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2020年一般公共预算财政拨款基本支出437.80万元，其中：</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人员经费345.4</w:t>
      </w: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万元，主要包括：基本工资、津贴补贴、奖金、机关事业单位基本养老保险缴费、职工基本医疗保险缴费、公务员医疗补助缴费、住房公积金、其他工资福利支出等。</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 w:cs="Times New Roman"/>
          <w:b/>
          <w:color w:val="FF0000"/>
          <w:sz w:val="32"/>
          <w:szCs w:val="32"/>
        </w:rPr>
      </w:pPr>
      <w:r>
        <w:rPr>
          <w:rFonts w:hint="default" w:ascii="Times New Roman" w:hAnsi="Times New Roman" w:eastAsia="仿宋" w:cs="Times New Roman"/>
          <w:color w:val="auto"/>
          <w:sz w:val="32"/>
          <w:szCs w:val="32"/>
        </w:rPr>
        <w:t>公用经费</w:t>
      </w:r>
      <w:r>
        <w:rPr>
          <w:rFonts w:hint="default" w:ascii="Times New Roman" w:hAnsi="Times New Roman" w:eastAsia="仿宋" w:cs="Times New Roman"/>
          <w:color w:val="000000"/>
          <w:sz w:val="32"/>
          <w:szCs w:val="32"/>
        </w:rPr>
        <w:t>92.3</w:t>
      </w:r>
      <w:r>
        <w:rPr>
          <w:rFonts w:hint="default" w:ascii="Times New Roman" w:hAnsi="Times New Roman" w:eastAsia="仿宋" w:cs="Times New Roman"/>
          <w:color w:val="000000"/>
          <w:sz w:val="32"/>
          <w:szCs w:val="32"/>
          <w:lang w:val="en-US" w:eastAsia="zh-CN"/>
        </w:rPr>
        <w:t>6</w:t>
      </w:r>
      <w:r>
        <w:rPr>
          <w:rFonts w:hint="default" w:ascii="Times New Roman" w:hAnsi="Times New Roman" w:eastAsia="仿宋" w:cs="Times New Roman"/>
          <w:color w:val="000000"/>
          <w:sz w:val="32"/>
          <w:szCs w:val="32"/>
        </w:rPr>
        <w:t>万元，主要包括：办公费、印刷费、水费、电费、邮电费、差旅费、维修（护）费、工会经费、福利费、公务用车运行维护费、其他交通费</w:t>
      </w:r>
      <w:r>
        <w:rPr>
          <w:rFonts w:hint="eastAsia" w:eastAsia="仿宋" w:cs="Times New Roman"/>
          <w:color w:val="000000"/>
          <w:sz w:val="32"/>
          <w:szCs w:val="32"/>
          <w:lang w:eastAsia="zh-CN"/>
        </w:rPr>
        <w:t>用</w:t>
      </w:r>
      <w:r>
        <w:rPr>
          <w:rFonts w:hint="default" w:ascii="Times New Roman" w:hAnsi="Times New Roman" w:eastAsia="仿宋" w:cs="Times New Roman"/>
          <w:color w:val="000000"/>
          <w:sz w:val="32"/>
          <w:szCs w:val="32"/>
        </w:rPr>
        <w:t>、其他商品和服务支出等。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1"/>
        <w:rPr>
          <w:rStyle w:val="29"/>
          <w:rFonts w:hint="default" w:ascii="Times New Roman" w:hAnsi="Times New Roman" w:eastAsia="黑体" w:cs="Times New Roman"/>
          <w:b w:val="0"/>
          <w:color w:val="auto"/>
        </w:rPr>
      </w:pPr>
      <w:bookmarkStart w:id="36" w:name="_Toc15377215"/>
      <w:bookmarkStart w:id="37" w:name="_Toc15396609"/>
      <w:r>
        <w:rPr>
          <w:rFonts w:hint="default" w:ascii="Times New Roman" w:hAnsi="Times New Roman" w:eastAsia="黑体" w:cs="Times New Roman"/>
          <w:color w:val="auto"/>
          <w:sz w:val="32"/>
          <w:szCs w:val="32"/>
        </w:rPr>
        <w:t>七、</w:t>
      </w:r>
      <w:r>
        <w:rPr>
          <w:rStyle w:val="29"/>
          <w:rFonts w:hint="default" w:ascii="Times New Roman" w:hAnsi="Times New Roman" w:eastAsia="黑体" w:cs="Times New Roman"/>
          <w:color w:val="auto"/>
        </w:rPr>
        <w:t>“</w:t>
      </w:r>
      <w:r>
        <w:rPr>
          <w:rStyle w:val="29"/>
          <w:rFonts w:hint="default" w:ascii="Times New Roman" w:hAnsi="Times New Roman" w:eastAsia="黑体" w:cs="Times New Roman"/>
          <w:b w:val="0"/>
          <w:color w:val="auto"/>
        </w:rPr>
        <w:t>三公”经费财政拨款支出决算情况说明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2"/>
        <w:rPr>
          <w:rFonts w:hint="default" w:ascii="Times New Roman" w:hAnsi="Times New Roman" w:eastAsia="楷体_GB2312" w:cs="Times New Roman"/>
          <w:b/>
          <w:color w:val="auto"/>
          <w:sz w:val="32"/>
          <w:szCs w:val="32"/>
        </w:rPr>
      </w:pPr>
      <w:bookmarkStart w:id="38" w:name="_Toc15377216"/>
      <w:r>
        <w:rPr>
          <w:rFonts w:hint="default" w:ascii="Times New Roman" w:hAnsi="Times New Roman" w:eastAsia="楷体_GB2312" w:cs="Times New Roman"/>
          <w:b/>
          <w:color w:val="auto"/>
          <w:sz w:val="32"/>
          <w:szCs w:val="32"/>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2020年“三公”经费财政拨款支出决算为2.31万元，完成预算44.42%，决算数小于预算数的主要原因是</w:t>
      </w:r>
      <w:r>
        <w:rPr>
          <w:rFonts w:hint="eastAsia" w:eastAsia="仿宋" w:cs="Times New Roman"/>
          <w:color w:val="auto"/>
          <w:sz w:val="32"/>
          <w:szCs w:val="32"/>
          <w:lang w:eastAsia="zh-CN"/>
        </w:rPr>
        <w:t>认真贯彻落实中央八项规定及省委省政府十项规定要求，厉行节约，从严控制“三公”经费支出，全年实际支出比预算有所节约。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2"/>
        <w:rPr>
          <w:rFonts w:hint="default" w:ascii="Times New Roman" w:hAnsi="Times New Roman" w:eastAsia="楷体_GB2312" w:cs="Times New Roman"/>
          <w:b/>
          <w:color w:val="auto"/>
          <w:sz w:val="32"/>
          <w:szCs w:val="32"/>
        </w:rPr>
      </w:pPr>
      <w:bookmarkStart w:id="39" w:name="_Toc15377217"/>
      <w:r>
        <w:rPr>
          <w:rFonts w:hint="default" w:ascii="Times New Roman" w:hAnsi="Times New Roman" w:eastAsia="楷体_GB2312" w:cs="Times New Roman"/>
          <w:b/>
          <w:color w:val="auto"/>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2020年“三公”经费财政拨款支出决算中，公务用车购置及运行维护费支出决算2.31万元，占100%</w:t>
      </w:r>
      <w:r>
        <w:rPr>
          <w:rFonts w:hint="default" w:ascii="Times New Roman" w:hAnsi="Times New Roman" w:eastAsia="仿宋" w:cs="Times New Roman"/>
          <w:color w:val="auto"/>
          <w:sz w:val="32"/>
          <w:szCs w:val="32"/>
          <w:lang w:eastAsia="zh-CN"/>
        </w:rPr>
        <w:t>。无</w:t>
      </w:r>
      <w:r>
        <w:rPr>
          <w:rFonts w:hint="default" w:ascii="Times New Roman" w:hAnsi="Times New Roman" w:eastAsia="仿宋" w:cs="Times New Roman"/>
          <w:color w:val="auto"/>
          <w:sz w:val="32"/>
          <w:szCs w:val="32"/>
        </w:rPr>
        <w:t>因公出国（境）费支出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公务接待费支出。具体情况如下：</w:t>
      </w:r>
    </w:p>
    <w:p>
      <w:pPr>
        <w:spacing w:line="56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66432" behindDoc="1" locked="0" layoutInCell="1" allowOverlap="1">
            <wp:simplePos x="0" y="0"/>
            <wp:positionH relativeFrom="column">
              <wp:posOffset>503555</wp:posOffset>
            </wp:positionH>
            <wp:positionV relativeFrom="paragraph">
              <wp:posOffset>1270</wp:posOffset>
            </wp:positionV>
            <wp:extent cx="4572000" cy="2518410"/>
            <wp:effectExtent l="4445" t="4445" r="14605" b="10795"/>
            <wp:wrapSquare wrapText="bothSides"/>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6"/>
        <w:spacing w:before="93" w:line="560" w:lineRule="exact"/>
        <w:rPr>
          <w:rFonts w:hint="default" w:ascii="Times New Roman" w:hAnsi="Times New Roman" w:cs="Times New Roman"/>
          <w:color w:val="auto"/>
        </w:rPr>
      </w:pPr>
    </w:p>
    <w:p>
      <w:pPr>
        <w:pStyle w:val="6"/>
        <w:spacing w:before="93" w:line="560" w:lineRule="exact"/>
        <w:rPr>
          <w:rFonts w:hint="default" w:ascii="Times New Roman" w:hAnsi="Times New Roman" w:cs="Times New Roman"/>
          <w:color w:val="auto"/>
        </w:rPr>
      </w:pPr>
    </w:p>
    <w:p>
      <w:pPr>
        <w:pStyle w:val="6"/>
        <w:spacing w:before="93" w:line="560" w:lineRule="exact"/>
        <w:rPr>
          <w:rFonts w:hint="default" w:ascii="Times New Roman" w:hAnsi="Times New Roman" w:cs="Times New Roman"/>
          <w:color w:val="auto"/>
        </w:rPr>
      </w:pPr>
    </w:p>
    <w:p>
      <w:pPr>
        <w:pStyle w:val="6"/>
        <w:tabs>
          <w:tab w:val="left" w:pos="3085"/>
        </w:tabs>
        <w:spacing w:before="93" w:line="560" w:lineRule="exact"/>
        <w:rPr>
          <w:rFonts w:hint="eastAsia" w:ascii="Times New Roman" w:hAnsi="Times New Roman" w:eastAsia="仿宋_GB2312" w:cs="Times New Roman"/>
          <w:color w:val="auto"/>
          <w:lang w:eastAsia="zh-CN"/>
        </w:rPr>
      </w:pPr>
    </w:p>
    <w:p>
      <w:pPr>
        <w:spacing w:line="560" w:lineRule="exact"/>
        <w:rPr>
          <w:rFonts w:hint="default" w:ascii="Times New Roman" w:hAnsi="Times New Roman" w:eastAsia="仿宋_GB2312" w:cs="Times New Roman"/>
          <w:b/>
          <w:color w:val="auto"/>
          <w:sz w:val="32"/>
          <w:szCs w:val="32"/>
        </w:rPr>
      </w:pPr>
    </w:p>
    <w:p>
      <w:pPr>
        <w:pStyle w:val="15"/>
        <w:rPr>
          <w:rFonts w:hint="eastAsia" w:eastAsia="仿宋_GB2312"/>
          <w:lang w:val="en-US" w:eastAsia="zh-CN"/>
        </w:rPr>
      </w:pPr>
      <w:r>
        <w:rPr>
          <w:rFonts w:hint="eastAsia" w:eastAsia="仿宋_GB2312" w:cs="Times New Roman"/>
          <w:b/>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color w:val="auto"/>
          <w:sz w:val="32"/>
          <w:szCs w:val="32"/>
          <w:lang w:eastAsia="zh-CN"/>
        </w:rPr>
        <w:t>四川省省级财政国库支付中心</w:t>
      </w:r>
      <w:r>
        <w:rPr>
          <w:rFonts w:hint="default" w:ascii="Times New Roman" w:hAnsi="Times New Roman" w:eastAsia="仿宋_GB2312" w:cs="Times New Roman"/>
          <w:b/>
          <w:color w:val="auto"/>
          <w:sz w:val="32"/>
          <w:szCs w:val="32"/>
        </w:rPr>
        <w:t>无因公出国（境）经费</w:t>
      </w:r>
      <w:r>
        <w:rPr>
          <w:rFonts w:hint="eastAsia" w:eastAsia="仿宋_GB2312" w:cs="Times New Roman"/>
          <w:b/>
          <w:color w:val="auto"/>
          <w:sz w:val="32"/>
          <w:szCs w:val="32"/>
          <w:lang w:eastAsia="zh-CN"/>
        </w:rPr>
        <w:t>预算及</w:t>
      </w:r>
      <w:r>
        <w:rPr>
          <w:rFonts w:hint="default" w:ascii="Times New Roman" w:hAnsi="Times New Roman" w:eastAsia="仿宋_GB2312" w:cs="Times New Roman"/>
          <w:b/>
          <w:color w:val="auto"/>
          <w:sz w:val="32"/>
          <w:szCs w:val="32"/>
        </w:rPr>
        <w:t>支出</w:t>
      </w:r>
      <w:r>
        <w:rPr>
          <w:rFonts w:hint="eastAsia" w:eastAsia="仿宋_GB2312" w:cs="Times New Roman"/>
          <w:color w:val="auto"/>
          <w:sz w:val="32"/>
          <w:szCs w:val="32"/>
          <w:lang w:eastAsia="zh-CN"/>
        </w:rPr>
        <w:t>，</w:t>
      </w:r>
      <w:r>
        <w:rPr>
          <w:rFonts w:hint="eastAsia" w:ascii="Times New Roman" w:hAnsi="Times New Roman" w:eastAsia="仿宋_GB2312" w:cs="Times New Roman"/>
          <w:b/>
          <w:color w:val="auto"/>
          <w:sz w:val="32"/>
          <w:szCs w:val="32"/>
          <w:lang w:eastAsia="zh-CN"/>
        </w:rPr>
        <w:t>与</w:t>
      </w:r>
      <w:r>
        <w:rPr>
          <w:rFonts w:hint="eastAsia" w:ascii="Times New Roman" w:hAnsi="Times New Roman" w:eastAsia="仿宋_GB2312" w:cs="Times New Roman"/>
          <w:b/>
          <w:color w:val="auto"/>
          <w:sz w:val="32"/>
          <w:szCs w:val="32"/>
          <w:lang w:val="en-US" w:eastAsia="zh-CN"/>
        </w:rPr>
        <w:t>2019年持平。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w:t>
      </w:r>
      <w:r>
        <w:rPr>
          <w:rFonts w:hint="default" w:ascii="Times New Roman" w:hAnsi="Times New Roman" w:eastAsia="仿宋_GB2312" w:cs="Times New Roman"/>
          <w:b/>
          <w:color w:val="auto"/>
          <w:sz w:val="32"/>
          <w:szCs w:val="32"/>
          <w:lang w:eastAsia="zh-CN"/>
        </w:rPr>
        <w:t>四川省省级财政国库支付中心</w:t>
      </w:r>
      <w:r>
        <w:rPr>
          <w:rFonts w:hint="default" w:ascii="Times New Roman" w:hAnsi="Times New Roman" w:eastAsia="仿宋_GB2312" w:cs="Times New Roman"/>
          <w:b/>
          <w:color w:val="auto"/>
          <w:sz w:val="32"/>
          <w:szCs w:val="32"/>
        </w:rPr>
        <w:t>公务用车购置及运行维护费支出</w:t>
      </w:r>
      <w:r>
        <w:rPr>
          <w:rFonts w:hint="default" w:ascii="Times New Roman" w:hAnsi="Times New Roman" w:eastAsia="仿宋_GB2312" w:cs="Times New Roman"/>
          <w:color w:val="auto"/>
          <w:sz w:val="32"/>
          <w:szCs w:val="32"/>
        </w:rPr>
        <w:t>2.31万元，</w:t>
      </w:r>
      <w:r>
        <w:rPr>
          <w:rStyle w:val="18"/>
          <w:rFonts w:hint="default" w:ascii="Times New Roman" w:hAnsi="Times New Roman" w:eastAsia="仿宋" w:cs="Times New Roman"/>
          <w:b w:val="0"/>
          <w:bCs/>
          <w:color w:val="auto"/>
          <w:sz w:val="32"/>
          <w:szCs w:val="32"/>
        </w:rPr>
        <w:t>完成预算44.42%。</w:t>
      </w:r>
      <w:r>
        <w:rPr>
          <w:rFonts w:hint="default" w:ascii="Times New Roman" w:hAnsi="Times New Roman" w:eastAsia="仿宋_GB2312" w:cs="Times New Roman"/>
          <w:color w:val="auto"/>
          <w:sz w:val="32"/>
          <w:szCs w:val="32"/>
        </w:rPr>
        <w:t>本单位共有车辆1辆，公务用车购置及运行维护费支出决算比2019年增加1.13万元，增长96.31%。主要原因是</w:t>
      </w:r>
      <w:r>
        <w:rPr>
          <w:rFonts w:hint="eastAsia" w:eastAsia="仿宋" w:cs="Times New Roman"/>
          <w:color w:val="auto"/>
          <w:sz w:val="32"/>
          <w:szCs w:val="32"/>
          <w:lang w:eastAsia="zh-CN"/>
        </w:rPr>
        <w:t>根据当年公车使用情况实际发生的支出。</w:t>
      </w:r>
    </w:p>
    <w:p>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b/>
          <w:color w:val="auto"/>
          <w:sz w:val="32"/>
          <w:szCs w:val="32"/>
        </w:rPr>
        <w:t>公务用车运行维护费支出</w:t>
      </w:r>
      <w:r>
        <w:rPr>
          <w:rFonts w:hint="default" w:ascii="Times New Roman" w:hAnsi="Times New Roman" w:eastAsia="仿宋_GB2312" w:cs="Times New Roman"/>
          <w:color w:val="auto"/>
          <w:sz w:val="32"/>
          <w:szCs w:val="32"/>
        </w:rPr>
        <w:t>2.31万元。主要用于</w:t>
      </w:r>
      <w:r>
        <w:rPr>
          <w:rFonts w:hint="default" w:ascii="Times New Roman" w:hAnsi="Times New Roman" w:eastAsia="仿宋_GB2312" w:cs="Times New Roman"/>
          <w:color w:val="auto"/>
          <w:sz w:val="32"/>
          <w:szCs w:val="32"/>
          <w:lang w:eastAsia="zh-CN"/>
        </w:rPr>
        <w:t>执行公务活动，开展脱贫攻坚基层工作调研检查、对口帮扶慰问等</w:t>
      </w:r>
      <w:r>
        <w:rPr>
          <w:rFonts w:hint="default" w:ascii="Times New Roman" w:hAnsi="Times New Roman" w:eastAsia="仿宋_GB2312" w:cs="Times New Roman"/>
          <w:color w:val="auto"/>
          <w:sz w:val="32"/>
          <w:szCs w:val="32"/>
        </w:rPr>
        <w:t>所需的公务用车燃料费、维修费、过路过桥费、保险费等支出。</w:t>
      </w:r>
    </w:p>
    <w:p>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w:t>
      </w:r>
      <w:r>
        <w:rPr>
          <w:rFonts w:hint="default" w:ascii="Times New Roman" w:hAnsi="Times New Roman" w:eastAsia="仿宋_GB2312" w:cs="Times New Roman"/>
          <w:b/>
          <w:color w:val="auto"/>
          <w:sz w:val="32"/>
          <w:szCs w:val="32"/>
          <w:lang w:eastAsia="zh-CN"/>
        </w:rPr>
        <w:t>四川省省级财政国库支付中心</w:t>
      </w:r>
      <w:r>
        <w:rPr>
          <w:rFonts w:hint="default" w:ascii="Times New Roman" w:hAnsi="Times New Roman" w:eastAsia="仿宋_GB2312" w:cs="Times New Roman"/>
          <w:b/>
          <w:bCs/>
          <w:color w:val="auto"/>
          <w:sz w:val="32"/>
          <w:szCs w:val="32"/>
        </w:rPr>
        <w:t>无</w:t>
      </w:r>
      <w:r>
        <w:rPr>
          <w:rFonts w:hint="default" w:ascii="Times New Roman" w:hAnsi="Times New Roman" w:eastAsia="仿宋_GB2312" w:cs="Times New Roman"/>
          <w:b/>
          <w:color w:val="auto"/>
          <w:sz w:val="32"/>
          <w:szCs w:val="32"/>
        </w:rPr>
        <w:t>公务接待费</w:t>
      </w:r>
      <w:r>
        <w:rPr>
          <w:rFonts w:hint="eastAsia" w:eastAsia="仿宋_GB2312" w:cs="Times New Roman"/>
          <w:b/>
          <w:color w:val="auto"/>
          <w:sz w:val="32"/>
          <w:szCs w:val="32"/>
          <w:lang w:eastAsia="zh-CN"/>
        </w:rPr>
        <w:t>预算及</w:t>
      </w:r>
      <w:r>
        <w:rPr>
          <w:rFonts w:hint="default" w:ascii="Times New Roman" w:hAnsi="Times New Roman" w:eastAsia="仿宋_GB2312" w:cs="Times New Roman"/>
          <w:b/>
          <w:color w:val="auto"/>
          <w:sz w:val="32"/>
          <w:szCs w:val="32"/>
        </w:rPr>
        <w:t>支出</w:t>
      </w:r>
      <w:r>
        <w:rPr>
          <w:rFonts w:hint="eastAsia" w:eastAsia="仿宋_GB2312" w:cs="Times New Roman"/>
          <w:b/>
          <w:color w:val="auto"/>
          <w:sz w:val="32"/>
          <w:szCs w:val="32"/>
          <w:lang w:eastAsia="zh-CN"/>
        </w:rPr>
        <w:t>，与</w:t>
      </w:r>
      <w:r>
        <w:rPr>
          <w:rFonts w:hint="eastAsia" w:ascii="Times New Roman" w:hAnsi="Times New Roman" w:eastAsia="仿宋_GB2312" w:cs="Times New Roman"/>
          <w:b/>
          <w:color w:val="auto"/>
          <w:sz w:val="32"/>
          <w:szCs w:val="32"/>
          <w:lang w:val="en-US" w:eastAsia="zh-CN"/>
        </w:rPr>
        <w:t>2019年持平。</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rPr>
      </w:pPr>
      <w:bookmarkStart w:id="40" w:name="_Toc15396610"/>
      <w:bookmarkStart w:id="41" w:name="_Toc15377218"/>
      <w:r>
        <w:rPr>
          <w:rFonts w:hint="default" w:ascii="Times New Roman" w:hAnsi="Times New Roman" w:eastAsia="黑体" w:cs="Times New Roman"/>
          <w:color w:val="000000"/>
          <w:sz w:val="32"/>
          <w:szCs w:val="32"/>
        </w:rPr>
        <w:t>八、</w:t>
      </w:r>
      <w:r>
        <w:rPr>
          <w:rStyle w:val="29"/>
          <w:rFonts w:hint="default" w:ascii="Times New Roman" w:hAnsi="Times New Roman" w:eastAsia="黑体" w:cs="Times New Roman"/>
          <w:b w:val="0"/>
        </w:rPr>
        <w:t>政府性基金预算支出决算情况说明</w:t>
      </w:r>
      <w:bookmarkEnd w:id="40"/>
      <w:bookmarkEnd w:id="41"/>
    </w:p>
    <w:p>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四川省省级财政国库支付中心</w:t>
      </w:r>
      <w:r>
        <w:rPr>
          <w:rFonts w:hint="default" w:ascii="Times New Roman" w:hAnsi="Times New Roman" w:eastAsia="仿宋_GB2312" w:cs="Times New Roman"/>
          <w:color w:val="auto"/>
          <w:sz w:val="32"/>
          <w:szCs w:val="32"/>
        </w:rPr>
        <w:t>2020年</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政府性基金预算财政拨款支出。</w:t>
      </w:r>
    </w:p>
    <w:p>
      <w:pPr>
        <w:keepNext w:val="0"/>
        <w:keepLines w:val="0"/>
        <w:pageBreakBefore w:val="0"/>
        <w:widowControl w:val="0"/>
        <w:numPr>
          <w:ilvl w:val="0"/>
          <w:numId w:val="2"/>
        </w:numPr>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b w:val="0"/>
          <w:color w:val="auto"/>
        </w:rPr>
      </w:pPr>
      <w:bookmarkStart w:id="42" w:name="_Toc15377219"/>
      <w:bookmarkStart w:id="43" w:name="_Toc15396611"/>
      <w:r>
        <w:rPr>
          <w:rStyle w:val="29"/>
          <w:rFonts w:hint="default" w:ascii="Times New Roman" w:hAnsi="Times New Roman" w:eastAsia="黑体" w:cs="Times New Roman"/>
          <w:b w:val="0"/>
          <w:color w:val="auto"/>
        </w:rPr>
        <w:t>国有资本经营预算支出决算情况说明</w:t>
      </w:r>
      <w:bookmarkEnd w:id="42"/>
      <w:bookmarkEnd w:id="43"/>
    </w:p>
    <w:p>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color w:val="auto"/>
          <w:sz w:val="44"/>
          <w:szCs w:val="44"/>
          <w:lang w:eastAsia="zh-CN"/>
        </w:rPr>
      </w:pPr>
      <w:r>
        <w:rPr>
          <w:rFonts w:hint="default" w:ascii="Times New Roman" w:hAnsi="Times New Roman" w:eastAsia="仿宋_GB2312" w:cs="Times New Roman"/>
          <w:color w:val="auto"/>
          <w:sz w:val="32"/>
          <w:szCs w:val="32"/>
          <w:lang w:eastAsia="zh-CN"/>
        </w:rPr>
        <w:t>四川省省级财政国库支付中心</w:t>
      </w:r>
      <w:r>
        <w:rPr>
          <w:rFonts w:hint="default" w:ascii="Times New Roman" w:hAnsi="Times New Roman" w:eastAsia="仿宋_GB2312" w:cs="Times New Roman"/>
          <w:color w:val="auto"/>
          <w:sz w:val="32"/>
          <w:szCs w:val="32"/>
        </w:rPr>
        <w:t>2020年</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国有资本经营预算财政拨款支出。</w:t>
      </w:r>
    </w:p>
    <w:p>
      <w:pPr>
        <w:keepNext w:val="0"/>
        <w:keepLines w:val="0"/>
        <w:pageBreakBefore w:val="0"/>
        <w:widowControl w:val="0"/>
        <w:numPr>
          <w:ilvl w:val="0"/>
          <w:numId w:val="2"/>
        </w:numPr>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b w:val="0"/>
          <w:color w:val="auto"/>
        </w:rPr>
      </w:pPr>
      <w:bookmarkStart w:id="44" w:name="_Toc15396612"/>
      <w:bookmarkStart w:id="45" w:name="_Toc15377221"/>
      <w:r>
        <w:rPr>
          <w:rStyle w:val="29"/>
          <w:rFonts w:hint="default" w:ascii="Times New Roman" w:hAnsi="Times New Roman" w:eastAsia="黑体" w:cs="Times New Roman"/>
          <w:b w:val="0"/>
          <w:color w:val="auto"/>
        </w:rPr>
        <w:t>其他重要事项的情况说明</w:t>
      </w:r>
      <w:bookmarkEnd w:id="44"/>
      <w:bookmarkEnd w:id="45"/>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楷体_GB2312" w:cs="Times New Roman"/>
          <w:color w:val="auto"/>
          <w:sz w:val="32"/>
          <w:szCs w:val="32"/>
        </w:rPr>
      </w:pPr>
      <w:bookmarkStart w:id="46" w:name="_Toc15377222"/>
      <w:r>
        <w:rPr>
          <w:rFonts w:hint="default" w:ascii="Times New Roman" w:hAnsi="Times New Roman" w:eastAsia="楷体_GB2312" w:cs="Times New Roman"/>
          <w:b/>
          <w:color w:val="auto"/>
          <w:sz w:val="32"/>
          <w:szCs w:val="32"/>
        </w:rPr>
        <w:t>（一）机关运行经费支出情况</w:t>
      </w:r>
      <w:bookmarkEnd w:id="46"/>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b/>
          <w:color w:val="auto"/>
          <w:sz w:val="32"/>
          <w:szCs w:val="32"/>
        </w:rPr>
      </w:pPr>
      <w:r>
        <w:rPr>
          <w:rFonts w:hint="default" w:ascii="Times New Roman" w:hAnsi="Times New Roman" w:eastAsia="仿宋_GB2312" w:cs="Times New Roman"/>
          <w:color w:val="auto"/>
          <w:sz w:val="32"/>
          <w:szCs w:val="32"/>
        </w:rPr>
        <w:t>2020年，四川省省级财政国库支付中心运行经费支出92.36万元，比2019年增加1.64万元，增长1.81%，与</w:t>
      </w:r>
      <w:r>
        <w:rPr>
          <w:rFonts w:hint="default" w:ascii="Times New Roman" w:hAnsi="Times New Roman" w:eastAsia="仿宋_GB2312" w:cs="Times New Roman"/>
          <w:color w:val="auto"/>
          <w:sz w:val="32"/>
          <w:szCs w:val="32"/>
          <w:lang w:val="en-US" w:eastAsia="zh-CN"/>
        </w:rPr>
        <w:t>2019年决算数</w:t>
      </w:r>
      <w:r>
        <w:rPr>
          <w:rFonts w:hint="default" w:ascii="Times New Roman" w:hAnsi="Times New Roman" w:eastAsia="仿宋_GB2312" w:cs="Times New Roman"/>
          <w:color w:val="auto"/>
          <w:sz w:val="32"/>
          <w:szCs w:val="32"/>
        </w:rPr>
        <w:t>基本持平。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hint="default" w:ascii="Times New Roman" w:hAnsi="Times New Roman" w:eastAsia="楷体_GB2312" w:cs="Times New Roman"/>
          <w:b/>
          <w:color w:val="auto"/>
          <w:sz w:val="32"/>
          <w:szCs w:val="32"/>
        </w:rPr>
      </w:pPr>
      <w:bookmarkStart w:id="47" w:name="_Toc15377223"/>
      <w:r>
        <w:rPr>
          <w:rFonts w:hint="default" w:ascii="Times New Roman" w:hAnsi="Times New Roman" w:eastAsia="楷体_GB2312" w:cs="Times New Roman"/>
          <w:b/>
          <w:color w:val="auto"/>
          <w:sz w:val="32"/>
          <w:szCs w:val="32"/>
        </w:rPr>
        <w:t>（二）政府采购支出情况</w:t>
      </w:r>
      <w:bookmarkEnd w:id="47"/>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b/>
          <w:color w:val="auto"/>
          <w:sz w:val="32"/>
          <w:szCs w:val="32"/>
        </w:rPr>
      </w:pPr>
      <w:r>
        <w:rPr>
          <w:rFonts w:hint="default" w:ascii="Times New Roman" w:hAnsi="Times New Roman" w:eastAsia="仿宋_GB2312" w:cs="Times New Roman"/>
          <w:color w:val="auto"/>
          <w:sz w:val="32"/>
          <w:szCs w:val="32"/>
        </w:rPr>
        <w:t>2020年，四川省省级财政国库支付中心</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政府采购支出。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hint="default" w:ascii="Times New Roman" w:hAnsi="Times New Roman" w:eastAsia="楷体_GB2312" w:cs="Times New Roman"/>
          <w:b/>
          <w:color w:val="auto"/>
          <w:sz w:val="32"/>
          <w:szCs w:val="32"/>
        </w:rPr>
      </w:pPr>
      <w:bookmarkStart w:id="48" w:name="_Toc15377224"/>
      <w:r>
        <w:rPr>
          <w:rFonts w:hint="default" w:ascii="Times New Roman" w:hAnsi="Times New Roman" w:eastAsia="楷体_GB2312" w:cs="Times New Roman"/>
          <w:b/>
          <w:color w:val="auto"/>
          <w:sz w:val="32"/>
          <w:szCs w:val="32"/>
        </w:rPr>
        <w:t>（三）国有资产占有使用情况</w:t>
      </w:r>
      <w:bookmarkEnd w:id="48"/>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截至2020年12月31日，四川省省级财政国库支付中心共有车辆1辆，其中：其他用车1辆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eastAsia="zh-CN"/>
        </w:rPr>
        <w:t>开展脱贫攻坚基层工作调研检查、对口帮扶慰问等公务出行。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单价50万元以上通用设备，</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单价100万元以上专用设备。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（四）预算绩效管理情况</w:t>
      </w:r>
    </w:p>
    <w:p>
      <w:pPr>
        <w:pStyle w:val="6"/>
        <w:keepNext w:val="0"/>
        <w:keepLines w:val="0"/>
        <w:pageBreakBefore w:val="0"/>
        <w:widowControl w:val="0"/>
        <w:kinsoku/>
        <w:wordWrap/>
        <w:overflowPunct/>
        <w:topLinePunct w:val="0"/>
        <w:bidi w:val="0"/>
        <w:snapToGrid/>
        <w:spacing w:before="93" w:line="560" w:lineRule="exact"/>
        <w:ind w:firstLine="640" w:firstLineChars="200"/>
        <w:textAlignment w:val="auto"/>
        <w:rPr>
          <w:rFonts w:hint="default" w:ascii="Times New Roman" w:hAnsi="Times New Roman" w:cs="Times New Roman"/>
          <w:sz w:val="32"/>
          <w:szCs w:val="32"/>
        </w:rPr>
      </w:pPr>
      <w:r>
        <w:rPr>
          <w:rFonts w:hint="eastAsia" w:ascii="Times New Roman" w:cs="Times New Roman"/>
          <w:sz w:val="32"/>
          <w:szCs w:val="32"/>
          <w:lang w:eastAsia="zh-CN"/>
        </w:rPr>
        <w:t>本单位</w:t>
      </w:r>
      <w:r>
        <w:rPr>
          <w:rFonts w:hint="eastAsia" w:ascii="Times New Roman" w:cs="Times New Roman"/>
          <w:sz w:val="32"/>
          <w:szCs w:val="32"/>
          <w:lang w:val="en-US" w:eastAsia="zh-CN"/>
        </w:rPr>
        <w:t>2020年度</w:t>
      </w:r>
      <w:r>
        <w:rPr>
          <w:rFonts w:hint="eastAsia" w:ascii="Times New Roman" w:cs="Times New Roman"/>
          <w:sz w:val="32"/>
          <w:szCs w:val="32"/>
          <w:lang w:eastAsia="zh-CN"/>
        </w:rPr>
        <w:t>无</w:t>
      </w:r>
      <w:r>
        <w:rPr>
          <w:rFonts w:hint="eastAsia" w:ascii="Times New Roman" w:cs="Times New Roman"/>
          <w:sz w:val="32"/>
          <w:szCs w:val="32"/>
          <w:lang w:val="en-US" w:eastAsia="zh-CN"/>
        </w:rPr>
        <w:t>100万元以上的项目，未</w:t>
      </w:r>
      <w:r>
        <w:rPr>
          <w:rFonts w:hint="default" w:ascii="Times New Roman" w:hAnsi="Times New Roman" w:cs="Times New Roman"/>
          <w:sz w:val="32"/>
          <w:szCs w:val="32"/>
        </w:rPr>
        <w:t>组织开展项目支出绩效</w:t>
      </w:r>
      <w:r>
        <w:rPr>
          <w:rFonts w:hint="eastAsia" w:ascii="Times New Roman" w:cs="Times New Roman"/>
          <w:sz w:val="32"/>
          <w:szCs w:val="32"/>
          <w:lang w:eastAsia="zh-CN"/>
        </w:rPr>
        <w:t>自评</w:t>
      </w:r>
      <w:r>
        <w:rPr>
          <w:rFonts w:hint="default" w:ascii="Times New Roman" w:hAnsi="Times New Roman" w:cs="Times New Roman"/>
          <w:sz w:val="32"/>
          <w:szCs w:val="32"/>
        </w:rPr>
        <w:t>。</w:t>
      </w:r>
    </w:p>
    <w:p>
      <w:pPr>
        <w:widowControl/>
        <w:spacing w:line="560" w:lineRule="exact"/>
        <w:jc w:val="left"/>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br w:type="page"/>
      </w:r>
    </w:p>
    <w:p>
      <w:pPr>
        <w:numPr>
          <w:ilvl w:val="0"/>
          <w:numId w:val="0"/>
        </w:numPr>
        <w:tabs>
          <w:tab w:val="left" w:pos="1659"/>
        </w:tabs>
        <w:spacing w:line="560" w:lineRule="exact"/>
        <w:jc w:val="center"/>
        <w:outlineLvl w:val="0"/>
        <w:rPr>
          <w:rStyle w:val="28"/>
          <w:rFonts w:hint="default" w:ascii="Times New Roman" w:hAnsi="Times New Roman" w:eastAsia="黑体" w:cs="Times New Roman"/>
          <w:b w:val="0"/>
          <w:color w:val="auto"/>
          <w:highlight w:val="none"/>
        </w:rPr>
      </w:pPr>
      <w:bookmarkStart w:id="49" w:name="_Toc15396613"/>
      <w:bookmarkStart w:id="50" w:name="_Toc15377225"/>
      <w:r>
        <w:rPr>
          <w:rFonts w:hint="default" w:ascii="Times New Roman" w:hAnsi="Times New Roman" w:eastAsia="黑体" w:cs="Times New Roman"/>
          <w:color w:val="auto"/>
          <w:sz w:val="44"/>
          <w:szCs w:val="44"/>
          <w:highlight w:val="none"/>
          <w:lang w:eastAsia="zh-CN"/>
        </w:rPr>
        <w:t>第三部分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w:t>
      </w:r>
      <w:r>
        <w:rPr>
          <w:rStyle w:val="28"/>
          <w:rFonts w:hint="default" w:ascii="Times New Roman" w:hAnsi="Times New Roman" w:eastAsia="黑体" w:cs="Times New Roman"/>
          <w:b w:val="0"/>
          <w:color w:val="auto"/>
          <w:highlight w:val="none"/>
        </w:rPr>
        <w:t>词解释</w:t>
      </w:r>
      <w:bookmarkEnd w:id="49"/>
      <w:bookmarkEnd w:id="50"/>
    </w:p>
    <w:p>
      <w:pPr>
        <w:spacing w:line="560" w:lineRule="exact"/>
        <w:jc w:val="left"/>
        <w:rPr>
          <w:rFonts w:hint="default" w:ascii="Times New Roman" w:hAnsi="Times New Roman" w:cs="Times New Roman"/>
          <w:b/>
          <w:color w:val="000000"/>
          <w:sz w:val="44"/>
          <w:szCs w:val="44"/>
          <w:highlight w:val="yellow"/>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highlight w:val="none"/>
          <w:shd w:val="clear" w:color="auto" w:fill="FFFFFF"/>
        </w:rPr>
      </w:pPr>
      <w:bookmarkStart w:id="51" w:name="_Toc15377226"/>
      <w:r>
        <w:rPr>
          <w:rFonts w:hint="default" w:ascii="Times New Roman" w:hAnsi="Times New Roman" w:eastAsia="楷体_GB2312" w:cs="Times New Roman"/>
          <w:b/>
          <w:bCs/>
          <w:color w:val="auto"/>
          <w:sz w:val="32"/>
          <w:szCs w:val="32"/>
          <w:highlight w:val="none"/>
          <w:shd w:val="clear" w:color="auto" w:fill="FFFFFF"/>
        </w:rPr>
        <w:t>1.财政拨款收入：</w:t>
      </w:r>
      <w:r>
        <w:rPr>
          <w:rFonts w:hint="default" w:ascii="Times New Roman" w:hAnsi="Times New Roman" w:eastAsia="仿宋_GB2312" w:cs="Times New Roman"/>
          <w:b w:val="0"/>
          <w:bCs w:val="0"/>
          <w:color w:val="auto"/>
          <w:sz w:val="32"/>
          <w:szCs w:val="32"/>
          <w:highlight w:val="none"/>
          <w:shd w:val="clear" w:color="auto" w:fill="FFFFFF"/>
        </w:rPr>
        <w:t>指单位从同级财政部门取得的财政预算资金。</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Style w:val="18"/>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2.</w:t>
      </w:r>
      <w:r>
        <w:rPr>
          <w:rStyle w:val="18"/>
          <w:rFonts w:hint="default" w:ascii="Times New Roman" w:hAnsi="Times New Roman" w:eastAsia="楷体_GB2312" w:cs="Times New Roman"/>
          <w:b/>
          <w:bCs/>
          <w:color w:val="auto"/>
          <w:sz w:val="32"/>
          <w:szCs w:val="32"/>
          <w:highlight w:val="none"/>
        </w:rPr>
        <w:t>一般公共服务（类）财政事务（款）行政运行（项）</w:t>
      </w:r>
      <w:r>
        <w:rPr>
          <w:rStyle w:val="18"/>
          <w:rFonts w:hint="default" w:ascii="Times New Roman" w:hAnsi="Times New Roman" w:eastAsia="楷体_GB2312" w:cs="Times New Roman"/>
          <w:b/>
          <w:bCs/>
          <w:color w:val="auto"/>
          <w:sz w:val="32"/>
          <w:szCs w:val="32"/>
          <w:highlight w:val="none"/>
          <w:lang w:eastAsia="zh-CN"/>
        </w:rPr>
        <w:t>：</w:t>
      </w:r>
      <w:r>
        <w:rPr>
          <w:rStyle w:val="18"/>
          <w:rFonts w:hint="default" w:ascii="Times New Roman" w:hAnsi="Times New Roman" w:eastAsia="仿宋" w:cs="Times New Roman"/>
          <w:b w:val="0"/>
          <w:bCs w:val="0"/>
          <w:color w:val="auto"/>
          <w:sz w:val="32"/>
          <w:szCs w:val="32"/>
          <w:highlight w:val="none"/>
          <w:lang w:eastAsia="zh-CN"/>
        </w:rPr>
        <w:t>指参公管理事业单位用于保障机构正常运行、开展日常工作的基本支出。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firstLineChars="200"/>
        <w:textAlignment w:val="auto"/>
        <w:rPr>
          <w:rStyle w:val="18"/>
          <w:rFonts w:hint="default" w:ascii="Times New Roman" w:hAnsi="Times New Roman" w:eastAsia="仿宋" w:cs="Times New Roman"/>
          <w:b w:val="0"/>
          <w:bCs w:val="0"/>
          <w:color w:val="auto"/>
          <w:sz w:val="32"/>
          <w:szCs w:val="32"/>
          <w:highlight w:val="none"/>
          <w:lang w:eastAsia="zh-CN"/>
        </w:rPr>
      </w:pPr>
      <w:r>
        <w:rPr>
          <w:rStyle w:val="18"/>
          <w:rFonts w:hint="default" w:ascii="Times New Roman" w:hAnsi="Times New Roman" w:eastAsia="楷体_GB2312" w:cs="Times New Roman"/>
          <w:b/>
          <w:bCs/>
          <w:color w:val="auto"/>
          <w:sz w:val="32"/>
          <w:szCs w:val="32"/>
          <w:highlight w:val="none"/>
          <w:lang w:val="en-US" w:eastAsia="zh-CN"/>
        </w:rPr>
        <w:t>3.</w:t>
      </w:r>
      <w:r>
        <w:rPr>
          <w:rStyle w:val="18"/>
          <w:rFonts w:hint="default" w:ascii="Times New Roman" w:hAnsi="Times New Roman" w:eastAsia="楷体_GB2312" w:cs="Times New Roman"/>
          <w:b/>
          <w:bCs/>
          <w:color w:val="auto"/>
          <w:sz w:val="32"/>
          <w:szCs w:val="32"/>
          <w:highlight w:val="none"/>
        </w:rPr>
        <w:t>一般公共服务（类）财政事务（款）一般行政管理事务（项）</w:t>
      </w:r>
      <w:r>
        <w:rPr>
          <w:rStyle w:val="18"/>
          <w:rFonts w:hint="default" w:ascii="Times New Roman" w:hAnsi="Times New Roman" w:eastAsia="楷体_GB2312" w:cs="Times New Roman"/>
          <w:b/>
          <w:bCs/>
          <w:color w:val="auto"/>
          <w:sz w:val="32"/>
          <w:szCs w:val="32"/>
          <w:highlight w:val="none"/>
          <w:lang w:eastAsia="zh-CN"/>
        </w:rPr>
        <w:t>：</w:t>
      </w:r>
      <w:r>
        <w:rPr>
          <w:rStyle w:val="18"/>
          <w:rFonts w:hint="default" w:ascii="Times New Roman" w:hAnsi="Times New Roman" w:eastAsia="仿宋" w:cs="Times New Roman"/>
          <w:b w:val="0"/>
          <w:bCs w:val="0"/>
          <w:color w:val="auto"/>
          <w:sz w:val="32"/>
          <w:szCs w:val="32"/>
          <w:highlight w:val="none"/>
          <w:lang w:eastAsia="zh-CN"/>
        </w:rPr>
        <w:t>指开展财政综合业务、决算编审等未单独设置项级科目的专门性财政管理工作的支出。</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default" w:ascii="Times New Roman" w:hAnsi="Times New Roman" w:cs="Times New Roman"/>
          <w:b w:val="0"/>
          <w:bCs w:val="0"/>
          <w:color w:val="auto"/>
          <w:lang w:val="en-US"/>
        </w:rPr>
      </w:pPr>
      <w:r>
        <w:rPr>
          <w:rStyle w:val="18"/>
          <w:rFonts w:hint="default" w:ascii="Times New Roman" w:hAnsi="Times New Roman" w:eastAsia="楷体_GB2312" w:cs="Times New Roman"/>
          <w:b/>
          <w:bCs/>
          <w:color w:val="auto"/>
          <w:sz w:val="32"/>
          <w:szCs w:val="32"/>
          <w:highlight w:val="none"/>
          <w:lang w:val="en-US" w:eastAsia="zh-CN"/>
        </w:rPr>
        <w:t>4</w:t>
      </w:r>
      <w:r>
        <w:rPr>
          <w:rStyle w:val="18"/>
          <w:rFonts w:hint="default" w:ascii="Times New Roman" w:hAnsi="Times New Roman" w:eastAsia="楷体_GB2312" w:cs="Times New Roman"/>
          <w:b/>
          <w:bCs/>
          <w:color w:val="auto"/>
          <w:sz w:val="32"/>
          <w:szCs w:val="32"/>
          <w:highlight w:val="none"/>
        </w:rPr>
        <w:t>.社会保障和就业（类）行政事业单位养老（款）机关事业单位基本养老保险缴费（项）</w:t>
      </w:r>
      <w:r>
        <w:rPr>
          <w:rStyle w:val="18"/>
          <w:rFonts w:hint="default" w:ascii="Times New Roman" w:hAnsi="Times New Roman" w:eastAsia="楷体_GB2312" w:cs="Times New Roman"/>
          <w:b/>
          <w:bCs/>
          <w:color w:val="auto"/>
          <w:sz w:val="32"/>
          <w:szCs w:val="32"/>
          <w:highlight w:val="none"/>
          <w:lang w:eastAsia="zh-CN"/>
        </w:rPr>
        <w:t>：</w:t>
      </w:r>
      <w:r>
        <w:rPr>
          <w:rStyle w:val="18"/>
          <w:rFonts w:hint="default" w:ascii="Times New Roman" w:hAnsi="Times New Roman" w:eastAsia="仿宋" w:cs="Times New Roman"/>
          <w:b w:val="0"/>
          <w:bCs w:val="0"/>
          <w:color w:val="auto"/>
          <w:sz w:val="32"/>
          <w:szCs w:val="32"/>
          <w:highlight w:val="none"/>
          <w:lang w:eastAsia="zh-CN"/>
        </w:rPr>
        <w:t>指单位实施养老保险制度由单位缴纳的养老保险费的支出。</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Style w:val="18"/>
          <w:rFonts w:hint="default" w:ascii="Times New Roman" w:hAnsi="Times New Roman" w:eastAsia="楷体_GB2312" w:cs="Times New Roman"/>
          <w:b/>
          <w:bCs/>
          <w:color w:val="auto"/>
          <w:sz w:val="32"/>
          <w:szCs w:val="32"/>
          <w:highlight w:val="none"/>
          <w:lang w:eastAsia="zh-CN"/>
        </w:rPr>
      </w:pPr>
      <w:r>
        <w:rPr>
          <w:rStyle w:val="18"/>
          <w:rFonts w:hint="default" w:ascii="Times New Roman" w:hAnsi="Times New Roman" w:eastAsia="楷体_GB2312" w:cs="Times New Roman"/>
          <w:b/>
          <w:bCs/>
          <w:color w:val="auto"/>
          <w:sz w:val="32"/>
          <w:szCs w:val="32"/>
          <w:highlight w:val="none"/>
          <w:lang w:val="en-US" w:eastAsia="zh-CN"/>
        </w:rPr>
        <w:t>5</w:t>
      </w:r>
      <w:r>
        <w:rPr>
          <w:rStyle w:val="18"/>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rPr>
        <w:t>卫生健康</w:t>
      </w:r>
      <w:r>
        <w:rPr>
          <w:rStyle w:val="18"/>
          <w:rFonts w:hint="default" w:ascii="Times New Roman" w:hAnsi="Times New Roman" w:eastAsia="楷体_GB2312" w:cs="Times New Roman"/>
          <w:b/>
          <w:bCs/>
          <w:color w:val="auto"/>
          <w:sz w:val="32"/>
          <w:szCs w:val="32"/>
          <w:highlight w:val="none"/>
        </w:rPr>
        <w:t>（类）行政事业单位医疗（款）行政单位医疗（项）</w:t>
      </w:r>
      <w:r>
        <w:rPr>
          <w:rStyle w:val="18"/>
          <w:rFonts w:hint="default" w:ascii="Times New Roman" w:hAnsi="Times New Roman" w:eastAsia="楷体_GB2312" w:cs="Times New Roman"/>
          <w:b/>
          <w:bCs/>
          <w:color w:val="auto"/>
          <w:sz w:val="32"/>
          <w:szCs w:val="32"/>
          <w:highlight w:val="none"/>
          <w:lang w:eastAsia="zh-CN"/>
        </w:rPr>
        <w:t>：</w:t>
      </w:r>
    </w:p>
    <w:p>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cs="Times New Roman"/>
          <w:b w:val="0"/>
          <w:bCs w:val="0"/>
          <w:color w:val="auto"/>
          <w:lang w:val="en-US" w:eastAsia="zh-CN"/>
        </w:rPr>
      </w:pPr>
      <w:r>
        <w:rPr>
          <w:rStyle w:val="18"/>
          <w:rFonts w:hint="default" w:ascii="Times New Roman" w:hAnsi="Times New Roman" w:eastAsia="仿宋" w:cs="Times New Roman"/>
          <w:b w:val="0"/>
          <w:bCs w:val="0"/>
          <w:color w:val="auto"/>
          <w:sz w:val="32"/>
          <w:szCs w:val="32"/>
          <w:highlight w:val="none"/>
          <w:lang w:eastAsia="zh-CN"/>
        </w:rPr>
        <w:t>指参公管理事业单位用于缴纳单位基本医疗保险的支出。</w:t>
      </w:r>
      <w:r>
        <w:rPr>
          <w:rStyle w:val="18"/>
          <w:rFonts w:hint="default" w:ascii="Times New Roman" w:hAnsi="Times New Roman" w:eastAsia="仿宋" w:cs="Times New Roman"/>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Style w:val="18"/>
          <w:rFonts w:hint="default" w:ascii="Times New Roman" w:hAnsi="Times New Roman" w:eastAsia="仿宋" w:cs="Times New Roman"/>
          <w:b w:val="0"/>
          <w:bCs w:val="0"/>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6.</w:t>
      </w:r>
      <w:r>
        <w:rPr>
          <w:rFonts w:hint="default" w:ascii="Times New Roman" w:hAnsi="Times New Roman" w:eastAsia="楷体_GB2312" w:cs="Times New Roman"/>
          <w:b/>
          <w:bCs/>
          <w:color w:val="auto"/>
          <w:sz w:val="32"/>
          <w:szCs w:val="32"/>
          <w:highlight w:val="none"/>
        </w:rPr>
        <w:t>卫生健康</w:t>
      </w:r>
      <w:r>
        <w:rPr>
          <w:rStyle w:val="18"/>
          <w:rFonts w:hint="default" w:ascii="Times New Roman" w:hAnsi="Times New Roman" w:eastAsia="楷体_GB2312" w:cs="Times New Roman"/>
          <w:b/>
          <w:bCs/>
          <w:color w:val="auto"/>
          <w:sz w:val="32"/>
          <w:szCs w:val="32"/>
          <w:highlight w:val="none"/>
        </w:rPr>
        <w:t>（类）行政事业单位医疗（款）公务员医疗补助（项）</w:t>
      </w:r>
      <w:r>
        <w:rPr>
          <w:rStyle w:val="18"/>
          <w:rFonts w:hint="default" w:ascii="Times New Roman" w:hAnsi="Times New Roman" w:eastAsia="楷体_GB2312" w:cs="Times New Roman"/>
          <w:b/>
          <w:bCs/>
          <w:color w:val="auto"/>
          <w:sz w:val="32"/>
          <w:szCs w:val="32"/>
          <w:highlight w:val="none"/>
          <w:lang w:eastAsia="zh-CN"/>
        </w:rPr>
        <w:t>：</w:t>
      </w:r>
      <w:r>
        <w:rPr>
          <w:rStyle w:val="18"/>
          <w:rFonts w:hint="default" w:ascii="Times New Roman" w:hAnsi="Times New Roman" w:eastAsia="仿宋" w:cs="Times New Roman"/>
          <w:b w:val="0"/>
          <w:bCs w:val="0"/>
          <w:color w:val="auto"/>
          <w:sz w:val="32"/>
          <w:szCs w:val="32"/>
          <w:highlight w:val="none"/>
          <w:lang w:eastAsia="zh-CN"/>
        </w:rPr>
        <w:t>指参公管理事业单位用于集中缴纳公务员医疗补助的支出</w:t>
      </w:r>
      <w:r>
        <w:rPr>
          <w:rStyle w:val="18"/>
          <w:rFonts w:hint="default" w:ascii="Times New Roman" w:hAnsi="Times New Roman" w:eastAsia="仿宋" w:cs="Times New Roman"/>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Style w:val="18"/>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val="en-US" w:eastAsia="zh-CN"/>
        </w:rPr>
        <w:t>7.</w:t>
      </w:r>
      <w:r>
        <w:rPr>
          <w:rFonts w:hint="default" w:ascii="Times New Roman" w:hAnsi="Times New Roman" w:eastAsia="楷体_GB2312" w:cs="Times New Roman"/>
          <w:b/>
          <w:bCs/>
          <w:color w:val="auto"/>
          <w:sz w:val="32"/>
          <w:szCs w:val="32"/>
          <w:highlight w:val="none"/>
        </w:rPr>
        <w:t>住房保障</w:t>
      </w:r>
      <w:r>
        <w:rPr>
          <w:rStyle w:val="18"/>
          <w:rFonts w:hint="default" w:ascii="Times New Roman" w:hAnsi="Times New Roman" w:eastAsia="楷体_GB2312" w:cs="Times New Roman"/>
          <w:b/>
          <w:bCs/>
          <w:color w:val="auto"/>
          <w:sz w:val="32"/>
          <w:szCs w:val="32"/>
          <w:highlight w:val="none"/>
        </w:rPr>
        <w:t>（类）住房改革（款）住房公积金（项）</w:t>
      </w:r>
      <w:r>
        <w:rPr>
          <w:rStyle w:val="18"/>
          <w:rFonts w:hint="default" w:ascii="Times New Roman" w:hAnsi="Times New Roman" w:eastAsia="楷体_GB2312" w:cs="Times New Roman"/>
          <w:b/>
          <w:bCs/>
          <w:color w:val="auto"/>
          <w:sz w:val="32"/>
          <w:szCs w:val="32"/>
          <w:highlight w:val="none"/>
          <w:lang w:eastAsia="zh-CN"/>
        </w:rPr>
        <w:t>：</w:t>
      </w:r>
      <w:r>
        <w:rPr>
          <w:rStyle w:val="18"/>
          <w:rFonts w:hint="default" w:ascii="Times New Roman" w:hAnsi="Times New Roman" w:eastAsia="仿宋" w:cs="Times New Roman"/>
          <w:b w:val="0"/>
          <w:bCs w:val="0"/>
          <w:color w:val="auto"/>
          <w:sz w:val="32"/>
          <w:szCs w:val="32"/>
          <w:highlight w:val="none"/>
          <w:lang w:eastAsia="zh-CN"/>
        </w:rPr>
        <w:t>指按照《住房公积金管理条例》的规定，由单位及其在职职工缴存的长期住房储金。</w:t>
      </w:r>
    </w:p>
    <w:p>
      <w:pPr>
        <w:pStyle w:val="6"/>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Style w:val="18"/>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val="en-US" w:eastAsia="zh-CN"/>
        </w:rPr>
        <w:t>8.</w:t>
      </w:r>
      <w:r>
        <w:rPr>
          <w:rFonts w:hint="default" w:ascii="Times New Roman" w:hAnsi="Times New Roman" w:eastAsia="楷体_GB2312" w:cs="Times New Roman"/>
          <w:b/>
          <w:bCs/>
          <w:color w:val="auto"/>
          <w:sz w:val="32"/>
          <w:szCs w:val="32"/>
          <w:highlight w:val="none"/>
        </w:rPr>
        <w:t>住房保障</w:t>
      </w:r>
      <w:r>
        <w:rPr>
          <w:rStyle w:val="18"/>
          <w:rFonts w:hint="default" w:ascii="Times New Roman" w:hAnsi="Times New Roman" w:eastAsia="楷体_GB2312" w:cs="Times New Roman"/>
          <w:b/>
          <w:bCs/>
          <w:color w:val="auto"/>
          <w:sz w:val="32"/>
          <w:szCs w:val="32"/>
          <w:highlight w:val="none"/>
        </w:rPr>
        <w:t>（类）住房改革（款）购房补贴（项）</w:t>
      </w:r>
      <w:r>
        <w:rPr>
          <w:rStyle w:val="18"/>
          <w:rFonts w:hint="default" w:ascii="Times New Roman" w:hAnsi="Times New Roman" w:eastAsia="楷体_GB2312" w:cs="Times New Roman"/>
          <w:b/>
          <w:bCs/>
          <w:color w:val="auto"/>
          <w:sz w:val="32"/>
          <w:szCs w:val="32"/>
          <w:highlight w:val="none"/>
          <w:lang w:eastAsia="zh-CN"/>
        </w:rPr>
        <w:t>：</w:t>
      </w:r>
      <w:r>
        <w:rPr>
          <w:rStyle w:val="18"/>
          <w:rFonts w:hint="default" w:ascii="Times New Roman" w:hAnsi="Times New Roman" w:eastAsia="仿宋" w:cs="Times New Roman"/>
          <w:b w:val="0"/>
          <w:bCs w:val="0"/>
          <w:color w:val="auto"/>
          <w:sz w:val="32"/>
          <w:szCs w:val="32"/>
          <w:highlight w:val="none"/>
          <w:lang w:eastAsia="zh-CN"/>
        </w:rPr>
        <w:t>指按房改政策规定的标准，向符合条件职工发放的用于购买住房的补贴。</w:t>
      </w:r>
    </w:p>
    <w:p>
      <w:pPr>
        <w:pStyle w:val="6"/>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shd w:val="clear" w:color="auto" w:fill="FFFFFF"/>
        </w:rPr>
      </w:pPr>
      <w:r>
        <w:rPr>
          <w:rStyle w:val="18"/>
          <w:rFonts w:hint="default" w:ascii="Times New Roman" w:hAnsi="Times New Roman" w:eastAsia="楷体_GB2312" w:cs="Times New Roman"/>
          <w:b/>
          <w:bCs/>
          <w:color w:val="auto"/>
          <w:sz w:val="32"/>
          <w:szCs w:val="32"/>
          <w:highlight w:val="none"/>
          <w:lang w:val="en-US" w:eastAsia="zh-CN"/>
        </w:rPr>
        <w:t>9.</w:t>
      </w:r>
      <w:r>
        <w:rPr>
          <w:rFonts w:hint="default" w:ascii="Times New Roman" w:hAnsi="Times New Roman" w:eastAsia="楷体_GB2312" w:cs="Times New Roman"/>
          <w:b/>
          <w:bCs/>
          <w:color w:val="auto"/>
          <w:sz w:val="32"/>
          <w:szCs w:val="32"/>
          <w:highlight w:val="none"/>
          <w:shd w:val="clear" w:color="auto" w:fill="FFFFFF"/>
        </w:rPr>
        <w:t>基本支出：</w:t>
      </w:r>
      <w:r>
        <w:rPr>
          <w:rFonts w:hint="default" w:ascii="Times New Roman" w:hAnsi="Times New Roman" w:eastAsia="仿宋_GB2312" w:cs="Times New Roman"/>
          <w:b w:val="0"/>
          <w:bCs w:val="0"/>
          <w:color w:val="auto"/>
          <w:sz w:val="32"/>
          <w:szCs w:val="32"/>
          <w:highlight w:val="none"/>
          <w:shd w:val="clear" w:color="auto" w:fill="FFFFFF"/>
        </w:rPr>
        <w:t>指为保障机构正常运转、完成日常工作任务而发生的人员支出和公用支出。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highlight w:val="none"/>
          <w:shd w:val="clear" w:color="auto" w:fill="FFFFFF"/>
        </w:rPr>
      </w:pPr>
      <w:r>
        <w:rPr>
          <w:rFonts w:hint="default" w:ascii="Times New Roman" w:hAnsi="Times New Roman" w:eastAsia="楷体_GB2312" w:cs="Times New Roman"/>
          <w:b/>
          <w:bCs/>
          <w:color w:val="auto"/>
          <w:sz w:val="32"/>
          <w:szCs w:val="32"/>
          <w:highlight w:val="none"/>
          <w:shd w:val="clear" w:color="auto" w:fill="FFFFFF"/>
          <w:lang w:val="en-US" w:eastAsia="zh-CN"/>
        </w:rPr>
        <w:t>10</w:t>
      </w:r>
      <w:r>
        <w:rPr>
          <w:rFonts w:hint="default" w:ascii="Times New Roman" w:hAnsi="Times New Roman" w:eastAsia="楷体_GB2312" w:cs="Times New Roman"/>
          <w:b/>
          <w:bCs/>
          <w:color w:val="auto"/>
          <w:sz w:val="32"/>
          <w:szCs w:val="32"/>
          <w:highlight w:val="none"/>
          <w:shd w:val="clear" w:color="auto" w:fill="FFFFFF"/>
        </w:rPr>
        <w:t>.项目支出：</w:t>
      </w:r>
      <w:r>
        <w:rPr>
          <w:rFonts w:hint="default" w:ascii="Times New Roman" w:hAnsi="Times New Roman" w:eastAsia="仿宋_GB2312" w:cs="Times New Roman"/>
          <w:b w:val="0"/>
          <w:bCs w:val="0"/>
          <w:color w:val="auto"/>
          <w:sz w:val="32"/>
          <w:szCs w:val="32"/>
          <w:highlight w:val="none"/>
          <w:shd w:val="clear" w:color="auto" w:fill="FFFFFF"/>
        </w:rPr>
        <w:t>指在基本支出之外为完成特定行政任务和事业发展目标所发生的支出。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highlight w:val="none"/>
          <w:shd w:val="clear" w:color="auto" w:fill="FFFFFF"/>
        </w:rPr>
      </w:pPr>
      <w:r>
        <w:rPr>
          <w:rFonts w:hint="default" w:ascii="Times New Roman" w:hAnsi="Times New Roman" w:eastAsia="楷体_GB2312" w:cs="Times New Roman"/>
          <w:b/>
          <w:bCs/>
          <w:color w:val="auto"/>
          <w:sz w:val="32"/>
          <w:szCs w:val="32"/>
          <w:highlight w:val="none"/>
          <w:shd w:val="clear" w:color="auto" w:fill="FFFFFF"/>
          <w:lang w:val="en-US" w:eastAsia="zh-CN"/>
        </w:rPr>
        <w:t>11</w:t>
      </w:r>
      <w:r>
        <w:rPr>
          <w:rFonts w:hint="default" w:ascii="Times New Roman" w:hAnsi="Times New Roman" w:eastAsia="楷体_GB2312" w:cs="Times New Roman"/>
          <w:b/>
          <w:bCs/>
          <w:color w:val="auto"/>
          <w:sz w:val="32"/>
          <w:szCs w:val="32"/>
          <w:highlight w:val="none"/>
          <w:shd w:val="clear" w:color="auto" w:fill="FFFFFF"/>
        </w:rPr>
        <w:t>.“三公”经费：</w:t>
      </w:r>
      <w:r>
        <w:rPr>
          <w:rFonts w:hint="default" w:ascii="Times New Roman" w:hAnsi="Times New Roman" w:eastAsia="仿宋_GB2312" w:cs="Times New Roman"/>
          <w:b w:val="0"/>
          <w:bCs w:val="0"/>
          <w:color w:val="auto"/>
          <w:sz w:val="32"/>
          <w:szCs w:val="32"/>
          <w:highlight w:val="none"/>
          <w:shd w:val="clear" w:color="auto" w:fill="FFFFFF"/>
        </w:rPr>
        <w:t>指</w:t>
      </w:r>
      <w:r>
        <w:rPr>
          <w:rFonts w:hint="default" w:ascii="Times New Roman" w:hAnsi="Times New Roman" w:eastAsia="仿宋_GB2312" w:cs="Times New Roman"/>
          <w:b w:val="0"/>
          <w:bCs w:val="0"/>
          <w:color w:val="auto"/>
          <w:sz w:val="32"/>
          <w:szCs w:val="32"/>
          <w:highlight w:val="none"/>
          <w:shd w:val="clear" w:color="auto" w:fill="FFFFFF"/>
          <w:lang w:eastAsia="zh-CN"/>
        </w:rPr>
        <w:t>单位</w:t>
      </w:r>
      <w:r>
        <w:rPr>
          <w:rFonts w:hint="default" w:ascii="Times New Roman" w:hAnsi="Times New Roman" w:eastAsia="仿宋_GB2312" w:cs="Times New Roman"/>
          <w:b w:val="0"/>
          <w:bCs w:val="0"/>
          <w:color w:val="auto"/>
          <w:sz w:val="32"/>
          <w:szCs w:val="32"/>
          <w:highlight w:val="none"/>
          <w:shd w:val="clear" w:color="auto" w:fill="FFFFFF"/>
        </w:rPr>
        <w:t>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highlight w:val="none"/>
          <w:shd w:val="clear" w:color="auto" w:fill="FFFFFF"/>
        </w:rPr>
      </w:pPr>
      <w:r>
        <w:rPr>
          <w:rFonts w:hint="default" w:ascii="Times New Roman" w:hAnsi="Times New Roman" w:eastAsia="楷体_GB2312" w:cs="Times New Roman"/>
          <w:b/>
          <w:bCs/>
          <w:color w:val="auto"/>
          <w:sz w:val="32"/>
          <w:szCs w:val="32"/>
          <w:highlight w:val="none"/>
          <w:shd w:val="clear" w:color="auto" w:fill="FFFFFF"/>
          <w:lang w:val="en-US" w:eastAsia="zh-CN"/>
        </w:rPr>
        <w:t>12</w:t>
      </w:r>
      <w:r>
        <w:rPr>
          <w:rFonts w:hint="default" w:ascii="Times New Roman" w:hAnsi="Times New Roman" w:eastAsia="楷体_GB2312" w:cs="Times New Roman"/>
          <w:b/>
          <w:bCs/>
          <w:color w:val="auto"/>
          <w:sz w:val="32"/>
          <w:szCs w:val="32"/>
          <w:highlight w:val="none"/>
          <w:shd w:val="clear" w:color="auto" w:fill="FFFFFF"/>
        </w:rPr>
        <w:t>.机关运行经费：</w:t>
      </w:r>
      <w:r>
        <w:rPr>
          <w:rFonts w:hint="default" w:ascii="Times New Roman" w:hAnsi="Times New Roman" w:eastAsia="仿宋_GB2312" w:cs="Times New Roman"/>
          <w:b w:val="0"/>
          <w:bCs w:val="0"/>
          <w:color w:val="auto"/>
          <w:sz w:val="32"/>
          <w:szCs w:val="32"/>
          <w:highlight w:val="none"/>
          <w:shd w:val="clear" w:color="auto" w:fill="FFFFFF"/>
        </w:rPr>
        <w:t>为保障参</w:t>
      </w:r>
      <w:r>
        <w:rPr>
          <w:rFonts w:hint="default" w:ascii="Times New Roman" w:hAnsi="Times New Roman" w:eastAsia="仿宋_GB2312" w:cs="Times New Roman"/>
          <w:b w:val="0"/>
          <w:bCs w:val="0"/>
          <w:color w:val="auto"/>
          <w:sz w:val="32"/>
          <w:szCs w:val="32"/>
          <w:highlight w:val="none"/>
          <w:shd w:val="clear" w:color="auto" w:fill="FFFFFF"/>
          <w:lang w:eastAsia="zh-CN"/>
        </w:rPr>
        <w:t>公</w:t>
      </w:r>
      <w:r>
        <w:rPr>
          <w:rFonts w:hint="default" w:ascii="Times New Roman" w:hAnsi="Times New Roman" w:eastAsia="仿宋_GB2312" w:cs="Times New Roman"/>
          <w:b w:val="0"/>
          <w:bCs w:val="0"/>
          <w:color w:val="auto"/>
          <w:sz w:val="32"/>
          <w:szCs w:val="32"/>
          <w:highlight w:val="none"/>
          <w:shd w:val="clear" w:color="auto" w:fill="FFFFFF"/>
        </w:rPr>
        <w:t>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jc w:val="center"/>
        <w:outlineLvl w:val="0"/>
        <w:rPr>
          <w:rStyle w:val="28"/>
          <w:rFonts w:hint="default" w:ascii="Times New Roman" w:hAnsi="Times New Roman" w:eastAsia="黑体" w:cs="Times New Roman"/>
          <w:b w:val="0"/>
        </w:rPr>
      </w:pPr>
      <w:r>
        <w:rPr>
          <w:rFonts w:hint="default" w:ascii="Times New Roman" w:hAnsi="Times New Roman" w:cs="Times New Roman"/>
          <w:b/>
          <w:color w:val="000000"/>
          <w:sz w:val="44"/>
          <w:szCs w:val="44"/>
        </w:rPr>
        <w:br w:type="page"/>
      </w:r>
      <w:bookmarkStart w:id="52" w:name="_Toc15396614"/>
      <w:r>
        <w:rPr>
          <w:rFonts w:hint="default" w:ascii="Times New Roman" w:hAnsi="Times New Roman" w:eastAsia="黑体" w:cs="Times New Roman"/>
          <w:color w:val="000000"/>
          <w:sz w:val="44"/>
          <w:szCs w:val="44"/>
        </w:rPr>
        <w:t>第</w:t>
      </w:r>
      <w:r>
        <w:rPr>
          <w:rStyle w:val="28"/>
          <w:rFonts w:hint="default" w:ascii="Times New Roman" w:hAnsi="Times New Roman" w:eastAsia="黑体" w:cs="Times New Roman"/>
          <w:b w:val="0"/>
        </w:rPr>
        <w:t>四部分</w:t>
      </w:r>
      <w:r>
        <w:rPr>
          <w:rStyle w:val="28"/>
          <w:rFonts w:hint="default" w:ascii="Times New Roman" w:hAnsi="Times New Roman" w:eastAsia="黑体" w:cs="Times New Roman"/>
          <w:b w:val="0"/>
          <w:lang w:val="en-US" w:eastAsia="zh-CN"/>
        </w:rPr>
        <w:t xml:space="preserve"> </w:t>
      </w:r>
      <w:r>
        <w:rPr>
          <w:rStyle w:val="28"/>
          <w:rFonts w:hint="default" w:ascii="Times New Roman" w:hAnsi="Times New Roman" w:eastAsia="黑体" w:cs="Times New Roman"/>
          <w:b w:val="0"/>
        </w:rPr>
        <w:t xml:space="preserve"> 附件</w:t>
      </w:r>
      <w:bookmarkEnd w:id="52"/>
    </w:p>
    <w:p>
      <w:pPr>
        <w:pStyle w:val="6"/>
        <w:keepNext w:val="0"/>
        <w:keepLines w:val="0"/>
        <w:pageBreakBefore w:val="0"/>
        <w:widowControl w:val="0"/>
        <w:kinsoku/>
        <w:wordWrap/>
        <w:overflowPunct/>
        <w:topLinePunct w:val="0"/>
        <w:autoSpaceDE/>
        <w:autoSpaceDN/>
        <w:bidi w:val="0"/>
        <w:adjustRightInd/>
        <w:snapToGrid/>
        <w:spacing w:beforeLines="0" w:line="560" w:lineRule="exact"/>
        <w:jc w:val="both"/>
        <w:textAlignment w:val="auto"/>
        <w:rPr>
          <w:rFonts w:hint="default" w:ascii="Times New Roman" w:hAnsi="Times New Roman" w:eastAsia="黑体"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2020年</w:t>
      </w:r>
      <w:r>
        <w:rPr>
          <w:rFonts w:hint="eastAsia" w:ascii="Times New Roman" w:eastAsia="方正小标宋简体" w:cs="Times New Roman"/>
          <w:sz w:val="44"/>
          <w:szCs w:val="44"/>
          <w:lang w:val="en-US" w:eastAsia="zh-CN"/>
        </w:rPr>
        <w:t>项目</w:t>
      </w:r>
      <w:r>
        <w:rPr>
          <w:rFonts w:hint="default" w:ascii="Times New Roman" w:hAnsi="Times New Roman" w:eastAsia="方正小标宋简体" w:cs="Times New Roman"/>
          <w:sz w:val="44"/>
          <w:szCs w:val="44"/>
          <w:lang w:val="en-US" w:eastAsia="zh-CN"/>
        </w:rPr>
        <w:t>支出绩效</w:t>
      </w:r>
      <w:r>
        <w:rPr>
          <w:rFonts w:hint="eastAsia" w:ascii="Times New Roman" w:eastAsia="方正小标宋简体" w:cs="Times New Roman"/>
          <w:sz w:val="44"/>
          <w:szCs w:val="44"/>
          <w:lang w:val="en-US" w:eastAsia="zh-CN"/>
        </w:rPr>
        <w:t>自评</w:t>
      </w:r>
      <w:r>
        <w:rPr>
          <w:rFonts w:hint="default" w:ascii="Times New Roman" w:hAnsi="Times New Roman" w:eastAsia="方正小标宋简体" w:cs="Times New Roman"/>
          <w:sz w:val="44"/>
          <w:szCs w:val="44"/>
          <w:lang w:val="en-US" w:eastAsia="zh-CN"/>
        </w:rPr>
        <w:t>报告</w:t>
      </w:r>
    </w:p>
    <w:p>
      <w:pPr>
        <w:pStyle w:val="6"/>
        <w:keepNext w:val="0"/>
        <w:keepLines w:val="0"/>
        <w:pageBreakBefore w:val="0"/>
        <w:widowControl w:val="0"/>
        <w:kinsoku/>
        <w:wordWrap/>
        <w:overflowPunct/>
        <w:topLinePunct w:val="0"/>
        <w:autoSpaceDE/>
        <w:autoSpaceDN/>
        <w:bidi w:val="0"/>
        <w:adjustRightInd/>
        <w:snapToGrid/>
        <w:spacing w:beforeLines="0" w:line="560" w:lineRule="exact"/>
        <w:ind w:firstLine="880" w:firstLineChars="200"/>
        <w:textAlignment w:val="auto"/>
        <w:rPr>
          <w:rFonts w:hint="default" w:ascii="Times New Roman" w:hAnsi="Times New Roman" w:eastAsia="方正小标宋简体" w:cs="Times New Roman"/>
          <w:sz w:val="44"/>
          <w:szCs w:val="44"/>
          <w:lang w:val="en-US" w:eastAsia="zh-CN"/>
        </w:rPr>
      </w:pPr>
    </w:p>
    <w:p>
      <w:pPr>
        <w:pStyle w:val="6"/>
        <w:spacing w:before="93" w:line="560" w:lineRule="exact"/>
        <w:ind w:firstLine="640" w:firstLineChars="200"/>
        <w:rPr>
          <w:rFonts w:hint="default" w:ascii="Times New Roman" w:hAnsi="Times New Roman" w:cs="Times New Roman"/>
          <w:sz w:val="32"/>
          <w:szCs w:val="32"/>
        </w:rPr>
      </w:pPr>
      <w:r>
        <w:rPr>
          <w:rFonts w:hint="eastAsia" w:ascii="Times New Roman" w:cs="Times New Roman"/>
          <w:sz w:val="32"/>
          <w:szCs w:val="32"/>
          <w:lang w:eastAsia="zh-CN"/>
        </w:rPr>
        <w:t>四川省省级财政国库支付中心本年度不涉及此项工作</w:t>
      </w:r>
      <w:r>
        <w:rPr>
          <w:rFonts w:hint="default" w:ascii="Times New Roman" w:hAnsi="Times New Roman" w:cs="Times New Roman"/>
          <w:sz w:val="32"/>
          <w:szCs w:val="32"/>
        </w:rPr>
        <w:t>。</w:t>
      </w:r>
    </w:p>
    <w:p>
      <w:pPr>
        <w:pStyle w:val="6"/>
        <w:spacing w:before="93" w:line="560" w:lineRule="exact"/>
        <w:rPr>
          <w:rFonts w:hint="default" w:ascii="Times New Roman" w:hAnsi="Times New Roman" w:cs="Times New Roman"/>
        </w:rPr>
      </w:pPr>
    </w:p>
    <w:p>
      <w:pPr>
        <w:spacing w:line="560" w:lineRule="exact"/>
        <w:jc w:val="center"/>
        <w:outlineLvl w:val="0"/>
        <w:rPr>
          <w:rFonts w:hint="default" w:ascii="Times New Roman" w:hAnsi="Times New Roman" w:eastAsia="黑体" w:cs="Times New Roman"/>
          <w:color w:val="000000"/>
          <w:sz w:val="44"/>
          <w:szCs w:val="44"/>
        </w:rPr>
      </w:pPr>
      <w:bookmarkStart w:id="53" w:name="_Toc15396618"/>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spacing w:line="560" w:lineRule="exact"/>
        <w:jc w:val="center"/>
        <w:outlineLvl w:val="0"/>
        <w:rPr>
          <w:rFonts w:hint="default" w:ascii="Times New Roman" w:hAnsi="Times New Roman" w:eastAsia="黑体" w:cs="Times New Roman"/>
          <w:color w:val="000000"/>
          <w:sz w:val="44"/>
          <w:szCs w:val="44"/>
        </w:rPr>
      </w:pPr>
    </w:p>
    <w:p>
      <w:pPr>
        <w:pStyle w:val="13"/>
        <w:rPr>
          <w:rFonts w:hint="default" w:ascii="Times New Roman" w:hAnsi="Times New Roman" w:cs="Times New Roman"/>
        </w:rPr>
      </w:pPr>
    </w:p>
    <w:p>
      <w:pPr>
        <w:spacing w:line="560" w:lineRule="exact"/>
        <w:jc w:val="both"/>
        <w:outlineLvl w:val="0"/>
        <w:rPr>
          <w:rFonts w:hint="default" w:ascii="Times New Roman" w:hAnsi="Times New Roman" w:eastAsia="黑体" w:cs="Times New Roman"/>
          <w:color w:val="000000"/>
          <w:sz w:val="44"/>
          <w:szCs w:val="44"/>
        </w:rPr>
      </w:pPr>
    </w:p>
    <w:p>
      <w:pPr>
        <w:pStyle w:val="15"/>
        <w:rPr>
          <w:rFonts w:hint="default" w:ascii="Times New Roman" w:hAnsi="Times New Roman" w:eastAsia="黑体" w:cs="Times New Roman"/>
          <w:color w:val="000000"/>
          <w:sz w:val="44"/>
          <w:szCs w:val="44"/>
        </w:rPr>
      </w:pPr>
    </w:p>
    <w:p>
      <w:pPr>
        <w:rPr>
          <w:rFonts w:hint="default"/>
        </w:rPr>
      </w:pPr>
    </w:p>
    <w:p>
      <w:pPr>
        <w:rPr>
          <w:rFonts w:hint="default"/>
        </w:rPr>
      </w:pPr>
    </w:p>
    <w:p>
      <w:pPr>
        <w:spacing w:line="560" w:lineRule="exact"/>
        <w:jc w:val="center"/>
        <w:outlineLvl w:val="0"/>
        <w:rPr>
          <w:rStyle w:val="28"/>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8"/>
          <w:rFonts w:hint="default" w:ascii="Times New Roman" w:hAnsi="Times New Roman" w:eastAsia="黑体" w:cs="Times New Roman"/>
          <w:b w:val="0"/>
        </w:rPr>
        <w:t xml:space="preserve">五部分 </w:t>
      </w:r>
      <w:r>
        <w:rPr>
          <w:rStyle w:val="28"/>
          <w:rFonts w:hint="default" w:ascii="Times New Roman" w:hAnsi="Times New Roman" w:eastAsia="黑体" w:cs="Times New Roman"/>
          <w:b w:val="0"/>
          <w:lang w:val="en-US" w:eastAsia="zh-CN"/>
        </w:rPr>
        <w:t xml:space="preserve"> </w:t>
      </w:r>
      <w:r>
        <w:rPr>
          <w:rStyle w:val="28"/>
          <w:rFonts w:hint="default" w:ascii="Times New Roman" w:hAnsi="Times New Roman" w:eastAsia="黑体" w:cs="Times New Roman"/>
          <w:b w:val="0"/>
        </w:rPr>
        <w:t>附表</w:t>
      </w:r>
      <w:bookmarkEnd w:id="51"/>
      <w:bookmarkEnd w:id="53"/>
      <w:bookmarkStart w:id="54" w:name="_Toc15396619"/>
    </w:p>
    <w:p>
      <w:pPr>
        <w:spacing w:line="560" w:lineRule="exact"/>
        <w:jc w:val="center"/>
        <w:outlineLvl w:val="0"/>
        <w:rPr>
          <w:rStyle w:val="28"/>
          <w:rFonts w:hint="default" w:ascii="Times New Roman" w:hAnsi="Times New Roman" w:eastAsia="黑体" w:cs="Times New Roman"/>
          <w:b w:val="0"/>
        </w:rPr>
      </w:pPr>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b w:val="0"/>
          <w:color w:val="000000"/>
        </w:rPr>
      </w:pPr>
      <w:r>
        <w:rPr>
          <w:rFonts w:hint="default" w:ascii="Times New Roman" w:hAnsi="Times New Roman" w:eastAsia="仿宋" w:cs="Times New Roman"/>
          <w:b w:val="0"/>
          <w:color w:val="000000"/>
        </w:rPr>
        <w:t>一、收入支出决算总表</w:t>
      </w:r>
      <w:bookmarkEnd w:id="54"/>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bookmarkStart w:id="55" w:name="_Toc15396620"/>
      <w:r>
        <w:rPr>
          <w:rFonts w:hint="default" w:ascii="Times New Roman" w:hAnsi="Times New Roman" w:eastAsia="仿宋" w:cs="Times New Roman"/>
          <w:b w:val="0"/>
          <w:color w:val="000000"/>
        </w:rPr>
        <w:t>二、收</w:t>
      </w:r>
      <w:r>
        <w:rPr>
          <w:rStyle w:val="29"/>
          <w:rFonts w:hint="default" w:ascii="Times New Roman" w:hAnsi="Times New Roman" w:eastAsia="仿宋" w:cs="Times New Roman"/>
          <w:b w:val="0"/>
          <w:bCs w:val="0"/>
        </w:rPr>
        <w:t>入决算表</w:t>
      </w:r>
      <w:bookmarkEnd w:id="55"/>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bookmarkStart w:id="56" w:name="_Toc15396621"/>
      <w:r>
        <w:rPr>
          <w:rStyle w:val="29"/>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9"/>
          <w:rFonts w:hint="default" w:ascii="Times New Roman" w:hAnsi="Times New Roman" w:eastAsia="仿宋" w:cs="Times New Roman"/>
          <w:b w:val="0"/>
          <w:bCs w:val="0"/>
        </w:rPr>
        <w:t>出决算表</w:t>
      </w:r>
      <w:bookmarkEnd w:id="56"/>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b w:val="0"/>
          <w:color w:val="000000"/>
        </w:rPr>
      </w:pPr>
      <w:bookmarkStart w:id="57" w:name="_Toc15396622"/>
      <w:r>
        <w:rPr>
          <w:rStyle w:val="29"/>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9"/>
          <w:rFonts w:hint="default" w:ascii="Times New Roman" w:hAnsi="Times New Roman" w:eastAsia="仿宋" w:cs="Times New Roman"/>
          <w:b w:val="0"/>
          <w:bCs w:val="0"/>
        </w:rPr>
        <w:t>政拨款收入支出决算总表</w:t>
      </w:r>
      <w:bookmarkEnd w:id="57"/>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仿宋" w:cs="Times New Roman"/>
          <w:b w:val="0"/>
          <w:bCs w:val="0"/>
        </w:rPr>
      </w:pPr>
      <w:bookmarkStart w:id="58" w:name="_Toc15396623"/>
      <w:r>
        <w:rPr>
          <w:rStyle w:val="29"/>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9"/>
          <w:rFonts w:hint="default" w:ascii="Times New Roman" w:hAnsi="Times New Roman" w:eastAsia="仿宋" w:cs="Times New Roman"/>
          <w:b w:val="0"/>
          <w:bCs w:val="0"/>
        </w:rPr>
        <w:t>政拨款支出决算明细表</w:t>
      </w:r>
      <w:bookmarkEnd w:id="58"/>
      <w:bookmarkStart w:id="59" w:name="_Toc15396624"/>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r>
        <w:rPr>
          <w:rStyle w:val="29"/>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般公共预算财政拨款支出决算表</w:t>
      </w:r>
      <w:bookmarkEnd w:id="59"/>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bookmarkStart w:id="60" w:name="_Toc15396625"/>
      <w:r>
        <w:rPr>
          <w:rStyle w:val="29"/>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般公共预算财政拨款支出决算明细表</w:t>
      </w:r>
      <w:bookmarkEnd w:id="60"/>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bookmarkStart w:id="61" w:name="_Toc15396626"/>
      <w:r>
        <w:rPr>
          <w:rStyle w:val="29"/>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般公共预算财政拨款基本支出决算表</w:t>
      </w:r>
      <w:bookmarkEnd w:id="61"/>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bookmarkStart w:id="62" w:name="_Toc15396627"/>
      <w:r>
        <w:rPr>
          <w:rStyle w:val="29"/>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般公共预算财政拨款项目支出决算表</w:t>
      </w:r>
      <w:bookmarkEnd w:id="62"/>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bookmarkStart w:id="63" w:name="_Toc15396628"/>
      <w:r>
        <w:rPr>
          <w:rStyle w:val="29"/>
          <w:rFonts w:hint="default" w:ascii="Times New Roman" w:hAnsi="Times New Roman" w:eastAsia="仿宋" w:cs="Times New Roman"/>
          <w:b w:val="0"/>
          <w:bCs w:val="0"/>
        </w:rPr>
        <w:t>十、</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般公共预算财政拨款“三公”经费支出决算表</w:t>
      </w:r>
      <w:bookmarkEnd w:id="63"/>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bookmarkStart w:id="64" w:name="_Toc15396629"/>
      <w:r>
        <w:rPr>
          <w:rStyle w:val="29"/>
          <w:rFonts w:hint="default" w:ascii="Times New Roman" w:hAnsi="Times New Roman" w:eastAsia="仿宋" w:cs="Times New Roman"/>
          <w:b w:val="0"/>
          <w:bCs w:val="0"/>
        </w:rPr>
        <w:t>十一、</w:t>
      </w:r>
      <w:r>
        <w:rPr>
          <w:rFonts w:hint="default" w:ascii="Times New Roman" w:hAnsi="Times New Roman" w:eastAsia="仿宋" w:cs="Times New Roman"/>
          <w:b w:val="0"/>
          <w:color w:val="000000"/>
        </w:rPr>
        <w:t>政</w:t>
      </w:r>
      <w:r>
        <w:rPr>
          <w:rStyle w:val="29"/>
          <w:rFonts w:hint="default" w:ascii="Times New Roman" w:hAnsi="Times New Roman" w:eastAsia="仿宋" w:cs="Times New Roman"/>
          <w:b w:val="0"/>
          <w:bCs w:val="0"/>
        </w:rPr>
        <w:t>府性基金预算财政拨款收入支出决算表</w:t>
      </w:r>
      <w:bookmarkEnd w:id="64"/>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 w:cs="Times New Roman"/>
          <w:color w:val="000000"/>
        </w:rPr>
      </w:pPr>
      <w:bookmarkStart w:id="65" w:name="_Toc15396630"/>
      <w:r>
        <w:rPr>
          <w:rStyle w:val="29"/>
          <w:rFonts w:hint="default" w:ascii="Times New Roman" w:hAnsi="Times New Roman" w:eastAsia="仿宋" w:cs="Times New Roman"/>
          <w:b w:val="0"/>
          <w:bCs w:val="0"/>
        </w:rPr>
        <w:t>十二、</w:t>
      </w:r>
      <w:r>
        <w:rPr>
          <w:rFonts w:hint="default" w:ascii="Times New Roman" w:hAnsi="Times New Roman" w:eastAsia="仿宋" w:cs="Times New Roman"/>
          <w:b w:val="0"/>
          <w:color w:val="000000"/>
        </w:rPr>
        <w:t>政</w:t>
      </w:r>
      <w:r>
        <w:rPr>
          <w:rStyle w:val="29"/>
          <w:rFonts w:hint="default" w:ascii="Times New Roman" w:hAnsi="Times New Roman" w:eastAsia="仿宋" w:cs="Times New Roman"/>
          <w:b w:val="0"/>
          <w:bCs w:val="0"/>
        </w:rPr>
        <w:t>府性基金预算财政拨款“三公”经费支出决算表</w:t>
      </w:r>
      <w:bookmarkEnd w:id="65"/>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仿宋" w:cs="Times New Roman"/>
          <w:b w:val="0"/>
          <w:bCs w:val="0"/>
        </w:rPr>
      </w:pPr>
      <w:bookmarkStart w:id="66" w:name="_Toc15396631"/>
      <w:r>
        <w:rPr>
          <w:rStyle w:val="29"/>
          <w:rFonts w:hint="default" w:ascii="Times New Roman" w:hAnsi="Times New Roman" w:eastAsia="仿宋" w:cs="Times New Roman"/>
          <w:b w:val="0"/>
          <w:bCs w:val="0"/>
        </w:rPr>
        <w:t>十三、</w:t>
      </w:r>
      <w:r>
        <w:rPr>
          <w:rFonts w:hint="default" w:ascii="Times New Roman" w:hAnsi="Times New Roman" w:eastAsia="仿宋" w:cs="Times New Roman"/>
          <w:b w:val="0"/>
          <w:color w:val="000000"/>
        </w:rPr>
        <w:t>国</w:t>
      </w:r>
      <w:r>
        <w:rPr>
          <w:rStyle w:val="29"/>
          <w:rFonts w:hint="default" w:ascii="Times New Roman" w:hAnsi="Times New Roman" w:eastAsia="仿宋" w:cs="Times New Roman"/>
          <w:b w:val="0"/>
          <w:bCs w:val="0"/>
        </w:rPr>
        <w:t>有资本经营预算财政拨款收入支出决算表</w:t>
      </w:r>
      <w:bookmarkEnd w:id="66"/>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rPr>
      </w:pPr>
      <w:r>
        <w:rPr>
          <w:rStyle w:val="29"/>
          <w:rFonts w:hint="default" w:ascii="Times New Roman" w:hAnsi="Times New Roman" w:eastAsia="仿宋" w:cs="Times New Roman"/>
          <w:b w:val="0"/>
          <w:bCs w:val="0"/>
        </w:rPr>
        <w:t>十四、国有资本经营预算财政拨款支出决算表</w:t>
      </w:r>
    </w:p>
    <w:sectPr>
      <w:footerReference r:id="rId7" w:type="default"/>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sdt>
                <w:sdtPr>
                  <w:rPr>
                    <w:rFonts w:ascii="Times New Roman" w:hAnsi="Times New Roman"/>
                    <w:sz w:val="28"/>
                    <w:szCs w:val="28"/>
                  </w:rPr>
                  <w:id w:val="-1994781956"/>
                </w:sdtPr>
                <w:sdtEndPr>
                  <w:rPr>
                    <w:rFonts w:ascii="Times New Roman" w:hAnsi="Times New Roman"/>
                    <w:sz w:val="28"/>
                    <w:szCs w:val="28"/>
                  </w:rPr>
                </w:sdtEndPr>
                <w:sdtContent>
                  <w:p>
                    <w:pPr>
                      <w:pStyle w:val="1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23 -</w:t>
                    </w:r>
                    <w:r>
                      <w:rPr>
                        <w:rFonts w:ascii="Times New Roman" w:hAnsi="Times New Roman"/>
                        <w:sz w:val="28"/>
                        <w:szCs w:val="28"/>
                      </w:rPr>
                      <w:fldChar w:fldCharType="end"/>
                    </w:r>
                  </w:p>
                </w:sdtContent>
              </w:sdt>
              <w:p>
                <w:pPr>
                  <w:pStyle w:val="6"/>
                  <w:spacing w:before="72"/>
                  <w:rPr>
                    <w:rFonts w:ascii="Times New Roman"/>
                    <w:sz w:val="28"/>
                    <w:szCs w:val="28"/>
                  </w:rPr>
                </w:pP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sdt>
                <w:sdtPr>
                  <w:rPr>
                    <w:rFonts w:ascii="Times New Roman" w:hAnsi="Times New Roman"/>
                    <w:sz w:val="28"/>
                    <w:szCs w:val="28"/>
                  </w:rPr>
                  <w:id w:val="-1994781956"/>
                </w:sdtPr>
                <w:sdtEndPr>
                  <w:rPr>
                    <w:rFonts w:ascii="Times New Roman" w:hAnsi="Times New Roman"/>
                    <w:sz w:val="28"/>
                    <w:szCs w:val="28"/>
                  </w:rPr>
                </w:sdtEndPr>
                <w:sdtContent>
                  <w:p>
                    <w:pPr>
                      <w:pStyle w:val="1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23 -</w:t>
                    </w:r>
                    <w:r>
                      <w:rPr>
                        <w:rFonts w:ascii="Times New Roman" w:hAnsi="Times New Roman"/>
                        <w:sz w:val="28"/>
                        <w:szCs w:val="28"/>
                      </w:rPr>
                      <w:fldChar w:fldCharType="end"/>
                    </w:r>
                  </w:p>
                </w:sdtContent>
              </w:sdt>
              <w:p>
                <w:pPr>
                  <w:pStyle w:val="6"/>
                  <w:spacing w:before="72"/>
                  <w:rPr>
                    <w:rFonts w:ascii="Times New Roman"/>
                    <w:sz w:val="28"/>
                    <w:szCs w:val="28"/>
                  </w:rPr>
                </w:pP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3829"/>
    <w:rsid w:val="00235629"/>
    <w:rsid w:val="00260C38"/>
    <w:rsid w:val="002616C0"/>
    <w:rsid w:val="00265372"/>
    <w:rsid w:val="002662AA"/>
    <w:rsid w:val="00280496"/>
    <w:rsid w:val="00294DC9"/>
    <w:rsid w:val="00295495"/>
    <w:rsid w:val="002A31DE"/>
    <w:rsid w:val="002B2613"/>
    <w:rsid w:val="002D1A25"/>
    <w:rsid w:val="002D6D05"/>
    <w:rsid w:val="002F1818"/>
    <w:rsid w:val="002F3E1F"/>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CDF"/>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0C50"/>
    <w:rsid w:val="006748A4"/>
    <w:rsid w:val="00681A31"/>
    <w:rsid w:val="00683E73"/>
    <w:rsid w:val="006A3141"/>
    <w:rsid w:val="006A5E34"/>
    <w:rsid w:val="006B2422"/>
    <w:rsid w:val="006B2B9A"/>
    <w:rsid w:val="006C1937"/>
    <w:rsid w:val="006E163A"/>
    <w:rsid w:val="006F020C"/>
    <w:rsid w:val="007127B7"/>
    <w:rsid w:val="0071798E"/>
    <w:rsid w:val="007416B6"/>
    <w:rsid w:val="00746F48"/>
    <w:rsid w:val="0075404D"/>
    <w:rsid w:val="0076182A"/>
    <w:rsid w:val="00767B7E"/>
    <w:rsid w:val="007719BA"/>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20A9"/>
    <w:rsid w:val="008C4DB1"/>
    <w:rsid w:val="008C4EAF"/>
    <w:rsid w:val="008C5176"/>
    <w:rsid w:val="008C7FD0"/>
    <w:rsid w:val="008E1DE7"/>
    <w:rsid w:val="008E707C"/>
    <w:rsid w:val="00900B08"/>
    <w:rsid w:val="00901D49"/>
    <w:rsid w:val="00902155"/>
    <w:rsid w:val="00902FA3"/>
    <w:rsid w:val="00923564"/>
    <w:rsid w:val="0092392E"/>
    <w:rsid w:val="009315F9"/>
    <w:rsid w:val="00933499"/>
    <w:rsid w:val="00934CE6"/>
    <w:rsid w:val="00935C98"/>
    <w:rsid w:val="00946945"/>
    <w:rsid w:val="00951248"/>
    <w:rsid w:val="0095152F"/>
    <w:rsid w:val="00954C49"/>
    <w:rsid w:val="00955E37"/>
    <w:rsid w:val="0097099F"/>
    <w:rsid w:val="00971997"/>
    <w:rsid w:val="00971FFC"/>
    <w:rsid w:val="009816B0"/>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0402"/>
    <w:rsid w:val="00A91709"/>
    <w:rsid w:val="00A91760"/>
    <w:rsid w:val="00A92880"/>
    <w:rsid w:val="00A93B00"/>
    <w:rsid w:val="00A93C21"/>
    <w:rsid w:val="00AB64C9"/>
    <w:rsid w:val="00AC3C6A"/>
    <w:rsid w:val="00AD5620"/>
    <w:rsid w:val="00AD656B"/>
    <w:rsid w:val="00AD7C1B"/>
    <w:rsid w:val="00AE16BA"/>
    <w:rsid w:val="00AE1EBE"/>
    <w:rsid w:val="00AE7AC9"/>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6EA"/>
    <w:rsid w:val="00C42709"/>
    <w:rsid w:val="00C43B11"/>
    <w:rsid w:val="00C533CC"/>
    <w:rsid w:val="00C5751C"/>
    <w:rsid w:val="00C61BFC"/>
    <w:rsid w:val="00C62B85"/>
    <w:rsid w:val="00C65438"/>
    <w:rsid w:val="00C87FD8"/>
    <w:rsid w:val="00C91381"/>
    <w:rsid w:val="00C91CBB"/>
    <w:rsid w:val="00CA2A94"/>
    <w:rsid w:val="00CB4E70"/>
    <w:rsid w:val="00CC09B6"/>
    <w:rsid w:val="00CC0C0D"/>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66B2"/>
    <w:rsid w:val="00D7035F"/>
    <w:rsid w:val="00DA634F"/>
    <w:rsid w:val="00DA65AC"/>
    <w:rsid w:val="00DB1913"/>
    <w:rsid w:val="00DC33BE"/>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1A59"/>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33D9"/>
    <w:rsid w:val="03606F32"/>
    <w:rsid w:val="04F628D9"/>
    <w:rsid w:val="04FF626F"/>
    <w:rsid w:val="05B97C3C"/>
    <w:rsid w:val="06ED2ECF"/>
    <w:rsid w:val="09D57961"/>
    <w:rsid w:val="0A2032A3"/>
    <w:rsid w:val="0AF162C1"/>
    <w:rsid w:val="0B834954"/>
    <w:rsid w:val="0BB253E3"/>
    <w:rsid w:val="0CDD2A11"/>
    <w:rsid w:val="0D3E1552"/>
    <w:rsid w:val="0E035641"/>
    <w:rsid w:val="0E0979E8"/>
    <w:rsid w:val="0E125DAC"/>
    <w:rsid w:val="0E40717F"/>
    <w:rsid w:val="0E421EC9"/>
    <w:rsid w:val="10C055FF"/>
    <w:rsid w:val="118107EC"/>
    <w:rsid w:val="121B6B7B"/>
    <w:rsid w:val="1258460B"/>
    <w:rsid w:val="12B74B66"/>
    <w:rsid w:val="14395274"/>
    <w:rsid w:val="14434B31"/>
    <w:rsid w:val="14E9747C"/>
    <w:rsid w:val="15186E92"/>
    <w:rsid w:val="169A5134"/>
    <w:rsid w:val="16BB723D"/>
    <w:rsid w:val="177510C7"/>
    <w:rsid w:val="17F1640C"/>
    <w:rsid w:val="18015F3F"/>
    <w:rsid w:val="1865435A"/>
    <w:rsid w:val="186B730F"/>
    <w:rsid w:val="1B205E0A"/>
    <w:rsid w:val="1B833FC5"/>
    <w:rsid w:val="1BB63DE0"/>
    <w:rsid w:val="1BE8440E"/>
    <w:rsid w:val="1C2C2B45"/>
    <w:rsid w:val="1C671BF9"/>
    <w:rsid w:val="1CB2564F"/>
    <w:rsid w:val="1D155CEE"/>
    <w:rsid w:val="1DF277EB"/>
    <w:rsid w:val="1E2E35B5"/>
    <w:rsid w:val="1ED22C0E"/>
    <w:rsid w:val="1EFA1875"/>
    <w:rsid w:val="1F0D2DDF"/>
    <w:rsid w:val="1FC5259D"/>
    <w:rsid w:val="20366E33"/>
    <w:rsid w:val="20A63023"/>
    <w:rsid w:val="20F57F95"/>
    <w:rsid w:val="21F14955"/>
    <w:rsid w:val="225E10D5"/>
    <w:rsid w:val="23161F78"/>
    <w:rsid w:val="23E41703"/>
    <w:rsid w:val="240371BF"/>
    <w:rsid w:val="245C623F"/>
    <w:rsid w:val="25E92311"/>
    <w:rsid w:val="26C644FD"/>
    <w:rsid w:val="27E70A77"/>
    <w:rsid w:val="28793321"/>
    <w:rsid w:val="28CB1BAB"/>
    <w:rsid w:val="29FD04D3"/>
    <w:rsid w:val="2A9E4E89"/>
    <w:rsid w:val="2ABE7A3E"/>
    <w:rsid w:val="2B190F3C"/>
    <w:rsid w:val="2B9A3528"/>
    <w:rsid w:val="2D0C465F"/>
    <w:rsid w:val="2D5F6332"/>
    <w:rsid w:val="306841BC"/>
    <w:rsid w:val="30ED035E"/>
    <w:rsid w:val="30F52344"/>
    <w:rsid w:val="31016A70"/>
    <w:rsid w:val="319F7F4E"/>
    <w:rsid w:val="32F86129"/>
    <w:rsid w:val="3408520F"/>
    <w:rsid w:val="3836718E"/>
    <w:rsid w:val="394D5720"/>
    <w:rsid w:val="3A7C1435"/>
    <w:rsid w:val="3BF13A13"/>
    <w:rsid w:val="3C0C0783"/>
    <w:rsid w:val="3C24651E"/>
    <w:rsid w:val="3CA420E1"/>
    <w:rsid w:val="3E6E641E"/>
    <w:rsid w:val="3FBC480F"/>
    <w:rsid w:val="41287091"/>
    <w:rsid w:val="42230149"/>
    <w:rsid w:val="42A649FF"/>
    <w:rsid w:val="42AF5EE3"/>
    <w:rsid w:val="44D71A53"/>
    <w:rsid w:val="454C7B11"/>
    <w:rsid w:val="45F33539"/>
    <w:rsid w:val="46B477B3"/>
    <w:rsid w:val="46CE6CAD"/>
    <w:rsid w:val="46FC0DCC"/>
    <w:rsid w:val="47453E27"/>
    <w:rsid w:val="482B66C8"/>
    <w:rsid w:val="496F39ED"/>
    <w:rsid w:val="49CD29FD"/>
    <w:rsid w:val="4AE62D39"/>
    <w:rsid w:val="4BE068DB"/>
    <w:rsid w:val="4BE26EEF"/>
    <w:rsid w:val="4BF6002B"/>
    <w:rsid w:val="4C9B1C05"/>
    <w:rsid w:val="4CE36A38"/>
    <w:rsid w:val="4EB06062"/>
    <w:rsid w:val="4ECE2238"/>
    <w:rsid w:val="51C16450"/>
    <w:rsid w:val="52D75B3F"/>
    <w:rsid w:val="534F0ABD"/>
    <w:rsid w:val="555F26A9"/>
    <w:rsid w:val="55BD61C5"/>
    <w:rsid w:val="56EC10F9"/>
    <w:rsid w:val="59A701EF"/>
    <w:rsid w:val="5ABA44AD"/>
    <w:rsid w:val="5D5B0CF2"/>
    <w:rsid w:val="5EE87D4F"/>
    <w:rsid w:val="60255006"/>
    <w:rsid w:val="614C5D9F"/>
    <w:rsid w:val="61B77D62"/>
    <w:rsid w:val="628017D9"/>
    <w:rsid w:val="631D29A1"/>
    <w:rsid w:val="64CA39A1"/>
    <w:rsid w:val="655C4BA3"/>
    <w:rsid w:val="65807BB9"/>
    <w:rsid w:val="65DA6A79"/>
    <w:rsid w:val="669A3491"/>
    <w:rsid w:val="67035E55"/>
    <w:rsid w:val="683715BE"/>
    <w:rsid w:val="69506949"/>
    <w:rsid w:val="6ACF1350"/>
    <w:rsid w:val="6B3D5229"/>
    <w:rsid w:val="6BA17972"/>
    <w:rsid w:val="6BC86B54"/>
    <w:rsid w:val="6BEF70D8"/>
    <w:rsid w:val="6C3D67AC"/>
    <w:rsid w:val="6C4A05C8"/>
    <w:rsid w:val="6CC5477B"/>
    <w:rsid w:val="6DFA17F8"/>
    <w:rsid w:val="6E200E22"/>
    <w:rsid w:val="6E903673"/>
    <w:rsid w:val="6FAF5FD3"/>
    <w:rsid w:val="706B0A2D"/>
    <w:rsid w:val="708371E7"/>
    <w:rsid w:val="70ED4C8A"/>
    <w:rsid w:val="70F43E5D"/>
    <w:rsid w:val="71233D5D"/>
    <w:rsid w:val="72734D90"/>
    <w:rsid w:val="755B66A2"/>
    <w:rsid w:val="763574EC"/>
    <w:rsid w:val="76357CD0"/>
    <w:rsid w:val="775E2B13"/>
    <w:rsid w:val="788414A8"/>
    <w:rsid w:val="791740EA"/>
    <w:rsid w:val="7A0B77C5"/>
    <w:rsid w:val="7A473D23"/>
    <w:rsid w:val="7CCB1C0C"/>
    <w:rsid w:val="7D1D78E5"/>
    <w:rsid w:val="7E292B15"/>
    <w:rsid w:val="7F52454E"/>
    <w:rsid w:val="7FA006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unhideWhenUsed/>
    <w:qFormat/>
    <w:uiPriority w:val="99"/>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unhideWhenUsed/>
    <w:qFormat/>
    <w:uiPriority w:val="99"/>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next w:val="1"/>
    <w:qFormat/>
    <w:uiPriority w:val="99"/>
    <w:pPr>
      <w:spacing w:after="0"/>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2270;&#34920;&#27169;&#264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2270;&#34920;&#27169;&#2649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4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sz="1440">
                <a:latin typeface="仿宋_GB2312" panose="02010609030101010101" pitchFamily="3" charset="-122"/>
                <a:ea typeface="仿宋_GB2312" panose="02010609030101010101" pitchFamily="3" charset="-122"/>
                <a:cs typeface="仿宋_GB2312" panose="02010609030101010101" pitchFamily="3" charset="-122"/>
                <a:sym typeface="Times New Roman" panose="02020603050405020304" charset="0"/>
              </a:rPr>
              <a:t>图</a:t>
            </a:r>
            <a:r>
              <a:rPr lang="en-US" altLang="zh-CN" sz="1440">
                <a:latin typeface="仿宋_GB2312" panose="02010609030101010101" pitchFamily="3" charset="-122"/>
                <a:ea typeface="仿宋_GB2312" panose="02010609030101010101" pitchFamily="3" charset="-122"/>
                <a:cs typeface="仿宋_GB2312" panose="02010609030101010101" pitchFamily="3" charset="-122"/>
                <a:sym typeface="Times New Roman" panose="02020603050405020304" charset="0"/>
              </a:rPr>
              <a:t>1</a:t>
            </a:r>
            <a:r>
              <a:rPr altLang="en-US" sz="1440">
                <a:latin typeface="仿宋_GB2312" panose="02010609030101010101" pitchFamily="3" charset="-122"/>
                <a:ea typeface="仿宋_GB2312" panose="02010609030101010101" pitchFamily="3" charset="-122"/>
                <a:cs typeface="仿宋_GB2312" panose="02010609030101010101" pitchFamily="3" charset="-122"/>
                <a:sym typeface="Times New Roman" panose="02020603050405020304" charset="0"/>
              </a:rPr>
              <a:t>：</a:t>
            </a:r>
            <a:r>
              <a:rPr lang="zh-CN" sz="1440">
                <a:latin typeface="仿宋_GB2312" panose="02010609030101010101" pitchFamily="3" charset="-122"/>
                <a:ea typeface="仿宋_GB2312" panose="02010609030101010101" pitchFamily="3" charset="-122"/>
                <a:cs typeface="仿宋_GB2312" panose="02010609030101010101" pitchFamily="3" charset="-122"/>
                <a:sym typeface="Times New Roman" panose="02020603050405020304" charset="0"/>
              </a:rPr>
              <a:t>收、支决算总计变动情况图</a:t>
            </a:r>
            <a:endParaRPr lang="zh-CN" sz="1440">
              <a:latin typeface="仿宋_GB2312" panose="02010609030101010101" pitchFamily="3" charset="-122"/>
              <a:ea typeface="仿宋_GB2312" panose="02010609030101010101" pitchFamily="3" charset="-122"/>
              <a:cs typeface="仿宋_GB2312" panose="02010609030101010101" pitchFamily="3" charset="-122"/>
              <a:sym typeface="Times New Roman" panose="02020603050405020304" charset="0"/>
            </a:endParaRPr>
          </a:p>
        </c:rich>
      </c:tx>
      <c:layout>
        <c:manualLayout>
          <c:xMode val="edge"/>
          <c:yMode val="edge"/>
          <c:x val="0.206258503401361"/>
          <c:y val="0.0223161851068828"/>
        </c:manualLayout>
      </c:layout>
      <c:overlay val="0"/>
    </c:title>
    <c:autoTitleDeleted val="0"/>
    <c:plotArea>
      <c:layout>
        <c:manualLayout>
          <c:layoutTarget val="inner"/>
          <c:xMode val="edge"/>
          <c:yMode val="edge"/>
          <c:x val="0.15956462585034"/>
          <c:y val="0.181113460183228"/>
          <c:w val="0.803972789115646"/>
          <c:h val="0.276908621094668"/>
        </c:manualLayout>
      </c:layout>
      <c:barChart>
        <c:barDir val="bar"/>
        <c:grouping val="clustered"/>
        <c:varyColors val="0"/>
        <c:ser>
          <c:idx val="0"/>
          <c:order val="0"/>
          <c:tx>
            <c:strRef>
              <c:f>Sheet1!$A$2</c:f>
              <c:strCache>
                <c:ptCount val="1"/>
                <c:pt idx="0">
                  <c:v>收入</c:v>
                </c:pt>
              </c:strCache>
            </c:strRef>
          </c:tx>
          <c:invertIfNegative val="0"/>
          <c:dLbls>
            <c:delete val="1"/>
          </c:dLbls>
          <c:cat>
            <c:strRef>
              <c:f>Sheet1!$B$1:$C$1</c:f>
              <c:strCache>
                <c:ptCount val="2"/>
                <c:pt idx="0">
                  <c:v>2019年</c:v>
                </c:pt>
                <c:pt idx="1">
                  <c:v>2020年</c:v>
                </c:pt>
              </c:strCache>
            </c:strRef>
          </c:cat>
          <c:val>
            <c:numRef>
              <c:f>Sheet1!$B$2:$C$2</c:f>
              <c:numCache>
                <c:formatCode>General</c:formatCode>
                <c:ptCount val="2"/>
                <c:pt idx="0">
                  <c:v>508.01</c:v>
                </c:pt>
                <c:pt idx="1">
                  <c:v>452.78</c:v>
                </c:pt>
              </c:numCache>
            </c:numRef>
          </c:val>
        </c:ser>
        <c:ser>
          <c:idx val="1"/>
          <c:order val="1"/>
          <c:tx>
            <c:strRef>
              <c:f>Sheet1!$A$3</c:f>
              <c:strCache>
                <c:ptCount val="1"/>
                <c:pt idx="0">
                  <c:v>支出</c:v>
                </c:pt>
              </c:strCache>
            </c:strRef>
          </c:tx>
          <c:invertIfNegative val="0"/>
          <c:dLbls>
            <c:delete val="1"/>
          </c:dLbls>
          <c:cat>
            <c:strRef>
              <c:f>Sheet1!$B$1:$C$1</c:f>
              <c:strCache>
                <c:ptCount val="2"/>
                <c:pt idx="0">
                  <c:v>2019年</c:v>
                </c:pt>
                <c:pt idx="1">
                  <c:v>2020年</c:v>
                </c:pt>
              </c:strCache>
            </c:strRef>
          </c:cat>
          <c:val>
            <c:numRef>
              <c:f>Sheet1!$B$3:$C$3</c:f>
              <c:numCache>
                <c:formatCode>General</c:formatCode>
                <c:ptCount val="2"/>
                <c:pt idx="0">
                  <c:v>508.01</c:v>
                </c:pt>
                <c:pt idx="1">
                  <c:v>452.78</c:v>
                </c:pt>
              </c:numCache>
            </c:numRef>
          </c:val>
        </c:ser>
        <c:dLbls>
          <c:showLegendKey val="0"/>
          <c:showVal val="0"/>
          <c:showCatName val="0"/>
          <c:showSerName val="0"/>
          <c:showPercent val="0"/>
          <c:showBubbleSize val="0"/>
        </c:dLbls>
        <c:gapWidth val="95"/>
        <c:axId val="89065728"/>
        <c:axId val="89126400"/>
      </c:barChart>
      <c:catAx>
        <c:axId val="89065728"/>
        <c:scaling>
          <c:orientation val="minMax"/>
        </c:scaling>
        <c:delete val="0"/>
        <c:axPos val="l"/>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9126400"/>
        <c:crosses val="autoZero"/>
        <c:auto val="1"/>
        <c:lblAlgn val="ctr"/>
        <c:lblOffset val="100"/>
        <c:noMultiLvlLbl val="0"/>
      </c:catAx>
      <c:valAx>
        <c:axId val="89126400"/>
        <c:scaling>
          <c:orientation val="minMax"/>
          <c:max val="600"/>
          <c:min val="0"/>
        </c:scaling>
        <c:delete val="0"/>
        <c:axPos val="b"/>
        <c:majorGridlines/>
        <c:title>
          <c:tx>
            <c:rich>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sz="1200">
                    <a:latin typeface="Times New Roman" panose="02020603050405020304" charset="0"/>
                    <a:ea typeface="Times New Roman" panose="02020603050405020304" charset="0"/>
                    <a:cs typeface="Times New Roman" panose="02020603050405020304" charset="0"/>
                    <a:sym typeface="Times New Roman" panose="02020603050405020304" charset="0"/>
                  </a:rPr>
                  <a:t>单位：万元</a:t>
                </a:r>
                <a:endPara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794101706036746"/>
              <c:y val="0.12037037037037"/>
            </c:manualLayout>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9065728"/>
        <c:crosses val="autoZero"/>
        <c:crossBetween val="between"/>
      </c:valAx>
      <c:dTable>
        <c:showHorzBorder val="1"/>
        <c:showVertBorder val="1"/>
        <c:showOutline val="1"/>
        <c:showKeys val="1"/>
        <c:txPr>
          <a:bodyPr rot="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Table>
    </c:plotArea>
    <c:plotVisOnly val="1"/>
    <c:dispBlanksAs val="gap"/>
    <c:showDLblsOverMax val="0"/>
  </c:chart>
  <c:txPr>
    <a:bodyPr/>
    <a:lstStyle/>
    <a:p>
      <a:pPr>
        <a:defRPr lang="zh-CN"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图</a:t>
            </a:r>
            <a:r>
              <a:rPr lang="en-US" altLang="zh-CN">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a:t>
            </a:r>
            <a:r>
              <a:rPr altLang="en-US">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r>
              <a:rPr>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收入决算结构图</a:t>
            </a:r>
            <a:endParaRPr>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layout>
        <c:manualLayout>
          <c:xMode val="edge"/>
          <c:yMode val="edge"/>
          <c:x val="0.304027777777778"/>
          <c:y val="0.00741106719367589"/>
        </c:manualLayout>
      </c:layout>
      <c:overlay val="0"/>
      <c:spPr>
        <a:noFill/>
        <a:ln>
          <a:noFill/>
        </a:ln>
        <a:effectLst/>
      </c:spPr>
    </c:title>
    <c:autoTitleDeleted val="0"/>
    <c:plotArea>
      <c:layout/>
      <c:pieChart>
        <c:varyColors val="1"/>
        <c:ser>
          <c:idx val="0"/>
          <c:order val="0"/>
          <c:tx>
            <c:strRef>
              <c:f>[图表模板.xls]Sheet1!$A$1</c:f>
              <c:strCache>
                <c:ptCount val="1"/>
                <c:pt idx="0">
                  <c:v>一般公共预算财政拨款收入</c:v>
                </c:pt>
              </c:strCache>
            </c:strRef>
          </c:tx>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b="0">
                        <a:latin typeface="宋体" panose="02010600030101010101" charset="-122"/>
                        <a:ea typeface="宋体" panose="02010600030101010101" charset="-122"/>
                        <a:cs typeface="宋体" panose="02010600030101010101" charset="-122"/>
                        <a:sym typeface="仿宋_GB2312" panose="02010609030101010101" pitchFamily="3" charset="-122"/>
                      </a:rPr>
                      <a:t>一般公共预算财政拨款收入, 452.78万元, 100%</a:t>
                    </a:r>
                    <a:endParaRPr b="0">
                      <a:latin typeface="宋体" panose="02010600030101010101" charset="-122"/>
                      <a:ea typeface="宋体" panose="02010600030101010101" charset="-122"/>
                      <a:cs typeface="宋体" panose="02010600030101010101" charset="-122"/>
                      <a:sym typeface="仿宋_GB2312" panose="02010609030101010101" pitchFamily="3" charset="-122"/>
                    </a:endParaRP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[图表模板.xls]Sheet1!$A$2</c:f>
              <c:numCache>
                <c:formatCode>General</c:formatCode>
                <c:ptCount val="1"/>
                <c:pt idx="0">
                  <c:v>452.78</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rPr>
              <a:t>图</a:t>
            </a:r>
            <a:r>
              <a:rPr lang="en-US" altLang="zh-CN"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rPr>
              <a:t>3</a:t>
            </a:r>
            <a:r>
              <a:rPr altLang="en-US"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rPr>
              <a:t>：</a:t>
            </a:r>
            <a:r>
              <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rPr>
              <a:t>支出决算结构图</a:t>
            </a:r>
            <a:endPar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64583333333333"/>
                  <c:y val="-0.18402777777777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437.8</a:t>
                    </a:r>
                    <a:r>
                      <a:rPr lang="en-US" alt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0</a:t>
                    </a: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万元,占97%</a:t>
                    </a:r>
                    <a:endPar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1"/>
              <c:showVal val="1"/>
              <c:showCatName val="0"/>
              <c:showSerName val="0"/>
              <c:showPercent val="1"/>
              <c:showBubbleSize val="0"/>
              <c:extLst>
                <c:ext xmlns:c15="http://schemas.microsoft.com/office/drawing/2012/chart" uri="{CE6537A1-D6FC-4f65-9D91-7224C49458BB}">
                  <c15:layout>
                    <c:manualLayout>
                      <c:w val="0.276842222222222"/>
                      <c:h val="0.113888888888889"/>
                    </c:manualLayout>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14.98万元,占3%</a:t>
                    </a:r>
                    <a:endPar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1"/>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[图表模板.xls]Sheet1!$A$1:$B$1</c:f>
              <c:strCache>
                <c:ptCount val="2"/>
                <c:pt idx="0">
                  <c:v>基本支出</c:v>
                </c:pt>
                <c:pt idx="1">
                  <c:v>项目支出</c:v>
                </c:pt>
              </c:strCache>
            </c:strRef>
          </c:cat>
          <c:val>
            <c:numRef>
              <c:f>[图表模板.xls]Sheet1!$A$2:$B$2</c:f>
              <c:numCache>
                <c:formatCode>General</c:formatCode>
                <c:ptCount val="2"/>
                <c:pt idx="0">
                  <c:v>437.8</c:v>
                </c:pt>
                <c:pt idx="1">
                  <c:v>14.98</c:v>
                </c:pt>
              </c:numCache>
            </c:numRef>
          </c:val>
        </c:ser>
        <c:dLbls>
          <c:showLegendKey val="1"/>
          <c:showVal val="1"/>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cs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cs typeface="仿宋_GB2312" panose="02010609030101010101" pitchFamily="3" charset="-122"/>
              </a:rPr>
              <a:t>4</a:t>
            </a:r>
            <a:r>
              <a:rPr altLang="en-US" sz="1400">
                <a:latin typeface="仿宋_GB2312" panose="02010609030101010101" pitchFamily="3" charset="-122"/>
                <a:ea typeface="仿宋_GB2312" panose="02010609030101010101" pitchFamily="3" charset="-122"/>
                <a:cs typeface="仿宋_GB2312" panose="02010609030101010101" pitchFamily="3" charset="-122"/>
              </a:rPr>
              <a:t>：</a:t>
            </a:r>
            <a:r>
              <a:rPr lang="zh-CN" altLang="en-US" sz="1400">
                <a:latin typeface="仿宋_GB2312" panose="02010609030101010101" pitchFamily="3" charset="-122"/>
                <a:ea typeface="仿宋_GB2312" panose="02010609030101010101" pitchFamily="3" charset="-122"/>
                <a:cs typeface="仿宋_GB2312" panose="02010609030101010101" pitchFamily="3" charset="-122"/>
              </a:rPr>
              <a:t>财政拨款</a:t>
            </a:r>
            <a:r>
              <a:rPr lang="zh-CN" sz="1400">
                <a:latin typeface="仿宋_GB2312" panose="02010609030101010101" pitchFamily="3" charset="-122"/>
                <a:ea typeface="仿宋_GB2312" panose="02010609030101010101" pitchFamily="3" charset="-122"/>
                <a:cs typeface="仿宋_GB2312" panose="02010609030101010101" pitchFamily="3" charset="-122"/>
              </a:rPr>
              <a:t>收</a:t>
            </a:r>
            <a:r>
              <a:rPr lang="zh-CN" sz="1400" b="1">
                <a:latin typeface="仿宋_GB2312" panose="02010609030101010101" pitchFamily="3" charset="-122"/>
                <a:ea typeface="仿宋_GB2312" panose="02010609030101010101" pitchFamily="3" charset="-122"/>
                <a:cs typeface="仿宋_GB2312" panose="02010609030101010101" pitchFamily="3" charset="-122"/>
              </a:rPr>
              <a:t>支决算总体</a:t>
            </a:r>
            <a:r>
              <a:rPr lang="zh-CN" altLang="en-US" sz="1400" b="1">
                <a:latin typeface="仿宋_GB2312" panose="02010609030101010101" pitchFamily="3" charset="-122"/>
                <a:ea typeface="仿宋_GB2312" panose="02010609030101010101" pitchFamily="3" charset="-122"/>
                <a:cs typeface="仿宋_GB2312" panose="02010609030101010101" pitchFamily="3" charset="-122"/>
              </a:rPr>
              <a:t>变动</a:t>
            </a:r>
            <a:r>
              <a:rPr lang="zh-CN" sz="1400" b="1">
                <a:latin typeface="仿宋_GB2312" panose="02010609030101010101" pitchFamily="3" charset="-122"/>
                <a:ea typeface="仿宋_GB2312" panose="02010609030101010101" pitchFamily="3" charset="-122"/>
                <a:cs typeface="仿宋_GB2312" panose="02010609030101010101" pitchFamily="3" charset="-122"/>
              </a:rPr>
              <a:t>情况</a:t>
            </a:r>
            <a:r>
              <a:rPr lang="zh-CN" altLang="en-US" sz="1400" b="1">
                <a:latin typeface="仿宋_GB2312" panose="02010609030101010101" pitchFamily="3" charset="-122"/>
                <a:ea typeface="仿宋_GB2312" panose="02010609030101010101" pitchFamily="3" charset="-122"/>
                <a:cs typeface="仿宋_GB2312" panose="02010609030101010101" pitchFamily="3" charset="-122"/>
              </a:rPr>
              <a:t>图</a:t>
            </a:r>
            <a:endParaRPr lang="en-US" altLang="zh-CN" sz="1400" b="1">
              <a:latin typeface="仿宋_GB2312" panose="02010609030101010101" pitchFamily="3" charset="-122"/>
              <a:ea typeface="仿宋_GB2312" panose="02010609030101010101" pitchFamily="3" charset="-122"/>
              <a:cs typeface="仿宋_GB2312" panose="02010609030101010101" pitchFamily="3" charset="-122"/>
            </a:endParaRPr>
          </a:p>
        </c:rich>
      </c:tx>
      <c:layout/>
      <c:overlay val="0"/>
    </c:title>
    <c:autoTitleDeleted val="0"/>
    <c:plotArea>
      <c:layout/>
      <c:barChart>
        <c:barDir val="bar"/>
        <c:grouping val="clustered"/>
        <c:varyColors val="0"/>
        <c:ser>
          <c:idx val="0"/>
          <c:order val="0"/>
          <c:tx>
            <c:strRef>
              <c:f>'Sheet1 (2)'!$A$2</c:f>
              <c:strCache>
                <c:ptCount val="1"/>
                <c:pt idx="0">
                  <c:v>财政拨款收入</c:v>
                </c:pt>
              </c:strCache>
            </c:strRef>
          </c:tx>
          <c:invertIfNegative val="0"/>
          <c:dLbls>
            <c:delete val="1"/>
          </c:dLbls>
          <c:cat>
            <c:strRef>
              <c:f>'Sheet1 (2)'!$B$1:$C$1</c:f>
              <c:strCache>
                <c:ptCount val="2"/>
                <c:pt idx="0">
                  <c:v>2019年</c:v>
                </c:pt>
                <c:pt idx="1">
                  <c:v>2020年</c:v>
                </c:pt>
              </c:strCache>
            </c:strRef>
          </c:cat>
          <c:val>
            <c:numRef>
              <c:f>'Sheet1 (2)'!$B$2:$C$2</c:f>
              <c:numCache>
                <c:formatCode>General</c:formatCode>
                <c:ptCount val="2"/>
                <c:pt idx="0">
                  <c:v>508.01</c:v>
                </c:pt>
                <c:pt idx="1">
                  <c:v>452.78</c:v>
                </c:pt>
              </c:numCache>
            </c:numRef>
          </c:val>
        </c:ser>
        <c:ser>
          <c:idx val="1"/>
          <c:order val="1"/>
          <c:tx>
            <c:strRef>
              <c:f>'Sheet1 (2)'!$A$3</c:f>
              <c:strCache>
                <c:ptCount val="1"/>
                <c:pt idx="0">
                  <c:v>财政拨款支出</c:v>
                </c:pt>
              </c:strCache>
            </c:strRef>
          </c:tx>
          <c:invertIfNegative val="0"/>
          <c:dLbls>
            <c:delete val="1"/>
          </c:dLbls>
          <c:cat>
            <c:strRef>
              <c:f>'Sheet1 (2)'!$B$1:$C$1</c:f>
              <c:strCache>
                <c:ptCount val="2"/>
                <c:pt idx="0">
                  <c:v>2019年</c:v>
                </c:pt>
                <c:pt idx="1">
                  <c:v>2020年</c:v>
                </c:pt>
              </c:strCache>
            </c:strRef>
          </c:cat>
          <c:val>
            <c:numRef>
              <c:f>'Sheet1 (2)'!$B$3:$C$3</c:f>
              <c:numCache>
                <c:formatCode>General</c:formatCode>
                <c:ptCount val="2"/>
                <c:pt idx="0">
                  <c:v>508.01</c:v>
                </c:pt>
                <c:pt idx="1">
                  <c:v>452.78</c:v>
                </c:pt>
              </c:numCache>
            </c:numRef>
          </c:val>
        </c:ser>
        <c:dLbls>
          <c:showLegendKey val="0"/>
          <c:showVal val="0"/>
          <c:showCatName val="0"/>
          <c:showSerName val="0"/>
          <c:showPercent val="0"/>
          <c:showBubbleSize val="0"/>
        </c:dLbls>
        <c:gapWidth val="95"/>
        <c:axId val="92562176"/>
        <c:axId val="92564480"/>
      </c:barChart>
      <c:catAx>
        <c:axId val="92562176"/>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564480"/>
        <c:crosses val="autoZero"/>
        <c:auto val="1"/>
        <c:lblAlgn val="ctr"/>
        <c:lblOffset val="100"/>
        <c:noMultiLvlLbl val="0"/>
      </c:catAx>
      <c:valAx>
        <c:axId val="92564480"/>
        <c:scaling>
          <c:orientation val="minMax"/>
          <c:max val="600"/>
          <c:min val="0"/>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en-US" altLang="zh-CN"/>
              </a:p>
            </c:rich>
          </c:tx>
          <c:layout>
            <c:manualLayout>
              <c:xMode val="edge"/>
              <c:yMode val="edge"/>
              <c:x val="0.818407261592302"/>
              <c:y val="0.116963215344816"/>
            </c:manualLayout>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56217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sz="1200"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rPr>
              <a:t>图</a:t>
            </a:r>
            <a:r>
              <a:rPr lang="en-US" altLang="zh-CN" sz="1200"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rPr>
              <a:t>5</a:t>
            </a:r>
            <a:r>
              <a:rPr altLang="en-US" sz="1200"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rPr>
              <a:t>：一般公共预算财政拨款支出决算变动情况</a:t>
            </a:r>
            <a:endParaRPr altLang="en-US" sz="1200"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149097222222222"/>
          <c:y val="0.035696935724962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508.01万元</a:t>
                    </a:r>
                    <a:endParaRPr>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452.78万元</a:t>
                    </a:r>
                    <a:endParaRPr>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工作表.xls]Sheet1'!$A$1:$B$1</c:f>
              <c:strCache>
                <c:ptCount val="2"/>
                <c:pt idx="0">
                  <c:v>2020年</c:v>
                </c:pt>
                <c:pt idx="1">
                  <c:v>2019年</c:v>
                </c:pt>
              </c:strCache>
            </c:strRef>
          </c:cat>
          <c:val>
            <c:numRef>
              <c:f>'[新建 XLS 工作表.xls]Sheet1'!$A$2:$B$2</c:f>
              <c:numCache>
                <c:formatCode>General</c:formatCode>
                <c:ptCount val="2"/>
                <c:pt idx="0">
                  <c:v>508.01</c:v>
                </c:pt>
                <c:pt idx="1">
                  <c:v>452.78</c:v>
                </c:pt>
              </c:numCache>
            </c:numRef>
          </c:val>
        </c:ser>
        <c:dLbls>
          <c:showLegendKey val="0"/>
          <c:showVal val="1"/>
          <c:showCatName val="0"/>
          <c:showSerName val="0"/>
          <c:showPercent val="0"/>
          <c:showBubbleSize val="0"/>
        </c:dLbls>
        <c:gapWidth val="219"/>
        <c:overlap val="-27"/>
        <c:axId val="335084136"/>
        <c:axId val="167546413"/>
      </c:barChart>
      <c:catAx>
        <c:axId val="335084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67546413"/>
        <c:crosses val="autoZero"/>
        <c:auto val="1"/>
        <c:lblAlgn val="ctr"/>
        <c:lblOffset val="100"/>
        <c:noMultiLvlLbl val="0"/>
      </c:catAx>
      <c:valAx>
        <c:axId val="167546413"/>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35084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rPr>
              <a:t>图</a:t>
            </a:r>
            <a:r>
              <a:rPr lang="en-US" altLang="zh-CN"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rPr>
              <a:t>6</a:t>
            </a:r>
            <a:r>
              <a:rPr altLang="en-US"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rPr>
              <a:t>：</a:t>
            </a:r>
            <a:r>
              <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rPr>
              <a:t>一般公共预算财政拨款支出决算结构</a:t>
            </a:r>
            <a:endPar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349.27万元, 77</a:t>
                    </a:r>
                    <a:r>
                      <a:rPr lang="en-US" alt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.14</a:t>
                    </a: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endPar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00857924740180029"/>
                  <c:y val="0.0129067231289636"/>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25.12万元, </a:t>
                    </a:r>
                    <a:r>
                      <a:rPr lang="en-US" alt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5.55</a:t>
                    </a: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endPar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231944444444444"/>
                      <c:h val="0.114269141531323"/>
                    </c:manualLayout>
                  </c15:layout>
                </c:ext>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21.87万元, </a:t>
                    </a:r>
                    <a:r>
                      <a:rPr lang="en-US" alt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4.83</a:t>
                    </a: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endPar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231111111111111"/>
                      <c:h val="0.114351851851852"/>
                    </c:manualLayout>
                  </c15:layout>
                </c:ext>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56.52万元, 12</a:t>
                    </a:r>
                    <a:r>
                      <a:rPr lang="en-US" alt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.48</a:t>
                    </a:r>
                    <a:r>
                      <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endParaRPr>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292083333333333"/>
                      <c:h val="0.11435185185185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工作表.xls]Sheet1'!$A$1:$D$1</c:f>
              <c:strCache>
                <c:ptCount val="4"/>
                <c:pt idx="0">
                  <c:v>一般公共服务</c:v>
                </c:pt>
                <c:pt idx="1">
                  <c:v>社会保障和就业</c:v>
                </c:pt>
                <c:pt idx="2">
                  <c:v>卫生健康</c:v>
                </c:pt>
                <c:pt idx="3">
                  <c:v>住房保障</c:v>
                </c:pt>
              </c:strCache>
            </c:strRef>
          </c:cat>
          <c:val>
            <c:numRef>
              <c:f>'[新建 XLS 工作表.xls]Sheet1'!$A$2:$D$2</c:f>
              <c:numCache>
                <c:formatCode>General</c:formatCode>
                <c:ptCount val="4"/>
                <c:pt idx="0">
                  <c:v>349.27</c:v>
                </c:pt>
                <c:pt idx="1">
                  <c:v>25.12</c:v>
                </c:pt>
                <c:pt idx="2">
                  <c:v>21.87</c:v>
                </c:pt>
                <c:pt idx="3">
                  <c:v>56.52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rPr>
              <a:t>图</a:t>
            </a:r>
            <a:r>
              <a:rPr lang="en-US" altLang="zh-CN"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rPr>
              <a:t>7</a:t>
            </a:r>
            <a:r>
              <a:rPr altLang="en-US"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rPr>
              <a:t>：</a:t>
            </a:r>
            <a:r>
              <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rPr>
              <a:t>“三公”经费财政拨款支出结构</a:t>
            </a:r>
            <a:endParaRPr b="1">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206944444444445"/>
          <c:y val="0.04462650009041"/>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公务用车购置及运行维护费支出2.31万元,100%</a:t>
                    </a:r>
                  </a:p>
                </c:rich>
              </c:tx>
              <c:dLblPos val="bestFit"/>
              <c:showLegendKey val="1"/>
              <c:showVal val="1"/>
              <c:showCatName val="1"/>
              <c:showSerName val="0"/>
              <c:showPercent val="1"/>
              <c:showBubbleSize val="0"/>
              <c:extLst>
                <c:ext xmlns:c15="http://schemas.microsoft.com/office/drawing/2012/chart" uri="{CE6537A1-D6FC-4f65-9D91-7224C49458BB}"/>
              </c:extLst>
            </c:dLbl>
            <c:dLbl>
              <c:idx val="1"/>
              <c:layout>
                <c:manualLayout>
                  <c:x val="0.220833333333333"/>
                  <c:y val="0.10416666666666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因公出国（境）费0万元,0%</a:t>
                    </a:r>
                  </a:p>
                </c:rich>
              </c:tx>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45260427329863"/>
                  <c:y val="0.093868395250672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公务接待费0万元,0%</a:t>
                    </a:r>
                  </a:p>
                </c:rich>
              </c:tx>
              <c:dLblPos val="bestFit"/>
              <c:showLegendKey val="1"/>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[图表模板.xls]Sheet1!$A$1:$A$3</c:f>
              <c:strCache>
                <c:ptCount val="3"/>
                <c:pt idx="0">
                  <c:v>公务用车购置及运行维护费支出</c:v>
                </c:pt>
                <c:pt idx="1">
                  <c:v>因公出国（境）费</c:v>
                </c:pt>
                <c:pt idx="2">
                  <c:v>公务接待费</c:v>
                </c:pt>
              </c:strCache>
            </c:strRef>
          </c:cat>
          <c:val>
            <c:numRef>
              <c:f>[图表模板.xls]Sheet1!$B$1:$B$3</c:f>
              <c:numCache>
                <c:formatCode>General</c:formatCode>
                <c:ptCount val="3"/>
                <c:pt idx="0">
                  <c:v>2.31</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9444444444444"/>
          <c:y val="0.896947496947497"/>
          <c:w val="0.781111111111111"/>
          <c:h val="0.073748473748473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6A116-EF9A-4723-BEC4-9C698FB4BCD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1307</Words>
  <Characters>7453</Characters>
  <Lines>62</Lines>
  <Paragraphs>17</Paragraphs>
  <TotalTime>1</TotalTime>
  <ScaleCrop>false</ScaleCrop>
  <LinksUpToDate>false</LinksUpToDate>
  <CharactersWithSpaces>8743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王非</cp:lastModifiedBy>
  <cp:lastPrinted>2021-09-07T06:50:00Z</cp:lastPrinted>
  <dcterms:modified xsi:type="dcterms:W3CDTF">2022-11-11T09:48:13Z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