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pStyle w:val="2"/>
        <w:spacing w:before="93"/>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81552522"/>
      <w:bookmarkStart w:id="3" w:name="_Toc15378441"/>
      <w:bookmarkStart w:id="4" w:name="_Toc81485548"/>
      <w:bookmarkStart w:id="5" w:name="_Toc15377425"/>
      <w:bookmarkStart w:id="6" w:name="_Toc15377193"/>
      <w:bookmarkStart w:id="7" w:name="_Toc15396475"/>
      <w:bookmarkStart w:id="8" w:name="_Toc596516649"/>
      <w:r>
        <w:rPr>
          <w:rFonts w:hint="eastAsia" w:ascii="方正小标宋简体" w:hAnsi="黑体" w:eastAsia="方正小标宋简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bookmarkEnd w:id="8"/>
    </w:p>
    <w:p>
      <w:pPr>
        <w:adjustRightInd w:val="0"/>
        <w:snapToGrid w:val="0"/>
        <w:spacing w:line="360" w:lineRule="auto"/>
        <w:ind w:left="-141" w:leftChars="-67" w:right="-197" w:rightChars="-94"/>
        <w:jc w:val="center"/>
        <w:outlineLvl w:val="0"/>
        <w:rPr>
          <w:rFonts w:ascii="方正小标宋简体" w:hAnsi="宋体" w:eastAsia="方正小标宋简体"/>
          <w:color w:val="000000"/>
          <w:sz w:val="72"/>
          <w:szCs w:val="72"/>
        </w:rPr>
      </w:pPr>
      <w:bookmarkStart w:id="9" w:name="_Toc15377194"/>
      <w:bookmarkStart w:id="10" w:name="_Toc81552523"/>
      <w:bookmarkStart w:id="11" w:name="_Toc15396598"/>
      <w:bookmarkStart w:id="12" w:name="_Toc81486555"/>
      <w:bookmarkStart w:id="13" w:name="_Toc81485549"/>
      <w:bookmarkStart w:id="14" w:name="_Toc15378442"/>
      <w:bookmarkStart w:id="15" w:name="_Toc15377426"/>
      <w:bookmarkStart w:id="16" w:name="_Toc15396476"/>
      <w:bookmarkStart w:id="17" w:name="_Toc1189641421"/>
      <w:r>
        <w:rPr>
          <w:rFonts w:hint="eastAsia" w:ascii="方正小标宋简体" w:hAnsi="宋体" w:eastAsia="方正小标宋简体"/>
          <w:color w:val="000000"/>
          <w:sz w:val="72"/>
          <w:szCs w:val="72"/>
        </w:rPr>
        <w:t>四川省</w:t>
      </w:r>
      <w:bookmarkEnd w:id="0"/>
      <w:bookmarkStart w:id="18" w:name="_Toc15306268"/>
      <w:r>
        <w:rPr>
          <w:rFonts w:hint="eastAsia" w:ascii="方正小标宋简体" w:hAnsi="宋体" w:eastAsia="方正小标宋简体"/>
          <w:color w:val="000000"/>
          <w:sz w:val="72"/>
          <w:szCs w:val="72"/>
        </w:rPr>
        <w:t>财政厅政府债券发行管理中心单位决算</w:t>
      </w:r>
      <w:bookmarkEnd w:id="9"/>
      <w:bookmarkEnd w:id="10"/>
      <w:bookmarkEnd w:id="11"/>
      <w:bookmarkEnd w:id="12"/>
      <w:bookmarkEnd w:id="13"/>
      <w:bookmarkEnd w:id="14"/>
      <w:bookmarkEnd w:id="15"/>
      <w:bookmarkEnd w:id="16"/>
      <w:bookmarkEnd w:id="17"/>
      <w:bookmarkEnd w:id="18"/>
    </w:p>
    <w:p>
      <w:pPr>
        <w:widowControl/>
        <w:ind w:left="-283" w:leftChars="-135" w:right="-340" w:rightChars="-162"/>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pStyle w:val="10"/>
        <w:rPr>
          <w:rFonts w:ascii="仿宋_GB2312" w:eastAsia="仿宋_GB2312"/>
          <w:sz w:val="32"/>
          <w:szCs w:val="32"/>
        </w:rPr>
      </w:pPr>
      <w:r>
        <w:rPr>
          <w:rFonts w:hint="eastAsia" w:ascii="仿宋_GB2312" w:eastAsia="仿宋_GB2312"/>
          <w:sz w:val="32"/>
          <w:szCs w:val="32"/>
        </w:rPr>
        <w:t>公开时间：2021年9月10日</w:t>
      </w:r>
    </w:p>
    <w:p/>
    <w:sdt>
      <w:sdtPr>
        <w:rPr>
          <w:rFonts w:ascii="Times New Roman" w:hAnsi="Times New Roman" w:eastAsia="宋体"/>
          <w:b/>
          <w:bCs/>
          <w:sz w:val="21"/>
          <w:szCs w:val="24"/>
          <w:lang w:val="zh-CN"/>
        </w:rPr>
        <w:id w:val="11757967"/>
        <w:docPartObj>
          <w:docPartGallery w:val="Table of Contents"/>
          <w:docPartUnique/>
        </w:docPartObj>
      </w:sdtPr>
      <w:sdtEndPr>
        <w:rPr>
          <w:rFonts w:hint="eastAsia" w:ascii="仿宋_GB2312" w:hAnsi="Times New Roman" w:eastAsia="仿宋_GB2312"/>
          <w:b w:val="0"/>
          <w:bCs w:val="0"/>
          <w:sz w:val="32"/>
          <w:szCs w:val="32"/>
          <w:lang w:val="en-US"/>
        </w:rPr>
      </w:sdtEndPr>
      <w:sdtContent>
        <w:p>
          <w:pPr>
            <w:spacing w:before="0" w:beforeLines="0" w:after="0" w:afterLines="0" w:line="240" w:lineRule="auto"/>
            <w:ind w:left="0" w:leftChars="0" w:right="0" w:rightChars="0" w:firstLine="0" w:firstLineChars="0"/>
            <w:jc w:val="center"/>
            <w:rPr>
              <w:rFonts w:hint="eastAsia" w:ascii="仿宋_GB2312" w:hAnsi="Times New Roman" w:eastAsia="仿宋_GB2312" w:cs="Times New Roman"/>
              <w:kern w:val="2"/>
              <w:sz w:val="32"/>
              <w:szCs w:val="32"/>
              <w:lang w:val="en-US" w:eastAsia="zh-CN" w:bidi="ar-SA"/>
            </w:rPr>
          </w:pPr>
          <w:r>
            <w:rPr>
              <w:rFonts w:hint="eastAsia" w:ascii="仿宋_GB2312" w:eastAsia="仿宋_GB2312" w:hAnsiTheme="majorHAnsi" w:cstheme="majorBidi"/>
              <w:b/>
              <w:bCs/>
              <w:color w:val="376092" w:themeColor="accent1" w:themeShade="BF"/>
              <w:kern w:val="0"/>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hAnsiTheme="majorHAnsi" w:cstheme="majorBidi"/>
              <w:b/>
              <w:bCs/>
              <w:color w:val="376092" w:themeColor="accent1" w:themeShade="BF"/>
              <w:kern w:val="0"/>
              <w:sz w:val="32"/>
              <w:szCs w:val="32"/>
            </w:rPr>
            <w:fldChar w:fldCharType="separate"/>
          </w:r>
        </w:p>
        <w:p>
          <w:pPr>
            <w:pStyle w:val="11"/>
            <w:tabs>
              <w:tab w:val="right" w:leader="dot" w:pos="8306"/>
              <w:tab w:val="clear" w:pos="8296"/>
            </w:tabs>
            <w:ind w:left="0" w:leftChars="0" w:firstLine="0" w:firstLineChars="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_Toc1025202362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第一部分 单位概况</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_Toc1025202362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_Toc1350490027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一、职能简介</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_Toc1350490027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_Toc783368690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二、2020年重点工作完成情况</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_Toc783368690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sz w:val="32"/>
              <w:szCs w:val="32"/>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_Toc1102520059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三、机构设置情况</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_Toc1102520059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_Toc2044897763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第二部分 2020年度单位决算情况说明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_Toc2044897763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5</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_Toc1967513926 </w:instrText>
          </w:r>
          <w:r>
            <w:rPr>
              <w:rFonts w:hint="eastAsia" w:ascii="仿宋_GB2312" w:hAnsi="仿宋" w:eastAsia="仿宋_GB2312" w:cs="Times New Roman"/>
              <w:color w:val="000000"/>
              <w:kern w:val="2"/>
              <w:sz w:val="32"/>
              <w:szCs w:val="32"/>
              <w:lang w:val="en-US" w:eastAsia="zh-CN" w:bidi="ar-SA"/>
            </w:rPr>
            <w:fldChar w:fldCharType="separate"/>
          </w:r>
          <w:r>
            <w:rPr>
              <w:rFonts w:hint="default" w:ascii="仿宋_GB2312" w:hAnsi="仿宋" w:eastAsia="仿宋_GB2312" w:cs="Times New Roman"/>
              <w:color w:val="000000"/>
              <w:kern w:val="2"/>
              <w:sz w:val="32"/>
              <w:szCs w:val="32"/>
              <w:lang w:val="en-US" w:eastAsia="zh-CN" w:bidi="ar-SA"/>
            </w:rPr>
            <w:t xml:space="preserve">一、 </w:t>
          </w:r>
          <w:r>
            <w:rPr>
              <w:rFonts w:hint="eastAsia" w:ascii="仿宋_GB2312" w:hAnsi="仿宋" w:eastAsia="仿宋_GB2312" w:cs="Times New Roman"/>
              <w:color w:val="000000"/>
              <w:kern w:val="2"/>
              <w:sz w:val="32"/>
              <w:szCs w:val="32"/>
              <w:lang w:val="en-US" w:eastAsia="zh-CN" w:bidi="ar-SA"/>
            </w:rPr>
            <w:t>收入支出决算总体情况说明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_Toc1967513926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5</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_Toc1365180540 </w:instrText>
          </w:r>
          <w:r>
            <w:rPr>
              <w:rFonts w:hint="eastAsia" w:ascii="仿宋_GB2312" w:hAnsi="仿宋" w:eastAsia="仿宋_GB2312" w:cs="Times New Roman"/>
              <w:color w:val="000000"/>
              <w:kern w:val="2"/>
              <w:sz w:val="32"/>
              <w:szCs w:val="32"/>
              <w:lang w:val="en-US" w:eastAsia="zh-CN" w:bidi="ar-SA"/>
            </w:rPr>
            <w:fldChar w:fldCharType="separate"/>
          </w:r>
          <w:r>
            <w:rPr>
              <w:rFonts w:hint="default" w:ascii="仿宋_GB2312" w:hAnsi="仿宋" w:eastAsia="仿宋_GB2312" w:cs="Times New Roman"/>
              <w:color w:val="000000"/>
              <w:kern w:val="2"/>
              <w:sz w:val="32"/>
              <w:szCs w:val="32"/>
              <w:lang w:val="en-US" w:eastAsia="zh-CN" w:bidi="ar-SA"/>
            </w:rPr>
            <w:t xml:space="preserve">二、 </w:t>
          </w:r>
          <w:r>
            <w:rPr>
              <w:rFonts w:hint="eastAsia" w:ascii="仿宋_GB2312" w:hAnsi="仿宋" w:eastAsia="仿宋_GB2312" w:cs="Times New Roman"/>
              <w:color w:val="000000"/>
              <w:kern w:val="2"/>
              <w:sz w:val="32"/>
              <w:szCs w:val="32"/>
              <w:lang w:val="en-US" w:eastAsia="zh-CN" w:bidi="ar-SA"/>
            </w:rPr>
            <w:t>收入决算情况说明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_Toc1365180540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5</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_Toc1540383426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三、支出决算情况说明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_Toc1540383426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6</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_Toc304089172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四、财政拨款收入支出决算总体情况说明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_Toc304089172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7</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_Toc1303455736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五、一般公共预算财政拨款支出决算情况说明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_Toc1303455736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7</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_Toc35005211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六、一般公共预算财政拨款基本支出决算情况说明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_Toc35005211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10</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_Toc521595368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七、“三公”经费财政拨款支出决算情况说明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_Toc521595368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10</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_Toc294702567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八、政府性基金预算支出决算情况说明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_Toc294702567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10</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_Toc1726956429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九、国有资本经营预算支出决算情况说明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_Toc1726956429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11</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1"/>
            <w:tabs>
              <w:tab w:val="right" w:leader="dot" w:pos="8306"/>
              <w:tab w:val="clear" w:pos="8296"/>
            </w:tabs>
            <w:rPr>
              <w:sz w:val="32"/>
              <w:szCs w:val="32"/>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_Toc336465782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十、其他重要事项的情况说明</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_Toc336465782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11</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_Toc861021530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第三部分 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_Toc861021530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_Toc278722862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第四部分 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_Toc278722862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_Toc233665123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一、收入支出决算总表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_Toc233665123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_Toc2145174067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二、收入决算表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_Toc2145174067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_Toc468703135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三、支出决算表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_Toc468703135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_Toc1101513929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四、财政拨款收入支出决算总表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_Toc1101513929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_Toc1801979802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五、财政拨款支出决算明细表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_Toc1801979802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_Toc1315634022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六、一般公共预算财政拨款支出决算表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_Toc1315634022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_Toc635723058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七、一般公共预算财政拨款支出决算明细表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_Toc635723058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_Toc1369133069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八、一般公共预算财政拨款基本支出决算表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_Toc1369133069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_Toc1125898167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九、一般公共预算财政拨款项目支出决算表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_Toc1125898167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_Toc1059961393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十、一般公共预算财政拨款“三公”经费支出决算表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_Toc1059961393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_Toc2089018456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十一、政府性基金预算财政拨款收入支出决算表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_Toc2089018456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_Toc628175011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十二、政府性基金预算财政拨款“三公”经费支出决算表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_Toc628175011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_Toc1656478042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十三、国有资本经营预算财政拨款收入支出决算表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_Toc1656478042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tabs>
              <w:tab w:val="right" w:leader="dot" w:pos="8306"/>
              <w:tab w:val="clear" w:pos="8296"/>
            </w:tabs>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HYPERLINK \l _Toc1131176229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十四、国有资本经营预算财政拨款支出决算表</w:t>
          </w:r>
          <w:r>
            <w:rPr>
              <w:rFonts w:hint="eastAsia" w:ascii="仿宋_GB2312" w:hAnsi="仿宋" w:eastAsia="仿宋_GB2312" w:cs="Times New Roman"/>
              <w:color w:val="000000"/>
              <w:kern w:val="2"/>
              <w:sz w:val="32"/>
              <w:szCs w:val="32"/>
              <w:lang w:val="en-US" w:eastAsia="zh-CN" w:bidi="ar-SA"/>
            </w:rPr>
            <w:tab/>
          </w:r>
          <w:r>
            <w:rPr>
              <w:rFonts w:hint="eastAsia" w:ascii="仿宋_GB2312" w:hAnsi="仿宋" w:eastAsia="仿宋_GB2312" w:cs="Times New Roman"/>
              <w:color w:val="000000"/>
              <w:kern w:val="2"/>
              <w:sz w:val="32"/>
              <w:szCs w:val="32"/>
              <w:lang w:val="en-US" w:eastAsia="zh-CN" w:bidi="ar-SA"/>
            </w:rPr>
            <w:fldChar w:fldCharType="begin"/>
          </w:r>
          <w:r>
            <w:rPr>
              <w:rFonts w:hint="eastAsia" w:ascii="仿宋_GB2312" w:hAnsi="仿宋" w:eastAsia="仿宋_GB2312" w:cs="Times New Roman"/>
              <w:color w:val="000000"/>
              <w:kern w:val="2"/>
              <w:sz w:val="32"/>
              <w:szCs w:val="32"/>
              <w:lang w:val="en-US" w:eastAsia="zh-CN" w:bidi="ar-SA"/>
            </w:rPr>
            <w:instrText xml:space="preserve"> PAGEREF _Toc1131176229 </w:instrText>
          </w:r>
          <w:r>
            <w:rPr>
              <w:rFonts w:hint="eastAsia" w:ascii="仿宋_GB2312" w:hAnsi="仿宋" w:eastAsia="仿宋_GB2312" w:cs="Times New Roman"/>
              <w:color w:val="000000"/>
              <w:kern w:val="2"/>
              <w:sz w:val="32"/>
              <w:szCs w:val="32"/>
              <w:lang w:val="en-US" w:eastAsia="zh-CN" w:bidi="ar-SA"/>
            </w:rPr>
            <w:fldChar w:fldCharType="separate"/>
          </w:r>
          <w:r>
            <w:rPr>
              <w:rFonts w:hint="eastAsia" w:ascii="仿宋_GB2312" w:hAnsi="仿宋" w:eastAsia="仿宋_GB2312" w:cs="Times New Roman"/>
              <w:color w:val="000000"/>
              <w:kern w:val="2"/>
              <w:sz w:val="32"/>
              <w:szCs w:val="32"/>
              <w:lang w:val="en-US" w:eastAsia="zh-CN" w:bidi="ar-SA"/>
            </w:rPr>
            <w:t>14</w:t>
          </w:r>
          <w:r>
            <w:rPr>
              <w:rFonts w:hint="eastAsia" w:ascii="仿宋_GB2312" w:hAnsi="仿宋" w:eastAsia="仿宋_GB2312" w:cs="Times New Roman"/>
              <w:color w:val="000000"/>
              <w:kern w:val="2"/>
              <w:sz w:val="32"/>
              <w:szCs w:val="32"/>
              <w:lang w:val="en-US" w:eastAsia="zh-CN" w:bidi="ar-SA"/>
            </w:rPr>
            <w:fldChar w:fldCharType="end"/>
          </w:r>
          <w:r>
            <w:rPr>
              <w:rFonts w:hint="eastAsia" w:ascii="仿宋_GB2312" w:hAnsi="仿宋" w:eastAsia="仿宋_GB2312" w:cs="Times New Roman"/>
              <w:color w:val="000000"/>
              <w:kern w:val="2"/>
              <w:sz w:val="32"/>
              <w:szCs w:val="32"/>
              <w:lang w:val="en-US" w:eastAsia="zh-CN" w:bidi="ar-SA"/>
            </w:rPr>
            <w:fldChar w:fldCharType="end"/>
          </w:r>
        </w:p>
        <w:p>
          <w:pPr>
            <w:pStyle w:val="10"/>
            <w:rPr>
              <w:rFonts w:ascii="仿宋_GB2312" w:eastAsia="仿宋_GB2312"/>
              <w:sz w:val="32"/>
              <w:szCs w:val="32"/>
            </w:rPr>
          </w:pPr>
          <w:r>
            <w:rPr>
              <w:rFonts w:hint="eastAsia" w:ascii="仿宋_GB2312" w:eastAsia="仿宋_GB2312"/>
              <w:sz w:val="32"/>
              <w:szCs w:val="32"/>
            </w:rPr>
            <w:fldChar w:fldCharType="end"/>
          </w:r>
        </w:p>
      </w:sdtContent>
    </w:sdt>
    <w:p>
      <w:pPr>
        <w:rPr>
          <w:rFonts w:ascii="仿宋_GB2312" w:eastAsia="仿宋_GB2312"/>
          <w:sz w:val="32"/>
          <w:szCs w:val="32"/>
        </w:rPr>
      </w:pPr>
    </w:p>
    <w:p>
      <w:pPr>
        <w:widowControl/>
        <w:spacing w:line="440" w:lineRule="exact"/>
        <w:jc w:val="center"/>
        <w:rPr>
          <w:rStyle w:val="24"/>
          <w:rFonts w:ascii="仿宋_GB2312" w:hAnsi="黑体" w:eastAsia="仿宋_GB2312"/>
          <w:b w:val="0"/>
          <w:sz w:val="32"/>
          <w:szCs w:val="32"/>
        </w:rPr>
      </w:pPr>
      <w:bookmarkStart w:id="19" w:name="_Toc15377196"/>
      <w:bookmarkStart w:id="20" w:name="_Toc15396599"/>
    </w:p>
    <w:p>
      <w:pPr>
        <w:widowControl/>
        <w:jc w:val="center"/>
        <w:rPr>
          <w:rStyle w:val="24"/>
          <w:rFonts w:ascii="黑体" w:hAnsi="黑体" w:eastAsia="黑体"/>
          <w:b w:val="0"/>
        </w:rPr>
        <w:sectPr>
          <w:footerReference r:id="rId5" w:type="first"/>
          <w:headerReference r:id="rId3" w:type="default"/>
          <w:footerReference r:id="rId4" w:type="default"/>
          <w:pgSz w:w="11906" w:h="16838"/>
          <w:pgMar w:top="1985" w:right="1800" w:bottom="1440" w:left="1800" w:header="851" w:footer="992" w:gutter="0"/>
          <w:pgNumType w:start="1"/>
          <w:cols w:space="425" w:num="1"/>
          <w:titlePg/>
          <w:docGrid w:type="lines" w:linePitch="312" w:charSpace="0"/>
        </w:sectPr>
      </w:pPr>
      <w:r>
        <w:rPr>
          <w:rStyle w:val="24"/>
          <w:rFonts w:ascii="黑体" w:hAnsi="黑体" w:eastAsia="黑体"/>
          <w:b w:val="0"/>
        </w:rPr>
        <w:br w:type="page"/>
      </w:r>
    </w:p>
    <w:p>
      <w:pPr>
        <w:widowControl/>
        <w:spacing w:line="360" w:lineRule="auto"/>
        <w:jc w:val="center"/>
        <w:rPr>
          <w:rStyle w:val="24"/>
          <w:rFonts w:hint="eastAsia" w:ascii="黑体" w:hAnsi="黑体" w:eastAsia="黑体"/>
        </w:rPr>
      </w:pPr>
      <w:bookmarkStart w:id="21" w:name="_Toc1025202362"/>
    </w:p>
    <w:p>
      <w:pPr>
        <w:widowControl/>
        <w:spacing w:line="360" w:lineRule="auto"/>
        <w:jc w:val="center"/>
        <w:rPr>
          <w:rStyle w:val="24"/>
          <w:rFonts w:ascii="黑体" w:hAnsi="黑体" w:eastAsia="黑体"/>
          <w:b w:val="0"/>
          <w:bCs w:val="0"/>
        </w:rPr>
      </w:pPr>
      <w:r>
        <w:rPr>
          <w:rStyle w:val="24"/>
          <w:rFonts w:hint="eastAsia" w:ascii="黑体" w:hAnsi="黑体" w:eastAsia="黑体"/>
          <w:b w:val="0"/>
          <w:bCs w:val="0"/>
        </w:rPr>
        <w:t>第一部分 单位概况</w:t>
      </w:r>
      <w:bookmarkEnd w:id="19"/>
      <w:bookmarkEnd w:id="20"/>
      <w:bookmarkStart w:id="22" w:name="_Toc15396600"/>
      <w:bookmarkStart w:id="23" w:name="_Toc15377197"/>
    </w:p>
    <w:bookmarkEnd w:id="21"/>
    <w:p>
      <w:pPr>
        <w:widowControl/>
        <w:spacing w:line="360" w:lineRule="auto"/>
        <w:jc w:val="left"/>
        <w:rPr>
          <w:rStyle w:val="25"/>
          <w:rFonts w:ascii="黑体" w:hAnsi="黑体" w:eastAsia="黑体" w:cs="Times New Roman"/>
          <w:b w:val="0"/>
          <w:bCs w:val="0"/>
          <w:kern w:val="44"/>
          <w:sz w:val="44"/>
          <w:szCs w:val="44"/>
        </w:rPr>
      </w:pPr>
      <w:bookmarkStart w:id="24" w:name="_Toc1350490027"/>
      <w:r>
        <w:rPr>
          <w:rStyle w:val="25"/>
          <w:rFonts w:hint="eastAsia" w:ascii="黑体" w:hAnsi="黑体" w:eastAsia="黑体"/>
        </w:rPr>
        <w:t xml:space="preserve">    </w:t>
      </w:r>
      <w:r>
        <w:rPr>
          <w:rStyle w:val="25"/>
          <w:rFonts w:hint="eastAsia" w:ascii="黑体" w:hAnsi="黑体" w:eastAsia="黑体"/>
          <w:b w:val="0"/>
          <w:bCs w:val="0"/>
        </w:rPr>
        <w:t>一、职能简介</w:t>
      </w:r>
    </w:p>
    <w:bookmarkEnd w:id="24"/>
    <w:p>
      <w:pPr>
        <w:widowControl/>
        <w:spacing w:line="360" w:lineRule="auto"/>
        <w:jc w:val="left"/>
        <w:rPr>
          <w:rStyle w:val="25"/>
          <w:rFonts w:ascii="黑体" w:hAnsi="黑体" w:eastAsia="黑体"/>
        </w:rPr>
      </w:pPr>
      <w:r>
        <w:rPr>
          <w:rFonts w:hint="eastAsia" w:ascii="仿宋_GB2312" w:hAnsi="仿宋" w:eastAsia="仿宋_GB2312"/>
          <w:color w:val="000000"/>
          <w:sz w:val="32"/>
          <w:szCs w:val="32"/>
        </w:rPr>
        <w:t xml:space="preserve">    四川省财政厅政府债券发行管理中心（以下简称“政府债券发行管理中心”）承担政府债券公开发行、信用评级、统计分析、信息披露的具体事务和地方政府债券登记托管、流通转让、交割结算以及还本付息等事项。</w:t>
      </w:r>
      <w:r>
        <w:rPr>
          <w:rStyle w:val="25"/>
          <w:rFonts w:hint="eastAsia" w:ascii="黑体" w:hAnsi="黑体" w:eastAsia="黑体"/>
        </w:rPr>
        <w:t xml:space="preserve">  </w:t>
      </w:r>
    </w:p>
    <w:p>
      <w:pPr>
        <w:widowControl/>
        <w:spacing w:line="360" w:lineRule="auto"/>
        <w:jc w:val="left"/>
        <w:rPr>
          <w:rStyle w:val="25"/>
          <w:rFonts w:ascii="仿宋" w:hAnsi="仿宋" w:eastAsia="仿宋" w:cs="Times New Roman"/>
          <w:b w:val="0"/>
          <w:bCs w:val="0"/>
          <w:color w:val="000000"/>
        </w:rPr>
      </w:pPr>
      <w:bookmarkStart w:id="25" w:name="_Toc783368690"/>
      <w:r>
        <w:rPr>
          <w:rStyle w:val="25"/>
          <w:rFonts w:hint="eastAsia" w:ascii="黑体" w:hAnsi="黑体" w:eastAsia="黑体"/>
        </w:rPr>
        <w:t xml:space="preserve">    </w:t>
      </w:r>
      <w:r>
        <w:rPr>
          <w:rStyle w:val="25"/>
          <w:rFonts w:hint="eastAsia" w:ascii="黑体" w:hAnsi="黑体" w:eastAsia="黑体"/>
          <w:b w:val="0"/>
          <w:bCs w:val="0"/>
        </w:rPr>
        <w:t>二、2020年重点工作</w:t>
      </w:r>
      <w:bookmarkEnd w:id="22"/>
      <w:bookmarkEnd w:id="23"/>
      <w:r>
        <w:rPr>
          <w:rStyle w:val="25"/>
          <w:rFonts w:hint="eastAsia" w:ascii="黑体" w:hAnsi="黑体" w:eastAsia="黑体"/>
          <w:b w:val="0"/>
          <w:bCs w:val="0"/>
        </w:rPr>
        <w:t>完成情况</w:t>
      </w:r>
    </w:p>
    <w:bookmarkEnd w:id="25"/>
    <w:p>
      <w:pPr>
        <w:widowControl/>
        <w:spacing w:line="360" w:lineRule="auto"/>
        <w:ind w:firstLine="64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2020年以来，中心始终围绕中心、服务大局，坚持规范化、市场化开展地方债融资，树立了四川地方债良好市场品牌。全年发行地方债共计3543亿元，圆满完成了全年发行目标任务。</w:t>
      </w:r>
    </w:p>
    <w:p>
      <w:pPr>
        <w:widowControl/>
        <w:spacing w:line="360" w:lineRule="auto"/>
        <w:ind w:firstLine="640" w:firstLineChars="200"/>
        <w:jc w:val="left"/>
        <w:rPr>
          <w:rStyle w:val="25"/>
          <w:rFonts w:hint="eastAsia" w:ascii="黑体" w:hAnsi="黑体" w:eastAsia="黑体"/>
          <w:b w:val="0"/>
          <w:bCs w:val="0"/>
          <w:lang w:eastAsia="zh-CN"/>
        </w:rPr>
      </w:pPr>
      <w:bookmarkStart w:id="26" w:name="_Toc1102520059"/>
      <w:r>
        <w:rPr>
          <w:rStyle w:val="25"/>
          <w:rFonts w:hint="eastAsia" w:ascii="黑体" w:hAnsi="黑体" w:eastAsia="黑体"/>
          <w:b w:val="0"/>
          <w:bCs w:val="0"/>
          <w:lang w:val="en-US" w:eastAsia="zh-CN"/>
        </w:rPr>
        <w:t>三、机构设置</w:t>
      </w:r>
      <w:r>
        <w:rPr>
          <w:rStyle w:val="25"/>
          <w:rFonts w:hint="eastAsia" w:ascii="黑体" w:hAnsi="黑体" w:eastAsia="黑体"/>
          <w:b w:val="0"/>
          <w:bCs w:val="0"/>
          <w:lang w:eastAsia="zh-CN"/>
        </w:rPr>
        <w:t>情况</w:t>
      </w:r>
    </w:p>
    <w:bookmarkEnd w:id="26"/>
    <w:p>
      <w:pPr>
        <w:pStyle w:val="2"/>
        <w:rPr>
          <w:rFonts w:hint="default" w:ascii="仿宋_GB2312" w:hAnsi="仿宋" w:eastAsia="仿宋_GB2312" w:cs="Times New Roman"/>
          <w:color w:val="000000"/>
          <w:kern w:val="2"/>
          <w:sz w:val="32"/>
          <w:szCs w:val="32"/>
          <w:lang w:val="en-US" w:eastAsia="zh-CN" w:bidi="ar-SA"/>
        </w:rPr>
      </w:pPr>
      <w:r>
        <w:rPr>
          <w:rFonts w:hint="eastAsia"/>
          <w:lang w:val="en-US" w:eastAsia="zh-CN"/>
        </w:rPr>
        <w:t xml:space="preserve">    </w:t>
      </w:r>
      <w:r>
        <w:rPr>
          <w:rFonts w:hint="eastAsia" w:ascii="仿宋_GB2312" w:hAnsi="仿宋" w:eastAsia="仿宋_GB2312" w:cs="Times New Roman"/>
          <w:color w:val="000000"/>
          <w:kern w:val="2"/>
          <w:sz w:val="32"/>
          <w:szCs w:val="32"/>
          <w:lang w:val="en-US" w:eastAsia="zh-CN" w:bidi="ar-SA"/>
        </w:rPr>
        <w:t>本单位是隶属于四川省财政厅的二级预算单位，本单位无下属单位。</w:t>
      </w:r>
    </w:p>
    <w:p>
      <w:pPr>
        <w:widowControl/>
        <w:spacing w:line="360" w:lineRule="auto"/>
        <w:ind w:firstLine="640"/>
        <w:jc w:val="left"/>
        <w:rPr>
          <w:rFonts w:ascii="仿宋_GB2312" w:hAnsi="仿宋" w:eastAsia="仿宋_GB2312"/>
          <w:color w:val="000000"/>
          <w:sz w:val="32"/>
          <w:szCs w:val="32"/>
        </w:rPr>
        <w:sectPr>
          <w:pgSz w:w="11906" w:h="16838"/>
          <w:pgMar w:top="1644" w:right="1588" w:bottom="1588" w:left="1588" w:header="851" w:footer="992" w:gutter="0"/>
          <w:cols w:space="425" w:num="1"/>
          <w:titlePg/>
          <w:docGrid w:linePitch="312" w:charSpace="0"/>
        </w:sectPr>
      </w:pPr>
      <w:r>
        <w:rPr>
          <w:rFonts w:hint="eastAsia" w:ascii="仿宋_GB2312" w:hAnsi="仿宋" w:eastAsia="仿宋_GB2312"/>
          <w:color w:val="000000"/>
          <w:sz w:val="32"/>
          <w:szCs w:val="32"/>
        </w:rPr>
        <w:br w:type="page"/>
      </w:r>
      <w:bookmarkStart w:id="27" w:name="_Toc15377204"/>
      <w:bookmarkStart w:id="28" w:name="_Toc15396602"/>
    </w:p>
    <w:p>
      <w:pPr>
        <w:widowControl/>
        <w:ind w:firstLine="640"/>
        <w:jc w:val="center"/>
        <w:rPr>
          <w:rStyle w:val="24"/>
          <w:rFonts w:ascii="仿宋_GB2312" w:hAnsi="仿宋" w:eastAsia="仿宋_GB2312"/>
          <w:b w:val="0"/>
          <w:bCs w:val="0"/>
          <w:color w:val="000000"/>
          <w:kern w:val="2"/>
          <w:sz w:val="32"/>
          <w:szCs w:val="32"/>
        </w:rPr>
      </w:pPr>
      <w:bookmarkStart w:id="29" w:name="_Toc2044897763"/>
      <w:r>
        <w:rPr>
          <w:rStyle w:val="24"/>
          <w:rFonts w:hint="eastAsia" w:ascii="黑体" w:hAnsi="黑体" w:eastAsia="黑体"/>
          <w:b w:val="0"/>
          <w:bCs w:val="0"/>
        </w:rPr>
        <w:t>第二部分 2020年度单位决算情况说明</w:t>
      </w:r>
      <w:bookmarkEnd w:id="27"/>
      <w:bookmarkEnd w:id="28"/>
    </w:p>
    <w:bookmarkEnd w:id="29"/>
    <w:p>
      <w:pPr>
        <w:pStyle w:val="23"/>
        <w:numPr>
          <w:ilvl w:val="0"/>
          <w:numId w:val="1"/>
        </w:numPr>
        <w:spacing w:line="600" w:lineRule="exact"/>
        <w:ind w:firstLineChars="0"/>
        <w:outlineLvl w:val="1"/>
        <w:rPr>
          <w:rStyle w:val="25"/>
          <w:rFonts w:ascii="黑体" w:hAnsi="黑体" w:eastAsia="黑体"/>
          <w:b w:val="0"/>
        </w:rPr>
      </w:pPr>
      <w:bookmarkStart w:id="30" w:name="_Toc15396603"/>
      <w:bookmarkStart w:id="31" w:name="_Toc15377205"/>
      <w:bookmarkStart w:id="32" w:name="_Toc1967513926"/>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0"/>
      <w:bookmarkEnd w:id="31"/>
      <w:bookmarkEnd w:id="32"/>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2020年度收、支总计147.06万元。与2019年相比，收、支总计各增加26.81万元，增长22.30%。主要变动原因是人员经费增加。</w:t>
      </w:r>
    </w:p>
    <w:p>
      <w:pPr>
        <w:pStyle w:val="2"/>
        <w:spacing w:before="72"/>
      </w:pPr>
      <w:r>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276850" cy="3438525"/>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33" w:name="_Toc15396604"/>
      <w:bookmarkStart w:id="34" w:name="_Toc15377206"/>
      <w:bookmarkStart w:id="35" w:name="_Toc1365180540"/>
      <w:r>
        <w:rPr>
          <w:rFonts w:hint="eastAsia" w:ascii="黑体" w:hAnsi="黑体" w:eastAsia="黑体"/>
          <w:color w:val="000000"/>
          <w:sz w:val="32"/>
          <w:szCs w:val="32"/>
        </w:rPr>
        <w:t>收</w:t>
      </w:r>
      <w:r>
        <w:rPr>
          <w:rStyle w:val="25"/>
          <w:rFonts w:hint="eastAsia" w:ascii="黑体" w:hAnsi="黑体" w:eastAsia="黑体"/>
          <w:b w:val="0"/>
        </w:rPr>
        <w:t>入决算情况说明</w:t>
      </w:r>
      <w:bookmarkEnd w:id="33"/>
      <w:bookmarkEnd w:id="34"/>
      <w:bookmarkEnd w:id="35"/>
    </w:p>
    <w:p>
      <w:pPr>
        <w:rPr>
          <w:rFonts w:ascii="仿宋_GB2312" w:hAnsi="仿宋" w:eastAsia="仿宋_GB2312"/>
          <w:color w:val="000000"/>
          <w:sz w:val="32"/>
          <w:szCs w:val="32"/>
        </w:rPr>
      </w:pPr>
      <w:bookmarkStart w:id="36" w:name="_Toc81485556"/>
      <w:r>
        <w:rPr>
          <w:rFonts w:hint="eastAsia" w:ascii="仿宋_GB2312" w:hAnsi="仿宋" w:eastAsia="仿宋_GB2312"/>
          <w:color w:val="000000"/>
          <w:sz w:val="32"/>
          <w:szCs w:val="32"/>
        </w:rPr>
        <w:t xml:space="preserve">    2020年本年收入合计147.06万元，其中：一般公共预算财政拨款收入147.06万元，占100%；政府性基金预算财政拨款收入0万元，占0%；</w:t>
      </w:r>
      <w:r>
        <w:rPr>
          <w:rFonts w:hint="eastAsia" w:ascii="仿宋_GB2312" w:hAnsi="仿宋" w:eastAsia="仿宋_GB2312"/>
          <w:color w:val="000000" w:themeColor="text1"/>
          <w:sz w:val="32"/>
          <w:szCs w:val="32"/>
          <w14:textFill>
            <w14:solidFill>
              <w14:schemeClr w14:val="tx1"/>
            </w14:solidFill>
          </w14:textFill>
        </w:rPr>
        <w:t>上级补助收入0</w:t>
      </w:r>
      <w:r>
        <w:rPr>
          <w:rFonts w:hint="eastAsia" w:ascii="仿宋_GB2312" w:hAnsi="仿宋" w:eastAsia="仿宋_GB2312"/>
          <w:color w:val="000000"/>
          <w:sz w:val="32"/>
          <w:szCs w:val="32"/>
        </w:rPr>
        <w:t>万元，占0%；事业收入0万元，占0%；经营收入0万元，占0%；附属单位上缴收入0万元，占0%；其他收入0万元，占0%。</w:t>
      </w:r>
      <w:bookmarkEnd w:id="36"/>
    </w:p>
    <w:p>
      <w:pPr>
        <w:pStyle w:val="2"/>
        <w:spacing w:before="72"/>
      </w:pPr>
      <w:r>
        <w:rPr>
          <w:rFonts w:hint="eastAsia"/>
        </w:rPr>
        <w:drawing>
          <wp:inline distT="0" distB="0" distL="0" distR="0">
            <wp:extent cx="5229225" cy="29718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ascii="黑体" w:hAnsi="黑体" w:eastAsia="黑体" w:cstheme="majorBidi"/>
          <w:bCs/>
          <w:sz w:val="32"/>
          <w:szCs w:val="32"/>
        </w:rPr>
      </w:pPr>
      <w:bookmarkStart w:id="37" w:name="_Toc1540383426"/>
      <w:r>
        <w:rPr>
          <w:rFonts w:hint="eastAsia" w:ascii="黑体" w:hAnsi="黑体" w:eastAsia="黑体"/>
          <w:color w:val="000000"/>
          <w:sz w:val="32"/>
          <w:szCs w:val="32"/>
        </w:rPr>
        <w:t>三、支出决算</w:t>
      </w:r>
      <w:r>
        <w:rPr>
          <w:rStyle w:val="25"/>
          <w:rFonts w:hint="eastAsia" w:ascii="黑体" w:hAnsi="黑体" w:eastAsia="黑体"/>
          <w:b w:val="0"/>
        </w:rPr>
        <w:t>情况说明</w:t>
      </w:r>
      <w:bookmarkEnd w:id="37"/>
    </w:p>
    <w:p>
      <w:pPr>
        <w:rPr>
          <w:rFonts w:ascii="仿宋_GB2312" w:hAnsi="仿宋" w:eastAsia="仿宋_GB2312"/>
          <w:color w:val="000000"/>
          <w:sz w:val="32"/>
          <w:szCs w:val="32"/>
        </w:rPr>
      </w:pPr>
      <w:bookmarkStart w:id="38" w:name="_Toc81485558"/>
      <w:r>
        <w:rPr>
          <w:rFonts w:hint="eastAsia" w:ascii="仿宋_GB2312" w:hAnsi="仿宋" w:eastAsia="仿宋_GB2312"/>
          <w:color w:val="000000"/>
          <w:sz w:val="32"/>
          <w:szCs w:val="32"/>
        </w:rPr>
        <w:t xml:space="preserve">    2020年本年支出合计147.06万元，其中：基本支出116.42万元，占79.16%；项目支出30.64万元，占20.84%；上缴上级支出0万元，占0%；经营支出0万元，占0%；对附属单位补助支出0万元，占0%。</w:t>
      </w:r>
      <w:bookmarkEnd w:id="38"/>
    </w:p>
    <w:p>
      <w:pPr>
        <w:pStyle w:val="2"/>
        <w:spacing w:before="72"/>
      </w:pPr>
      <w:r>
        <w:rPr>
          <w:rFonts w:hint="eastAsia"/>
        </w:rPr>
        <w:drawing>
          <wp:anchor distT="0" distB="0" distL="114300" distR="114300" simplePos="0" relativeHeight="251660288" behindDoc="0" locked="0" layoutInCell="1" allowOverlap="1">
            <wp:simplePos x="0" y="0"/>
            <wp:positionH relativeFrom="column">
              <wp:posOffset>0</wp:posOffset>
            </wp:positionH>
            <wp:positionV relativeFrom="paragraph">
              <wp:posOffset>140970</wp:posOffset>
            </wp:positionV>
            <wp:extent cx="5343525" cy="3000375"/>
            <wp:effectExtent l="0" t="0" r="0" b="0"/>
            <wp:wrapTopAndBottom/>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Fonts w:ascii="黑体" w:hAnsi="黑体" w:eastAsia="黑体"/>
          <w:color w:val="000000"/>
          <w:sz w:val="32"/>
          <w:szCs w:val="32"/>
        </w:rPr>
      </w:pPr>
      <w:bookmarkStart w:id="39" w:name="_Toc15377208"/>
      <w:bookmarkStart w:id="40" w:name="_Toc15396606"/>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bookmarkStart w:id="41" w:name="_Toc304089172"/>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9"/>
      <w:bookmarkEnd w:id="40"/>
      <w:bookmarkEnd w:id="41"/>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2020年财政拨款收、支总计147.06万元。与2019年相比，财政拨款收、支总计各增加26.81万元，增长22.30%。主要变动原因是人员经费增加。</w:t>
      </w:r>
    </w:p>
    <w:p>
      <w:pPr>
        <w:pStyle w:val="2"/>
        <w:spacing w:before="72"/>
      </w:pP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66675</wp:posOffset>
            </wp:positionV>
            <wp:extent cx="5276850" cy="3343275"/>
            <wp:effectExtent l="0" t="0" r="0" b="0"/>
            <wp:wrapTopAndBottom/>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42" w:name="_Toc15396607"/>
      <w:bookmarkStart w:id="43" w:name="_Toc15377209"/>
    </w:p>
    <w:p>
      <w:pPr>
        <w:spacing w:line="600" w:lineRule="exact"/>
        <w:ind w:firstLine="640" w:firstLineChars="200"/>
        <w:outlineLvl w:val="1"/>
        <w:rPr>
          <w:rStyle w:val="25"/>
          <w:rFonts w:ascii="黑体" w:hAnsi="黑体" w:eastAsia="黑体"/>
          <w:b w:val="0"/>
        </w:rPr>
      </w:pPr>
      <w:bookmarkStart w:id="44" w:name="_Toc1303455736"/>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2"/>
      <w:bookmarkEnd w:id="43"/>
      <w:bookmarkEnd w:id="44"/>
    </w:p>
    <w:p>
      <w:pPr>
        <w:rPr>
          <w:rFonts w:ascii="楷体" w:hAnsi="楷体" w:eastAsia="楷体"/>
          <w:b/>
          <w:color w:val="000000"/>
          <w:sz w:val="32"/>
          <w:szCs w:val="32"/>
        </w:rPr>
      </w:pPr>
      <w:bookmarkStart w:id="45" w:name="_Toc81485561"/>
      <w:bookmarkStart w:id="46" w:name="_Toc15377210"/>
      <w:r>
        <w:rPr>
          <w:rFonts w:hint="eastAsia" w:ascii="楷体" w:hAnsi="楷体" w:eastAsia="楷体"/>
          <w:b/>
          <w:color w:val="000000"/>
          <w:sz w:val="32"/>
          <w:szCs w:val="32"/>
        </w:rPr>
        <w:t xml:space="preserve">    （一）一般公共预算财政拨款支出决算总体情况</w:t>
      </w:r>
      <w:bookmarkEnd w:id="45"/>
      <w:bookmarkEnd w:id="46"/>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2020年一般公共预算财政拨款支出147.06万元，占本年支出合计的100%。与2019年相比，一般公共预算财政拨款增加26.81万元，增长22.30%。主要变动原因是人员经费增加。</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pStyle w:val="2"/>
        <w:spacing w:before="72"/>
      </w:pPr>
    </w:p>
    <w:p>
      <w:pPr>
        <w:pStyle w:val="2"/>
        <w:spacing w:before="72"/>
      </w:pPr>
      <w:r>
        <w:rPr>
          <w:rFonts w:hint="eastAsia"/>
        </w:rPr>
        <w:drawing>
          <wp:anchor distT="0" distB="0" distL="114300" distR="114300" simplePos="0" relativeHeight="251662336" behindDoc="0" locked="0" layoutInCell="1" allowOverlap="1">
            <wp:simplePos x="0" y="0"/>
            <wp:positionH relativeFrom="column">
              <wp:posOffset>0</wp:posOffset>
            </wp:positionH>
            <wp:positionV relativeFrom="paragraph">
              <wp:posOffset>123825</wp:posOffset>
            </wp:positionV>
            <wp:extent cx="5276850" cy="3429000"/>
            <wp:effectExtent l="0" t="0" r="0" b="0"/>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ascii="楷体" w:hAnsi="楷体" w:eastAsia="楷体"/>
          <w:b/>
          <w:color w:val="000000"/>
          <w:sz w:val="32"/>
          <w:szCs w:val="32"/>
        </w:rPr>
      </w:pPr>
      <w:bookmarkStart w:id="47" w:name="_Toc81485562"/>
      <w:bookmarkStart w:id="48" w:name="_Toc15377211"/>
      <w:r>
        <w:rPr>
          <w:rFonts w:hint="eastAsia" w:ascii="楷体" w:hAnsi="楷体" w:eastAsia="楷体"/>
          <w:b/>
          <w:color w:val="000000"/>
          <w:sz w:val="32"/>
          <w:szCs w:val="32"/>
        </w:rPr>
        <w:t xml:space="preserve">    （二）一般公共预算财政拨款支出决算结构情况</w:t>
      </w:r>
      <w:bookmarkEnd w:id="47"/>
      <w:bookmarkEnd w:id="48"/>
    </w:p>
    <w:p>
      <w:pPr>
        <w:spacing w:line="600" w:lineRule="exact"/>
        <w:ind w:firstLine="640"/>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olor w:val="000000"/>
          <w:sz w:val="32"/>
          <w:szCs w:val="32"/>
        </w:rPr>
        <w:t>2020年一般公共预算财</w:t>
      </w:r>
      <w:r>
        <w:rPr>
          <w:rFonts w:hint="eastAsia" w:ascii="仿宋_GB2312" w:hAnsi="仿宋" w:eastAsia="仿宋_GB2312"/>
          <w:color w:val="000000" w:themeColor="text1"/>
          <w:sz w:val="32"/>
          <w:szCs w:val="32"/>
          <w14:textFill>
            <w14:solidFill>
              <w14:schemeClr w14:val="tx1"/>
            </w14:solidFill>
          </w14:textFill>
        </w:rPr>
        <w:t>政拨款支出147.06万元，主要用于以下方面:</w:t>
      </w:r>
      <w:r>
        <w:rPr>
          <w:rFonts w:hint="eastAsia" w:ascii="仿宋_GB2312" w:hAnsi="仿宋" w:eastAsia="仿宋_GB2312"/>
          <w:b/>
          <w:color w:val="000000" w:themeColor="text1"/>
          <w:sz w:val="32"/>
          <w:szCs w:val="32"/>
          <w14:textFill>
            <w14:solidFill>
              <w14:schemeClr w14:val="tx1"/>
            </w14:solidFill>
          </w14:textFill>
        </w:rPr>
        <w:t>一般公共服务（类）</w:t>
      </w:r>
      <w:r>
        <w:rPr>
          <w:rFonts w:hint="eastAsia" w:ascii="仿宋_GB2312" w:hAnsi="仿宋" w:eastAsia="仿宋_GB2312"/>
          <w:color w:val="000000" w:themeColor="text1"/>
          <w:sz w:val="32"/>
          <w:szCs w:val="32"/>
          <w14:textFill>
            <w14:solidFill>
              <w14:schemeClr w14:val="tx1"/>
            </w14:solidFill>
          </w14:textFill>
        </w:rPr>
        <w:t>支出110.86万元，占75.38%；</w:t>
      </w:r>
      <w:r>
        <w:rPr>
          <w:rFonts w:hint="eastAsia" w:ascii="仿宋_GB2312" w:hAnsi="仿宋" w:eastAsia="仿宋_GB2312"/>
          <w:b/>
          <w:color w:val="000000" w:themeColor="text1"/>
          <w:sz w:val="32"/>
          <w:szCs w:val="32"/>
          <w14:textFill>
            <w14:solidFill>
              <w14:schemeClr w14:val="tx1"/>
            </w14:solidFill>
          </w14:textFill>
        </w:rPr>
        <w:t>教育支出（类）</w:t>
      </w:r>
      <w:r>
        <w:rPr>
          <w:rFonts w:hint="eastAsia" w:ascii="仿宋_GB2312" w:hAnsi="仿宋" w:eastAsia="仿宋_GB2312"/>
          <w:color w:val="000000" w:themeColor="text1"/>
          <w:sz w:val="32"/>
          <w:szCs w:val="32"/>
          <w14:textFill>
            <w14:solidFill>
              <w14:schemeClr w14:val="tx1"/>
            </w14:solidFill>
          </w14:textFill>
        </w:rPr>
        <w:t>0万元，占0%；</w:t>
      </w:r>
      <w:r>
        <w:rPr>
          <w:rFonts w:hint="eastAsia" w:ascii="仿宋_GB2312" w:hAnsi="仿宋" w:eastAsia="仿宋_GB2312"/>
          <w:b/>
          <w:color w:val="000000" w:themeColor="text1"/>
          <w:sz w:val="32"/>
          <w:szCs w:val="32"/>
          <w14:textFill>
            <w14:solidFill>
              <w14:schemeClr w14:val="tx1"/>
            </w14:solidFill>
          </w14:textFill>
        </w:rPr>
        <w:t>科学技术（类）</w:t>
      </w:r>
      <w:r>
        <w:rPr>
          <w:rFonts w:hint="eastAsia" w:ascii="仿宋_GB2312" w:hAnsi="仿宋" w:eastAsia="仿宋_GB2312"/>
          <w:color w:val="000000" w:themeColor="text1"/>
          <w:sz w:val="32"/>
          <w:szCs w:val="32"/>
          <w14:textFill>
            <w14:solidFill>
              <w14:schemeClr w14:val="tx1"/>
            </w14:solidFill>
          </w14:textFill>
        </w:rPr>
        <w:t>支出0万元，占0%；</w:t>
      </w:r>
      <w:r>
        <w:rPr>
          <w:rFonts w:hint="eastAsia" w:ascii="仿宋_GB2312" w:hAnsi="仿宋" w:eastAsia="仿宋_GB2312"/>
          <w:b/>
          <w:bCs/>
          <w:color w:val="000000" w:themeColor="text1"/>
          <w:sz w:val="32"/>
          <w:szCs w:val="32"/>
          <w14:textFill>
            <w14:solidFill>
              <w14:schemeClr w14:val="tx1"/>
            </w14:solidFill>
          </w14:textFill>
        </w:rPr>
        <w:t>文化旅游体育与传媒（类）支出0万元，占0%</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b/>
          <w:color w:val="000000" w:themeColor="text1"/>
          <w:sz w:val="32"/>
          <w:szCs w:val="32"/>
          <w14:textFill>
            <w14:solidFill>
              <w14:schemeClr w14:val="tx1"/>
            </w14:solidFill>
          </w14:textFill>
        </w:rPr>
        <w:t>社会保障和就业（类）</w:t>
      </w:r>
      <w:r>
        <w:rPr>
          <w:rFonts w:hint="eastAsia" w:ascii="仿宋_GB2312" w:hAnsi="仿宋" w:eastAsia="仿宋_GB2312"/>
          <w:color w:val="000000" w:themeColor="text1"/>
          <w:sz w:val="32"/>
          <w:szCs w:val="32"/>
          <w14:textFill>
            <w14:solidFill>
              <w14:schemeClr w14:val="tx1"/>
            </w14:solidFill>
          </w14:textFill>
        </w:rPr>
        <w:t>支出14.19万元，占9.65%；</w:t>
      </w:r>
      <w:r>
        <w:rPr>
          <w:rFonts w:hint="eastAsia" w:ascii="仿宋_GB2312" w:hAnsi="仿宋" w:eastAsia="仿宋_GB2312"/>
          <w:b/>
          <w:bCs/>
          <w:color w:val="000000" w:themeColor="text1"/>
          <w:sz w:val="32"/>
          <w:szCs w:val="32"/>
          <w14:textFill>
            <w14:solidFill>
              <w14:schemeClr w14:val="tx1"/>
            </w14:solidFill>
          </w14:textFill>
        </w:rPr>
        <w:t>卫生健康支出</w:t>
      </w:r>
      <w:r>
        <w:rPr>
          <w:rFonts w:hint="eastAsia" w:ascii="仿宋_GB2312" w:hAnsi="仿宋" w:eastAsia="仿宋_GB2312"/>
          <w:color w:val="000000" w:themeColor="text1"/>
          <w:sz w:val="32"/>
          <w:szCs w:val="32"/>
          <w14:textFill>
            <w14:solidFill>
              <w14:schemeClr w14:val="tx1"/>
            </w14:solidFill>
          </w14:textFill>
        </w:rPr>
        <w:t>6.88万元，占4.68%；</w:t>
      </w:r>
      <w:r>
        <w:rPr>
          <w:rFonts w:hint="eastAsia" w:ascii="仿宋_GB2312" w:hAnsi="仿宋" w:eastAsia="仿宋_GB2312"/>
          <w:b/>
          <w:color w:val="000000" w:themeColor="text1"/>
          <w:sz w:val="32"/>
          <w:szCs w:val="32"/>
          <w14:textFill>
            <w14:solidFill>
              <w14:schemeClr w14:val="tx1"/>
            </w14:solidFill>
          </w14:textFill>
        </w:rPr>
        <w:t>住房保障支出</w:t>
      </w:r>
      <w:r>
        <w:rPr>
          <w:rFonts w:hint="eastAsia" w:ascii="仿宋_GB2312" w:hAnsi="仿宋" w:eastAsia="仿宋_GB2312"/>
          <w:color w:val="000000" w:themeColor="text1"/>
          <w:sz w:val="32"/>
          <w:szCs w:val="32"/>
          <w14:textFill>
            <w14:solidFill>
              <w14:schemeClr w14:val="tx1"/>
            </w14:solidFill>
          </w14:textFill>
        </w:rPr>
        <w:t>15.13万元，占10.29%。</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49" w:name="_Toc15377212"/>
    </w:p>
    <w:p>
      <w:pPr>
        <w:spacing w:line="600" w:lineRule="exact"/>
        <w:ind w:firstLine="642" w:firstLineChars="200"/>
        <w:outlineLvl w:val="2"/>
        <w:rPr>
          <w:rFonts w:ascii="仿宋" w:hAnsi="仿宋" w:eastAsia="仿宋"/>
          <w:b/>
          <w:color w:val="000000"/>
          <w:sz w:val="32"/>
          <w:szCs w:val="32"/>
        </w:rPr>
      </w:pPr>
    </w:p>
    <w:p>
      <w:pPr>
        <w:pStyle w:val="2"/>
        <w:spacing w:before="72"/>
      </w:pPr>
      <w:r>
        <w:drawing>
          <wp:anchor distT="0" distB="0" distL="114300" distR="114300" simplePos="0" relativeHeight="251663360" behindDoc="0" locked="0" layoutInCell="1" allowOverlap="1">
            <wp:simplePos x="0" y="0"/>
            <wp:positionH relativeFrom="column">
              <wp:posOffset>0</wp:posOffset>
            </wp:positionH>
            <wp:positionV relativeFrom="paragraph">
              <wp:posOffset>349250</wp:posOffset>
            </wp:positionV>
            <wp:extent cx="5381625" cy="3219450"/>
            <wp:effectExtent l="0" t="0" r="0" b="0"/>
            <wp:wrapTopAndBottom/>
            <wp:docPr id="2"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rPr>
          <w:rFonts w:ascii="楷体" w:hAnsi="楷体" w:eastAsia="楷体"/>
          <w:b/>
          <w:color w:val="000000"/>
          <w:sz w:val="32"/>
          <w:szCs w:val="32"/>
        </w:rPr>
      </w:pPr>
      <w:bookmarkStart w:id="50" w:name="_Toc81485563"/>
      <w:r>
        <w:rPr>
          <w:rFonts w:hint="eastAsia" w:ascii="仿宋" w:hAnsi="仿宋" w:eastAsia="仿宋"/>
          <w:b/>
          <w:color w:val="000000"/>
          <w:sz w:val="32"/>
          <w:szCs w:val="32"/>
        </w:rPr>
        <w:t xml:space="preserve">    （三）</w:t>
      </w:r>
      <w:r>
        <w:rPr>
          <w:rFonts w:hint="eastAsia" w:ascii="楷体" w:hAnsi="楷体" w:eastAsia="楷体"/>
          <w:b/>
          <w:color w:val="000000"/>
          <w:sz w:val="32"/>
          <w:szCs w:val="32"/>
        </w:rPr>
        <w:t>一般公共预算财政拨款支出决算具体情况</w:t>
      </w:r>
      <w:bookmarkEnd w:id="49"/>
      <w:bookmarkEnd w:id="50"/>
    </w:p>
    <w:p>
      <w:pPr>
        <w:rPr>
          <w:rFonts w:ascii="仿宋_GB2312" w:hAnsi="仿宋" w:eastAsia="仿宋_GB2312"/>
          <w:color w:val="FF0000"/>
          <w:sz w:val="32"/>
          <w:szCs w:val="32"/>
        </w:rPr>
      </w:pPr>
      <w:bookmarkStart w:id="51" w:name="_Toc81485564"/>
      <w:bookmarkStart w:id="52" w:name="_Toc15378460"/>
      <w:bookmarkStart w:id="53" w:name="_Toc15377444"/>
      <w:bookmarkStart w:id="54" w:name="_Toc15377213"/>
      <w:r>
        <w:rPr>
          <w:rFonts w:hint="eastAsia" w:ascii="仿宋_GB2312" w:hAnsi="仿宋" w:eastAsia="仿宋_GB2312"/>
          <w:b/>
          <w:color w:val="000000" w:themeColor="text1"/>
          <w:sz w:val="32"/>
          <w:szCs w:val="32"/>
          <w14:textFill>
            <w14:solidFill>
              <w14:schemeClr w14:val="tx1"/>
            </w14:solidFill>
          </w14:textFill>
        </w:rPr>
        <w:t xml:space="preserve">    2020年一般公共预算支出决算数为147.06</w:t>
      </w:r>
      <w:r>
        <w:rPr>
          <w:rFonts w:hint="eastAsia" w:ascii="仿宋_GB2312" w:hAnsi="仿宋" w:eastAsia="仿宋_GB2312"/>
          <w:color w:val="000000" w:themeColor="text1"/>
          <w:sz w:val="32"/>
          <w:szCs w:val="32"/>
          <w14:textFill>
            <w14:solidFill>
              <w14:schemeClr w14:val="tx1"/>
            </w14:solidFill>
          </w14:textFill>
        </w:rPr>
        <w:t>，</w:t>
      </w:r>
      <w:r>
        <w:rPr>
          <w:rStyle w:val="14"/>
          <w:rFonts w:hint="eastAsia" w:ascii="仿宋_GB2312" w:hAnsi="仿宋" w:eastAsia="仿宋_GB2312"/>
          <w:bCs/>
          <w:color w:val="000000" w:themeColor="text1"/>
          <w:sz w:val="32"/>
          <w:szCs w:val="32"/>
          <w14:textFill>
            <w14:solidFill>
              <w14:schemeClr w14:val="tx1"/>
            </w14:solidFill>
          </w14:textFill>
        </w:rPr>
        <w:t>完成</w:t>
      </w:r>
      <w:r>
        <w:rPr>
          <w:rStyle w:val="14"/>
          <w:rFonts w:hint="eastAsia" w:ascii="仿宋_GB2312" w:hAnsi="仿宋" w:eastAsia="仿宋_GB2312"/>
          <w:bCs/>
          <w:color w:val="000000"/>
          <w:sz w:val="32"/>
          <w:szCs w:val="32"/>
        </w:rPr>
        <w:t>预算89.97%。其中：</w:t>
      </w:r>
      <w:bookmarkEnd w:id="51"/>
      <w:bookmarkEnd w:id="52"/>
      <w:bookmarkEnd w:id="53"/>
      <w:bookmarkEnd w:id="54"/>
    </w:p>
    <w:p>
      <w:pPr>
        <w:spacing w:line="600" w:lineRule="exact"/>
        <w:ind w:firstLine="642" w:firstLineChars="200"/>
        <w:rPr>
          <w:rStyle w:val="14"/>
          <w:rFonts w:ascii="仿宋_GB2312" w:hAnsi="仿宋" w:eastAsia="仿宋_GB2312"/>
          <w:b w:val="0"/>
          <w:bCs/>
          <w:color w:val="000000"/>
          <w:sz w:val="32"/>
          <w:szCs w:val="32"/>
        </w:rPr>
      </w:pPr>
      <w:r>
        <w:rPr>
          <w:rStyle w:val="14"/>
          <w:rFonts w:hint="eastAsia" w:ascii="仿宋_GB2312" w:hAnsi="仿宋" w:eastAsia="仿宋_GB2312"/>
          <w:bCs/>
          <w:color w:val="000000"/>
          <w:sz w:val="32"/>
          <w:szCs w:val="32"/>
        </w:rPr>
        <w:t>1.一般公共服务（类）财政事务（款）事业运行（项）:</w:t>
      </w:r>
      <w:r>
        <w:rPr>
          <w:rStyle w:val="14"/>
          <w:rFonts w:hint="eastAsia" w:ascii="仿宋_GB2312" w:hAnsi="仿宋" w:eastAsia="仿宋_GB2312"/>
          <w:b w:val="0"/>
          <w:bCs/>
          <w:color w:val="000000"/>
          <w:sz w:val="32"/>
          <w:szCs w:val="32"/>
        </w:rPr>
        <w:t>支出决算为80.22万元，完成预算87.15%，决算数小于预算数的主要原因是继续积极贯彻落实中央八项规定及省委省政府十项规定要求，加强单位日常经费管理。</w:t>
      </w:r>
    </w:p>
    <w:p>
      <w:pPr>
        <w:spacing w:line="600" w:lineRule="exact"/>
        <w:ind w:firstLine="642" w:firstLineChars="200"/>
        <w:rPr>
          <w:rStyle w:val="14"/>
          <w:rFonts w:ascii="仿宋_GB2312" w:hAnsi="仿宋" w:eastAsia="仿宋_GB2312"/>
          <w:b w:val="0"/>
          <w:bCs/>
          <w:color w:val="000000"/>
          <w:sz w:val="32"/>
          <w:szCs w:val="32"/>
        </w:rPr>
      </w:pPr>
      <w:r>
        <w:rPr>
          <w:rStyle w:val="14"/>
          <w:rFonts w:hint="eastAsia" w:ascii="仿宋_GB2312" w:hAnsi="仿宋" w:eastAsia="仿宋_GB2312"/>
          <w:bCs/>
          <w:color w:val="000000"/>
          <w:sz w:val="32"/>
          <w:szCs w:val="32"/>
        </w:rPr>
        <w:t>2.一般公共服务（类）财政事务（款）其他财政事务支出（项）:</w:t>
      </w:r>
      <w:r>
        <w:rPr>
          <w:rStyle w:val="14"/>
          <w:rFonts w:hint="eastAsia" w:ascii="仿宋_GB2312" w:hAnsi="仿宋" w:eastAsia="仿宋_GB2312"/>
          <w:b w:val="0"/>
          <w:bCs/>
          <w:color w:val="000000"/>
          <w:sz w:val="32"/>
          <w:szCs w:val="32"/>
        </w:rPr>
        <w:t>支出决算为30.64万元，完成预算87.05%，决算数小于预算数的主要原因是继续积极贯彻落实中央八项规定及省委省政府十项规定要求，加强单位日常经费管理。</w:t>
      </w:r>
    </w:p>
    <w:p>
      <w:pPr>
        <w:spacing w:line="600" w:lineRule="exact"/>
        <w:ind w:firstLine="642" w:firstLineChars="200"/>
        <w:rPr>
          <w:rStyle w:val="14"/>
          <w:rFonts w:ascii="仿宋_GB2312" w:hAnsi="仿宋" w:eastAsia="仿宋_GB2312"/>
          <w:b w:val="0"/>
          <w:bCs/>
          <w:color w:val="000000"/>
          <w:sz w:val="32"/>
          <w:szCs w:val="32"/>
        </w:rPr>
      </w:pPr>
      <w:r>
        <w:rPr>
          <w:rStyle w:val="14"/>
          <w:rFonts w:hint="eastAsia" w:ascii="仿宋_GB2312" w:hAnsi="仿宋" w:eastAsia="仿宋_GB2312"/>
          <w:bCs/>
          <w:color w:val="000000"/>
          <w:sz w:val="32"/>
          <w:szCs w:val="32"/>
        </w:rPr>
        <w:t>3.社会保障和就业（类）行政事业单位养老支出（款）机关事业单位基本养老保险缴费支出（项）:</w:t>
      </w:r>
      <w:r>
        <w:rPr>
          <w:rStyle w:val="14"/>
          <w:rFonts w:hint="eastAsia" w:ascii="仿宋_GB2312" w:hAnsi="仿宋" w:eastAsia="仿宋_GB2312"/>
          <w:b w:val="0"/>
          <w:bCs/>
          <w:color w:val="000000"/>
          <w:sz w:val="32"/>
          <w:szCs w:val="32"/>
        </w:rPr>
        <w:t>支出决算为9.46万元，完成预算100%。</w:t>
      </w:r>
    </w:p>
    <w:p>
      <w:pPr>
        <w:spacing w:line="600" w:lineRule="exact"/>
        <w:ind w:firstLine="642" w:firstLineChars="200"/>
        <w:rPr>
          <w:rFonts w:ascii="仿宋_GB2312" w:hAnsi="仿宋" w:eastAsia="仿宋_GB2312"/>
          <w:b/>
          <w:color w:val="000000"/>
          <w:sz w:val="32"/>
          <w:szCs w:val="32"/>
        </w:rPr>
      </w:pPr>
      <w:r>
        <w:rPr>
          <w:rStyle w:val="14"/>
          <w:rFonts w:hint="eastAsia" w:ascii="仿宋_GB2312" w:hAnsi="仿宋" w:eastAsia="仿宋_GB2312"/>
          <w:bCs/>
          <w:color w:val="000000"/>
          <w:sz w:val="32"/>
          <w:szCs w:val="32"/>
        </w:rPr>
        <w:t>4.社会保障和就业（类）行政事业单位养老支出（款）机关事业单位职业年金缴费支出（项）:</w:t>
      </w:r>
      <w:r>
        <w:rPr>
          <w:rStyle w:val="14"/>
          <w:rFonts w:hint="eastAsia" w:ascii="仿宋_GB2312" w:hAnsi="仿宋" w:eastAsia="仿宋_GB2312"/>
          <w:b w:val="0"/>
          <w:bCs/>
          <w:color w:val="000000"/>
          <w:sz w:val="32"/>
          <w:szCs w:val="32"/>
        </w:rPr>
        <w:t>支出决算为4.73万元，完成预算100%。</w:t>
      </w:r>
    </w:p>
    <w:p>
      <w:pPr>
        <w:spacing w:line="600" w:lineRule="exact"/>
        <w:ind w:firstLine="642" w:firstLineChars="200"/>
        <w:rPr>
          <w:rFonts w:ascii="仿宋_GB2312" w:hAnsi="仿宋" w:eastAsia="仿宋_GB2312"/>
          <w:b/>
          <w:color w:val="000000"/>
          <w:sz w:val="32"/>
          <w:szCs w:val="32"/>
        </w:rPr>
      </w:pPr>
      <w:r>
        <w:rPr>
          <w:rStyle w:val="14"/>
          <w:rFonts w:hint="eastAsia" w:ascii="仿宋_GB2312" w:hAnsi="仿宋" w:eastAsia="仿宋_GB2312"/>
          <w:bCs/>
          <w:color w:val="000000"/>
          <w:sz w:val="32"/>
          <w:szCs w:val="32"/>
        </w:rPr>
        <w:t>5.</w:t>
      </w:r>
      <w:r>
        <w:rPr>
          <w:rFonts w:hint="eastAsia" w:ascii="仿宋_GB2312" w:hAnsi="仿宋" w:eastAsia="仿宋_GB2312"/>
          <w:b/>
          <w:bCs/>
          <w:color w:val="000000" w:themeColor="text1"/>
          <w:sz w:val="32"/>
          <w:szCs w:val="32"/>
          <w14:textFill>
            <w14:solidFill>
              <w14:schemeClr w14:val="tx1"/>
            </w14:solidFill>
          </w14:textFill>
        </w:rPr>
        <w:t>卫生健康</w:t>
      </w:r>
      <w:r>
        <w:rPr>
          <w:rStyle w:val="14"/>
          <w:rFonts w:hint="eastAsia" w:ascii="仿宋_GB2312" w:hAnsi="仿宋" w:eastAsia="仿宋_GB2312"/>
          <w:bCs/>
          <w:color w:val="000000"/>
          <w:sz w:val="32"/>
          <w:szCs w:val="32"/>
        </w:rPr>
        <w:t>（类）行政事业单位医疗（款）事业单位医疗（项）:</w:t>
      </w:r>
      <w:r>
        <w:rPr>
          <w:rStyle w:val="14"/>
          <w:rFonts w:hint="eastAsia" w:ascii="仿宋_GB2312" w:hAnsi="仿宋" w:eastAsia="仿宋_GB2312"/>
          <w:b w:val="0"/>
          <w:bCs/>
          <w:color w:val="000000"/>
          <w:sz w:val="32"/>
          <w:szCs w:val="32"/>
        </w:rPr>
        <w:t>支出决算为6.88万元，完成预算100%。</w:t>
      </w:r>
    </w:p>
    <w:p>
      <w:pPr>
        <w:spacing w:line="600" w:lineRule="exact"/>
        <w:ind w:firstLine="642" w:firstLineChars="200"/>
        <w:rPr>
          <w:rFonts w:ascii="仿宋_GB2312" w:hAnsi="仿宋" w:eastAsia="仿宋_GB2312"/>
          <w:b/>
          <w:color w:val="000000"/>
          <w:sz w:val="32"/>
          <w:szCs w:val="32"/>
        </w:rPr>
      </w:pPr>
      <w:r>
        <w:rPr>
          <w:rStyle w:val="14"/>
          <w:rFonts w:hint="eastAsia" w:ascii="仿宋_GB2312" w:hAnsi="仿宋" w:eastAsia="仿宋_GB2312"/>
          <w:bCs/>
          <w:color w:val="000000"/>
          <w:sz w:val="32"/>
          <w:szCs w:val="32"/>
        </w:rPr>
        <w:t>6.住房保障（类）住房改革支出（款）住房公积金（项）:</w:t>
      </w:r>
      <w:r>
        <w:rPr>
          <w:rStyle w:val="14"/>
          <w:rFonts w:hint="eastAsia" w:ascii="仿宋_GB2312" w:hAnsi="仿宋" w:eastAsia="仿宋_GB2312"/>
          <w:b w:val="0"/>
          <w:bCs/>
          <w:color w:val="000000"/>
          <w:sz w:val="32"/>
          <w:szCs w:val="32"/>
        </w:rPr>
        <w:t>支出决算为9.13万元，完成预算100%。</w:t>
      </w:r>
    </w:p>
    <w:p>
      <w:pPr>
        <w:spacing w:line="600" w:lineRule="exact"/>
        <w:ind w:firstLine="642" w:firstLineChars="200"/>
        <w:rPr>
          <w:rFonts w:ascii="黑体" w:hAnsi="黑体" w:eastAsia="黑体"/>
          <w:color w:val="000000"/>
          <w:sz w:val="32"/>
          <w:szCs w:val="32"/>
        </w:rPr>
      </w:pPr>
      <w:r>
        <w:rPr>
          <w:rStyle w:val="14"/>
          <w:rFonts w:hint="eastAsia" w:ascii="仿宋_GB2312" w:hAnsi="仿宋" w:eastAsia="仿宋_GB2312"/>
          <w:bCs/>
          <w:color w:val="000000"/>
          <w:sz w:val="32"/>
          <w:szCs w:val="32"/>
        </w:rPr>
        <w:t>7.住房保障（类）住房改革支出（款）购房补贴（项）：</w:t>
      </w:r>
      <w:r>
        <w:rPr>
          <w:rStyle w:val="14"/>
          <w:rFonts w:hint="eastAsia" w:ascii="仿宋_GB2312" w:hAnsi="仿宋" w:eastAsia="仿宋_GB2312"/>
          <w:b w:val="0"/>
          <w:bCs/>
          <w:color w:val="000000"/>
          <w:sz w:val="32"/>
          <w:szCs w:val="32"/>
        </w:rPr>
        <w:t>支出决算为6.00万元，完成预算100%。</w:t>
      </w:r>
      <w:bookmarkStart w:id="55" w:name="_Toc15396608"/>
      <w:bookmarkStart w:id="56" w:name="_Toc15377214"/>
    </w:p>
    <w:p>
      <w:pPr>
        <w:spacing w:line="600" w:lineRule="exact"/>
        <w:ind w:firstLine="640" w:firstLineChars="200"/>
        <w:outlineLvl w:val="1"/>
        <w:rPr>
          <w:rFonts w:ascii="黑体" w:hAnsi="黑体" w:eastAsia="黑体"/>
          <w:color w:val="000000"/>
          <w:sz w:val="32"/>
          <w:szCs w:val="32"/>
        </w:rPr>
      </w:pPr>
      <w:bookmarkStart w:id="57" w:name="_Toc35005211"/>
      <w:r>
        <w:rPr>
          <w:rFonts w:hint="eastAsia" w:ascii="黑体" w:hAnsi="黑体" w:eastAsia="黑体"/>
          <w:color w:val="000000"/>
          <w:sz w:val="32"/>
          <w:szCs w:val="32"/>
        </w:rPr>
        <w:t>六、一般公共预算财政拨款基本支出决算情况说明</w:t>
      </w:r>
      <w:bookmarkEnd w:id="55"/>
      <w:bookmarkEnd w:id="56"/>
      <w:bookmarkEnd w:id="57"/>
      <w:r>
        <w:rPr>
          <w:rFonts w:hint="eastAsia" w:ascii="黑体" w:hAnsi="黑体" w:eastAsia="黑体"/>
          <w:color w:val="000000"/>
          <w:sz w:val="32"/>
          <w:szCs w:val="32"/>
        </w:rPr>
        <w:tab/>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2020年一般公共预算财政拨款基本支出116.42万元，其中：</w:t>
      </w:r>
    </w:p>
    <w:p>
      <w:pPr>
        <w:spacing w:line="600" w:lineRule="exact"/>
        <w:ind w:firstLine="645"/>
        <w:rPr>
          <w:rFonts w:ascii="仿宋" w:hAnsi="仿宋" w:eastAsia="仿宋"/>
          <w:b/>
          <w:color w:val="FF0000"/>
          <w:sz w:val="32"/>
          <w:szCs w:val="32"/>
        </w:rPr>
      </w:pPr>
      <w:r>
        <w:rPr>
          <w:rFonts w:hint="eastAsia" w:ascii="仿宋_GB2312" w:hAnsi="仿宋" w:eastAsia="仿宋_GB2312"/>
          <w:color w:val="000000"/>
          <w:sz w:val="32"/>
          <w:szCs w:val="32"/>
        </w:rPr>
        <w:t>人员经费100.67万元，主要包括：基本工资、津贴补贴、绩效工资、机关事业单位基本养老保险缴费、职业年金缴费、职工基本医疗保险缴费、其他社会保障缴费、住房公积金、其他工资福利支出等。</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公用经费15.75万元，主要包括：办公费、差旅费、工会经费、福利费等。</w:t>
      </w:r>
    </w:p>
    <w:p>
      <w:pPr>
        <w:spacing w:line="600" w:lineRule="exact"/>
        <w:ind w:firstLine="640"/>
        <w:outlineLvl w:val="1"/>
        <w:rPr>
          <w:rStyle w:val="25"/>
          <w:rFonts w:ascii="黑体" w:hAnsi="黑体" w:eastAsia="黑体"/>
          <w:b w:val="0"/>
        </w:rPr>
      </w:pPr>
      <w:bookmarkStart w:id="58" w:name="_Toc15396609"/>
      <w:bookmarkStart w:id="59" w:name="_Toc15377215"/>
      <w:bookmarkStart w:id="60" w:name="_Toc521595368"/>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8"/>
      <w:bookmarkEnd w:id="59"/>
      <w:bookmarkEnd w:id="60"/>
    </w:p>
    <w:p>
      <w:pPr>
        <w:spacing w:line="600" w:lineRule="exact"/>
        <w:ind w:firstLine="64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2020年</w:t>
      </w:r>
      <w:r>
        <w:rPr>
          <w:rFonts w:hint="eastAsia" w:ascii="仿宋_GB2312" w:eastAsia="仿宋_GB2312"/>
          <w:color w:val="000000"/>
          <w:sz w:val="32"/>
          <w:szCs w:val="32"/>
        </w:rPr>
        <w:t>政府债券发行管理中心</w:t>
      </w:r>
      <w:r>
        <w:rPr>
          <w:rFonts w:hint="eastAsia" w:ascii="仿宋_GB2312" w:hAnsi="仿宋" w:eastAsia="仿宋_GB2312"/>
          <w:color w:val="000000"/>
          <w:sz w:val="32"/>
          <w:szCs w:val="32"/>
        </w:rPr>
        <w:t>未发生“三公”经费财政拨款支出</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均与上年数无变化</w:t>
      </w:r>
      <w:r>
        <w:rPr>
          <w:rFonts w:hint="eastAsia" w:ascii="仿宋_GB2312" w:hAnsi="仿宋" w:eastAsia="仿宋_GB2312"/>
          <w:color w:val="000000"/>
          <w:sz w:val="32"/>
          <w:szCs w:val="32"/>
        </w:rPr>
        <w:t>。</w:t>
      </w:r>
      <w:bookmarkStart w:id="61" w:name="_Toc15396610"/>
      <w:bookmarkStart w:id="62" w:name="_Toc15377218"/>
      <w:r>
        <w:rPr>
          <w:rFonts w:hint="eastAsia" w:ascii="仿宋_GB2312" w:hAnsi="仿宋" w:eastAsia="仿宋_GB2312"/>
          <w:color w:val="000000"/>
          <w:sz w:val="32"/>
          <w:szCs w:val="32"/>
          <w:lang w:val="en-US" w:eastAsia="zh-CN"/>
        </w:rPr>
        <w:t>本单位无公务用车。</w:t>
      </w:r>
    </w:p>
    <w:p>
      <w:pPr>
        <w:spacing w:line="600" w:lineRule="exact"/>
        <w:ind w:firstLine="640"/>
        <w:outlineLvl w:val="1"/>
        <w:rPr>
          <w:rStyle w:val="25"/>
          <w:rFonts w:ascii="黑体" w:hAnsi="黑体" w:eastAsia="黑体"/>
        </w:rPr>
      </w:pPr>
      <w:bookmarkStart w:id="63" w:name="_Toc294702567"/>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1"/>
      <w:bookmarkEnd w:id="62"/>
      <w:bookmarkEnd w:id="6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20年政府债券发行管理中心未发生政府性基金预算财政拨款支出。</w:t>
      </w:r>
    </w:p>
    <w:p>
      <w:pPr>
        <w:spacing w:line="600" w:lineRule="exact"/>
        <w:outlineLvl w:val="1"/>
        <w:rPr>
          <w:rStyle w:val="25"/>
          <w:rFonts w:ascii="黑体" w:hAnsi="黑体" w:eastAsia="黑体"/>
          <w:b w:val="0"/>
        </w:rPr>
      </w:pPr>
      <w:bookmarkStart w:id="64" w:name="_Toc15396611"/>
      <w:bookmarkStart w:id="65" w:name="_Toc15377219"/>
      <w:r>
        <w:rPr>
          <w:rStyle w:val="25"/>
          <w:rFonts w:hint="eastAsia" w:ascii="黑体" w:hAnsi="黑体" w:eastAsia="黑体"/>
          <w:b w:val="0"/>
        </w:rPr>
        <w:t xml:space="preserve">    </w:t>
      </w:r>
      <w:bookmarkStart w:id="66" w:name="_Toc1726956429"/>
      <w:r>
        <w:rPr>
          <w:rStyle w:val="25"/>
          <w:rFonts w:hint="eastAsia" w:ascii="黑体" w:hAnsi="黑体" w:eastAsia="黑体"/>
          <w:b w:val="0"/>
          <w:bCs/>
        </w:rPr>
        <w:t>九、</w:t>
      </w:r>
      <w:r>
        <w:rPr>
          <w:rStyle w:val="25"/>
          <w:rFonts w:hint="eastAsia" w:ascii="黑体" w:hAnsi="黑体" w:eastAsia="黑体"/>
          <w:b w:val="0"/>
        </w:rPr>
        <w:t>国有资本经营预算支出决算情况说明</w:t>
      </w:r>
      <w:bookmarkEnd w:id="64"/>
      <w:bookmarkEnd w:id="65"/>
      <w:bookmarkEnd w:id="66"/>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20年政府债券发行管理中心未发生国有资本经营预算财政拨款支出。</w:t>
      </w:r>
    </w:p>
    <w:p>
      <w:pPr>
        <w:spacing w:line="600" w:lineRule="exact"/>
        <w:outlineLvl w:val="1"/>
        <w:rPr>
          <w:rStyle w:val="25"/>
          <w:rFonts w:ascii="黑体" w:hAnsi="黑体" w:eastAsia="黑体"/>
          <w:b w:val="0"/>
        </w:rPr>
      </w:pPr>
      <w:bookmarkStart w:id="67" w:name="_Toc15377221"/>
      <w:bookmarkStart w:id="68" w:name="_Toc15396612"/>
      <w:r>
        <w:rPr>
          <w:rStyle w:val="25"/>
          <w:rFonts w:hint="eastAsia" w:ascii="黑体" w:hAnsi="黑体" w:eastAsia="黑体"/>
        </w:rPr>
        <w:t xml:space="preserve">    </w:t>
      </w:r>
      <w:bookmarkStart w:id="69" w:name="_Toc336465782"/>
      <w:r>
        <w:rPr>
          <w:rStyle w:val="25"/>
          <w:rFonts w:hint="eastAsia" w:ascii="黑体" w:hAnsi="黑体" w:eastAsia="黑体"/>
          <w:b w:val="0"/>
          <w:bCs w:val="0"/>
        </w:rPr>
        <w:t>十、</w:t>
      </w:r>
      <w:r>
        <w:rPr>
          <w:rStyle w:val="25"/>
          <w:rFonts w:hint="eastAsia" w:ascii="黑体" w:hAnsi="黑体" w:eastAsia="黑体"/>
          <w:b w:val="0"/>
        </w:rPr>
        <w:t>其他重要事项的情况说明</w:t>
      </w:r>
      <w:bookmarkEnd w:id="67"/>
      <w:bookmarkEnd w:id="68"/>
      <w:bookmarkEnd w:id="69"/>
    </w:p>
    <w:p>
      <w:pPr>
        <w:spacing w:line="600" w:lineRule="exact"/>
        <w:ind w:firstLine="640"/>
        <w:rPr>
          <w:rFonts w:ascii="仿宋_GB2312" w:eastAsia="仿宋_GB2312"/>
          <w:color w:val="000000"/>
          <w:sz w:val="32"/>
          <w:szCs w:val="32"/>
        </w:rPr>
      </w:pPr>
      <w:bookmarkStart w:id="70" w:name="_Toc15377222"/>
      <w:bookmarkStart w:id="71" w:name="_Toc81485570"/>
      <w:r>
        <w:rPr>
          <w:rFonts w:hint="eastAsia" w:ascii="楷体_GB2312" w:hAnsi="楷体_GB2312" w:eastAsia="楷体_GB2312" w:cs="楷体_GB2312"/>
          <w:b/>
          <w:bCs/>
          <w:color w:val="000000"/>
          <w:sz w:val="32"/>
          <w:szCs w:val="32"/>
        </w:rPr>
        <w:t>（一）机关运行经费支出情况</w:t>
      </w:r>
      <w:bookmarkEnd w:id="70"/>
      <w:bookmarkEnd w:id="7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20年政府债券发行管理中心未发生机关运行经费支出。</w:t>
      </w:r>
    </w:p>
    <w:p>
      <w:pPr>
        <w:spacing w:line="600" w:lineRule="exact"/>
        <w:ind w:firstLine="640"/>
        <w:rPr>
          <w:rFonts w:hint="eastAsia" w:ascii="楷体_GB2312" w:hAnsi="楷体_GB2312" w:eastAsia="楷体_GB2312" w:cs="楷体_GB2312"/>
          <w:b/>
          <w:bCs/>
          <w:color w:val="000000"/>
          <w:sz w:val="32"/>
          <w:szCs w:val="32"/>
        </w:rPr>
      </w:pPr>
      <w:bookmarkStart w:id="72" w:name="_Toc15377223"/>
      <w:bookmarkStart w:id="73" w:name="_Toc81485571"/>
      <w:r>
        <w:rPr>
          <w:rFonts w:hint="eastAsia" w:ascii="楷体_GB2312" w:hAnsi="楷体_GB2312" w:eastAsia="楷体_GB2312" w:cs="楷体_GB2312"/>
          <w:b/>
          <w:bCs/>
          <w:color w:val="000000"/>
          <w:sz w:val="32"/>
          <w:szCs w:val="32"/>
        </w:rPr>
        <w:t>（二）政府采购支出情况</w:t>
      </w:r>
      <w:bookmarkEnd w:id="72"/>
      <w:bookmarkEnd w:id="7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20年，政府债券发行管理中心未发生政府采购支出。</w:t>
      </w:r>
    </w:p>
    <w:p>
      <w:pPr>
        <w:spacing w:line="600" w:lineRule="exact"/>
        <w:ind w:firstLine="640"/>
        <w:rPr>
          <w:rFonts w:hint="eastAsia" w:ascii="楷体_GB2312" w:hAnsi="楷体_GB2312" w:eastAsia="楷体_GB2312" w:cs="楷体_GB2312"/>
          <w:b/>
          <w:bCs/>
          <w:color w:val="000000"/>
          <w:sz w:val="32"/>
          <w:szCs w:val="32"/>
        </w:rPr>
      </w:pPr>
      <w:bookmarkStart w:id="74" w:name="_Toc15377224"/>
      <w:bookmarkStart w:id="75" w:name="_Toc81485572"/>
      <w:r>
        <w:rPr>
          <w:rFonts w:hint="eastAsia" w:ascii="楷体_GB2312" w:hAnsi="楷体_GB2312" w:eastAsia="楷体_GB2312" w:cs="楷体_GB2312"/>
          <w:b/>
          <w:bCs/>
          <w:color w:val="000000"/>
          <w:sz w:val="32"/>
          <w:szCs w:val="32"/>
        </w:rPr>
        <w:t>（三）国有资产占有使用情况</w:t>
      </w:r>
      <w:bookmarkEnd w:id="74"/>
      <w:bookmarkEnd w:id="75"/>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日，政府债券发行管理中心共有车辆0辆。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spacing w:line="600" w:lineRule="exact"/>
        <w:ind w:firstLine="640"/>
        <w:rPr>
          <w:rFonts w:hint="eastAsia" w:ascii="楷体_GB2312" w:hAnsi="楷体_GB2312" w:eastAsia="楷体_GB2312" w:cs="楷体_GB2312"/>
          <w:b/>
          <w:bCs/>
          <w:color w:val="000000"/>
          <w:sz w:val="32"/>
          <w:szCs w:val="32"/>
        </w:rPr>
      </w:pPr>
      <w:bookmarkStart w:id="76" w:name="_Toc81485573"/>
      <w:bookmarkStart w:id="110" w:name="_GoBack"/>
      <w:r>
        <w:rPr>
          <w:rFonts w:hint="eastAsia" w:ascii="楷体_GB2312" w:hAnsi="楷体_GB2312" w:eastAsia="楷体_GB2312" w:cs="楷体_GB2312"/>
          <w:b/>
          <w:bCs/>
          <w:color w:val="000000"/>
          <w:sz w:val="32"/>
          <w:szCs w:val="32"/>
        </w:rPr>
        <w:t>（四）预算绩效管理情况</w:t>
      </w:r>
      <w:bookmarkEnd w:id="76"/>
    </w:p>
    <w:bookmarkEnd w:id="110"/>
    <w:p>
      <w:pPr>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根据预算绩效管理要求，本单位无100万元以上项目，因此未开展预算事前评估、编</w:t>
      </w:r>
      <w:r>
        <w:rPr>
          <w:rFonts w:hint="eastAsia" w:ascii="仿宋_GB2312" w:eastAsia="仿宋_GB2312"/>
          <w:color w:val="000000" w:themeColor="text1"/>
          <w:sz w:val="32"/>
          <w:szCs w:val="32"/>
          <w14:textFill>
            <w14:solidFill>
              <w14:schemeClr w14:val="tx1"/>
            </w14:solidFill>
          </w14:textFill>
        </w:rPr>
        <w:t>制绩效目标、开展绩效监控、项目绩效目标完成情况自评。</w:t>
      </w:r>
    </w:p>
    <w:p>
      <w:pPr>
        <w:widowControl/>
        <w:jc w:val="left"/>
        <w:rPr>
          <w:rFonts w:ascii="仿宋_GB2312" w:hAnsi="仿宋_GB2312" w:eastAsia="仿宋_GB2312" w:cs="仿宋_GB2312"/>
          <w:sz w:val="32"/>
          <w:szCs w:val="32"/>
        </w:rPr>
      </w:pPr>
    </w:p>
    <w:p>
      <w:pPr>
        <w:widowControl/>
        <w:jc w:val="left"/>
        <w:rPr>
          <w:rFonts w:ascii="仿宋_GB2312" w:eastAsia="仿宋_GB2312"/>
          <w:kern w:val="0"/>
          <w:sz w:val="30"/>
        </w:rPr>
      </w:pPr>
      <w:r>
        <w:br w:type="page"/>
      </w:r>
    </w:p>
    <w:p>
      <w:pPr>
        <w:pStyle w:val="2"/>
        <w:spacing w:before="72"/>
      </w:pPr>
    </w:p>
    <w:p>
      <w:pPr>
        <w:numPr>
          <w:ilvl w:val="0"/>
          <w:numId w:val="2"/>
        </w:numPr>
        <w:spacing w:line="600" w:lineRule="exact"/>
        <w:ind w:firstLine="660" w:firstLineChars="150"/>
        <w:jc w:val="center"/>
        <w:outlineLvl w:val="0"/>
        <w:rPr>
          <w:rStyle w:val="24"/>
          <w:rFonts w:ascii="黑体" w:hAnsi="黑体" w:eastAsia="黑体"/>
          <w:b w:val="0"/>
        </w:rPr>
      </w:pPr>
      <w:bookmarkStart w:id="77" w:name="_Toc15396613"/>
      <w:bookmarkStart w:id="78" w:name="_Toc15377225"/>
      <w:bookmarkStart w:id="79" w:name="_Toc861021530"/>
      <w:r>
        <w:rPr>
          <w:rFonts w:hint="eastAsia" w:ascii="黑体" w:hAnsi="黑体" w:eastAsia="黑体"/>
          <w:color w:val="000000"/>
          <w:sz w:val="44"/>
          <w:szCs w:val="44"/>
        </w:rPr>
        <w:t>名</w:t>
      </w:r>
      <w:r>
        <w:rPr>
          <w:rStyle w:val="24"/>
          <w:rFonts w:hint="eastAsia" w:ascii="黑体" w:hAnsi="黑体" w:eastAsia="黑体"/>
          <w:b w:val="0"/>
        </w:rPr>
        <w:t>词解释</w:t>
      </w:r>
      <w:bookmarkEnd w:id="77"/>
      <w:bookmarkEnd w:id="78"/>
      <w:bookmarkEnd w:id="79"/>
    </w:p>
    <w:p>
      <w:pPr>
        <w:pStyle w:val="22"/>
        <w:numPr>
          <w:ilvl w:val="0"/>
          <w:numId w:val="3"/>
        </w:numPr>
        <w:spacing w:line="560" w:lineRule="exact"/>
        <w:ind w:firstLine="640" w:firstLineChars="200"/>
        <w:rPr>
          <w:rFonts w:ascii="仿宋_GB2312" w:eastAsia="仿宋_GB2312"/>
          <w:sz w:val="32"/>
          <w:szCs w:val="32"/>
        </w:rPr>
      </w:pPr>
      <w:r>
        <w:rPr>
          <w:rFonts w:hint="eastAsia" w:ascii="仿宋_GB2312" w:eastAsia="仿宋_GB2312"/>
          <w:sz w:val="32"/>
          <w:szCs w:val="32"/>
        </w:rPr>
        <w:t>财政拨款收入：指单位从同级财政部门取得的财政预算资金。</w:t>
      </w:r>
    </w:p>
    <w:p>
      <w:pPr>
        <w:spacing w:line="580" w:lineRule="exact"/>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    2.</w:t>
      </w:r>
      <w:r>
        <w:rPr>
          <w:rFonts w:ascii="仿宋_GB2312" w:hAnsi="Calibri" w:eastAsia="仿宋_GB2312" w:cs="仿宋"/>
          <w:color w:val="000000"/>
          <w:kern w:val="0"/>
          <w:sz w:val="32"/>
          <w:szCs w:val="32"/>
        </w:rPr>
        <w:t>一般公共服务（类）财政事务（款）事业运行（项）：指</w:t>
      </w:r>
      <w:r>
        <w:rPr>
          <w:rFonts w:hint="eastAsia" w:ascii="仿宋_GB2312" w:hAnsi="Calibri" w:eastAsia="仿宋_GB2312" w:cs="仿宋"/>
          <w:color w:val="000000"/>
          <w:kern w:val="0"/>
          <w:sz w:val="32"/>
          <w:szCs w:val="32"/>
        </w:rPr>
        <w:t>本单位</w:t>
      </w:r>
      <w:r>
        <w:rPr>
          <w:rFonts w:ascii="仿宋_GB2312" w:hAnsi="Calibri" w:eastAsia="仿宋_GB2312" w:cs="仿宋"/>
          <w:color w:val="000000"/>
          <w:kern w:val="0"/>
          <w:sz w:val="32"/>
          <w:szCs w:val="32"/>
        </w:rPr>
        <w:t>用于保障机构正常运行、开展日常工作的基本支出。</w:t>
      </w:r>
    </w:p>
    <w:p>
      <w:pPr>
        <w:spacing w:line="580" w:lineRule="exact"/>
        <w:ind w:firstLine="64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w:t>
      </w:r>
      <w:r>
        <w:rPr>
          <w:rFonts w:ascii="仿宋_GB2312" w:hAnsi="Calibri" w:eastAsia="仿宋_GB2312" w:cs="仿宋"/>
          <w:color w:val="000000"/>
          <w:kern w:val="0"/>
          <w:sz w:val="32"/>
          <w:szCs w:val="32"/>
        </w:rPr>
        <w:t>一般公共服务（类）财政事务（款）其他财政事务支出（项）：指开展其他财政事务方面专门性工作任务的项目支</w:t>
      </w:r>
      <w:r>
        <w:rPr>
          <w:rFonts w:hint="eastAsia" w:ascii="仿宋_GB2312" w:hAnsi="Calibri" w:eastAsia="仿宋_GB2312" w:cs="仿宋"/>
          <w:color w:val="000000"/>
          <w:kern w:val="0"/>
          <w:sz w:val="32"/>
          <w:szCs w:val="32"/>
        </w:rPr>
        <w:t>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xml:space="preserve">    4.</w:t>
      </w:r>
      <w:r>
        <w:rPr>
          <w:rFonts w:ascii="仿宋_GB2312" w:hAnsi="Calibri" w:eastAsia="仿宋_GB2312" w:cs="仿宋"/>
          <w:color w:val="000000"/>
          <w:kern w:val="0"/>
          <w:sz w:val="32"/>
          <w:szCs w:val="32"/>
        </w:rPr>
        <w:t>社会保障和就业（类）行政事业单位养老支出（款）机关事业单位基本养老保险缴费支出（项）：指</w:t>
      </w:r>
      <w:r>
        <w:rPr>
          <w:rFonts w:hint="eastAsia" w:ascii="仿宋_GB2312" w:hAnsi="Calibri" w:eastAsia="仿宋_GB2312" w:cs="仿宋"/>
          <w:color w:val="000000"/>
          <w:kern w:val="0"/>
          <w:sz w:val="32"/>
          <w:szCs w:val="32"/>
        </w:rPr>
        <w:t>单位</w:t>
      </w:r>
      <w:r>
        <w:rPr>
          <w:rFonts w:ascii="仿宋_GB2312" w:hAnsi="Calibri" w:eastAsia="仿宋_GB2312" w:cs="仿宋"/>
          <w:color w:val="000000"/>
          <w:kern w:val="0"/>
          <w:sz w:val="32"/>
          <w:szCs w:val="32"/>
        </w:rPr>
        <w:t>实施养老保险制度由单位缴纳的养老保险费的支出。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xml:space="preserve">    5.</w:t>
      </w:r>
      <w:r>
        <w:rPr>
          <w:rFonts w:ascii="仿宋_GB2312" w:hAnsi="Calibri" w:eastAsia="仿宋_GB2312" w:cs="仿宋"/>
          <w:color w:val="000000"/>
          <w:kern w:val="0"/>
          <w:sz w:val="32"/>
          <w:szCs w:val="32"/>
        </w:rPr>
        <w:t>社会保障和就业（类）行政事业单位养老支出（款）机关事业单位职业年金缴费支出（项）：指</w:t>
      </w:r>
      <w:r>
        <w:rPr>
          <w:rFonts w:hint="eastAsia" w:ascii="仿宋_GB2312" w:hAnsi="Calibri" w:eastAsia="仿宋_GB2312" w:cs="仿宋"/>
          <w:color w:val="000000"/>
          <w:kern w:val="0"/>
          <w:sz w:val="32"/>
          <w:szCs w:val="32"/>
        </w:rPr>
        <w:t>单位</w:t>
      </w:r>
      <w:r>
        <w:rPr>
          <w:rFonts w:ascii="仿宋_GB2312" w:hAnsi="Calibri" w:eastAsia="仿宋_GB2312" w:cs="仿宋"/>
          <w:color w:val="000000"/>
          <w:kern w:val="0"/>
          <w:sz w:val="32"/>
          <w:szCs w:val="32"/>
        </w:rPr>
        <w:t>实施养老保险制度由单位缴纳的职业年金的支出。</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xml:space="preserve">    6.</w:t>
      </w:r>
      <w:r>
        <w:rPr>
          <w:rFonts w:ascii="仿宋_GB2312" w:hAnsi="Calibri" w:eastAsia="仿宋_GB2312" w:cs="仿宋"/>
          <w:color w:val="000000"/>
          <w:kern w:val="0"/>
          <w:sz w:val="32"/>
          <w:szCs w:val="32"/>
        </w:rPr>
        <w:t>卫生健康（类）行政事业单位医疗（款）事业单位医疗（项）：指事业单位用于单位应缴纳基本医疗保险支出。</w:t>
      </w:r>
    </w:p>
    <w:p>
      <w:pPr>
        <w:spacing w:line="580" w:lineRule="exact"/>
        <w:jc w:val="left"/>
        <w:rPr>
          <w:rFonts w:ascii="仿宋" w:hAnsi="仿宋" w:eastAsia="仿宋"/>
          <w:b/>
          <w:color w:val="000000"/>
          <w:sz w:val="32"/>
          <w:szCs w:val="32"/>
        </w:rPr>
      </w:pPr>
      <w:r>
        <w:rPr>
          <w:rFonts w:hint="eastAsia" w:ascii="仿宋_GB2312" w:hAnsi="Calibri" w:eastAsia="仿宋_GB2312" w:cs="仿宋"/>
          <w:color w:val="000000"/>
          <w:kern w:val="0"/>
          <w:sz w:val="32"/>
          <w:szCs w:val="32"/>
        </w:rPr>
        <w:t xml:space="preserve">    7.</w:t>
      </w:r>
      <w:r>
        <w:rPr>
          <w:rFonts w:ascii="仿宋_GB2312" w:hAnsi="Calibri" w:eastAsia="仿宋_GB2312" w:cs="仿宋"/>
          <w:color w:val="000000"/>
          <w:kern w:val="0"/>
          <w:sz w:val="32"/>
          <w:szCs w:val="32"/>
        </w:rPr>
        <w:t>住房保障（类）住房改革支出（款）住房公积金（项）：指按照《住房公积金管理条例》的规定，由单位及其在职职工缴存的长期住房储金。</w:t>
      </w:r>
      <w:r>
        <w:rPr>
          <w:rFonts w:hint="eastAsia" w:ascii="仿宋_GB2312" w:hAnsi="Calibri" w:eastAsia="仿宋_GB2312" w:cs="仿宋"/>
          <w:color w:val="000000"/>
          <w:kern w:val="0"/>
          <w:sz w:val="32"/>
          <w:szCs w:val="32"/>
        </w:rPr>
        <w:br w:type="textWrapping"/>
      </w:r>
      <w:r>
        <w:rPr>
          <w:rFonts w:hint="eastAsia" w:ascii="仿宋_GB2312" w:hAnsi="Calibri" w:eastAsia="仿宋_GB2312" w:cs="仿宋"/>
          <w:color w:val="000000"/>
          <w:kern w:val="0"/>
          <w:sz w:val="32"/>
          <w:szCs w:val="32"/>
        </w:rPr>
        <w:t xml:space="preserve">    8.</w:t>
      </w:r>
      <w:r>
        <w:rPr>
          <w:rFonts w:ascii="仿宋_GB2312" w:hAnsi="Calibri" w:eastAsia="仿宋_GB2312" w:cs="仿宋"/>
          <w:color w:val="000000"/>
          <w:kern w:val="0"/>
          <w:sz w:val="32"/>
          <w:szCs w:val="32"/>
        </w:rPr>
        <w:t>住房保障（类）住房改革支出（款）购房补贴（项）：指按房改政策规定的标准，向符合条件职工发放的用于购买住房的补贴。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仿宋_GB2312" w:hAnsi="仿宋_GB2312" w:eastAsia="仿宋_GB2312" w:cs="仿宋_GB2312"/>
          <w:color w:val="FF0000"/>
          <w:sz w:val="32"/>
          <w:szCs w:val="32"/>
        </w:rPr>
      </w:pPr>
      <w:bookmarkStart w:id="80" w:name="_Toc15377226"/>
      <w:r>
        <w:rPr>
          <w:rFonts w:ascii="宋体"/>
          <w:b/>
          <w:color w:val="000000"/>
          <w:sz w:val="44"/>
          <w:szCs w:val="44"/>
        </w:rPr>
        <w:br w:type="page"/>
      </w:r>
    </w:p>
    <w:p>
      <w:pPr>
        <w:spacing w:line="600" w:lineRule="exact"/>
        <w:jc w:val="center"/>
        <w:outlineLvl w:val="0"/>
        <w:rPr>
          <w:rStyle w:val="24"/>
          <w:rFonts w:ascii="黑体" w:hAnsi="黑体" w:eastAsia="黑体"/>
          <w:b w:val="0"/>
        </w:rPr>
      </w:pPr>
      <w:bookmarkStart w:id="81" w:name="_Toc15396618"/>
      <w:bookmarkStart w:id="82" w:name="_Toc278722862"/>
      <w:r>
        <w:rPr>
          <w:rFonts w:hint="eastAsia" w:ascii="黑体" w:hAnsi="黑体" w:eastAsia="黑体"/>
          <w:color w:val="000000"/>
          <w:sz w:val="44"/>
          <w:szCs w:val="44"/>
        </w:rPr>
        <w:t>第</w:t>
      </w:r>
      <w:r>
        <w:rPr>
          <w:rStyle w:val="24"/>
          <w:rFonts w:hint="eastAsia" w:ascii="黑体" w:hAnsi="黑体" w:eastAsia="黑体"/>
          <w:b w:val="0"/>
        </w:rPr>
        <w:t>四部分 附表</w:t>
      </w:r>
      <w:bookmarkEnd w:id="80"/>
      <w:bookmarkEnd w:id="81"/>
      <w:bookmarkEnd w:id="82"/>
      <w:bookmarkStart w:id="83" w:name="_Toc15396619"/>
    </w:p>
    <w:p>
      <w:pPr>
        <w:spacing w:line="600" w:lineRule="exact"/>
        <w:jc w:val="left"/>
        <w:outlineLvl w:val="0"/>
        <w:rPr>
          <w:rFonts w:ascii="仿宋_GB2312" w:hAnsi="Calibri" w:eastAsia="仿宋_GB2312" w:cs="仿宋"/>
          <w:color w:val="000000"/>
          <w:kern w:val="0"/>
          <w:sz w:val="32"/>
          <w:szCs w:val="32"/>
        </w:rPr>
      </w:pPr>
      <w:bookmarkStart w:id="84" w:name="_Toc233665123"/>
      <w:r>
        <w:rPr>
          <w:rFonts w:hint="eastAsia" w:ascii="仿宋_GB2312" w:hAnsi="Calibri" w:eastAsia="仿宋_GB2312" w:cs="仿宋"/>
          <w:color w:val="000000"/>
          <w:kern w:val="0"/>
          <w:sz w:val="32"/>
          <w:szCs w:val="32"/>
        </w:rPr>
        <w:t>一、收入支出决算总表</w:t>
      </w:r>
      <w:bookmarkEnd w:id="83"/>
      <w:bookmarkEnd w:id="84"/>
      <w:bookmarkStart w:id="85" w:name="_Toc15396620"/>
    </w:p>
    <w:p>
      <w:pPr>
        <w:spacing w:line="600" w:lineRule="exact"/>
        <w:jc w:val="left"/>
        <w:outlineLvl w:val="0"/>
        <w:rPr>
          <w:rFonts w:ascii="仿宋_GB2312" w:hAnsi="Calibri" w:eastAsia="仿宋_GB2312" w:cs="仿宋"/>
          <w:color w:val="000000"/>
          <w:kern w:val="0"/>
          <w:sz w:val="32"/>
          <w:szCs w:val="32"/>
        </w:rPr>
      </w:pPr>
      <w:bookmarkStart w:id="86" w:name="_Toc2145174067"/>
      <w:r>
        <w:rPr>
          <w:rFonts w:hint="eastAsia" w:ascii="仿宋_GB2312" w:hAnsi="Calibri" w:eastAsia="仿宋_GB2312" w:cs="仿宋"/>
          <w:color w:val="000000"/>
          <w:kern w:val="0"/>
          <w:sz w:val="32"/>
          <w:szCs w:val="32"/>
        </w:rPr>
        <w:t>二、收入决算表</w:t>
      </w:r>
      <w:bookmarkEnd w:id="85"/>
      <w:bookmarkEnd w:id="86"/>
      <w:bookmarkStart w:id="87" w:name="_Toc15396621"/>
    </w:p>
    <w:p>
      <w:pPr>
        <w:spacing w:line="600" w:lineRule="exact"/>
        <w:jc w:val="left"/>
        <w:outlineLvl w:val="0"/>
        <w:rPr>
          <w:rFonts w:ascii="仿宋_GB2312" w:hAnsi="Calibri" w:eastAsia="仿宋_GB2312" w:cs="仿宋"/>
          <w:color w:val="000000"/>
          <w:kern w:val="0"/>
          <w:sz w:val="32"/>
          <w:szCs w:val="32"/>
        </w:rPr>
      </w:pPr>
      <w:bookmarkStart w:id="88" w:name="_Toc468703135"/>
      <w:r>
        <w:rPr>
          <w:rFonts w:hint="eastAsia" w:ascii="仿宋_GB2312" w:hAnsi="Calibri" w:eastAsia="仿宋_GB2312" w:cs="仿宋"/>
          <w:color w:val="000000"/>
          <w:kern w:val="0"/>
          <w:sz w:val="32"/>
          <w:szCs w:val="32"/>
        </w:rPr>
        <w:t>三、支出决算表</w:t>
      </w:r>
      <w:bookmarkEnd w:id="87"/>
      <w:bookmarkEnd w:id="88"/>
      <w:bookmarkStart w:id="89" w:name="_Toc15396622"/>
    </w:p>
    <w:p>
      <w:pPr>
        <w:spacing w:line="600" w:lineRule="exact"/>
        <w:jc w:val="left"/>
        <w:outlineLvl w:val="0"/>
        <w:rPr>
          <w:rFonts w:ascii="仿宋_GB2312" w:hAnsi="Calibri" w:eastAsia="仿宋_GB2312" w:cs="仿宋"/>
          <w:color w:val="000000"/>
          <w:kern w:val="0"/>
          <w:sz w:val="32"/>
          <w:szCs w:val="32"/>
        </w:rPr>
      </w:pPr>
      <w:bookmarkStart w:id="90" w:name="_Toc1101513929"/>
      <w:r>
        <w:rPr>
          <w:rFonts w:hint="eastAsia" w:ascii="仿宋_GB2312" w:hAnsi="Calibri" w:eastAsia="仿宋_GB2312" w:cs="仿宋"/>
          <w:color w:val="000000"/>
          <w:kern w:val="0"/>
          <w:sz w:val="32"/>
          <w:szCs w:val="32"/>
        </w:rPr>
        <w:t>四、财政拨款收入支出决算总表</w:t>
      </w:r>
      <w:bookmarkEnd w:id="89"/>
      <w:bookmarkEnd w:id="90"/>
      <w:bookmarkStart w:id="91" w:name="_Toc15396623"/>
    </w:p>
    <w:p>
      <w:pPr>
        <w:spacing w:line="600" w:lineRule="exact"/>
        <w:jc w:val="left"/>
        <w:outlineLvl w:val="0"/>
        <w:rPr>
          <w:rFonts w:ascii="仿宋_GB2312" w:hAnsi="Calibri" w:eastAsia="仿宋_GB2312" w:cs="仿宋"/>
          <w:color w:val="000000"/>
          <w:kern w:val="0"/>
          <w:sz w:val="32"/>
          <w:szCs w:val="32"/>
        </w:rPr>
      </w:pPr>
      <w:bookmarkStart w:id="92" w:name="_Toc1801979802"/>
      <w:r>
        <w:rPr>
          <w:rFonts w:hint="eastAsia" w:ascii="仿宋_GB2312" w:hAnsi="Calibri" w:eastAsia="仿宋_GB2312" w:cs="仿宋"/>
          <w:color w:val="000000"/>
          <w:kern w:val="0"/>
          <w:sz w:val="32"/>
          <w:szCs w:val="32"/>
        </w:rPr>
        <w:t>五、财政拨款支出决算明细表</w:t>
      </w:r>
      <w:bookmarkEnd w:id="91"/>
      <w:bookmarkEnd w:id="92"/>
      <w:bookmarkStart w:id="93" w:name="_Toc15396624"/>
    </w:p>
    <w:p>
      <w:pPr>
        <w:spacing w:line="600" w:lineRule="exact"/>
        <w:jc w:val="left"/>
        <w:outlineLvl w:val="0"/>
        <w:rPr>
          <w:rFonts w:ascii="仿宋_GB2312" w:hAnsi="Calibri" w:eastAsia="仿宋_GB2312" w:cs="仿宋"/>
          <w:color w:val="000000"/>
          <w:kern w:val="0"/>
          <w:sz w:val="32"/>
          <w:szCs w:val="32"/>
        </w:rPr>
      </w:pPr>
      <w:bookmarkStart w:id="94" w:name="_Toc1315634022"/>
      <w:r>
        <w:rPr>
          <w:rFonts w:hint="eastAsia" w:ascii="仿宋_GB2312" w:hAnsi="Calibri" w:eastAsia="仿宋_GB2312" w:cs="仿宋"/>
          <w:color w:val="000000"/>
          <w:kern w:val="0"/>
          <w:sz w:val="32"/>
          <w:szCs w:val="32"/>
        </w:rPr>
        <w:t>六、一般公共预算财政拨款支出决算表</w:t>
      </w:r>
      <w:bookmarkEnd w:id="93"/>
      <w:bookmarkEnd w:id="94"/>
      <w:bookmarkStart w:id="95" w:name="_Toc15396625"/>
    </w:p>
    <w:p>
      <w:pPr>
        <w:spacing w:line="600" w:lineRule="exact"/>
        <w:jc w:val="left"/>
        <w:outlineLvl w:val="0"/>
        <w:rPr>
          <w:rFonts w:ascii="仿宋_GB2312" w:hAnsi="Calibri" w:eastAsia="仿宋_GB2312" w:cs="仿宋"/>
          <w:color w:val="000000"/>
          <w:kern w:val="0"/>
          <w:sz w:val="32"/>
          <w:szCs w:val="32"/>
        </w:rPr>
      </w:pPr>
      <w:bookmarkStart w:id="96" w:name="_Toc635723058"/>
      <w:r>
        <w:rPr>
          <w:rFonts w:hint="eastAsia" w:ascii="仿宋_GB2312" w:hAnsi="Calibri" w:eastAsia="仿宋_GB2312" w:cs="仿宋"/>
          <w:color w:val="000000"/>
          <w:kern w:val="0"/>
          <w:sz w:val="32"/>
          <w:szCs w:val="32"/>
        </w:rPr>
        <w:t>七、一般公共预算财政拨款支出决算明细表</w:t>
      </w:r>
      <w:bookmarkEnd w:id="95"/>
      <w:bookmarkEnd w:id="96"/>
      <w:bookmarkStart w:id="97" w:name="_Toc15396626"/>
    </w:p>
    <w:p>
      <w:pPr>
        <w:spacing w:line="600" w:lineRule="exact"/>
        <w:jc w:val="left"/>
        <w:outlineLvl w:val="0"/>
        <w:rPr>
          <w:rFonts w:ascii="仿宋_GB2312" w:hAnsi="Calibri" w:eastAsia="仿宋_GB2312" w:cs="仿宋"/>
          <w:color w:val="000000"/>
          <w:kern w:val="0"/>
          <w:sz w:val="32"/>
          <w:szCs w:val="32"/>
        </w:rPr>
      </w:pPr>
      <w:bookmarkStart w:id="98" w:name="_Toc1369133069"/>
      <w:r>
        <w:rPr>
          <w:rFonts w:hint="eastAsia" w:ascii="仿宋_GB2312" w:hAnsi="Calibri" w:eastAsia="仿宋_GB2312" w:cs="仿宋"/>
          <w:color w:val="000000"/>
          <w:kern w:val="0"/>
          <w:sz w:val="32"/>
          <w:szCs w:val="32"/>
        </w:rPr>
        <w:t>八、一般公共预算财政拨款基本支出决算表</w:t>
      </w:r>
      <w:bookmarkEnd w:id="97"/>
      <w:bookmarkEnd w:id="98"/>
      <w:bookmarkStart w:id="99" w:name="_Toc15396627"/>
    </w:p>
    <w:p>
      <w:pPr>
        <w:spacing w:line="600" w:lineRule="exact"/>
        <w:jc w:val="left"/>
        <w:outlineLvl w:val="0"/>
        <w:rPr>
          <w:rFonts w:ascii="仿宋_GB2312" w:hAnsi="Calibri" w:eastAsia="仿宋_GB2312" w:cs="仿宋"/>
          <w:color w:val="000000"/>
          <w:kern w:val="0"/>
          <w:sz w:val="32"/>
          <w:szCs w:val="32"/>
        </w:rPr>
      </w:pPr>
      <w:bookmarkStart w:id="100" w:name="_Toc1125898167"/>
      <w:r>
        <w:rPr>
          <w:rFonts w:hint="eastAsia" w:ascii="仿宋_GB2312" w:hAnsi="Calibri" w:eastAsia="仿宋_GB2312" w:cs="仿宋"/>
          <w:color w:val="000000"/>
          <w:kern w:val="0"/>
          <w:sz w:val="32"/>
          <w:szCs w:val="32"/>
        </w:rPr>
        <w:t>九、一般公共预算财政拨款项目支出决算表</w:t>
      </w:r>
      <w:bookmarkEnd w:id="99"/>
      <w:bookmarkEnd w:id="100"/>
      <w:bookmarkStart w:id="101" w:name="_Toc15396628"/>
    </w:p>
    <w:p>
      <w:pPr>
        <w:spacing w:line="600" w:lineRule="exact"/>
        <w:jc w:val="left"/>
        <w:outlineLvl w:val="0"/>
        <w:rPr>
          <w:rFonts w:ascii="仿宋_GB2312" w:hAnsi="Calibri" w:eastAsia="仿宋_GB2312" w:cs="仿宋"/>
          <w:color w:val="000000"/>
          <w:kern w:val="0"/>
          <w:sz w:val="32"/>
          <w:szCs w:val="32"/>
        </w:rPr>
      </w:pPr>
      <w:bookmarkStart w:id="102" w:name="_Toc1059961393"/>
      <w:r>
        <w:rPr>
          <w:rFonts w:hint="eastAsia" w:ascii="仿宋_GB2312" w:hAnsi="Calibri" w:eastAsia="仿宋_GB2312" w:cs="仿宋"/>
          <w:color w:val="000000"/>
          <w:kern w:val="0"/>
          <w:sz w:val="32"/>
          <w:szCs w:val="32"/>
        </w:rPr>
        <w:t>十、一般公共预算财政拨款“三公”经费支出决算表</w:t>
      </w:r>
      <w:bookmarkEnd w:id="101"/>
      <w:bookmarkEnd w:id="102"/>
      <w:bookmarkStart w:id="103" w:name="_Toc15396629"/>
    </w:p>
    <w:p>
      <w:pPr>
        <w:spacing w:line="600" w:lineRule="exact"/>
        <w:jc w:val="left"/>
        <w:outlineLvl w:val="0"/>
        <w:rPr>
          <w:rFonts w:ascii="仿宋_GB2312" w:hAnsi="Calibri" w:eastAsia="仿宋_GB2312" w:cs="仿宋"/>
          <w:color w:val="000000"/>
          <w:kern w:val="0"/>
          <w:sz w:val="32"/>
          <w:szCs w:val="32"/>
        </w:rPr>
      </w:pPr>
      <w:bookmarkStart w:id="104" w:name="_Toc2089018456"/>
      <w:r>
        <w:rPr>
          <w:rFonts w:hint="eastAsia" w:ascii="仿宋_GB2312" w:hAnsi="Calibri" w:eastAsia="仿宋_GB2312" w:cs="仿宋"/>
          <w:color w:val="000000"/>
          <w:kern w:val="0"/>
          <w:sz w:val="32"/>
          <w:szCs w:val="32"/>
        </w:rPr>
        <w:t>十一、政府性基金预算财政拨款收入支出决算表</w:t>
      </w:r>
      <w:bookmarkEnd w:id="103"/>
      <w:bookmarkEnd w:id="104"/>
      <w:bookmarkStart w:id="105" w:name="_Toc15396630"/>
    </w:p>
    <w:p>
      <w:pPr>
        <w:spacing w:line="600" w:lineRule="exact"/>
        <w:jc w:val="left"/>
        <w:outlineLvl w:val="0"/>
        <w:rPr>
          <w:rFonts w:ascii="仿宋_GB2312" w:hAnsi="Calibri" w:eastAsia="仿宋_GB2312" w:cs="仿宋"/>
          <w:color w:val="000000"/>
          <w:kern w:val="0"/>
          <w:sz w:val="32"/>
          <w:szCs w:val="32"/>
        </w:rPr>
      </w:pPr>
      <w:bookmarkStart w:id="106" w:name="_Toc628175011"/>
      <w:r>
        <w:rPr>
          <w:rFonts w:hint="eastAsia" w:ascii="仿宋_GB2312" w:hAnsi="Calibri" w:eastAsia="仿宋_GB2312" w:cs="仿宋"/>
          <w:color w:val="000000"/>
          <w:kern w:val="0"/>
          <w:sz w:val="32"/>
          <w:szCs w:val="32"/>
        </w:rPr>
        <w:t>十二、政府性基金预算财政拨款“三公”经费支出决算表</w:t>
      </w:r>
      <w:bookmarkEnd w:id="105"/>
      <w:bookmarkEnd w:id="106"/>
      <w:bookmarkStart w:id="107" w:name="_Toc15396631"/>
    </w:p>
    <w:p>
      <w:pPr>
        <w:spacing w:line="600" w:lineRule="exact"/>
        <w:jc w:val="left"/>
        <w:outlineLvl w:val="0"/>
        <w:rPr>
          <w:rFonts w:ascii="仿宋_GB2312" w:hAnsi="Calibri" w:eastAsia="仿宋_GB2312" w:cs="仿宋"/>
          <w:color w:val="000000"/>
          <w:kern w:val="0"/>
          <w:sz w:val="32"/>
          <w:szCs w:val="32"/>
        </w:rPr>
      </w:pPr>
      <w:bookmarkStart w:id="108" w:name="_Toc1656478042"/>
      <w:r>
        <w:rPr>
          <w:rFonts w:hint="eastAsia" w:ascii="仿宋_GB2312" w:hAnsi="Calibri" w:eastAsia="仿宋_GB2312" w:cs="仿宋"/>
          <w:color w:val="000000"/>
          <w:kern w:val="0"/>
          <w:sz w:val="32"/>
          <w:szCs w:val="32"/>
        </w:rPr>
        <w:t>十三、国有资本经营预算财政拨款收入支出决算表</w:t>
      </w:r>
      <w:bookmarkEnd w:id="107"/>
      <w:bookmarkEnd w:id="108"/>
    </w:p>
    <w:p>
      <w:pPr>
        <w:spacing w:line="600" w:lineRule="exact"/>
        <w:jc w:val="left"/>
        <w:outlineLvl w:val="0"/>
        <w:rPr>
          <w:rFonts w:ascii="仿宋_GB2312" w:hAnsi="Calibri" w:eastAsia="仿宋_GB2312" w:cs="仿宋"/>
          <w:color w:val="000000"/>
          <w:kern w:val="0"/>
          <w:sz w:val="32"/>
          <w:szCs w:val="32"/>
        </w:rPr>
      </w:pPr>
      <w:bookmarkStart w:id="109" w:name="_Toc1131176229"/>
      <w:r>
        <w:rPr>
          <w:rFonts w:hint="eastAsia" w:ascii="仿宋_GB2312" w:hAnsi="Calibri" w:eastAsia="仿宋_GB2312" w:cs="仿宋"/>
          <w:color w:val="000000"/>
          <w:kern w:val="0"/>
          <w:sz w:val="32"/>
          <w:szCs w:val="32"/>
        </w:rPr>
        <w:t>十四、国有资本经营预算财政拨款支出决算表</w:t>
      </w:r>
      <w:bookmarkEnd w:id="109"/>
    </w:p>
    <w:sectPr>
      <w:pgSz w:w="11906" w:h="16838"/>
      <w:pgMar w:top="1644" w:right="1588" w:bottom="1588" w:left="1588"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88430"/>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88431"/>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B6D8D9B"/>
    <w:multiLevelType w:val="singleLevel"/>
    <w:tmpl w:val="3B6D8D9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M2Y3MGU2NzJjMzk4YTZmMWVlNmU1ZWJiMDNiNjIifQ=="/>
  </w:docVars>
  <w:rsids>
    <w:rsidRoot w:val="00F1361C"/>
    <w:rsid w:val="00002408"/>
    <w:rsid w:val="0000386E"/>
    <w:rsid w:val="00020DF7"/>
    <w:rsid w:val="000222C6"/>
    <w:rsid w:val="000232C3"/>
    <w:rsid w:val="00023948"/>
    <w:rsid w:val="0002549F"/>
    <w:rsid w:val="00037BEC"/>
    <w:rsid w:val="000468DB"/>
    <w:rsid w:val="00053A75"/>
    <w:rsid w:val="00060255"/>
    <w:rsid w:val="0006487A"/>
    <w:rsid w:val="00065CA0"/>
    <w:rsid w:val="00065F8F"/>
    <w:rsid w:val="00070A43"/>
    <w:rsid w:val="000763C9"/>
    <w:rsid w:val="000768F2"/>
    <w:rsid w:val="0009184B"/>
    <w:rsid w:val="00091BED"/>
    <w:rsid w:val="00094236"/>
    <w:rsid w:val="0009593C"/>
    <w:rsid w:val="00097322"/>
    <w:rsid w:val="000A6A92"/>
    <w:rsid w:val="000B047F"/>
    <w:rsid w:val="000B260B"/>
    <w:rsid w:val="000B5923"/>
    <w:rsid w:val="000B5A48"/>
    <w:rsid w:val="000B6CCD"/>
    <w:rsid w:val="000B6CE4"/>
    <w:rsid w:val="000B6FF3"/>
    <w:rsid w:val="000C3467"/>
    <w:rsid w:val="000C350F"/>
    <w:rsid w:val="000C3CA6"/>
    <w:rsid w:val="000D1267"/>
    <w:rsid w:val="000D1D50"/>
    <w:rsid w:val="000D433F"/>
    <w:rsid w:val="000D5782"/>
    <w:rsid w:val="000E0D4D"/>
    <w:rsid w:val="000E4845"/>
    <w:rsid w:val="000E6502"/>
    <w:rsid w:val="000E6613"/>
    <w:rsid w:val="000E7119"/>
    <w:rsid w:val="000F2FD4"/>
    <w:rsid w:val="00105293"/>
    <w:rsid w:val="00114121"/>
    <w:rsid w:val="00114E9B"/>
    <w:rsid w:val="00142216"/>
    <w:rsid w:val="00144D6A"/>
    <w:rsid w:val="0014729F"/>
    <w:rsid w:val="00157BAB"/>
    <w:rsid w:val="001654D1"/>
    <w:rsid w:val="00166B87"/>
    <w:rsid w:val="00174518"/>
    <w:rsid w:val="0018106D"/>
    <w:rsid w:val="001877A7"/>
    <w:rsid w:val="00191536"/>
    <w:rsid w:val="00195DF5"/>
    <w:rsid w:val="00196687"/>
    <w:rsid w:val="001B29B1"/>
    <w:rsid w:val="001C0962"/>
    <w:rsid w:val="001D5251"/>
    <w:rsid w:val="001D7531"/>
    <w:rsid w:val="001E737D"/>
    <w:rsid w:val="001F0592"/>
    <w:rsid w:val="001F3F02"/>
    <w:rsid w:val="001F7506"/>
    <w:rsid w:val="002006CD"/>
    <w:rsid w:val="00202B36"/>
    <w:rsid w:val="00204B7A"/>
    <w:rsid w:val="00204CDE"/>
    <w:rsid w:val="0021101A"/>
    <w:rsid w:val="00220536"/>
    <w:rsid w:val="002225C1"/>
    <w:rsid w:val="00235629"/>
    <w:rsid w:val="00247537"/>
    <w:rsid w:val="00260C38"/>
    <w:rsid w:val="002616C0"/>
    <w:rsid w:val="00265372"/>
    <w:rsid w:val="002662AA"/>
    <w:rsid w:val="00280496"/>
    <w:rsid w:val="00283C93"/>
    <w:rsid w:val="0028670C"/>
    <w:rsid w:val="00294C8E"/>
    <w:rsid w:val="00294DC9"/>
    <w:rsid w:val="00295495"/>
    <w:rsid w:val="002A31DE"/>
    <w:rsid w:val="002B2613"/>
    <w:rsid w:val="002C60BE"/>
    <w:rsid w:val="002D6D05"/>
    <w:rsid w:val="002E3FCF"/>
    <w:rsid w:val="002F1818"/>
    <w:rsid w:val="002F5104"/>
    <w:rsid w:val="002F567B"/>
    <w:rsid w:val="0030401C"/>
    <w:rsid w:val="003216A9"/>
    <w:rsid w:val="0033144A"/>
    <w:rsid w:val="00335A74"/>
    <w:rsid w:val="00362553"/>
    <w:rsid w:val="0036561B"/>
    <w:rsid w:val="0037013F"/>
    <w:rsid w:val="00380C92"/>
    <w:rsid w:val="003A484F"/>
    <w:rsid w:val="003A4883"/>
    <w:rsid w:val="003B0BE0"/>
    <w:rsid w:val="003B0C1B"/>
    <w:rsid w:val="003B0C1D"/>
    <w:rsid w:val="003B688C"/>
    <w:rsid w:val="003C0291"/>
    <w:rsid w:val="003C39AE"/>
    <w:rsid w:val="003C5BFE"/>
    <w:rsid w:val="003C7B60"/>
    <w:rsid w:val="003D0C0F"/>
    <w:rsid w:val="003D1FB2"/>
    <w:rsid w:val="003D66DA"/>
    <w:rsid w:val="003E1310"/>
    <w:rsid w:val="003E4C3F"/>
    <w:rsid w:val="003E6F55"/>
    <w:rsid w:val="00406254"/>
    <w:rsid w:val="00415840"/>
    <w:rsid w:val="00421E6B"/>
    <w:rsid w:val="004223DE"/>
    <w:rsid w:val="00423D9E"/>
    <w:rsid w:val="00433F4A"/>
    <w:rsid w:val="00434489"/>
    <w:rsid w:val="00437085"/>
    <w:rsid w:val="004422BE"/>
    <w:rsid w:val="00443880"/>
    <w:rsid w:val="004464F4"/>
    <w:rsid w:val="00455C43"/>
    <w:rsid w:val="00460B9C"/>
    <w:rsid w:val="00461791"/>
    <w:rsid w:val="004654D4"/>
    <w:rsid w:val="004705A7"/>
    <w:rsid w:val="00471401"/>
    <w:rsid w:val="00473F31"/>
    <w:rsid w:val="0048263A"/>
    <w:rsid w:val="00487E5D"/>
    <w:rsid w:val="004A2D4B"/>
    <w:rsid w:val="004A711F"/>
    <w:rsid w:val="004B199D"/>
    <w:rsid w:val="004B4690"/>
    <w:rsid w:val="004C111D"/>
    <w:rsid w:val="004C1257"/>
    <w:rsid w:val="004D340B"/>
    <w:rsid w:val="004D67F8"/>
    <w:rsid w:val="004E0A2D"/>
    <w:rsid w:val="004E206B"/>
    <w:rsid w:val="004E4133"/>
    <w:rsid w:val="004E6DF7"/>
    <w:rsid w:val="004F0FBD"/>
    <w:rsid w:val="00505A47"/>
    <w:rsid w:val="00512FDA"/>
    <w:rsid w:val="00520DA0"/>
    <w:rsid w:val="00521719"/>
    <w:rsid w:val="00542E76"/>
    <w:rsid w:val="00550F94"/>
    <w:rsid w:val="005664BB"/>
    <w:rsid w:val="00566FFA"/>
    <w:rsid w:val="00572771"/>
    <w:rsid w:val="0057481D"/>
    <w:rsid w:val="0058486E"/>
    <w:rsid w:val="00585B33"/>
    <w:rsid w:val="0059014D"/>
    <w:rsid w:val="00593686"/>
    <w:rsid w:val="005B375D"/>
    <w:rsid w:val="005B45A0"/>
    <w:rsid w:val="005B5C64"/>
    <w:rsid w:val="005C5337"/>
    <w:rsid w:val="005C6BD0"/>
    <w:rsid w:val="005C7B7F"/>
    <w:rsid w:val="005D1837"/>
    <w:rsid w:val="005D1C8B"/>
    <w:rsid w:val="005D468D"/>
    <w:rsid w:val="005D5CED"/>
    <w:rsid w:val="005E7217"/>
    <w:rsid w:val="005F0742"/>
    <w:rsid w:val="005F1A4C"/>
    <w:rsid w:val="005F4DB4"/>
    <w:rsid w:val="00605688"/>
    <w:rsid w:val="006070AF"/>
    <w:rsid w:val="00607E6C"/>
    <w:rsid w:val="00610104"/>
    <w:rsid w:val="006101B1"/>
    <w:rsid w:val="00614E44"/>
    <w:rsid w:val="0062270A"/>
    <w:rsid w:val="00622830"/>
    <w:rsid w:val="00623DA0"/>
    <w:rsid w:val="00630AEF"/>
    <w:rsid w:val="006325F8"/>
    <w:rsid w:val="00633463"/>
    <w:rsid w:val="00634C9A"/>
    <w:rsid w:val="006440E4"/>
    <w:rsid w:val="0065388D"/>
    <w:rsid w:val="0066343B"/>
    <w:rsid w:val="006646DE"/>
    <w:rsid w:val="00664777"/>
    <w:rsid w:val="00667325"/>
    <w:rsid w:val="006676C9"/>
    <w:rsid w:val="006748A4"/>
    <w:rsid w:val="00674C84"/>
    <w:rsid w:val="00681A31"/>
    <w:rsid w:val="00683E73"/>
    <w:rsid w:val="00684DFB"/>
    <w:rsid w:val="006915E4"/>
    <w:rsid w:val="006A3141"/>
    <w:rsid w:val="006A5E34"/>
    <w:rsid w:val="006B2422"/>
    <w:rsid w:val="006B2B9A"/>
    <w:rsid w:val="006C1937"/>
    <w:rsid w:val="006C5A06"/>
    <w:rsid w:val="006E5C65"/>
    <w:rsid w:val="006F020C"/>
    <w:rsid w:val="006F67F1"/>
    <w:rsid w:val="00707177"/>
    <w:rsid w:val="007127B7"/>
    <w:rsid w:val="0071798E"/>
    <w:rsid w:val="00737025"/>
    <w:rsid w:val="007416B6"/>
    <w:rsid w:val="007465CC"/>
    <w:rsid w:val="00746F48"/>
    <w:rsid w:val="007537E3"/>
    <w:rsid w:val="0075404D"/>
    <w:rsid w:val="0076182A"/>
    <w:rsid w:val="00761FB1"/>
    <w:rsid w:val="00767B7E"/>
    <w:rsid w:val="00776514"/>
    <w:rsid w:val="007770C3"/>
    <w:rsid w:val="00784D24"/>
    <w:rsid w:val="00785FBA"/>
    <w:rsid w:val="00786E4A"/>
    <w:rsid w:val="007875EB"/>
    <w:rsid w:val="0079049F"/>
    <w:rsid w:val="00791564"/>
    <w:rsid w:val="00791C24"/>
    <w:rsid w:val="0079426B"/>
    <w:rsid w:val="007D1682"/>
    <w:rsid w:val="007D312A"/>
    <w:rsid w:val="007D3F19"/>
    <w:rsid w:val="007E23B0"/>
    <w:rsid w:val="007E23E5"/>
    <w:rsid w:val="007F1991"/>
    <w:rsid w:val="007F22E1"/>
    <w:rsid w:val="007F2C2F"/>
    <w:rsid w:val="007F55FC"/>
    <w:rsid w:val="007F5665"/>
    <w:rsid w:val="00800112"/>
    <w:rsid w:val="00813348"/>
    <w:rsid w:val="008253BB"/>
    <w:rsid w:val="0083706E"/>
    <w:rsid w:val="008408F6"/>
    <w:rsid w:val="008423A5"/>
    <w:rsid w:val="00847FD7"/>
    <w:rsid w:val="00850625"/>
    <w:rsid w:val="00853718"/>
    <w:rsid w:val="00855221"/>
    <w:rsid w:val="00860645"/>
    <w:rsid w:val="00871F71"/>
    <w:rsid w:val="00872FD8"/>
    <w:rsid w:val="008765AA"/>
    <w:rsid w:val="008800BE"/>
    <w:rsid w:val="00885AF4"/>
    <w:rsid w:val="00887862"/>
    <w:rsid w:val="008939CD"/>
    <w:rsid w:val="00893ACA"/>
    <w:rsid w:val="008B002F"/>
    <w:rsid w:val="008B0A51"/>
    <w:rsid w:val="008B768C"/>
    <w:rsid w:val="008C2A50"/>
    <w:rsid w:val="008C4DB1"/>
    <w:rsid w:val="008C4EAF"/>
    <w:rsid w:val="008C5176"/>
    <w:rsid w:val="008C7FD0"/>
    <w:rsid w:val="008E1DE7"/>
    <w:rsid w:val="008E707C"/>
    <w:rsid w:val="009001EF"/>
    <w:rsid w:val="00900B08"/>
    <w:rsid w:val="00902155"/>
    <w:rsid w:val="00902FA3"/>
    <w:rsid w:val="00923564"/>
    <w:rsid w:val="0092392E"/>
    <w:rsid w:val="00924073"/>
    <w:rsid w:val="009315F9"/>
    <w:rsid w:val="00933499"/>
    <w:rsid w:val="00935C98"/>
    <w:rsid w:val="00946945"/>
    <w:rsid w:val="00950276"/>
    <w:rsid w:val="00951248"/>
    <w:rsid w:val="0095152F"/>
    <w:rsid w:val="00954C49"/>
    <w:rsid w:val="00955E37"/>
    <w:rsid w:val="0096635B"/>
    <w:rsid w:val="0097099F"/>
    <w:rsid w:val="00970A32"/>
    <w:rsid w:val="009713F4"/>
    <w:rsid w:val="00971997"/>
    <w:rsid w:val="00971FFC"/>
    <w:rsid w:val="0098660A"/>
    <w:rsid w:val="009931C3"/>
    <w:rsid w:val="009934DD"/>
    <w:rsid w:val="00993D73"/>
    <w:rsid w:val="00994790"/>
    <w:rsid w:val="0099587D"/>
    <w:rsid w:val="0099767E"/>
    <w:rsid w:val="009A11E1"/>
    <w:rsid w:val="009B2C43"/>
    <w:rsid w:val="009B4EAE"/>
    <w:rsid w:val="009B5E96"/>
    <w:rsid w:val="009B7573"/>
    <w:rsid w:val="009C0A33"/>
    <w:rsid w:val="009C22F4"/>
    <w:rsid w:val="009C2A4B"/>
    <w:rsid w:val="009C2E98"/>
    <w:rsid w:val="009C4F4A"/>
    <w:rsid w:val="009D2E14"/>
    <w:rsid w:val="009D3447"/>
    <w:rsid w:val="009D3EE3"/>
    <w:rsid w:val="009D4711"/>
    <w:rsid w:val="009F1185"/>
    <w:rsid w:val="009F18CD"/>
    <w:rsid w:val="009F2A13"/>
    <w:rsid w:val="009F57CB"/>
    <w:rsid w:val="009F605C"/>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67B82"/>
    <w:rsid w:val="00A733B2"/>
    <w:rsid w:val="00A73E85"/>
    <w:rsid w:val="00A741C2"/>
    <w:rsid w:val="00A750A5"/>
    <w:rsid w:val="00A75E60"/>
    <w:rsid w:val="00A838FD"/>
    <w:rsid w:val="00A91760"/>
    <w:rsid w:val="00A93B00"/>
    <w:rsid w:val="00A93C21"/>
    <w:rsid w:val="00AA0DCF"/>
    <w:rsid w:val="00AB57A4"/>
    <w:rsid w:val="00AB64C9"/>
    <w:rsid w:val="00AC3C6A"/>
    <w:rsid w:val="00AD1193"/>
    <w:rsid w:val="00AD23A1"/>
    <w:rsid w:val="00AD5620"/>
    <w:rsid w:val="00AD656B"/>
    <w:rsid w:val="00AD7C1B"/>
    <w:rsid w:val="00AE16BA"/>
    <w:rsid w:val="00AE1EBE"/>
    <w:rsid w:val="00AF473B"/>
    <w:rsid w:val="00B00722"/>
    <w:rsid w:val="00B0168C"/>
    <w:rsid w:val="00B03C9D"/>
    <w:rsid w:val="00B060AE"/>
    <w:rsid w:val="00B10517"/>
    <w:rsid w:val="00B14E76"/>
    <w:rsid w:val="00B161B8"/>
    <w:rsid w:val="00B2048C"/>
    <w:rsid w:val="00B241BE"/>
    <w:rsid w:val="00B310B9"/>
    <w:rsid w:val="00B32D5F"/>
    <w:rsid w:val="00B35F3F"/>
    <w:rsid w:val="00B36CBB"/>
    <w:rsid w:val="00B425E0"/>
    <w:rsid w:val="00B42E76"/>
    <w:rsid w:val="00B440AA"/>
    <w:rsid w:val="00B44B70"/>
    <w:rsid w:val="00B53C56"/>
    <w:rsid w:val="00B54390"/>
    <w:rsid w:val="00B57DAF"/>
    <w:rsid w:val="00B75160"/>
    <w:rsid w:val="00B77EA6"/>
    <w:rsid w:val="00B81598"/>
    <w:rsid w:val="00B841F1"/>
    <w:rsid w:val="00B944D6"/>
    <w:rsid w:val="00B97175"/>
    <w:rsid w:val="00B9730A"/>
    <w:rsid w:val="00BB4DF0"/>
    <w:rsid w:val="00BC289F"/>
    <w:rsid w:val="00BC2D50"/>
    <w:rsid w:val="00BC5361"/>
    <w:rsid w:val="00BC5460"/>
    <w:rsid w:val="00BC6B50"/>
    <w:rsid w:val="00BD0E25"/>
    <w:rsid w:val="00BF5BD6"/>
    <w:rsid w:val="00C03E31"/>
    <w:rsid w:val="00C25785"/>
    <w:rsid w:val="00C33E72"/>
    <w:rsid w:val="00C350FC"/>
    <w:rsid w:val="00C354B2"/>
    <w:rsid w:val="00C35554"/>
    <w:rsid w:val="00C361A6"/>
    <w:rsid w:val="00C37560"/>
    <w:rsid w:val="00C40C9D"/>
    <w:rsid w:val="00C42476"/>
    <w:rsid w:val="00C42709"/>
    <w:rsid w:val="00C533CC"/>
    <w:rsid w:val="00C5751C"/>
    <w:rsid w:val="00C61BFC"/>
    <w:rsid w:val="00C62B85"/>
    <w:rsid w:val="00C63130"/>
    <w:rsid w:val="00C65438"/>
    <w:rsid w:val="00C706EA"/>
    <w:rsid w:val="00C84BB8"/>
    <w:rsid w:val="00C87FD8"/>
    <w:rsid w:val="00C91381"/>
    <w:rsid w:val="00C91CBB"/>
    <w:rsid w:val="00CA4606"/>
    <w:rsid w:val="00CA605E"/>
    <w:rsid w:val="00CB2C9A"/>
    <w:rsid w:val="00CB4E70"/>
    <w:rsid w:val="00CC04F0"/>
    <w:rsid w:val="00CC09B6"/>
    <w:rsid w:val="00CC60FE"/>
    <w:rsid w:val="00CC666F"/>
    <w:rsid w:val="00CC6842"/>
    <w:rsid w:val="00CD1E3F"/>
    <w:rsid w:val="00CE44F6"/>
    <w:rsid w:val="00CE49DA"/>
    <w:rsid w:val="00CE7B61"/>
    <w:rsid w:val="00CF1C3F"/>
    <w:rsid w:val="00CF76D8"/>
    <w:rsid w:val="00D00095"/>
    <w:rsid w:val="00D114F0"/>
    <w:rsid w:val="00D14C72"/>
    <w:rsid w:val="00D20620"/>
    <w:rsid w:val="00D254F7"/>
    <w:rsid w:val="00D26091"/>
    <w:rsid w:val="00D2685C"/>
    <w:rsid w:val="00D34E7C"/>
    <w:rsid w:val="00D35489"/>
    <w:rsid w:val="00D36AFE"/>
    <w:rsid w:val="00D36BAF"/>
    <w:rsid w:val="00D401B9"/>
    <w:rsid w:val="00D51276"/>
    <w:rsid w:val="00D638EB"/>
    <w:rsid w:val="00D659F8"/>
    <w:rsid w:val="00D7035F"/>
    <w:rsid w:val="00D87788"/>
    <w:rsid w:val="00D9355E"/>
    <w:rsid w:val="00DA634F"/>
    <w:rsid w:val="00DA65AC"/>
    <w:rsid w:val="00DB1913"/>
    <w:rsid w:val="00DC410D"/>
    <w:rsid w:val="00DC5A81"/>
    <w:rsid w:val="00DC68CA"/>
    <w:rsid w:val="00DC7CBA"/>
    <w:rsid w:val="00DD1BEB"/>
    <w:rsid w:val="00DD30F6"/>
    <w:rsid w:val="00DD4A34"/>
    <w:rsid w:val="00DD73B7"/>
    <w:rsid w:val="00DE04B3"/>
    <w:rsid w:val="00DE71D6"/>
    <w:rsid w:val="00DF28BC"/>
    <w:rsid w:val="00DF34B9"/>
    <w:rsid w:val="00E01053"/>
    <w:rsid w:val="00E017C0"/>
    <w:rsid w:val="00E07ACF"/>
    <w:rsid w:val="00E21BB2"/>
    <w:rsid w:val="00E331A1"/>
    <w:rsid w:val="00E33202"/>
    <w:rsid w:val="00E336A9"/>
    <w:rsid w:val="00E33819"/>
    <w:rsid w:val="00E37814"/>
    <w:rsid w:val="00E472B1"/>
    <w:rsid w:val="00E50624"/>
    <w:rsid w:val="00E568DF"/>
    <w:rsid w:val="00E61DE5"/>
    <w:rsid w:val="00E64269"/>
    <w:rsid w:val="00E77E49"/>
    <w:rsid w:val="00E82267"/>
    <w:rsid w:val="00E853CE"/>
    <w:rsid w:val="00E867B6"/>
    <w:rsid w:val="00EA010F"/>
    <w:rsid w:val="00EA0584"/>
    <w:rsid w:val="00EB0965"/>
    <w:rsid w:val="00EB375A"/>
    <w:rsid w:val="00EC3ECF"/>
    <w:rsid w:val="00EC7F2B"/>
    <w:rsid w:val="00ED1B63"/>
    <w:rsid w:val="00ED3C1F"/>
    <w:rsid w:val="00ED4085"/>
    <w:rsid w:val="00ED420E"/>
    <w:rsid w:val="00ED6FBE"/>
    <w:rsid w:val="00EE2F57"/>
    <w:rsid w:val="00EF4C34"/>
    <w:rsid w:val="00EF77C6"/>
    <w:rsid w:val="00F05316"/>
    <w:rsid w:val="00F05438"/>
    <w:rsid w:val="00F0551B"/>
    <w:rsid w:val="00F1296F"/>
    <w:rsid w:val="00F1361C"/>
    <w:rsid w:val="00F156F0"/>
    <w:rsid w:val="00F160C7"/>
    <w:rsid w:val="00F2408F"/>
    <w:rsid w:val="00F240E9"/>
    <w:rsid w:val="00F32A8C"/>
    <w:rsid w:val="00F35569"/>
    <w:rsid w:val="00F36A69"/>
    <w:rsid w:val="00F36D8F"/>
    <w:rsid w:val="00F37EB1"/>
    <w:rsid w:val="00F417B1"/>
    <w:rsid w:val="00F45853"/>
    <w:rsid w:val="00F50D94"/>
    <w:rsid w:val="00F538C1"/>
    <w:rsid w:val="00F602DF"/>
    <w:rsid w:val="00F60EDF"/>
    <w:rsid w:val="00F754A1"/>
    <w:rsid w:val="00F81FD9"/>
    <w:rsid w:val="00F841AA"/>
    <w:rsid w:val="00F84A94"/>
    <w:rsid w:val="00F866EC"/>
    <w:rsid w:val="00F872AE"/>
    <w:rsid w:val="00F87E96"/>
    <w:rsid w:val="00F95638"/>
    <w:rsid w:val="00FA23E8"/>
    <w:rsid w:val="00FA64CD"/>
    <w:rsid w:val="00FB210E"/>
    <w:rsid w:val="00FC437E"/>
    <w:rsid w:val="00FC6750"/>
    <w:rsid w:val="00FD30CC"/>
    <w:rsid w:val="00FD3CC1"/>
    <w:rsid w:val="00FE414D"/>
    <w:rsid w:val="00FF1E02"/>
    <w:rsid w:val="00FF30B4"/>
    <w:rsid w:val="0865071E"/>
    <w:rsid w:val="0A2032A3"/>
    <w:rsid w:val="0D7D3820"/>
    <w:rsid w:val="0E19519E"/>
    <w:rsid w:val="10C055FF"/>
    <w:rsid w:val="118107EC"/>
    <w:rsid w:val="12862F93"/>
    <w:rsid w:val="129B538A"/>
    <w:rsid w:val="16BB723D"/>
    <w:rsid w:val="18015F3F"/>
    <w:rsid w:val="1BE8440E"/>
    <w:rsid w:val="1D155CEE"/>
    <w:rsid w:val="20F57F95"/>
    <w:rsid w:val="240371BF"/>
    <w:rsid w:val="29FD04D3"/>
    <w:rsid w:val="2ABE7A3E"/>
    <w:rsid w:val="2BB86A0D"/>
    <w:rsid w:val="2F8A29D8"/>
    <w:rsid w:val="319F7F4E"/>
    <w:rsid w:val="32976EEF"/>
    <w:rsid w:val="3C0C0783"/>
    <w:rsid w:val="496F39ED"/>
    <w:rsid w:val="4A7B4BBF"/>
    <w:rsid w:val="4BE068DB"/>
    <w:rsid w:val="4BF6002B"/>
    <w:rsid w:val="4ECE2238"/>
    <w:rsid w:val="50A772BD"/>
    <w:rsid w:val="56CE7A94"/>
    <w:rsid w:val="62D7FB1F"/>
    <w:rsid w:val="64CA39A1"/>
    <w:rsid w:val="6C4A05C8"/>
    <w:rsid w:val="6DCC0547"/>
    <w:rsid w:val="72734D90"/>
    <w:rsid w:val="7284528D"/>
    <w:rsid w:val="79212126"/>
    <w:rsid w:val="7AEC944A"/>
    <w:rsid w:val="C26B9177"/>
    <w:rsid w:val="FB3F1983"/>
    <w:rsid w:val="FBDF91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黑体" panose="02010609060101010101" charset="-122"/>
                <a:ea typeface="黑体" panose="02010609060101010101" charset="-122"/>
                <a:cs typeface="+mn-cs"/>
              </a:defRPr>
            </a:pPr>
            <a:r>
              <a:rPr lang="zh-CN" sz="1600">
                <a:latin typeface="仿宋_GB2312" panose="02010609030101010101" pitchFamily="3" charset="-122"/>
                <a:ea typeface="仿宋_GB2312" panose="02010609030101010101" pitchFamily="3" charset="-122"/>
              </a:rPr>
              <a:t>图</a:t>
            </a:r>
            <a:r>
              <a:rPr lang="en-US" sz="1600">
                <a:latin typeface="仿宋_GB2312" panose="02010609030101010101" pitchFamily="3" charset="-122"/>
                <a:ea typeface="仿宋_GB2312" panose="02010609030101010101" pitchFamily="3" charset="-122"/>
              </a:rPr>
              <a:t>1</a:t>
            </a:r>
            <a:r>
              <a:rPr lang="zh-CN" sz="1600">
                <a:latin typeface="仿宋_GB2312" panose="02010609030101010101" pitchFamily="3" charset="-122"/>
                <a:ea typeface="仿宋_GB2312" panose="02010609030101010101" pitchFamily="3" charset="-122"/>
              </a:rPr>
              <a:t>：收、支决算总计变动情况图</a:t>
            </a:r>
            <a:endParaRPr lang="en-US" sz="1600">
              <a:latin typeface="仿宋_GB2312" panose="02010609030101010101" pitchFamily="3" charset="-122"/>
              <a:ea typeface="仿宋_GB2312" panose="02010609030101010101" pitchFamily="3" charset="-122"/>
            </a:endParaRPr>
          </a:p>
          <a:p>
            <a:pPr>
              <a:defRPr lang="zh-CN" sz="1800" b="1" i="0" u="none" strike="noStrike" kern="1200" baseline="0">
                <a:solidFill>
                  <a:schemeClr val="tx1"/>
                </a:solidFill>
                <a:latin typeface="黑体" panose="02010609060101010101" charset="-122"/>
                <a:ea typeface="黑体" panose="02010609060101010101" charset="-122"/>
                <a:cs typeface="+mn-cs"/>
              </a:defRPr>
            </a:pPr>
            <a:r>
              <a:rPr lang="zh-CN" sz="1600">
                <a:latin typeface="仿宋_GB2312" panose="02010609030101010101" pitchFamily="3" charset="-122"/>
                <a:ea typeface="仿宋_GB2312" panose="02010609030101010101" pitchFamily="3" charset="-122"/>
              </a:rPr>
              <a:t>（单位：万元）</a:t>
            </a:r>
            <a:endParaRPr lang="zh-CN" sz="1600">
              <a:latin typeface="仿宋_GB2312" panose="02010609030101010101" pitchFamily="3" charset="-122"/>
              <a:ea typeface="仿宋_GB2312" panose="02010609030101010101" pitchFamily="3" charset="-122"/>
            </a:endParaRPr>
          </a:p>
        </c:rich>
      </c:tx>
      <c:layout>
        <c:manualLayout>
          <c:xMode val="edge"/>
          <c:yMode val="edge"/>
          <c:x val="0.214175691937425"/>
          <c:y val="0.00554016620498618"/>
        </c:manualLayout>
      </c:layout>
      <c:overlay val="false"/>
    </c:title>
    <c:autoTitleDeleted val="false"/>
    <c:plotArea>
      <c:layout/>
      <c:barChart>
        <c:barDir val="col"/>
        <c:grouping val="clustered"/>
        <c:varyColors val="false"/>
        <c:ser>
          <c:idx val="0"/>
          <c:order val="0"/>
          <c:tx>
            <c:strRef>
              <c:f>Sheet1!$B$1</c:f>
              <c:strCache>
                <c:ptCount val="1"/>
                <c:pt idx="0">
                  <c:v>收、支决算总计变动情况图</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120.25</c:v>
                </c:pt>
                <c:pt idx="1">
                  <c:v>147.06</c:v>
                </c:pt>
              </c:numCache>
            </c:numRef>
          </c:val>
        </c:ser>
        <c:dLbls>
          <c:showLegendKey val="false"/>
          <c:showVal val="true"/>
          <c:showCatName val="false"/>
          <c:showSerName val="false"/>
          <c:showPercent val="false"/>
          <c:showBubbleSize val="false"/>
        </c:dLbls>
        <c:gapWidth val="150"/>
        <c:axId val="141821824"/>
        <c:axId val="141828096"/>
      </c:barChart>
      <c:catAx>
        <c:axId val="14182182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1828096"/>
        <c:crosses val="autoZero"/>
        <c:auto val="true"/>
        <c:lblAlgn val="ctr"/>
        <c:lblOffset val="100"/>
        <c:noMultiLvlLbl val="false"/>
      </c:catAx>
      <c:valAx>
        <c:axId val="14182809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1821824"/>
        <c:crosses val="autoZero"/>
        <c:crossBetween val="between"/>
      </c:valAx>
    </c:plotArea>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baseline="0">
                <a:solidFill>
                  <a:schemeClr val="tx1"/>
                </a:solidFill>
                <a:latin typeface="仿宋_GB2312" panose="02010609030101010101" pitchFamily="3" charset="-122"/>
                <a:ea typeface="仿宋_GB2312" panose="02010609030101010101" pitchFamily="3" charset="-122"/>
                <a:cs typeface="+mn-cs"/>
              </a:defRPr>
            </a:pPr>
            <a:r>
              <a:rPr altLang="en-US" sz="1600">
                <a:latin typeface="仿宋_GB2312" panose="02010609030101010101" pitchFamily="3" charset="-122"/>
                <a:ea typeface="仿宋_GB2312" panose="02010609030101010101" pitchFamily="3" charset="-122"/>
              </a:rPr>
              <a:t>图2：收入决算结构图</a:t>
            </a:r>
            <a:endParaRPr altLang="en-US" sz="1600">
              <a:latin typeface="仿宋_GB2312" panose="02010609030101010101" pitchFamily="3" charset="-122"/>
              <a:ea typeface="仿宋_GB2312" panose="02010609030101010101" pitchFamily="3" charset="-122"/>
            </a:endParaRPr>
          </a:p>
        </c:rich>
      </c:tx>
      <c:layout/>
      <c:overlay val="false"/>
    </c:title>
    <c:autoTitleDeleted val="false"/>
    <c:plotArea>
      <c:layout/>
      <c:pieChart>
        <c:varyColors val="true"/>
        <c:ser>
          <c:idx val="0"/>
          <c:order val="0"/>
          <c:tx>
            <c:strRef>
              <c:f>Sheet1!$B$1</c:f>
              <c:strCache>
                <c:ptCount val="1"/>
                <c:pt idx="0">
                  <c:v>图2：收入决算结构图</c:v>
                </c:pt>
              </c:strCache>
            </c:strRef>
          </c:tx>
          <c:explosion val="0"/>
          <c:dPt>
            <c:idx val="0"/>
            <c:bubble3D val="false"/>
          </c:dPt>
          <c:dLbls>
            <c:dLbl>
              <c:idx val="0"/>
              <c:layout>
                <c:manualLayout>
                  <c:x val="0.00415267589504599"/>
                  <c:y val="-0.302373581011355"/>
                </c:manualLayout>
              </c:layout>
              <c:dLblPos val="bestFit"/>
              <c:showLegendKey val="false"/>
              <c:showVal val="fals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c:f>
              <c:strCache>
                <c:ptCount val="1"/>
                <c:pt idx="0">
                  <c:v>一般公共预算财政拨款收入147.06万元，占本年收入100%</c:v>
                </c:pt>
              </c:strCache>
            </c:strRef>
          </c:cat>
          <c:val>
            <c:numRef>
              <c:f>Sheet1!$B$2</c:f>
              <c:numCache>
                <c:formatCode>General</c:formatCode>
                <c:ptCount val="1"/>
                <c:pt idx="0">
                  <c:v>147.06</c:v>
                </c:pt>
              </c:numCache>
            </c:numRef>
          </c:val>
        </c:ser>
        <c:dLbls>
          <c:showLegendKey val="false"/>
          <c:showVal val="false"/>
          <c:showCatName val="true"/>
          <c:showSerName val="false"/>
          <c:showPercent val="false"/>
          <c:showBubbleSize val="false"/>
          <c:showLeaderLines val="true"/>
        </c:dLbls>
        <c:firstSliceAng val="0"/>
      </c:pieChart>
    </c:plotArea>
    <c:plotVisOnly val="true"/>
    <c:dispBlanksAs val="zero"/>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600" b="1"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title>
    <c:autoTitleDeleted val="false"/>
    <c:plotArea>
      <c:layout/>
      <c:pieChart>
        <c:varyColors val="true"/>
        <c:ser>
          <c:idx val="0"/>
          <c:order val="0"/>
          <c:tx>
            <c:strRef>
              <c:f>Sheet1!$B$1</c:f>
              <c:strCache>
                <c:ptCount val="1"/>
                <c:pt idx="0">
                  <c:v>图3：支出决算结构图</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基本支出：占79.16%</c:v>
                </c:pt>
                <c:pt idx="1">
                  <c:v>项目支出：占20.84</c:v>
                </c:pt>
              </c:strCache>
            </c:strRef>
          </c:cat>
          <c:val>
            <c:numRef>
              <c:f>Sheet1!$B$2:$B$3</c:f>
              <c:numCache>
                <c:formatCode>General</c:formatCode>
                <c:ptCount val="2"/>
                <c:pt idx="0">
                  <c:v>116.42</c:v>
                </c:pt>
                <c:pt idx="1">
                  <c:v>30.64</c:v>
                </c:pt>
              </c:numCache>
            </c:numRef>
          </c:val>
        </c:ser>
        <c:dLbls>
          <c:showLegendKey val="false"/>
          <c:showVal val="false"/>
          <c:showCatName val="true"/>
          <c:showSerName val="false"/>
          <c:showPercent val="false"/>
          <c:showBubbleSize val="false"/>
          <c:showLeaderLines val="true"/>
        </c:dLbls>
        <c:firstSliceAng val="0"/>
      </c:pieChart>
    </c:plotArea>
    <c:plotVisOnly val="true"/>
    <c:dispBlanksAs val="zero"/>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baseline="0">
                <a:solidFill>
                  <a:schemeClr val="tx1"/>
                </a:solidFill>
                <a:latin typeface="仿宋_GB2312" panose="02010609030101010101" pitchFamily="3" charset="-122"/>
                <a:ea typeface="仿宋_GB2312" panose="02010609030101010101" pitchFamily="3" charset="-122"/>
                <a:cs typeface="+mn-cs"/>
              </a:defRPr>
            </a:pPr>
            <a:r>
              <a:rPr lang="zh-CN" altLang="en-US" sz="1600">
                <a:latin typeface="仿宋_GB2312" panose="02010609030101010101" pitchFamily="3" charset="-122"/>
                <a:ea typeface="仿宋_GB2312" panose="02010609030101010101" pitchFamily="3" charset="-122"/>
              </a:rPr>
              <a:t>图</a:t>
            </a:r>
            <a:r>
              <a:rPr lang="en-US" altLang="zh-CN" sz="1600">
                <a:latin typeface="仿宋_GB2312" panose="02010609030101010101" pitchFamily="3" charset="-122"/>
                <a:ea typeface="仿宋_GB2312" panose="02010609030101010101" pitchFamily="3" charset="-122"/>
              </a:rPr>
              <a:t>4</a:t>
            </a:r>
            <a:r>
              <a:rPr lang="zh-CN" altLang="en-US" sz="1600">
                <a:latin typeface="仿宋_GB2312" panose="02010609030101010101" pitchFamily="3" charset="-122"/>
                <a:ea typeface="仿宋_GB2312" panose="02010609030101010101" pitchFamily="3" charset="-122"/>
              </a:rPr>
              <a:t>：财政拨款收、支决算总计变动情况（单位：万元）</a:t>
            </a:r>
            <a:endParaRPr lang="zh-CN" altLang="en-US" sz="1600">
              <a:latin typeface="仿宋_GB2312" panose="02010609030101010101" pitchFamily="3" charset="-122"/>
              <a:ea typeface="仿宋_GB2312" panose="02010609030101010101" pitchFamily="3" charset="-122"/>
            </a:endParaRPr>
          </a:p>
        </c:rich>
      </c:tx>
      <c:layout/>
      <c:overlay val="false"/>
    </c:title>
    <c:autoTitleDeleted val="false"/>
    <c:plotArea>
      <c:layout/>
      <c:barChart>
        <c:barDir val="col"/>
        <c:grouping val="clustered"/>
        <c:varyColors val="false"/>
        <c:ser>
          <c:idx val="0"/>
          <c:order val="0"/>
          <c:tx>
            <c:strRef>
              <c:f>Sheet1!$B$1</c:f>
              <c:strCache>
                <c:ptCount val="1"/>
                <c:pt idx="0">
                  <c:v>财政拨款收、支决算总计变动情况</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120.25</c:v>
                </c:pt>
                <c:pt idx="1">
                  <c:v>147.06</c:v>
                </c:pt>
              </c:numCache>
            </c:numRef>
          </c:val>
        </c:ser>
        <c:dLbls>
          <c:showLegendKey val="false"/>
          <c:showVal val="true"/>
          <c:showCatName val="false"/>
          <c:showSerName val="false"/>
          <c:showPercent val="false"/>
          <c:showBubbleSize val="false"/>
        </c:dLbls>
        <c:gapWidth val="150"/>
        <c:axId val="81551744"/>
        <c:axId val="81553280"/>
      </c:barChart>
      <c:catAx>
        <c:axId val="81551744"/>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81553280"/>
        <c:crosses val="autoZero"/>
        <c:auto val="true"/>
        <c:lblAlgn val="ctr"/>
        <c:lblOffset val="100"/>
        <c:noMultiLvlLbl val="false"/>
      </c:catAx>
      <c:valAx>
        <c:axId val="815532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81551744"/>
        <c:crosses val="autoZero"/>
        <c:crossBetween val="between"/>
      </c:valAx>
    </c:plotArea>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600" b="1" i="0" u="none" strike="noStrike" kern="1200" baseline="0">
                <a:solidFill>
                  <a:schemeClr val="tx1"/>
                </a:solidFill>
                <a:latin typeface="仿宋_GB2312" panose="02010609030101010101" pitchFamily="3" charset="-122"/>
                <a:ea typeface="仿宋_GB2312" panose="02010609030101010101" pitchFamily="3" charset="-122"/>
                <a:cs typeface="+mn-cs"/>
              </a:defRPr>
            </a:pPr>
            <a:r>
              <a:rPr lang="zh-CN" altLang="en-US" sz="1600">
                <a:latin typeface="仿宋_GB2312" panose="02010609030101010101" pitchFamily="3" charset="-122"/>
                <a:ea typeface="仿宋_GB2312" panose="02010609030101010101" pitchFamily="3" charset="-122"/>
              </a:rPr>
              <a:t>图</a:t>
            </a:r>
            <a:r>
              <a:rPr lang="en-US" altLang="zh-CN" sz="1600">
                <a:latin typeface="仿宋_GB2312" panose="02010609030101010101" pitchFamily="3" charset="-122"/>
                <a:ea typeface="仿宋_GB2312" panose="02010609030101010101" pitchFamily="3" charset="-122"/>
              </a:rPr>
              <a:t>5</a:t>
            </a:r>
            <a:r>
              <a:rPr lang="zh-CN" altLang="en-US" sz="1600">
                <a:latin typeface="仿宋_GB2312" panose="02010609030101010101" pitchFamily="3" charset="-122"/>
                <a:ea typeface="仿宋_GB2312" panose="02010609030101010101" pitchFamily="3" charset="-122"/>
              </a:rPr>
              <a:t>：一般公共预算财政拨款支出决算变动情况（单位：万元）</a:t>
            </a:r>
            <a:endParaRPr lang="zh-CN" altLang="en-US" sz="1600">
              <a:latin typeface="仿宋_GB2312" panose="02010609030101010101" pitchFamily="3" charset="-122"/>
              <a:ea typeface="仿宋_GB2312" panose="02010609030101010101" pitchFamily="3" charset="-122"/>
            </a:endParaRPr>
          </a:p>
        </c:rich>
      </c:tx>
      <c:layout/>
      <c:overlay val="false"/>
    </c:title>
    <c:autoTitleDeleted val="false"/>
    <c:plotArea>
      <c:layout/>
      <c:barChart>
        <c:barDir val="col"/>
        <c:grouping val="clustered"/>
        <c:varyColors val="false"/>
        <c:ser>
          <c:idx val="0"/>
          <c:order val="0"/>
          <c:tx>
            <c:strRef>
              <c:f>Sheet1!$B$1</c:f>
              <c:strCache>
                <c:ptCount val="1"/>
                <c:pt idx="0">
                  <c:v>图5：一般公共预算财政拨款支出决算变动情况</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120.25</c:v>
                </c:pt>
                <c:pt idx="1">
                  <c:v>147.06</c:v>
                </c:pt>
              </c:numCache>
            </c:numRef>
          </c:val>
        </c:ser>
        <c:dLbls>
          <c:showLegendKey val="false"/>
          <c:showVal val="true"/>
          <c:showCatName val="false"/>
          <c:showSerName val="false"/>
          <c:showPercent val="false"/>
          <c:showBubbleSize val="false"/>
        </c:dLbls>
        <c:gapWidth val="150"/>
        <c:axId val="141858304"/>
        <c:axId val="141859840"/>
      </c:barChart>
      <c:catAx>
        <c:axId val="141858304"/>
        <c:scaling>
          <c:orientation val="minMax"/>
        </c:scaling>
        <c:delete val="false"/>
        <c:axPos val="b"/>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1859840"/>
        <c:crosses val="autoZero"/>
        <c:auto val="true"/>
        <c:lblAlgn val="ctr"/>
        <c:lblOffset val="100"/>
        <c:noMultiLvlLbl val="false"/>
      </c:catAx>
      <c:valAx>
        <c:axId val="141859840"/>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1858304"/>
        <c:crosses val="autoZero"/>
        <c:crossBetween val="between"/>
      </c:valAx>
    </c:plotArea>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772872653212"/>
          <c:y val="0"/>
        </c:manualLayout>
      </c:layout>
      <c:overlay val="false"/>
      <c:txPr>
        <a:bodyPr rot="0" spcFirstLastPara="0" vertOverflow="ellipsis" vert="horz" wrap="square" anchor="ctr" anchorCtr="true"/>
        <a:lstStyle/>
        <a:p>
          <a:pPr>
            <a:defRPr lang="zh-CN" sz="1600" b="1" i="0" u="none" strike="noStrike" kern="1200" baseline="0">
              <a:solidFill>
                <a:schemeClr val="tx1"/>
              </a:solidFill>
              <a:latin typeface="仿宋_GB2312" panose="02010609030101010101" pitchFamily="3" charset="-122"/>
              <a:ea typeface="仿宋_GB2312" panose="02010609030101010101" pitchFamily="3" charset="-122"/>
              <a:cs typeface="+mn-cs"/>
            </a:defRPr>
          </a:pPr>
        </a:p>
      </c:txPr>
    </c:title>
    <c:autoTitleDeleted val="false"/>
    <c:plotArea>
      <c:layout/>
      <c:pieChart>
        <c:varyColors val="true"/>
        <c:ser>
          <c:idx val="0"/>
          <c:order val="0"/>
          <c:tx>
            <c:strRef>
              <c:f>Sheet1!$B$1</c:f>
              <c:strCache>
                <c:ptCount val="1"/>
                <c:pt idx="0">
                  <c:v>图6：一般公共预算财政拨款支出决算结构</c:v>
                </c:pt>
              </c:strCache>
            </c:strRef>
          </c:tx>
          <c:explosion val="0"/>
          <c:dPt>
            <c:idx val="0"/>
            <c:bubble3D val="false"/>
          </c:dPt>
          <c:dPt>
            <c:idx val="1"/>
            <c:bubble3D val="false"/>
          </c:dPt>
          <c:dPt>
            <c:idx val="2"/>
            <c:bubble3D val="false"/>
          </c:dPt>
          <c:dPt>
            <c:idx val="3"/>
            <c:bubble3D val="false"/>
          </c:dPt>
          <c:dLbls>
            <c:dLbl>
              <c:idx val="2"/>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altLang="en-US"/>
                      <a:t>卫生健康</a:t>
                    </a:r>
                    <a:r>
                      <a:rPr lang="zh-CN" altLang="en-US"/>
                      <a:t>（类）</a:t>
                    </a:r>
                    <a:r>
                      <a:rPr altLang="en-US"/>
                      <a:t>支出
4.68%</a:t>
                    </a:r>
                    <a:endParaRPr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3"/>
              <c:layout>
                <c:manualLayout>
                  <c:x val="0.0185956843890089"/>
                  <c:y val="0.020895341207349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altLang="en-US"/>
                      <a:t>住房保障</a:t>
                    </a:r>
                    <a:r>
                      <a:rPr lang="zh-CN" altLang="en-US"/>
                      <a:t>（类）</a:t>
                    </a:r>
                    <a:r>
                      <a:rPr altLang="en-US"/>
                      <a:t>支出
10.29%</a:t>
                    </a:r>
                    <a:endParaRPr altLang="en-US"/>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110.86</c:v>
                </c:pt>
                <c:pt idx="1">
                  <c:v>14.19</c:v>
                </c:pt>
                <c:pt idx="2">
                  <c:v>6.88</c:v>
                </c:pt>
                <c:pt idx="3">
                  <c:v>15.13</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zero"/>
    <c:showDLblsOverMax val="false"/>
  </c:chart>
  <c:spPr>
    <a:ln w="9525" cap="flat" cmpd="sng" algn="ctr">
      <a:noFill/>
      <a:prstDash val="solid"/>
      <a:round/>
    </a:ln>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14</Pages>
  <Words>3445</Words>
  <Characters>3761</Characters>
  <Lines>38</Lines>
  <Paragraphs>10</Paragraphs>
  <TotalTime>6</TotalTime>
  <ScaleCrop>false</ScaleCrop>
  <LinksUpToDate>false</LinksUpToDate>
  <CharactersWithSpaces>3907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易子靖</cp:lastModifiedBy>
  <cp:lastPrinted>2021-09-08T16:36:00Z</cp:lastPrinted>
  <dcterms:modified xsi:type="dcterms:W3CDTF">2022-11-14T09:59:25Z</dcterms:modified>
  <dc:title>四川省***</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4230A92519904B2192C55DCD168BBD4A</vt:lpwstr>
  </property>
</Properties>
</file>