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1200" w:lineRule="exact"/>
        <w:jc w:val="center"/>
        <w:outlineLvl w:val="0"/>
        <w:rPr>
          <w:rFonts w:ascii="方正小标宋简体" w:hAnsi="宋体" w:eastAsia="方正小标宋简体"/>
          <w:color w:val="000000"/>
          <w:sz w:val="70"/>
          <w:szCs w:val="70"/>
        </w:rPr>
      </w:pPr>
      <w:bookmarkStart w:id="1" w:name="_Toc8658"/>
      <w:bookmarkStart w:id="2" w:name="_Toc30173"/>
      <w:bookmarkStart w:id="3" w:name="_Toc15378441"/>
      <w:bookmarkStart w:id="4" w:name="_Toc119075946"/>
      <w:bookmarkStart w:id="5" w:name="_Toc15377193"/>
      <w:bookmarkStart w:id="6" w:name="_Toc3468"/>
      <w:bookmarkStart w:id="7" w:name="_Toc261"/>
      <w:bookmarkStart w:id="8" w:name="_Toc15396597"/>
      <w:bookmarkStart w:id="9" w:name="_Toc15396475"/>
      <w:bookmarkStart w:id="10" w:name="_Toc15377425"/>
      <w:bookmarkStart w:id="11" w:name="_Toc119075522"/>
      <w:bookmarkStart w:id="12" w:name="_Toc5291"/>
      <w:r>
        <w:rPr>
          <w:rFonts w:hint="eastAsia" w:ascii="方正小标宋简体" w:hAnsi="宋体" w:eastAsia="方正小标宋简体"/>
          <w:color w:val="000000"/>
          <w:sz w:val="70"/>
          <w:szCs w:val="70"/>
        </w:rPr>
        <w:t>2020年度</w:t>
      </w:r>
      <w:bookmarkEnd w:id="1"/>
      <w:bookmarkEnd w:id="2"/>
      <w:bookmarkEnd w:id="3"/>
      <w:bookmarkEnd w:id="4"/>
      <w:bookmarkEnd w:id="5"/>
      <w:bookmarkEnd w:id="6"/>
      <w:bookmarkEnd w:id="7"/>
      <w:bookmarkEnd w:id="8"/>
      <w:bookmarkEnd w:id="9"/>
      <w:bookmarkEnd w:id="10"/>
      <w:bookmarkEnd w:id="11"/>
      <w:bookmarkStart w:id="13" w:name="_Toc15377426"/>
      <w:bookmarkStart w:id="14" w:name="_Toc15377194"/>
      <w:bookmarkStart w:id="15" w:name="_Toc15396476"/>
      <w:bookmarkStart w:id="16" w:name="_Toc15378442"/>
      <w:bookmarkStart w:id="17" w:name="_Toc15396598"/>
    </w:p>
    <w:p>
      <w:pPr>
        <w:adjustRightInd w:val="0"/>
        <w:snapToGrid w:val="0"/>
        <w:spacing w:line="1200" w:lineRule="exact"/>
        <w:jc w:val="center"/>
        <w:outlineLvl w:val="0"/>
        <w:rPr>
          <w:rFonts w:ascii="方正小标宋简体" w:hAnsi="宋体" w:eastAsia="方正小标宋简体"/>
          <w:color w:val="000000"/>
          <w:sz w:val="72"/>
          <w:szCs w:val="72"/>
        </w:rPr>
      </w:pPr>
      <w:bookmarkStart w:id="18" w:name="_Toc119075947"/>
      <w:bookmarkStart w:id="19" w:name="_Toc28797"/>
      <w:bookmarkStart w:id="20" w:name="_Toc22722"/>
      <w:bookmarkStart w:id="21" w:name="_Toc3843"/>
      <w:bookmarkStart w:id="22" w:name="_Toc5505"/>
      <w:bookmarkStart w:id="23" w:name="_Toc119075523"/>
      <w:r>
        <w:rPr>
          <w:rFonts w:hint="eastAsia" w:ascii="方正小标宋简体" w:hAnsi="宋体" w:eastAsia="方正小标宋简体"/>
          <w:color w:val="000000"/>
          <w:sz w:val="70"/>
          <w:szCs w:val="70"/>
        </w:rPr>
        <w:t>四川省</w:t>
      </w:r>
      <w:bookmarkEnd w:id="0"/>
      <w:bookmarkStart w:id="24" w:name="_Toc15306268"/>
      <w:r>
        <w:rPr>
          <w:rFonts w:hint="eastAsia" w:ascii="方正小标宋简体" w:hAnsi="宋体" w:eastAsia="方正小标宋简体"/>
          <w:color w:val="000000"/>
          <w:sz w:val="70"/>
          <w:szCs w:val="70"/>
        </w:rPr>
        <w:t>财政厅收费票据监管中心</w:t>
      </w:r>
      <w:r>
        <w:rPr>
          <w:rFonts w:hint="eastAsia" w:ascii="方正小标宋简体" w:hAnsi="宋体" w:eastAsia="方正小标宋简体"/>
          <w:color w:val="000000"/>
          <w:sz w:val="72"/>
          <w:szCs w:val="72"/>
        </w:rPr>
        <w:t>单位决算</w:t>
      </w:r>
      <w:bookmarkEnd w:id="12"/>
      <w:bookmarkEnd w:id="13"/>
      <w:bookmarkEnd w:id="14"/>
      <w:bookmarkEnd w:id="15"/>
      <w:bookmarkEnd w:id="16"/>
      <w:bookmarkEnd w:id="17"/>
      <w:bookmarkEnd w:id="18"/>
      <w:bookmarkEnd w:id="19"/>
      <w:bookmarkEnd w:id="20"/>
      <w:bookmarkEnd w:id="21"/>
      <w:bookmarkEnd w:id="22"/>
      <w:bookmarkEnd w:id="23"/>
      <w:bookmarkEnd w:id="24"/>
    </w:p>
    <w:p>
      <w:r>
        <w:br w:type="page"/>
      </w:r>
    </w:p>
    <w:p>
      <w:pPr>
        <w:widowControl/>
        <w:spacing w:line="1200" w:lineRule="exact"/>
        <w:rPr>
          <w:rFonts w:ascii="黑体" w:hAnsi="黑体" w:eastAsia="黑体"/>
          <w:color w:val="000000" w:themeColor="text1"/>
          <w:sz w:val="48"/>
          <w:szCs w:val="48"/>
          <w14:textFill>
            <w14:solidFill>
              <w14:schemeClr w14:val="tx1"/>
            </w14:solidFill>
          </w14:textFill>
        </w:rPr>
        <w:sectPr>
          <w:headerReference r:id="rId3" w:type="default"/>
          <w:pgSz w:w="11906" w:h="16838"/>
          <w:pgMar w:top="2098" w:right="1531" w:bottom="1984" w:left="1531" w:header="851" w:footer="992" w:gutter="0"/>
          <w:pgNumType w:start="1"/>
          <w:cols w:space="425" w:num="1"/>
          <w:titlePg/>
          <w:docGrid w:type="lines" w:linePitch="312" w:charSpace="0"/>
        </w:sectPr>
      </w:pPr>
    </w:p>
    <w:p>
      <w:pPr>
        <w:widowControl/>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目录</w:t>
      </w:r>
    </w:p>
    <w:p>
      <w:pPr>
        <w:pStyle w:val="11"/>
        <w:rPr>
          <w:rFonts w:cstheme="minorBidi"/>
          <w:b w:val="0"/>
          <w:sz w:val="21"/>
          <w:szCs w:val="22"/>
        </w:rPr>
      </w:pPr>
      <w:bookmarkStart w:id="25" w:name="_Toc15396599"/>
      <w:bookmarkStart w:id="26" w:name="_Toc15377196"/>
      <w:r>
        <w:rPr>
          <w:rFonts w:cs="仿宋"/>
          <w:color w:val="000000" w:themeColor="text1"/>
          <w14:textFill>
            <w14:solidFill>
              <w14:schemeClr w14:val="tx1"/>
            </w14:solidFill>
          </w14:textFill>
        </w:rPr>
        <w:fldChar w:fldCharType="begin"/>
      </w:r>
      <w:r>
        <w:rPr>
          <w:rFonts w:cs="仿宋"/>
          <w:color w:val="000000" w:themeColor="text1"/>
          <w14:textFill>
            <w14:solidFill>
              <w14:schemeClr w14:val="tx1"/>
            </w14:solidFill>
          </w14:textFill>
        </w:rPr>
        <w:instrText xml:space="preserve"> TOC \o "1-2" \h \z \u </w:instrText>
      </w:r>
      <w:r>
        <w:rPr>
          <w:rFonts w:cs="仿宋"/>
          <w:color w:val="000000" w:themeColor="text1"/>
          <w14:textFill>
            <w14:solidFill>
              <w14:schemeClr w14:val="tx1"/>
            </w14:solidFill>
          </w14:textFill>
        </w:rPr>
        <w:fldChar w:fldCharType="separate"/>
      </w:r>
    </w:p>
    <w:p>
      <w:pPr>
        <w:pStyle w:val="11"/>
        <w:rPr>
          <w:rFonts w:cstheme="minorBidi"/>
          <w:b w:val="0"/>
          <w:sz w:val="21"/>
          <w:szCs w:val="22"/>
        </w:rPr>
      </w:pPr>
      <w:r>
        <w:fldChar w:fldCharType="begin"/>
      </w:r>
      <w:r>
        <w:instrText xml:space="preserve"> HYPERLINK \l "_Toc119075948" </w:instrText>
      </w:r>
      <w:r>
        <w:fldChar w:fldCharType="separate"/>
      </w:r>
      <w:r>
        <w:rPr>
          <w:rStyle w:val="17"/>
        </w:rPr>
        <w:t>第一部分</w:t>
      </w:r>
      <w:r>
        <w:rPr>
          <w:rStyle w:val="17"/>
          <w:u w:val="none"/>
        </w:rPr>
        <w:t xml:space="preserve"> 单位概</w:t>
      </w:r>
      <w:r>
        <w:rPr>
          <w:rStyle w:val="17"/>
        </w:rPr>
        <w:t>况</w:t>
      </w:r>
      <w:r>
        <w:tab/>
      </w:r>
      <w:r>
        <w:fldChar w:fldCharType="begin"/>
      </w:r>
      <w:r>
        <w:instrText xml:space="preserve"> PAGEREF _Toc119075948 \h </w:instrText>
      </w:r>
      <w:r>
        <w:fldChar w:fldCharType="separate"/>
      </w:r>
      <w:r>
        <w:t>5</w:t>
      </w:r>
      <w:r>
        <w:fldChar w:fldCharType="end"/>
      </w:r>
      <w:r>
        <w:fldChar w:fldCharType="end"/>
      </w:r>
    </w:p>
    <w:p>
      <w:pPr>
        <w:pStyle w:val="12"/>
        <w:ind w:firstLine="560"/>
        <w:rPr>
          <w:rFonts w:ascii="仿宋" w:hAnsi="仿宋" w:eastAsia="仿宋" w:cstheme="minorBidi"/>
          <w:sz w:val="21"/>
          <w:szCs w:val="22"/>
        </w:rPr>
      </w:pPr>
      <w:r>
        <w:fldChar w:fldCharType="begin"/>
      </w:r>
      <w:r>
        <w:instrText xml:space="preserve"> HYPERLINK \l "_Toc119075949" </w:instrText>
      </w:r>
      <w:r>
        <w:fldChar w:fldCharType="separate"/>
      </w:r>
      <w:r>
        <w:rPr>
          <w:rStyle w:val="17"/>
          <w:rFonts w:ascii="仿宋" w:hAnsi="仿宋" w:eastAsia="仿宋"/>
        </w:rPr>
        <w:t>一、职能简介</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_Toc119075949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"_Toc119075950" </w:instrText>
      </w:r>
      <w:r>
        <w:fldChar w:fldCharType="separate"/>
      </w:r>
      <w:r>
        <w:rPr>
          <w:rStyle w:val="17"/>
          <w:rFonts w:ascii="仿宋" w:hAnsi="仿宋" w:eastAsia="仿宋"/>
        </w:rPr>
        <w:t>二、2020年重点工作完成情况</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_Toc119075950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"_Toc119075951" </w:instrText>
      </w:r>
      <w:r>
        <w:fldChar w:fldCharType="separate"/>
      </w:r>
      <w:r>
        <w:rPr>
          <w:rStyle w:val="17"/>
          <w:rFonts w:ascii="仿宋" w:hAnsi="仿宋" w:eastAsia="仿宋"/>
        </w:rPr>
        <w:t>三、机构设置情况</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_Toc119075951 \h </w:instrText>
      </w:r>
      <w:r>
        <w:rPr>
          <w:rFonts w:ascii="仿宋" w:hAnsi="仿宋" w:eastAsia="仿宋"/>
        </w:rPr>
        <w:fldChar w:fldCharType="separate"/>
      </w:r>
      <w:r>
        <w:rPr>
          <w:rFonts w:ascii="仿宋" w:hAnsi="仿宋" w:eastAsia="仿宋"/>
        </w:rPr>
        <w:t>8</w:t>
      </w:r>
      <w:r>
        <w:rPr>
          <w:rFonts w:ascii="仿宋" w:hAnsi="仿宋" w:eastAsia="仿宋"/>
        </w:rPr>
        <w:fldChar w:fldCharType="end"/>
      </w:r>
      <w:r>
        <w:rPr>
          <w:rFonts w:ascii="仿宋" w:hAnsi="仿宋" w:eastAsia="仿宋"/>
        </w:rPr>
        <w:fldChar w:fldCharType="end"/>
      </w:r>
    </w:p>
    <w:p>
      <w:pPr>
        <w:pStyle w:val="11"/>
        <w:rPr>
          <w:rFonts w:cstheme="minorBidi"/>
          <w:b w:val="0"/>
          <w:sz w:val="21"/>
          <w:szCs w:val="22"/>
        </w:rPr>
      </w:pPr>
      <w:r>
        <w:fldChar w:fldCharType="begin"/>
      </w:r>
      <w:r>
        <w:instrText xml:space="preserve"> HYPERLINK \l "_Toc119075952" </w:instrText>
      </w:r>
      <w:r>
        <w:fldChar w:fldCharType="separate"/>
      </w:r>
      <w:r>
        <w:rPr>
          <w:rStyle w:val="17"/>
        </w:rPr>
        <w:t>第二部分 2020年度单位决算情况说明</w:t>
      </w:r>
      <w:r>
        <w:tab/>
      </w:r>
      <w:r>
        <w:fldChar w:fldCharType="begin"/>
      </w:r>
      <w:r>
        <w:instrText xml:space="preserve"> PAGEREF _Toc119075952 \h </w:instrText>
      </w:r>
      <w:r>
        <w:fldChar w:fldCharType="separate"/>
      </w:r>
      <w:r>
        <w:t>9</w:t>
      </w:r>
      <w:r>
        <w:fldChar w:fldCharType="end"/>
      </w:r>
      <w:r>
        <w:fldChar w:fldCharType="end"/>
      </w:r>
    </w:p>
    <w:p>
      <w:pPr>
        <w:pStyle w:val="12"/>
        <w:ind w:firstLine="560"/>
        <w:rPr>
          <w:rFonts w:ascii="仿宋" w:hAnsi="仿宋" w:eastAsia="仿宋" w:cstheme="minorBidi"/>
          <w:sz w:val="21"/>
          <w:szCs w:val="22"/>
        </w:rPr>
      </w:pPr>
      <w:r>
        <w:fldChar w:fldCharType="begin"/>
      </w:r>
      <w:r>
        <w:instrText xml:space="preserve"> HYPERLINK \l "_Toc119075953" </w:instrText>
      </w:r>
      <w:r>
        <w:fldChar w:fldCharType="separate"/>
      </w:r>
      <w:r>
        <w:rPr>
          <w:rStyle w:val="17"/>
          <w:rFonts w:ascii="仿宋" w:hAnsi="仿宋" w:eastAsia="仿宋"/>
        </w:rPr>
        <w:t>一、收入支出决算总体情况说明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_Toc119075953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"_Toc119075954" </w:instrText>
      </w:r>
      <w:r>
        <w:fldChar w:fldCharType="separate"/>
      </w:r>
      <w:r>
        <w:rPr>
          <w:rStyle w:val="17"/>
          <w:rFonts w:ascii="仿宋" w:hAnsi="仿宋" w:eastAsia="仿宋"/>
        </w:rPr>
        <w:t>二、收入决算情况说明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_Toc119075954 \h </w:instrText>
      </w:r>
      <w:r>
        <w:rPr>
          <w:rFonts w:ascii="仿宋" w:hAnsi="仿宋" w:eastAsia="仿宋"/>
        </w:rPr>
        <w:fldChar w:fldCharType="separate"/>
      </w:r>
      <w:r>
        <w:rPr>
          <w:rFonts w:ascii="仿宋" w:hAnsi="仿宋" w:eastAsia="仿宋"/>
        </w:rPr>
        <w:t>9</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"_Toc119075955" </w:instrText>
      </w:r>
      <w:r>
        <w:fldChar w:fldCharType="separate"/>
      </w:r>
      <w:r>
        <w:rPr>
          <w:rStyle w:val="17"/>
          <w:rFonts w:ascii="仿宋" w:hAnsi="仿宋" w:eastAsia="仿宋"/>
        </w:rPr>
        <w:t>三、支出决算情况说明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_Toc119075955 \h </w:instrText>
      </w:r>
      <w:r>
        <w:rPr>
          <w:rFonts w:ascii="仿宋" w:hAnsi="仿宋" w:eastAsia="仿宋"/>
        </w:rPr>
        <w:fldChar w:fldCharType="separate"/>
      </w:r>
      <w:r>
        <w:rPr>
          <w:rFonts w:ascii="仿宋" w:hAnsi="仿宋" w:eastAsia="仿宋"/>
        </w:rPr>
        <w:t>10</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"_Toc119075956" </w:instrText>
      </w:r>
      <w:r>
        <w:fldChar w:fldCharType="separate"/>
      </w:r>
      <w:r>
        <w:rPr>
          <w:rStyle w:val="17"/>
          <w:rFonts w:ascii="仿宋" w:hAnsi="仿宋" w:eastAsia="仿宋"/>
        </w:rPr>
        <w:t>四、财政拨款收入支出决算总体情况说明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_Toc119075956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"_Toc119075957" </w:instrText>
      </w:r>
      <w:r>
        <w:fldChar w:fldCharType="separate"/>
      </w:r>
      <w:r>
        <w:rPr>
          <w:rStyle w:val="17"/>
          <w:rFonts w:ascii="仿宋" w:hAnsi="仿宋" w:eastAsia="仿宋"/>
        </w:rPr>
        <w:t>五、一般公共预算财政拨款支出决算情况说明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_Toc119075957 \h </w:instrText>
      </w:r>
      <w:r>
        <w:rPr>
          <w:rFonts w:ascii="仿宋" w:hAnsi="仿宋" w:eastAsia="仿宋"/>
        </w:rPr>
        <w:fldChar w:fldCharType="separate"/>
      </w:r>
      <w:r>
        <w:rPr>
          <w:rFonts w:ascii="仿宋" w:hAnsi="仿宋" w:eastAsia="仿宋"/>
        </w:rPr>
        <w:t>11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"_Toc119075958" </w:instrText>
      </w:r>
      <w:r>
        <w:fldChar w:fldCharType="separate"/>
      </w:r>
      <w:r>
        <w:rPr>
          <w:rStyle w:val="17"/>
          <w:rFonts w:ascii="仿宋" w:hAnsi="仿宋" w:eastAsia="仿宋"/>
        </w:rPr>
        <w:t>六、一般公共预算财政拨款基本支出决算情况说明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_Toc119075958 \h </w:instrText>
      </w:r>
      <w:r>
        <w:rPr>
          <w:rFonts w:ascii="仿宋" w:hAnsi="仿宋" w:eastAsia="仿宋"/>
        </w:rPr>
        <w:fldChar w:fldCharType="separate"/>
      </w:r>
      <w:r>
        <w:rPr>
          <w:rFonts w:ascii="仿宋" w:hAnsi="仿宋" w:eastAsia="仿宋"/>
        </w:rPr>
        <w:t>14</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"_Toc119075959" </w:instrText>
      </w:r>
      <w:r>
        <w:fldChar w:fldCharType="separate"/>
      </w:r>
      <w:r>
        <w:rPr>
          <w:rStyle w:val="17"/>
          <w:rFonts w:ascii="仿宋" w:hAnsi="仿宋" w:eastAsia="仿宋"/>
        </w:rPr>
        <w:t>七、“三公”经费财政拨款支出决算情况说明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_Toc119075959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"_Toc119075960" </w:instrText>
      </w:r>
      <w:r>
        <w:fldChar w:fldCharType="separate"/>
      </w:r>
      <w:r>
        <w:rPr>
          <w:rStyle w:val="17"/>
          <w:rFonts w:ascii="仿宋" w:hAnsi="仿宋" w:eastAsia="仿宋"/>
        </w:rPr>
        <w:t>八、政府性基金预算支出决算情况说明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_Toc119075960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"_Toc119075961" </w:instrText>
      </w:r>
      <w:r>
        <w:fldChar w:fldCharType="separate"/>
      </w:r>
      <w:r>
        <w:rPr>
          <w:rStyle w:val="17"/>
          <w:rFonts w:ascii="仿宋" w:hAnsi="仿宋" w:eastAsia="仿宋"/>
        </w:rPr>
        <w:t>九、国有资本经营预算支出决算情况说明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_Toc119075961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"_Toc119075962" </w:instrText>
      </w:r>
      <w:r>
        <w:fldChar w:fldCharType="separate"/>
      </w:r>
      <w:r>
        <w:rPr>
          <w:rStyle w:val="17"/>
          <w:rFonts w:ascii="仿宋" w:hAnsi="仿宋" w:eastAsia="仿宋"/>
        </w:rPr>
        <w:t>十、其他重要事项的情况说明</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_Toc119075962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1"/>
        <w:rPr>
          <w:rFonts w:cstheme="minorBidi"/>
          <w:b w:val="0"/>
          <w:sz w:val="21"/>
          <w:szCs w:val="22"/>
        </w:rPr>
      </w:pPr>
      <w:r>
        <w:fldChar w:fldCharType="begin"/>
      </w:r>
      <w:r>
        <w:instrText xml:space="preserve"> HYPERLINK \l "_Toc119075963" </w:instrText>
      </w:r>
      <w:r>
        <w:fldChar w:fldCharType="separate"/>
      </w:r>
      <w:r>
        <w:rPr>
          <w:rStyle w:val="17"/>
        </w:rPr>
        <w:t>第三部分 名词解释</w:t>
      </w:r>
      <w:r>
        <w:tab/>
      </w:r>
      <w:r>
        <w:fldChar w:fldCharType="begin"/>
      </w:r>
      <w:r>
        <w:instrText xml:space="preserve"> PAGEREF _Toc119075963 \h </w:instrText>
      </w:r>
      <w:r>
        <w:fldChar w:fldCharType="separate"/>
      </w:r>
      <w:r>
        <w:t>18</w:t>
      </w:r>
      <w:r>
        <w:fldChar w:fldCharType="end"/>
      </w:r>
      <w:r>
        <w:fldChar w:fldCharType="end"/>
      </w:r>
    </w:p>
    <w:p>
      <w:pPr>
        <w:pStyle w:val="11"/>
        <w:rPr>
          <w:rFonts w:cstheme="minorBidi"/>
          <w:b w:val="0"/>
          <w:sz w:val="21"/>
          <w:szCs w:val="22"/>
        </w:rPr>
      </w:pPr>
      <w:r>
        <w:fldChar w:fldCharType="begin"/>
      </w:r>
      <w:r>
        <w:instrText xml:space="preserve"> HYPERLINK \l "_Toc119075964" </w:instrText>
      </w:r>
      <w:r>
        <w:fldChar w:fldCharType="separate"/>
      </w:r>
      <w:r>
        <w:rPr>
          <w:rStyle w:val="17"/>
        </w:rPr>
        <w:t>第四部分  附件</w:t>
      </w:r>
      <w:r>
        <w:tab/>
      </w:r>
      <w:r>
        <w:fldChar w:fldCharType="begin"/>
      </w:r>
      <w:r>
        <w:instrText xml:space="preserve"> PAGEREF _Toc119075964 \h </w:instrText>
      </w:r>
      <w:r>
        <w:fldChar w:fldCharType="separate"/>
      </w:r>
      <w:r>
        <w:t>20</w:t>
      </w:r>
      <w:r>
        <w:fldChar w:fldCharType="end"/>
      </w:r>
      <w:r>
        <w:fldChar w:fldCharType="end"/>
      </w:r>
    </w:p>
    <w:p>
      <w:pPr>
        <w:pStyle w:val="11"/>
        <w:rPr>
          <w:rFonts w:cstheme="minorBidi"/>
          <w:b w:val="0"/>
          <w:sz w:val="21"/>
          <w:szCs w:val="22"/>
        </w:rPr>
      </w:pPr>
      <w:r>
        <w:fldChar w:fldCharType="begin"/>
      </w:r>
      <w:r>
        <w:instrText xml:space="preserve"> HYPERLINK \l "_Toc119075965" </w:instrText>
      </w:r>
      <w:r>
        <w:fldChar w:fldCharType="separate"/>
      </w:r>
      <w:r>
        <w:rPr>
          <w:rStyle w:val="17"/>
        </w:rPr>
        <w:t>第五部分 附表</w:t>
      </w:r>
      <w:r>
        <w:tab/>
      </w:r>
      <w:r>
        <w:fldChar w:fldCharType="begin"/>
      </w:r>
      <w:r>
        <w:instrText xml:space="preserve"> PAGEREF _Toc119075965 \h </w:instrText>
      </w:r>
      <w:r>
        <w:fldChar w:fldCharType="separate"/>
      </w:r>
      <w:r>
        <w:t>21</w:t>
      </w:r>
      <w:r>
        <w:fldChar w:fldCharType="end"/>
      </w:r>
      <w:r>
        <w:fldChar w:fldCharType="end"/>
      </w:r>
    </w:p>
    <w:p>
      <w:pPr>
        <w:pStyle w:val="12"/>
        <w:ind w:firstLine="560"/>
        <w:rPr>
          <w:rFonts w:ascii="仿宋" w:hAnsi="仿宋" w:eastAsia="仿宋" w:cstheme="minorBidi"/>
          <w:sz w:val="21"/>
          <w:szCs w:val="22"/>
        </w:rPr>
      </w:pPr>
      <w:r>
        <w:fldChar w:fldCharType="begin"/>
      </w:r>
      <w:r>
        <w:instrText xml:space="preserve"> HYPERLINK \l "_Toc119075966" </w:instrText>
      </w:r>
      <w:r>
        <w:fldChar w:fldCharType="separate"/>
      </w:r>
      <w:r>
        <w:rPr>
          <w:rStyle w:val="17"/>
          <w:rFonts w:ascii="仿宋" w:hAnsi="仿宋" w:eastAsia="仿宋"/>
          <w:kern w:val="0"/>
        </w:rPr>
        <w:t>一、收入支出决算总表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_Toc119075966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"_Toc119075967" </w:instrText>
      </w:r>
      <w:r>
        <w:fldChar w:fldCharType="separate"/>
      </w:r>
      <w:r>
        <w:rPr>
          <w:rStyle w:val="17"/>
          <w:rFonts w:ascii="仿宋" w:hAnsi="仿宋" w:eastAsia="仿宋"/>
          <w:kern w:val="0"/>
        </w:rPr>
        <w:t>二、收入决算表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_Toc119075967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"_Toc119075968" </w:instrText>
      </w:r>
      <w:r>
        <w:fldChar w:fldCharType="separate"/>
      </w:r>
      <w:r>
        <w:rPr>
          <w:rStyle w:val="17"/>
          <w:rFonts w:ascii="仿宋" w:hAnsi="仿宋" w:eastAsia="仿宋"/>
          <w:kern w:val="0"/>
        </w:rPr>
        <w:t>三、支出决算表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_Toc119075968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"_Toc119075969" </w:instrText>
      </w:r>
      <w:r>
        <w:fldChar w:fldCharType="separate"/>
      </w:r>
      <w:r>
        <w:rPr>
          <w:rStyle w:val="17"/>
          <w:rFonts w:ascii="仿宋" w:hAnsi="仿宋" w:eastAsia="仿宋"/>
          <w:kern w:val="0"/>
        </w:rPr>
        <w:t>四、财政拨款收入支出决算总表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_Toc119075969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"_Toc119075970" </w:instrText>
      </w:r>
      <w:r>
        <w:fldChar w:fldCharType="separate"/>
      </w:r>
      <w:r>
        <w:rPr>
          <w:rStyle w:val="17"/>
          <w:rFonts w:ascii="仿宋" w:hAnsi="仿宋" w:eastAsia="仿宋"/>
          <w:kern w:val="0"/>
        </w:rPr>
        <w:t>五、财政拨款支出决算明细表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_Toc119075970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"_Toc119075971" </w:instrText>
      </w:r>
      <w:r>
        <w:fldChar w:fldCharType="separate"/>
      </w:r>
      <w:r>
        <w:rPr>
          <w:rStyle w:val="17"/>
          <w:rFonts w:ascii="仿宋" w:hAnsi="仿宋" w:eastAsia="仿宋"/>
          <w:kern w:val="0"/>
        </w:rPr>
        <w:t>六、一般公共预算财政拨款支出决算表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_Toc119075971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"_Toc119075972" </w:instrText>
      </w:r>
      <w:r>
        <w:fldChar w:fldCharType="separate"/>
      </w:r>
      <w:r>
        <w:rPr>
          <w:rStyle w:val="17"/>
          <w:rFonts w:ascii="仿宋" w:hAnsi="仿宋" w:eastAsia="仿宋"/>
          <w:kern w:val="0"/>
        </w:rPr>
        <w:t>七、一般公共预算财政拨款支出决算明细表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_Toc119075972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"_Toc119075973" </w:instrText>
      </w:r>
      <w:r>
        <w:fldChar w:fldCharType="separate"/>
      </w:r>
      <w:r>
        <w:rPr>
          <w:rStyle w:val="17"/>
          <w:rFonts w:ascii="仿宋" w:hAnsi="仿宋" w:eastAsia="仿宋"/>
          <w:kern w:val="0"/>
        </w:rPr>
        <w:t>八、一般公共预算财政拨款基本支出决算表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_Toc119075973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"_Toc119075974" </w:instrText>
      </w:r>
      <w:r>
        <w:fldChar w:fldCharType="separate"/>
      </w:r>
      <w:r>
        <w:rPr>
          <w:rStyle w:val="17"/>
          <w:rFonts w:ascii="仿宋" w:hAnsi="仿宋" w:eastAsia="仿宋"/>
          <w:kern w:val="0"/>
        </w:rPr>
        <w:t>九、一般公共预算财政拨款项目支出决算表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_Toc119075974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"_Toc119075975" </w:instrText>
      </w:r>
      <w:r>
        <w:fldChar w:fldCharType="separate"/>
      </w:r>
      <w:r>
        <w:rPr>
          <w:rStyle w:val="17"/>
          <w:rFonts w:ascii="仿宋" w:hAnsi="仿宋" w:eastAsia="仿宋"/>
          <w:kern w:val="0"/>
        </w:rPr>
        <w:t>十、一般公共预算财政拨款“三公”经费支出决算表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_Toc119075975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"_Toc119075976" </w:instrText>
      </w:r>
      <w:r>
        <w:fldChar w:fldCharType="separate"/>
      </w:r>
      <w:r>
        <w:rPr>
          <w:rStyle w:val="17"/>
          <w:rFonts w:ascii="仿宋" w:hAnsi="仿宋" w:eastAsia="仿宋"/>
          <w:kern w:val="0"/>
        </w:rPr>
        <w:t>十一、政府性基金预算财政拨款收入支出决算表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_Toc119075976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"_Toc119075977" </w:instrText>
      </w:r>
      <w:r>
        <w:fldChar w:fldCharType="separate"/>
      </w:r>
      <w:r>
        <w:rPr>
          <w:rStyle w:val="17"/>
          <w:rFonts w:ascii="仿宋" w:hAnsi="仿宋" w:eastAsia="仿宋"/>
          <w:kern w:val="0"/>
        </w:rPr>
        <w:t>十二、政府性基金预算财政拨款“三公”经费支出决算表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_Toc119075977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"_Toc119075978" </w:instrText>
      </w:r>
      <w:r>
        <w:fldChar w:fldCharType="separate"/>
      </w:r>
      <w:r>
        <w:rPr>
          <w:rStyle w:val="17"/>
          <w:rFonts w:ascii="仿宋" w:hAnsi="仿宋" w:eastAsia="仿宋"/>
          <w:kern w:val="0"/>
        </w:rPr>
        <w:t>十三、国有资本经营预算财政拨款收入支出决算表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_Toc119075978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pStyle w:val="12"/>
        <w:ind w:firstLine="560"/>
        <w:rPr>
          <w:rFonts w:ascii="仿宋" w:hAnsi="仿宋" w:eastAsia="仿宋" w:cstheme="minorBidi"/>
          <w:sz w:val="21"/>
          <w:szCs w:val="22"/>
        </w:rPr>
      </w:pPr>
      <w:r>
        <w:fldChar w:fldCharType="begin"/>
      </w:r>
      <w:r>
        <w:instrText xml:space="preserve"> HYPERLINK \l "_Toc119075979" </w:instrText>
      </w:r>
      <w:r>
        <w:fldChar w:fldCharType="separate"/>
      </w:r>
      <w:r>
        <w:rPr>
          <w:rStyle w:val="17"/>
          <w:rFonts w:ascii="仿宋" w:hAnsi="仿宋" w:eastAsia="仿宋"/>
          <w:kern w:val="0"/>
        </w:rPr>
        <w:t>十四、国有资本经营预算财政拨款支出决算表</w:t>
      </w:r>
      <w:r>
        <w:rPr>
          <w:rFonts w:ascii="仿宋" w:hAnsi="仿宋" w:eastAsia="仿宋"/>
        </w:rPr>
        <w:tab/>
      </w:r>
      <w:r>
        <w:rPr>
          <w:rFonts w:ascii="仿宋" w:hAnsi="仿宋" w:eastAsia="仿宋"/>
        </w:rPr>
        <w:fldChar w:fldCharType="begin"/>
      </w:r>
      <w:r>
        <w:rPr>
          <w:rFonts w:ascii="仿宋" w:hAnsi="仿宋" w:eastAsia="仿宋"/>
        </w:rPr>
        <w:instrText xml:space="preserve"> PAGEREF _Toc119075979 \h </w:instrText>
      </w:r>
      <w:r>
        <w:rPr>
          <w:rFonts w:ascii="仿宋" w:hAnsi="仿宋" w:eastAsia="仿宋"/>
        </w:rPr>
        <w:fldChar w:fldCharType="separate"/>
      </w:r>
      <w:r>
        <w:rPr>
          <w:rFonts w:ascii="仿宋" w:hAnsi="仿宋" w:eastAsia="仿宋"/>
        </w:rPr>
        <w:t>21</w:t>
      </w:r>
      <w:r>
        <w:rPr>
          <w:rFonts w:ascii="仿宋" w:hAnsi="仿宋" w:eastAsia="仿宋"/>
        </w:rPr>
        <w:fldChar w:fldCharType="end"/>
      </w:r>
      <w:r>
        <w:rPr>
          <w:rFonts w:ascii="仿宋" w:hAnsi="仿宋" w:eastAsia="仿宋"/>
        </w:rPr>
        <w:fldChar w:fldCharType="end"/>
      </w:r>
    </w:p>
    <w:p>
      <w:pPr>
        <w:spacing w:line="560" w:lineRule="exact"/>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fldChar w:fldCharType="end"/>
      </w:r>
    </w:p>
    <w:p>
      <w:pPr>
        <w:spacing w:line="560" w:lineRule="exact"/>
        <w:jc w:val="center"/>
        <w:rPr>
          <w:rStyle w:val="26"/>
          <w:rFonts w:ascii="仿宋" w:hAnsi="仿宋" w:eastAsia="仿宋" w:cs="仿宋"/>
          <w:sz w:val="28"/>
          <w:szCs w:val="28"/>
        </w:rPr>
      </w:pPr>
    </w:p>
    <w:p>
      <w:pPr>
        <w:jc w:val="center"/>
        <w:rPr>
          <w:rStyle w:val="26"/>
        </w:rPr>
      </w:pPr>
      <w:bookmarkStart w:id="27" w:name="_Toc243"/>
    </w:p>
    <w:p>
      <w:pPr>
        <w:jc w:val="center"/>
        <w:rPr>
          <w:rStyle w:val="26"/>
        </w:rPr>
      </w:pPr>
    </w:p>
    <w:p>
      <w:pPr>
        <w:jc w:val="center"/>
        <w:rPr>
          <w:rStyle w:val="26"/>
        </w:rPr>
      </w:pPr>
    </w:p>
    <w:p>
      <w:pPr>
        <w:jc w:val="center"/>
        <w:rPr>
          <w:rStyle w:val="26"/>
        </w:rPr>
        <w:sectPr>
          <w:footerReference r:id="rId5" w:type="first"/>
          <w:footerReference r:id="rId4" w:type="default"/>
          <w:pgSz w:w="11906" w:h="16838"/>
          <w:pgMar w:top="2098" w:right="1531" w:bottom="1984" w:left="1531" w:header="851" w:footer="992" w:gutter="0"/>
          <w:cols w:space="425" w:num="1"/>
          <w:titlePg/>
          <w:docGrid w:type="lines" w:linePitch="312" w:charSpace="0"/>
        </w:sectPr>
      </w:pPr>
      <w:bookmarkStart w:id="28" w:name="_Toc119075948"/>
    </w:p>
    <w:p>
      <w:pPr>
        <w:jc w:val="center"/>
        <w:rPr>
          <w:rFonts w:ascii="黑体" w:eastAsia="黑体"/>
          <w:color w:val="000000"/>
          <w:sz w:val="32"/>
          <w:szCs w:val="32"/>
        </w:rPr>
      </w:pPr>
      <w:r>
        <w:rPr>
          <w:rStyle w:val="26"/>
          <w:rFonts w:hint="eastAsia"/>
        </w:rPr>
        <w:t>第一部分 单位概况</w:t>
      </w:r>
      <w:bookmarkEnd w:id="25"/>
      <w:bookmarkEnd w:id="26"/>
      <w:bookmarkEnd w:id="27"/>
      <w:bookmarkEnd w:id="28"/>
    </w:p>
    <w:p>
      <w:pPr>
        <w:pStyle w:val="4"/>
        <w:ind w:firstLine="640"/>
      </w:pPr>
      <w:bookmarkStart w:id="29" w:name="_Toc21044"/>
      <w:bookmarkStart w:id="30" w:name="_Toc5015"/>
      <w:bookmarkStart w:id="31" w:name="_Toc119075949"/>
      <w:bookmarkStart w:id="32" w:name="_Toc15396600"/>
      <w:bookmarkStart w:id="33" w:name="_Toc15377197"/>
      <w:r>
        <w:rPr>
          <w:rFonts w:hint="eastAsia"/>
        </w:rPr>
        <w:t>一、职能简介</w:t>
      </w:r>
      <w:bookmarkEnd w:id="29"/>
      <w:bookmarkEnd w:id="30"/>
      <w:bookmarkEnd w:id="3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全省财政票据的印制、发放，承担省本级用票单位财政票据的核销、销毁及稽查。负责全省财政电子票据改革工作的具体组织实施。协同制定全省全省财政票据管理制度和政策，协同办理政府非税收入类财政票据使用管理事项。</w:t>
      </w:r>
    </w:p>
    <w:p>
      <w:pPr>
        <w:pStyle w:val="4"/>
        <w:spacing w:line="580" w:lineRule="exact"/>
        <w:ind w:firstLine="640"/>
        <w:rPr>
          <w:rFonts w:cs="黑体"/>
        </w:rPr>
      </w:pPr>
      <w:bookmarkStart w:id="34" w:name="_Toc32753"/>
      <w:bookmarkStart w:id="35" w:name="_Toc5148"/>
      <w:bookmarkStart w:id="36" w:name="_Toc119075950"/>
      <w:r>
        <w:rPr>
          <w:rStyle w:val="27"/>
          <w:rFonts w:hint="eastAsia"/>
          <w:bCs/>
        </w:rPr>
        <w:t>二、2020年重点工作完成情况</w:t>
      </w:r>
      <w:bookmarkEnd w:id="34"/>
      <w:bookmarkEnd w:id="35"/>
      <w:bookmarkEnd w:id="36"/>
      <w:r>
        <w:rPr>
          <w:rStyle w:val="27"/>
          <w:rFonts w:hint="eastAsia"/>
          <w:bCs/>
        </w:rPr>
        <w:t xml:space="preserve">  </w:t>
      </w:r>
      <w:r>
        <w:rPr>
          <w:rStyle w:val="26"/>
          <w:rFonts w:hint="eastAsia"/>
          <w:bCs/>
        </w:rPr>
        <w:t xml:space="preserve">  </w:t>
      </w:r>
      <w:r>
        <w:rPr>
          <w:rFonts w:hint="eastAsia" w:ascii="仿宋_GB2312" w:hAnsi="仿宋_GB2312" w:eastAsia="仿宋_GB2312" w:cs="仿宋_GB2312"/>
        </w:rPr>
        <w:t xml:space="preserve">       </w:t>
      </w:r>
      <w:bookmarkEnd w:id="32"/>
      <w:bookmarkEnd w:id="33"/>
    </w:p>
    <w:p>
      <w:pPr>
        <w:spacing w:line="580" w:lineRule="exact"/>
        <w:rPr>
          <w:rFonts w:ascii="仿宋_GB2312" w:hAnsi="仿宋_GB2312" w:eastAsia="仿宋_GB2312" w:cs="仿宋_GB2312"/>
          <w:color w:val="000000"/>
          <w:kern w:val="0"/>
          <w:sz w:val="32"/>
          <w:szCs w:val="32"/>
        </w:rPr>
      </w:pPr>
      <w:r>
        <w:rPr>
          <w:rFonts w:hint="eastAsia"/>
        </w:rPr>
        <w:t xml:space="preserve">      </w:t>
      </w:r>
      <w:r>
        <w:rPr>
          <w:rFonts w:hint="eastAsia" w:ascii="仿宋_GB2312" w:hAnsi="仿宋_GB2312" w:eastAsia="仿宋_GB2312" w:cs="仿宋_GB2312"/>
          <w:sz w:val="32"/>
          <w:szCs w:val="32"/>
        </w:rPr>
        <w:t>（一）财政电子票据改革稳中有进。制定年度改革实施方案，细化推进目标任务、工作措施和相关要求。</w:t>
      </w:r>
      <w:r>
        <w:rPr>
          <w:rFonts w:hint="eastAsia" w:ascii="仿宋_GB2312" w:hAnsi="仿宋_GB2312" w:eastAsia="仿宋_GB2312" w:cs="仿宋_GB2312"/>
          <w:b/>
          <w:bCs/>
          <w:sz w:val="32"/>
          <w:szCs w:val="32"/>
        </w:rPr>
        <w:t>一是构建一体化实施“财政电子票据+非税收入收缴电子化”管理系统新模式。</w:t>
      </w:r>
      <w:r>
        <w:rPr>
          <w:rFonts w:hint="eastAsia" w:ascii="仿宋_GB2312" w:hAnsi="仿宋_GB2312" w:eastAsia="仿宋_GB2312" w:cs="仿宋_GB2312"/>
          <w:sz w:val="32"/>
          <w:szCs w:val="32"/>
        </w:rPr>
        <w:t>立足全省财政电子票据改革现状，会同有关处室将财政票据和非税收入收缴管理系统整合一体、统筹推进，有效压减系统实施费用，打造财政电子票据改革升级版。</w:t>
      </w:r>
      <w:r>
        <w:rPr>
          <w:rFonts w:hint="eastAsia" w:ascii="仿宋_GB2312" w:hAnsi="仿宋_GB2312" w:eastAsia="仿宋_GB2312" w:cs="仿宋_GB2312"/>
          <w:color w:val="000000"/>
          <w:sz w:val="32"/>
          <w:szCs w:val="32"/>
        </w:rPr>
        <w:t>截至2020年底，统筹推动系统新增上线单位7383个，累计上线2.4万个，覆盖面达56.5%。</w:t>
      </w:r>
      <w:r>
        <w:rPr>
          <w:rFonts w:hint="eastAsia" w:ascii="仿宋_GB2312" w:hAnsi="仿宋_GB2312" w:eastAsia="仿宋_GB2312" w:cs="仿宋_GB2312"/>
          <w:b/>
          <w:bCs/>
          <w:color w:val="000000" w:themeColor="text1"/>
          <w:sz w:val="32"/>
          <w:szCs w:val="32"/>
          <w14:textFill>
            <w14:solidFill>
              <w14:schemeClr w14:val="tx1"/>
            </w14:solidFill>
          </w14:textFill>
        </w:rPr>
        <w:t>二是举办全省财政电子票据改革培训班</w:t>
      </w:r>
      <w:r>
        <w:rPr>
          <w:rFonts w:hint="eastAsia" w:ascii="仿宋_GB2312" w:hAnsi="仿宋_GB2312" w:eastAsia="仿宋_GB2312" w:cs="仿宋_GB2312"/>
          <w:color w:val="000000" w:themeColor="text1"/>
          <w:sz w:val="32"/>
          <w:szCs w:val="32"/>
          <w14:textFill>
            <w14:solidFill>
              <w14:schemeClr w14:val="tx1"/>
            </w14:solidFill>
          </w14:textFill>
        </w:rPr>
        <w:t>。围绕传达全国财政电子票据改革培训班精神，</w:t>
      </w:r>
      <w:r>
        <w:rPr>
          <w:rFonts w:hint="eastAsia" w:ascii="仿宋_GB2312" w:hAnsi="仿宋_GB2312" w:eastAsia="仿宋_GB2312" w:cs="仿宋_GB2312"/>
          <w:sz w:val="32"/>
          <w:szCs w:val="32"/>
        </w:rPr>
        <w:t>总结推广</w:t>
      </w:r>
      <w:r>
        <w:rPr>
          <w:rFonts w:hint="eastAsia" w:ascii="仿宋_GB2312" w:hAnsi="仿宋_GB2312" w:eastAsia="仿宋_GB2312" w:cs="仿宋_GB2312"/>
          <w:color w:val="000000"/>
          <w:kern w:val="0"/>
          <w:sz w:val="32"/>
          <w:szCs w:val="32"/>
        </w:rPr>
        <w:t>以县为单位集中实施系统服务和</w:t>
      </w:r>
      <w:r>
        <w:rPr>
          <w:rFonts w:hint="eastAsia" w:ascii="仿宋_GB2312" w:hAnsi="仿宋_GB2312" w:eastAsia="仿宋_GB2312" w:cs="仿宋_GB2312"/>
          <w:color w:val="000000" w:themeColor="text1"/>
          <w:sz w:val="32"/>
          <w:szCs w:val="32"/>
          <w14:textFill>
            <w14:solidFill>
              <w14:schemeClr w14:val="tx1"/>
            </w14:solidFill>
          </w14:textFill>
        </w:rPr>
        <w:t>在线开票单位自助上线的经验做法，</w:t>
      </w:r>
      <w:r>
        <w:rPr>
          <w:rFonts w:hint="eastAsia" w:ascii="仿宋_GB2312" w:hAnsi="仿宋_GB2312" w:eastAsia="仿宋_GB2312" w:cs="仿宋_GB2312"/>
          <w:sz w:val="32"/>
          <w:szCs w:val="32"/>
        </w:rPr>
        <w:t>学习相关政策制度和系统操作规范，进一步明确了改革目标任务和方法路径，培训人员共计4248名。</w:t>
      </w:r>
      <w:r>
        <w:rPr>
          <w:rFonts w:hint="eastAsia" w:ascii="仿宋_GB2312" w:hAnsi="仿宋_GB2312" w:eastAsia="仿宋_GB2312" w:cs="仿宋_GB2312"/>
          <w:b/>
          <w:bCs/>
          <w:sz w:val="32"/>
          <w:szCs w:val="32"/>
        </w:rPr>
        <w:t>三是开展</w:t>
      </w:r>
      <w:r>
        <w:rPr>
          <w:rFonts w:hint="eastAsia" w:ascii="仿宋_GB2312" w:hAnsi="仿宋_GB2312" w:eastAsia="仿宋_GB2312" w:cs="仿宋_GB2312"/>
          <w:b/>
          <w:bCs/>
          <w:color w:val="222222"/>
          <w:sz w:val="32"/>
          <w:szCs w:val="32"/>
        </w:rPr>
        <w:t>财政电子票据监管专题调研。</w:t>
      </w:r>
      <w:r>
        <w:rPr>
          <w:rFonts w:hint="eastAsia" w:ascii="仿宋_GB2312" w:hAnsi="仿宋_GB2312" w:eastAsia="仿宋_GB2312" w:cs="仿宋_GB2312"/>
          <w:color w:val="000000"/>
          <w:kern w:val="0"/>
          <w:sz w:val="32"/>
          <w:szCs w:val="32"/>
        </w:rPr>
        <w:t>采取约访座谈、问卷调查、实地调研相结合的方式，了解财政电子票据改革部署落实情况，梳理成效做法、问诊突出问题、探究对策措施，</w:t>
      </w:r>
      <w:r>
        <w:rPr>
          <w:rFonts w:hint="eastAsia" w:ascii="仿宋_GB2312" w:hAnsi="仿宋_GB2312" w:eastAsia="仿宋_GB2312" w:cs="仿宋_GB2312"/>
          <w:sz w:val="32"/>
          <w:szCs w:val="32"/>
        </w:rPr>
        <w:t>调研报告得到厅领导充分肯定，并在《四川财政与会计》杂志公开发表、被中国财经报等多家官方媒体转载。</w:t>
      </w:r>
      <w:r>
        <w:rPr>
          <w:rFonts w:hint="eastAsia" w:ascii="仿宋_GB2312" w:hAnsi="仿宋_GB2312" w:eastAsia="仿宋_GB2312" w:cs="仿宋_GB2312"/>
          <w:color w:val="000000"/>
          <w:kern w:val="0"/>
          <w:sz w:val="32"/>
          <w:szCs w:val="32"/>
        </w:rPr>
        <w:t>7月下旬，财政部专题调研组</w:t>
      </w:r>
      <w:r>
        <w:rPr>
          <w:rFonts w:hint="eastAsia" w:ascii="仿宋_GB2312" w:hAnsi="仿宋_GB2312" w:eastAsia="仿宋_GB2312" w:cs="仿宋_GB2312"/>
          <w:sz w:val="32"/>
          <w:szCs w:val="32"/>
        </w:rPr>
        <w:t>对我省的</w:t>
      </w:r>
      <w:r>
        <w:rPr>
          <w:rFonts w:hint="eastAsia" w:ascii="仿宋_GB2312" w:hAnsi="仿宋_GB2312" w:eastAsia="仿宋_GB2312" w:cs="仿宋_GB2312"/>
          <w:color w:val="000000"/>
          <w:kern w:val="0"/>
          <w:sz w:val="32"/>
          <w:szCs w:val="32"/>
        </w:rPr>
        <w:t>改革工作给予充分肯定，安排我省在8月全国培训班上作发言交流，改革经验为全国提供了参考，海南省财政厅专程来川学习借鉴。</w:t>
      </w:r>
    </w:p>
    <w:p>
      <w:pPr>
        <w:spacing w:line="580" w:lineRule="exact"/>
        <w:ind w:firstLine="640" w:firstLineChars="200"/>
        <w:rPr>
          <w:rFonts w:ascii="仿宋_GB2312" w:hAnsi="仿宋_GB2312" w:eastAsia="仿宋_GB2312" w:cs="仿宋_GB2312"/>
          <w:sz w:val="32"/>
          <w:szCs w:val="32"/>
        </w:rPr>
      </w:pPr>
      <w:r>
        <w:rPr>
          <w:rFonts w:hint="eastAsia" w:ascii="楷体_GB2312" w:hAnsi="仿宋" w:eastAsia="楷体_GB2312" w:cs="仿宋_GB2312"/>
          <w:bCs/>
          <w:sz w:val="32"/>
          <w:szCs w:val="32"/>
        </w:rPr>
        <w:t>（二）财政票据保障及时有力。</w:t>
      </w:r>
      <w:r>
        <w:rPr>
          <w:rFonts w:hint="eastAsia" w:ascii="仿宋_GB2312" w:hAnsi="仿宋" w:eastAsia="仿宋_GB2312" w:cs="仿宋_GB2312"/>
          <w:sz w:val="32"/>
          <w:szCs w:val="32"/>
        </w:rPr>
        <w:t>认</w:t>
      </w:r>
      <w:r>
        <w:rPr>
          <w:rFonts w:hint="eastAsia" w:ascii="仿宋_GB2312" w:hAnsi="仿宋_GB2312" w:eastAsia="仿宋_GB2312" w:cs="仿宋_GB2312"/>
          <w:sz w:val="32"/>
          <w:szCs w:val="32"/>
        </w:rPr>
        <w:t>真落实《财政票据管理办法》等财政票据规章制度，全面规范财政票据计划、印制与</w:t>
      </w:r>
      <w:r>
        <w:rPr>
          <w:rFonts w:hint="eastAsia" w:ascii="仿宋_GB2312" w:hAnsi="仿宋" w:eastAsia="仿宋_GB2312" w:cs="仿宋_GB2312"/>
          <w:sz w:val="32"/>
          <w:szCs w:val="32"/>
        </w:rPr>
        <w:t>发放管理。一</w:t>
      </w:r>
      <w:r>
        <w:rPr>
          <w:rFonts w:hint="eastAsia" w:ascii="仿宋_GB2312" w:eastAsia="仿宋_GB2312"/>
          <w:b/>
          <w:bCs/>
          <w:color w:val="000000"/>
          <w:sz w:val="32"/>
        </w:rPr>
        <w:t>是</w:t>
      </w:r>
      <w:r>
        <w:rPr>
          <w:rFonts w:hint="eastAsia" w:ascii="仿宋_GB2312" w:hAnsi="仿宋_GB2312" w:eastAsia="仿宋_GB2312" w:cs="仿宋_GB2312"/>
          <w:b/>
          <w:bCs/>
          <w:sz w:val="32"/>
          <w:szCs w:val="32"/>
        </w:rPr>
        <w:t>建立运行“财政部门+系统运维公司/票据印制企业+用票单位”协同机制。</w:t>
      </w:r>
      <w:r>
        <w:rPr>
          <w:rFonts w:hint="eastAsia" w:ascii="仿宋_GB2312" w:hAnsi="仿宋" w:eastAsia="仿宋_GB2312" w:cs="仿宋_GB2312"/>
          <w:sz w:val="32"/>
          <w:szCs w:val="32"/>
        </w:rPr>
        <w:t>认真贯彻新冠肺炎疫情防控要求，春节期间开通财政票据</w:t>
      </w:r>
      <w:r>
        <w:rPr>
          <w:rFonts w:hint="eastAsia" w:ascii="仿宋_GB2312" w:hAnsi="仿宋_GB2312" w:eastAsia="仿宋_GB2312" w:cs="仿宋_GB2312"/>
          <w:sz w:val="32"/>
          <w:szCs w:val="32"/>
        </w:rPr>
        <w:t>应急服务“绿色通道”，按照急事急办、特事特办、按程序快办的原则，发放捐赠电子票据50万份，其中省级250份</w:t>
      </w:r>
      <w:r>
        <w:rPr>
          <w:rFonts w:hint="eastAsia" w:ascii="仿宋_GB2312" w:hAnsi="宋体" w:eastAsia="仿宋_GB2312" w:cs="仿宋_GB2312"/>
          <w:sz w:val="32"/>
          <w:szCs w:val="32"/>
        </w:rPr>
        <w:t>，</w:t>
      </w:r>
      <w:r>
        <w:rPr>
          <w:rFonts w:hint="eastAsia" w:ascii="仿宋_GB2312" w:hAnsi="仿宋" w:eastAsia="仿宋_GB2312" w:cs="仿宋_GB2312"/>
          <w:sz w:val="32"/>
          <w:szCs w:val="32"/>
        </w:rPr>
        <w:t>切实降低因领票聚集而导致疫情传播风险</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保障了全省财政票据的应急需求。二</w:t>
      </w:r>
      <w:r>
        <w:rPr>
          <w:rFonts w:hint="eastAsia" w:ascii="仿宋_GB2312" w:hAnsi="仿宋" w:eastAsia="仿宋_GB2312" w:cs="仿宋_GB2312"/>
          <w:b/>
          <w:bCs/>
          <w:sz w:val="32"/>
          <w:szCs w:val="32"/>
        </w:rPr>
        <w:t>是严格用票计划控制与执行。</w:t>
      </w:r>
      <w:r>
        <w:rPr>
          <w:rFonts w:hint="eastAsia" w:ascii="仿宋_GB2312" w:hAnsi="仿宋_GB2312" w:eastAsia="仿宋_GB2312"/>
          <w:color w:val="000000"/>
          <w:sz w:val="32"/>
        </w:rPr>
        <w:t>结合财政电子票据</w:t>
      </w:r>
      <w:r>
        <w:rPr>
          <w:rFonts w:ascii="仿宋_GB2312" w:hAnsi="仿宋_GB2312" w:eastAsia="仿宋_GB2312"/>
          <w:color w:val="000000"/>
          <w:sz w:val="32"/>
        </w:rPr>
        <w:t>改革</w:t>
      </w:r>
      <w:r>
        <w:rPr>
          <w:rFonts w:hint="eastAsia" w:ascii="仿宋_GB2312" w:hAnsi="仿宋_GB2312" w:eastAsia="仿宋_GB2312"/>
          <w:color w:val="000000"/>
          <w:sz w:val="32"/>
        </w:rPr>
        <w:t>情况</w:t>
      </w:r>
      <w:r>
        <w:rPr>
          <w:rFonts w:ascii="仿宋_GB2312" w:hAnsi="仿宋_GB2312" w:eastAsia="仿宋_GB2312"/>
          <w:color w:val="000000"/>
          <w:sz w:val="32"/>
        </w:rPr>
        <w:t>，</w:t>
      </w:r>
      <w:r>
        <w:rPr>
          <w:rFonts w:hint="eastAsia" w:ascii="仿宋_GB2312" w:hAnsi="仿宋" w:eastAsia="仿宋_GB2312" w:cs="仿宋_GB2312"/>
          <w:sz w:val="32"/>
          <w:szCs w:val="32"/>
        </w:rPr>
        <w:t>全年共下达准印通知单135份，印制财政票据9.54万箱，发放财政纸质</w:t>
      </w:r>
      <w:r>
        <w:rPr>
          <w:rFonts w:hint="eastAsia" w:ascii="仿宋_GB2312" w:hAnsi="仿宋_GB2312" w:eastAsia="仿宋_GB2312" w:cs="仿宋_GB2312"/>
          <w:sz w:val="32"/>
          <w:szCs w:val="32"/>
        </w:rPr>
        <w:t>票据11.28万箱（其中：省本级0.96万箱，市州10.32万箱）、电子票据1.42亿份，压减印制工本费年度预算43%、金额345万元。三是规范票据库存管理。坚持每月盘库制度，全年财政票据入库12.51万箱，其中2019年度结转入库5.41万箱、2020年入库7.1万箱，结转下年度3.67万箱，实现了财政票据账账相符、账实相符。</w:t>
      </w:r>
    </w:p>
    <w:p>
      <w:pPr>
        <w:pStyle w:val="13"/>
        <w:spacing w:after="0" w:line="58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（三）省级财政票据监督检查创新有为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一是建立省级财政票据“自查自纠+随机抽查+事后公开”监督检查新机制。</w:t>
      </w:r>
      <w:r>
        <w:rPr>
          <w:rFonts w:hint="eastAsia" w:ascii="仿宋_GB2312" w:hAnsi="仿宋_GB2312" w:eastAsia="仿宋_GB2312" w:cs="仿宋_GB2312"/>
          <w:sz w:val="32"/>
          <w:szCs w:val="32"/>
        </w:rPr>
        <w:t>深入贯彻党中央持续解决形式主义突出问题为基层减负的部署要求，优化监督检查方式，印发《四川省财政厅关于进一步加强省级财政票据监督检查工作的通知》（川财综〔2020〕9号），明确监督检查范围、内容、方式及流程。省级全年完成自查自纠单位57个、整改问题46个，随机抽查单位12个、整改问题50个，进一步提升了检查工作实效。</w:t>
      </w:r>
      <w:r>
        <w:rPr>
          <w:rFonts w:hint="eastAsia" w:ascii="仿宋_GB2312" w:hAnsi="仿宋_GB2312" w:eastAsia="仿宋_GB2312" w:cs="仿宋_GB2312"/>
          <w:b/>
          <w:bCs/>
          <w:sz w:val="32"/>
          <w:szCs w:val="32"/>
        </w:rPr>
        <w:t>二是规范办理票据核销和监督销毁业务。</w:t>
      </w:r>
      <w:r>
        <w:rPr>
          <w:rFonts w:hint="eastAsia" w:ascii="仿宋_GB2312" w:hAnsi="仿宋_GB2312" w:eastAsia="仿宋_GB2312" w:cs="仿宋_GB2312"/>
          <w:sz w:val="32"/>
          <w:szCs w:val="32"/>
        </w:rPr>
        <w:t>按照现行财政票据管理实施办法，核销省级财政票据1.01亿份，监督销毁票据存根单位7个，有效加强了省级财政票据使用末端环节管理。三是动态加强内部控制。适应财政电子票据改革新要求，紧盯核心业务流程和管理实际，制定财政票据监管业务运行规程、单位档案管理实施办法，修订单位工作运行规则和内部控制操作规程，实现对单位职责任务、岗位设置和</w:t>
      </w:r>
      <w:r>
        <w:rPr>
          <w:rFonts w:hint="eastAsia" w:ascii="仿宋_GB2312" w:eastAsia="仿宋_GB2312" w:cs="仿宋_GB2312"/>
          <w:sz w:val="32"/>
          <w:szCs w:val="32"/>
        </w:rPr>
        <w:t>政务流程的再造提升。定期开展风险隐患排查，整改内控执行问题3个。</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（四）干部队伍建设全面加强。</w:t>
      </w:r>
      <w:r>
        <w:rPr>
          <w:rFonts w:hint="eastAsia" w:ascii="仿宋_GB2312" w:hAnsi="仿宋_GB2312" w:eastAsia="仿宋_GB2312" w:cs="仿宋_GB2312"/>
          <w:sz w:val="32"/>
          <w:szCs w:val="32"/>
        </w:rPr>
        <w:t>认真贯彻党员干部忠诚干净担当要求，全面加强政治思想、制度作风和能力素质建设。</w:t>
      </w:r>
      <w:r>
        <w:rPr>
          <w:rFonts w:hint="eastAsia" w:ascii="仿宋_GB2312" w:hAnsi="仿宋_GB2312" w:eastAsia="仿宋_GB2312" w:cs="仿宋_GB2312"/>
          <w:b/>
          <w:bCs/>
          <w:sz w:val="32"/>
          <w:szCs w:val="32"/>
        </w:rPr>
        <w:t>一是</w:t>
      </w:r>
      <w:r>
        <w:rPr>
          <w:rFonts w:hint="eastAsia" w:ascii="仿宋_GB2312" w:eastAsia="仿宋_GB2312" w:cs="仿宋_GB2312"/>
          <w:b/>
          <w:bCs/>
          <w:sz w:val="32"/>
          <w:szCs w:val="32"/>
        </w:rPr>
        <w:t>持续加强思想政治教育。</w:t>
      </w:r>
      <w:r>
        <w:rPr>
          <w:rFonts w:hint="eastAsia" w:ascii="仿宋_GB2312" w:eastAsia="仿宋_GB2312" w:cs="仿宋_GB2312"/>
          <w:sz w:val="32"/>
          <w:szCs w:val="32"/>
        </w:rPr>
        <w:t>充分发挥党小组职能作用，不断强化单位政治属性。全年</w:t>
      </w:r>
      <w:r>
        <w:rPr>
          <w:rFonts w:hint="eastAsia" w:ascii="仿宋_GB2312" w:hAnsi="仿宋_GB2312" w:eastAsia="仿宋_GB2312" w:cs="仿宋_GB2312"/>
          <w:sz w:val="32"/>
          <w:szCs w:val="32"/>
        </w:rPr>
        <w:t>共计召开党小组学习会15次，开展</w:t>
      </w:r>
      <w:r>
        <w:rPr>
          <w:rFonts w:hint="eastAsia" w:ascii="仿宋_GB2312" w:eastAsia="仿宋_GB2312" w:cs="仿宋_GB2312"/>
          <w:sz w:val="32"/>
          <w:szCs w:val="32"/>
        </w:rPr>
        <w:t>思想理论教育15次、法纪教育7次、</w:t>
      </w:r>
      <w:r>
        <w:rPr>
          <w:rFonts w:hint="eastAsia" w:ascii="仿宋_GB2312" w:hAnsi="仿宋_GB2312" w:eastAsia="仿宋_GB2312" w:cs="仿宋_GB2312"/>
          <w:sz w:val="32"/>
          <w:szCs w:val="32"/>
        </w:rPr>
        <w:t>警示廉政教育12次、</w:t>
      </w:r>
      <w:r>
        <w:rPr>
          <w:rFonts w:hint="eastAsia" w:ascii="仿宋_GB2312" w:eastAsia="仿宋_GB2312" w:cs="仿宋_GB2312"/>
          <w:sz w:val="32"/>
          <w:szCs w:val="32"/>
        </w:rPr>
        <w:t>先进典型教育4次，不断增强“四个意识”、坚定“四个自信”、做到“两个维护”。</w:t>
      </w:r>
      <w:r>
        <w:rPr>
          <w:rFonts w:hint="eastAsia" w:ascii="仿宋_GB2312" w:hAnsi="仿宋_GB2312" w:eastAsia="仿宋_GB2312" w:cs="仿宋_GB2312"/>
          <w:b/>
          <w:bCs/>
          <w:sz w:val="32"/>
          <w:szCs w:val="32"/>
        </w:rPr>
        <w:t>二是定期开展作风纪律讲评。</w:t>
      </w:r>
      <w:r>
        <w:rPr>
          <w:rFonts w:hint="eastAsia" w:ascii="仿宋_GB2312" w:hAnsi="仿宋_GB2312" w:eastAsia="仿宋_GB2312" w:cs="仿宋_GB2312"/>
          <w:sz w:val="32"/>
          <w:szCs w:val="32"/>
        </w:rPr>
        <w:t>坚持</w:t>
      </w:r>
      <w:r>
        <w:rPr>
          <w:rFonts w:hint="eastAsia" w:ascii="仿宋_GB2312" w:eastAsia="仿宋_GB2312" w:cs="仿宋_GB2312"/>
          <w:sz w:val="32"/>
          <w:szCs w:val="32"/>
        </w:rPr>
        <w:t>每周召开行政办公会，总结工作情况，讲评作风纪律，防治“慵懒散浮拖”。召开安全形势专题分析会，针对潜在的隐患制定对策措施，定期开展排查整治，不断增强安全底线思维。全面落实新冠肺炎疫情防控工作部署，建立疫情防控和政务运转日报制度，加强干部职工作风教育和跟踪管理。</w:t>
      </w:r>
      <w:r>
        <w:rPr>
          <w:rFonts w:hint="eastAsia" w:ascii="仿宋_GB2312" w:hAnsi="仿宋_GB2312" w:eastAsia="仿宋_GB2312" w:cs="仿宋_GB2312"/>
          <w:b/>
          <w:bCs/>
          <w:sz w:val="32"/>
          <w:szCs w:val="32"/>
        </w:rPr>
        <w:t>三是着眼能力弱项补短板。</w:t>
      </w:r>
      <w:r>
        <w:rPr>
          <w:rFonts w:hint="eastAsia" w:ascii="仿宋_GB2312" w:eastAsia="仿宋_GB2312" w:cs="仿宋_GB2312"/>
          <w:sz w:val="32"/>
          <w:szCs w:val="32"/>
        </w:rPr>
        <w:t>组织开展“每月一讲”活动7次，带动干部读原著、学原文、悟原理，切实加强理论武装，提高用思想理论指导实践的能力。结合整改</w:t>
      </w:r>
      <w:r>
        <w:rPr>
          <w:rFonts w:hint="eastAsia" w:ascii="仿宋_GB2312" w:hAnsi="仿宋_GB2312" w:eastAsia="仿宋_GB2312" w:cs="仿宋_GB2312"/>
          <w:sz w:val="32"/>
          <w:szCs w:val="32"/>
        </w:rPr>
        <w:t>财政监督检查</w:t>
      </w:r>
      <w:r>
        <w:rPr>
          <w:rFonts w:hint="eastAsia" w:ascii="仿宋_GB2312" w:eastAsia="仿宋_GB2312" w:cs="仿宋_GB2312"/>
          <w:sz w:val="32"/>
          <w:szCs w:val="32"/>
        </w:rPr>
        <w:t>发现的问题，</w:t>
      </w:r>
      <w:r>
        <w:rPr>
          <w:rFonts w:hint="eastAsia" w:ascii="仿宋_GB2312" w:hAnsi="仿宋_GB2312" w:eastAsia="仿宋_GB2312" w:cs="仿宋_GB2312"/>
          <w:sz w:val="32"/>
          <w:szCs w:val="32"/>
        </w:rPr>
        <w:t>组织人员加强业务管理制度学习，进一步提升工作能力，增强工作责任心，牢固树立依法依规办事的思想意识。</w:t>
      </w:r>
    </w:p>
    <w:p>
      <w:pPr>
        <w:pStyle w:val="4"/>
        <w:spacing w:line="580" w:lineRule="exact"/>
        <w:ind w:firstLine="640"/>
        <w:rPr>
          <w:rStyle w:val="27"/>
          <w:bCs w:val="0"/>
        </w:rPr>
      </w:pPr>
      <w:bookmarkStart w:id="37" w:name="_Toc119075951"/>
      <w:r>
        <w:rPr>
          <w:rStyle w:val="27"/>
          <w:rFonts w:hint="eastAsia"/>
          <w:bCs w:val="0"/>
        </w:rPr>
        <w:t>三、机构设置情况</w:t>
      </w:r>
      <w:bookmarkEnd w:id="37"/>
    </w:p>
    <w:p>
      <w:pPr>
        <w:pStyle w:val="2"/>
        <w:spacing w:beforeLines="0" w:line="580" w:lineRule="exact"/>
        <w:ind w:firstLine="640" w:firstLineChars="200"/>
        <w:rPr>
          <w:rFonts w:ascii="黑体" w:hAnsi="黑体" w:eastAsia="黑体" w:cs="黑体"/>
          <w:sz w:val="32"/>
          <w:szCs w:val="32"/>
        </w:rPr>
      </w:pPr>
      <w:r>
        <w:rPr>
          <w:rFonts w:hint="eastAsia"/>
          <w:sz w:val="32"/>
          <w:szCs w:val="32"/>
        </w:rPr>
        <w:t xml:space="preserve">本单位是隶属于四川省财政厅的二级预算单位，本单位无下属单位。   </w:t>
      </w:r>
    </w:p>
    <w:p>
      <w:pPr>
        <w:pStyle w:val="13"/>
        <w:ind w:firstLine="480"/>
      </w:pPr>
    </w:p>
    <w:p>
      <w:pPr>
        <w:spacing w:line="580" w:lineRule="exact"/>
      </w:pPr>
    </w:p>
    <w:p>
      <w:pPr>
        <w:widowControl/>
        <w:spacing w:line="580" w:lineRule="exact"/>
        <w:jc w:val="left"/>
        <w:rPr>
          <w:rFonts w:ascii="仿宋" w:hAnsi="仿宋" w:eastAsia="仿宋"/>
          <w:sz w:val="32"/>
          <w:szCs w:val="32"/>
        </w:rPr>
      </w:pPr>
      <w:r>
        <w:rPr>
          <w:rFonts w:ascii="仿宋" w:hAnsi="仿宋" w:eastAsia="仿宋"/>
          <w:sz w:val="32"/>
          <w:szCs w:val="32"/>
        </w:rPr>
        <w:br w:type="page"/>
      </w:r>
    </w:p>
    <w:p>
      <w:pPr>
        <w:pStyle w:val="3"/>
        <w:ind w:firstLine="0" w:firstLineChars="0"/>
        <w:jc w:val="center"/>
      </w:pPr>
      <w:bookmarkStart w:id="38" w:name="_Toc119075952"/>
      <w:bookmarkStart w:id="39" w:name="_Toc15377204"/>
      <w:bookmarkStart w:id="40" w:name="_Toc15425"/>
      <w:bookmarkStart w:id="41" w:name="_Toc15396602"/>
      <w:bookmarkStart w:id="42" w:name="_Toc26795"/>
      <w:r>
        <w:rPr>
          <w:rFonts w:hint="eastAsia"/>
        </w:rPr>
        <w:t>第二部分 2020年度单位决算情况说明</w:t>
      </w:r>
      <w:bookmarkEnd w:id="38"/>
      <w:bookmarkEnd w:id="39"/>
      <w:bookmarkEnd w:id="40"/>
      <w:bookmarkEnd w:id="41"/>
      <w:bookmarkEnd w:id="42"/>
    </w:p>
    <w:p/>
    <w:p>
      <w:pPr>
        <w:pStyle w:val="4"/>
        <w:ind w:firstLine="640"/>
      </w:pPr>
      <w:bookmarkStart w:id="43" w:name="_Toc15396603"/>
      <w:bookmarkStart w:id="44" w:name="_Toc15377205"/>
      <w:bookmarkStart w:id="45" w:name="_Toc30885"/>
      <w:bookmarkStart w:id="46" w:name="_Toc119075953"/>
      <w:bookmarkStart w:id="47" w:name="_Toc28118"/>
      <w:r>
        <w:rPr>
          <w:rFonts w:hint="eastAsia"/>
        </w:rPr>
        <w:t>一、收入支出决算总体情况说明</w:t>
      </w:r>
      <w:bookmarkEnd w:id="43"/>
      <w:bookmarkEnd w:id="44"/>
      <w:bookmarkEnd w:id="45"/>
      <w:bookmarkEnd w:id="46"/>
      <w:bookmarkEnd w:id="47"/>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2020年度收、支总计643.85万元。与2019年相比，收、支总计减少459.66万元，下降71.39%。主要变动原因由于财政电子票据管理改革及新冠肺炎疫情影响，财政纸质票据使用量大幅缩减，财政票据工本费减少。</w:t>
      </w:r>
    </w:p>
    <w:p>
      <w:pPr>
        <w:pStyle w:val="13"/>
        <w:ind w:firstLine="480"/>
      </w:pPr>
    </w:p>
    <w:p>
      <w:pPr>
        <w:spacing w:line="600" w:lineRule="exact"/>
        <w:ind w:firstLine="1927" w:firstLineChars="6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w:t>
      </w:r>
      <w:r>
        <w:rPr>
          <w:rFonts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：收、支决算总计变动情况图</w:t>
      </w:r>
    </w:p>
    <w:p>
      <w:pPr>
        <w:pStyle w:val="2"/>
        <w:spacing w:before="93"/>
        <w:rPr>
          <w:rFonts w:ascii="仿宋" w:hAnsi="仿宋" w:eastAsia="仿宋"/>
          <w:color w:val="000000"/>
          <w:sz w:val="32"/>
          <w:szCs w:val="32"/>
          <w:highlight w:val="yellow"/>
        </w:rPr>
      </w:pPr>
      <w:r>
        <w:rPr>
          <w:rFonts w:hint="eastAsia" w:ascii="仿宋" w:hAnsi="仿宋" w:eastAsia="仿宋"/>
          <w:color w:val="000000"/>
          <w:sz w:val="32"/>
          <w:szCs w:val="32"/>
          <w:highlight w:val="yellow"/>
        </w:rPr>
        <w:drawing>
          <wp:anchor distT="0" distB="0" distL="114300" distR="114300" simplePos="0" relativeHeight="251646976" behindDoc="1" locked="0" layoutInCell="1" allowOverlap="1">
            <wp:simplePos x="0" y="0"/>
            <wp:positionH relativeFrom="column">
              <wp:posOffset>714375</wp:posOffset>
            </wp:positionH>
            <wp:positionV relativeFrom="paragraph">
              <wp:posOffset>126365</wp:posOffset>
            </wp:positionV>
            <wp:extent cx="4145280" cy="2926715"/>
            <wp:effectExtent l="4445" t="4445" r="22225" b="2159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rPr>
          <w:rFonts w:ascii="仿宋" w:hAnsi="仿宋" w:eastAsia="仿宋"/>
          <w:color w:val="000000"/>
          <w:sz w:val="32"/>
          <w:szCs w:val="32"/>
          <w:highlight w:val="yellow"/>
        </w:rPr>
      </w:pPr>
    </w:p>
    <w:p>
      <w:pPr>
        <w:pStyle w:val="2"/>
        <w:spacing w:before="93"/>
        <w:rPr>
          <w:rFonts w:ascii="仿宋" w:hAnsi="仿宋" w:eastAsia="仿宋"/>
          <w:color w:val="000000"/>
          <w:sz w:val="32"/>
          <w:szCs w:val="32"/>
          <w:highlight w:val="yellow"/>
        </w:rPr>
      </w:pPr>
    </w:p>
    <w:p>
      <w:pPr>
        <w:pStyle w:val="2"/>
        <w:spacing w:before="93"/>
        <w:rPr>
          <w:rFonts w:ascii="仿宋" w:hAnsi="仿宋" w:eastAsia="仿宋"/>
          <w:color w:val="000000"/>
          <w:sz w:val="32"/>
          <w:szCs w:val="32"/>
          <w:highlight w:val="yellow"/>
        </w:rPr>
      </w:pPr>
    </w:p>
    <w:p>
      <w:pPr>
        <w:pStyle w:val="2"/>
        <w:spacing w:before="93"/>
        <w:rPr>
          <w:rFonts w:ascii="仿宋" w:hAnsi="仿宋" w:eastAsia="仿宋"/>
          <w:color w:val="000000"/>
          <w:sz w:val="32"/>
          <w:szCs w:val="32"/>
          <w:highlight w:val="yellow"/>
        </w:rPr>
      </w:pPr>
    </w:p>
    <w:p>
      <w:pPr>
        <w:pStyle w:val="2"/>
        <w:spacing w:before="93"/>
        <w:rPr>
          <w:rFonts w:ascii="仿宋" w:hAnsi="仿宋" w:eastAsia="仿宋"/>
          <w:color w:val="000000"/>
          <w:sz w:val="32"/>
          <w:szCs w:val="32"/>
          <w:highlight w:val="yellow"/>
        </w:rPr>
      </w:pPr>
    </w:p>
    <w:p>
      <w:pPr>
        <w:spacing w:line="600" w:lineRule="exact"/>
        <w:jc w:val="left"/>
        <w:rPr>
          <w:rFonts w:ascii="仿宋_GB2312" w:eastAsia="仿宋_GB2312"/>
          <w:color w:val="000000"/>
          <w:sz w:val="32"/>
          <w:szCs w:val="32"/>
          <w:highlight w:val="yellow"/>
        </w:rPr>
      </w:pPr>
    </w:p>
    <w:p>
      <w:pPr>
        <w:pStyle w:val="4"/>
        <w:ind w:firstLine="640"/>
      </w:pPr>
      <w:bookmarkStart w:id="48" w:name="_Toc15396604"/>
      <w:bookmarkStart w:id="49" w:name="_Toc119075954"/>
      <w:bookmarkStart w:id="50" w:name="_Toc15377206"/>
      <w:bookmarkStart w:id="51" w:name="_Toc8387"/>
      <w:bookmarkStart w:id="52" w:name="_Toc20269"/>
      <w:r>
        <w:rPr>
          <w:rFonts w:hint="eastAsia"/>
        </w:rPr>
        <w:t>二、收入决算情况说明</w:t>
      </w:r>
      <w:bookmarkEnd w:id="48"/>
      <w:bookmarkEnd w:id="49"/>
      <w:bookmarkEnd w:id="50"/>
      <w:bookmarkEnd w:id="51"/>
      <w:bookmarkEnd w:id="52"/>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本年收入合计643.85万元，其中：一般公共预算财政拨款收入643.85万元，占100%；政府性基金预算财政拨款收入0万元，占0%；上级补助收入0万元，占0%；事业收入0万元，占0%；经营收入0万元，占0%；附属单位上缴收入0万元，占0%；其他收入0万元，占0%。</w:t>
      </w:r>
    </w:p>
    <w:p>
      <w:pPr>
        <w:spacing w:line="600" w:lineRule="exact"/>
        <w:ind w:firstLine="2891" w:firstLineChars="9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图2：收入决算结构图</w:t>
      </w:r>
    </w:p>
    <w:p>
      <w:pPr>
        <w:pStyle w:val="2"/>
        <w:spacing w:before="93"/>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1072" behindDoc="1" locked="0" layoutInCell="1" allowOverlap="1">
            <wp:simplePos x="0" y="0"/>
            <wp:positionH relativeFrom="column">
              <wp:posOffset>721360</wp:posOffset>
            </wp:positionH>
            <wp:positionV relativeFrom="paragraph">
              <wp:posOffset>80010</wp:posOffset>
            </wp:positionV>
            <wp:extent cx="4497070" cy="2112010"/>
            <wp:effectExtent l="0" t="0" r="17780" b="2540"/>
            <wp:wrapThrough wrapText="bothSides">
              <wp:wrapPolygon>
                <wp:start x="0" y="0"/>
                <wp:lineTo x="0" y="21431"/>
                <wp:lineTo x="21502" y="21431"/>
                <wp:lineTo x="21502" y="0"/>
                <wp:lineTo x="0" y="0"/>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rPr>
          <w:rFonts w:ascii="仿宋" w:hAnsi="仿宋" w:eastAsia="仿宋"/>
          <w:color w:val="000000" w:themeColor="text1"/>
          <w:sz w:val="32"/>
          <w:szCs w:val="32"/>
          <w:highlight w:val="yellow"/>
          <w14:textFill>
            <w14:solidFill>
              <w14:schemeClr w14:val="tx1"/>
            </w14:solidFill>
          </w14:textFill>
        </w:rPr>
      </w:pPr>
    </w:p>
    <w:p>
      <w:pPr>
        <w:pStyle w:val="2"/>
        <w:spacing w:before="93"/>
        <w:rPr>
          <w:rFonts w:ascii="仿宋" w:hAnsi="仿宋" w:eastAsia="仿宋"/>
          <w:color w:val="000000" w:themeColor="text1"/>
          <w:sz w:val="32"/>
          <w:szCs w:val="32"/>
          <w:highlight w:val="yellow"/>
          <w14:textFill>
            <w14:solidFill>
              <w14:schemeClr w14:val="tx1"/>
            </w14:solidFill>
          </w14:textFill>
        </w:rPr>
      </w:pPr>
    </w:p>
    <w:p>
      <w:pPr>
        <w:pStyle w:val="2"/>
        <w:spacing w:before="93"/>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_GB2312" w:eastAsia="仿宋_GB2312"/>
          <w:color w:val="FF0000"/>
          <w:sz w:val="32"/>
          <w:szCs w:val="32"/>
          <w:highlight w:val="yellow"/>
        </w:rPr>
      </w:pPr>
    </w:p>
    <w:p>
      <w:pPr>
        <w:pStyle w:val="4"/>
        <w:ind w:firstLine="640"/>
      </w:pPr>
      <w:bookmarkStart w:id="53" w:name="_Toc15377207"/>
      <w:bookmarkStart w:id="54" w:name="_Toc8160"/>
      <w:bookmarkStart w:id="55" w:name="_Toc18796"/>
      <w:bookmarkStart w:id="56" w:name="_Toc15396605"/>
      <w:bookmarkStart w:id="57" w:name="_Toc119075955"/>
      <w:r>
        <w:rPr>
          <w:rFonts w:hint="eastAsia"/>
        </w:rPr>
        <w:t>三、支出决算情况说明</w:t>
      </w:r>
      <w:bookmarkEnd w:id="53"/>
      <w:bookmarkEnd w:id="54"/>
      <w:bookmarkEnd w:id="55"/>
      <w:bookmarkEnd w:id="56"/>
      <w:bookmarkEnd w:id="57"/>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2020年本年支出合计643.85万元，其中：基本支出191.76万元，占29.78%；项目支出452.09万元，占70.22%；上缴上级支出0万元，占0%；经营支出0万元，占0%；对附属单位补助支出0万元，占0%。</w:t>
      </w:r>
    </w:p>
    <w:p>
      <w:pPr>
        <w:spacing w:line="600" w:lineRule="exact"/>
        <w:ind w:firstLine="2560" w:firstLineChars="8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55168" behindDoc="1" locked="0" layoutInCell="1" allowOverlap="1">
            <wp:simplePos x="0" y="0"/>
            <wp:positionH relativeFrom="column">
              <wp:posOffset>584200</wp:posOffset>
            </wp:positionH>
            <wp:positionV relativeFrom="paragraph">
              <wp:posOffset>334010</wp:posOffset>
            </wp:positionV>
            <wp:extent cx="4561840" cy="1967865"/>
            <wp:effectExtent l="0" t="0" r="10160" b="1333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bCs/>
          <w:color w:val="000000" w:themeColor="text1"/>
          <w:sz w:val="32"/>
          <w:szCs w:val="32"/>
          <w14:textFill>
            <w14:solidFill>
              <w14:schemeClr w14:val="tx1"/>
            </w14:solidFill>
          </w14:textFill>
        </w:rPr>
        <w:t>图3：支出决算结构图</w:t>
      </w:r>
    </w:p>
    <w:p>
      <w:pPr>
        <w:pStyle w:val="2"/>
        <w:spacing w:before="93"/>
        <w:rPr>
          <w:rFonts w:ascii="仿宋" w:hAnsi="仿宋" w:eastAsia="仿宋"/>
          <w:color w:val="000000" w:themeColor="text1"/>
          <w:sz w:val="32"/>
          <w:szCs w:val="32"/>
          <w:highlight w:val="yellow"/>
          <w14:textFill>
            <w14:solidFill>
              <w14:schemeClr w14:val="tx1"/>
            </w14:solidFill>
          </w14:textFill>
        </w:rPr>
      </w:pPr>
    </w:p>
    <w:p>
      <w:pPr>
        <w:pStyle w:val="2"/>
        <w:spacing w:before="93"/>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outlineLvl w:val="1"/>
        <w:rPr>
          <w:rFonts w:ascii="黑体" w:hAnsi="黑体" w:eastAsia="黑体"/>
          <w:color w:val="000000"/>
          <w:sz w:val="32"/>
          <w:szCs w:val="32"/>
          <w:highlight w:val="yellow"/>
        </w:rPr>
      </w:pPr>
      <w:bookmarkStart w:id="58" w:name="_Toc15377208"/>
      <w:bookmarkStart w:id="59" w:name="_Toc15396606"/>
    </w:p>
    <w:p>
      <w:pPr>
        <w:spacing w:line="600" w:lineRule="exact"/>
        <w:ind w:firstLine="640" w:firstLineChars="200"/>
        <w:outlineLvl w:val="1"/>
        <w:rPr>
          <w:rFonts w:ascii="黑体" w:hAnsi="黑体" w:eastAsia="黑体"/>
          <w:color w:val="000000"/>
          <w:sz w:val="32"/>
          <w:szCs w:val="32"/>
          <w:highlight w:val="yellow"/>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pStyle w:val="4"/>
        <w:ind w:firstLine="640"/>
      </w:pPr>
      <w:bookmarkStart w:id="60" w:name="_Toc32072"/>
      <w:bookmarkStart w:id="61" w:name="_Toc119075956"/>
      <w:bookmarkStart w:id="62" w:name="_Toc15966"/>
      <w:r>
        <w:rPr>
          <w:rFonts w:hint="eastAsia"/>
        </w:rPr>
        <w:t>四、财政拨款收入支出决算总体情况说明</w:t>
      </w:r>
      <w:bookmarkEnd w:id="58"/>
      <w:bookmarkEnd w:id="59"/>
      <w:bookmarkEnd w:id="60"/>
      <w:bookmarkEnd w:id="61"/>
      <w:bookmarkEnd w:id="62"/>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财政拨款收、支总计643.85万元。与2019年相比，财政拨款收、支总计各减少459.66万元，下降71.39%。主要变动原因由于财政电子票据管理改革及新冠肺炎疫情影响，财政纸质票据使用量大幅缩减，财政票据工本费减少。</w:t>
      </w:r>
    </w:p>
    <w:p>
      <w:pPr>
        <w:spacing w:line="580" w:lineRule="exact"/>
        <w:ind w:firstLine="642" w:firstLineChars="200"/>
        <w:rPr>
          <w:rFonts w:ascii="仿宋_GB2312" w:eastAsia="仿宋_GB2312" w:cs="仿宋_GB2312"/>
          <w:b/>
          <w:bCs/>
          <w:sz w:val="32"/>
          <w:szCs w:val="32"/>
        </w:rPr>
      </w:pPr>
      <w:r>
        <w:rPr>
          <w:rFonts w:hint="eastAsia" w:ascii="仿宋_GB2312" w:eastAsia="仿宋_GB2312" w:cs="仿宋_GB2312"/>
          <w:b/>
          <w:bCs/>
          <w:sz w:val="32"/>
          <w:szCs w:val="32"/>
        </w:rPr>
        <w:t>图4：财政拨款收、支决算总计变动情况（单位：万元）</w:t>
      </w:r>
    </w:p>
    <w:p>
      <w:pPr>
        <w:pStyle w:val="2"/>
        <w:spacing w:before="93"/>
        <w:rPr>
          <w:rFonts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59264" behindDoc="1" locked="0" layoutInCell="1" allowOverlap="1">
            <wp:simplePos x="0" y="0"/>
            <wp:positionH relativeFrom="column">
              <wp:posOffset>330835</wp:posOffset>
            </wp:positionH>
            <wp:positionV relativeFrom="paragraph">
              <wp:posOffset>275590</wp:posOffset>
            </wp:positionV>
            <wp:extent cx="4744085" cy="3239770"/>
            <wp:effectExtent l="4445" t="5080" r="13970" b="1270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rFonts w:ascii="仿宋" w:hAnsi="仿宋" w:eastAsia="仿宋"/>
          <w:color w:val="000000" w:themeColor="text1"/>
          <w:sz w:val="32"/>
          <w:szCs w:val="32"/>
          <w:highlight w:val="yellow"/>
          <w14:textFill>
            <w14:solidFill>
              <w14:schemeClr w14:val="tx1"/>
            </w14:solidFill>
          </w14:textFill>
        </w:rPr>
      </w:pPr>
    </w:p>
    <w:p>
      <w:pPr>
        <w:pStyle w:val="2"/>
        <w:spacing w:before="93"/>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Fonts w:ascii="黑体" w:hAnsi="黑体" w:eastAsia="黑体"/>
          <w:color w:val="000000"/>
          <w:sz w:val="32"/>
          <w:szCs w:val="32"/>
        </w:rPr>
      </w:pPr>
      <w:bookmarkStart w:id="63" w:name="_Toc15396607"/>
      <w:bookmarkStart w:id="64" w:name="_Toc15377209"/>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Fonts w:ascii="黑体" w:hAnsi="黑体" w:eastAsia="黑体"/>
          <w:color w:val="000000"/>
          <w:sz w:val="32"/>
          <w:szCs w:val="32"/>
        </w:rPr>
      </w:pPr>
    </w:p>
    <w:p>
      <w:pPr>
        <w:spacing w:line="600" w:lineRule="exact"/>
        <w:outlineLvl w:val="1"/>
        <w:rPr>
          <w:rFonts w:ascii="黑体" w:hAnsi="黑体" w:eastAsia="黑体"/>
          <w:color w:val="000000"/>
          <w:sz w:val="32"/>
          <w:szCs w:val="32"/>
        </w:rPr>
      </w:pPr>
    </w:p>
    <w:p>
      <w:pPr>
        <w:pStyle w:val="4"/>
        <w:ind w:firstLine="640"/>
      </w:pPr>
      <w:bookmarkStart w:id="65" w:name="_Toc11653"/>
      <w:bookmarkStart w:id="66" w:name="_Toc119075957"/>
      <w:bookmarkStart w:id="67" w:name="_Toc23785"/>
      <w:r>
        <w:rPr>
          <w:rFonts w:hint="eastAsia"/>
        </w:rPr>
        <w:t>五、一般公共预算财政拨款支出决算情况说明</w:t>
      </w:r>
      <w:bookmarkEnd w:id="63"/>
      <w:bookmarkEnd w:id="64"/>
      <w:bookmarkEnd w:id="65"/>
      <w:bookmarkEnd w:id="66"/>
      <w:bookmarkEnd w:id="67"/>
      <w:bookmarkStart w:id="68" w:name="_Toc15377210"/>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（一）一般公共预算财政拨款支出决算总体情况</w:t>
      </w:r>
      <w:bookmarkEnd w:id="68"/>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一般公共预算财政拨款支出643.85万元，占本年支出合计的100%。与2019年相比，一般公共预算财政拨款减少459.66万元，下降71.39%。主要变动原因由于财政电子票据管理改革及新冠肺炎疫情影响，财政纸质票据使用量大幅缩减，财政票据工本费减少。</w:t>
      </w:r>
    </w:p>
    <w:p>
      <w:pPr>
        <w:spacing w:line="600" w:lineRule="exact"/>
        <w:ind w:firstLine="281" w:firstLineChars="100"/>
        <w:rPr>
          <w:rFonts w:ascii="仿宋" w:hAnsi="仿宋" w:eastAsia="仿宋"/>
          <w:b/>
          <w:bCs/>
          <w:color w:val="000000" w:themeColor="text1"/>
          <w:sz w:val="28"/>
          <w:szCs w:val="28"/>
          <w14:textFill>
            <w14:solidFill>
              <w14:schemeClr w14:val="tx1"/>
            </w14:solidFill>
          </w14:textFill>
        </w:rPr>
      </w:pPr>
    </w:p>
    <w:p>
      <w:pPr>
        <w:spacing w:line="580" w:lineRule="exact"/>
        <w:rPr>
          <w:rFonts w:ascii="仿宋_GB2312" w:eastAsia="仿宋_GB2312" w:cs="仿宋_GB2312"/>
          <w:b/>
          <w:bCs/>
          <w:sz w:val="32"/>
          <w:szCs w:val="32"/>
        </w:rPr>
      </w:pPr>
      <w:r>
        <w:rPr>
          <w:rFonts w:hint="eastAsia" w:ascii="仿宋_GB2312" w:eastAsia="仿宋_GB2312" w:cs="仿宋_GB2312"/>
          <w:b/>
          <w:bCs/>
          <w:sz w:val="32"/>
          <w:szCs w:val="32"/>
        </w:rPr>
        <w:t>图5：一般公共预算财政拨款支出决算变动情况（单位：万元）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71552" behindDoc="1" locked="0" layoutInCell="1" allowOverlap="1">
            <wp:simplePos x="0" y="0"/>
            <wp:positionH relativeFrom="column">
              <wp:posOffset>217805</wp:posOffset>
            </wp:positionH>
            <wp:positionV relativeFrom="paragraph">
              <wp:posOffset>236855</wp:posOffset>
            </wp:positionV>
            <wp:extent cx="4744085" cy="3239770"/>
            <wp:effectExtent l="4445" t="5080" r="13970" b="1270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pStyle w:val="2"/>
        <w:spacing w:before="93"/>
        <w:rPr>
          <w:rFonts w:ascii="仿宋" w:hAnsi="仿宋" w:eastAsia="仿宋"/>
          <w:color w:val="000000" w:themeColor="text1"/>
          <w:sz w:val="32"/>
          <w:szCs w:val="32"/>
          <w14:textFill>
            <w14:solidFill>
              <w14:schemeClr w14:val="tx1"/>
            </w14:solidFill>
          </w14:textFill>
        </w:rPr>
      </w:pPr>
    </w:p>
    <w:p>
      <w:pPr>
        <w:spacing w:line="600" w:lineRule="exact"/>
        <w:ind w:firstLine="642" w:firstLineChars="200"/>
        <w:outlineLvl w:val="2"/>
        <w:rPr>
          <w:rFonts w:ascii="仿宋" w:hAnsi="仿宋" w:eastAsia="仿宋"/>
          <w:b/>
          <w:color w:val="000000"/>
          <w:sz w:val="32"/>
          <w:szCs w:val="32"/>
          <w:highlight w:val="yellow"/>
        </w:rPr>
      </w:pPr>
      <w:bookmarkStart w:id="69" w:name="_Toc15377211"/>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69"/>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2020年一般公共预算财政拨款支出643.85万元，主要用于以下方面:一般公共服务（类）支出589.26万元，占91.52%;社会保障和就业（类）支出22.97万元，占3.57%；卫生健康支出11.94万元，占1.85%；住房保障支出19.68万元，占3.06%。</w:t>
      </w:r>
    </w:p>
    <w:p>
      <w:pPr>
        <w:spacing w:line="580" w:lineRule="exact"/>
        <w:ind w:firstLine="640" w:firstLineChars="200"/>
        <w:rPr>
          <w:rFonts w:ascii="仿宋_GB2312" w:eastAsia="仿宋_GB2312" w:cs="仿宋_GB2312"/>
          <w:sz w:val="32"/>
          <w:szCs w:val="32"/>
        </w:rPr>
      </w:pPr>
    </w:p>
    <w:p>
      <w:pPr>
        <w:pStyle w:val="2"/>
        <w:spacing w:before="93"/>
        <w:jc w:val="center"/>
        <w:rPr>
          <w:rFonts w:ascii="仿宋" w:hAnsi="仿宋" w:eastAsia="仿宋"/>
          <w:b/>
          <w:bCs/>
          <w:color w:val="000000"/>
          <w:sz w:val="32"/>
          <w:szCs w:val="32"/>
        </w:rPr>
      </w:pPr>
    </w:p>
    <w:p>
      <w:pPr>
        <w:pStyle w:val="2"/>
        <w:spacing w:before="93"/>
        <w:jc w:val="center"/>
        <w:rPr>
          <w:rFonts w:ascii="仿宋" w:hAnsi="仿宋" w:eastAsia="仿宋"/>
          <w:b/>
          <w:bCs/>
          <w:color w:val="000000"/>
          <w:sz w:val="32"/>
          <w:szCs w:val="32"/>
        </w:rPr>
      </w:pPr>
      <w:r>
        <w:rPr>
          <w:rFonts w:hint="eastAsia" w:ascii="仿宋" w:hAnsi="仿宋" w:eastAsia="仿宋"/>
          <w:b/>
          <w:bCs/>
          <w:color w:val="000000"/>
          <w:sz w:val="32"/>
          <w:szCs w:val="32"/>
        </w:rPr>
        <w:t>图6：一般公共预算财政拨款支出决算结构</w:t>
      </w:r>
    </w:p>
    <w:p>
      <w:pPr>
        <w:pStyle w:val="2"/>
        <w:spacing w:before="93"/>
        <w:jc w:val="center"/>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3360" behindDoc="0" locked="0" layoutInCell="1" allowOverlap="1">
            <wp:simplePos x="0" y="0"/>
            <wp:positionH relativeFrom="column">
              <wp:posOffset>687705</wp:posOffset>
            </wp:positionH>
            <wp:positionV relativeFrom="paragraph">
              <wp:posOffset>181610</wp:posOffset>
            </wp:positionV>
            <wp:extent cx="3948430" cy="2746375"/>
            <wp:effectExtent l="0" t="0" r="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rPr>
          <w:rFonts w:ascii="仿宋" w:hAnsi="仿宋" w:eastAsia="仿宋"/>
          <w:color w:val="000000"/>
          <w:sz w:val="32"/>
          <w:szCs w:val="32"/>
        </w:rPr>
      </w:pPr>
    </w:p>
    <w:p>
      <w:pPr>
        <w:pStyle w:val="2"/>
        <w:spacing w:before="93"/>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highlight w:val="yellow"/>
        </w:rPr>
      </w:pPr>
      <w:bookmarkStart w:id="70" w:name="_Toc15377212"/>
    </w:p>
    <w:p>
      <w:pPr>
        <w:spacing w:line="600" w:lineRule="exact"/>
        <w:ind w:firstLine="642" w:firstLineChars="200"/>
        <w:outlineLvl w:val="2"/>
        <w:rPr>
          <w:rFonts w:ascii="仿宋" w:hAnsi="仿宋" w:eastAsia="仿宋"/>
          <w:b/>
          <w:color w:val="000000"/>
          <w:sz w:val="32"/>
          <w:szCs w:val="32"/>
          <w:highlight w:val="yellow"/>
        </w:rPr>
      </w:pPr>
    </w:p>
    <w:p>
      <w:pPr>
        <w:spacing w:line="600" w:lineRule="exact"/>
        <w:outlineLvl w:val="2"/>
        <w:rPr>
          <w:rFonts w:ascii="仿宋" w:hAnsi="仿宋" w:eastAsia="仿宋"/>
          <w:b/>
          <w:color w:val="000000"/>
          <w:sz w:val="32"/>
          <w:szCs w:val="32"/>
          <w:highlight w:val="yellow"/>
        </w:rPr>
      </w:pPr>
    </w:p>
    <w:p>
      <w:pPr>
        <w:spacing w:line="600" w:lineRule="exact"/>
        <w:ind w:firstLine="642" w:firstLineChars="200"/>
        <w:outlineLvl w:val="2"/>
        <w:rPr>
          <w:rFonts w:ascii="仿宋" w:hAnsi="仿宋" w:eastAsia="仿宋"/>
          <w:b/>
          <w:color w:val="000000"/>
          <w:sz w:val="32"/>
          <w:szCs w:val="32"/>
          <w:highlight w:val="yellow"/>
        </w:rPr>
      </w:pPr>
    </w:p>
    <w:p>
      <w:pPr>
        <w:spacing w:line="600" w:lineRule="exact"/>
        <w:ind w:firstLine="642"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70"/>
    </w:p>
    <w:p>
      <w:pPr>
        <w:spacing w:line="600" w:lineRule="exact"/>
        <w:ind w:firstLine="642" w:firstLineChars="200"/>
        <w:outlineLvl w:val="2"/>
        <w:rPr>
          <w:rFonts w:ascii="仿宋" w:hAnsi="仿宋" w:eastAsia="仿宋"/>
          <w:color w:val="FF0000"/>
          <w:sz w:val="32"/>
          <w:szCs w:val="32"/>
        </w:rPr>
      </w:pPr>
      <w:bookmarkStart w:id="71" w:name="_Toc15377213"/>
      <w:bookmarkStart w:id="72" w:name="_Toc15377444"/>
      <w:bookmarkStart w:id="73" w:name="_Toc15378460"/>
      <w:r>
        <w:rPr>
          <w:rFonts w:hint="eastAsia" w:ascii="仿宋" w:hAnsi="仿宋" w:eastAsia="仿宋"/>
          <w:b/>
          <w:color w:val="000000" w:themeColor="text1"/>
          <w:sz w:val="32"/>
          <w:szCs w:val="32"/>
          <w14:textFill>
            <w14:solidFill>
              <w14:schemeClr w14:val="tx1"/>
            </w14:solidFill>
          </w14:textFill>
        </w:rPr>
        <w:t>2020年一般公共预算支出决算数为643.85万元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预算96.85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71"/>
      <w:bookmarkEnd w:id="72"/>
      <w:bookmarkEnd w:id="73"/>
    </w:p>
    <w:p>
      <w:p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一般公共服务（类）财政事务（款）行政运行（项）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支出决算为137.17万元，完成预算89.43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，决算数小于预算数的主要原因是继续积极贯彻落实中央八项规定及省委省政府十项规定要求，加强本单位日常经费管理。</w:t>
      </w:r>
    </w:p>
    <w:p>
      <w:pPr>
        <w:spacing w:line="600" w:lineRule="exact"/>
        <w:ind w:firstLine="642"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一般公共服务（类）财政事务（款）一般行政管理事务（项）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支出决算为0.78万元，完成预算56.23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，决算数小于预算数的主要原因是根据工作需要按实际情况支出。</w:t>
      </w:r>
    </w:p>
    <w:p>
      <w:pPr>
        <w:pStyle w:val="2"/>
        <w:spacing w:before="93"/>
        <w:ind w:firstLine="642" w:firstLineChars="200"/>
        <w:rPr>
          <w:rStyle w:val="16"/>
          <w:rFonts w:ascii="仿宋" w:hAnsi="仿宋" w:eastAsia="仿宋"/>
          <w:bCs/>
          <w:color w:val="000000"/>
          <w:sz w:val="32"/>
          <w:szCs w:val="32"/>
        </w:rPr>
      </w:pPr>
      <w:r>
        <w:rPr>
          <w:rStyle w:val="16"/>
          <w:rFonts w:hint="eastAsia" w:ascii="仿宋" w:hAnsi="仿宋" w:eastAsia="仿宋"/>
          <w:bCs/>
          <w:color w:val="000000"/>
          <w:sz w:val="32"/>
          <w:szCs w:val="32"/>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一般公共服务（类）财政事务（款）其他财政事务支出（项）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支出决算为451.31万元，完成预算99.19</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spacing w:before="93"/>
        <w:ind w:firstLine="642"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社会保障和就业（类）行政事业单位养老支出（款）行政单位离退休（项）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支出决算为10.40万元，完成预算100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spacing w:before="93"/>
        <w:ind w:firstLine="642"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5</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社会保障和就业（类）行政事业单位养老支出（款）机关事业单位基本养老保险缴费支出（项）：</w:t>
      </w:r>
      <w:r>
        <w:rPr>
          <w:rStyle w:val="16"/>
          <w:rFonts w:hint="eastAsia" w:ascii="仿宋" w:hAnsi="仿宋" w:eastAsia="仿宋"/>
          <w:b w:val="0"/>
          <w:bCs/>
          <w:color w:val="000000"/>
          <w:sz w:val="32"/>
          <w:szCs w:val="32"/>
        </w:rPr>
        <w:t>支出决算为12.57万元，完成预算98.05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rPr>
        <w:t>6</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6"/>
          <w:rFonts w:hint="eastAsia" w:ascii="仿宋" w:hAnsi="仿宋" w:eastAsia="仿宋"/>
          <w:bCs/>
          <w:color w:val="000000"/>
          <w:sz w:val="32"/>
          <w:szCs w:val="32"/>
        </w:rPr>
        <w:t>（类）行政事业单位医疗（款）行政单位医疗（项）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支出决算为9.73万元，完成预算100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color w:val="000000"/>
          <w:sz w:val="32"/>
          <w:szCs w:val="32"/>
        </w:rPr>
      </w:pPr>
      <w:r>
        <w:rPr>
          <w:rStyle w:val="16"/>
          <w:rFonts w:hint="eastAsia" w:ascii="仿宋" w:hAnsi="仿宋" w:eastAsia="仿宋"/>
          <w:bCs/>
          <w:color w:val="000000"/>
          <w:sz w:val="32"/>
          <w:szCs w:val="32"/>
        </w:rPr>
        <w:t>7</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卫生健康支出</w:t>
      </w:r>
      <w:r>
        <w:rPr>
          <w:rStyle w:val="16"/>
          <w:rFonts w:hint="eastAsia" w:ascii="仿宋" w:hAnsi="仿宋" w:eastAsia="仿宋"/>
          <w:bCs/>
          <w:color w:val="000000"/>
          <w:sz w:val="32"/>
          <w:szCs w:val="32"/>
        </w:rPr>
        <w:t>（类）行政事业单位医疗（款）公务员医疗补助（项）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支出决算为2.21万元，完成预算92.47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2" w:firstLineChars="200"/>
        <w:rPr>
          <w:rFonts w:ascii="仿宋" w:hAnsi="仿宋" w:eastAsia="仿宋"/>
          <w:color w:val="000000"/>
          <w:sz w:val="32"/>
          <w:szCs w:val="32"/>
        </w:rPr>
      </w:pPr>
      <w:r>
        <w:rPr>
          <w:rFonts w:hint="eastAsia" w:ascii="仿宋" w:hAnsi="仿宋" w:eastAsia="仿宋"/>
          <w:b/>
          <w:bCs/>
          <w:color w:val="000000"/>
          <w:sz w:val="32"/>
          <w:szCs w:val="32"/>
        </w:rPr>
        <w:t>8.住房保障支出（类）住房改革支出（款）住房公积金（项）：</w:t>
      </w:r>
      <w:r>
        <w:rPr>
          <w:rFonts w:hint="eastAsia" w:ascii="仿宋" w:hAnsi="仿宋" w:eastAsia="仿宋"/>
          <w:color w:val="000000"/>
          <w:sz w:val="32"/>
          <w:szCs w:val="32"/>
        </w:rPr>
        <w:t>支出决算为12.98万元，完成预算100%。</w:t>
      </w:r>
    </w:p>
    <w:p>
      <w:pPr>
        <w:spacing w:line="600" w:lineRule="exact"/>
        <w:ind w:firstLine="642" w:firstLineChars="200"/>
        <w:rPr>
          <w:rFonts w:ascii="仿宋" w:hAnsi="仿宋" w:eastAsia="仿宋"/>
          <w:color w:val="000000"/>
          <w:sz w:val="32"/>
          <w:szCs w:val="32"/>
        </w:rPr>
      </w:pPr>
      <w:r>
        <w:rPr>
          <w:rFonts w:hint="eastAsia" w:ascii="仿宋" w:hAnsi="仿宋" w:eastAsia="仿宋"/>
          <w:b/>
          <w:bCs/>
          <w:color w:val="000000"/>
          <w:sz w:val="32"/>
          <w:szCs w:val="32"/>
        </w:rPr>
        <w:t>9.住房保障支出（类）住房改革支出（款）购房补贴（项）：</w:t>
      </w:r>
      <w:r>
        <w:rPr>
          <w:rFonts w:hint="eastAsia" w:ascii="仿宋" w:hAnsi="仿宋" w:eastAsia="仿宋"/>
          <w:color w:val="000000"/>
          <w:sz w:val="32"/>
          <w:szCs w:val="32"/>
        </w:rPr>
        <w:t>支出决算为6.70万元,完成预算100%。</w:t>
      </w:r>
    </w:p>
    <w:p>
      <w:pPr>
        <w:pStyle w:val="4"/>
        <w:ind w:firstLine="640"/>
      </w:pPr>
      <w:bookmarkStart w:id="74" w:name="_Toc20434"/>
      <w:bookmarkStart w:id="75" w:name="_Toc31071"/>
      <w:bookmarkStart w:id="76" w:name="_Toc15396608"/>
      <w:bookmarkStart w:id="77" w:name="_Toc119075958"/>
      <w:bookmarkStart w:id="78" w:name="_Toc15377214"/>
      <w:r>
        <w:rPr>
          <w:rFonts w:hint="eastAsia"/>
        </w:rPr>
        <w:t>六、一般公共预算财政拨款基本支出决算情况说明</w:t>
      </w:r>
      <w:bookmarkEnd w:id="74"/>
      <w:bookmarkEnd w:id="75"/>
      <w:bookmarkEnd w:id="76"/>
      <w:bookmarkEnd w:id="77"/>
      <w:bookmarkEnd w:id="78"/>
      <w:r>
        <w:rPr>
          <w:rFonts w:hint="eastAsia"/>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20年一般公共预算财政拨款基本支出270.24万元，其中：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人员经费164.99万元，主要包括：基本工资、津贴补贴、奖金、机关事业单位基本养老保险缴费、职工基本医疗保险缴费、公务员医疗补助缴费、其他社会保障缴费、住房公积金、其他工资福利支出等。</w:t>
      </w:r>
      <w:r>
        <w:rPr>
          <w:rFonts w:ascii="仿宋" w:hAnsi="仿宋" w:eastAsia="仿宋"/>
          <w:color w:val="000000"/>
          <w:sz w:val="32"/>
          <w:szCs w:val="32"/>
        </w:rPr>
        <w:br w:type="textWrapping"/>
      </w:r>
      <w:r>
        <w:rPr>
          <w:rFonts w:hint="eastAsia" w:ascii="仿宋" w:hAnsi="仿宋" w:eastAsia="仿宋"/>
          <w:color w:val="000000"/>
          <w:sz w:val="32"/>
          <w:szCs w:val="32"/>
        </w:rPr>
        <w:t>　　</w:t>
      </w:r>
      <w:r>
        <w:rPr>
          <w:rFonts w:hint="eastAsia" w:ascii="仿宋" w:hAnsi="仿宋" w:eastAsia="仿宋"/>
          <w:sz w:val="32"/>
          <w:szCs w:val="32"/>
        </w:rPr>
        <w:t>公用经费26.77万元，</w:t>
      </w:r>
      <w:r>
        <w:rPr>
          <w:rFonts w:hint="eastAsia" w:ascii="仿宋" w:hAnsi="仿宋" w:eastAsia="仿宋"/>
          <w:color w:val="000000"/>
          <w:sz w:val="32"/>
          <w:szCs w:val="32"/>
        </w:rPr>
        <w:t>主要包括：办公费、水费、邮电费、差旅费、维修（护）费、工会经费、福利费、公务用车运行维护费、其他交通费、其他商品和服务支出等。</w:t>
      </w:r>
    </w:p>
    <w:p>
      <w:pPr>
        <w:pStyle w:val="4"/>
        <w:ind w:firstLine="640"/>
      </w:pPr>
      <w:bookmarkStart w:id="79" w:name="_Toc119075959"/>
      <w:bookmarkStart w:id="80" w:name="_Toc7758"/>
      <w:bookmarkStart w:id="81" w:name="_Toc15377215"/>
      <w:bookmarkStart w:id="82" w:name="_Toc15396609"/>
      <w:bookmarkStart w:id="83" w:name="_Toc30570"/>
      <w:r>
        <w:rPr>
          <w:rFonts w:hint="eastAsia"/>
        </w:rPr>
        <w:t>七、“三公”经费财政拨款支出决算情况说明</w:t>
      </w:r>
      <w:bookmarkEnd w:id="79"/>
      <w:bookmarkEnd w:id="80"/>
      <w:bookmarkEnd w:id="81"/>
      <w:bookmarkEnd w:id="82"/>
      <w:bookmarkEnd w:id="83"/>
    </w:p>
    <w:p>
      <w:pPr>
        <w:spacing w:line="600" w:lineRule="exact"/>
        <w:ind w:firstLine="640"/>
        <w:outlineLvl w:val="2"/>
        <w:rPr>
          <w:rFonts w:ascii="仿宋" w:hAnsi="仿宋" w:eastAsia="仿宋"/>
          <w:b/>
          <w:color w:val="000000"/>
          <w:sz w:val="32"/>
          <w:szCs w:val="32"/>
        </w:rPr>
      </w:pPr>
      <w:bookmarkStart w:id="84" w:name="_Toc15377216"/>
      <w:r>
        <w:rPr>
          <w:rFonts w:hint="eastAsia" w:ascii="仿宋" w:hAnsi="仿宋" w:eastAsia="仿宋"/>
          <w:b/>
          <w:color w:val="000000"/>
          <w:sz w:val="32"/>
          <w:szCs w:val="32"/>
        </w:rPr>
        <w:t>（一）“三公”经费财政拨款支出决算总体情况说明</w:t>
      </w:r>
      <w:bookmarkEnd w:id="8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20年“三公”经费财政拨款支出决算为4.36万元，完成预算83.85</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85" w:name="_Toc15377217"/>
      <w:r>
        <w:rPr>
          <w:rFonts w:hint="eastAsia" w:ascii="仿宋" w:hAnsi="仿宋" w:eastAsia="仿宋"/>
          <w:b/>
          <w:color w:val="000000"/>
          <w:sz w:val="32"/>
          <w:szCs w:val="32"/>
        </w:rPr>
        <w:t>（二）“三公”经费财政拨款支出决算具体情况说明</w:t>
      </w:r>
      <w:bookmarkEnd w:id="8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；公务用车购置及运行维护费支出决算4.36万元，占100</w:t>
      </w:r>
      <w:r>
        <w:rPr>
          <w:rFonts w:ascii="仿宋" w:hAnsi="仿宋" w:eastAsia="仿宋"/>
          <w:color w:val="000000"/>
          <w:sz w:val="32"/>
          <w:szCs w:val="32"/>
        </w:rPr>
        <w:t>%</w:t>
      </w:r>
      <w:r>
        <w:rPr>
          <w:rFonts w:hint="eastAsia" w:ascii="仿宋" w:hAnsi="仿宋" w:eastAsia="仿宋"/>
          <w:color w:val="000000"/>
          <w:sz w:val="32"/>
          <w:szCs w:val="32"/>
        </w:rPr>
        <w:t>；公务接待费支出决算0万元，占0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1606" w:firstLineChars="500"/>
        <w:rPr>
          <w:rFonts w:ascii="仿宋" w:hAnsi="仿宋" w:eastAsia="仿宋"/>
          <w:b/>
          <w:bCs/>
          <w:color w:val="000000"/>
          <w:sz w:val="32"/>
          <w:szCs w:val="32"/>
        </w:rPr>
      </w:pPr>
      <w:r>
        <w:rPr>
          <w:rFonts w:hint="eastAsia" w:ascii="仿宋" w:hAnsi="仿宋" w:eastAsia="仿宋"/>
          <w:b/>
          <w:bCs/>
          <w:color w:val="000000"/>
          <w:sz w:val="32"/>
          <w:szCs w:val="32"/>
        </w:rPr>
        <w:t>图7：“三公”经费财政拨款支出结构</w:t>
      </w:r>
    </w:p>
    <w:p>
      <w:pPr>
        <w:pStyle w:val="2"/>
        <w:spacing w:before="93"/>
        <w:rPr>
          <w:rFonts w:ascii="仿宋" w:hAnsi="仿宋" w:eastAsia="仿宋"/>
          <w:color w:val="000000"/>
          <w:sz w:val="32"/>
          <w:szCs w:val="32"/>
          <w:highlight w:val="yellow"/>
        </w:rPr>
      </w:pPr>
      <w:r>
        <w:rPr>
          <w:rFonts w:hint="eastAsia" w:ascii="仿宋" w:hAnsi="仿宋" w:eastAsia="仿宋"/>
          <w:color w:val="000000"/>
          <w:sz w:val="32"/>
          <w:szCs w:val="32"/>
          <w:highlight w:val="yellow"/>
        </w:rPr>
        <w:drawing>
          <wp:anchor distT="0" distB="0" distL="114300" distR="114300" simplePos="0" relativeHeight="251667456" behindDoc="1" locked="0" layoutInCell="1" allowOverlap="1">
            <wp:simplePos x="0" y="0"/>
            <wp:positionH relativeFrom="column">
              <wp:posOffset>916305</wp:posOffset>
            </wp:positionH>
            <wp:positionV relativeFrom="paragraph">
              <wp:posOffset>25400</wp:posOffset>
            </wp:positionV>
            <wp:extent cx="3989070" cy="2334895"/>
            <wp:effectExtent l="0" t="0" r="11430" b="8255"/>
            <wp:wrapTight wrapText="bothSides">
              <wp:wrapPolygon>
                <wp:start x="0" y="0"/>
                <wp:lineTo x="0" y="21500"/>
                <wp:lineTo x="21456" y="21500"/>
                <wp:lineTo x="21456" y="0"/>
                <wp:lineTo x="0"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spacing w:before="93"/>
        <w:rPr>
          <w:rFonts w:ascii="仿宋" w:hAnsi="仿宋" w:eastAsia="仿宋"/>
          <w:color w:val="FFFFFF" w:themeColor="background1"/>
          <w:sz w:val="32"/>
          <w:szCs w:val="32"/>
          <w:highlight w:val="yellow"/>
          <w14:textFill>
            <w14:noFill/>
          </w14:textFill>
        </w:rPr>
      </w:pPr>
    </w:p>
    <w:p>
      <w:pPr>
        <w:pStyle w:val="2"/>
        <w:spacing w:before="93"/>
        <w:rPr>
          <w:rFonts w:ascii="仿宋" w:hAnsi="仿宋" w:eastAsia="仿宋"/>
          <w:color w:val="000000"/>
          <w:sz w:val="32"/>
          <w:szCs w:val="32"/>
          <w:highlight w:val="yellow"/>
        </w:rPr>
      </w:pPr>
    </w:p>
    <w:p>
      <w:pPr>
        <w:spacing w:line="600" w:lineRule="exact"/>
        <w:ind w:firstLine="642" w:firstLineChars="200"/>
        <w:rPr>
          <w:rFonts w:ascii="仿宋_GB2312" w:hAnsi="仿宋_GB2312" w:eastAsia="仿宋_GB2312" w:cs="仿宋_GB2312"/>
          <w:b/>
          <w:color w:val="000000"/>
          <w:sz w:val="32"/>
          <w:szCs w:val="32"/>
        </w:rPr>
      </w:pPr>
    </w:p>
    <w:p>
      <w:pPr>
        <w:spacing w:line="600" w:lineRule="exact"/>
        <w:ind w:firstLine="642" w:firstLineChars="200"/>
        <w:rPr>
          <w:rFonts w:ascii="仿宋_GB2312" w:hAnsi="仿宋_GB2312" w:eastAsia="仿宋_GB2312" w:cs="仿宋_GB2312"/>
          <w:b/>
          <w:color w:val="000000"/>
          <w:sz w:val="32"/>
          <w:szCs w:val="32"/>
        </w:rPr>
      </w:pPr>
    </w:p>
    <w:p>
      <w:pPr>
        <w:spacing w:line="600" w:lineRule="exact"/>
        <w:ind w:firstLine="642" w:firstLineChars="200"/>
        <w:rPr>
          <w:rFonts w:ascii="仿宋_GB2312" w:hAnsi="仿宋_GB2312" w:eastAsia="仿宋_GB2312" w:cs="仿宋_GB2312"/>
          <w:b/>
          <w:color w:val="000000"/>
          <w:sz w:val="32"/>
          <w:szCs w:val="32"/>
        </w:rPr>
      </w:pPr>
    </w:p>
    <w:p>
      <w:pPr>
        <w:spacing w:line="600" w:lineRule="exact"/>
        <w:ind w:firstLine="64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0万元，全年安排因公出国（境）团组0次，</w:t>
      </w:r>
      <w:r>
        <w:rPr>
          <w:rFonts w:hint="eastAsia" w:ascii="仿宋_GB2312" w:hAnsi="仿宋_GB2312" w:eastAsia="仿宋_GB2312" w:cs="仿宋_GB2312"/>
          <w:color w:val="000000" w:themeColor="text1"/>
          <w:sz w:val="32"/>
          <w:szCs w:val="32"/>
          <w14:textFill>
            <w14:solidFill>
              <w14:schemeClr w14:val="tx1"/>
            </w14:solidFill>
          </w14:textFill>
        </w:rPr>
        <w:t>较2019年无变化。</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4.36万元,</w:t>
      </w:r>
      <w:r>
        <w:rPr>
          <w:rStyle w:val="16"/>
          <w:rFonts w:hint="eastAsia" w:ascii="仿宋_GB2312" w:hAnsi="仿宋_GB2312" w:eastAsia="仿宋_GB2312" w:cs="仿宋_GB2312"/>
          <w:b w:val="0"/>
          <w:bCs/>
          <w:color w:val="000000"/>
          <w:sz w:val="32"/>
          <w:szCs w:val="32"/>
        </w:rPr>
        <w:t>完成预算83.85%。无公务用车购置支出，全部为公务用车运行维护费支出。</w:t>
      </w:r>
      <w:r>
        <w:rPr>
          <w:rFonts w:hint="eastAsia" w:ascii="仿宋_GB2312" w:hAnsi="仿宋_GB2312" w:eastAsia="仿宋_GB2312" w:cs="仿宋_GB2312"/>
          <w:color w:val="000000"/>
          <w:sz w:val="32"/>
          <w:szCs w:val="32"/>
        </w:rPr>
        <w:t>公务用车运行维护费支出决算比2019年增加2.80万元，增长177.56%。主要原因是根据车辆使用年限及车况，增加了车辆维修费用。</w:t>
      </w:r>
    </w:p>
    <w:p>
      <w:pPr>
        <w:spacing w:line="600" w:lineRule="exact"/>
        <w:ind w:firstLine="640" w:firstLineChars="200"/>
        <w:rPr>
          <w:rFonts w:eastAsia="仿宋_GB2312"/>
        </w:rPr>
      </w:pPr>
      <w:r>
        <w:rPr>
          <w:rFonts w:hint="eastAsia" w:ascii="仿宋_GB2312" w:hAnsi="仿宋_GB2312" w:eastAsia="仿宋_GB2312" w:cs="仿宋_GB2312"/>
          <w:color w:val="000000"/>
          <w:sz w:val="32"/>
          <w:szCs w:val="32"/>
        </w:rPr>
        <w:t>截至2020年12月底，共有公务用车1辆。</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4.36万元，主要用于单位执行公务活动、开展财政票据工作调研、财政票据监督检查等所需的公务用车燃料费、维修费、过路过桥费、保险费等支出。</w:t>
      </w:r>
    </w:p>
    <w:p>
      <w:pPr>
        <w:spacing w:line="600" w:lineRule="exact"/>
        <w:ind w:left="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themeColor="text1"/>
          <w:sz w:val="32"/>
          <w:szCs w:val="32"/>
          <w14:textFill>
            <w14:solidFill>
              <w14:schemeClr w14:val="tx1"/>
            </w14:solidFill>
          </w14:textFill>
        </w:rPr>
        <w:t>较2019年无变化。</w:t>
      </w:r>
    </w:p>
    <w:p>
      <w:pPr>
        <w:pStyle w:val="4"/>
        <w:ind w:firstLine="640"/>
      </w:pPr>
      <w:bookmarkStart w:id="86" w:name="_Toc15396610"/>
      <w:bookmarkStart w:id="87" w:name="_Toc15377218"/>
      <w:bookmarkStart w:id="88" w:name="_Toc31617"/>
      <w:bookmarkStart w:id="89" w:name="_Toc31710"/>
      <w:bookmarkStart w:id="90" w:name="_Toc119075960"/>
      <w:r>
        <w:rPr>
          <w:rFonts w:hint="eastAsia"/>
        </w:rPr>
        <w:t>八、政府性基金预算支出决算情况说明</w:t>
      </w:r>
      <w:bookmarkEnd w:id="86"/>
      <w:bookmarkEnd w:id="87"/>
      <w:bookmarkEnd w:id="88"/>
      <w:bookmarkEnd w:id="89"/>
      <w:bookmarkEnd w:id="90"/>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20年政府性基金预算财政拨款支出0万元。</w:t>
      </w:r>
    </w:p>
    <w:p>
      <w:pPr>
        <w:pStyle w:val="4"/>
        <w:ind w:firstLine="640"/>
      </w:pPr>
      <w:bookmarkStart w:id="91" w:name="_Toc15377219"/>
      <w:bookmarkStart w:id="92" w:name="_Toc119075961"/>
      <w:bookmarkStart w:id="93" w:name="_Toc15396611"/>
      <w:bookmarkStart w:id="94" w:name="_Toc3989"/>
      <w:bookmarkStart w:id="95" w:name="_Toc18493"/>
      <w:r>
        <w:rPr>
          <w:rFonts w:hint="eastAsia"/>
        </w:rPr>
        <w:t>九、国有资本经营预算支出决算情况说明</w:t>
      </w:r>
      <w:bookmarkEnd w:id="91"/>
      <w:bookmarkEnd w:id="92"/>
      <w:bookmarkEnd w:id="93"/>
      <w:bookmarkEnd w:id="94"/>
      <w:bookmarkEnd w:id="9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20年国有资本经营预算财政拨款支出0万元。</w:t>
      </w:r>
    </w:p>
    <w:p>
      <w:pPr>
        <w:pStyle w:val="4"/>
        <w:ind w:firstLine="640"/>
      </w:pPr>
      <w:bookmarkStart w:id="96" w:name="_Toc13211"/>
      <w:bookmarkStart w:id="97" w:name="_Toc15396612"/>
      <w:bookmarkStart w:id="98" w:name="_Toc24891"/>
      <w:bookmarkStart w:id="99" w:name="_Toc15377221"/>
      <w:bookmarkStart w:id="100" w:name="_Toc119075962"/>
      <w:r>
        <w:rPr>
          <w:rFonts w:hint="eastAsia"/>
        </w:rPr>
        <w:t>十、其他重要事项的情况说明</w:t>
      </w:r>
      <w:bookmarkEnd w:id="96"/>
      <w:bookmarkEnd w:id="97"/>
      <w:bookmarkEnd w:id="98"/>
      <w:bookmarkEnd w:id="99"/>
      <w:bookmarkEnd w:id="100"/>
    </w:p>
    <w:p>
      <w:pPr>
        <w:spacing w:line="600" w:lineRule="exact"/>
        <w:ind w:firstLine="642" w:firstLineChars="200"/>
        <w:outlineLvl w:val="2"/>
        <w:rPr>
          <w:rFonts w:ascii="仿宋" w:hAnsi="仿宋" w:eastAsia="仿宋"/>
          <w:color w:val="000000"/>
          <w:sz w:val="32"/>
          <w:szCs w:val="32"/>
        </w:rPr>
      </w:pPr>
      <w:bookmarkStart w:id="101" w:name="_Toc15377222"/>
      <w:r>
        <w:rPr>
          <w:rFonts w:hint="eastAsia" w:ascii="仿宋" w:hAnsi="仿宋" w:eastAsia="仿宋"/>
          <w:b/>
          <w:color w:val="000000"/>
          <w:sz w:val="32"/>
          <w:szCs w:val="32"/>
        </w:rPr>
        <w:t>（一）机关运行经费支出情况</w:t>
      </w:r>
      <w:bookmarkEnd w:id="10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rPr>
        <w:t>20年，四川省财政厅收费票据监管中心机关运行经费支出26.77万元，比</w:t>
      </w:r>
      <w:r>
        <w:rPr>
          <w:rFonts w:ascii="仿宋_GB2312" w:eastAsia="仿宋_GB2312"/>
          <w:color w:val="000000"/>
          <w:sz w:val="32"/>
          <w:szCs w:val="32"/>
        </w:rPr>
        <w:t>201</w:t>
      </w:r>
      <w:r>
        <w:rPr>
          <w:rFonts w:hint="eastAsia" w:ascii="仿宋_GB2312" w:eastAsia="仿宋_GB2312"/>
          <w:color w:val="000000"/>
          <w:sz w:val="32"/>
          <w:szCs w:val="32"/>
        </w:rPr>
        <w:t>9年减少4.19万元，下降13.53</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02" w:name="_Toc15377223"/>
      <w:r>
        <w:rPr>
          <w:rFonts w:hint="eastAsia" w:ascii="仿宋" w:hAnsi="仿宋" w:eastAsia="仿宋"/>
          <w:b/>
          <w:color w:val="000000"/>
          <w:sz w:val="32"/>
          <w:szCs w:val="32"/>
        </w:rPr>
        <w:t>（二）政府采购支出情况</w:t>
      </w:r>
      <w:bookmarkEnd w:id="10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20年，四川省财政厅收费票据监管中心政府采购支出总额0.70万元，其中：政府采购货物支出0.70万元、政府采购工程支出0万元、政府采购服务支出0万元。主要用于办公设备（空调）购置。授予中小企业合同金额0.70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103" w:name="_Toc15377224"/>
      <w:r>
        <w:rPr>
          <w:rFonts w:hint="eastAsia" w:ascii="仿宋" w:hAnsi="仿宋" w:eastAsia="仿宋"/>
          <w:b/>
          <w:color w:val="000000"/>
          <w:sz w:val="32"/>
          <w:szCs w:val="32"/>
        </w:rPr>
        <w:t>（三）国有资产占有使用情况</w:t>
      </w:r>
      <w:bookmarkEnd w:id="103"/>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rPr>
        <w:t>20年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日，四川省财政厅收费票据监管中心共有车辆1辆。</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60" w:lineRule="exact"/>
        <w:ind w:firstLine="640" w:firstLineChars="200"/>
        <w:rPr>
          <w:rFonts w:eastAsia="仿宋_GB2312"/>
          <w:sz w:val="32"/>
          <w:szCs w:val="32"/>
        </w:rPr>
      </w:pPr>
      <w:r>
        <w:rPr>
          <w:rFonts w:eastAsia="仿宋_GB2312"/>
          <w:sz w:val="32"/>
          <w:szCs w:val="32"/>
        </w:rPr>
        <w:t>本单位未组织开展项目支出绩效评价。</w:t>
      </w:r>
    </w:p>
    <w:p>
      <w:pPr>
        <w:spacing w:line="580" w:lineRule="exact"/>
        <w:ind w:firstLine="640" w:firstLineChars="200"/>
        <w:rPr>
          <w:rFonts w:ascii="仿宋_GB2312" w:hAnsi="仿宋_GB2312" w:eastAsia="仿宋_GB2312" w:cs="仿宋_GB2312"/>
          <w:sz w:val="32"/>
          <w:szCs w:val="32"/>
          <w:highlight w:val="green"/>
        </w:rPr>
      </w:pPr>
    </w:p>
    <w:p>
      <w:pPr>
        <w:spacing w:line="580" w:lineRule="exact"/>
        <w:ind w:firstLine="642" w:firstLineChars="200"/>
        <w:rPr>
          <w:rFonts w:ascii="仿宋_GB2312" w:eastAsia="仿宋_GB2312"/>
          <w:b/>
          <w:color w:val="FF0000"/>
          <w:sz w:val="32"/>
          <w:szCs w:val="32"/>
          <w:highlight w:val="green"/>
        </w:rPr>
      </w:pPr>
    </w:p>
    <w:p>
      <w:pPr>
        <w:widowControl/>
        <w:jc w:val="center"/>
        <w:rPr>
          <w:rStyle w:val="26"/>
        </w:rPr>
      </w:pPr>
      <w:r>
        <w:rPr>
          <w:rFonts w:ascii="仿宋_GB2312" w:eastAsia="仿宋_GB2312"/>
          <w:b/>
          <w:color w:val="000000"/>
          <w:sz w:val="32"/>
          <w:szCs w:val="32"/>
        </w:rPr>
        <w:br w:type="page"/>
      </w:r>
      <w:bookmarkStart w:id="104" w:name="_Toc15396613"/>
      <w:bookmarkStart w:id="105" w:name="_Toc15377225"/>
      <w:bookmarkStart w:id="106" w:name="_Toc119075963"/>
      <w:bookmarkStart w:id="107" w:name="_Toc9978"/>
      <w:bookmarkStart w:id="108" w:name="_Toc20438"/>
      <w:r>
        <w:rPr>
          <w:rStyle w:val="26"/>
          <w:rFonts w:hint="eastAsia"/>
        </w:rPr>
        <w:t>第三部分</w:t>
      </w:r>
      <w:bookmarkEnd w:id="104"/>
      <w:bookmarkEnd w:id="105"/>
      <w:r>
        <w:rPr>
          <w:rStyle w:val="26"/>
          <w:rFonts w:hint="eastAsia"/>
        </w:rPr>
        <w:t xml:space="preserve"> 名词解释</w:t>
      </w:r>
      <w:bookmarkEnd w:id="106"/>
    </w:p>
    <w:bookmarkEnd w:id="107"/>
    <w:bookmarkEnd w:id="108"/>
    <w:p>
      <w:pPr>
        <w:spacing w:line="600" w:lineRule="exact"/>
        <w:jc w:val="left"/>
        <w:rPr>
          <w:rFonts w:ascii="宋体"/>
          <w:b/>
          <w:color w:val="000000"/>
          <w:sz w:val="44"/>
          <w:szCs w:val="44"/>
        </w:rPr>
      </w:pP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2.一般公共服务（类）财政事务（款 ）行政运行（项）：指本单位用于保障机构正常运行、开展日常工作的基本支出。</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3.一般公共服务（类）财政事务（款 ）一般行政管理事务（项）：指保障单位正常运行提供服务的支出。</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4.一般公共服务（类）财政事务（款 ）其他财政事务支出（项）：指开展其他财政事务方面专门性工作任务的项目支出，如财政票据票据工本费。</w:t>
      </w:r>
    </w:p>
    <w:p>
      <w:pPr>
        <w:pStyle w:val="24"/>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5.社会保障和就业（类）行政事业单位离退休（款）</w:t>
      </w:r>
      <w:r>
        <w:rPr>
          <w:rStyle w:val="16"/>
          <w:rFonts w:hint="eastAsia" w:ascii="仿宋_GB2312" w:hAnsi="仿宋_GB2312" w:eastAsia="仿宋_GB2312" w:cs="仿宋_GB2312"/>
          <w:b w:val="0"/>
          <w:color w:val="auto"/>
          <w:sz w:val="32"/>
          <w:szCs w:val="32"/>
        </w:rPr>
        <w:t>行政单位离退休（项）：指单位离退休人员的支出。</w:t>
      </w:r>
    </w:p>
    <w:p>
      <w:pPr>
        <w:pStyle w:val="2"/>
        <w:spacing w:before="93"/>
        <w:ind w:firstLine="640" w:firstLineChars="200"/>
        <w:rPr>
          <w:rStyle w:val="16"/>
          <w:rFonts w:hAnsi="仿宋_GB2312" w:cs="仿宋_GB2312"/>
          <w:b w:val="0"/>
          <w:sz w:val="32"/>
          <w:szCs w:val="32"/>
        </w:rPr>
      </w:pPr>
      <w:r>
        <w:rPr>
          <w:rStyle w:val="16"/>
          <w:rFonts w:hint="eastAsia" w:hAnsi="仿宋_GB2312" w:cs="仿宋_GB2312"/>
          <w:b w:val="0"/>
          <w:sz w:val="32"/>
          <w:szCs w:val="32"/>
        </w:rPr>
        <w:t>6.社会保障和就业（类）行政事业单位养老支出（款）机关事业单位基本养老保险缴费支出（项）：指实施养老保险制度由单位缴纳的养老保险费的支出。</w:t>
      </w:r>
    </w:p>
    <w:p>
      <w:pPr>
        <w:pStyle w:val="2"/>
        <w:spacing w:before="93"/>
        <w:ind w:firstLine="640" w:firstLineChars="200"/>
        <w:rPr>
          <w:rStyle w:val="16"/>
          <w:rFonts w:hAnsi="仿宋_GB2312" w:cs="仿宋_GB2312"/>
          <w:b w:val="0"/>
          <w:sz w:val="32"/>
          <w:szCs w:val="32"/>
        </w:rPr>
      </w:pPr>
      <w:r>
        <w:rPr>
          <w:rStyle w:val="16"/>
          <w:rFonts w:hint="eastAsia" w:hAnsi="仿宋_GB2312" w:cs="仿宋_GB2312"/>
          <w:b w:val="0"/>
          <w:sz w:val="32"/>
          <w:szCs w:val="32"/>
        </w:rPr>
        <w:t>7.</w:t>
      </w:r>
      <w:r>
        <w:rPr>
          <w:rFonts w:hint="eastAsia" w:hAnsi="仿宋_GB2312" w:cs="仿宋_GB2312"/>
          <w:sz w:val="32"/>
          <w:szCs w:val="32"/>
        </w:rPr>
        <w:t>卫生健康支出</w:t>
      </w:r>
      <w:r>
        <w:rPr>
          <w:rStyle w:val="16"/>
          <w:rFonts w:hint="eastAsia" w:hAnsi="仿宋_GB2312" w:cs="仿宋_GB2312"/>
          <w:b w:val="0"/>
          <w:sz w:val="32"/>
          <w:szCs w:val="32"/>
        </w:rPr>
        <w:t>（类）行政事业单位医疗（款）行政单位医疗（项）:指用于缴纳单位基本医疗保险支出。</w:t>
      </w:r>
    </w:p>
    <w:p>
      <w:pPr>
        <w:spacing w:line="600" w:lineRule="exact"/>
        <w:ind w:firstLine="640" w:firstLineChars="200"/>
        <w:rPr>
          <w:rStyle w:val="16"/>
          <w:rFonts w:hAnsi="仿宋_GB2312" w:cs="仿宋_GB2312"/>
          <w:b w:val="0"/>
          <w:sz w:val="32"/>
          <w:szCs w:val="32"/>
        </w:rPr>
      </w:pPr>
      <w:r>
        <w:rPr>
          <w:rStyle w:val="16"/>
          <w:rFonts w:hint="eastAsia" w:ascii="仿宋_GB2312" w:hAnsi="仿宋_GB2312" w:eastAsia="仿宋_GB2312" w:cs="仿宋_GB2312"/>
          <w:b w:val="0"/>
          <w:sz w:val="32"/>
          <w:szCs w:val="32"/>
        </w:rPr>
        <w:t>8.</w:t>
      </w:r>
      <w:r>
        <w:rPr>
          <w:rFonts w:hint="eastAsia" w:ascii="仿宋_GB2312" w:hAnsi="仿宋_GB2312" w:eastAsia="仿宋_GB2312" w:cs="仿宋_GB2312"/>
          <w:sz w:val="32"/>
          <w:szCs w:val="32"/>
        </w:rPr>
        <w:t>卫生健康支出</w:t>
      </w:r>
      <w:r>
        <w:rPr>
          <w:rStyle w:val="16"/>
          <w:rFonts w:hint="eastAsia" w:ascii="仿宋_GB2312" w:hAnsi="仿宋_GB2312" w:eastAsia="仿宋_GB2312" w:cs="仿宋_GB2312"/>
          <w:b w:val="0"/>
          <w:sz w:val="32"/>
          <w:szCs w:val="32"/>
        </w:rPr>
        <w:t>（类）行政事业单位医疗（款）公务员医疗补助（项）:指单位用于缴纳公务员医疗补助支出。</w:t>
      </w:r>
    </w:p>
    <w:p>
      <w:pPr>
        <w:pStyle w:val="2"/>
        <w:spacing w:before="93"/>
        <w:rPr>
          <w:rStyle w:val="16"/>
          <w:rFonts w:hAnsi="仿宋_GB2312" w:cs="仿宋_GB2312"/>
          <w:b w:val="0"/>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9.住房保障支出（类）住房改革支出（款）住房公积金（项）：指按照《住房公积金管理条例》的规定，由单位为在职职工缴存的长期住房储金。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10.住房保障支出（类）住房改革支出（款）购房补贴（项）：指按房改政策规定的标准，向符合条件发放的用于购买住房的补贴。</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11.基本支出：指为保障机构正常运转、完成日常工作任务而发生的人员支出和公用支出。</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12.项目支出：指在基本支出之外为完成特定行政任务和事业发展目标所发生的支出。 </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13.“三公”经费：指单位的公务用车购置及运行费和公务接待费。其中公务用车运行费反映单位公务用车所需燃料费、维修费、过路过桥费、保险费等支出。</w:t>
      </w:r>
    </w:p>
    <w:p>
      <w:pPr>
        <w:pStyle w:val="2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机关运行经费: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p>
    <w:p>
      <w:pPr>
        <w:pStyle w:val="24"/>
        <w:spacing w:line="56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883" w:firstLineChars="200"/>
        <w:rPr>
          <w:rFonts w:ascii="黑体" w:hAnsi="黑体" w:eastAsia="黑体"/>
          <w:color w:val="000000"/>
          <w:sz w:val="44"/>
          <w:szCs w:val="44"/>
        </w:rPr>
      </w:pPr>
      <w:bookmarkStart w:id="109" w:name="_Toc15377226"/>
      <w:r>
        <w:rPr>
          <w:rFonts w:ascii="宋体"/>
          <w:b/>
          <w:color w:val="000000"/>
          <w:sz w:val="44"/>
          <w:szCs w:val="44"/>
        </w:rPr>
        <w:br w:type="page"/>
      </w:r>
      <w:bookmarkStart w:id="110" w:name="_Toc15396618"/>
    </w:p>
    <w:bookmarkEnd w:id="109"/>
    <w:bookmarkEnd w:id="110"/>
    <w:p>
      <w:pPr>
        <w:pStyle w:val="3"/>
        <w:ind w:firstLine="3080" w:firstLineChars="700"/>
        <w:jc w:val="both"/>
      </w:pPr>
      <w:bookmarkStart w:id="111" w:name="_Toc15396614"/>
      <w:bookmarkStart w:id="112" w:name="_Toc119075964"/>
      <w:bookmarkStart w:id="113" w:name="_Toc29138"/>
      <w:bookmarkStart w:id="114" w:name="_Toc30627"/>
      <w:bookmarkStart w:id="115" w:name="_Toc15396619"/>
      <w:r>
        <w:t>第四部分  附件</w:t>
      </w:r>
      <w:bookmarkEnd w:id="111"/>
      <w:bookmarkEnd w:id="112"/>
      <w:bookmarkEnd w:id="113"/>
      <w:bookmarkEnd w:id="114"/>
    </w:p>
    <w:p>
      <w:pPr>
        <w:pStyle w:val="2"/>
        <w:spacing w:beforeLines="0" w:line="560" w:lineRule="exact"/>
        <w:rPr>
          <w:rFonts w:ascii="Times New Roman" w:eastAsia="黑体"/>
          <w:sz w:val="32"/>
          <w:szCs w:val="32"/>
        </w:rPr>
      </w:pPr>
    </w:p>
    <w:p>
      <w:pPr>
        <w:pStyle w:val="2"/>
        <w:spacing w:beforeLines="0" w:line="660" w:lineRule="exact"/>
        <w:jc w:val="center"/>
        <w:rPr>
          <w:rFonts w:ascii="Times New Roman" w:eastAsia="方正小标宋简体"/>
          <w:sz w:val="44"/>
          <w:szCs w:val="44"/>
        </w:rPr>
      </w:pPr>
      <w:r>
        <w:rPr>
          <w:rFonts w:ascii="Times New Roman" w:eastAsia="方正小标宋简体"/>
          <w:sz w:val="44"/>
          <w:szCs w:val="44"/>
        </w:rPr>
        <w:t>四川省</w:t>
      </w:r>
      <w:r>
        <w:rPr>
          <w:rFonts w:hint="eastAsia" w:ascii="Times New Roman" w:eastAsia="方正小标宋简体"/>
          <w:sz w:val="44"/>
          <w:szCs w:val="44"/>
        </w:rPr>
        <w:t>财政厅收费票据监管中心</w:t>
      </w:r>
      <w:r>
        <w:rPr>
          <w:rFonts w:ascii="Times New Roman" w:eastAsia="方正小标宋简体"/>
          <w:sz w:val="44"/>
          <w:szCs w:val="44"/>
        </w:rPr>
        <w:t>2020年</w:t>
      </w:r>
    </w:p>
    <w:p>
      <w:pPr>
        <w:pStyle w:val="2"/>
        <w:spacing w:beforeLines="0" w:line="660" w:lineRule="exact"/>
        <w:jc w:val="center"/>
        <w:rPr>
          <w:rFonts w:ascii="Times New Roman" w:eastAsia="方正小标宋简体"/>
          <w:sz w:val="44"/>
          <w:szCs w:val="44"/>
        </w:rPr>
      </w:pPr>
      <w:r>
        <w:rPr>
          <w:rFonts w:hint="eastAsia" w:ascii="Times New Roman" w:eastAsia="方正小标宋简体"/>
          <w:sz w:val="44"/>
          <w:szCs w:val="44"/>
        </w:rPr>
        <w:t>预算项目</w:t>
      </w:r>
      <w:r>
        <w:rPr>
          <w:rFonts w:ascii="Times New Roman" w:eastAsia="方正小标宋简体"/>
          <w:sz w:val="44"/>
          <w:szCs w:val="44"/>
        </w:rPr>
        <w:t>支出绩效</w:t>
      </w:r>
      <w:r>
        <w:rPr>
          <w:rFonts w:hint="eastAsia" w:ascii="Times New Roman" w:eastAsia="方正小标宋简体"/>
          <w:sz w:val="44"/>
          <w:szCs w:val="44"/>
        </w:rPr>
        <w:t>自评报告</w:t>
      </w:r>
    </w:p>
    <w:p>
      <w:pPr>
        <w:pStyle w:val="2"/>
        <w:spacing w:beforeLines="0" w:line="560" w:lineRule="exact"/>
        <w:ind w:firstLine="880" w:firstLineChars="200"/>
        <w:rPr>
          <w:rFonts w:ascii="Times New Roman" w:eastAsia="方正小标宋简体"/>
          <w:sz w:val="44"/>
          <w:szCs w:val="44"/>
        </w:rPr>
      </w:pPr>
    </w:p>
    <w:p>
      <w:pPr>
        <w:pStyle w:val="2"/>
        <w:spacing w:before="93" w:line="560" w:lineRule="exact"/>
        <w:ind w:firstLine="640" w:firstLineChars="200"/>
        <w:rPr>
          <w:rFonts w:ascii="Times New Roman"/>
          <w:sz w:val="32"/>
          <w:szCs w:val="32"/>
        </w:rPr>
      </w:pPr>
      <w:r>
        <w:rPr>
          <w:rFonts w:ascii="Times New Roman"/>
          <w:sz w:val="32"/>
          <w:szCs w:val="32"/>
        </w:rPr>
        <w:t>四川省</w:t>
      </w:r>
      <w:r>
        <w:rPr>
          <w:rFonts w:hint="eastAsia" w:ascii="Times New Roman"/>
          <w:sz w:val="32"/>
          <w:szCs w:val="32"/>
        </w:rPr>
        <w:t>财政厅收费票据监管中心</w:t>
      </w:r>
      <w:r>
        <w:rPr>
          <w:rFonts w:ascii="Times New Roman"/>
          <w:sz w:val="32"/>
          <w:szCs w:val="32"/>
        </w:rPr>
        <w:t>2020年未组织开展项目支出绩效自评。</w:t>
      </w:r>
    </w:p>
    <w:p>
      <w:pPr>
        <w:pStyle w:val="2"/>
        <w:spacing w:before="93" w:line="560" w:lineRule="exact"/>
        <w:rPr>
          <w:rFonts w:ascii="Times New Roman"/>
        </w:rPr>
      </w:pPr>
    </w:p>
    <w:p>
      <w:pPr>
        <w:pStyle w:val="3"/>
        <w:ind w:firstLine="880"/>
        <w:jc w:val="center"/>
      </w:pPr>
    </w:p>
    <w:p/>
    <w:p>
      <w:pPr>
        <w:pStyle w:val="13"/>
        <w:ind w:firstLine="480"/>
      </w:pPr>
    </w:p>
    <w:p/>
    <w:p>
      <w:pPr>
        <w:pStyle w:val="13"/>
        <w:ind w:firstLine="480"/>
      </w:pPr>
    </w:p>
    <w:p/>
    <w:p>
      <w:pPr>
        <w:pStyle w:val="13"/>
        <w:ind w:firstLine="480"/>
      </w:pPr>
    </w:p>
    <w:p/>
    <w:p>
      <w:pPr>
        <w:pStyle w:val="13"/>
        <w:ind w:firstLine="480"/>
      </w:pPr>
    </w:p>
    <w:p/>
    <w:p>
      <w:pPr>
        <w:pStyle w:val="13"/>
        <w:ind w:firstLine="480"/>
      </w:pPr>
    </w:p>
    <w:p/>
    <w:p>
      <w:pPr>
        <w:pStyle w:val="13"/>
        <w:ind w:firstLine="480"/>
      </w:pPr>
    </w:p>
    <w:p/>
    <w:p>
      <w:pPr>
        <w:pStyle w:val="13"/>
        <w:ind w:firstLine="480"/>
      </w:pPr>
    </w:p>
    <w:p/>
    <w:p>
      <w:pPr>
        <w:pStyle w:val="13"/>
        <w:ind w:firstLine="480"/>
      </w:pPr>
    </w:p>
    <w:p/>
    <w:p>
      <w:pPr>
        <w:pStyle w:val="13"/>
        <w:ind w:firstLine="480"/>
      </w:pPr>
    </w:p>
    <w:p>
      <w:pPr>
        <w:pStyle w:val="3"/>
        <w:ind w:firstLine="880"/>
        <w:jc w:val="center"/>
      </w:pPr>
      <w:bookmarkStart w:id="116" w:name="_Toc119075965"/>
      <w:bookmarkStart w:id="117" w:name="_Toc14629"/>
      <w:bookmarkStart w:id="118" w:name="_Toc25547"/>
      <w:r>
        <w:rPr>
          <w:rFonts w:hint="eastAsia"/>
        </w:rPr>
        <w:t>第五部分 附表</w:t>
      </w:r>
      <w:bookmarkEnd w:id="116"/>
      <w:bookmarkEnd w:id="117"/>
      <w:bookmarkEnd w:id="118"/>
    </w:p>
    <w:p/>
    <w:p>
      <w:pPr>
        <w:pStyle w:val="4"/>
        <w:ind w:firstLine="640"/>
        <w:rPr>
          <w:rFonts w:ascii="Times New Roman" w:hAnsi="Times New Roman" w:eastAsia="仿宋_GB2312" w:cs="Times New Roman"/>
          <w:bCs w:val="0"/>
          <w:kern w:val="0"/>
        </w:rPr>
      </w:pPr>
      <w:bookmarkStart w:id="119" w:name="_Toc119075966"/>
      <w:bookmarkStart w:id="120" w:name="_Toc10654"/>
      <w:r>
        <w:rPr>
          <w:rFonts w:hint="eastAsia" w:ascii="Times New Roman" w:hAnsi="Times New Roman" w:eastAsia="仿宋_GB2312" w:cs="Times New Roman"/>
          <w:bCs w:val="0"/>
          <w:kern w:val="0"/>
        </w:rPr>
        <w:t>一、收入支出决算总表</w:t>
      </w:r>
      <w:bookmarkEnd w:id="115"/>
      <w:bookmarkEnd w:id="119"/>
      <w:bookmarkEnd w:id="120"/>
    </w:p>
    <w:p>
      <w:pPr>
        <w:pStyle w:val="4"/>
        <w:ind w:firstLine="640"/>
        <w:rPr>
          <w:rFonts w:ascii="Times New Roman" w:hAnsi="Times New Roman" w:eastAsia="仿宋_GB2312" w:cs="Times New Roman"/>
          <w:bCs w:val="0"/>
          <w:kern w:val="0"/>
        </w:rPr>
      </w:pPr>
      <w:bookmarkStart w:id="121" w:name="_Toc15396620"/>
      <w:bookmarkStart w:id="122" w:name="_Toc119075967"/>
      <w:bookmarkStart w:id="123" w:name="_Toc2866"/>
      <w:r>
        <w:rPr>
          <w:rFonts w:hint="eastAsia" w:ascii="Times New Roman" w:hAnsi="Times New Roman" w:eastAsia="仿宋_GB2312" w:cs="Times New Roman"/>
          <w:bCs w:val="0"/>
          <w:kern w:val="0"/>
        </w:rPr>
        <w:t>二、收入决算表</w:t>
      </w:r>
      <w:bookmarkEnd w:id="121"/>
      <w:bookmarkEnd w:id="122"/>
      <w:bookmarkEnd w:id="123"/>
    </w:p>
    <w:p>
      <w:pPr>
        <w:pStyle w:val="4"/>
        <w:ind w:firstLine="640"/>
        <w:rPr>
          <w:rFonts w:ascii="Times New Roman" w:hAnsi="Times New Roman" w:eastAsia="仿宋_GB2312" w:cs="Times New Roman"/>
          <w:bCs w:val="0"/>
          <w:kern w:val="0"/>
        </w:rPr>
      </w:pPr>
      <w:bookmarkStart w:id="124" w:name="_Toc6015"/>
      <w:bookmarkStart w:id="125" w:name="_Toc119075968"/>
      <w:bookmarkStart w:id="126" w:name="_Toc15396621"/>
      <w:r>
        <w:rPr>
          <w:rFonts w:hint="eastAsia" w:ascii="Times New Roman" w:hAnsi="Times New Roman" w:eastAsia="仿宋_GB2312" w:cs="Times New Roman"/>
          <w:bCs w:val="0"/>
          <w:kern w:val="0"/>
        </w:rPr>
        <w:t>三、支出决算表</w:t>
      </w:r>
      <w:bookmarkEnd w:id="124"/>
      <w:bookmarkEnd w:id="125"/>
      <w:bookmarkEnd w:id="126"/>
    </w:p>
    <w:p>
      <w:pPr>
        <w:pStyle w:val="4"/>
        <w:ind w:firstLine="640"/>
        <w:rPr>
          <w:rFonts w:ascii="Times New Roman" w:hAnsi="Times New Roman" w:eastAsia="仿宋_GB2312" w:cs="Times New Roman"/>
          <w:bCs w:val="0"/>
          <w:kern w:val="0"/>
        </w:rPr>
      </w:pPr>
      <w:bookmarkStart w:id="127" w:name="_Toc119075969"/>
      <w:bookmarkStart w:id="128" w:name="_Toc16619"/>
      <w:bookmarkStart w:id="129" w:name="_Toc15396622"/>
      <w:r>
        <w:rPr>
          <w:rFonts w:hint="eastAsia" w:ascii="Times New Roman" w:hAnsi="Times New Roman" w:eastAsia="仿宋_GB2312" w:cs="Times New Roman"/>
          <w:bCs w:val="0"/>
          <w:kern w:val="0"/>
        </w:rPr>
        <w:t>四、财政拨款收入支出决算总表</w:t>
      </w:r>
      <w:bookmarkEnd w:id="127"/>
      <w:bookmarkEnd w:id="128"/>
      <w:bookmarkEnd w:id="129"/>
    </w:p>
    <w:p>
      <w:pPr>
        <w:pStyle w:val="4"/>
        <w:ind w:firstLine="640"/>
        <w:rPr>
          <w:rFonts w:ascii="Times New Roman" w:hAnsi="Times New Roman" w:eastAsia="仿宋_GB2312" w:cs="Times New Roman"/>
          <w:bCs w:val="0"/>
          <w:kern w:val="0"/>
        </w:rPr>
      </w:pPr>
      <w:bookmarkStart w:id="130" w:name="_Toc15396623"/>
      <w:bookmarkStart w:id="131" w:name="_Toc119075970"/>
      <w:bookmarkStart w:id="132" w:name="_Toc30047"/>
      <w:r>
        <w:rPr>
          <w:rFonts w:hint="eastAsia" w:ascii="Times New Roman" w:hAnsi="Times New Roman" w:eastAsia="仿宋_GB2312" w:cs="Times New Roman"/>
          <w:bCs w:val="0"/>
          <w:kern w:val="0"/>
        </w:rPr>
        <w:t>五、财政拨款支出决算明细表</w:t>
      </w:r>
      <w:bookmarkEnd w:id="130"/>
      <w:bookmarkEnd w:id="131"/>
      <w:bookmarkEnd w:id="132"/>
      <w:bookmarkStart w:id="133" w:name="_Toc15396624"/>
    </w:p>
    <w:p>
      <w:pPr>
        <w:pStyle w:val="4"/>
        <w:ind w:firstLine="640"/>
        <w:rPr>
          <w:rFonts w:ascii="Times New Roman" w:hAnsi="Times New Roman" w:eastAsia="仿宋_GB2312" w:cs="Times New Roman"/>
          <w:bCs w:val="0"/>
          <w:kern w:val="0"/>
        </w:rPr>
      </w:pPr>
      <w:bookmarkStart w:id="134" w:name="_Toc119075971"/>
      <w:bookmarkStart w:id="135" w:name="_Toc13006"/>
      <w:r>
        <w:rPr>
          <w:rFonts w:hint="eastAsia" w:ascii="Times New Roman" w:hAnsi="Times New Roman" w:eastAsia="仿宋_GB2312" w:cs="Times New Roman"/>
          <w:bCs w:val="0"/>
          <w:kern w:val="0"/>
        </w:rPr>
        <w:t>六、一般公共预算财政拨款支出决算表</w:t>
      </w:r>
      <w:bookmarkEnd w:id="133"/>
      <w:bookmarkEnd w:id="134"/>
      <w:bookmarkEnd w:id="135"/>
    </w:p>
    <w:p>
      <w:pPr>
        <w:pStyle w:val="4"/>
        <w:ind w:firstLine="640"/>
        <w:rPr>
          <w:rFonts w:ascii="Times New Roman" w:hAnsi="Times New Roman" w:eastAsia="仿宋_GB2312" w:cs="Times New Roman"/>
          <w:bCs w:val="0"/>
          <w:kern w:val="0"/>
        </w:rPr>
      </w:pPr>
      <w:bookmarkStart w:id="136" w:name="_Toc15396625"/>
      <w:bookmarkStart w:id="137" w:name="_Toc25418"/>
      <w:bookmarkStart w:id="138" w:name="_Toc119075972"/>
      <w:r>
        <w:rPr>
          <w:rFonts w:hint="eastAsia" w:ascii="Times New Roman" w:hAnsi="Times New Roman" w:eastAsia="仿宋_GB2312" w:cs="Times New Roman"/>
          <w:bCs w:val="0"/>
          <w:kern w:val="0"/>
        </w:rPr>
        <w:t>七、一般公共预算财政拨款支出决算明细表</w:t>
      </w:r>
      <w:bookmarkEnd w:id="136"/>
      <w:bookmarkEnd w:id="137"/>
      <w:bookmarkEnd w:id="138"/>
    </w:p>
    <w:p>
      <w:pPr>
        <w:pStyle w:val="4"/>
        <w:ind w:firstLine="640"/>
        <w:rPr>
          <w:rFonts w:ascii="Times New Roman" w:hAnsi="Times New Roman" w:eastAsia="仿宋_GB2312" w:cs="Times New Roman"/>
          <w:bCs w:val="0"/>
          <w:kern w:val="0"/>
        </w:rPr>
      </w:pPr>
      <w:bookmarkStart w:id="139" w:name="_Toc27624"/>
      <w:bookmarkStart w:id="140" w:name="_Toc119075973"/>
      <w:bookmarkStart w:id="141" w:name="_Toc15396626"/>
      <w:r>
        <w:rPr>
          <w:rFonts w:hint="eastAsia" w:ascii="Times New Roman" w:hAnsi="Times New Roman" w:eastAsia="仿宋_GB2312" w:cs="Times New Roman"/>
          <w:bCs w:val="0"/>
          <w:kern w:val="0"/>
        </w:rPr>
        <w:t>八、一般公共预算财政拨款基本支出决算表</w:t>
      </w:r>
      <w:bookmarkEnd w:id="139"/>
      <w:bookmarkEnd w:id="140"/>
      <w:bookmarkEnd w:id="141"/>
    </w:p>
    <w:p>
      <w:pPr>
        <w:pStyle w:val="4"/>
        <w:ind w:firstLine="640"/>
        <w:rPr>
          <w:rFonts w:ascii="Times New Roman" w:hAnsi="Times New Roman" w:eastAsia="仿宋_GB2312" w:cs="Times New Roman"/>
          <w:bCs w:val="0"/>
          <w:kern w:val="0"/>
        </w:rPr>
      </w:pPr>
      <w:bookmarkStart w:id="142" w:name="_Toc119075974"/>
      <w:bookmarkStart w:id="143" w:name="_Toc18059"/>
      <w:bookmarkStart w:id="144" w:name="_Toc15396627"/>
      <w:r>
        <w:rPr>
          <w:rFonts w:hint="eastAsia" w:ascii="Times New Roman" w:hAnsi="Times New Roman" w:eastAsia="仿宋_GB2312" w:cs="Times New Roman"/>
          <w:bCs w:val="0"/>
          <w:kern w:val="0"/>
        </w:rPr>
        <w:t>九、一般公共预算财政拨款项目支出决算表</w:t>
      </w:r>
      <w:bookmarkEnd w:id="142"/>
      <w:bookmarkEnd w:id="143"/>
      <w:bookmarkEnd w:id="144"/>
    </w:p>
    <w:p>
      <w:pPr>
        <w:pStyle w:val="4"/>
        <w:ind w:firstLine="640"/>
        <w:rPr>
          <w:rFonts w:ascii="Times New Roman" w:hAnsi="Times New Roman" w:eastAsia="仿宋_GB2312" w:cs="Times New Roman"/>
          <w:bCs w:val="0"/>
          <w:kern w:val="0"/>
        </w:rPr>
      </w:pPr>
      <w:bookmarkStart w:id="145" w:name="_Toc119075975"/>
      <w:bookmarkStart w:id="146" w:name="_Toc20763"/>
      <w:bookmarkStart w:id="147" w:name="_Toc15396628"/>
      <w:r>
        <w:rPr>
          <w:rFonts w:hint="eastAsia" w:ascii="Times New Roman" w:hAnsi="Times New Roman" w:eastAsia="仿宋_GB2312" w:cs="Times New Roman"/>
          <w:bCs w:val="0"/>
          <w:kern w:val="0"/>
        </w:rPr>
        <w:t>十、一般公共预算财政拨款“三公”经费支出决算表</w:t>
      </w:r>
      <w:bookmarkEnd w:id="145"/>
      <w:bookmarkEnd w:id="146"/>
      <w:bookmarkEnd w:id="147"/>
    </w:p>
    <w:p>
      <w:pPr>
        <w:pStyle w:val="4"/>
        <w:ind w:firstLine="640"/>
        <w:rPr>
          <w:rFonts w:ascii="Times New Roman" w:hAnsi="Times New Roman" w:eastAsia="仿宋_GB2312" w:cs="Times New Roman"/>
          <w:bCs w:val="0"/>
          <w:kern w:val="0"/>
        </w:rPr>
      </w:pPr>
      <w:bookmarkStart w:id="148" w:name="_Toc14898"/>
      <w:bookmarkStart w:id="149" w:name="_Toc119075976"/>
      <w:bookmarkStart w:id="150" w:name="_Toc15396629"/>
      <w:r>
        <w:rPr>
          <w:rFonts w:hint="eastAsia" w:ascii="Times New Roman" w:hAnsi="Times New Roman" w:eastAsia="仿宋_GB2312" w:cs="Times New Roman"/>
          <w:bCs w:val="0"/>
          <w:kern w:val="0"/>
        </w:rPr>
        <w:t>十一、政府性基金预算财政拨款收入支出决算表</w:t>
      </w:r>
      <w:bookmarkEnd w:id="148"/>
      <w:bookmarkEnd w:id="149"/>
      <w:bookmarkEnd w:id="150"/>
    </w:p>
    <w:p>
      <w:pPr>
        <w:pStyle w:val="4"/>
        <w:ind w:firstLine="640"/>
        <w:rPr>
          <w:rFonts w:ascii="Times New Roman" w:hAnsi="Times New Roman" w:eastAsia="仿宋_GB2312" w:cs="Times New Roman"/>
          <w:bCs w:val="0"/>
          <w:kern w:val="0"/>
        </w:rPr>
      </w:pPr>
      <w:bookmarkStart w:id="151" w:name="_Toc7175"/>
      <w:bookmarkStart w:id="152" w:name="_Toc119075977"/>
      <w:bookmarkStart w:id="153" w:name="_Toc15396630"/>
      <w:r>
        <w:rPr>
          <w:rFonts w:hint="eastAsia" w:ascii="Times New Roman" w:hAnsi="Times New Roman" w:eastAsia="仿宋_GB2312" w:cs="Times New Roman"/>
          <w:bCs w:val="0"/>
          <w:kern w:val="0"/>
        </w:rPr>
        <w:t>十二、政府性基金预算财政拨款“三公”经费支出决算表</w:t>
      </w:r>
      <w:bookmarkEnd w:id="151"/>
      <w:bookmarkEnd w:id="152"/>
      <w:bookmarkEnd w:id="153"/>
    </w:p>
    <w:p>
      <w:pPr>
        <w:pStyle w:val="4"/>
        <w:ind w:firstLine="640"/>
        <w:rPr>
          <w:rFonts w:ascii="Times New Roman" w:hAnsi="Times New Roman" w:eastAsia="仿宋_GB2312" w:cs="Times New Roman"/>
          <w:bCs w:val="0"/>
          <w:kern w:val="0"/>
        </w:rPr>
      </w:pPr>
      <w:bookmarkStart w:id="154" w:name="_Toc119075978"/>
      <w:bookmarkStart w:id="155" w:name="_Toc15396631"/>
      <w:bookmarkStart w:id="156" w:name="_Toc14569"/>
      <w:r>
        <w:rPr>
          <w:rFonts w:hint="eastAsia" w:ascii="Times New Roman" w:hAnsi="Times New Roman" w:eastAsia="仿宋_GB2312" w:cs="Times New Roman"/>
          <w:bCs w:val="0"/>
          <w:kern w:val="0"/>
        </w:rPr>
        <w:t>十三、国有资本经营预算财政拨款收入支出决算表</w:t>
      </w:r>
      <w:bookmarkEnd w:id="154"/>
      <w:bookmarkEnd w:id="155"/>
      <w:bookmarkEnd w:id="156"/>
    </w:p>
    <w:p>
      <w:pPr>
        <w:pStyle w:val="4"/>
        <w:ind w:firstLine="640"/>
        <w:rPr>
          <w:rFonts w:ascii="Times New Roman" w:hAnsi="Times New Roman" w:eastAsia="仿宋_GB2312" w:cs="Times New Roman"/>
          <w:bCs w:val="0"/>
          <w:kern w:val="0"/>
        </w:rPr>
      </w:pPr>
      <w:bookmarkStart w:id="157" w:name="_Toc3604"/>
      <w:bookmarkStart w:id="158" w:name="_Toc119075979"/>
      <w:r>
        <w:rPr>
          <w:rFonts w:hint="eastAsia" w:ascii="Times New Roman" w:hAnsi="Times New Roman" w:eastAsia="仿宋_GB2312" w:cs="Times New Roman"/>
          <w:bCs w:val="0"/>
          <w:kern w:val="0"/>
        </w:rPr>
        <w:t>十四、国有资本经营预算财政拨款支出决算表</w:t>
      </w:r>
      <w:bookmarkEnd w:id="157"/>
      <w:bookmarkEnd w:id="158"/>
    </w:p>
    <w:p>
      <w:pPr>
        <w:pStyle w:val="4"/>
        <w:ind w:firstLine="640"/>
      </w:pPr>
      <w:bookmarkStart w:id="159" w:name="_GoBack"/>
      <w:bookmarkEnd w:id="159"/>
    </w:p>
    <w:p>
      <w:pPr>
        <w:rPr>
          <w:rFonts w:ascii="仿宋_GB2312" w:hAnsi="仿宋_GB2312" w:eastAsia="仿宋_GB2312" w:cs="仿宋_GB2312"/>
          <w:color w:val="000000"/>
          <w:sz w:val="32"/>
          <w:szCs w:val="32"/>
        </w:rPr>
      </w:pPr>
    </w:p>
    <w:p>
      <w:pPr>
        <w:pStyle w:val="13"/>
        <w:ind w:firstLine="640"/>
        <w:rPr>
          <w:rFonts w:ascii="仿宋_GB2312" w:hAnsi="仿宋_GB2312" w:eastAsia="仿宋_GB2312" w:cs="仿宋_GB2312"/>
          <w:color w:val="000000"/>
          <w:sz w:val="32"/>
          <w:szCs w:val="32"/>
        </w:rPr>
      </w:pPr>
    </w:p>
    <w:p>
      <w:pPr>
        <w:rPr>
          <w:rFonts w:ascii="仿宋_GB2312" w:hAnsi="仿宋_GB2312" w:eastAsia="仿宋_GB2312" w:cs="仿宋_GB2312"/>
          <w:color w:val="000000"/>
          <w:sz w:val="32"/>
          <w:szCs w:val="32"/>
        </w:rPr>
      </w:pPr>
    </w:p>
    <w:p>
      <w:pPr>
        <w:spacing w:line="560" w:lineRule="exact"/>
        <w:jc w:val="center"/>
        <w:outlineLvl w:val="0"/>
        <w:rPr>
          <w:rFonts w:eastAsia="黑体"/>
          <w:color w:val="000000"/>
          <w:sz w:val="44"/>
          <w:szCs w:val="44"/>
        </w:rPr>
      </w:pPr>
    </w:p>
    <w:p/>
    <w:sectPr>
      <w:pgSz w:w="11906" w:h="16838"/>
      <w:pgMar w:top="2098" w:right="1531" w:bottom="1984"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鼎书宋简">
    <w:altName w:val="宋体"/>
    <w:panose1 w:val="00000000000000000000"/>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  \* MERGEFORMAT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p7sQFAIAABsEAAAOAAAAZHJz&#10;L2Uyb0RvYy54bWytU8uO0zAU3SPxD5b3NGkRo6pqOiozKkKqmJEKYu06dhvJL9luk/IB8Aes2LDn&#10;u/odHLtJBwErxMa+L9/Hucfz204rchQ+NNZUdDwqKRGG27oxu4p+eL96MaUkRGZqpqwRFT2JQG8X&#10;z5/NWzcTE7u3qhaeIIkJs9ZVdB+jmxVF4HuhWRhZJwyc0nrNIlS/K2rPWmTXqpiU5U3RWl87b7kI&#10;Adb7i5Mucn4pBY8PUgYRiaooeov59PncprNYzNls55nbN7xvg/1DF5o1BkWvqe5ZZOTgmz9S6YZ7&#10;G6yMI251YaVsuMgzYJpx+ds0mz1zIs8CcIK7whT+X1r+7vjoSVNXdDKmxDCNHZ2/fjl/+3H+/pnA&#10;BoBaF2aI2zhExu617Soa/UEMrgB7Gr2TXqcbQxGEAO3TFWHRRcJhHE8n02kJF4dvUFCieHrufIhv&#10;hNUkCRX1WGFGlh3XIV5Ch5BUzdhVo1ReozKkrejNy1dlfnD1ILkyqJHmuDSbpNhtu364ra1PmM3b&#10;Cz2C46sGxdcsxEfmwQc0DI7HBxxSWRSxvUTJ3vpPf7OneKwJXkpa8KuiBh+AEvXWYH2JioPgB2E7&#10;COag7ywIi42glyzigY9qEKW3+iOIv0w1JFMBiZnhqIbVDOJdhNY78YG4WC6vOsjnWFybjeP9MhOW&#10;wS0PEXhmmBNGF2B66MDAvKj+tySK/6rnqKc/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BqnuxAUAgAAGwQAAA4AAAAAAAAAAQAgAAAANQEAAGRycy9lMm9Eb2MueG1sUEsFBgAAAAAGAAYA&#10;WQEAALsFAAAAAA==&#10;">
              <v:fill on="f" focussize="0,0"/>
              <v:stroke on="f" weight="0.5pt"/>
              <v:imagedata o:title=""/>
              <o:lock v:ext="edit" aspectratio="f"/>
              <v:textbox inset="0mm,0mm,0mm,0mm" style="mso-fit-shape-to-text:t;">
                <w:txbxContent>
                  <w:p>
                    <w:pPr>
                      <w:pStyle w:val="9"/>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PAGE  \* MERGEFORMAT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posOffset>2766695</wp:posOffset>
              </wp:positionH>
              <wp:positionV relativeFrom="paragraph">
                <wp:posOffset>-63500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217.85pt;margin-top:-5pt;height:144pt;width:144pt;mso-position-horizontal-relative:margin;mso-wrap-style:none;z-index:251662336;mso-width-relative:page;mso-height-relative:page;" filled="f" stroked="f" coordsize="21600,21600" o:gfxdata="UEsFBgAAAAAAAAAAAAAAAAAAAAAAAFBLAwQKAAAAAACHTuJAAAAAAAAAAAAAAAAABAAAAGRycy9Q&#10;SwMEFAAAAAgAh07iQC90/D3YAAAACwEAAA8AAABkcnMvZG93bnJldi54bWxNj8FOwzAMhu9IvENk&#10;JG5b0nbQqWs6iYlyRGLlwDFrvLbQJFWSdeXtMSc42v70+/vL/WJGNqMPg7MSkrUAhrZ1erCdhPem&#10;Xm2BhaisVqOzKOEbA+yr25tSFdpd7RvOx9gxCrGhUBL6GKeC89D2aFRYuwkt3c7OGxVp9B3XXl0p&#10;3Iw8FeKRGzVY+tCrCQ89tl/Hi5FwqJvGzxj8+IEvdfb5+rTB50XK+7tE7IBFXOIfDL/6pA4VOZ3c&#10;xerARgmb7CEnVMIqEVSKiDzNaHOSkOZbAbwq+f8O1Q9QSwMEFAAAAAgAh07iQIvz+EoVAgAAGwQA&#10;AA4AAABkcnMvZTJvRG9jLnhtbK1Ty47TMBTdI/EPlvc0aRGjqmo6KjMqQqqYkQpi7Tp2G8kv2W6T&#10;8gHwB6zYsOe7+h0cu0kHASvExrmv3Me5585vO63IUfjQWFPR8aikRBhu68bsKvrh/erFlJIQmamZ&#10;skZU9CQCvV08fzZv3UxM7N6qWniCJCbMWlfRfYxuVhSB74VmYWSdMHBK6zWLUP2uqD1rkV2rYlKW&#10;N0Vrfe285SIEWO8vTrrI+aUUPD5IGUQkqqLoLebX53eb3mIxZ7OdZ27f8L4N9g9daNYYFL2mumeR&#10;kYNv/kilG+5tsDKOuNWFlbLhIs+Aacblb9Ns9syJPAvACe4KU/h/afm746MnTV3RyYQSwzR2dP76&#10;5fztx/n7ZwIbAGpdmCFu4xAZu9e2q2j0BzG4Auxp9E56nb4YiiAEaJ+uCIsuEg7jeDqZTku4OHyD&#10;ghLF0+/Oh/hGWE2SUFGPFWZk2XEd4iV0CEnVjF01SuU1KkPait68fFXmH64eJFcGNdIcl2aTFLtt&#10;1w+3tfUJs3l7oUdwfNWg+JqF+Mg8+ICGwfH4gEcqiyK2lyjZW//pb/YUjzXBS0kLflXU4AAoUW8N&#10;1peoOAh+ELaDYA76zoKwY9yO41nEDz6qQZTe6o8g/jLVkEwFJGaGoxpWM4h3EVrvxAFxsVxedZDP&#10;sbg2G8f7ZSYsg1seIvDMMCeMLsD00IGBeVH9tSSK/6rnqKebXv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L3T8PdgAAAALAQAADwAAAAAAAAABACAAAAA4AAAAZHJzL2Rvd25yZXYueG1sUEsBAhQA&#10;FAAAAAgAh07iQIvz+EoVAgAAGwQAAA4AAAAAAAAAAQAgAAAAPQEAAGRycy9lMm9Eb2MueG1sUEsF&#10;BgAAAAAGAAYAWQEAAMQFAAAAAA==&#10;">
              <v:fill on="f" focussize="0,0"/>
              <v:stroke on="f" weight="0.5pt"/>
              <v:imagedata o:title=""/>
              <o:lock v:ext="edit" aspectratio="f"/>
              <v:textbox inset="0mm,0mm,0mm,0mm" style="mso-fit-shape-to-text:t;">
                <w:txbxContent>
                  <w:p>
                    <w:pPr>
                      <w:pStyle w:val="9"/>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2923"/>
    <w:rsid w:val="00142216"/>
    <w:rsid w:val="00144D6A"/>
    <w:rsid w:val="0014729F"/>
    <w:rsid w:val="00155407"/>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238"/>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0C7"/>
    <w:rsid w:val="0066343B"/>
    <w:rsid w:val="00664777"/>
    <w:rsid w:val="006748A4"/>
    <w:rsid w:val="00681A31"/>
    <w:rsid w:val="00683E73"/>
    <w:rsid w:val="00686334"/>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261B"/>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6B56"/>
    <w:rsid w:val="0097099F"/>
    <w:rsid w:val="00971997"/>
    <w:rsid w:val="00971FFC"/>
    <w:rsid w:val="0098660A"/>
    <w:rsid w:val="009931C3"/>
    <w:rsid w:val="009B2C43"/>
    <w:rsid w:val="009B4EAE"/>
    <w:rsid w:val="009B7573"/>
    <w:rsid w:val="009C22F4"/>
    <w:rsid w:val="009C2A4B"/>
    <w:rsid w:val="009C2E98"/>
    <w:rsid w:val="009D3447"/>
    <w:rsid w:val="009D4711"/>
    <w:rsid w:val="009E3A85"/>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4FDA"/>
    <w:rsid w:val="00C533CC"/>
    <w:rsid w:val="00C5751C"/>
    <w:rsid w:val="00C61BFC"/>
    <w:rsid w:val="00C62B85"/>
    <w:rsid w:val="00C65438"/>
    <w:rsid w:val="00C87FD8"/>
    <w:rsid w:val="00C91381"/>
    <w:rsid w:val="00C91CBB"/>
    <w:rsid w:val="00CB4E70"/>
    <w:rsid w:val="00CC09B6"/>
    <w:rsid w:val="00CC666F"/>
    <w:rsid w:val="00CD06AA"/>
    <w:rsid w:val="00CD1E3F"/>
    <w:rsid w:val="00CE059C"/>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46B3"/>
    <w:rsid w:val="00DA634F"/>
    <w:rsid w:val="00DA65AC"/>
    <w:rsid w:val="00DB1913"/>
    <w:rsid w:val="00DB68F4"/>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3643"/>
    <w:rsid w:val="00F754A1"/>
    <w:rsid w:val="00F81FD9"/>
    <w:rsid w:val="00F841AA"/>
    <w:rsid w:val="00F84A94"/>
    <w:rsid w:val="00F87E96"/>
    <w:rsid w:val="00FA23E8"/>
    <w:rsid w:val="00FD3CC1"/>
    <w:rsid w:val="00FD703A"/>
    <w:rsid w:val="00FF1E02"/>
    <w:rsid w:val="00FF30B4"/>
    <w:rsid w:val="02B64CAA"/>
    <w:rsid w:val="0A2032A3"/>
    <w:rsid w:val="0C8615D6"/>
    <w:rsid w:val="0F5402D7"/>
    <w:rsid w:val="10C055FF"/>
    <w:rsid w:val="118107EC"/>
    <w:rsid w:val="11E00C4F"/>
    <w:rsid w:val="16BB723D"/>
    <w:rsid w:val="18015F3F"/>
    <w:rsid w:val="1BE8440E"/>
    <w:rsid w:val="1C3F5AB6"/>
    <w:rsid w:val="1D0E4812"/>
    <w:rsid w:val="1D155CEE"/>
    <w:rsid w:val="1DCA5E78"/>
    <w:rsid w:val="20F57F95"/>
    <w:rsid w:val="236161D3"/>
    <w:rsid w:val="24026FD5"/>
    <w:rsid w:val="240371BF"/>
    <w:rsid w:val="250E680A"/>
    <w:rsid w:val="29FD04D3"/>
    <w:rsid w:val="2ABE7A3E"/>
    <w:rsid w:val="2F705005"/>
    <w:rsid w:val="319F7F4E"/>
    <w:rsid w:val="31C32572"/>
    <w:rsid w:val="34ED46C7"/>
    <w:rsid w:val="371008E2"/>
    <w:rsid w:val="3A9E1DD9"/>
    <w:rsid w:val="3C0C0783"/>
    <w:rsid w:val="3FE3C083"/>
    <w:rsid w:val="40A36276"/>
    <w:rsid w:val="4550062B"/>
    <w:rsid w:val="45D70D3F"/>
    <w:rsid w:val="496F39ED"/>
    <w:rsid w:val="4A190C16"/>
    <w:rsid w:val="4AFA0568"/>
    <w:rsid w:val="4B3A35EF"/>
    <w:rsid w:val="4BE068DB"/>
    <w:rsid w:val="4BF6002B"/>
    <w:rsid w:val="4DB0792F"/>
    <w:rsid w:val="4ECE2238"/>
    <w:rsid w:val="558F59FC"/>
    <w:rsid w:val="59E37D9A"/>
    <w:rsid w:val="5A2B3C4E"/>
    <w:rsid w:val="63696F1B"/>
    <w:rsid w:val="63D74FEF"/>
    <w:rsid w:val="63FE2F8E"/>
    <w:rsid w:val="64CA39A1"/>
    <w:rsid w:val="66C62040"/>
    <w:rsid w:val="6A287E24"/>
    <w:rsid w:val="6C4A05C8"/>
    <w:rsid w:val="6E563DF9"/>
    <w:rsid w:val="6F6FB622"/>
    <w:rsid w:val="710E33A9"/>
    <w:rsid w:val="72734D90"/>
    <w:rsid w:val="728F3F17"/>
    <w:rsid w:val="75444B56"/>
    <w:rsid w:val="76FF43C1"/>
    <w:rsid w:val="79912ACF"/>
    <w:rsid w:val="79BA6E35"/>
    <w:rsid w:val="7BDC397A"/>
    <w:rsid w:val="7CE97155"/>
    <w:rsid w:val="7EF7E664"/>
    <w:rsid w:val="97B926EE"/>
    <w:rsid w:val="BDDFAABA"/>
    <w:rsid w:val="DFFF04EF"/>
    <w:rsid w:val="FBD2724F"/>
    <w:rsid w:val="FF7F5075"/>
    <w:rsid w:val="FFE633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line="560" w:lineRule="exact"/>
      <w:ind w:firstLine="600" w:firstLineChars="200"/>
      <w:jc w:val="left"/>
      <w:outlineLvl w:val="0"/>
    </w:pPr>
    <w:rPr>
      <w:rFonts w:ascii="黑体" w:hAnsi="黑体" w:eastAsia="黑体"/>
      <w:bCs/>
      <w:kern w:val="44"/>
      <w:sz w:val="44"/>
      <w:szCs w:val="44"/>
    </w:rPr>
  </w:style>
  <w:style w:type="paragraph" w:styleId="4">
    <w:name w:val="heading 2"/>
    <w:basedOn w:val="1"/>
    <w:next w:val="1"/>
    <w:link w:val="27"/>
    <w:unhideWhenUsed/>
    <w:qFormat/>
    <w:uiPriority w:val="9"/>
    <w:pPr>
      <w:keepNext/>
      <w:keepLines/>
      <w:spacing w:line="560" w:lineRule="exact"/>
      <w:ind w:firstLine="600" w:firstLineChars="200"/>
      <w:jc w:val="left"/>
      <w:outlineLvl w:val="1"/>
    </w:pPr>
    <w:rPr>
      <w:rFonts w:ascii="黑体" w:hAnsi="黑体" w:eastAsia="黑体" w:cstheme="majorBidi"/>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line="312" w:lineRule="auto"/>
      <w:ind w:left="420" w:leftChars="200" w:firstLine="510"/>
    </w:pPr>
    <w:rPr>
      <w:rFonts w:ascii="宋体"/>
      <w:spacing w:val="10"/>
      <w:sz w:val="24"/>
      <w:szCs w:val="2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jc w:val="left"/>
    </w:pPr>
    <w:rPr>
      <w:rFonts w:ascii="仿宋" w:hAnsi="仿宋" w:eastAsia="仿宋"/>
      <w:b/>
      <w:sz w:val="28"/>
      <w:szCs w:val="28"/>
    </w:rPr>
  </w:style>
  <w:style w:type="paragraph" w:styleId="12">
    <w:name w:val="toc 2"/>
    <w:basedOn w:val="1"/>
    <w:next w:val="1"/>
    <w:unhideWhenUsed/>
    <w:qFormat/>
    <w:uiPriority w:val="39"/>
    <w:pPr>
      <w:tabs>
        <w:tab w:val="right" w:leader="dot" w:pos="8296"/>
      </w:tabs>
      <w:ind w:firstLine="200" w:firstLineChars="200"/>
    </w:pPr>
    <w:rPr>
      <w:sz w:val="28"/>
    </w:rPr>
  </w:style>
  <w:style w:type="paragraph" w:styleId="13">
    <w:name w:val="Body Text First Indent 2"/>
    <w:basedOn w:val="6"/>
    <w:next w:val="1"/>
    <w:qFormat/>
    <w:uiPriority w:val="0"/>
    <w:pPr>
      <w:spacing w:line="240" w:lineRule="auto"/>
      <w:ind w:firstLine="420" w:firstLineChars="200"/>
    </w:pPr>
    <w:rPr>
      <w:rFonts w:ascii="文鼎书宋简" w:eastAsia="文鼎书宋简"/>
      <w:spacing w:val="0"/>
      <w:szCs w:val="22"/>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黑体" w:hAnsi="黑体" w:eastAsia="黑体"/>
      <w:bCs/>
      <w:kern w:val="44"/>
      <w:sz w:val="44"/>
      <w:szCs w:val="44"/>
    </w:rPr>
  </w:style>
  <w:style w:type="character" w:customStyle="1" w:styleId="27">
    <w:name w:val="标题 2 字符"/>
    <w:basedOn w:val="15"/>
    <w:link w:val="4"/>
    <w:qFormat/>
    <w:uiPriority w:val="9"/>
    <w:rPr>
      <w:rFonts w:ascii="黑体" w:hAnsi="黑体" w:eastAsia="黑体" w:cstheme="majorBidi"/>
      <w:bCs/>
      <w:kern w:val="2"/>
      <w:sz w:val="32"/>
      <w:szCs w:val="32"/>
    </w:rPr>
  </w:style>
  <w:style w:type="paragraph" w:customStyle="1" w:styleId="28">
    <w:name w:val="TOC 标题1"/>
    <w:basedOn w:val="3"/>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8"/>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line="276" w:lineRule="auto"/>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1103.51</c:v>
                </c:pt>
                <c:pt idx="1">
                  <c:v>643.85</c:v>
                </c:pt>
              </c:numCache>
            </c:numRef>
          </c:val>
        </c:ser>
        <c:ser>
          <c:idx val="1"/>
          <c:order val="1"/>
          <c:tx>
            <c:strRef>
              <c:f>Sheet1!$C$1</c:f>
              <c:strCache>
                <c:ptCount val="1"/>
                <c:pt idx="0">
                  <c:v/>
                </c:pt>
              </c:strCache>
            </c:strRef>
          </c:tx>
          <c:spPr>
            <a:solidFill>
              <a:schemeClr val="accent2"/>
            </a:solidFill>
            <a:ln>
              <a:noFill/>
            </a:ln>
            <a:effectLst/>
          </c:spPr>
          <c:invertIfNegative val="false"/>
          <c:dLbls>
            <c:delete val="true"/>
          </c:dLbls>
          <c:cat>
            <c:strRef>
              <c:f>Sheet1!$A$2:$A$3</c:f>
              <c:strCache>
                <c:ptCount val="2"/>
                <c:pt idx="0">
                  <c:v>2019年</c:v>
                </c:pt>
                <c:pt idx="1">
                  <c:v>2020年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Sheet1!$A$2:$A$3</c:f>
              <c:strCache>
                <c:ptCount val="2"/>
                <c:pt idx="0">
                  <c:v>2019年</c:v>
                </c:pt>
                <c:pt idx="1">
                  <c:v>2020年</c:v>
                </c:pt>
              </c:strCache>
            </c:strRef>
          </c:cat>
          <c:val>
            <c:numRef>
              <c:f>Sheet1!$D$2:$D$3</c:f>
              <c:numCache>
                <c:formatCode>General</c:formatCode>
                <c:ptCount val="2"/>
              </c:numCache>
            </c:numRef>
          </c:val>
        </c:ser>
        <c:dLbls>
          <c:showLegendKey val="false"/>
          <c:showVal val="false"/>
          <c:showCatName val="false"/>
          <c:showSerName val="false"/>
          <c:showPercent val="false"/>
          <c:showBubbleSize val="false"/>
        </c:dLbls>
        <c:gapWidth val="250"/>
        <c:overlap val="100"/>
        <c:axId val="63808269"/>
        <c:axId val="731857187"/>
      </c:barChart>
      <c:catAx>
        <c:axId val="63808269"/>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mn-lt"/>
                <a:ea typeface="+mn-ea"/>
                <a:cs typeface="+mn-cs"/>
              </a:defRPr>
            </a:pPr>
          </a:p>
        </c:txPr>
        <c:crossAx val="731857187"/>
        <c:crosses val="autoZero"/>
        <c:auto val="true"/>
        <c:lblAlgn val="ctr"/>
        <c:lblOffset val="100"/>
        <c:noMultiLvlLbl val="false"/>
      </c:catAx>
      <c:valAx>
        <c:axId val="73185718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1000" b="1" i="0" u="none" strike="noStrike" kern="1200" baseline="0">
                <a:solidFill>
                  <a:schemeClr val="tx1">
                    <a:lumMod val="65000"/>
                    <a:lumOff val="35000"/>
                  </a:schemeClr>
                </a:solidFill>
                <a:latin typeface="+mn-lt"/>
                <a:ea typeface="+mn-ea"/>
                <a:cs typeface="+mn-cs"/>
              </a:defRPr>
            </a:pPr>
          </a:p>
        </c:txPr>
        <c:crossAx val="6380826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000" b="1"/>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12623552668738"/>
          <c:y val="0.159361336062846"/>
          <c:w val="0.345231346019478"/>
          <c:h val="0.735095728355366"/>
        </c:manualLayout>
      </c:layout>
      <c:pieChart>
        <c:varyColors val="true"/>
        <c:ser>
          <c:idx val="0"/>
          <c:order val="0"/>
          <c:tx>
            <c:strRef>
              <c:f>Sheet1!$B$1</c:f>
              <c:strCache>
                <c:ptCount val="1"/>
                <c:pt idx="0">
                  <c:v>列1</c:v>
                </c:pt>
              </c:strCache>
            </c:strRef>
          </c:tx>
          <c:spPr>
            <a:ln w="19050">
              <a:noFill/>
            </a:ln>
          </c:spPr>
          <c:explosion val="0"/>
          <c:dPt>
            <c:idx val="0"/>
            <c:bubble3D val="false"/>
            <c:spPr>
              <a:solidFill>
                <a:schemeClr val="accent1"/>
              </a:solidFill>
              <a:ln w="19050">
                <a:noFill/>
              </a:ln>
              <a:effectLst/>
            </c:spPr>
          </c:dPt>
          <c:dLbls>
            <c:dLbl>
              <c:idx val="0"/>
              <c:layout>
                <c:manualLayout>
                  <c:x val="0.0130394384637635"/>
                  <c:y val="-0.368142436598617"/>
                </c:manualLayout>
              </c:layout>
              <c:tx>
                <c:rich>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r>
                      <a:rPr lang="zh-CN" altLang="en-US" b="1">
                        <a:latin typeface="+mj-ea"/>
                        <a:ea typeface="+mj-ea"/>
                        <a:cs typeface="+mj-ea"/>
                      </a:rPr>
                      <a:t>一般公共预算财政拨款收入</a:t>
                    </a:r>
                    <a:r>
                      <a:rPr lang="en-US" altLang="zh-CN" b="1">
                        <a:latin typeface="+mj-ea"/>
                        <a:ea typeface="+mj-ea"/>
                        <a:cs typeface="+mj-ea"/>
                      </a:rPr>
                      <a:t>643.85</a:t>
                    </a:r>
                    <a:r>
                      <a:rPr lang="zh-CN" altLang="en-US" b="1">
                        <a:latin typeface="+mj-ea"/>
                        <a:ea typeface="+mj-ea"/>
                        <a:cs typeface="+mj-ea"/>
                      </a:rPr>
                      <a:t>万元，占本年收入</a:t>
                    </a:r>
                    <a:r>
                      <a:rPr lang="en-US" altLang="zh-CN" b="1">
                        <a:latin typeface="+mj-ea"/>
                        <a:ea typeface="+mj-ea"/>
                        <a:cs typeface="+mj-ea"/>
                      </a:rPr>
                      <a:t>100%</a:t>
                    </a:r>
                    <a:endParaRPr lang="en-US" altLang="zh-CN" b="1">
                      <a:latin typeface="+mj-ea"/>
                      <a:ea typeface="+mj-ea"/>
                      <a:cs typeface="+mj-ea"/>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254871505224513"/>
                      <c:h val="0.289236319903788"/>
                    </c:manualLayout>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b="1"/>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33101336302895"/>
          <c:y val="0.120012666244459"/>
          <c:w val="0.382655902004454"/>
          <c:h val="0.870487650411653"/>
        </c:manualLayout>
      </c:layout>
      <c:pieChart>
        <c:varyColors val="true"/>
        <c:ser>
          <c:idx val="0"/>
          <c:order val="0"/>
          <c:tx>
            <c:strRef>
              <c:f>Sheet1!$B$1</c:f>
              <c:strCache>
                <c:ptCount val="1"/>
                <c:pt idx="0">
                  <c:v>销售额</c:v>
                </c:pt>
              </c:strCache>
            </c:strRef>
          </c:tx>
          <c:spPr>
            <a:ln w="19050">
              <a:noFill/>
            </a:ln>
          </c:spPr>
          <c:explosion val="0"/>
          <c:dPt>
            <c:idx val="0"/>
            <c:bubble3D val="false"/>
            <c:spPr>
              <a:solidFill>
                <a:schemeClr val="accent1"/>
              </a:solidFill>
              <a:ln w="19050">
                <a:noFill/>
              </a:ln>
              <a:effectLst/>
            </c:spPr>
          </c:dPt>
          <c:dPt>
            <c:idx val="1"/>
            <c:bubble3D val="false"/>
            <c:spPr>
              <a:solidFill>
                <a:schemeClr val="accent2"/>
              </a:solidFill>
              <a:ln w="19050">
                <a:noFill/>
              </a:ln>
              <a:effectLst/>
            </c:spPr>
          </c:dPt>
          <c:dPt>
            <c:idx val="2"/>
            <c:bubble3D val="false"/>
            <c:spPr>
              <a:solidFill>
                <a:schemeClr val="accent3"/>
              </a:solidFill>
              <a:ln w="19050">
                <a:noFill/>
              </a:ln>
              <a:effectLst/>
            </c:spPr>
          </c:dPt>
          <c:dPt>
            <c:idx val="3"/>
            <c:bubble3D val="false"/>
            <c:spPr>
              <a:solidFill>
                <a:schemeClr val="accent4"/>
              </a:solidFill>
              <a:ln w="19050">
                <a:noFill/>
              </a:ln>
              <a:effectLst/>
            </c:spPr>
          </c:dPt>
          <c:dLbls>
            <c:dLbl>
              <c:idx val="0"/>
              <c:layout>
                <c:manualLayout>
                  <c:x val="-0.136631744108757"/>
                  <c:y val="0.194954127453067"/>
                </c:manualLayout>
              </c:layout>
              <c:tx>
                <c:rich>
                  <a:bodyPr rot="0" spcFirstLastPara="0" vertOverflow="ellipsis" vert="horz" wrap="square" lIns="38100" tIns="19050" rIns="38100" bIns="19050" anchor="ctr" anchorCtr="false"/>
                  <a:lstStyle/>
                  <a:p>
                    <a:pPr>
                      <a:defRPr lang="zh-CN" sz="1000" b="1" i="0" u="none" strike="noStrike" kern="1200" baseline="0">
                        <a:solidFill>
                          <a:schemeClr val="bg1"/>
                        </a:solidFill>
                        <a:latin typeface="+mn-lt"/>
                        <a:ea typeface="+mn-ea"/>
                        <a:cs typeface="+mn-cs"/>
                      </a:defRPr>
                    </a:pPr>
                    <a:r>
                      <a:rPr lang="zh-CN" altLang="en-US" sz="1000" b="1">
                        <a:solidFill>
                          <a:schemeClr val="bg1"/>
                        </a:solidFill>
                      </a:rPr>
                      <a:t>基本支出</a:t>
                    </a:r>
                    <a:endParaRPr lang="zh-CN" altLang="en-US" sz="1000" b="1">
                      <a:solidFill>
                        <a:schemeClr val="bg1"/>
                      </a:solidFill>
                    </a:endParaRPr>
                  </a:p>
                  <a:p>
                    <a:pPr>
                      <a:defRPr lang="zh-CN" sz="1000" b="1" i="0" u="none" strike="noStrike" kern="1200" baseline="0">
                        <a:solidFill>
                          <a:schemeClr val="bg1"/>
                        </a:solidFill>
                        <a:latin typeface="+mn-lt"/>
                        <a:ea typeface="+mn-ea"/>
                        <a:cs typeface="+mn-cs"/>
                      </a:defRPr>
                    </a:pPr>
                    <a:r>
                      <a:rPr lang="zh-CN" altLang="en-US" sz="1000" b="1">
                        <a:solidFill>
                          <a:schemeClr val="bg1"/>
                        </a:solidFill>
                      </a:rPr>
                      <a:t>占</a:t>
                    </a:r>
                    <a:r>
                      <a:rPr lang="en-US" altLang="zh-CN" sz="1000" b="1">
                        <a:solidFill>
                          <a:schemeClr val="bg1"/>
                        </a:solidFill>
                      </a:rPr>
                      <a:t>29.78%</a:t>
                    </a:r>
                    <a:endParaRPr lang="en-US" altLang="zh-CN" sz="1000" b="1">
                      <a:solidFill>
                        <a:schemeClr val="bg1"/>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64949888641425"/>
                      <c:h val="0.214692843571881"/>
                    </c:manualLayout>
                  </c15:layout>
                </c:ext>
              </c:extLst>
            </c:dLbl>
            <c:dLbl>
              <c:idx val="1"/>
              <c:layout>
                <c:manualLayout>
                  <c:x val="0.132910196486279"/>
                  <c:y val="-0.264362767488237"/>
                </c:manualLayout>
              </c:layout>
              <c:tx>
                <c:rich>
                  <a:bodyPr rot="0" spcFirstLastPara="0" vertOverflow="ellipsis" vert="horz" wrap="square" lIns="38100" tIns="19050" rIns="38100" bIns="19050" anchor="ctr" anchorCtr="false"/>
                  <a:lstStyle/>
                  <a:p>
                    <a:pPr>
                      <a:defRPr lang="zh-CN" sz="1000" b="1" i="0" u="none" strike="noStrike" kern="1200" baseline="0">
                        <a:solidFill>
                          <a:schemeClr val="bg1"/>
                        </a:solidFill>
                        <a:latin typeface="+mn-lt"/>
                        <a:ea typeface="+mn-ea"/>
                        <a:cs typeface="+mn-cs"/>
                      </a:defRPr>
                    </a:pPr>
                    <a:r>
                      <a:rPr lang="zh-CN" altLang="en-US" sz="1000" b="1">
                        <a:solidFill>
                          <a:schemeClr val="bg1"/>
                        </a:solidFill>
                      </a:rPr>
                      <a:t>项目支出</a:t>
                    </a:r>
                    <a:endParaRPr lang="zh-CN" altLang="en-US" sz="1000" b="1">
                      <a:solidFill>
                        <a:schemeClr val="bg1"/>
                      </a:solidFill>
                    </a:endParaRPr>
                  </a:p>
                  <a:p>
                    <a:pPr>
                      <a:defRPr lang="zh-CN" sz="1000" b="1" i="0" u="none" strike="noStrike" kern="1200" baseline="0">
                        <a:solidFill>
                          <a:schemeClr val="bg1"/>
                        </a:solidFill>
                        <a:latin typeface="+mn-lt"/>
                        <a:ea typeface="+mn-ea"/>
                        <a:cs typeface="+mn-cs"/>
                      </a:defRPr>
                    </a:pPr>
                    <a:r>
                      <a:rPr lang="zh-CN" altLang="en-US" sz="1000" b="1">
                        <a:solidFill>
                          <a:schemeClr val="bg1"/>
                        </a:solidFill>
                      </a:rPr>
                      <a:t>占</a:t>
                    </a:r>
                    <a:r>
                      <a:rPr lang="en-US" altLang="zh-CN" sz="1000" b="1">
                        <a:solidFill>
                          <a:schemeClr val="bg1"/>
                        </a:solidFill>
                      </a:rPr>
                      <a:t>70.22%</a:t>
                    </a:r>
                    <a:endParaRPr lang="en-US" altLang="zh-CN" sz="1000" b="1">
                      <a:solidFill>
                        <a:schemeClr val="bg1"/>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delete val="true"/>
            </c:dLbl>
            <c:dLbl>
              <c:idx val="3"/>
              <c:delete val="true"/>
            </c:dLbl>
            <c:spPr>
              <a:noFill/>
              <a:ln>
                <a:noFill/>
              </a:ln>
              <a:effectLst/>
            </c:spPr>
            <c:txPr>
              <a:bodyPr rot="0" spcFirstLastPara="0" vertOverflow="ellipsis" vert="horz" wrap="square" lIns="38100" tIns="19050" rIns="38100" bIns="19050" anchor="ctr" anchorCtr="false"/>
              <a:lstStyle/>
              <a:p>
                <a:pPr>
                  <a:defRPr lang="zh-CN" sz="1000" b="1" i="0" u="none" strike="noStrike" kern="1200" baseline="0">
                    <a:solidFill>
                      <a:schemeClr val="bg1"/>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0.2978</c:v>
                </c:pt>
                <c:pt idx="1">
                  <c:v>0.7022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1000" b="1">
          <a:solidFill>
            <a:schemeClr val="bg1"/>
          </a:solidFill>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1103.51</c:v>
                </c:pt>
                <c:pt idx="1">
                  <c:v>643.85</c:v>
                </c:pt>
              </c:numCache>
            </c:numRef>
          </c:val>
        </c:ser>
        <c:dLbls>
          <c:showLegendKey val="false"/>
          <c:showVal val="false"/>
          <c:showCatName val="false"/>
          <c:showSerName val="false"/>
          <c:showPercent val="false"/>
          <c:showBubbleSize val="false"/>
        </c:dLbls>
        <c:gapWidth val="270"/>
        <c:overlap val="27"/>
        <c:axId val="227200110"/>
        <c:axId val="894105853"/>
      </c:barChart>
      <c:catAx>
        <c:axId val="22720011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894105853"/>
        <c:crosses val="autoZero"/>
        <c:auto val="true"/>
        <c:lblAlgn val="ctr"/>
        <c:lblOffset val="100"/>
        <c:noMultiLvlLbl val="false"/>
      </c:catAx>
      <c:valAx>
        <c:axId val="89410585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22720011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0970418953286"/>
          <c:y val="0.0460603684829479"/>
          <c:w val="0.886280283763887"/>
          <c:h val="0.862093296746374"/>
        </c:manualLayout>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1103.51</c:v>
                </c:pt>
                <c:pt idx="1">
                  <c:v>643.85</c:v>
                </c:pt>
              </c:numCache>
            </c:numRef>
          </c:val>
        </c:ser>
        <c:dLbls>
          <c:showLegendKey val="false"/>
          <c:showVal val="false"/>
          <c:showCatName val="false"/>
          <c:showSerName val="false"/>
          <c:showPercent val="false"/>
          <c:showBubbleSize val="false"/>
        </c:dLbls>
        <c:gapWidth val="270"/>
        <c:overlap val="27"/>
        <c:axId val="227200110"/>
        <c:axId val="894105853"/>
      </c:barChart>
      <c:catAx>
        <c:axId val="22720011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894105853"/>
        <c:crosses val="autoZero"/>
        <c:auto val="true"/>
        <c:lblAlgn val="ctr"/>
        <c:lblOffset val="100"/>
        <c:noMultiLvlLbl val="false"/>
      </c:catAx>
      <c:valAx>
        <c:axId val="89410585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1" i="0" u="none" strike="noStrike" kern="1200" baseline="0">
                <a:solidFill>
                  <a:schemeClr val="tx1">
                    <a:lumMod val="65000"/>
                    <a:lumOff val="35000"/>
                  </a:schemeClr>
                </a:solidFill>
                <a:latin typeface="+mn-lt"/>
                <a:ea typeface="+mn-ea"/>
                <a:cs typeface="+mn-cs"/>
              </a:defRPr>
            </a:pPr>
          </a:p>
        </c:txPr>
        <c:crossAx val="22720011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2183981987777"/>
          <c:y val="0.153526011560694"/>
          <c:w val="0.740109359922805"/>
          <c:h val="0.732947976878613"/>
        </c:manualLayout>
      </c:layout>
      <c:pieChart>
        <c:varyColors val="true"/>
        <c:ser>
          <c:idx val="0"/>
          <c:order val="0"/>
          <c:tx>
            <c:strRef>
              <c:f>Sheet1!$B$1</c:f>
              <c:strCache>
                <c:ptCount val="1"/>
                <c:pt idx="0">
                  <c:v>销售额</c:v>
                </c:pt>
              </c:strCache>
            </c:strRef>
          </c:tx>
          <c:spPr>
            <a:scene3d>
              <a:camera prst="orthographicFront"/>
              <a:lightRig rig="threePt" dir="t"/>
            </a:scene3d>
            <a:sp3d contourW="25400"/>
          </c:spPr>
          <c:explosion val="0"/>
          <c:dPt>
            <c:idx val="0"/>
            <c:bubble3D val="false"/>
            <c:spPr>
              <a:solidFill>
                <a:schemeClr val="accent1"/>
              </a:solidFill>
              <a:ln w="12700">
                <a:solidFill>
                  <a:schemeClr val="accent1"/>
                </a:solidFill>
              </a:ln>
              <a:effectLst/>
              <a:scene3d>
                <a:camera prst="orthographicFront"/>
                <a:lightRig rig="threePt" dir="t"/>
              </a:scene3d>
              <a:sp3d contourW="12700"/>
            </c:spPr>
          </c:dPt>
          <c:dPt>
            <c:idx val="1"/>
            <c:bubble3D val="false"/>
            <c:spPr>
              <a:solidFill>
                <a:schemeClr val="accent2"/>
              </a:solidFill>
              <a:ln w="25400">
                <a:solidFill>
                  <a:schemeClr val="lt1"/>
                </a:solidFill>
              </a:ln>
              <a:effectLst/>
              <a:scene3d>
                <a:camera prst="orthographicFront"/>
                <a:lightRig rig="threePt" dir="t"/>
              </a:scene3d>
              <a:sp3d contourW="25400"/>
            </c:spPr>
          </c:dPt>
          <c:dPt>
            <c:idx val="2"/>
            <c:bubble3D val="false"/>
            <c:spPr>
              <a:solidFill>
                <a:schemeClr val="accent3"/>
              </a:solidFill>
              <a:ln w="25400">
                <a:solidFill>
                  <a:schemeClr val="lt1"/>
                </a:solidFill>
              </a:ln>
              <a:effectLst/>
              <a:scene3d>
                <a:camera prst="orthographicFront"/>
                <a:lightRig rig="threePt" dir="t"/>
              </a:scene3d>
              <a:sp3d contourW="25400"/>
            </c:spPr>
          </c:dPt>
          <c:dPt>
            <c:idx val="3"/>
            <c:bubble3D val="false"/>
            <c:spPr>
              <a:solidFill>
                <a:schemeClr val="accent4"/>
              </a:solidFill>
              <a:ln w="25400">
                <a:solidFill>
                  <a:schemeClr val="lt1"/>
                </a:solidFill>
              </a:ln>
              <a:effectLst/>
              <a:scene3d>
                <a:camera prst="orthographicFront"/>
                <a:lightRig rig="threePt" dir="t"/>
              </a:scene3d>
              <a:sp3d contourW="25400"/>
            </c:spPr>
          </c:dPt>
          <c:dLbls>
            <c:dLbl>
              <c:idx val="0"/>
              <c:layout>
                <c:manualLayout>
                  <c:x val="0.0177046336850225"/>
                  <c:y val="0.046956415321519"/>
                </c:manualLayout>
              </c:layout>
              <c:tx>
                <c:rich>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r>
                      <a:rPr lang="zh-CN" altLang="en-US" b="1"/>
                      <a:t>一般公共服务支出</a:t>
                    </a:r>
                    <a:r>
                      <a:rPr lang="en-US" altLang="zh-CN" b="1"/>
                      <a:t>91.52%</a:t>
                    </a:r>
                    <a:endParaRPr lang="en-US" altLang="zh-CN" b="1"/>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985430514817038"/>
                  <c:y val="0.14845371916166"/>
                </c:manualLayout>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tx1">
                            <a:lumMod val="75000"/>
                            <a:lumOff val="25000"/>
                          </a:schemeClr>
                        </a:solidFill>
                        <a:latin typeface="+mn-lt"/>
                        <a:ea typeface="+mn-ea"/>
                        <a:cs typeface="+mn-cs"/>
                      </a:defRPr>
                    </a:pPr>
                    <a:r>
                      <a:rPr lang="zh-CN" altLang="en-US" b="1"/>
                      <a:t>社会保障和就业支出</a:t>
                    </a:r>
                    <a:r>
                      <a:rPr lang="en-US" altLang="zh-CN" b="1"/>
                      <a:t>3.75%</a:t>
                    </a:r>
                    <a:endParaRPr lang="en-US" altLang="zh-CN" b="1"/>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544037453400255"/>
                  <c:y val="-0.0675789101001685"/>
                </c:manualLayout>
              </c:layout>
              <c:tx>
                <c:rich>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r>
                      <a:rPr lang="zh-CN" altLang="en-US" b="1"/>
                      <a:t>卫生健康支出</a:t>
                    </a:r>
                    <a:r>
                      <a:rPr lang="en-US" altLang="zh-CN" b="1"/>
                      <a:t>1.85%</a:t>
                    </a:r>
                    <a:endParaRPr lang="en-US" altLang="zh-CN" b="1"/>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245094885815375"/>
                      <c:h val="0.11514450867052"/>
                    </c:manualLayout>
                  </c15:layout>
                </c:ext>
              </c:extLst>
            </c:dLbl>
            <c:dLbl>
              <c:idx val="3"/>
              <c:layout>
                <c:manualLayout>
                  <c:x val="-0.0113333509498748"/>
                  <c:y val="-0.0786035993428705"/>
                </c:manualLayout>
              </c:layout>
              <c:tx>
                <c:rich>
                  <a:bodyPr rot="0" spcFirstLastPara="0" vertOverflow="ellipsis" vert="horz" wrap="square" lIns="38100" tIns="19050" rIns="38100" bIns="19050" anchor="ctr" anchorCtr="true"/>
                  <a:lstStyle/>
                  <a:p>
                    <a:pPr defTabSz="914400">
                      <a:defRPr lang="zh-CN" sz="900" b="1" i="0" u="none" strike="noStrike" kern="1200" baseline="0">
                        <a:solidFill>
                          <a:schemeClr val="tx1">
                            <a:lumMod val="75000"/>
                            <a:lumOff val="25000"/>
                          </a:schemeClr>
                        </a:solidFill>
                        <a:latin typeface="+mn-lt"/>
                        <a:ea typeface="+mn-ea"/>
                        <a:cs typeface="+mn-cs"/>
                      </a:defRPr>
                    </a:pPr>
                    <a:r>
                      <a:rPr lang="zh-CN" altLang="en-US" b="1"/>
                      <a:t>住房保障支出</a:t>
                    </a:r>
                    <a:r>
                      <a:rPr lang="en-US" altLang="zh-CN" b="1"/>
                      <a:t>19.68%</a:t>
                    </a:r>
                    <a:endParaRPr lang="en-US" altLang="zh-CN" b="1"/>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0.00%</c:formatCode>
                <c:ptCount val="4"/>
                <c:pt idx="0">
                  <c:v>0.9152</c:v>
                </c:pt>
                <c:pt idx="1">
                  <c:v>0.0375</c:v>
                </c:pt>
                <c:pt idx="2">
                  <c:v>0.0185</c:v>
                </c:pt>
                <c:pt idx="3">
                  <c:v>0.1968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noFill/>
    <a:ln w="9525" cap="flat" cmpd="sng" algn="ctr">
      <a:noFill/>
      <a:round/>
    </a:ln>
    <a:effectLst/>
  </c:spPr>
  <c:txPr>
    <a:bodyPr/>
    <a:lstStyle/>
    <a:p>
      <a:pPr>
        <a:defRPr lang="zh-CN" b="1"/>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63291945240369"/>
          <c:y val="0.0842034355001684"/>
          <c:w val="0.398439987265202"/>
          <c:h val="0.843044796227686"/>
        </c:manualLayout>
      </c:layout>
      <c:pieChart>
        <c:varyColors val="true"/>
        <c:ser>
          <c:idx val="0"/>
          <c:order val="0"/>
          <c:tx>
            <c:strRef>
              <c:f>Sheet1!$B$1</c:f>
              <c:strCache>
                <c:ptCount val="1"/>
                <c:pt idx="0">
                  <c:v>销售额</c:v>
                </c:pt>
              </c:strCache>
            </c:strRef>
          </c:tx>
          <c:spPr>
            <a:ln w="19050">
              <a:noFill/>
            </a:ln>
          </c:spPr>
          <c:explosion val="0"/>
          <c:dPt>
            <c:idx val="0"/>
            <c:bubble3D val="false"/>
            <c:spPr>
              <a:solidFill>
                <a:schemeClr val="accent1"/>
              </a:solidFill>
              <a:ln w="19050">
                <a:noFill/>
              </a:ln>
              <a:effectLst/>
            </c:spPr>
          </c:dPt>
          <c:dPt>
            <c:idx val="1"/>
            <c:bubble3D val="false"/>
            <c:spPr>
              <a:solidFill>
                <a:schemeClr val="accent2"/>
              </a:solidFill>
              <a:ln w="19050">
                <a:noFill/>
              </a:ln>
              <a:effectLst/>
            </c:spPr>
          </c:dPt>
          <c:dPt>
            <c:idx val="2"/>
            <c:bubble3D val="false"/>
            <c:spPr>
              <a:solidFill>
                <a:schemeClr val="accent3"/>
              </a:solidFill>
              <a:ln w="19050">
                <a:noFill/>
              </a:ln>
              <a:effectLst/>
            </c:spPr>
          </c:dPt>
          <c:dPt>
            <c:idx val="3"/>
            <c:bubble3D val="false"/>
            <c:spPr>
              <a:solidFill>
                <a:schemeClr val="accent4"/>
              </a:solidFill>
              <a:ln w="19050">
                <a:noFill/>
              </a:ln>
              <a:effectLst/>
            </c:spPr>
          </c:dPt>
          <c:dLbls>
            <c:dLbl>
              <c:idx val="0"/>
              <c:layout>
                <c:manualLayout>
                  <c:x val="0.00716241889981789"/>
                  <c:y val="-0.468486388592081"/>
                </c:manualLayout>
              </c:layout>
              <c:tx>
                <c:rich>
                  <a:bodyPr rot="0" spcFirstLastPara="0" vertOverflow="ellipsis" vert="horz" wrap="square" lIns="38100" tIns="19050" rIns="38100" bIns="19050" anchor="ctr" anchorCtr="true"/>
                  <a:lstStyle/>
                  <a:p>
                    <a:pPr>
                      <a:defRPr lang="zh-CN" sz="1000" b="1" i="0" u="none" strike="noStrike" kern="1200" baseline="0">
                        <a:solidFill>
                          <a:schemeClr val="bg1"/>
                        </a:solidFill>
                        <a:latin typeface="+mn-lt"/>
                        <a:ea typeface="+mn-ea"/>
                        <a:cs typeface="+mn-cs"/>
                      </a:defRPr>
                    </a:pPr>
                    <a:r>
                      <a:rPr lang="zh-CN" altLang="en-US" sz="1000" b="1">
                        <a:solidFill>
                          <a:schemeClr val="bg1"/>
                        </a:solidFill>
                      </a:rPr>
                      <a:t>公务用车购置及</a:t>
                    </a:r>
                    <a:endParaRPr lang="zh-CN" altLang="en-US" sz="1000" b="1">
                      <a:solidFill>
                        <a:schemeClr val="bg1"/>
                      </a:solidFill>
                    </a:endParaRPr>
                  </a:p>
                  <a:p>
                    <a:pPr>
                      <a:defRPr lang="zh-CN" sz="1000" b="1" i="0" u="none" strike="noStrike" kern="1200" baseline="0">
                        <a:solidFill>
                          <a:schemeClr val="bg1"/>
                        </a:solidFill>
                        <a:latin typeface="+mn-lt"/>
                        <a:ea typeface="+mn-ea"/>
                        <a:cs typeface="+mn-cs"/>
                      </a:defRPr>
                    </a:pPr>
                    <a:r>
                      <a:rPr lang="zh-CN" altLang="en-US" sz="1000" b="1">
                        <a:solidFill>
                          <a:schemeClr val="bg1"/>
                        </a:solidFill>
                      </a:rPr>
                      <a:t>运行维护费</a:t>
                    </a:r>
                    <a:r>
                      <a:rPr lang="en-US" altLang="zh-CN" sz="1000" b="1">
                        <a:solidFill>
                          <a:schemeClr val="bg1"/>
                        </a:solidFill>
                      </a:rPr>
                      <a:t>100%</a:t>
                    </a:r>
                    <a:endParaRPr lang="en-US" altLang="zh-CN" sz="1000" b="1">
                      <a:solidFill>
                        <a:schemeClr val="bg1"/>
                      </a:solidFill>
                    </a:endParaRP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279618024470307"/>
                      <c:h val="0.184484389782403"/>
                    </c:manualLayout>
                  </c15:layout>
                </c:ext>
              </c:extLst>
            </c:dLbl>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chemeClr val="bg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公务用车购置及运行维护费</c:v>
                </c:pt>
              </c:strCache>
            </c:strRef>
          </c:cat>
          <c:val>
            <c:numRef>
              <c:f>Sheet1!$B$2:$B$5</c:f>
              <c:numCache>
                <c:formatCode>0%</c:formatCode>
                <c:ptCount val="4"/>
                <c:pt idx="0">
                  <c:v>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noFill/>
      <a:round/>
    </a:ln>
    <a:effectLst/>
  </c:spPr>
  <c:txPr>
    <a:bodyPr/>
    <a:lstStyle/>
    <a:p>
      <a:pPr>
        <a:defRPr lang="zh-CN" sz="1000" b="1">
          <a:solidFill>
            <a:schemeClr val="bg1"/>
          </a:solidFill>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5858</Words>
  <Characters>2916</Characters>
  <Lines>24</Lines>
  <Paragraphs>17</Paragraphs>
  <TotalTime>20</TotalTime>
  <ScaleCrop>false</ScaleCrop>
  <LinksUpToDate>false</LinksUpToDate>
  <CharactersWithSpaces>8757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user</cp:lastModifiedBy>
  <cp:lastPrinted>2021-09-08T00:49:00Z</cp:lastPrinted>
  <dcterms:modified xsi:type="dcterms:W3CDTF">2022-11-11T16:46:55Z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778B257554BC43EBB06CCDB161437152</vt:lpwstr>
  </property>
</Properties>
</file>