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hint="default" w:ascii="方正小标宋简体" w:hAnsi="宋体" w:eastAsia="方正小标宋简体"/>
          <w:color w:val="000000"/>
          <w:sz w:val="30"/>
          <w:szCs w:val="30"/>
          <w:lang w:val="en-US" w:eastAsia="zh-CN"/>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hint="eastAsia" w:ascii="方正小标宋简体" w:hAnsi="宋体" w:eastAsia="方正小标宋简体"/>
          <w:color w:val="000000"/>
          <w:sz w:val="72"/>
          <w:szCs w:val="72"/>
          <w:lang w:eastAsia="zh-CN"/>
        </w:rPr>
      </w:pPr>
      <w:bookmarkStart w:id="1" w:name="_Toc15377425"/>
      <w:bookmarkStart w:id="2" w:name="_Toc15377193"/>
      <w:bookmarkStart w:id="3" w:name="_Toc15396475"/>
      <w:bookmarkStart w:id="4" w:name="_Toc15396597"/>
      <w:bookmarkStart w:id="5" w:name="_Toc15378441"/>
      <w:r>
        <w:rPr>
          <w:rFonts w:hint="eastAsia" w:ascii="方正小标宋简体" w:hAnsi="宋体" w:eastAsia="方正小标宋简体"/>
          <w:color w:val="000000"/>
          <w:sz w:val="72"/>
          <w:szCs w:val="72"/>
          <w:lang w:eastAsia="zh-CN"/>
        </w:rPr>
        <w:t>20</w:t>
      </w:r>
      <w:r>
        <w:rPr>
          <w:rFonts w:hint="eastAsia" w:ascii="方正小标宋简体" w:hAnsi="宋体" w:eastAsia="方正小标宋简体"/>
          <w:color w:val="000000"/>
          <w:sz w:val="72"/>
          <w:szCs w:val="72"/>
          <w:lang w:val="en-US" w:eastAsia="zh-CN"/>
        </w:rPr>
        <w:t>20</w:t>
      </w:r>
      <w:r>
        <w:rPr>
          <w:rFonts w:hint="eastAsia" w:ascii="方正小标宋简体" w:hAnsi="宋体" w:eastAsia="方正小标宋简体"/>
          <w:color w:val="000000"/>
          <w:sz w:val="72"/>
          <w:szCs w:val="72"/>
          <w:lang w:eastAsia="zh-CN"/>
        </w:rPr>
        <w:t>年度</w:t>
      </w:r>
      <w:bookmarkEnd w:id="1"/>
      <w:bookmarkEnd w:id="2"/>
      <w:bookmarkEnd w:id="3"/>
      <w:bookmarkEnd w:id="4"/>
      <w:bookmarkEnd w:id="5"/>
    </w:p>
    <w:p>
      <w:pPr>
        <w:adjustRightInd w:val="0"/>
        <w:snapToGrid w:val="0"/>
        <w:spacing w:line="360" w:lineRule="auto"/>
        <w:jc w:val="center"/>
        <w:outlineLvl w:val="0"/>
        <w:rPr>
          <w:rFonts w:hint="eastAsia" w:ascii="方正小标宋简体" w:hAnsi="宋体" w:eastAsia="方正小标宋简体"/>
          <w:color w:val="000000"/>
          <w:sz w:val="72"/>
          <w:szCs w:val="72"/>
          <w:lang w:eastAsia="zh-CN"/>
        </w:rPr>
      </w:pPr>
      <w:bookmarkStart w:id="6" w:name="_Toc15396476"/>
      <w:bookmarkStart w:id="7" w:name="_Toc15377426"/>
      <w:bookmarkStart w:id="8" w:name="_Toc15377194"/>
      <w:bookmarkStart w:id="9" w:name="_Toc15396598"/>
      <w:bookmarkStart w:id="10" w:name="_Toc15378442"/>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eastAsia="zh-CN"/>
        </w:rPr>
        <w:t>财政厅预算编审</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lang w:eastAsia="zh-CN"/>
        </w:rPr>
        <w:t>中心单位</w:t>
      </w:r>
      <w:r>
        <w:rPr>
          <w:rFonts w:hint="eastAsia" w:ascii="方正小标宋简体" w:hAnsi="宋体" w:eastAsia="方正小标宋简体"/>
          <w:color w:val="000000"/>
          <w:sz w:val="72"/>
          <w:szCs w:val="72"/>
        </w:rPr>
        <w:t>决算</w:t>
      </w:r>
      <w:bookmarkEnd w:id="6"/>
      <w:bookmarkEnd w:id="7"/>
      <w:bookmarkEnd w:id="8"/>
      <w:bookmarkEnd w:id="9"/>
      <w:bookmarkEnd w:id="10"/>
      <w:bookmarkEnd w:id="11"/>
      <w:bookmarkStart w:id="67" w:name="_GoBack"/>
      <w:bookmarkEnd w:id="67"/>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0"/>
      </w:pPr>
      <w:r>
        <w:rPr>
          <w:rFonts w:hint="eastAsia"/>
        </w:rPr>
        <w:t>公开时间：20</w:t>
      </w:r>
      <w:r>
        <w:rPr>
          <w:rFonts w:hint="eastAsia"/>
          <w:lang w:val="en-US" w:eastAsia="zh-CN"/>
        </w:rPr>
        <w:t>21</w:t>
      </w:r>
      <w:r>
        <w:rPr>
          <w:rFonts w:hint="eastAsia"/>
        </w:rPr>
        <w:t>年</w:t>
      </w:r>
      <w:r>
        <w:rPr>
          <w:rFonts w:hint="eastAsia"/>
          <w:lang w:val="en-US" w:eastAsia="zh-CN"/>
        </w:rPr>
        <w:t>9</w:t>
      </w:r>
      <w:r>
        <w:rPr>
          <w:rFonts w:hint="eastAsia"/>
        </w:rPr>
        <w:t>月</w:t>
      </w:r>
      <w:r>
        <w:rPr>
          <w:rFonts w:hint="eastAsia"/>
          <w:lang w:val="en-US" w:eastAsia="zh-CN"/>
        </w:rPr>
        <w:t>10</w:t>
      </w:r>
      <w:r>
        <w:rPr>
          <w:rFonts w:hint="eastAsia"/>
        </w:rPr>
        <w:t>日</w:t>
      </w:r>
    </w:p>
    <w:p/>
    <w:p>
      <w:pPr>
        <w:pStyle w:val="10"/>
        <w:adjustRightInd w:val="0"/>
        <w:snapToGrid w:val="0"/>
        <w:spacing w:before="0" w:line="440" w:lineRule="exact"/>
        <w:jc w:val="left"/>
        <w:rPr>
          <w:rFonts w:hint="eastAsia" w:ascii="黑体" w:hAnsi="黑体" w:eastAsia="黑体" w:cs="黑体"/>
          <w:color w:val="auto"/>
          <w:kern w:val="2"/>
          <w:sz w:val="24"/>
          <w:szCs w:val="24"/>
          <w:lang w:val="en-US" w:eastAsia="zh-CN" w:bidi="ar-SA"/>
        </w:rPr>
      </w:pPr>
      <w:r>
        <w:rPr>
          <w:rFonts w:hint="eastAsia" w:ascii="仿宋_GB2312" w:hAnsi="仿宋_GB2312" w:eastAsia="仿宋_GB2312" w:cs="仿宋_GB2312"/>
          <w:b/>
          <w:bCs/>
          <w:color w:val="auto"/>
          <w:sz w:val="24"/>
        </w:rPr>
        <w:t xml:space="preserve">第一部分 </w:t>
      </w:r>
      <w:r>
        <w:rPr>
          <w:rFonts w:hint="eastAsia" w:ascii="仿宋_GB2312" w:hAnsi="仿宋_GB2312" w:eastAsia="仿宋_GB2312" w:cs="仿宋_GB2312"/>
          <w:b/>
          <w:bCs/>
          <w:color w:val="auto"/>
          <w:sz w:val="24"/>
          <w:lang w:eastAsia="zh-CN"/>
        </w:rPr>
        <w:t>单位</w:t>
      </w:r>
      <w:r>
        <w:rPr>
          <w:rFonts w:hint="eastAsia" w:ascii="仿宋_GB2312" w:hAnsi="仿宋_GB2312" w:eastAsia="仿宋_GB2312" w:cs="仿宋_GB2312"/>
          <w:b/>
          <w:bCs/>
          <w:color w:val="auto"/>
          <w:sz w:val="24"/>
        </w:rPr>
        <w:t>概况</w:t>
      </w:r>
      <w:r>
        <w:rPr>
          <w:rFonts w:hint="eastAsia" w:ascii="黑体" w:hAnsi="黑体" w:eastAsia="黑体" w:cs="黑体"/>
          <w:color w:val="auto"/>
          <w:sz w:val="24"/>
        </w:rPr>
        <w:t>………………………………………………………</w:t>
      </w:r>
      <w:r>
        <w:rPr>
          <w:rFonts w:hint="eastAsia" w:ascii="黑体" w:hAnsi="黑体" w:eastAsia="黑体" w:cs="黑体"/>
          <w:color w:val="auto"/>
          <w:kern w:val="2"/>
          <w:sz w:val="24"/>
          <w:szCs w:val="24"/>
          <w:lang w:val="en-US" w:eastAsia="zh-CN" w:bidi="ar-SA"/>
        </w:rPr>
        <w:t>4</w:t>
      </w:r>
    </w:p>
    <w:p>
      <w:pPr>
        <w:pStyle w:val="11"/>
        <w:adjustRightInd w:val="0"/>
        <w:snapToGrid w:val="0"/>
        <w:spacing w:line="440" w:lineRule="exact"/>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rPr>
        <w:t>一、职能</w:t>
      </w:r>
      <w:r>
        <w:rPr>
          <w:rFonts w:hint="eastAsia" w:ascii="仿宋_GB2312" w:hAnsi="仿宋_GB2312" w:eastAsia="仿宋_GB2312" w:cs="仿宋_GB2312"/>
          <w:color w:val="auto"/>
          <w:sz w:val="24"/>
          <w:lang w:eastAsia="zh-CN"/>
        </w:rPr>
        <w:t>简介</w:t>
      </w:r>
      <w:r>
        <w:rPr>
          <w:rFonts w:hint="eastAsia" w:ascii="仿宋_GB2312" w:hAnsi="仿宋_GB2312" w:eastAsia="仿宋_GB2312" w:cs="仿宋_GB2312"/>
          <w:b w:val="0"/>
          <w:bCs w:val="0"/>
          <w:color w:val="auto"/>
          <w:sz w:val="24"/>
        </w:rPr>
        <w:t>………………………………………………………</w:t>
      </w:r>
      <w:r>
        <w:rPr>
          <w:rFonts w:hint="eastAsia" w:ascii="仿宋_GB2312" w:hAnsi="仿宋_GB2312" w:eastAsia="仿宋_GB2312" w:cs="仿宋_GB2312"/>
          <w:color w:val="auto"/>
          <w:kern w:val="2"/>
          <w:sz w:val="24"/>
          <w:szCs w:val="24"/>
          <w:lang w:val="en-US" w:eastAsia="zh-CN" w:bidi="ar-SA"/>
        </w:rPr>
        <w:t>…</w:t>
      </w:r>
      <w:r>
        <w:rPr>
          <w:rFonts w:hint="eastAsia" w:ascii="黑体" w:hAnsi="黑体" w:eastAsia="黑体" w:cs="黑体"/>
          <w:color w:val="auto"/>
          <w:kern w:val="2"/>
          <w:sz w:val="24"/>
          <w:szCs w:val="24"/>
          <w:lang w:val="en-US" w:eastAsia="zh-CN" w:bidi="ar-SA"/>
        </w:rPr>
        <w:t>4</w:t>
      </w:r>
    </w:p>
    <w:p>
      <w:pPr>
        <w:pStyle w:val="11"/>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黑体" w:hAnsi="黑体" w:eastAsia="黑体" w:cs="黑体"/>
          <w:color w:val="auto"/>
          <w:kern w:val="2"/>
          <w:sz w:val="24"/>
          <w:szCs w:val="24"/>
          <w:lang w:val="en-US" w:eastAsia="zh-CN" w:bidi="ar-SA"/>
        </w:rPr>
      </w:pPr>
      <w:r>
        <w:rPr>
          <w:rFonts w:hint="eastAsia" w:ascii="仿宋_GB2312" w:hAnsi="仿宋_GB2312" w:eastAsia="仿宋_GB2312" w:cs="仿宋_GB2312"/>
          <w:color w:val="auto"/>
          <w:sz w:val="24"/>
          <w:lang w:eastAsia="zh-CN"/>
        </w:rPr>
        <w:t>二、</w:t>
      </w:r>
      <w:r>
        <w:rPr>
          <w:rFonts w:hint="eastAsia" w:ascii="仿宋_GB2312" w:hAnsi="仿宋_GB2312" w:eastAsia="仿宋_GB2312" w:cs="仿宋_GB2312"/>
          <w:color w:val="auto"/>
          <w:sz w:val="24"/>
          <w:lang w:val="en-US" w:eastAsia="zh-CN"/>
        </w:rPr>
        <w:t>2020年重点</w:t>
      </w:r>
      <w:r>
        <w:rPr>
          <w:rFonts w:hint="eastAsia" w:ascii="仿宋_GB2312" w:hAnsi="仿宋_GB2312" w:eastAsia="仿宋_GB2312" w:cs="仿宋_GB2312"/>
          <w:color w:val="auto"/>
          <w:sz w:val="24"/>
        </w:rPr>
        <w:t>工作</w:t>
      </w:r>
      <w:r>
        <w:rPr>
          <w:rFonts w:hint="eastAsia" w:ascii="仿宋_GB2312" w:hAnsi="仿宋_GB2312" w:eastAsia="仿宋_GB2312" w:cs="仿宋_GB2312"/>
          <w:color w:val="auto"/>
          <w:sz w:val="24"/>
          <w:lang w:eastAsia="zh-CN"/>
        </w:rPr>
        <w:t>完成情况</w:t>
      </w:r>
      <w:r>
        <w:rPr>
          <w:rFonts w:hint="eastAsia" w:ascii="仿宋_GB2312" w:hAnsi="仿宋_GB2312" w:eastAsia="仿宋_GB2312" w:cs="仿宋_GB2312"/>
          <w:color w:val="auto"/>
          <w:sz w:val="24"/>
        </w:rPr>
        <w:t>………………………………………</w:t>
      </w:r>
      <w:r>
        <w:rPr>
          <w:rFonts w:hint="eastAsia" w:ascii="黑体" w:hAnsi="黑体" w:eastAsia="黑体" w:cs="黑体"/>
          <w:color w:val="auto"/>
          <w:kern w:val="2"/>
          <w:sz w:val="24"/>
          <w:szCs w:val="24"/>
          <w:lang w:val="en-US" w:eastAsia="zh-CN" w:bidi="ar-SA"/>
        </w:rPr>
        <w:t>4</w:t>
      </w:r>
    </w:p>
    <w:p>
      <w:pPr>
        <w:keepNext w:val="0"/>
        <w:keepLines w:val="0"/>
        <w:pageBreakBefore w:val="0"/>
        <w:widowControl w:val="0"/>
        <w:kinsoku/>
        <w:wordWrap/>
        <w:overflowPunct/>
        <w:topLinePunct w:val="0"/>
        <w:autoSpaceDE/>
        <w:autoSpaceDN/>
        <w:bidi w:val="0"/>
        <w:spacing w:line="440" w:lineRule="exact"/>
        <w:textAlignment w:val="auto"/>
        <w:rPr>
          <w:rFonts w:hint="default"/>
          <w:lang w:val="en-US" w:eastAsia="zh-CN"/>
        </w:rPr>
      </w:pPr>
      <w:r>
        <w:rPr>
          <w:rFonts w:hint="eastAsia"/>
          <w:lang w:val="en-US" w:eastAsia="zh-CN"/>
        </w:rPr>
        <w:t xml:space="preserve">    </w:t>
      </w:r>
      <w:r>
        <w:rPr>
          <w:rFonts w:hint="eastAsia" w:ascii="仿宋_GB2312" w:hAnsi="仿宋_GB2312" w:eastAsia="仿宋_GB2312" w:cs="仿宋_GB2312"/>
          <w:color w:val="auto"/>
          <w:kern w:val="2"/>
          <w:sz w:val="24"/>
          <w:szCs w:val="24"/>
          <w:lang w:val="en-US" w:eastAsia="zh-CN" w:bidi="ar-SA"/>
        </w:rPr>
        <w:t>三、机构设置情况……………</w:t>
      </w:r>
      <w:r>
        <w:rPr>
          <w:rFonts w:hint="eastAsia" w:ascii="仿宋_GB2312" w:hAnsi="仿宋_GB2312" w:eastAsia="仿宋_GB2312" w:cs="仿宋_GB2312"/>
          <w:color w:val="auto"/>
          <w:sz w:val="24"/>
        </w:rPr>
        <w:t>………………………………………</w:t>
      </w:r>
      <w:r>
        <w:rPr>
          <w:rFonts w:hint="eastAsia" w:ascii="黑体" w:hAnsi="黑体" w:eastAsia="黑体" w:cs="黑体"/>
          <w:color w:val="auto"/>
          <w:kern w:val="2"/>
          <w:sz w:val="24"/>
          <w:szCs w:val="24"/>
          <w:lang w:val="en-US" w:eastAsia="zh-CN" w:bidi="ar-SA"/>
        </w:rPr>
        <w:t>4</w:t>
      </w:r>
    </w:p>
    <w:p>
      <w:pPr>
        <w:pStyle w:val="10"/>
        <w:adjustRightInd w:val="0"/>
        <w:snapToGrid w:val="0"/>
        <w:spacing w:before="0" w:line="440" w:lineRule="exact"/>
        <w:jc w:val="left"/>
        <w:rPr>
          <w:rFonts w:hint="eastAsia" w:eastAsia="黑体"/>
          <w:color w:val="auto"/>
          <w:sz w:val="24"/>
          <w:szCs w:val="24"/>
          <w:lang w:val="en-US" w:eastAsia="zh-CN"/>
        </w:rPr>
      </w:pPr>
      <w:r>
        <w:rPr>
          <w:rFonts w:hint="eastAsia" w:ascii="仿宋_GB2312" w:hAnsi="仿宋_GB2312" w:eastAsia="仿宋_GB2312" w:cs="仿宋_GB2312"/>
          <w:b/>
          <w:bCs/>
          <w:color w:val="auto"/>
          <w:sz w:val="24"/>
        </w:rPr>
        <w:t>第二部分</w:t>
      </w:r>
      <w:r>
        <w:rPr>
          <w:rFonts w:hint="eastAsia" w:ascii="仿宋_GB2312" w:hAnsi="仿宋_GB2312" w:eastAsia="仿宋_GB2312" w:cs="仿宋_GB2312"/>
          <w:b/>
          <w:bCs/>
          <w:color w:val="auto"/>
          <w:sz w:val="24"/>
          <w:lang w:val="en-US" w:eastAsia="zh-CN"/>
        </w:rPr>
        <w:t xml:space="preserve"> 2020年度</w:t>
      </w:r>
      <w:r>
        <w:rPr>
          <w:rFonts w:hint="eastAsia" w:ascii="仿宋_GB2312" w:hAnsi="仿宋_GB2312" w:eastAsia="仿宋_GB2312" w:cs="仿宋_GB2312"/>
          <w:b/>
          <w:bCs/>
          <w:color w:val="auto"/>
          <w:sz w:val="24"/>
          <w:lang w:eastAsia="zh-CN"/>
        </w:rPr>
        <w:t>单位</w:t>
      </w:r>
      <w:r>
        <w:rPr>
          <w:rFonts w:hint="eastAsia" w:ascii="仿宋_GB2312" w:hAnsi="仿宋_GB2312" w:eastAsia="仿宋_GB2312" w:cs="仿宋_GB2312"/>
          <w:b/>
          <w:bCs/>
          <w:color w:val="auto"/>
          <w:sz w:val="24"/>
        </w:rPr>
        <w:t>决算情况说明</w:t>
      </w:r>
      <w:r>
        <w:rPr>
          <w:rFonts w:hint="eastAsia" w:ascii="黑体" w:hAnsi="黑体" w:eastAsia="黑体" w:cs="黑体"/>
          <w:color w:val="auto"/>
          <w:sz w:val="24"/>
        </w:rPr>
        <w:t>…………………………………</w:t>
      </w:r>
      <w:r>
        <w:rPr>
          <w:rFonts w:hint="eastAsia" w:ascii="黑体" w:hAnsi="黑体" w:eastAsia="黑体" w:cs="黑体"/>
          <w:color w:val="auto"/>
          <w:sz w:val="24"/>
          <w:lang w:val="en-US" w:eastAsia="zh-CN"/>
        </w:rPr>
        <w:t>5</w:t>
      </w:r>
    </w:p>
    <w:p>
      <w:pPr>
        <w:pStyle w:val="11"/>
        <w:adjustRightInd w:val="0"/>
        <w:snapToGrid w:val="0"/>
        <w:spacing w:line="440" w:lineRule="exact"/>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一、收入支出决算总体情况说明……………………………………</w:t>
      </w:r>
      <w:r>
        <w:rPr>
          <w:rFonts w:hint="eastAsia" w:ascii="黑体" w:hAnsi="黑体" w:eastAsia="黑体" w:cs="黑体"/>
          <w:color w:val="auto"/>
          <w:kern w:val="2"/>
          <w:sz w:val="24"/>
          <w:szCs w:val="24"/>
          <w:lang w:val="en-US" w:eastAsia="zh-CN" w:bidi="ar-SA"/>
        </w:rPr>
        <w:t>5</w:t>
      </w:r>
    </w:p>
    <w:p>
      <w:pPr>
        <w:pStyle w:val="11"/>
        <w:adjustRightInd w:val="0"/>
        <w:snapToGrid w:val="0"/>
        <w:spacing w:line="440" w:lineRule="exact"/>
        <w:jc w:val="left"/>
        <w:rPr>
          <w:rFonts w:hint="eastAsia" w:ascii="黑体" w:hAnsi="黑体" w:eastAsia="黑体" w:cs="黑体"/>
          <w:kern w:val="2"/>
          <w:sz w:val="24"/>
          <w:szCs w:val="24"/>
          <w:lang w:val="en-US" w:eastAsia="zh-CN" w:bidi="ar-SA"/>
        </w:rPr>
      </w:pPr>
      <w:r>
        <w:rPr>
          <w:rFonts w:hint="eastAsia" w:ascii="仿宋_GB2312" w:hAnsi="仿宋_GB2312" w:eastAsia="仿宋_GB2312" w:cs="仿宋_GB2312"/>
          <w:color w:val="auto"/>
          <w:sz w:val="24"/>
        </w:rPr>
        <w:t>二、收入决算情况说明………………………………………………</w:t>
      </w:r>
      <w:r>
        <w:rPr>
          <w:rFonts w:hint="eastAsia" w:ascii="黑体" w:hAnsi="黑体" w:eastAsia="黑体" w:cs="黑体"/>
          <w:kern w:val="2"/>
          <w:sz w:val="24"/>
          <w:szCs w:val="24"/>
          <w:lang w:val="en-US" w:eastAsia="zh-CN" w:bidi="ar-SA"/>
        </w:rPr>
        <w:t>5</w:t>
      </w:r>
    </w:p>
    <w:p>
      <w:pPr>
        <w:pStyle w:val="11"/>
        <w:adjustRightInd w:val="0"/>
        <w:snapToGrid w:val="0"/>
        <w:spacing w:line="440" w:lineRule="exact"/>
        <w:jc w:val="left"/>
        <w:rPr>
          <w:rFonts w:hint="eastAsia" w:ascii="黑体" w:hAnsi="黑体" w:eastAsia="黑体" w:cs="黑体"/>
          <w:color w:val="auto"/>
          <w:kern w:val="2"/>
          <w:sz w:val="24"/>
          <w:szCs w:val="24"/>
          <w:lang w:val="en-US" w:eastAsia="zh-CN" w:bidi="ar-SA"/>
        </w:rPr>
      </w:pPr>
      <w:r>
        <w:rPr>
          <w:rFonts w:hint="eastAsia" w:ascii="仿宋_GB2312" w:hAnsi="仿宋_GB2312" w:eastAsia="仿宋_GB2312" w:cs="仿宋_GB2312"/>
          <w:color w:val="auto"/>
          <w:sz w:val="24"/>
        </w:rPr>
        <w:t>三、支出决算情况说明………………………………………………</w:t>
      </w:r>
      <w:r>
        <w:rPr>
          <w:rFonts w:hint="eastAsia" w:ascii="黑体" w:hAnsi="黑体" w:eastAsia="黑体" w:cs="黑体"/>
          <w:color w:val="auto"/>
          <w:kern w:val="2"/>
          <w:sz w:val="24"/>
          <w:szCs w:val="24"/>
          <w:lang w:val="en-US" w:eastAsia="zh-CN" w:bidi="ar-SA"/>
        </w:rPr>
        <w:t>6</w:t>
      </w:r>
    </w:p>
    <w:p>
      <w:pPr>
        <w:pStyle w:val="11"/>
        <w:adjustRightInd w:val="0"/>
        <w:snapToGrid w:val="0"/>
        <w:spacing w:line="440" w:lineRule="exact"/>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四、财政拨款收入支出决算总体情况说明…………………………</w:t>
      </w:r>
      <w:r>
        <w:rPr>
          <w:rFonts w:hint="eastAsia" w:ascii="黑体" w:hAnsi="黑体" w:eastAsia="黑体" w:cs="黑体"/>
          <w:color w:val="auto"/>
          <w:kern w:val="2"/>
          <w:sz w:val="24"/>
          <w:szCs w:val="24"/>
          <w:lang w:val="en-US" w:eastAsia="zh-CN" w:bidi="ar-SA"/>
        </w:rPr>
        <w:t>6</w:t>
      </w:r>
    </w:p>
    <w:p>
      <w:pPr>
        <w:pStyle w:val="11"/>
        <w:adjustRightInd w:val="0"/>
        <w:snapToGrid w:val="0"/>
        <w:spacing w:line="440" w:lineRule="exact"/>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五、一般公共预算财政拨款支出决算情况说明……………………</w:t>
      </w:r>
      <w:r>
        <w:rPr>
          <w:rFonts w:hint="eastAsia" w:ascii="黑体" w:hAnsi="黑体" w:eastAsia="黑体" w:cs="黑体"/>
          <w:color w:val="auto"/>
          <w:kern w:val="2"/>
          <w:sz w:val="24"/>
          <w:szCs w:val="24"/>
          <w:lang w:val="en-US" w:eastAsia="zh-CN" w:bidi="ar-SA"/>
        </w:rPr>
        <w:t>7</w:t>
      </w:r>
    </w:p>
    <w:p>
      <w:pPr>
        <w:pStyle w:val="11"/>
        <w:adjustRightInd w:val="0"/>
        <w:snapToGrid w:val="0"/>
        <w:spacing w:line="440" w:lineRule="exact"/>
        <w:jc w:val="left"/>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六、一般公共预算财政拨款基本支出决算情况说明………………</w:t>
      </w:r>
      <w:r>
        <w:rPr>
          <w:rFonts w:hint="eastAsia" w:ascii="黑体" w:hAnsi="黑体" w:eastAsia="黑体" w:cs="黑体"/>
          <w:kern w:val="2"/>
          <w:sz w:val="24"/>
          <w:szCs w:val="24"/>
          <w:lang w:val="en-US" w:eastAsia="zh-CN" w:bidi="ar-SA"/>
        </w:rPr>
        <w:t>9</w:t>
      </w:r>
    </w:p>
    <w:p>
      <w:pPr>
        <w:pStyle w:val="11"/>
        <w:adjustRightInd w:val="0"/>
        <w:snapToGrid w:val="0"/>
        <w:spacing w:line="440" w:lineRule="exact"/>
        <w:jc w:val="left"/>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七、“三公”经费财政拨款支出决算情况说明……………………</w:t>
      </w:r>
      <w:r>
        <w:rPr>
          <w:rFonts w:hint="eastAsia" w:ascii="黑体" w:hAnsi="黑体" w:eastAsia="黑体" w:cs="黑体"/>
          <w:kern w:val="2"/>
          <w:sz w:val="24"/>
          <w:szCs w:val="24"/>
          <w:lang w:val="en-US" w:eastAsia="zh-CN" w:bidi="ar-SA"/>
        </w:rPr>
        <w:t>10</w:t>
      </w:r>
    </w:p>
    <w:p>
      <w:pPr>
        <w:pStyle w:val="11"/>
        <w:adjustRightInd w:val="0"/>
        <w:snapToGrid w:val="0"/>
        <w:spacing w:line="440" w:lineRule="exact"/>
        <w:jc w:val="left"/>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八、政府性基金预算支出决算情况说明……………………………</w:t>
      </w:r>
      <w:r>
        <w:rPr>
          <w:rFonts w:hint="eastAsia" w:ascii="黑体" w:hAnsi="黑体" w:eastAsia="黑体" w:cs="黑体"/>
          <w:kern w:val="2"/>
          <w:sz w:val="24"/>
          <w:szCs w:val="24"/>
          <w:lang w:val="en-US" w:eastAsia="zh-CN" w:bidi="ar-SA"/>
        </w:rPr>
        <w:t>11</w:t>
      </w:r>
    </w:p>
    <w:p>
      <w:pPr>
        <w:pStyle w:val="11"/>
        <w:adjustRightInd w:val="0"/>
        <w:snapToGrid w:val="0"/>
        <w:spacing w:line="440" w:lineRule="exact"/>
        <w:jc w:val="left"/>
        <w:rPr>
          <w:rFonts w:hint="default" w:ascii="仿宋_GB2312" w:hAnsi="仿宋_GB2312" w:eastAsia="仿宋_GB2312" w:cs="仿宋_GB2312"/>
          <w:color w:val="auto"/>
          <w:sz w:val="24"/>
          <w:lang w:val="en-US"/>
        </w:rPr>
      </w:pPr>
      <w:r>
        <w:rPr>
          <w:rFonts w:hint="eastAsia" w:ascii="仿宋_GB2312" w:hAnsi="仿宋_GB2312" w:eastAsia="仿宋_GB2312" w:cs="仿宋_GB2312"/>
          <w:color w:val="auto"/>
          <w:sz w:val="24"/>
        </w:rPr>
        <w:t>九、国有资本经营预算支出决算情况说明…………………………</w:t>
      </w:r>
      <w:r>
        <w:rPr>
          <w:rFonts w:hint="eastAsia" w:ascii="黑体" w:hAnsi="黑体" w:eastAsia="黑体" w:cs="黑体"/>
          <w:kern w:val="2"/>
          <w:sz w:val="24"/>
          <w:szCs w:val="24"/>
          <w:lang w:val="en-US" w:eastAsia="zh-CN" w:bidi="ar-SA"/>
        </w:rPr>
        <w:t>11</w:t>
      </w:r>
    </w:p>
    <w:p>
      <w:pPr>
        <w:pStyle w:val="11"/>
        <w:adjustRightInd w:val="0"/>
        <w:snapToGrid w:val="0"/>
        <w:spacing w:line="440" w:lineRule="exac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十、其他重要事项的情况说明………………………………………</w:t>
      </w:r>
      <w:r>
        <w:rPr>
          <w:rFonts w:hint="eastAsia" w:ascii="黑体" w:hAnsi="黑体" w:eastAsia="黑体" w:cs="黑体"/>
          <w:kern w:val="2"/>
          <w:sz w:val="24"/>
          <w:szCs w:val="24"/>
          <w:lang w:val="en-US" w:eastAsia="zh-CN" w:bidi="ar-SA"/>
        </w:rPr>
        <w:t>11</w:t>
      </w:r>
    </w:p>
    <w:p>
      <w:pPr>
        <w:pStyle w:val="10"/>
        <w:adjustRightInd w:val="0"/>
        <w:snapToGrid w:val="0"/>
        <w:spacing w:before="0" w:line="440" w:lineRule="exact"/>
        <w:jc w:val="left"/>
        <w:rPr>
          <w:rFonts w:hint="default" w:cstheme="minorBidi"/>
          <w:color w:val="auto"/>
          <w:sz w:val="24"/>
          <w:szCs w:val="24"/>
          <w:lang w:val="en-US"/>
        </w:rPr>
      </w:pPr>
      <w:r>
        <w:rPr>
          <w:rFonts w:hint="eastAsia" w:ascii="仿宋_GB2312" w:hAnsi="仿宋_GB2312" w:eastAsia="仿宋_GB2312" w:cs="仿宋_GB2312"/>
          <w:b/>
          <w:bCs/>
          <w:color w:val="auto"/>
          <w:sz w:val="24"/>
        </w:rPr>
        <w:t>第三部分 名词解释</w:t>
      </w:r>
      <w:r>
        <w:rPr>
          <w:rFonts w:hint="eastAsia" w:ascii="黑体" w:hAnsi="黑体" w:eastAsia="黑体" w:cs="黑体"/>
          <w:b w:val="0"/>
          <w:bCs w:val="0"/>
          <w:color w:val="auto"/>
          <w:sz w:val="24"/>
        </w:rPr>
        <w:t>……………………………………………………</w:t>
      </w:r>
      <w:r>
        <w:rPr>
          <w:rFonts w:hint="eastAsia" w:ascii="黑体" w:hAnsi="黑体" w:eastAsia="黑体" w:cs="黑体"/>
          <w:color w:val="auto"/>
          <w:kern w:val="2"/>
          <w:sz w:val="24"/>
          <w:szCs w:val="24"/>
          <w:lang w:val="en-US" w:eastAsia="zh-CN" w:bidi="ar-SA"/>
        </w:rPr>
        <w:t>…13</w:t>
      </w:r>
    </w:p>
    <w:p>
      <w:pPr>
        <w:pStyle w:val="10"/>
        <w:adjustRightInd w:val="0"/>
        <w:snapToGrid w:val="0"/>
        <w:spacing w:before="0" w:line="440" w:lineRule="exact"/>
        <w:jc w:val="left"/>
        <w:rPr>
          <w:rFonts w:hint="default" w:cstheme="minorBidi"/>
          <w:sz w:val="24"/>
          <w:szCs w:val="24"/>
          <w:lang w:val="en-US"/>
        </w:rPr>
      </w:pPr>
      <w:r>
        <w:rPr>
          <w:rFonts w:hint="eastAsia" w:ascii="仿宋_GB2312" w:hAnsi="仿宋_GB2312" w:eastAsia="仿宋_GB2312" w:cs="仿宋_GB2312"/>
          <w:b/>
          <w:bCs/>
          <w:sz w:val="24"/>
        </w:rPr>
        <w:t>第</w:t>
      </w:r>
      <w:r>
        <w:rPr>
          <w:rFonts w:hint="eastAsia" w:ascii="仿宋_GB2312" w:hAnsi="仿宋_GB2312" w:eastAsia="仿宋_GB2312" w:cs="仿宋_GB2312"/>
          <w:b/>
          <w:bCs/>
          <w:sz w:val="24"/>
          <w:lang w:eastAsia="zh-CN"/>
        </w:rPr>
        <w:t>四</w:t>
      </w:r>
      <w:r>
        <w:rPr>
          <w:rFonts w:hint="eastAsia" w:ascii="仿宋_GB2312" w:hAnsi="仿宋_GB2312" w:eastAsia="仿宋_GB2312" w:cs="仿宋_GB2312"/>
          <w:b/>
          <w:bCs/>
          <w:sz w:val="24"/>
        </w:rPr>
        <w:t>部分 附表</w:t>
      </w:r>
      <w:r>
        <w:rPr>
          <w:rFonts w:hint="eastAsia" w:ascii="黑体" w:hAnsi="黑体" w:eastAsia="黑体" w:cs="黑体"/>
          <w:b w:val="0"/>
          <w:bCs w:val="0"/>
          <w:sz w:val="24"/>
        </w:rPr>
        <w:t>……………………………………………………</w:t>
      </w:r>
      <w:r>
        <w:rPr>
          <w:rFonts w:hint="eastAsia" w:ascii="黑体" w:hAnsi="黑体" w:eastAsia="黑体" w:cs="黑体"/>
          <w:kern w:val="2"/>
          <w:sz w:val="24"/>
          <w:szCs w:val="24"/>
          <w:lang w:val="en-US" w:eastAsia="zh-CN" w:bidi="ar-SA"/>
        </w:rPr>
        <w:t>…</w:t>
      </w:r>
      <w:r>
        <w:rPr>
          <w:rFonts w:hint="eastAsia" w:ascii="黑体" w:hAnsi="黑体" w:eastAsia="黑体" w:cs="黑体"/>
          <w:b w:val="0"/>
          <w:bCs w:val="0"/>
          <w:sz w:val="24"/>
        </w:rPr>
        <w:t>…</w:t>
      </w:r>
      <w:r>
        <w:rPr>
          <w:rFonts w:hint="eastAsia" w:ascii="黑体" w:hAnsi="黑体" w:eastAsia="黑体" w:cs="黑体"/>
          <w:kern w:val="2"/>
          <w:sz w:val="24"/>
          <w:szCs w:val="24"/>
          <w:lang w:val="en-US" w:eastAsia="zh-CN" w:bidi="ar-SA"/>
        </w:rPr>
        <w:t>…17</w:t>
      </w:r>
    </w:p>
    <w:p>
      <w:pPr>
        <w:pStyle w:val="11"/>
        <w:adjustRightInd w:val="0"/>
        <w:snapToGrid w:val="0"/>
        <w:spacing w:line="440" w:lineRule="exact"/>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一、收入支出决算总表</w:t>
      </w:r>
    </w:p>
    <w:p>
      <w:pPr>
        <w:pStyle w:val="11"/>
        <w:adjustRightInd w:val="0"/>
        <w:snapToGrid w:val="0"/>
        <w:spacing w:line="440" w:lineRule="exact"/>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二、收入决算表</w:t>
      </w:r>
    </w:p>
    <w:p>
      <w:pPr>
        <w:pStyle w:val="11"/>
        <w:adjustRightInd w:val="0"/>
        <w:snapToGrid w:val="0"/>
        <w:spacing w:line="440" w:lineRule="exact"/>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三、支出决算表</w:t>
      </w:r>
    </w:p>
    <w:p>
      <w:pPr>
        <w:pStyle w:val="11"/>
        <w:adjustRightInd w:val="0"/>
        <w:snapToGrid w:val="0"/>
        <w:spacing w:line="440" w:lineRule="exact"/>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四、财政拨款收入支出决算总表</w:t>
      </w:r>
    </w:p>
    <w:p>
      <w:pPr>
        <w:pStyle w:val="11"/>
        <w:adjustRightInd w:val="0"/>
        <w:snapToGrid w:val="0"/>
        <w:spacing w:line="440" w:lineRule="exact"/>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五、财政拨款支出决算明细表</w:t>
      </w:r>
    </w:p>
    <w:p>
      <w:pPr>
        <w:pStyle w:val="11"/>
        <w:adjustRightInd w:val="0"/>
        <w:snapToGrid w:val="0"/>
        <w:spacing w:line="440" w:lineRule="exact"/>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六、一般公共预算财政拨款支出决算表</w:t>
      </w:r>
    </w:p>
    <w:p>
      <w:pPr>
        <w:pStyle w:val="11"/>
        <w:adjustRightInd w:val="0"/>
        <w:snapToGrid w:val="0"/>
        <w:spacing w:line="440" w:lineRule="exact"/>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七、一般公共预算财政拨款支出决算明细表</w:t>
      </w:r>
    </w:p>
    <w:p>
      <w:pPr>
        <w:pStyle w:val="11"/>
        <w:adjustRightInd w:val="0"/>
        <w:snapToGrid w:val="0"/>
        <w:spacing w:line="440" w:lineRule="exact"/>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八、一般公共预算财政拨款基本支出决算表</w:t>
      </w:r>
    </w:p>
    <w:p>
      <w:pPr>
        <w:pStyle w:val="11"/>
        <w:adjustRightInd w:val="0"/>
        <w:snapToGrid w:val="0"/>
        <w:spacing w:line="440" w:lineRule="exact"/>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九、一般公共预算财政拨款项目支出决算表</w:t>
      </w:r>
    </w:p>
    <w:p>
      <w:pPr>
        <w:pStyle w:val="11"/>
        <w:adjustRightInd w:val="0"/>
        <w:snapToGrid w:val="0"/>
        <w:spacing w:line="440" w:lineRule="exact"/>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十、一般公共预算财政拨款“三公”经费支出决算表</w:t>
      </w:r>
    </w:p>
    <w:p>
      <w:pPr>
        <w:pStyle w:val="11"/>
        <w:adjustRightInd w:val="0"/>
        <w:snapToGrid w:val="0"/>
        <w:spacing w:line="440" w:lineRule="exact"/>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十一、政府性基金预算财政拨款收入支出决算表</w:t>
      </w:r>
    </w:p>
    <w:p>
      <w:pPr>
        <w:pStyle w:val="11"/>
        <w:adjustRightInd w:val="0"/>
        <w:snapToGrid w:val="0"/>
        <w:spacing w:line="440" w:lineRule="exact"/>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十二、政府性基金预算财政拨款“三公”经费支出决算表</w:t>
      </w:r>
    </w:p>
    <w:p>
      <w:pPr>
        <w:pStyle w:val="11"/>
        <w:adjustRightInd w:val="0"/>
        <w:snapToGrid w:val="0"/>
        <w:spacing w:line="440" w:lineRule="exact"/>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十三、国有资本经营预算</w:t>
      </w:r>
      <w:r>
        <w:rPr>
          <w:rFonts w:hint="eastAsia" w:ascii="仿宋_GB2312" w:hAnsi="仿宋_GB2312" w:eastAsia="仿宋_GB2312" w:cs="仿宋_GB2312"/>
          <w:color w:val="auto"/>
          <w:sz w:val="24"/>
          <w:lang w:eastAsia="zh-CN"/>
        </w:rPr>
        <w:t>财政拨款收入</w:t>
      </w:r>
      <w:r>
        <w:rPr>
          <w:rFonts w:hint="eastAsia" w:ascii="仿宋_GB2312" w:hAnsi="仿宋_GB2312" w:eastAsia="仿宋_GB2312" w:cs="仿宋_GB2312"/>
          <w:color w:val="auto"/>
          <w:sz w:val="24"/>
        </w:rPr>
        <w:t>支出决算表</w:t>
      </w:r>
    </w:p>
    <w:p>
      <w:pPr>
        <w:pStyle w:val="11"/>
        <w:adjustRightInd w:val="0"/>
        <w:snapToGrid w:val="0"/>
        <w:spacing w:line="440" w:lineRule="exact"/>
        <w:jc w:val="left"/>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十四、国有资本经营预算财政拨款支出决算表</w:t>
      </w:r>
    </w:p>
    <w:p>
      <w:pPr>
        <w:pStyle w:val="11"/>
        <w:adjustRightInd w:val="0"/>
        <w:snapToGrid w:val="0"/>
        <w:spacing w:line="440" w:lineRule="exact"/>
        <w:jc w:val="left"/>
        <w:rPr>
          <w:rFonts w:hint="eastAsia" w:ascii="仿宋_GB2312" w:hAnsi="仿宋_GB2312" w:eastAsia="仿宋_GB2312" w:cs="仿宋_GB2312"/>
          <w:color w:val="auto"/>
          <w:sz w:val="24"/>
        </w:rPr>
      </w:pPr>
      <w:bookmarkStart w:id="12" w:name="_Toc15396599"/>
      <w:bookmarkStart w:id="13" w:name="_Toc15377196"/>
    </w:p>
    <w:p>
      <w:pPr>
        <w:widowControl/>
        <w:spacing w:line="440" w:lineRule="exact"/>
        <w:jc w:val="left"/>
        <w:rPr>
          <w:rFonts w:ascii="仿宋" w:hAnsi="仿宋" w:eastAsia="仿宋"/>
          <w:b/>
          <w:sz w:val="24"/>
        </w:rPr>
      </w:pPr>
    </w:p>
    <w:p>
      <w:pPr>
        <w:widowControl/>
        <w:spacing w:line="440" w:lineRule="exact"/>
        <w:jc w:val="left"/>
        <w:rPr>
          <w:rFonts w:ascii="仿宋" w:hAnsi="仿宋" w:eastAsia="仿宋"/>
          <w:b/>
          <w:sz w:val="24"/>
        </w:rPr>
      </w:pPr>
    </w:p>
    <w:p>
      <w:pPr>
        <w:widowControl/>
        <w:spacing w:line="440" w:lineRule="exact"/>
        <w:jc w:val="left"/>
        <w:rPr>
          <w:rFonts w:ascii="仿宋" w:hAnsi="仿宋" w:eastAsia="仿宋"/>
          <w:b/>
          <w:sz w:val="24"/>
        </w:rPr>
      </w:pPr>
    </w:p>
    <w:p>
      <w:pPr>
        <w:widowControl/>
        <w:spacing w:line="440" w:lineRule="exact"/>
        <w:jc w:val="left"/>
        <w:rPr>
          <w:rFonts w:ascii="仿宋" w:hAnsi="仿宋" w:eastAsia="仿宋"/>
          <w:bCs/>
          <w:kern w:val="44"/>
          <w:sz w:val="24"/>
        </w:rPr>
      </w:pPr>
      <w:r>
        <w:rPr>
          <w:rFonts w:ascii="仿宋" w:hAnsi="仿宋" w:eastAsia="仿宋"/>
          <w:b/>
          <w:sz w:val="24"/>
        </w:rPr>
        <w:br w:type="page"/>
      </w:r>
    </w:p>
    <w:p>
      <w:pPr>
        <w:pStyle w:val="3"/>
        <w:jc w:val="center"/>
        <w:rPr>
          <w:rFonts w:hint="eastAsia"/>
          <w:color w:val="auto"/>
        </w:rPr>
      </w:pPr>
      <w:r>
        <w:rPr>
          <w:rFonts w:hint="eastAsia" w:ascii="黑体" w:hAnsi="黑体" w:eastAsia="黑体"/>
          <w:b w:val="0"/>
        </w:rPr>
        <w:t xml:space="preserve">第一部分 </w:t>
      </w:r>
      <w:r>
        <w:rPr>
          <w:rFonts w:hint="eastAsia" w:ascii="黑体" w:hAnsi="黑体" w:eastAsia="黑体"/>
          <w:b w:val="0"/>
          <w:lang w:eastAsia="zh-CN"/>
        </w:rPr>
        <w:t>单位</w:t>
      </w:r>
      <w:r>
        <w:rPr>
          <w:rStyle w:val="24"/>
          <w:rFonts w:hint="eastAsia" w:ascii="黑体" w:hAnsi="黑体" w:eastAsia="黑体"/>
          <w:b w:val="0"/>
          <w:bCs w:val="0"/>
        </w:rPr>
        <w:t>概况</w:t>
      </w:r>
      <w:bookmarkEnd w:id="12"/>
      <w:bookmarkEnd w:id="13"/>
      <w:bookmarkStart w:id="14" w:name="_Toc15377197"/>
      <w:bookmarkStart w:id="15" w:name="_Toc15396600"/>
    </w:p>
    <w:p>
      <w:pPr>
        <w:pageBreakBefore w:val="0"/>
        <w:widowControl w:val="0"/>
        <w:kinsoku/>
        <w:wordWrap/>
        <w:overflowPunct w:val="0"/>
        <w:autoSpaceDN/>
        <w:bidi w:val="0"/>
        <w:adjustRightInd w:val="0"/>
        <w:snapToGrid w:val="0"/>
        <w:spacing w:line="560" w:lineRule="exact"/>
        <w:ind w:firstLine="63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一、职能简介</w:t>
      </w:r>
    </w:p>
    <w:p>
      <w:pPr>
        <w:pageBreakBefore w:val="0"/>
        <w:widowControl w:val="0"/>
        <w:kinsoku/>
        <w:wordWrap/>
        <w:overflowPunct w:val="0"/>
        <w:autoSpaceDN/>
        <w:bidi w:val="0"/>
        <w:adjustRightInd w:val="0"/>
        <w:snapToGrid w:val="0"/>
        <w:spacing w:line="560" w:lineRule="exact"/>
        <w:ind w:firstLine="63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四川省财政厅预算编审中心职能为：</w:t>
      </w:r>
      <w:r>
        <w:rPr>
          <w:rFonts w:hint="eastAsia" w:ascii="仿宋_GB2312" w:hAnsi="仿宋_GB2312" w:eastAsia="仿宋_GB2312" w:cs="仿宋_GB2312"/>
          <w:color w:val="auto"/>
          <w:sz w:val="32"/>
          <w:szCs w:val="32"/>
        </w:rPr>
        <w:t>承担省级部门基本支出预算草案的初审和编制工作；负责省级部门和预算单位人员、工资、资产等基础信息库建设、维护的相关业务工作；提出基本支出定额调整建议；负责省级部门预算基本支出预算调整的初审工作；承办省财政厅交办的有关省级部门预算编审的其他工作事项。</w:t>
      </w:r>
    </w:p>
    <w:p>
      <w:pPr>
        <w:pageBreakBefore w:val="0"/>
        <w:widowControl w:val="0"/>
        <w:kinsoku/>
        <w:wordWrap/>
        <w:overflowPunct w:val="0"/>
        <w:autoSpaceDN/>
        <w:bidi w:val="0"/>
        <w:adjustRightInd w:val="0"/>
        <w:snapToGrid w:val="0"/>
        <w:spacing w:line="560" w:lineRule="exact"/>
        <w:ind w:firstLine="630"/>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lang w:val="en-US" w:eastAsia="zh-CN"/>
        </w:rPr>
        <w:t>2020年重点</w:t>
      </w:r>
      <w:r>
        <w:rPr>
          <w:rFonts w:hint="eastAsia" w:ascii="黑体" w:hAnsi="黑体" w:eastAsia="黑体" w:cs="黑体"/>
          <w:color w:val="auto"/>
          <w:sz w:val="32"/>
          <w:szCs w:val="32"/>
        </w:rPr>
        <w:t>工作</w:t>
      </w:r>
      <w:r>
        <w:rPr>
          <w:rFonts w:hint="eastAsia" w:ascii="黑体" w:hAnsi="黑体" w:eastAsia="黑体" w:cs="黑体"/>
          <w:color w:val="auto"/>
          <w:sz w:val="32"/>
          <w:szCs w:val="32"/>
          <w:lang w:eastAsia="zh-CN"/>
        </w:rPr>
        <w:t>完成情况</w:t>
      </w:r>
    </w:p>
    <w:bookmarkEnd w:id="14"/>
    <w:bookmarkEnd w:id="15"/>
    <w:p>
      <w:pPr>
        <w:pageBreakBefore w:val="0"/>
        <w:widowControl w:val="0"/>
        <w:pBdr>
          <w:bottom w:val="single" w:color="FFFFFF" w:sz="4" w:space="28"/>
        </w:pBdr>
        <w:tabs>
          <w:tab w:val="left" w:pos="559"/>
        </w:tabs>
        <w:kinsoku/>
        <w:wordWrap/>
        <w:topLinePunct/>
        <w:autoSpaceDE w:val="0"/>
        <w:autoSpaceDN/>
        <w:bidi w:val="0"/>
        <w:adjustRightInd w:val="0"/>
        <w:snapToGrid w:val="0"/>
        <w:spacing w:line="560" w:lineRule="exact"/>
        <w:ind w:firstLine="642" w:firstLineChars="200"/>
        <w:textAlignment w:val="baseline"/>
        <w:rPr>
          <w:rFonts w:hint="eastAsia" w:ascii="仿宋_GB2312" w:eastAsia="仿宋_GB2312"/>
          <w:sz w:val="32"/>
          <w:szCs w:val="32"/>
        </w:rPr>
      </w:pPr>
      <w:r>
        <w:rPr>
          <w:rFonts w:hint="eastAsia" w:ascii="仿宋_GB2312" w:eastAsia="仿宋_GB2312"/>
          <w:b/>
          <w:sz w:val="32"/>
          <w:szCs w:val="32"/>
          <w:lang w:eastAsia="zh-CN"/>
        </w:rPr>
        <w:t>一是</w:t>
      </w:r>
      <w:r>
        <w:rPr>
          <w:rFonts w:hint="eastAsia" w:ascii="仿宋_GB2312" w:eastAsia="仿宋_GB2312"/>
          <w:b/>
          <w:sz w:val="32"/>
          <w:szCs w:val="32"/>
        </w:rPr>
        <w:t>做好省级部门基本支出预算管理及政策把关。</w:t>
      </w:r>
      <w:r>
        <w:rPr>
          <w:rFonts w:hint="eastAsia" w:ascii="仿宋_GB2312" w:eastAsia="仿宋_GB2312"/>
          <w:sz w:val="32"/>
          <w:szCs w:val="32"/>
        </w:rPr>
        <w:t>配合部门管理处加强省级部门基本支出财务管理，</w:t>
      </w:r>
      <w:r>
        <w:rPr>
          <w:rFonts w:hint="eastAsia" w:ascii="仿宋_GB2312" w:eastAsia="仿宋_GB2312"/>
          <w:sz w:val="32"/>
          <w:szCs w:val="32"/>
          <w:lang w:eastAsia="zh-CN"/>
        </w:rPr>
        <w:t>指导</w:t>
      </w:r>
      <w:r>
        <w:rPr>
          <w:rFonts w:hint="eastAsia" w:ascii="仿宋_GB2312" w:eastAsia="仿宋_GB2312"/>
          <w:sz w:val="32"/>
          <w:szCs w:val="32"/>
        </w:rPr>
        <w:t>省级部门规范执行基本支出相关政策。</w:t>
      </w:r>
      <w:r>
        <w:rPr>
          <w:rFonts w:hint="eastAsia" w:ascii="仿宋_GB2312" w:eastAsia="仿宋_GB2312"/>
          <w:b/>
          <w:sz w:val="32"/>
          <w:szCs w:val="32"/>
          <w:lang w:eastAsia="zh-CN"/>
        </w:rPr>
        <w:t>二是</w:t>
      </w:r>
      <w:r>
        <w:rPr>
          <w:rFonts w:hint="eastAsia" w:ascii="仿宋_GB2312" w:eastAsia="仿宋_GB2312"/>
          <w:b/>
          <w:sz w:val="32"/>
          <w:szCs w:val="32"/>
        </w:rPr>
        <w:t>做好省级部门预算编制执行工作。</w:t>
      </w:r>
      <w:r>
        <w:rPr>
          <w:rFonts w:hint="eastAsia" w:ascii="仿宋_GB2312" w:eastAsia="仿宋_GB2312"/>
          <w:sz w:val="32"/>
          <w:szCs w:val="32"/>
          <w:lang w:eastAsia="zh-CN"/>
        </w:rPr>
        <w:t>进一步加强人员、工资、资产等</w:t>
      </w:r>
      <w:r>
        <w:rPr>
          <w:rFonts w:hint="eastAsia" w:ascii="仿宋_GB2312" w:eastAsia="仿宋_GB2312"/>
          <w:sz w:val="32"/>
          <w:szCs w:val="32"/>
        </w:rPr>
        <w:t>基础</w:t>
      </w:r>
      <w:r>
        <w:rPr>
          <w:rFonts w:hint="eastAsia" w:ascii="仿宋_GB2312" w:eastAsia="仿宋_GB2312"/>
          <w:sz w:val="32"/>
          <w:szCs w:val="32"/>
          <w:lang w:eastAsia="zh-CN"/>
        </w:rPr>
        <w:t>信息</w:t>
      </w:r>
      <w:r>
        <w:rPr>
          <w:rFonts w:hint="eastAsia" w:ascii="仿宋_GB2312" w:eastAsia="仿宋_GB2312"/>
          <w:sz w:val="32"/>
          <w:szCs w:val="32"/>
        </w:rPr>
        <w:t>库</w:t>
      </w:r>
      <w:r>
        <w:rPr>
          <w:rFonts w:hint="eastAsia" w:ascii="仿宋_GB2312" w:eastAsia="仿宋_GB2312"/>
          <w:sz w:val="32"/>
          <w:szCs w:val="32"/>
          <w:lang w:eastAsia="zh-CN"/>
        </w:rPr>
        <w:t>建设，积极参与</w:t>
      </w:r>
      <w:r>
        <w:rPr>
          <w:rFonts w:hint="eastAsia" w:ascii="仿宋_GB2312" w:eastAsia="仿宋_GB2312"/>
          <w:sz w:val="32"/>
          <w:szCs w:val="32"/>
        </w:rPr>
        <w:t>项目库管理，配合部门管理处</w:t>
      </w:r>
      <w:r>
        <w:rPr>
          <w:rFonts w:hint="eastAsia" w:ascii="仿宋_GB2312" w:hAnsi="Calibri" w:eastAsia="仿宋_GB2312"/>
          <w:sz w:val="32"/>
          <w:szCs w:val="32"/>
        </w:rPr>
        <w:t>完成20</w:t>
      </w:r>
      <w:r>
        <w:rPr>
          <w:rFonts w:hint="eastAsia" w:ascii="仿宋_GB2312" w:hAnsi="Calibri" w:eastAsia="仿宋_GB2312"/>
          <w:sz w:val="32"/>
          <w:szCs w:val="32"/>
          <w:lang w:val="en-US" w:eastAsia="zh-CN"/>
        </w:rPr>
        <w:t>20</w:t>
      </w:r>
      <w:r>
        <w:rPr>
          <w:rFonts w:hint="eastAsia" w:ascii="仿宋_GB2312" w:hAnsi="Calibri" w:eastAsia="仿宋_GB2312"/>
          <w:sz w:val="32"/>
          <w:szCs w:val="32"/>
        </w:rPr>
        <w:t>年省级部门基本支出预算草案的初审、编制及预算</w:t>
      </w:r>
      <w:r>
        <w:rPr>
          <w:rFonts w:hint="eastAsia" w:ascii="仿宋_GB2312" w:hAnsi="Calibri" w:eastAsia="仿宋_GB2312"/>
          <w:sz w:val="32"/>
          <w:szCs w:val="32"/>
          <w:lang w:eastAsia="zh-CN"/>
        </w:rPr>
        <w:t>执行</w:t>
      </w:r>
      <w:r>
        <w:rPr>
          <w:rFonts w:hint="eastAsia" w:ascii="仿宋_GB2312" w:hAnsi="Calibri" w:eastAsia="仿宋_GB2312"/>
          <w:sz w:val="32"/>
          <w:szCs w:val="32"/>
        </w:rPr>
        <w:t>等相关工作。</w:t>
      </w:r>
      <w:r>
        <w:rPr>
          <w:rFonts w:hint="eastAsia" w:ascii="仿宋_GB2312" w:eastAsia="仿宋_GB2312"/>
          <w:b/>
          <w:sz w:val="32"/>
          <w:szCs w:val="32"/>
          <w:lang w:eastAsia="zh-CN"/>
        </w:rPr>
        <w:t>三是</w:t>
      </w:r>
      <w:r>
        <w:rPr>
          <w:rFonts w:hint="eastAsia" w:ascii="仿宋_GB2312" w:eastAsia="仿宋_GB2312"/>
          <w:b/>
          <w:sz w:val="32"/>
          <w:szCs w:val="32"/>
        </w:rPr>
        <w:t>做好民生专项工作资金平衡和预算执行。</w:t>
      </w:r>
      <w:r>
        <w:rPr>
          <w:rFonts w:hint="eastAsia" w:ascii="仿宋_GB2312" w:hAnsi="黑体" w:eastAsia="仿宋_GB2312"/>
          <w:sz w:val="32"/>
          <w:szCs w:val="32"/>
          <w:lang w:eastAsia="zh-CN"/>
        </w:rPr>
        <w:t>完成</w:t>
      </w:r>
      <w:r>
        <w:rPr>
          <w:rFonts w:hint="eastAsia" w:ascii="仿宋_GB2312" w:hAnsi="黑体" w:eastAsia="仿宋_GB2312"/>
          <w:sz w:val="32"/>
          <w:szCs w:val="32"/>
        </w:rPr>
        <w:t>2020年全省30件民生实事及</w:t>
      </w:r>
      <w:r>
        <w:rPr>
          <w:rFonts w:hint="eastAsia" w:ascii="仿宋_GB2312" w:hAnsi="黑体" w:eastAsia="仿宋_GB2312"/>
          <w:sz w:val="32"/>
          <w:szCs w:val="32"/>
          <w:lang w:eastAsia="zh-CN"/>
        </w:rPr>
        <w:t>涉藏</w:t>
      </w:r>
      <w:r>
        <w:rPr>
          <w:rFonts w:hint="eastAsia" w:ascii="仿宋_GB2312" w:hAnsi="黑体" w:eastAsia="仿宋_GB2312"/>
          <w:sz w:val="32"/>
          <w:szCs w:val="32"/>
        </w:rPr>
        <w:t>六项民生工程计划筹资平衡及方案制定工作，按月</w:t>
      </w:r>
      <w:r>
        <w:rPr>
          <w:rFonts w:hint="eastAsia" w:ascii="仿宋_GB2312" w:hAnsi="黑体" w:eastAsia="仿宋_GB2312"/>
          <w:sz w:val="32"/>
          <w:szCs w:val="32"/>
          <w:lang w:eastAsia="zh-CN"/>
        </w:rPr>
        <w:t>做好</w:t>
      </w:r>
      <w:r>
        <w:rPr>
          <w:rFonts w:hint="eastAsia" w:ascii="仿宋_GB2312" w:hAnsi="黑体" w:eastAsia="仿宋_GB2312"/>
          <w:sz w:val="32"/>
          <w:szCs w:val="32"/>
        </w:rPr>
        <w:t>预算执行情况</w:t>
      </w:r>
      <w:r>
        <w:rPr>
          <w:rFonts w:hint="eastAsia" w:ascii="仿宋_GB2312" w:hAnsi="黑体" w:eastAsia="仿宋_GB2312"/>
          <w:sz w:val="32"/>
          <w:szCs w:val="32"/>
          <w:lang w:eastAsia="zh-CN"/>
        </w:rPr>
        <w:t>分析</w:t>
      </w:r>
      <w:r>
        <w:rPr>
          <w:rFonts w:hint="eastAsia" w:ascii="仿宋_GB2312" w:hAnsi="黑体" w:eastAsia="仿宋_GB2312"/>
          <w:sz w:val="32"/>
          <w:szCs w:val="32"/>
        </w:rPr>
        <w:t>。</w:t>
      </w:r>
      <w:r>
        <w:rPr>
          <w:rFonts w:hint="eastAsia" w:ascii="仿宋_GB2312" w:eastAsia="仿宋_GB2312"/>
          <w:b/>
          <w:sz w:val="32"/>
          <w:szCs w:val="32"/>
          <w:lang w:eastAsia="zh-CN"/>
        </w:rPr>
        <w:t>四是</w:t>
      </w:r>
      <w:r>
        <w:rPr>
          <w:rFonts w:hint="eastAsia" w:ascii="仿宋_GB2312" w:eastAsia="仿宋_GB2312"/>
          <w:b/>
          <w:sz w:val="32"/>
          <w:szCs w:val="32"/>
        </w:rPr>
        <w:t>配合做好省级部门预算绩效管理工作。</w:t>
      </w:r>
      <w:r>
        <w:rPr>
          <w:rFonts w:hint="eastAsia" w:ascii="仿宋_GB2312" w:eastAsia="仿宋_GB2312"/>
          <w:sz w:val="32"/>
          <w:szCs w:val="32"/>
        </w:rPr>
        <w:t>配合做好省级部门预算支出绩效评价，强化评价结果运用，提高财政资金使用效益。</w:t>
      </w:r>
    </w:p>
    <w:p>
      <w:pPr>
        <w:pageBreakBefore w:val="0"/>
        <w:widowControl w:val="0"/>
        <w:numPr>
          <w:ilvl w:val="0"/>
          <w:numId w:val="1"/>
        </w:numPr>
        <w:pBdr>
          <w:bottom w:val="single" w:color="FFFFFF" w:sz="4" w:space="28"/>
        </w:pBdr>
        <w:tabs>
          <w:tab w:val="left" w:pos="559"/>
        </w:tabs>
        <w:kinsoku/>
        <w:wordWrap/>
        <w:topLinePunct/>
        <w:autoSpaceDE w:val="0"/>
        <w:autoSpaceDN/>
        <w:bidi w:val="0"/>
        <w:adjustRightInd w:val="0"/>
        <w:snapToGrid w:val="0"/>
        <w:spacing w:line="560" w:lineRule="exact"/>
        <w:ind w:firstLine="640" w:firstLineChars="200"/>
        <w:textAlignment w:val="baseline"/>
        <w:rPr>
          <w:rFonts w:hint="eastAsia" w:ascii="黑体" w:hAnsi="黑体" w:eastAsia="黑体" w:cstheme="majorBidi"/>
          <w:b w:val="0"/>
          <w:bCs/>
          <w:color w:val="auto"/>
          <w:kern w:val="2"/>
          <w:sz w:val="32"/>
          <w:szCs w:val="32"/>
          <w:lang w:val="en-US" w:eastAsia="zh-CN" w:bidi="ar-SA"/>
        </w:rPr>
      </w:pPr>
      <w:r>
        <w:rPr>
          <w:rFonts w:hint="eastAsia" w:ascii="黑体" w:hAnsi="黑体" w:eastAsia="黑体" w:cstheme="majorBidi"/>
          <w:b w:val="0"/>
          <w:bCs/>
          <w:color w:val="auto"/>
          <w:kern w:val="2"/>
          <w:sz w:val="32"/>
          <w:szCs w:val="32"/>
          <w:lang w:val="en-US" w:eastAsia="zh-CN" w:bidi="ar-SA"/>
        </w:rPr>
        <w:t>机构设置情况</w:t>
      </w:r>
    </w:p>
    <w:p>
      <w:pPr>
        <w:pageBreakBefore w:val="0"/>
        <w:widowControl w:val="0"/>
        <w:pBdr>
          <w:bottom w:val="single" w:color="FFFFFF" w:sz="4" w:space="28"/>
        </w:pBdr>
        <w:tabs>
          <w:tab w:val="left" w:pos="559"/>
        </w:tabs>
        <w:kinsoku/>
        <w:wordWrap/>
        <w:topLinePunct/>
        <w:autoSpaceDE w:val="0"/>
        <w:autoSpaceDN/>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本单位是隶属于四川省财政厅的二级预算单位，本单无下属单位。</w:t>
      </w:r>
    </w:p>
    <w:p>
      <w:pPr>
        <w:pStyle w:val="3"/>
        <w:ind w:right="440"/>
        <w:jc w:val="center"/>
        <w:rPr>
          <w:rStyle w:val="24"/>
          <w:rFonts w:hint="eastAsia" w:ascii="黑体" w:hAnsi="黑体" w:eastAsia="黑体"/>
          <w:b w:val="0"/>
          <w:bCs/>
          <w:color w:val="auto"/>
        </w:rPr>
      </w:pPr>
      <w:bookmarkStart w:id="16" w:name="_Toc15396602"/>
      <w:bookmarkStart w:id="17" w:name="_Toc15377204"/>
      <w:r>
        <w:rPr>
          <w:rFonts w:hint="eastAsia" w:ascii="黑体" w:hAnsi="黑体" w:eastAsia="黑体"/>
          <w:b w:val="0"/>
          <w:bCs/>
          <w:color w:val="auto"/>
        </w:rPr>
        <w:t xml:space="preserve">第二部分 </w:t>
      </w:r>
      <w:r>
        <w:rPr>
          <w:rFonts w:hint="eastAsia" w:ascii="黑体" w:hAnsi="黑体" w:eastAsia="黑体"/>
          <w:b w:val="0"/>
          <w:bCs/>
          <w:color w:val="auto"/>
          <w:lang w:val="en-US" w:eastAsia="zh-CN"/>
        </w:rPr>
        <w:t>2020年度</w:t>
      </w:r>
      <w:r>
        <w:rPr>
          <w:rStyle w:val="24"/>
          <w:rFonts w:hint="eastAsia" w:ascii="黑体" w:hAnsi="黑体" w:eastAsia="黑体"/>
          <w:b w:val="0"/>
          <w:bCs/>
          <w:color w:val="auto"/>
          <w:lang w:eastAsia="zh-CN"/>
        </w:rPr>
        <w:t>单位</w:t>
      </w:r>
      <w:r>
        <w:rPr>
          <w:rStyle w:val="24"/>
          <w:rFonts w:hint="eastAsia" w:ascii="黑体" w:hAnsi="黑体" w:eastAsia="黑体"/>
          <w:b w:val="0"/>
          <w:bCs/>
          <w:color w:val="auto"/>
        </w:rPr>
        <w:t>决算情况说明</w:t>
      </w:r>
      <w:bookmarkEnd w:id="16"/>
      <w:bookmarkEnd w:id="17"/>
    </w:p>
    <w:p/>
    <w:p>
      <w:pPr>
        <w:pStyle w:val="23"/>
        <w:numPr>
          <w:ilvl w:val="0"/>
          <w:numId w:val="2"/>
        </w:numPr>
        <w:spacing w:line="600" w:lineRule="exact"/>
        <w:ind w:firstLineChars="0"/>
        <w:outlineLvl w:val="1"/>
        <w:rPr>
          <w:rStyle w:val="25"/>
          <w:rFonts w:ascii="黑体" w:hAnsi="黑体" w:eastAsia="黑体"/>
          <w:b w:val="0"/>
        </w:rPr>
      </w:pPr>
      <w:bookmarkStart w:id="18" w:name="_Toc15377205"/>
      <w:bookmarkStart w:id="19" w:name="_Toc15396603"/>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18"/>
      <w:bookmarkEnd w:id="19"/>
    </w:p>
    <w:p>
      <w:pPr>
        <w:pageBreakBefore w:val="0"/>
        <w:widowControl w:val="0"/>
        <w:pBdr>
          <w:bottom w:val="single" w:color="FFFFFF" w:sz="4" w:space="28"/>
        </w:pBdr>
        <w:tabs>
          <w:tab w:val="left" w:pos="559"/>
        </w:tabs>
        <w:kinsoku/>
        <w:wordWrap/>
        <w:topLinePunct/>
        <w:autoSpaceDE w:val="0"/>
        <w:autoSpaceDN/>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年度收、支总计</w:t>
      </w:r>
      <w:r>
        <w:rPr>
          <w:rFonts w:hint="eastAsia" w:ascii="仿宋_GB2312" w:hAnsi="仿宋_GB2312" w:eastAsia="仿宋_GB2312" w:cs="仿宋_GB2312"/>
          <w:sz w:val="32"/>
          <w:szCs w:val="32"/>
          <w:lang w:val="en-US" w:eastAsia="zh-CN"/>
        </w:rPr>
        <w:t>329.12</w:t>
      </w:r>
      <w:r>
        <w:rPr>
          <w:rFonts w:hint="eastAsia" w:ascii="仿宋_GB2312" w:hAnsi="仿宋_GB2312" w:eastAsia="仿宋_GB2312" w:cs="仿宋_GB2312"/>
          <w:sz w:val="32"/>
          <w:szCs w:val="32"/>
        </w:rPr>
        <w:t>万元。与201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年相比，收、支总计各减少</w:t>
      </w:r>
      <w:r>
        <w:rPr>
          <w:rFonts w:hint="eastAsia" w:ascii="仿宋_GB2312" w:hAnsi="仿宋_GB2312" w:eastAsia="仿宋_GB2312" w:cs="仿宋_GB2312"/>
          <w:sz w:val="32"/>
          <w:szCs w:val="32"/>
          <w:lang w:val="en-US" w:eastAsia="zh-CN"/>
        </w:rPr>
        <w:t>37.51</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%。主要变动原因是</w:t>
      </w:r>
      <w:r>
        <w:rPr>
          <w:rFonts w:hint="eastAsia" w:ascii="仿宋_GB2312" w:hAnsi="仿宋_GB2312" w:eastAsia="仿宋_GB2312" w:cs="仿宋_GB2312"/>
          <w:sz w:val="32"/>
          <w:szCs w:val="32"/>
          <w:lang w:eastAsia="zh-CN"/>
        </w:rPr>
        <w:t>人员减少。</w:t>
      </w:r>
    </w:p>
    <w:p>
      <w:pPr>
        <w:pStyle w:val="2"/>
        <w:jc w:val="center"/>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drawing>
          <wp:inline distT="0" distB="0" distL="114300" distR="114300">
            <wp:extent cx="4589145" cy="2758440"/>
            <wp:effectExtent l="0" t="0" r="13335" b="0"/>
            <wp:docPr id="1" name="图片 1" descr="图片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true"/>
                    </pic:cNvPicPr>
                  </pic:nvPicPr>
                  <pic:blipFill>
                    <a:blip r:embed="rId6"/>
                    <a:stretch>
                      <a:fillRect/>
                    </a:stretch>
                  </pic:blipFill>
                  <pic:spPr>
                    <a:xfrm>
                      <a:off x="0" y="0"/>
                      <a:ext cx="4589145" cy="2758440"/>
                    </a:xfrm>
                    <a:prstGeom prst="rect">
                      <a:avLst/>
                    </a:prstGeom>
                  </pic:spPr>
                </pic:pic>
              </a:graphicData>
            </a:graphic>
          </wp:inline>
        </w:drawing>
      </w:r>
    </w:p>
    <w:p>
      <w:pPr>
        <w:jc w:val="center"/>
        <w:rPr>
          <w:rFonts w:ascii="仿宋_GB2312" w:eastAsia="仿宋_GB2312"/>
          <w:color w:val="000000"/>
          <w:sz w:val="32"/>
          <w:szCs w:val="32"/>
        </w:rPr>
      </w:pPr>
      <w:r>
        <w:rPr>
          <w:rFonts w:hint="eastAsia" w:ascii="仿宋" w:hAnsi="仿宋" w:eastAsia="仿宋"/>
          <w:color w:val="000000" w:themeColor="text1"/>
          <w:sz w:val="32"/>
          <w:szCs w:val="32"/>
          <w:highlight w:val="none"/>
          <w14:textFill>
            <w14:solidFill>
              <w14:schemeClr w14:val="tx1"/>
            </w14:solidFill>
          </w14:textFill>
        </w:rPr>
        <w:t>图</w:t>
      </w:r>
      <w:r>
        <w:rPr>
          <w:rFonts w:ascii="仿宋" w:hAnsi="仿宋" w:eastAsia="仿宋"/>
          <w:color w:val="000000" w:themeColor="text1"/>
          <w:sz w:val="32"/>
          <w:szCs w:val="32"/>
          <w:highlight w:val="none"/>
          <w14:textFill>
            <w14:solidFill>
              <w14:schemeClr w14:val="tx1"/>
            </w14:solidFill>
          </w14:textFill>
        </w:rPr>
        <w:t>1</w:t>
      </w:r>
      <w:r>
        <w:rPr>
          <w:rFonts w:hint="eastAsia" w:ascii="仿宋" w:hAnsi="仿宋" w:eastAsia="仿宋"/>
          <w:color w:val="000000" w:themeColor="text1"/>
          <w:sz w:val="32"/>
          <w:szCs w:val="32"/>
          <w:highlight w:val="none"/>
          <w14:textFill>
            <w14:solidFill>
              <w14:schemeClr w14:val="tx1"/>
            </w14:solidFill>
          </w14:textFill>
        </w:rPr>
        <w:t>：收、支决算总计变动情况图</w:t>
      </w:r>
      <w:r>
        <w:rPr>
          <w:rFonts w:hint="eastAsia"/>
          <w:sz w:val="15"/>
          <w:szCs w:val="15"/>
          <w:lang w:eastAsia="zh-CN"/>
        </w:rPr>
        <w:t>（单位：万元）</w:t>
      </w:r>
    </w:p>
    <w:p>
      <w:pPr>
        <w:pStyle w:val="23"/>
        <w:numPr>
          <w:ilvl w:val="0"/>
          <w:numId w:val="2"/>
        </w:numPr>
        <w:spacing w:line="600" w:lineRule="exact"/>
        <w:ind w:firstLineChars="0"/>
        <w:outlineLvl w:val="1"/>
        <w:rPr>
          <w:rStyle w:val="25"/>
          <w:rFonts w:ascii="黑体" w:hAnsi="黑体" w:eastAsia="黑体"/>
          <w:b w:val="0"/>
        </w:rPr>
      </w:pPr>
      <w:bookmarkStart w:id="20" w:name="_Toc15377206"/>
      <w:bookmarkStart w:id="21" w:name="_Toc15396604"/>
      <w:r>
        <w:rPr>
          <w:rFonts w:hint="eastAsia" w:ascii="黑体" w:hAnsi="黑体" w:eastAsia="黑体"/>
          <w:color w:val="000000"/>
          <w:sz w:val="32"/>
          <w:szCs w:val="32"/>
        </w:rPr>
        <w:t>收</w:t>
      </w:r>
      <w:r>
        <w:rPr>
          <w:rStyle w:val="25"/>
          <w:rFonts w:hint="eastAsia" w:ascii="黑体" w:hAnsi="黑体" w:eastAsia="黑体"/>
          <w:b w:val="0"/>
        </w:rPr>
        <w:t>入决算情况说明</w:t>
      </w:r>
      <w:bookmarkEnd w:id="20"/>
      <w:bookmarkEnd w:id="21"/>
    </w:p>
    <w:p>
      <w:pPr>
        <w:pageBreakBefore w:val="0"/>
        <w:widowControl w:val="0"/>
        <w:pBdr>
          <w:bottom w:val="single" w:color="FFFFFF" w:sz="4" w:space="28"/>
        </w:pBdr>
        <w:tabs>
          <w:tab w:val="left" w:pos="559"/>
        </w:tabs>
        <w:kinsoku/>
        <w:wordWrap/>
        <w:topLinePunct/>
        <w:autoSpaceDE w:val="0"/>
        <w:autoSpaceDN/>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年本年收入合计</w:t>
      </w:r>
      <w:r>
        <w:rPr>
          <w:rFonts w:hint="eastAsia" w:ascii="仿宋_GB2312" w:hAnsi="仿宋_GB2312" w:eastAsia="仿宋_GB2312" w:cs="仿宋_GB2312"/>
          <w:sz w:val="32"/>
          <w:szCs w:val="32"/>
          <w:lang w:val="en-US" w:eastAsia="zh-CN"/>
        </w:rPr>
        <w:t>329.12</w:t>
      </w:r>
      <w:r>
        <w:rPr>
          <w:rFonts w:hint="eastAsia" w:ascii="仿宋_GB2312" w:hAnsi="仿宋_GB2312" w:eastAsia="仿宋_GB2312" w:cs="仿宋_GB2312"/>
          <w:sz w:val="32"/>
          <w:szCs w:val="32"/>
        </w:rPr>
        <w:t>万元，其中：一般公共预算财政拨款收入</w:t>
      </w:r>
      <w:r>
        <w:rPr>
          <w:rFonts w:hint="eastAsia" w:ascii="仿宋_GB2312" w:hAnsi="仿宋_GB2312" w:eastAsia="仿宋_GB2312" w:cs="仿宋_GB2312"/>
          <w:sz w:val="32"/>
          <w:szCs w:val="32"/>
          <w:lang w:val="en-US" w:eastAsia="zh-CN"/>
        </w:rPr>
        <w:t>329.12</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%；政府性基金预算财政拨款收入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%；上级补助收入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%；附属单位上缴收入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spacing w:line="600" w:lineRule="exact"/>
        <w:ind w:firstLine="420" w:firstLineChars="200"/>
        <w:rPr>
          <w:rFonts w:hint="eastAsia" w:ascii="仿宋" w:hAnsi="仿宋" w:eastAsia="仿宋"/>
          <w:color w:val="000000" w:themeColor="text1"/>
          <w:sz w:val="32"/>
          <w:szCs w:val="32"/>
          <w:highlight w:val="yellow"/>
          <w14:textFill>
            <w14:solidFill>
              <w14:schemeClr w14:val="tx1"/>
            </w14:solidFill>
          </w14:textFill>
        </w:rPr>
      </w:pPr>
      <w:r>
        <mc:AlternateContent>
          <mc:Choice Requires="wps">
            <w:drawing>
              <wp:anchor distT="0" distB="0" distL="114300" distR="114300" simplePos="0" relativeHeight="251659264" behindDoc="1" locked="0" layoutInCell="1" allowOverlap="1">
                <wp:simplePos x="0" y="0"/>
                <wp:positionH relativeFrom="column">
                  <wp:posOffset>1729740</wp:posOffset>
                </wp:positionH>
                <wp:positionV relativeFrom="paragraph">
                  <wp:posOffset>-167005</wp:posOffset>
                </wp:positionV>
                <wp:extent cx="1927860" cy="1828165"/>
                <wp:effectExtent l="12700" t="12700" r="25400" b="18415"/>
                <wp:wrapTight wrapText="bothSides">
                  <wp:wrapPolygon>
                    <wp:start x="8566" y="-150"/>
                    <wp:lineTo x="7200" y="30"/>
                    <wp:lineTo x="2760" y="2191"/>
                    <wp:lineTo x="2077" y="3631"/>
                    <wp:lineTo x="711" y="5612"/>
                    <wp:lineTo x="28" y="7413"/>
                    <wp:lineTo x="-142" y="8313"/>
                    <wp:lineTo x="-142" y="12634"/>
                    <wp:lineTo x="28" y="14255"/>
                    <wp:lineTo x="1394" y="17136"/>
                    <wp:lineTo x="4297" y="20017"/>
                    <wp:lineTo x="4468" y="20377"/>
                    <wp:lineTo x="8054" y="21638"/>
                    <wp:lineTo x="8908" y="21638"/>
                    <wp:lineTo x="12493" y="21638"/>
                    <wp:lineTo x="13347" y="21638"/>
                    <wp:lineTo x="16933" y="20377"/>
                    <wp:lineTo x="17104" y="20017"/>
                    <wp:lineTo x="20177" y="17136"/>
                    <wp:lineTo x="21372" y="14255"/>
                    <wp:lineTo x="21543" y="12814"/>
                    <wp:lineTo x="21543" y="8133"/>
                    <wp:lineTo x="20860" y="5612"/>
                    <wp:lineTo x="19323" y="3631"/>
                    <wp:lineTo x="18811" y="2371"/>
                    <wp:lineTo x="14542" y="210"/>
                    <wp:lineTo x="13006" y="-150"/>
                    <wp:lineTo x="8566" y="-150"/>
                  </wp:wrapPolygon>
                </wp:wrapTight>
                <wp:docPr id="6" name="椭圆 3"/>
                <wp:cNvGraphicFramePr/>
                <a:graphic xmlns:a="http://schemas.openxmlformats.org/drawingml/2006/main">
                  <a:graphicData uri="http://schemas.microsoft.com/office/word/2010/wordprocessingShape">
                    <wps:wsp>
                      <wps:cNvSpPr/>
                      <wps:spPr>
                        <a:xfrm>
                          <a:off x="0" y="0"/>
                          <a:ext cx="1927860" cy="182816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 w:hAnsi="仿宋" w:eastAsia="仿宋"/>
                                <w:color w:val="000000" w:themeColor="text1"/>
                                <w:sz w:val="18"/>
                                <w:szCs w:val="1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 w:hAnsi="仿宋" w:eastAsia="仿宋"/>
                                <w:color w:val="000000" w:themeColor="text1"/>
                                <w:sz w:val="21"/>
                                <w:szCs w:val="21"/>
                                <w:highlight w:val="none"/>
                                <w14:textFill>
                                  <w14:solidFill>
                                    <w14:schemeClr w14:val="tx1"/>
                                  </w14:solidFill>
                                </w14:textFill>
                              </w:rPr>
                            </w:pPr>
                            <w:r>
                              <w:rPr>
                                <w:rFonts w:hint="eastAsia" w:ascii="仿宋" w:hAnsi="仿宋" w:eastAsia="仿宋"/>
                                <w:color w:val="000000" w:themeColor="text1"/>
                                <w:sz w:val="21"/>
                                <w:szCs w:val="21"/>
                                <w:highlight w:val="none"/>
                                <w14:textFill>
                                  <w14:solidFill>
                                    <w14:schemeClr w14:val="tx1"/>
                                  </w14:solidFill>
                                </w14:textFill>
                              </w:rPr>
                              <w:t>一般公共预算财政拨款收入329.12万元，占本年收入100%</w:t>
                            </w:r>
                          </w:p>
                          <w:p/>
                        </w:txbxContent>
                      </wps:txbx>
                      <wps:bodyPr vertOverflow="clip" horzOverflow="clip" wrap="square" rtlCol="0" anchor="t"/>
                    </wps:wsp>
                  </a:graphicData>
                </a:graphic>
              </wp:anchor>
            </w:drawing>
          </mc:Choice>
          <mc:Fallback>
            <w:pict>
              <v:shape id="椭圆 3" o:spid="_x0000_s1026" o:spt="3" type="#_x0000_t3" style="position:absolute;left:0pt;margin-left:136.2pt;margin-top:-13.15pt;height:143.95pt;width:151.8pt;mso-wrap-distance-left:9pt;mso-wrap-distance-right:9pt;z-index:-251657216;mso-width-relative:page;mso-height-relative:page;" fillcolor="#4F81BD [3204]" filled="t" stroked="t" coordsize="21600,21600" wrapcoords="8566 -150 7200 30 2760 2191 2077 3631 711 5612 28 7413 -142 8313 -142 12634 28 14255 1394 17136 4297 20017 4468 20377 8054 21638 8908 21638 12493 21638 13347 21638 16933 20377 17104 20017 20177 17136 21372 14255 21543 12814 21543 8133 20860 5612 19323 3631 18811 2371 14542 210 13006 -150 8566 -150" o:gfxdata="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w7FcmtkAAAALAQAADwAA&#10;AAAAAAABACAAAAA4AAAAZHJzL2Rvd25yZXYueG1sUEsBAhQAFAAAAAgAh07iQAeaSTT/AQAA7gMA&#10;AA4AAAAAAAAAAQAgAAAAPgEAAGRycy9lMm9Eb2MueG1sUEsFBgAAAAAGAAYAWQEAAK8FAAAAAA==&#10;">
                <v:fill on="t" focussize="0,0"/>
                <v:stroke weight="2pt" color="#385D8A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 w:hAnsi="仿宋" w:eastAsia="仿宋"/>
                          <w:color w:val="000000" w:themeColor="text1"/>
                          <w:sz w:val="18"/>
                          <w:szCs w:val="1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 w:hAnsi="仿宋" w:eastAsia="仿宋"/>
                          <w:color w:val="000000" w:themeColor="text1"/>
                          <w:sz w:val="21"/>
                          <w:szCs w:val="21"/>
                          <w:highlight w:val="none"/>
                          <w14:textFill>
                            <w14:solidFill>
                              <w14:schemeClr w14:val="tx1"/>
                            </w14:solidFill>
                          </w14:textFill>
                        </w:rPr>
                      </w:pPr>
                      <w:r>
                        <w:rPr>
                          <w:rFonts w:hint="eastAsia" w:ascii="仿宋" w:hAnsi="仿宋" w:eastAsia="仿宋"/>
                          <w:color w:val="000000" w:themeColor="text1"/>
                          <w:sz w:val="21"/>
                          <w:szCs w:val="21"/>
                          <w:highlight w:val="none"/>
                          <w14:textFill>
                            <w14:solidFill>
                              <w14:schemeClr w14:val="tx1"/>
                            </w14:solidFill>
                          </w14:textFill>
                        </w:rPr>
                        <w:t>一般公共预算财政拨款收入329.12万元，占本年收入100%</w:t>
                      </w:r>
                    </w:p>
                    <w:p/>
                  </w:txbxContent>
                </v:textbox>
                <w10:wrap type="tight"/>
              </v:shape>
            </w:pict>
          </mc:Fallback>
        </mc:AlternateContent>
      </w:r>
    </w:p>
    <w:p>
      <w:pPr>
        <w:pStyle w:val="2"/>
        <w:rPr>
          <w:rFonts w:hint="eastAsia" w:ascii="仿宋" w:hAnsi="仿宋" w:eastAsia="仿宋"/>
          <w:color w:val="000000" w:themeColor="text1"/>
          <w:sz w:val="32"/>
          <w:szCs w:val="32"/>
          <w:highlight w:val="yellow"/>
          <w14:textFill>
            <w14:solidFill>
              <w14:schemeClr w14:val="tx1"/>
            </w14:solidFill>
          </w14:textFill>
        </w:rPr>
      </w:pPr>
    </w:p>
    <w:p>
      <w:pPr>
        <w:pStyle w:val="2"/>
        <w:rPr>
          <w:rFonts w:hint="eastAsia" w:ascii="仿宋" w:hAnsi="仿宋" w:eastAsia="仿宋"/>
          <w:color w:val="000000" w:themeColor="text1"/>
          <w:sz w:val="32"/>
          <w:szCs w:val="32"/>
          <w:highlight w:val="yellow"/>
          <w14:textFill>
            <w14:solidFill>
              <w14:schemeClr w14:val="tx1"/>
            </w14:solidFill>
          </w14:textFill>
        </w:rPr>
      </w:pPr>
    </w:p>
    <w:p>
      <w:pPr>
        <w:spacing w:line="600" w:lineRule="exact"/>
        <w:jc w:val="both"/>
        <w:rPr>
          <w:rFonts w:hint="eastAsia" w:ascii="仿宋" w:hAnsi="仿宋" w:eastAsia="仿宋"/>
          <w:color w:val="000000" w:themeColor="text1"/>
          <w:sz w:val="32"/>
          <w:szCs w:val="32"/>
          <w:highlight w:val="none"/>
          <w14:textFill>
            <w14:solidFill>
              <w14:schemeClr w14:val="tx1"/>
            </w14:solidFill>
          </w14:textFill>
        </w:rPr>
      </w:pPr>
    </w:p>
    <w:p>
      <w:pPr>
        <w:spacing w:line="600" w:lineRule="exact"/>
        <w:jc w:val="center"/>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图2：收入决算结构图</w:t>
      </w:r>
    </w:p>
    <w:p>
      <w:pPr>
        <w:pStyle w:val="23"/>
        <w:numPr>
          <w:ilvl w:val="0"/>
          <w:numId w:val="2"/>
        </w:numPr>
        <w:spacing w:line="600" w:lineRule="exact"/>
        <w:ind w:firstLineChars="0"/>
        <w:outlineLvl w:val="1"/>
        <w:rPr>
          <w:rStyle w:val="25"/>
          <w:rFonts w:ascii="黑体" w:hAnsi="黑体" w:eastAsia="黑体"/>
          <w:b w:val="0"/>
        </w:rPr>
      </w:pPr>
      <w:bookmarkStart w:id="22" w:name="_Toc15377207"/>
      <w:bookmarkStart w:id="23" w:name="_Toc15396605"/>
      <w:r>
        <w:rPr>
          <w:rFonts w:hint="eastAsia" w:ascii="黑体" w:hAnsi="黑体" w:eastAsia="黑体"/>
          <w:color w:val="000000"/>
          <w:sz w:val="32"/>
          <w:szCs w:val="32"/>
        </w:rPr>
        <w:t>支</w:t>
      </w:r>
      <w:r>
        <w:rPr>
          <w:rStyle w:val="25"/>
          <w:rFonts w:hint="eastAsia" w:ascii="黑体" w:hAnsi="黑体" w:eastAsia="黑体"/>
          <w:b w:val="0"/>
        </w:rPr>
        <w:t>出决算情况说明</w:t>
      </w:r>
      <w:bookmarkEnd w:id="22"/>
      <w:bookmarkEnd w:id="23"/>
    </w:p>
    <w:p>
      <w:pPr>
        <w:spacing w:line="600" w:lineRule="exact"/>
        <w:ind w:firstLine="640" w:firstLineChars="200"/>
        <w:outlineLvl w:val="1"/>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年本年支出合计</w:t>
      </w:r>
      <w:r>
        <w:rPr>
          <w:rFonts w:hint="eastAsia" w:ascii="仿宋_GB2312" w:hAnsi="仿宋_GB2312" w:eastAsia="仿宋_GB2312" w:cs="仿宋_GB2312"/>
          <w:color w:val="000000"/>
          <w:sz w:val="32"/>
          <w:szCs w:val="32"/>
          <w:lang w:val="en-US" w:eastAsia="zh-CN"/>
        </w:rPr>
        <w:t>329.12</w:t>
      </w:r>
      <w:r>
        <w:rPr>
          <w:rFonts w:hint="eastAsia" w:ascii="仿宋_GB2312" w:hAnsi="仿宋_GB2312" w:eastAsia="仿宋_GB2312" w:cs="仿宋_GB2312"/>
          <w:color w:val="000000"/>
          <w:sz w:val="32"/>
          <w:szCs w:val="32"/>
        </w:rPr>
        <w:t>万元，其中：基本支出</w:t>
      </w:r>
      <w:r>
        <w:rPr>
          <w:rFonts w:hint="eastAsia" w:ascii="仿宋_GB2312" w:hAnsi="仿宋_GB2312" w:eastAsia="仿宋_GB2312" w:cs="仿宋_GB2312"/>
          <w:color w:val="000000"/>
          <w:sz w:val="32"/>
          <w:szCs w:val="32"/>
          <w:lang w:val="en-US" w:eastAsia="zh-CN"/>
        </w:rPr>
        <w:t>319.12</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97</w:t>
      </w:r>
      <w:r>
        <w:rPr>
          <w:rFonts w:hint="eastAsia" w:ascii="仿宋_GB2312" w:hAnsi="仿宋_GB2312" w:eastAsia="仿宋_GB2312" w:cs="仿宋_GB2312"/>
          <w:color w:val="000000"/>
          <w:sz w:val="32"/>
          <w:szCs w:val="32"/>
        </w:rPr>
        <w:t>%；项目支出</w:t>
      </w: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%；上缴上级支出</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%；经营支出</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%；对附属单位补助支出</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w:t>
      </w:r>
    </w:p>
    <w:p>
      <w:pPr>
        <w:pStyle w:val="2"/>
        <w:jc w:val="center"/>
        <w:rPr>
          <w:highlight w:val="none"/>
        </w:rPr>
      </w:pPr>
      <w:r>
        <w:rPr>
          <w:rFonts w:hint="eastAsia" w:eastAsia="仿宋_GB2312"/>
          <w:highlight w:val="none"/>
          <w:lang w:eastAsia="zh-CN"/>
        </w:rPr>
        <w:drawing>
          <wp:inline distT="0" distB="0" distL="114300" distR="114300">
            <wp:extent cx="3912870" cy="2352040"/>
            <wp:effectExtent l="0" t="0" r="3810" b="10160"/>
            <wp:docPr id="8" name="图片 8" descr="图片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8" descr="图片2"/>
                    <pic:cNvPicPr>
                      <a:picLocks noChangeAspect="true"/>
                    </pic:cNvPicPr>
                  </pic:nvPicPr>
                  <pic:blipFill>
                    <a:blip r:embed="rId7"/>
                    <a:stretch>
                      <a:fillRect/>
                    </a:stretch>
                  </pic:blipFill>
                  <pic:spPr>
                    <a:xfrm>
                      <a:off x="0" y="0"/>
                      <a:ext cx="3912870" cy="2352040"/>
                    </a:xfrm>
                    <a:prstGeom prst="rect">
                      <a:avLst/>
                    </a:prstGeom>
                  </pic:spPr>
                </pic:pic>
              </a:graphicData>
            </a:graphic>
          </wp:inline>
        </w:drawing>
      </w:r>
    </w:p>
    <w:p>
      <w:pPr>
        <w:spacing w:line="600" w:lineRule="exact"/>
        <w:jc w:val="center"/>
        <w:rPr>
          <w:rFonts w:ascii="仿宋_GB2312" w:eastAsia="仿宋_GB2312"/>
          <w:color w:val="FF0000"/>
          <w:sz w:val="32"/>
          <w:szCs w:val="32"/>
          <w:highlight w:val="none"/>
        </w:rPr>
      </w:pPr>
      <w:r>
        <w:rPr>
          <w:rFonts w:hint="eastAsia" w:ascii="仿宋" w:hAnsi="仿宋" w:eastAsia="仿宋"/>
          <w:color w:val="000000" w:themeColor="text1"/>
          <w:sz w:val="32"/>
          <w:szCs w:val="32"/>
          <w:highlight w:val="none"/>
          <w14:textFill>
            <w14:solidFill>
              <w14:schemeClr w14:val="tx1"/>
            </w14:solidFill>
          </w14:textFill>
        </w:rPr>
        <w:t>图3：支出决算结构图</w:t>
      </w:r>
    </w:p>
    <w:p>
      <w:pPr>
        <w:spacing w:line="600" w:lineRule="exact"/>
        <w:ind w:firstLine="640" w:firstLineChars="200"/>
        <w:outlineLvl w:val="1"/>
        <w:rPr>
          <w:rStyle w:val="25"/>
          <w:rFonts w:ascii="黑体" w:hAnsi="黑体" w:eastAsia="黑体"/>
          <w:b w:val="0"/>
        </w:rPr>
      </w:pPr>
      <w:bookmarkStart w:id="24" w:name="_Toc15396606"/>
      <w:bookmarkStart w:id="25" w:name="_Toc15377208"/>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24"/>
      <w:bookmarkEnd w:id="25"/>
    </w:p>
    <w:p>
      <w:pPr>
        <w:spacing w:line="600" w:lineRule="exact"/>
        <w:ind w:firstLine="64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年财政拨款收、支总计</w:t>
      </w:r>
      <w:r>
        <w:rPr>
          <w:rFonts w:hint="eastAsia" w:ascii="仿宋_GB2312" w:hAnsi="仿宋_GB2312" w:eastAsia="仿宋_GB2312" w:cs="仿宋_GB2312"/>
          <w:color w:val="000000"/>
          <w:sz w:val="32"/>
          <w:szCs w:val="32"/>
          <w:lang w:val="en-US" w:eastAsia="zh-CN"/>
        </w:rPr>
        <w:t>329.12</w:t>
      </w:r>
      <w:r>
        <w:rPr>
          <w:rFonts w:hint="eastAsia" w:ascii="仿宋_GB2312" w:hAnsi="仿宋_GB2312" w:eastAsia="仿宋_GB2312" w:cs="仿宋_GB2312"/>
          <w:color w:val="000000"/>
          <w:sz w:val="32"/>
          <w:szCs w:val="32"/>
        </w:rPr>
        <w:t>万元。与201</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年相比，财政拨款收、支总计各减少</w:t>
      </w:r>
      <w:r>
        <w:rPr>
          <w:rFonts w:hint="eastAsia" w:ascii="仿宋_GB2312" w:hAnsi="仿宋_GB2312" w:eastAsia="仿宋_GB2312" w:cs="仿宋_GB2312"/>
          <w:color w:val="000000"/>
          <w:sz w:val="32"/>
          <w:szCs w:val="32"/>
          <w:lang w:val="en-US" w:eastAsia="zh-CN"/>
        </w:rPr>
        <w:t>37.51</w:t>
      </w:r>
      <w:r>
        <w:rPr>
          <w:rFonts w:hint="eastAsia" w:ascii="仿宋_GB2312" w:hAnsi="仿宋_GB2312" w:eastAsia="仿宋_GB2312" w:cs="仿宋_GB2312"/>
          <w:color w:val="000000"/>
          <w:sz w:val="32"/>
          <w:szCs w:val="32"/>
        </w:rPr>
        <w:t>万元，下降</w:t>
      </w: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%。主要变动原因是</w:t>
      </w:r>
      <w:r>
        <w:rPr>
          <w:rFonts w:hint="eastAsia" w:ascii="仿宋_GB2312" w:hAnsi="仿宋_GB2312" w:eastAsia="仿宋_GB2312" w:cs="仿宋_GB2312"/>
          <w:color w:val="000000"/>
          <w:sz w:val="32"/>
          <w:szCs w:val="32"/>
          <w:lang w:eastAsia="zh-CN"/>
        </w:rPr>
        <w:t>人员减少。</w:t>
      </w:r>
    </w:p>
    <w:p>
      <w:pPr>
        <w:pStyle w:val="2"/>
        <w:jc w:val="center"/>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lang w:eastAsia="zh-CN"/>
          <w14:textFill>
            <w14:solidFill>
              <w14:schemeClr w14:val="tx1"/>
            </w14:solidFill>
          </w14:textFill>
        </w:rPr>
        <w:drawing>
          <wp:inline distT="0" distB="0" distL="114300" distR="114300">
            <wp:extent cx="4409440" cy="2650490"/>
            <wp:effectExtent l="0" t="0" r="10160" b="1270"/>
            <wp:docPr id="4" name="图片 4" descr="图片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descr="图片1"/>
                    <pic:cNvPicPr>
                      <a:picLocks noChangeAspect="true"/>
                    </pic:cNvPicPr>
                  </pic:nvPicPr>
                  <pic:blipFill>
                    <a:blip r:embed="rId6"/>
                    <a:stretch>
                      <a:fillRect/>
                    </a:stretch>
                  </pic:blipFill>
                  <pic:spPr>
                    <a:xfrm>
                      <a:off x="0" y="0"/>
                      <a:ext cx="4409440" cy="2650490"/>
                    </a:xfrm>
                    <a:prstGeom prst="rect">
                      <a:avLst/>
                    </a:prstGeom>
                  </pic:spPr>
                </pic:pic>
              </a:graphicData>
            </a:graphic>
          </wp:inline>
        </w:drawing>
      </w:r>
    </w:p>
    <w:p>
      <w:pPr>
        <w:spacing w:line="600" w:lineRule="exact"/>
        <w:ind w:firstLine="640" w:firstLineChars="200"/>
        <w:rPr>
          <w:rFonts w:ascii="仿宋" w:hAnsi="仿宋" w:eastAsia="仿宋"/>
          <w:b/>
          <w:color w:val="00B050"/>
          <w:sz w:val="32"/>
          <w:szCs w:val="32"/>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图4：财政拨款收、支决算总计变动情况</w:t>
      </w:r>
      <w:r>
        <w:rPr>
          <w:rFonts w:hint="eastAsia"/>
          <w:sz w:val="15"/>
          <w:szCs w:val="15"/>
          <w:highlight w:val="none"/>
          <w:lang w:eastAsia="zh-CN"/>
        </w:rPr>
        <w:t>（</w:t>
      </w:r>
      <w:r>
        <w:rPr>
          <w:rFonts w:hint="eastAsia"/>
          <w:sz w:val="15"/>
          <w:szCs w:val="15"/>
          <w:lang w:eastAsia="zh-CN"/>
        </w:rPr>
        <w:t>单位：万元）</w:t>
      </w:r>
    </w:p>
    <w:p>
      <w:pPr>
        <w:spacing w:line="600" w:lineRule="exact"/>
        <w:ind w:firstLine="640" w:firstLineChars="200"/>
        <w:outlineLvl w:val="1"/>
        <w:rPr>
          <w:rStyle w:val="25"/>
          <w:rFonts w:ascii="黑体" w:hAnsi="黑体" w:eastAsia="黑体"/>
          <w:b w:val="0"/>
        </w:rPr>
      </w:pPr>
      <w:bookmarkStart w:id="26" w:name="_Toc15377209"/>
      <w:bookmarkStart w:id="27"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26"/>
      <w:bookmarkEnd w:id="27"/>
    </w:p>
    <w:p>
      <w:pPr>
        <w:spacing w:line="600" w:lineRule="exact"/>
        <w:ind w:firstLine="642" w:firstLineChars="200"/>
        <w:outlineLvl w:val="2"/>
        <w:rPr>
          <w:rFonts w:hint="eastAsia" w:ascii="仿宋_GB2312" w:hAnsi="仿宋_GB2312" w:eastAsia="仿宋_GB2312" w:cs="仿宋_GB2312"/>
          <w:b/>
          <w:color w:val="000000"/>
          <w:sz w:val="32"/>
          <w:szCs w:val="32"/>
        </w:rPr>
      </w:pPr>
      <w:bookmarkStart w:id="28" w:name="_Toc15377210"/>
      <w:r>
        <w:rPr>
          <w:rFonts w:hint="eastAsia" w:ascii="仿宋_GB2312" w:hAnsi="仿宋_GB2312" w:eastAsia="仿宋_GB2312" w:cs="仿宋_GB2312"/>
          <w:b/>
          <w:color w:val="000000"/>
          <w:sz w:val="32"/>
          <w:szCs w:val="32"/>
        </w:rPr>
        <w:t>（一）一般公共预算财政拨款支出决算总体情况</w:t>
      </w:r>
      <w:bookmarkEnd w:id="28"/>
    </w:p>
    <w:p>
      <w:pPr>
        <w:spacing w:line="600" w:lineRule="exact"/>
        <w:ind w:firstLine="640" w:firstLineChars="200"/>
        <w:rPr>
          <w:rFonts w:hint="eastAsia" w:ascii="仿宋" w:hAnsi="仿宋" w:eastAsia="仿宋"/>
          <w:color w:val="000000"/>
          <w:sz w:val="32"/>
          <w:szCs w:val="32"/>
          <w:lang w:eastAsia="zh-CN"/>
        </w:rPr>
      </w:pP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年一般公共预算财政拨款支出</w:t>
      </w:r>
      <w:r>
        <w:rPr>
          <w:rFonts w:hint="eastAsia" w:ascii="仿宋_GB2312" w:hAnsi="仿宋_GB2312" w:eastAsia="仿宋_GB2312" w:cs="仿宋_GB2312"/>
          <w:color w:val="000000"/>
          <w:sz w:val="32"/>
          <w:szCs w:val="32"/>
          <w:lang w:val="en-US" w:eastAsia="zh-CN"/>
        </w:rPr>
        <w:t>329.12</w:t>
      </w:r>
      <w:r>
        <w:rPr>
          <w:rFonts w:hint="eastAsia" w:ascii="仿宋_GB2312" w:hAnsi="仿宋_GB2312" w:eastAsia="仿宋_GB2312" w:cs="仿宋_GB2312"/>
          <w:color w:val="000000"/>
          <w:sz w:val="32"/>
          <w:szCs w:val="32"/>
        </w:rPr>
        <w:t>万元，占本年支出合计的</w:t>
      </w:r>
      <w:r>
        <w:rPr>
          <w:rFonts w:hint="eastAsia" w:ascii="仿宋_GB2312" w:hAnsi="仿宋_GB2312" w:eastAsia="仿宋_GB2312" w:cs="仿宋_GB2312"/>
          <w:color w:val="000000"/>
          <w:sz w:val="32"/>
          <w:szCs w:val="32"/>
          <w:lang w:val="en-US" w:eastAsia="zh-CN"/>
        </w:rPr>
        <w:t>100</w:t>
      </w:r>
      <w:r>
        <w:rPr>
          <w:rFonts w:hint="eastAsia" w:ascii="仿宋_GB2312" w:hAnsi="仿宋_GB2312" w:eastAsia="仿宋_GB2312" w:cs="仿宋_GB2312"/>
          <w:color w:val="000000"/>
          <w:sz w:val="32"/>
          <w:szCs w:val="32"/>
        </w:rPr>
        <w:t>%。与201</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年相比，一般公共预算财政拨款减少</w:t>
      </w:r>
      <w:r>
        <w:rPr>
          <w:rFonts w:hint="eastAsia" w:ascii="仿宋_GB2312" w:hAnsi="仿宋_GB2312" w:eastAsia="仿宋_GB2312" w:cs="仿宋_GB2312"/>
          <w:color w:val="000000"/>
          <w:sz w:val="32"/>
          <w:szCs w:val="32"/>
          <w:lang w:val="en-US" w:eastAsia="zh-CN"/>
        </w:rPr>
        <w:t>37.51</w:t>
      </w:r>
      <w:r>
        <w:rPr>
          <w:rFonts w:hint="eastAsia" w:ascii="仿宋_GB2312" w:hAnsi="仿宋_GB2312" w:eastAsia="仿宋_GB2312" w:cs="仿宋_GB2312"/>
          <w:color w:val="000000"/>
          <w:sz w:val="32"/>
          <w:szCs w:val="32"/>
        </w:rPr>
        <w:t>万元，下降</w:t>
      </w: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%。主要变动原因是</w:t>
      </w:r>
      <w:r>
        <w:rPr>
          <w:rFonts w:hint="eastAsia" w:ascii="仿宋_GB2312" w:hAnsi="仿宋_GB2312" w:eastAsia="仿宋_GB2312" w:cs="仿宋_GB2312"/>
          <w:color w:val="000000"/>
          <w:sz w:val="32"/>
          <w:szCs w:val="32"/>
          <w:lang w:eastAsia="zh-CN"/>
        </w:rPr>
        <w:t>人员减少。</w:t>
      </w:r>
    </w:p>
    <w:p>
      <w:pPr>
        <w:pStyle w:val="2"/>
        <w:jc w:val="center"/>
        <w:rPr>
          <w:rFonts w:hint="eastAsia" w:ascii="仿宋" w:hAnsi="仿宋" w:eastAsia="仿宋"/>
          <w:color w:val="000000" w:themeColor="text1"/>
          <w:sz w:val="32"/>
          <w:szCs w:val="32"/>
          <w:highlight w:val="yellow"/>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drawing>
          <wp:inline distT="0" distB="0" distL="114300" distR="114300">
            <wp:extent cx="4462780" cy="2682240"/>
            <wp:effectExtent l="0" t="0" r="2540" b="0"/>
            <wp:docPr id="5" name="图片 5" descr="图片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descr="图片1"/>
                    <pic:cNvPicPr>
                      <a:picLocks noChangeAspect="true"/>
                    </pic:cNvPicPr>
                  </pic:nvPicPr>
                  <pic:blipFill>
                    <a:blip r:embed="rId6"/>
                    <a:stretch>
                      <a:fillRect/>
                    </a:stretch>
                  </pic:blipFill>
                  <pic:spPr>
                    <a:xfrm>
                      <a:off x="0" y="0"/>
                      <a:ext cx="4462780" cy="2682240"/>
                    </a:xfrm>
                    <a:prstGeom prst="rect">
                      <a:avLst/>
                    </a:prstGeom>
                  </pic:spPr>
                </pic:pic>
              </a:graphicData>
            </a:graphic>
          </wp:inline>
        </w:drawing>
      </w:r>
    </w:p>
    <w:p>
      <w:pPr>
        <w:spacing w:line="600" w:lineRule="exact"/>
        <w:jc w:val="center"/>
        <w:rPr>
          <w:rFonts w:ascii="仿宋" w:hAnsi="仿宋" w:eastAsia="仿宋"/>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图5：一般公共预算财政拨款支出决算变动情况</w:t>
      </w:r>
      <w:r>
        <w:rPr>
          <w:rFonts w:hint="eastAsia"/>
          <w:sz w:val="15"/>
          <w:szCs w:val="15"/>
          <w:highlight w:val="none"/>
          <w:lang w:eastAsia="zh-CN"/>
        </w:rPr>
        <w:t>（</w:t>
      </w:r>
      <w:r>
        <w:rPr>
          <w:rFonts w:hint="eastAsia"/>
          <w:sz w:val="15"/>
          <w:szCs w:val="15"/>
          <w:lang w:eastAsia="zh-CN"/>
        </w:rPr>
        <w:t>单位：万元）</w:t>
      </w:r>
    </w:p>
    <w:p>
      <w:pPr>
        <w:spacing w:line="600" w:lineRule="exact"/>
        <w:ind w:firstLine="642" w:firstLineChars="200"/>
        <w:outlineLvl w:val="2"/>
        <w:rPr>
          <w:rFonts w:hint="eastAsia" w:ascii="仿宋_GB2312" w:hAnsi="仿宋_GB2312" w:eastAsia="仿宋_GB2312" w:cs="仿宋_GB2312"/>
          <w:b/>
          <w:color w:val="000000"/>
          <w:sz w:val="32"/>
          <w:szCs w:val="32"/>
        </w:rPr>
      </w:pPr>
      <w:bookmarkStart w:id="29" w:name="_Toc15377211"/>
      <w:r>
        <w:rPr>
          <w:rFonts w:hint="eastAsia" w:ascii="仿宋_GB2312" w:hAnsi="仿宋_GB2312" w:eastAsia="仿宋_GB2312" w:cs="仿宋_GB2312"/>
          <w:b/>
          <w:color w:val="000000"/>
          <w:sz w:val="32"/>
          <w:szCs w:val="32"/>
        </w:rPr>
        <w:t>（二）一般公共预算财政拨款支出决算结构情况</w:t>
      </w:r>
      <w:bookmarkEnd w:id="29"/>
    </w:p>
    <w:p>
      <w:pPr>
        <w:spacing w:line="600" w:lineRule="exact"/>
        <w:ind w:firstLine="640"/>
        <w:rPr>
          <w:rFonts w:hint="eastAsia" w:ascii="仿宋" w:hAnsi="仿宋" w:eastAsia="仿宋"/>
          <w:color w:val="000000"/>
          <w:sz w:val="32"/>
          <w:szCs w:val="32"/>
          <w:highlight w:val="yellow"/>
          <w:lang w:eastAsia="zh-CN"/>
        </w:rPr>
      </w:pP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年一般公共预算财</w:t>
      </w:r>
      <w:r>
        <w:rPr>
          <w:rFonts w:hint="eastAsia" w:ascii="仿宋_GB2312" w:hAnsi="仿宋_GB2312" w:eastAsia="仿宋_GB2312" w:cs="仿宋_GB2312"/>
          <w:color w:val="000000" w:themeColor="text1"/>
          <w:sz w:val="32"/>
          <w:szCs w:val="32"/>
          <w14:textFill>
            <w14:solidFill>
              <w14:schemeClr w14:val="tx1"/>
            </w14:solidFill>
          </w14:textFill>
        </w:rPr>
        <w:t>政拨款支出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329.12</w:t>
      </w:r>
      <w:r>
        <w:rPr>
          <w:rFonts w:hint="eastAsia" w:ascii="仿宋_GB2312" w:hAnsi="仿宋_GB2312" w:eastAsia="仿宋_GB2312" w:cs="仿宋_GB2312"/>
          <w:color w:val="000000" w:themeColor="text1"/>
          <w:sz w:val="32"/>
          <w:szCs w:val="32"/>
          <w14:textFill>
            <w14:solidFill>
              <w14:schemeClr w14:val="tx1"/>
            </w14:solidFill>
          </w14:textFill>
        </w:rPr>
        <w:t>万元，主要用于以下方面:一般公共服务（类）支出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243.02</w:t>
      </w:r>
      <w:r>
        <w:rPr>
          <w:rFonts w:hint="eastAsia" w:ascii="仿宋_GB2312" w:hAnsi="仿宋_GB2312" w:eastAsia="仿宋_GB2312" w:cs="仿宋_GB2312"/>
          <w:color w:val="000000" w:themeColor="text1"/>
          <w:sz w:val="32"/>
          <w:szCs w:val="32"/>
          <w14:textFill>
            <w14:solidFill>
              <w14:schemeClr w14:val="tx1"/>
            </w14:solidFill>
          </w14:textFill>
        </w:rPr>
        <w:t>万元，占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73.84</w:t>
      </w:r>
      <w:r>
        <w:rPr>
          <w:rFonts w:hint="eastAsia" w:ascii="仿宋_GB2312" w:hAnsi="仿宋_GB2312" w:eastAsia="仿宋_GB2312" w:cs="仿宋_GB2312"/>
          <w:color w:val="000000" w:themeColor="text1"/>
          <w:sz w:val="32"/>
          <w:szCs w:val="32"/>
          <w14:textFill>
            <w14:solidFill>
              <w14:schemeClr w14:val="tx1"/>
            </w14:solidFill>
          </w14:textFill>
        </w:rPr>
        <w:t>%；社会保障和就业（类）支出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19.61</w:t>
      </w:r>
      <w:r>
        <w:rPr>
          <w:rFonts w:hint="eastAsia" w:ascii="仿宋_GB2312" w:hAnsi="仿宋_GB2312" w:eastAsia="仿宋_GB2312" w:cs="仿宋_GB2312"/>
          <w:color w:val="000000" w:themeColor="text1"/>
          <w:sz w:val="32"/>
          <w:szCs w:val="32"/>
          <w14:textFill>
            <w14:solidFill>
              <w14:schemeClr w14:val="tx1"/>
            </w14:solidFill>
          </w14:textFill>
        </w:rPr>
        <w:t>万元，占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5.96</w:t>
      </w:r>
      <w:r>
        <w:rPr>
          <w:rFonts w:hint="eastAsia" w:ascii="仿宋_GB2312" w:hAnsi="仿宋_GB2312" w:eastAsia="仿宋_GB2312" w:cs="仿宋_GB2312"/>
          <w:color w:val="000000" w:themeColor="text1"/>
          <w:sz w:val="32"/>
          <w:szCs w:val="32"/>
          <w14:textFill>
            <w14:solidFill>
              <w14:schemeClr w14:val="tx1"/>
            </w14:solidFill>
          </w14:textFill>
        </w:rPr>
        <w:t>%；卫生健康</w:t>
      </w:r>
      <w:r>
        <w:rPr>
          <w:rFonts w:hint="eastAsia" w:ascii="仿宋_GB2312" w:hAnsi="仿宋_GB2312" w:eastAsia="仿宋_GB2312" w:cs="仿宋_GB2312"/>
          <w:color w:val="000000" w:themeColor="text1"/>
          <w:sz w:val="32"/>
          <w:szCs w:val="32"/>
          <w:lang w:eastAsia="zh-CN"/>
          <w14:textFill>
            <w14:solidFill>
              <w14:schemeClr w14:val="tx1"/>
            </w14:solidFill>
          </w14:textFill>
        </w:rPr>
        <w:t>（类）</w:t>
      </w:r>
      <w:r>
        <w:rPr>
          <w:rFonts w:hint="eastAsia" w:ascii="仿宋_GB2312" w:hAnsi="仿宋_GB2312" w:eastAsia="仿宋_GB2312" w:cs="仿宋_GB2312"/>
          <w:color w:val="000000" w:themeColor="text1"/>
          <w:sz w:val="32"/>
          <w:szCs w:val="32"/>
          <w14:textFill>
            <w14:solidFill>
              <w14:schemeClr w14:val="tx1"/>
            </w14:solidFill>
          </w14:textFill>
        </w:rPr>
        <w:t>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20.47</w:t>
      </w:r>
      <w:r>
        <w:rPr>
          <w:rFonts w:hint="eastAsia" w:ascii="仿宋_GB2312" w:hAnsi="仿宋_GB2312" w:eastAsia="仿宋_GB2312" w:cs="仿宋_GB2312"/>
          <w:color w:val="000000" w:themeColor="text1"/>
          <w:sz w:val="32"/>
          <w:szCs w:val="32"/>
          <w14:textFill>
            <w14:solidFill>
              <w14:schemeClr w14:val="tx1"/>
            </w14:solidFill>
          </w14:textFill>
        </w:rPr>
        <w:t>万元，占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6.22</w:t>
      </w:r>
      <w:r>
        <w:rPr>
          <w:rFonts w:hint="eastAsia" w:ascii="仿宋_GB2312" w:hAnsi="仿宋_GB2312" w:eastAsia="仿宋_GB2312" w:cs="仿宋_GB2312"/>
          <w:color w:val="000000" w:themeColor="text1"/>
          <w:sz w:val="32"/>
          <w:szCs w:val="32"/>
          <w14:textFill>
            <w14:solidFill>
              <w14:schemeClr w14:val="tx1"/>
            </w14:solidFill>
          </w14:textFill>
        </w:rPr>
        <w:t>%；住房保障</w:t>
      </w:r>
      <w:r>
        <w:rPr>
          <w:rFonts w:hint="eastAsia" w:ascii="仿宋_GB2312" w:hAnsi="仿宋_GB2312" w:eastAsia="仿宋_GB2312" w:cs="仿宋_GB2312"/>
          <w:color w:val="000000" w:themeColor="text1"/>
          <w:sz w:val="32"/>
          <w:szCs w:val="32"/>
          <w:lang w:eastAsia="zh-CN"/>
          <w14:textFill>
            <w14:solidFill>
              <w14:schemeClr w14:val="tx1"/>
            </w14:solidFill>
          </w14:textFill>
        </w:rPr>
        <w:t>（类）</w:t>
      </w:r>
      <w:r>
        <w:rPr>
          <w:rFonts w:hint="eastAsia" w:ascii="仿宋_GB2312" w:hAnsi="仿宋_GB2312" w:eastAsia="仿宋_GB2312" w:cs="仿宋_GB2312"/>
          <w:color w:val="000000" w:themeColor="text1"/>
          <w:sz w:val="32"/>
          <w:szCs w:val="32"/>
          <w14:textFill>
            <w14:solidFill>
              <w14:schemeClr w14:val="tx1"/>
            </w14:solidFill>
          </w14:textFill>
        </w:rPr>
        <w:t>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46.02</w:t>
      </w:r>
      <w:r>
        <w:rPr>
          <w:rFonts w:hint="eastAsia" w:ascii="仿宋_GB2312" w:hAnsi="仿宋_GB2312" w:eastAsia="仿宋_GB2312" w:cs="仿宋_GB2312"/>
          <w:color w:val="000000" w:themeColor="text1"/>
          <w:sz w:val="32"/>
          <w:szCs w:val="32"/>
          <w14:textFill>
            <w14:solidFill>
              <w14:schemeClr w14:val="tx1"/>
            </w14:solidFill>
          </w14:textFill>
        </w:rPr>
        <w:t>万元，占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13.98</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2"/>
        <w:jc w:val="center"/>
        <w:rPr>
          <w:rFonts w:hint="eastAsia" w:ascii="仿宋" w:hAnsi="仿宋" w:eastAsia="仿宋"/>
          <w:color w:val="000000"/>
          <w:sz w:val="32"/>
          <w:szCs w:val="32"/>
          <w:highlight w:val="yellow"/>
          <w:lang w:eastAsia="zh-CN"/>
        </w:rPr>
      </w:pPr>
      <w:r>
        <w:drawing>
          <wp:inline distT="0" distB="0" distL="114300" distR="114300">
            <wp:extent cx="5274310" cy="2520950"/>
            <wp:effectExtent l="4445" t="4445" r="9525" b="1968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jc w:val="center"/>
        <w:rPr>
          <w:rFonts w:hint="eastAsia" w:ascii="仿宋" w:hAnsi="仿宋" w:eastAsia="仿宋"/>
          <w:color w:val="000000"/>
          <w:sz w:val="32"/>
          <w:szCs w:val="32"/>
          <w:lang w:val="en-US" w:eastAsia="zh-CN"/>
        </w:rPr>
      </w:pPr>
      <w:r>
        <w:rPr>
          <w:rFonts w:hint="eastAsia" w:ascii="仿宋_GB2312" w:hAnsi="仿宋_GB2312" w:eastAsia="仿宋_GB2312" w:cs="仿宋_GB2312"/>
          <w:color w:val="000000"/>
          <w:sz w:val="32"/>
          <w:szCs w:val="32"/>
          <w:highlight w:val="none"/>
        </w:rPr>
        <w:t>图6：一般公共预算财政拨款支出决算结构</w:t>
      </w:r>
      <w:r>
        <w:rPr>
          <w:rFonts w:hint="eastAsia" w:ascii="仿宋_GB2312" w:hAnsi="仿宋_GB2312" w:eastAsia="仿宋_GB2312" w:cs="仿宋_GB2312"/>
          <w:color w:val="000000"/>
          <w:sz w:val="32"/>
          <w:szCs w:val="32"/>
          <w:highlight w:val="none"/>
          <w:lang w:eastAsia="zh-CN"/>
        </w:rPr>
        <w:t>图</w:t>
      </w:r>
    </w:p>
    <w:p>
      <w:pPr>
        <w:spacing w:line="600" w:lineRule="exact"/>
        <w:ind w:firstLine="642" w:firstLineChars="200"/>
        <w:outlineLvl w:val="2"/>
        <w:rPr>
          <w:rFonts w:hint="eastAsia" w:ascii="仿宋_GB2312" w:hAnsi="仿宋_GB2312" w:eastAsia="仿宋_GB2312" w:cs="仿宋_GB2312"/>
          <w:b/>
          <w:color w:val="000000"/>
          <w:sz w:val="32"/>
          <w:szCs w:val="32"/>
        </w:rPr>
      </w:pPr>
      <w:bookmarkStart w:id="30" w:name="_Toc15377212"/>
      <w:r>
        <w:rPr>
          <w:rFonts w:hint="eastAsia" w:ascii="仿宋_GB2312" w:hAnsi="仿宋_GB2312" w:eastAsia="仿宋_GB2312" w:cs="仿宋_GB2312"/>
          <w:b/>
          <w:color w:val="000000"/>
          <w:sz w:val="32"/>
          <w:szCs w:val="32"/>
        </w:rPr>
        <w:t>（三）一般公共预算财政拨款支出决算具体情况</w:t>
      </w:r>
      <w:bookmarkEnd w:id="30"/>
    </w:p>
    <w:p>
      <w:pPr>
        <w:spacing w:line="600" w:lineRule="exact"/>
        <w:ind w:firstLine="642" w:firstLineChars="200"/>
        <w:outlineLvl w:val="2"/>
        <w:rPr>
          <w:rFonts w:hint="eastAsia" w:ascii="仿宋_GB2312" w:hAnsi="仿宋_GB2312" w:eastAsia="仿宋_GB2312" w:cs="仿宋_GB2312"/>
          <w:color w:val="FF0000"/>
          <w:sz w:val="32"/>
          <w:szCs w:val="32"/>
        </w:rPr>
      </w:pPr>
      <w:bookmarkStart w:id="31" w:name="_Toc15377444"/>
      <w:bookmarkStart w:id="32" w:name="_Toc15378460"/>
      <w:bookmarkStart w:id="33" w:name="_Toc15377213"/>
      <w:r>
        <w:rPr>
          <w:rFonts w:hint="eastAsia" w:ascii="仿宋_GB2312" w:hAnsi="仿宋_GB2312" w:eastAsia="仿宋_GB2312" w:cs="仿宋_GB2312"/>
          <w:b/>
          <w:color w:val="000000" w:themeColor="text1"/>
          <w:sz w:val="32"/>
          <w:szCs w:val="32"/>
          <w14:textFill>
            <w14:solidFill>
              <w14:schemeClr w14:val="tx1"/>
            </w14:solidFill>
          </w14:textFill>
        </w:rPr>
        <w:t>20</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b/>
          <w:color w:val="000000" w:themeColor="text1"/>
          <w:sz w:val="32"/>
          <w:szCs w:val="32"/>
          <w14:textFill>
            <w14:solidFill>
              <w14:schemeClr w14:val="tx1"/>
            </w14:solidFill>
          </w14:textFill>
        </w:rPr>
        <w:t>年</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b/>
          <w:color w:val="000000" w:themeColor="text1"/>
          <w:sz w:val="32"/>
          <w:szCs w:val="32"/>
          <w14:textFill>
            <w14:solidFill>
              <w14:schemeClr w14:val="tx1"/>
            </w14:solidFill>
          </w14:textFill>
        </w:rPr>
        <w:t>般公共预算支出决算数为</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329.12万元</w:t>
      </w:r>
      <w:r>
        <w:rPr>
          <w:rFonts w:hint="eastAsia" w:ascii="仿宋_GB2312" w:hAnsi="仿宋_GB2312" w:eastAsia="仿宋_GB2312" w:cs="仿宋_GB2312"/>
          <w:color w:val="000000" w:themeColor="text1"/>
          <w:sz w:val="32"/>
          <w:szCs w:val="32"/>
          <w14:textFill>
            <w14:solidFill>
              <w14:schemeClr w14:val="tx1"/>
            </w14:solidFill>
          </w14:textFill>
        </w:rPr>
        <w:t>，</w:t>
      </w:r>
      <w:r>
        <w:rPr>
          <w:rStyle w:val="14"/>
          <w:rFonts w:hint="eastAsia" w:ascii="仿宋_GB2312" w:hAnsi="仿宋_GB2312" w:eastAsia="仿宋_GB2312" w:cs="仿宋_GB2312"/>
          <w:bCs/>
          <w:color w:val="000000" w:themeColor="text1"/>
          <w:sz w:val="32"/>
          <w:szCs w:val="32"/>
          <w14:textFill>
            <w14:solidFill>
              <w14:schemeClr w14:val="tx1"/>
            </w14:solidFill>
          </w14:textFill>
        </w:rPr>
        <w:t>完成</w:t>
      </w:r>
      <w:r>
        <w:rPr>
          <w:rStyle w:val="14"/>
          <w:rFonts w:hint="eastAsia" w:ascii="仿宋_GB2312" w:hAnsi="仿宋_GB2312" w:eastAsia="仿宋_GB2312" w:cs="仿宋_GB2312"/>
          <w:bCs/>
          <w:color w:val="000000"/>
          <w:sz w:val="32"/>
          <w:szCs w:val="32"/>
        </w:rPr>
        <w:t>预算</w:t>
      </w:r>
      <w:r>
        <w:rPr>
          <w:rStyle w:val="14"/>
          <w:rFonts w:hint="eastAsia" w:ascii="仿宋_GB2312" w:hAnsi="仿宋_GB2312" w:eastAsia="仿宋_GB2312" w:cs="仿宋_GB2312"/>
          <w:bCs/>
          <w:color w:val="000000"/>
          <w:sz w:val="32"/>
          <w:szCs w:val="32"/>
          <w:lang w:val="en-US" w:eastAsia="zh-CN"/>
        </w:rPr>
        <w:t>85</w:t>
      </w:r>
      <w:r>
        <w:rPr>
          <w:rStyle w:val="14"/>
          <w:rFonts w:hint="eastAsia" w:ascii="仿宋_GB2312" w:hAnsi="仿宋_GB2312" w:eastAsia="仿宋_GB2312" w:cs="仿宋_GB2312"/>
          <w:bCs/>
          <w:color w:val="000000"/>
          <w:sz w:val="32"/>
          <w:szCs w:val="32"/>
        </w:rPr>
        <w:t>%。其中：</w:t>
      </w:r>
      <w:bookmarkEnd w:id="31"/>
      <w:bookmarkEnd w:id="32"/>
      <w:bookmarkEnd w:id="33"/>
    </w:p>
    <w:p>
      <w:pPr>
        <w:spacing w:line="600" w:lineRule="exact"/>
        <w:ind w:firstLine="642" w:firstLineChars="200"/>
        <w:rPr>
          <w:rFonts w:hint="eastAsia" w:ascii="仿宋_GB2312" w:hAnsi="仿宋_GB2312" w:eastAsia="仿宋_GB2312" w:cs="仿宋_GB2312"/>
          <w:sz w:val="32"/>
          <w:szCs w:val="32"/>
        </w:rPr>
      </w:pPr>
      <w:r>
        <w:rPr>
          <w:rStyle w:val="14"/>
          <w:rFonts w:hint="eastAsia" w:ascii="仿宋_GB2312" w:hAnsi="仿宋_GB2312" w:eastAsia="仿宋_GB2312" w:cs="仿宋_GB2312"/>
          <w:bCs/>
          <w:color w:val="000000"/>
          <w:sz w:val="32"/>
          <w:szCs w:val="32"/>
        </w:rPr>
        <w:t>1.一般公共服务（类）</w:t>
      </w:r>
      <w:r>
        <w:rPr>
          <w:rStyle w:val="14"/>
          <w:rFonts w:hint="eastAsia" w:ascii="仿宋_GB2312" w:hAnsi="仿宋_GB2312" w:eastAsia="仿宋_GB2312" w:cs="仿宋_GB2312"/>
          <w:bCs/>
          <w:color w:val="000000"/>
          <w:sz w:val="32"/>
          <w:szCs w:val="32"/>
          <w:lang w:eastAsia="zh-CN"/>
        </w:rPr>
        <w:t>财政事务</w:t>
      </w:r>
      <w:r>
        <w:rPr>
          <w:rStyle w:val="14"/>
          <w:rFonts w:hint="eastAsia" w:ascii="仿宋_GB2312" w:hAnsi="仿宋_GB2312" w:eastAsia="仿宋_GB2312" w:cs="仿宋_GB2312"/>
          <w:bCs/>
          <w:color w:val="000000"/>
          <w:sz w:val="32"/>
          <w:szCs w:val="32"/>
        </w:rPr>
        <w:t>（款）</w:t>
      </w:r>
      <w:r>
        <w:rPr>
          <w:rStyle w:val="14"/>
          <w:rFonts w:hint="eastAsia" w:ascii="仿宋_GB2312" w:hAnsi="仿宋_GB2312" w:eastAsia="仿宋_GB2312" w:cs="仿宋_GB2312"/>
          <w:bCs/>
          <w:color w:val="000000"/>
          <w:sz w:val="32"/>
          <w:szCs w:val="32"/>
          <w:lang w:eastAsia="zh-CN"/>
        </w:rPr>
        <w:t>行政运行</w:t>
      </w:r>
      <w:r>
        <w:rPr>
          <w:rStyle w:val="14"/>
          <w:rFonts w:hint="eastAsia" w:ascii="仿宋_GB2312" w:hAnsi="仿宋_GB2312" w:eastAsia="仿宋_GB2312" w:cs="仿宋_GB2312"/>
          <w:bCs/>
          <w:color w:val="000000"/>
          <w:sz w:val="32"/>
          <w:szCs w:val="32"/>
        </w:rPr>
        <w:t>（项）:</w:t>
      </w:r>
      <w:r>
        <w:rPr>
          <w:rStyle w:val="14"/>
          <w:rFonts w:hint="eastAsia" w:ascii="仿宋_GB2312" w:hAnsi="仿宋_GB2312" w:eastAsia="仿宋_GB2312" w:cs="仿宋_GB2312"/>
          <w:b w:val="0"/>
          <w:bCs/>
          <w:color w:val="000000"/>
          <w:sz w:val="32"/>
          <w:szCs w:val="32"/>
        </w:rPr>
        <w:t>支出决算为</w:t>
      </w:r>
      <w:r>
        <w:rPr>
          <w:rStyle w:val="14"/>
          <w:rFonts w:hint="eastAsia" w:ascii="仿宋_GB2312" w:hAnsi="仿宋_GB2312" w:eastAsia="仿宋_GB2312" w:cs="仿宋_GB2312"/>
          <w:b w:val="0"/>
          <w:bCs/>
          <w:color w:val="000000"/>
          <w:sz w:val="32"/>
          <w:szCs w:val="32"/>
          <w:lang w:val="en-US" w:eastAsia="zh-CN"/>
        </w:rPr>
        <w:t>233.02</w:t>
      </w:r>
      <w:r>
        <w:rPr>
          <w:rStyle w:val="14"/>
          <w:rFonts w:hint="eastAsia" w:ascii="仿宋_GB2312" w:hAnsi="仿宋_GB2312" w:eastAsia="仿宋_GB2312" w:cs="仿宋_GB2312"/>
          <w:b w:val="0"/>
          <w:bCs/>
          <w:color w:val="000000"/>
          <w:sz w:val="32"/>
          <w:szCs w:val="32"/>
        </w:rPr>
        <w:t>万元，完成预算</w:t>
      </w:r>
      <w:r>
        <w:rPr>
          <w:rStyle w:val="14"/>
          <w:rFonts w:hint="eastAsia" w:ascii="仿宋_GB2312" w:hAnsi="仿宋_GB2312" w:eastAsia="仿宋_GB2312" w:cs="仿宋_GB2312"/>
          <w:b w:val="0"/>
          <w:bCs/>
          <w:color w:val="000000"/>
          <w:sz w:val="32"/>
          <w:szCs w:val="32"/>
          <w:lang w:val="en-US" w:eastAsia="zh-CN"/>
        </w:rPr>
        <w:t>85</w:t>
      </w:r>
      <w:r>
        <w:rPr>
          <w:rStyle w:val="14"/>
          <w:rFonts w:hint="eastAsia" w:ascii="仿宋_GB2312" w:hAnsi="仿宋_GB2312" w:eastAsia="仿宋_GB2312" w:cs="仿宋_GB2312"/>
          <w:b w:val="0"/>
          <w:bCs/>
          <w:color w:val="000000"/>
          <w:sz w:val="32"/>
          <w:szCs w:val="32"/>
        </w:rPr>
        <w:t>%，决算数小于预算数的主要原因是</w:t>
      </w:r>
      <w:r>
        <w:rPr>
          <w:rStyle w:val="14"/>
          <w:rFonts w:hint="eastAsia" w:ascii="仿宋_GB2312" w:hAnsi="仿宋_GB2312" w:eastAsia="仿宋_GB2312" w:cs="仿宋_GB2312"/>
          <w:b w:val="0"/>
          <w:bCs/>
          <w:color w:val="000000"/>
          <w:sz w:val="32"/>
          <w:szCs w:val="32"/>
          <w:lang w:eastAsia="zh-CN"/>
        </w:rPr>
        <w:t>人员减少</w:t>
      </w:r>
      <w:r>
        <w:rPr>
          <w:rStyle w:val="14"/>
          <w:rFonts w:hint="eastAsia" w:ascii="仿宋_GB2312" w:hAnsi="仿宋_GB2312" w:eastAsia="仿宋_GB2312" w:cs="仿宋_GB2312"/>
          <w:b w:val="0"/>
          <w:bCs/>
          <w:color w:val="000000"/>
          <w:sz w:val="32"/>
          <w:szCs w:val="32"/>
        </w:rPr>
        <w:t>。</w:t>
      </w:r>
    </w:p>
    <w:p>
      <w:pPr>
        <w:spacing w:line="600" w:lineRule="exact"/>
        <w:ind w:firstLine="642" w:firstLineChars="200"/>
        <w:rPr>
          <w:rStyle w:val="14"/>
          <w:rFonts w:hint="eastAsia" w:ascii="仿宋_GB2312" w:hAnsi="仿宋_GB2312" w:eastAsia="仿宋_GB2312" w:cs="仿宋_GB2312"/>
          <w:b w:val="0"/>
          <w:bCs/>
          <w:color w:val="000000"/>
          <w:sz w:val="32"/>
          <w:szCs w:val="32"/>
        </w:rPr>
      </w:pPr>
      <w:r>
        <w:rPr>
          <w:rStyle w:val="14"/>
          <w:rFonts w:hint="eastAsia" w:ascii="仿宋_GB2312" w:hAnsi="仿宋_GB2312" w:eastAsia="仿宋_GB2312" w:cs="仿宋_GB2312"/>
          <w:bCs/>
          <w:color w:val="000000"/>
          <w:sz w:val="32"/>
          <w:szCs w:val="32"/>
        </w:rPr>
        <w:t>2.一般公共服务（类）</w:t>
      </w:r>
      <w:r>
        <w:rPr>
          <w:rStyle w:val="14"/>
          <w:rFonts w:hint="eastAsia" w:ascii="仿宋_GB2312" w:hAnsi="仿宋_GB2312" w:eastAsia="仿宋_GB2312" w:cs="仿宋_GB2312"/>
          <w:bCs/>
          <w:color w:val="000000"/>
          <w:sz w:val="32"/>
          <w:szCs w:val="32"/>
          <w:lang w:eastAsia="zh-CN"/>
        </w:rPr>
        <w:t>财政事务</w:t>
      </w:r>
      <w:r>
        <w:rPr>
          <w:rStyle w:val="14"/>
          <w:rFonts w:hint="eastAsia" w:ascii="仿宋_GB2312" w:hAnsi="仿宋_GB2312" w:eastAsia="仿宋_GB2312" w:cs="仿宋_GB2312"/>
          <w:bCs/>
          <w:color w:val="000000"/>
          <w:sz w:val="32"/>
          <w:szCs w:val="32"/>
        </w:rPr>
        <w:t>（款）</w:t>
      </w:r>
      <w:r>
        <w:rPr>
          <w:rStyle w:val="14"/>
          <w:rFonts w:hint="eastAsia" w:ascii="仿宋_GB2312" w:hAnsi="仿宋_GB2312" w:eastAsia="仿宋_GB2312" w:cs="仿宋_GB2312"/>
          <w:bCs/>
          <w:color w:val="000000"/>
          <w:sz w:val="32"/>
          <w:szCs w:val="32"/>
          <w:lang w:eastAsia="zh-CN"/>
        </w:rPr>
        <w:t>一般行政管理事务</w:t>
      </w:r>
      <w:r>
        <w:rPr>
          <w:rStyle w:val="14"/>
          <w:rFonts w:hint="eastAsia" w:ascii="仿宋_GB2312" w:hAnsi="仿宋_GB2312" w:eastAsia="仿宋_GB2312" w:cs="仿宋_GB2312"/>
          <w:bCs/>
          <w:color w:val="000000"/>
          <w:sz w:val="32"/>
          <w:szCs w:val="32"/>
        </w:rPr>
        <w:t>（项）:</w:t>
      </w:r>
      <w:r>
        <w:rPr>
          <w:rStyle w:val="14"/>
          <w:rFonts w:hint="eastAsia" w:ascii="仿宋_GB2312" w:hAnsi="仿宋_GB2312" w:eastAsia="仿宋_GB2312" w:cs="仿宋_GB2312"/>
          <w:b w:val="0"/>
          <w:bCs/>
          <w:color w:val="000000"/>
          <w:sz w:val="32"/>
          <w:szCs w:val="32"/>
        </w:rPr>
        <w:t>支出决算为</w:t>
      </w:r>
      <w:r>
        <w:rPr>
          <w:rStyle w:val="14"/>
          <w:rFonts w:hint="eastAsia" w:ascii="仿宋_GB2312" w:hAnsi="仿宋_GB2312" w:eastAsia="仿宋_GB2312" w:cs="仿宋_GB2312"/>
          <w:b w:val="0"/>
          <w:bCs/>
          <w:color w:val="000000"/>
          <w:sz w:val="32"/>
          <w:szCs w:val="32"/>
          <w:lang w:val="en-US" w:eastAsia="zh-CN"/>
        </w:rPr>
        <w:t>10</w:t>
      </w:r>
      <w:r>
        <w:rPr>
          <w:rStyle w:val="14"/>
          <w:rFonts w:hint="eastAsia" w:ascii="仿宋_GB2312" w:hAnsi="仿宋_GB2312" w:eastAsia="仿宋_GB2312" w:cs="仿宋_GB2312"/>
          <w:b w:val="0"/>
          <w:bCs/>
          <w:color w:val="000000"/>
          <w:sz w:val="32"/>
          <w:szCs w:val="32"/>
        </w:rPr>
        <w:t>万元，完成预算</w:t>
      </w:r>
      <w:r>
        <w:rPr>
          <w:rStyle w:val="14"/>
          <w:rFonts w:hint="eastAsia" w:ascii="仿宋_GB2312" w:hAnsi="仿宋_GB2312" w:eastAsia="仿宋_GB2312" w:cs="仿宋_GB2312"/>
          <w:b w:val="0"/>
          <w:bCs/>
          <w:color w:val="000000"/>
          <w:sz w:val="32"/>
          <w:szCs w:val="32"/>
          <w:lang w:val="en-US" w:eastAsia="zh-CN"/>
        </w:rPr>
        <w:t>83</w:t>
      </w:r>
      <w:r>
        <w:rPr>
          <w:rStyle w:val="14"/>
          <w:rFonts w:hint="eastAsia" w:ascii="仿宋_GB2312" w:hAnsi="仿宋_GB2312" w:eastAsia="仿宋_GB2312" w:cs="仿宋_GB2312"/>
          <w:b w:val="0"/>
          <w:bCs/>
          <w:color w:val="000000"/>
          <w:sz w:val="32"/>
          <w:szCs w:val="32"/>
        </w:rPr>
        <w:t>%，决算数小于预算数的主要原因是</w:t>
      </w:r>
      <w:r>
        <w:rPr>
          <w:rStyle w:val="14"/>
          <w:rFonts w:hint="eastAsia" w:ascii="仿宋_GB2312" w:hAnsi="仿宋_GB2312" w:eastAsia="仿宋_GB2312" w:cs="仿宋_GB2312"/>
          <w:b w:val="0"/>
          <w:bCs/>
          <w:color w:val="000000"/>
          <w:sz w:val="32"/>
          <w:szCs w:val="32"/>
          <w:lang w:eastAsia="zh-CN"/>
        </w:rPr>
        <w:t>根据执行中签订合同的实际金额支付</w:t>
      </w:r>
      <w:r>
        <w:rPr>
          <w:rStyle w:val="14"/>
          <w:rFonts w:hint="eastAsia" w:ascii="仿宋_GB2312" w:hAnsi="仿宋_GB2312" w:eastAsia="仿宋_GB2312" w:cs="仿宋_GB2312"/>
          <w:b w:val="0"/>
          <w:bCs/>
          <w:color w:val="000000"/>
          <w:sz w:val="32"/>
          <w:szCs w:val="32"/>
        </w:rPr>
        <w:t>。</w:t>
      </w:r>
    </w:p>
    <w:p>
      <w:pPr>
        <w:spacing w:line="600" w:lineRule="exact"/>
        <w:ind w:firstLine="642" w:firstLineChars="200"/>
        <w:rPr>
          <w:rFonts w:hint="eastAsia" w:ascii="仿宋_GB2312" w:hAnsi="仿宋_GB2312" w:eastAsia="仿宋_GB2312" w:cs="仿宋_GB2312"/>
          <w:b/>
          <w:color w:val="000000"/>
          <w:sz w:val="32"/>
          <w:szCs w:val="32"/>
        </w:rPr>
      </w:pPr>
      <w:r>
        <w:rPr>
          <w:rStyle w:val="14"/>
          <w:rFonts w:hint="eastAsia" w:ascii="仿宋_GB2312" w:hAnsi="仿宋_GB2312" w:eastAsia="仿宋_GB2312" w:cs="仿宋_GB2312"/>
          <w:bCs/>
          <w:color w:val="000000"/>
          <w:sz w:val="32"/>
          <w:szCs w:val="32"/>
        </w:rPr>
        <w:t>3.社会保障和就业支出（类）行政事业单位养老支出（款）行政单位离退休（项）:</w:t>
      </w:r>
      <w:r>
        <w:rPr>
          <w:rStyle w:val="14"/>
          <w:rFonts w:hint="eastAsia" w:ascii="仿宋_GB2312" w:hAnsi="仿宋_GB2312" w:eastAsia="仿宋_GB2312" w:cs="仿宋_GB2312"/>
          <w:b w:val="0"/>
          <w:bCs/>
          <w:color w:val="000000"/>
          <w:sz w:val="32"/>
          <w:szCs w:val="32"/>
        </w:rPr>
        <w:t>支出决算为</w:t>
      </w:r>
      <w:r>
        <w:rPr>
          <w:rStyle w:val="14"/>
          <w:rFonts w:hint="eastAsia" w:ascii="仿宋_GB2312" w:hAnsi="仿宋_GB2312" w:eastAsia="仿宋_GB2312" w:cs="仿宋_GB2312"/>
          <w:b w:val="0"/>
          <w:bCs/>
          <w:color w:val="000000"/>
          <w:sz w:val="32"/>
          <w:szCs w:val="32"/>
          <w:lang w:val="en-US" w:eastAsia="zh-CN"/>
        </w:rPr>
        <w:t>4.97</w:t>
      </w:r>
      <w:r>
        <w:rPr>
          <w:rStyle w:val="14"/>
          <w:rFonts w:hint="eastAsia" w:ascii="仿宋_GB2312" w:hAnsi="仿宋_GB2312" w:eastAsia="仿宋_GB2312" w:cs="仿宋_GB2312"/>
          <w:b w:val="0"/>
          <w:bCs/>
          <w:color w:val="000000"/>
          <w:sz w:val="32"/>
          <w:szCs w:val="32"/>
        </w:rPr>
        <w:t>万元，完成预算</w:t>
      </w:r>
      <w:r>
        <w:rPr>
          <w:rStyle w:val="14"/>
          <w:rFonts w:hint="eastAsia" w:ascii="仿宋_GB2312" w:hAnsi="仿宋_GB2312" w:eastAsia="仿宋_GB2312" w:cs="仿宋_GB2312"/>
          <w:b w:val="0"/>
          <w:bCs/>
          <w:color w:val="000000"/>
          <w:sz w:val="32"/>
          <w:szCs w:val="32"/>
          <w:lang w:val="en-US" w:eastAsia="zh-CN"/>
        </w:rPr>
        <w:t>100</w:t>
      </w:r>
      <w:r>
        <w:rPr>
          <w:rStyle w:val="14"/>
          <w:rFonts w:hint="eastAsia" w:ascii="仿宋_GB2312" w:hAnsi="仿宋_GB2312" w:eastAsia="仿宋_GB2312" w:cs="仿宋_GB2312"/>
          <w:b w:val="0"/>
          <w:bCs/>
          <w:color w:val="000000"/>
          <w:sz w:val="32"/>
          <w:szCs w:val="32"/>
        </w:rPr>
        <w:t>%，决算数</w:t>
      </w:r>
      <w:r>
        <w:rPr>
          <w:rStyle w:val="14"/>
          <w:rFonts w:hint="eastAsia" w:ascii="仿宋_GB2312" w:hAnsi="仿宋_GB2312" w:eastAsia="仿宋_GB2312" w:cs="仿宋_GB2312"/>
          <w:b w:val="0"/>
          <w:bCs/>
          <w:color w:val="000000"/>
          <w:sz w:val="32"/>
          <w:szCs w:val="32"/>
          <w:lang w:eastAsia="zh-CN"/>
        </w:rPr>
        <w:t>与</w:t>
      </w:r>
      <w:r>
        <w:rPr>
          <w:rStyle w:val="14"/>
          <w:rFonts w:hint="eastAsia" w:ascii="仿宋_GB2312" w:hAnsi="仿宋_GB2312" w:eastAsia="仿宋_GB2312" w:cs="仿宋_GB2312"/>
          <w:b w:val="0"/>
          <w:bCs/>
          <w:color w:val="000000"/>
          <w:sz w:val="32"/>
          <w:szCs w:val="32"/>
        </w:rPr>
        <w:t>预算数</w:t>
      </w:r>
      <w:r>
        <w:rPr>
          <w:rStyle w:val="14"/>
          <w:rFonts w:hint="eastAsia" w:ascii="仿宋_GB2312" w:hAnsi="仿宋_GB2312" w:eastAsia="仿宋_GB2312" w:cs="仿宋_GB2312"/>
          <w:b w:val="0"/>
          <w:bCs/>
          <w:color w:val="000000"/>
          <w:sz w:val="32"/>
          <w:szCs w:val="32"/>
          <w:lang w:eastAsia="zh-CN"/>
        </w:rPr>
        <w:t>持平</w:t>
      </w:r>
      <w:r>
        <w:rPr>
          <w:rStyle w:val="14"/>
          <w:rFonts w:hint="eastAsia" w:ascii="仿宋_GB2312" w:hAnsi="仿宋_GB2312" w:eastAsia="仿宋_GB2312" w:cs="仿宋_GB2312"/>
          <w:b w:val="0"/>
          <w:bCs/>
          <w:color w:val="000000"/>
          <w:sz w:val="32"/>
          <w:szCs w:val="32"/>
        </w:rPr>
        <w:t>。</w:t>
      </w:r>
    </w:p>
    <w:p>
      <w:pPr>
        <w:spacing w:line="600" w:lineRule="exact"/>
        <w:ind w:firstLine="642" w:firstLineChars="200"/>
        <w:rPr>
          <w:rFonts w:hint="eastAsia" w:ascii="仿宋_GB2312" w:hAnsi="仿宋_GB2312" w:eastAsia="仿宋_GB2312" w:cs="仿宋_GB2312"/>
          <w:b/>
          <w:color w:val="000000"/>
          <w:sz w:val="32"/>
          <w:szCs w:val="32"/>
        </w:rPr>
      </w:pPr>
      <w:r>
        <w:rPr>
          <w:rStyle w:val="14"/>
          <w:rFonts w:hint="eastAsia" w:ascii="仿宋_GB2312" w:hAnsi="仿宋_GB2312" w:eastAsia="仿宋_GB2312" w:cs="仿宋_GB2312"/>
          <w:bCs/>
          <w:color w:val="000000"/>
          <w:sz w:val="32"/>
          <w:szCs w:val="32"/>
        </w:rPr>
        <w:t>4.社会保障和就业支出（类）行政事业单位养老支出（款） 机关事业单位基本养老保险缴费支出（项）:</w:t>
      </w:r>
      <w:r>
        <w:rPr>
          <w:rStyle w:val="14"/>
          <w:rFonts w:hint="eastAsia" w:ascii="仿宋_GB2312" w:hAnsi="仿宋_GB2312" w:eastAsia="仿宋_GB2312" w:cs="仿宋_GB2312"/>
          <w:b w:val="0"/>
          <w:bCs/>
          <w:color w:val="000000"/>
          <w:sz w:val="32"/>
          <w:szCs w:val="32"/>
        </w:rPr>
        <w:t>支出决算为</w:t>
      </w:r>
      <w:r>
        <w:rPr>
          <w:rStyle w:val="14"/>
          <w:rFonts w:hint="eastAsia" w:ascii="仿宋_GB2312" w:hAnsi="仿宋_GB2312" w:eastAsia="仿宋_GB2312" w:cs="仿宋_GB2312"/>
          <w:b w:val="0"/>
          <w:bCs/>
          <w:color w:val="000000"/>
          <w:sz w:val="32"/>
          <w:szCs w:val="32"/>
          <w:lang w:val="en-US" w:eastAsia="zh-CN"/>
        </w:rPr>
        <w:t>14.64</w:t>
      </w:r>
      <w:r>
        <w:rPr>
          <w:rStyle w:val="14"/>
          <w:rFonts w:hint="eastAsia" w:ascii="仿宋_GB2312" w:hAnsi="仿宋_GB2312" w:eastAsia="仿宋_GB2312" w:cs="仿宋_GB2312"/>
          <w:b w:val="0"/>
          <w:bCs/>
          <w:color w:val="000000"/>
          <w:sz w:val="32"/>
          <w:szCs w:val="32"/>
        </w:rPr>
        <w:t>万元，完成预算</w:t>
      </w:r>
      <w:r>
        <w:rPr>
          <w:rStyle w:val="14"/>
          <w:rFonts w:hint="eastAsia" w:ascii="仿宋_GB2312" w:hAnsi="仿宋_GB2312" w:eastAsia="仿宋_GB2312" w:cs="仿宋_GB2312"/>
          <w:b w:val="0"/>
          <w:bCs/>
          <w:color w:val="000000"/>
          <w:sz w:val="32"/>
          <w:szCs w:val="32"/>
          <w:lang w:val="en-US" w:eastAsia="zh-CN"/>
        </w:rPr>
        <w:t>68</w:t>
      </w:r>
      <w:r>
        <w:rPr>
          <w:rStyle w:val="14"/>
          <w:rFonts w:hint="eastAsia" w:ascii="仿宋_GB2312" w:hAnsi="仿宋_GB2312" w:eastAsia="仿宋_GB2312" w:cs="仿宋_GB2312"/>
          <w:b w:val="0"/>
          <w:bCs/>
          <w:color w:val="000000"/>
          <w:sz w:val="32"/>
          <w:szCs w:val="32"/>
        </w:rPr>
        <w:t>%，决算数小于预算数的主要原因是</w:t>
      </w:r>
      <w:r>
        <w:rPr>
          <w:rStyle w:val="14"/>
          <w:rFonts w:hint="eastAsia" w:ascii="仿宋_GB2312" w:hAnsi="仿宋_GB2312" w:eastAsia="仿宋_GB2312" w:cs="仿宋_GB2312"/>
          <w:b w:val="0"/>
          <w:bCs/>
          <w:color w:val="000000"/>
          <w:sz w:val="32"/>
          <w:szCs w:val="32"/>
          <w:lang w:eastAsia="zh-CN"/>
        </w:rPr>
        <w:t>人员减少</w:t>
      </w:r>
      <w:r>
        <w:rPr>
          <w:rStyle w:val="14"/>
          <w:rFonts w:hint="eastAsia" w:ascii="仿宋_GB2312" w:hAnsi="仿宋_GB2312" w:eastAsia="仿宋_GB2312" w:cs="仿宋_GB2312"/>
          <w:b w:val="0"/>
          <w:bCs/>
          <w:color w:val="000000"/>
          <w:sz w:val="32"/>
          <w:szCs w:val="32"/>
        </w:rPr>
        <w:t>。</w:t>
      </w:r>
    </w:p>
    <w:p>
      <w:pPr>
        <w:spacing w:line="600" w:lineRule="exact"/>
        <w:ind w:firstLine="642" w:firstLineChars="200"/>
        <w:rPr>
          <w:rFonts w:hint="eastAsia" w:ascii="仿宋_GB2312" w:hAnsi="仿宋_GB2312" w:eastAsia="仿宋_GB2312" w:cs="仿宋_GB2312"/>
          <w:b/>
          <w:color w:val="000000"/>
          <w:sz w:val="32"/>
          <w:szCs w:val="32"/>
        </w:rPr>
      </w:pPr>
      <w:r>
        <w:rPr>
          <w:rStyle w:val="14"/>
          <w:rFonts w:hint="eastAsia" w:ascii="仿宋_GB2312" w:hAnsi="仿宋_GB2312" w:eastAsia="仿宋_GB2312" w:cs="仿宋_GB2312"/>
          <w:bCs/>
          <w:color w:val="000000"/>
          <w:sz w:val="32"/>
          <w:szCs w:val="32"/>
        </w:rPr>
        <w:t>5.卫生健康支出（类）行政事业单位医疗（款）行政单位医疗（项）:</w:t>
      </w:r>
      <w:r>
        <w:rPr>
          <w:rStyle w:val="14"/>
          <w:rFonts w:hint="eastAsia" w:ascii="仿宋_GB2312" w:hAnsi="仿宋_GB2312" w:eastAsia="仿宋_GB2312" w:cs="仿宋_GB2312"/>
          <w:b w:val="0"/>
          <w:bCs/>
          <w:color w:val="000000"/>
          <w:sz w:val="32"/>
          <w:szCs w:val="32"/>
        </w:rPr>
        <w:t>支出决算为</w:t>
      </w:r>
      <w:r>
        <w:rPr>
          <w:rStyle w:val="14"/>
          <w:rFonts w:hint="eastAsia" w:ascii="仿宋_GB2312" w:hAnsi="仿宋_GB2312" w:eastAsia="仿宋_GB2312" w:cs="仿宋_GB2312"/>
          <w:b w:val="0"/>
          <w:bCs/>
          <w:color w:val="000000"/>
          <w:sz w:val="32"/>
          <w:szCs w:val="32"/>
          <w:lang w:val="en-US" w:eastAsia="zh-CN"/>
        </w:rPr>
        <w:t>16.97</w:t>
      </w:r>
      <w:r>
        <w:rPr>
          <w:rStyle w:val="14"/>
          <w:rFonts w:hint="eastAsia" w:ascii="仿宋_GB2312" w:hAnsi="仿宋_GB2312" w:eastAsia="仿宋_GB2312" w:cs="仿宋_GB2312"/>
          <w:b w:val="0"/>
          <w:bCs/>
          <w:color w:val="000000"/>
          <w:sz w:val="32"/>
          <w:szCs w:val="32"/>
        </w:rPr>
        <w:t>万元，完成预算</w:t>
      </w:r>
      <w:r>
        <w:rPr>
          <w:rStyle w:val="14"/>
          <w:rFonts w:hint="eastAsia" w:ascii="仿宋_GB2312" w:hAnsi="仿宋_GB2312" w:eastAsia="仿宋_GB2312" w:cs="仿宋_GB2312"/>
          <w:b w:val="0"/>
          <w:bCs/>
          <w:color w:val="000000"/>
          <w:sz w:val="32"/>
          <w:szCs w:val="32"/>
          <w:lang w:val="en-US" w:eastAsia="zh-CN"/>
        </w:rPr>
        <w:t>98</w:t>
      </w:r>
      <w:r>
        <w:rPr>
          <w:rStyle w:val="14"/>
          <w:rFonts w:hint="eastAsia" w:ascii="仿宋_GB2312" w:hAnsi="仿宋_GB2312" w:eastAsia="仿宋_GB2312" w:cs="仿宋_GB2312"/>
          <w:b w:val="0"/>
          <w:bCs/>
          <w:color w:val="000000"/>
          <w:sz w:val="32"/>
          <w:szCs w:val="32"/>
        </w:rPr>
        <w:t>%，决算数小于预算数的主要原因是</w:t>
      </w:r>
      <w:r>
        <w:rPr>
          <w:rStyle w:val="14"/>
          <w:rFonts w:hint="eastAsia" w:ascii="仿宋_GB2312" w:hAnsi="仿宋_GB2312" w:eastAsia="仿宋_GB2312" w:cs="仿宋_GB2312"/>
          <w:b w:val="0"/>
          <w:bCs/>
          <w:color w:val="000000"/>
          <w:sz w:val="32"/>
          <w:szCs w:val="32"/>
          <w:lang w:eastAsia="zh-CN"/>
        </w:rPr>
        <w:t>人员减少</w:t>
      </w:r>
      <w:r>
        <w:rPr>
          <w:rStyle w:val="14"/>
          <w:rFonts w:hint="eastAsia" w:ascii="仿宋_GB2312" w:hAnsi="仿宋_GB2312" w:eastAsia="仿宋_GB2312" w:cs="仿宋_GB2312"/>
          <w:b w:val="0"/>
          <w:bCs/>
          <w:color w:val="000000"/>
          <w:sz w:val="32"/>
          <w:szCs w:val="32"/>
        </w:rPr>
        <w:t>。</w:t>
      </w:r>
    </w:p>
    <w:p>
      <w:pPr>
        <w:spacing w:line="600" w:lineRule="exact"/>
        <w:ind w:firstLine="642" w:firstLineChars="200"/>
        <w:rPr>
          <w:rStyle w:val="14"/>
          <w:rFonts w:hint="eastAsia" w:ascii="仿宋_GB2312" w:hAnsi="仿宋_GB2312" w:eastAsia="仿宋_GB2312" w:cs="仿宋_GB2312"/>
          <w:b w:val="0"/>
          <w:bCs/>
          <w:color w:val="000000"/>
          <w:sz w:val="32"/>
          <w:szCs w:val="32"/>
        </w:rPr>
      </w:pPr>
      <w:r>
        <w:rPr>
          <w:rStyle w:val="14"/>
          <w:rFonts w:hint="eastAsia" w:ascii="仿宋_GB2312" w:hAnsi="仿宋_GB2312" w:eastAsia="仿宋_GB2312" w:cs="仿宋_GB2312"/>
          <w:bCs/>
          <w:color w:val="000000"/>
          <w:sz w:val="32"/>
          <w:szCs w:val="32"/>
        </w:rPr>
        <w:t>6.卫生健康支出（类）行政事业单位医疗（款）公务员医疗补助（项）:</w:t>
      </w:r>
      <w:r>
        <w:rPr>
          <w:rStyle w:val="14"/>
          <w:rFonts w:hint="eastAsia" w:ascii="仿宋_GB2312" w:hAnsi="仿宋_GB2312" w:eastAsia="仿宋_GB2312" w:cs="仿宋_GB2312"/>
          <w:b w:val="0"/>
          <w:bCs/>
          <w:color w:val="000000"/>
          <w:sz w:val="32"/>
          <w:szCs w:val="32"/>
        </w:rPr>
        <w:t>支出决算为</w:t>
      </w:r>
      <w:r>
        <w:rPr>
          <w:rStyle w:val="14"/>
          <w:rFonts w:hint="eastAsia" w:ascii="仿宋_GB2312" w:hAnsi="仿宋_GB2312" w:eastAsia="仿宋_GB2312" w:cs="仿宋_GB2312"/>
          <w:b w:val="0"/>
          <w:bCs/>
          <w:color w:val="000000"/>
          <w:sz w:val="32"/>
          <w:szCs w:val="32"/>
          <w:lang w:val="en-US" w:eastAsia="zh-CN"/>
        </w:rPr>
        <w:t>3.5</w:t>
      </w:r>
      <w:r>
        <w:rPr>
          <w:rStyle w:val="14"/>
          <w:rFonts w:hint="eastAsia" w:ascii="仿宋_GB2312" w:hAnsi="仿宋_GB2312" w:eastAsia="仿宋_GB2312" w:cs="仿宋_GB2312"/>
          <w:b w:val="0"/>
          <w:bCs/>
          <w:color w:val="000000"/>
          <w:sz w:val="32"/>
          <w:szCs w:val="32"/>
        </w:rPr>
        <w:t>万元，完成预算</w:t>
      </w:r>
      <w:r>
        <w:rPr>
          <w:rStyle w:val="14"/>
          <w:rFonts w:hint="eastAsia" w:ascii="仿宋_GB2312" w:hAnsi="仿宋_GB2312" w:eastAsia="仿宋_GB2312" w:cs="仿宋_GB2312"/>
          <w:b w:val="0"/>
          <w:bCs/>
          <w:color w:val="000000"/>
          <w:sz w:val="32"/>
          <w:szCs w:val="32"/>
          <w:lang w:val="en-US" w:eastAsia="zh-CN"/>
        </w:rPr>
        <w:t>100</w:t>
      </w:r>
      <w:r>
        <w:rPr>
          <w:rStyle w:val="14"/>
          <w:rFonts w:hint="eastAsia" w:ascii="仿宋_GB2312" w:hAnsi="仿宋_GB2312" w:eastAsia="仿宋_GB2312" w:cs="仿宋_GB2312"/>
          <w:b w:val="0"/>
          <w:bCs/>
          <w:color w:val="000000"/>
          <w:sz w:val="32"/>
          <w:szCs w:val="32"/>
        </w:rPr>
        <w:t>%，决算数</w:t>
      </w:r>
      <w:r>
        <w:rPr>
          <w:rStyle w:val="14"/>
          <w:rFonts w:hint="eastAsia" w:ascii="仿宋_GB2312" w:hAnsi="仿宋_GB2312" w:eastAsia="仿宋_GB2312" w:cs="仿宋_GB2312"/>
          <w:b w:val="0"/>
          <w:bCs/>
          <w:color w:val="000000"/>
          <w:sz w:val="32"/>
          <w:szCs w:val="32"/>
          <w:lang w:eastAsia="zh-CN"/>
        </w:rPr>
        <w:t>与</w:t>
      </w:r>
      <w:r>
        <w:rPr>
          <w:rStyle w:val="14"/>
          <w:rFonts w:hint="eastAsia" w:ascii="仿宋_GB2312" w:hAnsi="仿宋_GB2312" w:eastAsia="仿宋_GB2312" w:cs="仿宋_GB2312"/>
          <w:b w:val="0"/>
          <w:bCs/>
          <w:color w:val="000000"/>
          <w:sz w:val="32"/>
          <w:szCs w:val="32"/>
        </w:rPr>
        <w:t>预算数</w:t>
      </w:r>
      <w:r>
        <w:rPr>
          <w:rStyle w:val="14"/>
          <w:rFonts w:hint="eastAsia" w:ascii="仿宋_GB2312" w:hAnsi="仿宋_GB2312" w:eastAsia="仿宋_GB2312" w:cs="仿宋_GB2312"/>
          <w:b w:val="0"/>
          <w:bCs/>
          <w:color w:val="000000"/>
          <w:sz w:val="32"/>
          <w:szCs w:val="32"/>
          <w:lang w:eastAsia="zh-CN"/>
        </w:rPr>
        <w:t>持平</w:t>
      </w:r>
      <w:r>
        <w:rPr>
          <w:rStyle w:val="14"/>
          <w:rFonts w:hint="eastAsia" w:ascii="仿宋_GB2312" w:hAnsi="仿宋_GB2312" w:eastAsia="仿宋_GB2312" w:cs="仿宋_GB2312"/>
          <w:b w:val="0"/>
          <w:bCs/>
          <w:color w:val="000000"/>
          <w:sz w:val="32"/>
          <w:szCs w:val="32"/>
        </w:rPr>
        <w:t>。</w:t>
      </w:r>
    </w:p>
    <w:p>
      <w:pPr>
        <w:spacing w:line="600" w:lineRule="exact"/>
        <w:ind w:firstLine="642" w:firstLineChars="200"/>
        <w:rPr>
          <w:rStyle w:val="14"/>
          <w:rFonts w:hint="eastAsia" w:ascii="仿宋_GB2312" w:hAnsi="仿宋_GB2312" w:eastAsia="仿宋_GB2312" w:cs="仿宋_GB2312"/>
          <w:b w:val="0"/>
          <w:bCs/>
          <w:color w:val="000000"/>
          <w:sz w:val="32"/>
          <w:szCs w:val="32"/>
        </w:rPr>
      </w:pPr>
      <w:r>
        <w:rPr>
          <w:rStyle w:val="14"/>
          <w:rFonts w:hint="eastAsia" w:ascii="仿宋_GB2312" w:hAnsi="仿宋_GB2312" w:eastAsia="仿宋_GB2312" w:cs="仿宋_GB2312"/>
          <w:bCs/>
          <w:color w:val="000000"/>
          <w:sz w:val="32"/>
          <w:szCs w:val="32"/>
          <w:lang w:val="en-US" w:eastAsia="zh-CN"/>
        </w:rPr>
        <w:t>7</w:t>
      </w:r>
      <w:r>
        <w:rPr>
          <w:rStyle w:val="14"/>
          <w:rFonts w:hint="eastAsia" w:ascii="仿宋_GB2312" w:hAnsi="仿宋_GB2312" w:eastAsia="仿宋_GB2312" w:cs="仿宋_GB2312"/>
          <w:bCs/>
          <w:color w:val="000000"/>
          <w:sz w:val="32"/>
          <w:szCs w:val="32"/>
        </w:rPr>
        <w:t>.</w:t>
      </w:r>
      <w:r>
        <w:rPr>
          <w:rFonts w:hint="eastAsia" w:ascii="仿宋_GB2312" w:hAnsi="仿宋_GB2312" w:eastAsia="仿宋_GB2312" w:cs="仿宋_GB2312"/>
          <w:b/>
          <w:bCs/>
          <w:color w:val="000000" w:themeColor="text1"/>
          <w:sz w:val="32"/>
          <w:szCs w:val="32"/>
          <w14:textFill>
            <w14:solidFill>
              <w14:schemeClr w14:val="tx1"/>
            </w14:solidFill>
          </w14:textFill>
        </w:rPr>
        <w:t>住房保障支出</w:t>
      </w:r>
      <w:r>
        <w:rPr>
          <w:rStyle w:val="14"/>
          <w:rFonts w:hint="eastAsia" w:ascii="仿宋_GB2312" w:hAnsi="仿宋_GB2312" w:eastAsia="仿宋_GB2312" w:cs="仿宋_GB2312"/>
          <w:bCs/>
          <w:color w:val="000000"/>
          <w:sz w:val="32"/>
          <w:szCs w:val="32"/>
        </w:rPr>
        <w:t>（类）住房改革支出（款）住房公积金（项）:</w:t>
      </w:r>
      <w:r>
        <w:rPr>
          <w:rStyle w:val="14"/>
          <w:rFonts w:hint="eastAsia" w:ascii="仿宋_GB2312" w:hAnsi="仿宋_GB2312" w:eastAsia="仿宋_GB2312" w:cs="仿宋_GB2312"/>
          <w:b w:val="0"/>
          <w:bCs/>
          <w:color w:val="000000"/>
          <w:sz w:val="32"/>
          <w:szCs w:val="32"/>
        </w:rPr>
        <w:t>支出决算为</w:t>
      </w:r>
      <w:r>
        <w:rPr>
          <w:rStyle w:val="14"/>
          <w:rFonts w:hint="eastAsia" w:ascii="仿宋_GB2312" w:hAnsi="仿宋_GB2312" w:eastAsia="仿宋_GB2312" w:cs="仿宋_GB2312"/>
          <w:b w:val="0"/>
          <w:bCs/>
          <w:color w:val="000000"/>
          <w:sz w:val="32"/>
          <w:szCs w:val="32"/>
          <w:lang w:val="en-US" w:eastAsia="zh-CN"/>
        </w:rPr>
        <w:t>17.55</w:t>
      </w:r>
      <w:r>
        <w:rPr>
          <w:rStyle w:val="14"/>
          <w:rFonts w:hint="eastAsia" w:ascii="仿宋_GB2312" w:hAnsi="仿宋_GB2312" w:eastAsia="仿宋_GB2312" w:cs="仿宋_GB2312"/>
          <w:b w:val="0"/>
          <w:bCs/>
          <w:color w:val="000000"/>
          <w:sz w:val="32"/>
          <w:szCs w:val="32"/>
        </w:rPr>
        <w:t>万元，完成预算</w:t>
      </w:r>
      <w:r>
        <w:rPr>
          <w:rStyle w:val="14"/>
          <w:rFonts w:hint="eastAsia" w:ascii="仿宋_GB2312" w:hAnsi="仿宋_GB2312" w:eastAsia="仿宋_GB2312" w:cs="仿宋_GB2312"/>
          <w:b w:val="0"/>
          <w:bCs/>
          <w:color w:val="000000"/>
          <w:sz w:val="32"/>
          <w:szCs w:val="32"/>
          <w:lang w:val="en-US" w:eastAsia="zh-CN"/>
        </w:rPr>
        <w:t>87</w:t>
      </w:r>
      <w:r>
        <w:rPr>
          <w:rStyle w:val="14"/>
          <w:rFonts w:hint="eastAsia" w:ascii="仿宋_GB2312" w:hAnsi="仿宋_GB2312" w:eastAsia="仿宋_GB2312" w:cs="仿宋_GB2312"/>
          <w:b w:val="0"/>
          <w:bCs/>
          <w:color w:val="000000"/>
          <w:sz w:val="32"/>
          <w:szCs w:val="32"/>
        </w:rPr>
        <w:t>%，决算数小于预算数的主要原因是</w:t>
      </w:r>
      <w:r>
        <w:rPr>
          <w:rStyle w:val="14"/>
          <w:rFonts w:hint="eastAsia" w:ascii="仿宋_GB2312" w:hAnsi="仿宋_GB2312" w:eastAsia="仿宋_GB2312" w:cs="仿宋_GB2312"/>
          <w:b w:val="0"/>
          <w:bCs/>
          <w:color w:val="000000"/>
          <w:sz w:val="32"/>
          <w:szCs w:val="32"/>
          <w:lang w:eastAsia="zh-CN"/>
        </w:rPr>
        <w:t>人员减少</w:t>
      </w:r>
      <w:r>
        <w:rPr>
          <w:rStyle w:val="14"/>
          <w:rFonts w:hint="eastAsia" w:ascii="仿宋_GB2312" w:hAnsi="仿宋_GB2312" w:eastAsia="仿宋_GB2312" w:cs="仿宋_GB2312"/>
          <w:b w:val="0"/>
          <w:bCs/>
          <w:color w:val="000000"/>
          <w:sz w:val="32"/>
          <w:szCs w:val="32"/>
        </w:rPr>
        <w:t>。</w:t>
      </w:r>
    </w:p>
    <w:p>
      <w:pPr>
        <w:spacing w:line="600" w:lineRule="exact"/>
        <w:ind w:firstLine="642" w:firstLineChars="200"/>
        <w:rPr>
          <w:rFonts w:hint="eastAsia" w:ascii="仿宋_GB2312" w:hAnsi="仿宋_GB2312" w:eastAsia="仿宋_GB2312" w:cs="仿宋_GB2312"/>
          <w:sz w:val="32"/>
          <w:szCs w:val="32"/>
        </w:rPr>
      </w:pPr>
      <w:r>
        <w:rPr>
          <w:rStyle w:val="14"/>
          <w:rFonts w:hint="eastAsia" w:ascii="仿宋_GB2312" w:hAnsi="仿宋_GB2312" w:eastAsia="仿宋_GB2312" w:cs="仿宋_GB2312"/>
          <w:bCs/>
          <w:color w:val="000000"/>
          <w:sz w:val="32"/>
          <w:szCs w:val="32"/>
          <w:lang w:val="en-US" w:eastAsia="zh-CN"/>
        </w:rPr>
        <w:t>8</w:t>
      </w:r>
      <w:r>
        <w:rPr>
          <w:rStyle w:val="14"/>
          <w:rFonts w:hint="eastAsia" w:ascii="仿宋_GB2312" w:hAnsi="仿宋_GB2312" w:eastAsia="仿宋_GB2312" w:cs="仿宋_GB2312"/>
          <w:bCs/>
          <w:color w:val="000000"/>
          <w:sz w:val="32"/>
          <w:szCs w:val="32"/>
        </w:rPr>
        <w:t>.</w:t>
      </w:r>
      <w:r>
        <w:rPr>
          <w:rFonts w:hint="eastAsia" w:ascii="仿宋_GB2312" w:hAnsi="仿宋_GB2312" w:eastAsia="仿宋_GB2312" w:cs="仿宋_GB2312"/>
          <w:b/>
          <w:bCs/>
          <w:color w:val="000000" w:themeColor="text1"/>
          <w:sz w:val="32"/>
          <w:szCs w:val="32"/>
          <w14:textFill>
            <w14:solidFill>
              <w14:schemeClr w14:val="tx1"/>
            </w14:solidFill>
          </w14:textFill>
        </w:rPr>
        <w:t>住房保障支出</w:t>
      </w:r>
      <w:r>
        <w:rPr>
          <w:rStyle w:val="14"/>
          <w:rFonts w:hint="eastAsia" w:ascii="仿宋_GB2312" w:hAnsi="仿宋_GB2312" w:eastAsia="仿宋_GB2312" w:cs="仿宋_GB2312"/>
          <w:bCs/>
          <w:color w:val="000000"/>
          <w:sz w:val="32"/>
          <w:szCs w:val="32"/>
        </w:rPr>
        <w:t>（类）住房改革支出（款）购房补贴（项）:</w:t>
      </w:r>
      <w:r>
        <w:rPr>
          <w:rStyle w:val="14"/>
          <w:rFonts w:hint="eastAsia" w:ascii="仿宋_GB2312" w:hAnsi="仿宋_GB2312" w:eastAsia="仿宋_GB2312" w:cs="仿宋_GB2312"/>
          <w:b w:val="0"/>
          <w:bCs/>
          <w:color w:val="000000"/>
          <w:sz w:val="32"/>
          <w:szCs w:val="32"/>
        </w:rPr>
        <w:t>支出决算为</w:t>
      </w:r>
      <w:r>
        <w:rPr>
          <w:rStyle w:val="14"/>
          <w:rFonts w:hint="eastAsia" w:ascii="仿宋_GB2312" w:hAnsi="仿宋_GB2312" w:eastAsia="仿宋_GB2312" w:cs="仿宋_GB2312"/>
          <w:b w:val="0"/>
          <w:bCs/>
          <w:color w:val="000000"/>
          <w:sz w:val="32"/>
          <w:szCs w:val="32"/>
          <w:lang w:val="en-US" w:eastAsia="zh-CN"/>
        </w:rPr>
        <w:t>28.47</w:t>
      </w:r>
      <w:r>
        <w:rPr>
          <w:rStyle w:val="14"/>
          <w:rFonts w:hint="eastAsia" w:ascii="仿宋_GB2312" w:hAnsi="仿宋_GB2312" w:eastAsia="仿宋_GB2312" w:cs="仿宋_GB2312"/>
          <w:b w:val="0"/>
          <w:bCs/>
          <w:color w:val="000000"/>
          <w:sz w:val="32"/>
          <w:szCs w:val="32"/>
        </w:rPr>
        <w:t>万元，完成预算</w:t>
      </w:r>
      <w:r>
        <w:rPr>
          <w:rStyle w:val="14"/>
          <w:rFonts w:hint="eastAsia" w:ascii="仿宋_GB2312" w:hAnsi="仿宋_GB2312" w:eastAsia="仿宋_GB2312" w:cs="仿宋_GB2312"/>
          <w:b w:val="0"/>
          <w:bCs/>
          <w:color w:val="000000"/>
          <w:sz w:val="32"/>
          <w:szCs w:val="32"/>
          <w:lang w:val="en-US" w:eastAsia="zh-CN"/>
        </w:rPr>
        <w:t>92</w:t>
      </w:r>
      <w:r>
        <w:rPr>
          <w:rStyle w:val="14"/>
          <w:rFonts w:hint="eastAsia" w:ascii="仿宋_GB2312" w:hAnsi="仿宋_GB2312" w:eastAsia="仿宋_GB2312" w:cs="仿宋_GB2312"/>
          <w:b w:val="0"/>
          <w:bCs/>
          <w:color w:val="000000"/>
          <w:sz w:val="32"/>
          <w:szCs w:val="32"/>
        </w:rPr>
        <w:t>%，决算数小于预算数的主要原因是</w:t>
      </w:r>
      <w:r>
        <w:rPr>
          <w:rStyle w:val="14"/>
          <w:rFonts w:hint="eastAsia" w:ascii="仿宋_GB2312" w:hAnsi="仿宋_GB2312" w:eastAsia="仿宋_GB2312" w:cs="仿宋_GB2312"/>
          <w:b w:val="0"/>
          <w:bCs/>
          <w:color w:val="000000"/>
          <w:sz w:val="32"/>
          <w:szCs w:val="32"/>
          <w:lang w:eastAsia="zh-CN"/>
        </w:rPr>
        <w:t>执行中按照住房补贴实际审核结果发放给个人</w:t>
      </w:r>
      <w:r>
        <w:rPr>
          <w:rStyle w:val="14"/>
          <w:rFonts w:hint="eastAsia" w:ascii="仿宋_GB2312" w:hAnsi="仿宋_GB2312" w:eastAsia="仿宋_GB2312" w:cs="仿宋_GB2312"/>
          <w:b w:val="0"/>
          <w:bCs/>
          <w:color w:val="000000"/>
          <w:sz w:val="32"/>
          <w:szCs w:val="32"/>
        </w:rPr>
        <w:t>。</w:t>
      </w:r>
    </w:p>
    <w:p>
      <w:pPr>
        <w:tabs>
          <w:tab w:val="right" w:pos="8306"/>
        </w:tabs>
        <w:spacing w:line="600" w:lineRule="exact"/>
        <w:ind w:firstLine="640"/>
        <w:outlineLvl w:val="1"/>
        <w:rPr>
          <w:rStyle w:val="25"/>
        </w:rPr>
      </w:pPr>
      <w:bookmarkStart w:id="34" w:name="_Toc15396608"/>
      <w:bookmarkStart w:id="35"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34"/>
      <w:bookmarkEnd w:id="35"/>
      <w:r>
        <w:rPr>
          <w:rStyle w:val="25"/>
          <w:rFonts w:ascii="黑体" w:hAnsi="黑体" w:eastAsia="黑体"/>
          <w:b w:val="0"/>
        </w:rPr>
        <w:tab/>
      </w:r>
    </w:p>
    <w:p>
      <w:pPr>
        <w:spacing w:line="60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年一般公共预算财政拨款基本支出</w:t>
      </w:r>
      <w:r>
        <w:rPr>
          <w:rFonts w:hint="eastAsia" w:ascii="仿宋_GB2312" w:hAnsi="仿宋_GB2312" w:eastAsia="仿宋_GB2312" w:cs="仿宋_GB2312"/>
          <w:color w:val="000000"/>
          <w:sz w:val="32"/>
          <w:szCs w:val="32"/>
          <w:lang w:val="en-US" w:eastAsia="zh-CN"/>
        </w:rPr>
        <w:t>319.12</w:t>
      </w:r>
      <w:r>
        <w:rPr>
          <w:rFonts w:hint="eastAsia" w:ascii="仿宋_GB2312" w:hAnsi="仿宋_GB2312" w:eastAsia="仿宋_GB2312" w:cs="仿宋_GB2312"/>
          <w:color w:val="000000"/>
          <w:sz w:val="32"/>
          <w:szCs w:val="32"/>
        </w:rPr>
        <w:t>万元，其中：</w:t>
      </w:r>
    </w:p>
    <w:p>
      <w:pPr>
        <w:spacing w:line="600" w:lineRule="exact"/>
        <w:ind w:firstLine="645"/>
        <w:rPr>
          <w:rFonts w:hint="eastAsia" w:ascii="仿宋_GB2312" w:hAnsi="仿宋_GB2312" w:eastAsia="仿宋_GB2312" w:cs="仿宋_GB2312"/>
          <w:b/>
          <w:color w:val="FF0000"/>
          <w:sz w:val="32"/>
          <w:szCs w:val="32"/>
          <w:lang w:eastAsia="zh-CN"/>
        </w:rPr>
      </w:pPr>
      <w:r>
        <w:rPr>
          <w:rFonts w:hint="eastAsia" w:ascii="仿宋_GB2312" w:hAnsi="仿宋_GB2312" w:eastAsia="仿宋_GB2312" w:cs="仿宋_GB2312"/>
          <w:color w:val="000000"/>
          <w:sz w:val="32"/>
          <w:szCs w:val="32"/>
        </w:rPr>
        <w:t>人员经费</w:t>
      </w:r>
      <w:r>
        <w:rPr>
          <w:rFonts w:hint="eastAsia" w:ascii="仿宋_GB2312" w:hAnsi="仿宋_GB2312" w:eastAsia="仿宋_GB2312" w:cs="仿宋_GB2312"/>
          <w:color w:val="000000"/>
          <w:sz w:val="32"/>
          <w:szCs w:val="32"/>
          <w:lang w:val="en-US" w:eastAsia="zh-CN"/>
        </w:rPr>
        <w:t>264.81</w:t>
      </w:r>
      <w:r>
        <w:rPr>
          <w:rFonts w:hint="eastAsia" w:ascii="仿宋_GB2312" w:hAnsi="仿宋_GB2312" w:eastAsia="仿宋_GB2312" w:cs="仿宋_GB2312"/>
          <w:color w:val="000000"/>
          <w:sz w:val="32"/>
          <w:szCs w:val="32"/>
        </w:rPr>
        <w:t>万元，主要包括：基本工资、津贴补贴、奖金、机关事业单位基本养老保险缴费、职工基本医疗保险缴费</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其他工资福利支出、住房公积金、其他对个人和家庭的补助支出等。</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公用经费</w:t>
      </w:r>
      <w:r>
        <w:rPr>
          <w:rFonts w:hint="eastAsia" w:ascii="仿宋_GB2312" w:hAnsi="仿宋_GB2312" w:eastAsia="仿宋_GB2312" w:cs="仿宋_GB2312"/>
          <w:color w:val="000000"/>
          <w:sz w:val="32"/>
          <w:szCs w:val="32"/>
          <w:lang w:val="en-US" w:eastAsia="zh-CN"/>
        </w:rPr>
        <w:t>54.31</w:t>
      </w:r>
      <w:r>
        <w:rPr>
          <w:rFonts w:hint="eastAsia" w:ascii="仿宋_GB2312" w:hAnsi="仿宋_GB2312" w:eastAsia="仿宋_GB2312" w:cs="仿宋_GB2312"/>
          <w:color w:val="000000"/>
          <w:sz w:val="32"/>
          <w:szCs w:val="32"/>
        </w:rPr>
        <w:t>万元，主要包括：办公费、水费、电费、邮电费</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差旅费、工会经费、福利费、公务用车运行维护费、其他交通费、其他商品和服务支出等。</w:t>
      </w:r>
    </w:p>
    <w:p>
      <w:pPr>
        <w:spacing w:line="600" w:lineRule="exact"/>
        <w:ind w:firstLine="640"/>
        <w:outlineLvl w:val="1"/>
        <w:rPr>
          <w:rStyle w:val="25"/>
          <w:rFonts w:ascii="黑体" w:hAnsi="黑体" w:eastAsia="黑体"/>
          <w:b w:val="0"/>
        </w:rPr>
      </w:pPr>
      <w:bookmarkStart w:id="36" w:name="_Toc15377215"/>
      <w:bookmarkStart w:id="37" w:name="_Toc15396609"/>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36"/>
      <w:bookmarkEnd w:id="37"/>
    </w:p>
    <w:p>
      <w:pPr>
        <w:spacing w:line="600" w:lineRule="exact"/>
        <w:ind w:firstLine="640"/>
        <w:outlineLvl w:val="2"/>
        <w:rPr>
          <w:rFonts w:hint="eastAsia" w:ascii="仿宋_GB2312" w:hAnsi="仿宋_GB2312" w:eastAsia="仿宋_GB2312" w:cs="仿宋_GB2312"/>
          <w:b/>
          <w:color w:val="000000"/>
          <w:sz w:val="32"/>
          <w:szCs w:val="32"/>
        </w:rPr>
      </w:pPr>
      <w:bookmarkStart w:id="38" w:name="_Toc15377216"/>
      <w:r>
        <w:rPr>
          <w:rFonts w:hint="eastAsia" w:ascii="仿宋_GB2312" w:hAnsi="仿宋_GB2312" w:eastAsia="仿宋_GB2312" w:cs="仿宋_GB2312"/>
          <w:b/>
          <w:color w:val="000000"/>
          <w:sz w:val="32"/>
          <w:szCs w:val="32"/>
        </w:rPr>
        <w:t>（一）“三公”经费财政拨款支出决算总体情况说明</w:t>
      </w:r>
      <w:bookmarkEnd w:id="38"/>
    </w:p>
    <w:p>
      <w:pPr>
        <w:spacing w:line="600" w:lineRule="exact"/>
        <w:ind w:firstLine="640"/>
        <w:rPr>
          <w:rStyle w:val="14"/>
          <w:rFonts w:hint="eastAsia" w:ascii="仿宋_GB2312" w:hAnsi="仿宋_GB2312" w:eastAsia="仿宋_GB2312" w:cs="仿宋_GB2312"/>
          <w:b w:val="0"/>
          <w:bCs/>
          <w:color w:val="000000"/>
          <w:sz w:val="32"/>
          <w:szCs w:val="32"/>
          <w:lang w:val="en-US" w:eastAsia="zh-CN"/>
        </w:rPr>
      </w:pPr>
      <w:r>
        <w:rPr>
          <w:rStyle w:val="14"/>
          <w:rFonts w:hint="eastAsia" w:ascii="仿宋_GB2312" w:hAnsi="仿宋_GB2312" w:eastAsia="仿宋_GB2312" w:cs="仿宋_GB2312"/>
          <w:b w:val="0"/>
          <w:bCs/>
          <w:color w:val="000000"/>
          <w:sz w:val="32"/>
          <w:szCs w:val="32"/>
          <w:lang w:val="en-US" w:eastAsia="zh-CN"/>
        </w:rPr>
        <w:t>2020年“三公”经费财政拨款支出决算为1.82万元，完成预算35%，决算数小于预算数的主要原因是因疫情影响，公务出行减少，相应减少公务用车使用。</w:t>
      </w:r>
    </w:p>
    <w:p>
      <w:pPr>
        <w:spacing w:line="600" w:lineRule="exact"/>
        <w:ind w:firstLine="640"/>
        <w:outlineLvl w:val="2"/>
        <w:rPr>
          <w:rFonts w:hint="eastAsia" w:ascii="仿宋_GB2312" w:hAnsi="仿宋_GB2312" w:eastAsia="仿宋_GB2312" w:cs="仿宋_GB2312"/>
          <w:b/>
          <w:color w:val="000000"/>
          <w:sz w:val="32"/>
          <w:szCs w:val="32"/>
        </w:rPr>
      </w:pPr>
      <w:bookmarkStart w:id="39" w:name="_Toc15377217"/>
      <w:r>
        <w:rPr>
          <w:rFonts w:hint="eastAsia" w:ascii="仿宋_GB2312" w:hAnsi="仿宋_GB2312" w:eastAsia="仿宋_GB2312" w:cs="仿宋_GB2312"/>
          <w:b/>
          <w:color w:val="000000"/>
          <w:sz w:val="32"/>
          <w:szCs w:val="32"/>
        </w:rPr>
        <w:t>（二）“三公”经费财政拨款支出决算具体情况说明</w:t>
      </w:r>
      <w:bookmarkEnd w:id="39"/>
    </w:p>
    <w:p>
      <w:pPr>
        <w:spacing w:line="600" w:lineRule="exact"/>
        <w:ind w:firstLine="640"/>
        <w:rPr>
          <w:rStyle w:val="14"/>
          <w:rFonts w:hint="eastAsia" w:ascii="仿宋_GB2312" w:hAnsi="仿宋_GB2312" w:eastAsia="仿宋_GB2312" w:cs="仿宋_GB2312"/>
          <w:b w:val="0"/>
          <w:bCs/>
          <w:color w:val="000000"/>
          <w:sz w:val="32"/>
          <w:szCs w:val="32"/>
          <w:lang w:val="en-US" w:eastAsia="zh-CN"/>
        </w:rPr>
      </w:pPr>
      <w:r>
        <w:rPr>
          <w:rStyle w:val="14"/>
          <w:rFonts w:hint="eastAsia" w:ascii="仿宋_GB2312" w:hAnsi="仿宋_GB2312" w:eastAsia="仿宋_GB2312" w:cs="仿宋_GB2312"/>
          <w:b w:val="0"/>
          <w:bCs/>
          <w:color w:val="000000"/>
          <w:sz w:val="32"/>
          <w:szCs w:val="32"/>
          <w:lang w:val="en-US" w:eastAsia="zh-CN"/>
        </w:rPr>
        <w:t>2020年“三公”经费财政拨款支出决算中，因公出国（境）费支出决算0万元，占0%；公务用车购置及运行维护费支出决算1.82万元，占100%；公务接待费支出决算0万元，占0%。具体情况如下：</w:t>
      </w:r>
    </w:p>
    <w:p>
      <w:pPr>
        <w:pStyle w:val="2"/>
        <w:jc w:val="center"/>
        <w:rPr>
          <w:rFonts w:hint="eastAsia" w:eastAsia="仿宋"/>
          <w:lang w:eastAsia="zh-CN"/>
        </w:rPr>
      </w:pPr>
      <w:r>
        <w:rPr>
          <w:rFonts w:hint="eastAsia" w:eastAsia="仿宋"/>
          <w:lang w:eastAsia="zh-CN"/>
        </w:rPr>
        <w:drawing>
          <wp:inline distT="0" distB="0" distL="114300" distR="114300">
            <wp:extent cx="4171950" cy="2508250"/>
            <wp:effectExtent l="0" t="0" r="3810" b="6350"/>
            <wp:docPr id="12" name="图片 12" descr="图片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图片 12" descr="图片4"/>
                    <pic:cNvPicPr>
                      <a:picLocks noChangeAspect="true"/>
                    </pic:cNvPicPr>
                  </pic:nvPicPr>
                  <pic:blipFill>
                    <a:blip r:embed="rId9"/>
                    <a:stretch>
                      <a:fillRect/>
                    </a:stretch>
                  </pic:blipFill>
                  <pic:spPr>
                    <a:xfrm>
                      <a:off x="0" y="0"/>
                      <a:ext cx="4171950" cy="2508250"/>
                    </a:xfrm>
                    <a:prstGeom prst="rect">
                      <a:avLst/>
                    </a:prstGeom>
                  </pic:spPr>
                </pic:pic>
              </a:graphicData>
            </a:graphic>
          </wp:inline>
        </w:drawing>
      </w:r>
    </w:p>
    <w:p>
      <w:pPr>
        <w:spacing w:line="600" w:lineRule="exact"/>
        <w:jc w:val="center"/>
        <w:rPr>
          <w:rFonts w:hint="eastAsia" w:ascii="仿宋" w:hAnsi="仿宋" w:eastAsia="仿宋"/>
          <w:color w:val="000000"/>
          <w:sz w:val="32"/>
          <w:szCs w:val="32"/>
          <w:highlight w:val="none"/>
          <w:lang w:eastAsia="zh-CN"/>
        </w:rPr>
      </w:pPr>
      <w:r>
        <w:rPr>
          <w:rFonts w:hint="eastAsia" w:ascii="仿宋_GB2312" w:hAnsi="仿宋_GB2312" w:eastAsia="仿宋_GB2312" w:cs="仿宋_GB2312"/>
          <w:color w:val="000000"/>
          <w:sz w:val="32"/>
          <w:szCs w:val="32"/>
          <w:highlight w:val="none"/>
        </w:rPr>
        <w:t>图7：“三公”经费财政拨款支出结构</w:t>
      </w:r>
      <w:r>
        <w:rPr>
          <w:rFonts w:hint="eastAsia" w:ascii="仿宋_GB2312" w:hAnsi="仿宋_GB2312" w:eastAsia="仿宋_GB2312" w:cs="仿宋_GB2312"/>
          <w:color w:val="000000"/>
          <w:sz w:val="32"/>
          <w:szCs w:val="32"/>
          <w:highlight w:val="none"/>
          <w:lang w:eastAsia="zh-CN"/>
        </w:rPr>
        <w:t>图</w:t>
      </w:r>
    </w:p>
    <w:p>
      <w:pPr>
        <w:spacing w:line="600" w:lineRule="exact"/>
        <w:ind w:firstLine="640"/>
        <w:rPr>
          <w:rStyle w:val="14"/>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color w:val="000000"/>
          <w:sz w:val="32"/>
          <w:szCs w:val="32"/>
        </w:rPr>
        <w:t>1.因公出国（境）经费支出</w:t>
      </w:r>
      <w:r>
        <w:rPr>
          <w:rStyle w:val="14"/>
          <w:rFonts w:hint="eastAsia" w:ascii="仿宋_GB2312" w:hAnsi="仿宋_GB2312" w:eastAsia="仿宋_GB2312" w:cs="仿宋_GB2312"/>
          <w:b w:val="0"/>
          <w:bCs/>
          <w:color w:val="000000"/>
          <w:sz w:val="32"/>
          <w:szCs w:val="32"/>
          <w:lang w:val="en-US" w:eastAsia="zh-CN"/>
        </w:rPr>
        <w:t>0万元，本年度未安排因公出国（境）经费支出预算。</w:t>
      </w:r>
    </w:p>
    <w:p>
      <w:pPr>
        <w:spacing w:line="600" w:lineRule="exact"/>
        <w:ind w:firstLine="640"/>
        <w:rPr>
          <w:rStyle w:val="14"/>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color w:val="000000"/>
          <w:sz w:val="32"/>
          <w:szCs w:val="32"/>
        </w:rPr>
        <w:t>2.公务用车购置及运行维护费支出</w:t>
      </w:r>
      <w:r>
        <w:rPr>
          <w:rStyle w:val="14"/>
          <w:rFonts w:hint="eastAsia" w:ascii="仿宋_GB2312" w:hAnsi="仿宋_GB2312" w:eastAsia="仿宋_GB2312" w:cs="仿宋_GB2312"/>
          <w:b w:val="0"/>
          <w:bCs/>
          <w:color w:val="000000"/>
          <w:sz w:val="32"/>
          <w:szCs w:val="32"/>
          <w:lang w:val="en-US" w:eastAsia="zh-CN"/>
        </w:rPr>
        <w:t>1.82万元,完成预算100%。公务用车购置及运行维护费支出决算比2019年减少1.07万元，下降37%。主要原因是因疫情影响，差旅、会议事项减少，公务用车外出使用量相应减少。</w:t>
      </w:r>
    </w:p>
    <w:p>
      <w:pPr>
        <w:spacing w:line="600" w:lineRule="exact"/>
        <w:ind w:firstLine="640" w:firstLineChars="200"/>
        <w:rPr>
          <w:rStyle w:val="14"/>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color w:val="000000"/>
          <w:sz w:val="32"/>
          <w:szCs w:val="32"/>
        </w:rPr>
        <w:t>其中：</w:t>
      </w:r>
      <w:r>
        <w:rPr>
          <w:rFonts w:hint="eastAsia" w:ascii="仿宋_GB2312" w:hAnsi="仿宋_GB2312" w:eastAsia="仿宋_GB2312" w:cs="仿宋_GB2312"/>
          <w:b/>
          <w:color w:val="000000"/>
          <w:sz w:val="32"/>
          <w:szCs w:val="32"/>
        </w:rPr>
        <w:t>公务用车购置支出</w:t>
      </w:r>
      <w:r>
        <w:rPr>
          <w:rStyle w:val="14"/>
          <w:rFonts w:hint="eastAsia" w:ascii="仿宋_GB2312" w:hAnsi="仿宋_GB2312" w:eastAsia="仿宋_GB2312" w:cs="仿宋_GB2312"/>
          <w:b w:val="0"/>
          <w:bCs/>
          <w:color w:val="000000"/>
          <w:sz w:val="32"/>
          <w:szCs w:val="32"/>
          <w:lang w:val="en-US" w:eastAsia="zh-CN"/>
        </w:rPr>
        <w:t>0万元。全年按规定更新购置公务用车0辆，其中：轿车0辆、金额0万元，越野车0辆、金额0万元，载客汽车0辆、金额0万元。截至2020年12月底，单位共有公务用车1辆，其中：轿车1辆、越野车0辆、载客汽车0辆。</w:t>
      </w:r>
    </w:p>
    <w:p>
      <w:pPr>
        <w:spacing w:line="600" w:lineRule="exact"/>
        <w:ind w:firstLine="640"/>
        <w:rPr>
          <w:rStyle w:val="14"/>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color w:val="000000"/>
          <w:sz w:val="32"/>
          <w:szCs w:val="32"/>
        </w:rPr>
        <w:t>公务用车运行维护费支出</w:t>
      </w:r>
      <w:r>
        <w:rPr>
          <w:rStyle w:val="14"/>
          <w:rFonts w:hint="eastAsia" w:ascii="仿宋_GB2312" w:hAnsi="仿宋_GB2312" w:eastAsia="仿宋_GB2312" w:cs="仿宋_GB2312"/>
          <w:b w:val="0"/>
          <w:bCs/>
          <w:color w:val="000000"/>
          <w:sz w:val="32"/>
          <w:szCs w:val="32"/>
          <w:lang w:val="en-US" w:eastAsia="zh-CN"/>
        </w:rPr>
        <w:t>1.82万元。主要用于参会、调研等所需的公务用车燃料费、维修费、过路过桥费、保险费等支出。</w:t>
      </w:r>
    </w:p>
    <w:p>
      <w:pPr>
        <w:spacing w:line="600" w:lineRule="exact"/>
        <w:ind w:firstLine="640"/>
        <w:rPr>
          <w:rStyle w:val="14"/>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color w:val="000000"/>
          <w:sz w:val="32"/>
          <w:szCs w:val="32"/>
        </w:rPr>
        <w:t>3.公务接待费支出</w:t>
      </w:r>
      <w:r>
        <w:rPr>
          <w:rStyle w:val="14"/>
          <w:rFonts w:hint="eastAsia" w:ascii="仿宋_GB2312" w:hAnsi="仿宋_GB2312" w:eastAsia="仿宋_GB2312" w:cs="仿宋_GB2312"/>
          <w:b w:val="0"/>
          <w:bCs/>
          <w:color w:val="000000"/>
          <w:sz w:val="32"/>
          <w:szCs w:val="32"/>
          <w:lang w:val="en-US" w:eastAsia="zh-CN"/>
        </w:rPr>
        <w:t>0万元，</w:t>
      </w:r>
      <w:bookmarkStart w:id="40" w:name="_Toc15396610"/>
      <w:bookmarkStart w:id="41" w:name="_Toc15377218"/>
      <w:r>
        <w:rPr>
          <w:rStyle w:val="14"/>
          <w:rFonts w:hint="eastAsia" w:ascii="仿宋_GB2312" w:hAnsi="仿宋_GB2312" w:eastAsia="仿宋_GB2312" w:cs="仿宋_GB2312"/>
          <w:b w:val="0"/>
          <w:bCs/>
          <w:color w:val="000000"/>
          <w:sz w:val="32"/>
          <w:szCs w:val="32"/>
          <w:lang w:val="en-US" w:eastAsia="zh-CN"/>
        </w:rPr>
        <w:t>本年度未安排公务接待支出预算。</w:t>
      </w:r>
    </w:p>
    <w:p>
      <w:pPr>
        <w:spacing w:line="600" w:lineRule="exact"/>
        <w:ind w:firstLine="640"/>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0"/>
      <w:bookmarkEnd w:id="41"/>
    </w:p>
    <w:p>
      <w:pPr>
        <w:spacing w:line="600" w:lineRule="exact"/>
        <w:ind w:firstLine="640"/>
        <w:rPr>
          <w:rStyle w:val="14"/>
          <w:rFonts w:hint="eastAsia" w:ascii="仿宋_GB2312" w:hAnsi="仿宋_GB2312" w:eastAsia="仿宋_GB2312" w:cs="仿宋_GB2312"/>
          <w:b w:val="0"/>
          <w:bCs/>
          <w:color w:val="000000"/>
          <w:sz w:val="32"/>
          <w:szCs w:val="32"/>
          <w:lang w:val="en-US" w:eastAsia="zh-CN"/>
        </w:rPr>
      </w:pPr>
      <w:r>
        <w:rPr>
          <w:rStyle w:val="14"/>
          <w:rFonts w:hint="eastAsia" w:ascii="仿宋_GB2312" w:hAnsi="仿宋_GB2312" w:eastAsia="仿宋_GB2312" w:cs="仿宋_GB2312"/>
          <w:b w:val="0"/>
          <w:bCs/>
          <w:color w:val="000000"/>
          <w:sz w:val="32"/>
          <w:szCs w:val="32"/>
          <w:lang w:val="en-US" w:eastAsia="zh-CN"/>
        </w:rPr>
        <w:t>2020年政府性基金预算财政拨款支出0万元。</w:t>
      </w:r>
    </w:p>
    <w:p>
      <w:pPr>
        <w:numPr>
          <w:ilvl w:val="0"/>
          <w:numId w:val="3"/>
        </w:numPr>
        <w:spacing w:line="600" w:lineRule="exact"/>
        <w:ind w:firstLine="640"/>
        <w:outlineLvl w:val="1"/>
        <w:rPr>
          <w:rStyle w:val="25"/>
          <w:rFonts w:ascii="黑体" w:hAnsi="黑体" w:eastAsia="黑体"/>
          <w:b w:val="0"/>
        </w:rPr>
      </w:pPr>
      <w:bookmarkStart w:id="42" w:name="_Toc15377219"/>
      <w:bookmarkStart w:id="43" w:name="_Toc15396611"/>
      <w:r>
        <w:rPr>
          <w:rStyle w:val="25"/>
          <w:rFonts w:hint="eastAsia" w:ascii="黑体" w:hAnsi="黑体" w:eastAsia="黑体"/>
          <w:b w:val="0"/>
        </w:rPr>
        <w:t>国有资本经营预算支出决算情况说明</w:t>
      </w:r>
      <w:bookmarkEnd w:id="42"/>
      <w:bookmarkEnd w:id="43"/>
    </w:p>
    <w:p>
      <w:pPr>
        <w:spacing w:line="600" w:lineRule="exact"/>
        <w:ind w:firstLine="640"/>
        <w:rPr>
          <w:rStyle w:val="14"/>
          <w:rFonts w:hint="eastAsia" w:ascii="仿宋_GB2312" w:hAnsi="仿宋_GB2312" w:eastAsia="仿宋_GB2312" w:cs="仿宋_GB2312"/>
          <w:b w:val="0"/>
          <w:bCs/>
          <w:color w:val="000000"/>
          <w:sz w:val="32"/>
          <w:szCs w:val="32"/>
          <w:lang w:val="en-US" w:eastAsia="zh-CN"/>
        </w:rPr>
      </w:pPr>
      <w:r>
        <w:rPr>
          <w:rStyle w:val="14"/>
          <w:rFonts w:hint="eastAsia" w:ascii="仿宋_GB2312" w:hAnsi="仿宋_GB2312" w:eastAsia="仿宋_GB2312" w:cs="仿宋_GB2312"/>
          <w:b w:val="0"/>
          <w:bCs/>
          <w:color w:val="000000"/>
          <w:sz w:val="32"/>
          <w:szCs w:val="32"/>
          <w:lang w:val="en-US" w:eastAsia="zh-CN"/>
        </w:rPr>
        <w:t>2020年国有资本经营预算财政拨款支出0万元。</w:t>
      </w:r>
    </w:p>
    <w:p>
      <w:pPr>
        <w:numPr>
          <w:ilvl w:val="0"/>
          <w:numId w:val="3"/>
        </w:numPr>
        <w:spacing w:line="600" w:lineRule="exact"/>
        <w:ind w:firstLine="640"/>
        <w:outlineLvl w:val="1"/>
        <w:rPr>
          <w:rStyle w:val="25"/>
          <w:rFonts w:hint="eastAsia" w:ascii="黑体" w:hAnsi="黑体" w:eastAsia="黑体"/>
          <w:b w:val="0"/>
        </w:rPr>
      </w:pPr>
      <w:bookmarkStart w:id="44" w:name="_Toc15377221"/>
      <w:bookmarkStart w:id="45" w:name="_Toc15396612"/>
      <w:r>
        <w:rPr>
          <w:rStyle w:val="25"/>
          <w:rFonts w:hint="eastAsia" w:ascii="黑体" w:hAnsi="黑体" w:eastAsia="黑体"/>
          <w:b w:val="0"/>
        </w:rPr>
        <w:t>其他重要事项的情况说明</w:t>
      </w:r>
      <w:bookmarkEnd w:id="44"/>
      <w:bookmarkEnd w:id="45"/>
    </w:p>
    <w:p>
      <w:pPr>
        <w:spacing w:line="600" w:lineRule="exact"/>
        <w:ind w:firstLine="642" w:firstLineChars="200"/>
        <w:outlineLvl w:val="2"/>
        <w:rPr>
          <w:rFonts w:hint="eastAsia" w:ascii="仿宋_GB2312" w:hAnsi="仿宋_GB2312" w:eastAsia="仿宋_GB2312" w:cs="仿宋_GB2312"/>
          <w:color w:val="000000"/>
          <w:sz w:val="32"/>
          <w:szCs w:val="32"/>
        </w:rPr>
      </w:pPr>
      <w:bookmarkStart w:id="46" w:name="_Toc15377222"/>
      <w:r>
        <w:rPr>
          <w:rFonts w:hint="eastAsia" w:ascii="仿宋_GB2312" w:hAnsi="仿宋_GB2312" w:eastAsia="仿宋_GB2312" w:cs="仿宋_GB2312"/>
          <w:b/>
          <w:color w:val="000000"/>
          <w:sz w:val="32"/>
          <w:szCs w:val="32"/>
        </w:rPr>
        <w:t>（一）机关运行经费支出情况</w:t>
      </w:r>
      <w:bookmarkEnd w:id="46"/>
    </w:p>
    <w:p>
      <w:pPr>
        <w:spacing w:line="600" w:lineRule="exact"/>
        <w:ind w:firstLine="640"/>
        <w:rPr>
          <w:rStyle w:val="14"/>
          <w:rFonts w:hint="eastAsia" w:ascii="仿宋_GB2312" w:hAnsi="仿宋_GB2312" w:eastAsia="仿宋_GB2312" w:cs="仿宋_GB2312"/>
          <w:b w:val="0"/>
          <w:bCs/>
          <w:color w:val="000000"/>
          <w:sz w:val="32"/>
          <w:szCs w:val="32"/>
          <w:lang w:val="en-US" w:eastAsia="zh-CN"/>
        </w:rPr>
      </w:pPr>
      <w:r>
        <w:rPr>
          <w:rStyle w:val="14"/>
          <w:rFonts w:hint="eastAsia" w:ascii="仿宋_GB2312" w:hAnsi="仿宋_GB2312" w:eastAsia="仿宋_GB2312" w:cs="仿宋_GB2312"/>
          <w:b w:val="0"/>
          <w:bCs/>
          <w:color w:val="000000"/>
          <w:sz w:val="32"/>
          <w:szCs w:val="32"/>
          <w:lang w:val="en-US" w:eastAsia="zh-CN"/>
        </w:rPr>
        <w:t>2020年，四川省财政厅预算编审中心机关运行经费支出54.31万元，比2019年减少4.9万元，下降8%。主要原因是人员减少。</w:t>
      </w:r>
    </w:p>
    <w:p>
      <w:pPr>
        <w:autoSpaceDE w:val="0"/>
        <w:autoSpaceDN w:val="0"/>
        <w:adjustRightInd w:val="0"/>
        <w:spacing w:line="600" w:lineRule="exact"/>
        <w:ind w:firstLine="642" w:firstLineChars="200"/>
        <w:jc w:val="left"/>
        <w:outlineLvl w:val="2"/>
        <w:rPr>
          <w:rFonts w:hint="eastAsia" w:ascii="仿宋_GB2312" w:hAnsi="仿宋_GB2312" w:eastAsia="仿宋_GB2312" w:cs="仿宋_GB2312"/>
          <w:b/>
          <w:color w:val="000000"/>
          <w:sz w:val="32"/>
          <w:szCs w:val="32"/>
        </w:rPr>
      </w:pPr>
      <w:bookmarkStart w:id="47" w:name="_Toc15377223"/>
      <w:r>
        <w:rPr>
          <w:rFonts w:hint="eastAsia" w:ascii="仿宋_GB2312" w:hAnsi="仿宋_GB2312" w:eastAsia="仿宋_GB2312" w:cs="仿宋_GB2312"/>
          <w:b/>
          <w:color w:val="000000"/>
          <w:sz w:val="32"/>
          <w:szCs w:val="32"/>
        </w:rPr>
        <w:t>（二）政府采购支出情况</w:t>
      </w:r>
      <w:bookmarkEnd w:id="47"/>
    </w:p>
    <w:p>
      <w:pPr>
        <w:spacing w:line="600" w:lineRule="exact"/>
        <w:ind w:firstLine="640"/>
        <w:rPr>
          <w:rStyle w:val="14"/>
          <w:rFonts w:hint="eastAsia" w:ascii="仿宋_GB2312" w:hAnsi="仿宋_GB2312" w:eastAsia="仿宋_GB2312" w:cs="仿宋_GB2312"/>
          <w:b w:val="0"/>
          <w:bCs/>
          <w:color w:val="000000"/>
          <w:sz w:val="32"/>
          <w:szCs w:val="32"/>
          <w:lang w:val="en-US" w:eastAsia="zh-CN"/>
        </w:rPr>
      </w:pPr>
      <w:r>
        <w:rPr>
          <w:rStyle w:val="14"/>
          <w:rFonts w:hint="eastAsia" w:ascii="仿宋_GB2312" w:hAnsi="仿宋_GB2312" w:eastAsia="仿宋_GB2312" w:cs="仿宋_GB2312"/>
          <w:b w:val="0"/>
          <w:bCs/>
          <w:color w:val="000000"/>
          <w:sz w:val="32"/>
          <w:szCs w:val="32"/>
          <w:lang w:val="en-US" w:eastAsia="zh-CN"/>
        </w:rPr>
        <w:t>2020年，四川省财政厅预算编审中心政府采购支出总额0万元。</w:t>
      </w:r>
    </w:p>
    <w:p>
      <w:pPr>
        <w:autoSpaceDE w:val="0"/>
        <w:autoSpaceDN w:val="0"/>
        <w:adjustRightInd w:val="0"/>
        <w:spacing w:line="600" w:lineRule="exact"/>
        <w:ind w:firstLine="642" w:firstLineChars="200"/>
        <w:jc w:val="left"/>
        <w:outlineLvl w:val="2"/>
        <w:rPr>
          <w:rFonts w:hint="eastAsia" w:ascii="仿宋_GB2312" w:hAnsi="仿宋_GB2312" w:eastAsia="仿宋_GB2312" w:cs="仿宋_GB2312"/>
          <w:b/>
          <w:color w:val="000000"/>
          <w:sz w:val="32"/>
          <w:szCs w:val="32"/>
        </w:rPr>
      </w:pPr>
      <w:bookmarkStart w:id="48" w:name="_Toc15377224"/>
      <w:r>
        <w:rPr>
          <w:rFonts w:hint="eastAsia" w:ascii="仿宋_GB2312" w:hAnsi="仿宋_GB2312" w:eastAsia="仿宋_GB2312" w:cs="仿宋_GB2312"/>
          <w:b/>
          <w:color w:val="000000"/>
          <w:sz w:val="32"/>
          <w:szCs w:val="32"/>
        </w:rPr>
        <w:t>（三）国有资产占有使用情况</w:t>
      </w:r>
      <w:bookmarkEnd w:id="48"/>
    </w:p>
    <w:p>
      <w:pPr>
        <w:spacing w:line="600" w:lineRule="exact"/>
        <w:ind w:firstLine="640"/>
        <w:rPr>
          <w:rStyle w:val="14"/>
          <w:rFonts w:hint="eastAsia" w:ascii="仿宋_GB2312" w:hAnsi="仿宋_GB2312" w:eastAsia="仿宋_GB2312" w:cs="仿宋_GB2312"/>
          <w:b w:val="0"/>
          <w:bCs/>
          <w:color w:val="000000"/>
          <w:sz w:val="32"/>
          <w:szCs w:val="32"/>
          <w:lang w:val="en-US" w:eastAsia="zh-CN"/>
        </w:rPr>
      </w:pPr>
      <w:r>
        <w:rPr>
          <w:rStyle w:val="14"/>
          <w:rFonts w:hint="eastAsia" w:ascii="仿宋_GB2312" w:hAnsi="仿宋_GB2312" w:eastAsia="仿宋_GB2312" w:cs="仿宋_GB2312"/>
          <w:b w:val="0"/>
          <w:bCs/>
          <w:color w:val="000000"/>
          <w:sz w:val="32"/>
          <w:szCs w:val="32"/>
          <w:lang w:val="en-US" w:eastAsia="zh-CN"/>
        </w:rPr>
        <w:t>截至2020年12月31日，四川省财政厅预算编审中心共有车辆1辆，其中：主要领导干部用车0辆、机要通信用车0辆、应急保障用车0辆、其他用车1辆。其他用车主要是用于日常调研、参会等。单价50万元以上通用设备0台（套），单价100万元以上专用设备0台（套）。</w:t>
      </w:r>
    </w:p>
    <w:p>
      <w:pPr>
        <w:autoSpaceDE w:val="0"/>
        <w:autoSpaceDN w:val="0"/>
        <w:adjustRightInd w:val="0"/>
        <w:spacing w:line="600" w:lineRule="exact"/>
        <w:ind w:firstLine="642" w:firstLineChars="200"/>
        <w:jc w:val="left"/>
        <w:outlineLvl w:val="2"/>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b/>
          <w:color w:val="auto"/>
          <w:sz w:val="32"/>
          <w:szCs w:val="32"/>
        </w:rPr>
        <w:t>（四）预算绩效管理情况</w:t>
      </w:r>
    </w:p>
    <w:p>
      <w:pPr>
        <w:spacing w:line="600" w:lineRule="exact"/>
        <w:ind w:firstLine="640"/>
        <w:rPr>
          <w:rStyle w:val="14"/>
          <w:rFonts w:hint="eastAsia" w:ascii="仿宋_GB2312" w:hAnsi="仿宋_GB2312" w:eastAsia="仿宋_GB2312" w:cs="仿宋_GB2312"/>
          <w:b w:val="0"/>
          <w:bCs/>
          <w:color w:val="000000"/>
          <w:sz w:val="32"/>
          <w:szCs w:val="32"/>
          <w:lang w:val="en-US" w:eastAsia="zh-CN"/>
        </w:rPr>
      </w:pPr>
      <w:r>
        <w:rPr>
          <w:rStyle w:val="14"/>
          <w:rFonts w:hint="eastAsia" w:ascii="仿宋_GB2312" w:hAnsi="仿宋_GB2312" w:eastAsia="仿宋_GB2312" w:cs="仿宋_GB2312"/>
          <w:b w:val="0"/>
          <w:bCs/>
          <w:color w:val="000000"/>
          <w:sz w:val="32"/>
          <w:szCs w:val="32"/>
          <w:lang w:val="en-US" w:eastAsia="zh-CN"/>
        </w:rPr>
        <w:t>根据预算绩效管理要求，本单位无100万元以上项目，因此未开展预算事前绩效评估，未编制绩效目标，未开展绩效监控和绩效目标评价。</w:t>
      </w:r>
    </w:p>
    <w:p>
      <w:pPr>
        <w:spacing w:line="600" w:lineRule="exact"/>
        <w:ind w:firstLine="640"/>
        <w:rPr>
          <w:rStyle w:val="14"/>
          <w:rFonts w:hint="eastAsia" w:ascii="仿宋" w:hAnsi="仿宋" w:eastAsia="仿宋"/>
          <w:b w:val="0"/>
          <w:bCs/>
          <w:color w:val="000000"/>
          <w:sz w:val="32"/>
          <w:szCs w:val="32"/>
          <w:lang w:val="en-US" w:eastAsia="zh-CN"/>
        </w:rPr>
      </w:pPr>
    </w:p>
    <w:p>
      <w:pPr>
        <w:spacing w:line="600" w:lineRule="exact"/>
        <w:ind w:firstLine="640"/>
        <w:rPr>
          <w:rStyle w:val="14"/>
          <w:rFonts w:hint="eastAsia" w:ascii="仿宋" w:hAnsi="仿宋" w:eastAsia="仿宋"/>
          <w:b w:val="0"/>
          <w:bCs/>
          <w:color w:val="000000"/>
          <w:sz w:val="32"/>
          <w:szCs w:val="32"/>
          <w:lang w:val="en-US" w:eastAsia="zh-CN"/>
        </w:rPr>
      </w:pPr>
    </w:p>
    <w:p>
      <w:pPr>
        <w:pStyle w:val="2"/>
        <w:rPr>
          <w:rFonts w:ascii="仿宋_GB2312" w:hAnsi="仿宋_GB2312" w:eastAsia="仿宋_GB2312" w:cs="仿宋_GB2312"/>
          <w:color w:val="auto"/>
          <w:sz w:val="32"/>
          <w:szCs w:val="32"/>
        </w:rPr>
      </w:pPr>
    </w:p>
    <w:p>
      <w:pPr>
        <w:spacing w:line="580" w:lineRule="exact"/>
        <w:rPr>
          <w:rFonts w:ascii="仿宋_GB2312" w:eastAsia="仿宋_GB2312"/>
          <w:b/>
          <w:color w:val="FF0000"/>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4"/>
        </w:numPr>
        <w:spacing w:line="600" w:lineRule="exact"/>
        <w:ind w:firstLine="660" w:firstLineChars="150"/>
        <w:jc w:val="center"/>
        <w:outlineLvl w:val="0"/>
        <w:rPr>
          <w:rStyle w:val="24"/>
          <w:rFonts w:ascii="黑体" w:hAnsi="黑体" w:eastAsia="黑体"/>
          <w:b w:val="0"/>
        </w:rPr>
      </w:pPr>
      <w:bookmarkStart w:id="49" w:name="_Toc15396613"/>
      <w:bookmarkStart w:id="50" w:name="_Toc15377225"/>
      <w:r>
        <w:rPr>
          <w:rFonts w:hint="eastAsia" w:ascii="黑体" w:hAnsi="黑体" w:eastAsia="黑体"/>
          <w:color w:val="000000"/>
          <w:sz w:val="44"/>
          <w:szCs w:val="44"/>
        </w:rPr>
        <w:t>名</w:t>
      </w:r>
      <w:r>
        <w:rPr>
          <w:rStyle w:val="24"/>
          <w:rFonts w:hint="eastAsia" w:ascii="黑体" w:hAnsi="黑体" w:eastAsia="黑体"/>
          <w:b w:val="0"/>
        </w:rPr>
        <w:t>词解释</w:t>
      </w:r>
      <w:bookmarkEnd w:id="49"/>
      <w:bookmarkEnd w:id="50"/>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4</w:t>
      </w:r>
      <w:r>
        <w:rPr>
          <w:rFonts w:ascii="仿宋_GB2312" w:eastAsia="仿宋_GB2312"/>
          <w:color w:val="000000"/>
          <w:sz w:val="32"/>
          <w:szCs w:val="32"/>
        </w:rPr>
        <w:t>.</w:t>
      </w:r>
      <w:r>
        <w:rPr>
          <w:rFonts w:hint="eastAsia" w:ascii="仿宋_GB2312" w:eastAsia="仿宋_GB2312"/>
          <w:color w:val="000000"/>
          <w:sz w:val="32"/>
          <w:szCs w:val="32"/>
        </w:rPr>
        <w:t>一般公共服务（类）</w:t>
      </w:r>
      <w:r>
        <w:rPr>
          <w:rFonts w:hint="eastAsia" w:ascii="仿宋_GB2312" w:eastAsia="仿宋_GB2312"/>
          <w:color w:val="000000"/>
          <w:sz w:val="32"/>
          <w:szCs w:val="32"/>
          <w:lang w:eastAsia="zh-CN"/>
        </w:rPr>
        <w:t>财政事务</w:t>
      </w:r>
      <w:r>
        <w:rPr>
          <w:rFonts w:hint="eastAsia" w:ascii="仿宋_GB2312" w:eastAsia="仿宋_GB2312"/>
          <w:color w:val="000000"/>
          <w:sz w:val="32"/>
          <w:szCs w:val="32"/>
        </w:rPr>
        <w:t>（款）</w:t>
      </w:r>
      <w:r>
        <w:rPr>
          <w:rFonts w:hint="eastAsia" w:ascii="仿宋_GB2312" w:eastAsia="仿宋_GB2312"/>
          <w:color w:val="000000"/>
          <w:sz w:val="32"/>
          <w:szCs w:val="32"/>
          <w:lang w:eastAsia="zh-CN"/>
        </w:rPr>
        <w:t>行政运行</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参公管理事业单位用于保障机构正常运行、开展日常工作的基本支出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5</w:t>
      </w:r>
      <w:r>
        <w:rPr>
          <w:rFonts w:ascii="仿宋_GB2312" w:eastAsia="仿宋_GB2312"/>
          <w:color w:val="000000"/>
          <w:sz w:val="32"/>
          <w:szCs w:val="32"/>
        </w:rPr>
        <w:t>.</w:t>
      </w:r>
      <w:r>
        <w:rPr>
          <w:rFonts w:hint="eastAsia" w:ascii="仿宋_GB2312" w:eastAsia="仿宋_GB2312"/>
          <w:color w:val="000000"/>
          <w:sz w:val="32"/>
          <w:szCs w:val="32"/>
        </w:rPr>
        <w:t>一般公共服务（类）</w:t>
      </w:r>
      <w:r>
        <w:rPr>
          <w:rFonts w:hint="eastAsia" w:ascii="仿宋_GB2312" w:eastAsia="仿宋_GB2312"/>
          <w:color w:val="000000"/>
          <w:sz w:val="32"/>
          <w:szCs w:val="32"/>
          <w:lang w:eastAsia="zh-CN"/>
        </w:rPr>
        <w:t>财政事务</w:t>
      </w:r>
      <w:r>
        <w:rPr>
          <w:rFonts w:hint="eastAsia" w:ascii="仿宋_GB2312" w:eastAsia="仿宋_GB2312"/>
          <w:color w:val="000000"/>
          <w:sz w:val="32"/>
          <w:szCs w:val="32"/>
        </w:rPr>
        <w:t>（款）</w:t>
      </w:r>
      <w:r>
        <w:rPr>
          <w:rFonts w:hint="eastAsia" w:ascii="仿宋_GB2312" w:eastAsia="仿宋_GB2312"/>
          <w:color w:val="000000"/>
          <w:sz w:val="32"/>
          <w:szCs w:val="32"/>
          <w:lang w:eastAsia="zh-CN"/>
        </w:rPr>
        <w:t>一般行政管理事务</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参公管理事业单位开展财政综合业务、预决算编审等未单独设置项级科目的专门性财政管理工作的项目支出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6</w:t>
      </w:r>
      <w:r>
        <w:rPr>
          <w:rFonts w:hint="eastAsia" w:ascii="仿宋_GB2312" w:eastAsia="仿宋_GB2312"/>
          <w:color w:val="000000"/>
          <w:sz w:val="32"/>
          <w:szCs w:val="32"/>
          <w:lang w:eastAsia="zh-CN"/>
        </w:rPr>
        <w:t>.社会保障和就业支出（类）行政事业单位养老支出（款）行政单位离退休（项）：指参公管理事业单位的离退休人员的支出</w:t>
      </w:r>
      <w:r>
        <w:rPr>
          <w:rFonts w:hint="eastAsia" w:ascii="仿宋_GB2312" w:eastAsia="仿宋_GB2312"/>
          <w:color w:val="000000"/>
          <w:sz w:val="32"/>
          <w:szCs w:val="32"/>
        </w:rPr>
        <w:t>。</w:t>
      </w:r>
    </w:p>
    <w:p>
      <w:pPr>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7</w:t>
      </w:r>
      <w:r>
        <w:rPr>
          <w:rFonts w:hint="eastAsia" w:ascii="仿宋_GB2312" w:eastAsia="仿宋_GB2312"/>
          <w:color w:val="000000"/>
          <w:sz w:val="32"/>
          <w:szCs w:val="32"/>
          <w:lang w:eastAsia="zh-CN"/>
        </w:rPr>
        <w:t>.社会保障和就业支出（类）行政事业单位养老支出（款） 机</w:t>
      </w:r>
      <w:r>
        <w:rPr>
          <w:rFonts w:hint="eastAsia" w:ascii="仿宋_GB2312" w:eastAsia="仿宋_GB2312"/>
          <w:color w:val="000000"/>
          <w:sz w:val="32"/>
          <w:szCs w:val="32"/>
          <w:lang w:val="en-US" w:eastAsia="zh-CN"/>
        </w:rPr>
        <w:t>关事业单位基本养老保险缴费支出（项）:指实施养老保险制度由单位缴纳的养老保险费的支出。</w:t>
      </w:r>
    </w:p>
    <w:p>
      <w:pPr>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8.卫生健康支出（类）行政事业单位医疗（款）行政单位医疗（项）:指参公管理事业单位用于缴纳基本医疗保险的支出。</w:t>
      </w:r>
    </w:p>
    <w:p>
      <w:pPr>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9.卫生健康支出（类）行政事业单位医疗（款）公务员医疗补助（项）:指参公管理事业单位用于集中公务员医疗补助的支出。</w:t>
      </w:r>
    </w:p>
    <w:p>
      <w:pPr>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10.住房保障支出（类）住房改革支出（款）住房公积金（项）:指按照《住房公积金管理条例》的规定，由单位为在职职工缴纳的住房公积金。</w:t>
      </w:r>
    </w:p>
    <w:p>
      <w:pPr>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11.住房保障支出（类）住房改革支出（款）购房补贴（项）:指按房改政策规定，向符合条件的职工发放的用于购买住房的补贴</w:t>
      </w:r>
      <w:r>
        <w:rPr>
          <w:rFonts w:hint="eastAsia" w:ascii="仿宋_GB2312" w:eastAsia="仿宋_GB2312"/>
          <w:color w:val="000000"/>
          <w:sz w:val="32"/>
          <w:szCs w:val="32"/>
          <w:lang w:eastAsia="zh-CN"/>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12</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13</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14</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15</w:t>
      </w:r>
      <w:r>
        <w:rPr>
          <w:rFonts w:ascii="仿宋_GB2312" w:eastAsia="仿宋_GB2312"/>
          <w:sz w:val="32"/>
          <w:szCs w:val="32"/>
        </w:rPr>
        <w:t>.</w:t>
      </w:r>
      <w:r>
        <w:rPr>
          <w:rFonts w:hint="eastAsia" w:ascii="仿宋_GB2312" w:eastAsia="仿宋_GB2312"/>
          <w:sz w:val="32"/>
          <w:szCs w:val="32"/>
        </w:rPr>
        <w:t>“三公”经费：指</w:t>
      </w:r>
      <w:r>
        <w:rPr>
          <w:rFonts w:hint="eastAsia" w:ascii="仿宋_GB2312" w:eastAsia="仿宋_GB2312"/>
          <w:sz w:val="32"/>
          <w:szCs w:val="32"/>
          <w:lang w:eastAsia="zh-CN"/>
        </w:rPr>
        <w:t>单位</w:t>
      </w:r>
      <w:r>
        <w:rPr>
          <w:rFonts w:hint="eastAsia" w:ascii="仿宋_GB2312" w:eastAsia="仿宋_GB2312"/>
          <w:sz w:val="32"/>
          <w:szCs w:val="32"/>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16</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ascii="宋体"/>
          <w:b/>
          <w:color w:val="000000"/>
          <w:sz w:val="44"/>
          <w:szCs w:val="44"/>
        </w:rPr>
      </w:pPr>
      <w:bookmarkStart w:id="51" w:name="_Toc15377226"/>
    </w:p>
    <w:p>
      <w:pPr>
        <w:spacing w:line="600" w:lineRule="exact"/>
        <w:jc w:val="center"/>
        <w:outlineLvl w:val="0"/>
        <w:rPr>
          <w:rFonts w:ascii="宋体"/>
          <w:b/>
          <w:color w:val="000000"/>
          <w:sz w:val="44"/>
          <w:szCs w:val="44"/>
        </w:rPr>
      </w:pPr>
    </w:p>
    <w:p>
      <w:pPr>
        <w:spacing w:line="600" w:lineRule="exact"/>
        <w:jc w:val="center"/>
        <w:outlineLvl w:val="0"/>
        <w:rPr>
          <w:rFonts w:ascii="宋体"/>
          <w:b/>
          <w:color w:val="000000"/>
          <w:sz w:val="44"/>
          <w:szCs w:val="44"/>
        </w:rPr>
      </w:pPr>
    </w:p>
    <w:p>
      <w:pPr>
        <w:pStyle w:val="2"/>
        <w:rPr>
          <w:rFonts w:ascii="宋体"/>
          <w:b/>
          <w:color w:val="000000"/>
          <w:sz w:val="44"/>
          <w:szCs w:val="44"/>
        </w:rPr>
      </w:pPr>
    </w:p>
    <w:p>
      <w:pPr>
        <w:pStyle w:val="2"/>
        <w:rPr>
          <w:rFonts w:ascii="宋体"/>
          <w:b/>
          <w:color w:val="000000"/>
          <w:sz w:val="44"/>
          <w:szCs w:val="44"/>
        </w:rPr>
      </w:pPr>
    </w:p>
    <w:p>
      <w:pPr>
        <w:pStyle w:val="2"/>
        <w:rPr>
          <w:rFonts w:ascii="宋体"/>
          <w:b/>
          <w:color w:val="000000"/>
          <w:sz w:val="44"/>
          <w:szCs w:val="44"/>
        </w:rPr>
      </w:pPr>
    </w:p>
    <w:p>
      <w:pPr>
        <w:pStyle w:val="2"/>
        <w:rPr>
          <w:rFonts w:ascii="宋体"/>
          <w:b/>
          <w:color w:val="000000"/>
          <w:sz w:val="44"/>
          <w:szCs w:val="44"/>
        </w:rPr>
      </w:pPr>
    </w:p>
    <w:p>
      <w:pPr>
        <w:pStyle w:val="2"/>
        <w:rPr>
          <w:rFonts w:ascii="宋体"/>
          <w:b/>
          <w:color w:val="000000"/>
          <w:sz w:val="44"/>
          <w:szCs w:val="44"/>
        </w:rPr>
      </w:pPr>
    </w:p>
    <w:p>
      <w:pPr>
        <w:pStyle w:val="2"/>
        <w:rPr>
          <w:rFonts w:ascii="宋体"/>
          <w:b/>
          <w:color w:val="000000"/>
          <w:sz w:val="44"/>
          <w:szCs w:val="44"/>
        </w:rPr>
      </w:pPr>
    </w:p>
    <w:p>
      <w:pPr>
        <w:pStyle w:val="2"/>
        <w:rPr>
          <w:rFonts w:ascii="宋体"/>
          <w:b/>
          <w:color w:val="000000"/>
          <w:sz w:val="44"/>
          <w:szCs w:val="44"/>
        </w:rPr>
      </w:pPr>
    </w:p>
    <w:p>
      <w:pPr>
        <w:pStyle w:val="2"/>
        <w:rPr>
          <w:rFonts w:ascii="宋体"/>
          <w:b/>
          <w:color w:val="000000"/>
          <w:sz w:val="44"/>
          <w:szCs w:val="44"/>
        </w:rPr>
      </w:pPr>
    </w:p>
    <w:p>
      <w:pPr>
        <w:spacing w:line="600" w:lineRule="exact"/>
        <w:jc w:val="center"/>
        <w:outlineLvl w:val="0"/>
        <w:rPr>
          <w:rStyle w:val="24"/>
          <w:rFonts w:hint="eastAsia" w:ascii="黑体" w:hAnsi="黑体" w:eastAsia="黑体"/>
          <w:b w:val="0"/>
        </w:rPr>
      </w:pPr>
      <w:r>
        <w:rPr>
          <w:rFonts w:ascii="宋体"/>
          <w:b/>
          <w:color w:val="000000"/>
          <w:sz w:val="44"/>
          <w:szCs w:val="44"/>
        </w:rPr>
        <w:br w:type="page"/>
      </w:r>
      <w:bookmarkStart w:id="52"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2"/>
    </w:p>
    <w:p>
      <w:pPr>
        <w:pStyle w:val="2"/>
        <w:rPr>
          <w:color w:val="auto"/>
        </w:rPr>
      </w:pPr>
    </w:p>
    <w:p>
      <w:pPr>
        <w:spacing w:line="600" w:lineRule="exact"/>
        <w:jc w:val="center"/>
        <w:rPr>
          <w:rFonts w:hint="eastAsia" w:ascii="方正小标宋简体" w:hAnsi="宋体" w:eastAsia="方正小标宋简体"/>
          <w:color w:val="auto"/>
          <w:kern w:val="0"/>
          <w:sz w:val="40"/>
          <w:szCs w:val="44"/>
          <w:lang w:eastAsia="zh-CN"/>
        </w:rPr>
      </w:pPr>
      <w:r>
        <w:rPr>
          <w:rFonts w:hint="eastAsia" w:ascii="方正小标宋简体" w:hAnsi="宋体" w:eastAsia="方正小标宋简体"/>
          <w:color w:val="auto"/>
          <w:kern w:val="0"/>
          <w:sz w:val="40"/>
          <w:szCs w:val="44"/>
          <w:lang w:eastAsia="zh-CN"/>
        </w:rPr>
        <w:t>四川省财政厅预算编审中心</w:t>
      </w:r>
    </w:p>
    <w:p>
      <w:pPr>
        <w:spacing w:line="600" w:lineRule="exact"/>
        <w:jc w:val="center"/>
        <w:rPr>
          <w:rFonts w:ascii="方正小标宋简体" w:hAnsi="宋体" w:eastAsia="方正小标宋简体"/>
          <w:color w:val="auto"/>
          <w:kern w:val="0"/>
          <w:sz w:val="40"/>
          <w:szCs w:val="44"/>
          <w:lang w:val="zh-CN"/>
        </w:rPr>
      </w:pPr>
      <w:r>
        <w:rPr>
          <w:rFonts w:ascii="方正小标宋简体" w:hAnsi="宋体" w:eastAsia="方正小标宋简体"/>
          <w:color w:val="auto"/>
          <w:kern w:val="0"/>
          <w:sz w:val="40"/>
          <w:szCs w:val="44"/>
        </w:rPr>
        <w:t>20</w:t>
      </w:r>
      <w:r>
        <w:rPr>
          <w:rFonts w:hint="eastAsia" w:ascii="方正小标宋简体" w:hAnsi="宋体" w:eastAsia="方正小标宋简体"/>
          <w:color w:val="auto"/>
          <w:kern w:val="0"/>
          <w:sz w:val="40"/>
          <w:szCs w:val="44"/>
          <w:lang w:val="en-US" w:eastAsia="zh-CN"/>
        </w:rPr>
        <w:t>20</w:t>
      </w:r>
      <w:r>
        <w:rPr>
          <w:rFonts w:ascii="方正小标宋简体" w:hAnsi="宋体" w:eastAsia="方正小标宋简体"/>
          <w:color w:val="auto"/>
          <w:kern w:val="0"/>
          <w:sz w:val="40"/>
          <w:szCs w:val="44"/>
        </w:rPr>
        <w:t>年</w:t>
      </w:r>
      <w:r>
        <w:rPr>
          <w:rFonts w:hint="eastAsia" w:ascii="方正小标宋简体" w:hAnsi="宋体" w:eastAsia="方正小标宋简体"/>
          <w:color w:val="auto"/>
          <w:kern w:val="0"/>
          <w:sz w:val="40"/>
          <w:szCs w:val="44"/>
          <w:lang w:eastAsia="zh-CN"/>
        </w:rPr>
        <w:t>预算项目</w:t>
      </w:r>
      <w:r>
        <w:rPr>
          <w:rFonts w:hint="eastAsia" w:ascii="方正小标宋简体" w:hAnsi="宋体" w:eastAsia="方正小标宋简体"/>
          <w:color w:val="auto"/>
          <w:kern w:val="0"/>
          <w:sz w:val="40"/>
          <w:szCs w:val="44"/>
          <w:lang w:val="zh-CN"/>
        </w:rPr>
        <w:t>支出绩效自评报告</w:t>
      </w:r>
    </w:p>
    <w:p>
      <w:pPr>
        <w:spacing w:line="580" w:lineRule="exact"/>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（本单位不涉及此项工作。）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Style w:val="14"/>
          <w:rFonts w:hint="eastAsia" w:ascii="仿宋" w:hAnsi="仿宋" w:eastAsia="仿宋"/>
          <w:b w:val="0"/>
          <w:bCs/>
          <w:color w:val="000000"/>
          <w:sz w:val="32"/>
          <w:szCs w:val="32"/>
          <w:lang w:val="zh-CN" w:eastAsia="zh-CN"/>
        </w:rPr>
      </w:pPr>
    </w:p>
    <w:p>
      <w:pPr>
        <w:keepNext w:val="0"/>
        <w:keepLines w:val="0"/>
        <w:pageBreakBefore w:val="0"/>
        <w:widowControl w:val="0"/>
        <w:kinsoku/>
        <w:wordWrap/>
        <w:overflowPunct/>
        <w:topLinePunct w:val="0"/>
        <w:autoSpaceDE/>
        <w:autoSpaceDN/>
        <w:bidi w:val="0"/>
        <w:spacing w:line="600" w:lineRule="exact"/>
        <w:ind w:firstLine="640"/>
        <w:jc w:val="center"/>
        <w:textAlignment w:val="auto"/>
        <w:rPr>
          <w:rFonts w:ascii="宋体" w:hAnsi="宋体" w:eastAsia="宋体" w:cs="Times New Roman"/>
          <w:color w:val="FF0000"/>
          <w:kern w:val="2"/>
          <w:sz w:val="32"/>
          <w:szCs w:val="32"/>
          <w:lang w:val="zh-CN" w:eastAsia="zh-CN" w:bidi="ar-SA"/>
        </w:rPr>
      </w:pPr>
    </w:p>
    <w:p>
      <w:pPr>
        <w:spacing w:line="600" w:lineRule="exact"/>
        <w:jc w:val="center"/>
        <w:outlineLvl w:val="0"/>
        <w:rPr>
          <w:rFonts w:hint="eastAsia" w:ascii="黑体" w:hAnsi="黑体" w:eastAsia="黑体"/>
          <w:color w:val="000000"/>
          <w:sz w:val="44"/>
          <w:szCs w:val="44"/>
        </w:rPr>
      </w:pPr>
      <w:bookmarkStart w:id="53" w:name="_Toc15396618"/>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仿宋" w:hAnsi="仿宋" w:eastAsia="仿宋"/>
          <w:b w:val="0"/>
          <w:color w:val="000000"/>
        </w:rPr>
      </w:pPr>
      <w:r>
        <w:rPr>
          <w:rFonts w:hint="eastAsia" w:ascii="黑体" w:hAnsi="黑体" w:eastAsia="黑体"/>
          <w:color w:val="000000"/>
          <w:sz w:val="44"/>
          <w:szCs w:val="44"/>
        </w:rPr>
        <w:t>第</w:t>
      </w:r>
      <w:r>
        <w:rPr>
          <w:rStyle w:val="24"/>
          <w:rFonts w:hint="eastAsia" w:ascii="黑体" w:hAnsi="黑体" w:eastAsia="黑体"/>
          <w:b w:val="0"/>
        </w:rPr>
        <w:t>五部分 附表</w:t>
      </w:r>
      <w:bookmarkEnd w:id="51"/>
      <w:bookmarkEnd w:id="53"/>
      <w:bookmarkStart w:id="54" w:name="_Toc15396619"/>
    </w:p>
    <w:p>
      <w:pPr>
        <w:pStyle w:val="4"/>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color w:val="000000"/>
          <w:sz w:val="32"/>
          <w:szCs w:val="32"/>
        </w:rPr>
        <w:t>一、收</w:t>
      </w:r>
      <w:r>
        <w:rPr>
          <w:rStyle w:val="25"/>
          <w:rFonts w:hint="eastAsia" w:ascii="仿宋_GB2312" w:hAnsi="仿宋_GB2312" w:eastAsia="仿宋_GB2312" w:cs="仿宋_GB2312"/>
          <w:b w:val="0"/>
          <w:bCs w:val="0"/>
          <w:sz w:val="32"/>
          <w:szCs w:val="32"/>
        </w:rPr>
        <w:t>入支出决算总表</w:t>
      </w:r>
      <w:bookmarkEnd w:id="54"/>
    </w:p>
    <w:p>
      <w:pPr>
        <w:pStyle w:val="4"/>
        <w:rPr>
          <w:rFonts w:hint="eastAsia" w:ascii="仿宋_GB2312" w:hAnsi="仿宋_GB2312" w:eastAsia="仿宋_GB2312" w:cs="仿宋_GB2312"/>
          <w:color w:val="000000"/>
          <w:sz w:val="32"/>
          <w:szCs w:val="32"/>
        </w:rPr>
      </w:pPr>
      <w:bookmarkStart w:id="55" w:name="_Toc15396620"/>
      <w:r>
        <w:rPr>
          <w:rFonts w:hint="eastAsia" w:ascii="仿宋_GB2312" w:hAnsi="仿宋_GB2312" w:eastAsia="仿宋_GB2312" w:cs="仿宋_GB2312"/>
          <w:b w:val="0"/>
          <w:color w:val="000000"/>
          <w:sz w:val="32"/>
          <w:szCs w:val="32"/>
        </w:rPr>
        <w:t>二、收</w:t>
      </w:r>
      <w:r>
        <w:rPr>
          <w:rStyle w:val="25"/>
          <w:rFonts w:hint="eastAsia" w:ascii="仿宋_GB2312" w:hAnsi="仿宋_GB2312" w:eastAsia="仿宋_GB2312" w:cs="仿宋_GB2312"/>
          <w:b w:val="0"/>
          <w:bCs w:val="0"/>
          <w:sz w:val="32"/>
          <w:szCs w:val="32"/>
        </w:rPr>
        <w:t>入决算表</w:t>
      </w:r>
      <w:bookmarkEnd w:id="55"/>
    </w:p>
    <w:p>
      <w:pPr>
        <w:pStyle w:val="4"/>
        <w:rPr>
          <w:rFonts w:hint="eastAsia" w:ascii="仿宋_GB2312" w:hAnsi="仿宋_GB2312" w:eastAsia="仿宋_GB2312" w:cs="仿宋_GB2312"/>
          <w:color w:val="000000"/>
          <w:sz w:val="32"/>
          <w:szCs w:val="32"/>
        </w:rPr>
      </w:pPr>
      <w:bookmarkStart w:id="56" w:name="_Toc15396621"/>
      <w:r>
        <w:rPr>
          <w:rStyle w:val="25"/>
          <w:rFonts w:hint="eastAsia" w:ascii="仿宋_GB2312" w:hAnsi="仿宋_GB2312" w:eastAsia="仿宋_GB2312" w:cs="仿宋_GB2312"/>
          <w:b w:val="0"/>
          <w:bCs w:val="0"/>
          <w:sz w:val="32"/>
          <w:szCs w:val="32"/>
        </w:rPr>
        <w:t>三、</w:t>
      </w:r>
      <w:r>
        <w:rPr>
          <w:rFonts w:hint="eastAsia" w:ascii="仿宋_GB2312" w:hAnsi="仿宋_GB2312" w:eastAsia="仿宋_GB2312" w:cs="仿宋_GB2312"/>
          <w:b w:val="0"/>
          <w:color w:val="000000"/>
          <w:sz w:val="32"/>
          <w:szCs w:val="32"/>
        </w:rPr>
        <w:t>支</w:t>
      </w:r>
      <w:r>
        <w:rPr>
          <w:rStyle w:val="25"/>
          <w:rFonts w:hint="eastAsia" w:ascii="仿宋_GB2312" w:hAnsi="仿宋_GB2312" w:eastAsia="仿宋_GB2312" w:cs="仿宋_GB2312"/>
          <w:b w:val="0"/>
          <w:bCs w:val="0"/>
          <w:sz w:val="32"/>
          <w:szCs w:val="32"/>
        </w:rPr>
        <w:t>出决算表</w:t>
      </w:r>
      <w:bookmarkEnd w:id="56"/>
    </w:p>
    <w:p>
      <w:pPr>
        <w:pStyle w:val="4"/>
        <w:rPr>
          <w:rFonts w:hint="eastAsia" w:ascii="仿宋_GB2312" w:hAnsi="仿宋_GB2312" w:eastAsia="仿宋_GB2312" w:cs="仿宋_GB2312"/>
          <w:b w:val="0"/>
          <w:color w:val="000000"/>
          <w:sz w:val="32"/>
          <w:szCs w:val="32"/>
        </w:rPr>
      </w:pPr>
      <w:bookmarkStart w:id="57" w:name="_Toc15396622"/>
      <w:r>
        <w:rPr>
          <w:rStyle w:val="25"/>
          <w:rFonts w:hint="eastAsia" w:ascii="仿宋_GB2312" w:hAnsi="仿宋_GB2312" w:eastAsia="仿宋_GB2312" w:cs="仿宋_GB2312"/>
          <w:b w:val="0"/>
          <w:bCs w:val="0"/>
          <w:sz w:val="32"/>
          <w:szCs w:val="32"/>
        </w:rPr>
        <w:t>四、</w:t>
      </w:r>
      <w:r>
        <w:rPr>
          <w:rFonts w:hint="eastAsia" w:ascii="仿宋_GB2312" w:hAnsi="仿宋_GB2312" w:eastAsia="仿宋_GB2312" w:cs="仿宋_GB2312"/>
          <w:b w:val="0"/>
          <w:color w:val="000000"/>
          <w:sz w:val="32"/>
          <w:szCs w:val="32"/>
        </w:rPr>
        <w:t>财</w:t>
      </w:r>
      <w:r>
        <w:rPr>
          <w:rStyle w:val="25"/>
          <w:rFonts w:hint="eastAsia" w:ascii="仿宋_GB2312" w:hAnsi="仿宋_GB2312" w:eastAsia="仿宋_GB2312" w:cs="仿宋_GB2312"/>
          <w:b w:val="0"/>
          <w:bCs w:val="0"/>
          <w:sz w:val="32"/>
          <w:szCs w:val="32"/>
        </w:rPr>
        <w:t>政拨款收入支出决算总表</w:t>
      </w:r>
      <w:bookmarkEnd w:id="57"/>
    </w:p>
    <w:p>
      <w:pPr>
        <w:pStyle w:val="4"/>
        <w:rPr>
          <w:rStyle w:val="25"/>
          <w:rFonts w:hint="eastAsia" w:ascii="仿宋_GB2312" w:hAnsi="仿宋_GB2312" w:eastAsia="仿宋_GB2312" w:cs="仿宋_GB2312"/>
          <w:b w:val="0"/>
          <w:bCs w:val="0"/>
          <w:sz w:val="32"/>
          <w:szCs w:val="32"/>
        </w:rPr>
      </w:pPr>
      <w:bookmarkStart w:id="58" w:name="_Toc15396623"/>
      <w:r>
        <w:rPr>
          <w:rStyle w:val="25"/>
          <w:rFonts w:hint="eastAsia" w:ascii="仿宋_GB2312" w:hAnsi="仿宋_GB2312" w:eastAsia="仿宋_GB2312" w:cs="仿宋_GB2312"/>
          <w:b w:val="0"/>
          <w:bCs w:val="0"/>
          <w:sz w:val="32"/>
          <w:szCs w:val="32"/>
        </w:rPr>
        <w:t>五、</w:t>
      </w:r>
      <w:r>
        <w:rPr>
          <w:rFonts w:hint="eastAsia" w:ascii="仿宋_GB2312" w:hAnsi="仿宋_GB2312" w:eastAsia="仿宋_GB2312" w:cs="仿宋_GB2312"/>
          <w:b w:val="0"/>
          <w:color w:val="000000"/>
          <w:sz w:val="32"/>
          <w:szCs w:val="32"/>
        </w:rPr>
        <w:t>财</w:t>
      </w:r>
      <w:r>
        <w:rPr>
          <w:rStyle w:val="25"/>
          <w:rFonts w:hint="eastAsia" w:ascii="仿宋_GB2312" w:hAnsi="仿宋_GB2312" w:eastAsia="仿宋_GB2312" w:cs="仿宋_GB2312"/>
          <w:b w:val="0"/>
          <w:bCs w:val="0"/>
          <w:sz w:val="32"/>
          <w:szCs w:val="32"/>
        </w:rPr>
        <w:t>政拨款支出决算明细表</w:t>
      </w:r>
      <w:bookmarkEnd w:id="58"/>
      <w:bookmarkStart w:id="59" w:name="_Toc15396624"/>
    </w:p>
    <w:p>
      <w:pPr>
        <w:pStyle w:val="4"/>
        <w:rPr>
          <w:rFonts w:hint="eastAsia" w:ascii="仿宋_GB2312" w:hAnsi="仿宋_GB2312" w:eastAsia="仿宋_GB2312" w:cs="仿宋_GB2312"/>
          <w:color w:val="000000"/>
          <w:sz w:val="32"/>
          <w:szCs w:val="32"/>
        </w:rPr>
      </w:pPr>
      <w:r>
        <w:rPr>
          <w:rStyle w:val="25"/>
          <w:rFonts w:hint="eastAsia" w:ascii="仿宋_GB2312" w:hAnsi="仿宋_GB2312" w:eastAsia="仿宋_GB2312" w:cs="仿宋_GB2312"/>
          <w:b w:val="0"/>
          <w:bCs w:val="0"/>
          <w:sz w:val="32"/>
          <w:szCs w:val="32"/>
        </w:rPr>
        <w:t>六、</w:t>
      </w:r>
      <w:r>
        <w:rPr>
          <w:rFonts w:hint="eastAsia" w:ascii="仿宋_GB2312" w:hAnsi="仿宋_GB2312" w:eastAsia="仿宋_GB2312" w:cs="仿宋_GB2312"/>
          <w:b w:val="0"/>
          <w:color w:val="000000"/>
          <w:sz w:val="32"/>
          <w:szCs w:val="32"/>
        </w:rPr>
        <w:t>一</w:t>
      </w:r>
      <w:r>
        <w:rPr>
          <w:rStyle w:val="25"/>
          <w:rFonts w:hint="eastAsia" w:ascii="仿宋_GB2312" w:hAnsi="仿宋_GB2312" w:eastAsia="仿宋_GB2312" w:cs="仿宋_GB2312"/>
          <w:b w:val="0"/>
          <w:bCs w:val="0"/>
          <w:sz w:val="32"/>
          <w:szCs w:val="32"/>
        </w:rPr>
        <w:t>般公共预算财政拨款支出决算表</w:t>
      </w:r>
      <w:bookmarkEnd w:id="59"/>
    </w:p>
    <w:p>
      <w:pPr>
        <w:pStyle w:val="4"/>
        <w:rPr>
          <w:rFonts w:hint="eastAsia" w:ascii="仿宋_GB2312" w:hAnsi="仿宋_GB2312" w:eastAsia="仿宋_GB2312" w:cs="仿宋_GB2312"/>
          <w:color w:val="000000"/>
          <w:sz w:val="32"/>
          <w:szCs w:val="32"/>
        </w:rPr>
      </w:pPr>
      <w:bookmarkStart w:id="60" w:name="_Toc15396625"/>
      <w:r>
        <w:rPr>
          <w:rStyle w:val="25"/>
          <w:rFonts w:hint="eastAsia" w:ascii="仿宋_GB2312" w:hAnsi="仿宋_GB2312" w:eastAsia="仿宋_GB2312" w:cs="仿宋_GB2312"/>
          <w:b w:val="0"/>
          <w:bCs w:val="0"/>
          <w:sz w:val="32"/>
          <w:szCs w:val="32"/>
        </w:rPr>
        <w:t>七、</w:t>
      </w:r>
      <w:r>
        <w:rPr>
          <w:rFonts w:hint="eastAsia" w:ascii="仿宋_GB2312" w:hAnsi="仿宋_GB2312" w:eastAsia="仿宋_GB2312" w:cs="仿宋_GB2312"/>
          <w:b w:val="0"/>
          <w:color w:val="000000"/>
          <w:sz w:val="32"/>
          <w:szCs w:val="32"/>
        </w:rPr>
        <w:t>一</w:t>
      </w:r>
      <w:r>
        <w:rPr>
          <w:rStyle w:val="25"/>
          <w:rFonts w:hint="eastAsia" w:ascii="仿宋_GB2312" w:hAnsi="仿宋_GB2312" w:eastAsia="仿宋_GB2312" w:cs="仿宋_GB2312"/>
          <w:b w:val="0"/>
          <w:bCs w:val="0"/>
          <w:sz w:val="32"/>
          <w:szCs w:val="32"/>
        </w:rPr>
        <w:t>般公共预算财政拨款支出决算明细表</w:t>
      </w:r>
      <w:bookmarkEnd w:id="60"/>
    </w:p>
    <w:p>
      <w:pPr>
        <w:pStyle w:val="4"/>
        <w:rPr>
          <w:rFonts w:hint="eastAsia" w:ascii="仿宋_GB2312" w:hAnsi="仿宋_GB2312" w:eastAsia="仿宋_GB2312" w:cs="仿宋_GB2312"/>
          <w:color w:val="000000"/>
          <w:sz w:val="32"/>
          <w:szCs w:val="32"/>
        </w:rPr>
      </w:pPr>
      <w:bookmarkStart w:id="61" w:name="_Toc15396626"/>
      <w:r>
        <w:rPr>
          <w:rStyle w:val="25"/>
          <w:rFonts w:hint="eastAsia" w:ascii="仿宋_GB2312" w:hAnsi="仿宋_GB2312" w:eastAsia="仿宋_GB2312" w:cs="仿宋_GB2312"/>
          <w:b w:val="0"/>
          <w:bCs w:val="0"/>
          <w:sz w:val="32"/>
          <w:szCs w:val="32"/>
        </w:rPr>
        <w:t>八、</w:t>
      </w:r>
      <w:r>
        <w:rPr>
          <w:rFonts w:hint="eastAsia" w:ascii="仿宋_GB2312" w:hAnsi="仿宋_GB2312" w:eastAsia="仿宋_GB2312" w:cs="仿宋_GB2312"/>
          <w:b w:val="0"/>
          <w:color w:val="000000"/>
          <w:sz w:val="32"/>
          <w:szCs w:val="32"/>
        </w:rPr>
        <w:t>一</w:t>
      </w:r>
      <w:r>
        <w:rPr>
          <w:rStyle w:val="25"/>
          <w:rFonts w:hint="eastAsia" w:ascii="仿宋_GB2312" w:hAnsi="仿宋_GB2312" w:eastAsia="仿宋_GB2312" w:cs="仿宋_GB2312"/>
          <w:b w:val="0"/>
          <w:bCs w:val="0"/>
          <w:sz w:val="32"/>
          <w:szCs w:val="32"/>
        </w:rPr>
        <w:t>般公共预算财政拨款基本支出决算表</w:t>
      </w:r>
      <w:bookmarkEnd w:id="61"/>
    </w:p>
    <w:p>
      <w:pPr>
        <w:pStyle w:val="4"/>
        <w:rPr>
          <w:rFonts w:hint="eastAsia" w:ascii="仿宋_GB2312" w:hAnsi="仿宋_GB2312" w:eastAsia="仿宋_GB2312" w:cs="仿宋_GB2312"/>
          <w:color w:val="000000"/>
          <w:sz w:val="32"/>
          <w:szCs w:val="32"/>
        </w:rPr>
      </w:pPr>
      <w:bookmarkStart w:id="62" w:name="_Toc15396627"/>
      <w:r>
        <w:rPr>
          <w:rStyle w:val="25"/>
          <w:rFonts w:hint="eastAsia" w:ascii="仿宋_GB2312" w:hAnsi="仿宋_GB2312" w:eastAsia="仿宋_GB2312" w:cs="仿宋_GB2312"/>
          <w:b w:val="0"/>
          <w:bCs w:val="0"/>
          <w:sz w:val="32"/>
          <w:szCs w:val="32"/>
        </w:rPr>
        <w:t>九、</w:t>
      </w:r>
      <w:r>
        <w:rPr>
          <w:rFonts w:hint="eastAsia" w:ascii="仿宋_GB2312" w:hAnsi="仿宋_GB2312" w:eastAsia="仿宋_GB2312" w:cs="仿宋_GB2312"/>
          <w:b w:val="0"/>
          <w:color w:val="000000"/>
          <w:sz w:val="32"/>
          <w:szCs w:val="32"/>
        </w:rPr>
        <w:t>一</w:t>
      </w:r>
      <w:r>
        <w:rPr>
          <w:rStyle w:val="25"/>
          <w:rFonts w:hint="eastAsia" w:ascii="仿宋_GB2312" w:hAnsi="仿宋_GB2312" w:eastAsia="仿宋_GB2312" w:cs="仿宋_GB2312"/>
          <w:b w:val="0"/>
          <w:bCs w:val="0"/>
          <w:sz w:val="32"/>
          <w:szCs w:val="32"/>
        </w:rPr>
        <w:t>般公共预算财政拨款项目支出决算表</w:t>
      </w:r>
      <w:bookmarkEnd w:id="62"/>
    </w:p>
    <w:p>
      <w:pPr>
        <w:pStyle w:val="4"/>
        <w:rPr>
          <w:rFonts w:hint="eastAsia" w:ascii="仿宋_GB2312" w:hAnsi="仿宋_GB2312" w:eastAsia="仿宋_GB2312" w:cs="仿宋_GB2312"/>
          <w:color w:val="000000"/>
          <w:sz w:val="32"/>
          <w:szCs w:val="32"/>
        </w:rPr>
      </w:pPr>
      <w:bookmarkStart w:id="63" w:name="_Toc15396628"/>
      <w:r>
        <w:rPr>
          <w:rStyle w:val="25"/>
          <w:rFonts w:hint="eastAsia" w:ascii="仿宋_GB2312" w:hAnsi="仿宋_GB2312" w:eastAsia="仿宋_GB2312" w:cs="仿宋_GB2312"/>
          <w:b w:val="0"/>
          <w:bCs w:val="0"/>
          <w:sz w:val="32"/>
          <w:szCs w:val="32"/>
        </w:rPr>
        <w:t>十、</w:t>
      </w:r>
      <w:r>
        <w:rPr>
          <w:rFonts w:hint="eastAsia" w:ascii="仿宋_GB2312" w:hAnsi="仿宋_GB2312" w:eastAsia="仿宋_GB2312" w:cs="仿宋_GB2312"/>
          <w:b w:val="0"/>
          <w:color w:val="000000"/>
          <w:sz w:val="32"/>
          <w:szCs w:val="32"/>
        </w:rPr>
        <w:t>一</w:t>
      </w:r>
      <w:r>
        <w:rPr>
          <w:rStyle w:val="25"/>
          <w:rFonts w:hint="eastAsia" w:ascii="仿宋_GB2312" w:hAnsi="仿宋_GB2312" w:eastAsia="仿宋_GB2312" w:cs="仿宋_GB2312"/>
          <w:b w:val="0"/>
          <w:bCs w:val="0"/>
          <w:sz w:val="32"/>
          <w:szCs w:val="32"/>
        </w:rPr>
        <w:t>般公共预算财政拨款“三公”经费支出决算表</w:t>
      </w:r>
      <w:bookmarkEnd w:id="63"/>
    </w:p>
    <w:p>
      <w:pPr>
        <w:pStyle w:val="4"/>
        <w:rPr>
          <w:rFonts w:hint="eastAsia" w:ascii="仿宋_GB2312" w:hAnsi="仿宋_GB2312" w:eastAsia="仿宋_GB2312" w:cs="仿宋_GB2312"/>
          <w:color w:val="000000"/>
          <w:sz w:val="32"/>
          <w:szCs w:val="32"/>
        </w:rPr>
      </w:pPr>
      <w:bookmarkStart w:id="64" w:name="_Toc15396629"/>
      <w:r>
        <w:rPr>
          <w:rStyle w:val="25"/>
          <w:rFonts w:hint="eastAsia" w:ascii="仿宋_GB2312" w:hAnsi="仿宋_GB2312" w:eastAsia="仿宋_GB2312" w:cs="仿宋_GB2312"/>
          <w:b w:val="0"/>
          <w:bCs w:val="0"/>
          <w:sz w:val="32"/>
          <w:szCs w:val="32"/>
        </w:rPr>
        <w:t>十一、</w:t>
      </w:r>
      <w:r>
        <w:rPr>
          <w:rFonts w:hint="eastAsia" w:ascii="仿宋_GB2312" w:hAnsi="仿宋_GB2312" w:eastAsia="仿宋_GB2312" w:cs="仿宋_GB2312"/>
          <w:b w:val="0"/>
          <w:color w:val="000000"/>
          <w:sz w:val="32"/>
          <w:szCs w:val="32"/>
        </w:rPr>
        <w:t>政</w:t>
      </w:r>
      <w:r>
        <w:rPr>
          <w:rStyle w:val="25"/>
          <w:rFonts w:hint="eastAsia" w:ascii="仿宋_GB2312" w:hAnsi="仿宋_GB2312" w:eastAsia="仿宋_GB2312" w:cs="仿宋_GB2312"/>
          <w:b w:val="0"/>
          <w:bCs w:val="0"/>
          <w:sz w:val="32"/>
          <w:szCs w:val="32"/>
        </w:rPr>
        <w:t>府性基金预算财政拨款收入支出决算表</w:t>
      </w:r>
      <w:bookmarkEnd w:id="64"/>
    </w:p>
    <w:p>
      <w:pPr>
        <w:pStyle w:val="4"/>
        <w:rPr>
          <w:rFonts w:hint="eastAsia" w:ascii="仿宋_GB2312" w:hAnsi="仿宋_GB2312" w:eastAsia="仿宋_GB2312" w:cs="仿宋_GB2312"/>
          <w:color w:val="000000"/>
          <w:sz w:val="32"/>
          <w:szCs w:val="32"/>
        </w:rPr>
      </w:pPr>
      <w:bookmarkStart w:id="65" w:name="_Toc15396630"/>
      <w:r>
        <w:rPr>
          <w:rStyle w:val="25"/>
          <w:rFonts w:hint="eastAsia" w:ascii="仿宋_GB2312" w:hAnsi="仿宋_GB2312" w:eastAsia="仿宋_GB2312" w:cs="仿宋_GB2312"/>
          <w:b w:val="0"/>
          <w:bCs w:val="0"/>
          <w:sz w:val="32"/>
          <w:szCs w:val="32"/>
        </w:rPr>
        <w:t>十二、</w:t>
      </w:r>
      <w:r>
        <w:rPr>
          <w:rFonts w:hint="eastAsia" w:ascii="仿宋_GB2312" w:hAnsi="仿宋_GB2312" w:eastAsia="仿宋_GB2312" w:cs="仿宋_GB2312"/>
          <w:b w:val="0"/>
          <w:color w:val="000000"/>
          <w:sz w:val="32"/>
          <w:szCs w:val="32"/>
        </w:rPr>
        <w:t>政</w:t>
      </w:r>
      <w:r>
        <w:rPr>
          <w:rStyle w:val="25"/>
          <w:rFonts w:hint="eastAsia" w:ascii="仿宋_GB2312" w:hAnsi="仿宋_GB2312" w:eastAsia="仿宋_GB2312" w:cs="仿宋_GB2312"/>
          <w:b w:val="0"/>
          <w:bCs w:val="0"/>
          <w:sz w:val="32"/>
          <w:szCs w:val="32"/>
        </w:rPr>
        <w:t>府性基金预算财政拨款“三公”经费支出决算表</w:t>
      </w:r>
      <w:bookmarkEnd w:id="65"/>
    </w:p>
    <w:p>
      <w:pPr>
        <w:pStyle w:val="4"/>
        <w:rPr>
          <w:rStyle w:val="25"/>
          <w:rFonts w:hint="eastAsia" w:ascii="仿宋_GB2312" w:hAnsi="仿宋_GB2312" w:eastAsia="仿宋_GB2312" w:cs="仿宋_GB2312"/>
          <w:b w:val="0"/>
          <w:bCs w:val="0"/>
          <w:sz w:val="32"/>
          <w:szCs w:val="32"/>
        </w:rPr>
      </w:pPr>
      <w:bookmarkStart w:id="66" w:name="_Toc15396631"/>
      <w:r>
        <w:rPr>
          <w:rStyle w:val="25"/>
          <w:rFonts w:hint="eastAsia" w:ascii="仿宋_GB2312" w:hAnsi="仿宋_GB2312" w:eastAsia="仿宋_GB2312" w:cs="仿宋_GB2312"/>
          <w:b w:val="0"/>
          <w:bCs w:val="0"/>
          <w:sz w:val="32"/>
          <w:szCs w:val="32"/>
        </w:rPr>
        <w:t>十三、</w:t>
      </w:r>
      <w:r>
        <w:rPr>
          <w:rFonts w:hint="eastAsia" w:ascii="仿宋_GB2312" w:hAnsi="仿宋_GB2312" w:eastAsia="仿宋_GB2312" w:cs="仿宋_GB2312"/>
          <w:b w:val="0"/>
          <w:color w:val="000000"/>
          <w:sz w:val="32"/>
          <w:szCs w:val="32"/>
        </w:rPr>
        <w:t>国</w:t>
      </w:r>
      <w:r>
        <w:rPr>
          <w:rStyle w:val="25"/>
          <w:rFonts w:hint="eastAsia" w:ascii="仿宋_GB2312" w:hAnsi="仿宋_GB2312" w:eastAsia="仿宋_GB2312" w:cs="仿宋_GB2312"/>
          <w:b w:val="0"/>
          <w:bCs w:val="0"/>
          <w:sz w:val="32"/>
          <w:szCs w:val="32"/>
        </w:rPr>
        <w:t>有资本经营预算</w:t>
      </w:r>
      <w:r>
        <w:rPr>
          <w:rStyle w:val="25"/>
          <w:rFonts w:hint="eastAsia" w:ascii="仿宋_GB2312" w:hAnsi="仿宋_GB2312" w:eastAsia="仿宋_GB2312" w:cs="仿宋_GB2312"/>
          <w:b w:val="0"/>
          <w:bCs w:val="0"/>
          <w:sz w:val="32"/>
          <w:szCs w:val="32"/>
          <w:lang w:eastAsia="zh-CN"/>
        </w:rPr>
        <w:t>财政拨款收入</w:t>
      </w:r>
      <w:r>
        <w:rPr>
          <w:rStyle w:val="25"/>
          <w:rFonts w:hint="eastAsia" w:ascii="仿宋_GB2312" w:hAnsi="仿宋_GB2312" w:eastAsia="仿宋_GB2312" w:cs="仿宋_GB2312"/>
          <w:b w:val="0"/>
          <w:bCs w:val="0"/>
          <w:sz w:val="32"/>
          <w:szCs w:val="32"/>
        </w:rPr>
        <w:t>支出决算表</w:t>
      </w:r>
      <w:bookmarkEnd w:id="66"/>
    </w:p>
    <w:p>
      <w:pPr>
        <w:rPr>
          <w:rFonts w:hint="eastAsia" w:ascii="仿宋_GB2312" w:hAnsi="仿宋_GB2312" w:eastAsia="仿宋_GB2312" w:cs="仿宋_GB2312"/>
          <w:sz w:val="32"/>
          <w:szCs w:val="32"/>
          <w:lang w:eastAsia="zh-CN"/>
        </w:rPr>
      </w:pPr>
      <w:r>
        <w:rPr>
          <w:rStyle w:val="25"/>
          <w:rFonts w:hint="eastAsia" w:ascii="仿宋_GB2312" w:hAnsi="仿宋_GB2312" w:eastAsia="仿宋_GB2312" w:cs="仿宋_GB2312"/>
          <w:b w:val="0"/>
          <w:bCs w:val="0"/>
          <w:sz w:val="32"/>
          <w:szCs w:val="32"/>
          <w:lang w:eastAsia="zh-CN"/>
        </w:rPr>
        <w:t>十四、国有资本经营预算财政拨款支出决算表</w:t>
      </w:r>
    </w:p>
    <w:sectPr>
      <w:headerReference r:id="rId3" w:type="default"/>
      <w:footerReference r:id="rId4" w:type="default"/>
      <w:pgSz w:w="11906" w:h="16838"/>
      <w:pgMar w:top="1383" w:right="1800" w:bottom="1383" w:left="1803"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0E87BA"/>
    <w:multiLevelType w:val="singleLevel"/>
    <w:tmpl w:val="B20E87BA"/>
    <w:lvl w:ilvl="0" w:tentative="0">
      <w:start w:val="3"/>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AB2297"/>
    <w:rsid w:val="02AB7592"/>
    <w:rsid w:val="03CF59FA"/>
    <w:rsid w:val="048E0480"/>
    <w:rsid w:val="0A2032A3"/>
    <w:rsid w:val="0A6B1D10"/>
    <w:rsid w:val="0FD22F66"/>
    <w:rsid w:val="10C055FF"/>
    <w:rsid w:val="118107EC"/>
    <w:rsid w:val="124803F1"/>
    <w:rsid w:val="16BB723D"/>
    <w:rsid w:val="18015F3F"/>
    <w:rsid w:val="1A3969B7"/>
    <w:rsid w:val="1AA711C4"/>
    <w:rsid w:val="1BE8440E"/>
    <w:rsid w:val="1D155CEE"/>
    <w:rsid w:val="1F7C5161"/>
    <w:rsid w:val="20F57F95"/>
    <w:rsid w:val="240371BF"/>
    <w:rsid w:val="24483726"/>
    <w:rsid w:val="244C19FA"/>
    <w:rsid w:val="27FA607B"/>
    <w:rsid w:val="29FD04D3"/>
    <w:rsid w:val="2ABE7A3E"/>
    <w:rsid w:val="2C1A3051"/>
    <w:rsid w:val="2D1E7816"/>
    <w:rsid w:val="319F7F4E"/>
    <w:rsid w:val="31E90A17"/>
    <w:rsid w:val="32015AB2"/>
    <w:rsid w:val="35413206"/>
    <w:rsid w:val="37620ECD"/>
    <w:rsid w:val="380D2B03"/>
    <w:rsid w:val="3C0C0783"/>
    <w:rsid w:val="40C84281"/>
    <w:rsid w:val="44BF40CA"/>
    <w:rsid w:val="46942814"/>
    <w:rsid w:val="46D80620"/>
    <w:rsid w:val="488861A4"/>
    <w:rsid w:val="48FC10D7"/>
    <w:rsid w:val="496F39ED"/>
    <w:rsid w:val="4BE068DB"/>
    <w:rsid w:val="4BF6002B"/>
    <w:rsid w:val="4CB40A67"/>
    <w:rsid w:val="4DF22B1C"/>
    <w:rsid w:val="4ECE2238"/>
    <w:rsid w:val="54BB6948"/>
    <w:rsid w:val="579D382C"/>
    <w:rsid w:val="5829534E"/>
    <w:rsid w:val="596206AD"/>
    <w:rsid w:val="5AE67A5A"/>
    <w:rsid w:val="5AEC2B95"/>
    <w:rsid w:val="5B984F5D"/>
    <w:rsid w:val="5BD6285D"/>
    <w:rsid w:val="604F4A58"/>
    <w:rsid w:val="643232DF"/>
    <w:rsid w:val="647573FD"/>
    <w:rsid w:val="64CA39A1"/>
    <w:rsid w:val="66D27FD9"/>
    <w:rsid w:val="6AB13AB8"/>
    <w:rsid w:val="6C4A05C8"/>
    <w:rsid w:val="6D3A4A49"/>
    <w:rsid w:val="6F033D3E"/>
    <w:rsid w:val="70543024"/>
    <w:rsid w:val="70DD4990"/>
    <w:rsid w:val="72734D90"/>
    <w:rsid w:val="77F10E62"/>
    <w:rsid w:val="7A036CE1"/>
    <w:rsid w:val="7BB80543"/>
    <w:rsid w:val="7D264246"/>
    <w:rsid w:val="7FCC2EE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chart" Target="charts/chart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Desktop\&#20013;&#24515;&#20915;&#31639;&#20844;&#24320;\&#22270;\&#24037;&#20316;&#31807;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spPr/>
          <c:explosion val="0"/>
          <c:dPt>
            <c:idx val="0"/>
            <c:bubble3D val="false"/>
            <c:explosion val="0"/>
            <c:spPr>
              <a:gradFill>
                <a:gsLst>
                  <a:gs pos="100000">
                    <a:schemeClr val="accent1">
                      <a:lumMod val="60000"/>
                      <a:lumOff val="40000"/>
                    </a:schemeClr>
                  </a:gs>
                  <a:gs pos="0">
                    <a:schemeClr val="accent1"/>
                  </a:gs>
                </a:gsLst>
                <a:lin ang="5400000" scaled="false"/>
              </a:gradFill>
              <a:ln w="19050">
                <a:solidFill>
                  <a:schemeClr val="lt1"/>
                </a:solidFill>
              </a:ln>
              <a:effectLst/>
            </c:spPr>
          </c:dPt>
          <c:dPt>
            <c:idx val="1"/>
            <c:bubble3D val="false"/>
            <c:explosion val="0"/>
            <c:spPr>
              <a:gradFill>
                <a:gsLst>
                  <a:gs pos="100000">
                    <a:schemeClr val="accent2">
                      <a:lumMod val="60000"/>
                      <a:lumOff val="40000"/>
                    </a:schemeClr>
                  </a:gs>
                  <a:gs pos="0">
                    <a:schemeClr val="accent2"/>
                  </a:gs>
                </a:gsLst>
                <a:lin ang="5400000" scaled="false"/>
              </a:gradFill>
              <a:ln w="19050">
                <a:solidFill>
                  <a:schemeClr val="lt1"/>
                </a:solidFill>
              </a:ln>
              <a:effectLst/>
            </c:spPr>
          </c:dPt>
          <c:dPt>
            <c:idx val="2"/>
            <c:bubble3D val="false"/>
            <c:explosion val="0"/>
            <c:spPr>
              <a:gradFill>
                <a:gsLst>
                  <a:gs pos="100000">
                    <a:schemeClr val="accent3">
                      <a:lumMod val="60000"/>
                      <a:lumOff val="40000"/>
                    </a:schemeClr>
                  </a:gs>
                  <a:gs pos="0">
                    <a:schemeClr val="accent3"/>
                  </a:gs>
                </a:gsLst>
                <a:lin ang="5400000" scaled="false"/>
              </a:gradFill>
              <a:ln w="19050">
                <a:solidFill>
                  <a:schemeClr val="lt1"/>
                </a:solidFill>
              </a:ln>
              <a:effectLst/>
            </c:spPr>
          </c:dPt>
          <c:dPt>
            <c:idx val="3"/>
            <c:bubble3D val="false"/>
            <c:explosion val="0"/>
            <c:spPr>
              <a:gradFill>
                <a:gsLst>
                  <a:gs pos="100000">
                    <a:schemeClr val="accent4">
                      <a:lumMod val="60000"/>
                      <a:lumOff val="40000"/>
                    </a:schemeClr>
                  </a:gs>
                  <a:gs pos="0">
                    <a:schemeClr val="accent4"/>
                  </a:gs>
                </a:gsLst>
                <a:lin ang="5400000" scaled="false"/>
              </a:gradFill>
              <a:ln w="19050">
                <a:solidFill>
                  <a:schemeClr val="lt1"/>
                </a:solidFill>
              </a:ln>
              <a:effectLst/>
            </c:spPr>
          </c:dPt>
          <c:dLbls>
            <c:dLbl>
              <c:idx val="0"/>
              <c:layout>
                <c:manualLayout>
                  <c:x val="0.0324267782426778"/>
                  <c:y val="0.00656574867773117"/>
                </c:manualLayout>
              </c:layout>
              <c:tx>
                <c:rich>
                  <a:bodyPr rot="0" spcFirstLastPara="0" vertOverflow="ellipsis" vert="horz" wrap="square" lIns="38100" tIns="19050" rIns="38100" bIns="19050" anchor="ctr" anchorCtr="false"/>
                  <a:lstStyle/>
                  <a:p>
                    <a:pPr defTabSz="914400">
                      <a:defRPr lang="zh-CN" sz="900" b="0" i="0" u="none" strike="noStrike" kern="1200" baseline="0">
                        <a:solidFill>
                          <a:schemeClr val="dk1">
                            <a:lumMod val="75000"/>
                            <a:lumOff val="25000"/>
                          </a:schemeClr>
                        </a:solidFill>
                        <a:latin typeface="+mn-lt"/>
                        <a:ea typeface="+mn-ea"/>
                        <a:cs typeface="+mn-cs"/>
                      </a:defRPr>
                    </a:pPr>
                    <a:r>
                      <a:t>一般公共服务支出7</a:t>
                    </a:r>
                    <a:r>
                      <a:rPr lang="en-US" altLang="zh-CN"/>
                      <a:t>3.84</a:t>
                    </a:r>
                    <a:r>
                      <a:t>%</a:t>
                    </a:r>
                  </a:p>
                </c:rich>
              </c:tx>
              <c:dLblPos val="bestFit"/>
              <c:showLegendKey val="false"/>
              <c:showVal val="false"/>
              <c:showCatName val="true"/>
              <c:showSerName val="false"/>
              <c:showPercent val="true"/>
              <c:showBubbleSize val="false"/>
              <c:separator>
</c:separator>
              <c:extLst>
                <c:ext xmlns:c15="http://schemas.microsoft.com/office/drawing/2012/chart" uri="{CE6537A1-D6FC-4f65-9D91-7224C49458BB}">
                  <c15:layout/>
                </c:ext>
              </c:extLst>
            </c:dLbl>
            <c:dLbl>
              <c:idx val="1"/>
              <c:layout>
                <c:manualLayout>
                  <c:x val="-0.00661655367025825"/>
                  <c:y val="0.0491547528911755"/>
                </c:manualLayout>
              </c:layout>
              <c:tx>
                <c:rich>
                  <a:bodyPr rot="0" spcFirstLastPara="0" vertOverflow="ellipsis" vert="horz" wrap="square" lIns="38100" tIns="19050" rIns="38100" bIns="19050" anchor="ctr" anchorCtr="false"/>
                  <a:lstStyle/>
                  <a:p>
                    <a:pPr defTabSz="914400">
                      <a:defRPr lang="zh-CN" sz="900" b="0" i="0" u="none" strike="noStrike" kern="1200" baseline="0">
                        <a:solidFill>
                          <a:schemeClr val="dk1">
                            <a:lumMod val="75000"/>
                            <a:lumOff val="25000"/>
                          </a:schemeClr>
                        </a:solidFill>
                        <a:latin typeface="+mn-lt"/>
                        <a:ea typeface="+mn-ea"/>
                        <a:cs typeface="+mn-cs"/>
                      </a:defRPr>
                    </a:pPr>
                    <a:r>
                      <a:t>社会保障和就业支出5.96%</a:t>
                    </a:r>
                  </a:p>
                </c:rich>
              </c:tx>
              <c:numFmt formatCode="General" sourceLinked="true"/>
              <c:spPr>
                <a:noFill/>
                <a:ln>
                  <a:noFill/>
                </a:ln>
                <a:effectLst/>
              </c:spPr>
              <c:txPr>
                <a:bodyPr rot="0" spcFirstLastPara="0" vertOverflow="ellipsis" vert="horz" wrap="square" lIns="38100" tIns="19050" rIns="38100" bIns="19050" anchor="ctr" anchorCtr="false"/>
                <a:lstStyle/>
                <a:p>
                  <a:pPr>
                    <a:defRPr lang="zh-CN" sz="900" b="0" i="0" u="none" strike="noStrike" kern="1200" baseline="0">
                      <a:solidFill>
                        <a:schemeClr val="dk1">
                          <a:lumMod val="75000"/>
                          <a:lumOff val="25000"/>
                        </a:schemeClr>
                      </a:solidFill>
                      <a:latin typeface="+mn-lt"/>
                      <a:ea typeface="+mn-ea"/>
                      <a:cs typeface="+mn-cs"/>
                    </a:defRPr>
                  </a:pPr>
                </a:p>
              </c:txPr>
              <c:dLblPos val="bestFit"/>
              <c:showLegendKey val="false"/>
              <c:showVal val="false"/>
              <c:showCatName val="true"/>
              <c:showSerName val="false"/>
              <c:showPercent val="true"/>
              <c:showBubbleSize val="false"/>
              <c:separator>
</c:separator>
              <c:extLst>
                <c:ext xmlns:c15="http://schemas.microsoft.com/office/drawing/2012/chart" uri="{CE6537A1-D6FC-4f65-9D91-7224C49458BB}">
                  <c15:layout>
                    <c:manualLayout>
                      <c:w val="0.143631110040934"/>
                      <c:h val="0.24735516372796"/>
                    </c:manualLayout>
                  </c15:layout>
                </c:ext>
              </c:extLst>
            </c:dLbl>
            <c:dLbl>
              <c:idx val="2"/>
              <c:layout>
                <c:manualLayout>
                  <c:x val="-0.0409754276831146"/>
                  <c:y val="-0.0157410784850143"/>
                </c:manualLayout>
              </c:layout>
              <c:tx>
                <c:rich>
                  <a:bodyPr rot="0" spcFirstLastPara="0" vertOverflow="ellipsis" vert="horz" wrap="square" lIns="38100" tIns="19050" rIns="38100" bIns="19050" anchor="ctr" anchorCtr="false"/>
                  <a:lstStyle/>
                  <a:p>
                    <a:pPr defTabSz="914400">
                      <a:defRPr lang="zh-CN" sz="900" b="0" i="0" u="none" strike="noStrike" kern="1200" baseline="0">
                        <a:solidFill>
                          <a:schemeClr val="dk1">
                            <a:lumMod val="75000"/>
                            <a:lumOff val="25000"/>
                          </a:schemeClr>
                        </a:solidFill>
                        <a:latin typeface="+mn-lt"/>
                        <a:ea typeface="+mn-ea"/>
                        <a:cs typeface="+mn-cs"/>
                      </a:defRPr>
                    </a:pPr>
                    <a:r>
                      <a:t>卫生健康支出6</a:t>
                    </a:r>
                    <a:r>
                      <a:rPr lang="en-US" altLang="zh-CN"/>
                      <a:t>.22</a:t>
                    </a:r>
                    <a:r>
                      <a:t>%</a:t>
                    </a:r>
                  </a:p>
                </c:rich>
              </c:tx>
              <c:dLblPos val="bestFit"/>
              <c:showLegendKey val="false"/>
              <c:showVal val="false"/>
              <c:showCatName val="true"/>
              <c:showSerName val="false"/>
              <c:showPercent val="true"/>
              <c:showBubbleSize val="false"/>
              <c:separator>
</c:separator>
              <c:extLst>
                <c:ext xmlns:c15="http://schemas.microsoft.com/office/drawing/2012/chart" uri="{CE6537A1-D6FC-4f65-9D91-7224C49458BB}">
                  <c15:layout/>
                </c:ext>
              </c:extLst>
            </c:dLbl>
            <c:dLbl>
              <c:idx val="3"/>
              <c:layout>
                <c:manualLayout>
                  <c:x val="-0.0399796607035548"/>
                  <c:y val="0.0361111111111112"/>
                </c:manualLayout>
              </c:layout>
              <c:tx>
                <c:rich>
                  <a:bodyPr rot="0" spcFirstLastPara="0" vertOverflow="ellipsis" vert="horz" wrap="square" lIns="38100" tIns="19050" rIns="38100" bIns="19050" anchor="ctr" anchorCtr="false"/>
                  <a:lstStyle/>
                  <a:p>
                    <a:pPr defTabSz="914400">
                      <a:defRPr lang="zh-CN" sz="900" b="0" i="0" u="none" strike="noStrike" kern="1200" baseline="0">
                        <a:solidFill>
                          <a:schemeClr val="dk1">
                            <a:lumMod val="75000"/>
                            <a:lumOff val="25000"/>
                          </a:schemeClr>
                        </a:solidFill>
                        <a:latin typeface="+mn-lt"/>
                        <a:ea typeface="+mn-ea"/>
                        <a:cs typeface="+mn-cs"/>
                      </a:defRPr>
                    </a:pPr>
                    <a:r>
                      <a:t>住房保障支出</a:t>
                    </a:r>
                  </a:p>
                  <a:p>
                    <a:pPr defTabSz="914400">
                      <a:defRPr lang="zh-CN" sz="900" b="0" i="0" u="none" strike="noStrike" kern="1200" baseline="0">
                        <a:solidFill>
                          <a:schemeClr val="dk1">
                            <a:lumMod val="75000"/>
                            <a:lumOff val="25000"/>
                          </a:schemeClr>
                        </a:solidFill>
                        <a:latin typeface="+mn-lt"/>
                        <a:ea typeface="+mn-ea"/>
                        <a:cs typeface="+mn-cs"/>
                      </a:defRPr>
                    </a:pPr>
                    <a:r>
                      <a:rPr lang="en-US" altLang="zh-CN"/>
                      <a:t>13.98</a:t>
                    </a:r>
                    <a:r>
                      <a:t>%</a:t>
                    </a:r>
                  </a:p>
                </c:rich>
              </c:tx>
              <c:dLblPos val="bestFit"/>
              <c:showLegendKey val="false"/>
              <c:showVal val="false"/>
              <c:showCatName val="true"/>
              <c:showSerName val="false"/>
              <c:showPercent val="true"/>
              <c:showBubbleSize val="false"/>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false"/>
              <a:lstStyle/>
              <a:p>
                <a:pPr algn="l">
                  <a:defRPr lang="zh-CN" sz="900" b="0" i="0" u="none" strike="noStrike" kern="1200" baseline="0">
                    <a:solidFill>
                      <a:schemeClr val="dk1">
                        <a:lumMod val="75000"/>
                        <a:lumOff val="25000"/>
                      </a:schemeClr>
                    </a:solidFill>
                    <a:latin typeface="+mn-lt"/>
                    <a:ea typeface="+mn-ea"/>
                    <a:cs typeface="+mn-cs"/>
                  </a:defRPr>
                </a:pPr>
              </a:p>
            </c:txPr>
            <c:dLblPos val="outEnd"/>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dk1">
                          <a:lumMod val="35000"/>
                          <a:lumOff val="65000"/>
                        </a:schemeClr>
                      </a:solidFill>
                      <a:round/>
                    </a:ln>
                    <a:effectLst/>
                  </c:spPr>
                </c15:leaderLines>
              </c:ext>
            </c:extLst>
          </c:dLbls>
          <c:cat>
            <c:strRef>
              <c:f>[工作簿1.xlsx]Sheet1!$A$2:$D$2</c:f>
              <c:strCache>
                <c:ptCount val="4"/>
                <c:pt idx="0">
                  <c:v>一般公共服务支出</c:v>
                </c:pt>
                <c:pt idx="1">
                  <c:v>社会保障和就业支出</c:v>
                </c:pt>
                <c:pt idx="2">
                  <c:v>卫生健康支出</c:v>
                </c:pt>
                <c:pt idx="3">
                  <c:v>住房保障支出</c:v>
                </c:pt>
              </c:strCache>
            </c:strRef>
          </c:cat>
          <c:val>
            <c:numRef>
              <c:f>[工作簿1.xlsx]Sheet1!$A$3:$D$3</c:f>
              <c:numCache>
                <c:formatCode>General</c:formatCode>
                <c:ptCount val="4"/>
                <c:pt idx="0">
                  <c:v>243.02</c:v>
                </c:pt>
                <c:pt idx="1">
                  <c:v>19.61</c:v>
                </c:pt>
                <c:pt idx="2">
                  <c:v>20.47</c:v>
                </c:pt>
                <c:pt idx="3">
                  <c:v>46.02</c:v>
                </c:pt>
              </c:numCache>
            </c:numRef>
          </c:val>
        </c:ser>
        <c:ser>
          <c:idx val="1"/>
          <c:order val="1"/>
          <c:spPr/>
          <c:explosion val="0"/>
          <c:dPt>
            <c:idx val="0"/>
            <c:bubble3D val="false"/>
            <c:spPr>
              <a:gradFill>
                <a:gsLst>
                  <a:gs pos="100000">
                    <a:schemeClr val="accent1">
                      <a:lumMod val="60000"/>
                      <a:lumOff val="40000"/>
                    </a:schemeClr>
                  </a:gs>
                  <a:gs pos="0">
                    <a:schemeClr val="accent1"/>
                  </a:gs>
                </a:gsLst>
                <a:lin ang="5400000" scaled="false"/>
              </a:gradFill>
              <a:ln w="19050">
                <a:solidFill>
                  <a:schemeClr val="lt1"/>
                </a:solidFill>
              </a:ln>
              <a:effectLst/>
            </c:spPr>
          </c:dPt>
          <c:dPt>
            <c:idx val="1"/>
            <c:bubble3D val="false"/>
            <c:spPr>
              <a:gradFill>
                <a:gsLst>
                  <a:gs pos="100000">
                    <a:schemeClr val="accent2">
                      <a:lumMod val="60000"/>
                      <a:lumOff val="40000"/>
                    </a:schemeClr>
                  </a:gs>
                  <a:gs pos="0">
                    <a:schemeClr val="accent2"/>
                  </a:gs>
                </a:gsLst>
                <a:lin ang="5400000" scaled="false"/>
              </a:gradFill>
              <a:ln w="19050">
                <a:solidFill>
                  <a:schemeClr val="lt1"/>
                </a:solidFill>
              </a:ln>
              <a:effectLst/>
            </c:spPr>
          </c:dPt>
          <c:dPt>
            <c:idx val="2"/>
            <c:bubble3D val="false"/>
            <c:spPr>
              <a:gradFill>
                <a:gsLst>
                  <a:gs pos="100000">
                    <a:schemeClr val="accent3">
                      <a:lumMod val="60000"/>
                      <a:lumOff val="40000"/>
                    </a:schemeClr>
                  </a:gs>
                  <a:gs pos="0">
                    <a:schemeClr val="accent3"/>
                  </a:gs>
                </a:gsLst>
                <a:lin ang="5400000" scaled="false"/>
              </a:gradFill>
              <a:ln w="19050">
                <a:solidFill>
                  <a:schemeClr val="lt1"/>
                </a:solidFill>
              </a:ln>
              <a:effectLst/>
            </c:spPr>
          </c:dPt>
          <c:dPt>
            <c:idx val="3"/>
            <c:bubble3D val="false"/>
            <c:spPr>
              <a:gradFill>
                <a:gsLst>
                  <a:gs pos="100000">
                    <a:schemeClr val="accent4">
                      <a:lumMod val="60000"/>
                      <a:lumOff val="40000"/>
                    </a:schemeClr>
                  </a:gs>
                  <a:gs pos="0">
                    <a:schemeClr val="accent4"/>
                  </a:gs>
                </a:gsLst>
                <a:lin ang="5400000" scaled="false"/>
              </a:gra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dk1">
                        <a:lumMod val="75000"/>
                        <a:lumOff val="25000"/>
                      </a:schemeClr>
                    </a:solidFill>
                    <a:latin typeface="+mn-lt"/>
                    <a:ea typeface="+mn-ea"/>
                    <a:cs typeface="+mn-cs"/>
                  </a:defRPr>
                </a:pPr>
              </a:p>
            </c:txPr>
            <c:dLblPos val="outEnd"/>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dk1">
                          <a:lumMod val="35000"/>
                          <a:lumOff val="65000"/>
                        </a:schemeClr>
                      </a:solidFill>
                      <a:round/>
                    </a:ln>
                    <a:effectLst/>
                  </c:spPr>
                </c15:leaderLines>
              </c:ext>
            </c:extLst>
          </c:dLbls>
          <c:cat>
            <c:strRef>
              <c:f>[工作簿1.xlsx]Sheet1!$A$2:$D$2</c:f>
              <c:strCache>
                <c:ptCount val="4"/>
                <c:pt idx="0">
                  <c:v>一般公共服务支出</c:v>
                </c:pt>
                <c:pt idx="1">
                  <c:v>社会保障和就业支出</c:v>
                </c:pt>
                <c:pt idx="2">
                  <c:v>卫生健康支出</c:v>
                </c:pt>
                <c:pt idx="3">
                  <c:v>住房保障支出</c:v>
                </c:pt>
              </c:strCache>
            </c:strRef>
          </c:cat>
          <c:val>
            <c:numRef>
              <c:f>[工作簿1.xlsx]Sheet1!$A$4:$D$4</c:f>
              <c:numCache>
                <c:formatCode>0.00%</c:formatCode>
                <c:ptCount val="4"/>
                <c:pt idx="0">
                  <c:v>0.738393291200778</c:v>
                </c:pt>
                <c:pt idx="1">
                  <c:v>0.0595831307729703</c:v>
                </c:pt>
                <c:pt idx="2">
                  <c:v>0.0621961594555177</c:v>
                </c:pt>
                <c:pt idx="3">
                  <c:v>0.139827418570734</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r"/>
      <c:layout/>
      <c:overlay val="false"/>
      <c:spPr>
        <a:solidFill>
          <a:schemeClr val="lt1">
            <a:alpha val="50000"/>
          </a:schemeClr>
        </a:solidFill>
        <a:ln>
          <a:noFill/>
        </a:ln>
        <a:effectLst/>
      </c:spPr>
      <c:txPr>
        <a:bodyPr rot="0" spcFirstLastPara="0" vertOverflow="ellipsis" vert="horz" wrap="square" anchor="ctr" anchorCtr="true"/>
        <a:lstStyle/>
        <a:p>
          <a:pPr>
            <a:defRPr lang="zh-CN" sz="900" b="0" i="0" u="none" strike="noStrike" kern="1200" baseline="0">
              <a:solidFill>
                <a:schemeClr val="dk1">
                  <a:lumMod val="65000"/>
                  <a:lumOff val="35000"/>
                </a:schemeClr>
              </a:solidFill>
              <a:latin typeface="+mn-lt"/>
              <a:ea typeface="+mn-ea"/>
              <a:cs typeface="+mn-cs"/>
            </a:defRPr>
          </a:pPr>
        </a:p>
      </c:txPr>
    </c:legend>
    <c:plotVisOnly val="true"/>
    <c:dispBlanksAs val="gap"/>
    <c:showDLblsOverMax val="false"/>
  </c:chart>
  <c:spPr>
    <a:noFill/>
    <a:ln w="9525" cap="flat" cmpd="sng" algn="ctr">
      <a:solidFill>
        <a:schemeClr val="dk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false"/>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false"/>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1299</Words>
  <Characters>7410</Characters>
  <Lines>61</Lines>
  <Paragraphs>17</Paragraphs>
  <TotalTime>10</TotalTime>
  <ScaleCrop>false</ScaleCrop>
  <LinksUpToDate>false</LinksUpToDate>
  <CharactersWithSpaces>8692</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2020-08-04T09:49:00Z</dcterms:created>
  <dc:creator>曹颖</dc:creator>
  <cp:lastModifiedBy>user</cp:lastModifiedBy>
  <cp:lastPrinted>2021-09-09T15:17:00Z</cp:lastPrinted>
  <dcterms:modified xsi:type="dcterms:W3CDTF">2022-11-11T17:00:07Z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630362DDE18842FEB0C0993697C62288</vt:lpwstr>
  </property>
</Properties>
</file>