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1" w:name="_Toc15396475"/>
      <w:bookmarkStart w:id="2" w:name="_Toc15377193"/>
      <w:bookmarkStart w:id="3" w:name="_Toc15396597"/>
      <w:bookmarkStart w:id="4" w:name="_Toc15378441"/>
      <w:bookmarkStart w:id="5" w:name="_Toc15377425"/>
      <w:r>
        <w:rPr>
          <w:rFonts w:hint="eastAsia" w:ascii="方正小标宋简体" w:hAnsi="宋体" w:eastAsia="方正小标宋简体"/>
          <w:color w:val="000000"/>
          <w:sz w:val="72"/>
          <w:szCs w:val="72"/>
          <w:lang w:eastAsia="zh-CN"/>
        </w:rPr>
        <w:t>20</w:t>
      </w:r>
      <w:r>
        <w:rPr>
          <w:rFonts w:hint="eastAsia" w:ascii="方正小标宋简体" w:hAnsi="宋体" w:eastAsia="方正小标宋简体"/>
          <w:color w:val="000000"/>
          <w:sz w:val="72"/>
          <w:szCs w:val="72"/>
          <w:lang w:val="en-US" w:eastAsia="zh-CN"/>
        </w:rPr>
        <w:t>20</w:t>
      </w:r>
      <w:r>
        <w:rPr>
          <w:rFonts w:hint="eastAsia" w:ascii="方正小标宋简体" w:hAnsi="宋体" w:eastAsia="方正小标宋简体"/>
          <w:color w:val="000000"/>
          <w:sz w:val="72"/>
          <w:szCs w:val="72"/>
          <w:lang w:eastAsia="zh-CN"/>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96476"/>
      <w:bookmarkStart w:id="7" w:name="_Toc15396598"/>
      <w:bookmarkStart w:id="8" w:name="_Toc15377426"/>
      <w:bookmarkStart w:id="9" w:name="_Toc15377194"/>
      <w:bookmarkStart w:id="10" w:name="_Toc15378442"/>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财政厅预算编审</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lang w:eastAsia="zh-CN"/>
        </w:rPr>
        <w:t>中心单位</w:t>
      </w:r>
      <w:r>
        <w:rPr>
          <w:rFonts w:hint="eastAsia" w:ascii="方正小标宋简体" w:hAnsi="宋体" w:eastAsia="方正小标宋简体"/>
          <w:color w:val="000000"/>
          <w:sz w:val="72"/>
          <w:szCs w:val="72"/>
        </w:rPr>
        <w:t>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w:t>
      </w:r>
      <w:r>
        <w:rPr>
          <w:rFonts w:hint="eastAsia"/>
          <w:lang w:val="en-US" w:eastAsia="zh-CN"/>
        </w:rPr>
        <w:t>21</w:t>
      </w:r>
      <w:r>
        <w:rPr>
          <w:rFonts w:hint="eastAsia"/>
        </w:rPr>
        <w:t>年</w:t>
      </w:r>
      <w:r>
        <w:rPr>
          <w:rFonts w:hint="eastAsia"/>
          <w:lang w:val="en-US" w:eastAsia="zh-CN"/>
        </w:rPr>
        <w:t>9</w:t>
      </w:r>
      <w:r>
        <w:rPr>
          <w:rFonts w:hint="eastAsia"/>
        </w:rPr>
        <w:t>月</w:t>
      </w:r>
      <w:r>
        <w:rPr>
          <w:rFonts w:hint="eastAsia"/>
          <w:lang w:val="en-US" w:eastAsia="zh-CN"/>
        </w:rPr>
        <w:t>10</w:t>
      </w:r>
      <w:r>
        <w:rPr>
          <w:rFonts w:hint="eastAsia"/>
        </w:rPr>
        <w:t>日</w:t>
      </w:r>
    </w:p>
    <w:p/>
    <w:p>
      <w:pPr>
        <w:pStyle w:val="10"/>
        <w:adjustRightInd w:val="0"/>
        <w:snapToGrid w:val="0"/>
        <w:spacing w:before="0" w:line="440" w:lineRule="exact"/>
        <w:jc w:val="left"/>
        <w:rPr>
          <w:rFonts w:hint="eastAsia" w:ascii="黑体" w:hAnsi="黑体" w:eastAsia="黑体" w:cs="黑体"/>
          <w:color w:val="auto"/>
          <w:kern w:val="2"/>
          <w:sz w:val="24"/>
          <w:szCs w:val="24"/>
          <w:lang w:val="en-US" w:eastAsia="zh-CN" w:bidi="ar-SA"/>
        </w:rPr>
      </w:pPr>
      <w:r>
        <w:rPr>
          <w:rFonts w:hint="eastAsia" w:ascii="仿宋_GB2312" w:hAnsi="仿宋_GB2312" w:eastAsia="仿宋_GB2312" w:cs="仿宋_GB2312"/>
          <w:b/>
          <w:bCs/>
          <w:color w:val="auto"/>
          <w:sz w:val="24"/>
        </w:rPr>
        <w:t xml:space="preserve">第一部分 </w:t>
      </w:r>
      <w:r>
        <w:rPr>
          <w:rFonts w:hint="eastAsia" w:ascii="仿宋_GB2312" w:hAnsi="仿宋_GB2312" w:eastAsia="仿宋_GB2312" w:cs="仿宋_GB2312"/>
          <w:b/>
          <w:bCs/>
          <w:color w:val="auto"/>
          <w:sz w:val="24"/>
          <w:lang w:eastAsia="zh-CN"/>
        </w:rPr>
        <w:t>单位</w:t>
      </w:r>
      <w:r>
        <w:rPr>
          <w:rFonts w:hint="eastAsia" w:ascii="仿宋_GB2312" w:hAnsi="仿宋_GB2312" w:eastAsia="仿宋_GB2312" w:cs="仿宋_GB2312"/>
          <w:b/>
          <w:bCs/>
          <w:color w:val="auto"/>
          <w:sz w:val="24"/>
        </w:rPr>
        <w:t>概况</w:t>
      </w:r>
      <w:r>
        <w:rPr>
          <w:rFonts w:hint="eastAsia" w:ascii="黑体" w:hAnsi="黑体" w:eastAsia="黑体" w:cs="黑体"/>
          <w:color w:val="auto"/>
          <w:sz w:val="24"/>
        </w:rPr>
        <w:t>………………………………………………………</w:t>
      </w:r>
      <w:r>
        <w:rPr>
          <w:rFonts w:hint="eastAsia" w:ascii="黑体" w:hAnsi="黑体" w:eastAsia="黑体" w:cs="黑体"/>
          <w:color w:val="auto"/>
          <w:kern w:val="2"/>
          <w:sz w:val="24"/>
          <w:szCs w:val="24"/>
          <w:lang w:val="en-US" w:eastAsia="zh-CN" w:bidi="ar-SA"/>
        </w:rPr>
        <w:t>4</w:t>
      </w:r>
    </w:p>
    <w:p>
      <w:pPr>
        <w:pStyle w:val="11"/>
        <w:adjustRightInd w:val="0"/>
        <w:snapToGrid w:val="0"/>
        <w:spacing w:line="440" w:lineRule="exact"/>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一、职能</w:t>
      </w:r>
      <w:r>
        <w:rPr>
          <w:rFonts w:hint="eastAsia" w:ascii="仿宋_GB2312" w:hAnsi="仿宋_GB2312" w:eastAsia="仿宋_GB2312" w:cs="仿宋_GB2312"/>
          <w:color w:val="auto"/>
          <w:sz w:val="24"/>
          <w:lang w:eastAsia="zh-CN"/>
        </w:rPr>
        <w:t>简介</w:t>
      </w:r>
      <w:r>
        <w:rPr>
          <w:rFonts w:hint="eastAsia" w:ascii="仿宋_GB2312" w:hAnsi="仿宋_GB2312" w:eastAsia="仿宋_GB2312" w:cs="仿宋_GB2312"/>
          <w:b w:val="0"/>
          <w:bCs w:val="0"/>
          <w:color w:val="auto"/>
          <w:sz w:val="24"/>
        </w:rPr>
        <w:t>………………………………………………………</w:t>
      </w:r>
      <w:r>
        <w:rPr>
          <w:rFonts w:hint="eastAsia" w:ascii="仿宋_GB2312" w:hAnsi="仿宋_GB2312" w:eastAsia="仿宋_GB2312" w:cs="仿宋_GB2312"/>
          <w:color w:val="auto"/>
          <w:kern w:val="2"/>
          <w:sz w:val="24"/>
          <w:szCs w:val="24"/>
          <w:lang w:val="en-US" w:eastAsia="zh-CN" w:bidi="ar-SA"/>
        </w:rPr>
        <w:t>…</w:t>
      </w:r>
      <w:r>
        <w:rPr>
          <w:rFonts w:hint="eastAsia" w:ascii="黑体" w:hAnsi="黑体" w:eastAsia="黑体" w:cs="黑体"/>
          <w:color w:val="auto"/>
          <w:kern w:val="2"/>
          <w:sz w:val="24"/>
          <w:szCs w:val="24"/>
          <w:lang w:val="en-US" w:eastAsia="zh-CN" w:bidi="ar-SA"/>
        </w:rPr>
        <w:t>4</w:t>
      </w:r>
    </w:p>
    <w:p>
      <w:pPr>
        <w:pStyle w:val="11"/>
        <w:adjustRightInd w:val="0"/>
        <w:snapToGrid w:val="0"/>
        <w:spacing w:line="4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eastAsia="zh-CN"/>
        </w:rPr>
        <w:t>二、</w:t>
      </w:r>
      <w:r>
        <w:rPr>
          <w:rFonts w:hint="eastAsia" w:ascii="仿宋_GB2312" w:hAnsi="仿宋_GB2312" w:eastAsia="仿宋_GB2312" w:cs="仿宋_GB2312"/>
          <w:color w:val="auto"/>
          <w:sz w:val="24"/>
          <w:lang w:val="en-US" w:eastAsia="zh-CN"/>
        </w:rPr>
        <w:t>2020年重点</w:t>
      </w:r>
      <w:r>
        <w:rPr>
          <w:rFonts w:hint="eastAsia" w:ascii="仿宋_GB2312" w:hAnsi="仿宋_GB2312" w:eastAsia="仿宋_GB2312" w:cs="仿宋_GB2312"/>
          <w:color w:val="auto"/>
          <w:sz w:val="24"/>
        </w:rPr>
        <w:t>工作</w:t>
      </w:r>
      <w:r>
        <w:rPr>
          <w:rFonts w:hint="eastAsia" w:ascii="仿宋_GB2312" w:hAnsi="仿宋_GB2312" w:eastAsia="仿宋_GB2312" w:cs="仿宋_GB2312"/>
          <w:color w:val="auto"/>
          <w:sz w:val="24"/>
          <w:lang w:eastAsia="zh-CN"/>
        </w:rPr>
        <w:t>完成情况</w:t>
      </w:r>
      <w:r>
        <w:rPr>
          <w:rFonts w:hint="eastAsia" w:ascii="仿宋_GB2312" w:hAnsi="仿宋_GB2312" w:eastAsia="仿宋_GB2312" w:cs="仿宋_GB2312"/>
          <w:color w:val="auto"/>
          <w:sz w:val="24"/>
        </w:rPr>
        <w:t>………………………………………</w:t>
      </w:r>
      <w:r>
        <w:rPr>
          <w:rFonts w:hint="eastAsia" w:ascii="黑体" w:hAnsi="黑体" w:eastAsia="黑体" w:cs="黑体"/>
          <w:color w:val="auto"/>
          <w:kern w:val="2"/>
          <w:sz w:val="24"/>
          <w:szCs w:val="24"/>
          <w:lang w:val="en-US" w:eastAsia="zh-CN" w:bidi="ar-SA"/>
        </w:rPr>
        <w:t>4</w:t>
      </w:r>
    </w:p>
    <w:p>
      <w:pPr>
        <w:pStyle w:val="10"/>
        <w:adjustRightInd w:val="0"/>
        <w:snapToGrid w:val="0"/>
        <w:spacing w:before="0" w:line="440" w:lineRule="exact"/>
        <w:jc w:val="left"/>
        <w:rPr>
          <w:rFonts w:hint="eastAsia" w:eastAsia="黑体"/>
          <w:color w:val="auto"/>
          <w:sz w:val="24"/>
          <w:szCs w:val="24"/>
          <w:lang w:val="en-US" w:eastAsia="zh-CN"/>
        </w:rPr>
      </w:pPr>
      <w:r>
        <w:rPr>
          <w:rFonts w:hint="eastAsia" w:ascii="仿宋_GB2312" w:hAnsi="仿宋_GB2312" w:eastAsia="仿宋_GB2312" w:cs="仿宋_GB2312"/>
          <w:b/>
          <w:bCs/>
          <w:color w:val="auto"/>
          <w:sz w:val="24"/>
        </w:rPr>
        <w:t>第二部分</w:t>
      </w:r>
      <w:r>
        <w:rPr>
          <w:rFonts w:hint="eastAsia" w:ascii="仿宋_GB2312" w:hAnsi="仿宋_GB2312" w:eastAsia="仿宋_GB2312" w:cs="仿宋_GB2312"/>
          <w:b/>
          <w:bCs/>
          <w:color w:val="auto"/>
          <w:sz w:val="24"/>
          <w:lang w:val="en-US" w:eastAsia="zh-CN"/>
        </w:rPr>
        <w:t xml:space="preserve"> 2020年度</w:t>
      </w:r>
      <w:r>
        <w:rPr>
          <w:rFonts w:hint="eastAsia" w:ascii="仿宋_GB2312" w:hAnsi="仿宋_GB2312" w:eastAsia="仿宋_GB2312" w:cs="仿宋_GB2312"/>
          <w:b/>
          <w:bCs/>
          <w:color w:val="auto"/>
          <w:sz w:val="24"/>
          <w:lang w:eastAsia="zh-CN"/>
        </w:rPr>
        <w:t>单位</w:t>
      </w:r>
      <w:r>
        <w:rPr>
          <w:rFonts w:hint="eastAsia" w:ascii="仿宋_GB2312" w:hAnsi="仿宋_GB2312" w:eastAsia="仿宋_GB2312" w:cs="仿宋_GB2312"/>
          <w:b/>
          <w:bCs/>
          <w:color w:val="auto"/>
          <w:sz w:val="24"/>
        </w:rPr>
        <w:t>决算情况说明</w:t>
      </w:r>
      <w:r>
        <w:rPr>
          <w:rFonts w:hint="eastAsia" w:ascii="黑体" w:hAnsi="黑体" w:eastAsia="黑体" w:cs="黑体"/>
          <w:color w:val="auto"/>
          <w:sz w:val="24"/>
        </w:rPr>
        <w:t>…………………………………</w:t>
      </w:r>
      <w:r>
        <w:rPr>
          <w:rFonts w:hint="eastAsia" w:ascii="黑体" w:hAnsi="黑体" w:eastAsia="黑体" w:cs="黑体"/>
          <w:color w:val="auto"/>
          <w:sz w:val="24"/>
          <w:lang w:val="en-US" w:eastAsia="zh-CN"/>
        </w:rPr>
        <w:t>5</w:t>
      </w:r>
    </w:p>
    <w:p>
      <w:pPr>
        <w:pStyle w:val="11"/>
        <w:adjustRightInd w:val="0"/>
        <w:snapToGrid w:val="0"/>
        <w:spacing w:line="4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一、收入支出决算总体情况说明……………………………………</w:t>
      </w:r>
      <w:r>
        <w:rPr>
          <w:rFonts w:hint="eastAsia" w:ascii="黑体" w:hAnsi="黑体" w:eastAsia="黑体" w:cs="黑体"/>
          <w:color w:val="auto"/>
          <w:kern w:val="2"/>
          <w:sz w:val="24"/>
          <w:szCs w:val="24"/>
          <w:lang w:val="en-US" w:eastAsia="zh-CN" w:bidi="ar-SA"/>
        </w:rPr>
        <w:t>5</w:t>
      </w:r>
    </w:p>
    <w:p>
      <w:pPr>
        <w:pStyle w:val="11"/>
        <w:adjustRightInd w:val="0"/>
        <w:snapToGrid w:val="0"/>
        <w:spacing w:line="440" w:lineRule="exact"/>
        <w:jc w:val="left"/>
        <w:rPr>
          <w:rFonts w:hint="eastAsia" w:ascii="黑体" w:hAnsi="黑体" w:eastAsia="黑体" w:cs="黑体"/>
          <w:kern w:val="2"/>
          <w:sz w:val="24"/>
          <w:szCs w:val="24"/>
          <w:lang w:val="en-US" w:eastAsia="zh-CN" w:bidi="ar-SA"/>
        </w:rPr>
      </w:pPr>
      <w:r>
        <w:rPr>
          <w:rFonts w:hint="eastAsia" w:ascii="仿宋_GB2312" w:hAnsi="仿宋_GB2312" w:eastAsia="仿宋_GB2312" w:cs="仿宋_GB2312"/>
          <w:color w:val="auto"/>
          <w:sz w:val="24"/>
        </w:rPr>
        <w:t>二、收入决算情况说明………………………………………………</w:t>
      </w:r>
      <w:r>
        <w:rPr>
          <w:rFonts w:hint="eastAsia" w:ascii="黑体" w:hAnsi="黑体" w:eastAsia="黑体" w:cs="黑体"/>
          <w:kern w:val="2"/>
          <w:sz w:val="24"/>
          <w:szCs w:val="24"/>
          <w:lang w:val="en-US" w:eastAsia="zh-CN" w:bidi="ar-SA"/>
        </w:rPr>
        <w:t>5</w:t>
      </w:r>
    </w:p>
    <w:p>
      <w:pPr>
        <w:pStyle w:val="11"/>
        <w:adjustRightInd w:val="0"/>
        <w:snapToGrid w:val="0"/>
        <w:spacing w:line="440" w:lineRule="exact"/>
        <w:jc w:val="left"/>
        <w:rPr>
          <w:rFonts w:hint="eastAsia" w:ascii="黑体" w:hAnsi="黑体" w:eastAsia="黑体" w:cs="黑体"/>
          <w:color w:val="auto"/>
          <w:kern w:val="2"/>
          <w:sz w:val="24"/>
          <w:szCs w:val="24"/>
          <w:lang w:val="en-US" w:eastAsia="zh-CN" w:bidi="ar-SA"/>
        </w:rPr>
      </w:pPr>
      <w:r>
        <w:rPr>
          <w:rFonts w:hint="eastAsia" w:ascii="仿宋_GB2312" w:hAnsi="仿宋_GB2312" w:eastAsia="仿宋_GB2312" w:cs="仿宋_GB2312"/>
          <w:color w:val="auto"/>
          <w:sz w:val="24"/>
        </w:rPr>
        <w:t>三、支出决算情况说明………………………………………………</w:t>
      </w:r>
      <w:r>
        <w:rPr>
          <w:rFonts w:hint="eastAsia" w:ascii="黑体" w:hAnsi="黑体" w:eastAsia="黑体" w:cs="黑体"/>
          <w:color w:val="auto"/>
          <w:kern w:val="2"/>
          <w:sz w:val="24"/>
          <w:szCs w:val="24"/>
          <w:lang w:val="en-US" w:eastAsia="zh-CN" w:bidi="ar-SA"/>
        </w:rPr>
        <w:t>6</w:t>
      </w:r>
    </w:p>
    <w:p>
      <w:pPr>
        <w:pStyle w:val="11"/>
        <w:adjustRightInd w:val="0"/>
        <w:snapToGrid w:val="0"/>
        <w:spacing w:line="4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四、财政拨款收入支出决算总体情况说明…………………………</w:t>
      </w:r>
      <w:r>
        <w:rPr>
          <w:rFonts w:hint="eastAsia" w:ascii="黑体" w:hAnsi="黑体" w:eastAsia="黑体" w:cs="黑体"/>
          <w:color w:val="auto"/>
          <w:kern w:val="2"/>
          <w:sz w:val="24"/>
          <w:szCs w:val="24"/>
          <w:lang w:val="en-US" w:eastAsia="zh-CN" w:bidi="ar-SA"/>
        </w:rPr>
        <w:t>6</w:t>
      </w:r>
    </w:p>
    <w:p>
      <w:pPr>
        <w:pStyle w:val="11"/>
        <w:adjustRightInd w:val="0"/>
        <w:snapToGrid w:val="0"/>
        <w:spacing w:line="440" w:lineRule="exact"/>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五、一般公共预算财政拨款支出决算情况说明……………………</w:t>
      </w:r>
      <w:r>
        <w:rPr>
          <w:rFonts w:hint="eastAsia" w:ascii="黑体" w:hAnsi="黑体" w:eastAsia="黑体" w:cs="黑体"/>
          <w:color w:val="auto"/>
          <w:kern w:val="2"/>
          <w:sz w:val="24"/>
          <w:szCs w:val="24"/>
          <w:lang w:val="en-US" w:eastAsia="zh-CN" w:bidi="ar-SA"/>
        </w:rPr>
        <w:t>7</w:t>
      </w:r>
    </w:p>
    <w:p>
      <w:pPr>
        <w:pStyle w:val="11"/>
        <w:adjustRightInd w:val="0"/>
        <w:snapToGrid w:val="0"/>
        <w:spacing w:line="4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六、一般公共预算财政拨款基本支出决算情况说明………………</w:t>
      </w:r>
      <w:r>
        <w:rPr>
          <w:rFonts w:hint="eastAsia" w:ascii="黑体" w:hAnsi="黑体" w:eastAsia="黑体" w:cs="黑体"/>
          <w:kern w:val="2"/>
          <w:sz w:val="24"/>
          <w:szCs w:val="24"/>
          <w:lang w:val="en-US" w:eastAsia="zh-CN" w:bidi="ar-SA"/>
        </w:rPr>
        <w:t>9</w:t>
      </w:r>
    </w:p>
    <w:p>
      <w:pPr>
        <w:pStyle w:val="11"/>
        <w:adjustRightInd w:val="0"/>
        <w:snapToGrid w:val="0"/>
        <w:spacing w:line="4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七、“三公”经费财政拨款支出决算情况说明……………………</w:t>
      </w:r>
      <w:r>
        <w:rPr>
          <w:rFonts w:hint="eastAsia" w:ascii="黑体" w:hAnsi="黑体" w:eastAsia="黑体" w:cs="黑体"/>
          <w:kern w:val="2"/>
          <w:sz w:val="24"/>
          <w:szCs w:val="24"/>
          <w:lang w:val="en-US" w:eastAsia="zh-CN" w:bidi="ar-SA"/>
        </w:rPr>
        <w:t>10</w:t>
      </w:r>
    </w:p>
    <w:p>
      <w:pPr>
        <w:pStyle w:val="11"/>
        <w:adjustRightInd w:val="0"/>
        <w:snapToGrid w:val="0"/>
        <w:spacing w:line="4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八、政府性基金预算支出决算情况说明……………………………</w:t>
      </w:r>
      <w:r>
        <w:rPr>
          <w:rFonts w:hint="eastAsia" w:ascii="黑体" w:hAnsi="黑体" w:eastAsia="黑体" w:cs="黑体"/>
          <w:kern w:val="2"/>
          <w:sz w:val="24"/>
          <w:szCs w:val="24"/>
          <w:lang w:val="en-US" w:eastAsia="zh-CN" w:bidi="ar-SA"/>
        </w:rPr>
        <w:t>11</w:t>
      </w:r>
    </w:p>
    <w:p>
      <w:pPr>
        <w:pStyle w:val="11"/>
        <w:adjustRightInd w:val="0"/>
        <w:snapToGrid w:val="0"/>
        <w:spacing w:line="440" w:lineRule="exact"/>
        <w:jc w:val="left"/>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rPr>
        <w:t>九、国有资本经营预算支出决算情况说明…………………………</w:t>
      </w:r>
      <w:r>
        <w:rPr>
          <w:rFonts w:hint="eastAsia" w:ascii="黑体" w:hAnsi="黑体" w:eastAsia="黑体" w:cs="黑体"/>
          <w:kern w:val="2"/>
          <w:sz w:val="24"/>
          <w:szCs w:val="24"/>
          <w:lang w:val="en-US" w:eastAsia="zh-CN" w:bidi="ar-SA"/>
        </w:rPr>
        <w:t>11</w:t>
      </w:r>
    </w:p>
    <w:p>
      <w:pPr>
        <w:pStyle w:val="11"/>
        <w:adjustRightInd w:val="0"/>
        <w:snapToGrid w:val="0"/>
        <w:spacing w:line="440" w:lineRule="exact"/>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十、其他重要事项的情况说明………………………………………</w:t>
      </w:r>
      <w:r>
        <w:rPr>
          <w:rFonts w:hint="eastAsia" w:ascii="黑体" w:hAnsi="黑体" w:eastAsia="黑体" w:cs="黑体"/>
          <w:kern w:val="2"/>
          <w:sz w:val="24"/>
          <w:szCs w:val="24"/>
          <w:lang w:val="en-US" w:eastAsia="zh-CN" w:bidi="ar-SA"/>
        </w:rPr>
        <w:t>11</w:t>
      </w:r>
    </w:p>
    <w:p>
      <w:pPr>
        <w:pStyle w:val="10"/>
        <w:adjustRightInd w:val="0"/>
        <w:snapToGrid w:val="0"/>
        <w:spacing w:before="0" w:line="440" w:lineRule="exact"/>
        <w:jc w:val="left"/>
        <w:rPr>
          <w:rFonts w:hint="default" w:cstheme="minorBidi"/>
          <w:color w:val="auto"/>
          <w:sz w:val="24"/>
          <w:szCs w:val="24"/>
          <w:lang w:val="en-US"/>
        </w:rPr>
      </w:pPr>
      <w:r>
        <w:rPr>
          <w:rFonts w:hint="eastAsia" w:ascii="仿宋_GB2312" w:hAnsi="仿宋_GB2312" w:eastAsia="仿宋_GB2312" w:cs="仿宋_GB2312"/>
          <w:b/>
          <w:bCs/>
          <w:color w:val="auto"/>
          <w:sz w:val="24"/>
        </w:rPr>
        <w:t>第三部分 名词解释</w:t>
      </w:r>
      <w:r>
        <w:rPr>
          <w:rFonts w:hint="eastAsia" w:ascii="黑体" w:hAnsi="黑体" w:eastAsia="黑体" w:cs="黑体"/>
          <w:b w:val="0"/>
          <w:bCs w:val="0"/>
          <w:color w:val="auto"/>
          <w:sz w:val="24"/>
        </w:rPr>
        <w:t>……………………………………………………</w:t>
      </w:r>
      <w:r>
        <w:rPr>
          <w:rFonts w:hint="eastAsia" w:ascii="黑体" w:hAnsi="黑体" w:eastAsia="黑体" w:cs="黑体"/>
          <w:color w:val="auto"/>
          <w:kern w:val="2"/>
          <w:sz w:val="24"/>
          <w:szCs w:val="24"/>
          <w:lang w:val="en-US" w:eastAsia="zh-CN" w:bidi="ar-SA"/>
        </w:rPr>
        <w:t>…13</w:t>
      </w:r>
    </w:p>
    <w:p>
      <w:pPr>
        <w:pStyle w:val="10"/>
        <w:adjustRightInd w:val="0"/>
        <w:snapToGrid w:val="0"/>
        <w:spacing w:before="0" w:line="440" w:lineRule="exact"/>
        <w:jc w:val="left"/>
        <w:rPr>
          <w:rFonts w:hint="default" w:cstheme="minorBidi"/>
          <w:sz w:val="24"/>
          <w:szCs w:val="24"/>
          <w:lang w:val="en-US"/>
        </w:rPr>
      </w:pPr>
      <w:r>
        <w:rPr>
          <w:rFonts w:hint="eastAsia" w:ascii="仿宋_GB2312" w:hAnsi="仿宋_GB2312" w:eastAsia="仿宋_GB2312" w:cs="仿宋_GB2312"/>
          <w:b/>
          <w:bCs/>
          <w:sz w:val="24"/>
        </w:rPr>
        <w:t>第</w:t>
      </w:r>
      <w:r>
        <w:rPr>
          <w:rFonts w:hint="eastAsia" w:ascii="仿宋_GB2312" w:hAnsi="仿宋_GB2312" w:eastAsia="仿宋_GB2312" w:cs="仿宋_GB2312"/>
          <w:b/>
          <w:bCs/>
          <w:sz w:val="24"/>
          <w:lang w:eastAsia="zh-CN"/>
        </w:rPr>
        <w:t>四</w:t>
      </w:r>
      <w:r>
        <w:rPr>
          <w:rFonts w:hint="eastAsia" w:ascii="仿宋_GB2312" w:hAnsi="仿宋_GB2312" w:eastAsia="仿宋_GB2312" w:cs="仿宋_GB2312"/>
          <w:b/>
          <w:bCs/>
          <w:sz w:val="24"/>
        </w:rPr>
        <w:t>部分 附表</w:t>
      </w:r>
      <w:r>
        <w:rPr>
          <w:rFonts w:hint="eastAsia" w:ascii="黑体" w:hAnsi="黑体" w:eastAsia="黑体" w:cs="黑体"/>
          <w:b w:val="0"/>
          <w:bCs w:val="0"/>
          <w:sz w:val="24"/>
        </w:rPr>
        <w:t>……………………………………………………</w:t>
      </w:r>
      <w:r>
        <w:rPr>
          <w:rFonts w:hint="eastAsia" w:ascii="黑体" w:hAnsi="黑体" w:eastAsia="黑体" w:cs="黑体"/>
          <w:kern w:val="2"/>
          <w:sz w:val="24"/>
          <w:szCs w:val="24"/>
          <w:lang w:val="en-US" w:eastAsia="zh-CN" w:bidi="ar-SA"/>
        </w:rPr>
        <w:t>…</w:t>
      </w:r>
      <w:r>
        <w:rPr>
          <w:rFonts w:hint="eastAsia" w:ascii="黑体" w:hAnsi="黑体" w:eastAsia="黑体" w:cs="黑体"/>
          <w:b w:val="0"/>
          <w:bCs w:val="0"/>
          <w:sz w:val="24"/>
        </w:rPr>
        <w:t>…</w:t>
      </w:r>
      <w:r>
        <w:rPr>
          <w:rFonts w:hint="eastAsia" w:ascii="黑体" w:hAnsi="黑体" w:eastAsia="黑体" w:cs="黑体"/>
          <w:kern w:val="2"/>
          <w:sz w:val="24"/>
          <w:szCs w:val="24"/>
          <w:lang w:val="en-US" w:eastAsia="zh-CN" w:bidi="ar-SA"/>
        </w:rPr>
        <w:t>…17</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一、收入支出决算总表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二、收入决算表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四、财政拨款收入支出决算总表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五、财政拨款支出决算明细表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六、一般公共预算财政拨款支出决算表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七、一般公共预算财政拨款支出决算明细表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八、一般公共预算财政拨款基本支出决算表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九、一般公共预算财政拨款项目支出决算表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十、一般公共预算财政拨款“三公”经费支出决算表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十一、政府性基金预算财政拨款收入支出决算表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十二、政府性基金预算财政拨款“三公”经费支出决算表</w:t>
      </w:r>
    </w:p>
    <w:p>
      <w:pPr>
        <w:pStyle w:val="11"/>
        <w:adjustRightInd w:val="0"/>
        <w:snapToGrid w:val="0"/>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十三、国有资本经营预算</w:t>
      </w:r>
      <w:r>
        <w:rPr>
          <w:rFonts w:hint="eastAsia" w:ascii="仿宋_GB2312" w:hAnsi="仿宋_GB2312" w:eastAsia="仿宋_GB2312" w:cs="仿宋_GB2312"/>
          <w:color w:val="auto"/>
          <w:sz w:val="24"/>
          <w:lang w:eastAsia="zh-CN"/>
        </w:rPr>
        <w:t>财政拨款收入</w:t>
      </w:r>
      <w:r>
        <w:rPr>
          <w:rFonts w:hint="eastAsia" w:ascii="仿宋_GB2312" w:hAnsi="仿宋_GB2312" w:eastAsia="仿宋_GB2312" w:cs="仿宋_GB2312"/>
          <w:color w:val="auto"/>
          <w:sz w:val="24"/>
        </w:rPr>
        <w:t>支出决算表</w:t>
      </w:r>
    </w:p>
    <w:p>
      <w:pPr>
        <w:pStyle w:val="11"/>
        <w:adjustRightInd w:val="0"/>
        <w:snapToGrid w:val="0"/>
        <w:spacing w:line="440" w:lineRule="exact"/>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十四、国有资本经营预算财政拨款支出决算表</w:t>
      </w:r>
    </w:p>
    <w:p>
      <w:pPr>
        <w:pStyle w:val="11"/>
        <w:adjustRightInd w:val="0"/>
        <w:snapToGrid w:val="0"/>
        <w:spacing w:line="440" w:lineRule="exact"/>
        <w:jc w:val="left"/>
        <w:rPr>
          <w:rFonts w:hint="eastAsia" w:ascii="仿宋_GB2312" w:hAnsi="仿宋_GB2312" w:eastAsia="仿宋_GB2312" w:cs="仿宋_GB2312"/>
          <w:color w:val="auto"/>
          <w:sz w:val="24"/>
        </w:rPr>
      </w:pPr>
      <w:bookmarkStart w:id="12" w:name="_Toc15396599"/>
      <w:bookmarkStart w:id="13" w:name="_Toc15377196"/>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
          <w:sz w:val="24"/>
        </w:rPr>
      </w:pP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3"/>
        <w:jc w:val="center"/>
        <w:rPr>
          <w:rFonts w:ascii="黑体" w:eastAsia="黑体"/>
          <w:color w:val="000000"/>
          <w:sz w:val="32"/>
          <w:szCs w:val="32"/>
        </w:rPr>
      </w:pPr>
      <w:r>
        <w:rPr>
          <w:rFonts w:hint="eastAsia" w:ascii="黑体" w:hAnsi="黑体" w:eastAsia="黑体"/>
          <w:b w:val="0"/>
        </w:rPr>
        <w:t xml:space="preserve">第一部分 </w:t>
      </w:r>
      <w:r>
        <w:rPr>
          <w:rFonts w:hint="eastAsia" w:ascii="黑体" w:hAnsi="黑体" w:eastAsia="黑体"/>
          <w:b w:val="0"/>
          <w:lang w:eastAsia="zh-CN"/>
        </w:rPr>
        <w:t>单位</w:t>
      </w:r>
      <w:r>
        <w:rPr>
          <w:rStyle w:val="24"/>
          <w:rFonts w:hint="eastAsia" w:ascii="黑体" w:hAnsi="黑体" w:eastAsia="黑体"/>
          <w:b w:val="0"/>
          <w:bCs w:val="0"/>
        </w:rPr>
        <w:t>概况</w:t>
      </w:r>
      <w:bookmarkEnd w:id="12"/>
      <w:bookmarkEnd w:id="13"/>
    </w:p>
    <w:p>
      <w:pPr>
        <w:pStyle w:val="4"/>
        <w:pageBreakBefore w:val="0"/>
        <w:widowControl w:val="0"/>
        <w:numPr>
          <w:ilvl w:val="0"/>
          <w:numId w:val="1"/>
        </w:numPr>
        <w:kinsoku/>
        <w:wordWrap/>
        <w:autoSpaceDN/>
        <w:bidi w:val="0"/>
        <w:spacing w:line="560" w:lineRule="exact"/>
        <w:ind w:left="630" w:leftChars="0" w:firstLineChars="0"/>
        <w:rPr>
          <w:rFonts w:hint="eastAsia"/>
          <w:color w:val="auto"/>
        </w:rPr>
      </w:pPr>
      <w:bookmarkStart w:id="14" w:name="_Toc15377197"/>
      <w:bookmarkStart w:id="15" w:name="_Toc15396600"/>
      <w:r>
        <w:rPr>
          <w:rStyle w:val="25"/>
          <w:rFonts w:hint="eastAsia" w:ascii="黑体" w:hAnsi="黑体" w:eastAsia="黑体"/>
          <w:b w:val="0"/>
          <w:bCs w:val="0"/>
          <w:color w:val="auto"/>
        </w:rPr>
        <w:t>职能</w:t>
      </w:r>
      <w:r>
        <w:rPr>
          <w:rStyle w:val="25"/>
          <w:rFonts w:hint="eastAsia" w:ascii="黑体" w:hAnsi="黑体" w:eastAsia="黑体"/>
          <w:b w:val="0"/>
          <w:bCs w:val="0"/>
          <w:color w:val="auto"/>
          <w:lang w:eastAsia="zh-CN"/>
        </w:rPr>
        <w:t>简介</w:t>
      </w:r>
    </w:p>
    <w:p>
      <w:pPr>
        <w:pageBreakBefore w:val="0"/>
        <w:widowControl w:val="0"/>
        <w:kinsoku/>
        <w:wordWrap/>
        <w:overflowPunct w:val="0"/>
        <w:autoSpaceDN/>
        <w:bidi w:val="0"/>
        <w:adjustRightInd w:val="0"/>
        <w:snapToGrid w:val="0"/>
        <w:spacing w:line="560" w:lineRule="exact"/>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四川省财政厅预算编审中心职能为：</w:t>
      </w:r>
      <w:r>
        <w:rPr>
          <w:rFonts w:hint="eastAsia" w:ascii="仿宋_GB2312" w:hAnsi="仿宋_GB2312" w:eastAsia="仿宋_GB2312" w:cs="仿宋_GB2312"/>
          <w:color w:val="auto"/>
          <w:sz w:val="32"/>
          <w:szCs w:val="32"/>
        </w:rPr>
        <w:t>承担省级部门基本支出预算草案的初审和编制工作；负责省级部门和预算单位人员、工资、资产等基础信息库建设、维护的相关业务工作；提出基本支出定额调整建议；负责省级部门预算基本支出预算调整的初审工作；承办省财政厅交办的有关省级部门预算编审的其他工作事项。</w:t>
      </w:r>
    </w:p>
    <w:p>
      <w:pPr>
        <w:pStyle w:val="4"/>
        <w:pageBreakBefore w:val="0"/>
        <w:widowControl w:val="0"/>
        <w:numPr>
          <w:ilvl w:val="0"/>
          <w:numId w:val="1"/>
        </w:numPr>
        <w:kinsoku/>
        <w:wordWrap/>
        <w:autoSpaceDN/>
        <w:bidi w:val="0"/>
        <w:spacing w:line="560" w:lineRule="exact"/>
        <w:ind w:left="630" w:leftChars="0" w:firstLineChars="0"/>
        <w:rPr>
          <w:rFonts w:hint="eastAsia" w:ascii="黑体" w:hAnsi="黑体" w:eastAsia="黑体"/>
          <w:b w:val="0"/>
          <w:color w:val="auto"/>
        </w:rPr>
      </w:pPr>
      <w:r>
        <w:rPr>
          <w:rFonts w:hint="eastAsia" w:ascii="黑体" w:hAnsi="黑体" w:eastAsia="黑体"/>
          <w:b w:val="0"/>
          <w:color w:val="auto"/>
          <w:lang w:val="en-US" w:eastAsia="zh-CN"/>
        </w:rPr>
        <w:t>2020年重点</w:t>
      </w:r>
      <w:r>
        <w:rPr>
          <w:rFonts w:hint="eastAsia" w:ascii="黑体" w:hAnsi="黑体" w:eastAsia="黑体"/>
          <w:b w:val="0"/>
          <w:color w:val="auto"/>
        </w:rPr>
        <w:t>工作</w:t>
      </w:r>
      <w:bookmarkEnd w:id="14"/>
      <w:bookmarkEnd w:id="15"/>
      <w:r>
        <w:rPr>
          <w:rFonts w:hint="eastAsia" w:ascii="黑体" w:hAnsi="黑体" w:eastAsia="黑体"/>
          <w:b w:val="0"/>
          <w:color w:val="auto"/>
          <w:lang w:eastAsia="zh-CN"/>
        </w:rPr>
        <w:t>完成情况</w:t>
      </w:r>
    </w:p>
    <w:p>
      <w:pPr>
        <w:pageBreakBefore w:val="0"/>
        <w:widowControl w:val="0"/>
        <w:pBdr>
          <w:bottom w:val="single" w:color="FFFFFF" w:sz="4" w:space="28"/>
        </w:pBdr>
        <w:tabs>
          <w:tab w:val="left" w:pos="559"/>
        </w:tabs>
        <w:kinsoku/>
        <w:wordWrap/>
        <w:topLinePunct/>
        <w:autoSpaceDE w:val="0"/>
        <w:autoSpaceDN/>
        <w:bidi w:val="0"/>
        <w:adjustRightInd w:val="0"/>
        <w:snapToGrid w:val="0"/>
        <w:spacing w:line="560" w:lineRule="exact"/>
        <w:ind w:firstLine="643" w:firstLineChars="200"/>
        <w:textAlignment w:val="baseline"/>
        <w:rPr>
          <w:rFonts w:hint="eastAsia"/>
        </w:rPr>
      </w:pPr>
      <w:r>
        <w:rPr>
          <w:rFonts w:hint="eastAsia" w:ascii="仿宋_GB2312" w:eastAsia="仿宋_GB2312"/>
          <w:b/>
          <w:sz w:val="32"/>
          <w:szCs w:val="32"/>
          <w:lang w:eastAsia="zh-CN"/>
        </w:rPr>
        <w:t>一是</w:t>
      </w:r>
      <w:r>
        <w:rPr>
          <w:rFonts w:hint="eastAsia" w:ascii="仿宋_GB2312" w:eastAsia="仿宋_GB2312"/>
          <w:b/>
          <w:sz w:val="32"/>
          <w:szCs w:val="32"/>
        </w:rPr>
        <w:t>做好省级部门基本支出预算管理及政策把关。</w:t>
      </w:r>
      <w:r>
        <w:rPr>
          <w:rFonts w:hint="eastAsia" w:ascii="仿宋_GB2312" w:eastAsia="仿宋_GB2312"/>
          <w:sz w:val="32"/>
          <w:szCs w:val="32"/>
        </w:rPr>
        <w:t>配合部门管理处加强省级部门基本支出财务管理，</w:t>
      </w:r>
      <w:r>
        <w:rPr>
          <w:rFonts w:hint="eastAsia" w:ascii="仿宋_GB2312" w:eastAsia="仿宋_GB2312"/>
          <w:sz w:val="32"/>
          <w:szCs w:val="32"/>
          <w:lang w:eastAsia="zh-CN"/>
        </w:rPr>
        <w:t>指导</w:t>
      </w:r>
      <w:r>
        <w:rPr>
          <w:rFonts w:hint="eastAsia" w:ascii="仿宋_GB2312" w:eastAsia="仿宋_GB2312"/>
          <w:sz w:val="32"/>
          <w:szCs w:val="32"/>
        </w:rPr>
        <w:t>省级部门规范执行基本支出相关政策。</w:t>
      </w:r>
      <w:r>
        <w:rPr>
          <w:rFonts w:hint="eastAsia" w:ascii="仿宋_GB2312" w:eastAsia="仿宋_GB2312"/>
          <w:b/>
          <w:sz w:val="32"/>
          <w:szCs w:val="32"/>
          <w:lang w:eastAsia="zh-CN"/>
        </w:rPr>
        <w:t>二是</w:t>
      </w:r>
      <w:r>
        <w:rPr>
          <w:rFonts w:hint="eastAsia" w:ascii="仿宋_GB2312" w:eastAsia="仿宋_GB2312"/>
          <w:b/>
          <w:sz w:val="32"/>
          <w:szCs w:val="32"/>
        </w:rPr>
        <w:t>做好省级部门预算编制执行工作。</w:t>
      </w:r>
      <w:r>
        <w:rPr>
          <w:rFonts w:hint="eastAsia" w:ascii="仿宋_GB2312" w:eastAsia="仿宋_GB2312"/>
          <w:sz w:val="32"/>
          <w:szCs w:val="32"/>
          <w:lang w:eastAsia="zh-CN"/>
        </w:rPr>
        <w:t>进一步加强人员、工资、资产等</w:t>
      </w:r>
      <w:r>
        <w:rPr>
          <w:rFonts w:hint="eastAsia" w:ascii="仿宋_GB2312" w:eastAsia="仿宋_GB2312"/>
          <w:sz w:val="32"/>
          <w:szCs w:val="32"/>
        </w:rPr>
        <w:t>基础</w:t>
      </w:r>
      <w:r>
        <w:rPr>
          <w:rFonts w:hint="eastAsia" w:ascii="仿宋_GB2312" w:eastAsia="仿宋_GB2312"/>
          <w:sz w:val="32"/>
          <w:szCs w:val="32"/>
          <w:lang w:eastAsia="zh-CN"/>
        </w:rPr>
        <w:t>信息</w:t>
      </w:r>
      <w:r>
        <w:rPr>
          <w:rFonts w:hint="eastAsia" w:ascii="仿宋_GB2312" w:eastAsia="仿宋_GB2312"/>
          <w:sz w:val="32"/>
          <w:szCs w:val="32"/>
        </w:rPr>
        <w:t>库</w:t>
      </w:r>
      <w:r>
        <w:rPr>
          <w:rFonts w:hint="eastAsia" w:ascii="仿宋_GB2312" w:eastAsia="仿宋_GB2312"/>
          <w:sz w:val="32"/>
          <w:szCs w:val="32"/>
          <w:lang w:eastAsia="zh-CN"/>
        </w:rPr>
        <w:t>建设，积极参与</w:t>
      </w:r>
      <w:r>
        <w:rPr>
          <w:rFonts w:hint="eastAsia" w:ascii="仿宋_GB2312" w:eastAsia="仿宋_GB2312"/>
          <w:sz w:val="32"/>
          <w:szCs w:val="32"/>
        </w:rPr>
        <w:t>项目库管理，配合部门管理处</w:t>
      </w:r>
      <w:r>
        <w:rPr>
          <w:rFonts w:hint="eastAsia" w:ascii="仿宋_GB2312" w:hAnsi="Calibri" w:eastAsia="仿宋_GB2312"/>
          <w:sz w:val="32"/>
          <w:szCs w:val="32"/>
        </w:rPr>
        <w:t>完成20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年省级部门基本支出预算草案的初审、编制及预算</w:t>
      </w:r>
      <w:r>
        <w:rPr>
          <w:rFonts w:hint="eastAsia" w:ascii="仿宋_GB2312" w:hAnsi="Calibri" w:eastAsia="仿宋_GB2312"/>
          <w:sz w:val="32"/>
          <w:szCs w:val="32"/>
          <w:lang w:eastAsia="zh-CN"/>
        </w:rPr>
        <w:t>执行</w:t>
      </w:r>
      <w:r>
        <w:rPr>
          <w:rFonts w:hint="eastAsia" w:ascii="仿宋_GB2312" w:hAnsi="Calibri" w:eastAsia="仿宋_GB2312"/>
          <w:sz w:val="32"/>
          <w:szCs w:val="32"/>
        </w:rPr>
        <w:t>等相关工作。</w:t>
      </w:r>
      <w:r>
        <w:rPr>
          <w:rFonts w:hint="eastAsia" w:ascii="仿宋_GB2312" w:eastAsia="仿宋_GB2312"/>
          <w:b/>
          <w:sz w:val="32"/>
          <w:szCs w:val="32"/>
          <w:lang w:eastAsia="zh-CN"/>
        </w:rPr>
        <w:t>三是</w:t>
      </w:r>
      <w:r>
        <w:rPr>
          <w:rFonts w:hint="eastAsia" w:ascii="仿宋_GB2312" w:eastAsia="仿宋_GB2312"/>
          <w:b/>
          <w:sz w:val="32"/>
          <w:szCs w:val="32"/>
        </w:rPr>
        <w:t>做好民生专项工作资金平衡和预算执行。</w:t>
      </w:r>
      <w:r>
        <w:rPr>
          <w:rFonts w:hint="eastAsia" w:ascii="仿宋_GB2312" w:hAnsi="黑体" w:eastAsia="仿宋_GB2312"/>
          <w:sz w:val="32"/>
          <w:szCs w:val="32"/>
          <w:lang w:eastAsia="zh-CN"/>
        </w:rPr>
        <w:t>完成</w:t>
      </w:r>
      <w:r>
        <w:rPr>
          <w:rFonts w:hint="eastAsia" w:ascii="仿宋_GB2312" w:hAnsi="黑体" w:eastAsia="仿宋_GB2312"/>
          <w:sz w:val="32"/>
          <w:szCs w:val="32"/>
        </w:rPr>
        <w:t>2020年全省30件民生实事及</w:t>
      </w:r>
      <w:r>
        <w:rPr>
          <w:rFonts w:hint="eastAsia" w:ascii="仿宋_GB2312" w:hAnsi="黑体" w:eastAsia="仿宋_GB2312"/>
          <w:sz w:val="32"/>
          <w:szCs w:val="32"/>
          <w:lang w:eastAsia="zh-CN"/>
        </w:rPr>
        <w:t>涉藏</w:t>
      </w:r>
      <w:r>
        <w:rPr>
          <w:rFonts w:hint="eastAsia" w:ascii="仿宋_GB2312" w:hAnsi="黑体" w:eastAsia="仿宋_GB2312"/>
          <w:sz w:val="32"/>
          <w:szCs w:val="32"/>
        </w:rPr>
        <w:t>六项民生工程计划筹资平衡及方案制定工作，按月</w:t>
      </w:r>
      <w:r>
        <w:rPr>
          <w:rFonts w:hint="eastAsia" w:ascii="仿宋_GB2312" w:hAnsi="黑体" w:eastAsia="仿宋_GB2312"/>
          <w:sz w:val="32"/>
          <w:szCs w:val="32"/>
          <w:lang w:eastAsia="zh-CN"/>
        </w:rPr>
        <w:t>做好</w:t>
      </w:r>
      <w:r>
        <w:rPr>
          <w:rFonts w:hint="eastAsia" w:ascii="仿宋_GB2312" w:hAnsi="黑体" w:eastAsia="仿宋_GB2312"/>
          <w:sz w:val="32"/>
          <w:szCs w:val="32"/>
        </w:rPr>
        <w:t>预算执行情况</w:t>
      </w:r>
      <w:r>
        <w:rPr>
          <w:rFonts w:hint="eastAsia" w:ascii="仿宋_GB2312" w:hAnsi="黑体" w:eastAsia="仿宋_GB2312"/>
          <w:sz w:val="32"/>
          <w:szCs w:val="32"/>
          <w:lang w:eastAsia="zh-CN"/>
        </w:rPr>
        <w:t>分析</w:t>
      </w:r>
      <w:r>
        <w:rPr>
          <w:rFonts w:hint="eastAsia" w:ascii="仿宋_GB2312" w:hAnsi="黑体" w:eastAsia="仿宋_GB2312"/>
          <w:sz w:val="32"/>
          <w:szCs w:val="32"/>
        </w:rPr>
        <w:t>。</w:t>
      </w:r>
      <w:r>
        <w:rPr>
          <w:rFonts w:hint="eastAsia" w:ascii="仿宋_GB2312" w:eastAsia="仿宋_GB2312"/>
          <w:b/>
          <w:sz w:val="32"/>
          <w:szCs w:val="32"/>
          <w:lang w:eastAsia="zh-CN"/>
        </w:rPr>
        <w:t>四是</w:t>
      </w:r>
      <w:r>
        <w:rPr>
          <w:rFonts w:hint="eastAsia" w:ascii="仿宋_GB2312" w:eastAsia="仿宋_GB2312"/>
          <w:b/>
          <w:sz w:val="32"/>
          <w:szCs w:val="32"/>
        </w:rPr>
        <w:t>配合做好省级部门预算绩效管理工作。</w:t>
      </w:r>
      <w:r>
        <w:rPr>
          <w:rFonts w:hint="eastAsia" w:ascii="仿宋_GB2312" w:eastAsia="仿宋_GB2312"/>
          <w:sz w:val="32"/>
          <w:szCs w:val="32"/>
        </w:rPr>
        <w:t>配合做好省级部门预算支出绩效评价，强化评价结果运用，提高财政资金使用效益。</w:t>
      </w:r>
    </w:p>
    <w:p>
      <w:pPr>
        <w:pageBreakBefore w:val="0"/>
        <w:widowControl/>
        <w:kinsoku/>
        <w:wordWrap/>
        <w:autoSpaceDN/>
        <w:bidi w:val="0"/>
        <w:spacing w:line="580" w:lineRule="exact"/>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firstLine="440" w:firstLineChars="100"/>
        <w:jc w:val="both"/>
        <w:rPr>
          <w:rStyle w:val="24"/>
          <w:rFonts w:hint="eastAsia" w:ascii="黑体" w:hAnsi="黑体" w:eastAsia="黑体"/>
          <w:b w:val="0"/>
          <w:bCs/>
          <w:color w:val="auto"/>
        </w:rPr>
      </w:pPr>
      <w:bookmarkStart w:id="16" w:name="_Toc15377204"/>
      <w:bookmarkStart w:id="17" w:name="_Toc15396602"/>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4"/>
          <w:rFonts w:hint="eastAsia" w:ascii="黑体" w:hAnsi="黑体" w:eastAsia="黑体"/>
          <w:b w:val="0"/>
          <w:bCs/>
          <w:color w:val="auto"/>
          <w:lang w:eastAsia="zh-CN"/>
        </w:rPr>
        <w:t>单位</w:t>
      </w:r>
      <w:r>
        <w:rPr>
          <w:rStyle w:val="24"/>
          <w:rFonts w:hint="eastAsia" w:ascii="黑体" w:hAnsi="黑体" w:eastAsia="黑体"/>
          <w:b w:val="0"/>
          <w:bCs/>
          <w:color w:val="auto"/>
        </w:rPr>
        <w:t>决算情况说明</w:t>
      </w:r>
      <w:bookmarkEnd w:id="16"/>
      <w:bookmarkEnd w:id="17"/>
    </w:p>
    <w:p/>
    <w:p>
      <w:pPr>
        <w:pStyle w:val="23"/>
        <w:numPr>
          <w:ilvl w:val="0"/>
          <w:numId w:val="2"/>
        </w:numPr>
        <w:spacing w:line="600" w:lineRule="exact"/>
        <w:ind w:firstLineChars="0"/>
        <w:outlineLvl w:val="1"/>
        <w:rPr>
          <w:rStyle w:val="25"/>
          <w:rFonts w:ascii="黑体" w:hAnsi="黑体" w:eastAsia="黑体"/>
          <w:b w:val="0"/>
        </w:rPr>
      </w:pPr>
      <w:bookmarkStart w:id="18" w:name="_Toc15377205"/>
      <w:bookmarkStart w:id="19" w:name="_Toc1539660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18"/>
      <w:bookmarkEnd w:id="19"/>
    </w:p>
    <w:p>
      <w:pPr>
        <w:pageBreakBefore w:val="0"/>
        <w:widowControl w:val="0"/>
        <w:pBdr>
          <w:bottom w:val="single" w:color="FFFFFF" w:sz="4" w:space="28"/>
        </w:pBdr>
        <w:tabs>
          <w:tab w:val="left" w:pos="559"/>
        </w:tabs>
        <w:kinsoku/>
        <w:wordWrap/>
        <w:topLinePunct/>
        <w:autoSpaceDE w:val="0"/>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329.12</w:t>
      </w:r>
      <w:r>
        <w:rPr>
          <w:rFonts w:hint="eastAsia" w:ascii="仿宋_GB2312" w:hAnsi="仿宋_GB2312" w:eastAsia="仿宋_GB2312" w:cs="仿宋_GB2312"/>
          <w:sz w:val="32"/>
          <w:szCs w:val="32"/>
        </w:rPr>
        <w:t>万元。与201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年相比，收、支总计各减少</w:t>
      </w:r>
      <w:r>
        <w:rPr>
          <w:rFonts w:hint="eastAsia" w:ascii="仿宋_GB2312" w:hAnsi="仿宋_GB2312" w:eastAsia="仿宋_GB2312" w:cs="仿宋_GB2312"/>
          <w:sz w:val="32"/>
          <w:szCs w:val="32"/>
          <w:lang w:val="en-US" w:eastAsia="zh-CN"/>
        </w:rPr>
        <w:t>37.51</w:t>
      </w:r>
      <w:r>
        <w:rPr>
          <w:rFonts w:hint="eastAsia" w:ascii="仿宋_GB2312" w:hAnsi="仿宋_GB2312" w:eastAsia="仿宋_GB2312" w:cs="仿宋_GB2312"/>
          <w:sz w:val="32"/>
          <w:szCs w:val="32"/>
        </w:rPr>
        <w:t>万元，下降</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eastAsia="zh-CN"/>
        </w:rPr>
        <w:t>人员减少。</w:t>
      </w:r>
    </w:p>
    <w:p>
      <w:pPr>
        <w:pStyle w:val="2"/>
        <w:jc w:val="center"/>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drawing>
          <wp:inline distT="0" distB="0" distL="114300" distR="114300">
            <wp:extent cx="4589145" cy="2758440"/>
            <wp:effectExtent l="0" t="0" r="13335" b="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589145" cy="2758440"/>
                    </a:xfrm>
                    <a:prstGeom prst="rect">
                      <a:avLst/>
                    </a:prstGeom>
                  </pic:spPr>
                </pic:pic>
              </a:graphicData>
            </a:graphic>
          </wp:inline>
        </w:drawing>
      </w:r>
    </w:p>
    <w:p>
      <w:pPr>
        <w:jc w:val="center"/>
        <w:rPr>
          <w:rFonts w:ascii="仿宋_GB2312" w:eastAsia="仿宋_GB2312"/>
          <w:color w:val="000000"/>
          <w:sz w:val="32"/>
          <w:szCs w:val="32"/>
        </w:rPr>
      </w:pPr>
      <w:r>
        <w:rPr>
          <w:rFonts w:hint="eastAsia" w:ascii="仿宋" w:hAnsi="仿宋" w:eastAsia="仿宋"/>
          <w:color w:val="000000" w:themeColor="text1"/>
          <w:sz w:val="32"/>
          <w:szCs w:val="32"/>
          <w:highlight w:val="none"/>
          <w14:textFill>
            <w14:solidFill>
              <w14:schemeClr w14:val="tx1"/>
            </w14:solidFill>
          </w14:textFill>
        </w:rPr>
        <w:t>图</w:t>
      </w:r>
      <w:r>
        <w:rPr>
          <w:rFonts w:ascii="仿宋" w:hAnsi="仿宋" w:eastAsia="仿宋"/>
          <w:color w:val="000000" w:themeColor="text1"/>
          <w:sz w:val="32"/>
          <w:szCs w:val="32"/>
          <w:highlight w:val="none"/>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：收、支决算总计变动情况图</w:t>
      </w:r>
      <w:r>
        <w:rPr>
          <w:rFonts w:hint="eastAsia"/>
          <w:sz w:val="15"/>
          <w:szCs w:val="15"/>
          <w:lang w:eastAsia="zh-CN"/>
        </w:rPr>
        <w:t>（单位：万元）</w:t>
      </w:r>
    </w:p>
    <w:p>
      <w:pPr>
        <w:pStyle w:val="23"/>
        <w:numPr>
          <w:ilvl w:val="0"/>
          <w:numId w:val="2"/>
        </w:numPr>
        <w:spacing w:line="600" w:lineRule="exact"/>
        <w:ind w:firstLineChars="0"/>
        <w:outlineLvl w:val="1"/>
        <w:rPr>
          <w:rStyle w:val="25"/>
          <w:rFonts w:ascii="黑体" w:hAnsi="黑体" w:eastAsia="黑体"/>
          <w:b w:val="0"/>
        </w:rPr>
      </w:pPr>
      <w:bookmarkStart w:id="20" w:name="_Toc15377206"/>
      <w:bookmarkStart w:id="21"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20"/>
      <w:bookmarkEnd w:id="21"/>
    </w:p>
    <w:p>
      <w:pPr>
        <w:pageBreakBefore w:val="0"/>
        <w:widowControl w:val="0"/>
        <w:pBdr>
          <w:bottom w:val="single" w:color="FFFFFF" w:sz="4" w:space="28"/>
        </w:pBdr>
        <w:tabs>
          <w:tab w:val="left" w:pos="559"/>
        </w:tabs>
        <w:kinsoku/>
        <w:wordWrap/>
        <w:topLinePunct/>
        <w:autoSpaceDE w:val="0"/>
        <w:autoSpaceDN/>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年本年收入合计</w:t>
      </w:r>
      <w:r>
        <w:rPr>
          <w:rFonts w:hint="eastAsia" w:ascii="仿宋_GB2312" w:hAnsi="仿宋_GB2312" w:eastAsia="仿宋_GB2312" w:cs="仿宋_GB2312"/>
          <w:sz w:val="32"/>
          <w:szCs w:val="32"/>
          <w:lang w:val="en-US" w:eastAsia="zh-CN"/>
        </w:rPr>
        <w:t>329.12</w:t>
      </w:r>
      <w:r>
        <w:rPr>
          <w:rFonts w:hint="eastAsia" w:ascii="仿宋_GB2312" w:hAnsi="仿宋_GB2312" w:eastAsia="仿宋_GB2312" w:cs="仿宋_GB2312"/>
          <w:sz w:val="32"/>
          <w:szCs w:val="32"/>
        </w:rPr>
        <w:t>万元，其中：一般公共预算财政拨款收入</w:t>
      </w:r>
      <w:r>
        <w:rPr>
          <w:rFonts w:hint="eastAsia" w:ascii="仿宋_GB2312" w:hAnsi="仿宋_GB2312" w:eastAsia="仿宋_GB2312" w:cs="仿宋_GB2312"/>
          <w:sz w:val="32"/>
          <w:szCs w:val="32"/>
          <w:lang w:val="en-US" w:eastAsia="zh-CN"/>
        </w:rPr>
        <w:t>329.12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spacing w:line="600" w:lineRule="exact"/>
        <w:ind w:firstLine="420" w:firstLineChars="200"/>
        <w:rPr>
          <w:rFonts w:hint="eastAsia" w:ascii="仿宋" w:hAnsi="仿宋" w:eastAsia="仿宋"/>
          <w:color w:val="000000" w:themeColor="text1"/>
          <w:sz w:val="32"/>
          <w:szCs w:val="32"/>
          <w:highlight w:val="yellow"/>
          <w14:textFill>
            <w14:solidFill>
              <w14:schemeClr w14:val="tx1"/>
            </w14:solidFill>
          </w14:textFill>
        </w:rPr>
      </w:pPr>
      <w:r>
        <mc:AlternateContent>
          <mc:Choice Requires="wps">
            <w:drawing>
              <wp:anchor distT="0" distB="0" distL="114300" distR="114300" simplePos="0" relativeHeight="251659264" behindDoc="1" locked="0" layoutInCell="1" allowOverlap="1">
                <wp:simplePos x="0" y="0"/>
                <wp:positionH relativeFrom="column">
                  <wp:posOffset>1729740</wp:posOffset>
                </wp:positionH>
                <wp:positionV relativeFrom="paragraph">
                  <wp:posOffset>-167005</wp:posOffset>
                </wp:positionV>
                <wp:extent cx="1927860" cy="1828165"/>
                <wp:effectExtent l="12700" t="12700" r="25400" b="18415"/>
                <wp:wrapTight wrapText="bothSides">
                  <wp:wrapPolygon>
                    <wp:start x="8566" y="-150"/>
                    <wp:lineTo x="7200" y="30"/>
                    <wp:lineTo x="2760" y="2191"/>
                    <wp:lineTo x="2077" y="3631"/>
                    <wp:lineTo x="711" y="5612"/>
                    <wp:lineTo x="28" y="7413"/>
                    <wp:lineTo x="-142" y="8313"/>
                    <wp:lineTo x="-142" y="12634"/>
                    <wp:lineTo x="28" y="14255"/>
                    <wp:lineTo x="1394" y="17136"/>
                    <wp:lineTo x="4297" y="20017"/>
                    <wp:lineTo x="4468" y="20377"/>
                    <wp:lineTo x="8054" y="21638"/>
                    <wp:lineTo x="8908" y="21638"/>
                    <wp:lineTo x="12493" y="21638"/>
                    <wp:lineTo x="13347" y="21638"/>
                    <wp:lineTo x="16933" y="20377"/>
                    <wp:lineTo x="17104" y="20017"/>
                    <wp:lineTo x="20177" y="17136"/>
                    <wp:lineTo x="21372" y="14255"/>
                    <wp:lineTo x="21543" y="12814"/>
                    <wp:lineTo x="21543" y="8133"/>
                    <wp:lineTo x="20860" y="5612"/>
                    <wp:lineTo x="19323" y="3631"/>
                    <wp:lineTo x="18811" y="2371"/>
                    <wp:lineTo x="14542" y="210"/>
                    <wp:lineTo x="13006" y="-150"/>
                    <wp:lineTo x="8566" y="-150"/>
                  </wp:wrapPolygon>
                </wp:wrapTight>
                <wp:docPr id="6" name="椭圆 3"/>
                <wp:cNvGraphicFramePr/>
                <a:graphic xmlns:a="http://schemas.openxmlformats.org/drawingml/2006/main">
                  <a:graphicData uri="http://schemas.microsoft.com/office/word/2010/wordprocessingShape">
                    <wps:wsp>
                      <wps:cNvSpPr/>
                      <wps:spPr>
                        <a:xfrm>
                          <a:off x="0" y="0"/>
                          <a:ext cx="1927860" cy="18281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olor w:val="000000" w:themeColor="text1"/>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一般公共预算财政拨款收入329.12万元，占本年收入100%</w:t>
                            </w:r>
                          </w:p>
                          <w:p/>
                        </w:txbxContent>
                      </wps:txbx>
                      <wps:bodyPr vertOverflow="clip" horzOverflow="clip" wrap="square" rtlCol="0" anchor="t"/>
                    </wps:wsp>
                  </a:graphicData>
                </a:graphic>
              </wp:anchor>
            </w:drawing>
          </mc:Choice>
          <mc:Fallback>
            <w:pict>
              <v:shape id="椭圆 3" o:spid="_x0000_s1026" o:spt="3" type="#_x0000_t3" style="position:absolute;left:0pt;margin-left:136.2pt;margin-top:-13.15pt;height:143.95pt;width:151.8pt;mso-wrap-distance-left:9pt;mso-wrap-distance-right:9pt;z-index:-251657216;mso-width-relative:page;mso-height-relative:page;" fillcolor="#4F81BD [3204]" filled="t" stroked="t" coordsize="21600,21600" wrapcoords="8566 -150 7200 30 2760 2191 2077 3631 711 5612 28 7413 -142 8313 -142 12634 28 14255 1394 17136 4297 20017 4468 20377 8054 21638 8908 21638 12493 21638 13347 21638 16933 20377 17104 20017 20177 17136 21372 14255 21543 12814 21543 8133 20860 5612 19323 3631 18811 2371 14542 210 13006 -150 8566 -150" o:gfxdata="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7FcmtkAAAAL&#10;AQAADwAAAAAAAAABACAAAAAiAAAAZHJzL2Rvd25yZXYueG1sUEsBAhQAFAAAAAgAh07iQF/OMR4b&#10;AgAAPAQAAA4AAAAAAAAAAQAgAAAAKAEAAGRycy9lMm9Eb2MueG1sUEsFBgAAAAAGAAYAWQEAALUF&#10;AAAAAA==&#10;">
                <v:fill on="t" focussize="0,0"/>
                <v:stroke weight="2pt" color="#385D8A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olor w:val="000000" w:themeColor="text1"/>
                          <w:sz w:val="18"/>
                          <w:szCs w:val="18"/>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仿宋" w:hAnsi="仿宋" w:eastAsia="仿宋"/>
                          <w:color w:val="000000" w:themeColor="text1"/>
                          <w:sz w:val="21"/>
                          <w:szCs w:val="21"/>
                          <w:highlight w:val="none"/>
                          <w14:textFill>
                            <w14:solidFill>
                              <w14:schemeClr w14:val="tx1"/>
                            </w14:solidFill>
                          </w14:textFill>
                        </w:rPr>
                      </w:pPr>
                      <w:r>
                        <w:rPr>
                          <w:rFonts w:hint="eastAsia" w:ascii="仿宋" w:hAnsi="仿宋" w:eastAsia="仿宋"/>
                          <w:color w:val="000000" w:themeColor="text1"/>
                          <w:sz w:val="21"/>
                          <w:szCs w:val="21"/>
                          <w:highlight w:val="none"/>
                          <w14:textFill>
                            <w14:solidFill>
                              <w14:schemeClr w14:val="tx1"/>
                            </w14:solidFill>
                          </w14:textFill>
                        </w:rPr>
                        <w:t>一般公共预算财政拨款收入329.12万元，占本年收入100%</w:t>
                      </w:r>
                    </w:p>
                    <w:p/>
                  </w:txbxContent>
                </v:textbox>
                <w10:wrap type="tight"/>
              </v:shape>
            </w:pict>
          </mc:Fallback>
        </mc:AlternateContent>
      </w:r>
    </w:p>
    <w:p>
      <w:pPr>
        <w:pStyle w:val="2"/>
        <w:rPr>
          <w:rFonts w:hint="eastAsia" w:ascii="仿宋" w:hAnsi="仿宋" w:eastAsia="仿宋"/>
          <w:color w:val="000000" w:themeColor="text1"/>
          <w:sz w:val="32"/>
          <w:szCs w:val="32"/>
          <w:highlight w:val="yellow"/>
          <w14:textFill>
            <w14:solidFill>
              <w14:schemeClr w14:val="tx1"/>
            </w14:solidFill>
          </w14:textFill>
        </w:rPr>
      </w:pPr>
    </w:p>
    <w:p>
      <w:pPr>
        <w:pStyle w:val="2"/>
        <w:rPr>
          <w:rFonts w:hint="eastAsia" w:ascii="仿宋" w:hAnsi="仿宋" w:eastAsia="仿宋"/>
          <w:color w:val="000000" w:themeColor="text1"/>
          <w:sz w:val="32"/>
          <w:szCs w:val="32"/>
          <w:highlight w:val="yellow"/>
          <w14:textFill>
            <w14:solidFill>
              <w14:schemeClr w14:val="tx1"/>
            </w14:solidFill>
          </w14:textFill>
        </w:rPr>
      </w:pPr>
    </w:p>
    <w:p>
      <w:pPr>
        <w:spacing w:line="600" w:lineRule="exact"/>
        <w:jc w:val="both"/>
        <w:rPr>
          <w:rFonts w:hint="eastAsia" w:ascii="仿宋" w:hAnsi="仿宋" w:eastAsia="仿宋"/>
          <w:color w:val="000000" w:themeColor="text1"/>
          <w:sz w:val="32"/>
          <w:szCs w:val="32"/>
          <w:highlight w:val="none"/>
          <w14:textFill>
            <w14:solidFill>
              <w14:schemeClr w14:val="tx1"/>
            </w14:solidFill>
          </w14:textFill>
        </w:rPr>
      </w:pPr>
    </w:p>
    <w:p>
      <w:pPr>
        <w:spacing w:line="600" w:lineRule="exact"/>
        <w:jc w:val="center"/>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图2：收入决算结构图</w:t>
      </w:r>
    </w:p>
    <w:p>
      <w:pPr>
        <w:pStyle w:val="23"/>
        <w:numPr>
          <w:ilvl w:val="0"/>
          <w:numId w:val="2"/>
        </w:numPr>
        <w:spacing w:line="600" w:lineRule="exact"/>
        <w:ind w:firstLineChars="0"/>
        <w:outlineLvl w:val="1"/>
        <w:rPr>
          <w:rStyle w:val="25"/>
          <w:rFonts w:ascii="黑体" w:hAnsi="黑体" w:eastAsia="黑体"/>
          <w:b w:val="0"/>
        </w:rPr>
      </w:pPr>
      <w:bookmarkStart w:id="22" w:name="_Toc15396605"/>
      <w:bookmarkStart w:id="23" w:name="_Toc15377207"/>
      <w:r>
        <w:rPr>
          <w:rFonts w:hint="eastAsia" w:ascii="黑体" w:hAnsi="黑体" w:eastAsia="黑体"/>
          <w:color w:val="000000"/>
          <w:sz w:val="32"/>
          <w:szCs w:val="32"/>
        </w:rPr>
        <w:t>支</w:t>
      </w:r>
      <w:r>
        <w:rPr>
          <w:rStyle w:val="25"/>
          <w:rFonts w:hint="eastAsia" w:ascii="黑体" w:hAnsi="黑体" w:eastAsia="黑体"/>
          <w:b w:val="0"/>
        </w:rPr>
        <w:t>出决算情况说明</w:t>
      </w:r>
      <w:bookmarkEnd w:id="22"/>
      <w:bookmarkEnd w:id="23"/>
    </w:p>
    <w:p>
      <w:pPr>
        <w:spacing w:line="600" w:lineRule="exact"/>
        <w:ind w:firstLine="640" w:firstLineChars="200"/>
        <w:outlineLvl w:val="1"/>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329.12</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319.12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97</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%；上缴上级支出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%；经营支出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%；对附属单位补助支出</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w:t>
      </w:r>
    </w:p>
    <w:p>
      <w:pPr>
        <w:pStyle w:val="2"/>
        <w:jc w:val="center"/>
        <w:rPr>
          <w:highlight w:val="none"/>
        </w:rPr>
      </w:pPr>
      <w:r>
        <w:rPr>
          <w:rFonts w:hint="eastAsia" w:eastAsia="仿宋_GB2312"/>
          <w:highlight w:val="none"/>
          <w:lang w:eastAsia="zh-CN"/>
        </w:rPr>
        <w:drawing>
          <wp:inline distT="0" distB="0" distL="114300" distR="114300">
            <wp:extent cx="3912870" cy="2352040"/>
            <wp:effectExtent l="0" t="0" r="3810" b="10160"/>
            <wp:docPr id="8" name="图片 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2"/>
                    <pic:cNvPicPr>
                      <a:picLocks noChangeAspect="1"/>
                    </pic:cNvPicPr>
                  </pic:nvPicPr>
                  <pic:blipFill>
                    <a:blip r:embed="rId7"/>
                    <a:stretch>
                      <a:fillRect/>
                    </a:stretch>
                  </pic:blipFill>
                  <pic:spPr>
                    <a:xfrm>
                      <a:off x="0" y="0"/>
                      <a:ext cx="3912870" cy="2352040"/>
                    </a:xfrm>
                    <a:prstGeom prst="rect">
                      <a:avLst/>
                    </a:prstGeom>
                  </pic:spPr>
                </pic:pic>
              </a:graphicData>
            </a:graphic>
          </wp:inline>
        </w:drawing>
      </w:r>
    </w:p>
    <w:p>
      <w:pPr>
        <w:spacing w:line="600" w:lineRule="exact"/>
        <w:jc w:val="center"/>
        <w:rPr>
          <w:rFonts w:ascii="仿宋_GB2312" w:eastAsia="仿宋_GB2312"/>
          <w:color w:val="FF0000"/>
          <w:sz w:val="32"/>
          <w:szCs w:val="32"/>
          <w:highlight w:val="none"/>
        </w:rPr>
      </w:pPr>
      <w:r>
        <w:rPr>
          <w:rFonts w:hint="eastAsia" w:ascii="仿宋" w:hAnsi="仿宋" w:eastAsia="仿宋"/>
          <w:color w:val="000000" w:themeColor="text1"/>
          <w:sz w:val="32"/>
          <w:szCs w:val="32"/>
          <w:highlight w:val="none"/>
          <w14:textFill>
            <w14:solidFill>
              <w14:schemeClr w14:val="tx1"/>
            </w14:solidFill>
          </w14:textFill>
        </w:rPr>
        <w:t>图3：支出决算结构图</w:t>
      </w:r>
    </w:p>
    <w:p>
      <w:pPr>
        <w:spacing w:line="600" w:lineRule="exact"/>
        <w:ind w:firstLine="640" w:firstLineChars="200"/>
        <w:outlineLvl w:val="1"/>
        <w:rPr>
          <w:rStyle w:val="25"/>
          <w:rFonts w:ascii="黑体" w:hAnsi="黑体" w:eastAsia="黑体"/>
          <w:b w:val="0"/>
        </w:rPr>
      </w:pPr>
      <w:bookmarkStart w:id="24" w:name="_Toc15396606"/>
      <w:bookmarkStart w:id="25" w:name="_Toc15377208"/>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24"/>
      <w:bookmarkEnd w:id="25"/>
    </w:p>
    <w:p>
      <w:pPr>
        <w:spacing w:line="600" w:lineRule="exact"/>
        <w:ind w:firstLine="64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年财政拨款收、支总计</w:t>
      </w:r>
      <w:r>
        <w:rPr>
          <w:rFonts w:hint="eastAsia" w:ascii="仿宋_GB2312" w:hAnsi="仿宋_GB2312" w:eastAsia="仿宋_GB2312" w:cs="仿宋_GB2312"/>
          <w:color w:val="000000"/>
          <w:sz w:val="32"/>
          <w:szCs w:val="32"/>
          <w:lang w:val="en-US" w:eastAsia="zh-CN"/>
        </w:rPr>
        <w:t>329.12</w:t>
      </w:r>
      <w:r>
        <w:rPr>
          <w:rFonts w:hint="eastAsia" w:ascii="仿宋_GB2312" w:hAnsi="仿宋_GB2312" w:eastAsia="仿宋_GB2312" w:cs="仿宋_GB2312"/>
          <w:color w:val="000000"/>
          <w:sz w:val="32"/>
          <w:szCs w:val="32"/>
        </w:rPr>
        <w:t>万元。与201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年相比，财政拨款收、支总计各减少</w:t>
      </w:r>
      <w:r>
        <w:rPr>
          <w:rFonts w:hint="eastAsia" w:ascii="仿宋_GB2312" w:hAnsi="仿宋_GB2312" w:eastAsia="仿宋_GB2312" w:cs="仿宋_GB2312"/>
          <w:color w:val="000000"/>
          <w:sz w:val="32"/>
          <w:szCs w:val="32"/>
          <w:lang w:val="en-US" w:eastAsia="zh-CN"/>
        </w:rPr>
        <w:t>37.51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pStyle w:val="2"/>
        <w:jc w:val="center"/>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drawing>
          <wp:inline distT="0" distB="0" distL="114300" distR="114300">
            <wp:extent cx="4409440" cy="2650490"/>
            <wp:effectExtent l="0" t="0" r="10160" b="1270"/>
            <wp:docPr id="4" name="图片 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1"/>
                    <pic:cNvPicPr>
                      <a:picLocks noChangeAspect="1"/>
                    </pic:cNvPicPr>
                  </pic:nvPicPr>
                  <pic:blipFill>
                    <a:blip r:embed="rId6"/>
                    <a:stretch>
                      <a:fillRect/>
                    </a:stretch>
                  </pic:blipFill>
                  <pic:spPr>
                    <a:xfrm>
                      <a:off x="0" y="0"/>
                      <a:ext cx="4409440" cy="2650490"/>
                    </a:xfrm>
                    <a:prstGeom prst="rect">
                      <a:avLst/>
                    </a:prstGeom>
                  </pic:spPr>
                </pic:pic>
              </a:graphicData>
            </a:graphic>
          </wp:inline>
        </w:drawing>
      </w:r>
    </w:p>
    <w:p>
      <w:pPr>
        <w:spacing w:line="600" w:lineRule="exact"/>
        <w:ind w:firstLine="640" w:firstLineChars="200"/>
        <w:rPr>
          <w:rFonts w:ascii="仿宋" w:hAnsi="仿宋" w:eastAsia="仿宋"/>
          <w:b/>
          <w:color w:val="00B050"/>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图4：财政拨款收、支决算总计变动情况</w:t>
      </w:r>
      <w:r>
        <w:rPr>
          <w:rFonts w:hint="eastAsia"/>
          <w:sz w:val="15"/>
          <w:szCs w:val="15"/>
          <w:highlight w:val="none"/>
          <w:lang w:eastAsia="zh-CN"/>
        </w:rPr>
        <w:t>（</w:t>
      </w:r>
      <w:r>
        <w:rPr>
          <w:rFonts w:hint="eastAsia"/>
          <w:sz w:val="15"/>
          <w:szCs w:val="15"/>
          <w:lang w:eastAsia="zh-CN"/>
        </w:rPr>
        <w:t>单位：万元）</w:t>
      </w:r>
    </w:p>
    <w:p>
      <w:pPr>
        <w:spacing w:line="600" w:lineRule="exact"/>
        <w:ind w:firstLine="640" w:firstLineChars="200"/>
        <w:outlineLvl w:val="1"/>
        <w:rPr>
          <w:rStyle w:val="25"/>
          <w:rFonts w:ascii="黑体" w:hAnsi="黑体" w:eastAsia="黑体"/>
          <w:b w:val="0"/>
        </w:rPr>
      </w:pPr>
      <w:bookmarkStart w:id="26" w:name="_Toc15396607"/>
      <w:bookmarkStart w:id="27"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28" w:name="_Toc15377210"/>
      <w:r>
        <w:rPr>
          <w:rFonts w:hint="eastAsia" w:ascii="仿宋_GB2312" w:hAnsi="仿宋_GB2312" w:eastAsia="仿宋_GB2312" w:cs="仿宋_GB2312"/>
          <w:b/>
          <w:color w:val="000000"/>
          <w:sz w:val="32"/>
          <w:szCs w:val="32"/>
        </w:rPr>
        <w:t>（一）一般公共预算财政拨款支出决算总体情况</w:t>
      </w:r>
      <w:bookmarkEnd w:id="28"/>
    </w:p>
    <w:p>
      <w:pPr>
        <w:spacing w:line="600" w:lineRule="exact"/>
        <w:ind w:firstLine="640" w:firstLineChars="200"/>
        <w:rPr>
          <w:rFonts w:hint="eastAsia" w:ascii="仿宋" w:hAnsi="仿宋" w:eastAsia="仿宋"/>
          <w:color w:val="000000"/>
          <w:sz w:val="32"/>
          <w:szCs w:val="32"/>
          <w:lang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eastAsia="仿宋_GB2312" w:cs="仿宋_GB2312"/>
          <w:color w:val="000000"/>
          <w:sz w:val="32"/>
          <w:szCs w:val="32"/>
          <w:lang w:val="en-US" w:eastAsia="zh-CN"/>
        </w:rPr>
        <w:t>329.12</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年相比，一般公共预算财政拨款减少</w:t>
      </w:r>
      <w:r>
        <w:rPr>
          <w:rFonts w:hint="eastAsia" w:ascii="仿宋_GB2312" w:hAnsi="仿宋_GB2312" w:eastAsia="仿宋_GB2312" w:cs="仿宋_GB2312"/>
          <w:color w:val="000000"/>
          <w:sz w:val="32"/>
          <w:szCs w:val="32"/>
          <w:lang w:val="en-US" w:eastAsia="zh-CN"/>
        </w:rPr>
        <w:t>37.51</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eastAsia="zh-CN"/>
        </w:rPr>
        <w:t>人员减少。</w:t>
      </w:r>
    </w:p>
    <w:p>
      <w:pPr>
        <w:pStyle w:val="2"/>
        <w:jc w:val="center"/>
        <w:rPr>
          <w:rFonts w:hint="eastAsia" w:ascii="仿宋" w:hAnsi="仿宋" w:eastAsia="仿宋"/>
          <w:color w:val="000000" w:themeColor="text1"/>
          <w:sz w:val="32"/>
          <w:szCs w:val="32"/>
          <w:highlight w:val="yellow"/>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drawing>
          <wp:inline distT="0" distB="0" distL="114300" distR="114300">
            <wp:extent cx="4462780" cy="2682240"/>
            <wp:effectExtent l="0" t="0" r="2540" b="0"/>
            <wp:docPr id="5"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1"/>
                    <pic:cNvPicPr>
                      <a:picLocks noChangeAspect="1"/>
                    </pic:cNvPicPr>
                  </pic:nvPicPr>
                  <pic:blipFill>
                    <a:blip r:embed="rId6"/>
                    <a:stretch>
                      <a:fillRect/>
                    </a:stretch>
                  </pic:blipFill>
                  <pic:spPr>
                    <a:xfrm>
                      <a:off x="0" y="0"/>
                      <a:ext cx="4462780" cy="2682240"/>
                    </a:xfrm>
                    <a:prstGeom prst="rect">
                      <a:avLst/>
                    </a:prstGeom>
                  </pic:spPr>
                </pic:pic>
              </a:graphicData>
            </a:graphic>
          </wp:inline>
        </w:drawing>
      </w:r>
    </w:p>
    <w:p>
      <w:pPr>
        <w:spacing w:line="600" w:lineRule="exact"/>
        <w:jc w:val="center"/>
        <w:rPr>
          <w:rFonts w:ascii="仿宋" w:hAnsi="仿宋" w:eastAsia="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图5：一般公共预算财政拨款支出决算变动情况</w:t>
      </w:r>
      <w:r>
        <w:rPr>
          <w:rFonts w:hint="eastAsia"/>
          <w:sz w:val="15"/>
          <w:szCs w:val="15"/>
          <w:highlight w:val="none"/>
          <w:lang w:eastAsia="zh-CN"/>
        </w:rPr>
        <w:t>（</w:t>
      </w:r>
      <w:r>
        <w:rPr>
          <w:rFonts w:hint="eastAsia"/>
          <w:sz w:val="15"/>
          <w:szCs w:val="15"/>
          <w:lang w:eastAsia="zh-CN"/>
        </w:rPr>
        <w:t>单位：万元）</w:t>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29" w:name="_Toc15377211"/>
      <w:r>
        <w:rPr>
          <w:rFonts w:hint="eastAsia" w:ascii="仿宋_GB2312" w:hAnsi="仿宋_GB2312" w:eastAsia="仿宋_GB2312" w:cs="仿宋_GB2312"/>
          <w:b/>
          <w:color w:val="000000"/>
          <w:sz w:val="32"/>
          <w:szCs w:val="32"/>
        </w:rPr>
        <w:t>（二）一般公共预算财政拨款支出决算结构情况</w:t>
      </w:r>
      <w:bookmarkEnd w:id="29"/>
    </w:p>
    <w:p>
      <w:pPr>
        <w:spacing w:line="600" w:lineRule="exact"/>
        <w:ind w:firstLine="640"/>
        <w:rPr>
          <w:rFonts w:hint="eastAsia" w:ascii="仿宋" w:hAnsi="仿宋" w:eastAsia="仿宋"/>
          <w:color w:val="000000"/>
          <w:sz w:val="32"/>
          <w:szCs w:val="32"/>
          <w:highlight w:val="yellow"/>
          <w:lang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w:t>
      </w:r>
      <w:r>
        <w:rPr>
          <w:rFonts w:hint="eastAsia" w:ascii="仿宋_GB2312" w:hAnsi="仿宋_GB2312" w:eastAsia="仿宋_GB2312" w:cs="仿宋_GB2312"/>
          <w:color w:val="000000" w:themeColor="text1"/>
          <w:sz w:val="32"/>
          <w:szCs w:val="32"/>
          <w14:textFill>
            <w14:solidFill>
              <w14:schemeClr w14:val="tx1"/>
            </w14:solidFill>
          </w14:textFill>
        </w:rPr>
        <w:t>政拨款支出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329.12</w:t>
      </w:r>
      <w:r>
        <w:rPr>
          <w:rFonts w:hint="eastAsia" w:ascii="仿宋_GB2312" w:hAnsi="仿宋_GB2312" w:eastAsia="仿宋_GB2312" w:cs="仿宋_GB2312"/>
          <w:color w:val="000000" w:themeColor="text1"/>
          <w:sz w:val="32"/>
          <w:szCs w:val="32"/>
          <w14:textFill>
            <w14:solidFill>
              <w14:schemeClr w14:val="tx1"/>
            </w14:solidFill>
          </w14:textFill>
        </w:rPr>
        <w:t>万元，主要用于以下方面:一般公共服务（类）支出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243.02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73.84</w:t>
      </w:r>
      <w:r>
        <w:rPr>
          <w:rFonts w:hint="eastAsia" w:ascii="仿宋_GB2312" w:hAnsi="仿宋_GB2312" w:eastAsia="仿宋_GB2312" w:cs="仿宋_GB2312"/>
          <w:color w:val="000000" w:themeColor="text1"/>
          <w:sz w:val="32"/>
          <w:szCs w:val="32"/>
          <w14:textFill>
            <w14:solidFill>
              <w14:schemeClr w14:val="tx1"/>
            </w14:solidFill>
          </w14:textFill>
        </w:rPr>
        <w:t>%；社会保障和就业（类）支出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19.61</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5.96</w:t>
      </w:r>
      <w:r>
        <w:rPr>
          <w:rFonts w:hint="eastAsia" w:ascii="仿宋_GB2312" w:hAnsi="仿宋_GB2312" w:eastAsia="仿宋_GB2312" w:cs="仿宋_GB2312"/>
          <w:color w:val="000000" w:themeColor="text1"/>
          <w:sz w:val="32"/>
          <w:szCs w:val="32"/>
          <w14:textFill>
            <w14:solidFill>
              <w14:schemeClr w14:val="tx1"/>
            </w14:solidFill>
          </w14:textFill>
        </w:rPr>
        <w:t>%；卫生健康</w:t>
      </w:r>
      <w:r>
        <w:rPr>
          <w:rFonts w:hint="eastAsia" w:ascii="仿宋_GB2312" w:hAnsi="仿宋_GB2312" w:eastAsia="仿宋_GB2312" w:cs="仿宋_GB2312"/>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20.47</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6.22</w:t>
      </w:r>
      <w:r>
        <w:rPr>
          <w:rFonts w:hint="eastAsia" w:ascii="仿宋_GB2312" w:hAnsi="仿宋_GB2312" w:eastAsia="仿宋_GB2312" w:cs="仿宋_GB2312"/>
          <w:color w:val="000000" w:themeColor="text1"/>
          <w:sz w:val="32"/>
          <w:szCs w:val="32"/>
          <w14:textFill>
            <w14:solidFill>
              <w14:schemeClr w14:val="tx1"/>
            </w14:solidFill>
          </w14:textFill>
        </w:rPr>
        <w:t>%；住房保障</w:t>
      </w:r>
      <w:r>
        <w:rPr>
          <w:rFonts w:hint="eastAsia" w:ascii="仿宋_GB2312" w:hAnsi="仿宋_GB2312" w:eastAsia="仿宋_GB2312" w:cs="仿宋_GB2312"/>
          <w:color w:val="000000" w:themeColor="text1"/>
          <w:sz w:val="32"/>
          <w:szCs w:val="32"/>
          <w:lang w:eastAsia="zh-CN"/>
          <w14:textFill>
            <w14:solidFill>
              <w14:schemeClr w14:val="tx1"/>
            </w14:solidFill>
          </w14:textFill>
        </w:rPr>
        <w:t>（类）</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46.02</w:t>
      </w:r>
      <w:r>
        <w:rPr>
          <w:rFonts w:hint="eastAsia" w:ascii="仿宋_GB2312" w:hAnsi="仿宋_GB2312" w:eastAsia="仿宋_GB2312" w:cs="仿宋_GB2312"/>
          <w:color w:val="000000" w:themeColor="text1"/>
          <w:sz w:val="32"/>
          <w:szCs w:val="32"/>
          <w14:textFill>
            <w14:solidFill>
              <w14:schemeClr w14:val="tx1"/>
            </w14:solidFill>
          </w14:textFill>
        </w:rPr>
        <w:t>万元，占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13.98</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
        <w:jc w:val="center"/>
        <w:rPr>
          <w:rFonts w:hint="eastAsia" w:ascii="仿宋" w:hAnsi="仿宋" w:eastAsia="仿宋"/>
          <w:color w:val="000000"/>
          <w:sz w:val="32"/>
          <w:szCs w:val="32"/>
          <w:highlight w:val="yellow"/>
          <w:lang w:eastAsia="zh-CN"/>
        </w:rPr>
      </w:pPr>
      <w:r>
        <w:drawing>
          <wp:inline distT="0" distB="0" distL="114300" distR="114300">
            <wp:extent cx="5274310" cy="2520950"/>
            <wp:effectExtent l="4445" t="4445" r="9525" b="1968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jc w:val="center"/>
        <w:rPr>
          <w:rFonts w:hint="eastAsia" w:ascii="仿宋" w:hAnsi="仿宋" w:eastAsia="仿宋"/>
          <w:color w:val="000000"/>
          <w:sz w:val="32"/>
          <w:szCs w:val="32"/>
          <w:lang w:val="en-US" w:eastAsia="zh-CN"/>
        </w:rPr>
      </w:pPr>
      <w:r>
        <w:rPr>
          <w:rFonts w:hint="eastAsia" w:ascii="仿宋_GB2312" w:hAnsi="仿宋_GB2312" w:eastAsia="仿宋_GB2312" w:cs="仿宋_GB2312"/>
          <w:color w:val="000000"/>
          <w:sz w:val="32"/>
          <w:szCs w:val="32"/>
          <w:highlight w:val="none"/>
        </w:rPr>
        <w:t>图6：一般公共预算财政拨款支出决算结构</w:t>
      </w:r>
      <w:r>
        <w:rPr>
          <w:rFonts w:hint="eastAsia" w:ascii="仿宋_GB2312" w:hAnsi="仿宋_GB2312" w:eastAsia="仿宋_GB2312" w:cs="仿宋_GB2312"/>
          <w:color w:val="000000"/>
          <w:sz w:val="32"/>
          <w:szCs w:val="32"/>
          <w:highlight w:val="none"/>
          <w:lang w:eastAsia="zh-CN"/>
        </w:rPr>
        <w:t>图</w:t>
      </w:r>
    </w:p>
    <w:p>
      <w:pPr>
        <w:spacing w:line="600" w:lineRule="exact"/>
        <w:ind w:firstLine="643" w:firstLineChars="200"/>
        <w:outlineLvl w:val="2"/>
        <w:rPr>
          <w:rFonts w:hint="eastAsia" w:ascii="仿宋_GB2312" w:hAnsi="仿宋_GB2312" w:eastAsia="仿宋_GB2312" w:cs="仿宋_GB2312"/>
          <w:b/>
          <w:color w:val="000000"/>
          <w:sz w:val="32"/>
          <w:szCs w:val="32"/>
        </w:rPr>
      </w:pPr>
      <w:bookmarkStart w:id="30" w:name="_Toc15377212"/>
      <w:r>
        <w:rPr>
          <w:rFonts w:hint="eastAsia" w:ascii="仿宋_GB2312" w:hAnsi="仿宋_GB2312" w:eastAsia="仿宋_GB2312" w:cs="仿宋_GB2312"/>
          <w:b/>
          <w:color w:val="000000"/>
          <w:sz w:val="32"/>
          <w:szCs w:val="32"/>
        </w:rPr>
        <w:t>（三）一般公共预算财政拨款支出决算具体情况</w:t>
      </w:r>
      <w:bookmarkEnd w:id="30"/>
    </w:p>
    <w:p>
      <w:pPr>
        <w:spacing w:line="600" w:lineRule="exact"/>
        <w:ind w:firstLine="643" w:firstLineChars="200"/>
        <w:outlineLvl w:val="2"/>
        <w:rPr>
          <w:rFonts w:hint="eastAsia" w:ascii="仿宋_GB2312" w:hAnsi="仿宋_GB2312" w:eastAsia="仿宋_GB2312" w:cs="仿宋_GB2312"/>
          <w:color w:val="FF0000"/>
          <w:sz w:val="32"/>
          <w:szCs w:val="32"/>
        </w:rPr>
      </w:pPr>
      <w:bookmarkStart w:id="31" w:name="_Toc15378460"/>
      <w:bookmarkStart w:id="32" w:name="_Toc15377213"/>
      <w:bookmarkStart w:id="33" w:name="_Toc15377444"/>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329.12万元</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4"/>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4"/>
          <w:rFonts w:hint="eastAsia" w:ascii="仿宋_GB2312" w:hAnsi="仿宋_GB2312" w:eastAsia="仿宋_GB2312" w:cs="仿宋_GB2312"/>
          <w:bCs/>
          <w:color w:val="000000"/>
          <w:sz w:val="32"/>
          <w:szCs w:val="32"/>
        </w:rPr>
        <w:t>预算</w:t>
      </w:r>
      <w:r>
        <w:rPr>
          <w:rStyle w:val="14"/>
          <w:rFonts w:hint="eastAsia" w:ascii="仿宋_GB2312" w:hAnsi="仿宋_GB2312" w:eastAsia="仿宋_GB2312" w:cs="仿宋_GB2312"/>
          <w:bCs/>
          <w:color w:val="000000"/>
          <w:sz w:val="32"/>
          <w:szCs w:val="32"/>
          <w:lang w:val="en-US" w:eastAsia="zh-CN"/>
        </w:rPr>
        <w:t>85</w:t>
      </w:r>
      <w:r>
        <w:rPr>
          <w:rStyle w:val="14"/>
          <w:rFonts w:hint="eastAsia" w:ascii="仿宋_GB2312" w:hAnsi="仿宋_GB2312" w:eastAsia="仿宋_GB2312" w:cs="仿宋_GB2312"/>
          <w:bCs/>
          <w:color w:val="000000"/>
          <w:sz w:val="32"/>
          <w:szCs w:val="32"/>
        </w:rPr>
        <w:t>%。其中：</w:t>
      </w:r>
      <w:bookmarkEnd w:id="31"/>
      <w:bookmarkEnd w:id="32"/>
      <w:bookmarkEnd w:id="33"/>
    </w:p>
    <w:p>
      <w:pPr>
        <w:spacing w:line="600" w:lineRule="exact"/>
        <w:ind w:firstLine="643" w:firstLineChars="200"/>
        <w:rPr>
          <w:rFonts w:hint="eastAsia" w:ascii="仿宋_GB2312" w:hAnsi="仿宋_GB2312" w:eastAsia="仿宋_GB2312" w:cs="仿宋_GB2312"/>
          <w:sz w:val="32"/>
          <w:szCs w:val="32"/>
        </w:rPr>
      </w:pPr>
      <w:r>
        <w:rPr>
          <w:rStyle w:val="14"/>
          <w:rFonts w:hint="eastAsia" w:ascii="仿宋_GB2312" w:hAnsi="仿宋_GB2312" w:eastAsia="仿宋_GB2312" w:cs="仿宋_GB2312"/>
          <w:bCs/>
          <w:color w:val="000000"/>
          <w:sz w:val="32"/>
          <w:szCs w:val="32"/>
        </w:rPr>
        <w:t>1.一般公共服务（类）</w:t>
      </w:r>
      <w:r>
        <w:rPr>
          <w:rStyle w:val="14"/>
          <w:rFonts w:hint="eastAsia" w:ascii="仿宋_GB2312" w:hAnsi="仿宋_GB2312" w:eastAsia="仿宋_GB2312" w:cs="仿宋_GB2312"/>
          <w:bCs/>
          <w:color w:val="000000"/>
          <w:sz w:val="32"/>
          <w:szCs w:val="32"/>
          <w:lang w:eastAsia="zh-CN"/>
        </w:rPr>
        <w:t>财政事务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行政运行</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233.02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85</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人员减少</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2.一般公共服务（类）</w:t>
      </w:r>
      <w:r>
        <w:rPr>
          <w:rStyle w:val="14"/>
          <w:rFonts w:hint="eastAsia" w:ascii="仿宋_GB2312" w:hAnsi="仿宋_GB2312" w:eastAsia="仿宋_GB2312" w:cs="仿宋_GB2312"/>
          <w:bCs/>
          <w:color w:val="000000"/>
          <w:sz w:val="32"/>
          <w:szCs w:val="32"/>
          <w:lang w:eastAsia="zh-CN"/>
        </w:rPr>
        <w:t>财政事务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一般行政管理事务</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83</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根据执行中签订合同的实际金额支付</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3.社会保障和就业支出（类）行政事业单位养老支出（款）行政单位离退休（项）: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4.97</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与</w:t>
      </w:r>
      <w:r>
        <w:rPr>
          <w:rStyle w:val="14"/>
          <w:rFonts w:hint="eastAsia" w:ascii="仿宋_GB2312" w:hAnsi="仿宋_GB2312" w:eastAsia="仿宋_GB2312" w:cs="仿宋_GB2312"/>
          <w:b w:val="0"/>
          <w:bCs/>
          <w:color w:val="000000"/>
          <w:sz w:val="32"/>
          <w:szCs w:val="32"/>
        </w:rPr>
        <w:t>预算数</w:t>
      </w:r>
      <w:r>
        <w:rPr>
          <w:rStyle w:val="14"/>
          <w:rFonts w:hint="eastAsia" w:ascii="仿宋_GB2312" w:hAnsi="仿宋_GB2312" w:eastAsia="仿宋_GB2312" w:cs="仿宋_GB2312"/>
          <w:b w:val="0"/>
          <w:bCs/>
          <w:color w:val="000000"/>
          <w:sz w:val="32"/>
          <w:szCs w:val="32"/>
          <w:lang w:eastAsia="zh-CN"/>
        </w:rPr>
        <w:t>持平</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4.社会保障和就业支出（类）行政事业单位养老支出（款） 机关事业单位基本养老保险缴费支出（项）: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14.64</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68</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人员减少</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5.卫生健康支出（类）行政事业单位医疗（款）行政单位医疗（项）: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16.97</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98</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人员减少</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6.卫生健康支出（类）行政事业单位医疗（款）公务员医疗补助（项）: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3.5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%，决算数</w:t>
      </w:r>
      <w:r>
        <w:rPr>
          <w:rStyle w:val="14"/>
          <w:rFonts w:hint="eastAsia" w:ascii="仿宋_GB2312" w:hAnsi="仿宋_GB2312" w:eastAsia="仿宋_GB2312" w:cs="仿宋_GB2312"/>
          <w:b w:val="0"/>
          <w:bCs/>
          <w:color w:val="000000"/>
          <w:sz w:val="32"/>
          <w:szCs w:val="32"/>
          <w:lang w:eastAsia="zh-CN"/>
        </w:rPr>
        <w:t>与</w:t>
      </w:r>
      <w:r>
        <w:rPr>
          <w:rStyle w:val="14"/>
          <w:rFonts w:hint="eastAsia" w:ascii="仿宋_GB2312" w:hAnsi="仿宋_GB2312" w:eastAsia="仿宋_GB2312" w:cs="仿宋_GB2312"/>
          <w:b w:val="0"/>
          <w:bCs/>
          <w:color w:val="000000"/>
          <w:sz w:val="32"/>
          <w:szCs w:val="32"/>
        </w:rPr>
        <w:t>预算数</w:t>
      </w:r>
      <w:r>
        <w:rPr>
          <w:rStyle w:val="14"/>
          <w:rFonts w:hint="eastAsia" w:ascii="仿宋_GB2312" w:hAnsi="仿宋_GB2312" w:eastAsia="仿宋_GB2312" w:cs="仿宋_GB2312"/>
          <w:b w:val="0"/>
          <w:bCs/>
          <w:color w:val="000000"/>
          <w:sz w:val="32"/>
          <w:szCs w:val="32"/>
          <w:lang w:eastAsia="zh-CN"/>
        </w:rPr>
        <w:t>持平</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7</w:t>
      </w:r>
      <w:r>
        <w:rPr>
          <w:rStyle w:val="14"/>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住房保障支出</w:t>
      </w:r>
      <w:r>
        <w:rPr>
          <w:rStyle w:val="14"/>
          <w:rFonts w:hint="eastAsia" w:ascii="仿宋_GB2312" w:hAnsi="仿宋_GB2312" w:eastAsia="仿宋_GB2312" w:cs="仿宋_GB2312"/>
          <w:bCs/>
          <w:color w:val="000000"/>
          <w:sz w:val="32"/>
          <w:szCs w:val="32"/>
        </w:rPr>
        <w:t>（类）住房改革支出（款）住房公积金（项）: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17.55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87</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人员减少</w:t>
      </w:r>
      <w:r>
        <w:rPr>
          <w:rStyle w:val="14"/>
          <w:rFonts w:hint="eastAsia" w:ascii="仿宋_GB2312" w:hAnsi="仿宋_GB2312" w:eastAsia="仿宋_GB2312" w:cs="仿宋_GB2312"/>
          <w:b w:val="0"/>
          <w:bCs/>
          <w:color w:val="000000"/>
          <w:sz w:val="32"/>
          <w:szCs w:val="32"/>
        </w:rPr>
        <w:t>。</w:t>
      </w:r>
    </w:p>
    <w:p>
      <w:pPr>
        <w:spacing w:line="600" w:lineRule="exact"/>
        <w:ind w:firstLine="643" w:firstLineChars="200"/>
        <w:rPr>
          <w:rFonts w:hint="eastAsia" w:ascii="仿宋_GB2312" w:hAnsi="仿宋_GB2312" w:eastAsia="仿宋_GB2312" w:cs="仿宋_GB2312"/>
          <w:sz w:val="32"/>
          <w:szCs w:val="32"/>
        </w:rPr>
      </w:pPr>
      <w:r>
        <w:rPr>
          <w:rStyle w:val="14"/>
          <w:rFonts w:hint="eastAsia" w:ascii="仿宋_GB2312" w:hAnsi="仿宋_GB2312" w:eastAsia="仿宋_GB2312" w:cs="仿宋_GB2312"/>
          <w:bCs/>
          <w:color w:val="000000"/>
          <w:sz w:val="32"/>
          <w:szCs w:val="32"/>
          <w:lang w:val="en-US" w:eastAsia="zh-CN"/>
        </w:rPr>
        <w:t>8</w:t>
      </w:r>
      <w:r>
        <w:rPr>
          <w:rStyle w:val="14"/>
          <w:rFonts w:hint="eastAsia" w:ascii="仿宋_GB2312" w:hAnsi="仿宋_GB2312" w:eastAsia="仿宋_GB2312" w:cs="仿宋_GB2312"/>
          <w:bCs/>
          <w:color w:val="000000"/>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住房保障支出</w:t>
      </w:r>
      <w:r>
        <w:rPr>
          <w:rStyle w:val="14"/>
          <w:rFonts w:hint="eastAsia" w:ascii="仿宋_GB2312" w:hAnsi="仿宋_GB2312" w:eastAsia="仿宋_GB2312" w:cs="仿宋_GB2312"/>
          <w:bCs/>
          <w:color w:val="000000"/>
          <w:sz w:val="32"/>
          <w:szCs w:val="32"/>
        </w:rPr>
        <w:t>（类）住房改革支出（款）购房补贴（项）:</w:t>
      </w:r>
      <w:r>
        <w:rPr>
          <w:rStyle w:val="14"/>
          <w:rFonts w:hint="eastAsia" w:ascii="仿宋_GB2312" w:hAnsi="仿宋_GB2312" w:eastAsia="仿宋_GB2312" w:cs="仿宋_GB2312"/>
          <w:b w:val="0"/>
          <w:bCs/>
          <w:color w:val="000000"/>
          <w:sz w:val="32"/>
          <w:szCs w:val="32"/>
        </w:rPr>
        <w:t>支出决算为</w:t>
      </w:r>
      <w:r>
        <w:rPr>
          <w:rStyle w:val="14"/>
          <w:rFonts w:hint="eastAsia" w:ascii="仿宋_GB2312" w:hAnsi="仿宋_GB2312" w:eastAsia="仿宋_GB2312" w:cs="仿宋_GB2312"/>
          <w:b w:val="0"/>
          <w:bCs/>
          <w:color w:val="000000"/>
          <w:sz w:val="32"/>
          <w:szCs w:val="32"/>
          <w:lang w:val="en-US" w:eastAsia="zh-CN"/>
        </w:rPr>
        <w:t>28.47</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92</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执行中按照住房补贴实际审核结果发放给个人</w:t>
      </w:r>
      <w:r>
        <w:rPr>
          <w:rStyle w:val="14"/>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5"/>
        </w:rPr>
      </w:pPr>
      <w:bookmarkStart w:id="34" w:name="_Toc15396608"/>
      <w:bookmarkStart w:id="3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34"/>
      <w:bookmarkEnd w:id="35"/>
      <w:r>
        <w:rPr>
          <w:rStyle w:val="25"/>
          <w:rFonts w:ascii="黑体" w:hAnsi="黑体" w:eastAsia="黑体"/>
          <w:b w:val="0"/>
        </w:rPr>
        <w:tab/>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lang w:val="en-US" w:eastAsia="zh-CN"/>
        </w:rPr>
        <w:t>319.12</w:t>
      </w:r>
      <w:r>
        <w:rPr>
          <w:rFonts w:hint="eastAsia" w:ascii="仿宋_GB2312" w:hAnsi="仿宋_GB2312" w:eastAsia="仿宋_GB2312" w:cs="仿宋_GB2312"/>
          <w:color w:val="000000"/>
          <w:sz w:val="32"/>
          <w:szCs w:val="32"/>
        </w:rPr>
        <w:t>万元，其中：</w:t>
      </w:r>
    </w:p>
    <w:p>
      <w:pPr>
        <w:spacing w:line="600"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人员经费</w:t>
      </w:r>
      <w:r>
        <w:rPr>
          <w:rFonts w:hint="eastAsia" w:ascii="仿宋_GB2312" w:hAnsi="仿宋_GB2312" w:eastAsia="仿宋_GB2312" w:cs="仿宋_GB2312"/>
          <w:color w:val="000000"/>
          <w:sz w:val="32"/>
          <w:szCs w:val="32"/>
          <w:lang w:val="en-US" w:eastAsia="zh-CN"/>
        </w:rPr>
        <w:t>264.81</w:t>
      </w:r>
      <w:r>
        <w:rPr>
          <w:rFonts w:hint="eastAsia" w:ascii="仿宋_GB2312" w:hAnsi="仿宋_GB2312" w:eastAsia="仿宋_GB2312" w:cs="仿宋_GB2312"/>
          <w:color w:val="000000"/>
          <w:sz w:val="32"/>
          <w:szCs w:val="32"/>
        </w:rPr>
        <w:t>万元，主要包括：基本工资、津贴补贴、奖金、机关事业单位基本养老保险缴费、职工基本医疗保险缴费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其他工资福利支出、住房公积金、其他对个人和家庭的补助支出等。</w:t>
      </w:r>
    </w:p>
    <w:p>
      <w:pPr>
        <w:spacing w:line="600" w:lineRule="exact"/>
        <w:ind w:firstLine="645"/>
        <w:rPr>
          <w:rFonts w:hint="eastAsia" w:ascii="仿宋_GB2312" w:hAnsi="仿宋_GB2312" w:eastAsia="仿宋_GB2312" w:cs="仿宋_GB2312"/>
          <w:b/>
          <w:color w:val="FF0000"/>
          <w:sz w:val="32"/>
          <w:szCs w:val="32"/>
          <w:lang w:eastAsia="zh-CN"/>
        </w:rPr>
      </w:pPr>
      <w:r>
        <w:rPr>
          <w:rFonts w:hint="eastAsia" w:ascii="仿宋_GB2312" w:hAnsi="仿宋_GB2312" w:eastAsia="仿宋_GB2312" w:cs="仿宋_GB2312"/>
          <w:color w:val="000000"/>
          <w:sz w:val="32"/>
          <w:szCs w:val="32"/>
        </w:rPr>
        <w:t>公用经费</w:t>
      </w:r>
      <w:r>
        <w:rPr>
          <w:rFonts w:hint="eastAsia" w:ascii="仿宋_GB2312" w:hAnsi="仿宋_GB2312" w:eastAsia="仿宋_GB2312" w:cs="仿宋_GB2312"/>
          <w:color w:val="000000"/>
          <w:sz w:val="32"/>
          <w:szCs w:val="32"/>
          <w:lang w:val="en-US" w:eastAsia="zh-CN"/>
        </w:rPr>
        <w:t>54.31</w:t>
      </w:r>
      <w:r>
        <w:rPr>
          <w:rFonts w:hint="eastAsia" w:ascii="仿宋_GB2312" w:hAnsi="仿宋_GB2312" w:eastAsia="仿宋_GB2312" w:cs="仿宋_GB2312"/>
          <w:color w:val="000000"/>
          <w:sz w:val="32"/>
          <w:szCs w:val="32"/>
        </w:rPr>
        <w:t>万元，主要包括：办公费、水费、电费、邮电费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差旅费、工会经费、福利费、公务用车运行维护费、其他交通费、其他商品和服务支出等。</w:t>
      </w:r>
    </w:p>
    <w:p>
      <w:pPr>
        <w:spacing w:line="600" w:lineRule="exact"/>
        <w:ind w:firstLine="640"/>
        <w:outlineLvl w:val="1"/>
        <w:rPr>
          <w:rStyle w:val="25"/>
          <w:rFonts w:ascii="黑体" w:hAnsi="黑体" w:eastAsia="黑体"/>
          <w:b w:val="0"/>
        </w:rPr>
      </w:pPr>
      <w:bookmarkStart w:id="36" w:name="_Toc15377215"/>
      <w:bookmarkStart w:id="37" w:name="_Toc15396609"/>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36"/>
      <w:bookmarkEnd w:id="37"/>
    </w:p>
    <w:p>
      <w:pPr>
        <w:spacing w:line="600" w:lineRule="exact"/>
        <w:ind w:firstLine="640"/>
        <w:outlineLvl w:val="2"/>
        <w:rPr>
          <w:rFonts w:hint="eastAsia" w:ascii="仿宋_GB2312" w:hAnsi="仿宋_GB2312" w:eastAsia="仿宋_GB2312" w:cs="仿宋_GB2312"/>
          <w:b/>
          <w:color w:val="000000"/>
          <w:sz w:val="32"/>
          <w:szCs w:val="32"/>
        </w:rPr>
      </w:pPr>
      <w:bookmarkStart w:id="38" w:name="_Toc15377216"/>
      <w:r>
        <w:rPr>
          <w:rFonts w:hint="eastAsia" w:ascii="仿宋_GB2312" w:hAnsi="仿宋_GB2312" w:eastAsia="仿宋_GB2312" w:cs="仿宋_GB2312"/>
          <w:b/>
          <w:color w:val="000000"/>
          <w:sz w:val="32"/>
          <w:szCs w:val="32"/>
        </w:rPr>
        <w:t>（一）“三公”经费财政拨款支出决算总体情况说明</w:t>
      </w:r>
      <w:bookmarkEnd w:id="38"/>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2020年“三公”经费财政拨款支出决算为1.82万元，完成预算35%，决算数小于预算数的主要原因是因疫情影响，公务出行减少，相应减少公务用车使用。</w:t>
      </w:r>
    </w:p>
    <w:p>
      <w:pPr>
        <w:spacing w:line="600" w:lineRule="exact"/>
        <w:ind w:firstLine="640"/>
        <w:outlineLvl w:val="2"/>
        <w:rPr>
          <w:rFonts w:hint="eastAsia" w:ascii="仿宋_GB2312" w:hAnsi="仿宋_GB2312" w:eastAsia="仿宋_GB2312" w:cs="仿宋_GB2312"/>
          <w:b/>
          <w:color w:val="000000"/>
          <w:sz w:val="32"/>
          <w:szCs w:val="32"/>
        </w:rPr>
      </w:pPr>
      <w:bookmarkStart w:id="39" w:name="_Toc15377217"/>
      <w:r>
        <w:rPr>
          <w:rFonts w:hint="eastAsia" w:ascii="仿宋_GB2312" w:hAnsi="仿宋_GB2312" w:eastAsia="仿宋_GB2312" w:cs="仿宋_GB2312"/>
          <w:b/>
          <w:color w:val="000000"/>
          <w:sz w:val="32"/>
          <w:szCs w:val="32"/>
        </w:rPr>
        <w:t>（二）“三公”经费财政拨款支出决算具体情况说明</w:t>
      </w:r>
      <w:bookmarkEnd w:id="39"/>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2020年“三公”经费财政拨款支出决算中，因公出国（境）费支出决算0万元，占0%；公务用车购置及运行维护费支出决算1.82万元，占100%；公务接待费支出决算0万元，占0%。具体情况如下：</w:t>
      </w:r>
    </w:p>
    <w:p>
      <w:pPr>
        <w:pStyle w:val="2"/>
        <w:jc w:val="center"/>
        <w:rPr>
          <w:rFonts w:hint="eastAsia" w:eastAsia="仿宋"/>
          <w:lang w:eastAsia="zh-CN"/>
        </w:rPr>
      </w:pPr>
      <w:r>
        <w:rPr>
          <w:rFonts w:hint="eastAsia" w:eastAsia="仿宋"/>
          <w:lang w:eastAsia="zh-CN"/>
        </w:rPr>
        <w:drawing>
          <wp:inline distT="0" distB="0" distL="114300" distR="114300">
            <wp:extent cx="4171950" cy="2508250"/>
            <wp:effectExtent l="0" t="0" r="3810" b="6350"/>
            <wp:docPr id="12" name="图片 12"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4"/>
                    <pic:cNvPicPr>
                      <a:picLocks noChangeAspect="1"/>
                    </pic:cNvPicPr>
                  </pic:nvPicPr>
                  <pic:blipFill>
                    <a:blip r:embed="rId9"/>
                    <a:stretch>
                      <a:fillRect/>
                    </a:stretch>
                  </pic:blipFill>
                  <pic:spPr>
                    <a:xfrm>
                      <a:off x="0" y="0"/>
                      <a:ext cx="4171950" cy="2508250"/>
                    </a:xfrm>
                    <a:prstGeom prst="rect">
                      <a:avLst/>
                    </a:prstGeom>
                  </pic:spPr>
                </pic:pic>
              </a:graphicData>
            </a:graphic>
          </wp:inline>
        </w:drawing>
      </w:r>
    </w:p>
    <w:p>
      <w:pPr>
        <w:spacing w:line="600" w:lineRule="exact"/>
        <w:jc w:val="center"/>
        <w:rPr>
          <w:rFonts w:hint="eastAsia" w:ascii="仿宋" w:hAnsi="仿宋" w:eastAsia="仿宋"/>
          <w:color w:val="000000"/>
          <w:sz w:val="32"/>
          <w:szCs w:val="32"/>
          <w:highlight w:val="none"/>
          <w:lang w:eastAsia="zh-CN"/>
        </w:rPr>
      </w:pPr>
      <w:r>
        <w:rPr>
          <w:rFonts w:hint="eastAsia" w:ascii="仿宋_GB2312" w:hAnsi="仿宋_GB2312" w:eastAsia="仿宋_GB2312" w:cs="仿宋_GB2312"/>
          <w:color w:val="000000"/>
          <w:sz w:val="32"/>
          <w:szCs w:val="32"/>
          <w:highlight w:val="none"/>
        </w:rPr>
        <w:t>图7：“三公”经费财政拨款支出结构</w:t>
      </w:r>
      <w:r>
        <w:rPr>
          <w:rFonts w:hint="eastAsia" w:ascii="仿宋_GB2312" w:hAnsi="仿宋_GB2312" w:eastAsia="仿宋_GB2312" w:cs="仿宋_GB2312"/>
          <w:color w:val="000000"/>
          <w:sz w:val="32"/>
          <w:szCs w:val="32"/>
          <w:highlight w:val="none"/>
          <w:lang w:eastAsia="zh-CN"/>
        </w:rPr>
        <w:t>图</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1.因公出国（境）经费支出</w:t>
      </w:r>
      <w:r>
        <w:rPr>
          <w:rStyle w:val="14"/>
          <w:rFonts w:hint="eastAsia" w:ascii="仿宋_GB2312" w:hAnsi="仿宋_GB2312" w:eastAsia="仿宋_GB2312" w:cs="仿宋_GB2312"/>
          <w:b w:val="0"/>
          <w:bCs/>
          <w:color w:val="000000"/>
          <w:sz w:val="32"/>
          <w:szCs w:val="32"/>
          <w:lang w:val="en-US" w:eastAsia="zh-CN"/>
        </w:rPr>
        <w:t>0万元，本年度未安排因公出国（境）经费支出预算，较上年决算数无变化</w:t>
      </w:r>
      <w:r>
        <w:rPr>
          <w:rStyle w:val="14"/>
          <w:rFonts w:hint="eastAsia" w:ascii="仿宋_GB2312" w:hAnsi="仿宋_GB2312" w:eastAsia="仿宋_GB2312" w:cs="仿宋_GB2312"/>
          <w:b w:val="0"/>
          <w:bCs/>
          <w:color w:val="000000"/>
          <w:sz w:val="32"/>
          <w:szCs w:val="32"/>
          <w:lang w:val="en-US" w:eastAsia="zh-CN"/>
        </w:rPr>
        <w:t>。</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2.公务用车购置及运行维护费支出</w:t>
      </w:r>
      <w:r>
        <w:rPr>
          <w:rStyle w:val="14"/>
          <w:rFonts w:hint="eastAsia" w:ascii="仿宋_GB2312" w:hAnsi="仿宋_GB2312" w:eastAsia="仿宋_GB2312" w:cs="仿宋_GB2312"/>
          <w:b w:val="0"/>
          <w:bCs/>
          <w:color w:val="000000"/>
          <w:sz w:val="32"/>
          <w:szCs w:val="32"/>
          <w:lang w:val="en-US" w:eastAsia="zh-CN"/>
        </w:rPr>
        <w:t>1.82万元,完成预算100%。公务用车购置及运行维护费支出决算比2019年减少1.07万元，下降37%。主要原因是因疫情影响，差旅、会议事项减少，公务用车外出使用量相应减少。</w:t>
      </w:r>
    </w:p>
    <w:p>
      <w:pPr>
        <w:spacing w:line="600" w:lineRule="exact"/>
        <w:ind w:firstLine="640" w:firstLineChars="20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Style w:val="14"/>
          <w:rFonts w:hint="eastAsia" w:ascii="仿宋_GB2312" w:hAnsi="仿宋_GB2312" w:eastAsia="仿宋_GB2312" w:cs="仿宋_GB2312"/>
          <w:b w:val="0"/>
          <w:bCs/>
          <w:color w:val="000000"/>
          <w:sz w:val="32"/>
          <w:szCs w:val="32"/>
          <w:lang w:val="en-US" w:eastAsia="zh-CN"/>
        </w:rPr>
        <w:t>0万元。全年按规定更新购置公务用车0辆，其中：轿车0辆、金额0万元，越野车0辆、金额0万元，载客汽车0辆、金额0万元。截至2020年12月底，单位共有公务用车1辆，其中：轿车1辆、越野车0辆、载客汽车0辆。</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公务用车运行维护费支出</w:t>
      </w:r>
      <w:r>
        <w:rPr>
          <w:rStyle w:val="14"/>
          <w:rFonts w:hint="eastAsia" w:ascii="仿宋_GB2312" w:hAnsi="仿宋_GB2312" w:eastAsia="仿宋_GB2312" w:cs="仿宋_GB2312"/>
          <w:b w:val="0"/>
          <w:bCs/>
          <w:color w:val="000000"/>
          <w:sz w:val="32"/>
          <w:szCs w:val="32"/>
          <w:lang w:val="en-US" w:eastAsia="zh-CN"/>
        </w:rPr>
        <w:t>1.82万元。主要用于参会、调研等所需的公务用车燃料费、</w:t>
      </w:r>
      <w:bookmarkStart w:id="67" w:name="_GoBack"/>
      <w:bookmarkEnd w:id="67"/>
      <w:r>
        <w:rPr>
          <w:rStyle w:val="14"/>
          <w:rFonts w:hint="eastAsia" w:ascii="仿宋_GB2312" w:hAnsi="仿宋_GB2312" w:eastAsia="仿宋_GB2312" w:cs="仿宋_GB2312"/>
          <w:b w:val="0"/>
          <w:bCs/>
          <w:color w:val="000000"/>
          <w:sz w:val="32"/>
          <w:szCs w:val="32"/>
          <w:lang w:val="en-US" w:eastAsia="zh-CN"/>
        </w:rPr>
        <w:t>维修费、过路过桥费、保险费等支出。</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color w:val="000000"/>
          <w:sz w:val="32"/>
          <w:szCs w:val="32"/>
        </w:rPr>
        <w:t>3.公务接待费支出</w:t>
      </w:r>
      <w:r>
        <w:rPr>
          <w:rStyle w:val="14"/>
          <w:rFonts w:hint="eastAsia" w:ascii="仿宋_GB2312" w:hAnsi="仿宋_GB2312" w:eastAsia="仿宋_GB2312" w:cs="仿宋_GB2312"/>
          <w:b w:val="0"/>
          <w:bCs/>
          <w:color w:val="000000"/>
          <w:sz w:val="32"/>
          <w:szCs w:val="32"/>
          <w:lang w:val="en-US" w:eastAsia="zh-CN"/>
        </w:rPr>
        <w:t>0万元，</w:t>
      </w:r>
      <w:bookmarkStart w:id="40" w:name="_Toc15377218"/>
      <w:bookmarkStart w:id="41" w:name="_Toc15396610"/>
      <w:r>
        <w:rPr>
          <w:rStyle w:val="14"/>
          <w:rFonts w:hint="eastAsia" w:ascii="仿宋_GB2312" w:hAnsi="仿宋_GB2312" w:eastAsia="仿宋_GB2312" w:cs="仿宋_GB2312"/>
          <w:b w:val="0"/>
          <w:bCs/>
          <w:color w:val="000000"/>
          <w:sz w:val="32"/>
          <w:szCs w:val="32"/>
          <w:lang w:val="en-US" w:eastAsia="zh-CN"/>
        </w:rPr>
        <w:t>本年度未安排公务接待支出预算，较上年决算数无变化</w:t>
      </w:r>
      <w:r>
        <w:rPr>
          <w:rStyle w:val="14"/>
          <w:rFonts w:hint="eastAsia" w:ascii="仿宋_GB2312" w:hAnsi="仿宋_GB2312" w:eastAsia="仿宋_GB2312" w:cs="仿宋_GB2312"/>
          <w:b w:val="0"/>
          <w:bCs/>
          <w:color w:val="000000"/>
          <w:sz w:val="32"/>
          <w:szCs w:val="32"/>
          <w:lang w:val="en-US" w:eastAsia="zh-CN"/>
        </w:rPr>
        <w:t>。</w:t>
      </w:r>
    </w:p>
    <w:p>
      <w:pPr>
        <w:spacing w:line="600" w:lineRule="exact"/>
        <w:ind w:firstLine="640"/>
        <w:outlineLvl w:val="1"/>
        <w:rPr>
          <w:rStyle w:val="25"/>
          <w:rFonts w:ascii="黑体" w:hAnsi="黑体" w:eastAsia="黑体"/>
        </w:rPr>
      </w:pPr>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40"/>
      <w:bookmarkEnd w:id="41"/>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2020年政府性基金预算财政拨款支出0万元。</w:t>
      </w:r>
    </w:p>
    <w:p>
      <w:pPr>
        <w:numPr>
          <w:ilvl w:val="0"/>
          <w:numId w:val="3"/>
        </w:numPr>
        <w:spacing w:line="600" w:lineRule="exact"/>
        <w:ind w:firstLine="640"/>
        <w:outlineLvl w:val="1"/>
        <w:rPr>
          <w:rStyle w:val="25"/>
          <w:rFonts w:ascii="黑体" w:hAnsi="黑体" w:eastAsia="黑体"/>
          <w:b w:val="0"/>
        </w:rPr>
      </w:pPr>
      <w:bookmarkStart w:id="42" w:name="_Toc15377219"/>
      <w:bookmarkStart w:id="43" w:name="_Toc15396611"/>
      <w:r>
        <w:rPr>
          <w:rStyle w:val="25"/>
          <w:rFonts w:hint="eastAsia" w:ascii="黑体" w:hAnsi="黑体" w:eastAsia="黑体"/>
          <w:b w:val="0"/>
        </w:rPr>
        <w:t>国有资本经营预算支出决算情况说明</w:t>
      </w:r>
      <w:bookmarkEnd w:id="42"/>
      <w:bookmarkEnd w:id="43"/>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2020年国有资本经营预算财政拨款支出0万元。</w:t>
      </w:r>
    </w:p>
    <w:p>
      <w:pPr>
        <w:numPr>
          <w:ilvl w:val="0"/>
          <w:numId w:val="3"/>
        </w:numPr>
        <w:spacing w:line="600" w:lineRule="exact"/>
        <w:ind w:firstLine="640"/>
        <w:outlineLvl w:val="1"/>
        <w:rPr>
          <w:rStyle w:val="25"/>
          <w:rFonts w:hint="eastAsia" w:ascii="黑体" w:hAnsi="黑体" w:eastAsia="黑体"/>
          <w:b w:val="0"/>
        </w:rPr>
      </w:pPr>
      <w:bookmarkStart w:id="44" w:name="_Toc15396612"/>
      <w:bookmarkStart w:id="45" w:name="_Toc15377221"/>
      <w:r>
        <w:rPr>
          <w:rStyle w:val="25"/>
          <w:rFonts w:hint="eastAsia" w:ascii="黑体" w:hAnsi="黑体" w:eastAsia="黑体"/>
          <w:b w:val="0"/>
        </w:rPr>
        <w:t>其他重要事项的情况说明</w:t>
      </w:r>
      <w:bookmarkEnd w:id="44"/>
      <w:bookmarkEnd w:id="45"/>
    </w:p>
    <w:p>
      <w:pPr>
        <w:spacing w:line="600" w:lineRule="exact"/>
        <w:ind w:firstLine="643" w:firstLineChars="200"/>
        <w:outlineLvl w:val="2"/>
        <w:rPr>
          <w:rFonts w:hint="eastAsia" w:ascii="仿宋_GB2312" w:hAnsi="仿宋_GB2312" w:eastAsia="仿宋_GB2312" w:cs="仿宋_GB2312"/>
          <w:color w:val="000000"/>
          <w:sz w:val="32"/>
          <w:szCs w:val="32"/>
        </w:rPr>
      </w:pPr>
      <w:bookmarkStart w:id="46" w:name="_Toc15377222"/>
      <w:r>
        <w:rPr>
          <w:rFonts w:hint="eastAsia" w:ascii="仿宋_GB2312" w:hAnsi="仿宋_GB2312" w:eastAsia="仿宋_GB2312" w:cs="仿宋_GB2312"/>
          <w:b/>
          <w:color w:val="000000"/>
          <w:sz w:val="32"/>
          <w:szCs w:val="32"/>
        </w:rPr>
        <w:t>（一）机关运行经费支出情况</w:t>
      </w:r>
      <w:bookmarkEnd w:id="46"/>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2020年，四川省财政厅预算编审中心机关运行经费支出54.31万元，比2019年减少4.9万元，下降8%。主要原因是人员减少。</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47" w:name="_Toc15377223"/>
      <w:r>
        <w:rPr>
          <w:rFonts w:hint="eastAsia" w:ascii="仿宋_GB2312" w:hAnsi="仿宋_GB2312" w:eastAsia="仿宋_GB2312" w:cs="仿宋_GB2312"/>
          <w:b/>
          <w:color w:val="000000"/>
          <w:sz w:val="32"/>
          <w:szCs w:val="32"/>
        </w:rPr>
        <w:t>（二）政府采购支出情况</w:t>
      </w:r>
      <w:bookmarkEnd w:id="47"/>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2020年，四川省财政厅预算编审中心政府采购支出总额0万元。</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000000"/>
          <w:sz w:val="32"/>
          <w:szCs w:val="32"/>
        </w:rPr>
      </w:pPr>
      <w:bookmarkStart w:id="48" w:name="_Toc15377224"/>
      <w:r>
        <w:rPr>
          <w:rFonts w:hint="eastAsia" w:ascii="仿宋_GB2312" w:hAnsi="仿宋_GB2312" w:eastAsia="仿宋_GB2312" w:cs="仿宋_GB2312"/>
          <w:b/>
          <w:color w:val="000000"/>
          <w:sz w:val="32"/>
          <w:szCs w:val="32"/>
        </w:rPr>
        <w:t>（三）国有资产占有使用情况</w:t>
      </w:r>
      <w:bookmarkEnd w:id="48"/>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截至2020年12月31日，四川省财政厅预算编审中心共有车辆1辆，其中：主要领导干部用车0辆、机要通信用车0辆、应急保障用车0辆、其他用车1辆。其他用车主要是用于日常调研、参会等。单价50万元以上通用设备0台（套），单价100万元以上专用设备0台（套）。</w:t>
      </w:r>
    </w:p>
    <w:p>
      <w:pPr>
        <w:autoSpaceDE w:val="0"/>
        <w:autoSpaceDN w:val="0"/>
        <w:adjustRightInd w:val="0"/>
        <w:spacing w:line="600" w:lineRule="exact"/>
        <w:ind w:firstLine="643" w:firstLineChars="200"/>
        <w:jc w:val="left"/>
        <w:outlineLvl w:val="2"/>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rPr>
        <w:t>（四）预算绩效管理情况</w:t>
      </w:r>
    </w:p>
    <w:p>
      <w:pPr>
        <w:spacing w:line="600" w:lineRule="exact"/>
        <w:ind w:firstLine="640"/>
        <w:rPr>
          <w:rStyle w:val="14"/>
          <w:rFonts w:hint="eastAsia" w:ascii="仿宋_GB2312" w:hAnsi="仿宋_GB2312" w:eastAsia="仿宋_GB2312" w:cs="仿宋_GB2312"/>
          <w:b w:val="0"/>
          <w:bCs/>
          <w:color w:val="000000"/>
          <w:sz w:val="32"/>
          <w:szCs w:val="32"/>
          <w:lang w:val="en-US" w:eastAsia="zh-CN"/>
        </w:rPr>
      </w:pPr>
      <w:r>
        <w:rPr>
          <w:rStyle w:val="14"/>
          <w:rFonts w:hint="eastAsia" w:ascii="仿宋_GB2312" w:hAnsi="仿宋_GB2312" w:eastAsia="仿宋_GB2312" w:cs="仿宋_GB2312"/>
          <w:b w:val="0"/>
          <w:bCs/>
          <w:color w:val="000000"/>
          <w:sz w:val="32"/>
          <w:szCs w:val="32"/>
          <w:lang w:val="en-US" w:eastAsia="zh-CN"/>
        </w:rPr>
        <w:t>根据预算绩效管理要求，本单位无100万元以上项目，因此未开展预算事前绩效评估，未编制绩效目标，未开展绩效监控和绩效目标评价。</w:t>
      </w:r>
    </w:p>
    <w:p>
      <w:pPr>
        <w:spacing w:line="600" w:lineRule="exact"/>
        <w:ind w:firstLine="640"/>
        <w:rPr>
          <w:rStyle w:val="14"/>
          <w:rFonts w:hint="eastAsia" w:ascii="仿宋" w:hAnsi="仿宋" w:eastAsia="仿宋"/>
          <w:b w:val="0"/>
          <w:bCs/>
          <w:color w:val="000000"/>
          <w:sz w:val="32"/>
          <w:szCs w:val="32"/>
          <w:lang w:val="en-US" w:eastAsia="zh-CN"/>
        </w:rPr>
      </w:pPr>
    </w:p>
    <w:p>
      <w:pPr>
        <w:spacing w:line="600" w:lineRule="exact"/>
        <w:ind w:firstLine="640"/>
        <w:rPr>
          <w:rStyle w:val="14"/>
          <w:rFonts w:hint="eastAsia" w:ascii="仿宋" w:hAnsi="仿宋" w:eastAsia="仿宋"/>
          <w:b w:val="0"/>
          <w:bCs/>
          <w:color w:val="000000"/>
          <w:sz w:val="32"/>
          <w:szCs w:val="32"/>
          <w:lang w:val="en-US" w:eastAsia="zh-CN"/>
        </w:rPr>
      </w:pPr>
    </w:p>
    <w:p>
      <w:pPr>
        <w:pStyle w:val="2"/>
        <w:rPr>
          <w:rFonts w:ascii="仿宋_GB2312" w:hAnsi="仿宋_GB2312" w:eastAsia="仿宋_GB2312" w:cs="仿宋_GB2312"/>
          <w:color w:val="auto"/>
          <w:sz w:val="32"/>
          <w:szCs w:val="32"/>
        </w:rPr>
      </w:pPr>
    </w:p>
    <w:p>
      <w:pPr>
        <w:spacing w:line="580" w:lineRule="exact"/>
        <w:rPr>
          <w:rFonts w:ascii="仿宋_GB2312" w:eastAsia="仿宋_GB2312"/>
          <w:b/>
          <w:color w:val="FF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4"/>
          <w:rFonts w:ascii="黑体" w:hAnsi="黑体" w:eastAsia="黑体"/>
          <w:b w:val="0"/>
        </w:rPr>
      </w:pPr>
      <w:bookmarkStart w:id="49" w:name="_Toc15377225"/>
      <w:bookmarkStart w:id="50" w:name="_Toc15396613"/>
      <w:r>
        <w:rPr>
          <w:rFonts w:hint="eastAsia" w:ascii="黑体" w:hAnsi="黑体" w:eastAsia="黑体"/>
          <w:color w:val="000000"/>
          <w:sz w:val="44"/>
          <w:szCs w:val="44"/>
        </w:rPr>
        <w:t>名</w:t>
      </w:r>
      <w:r>
        <w:rPr>
          <w:rStyle w:val="24"/>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4</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财政事务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参公管理事业单位用于保障机构正常运行、开展日常工作的基本支出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5</w:t>
      </w:r>
      <w:r>
        <w:rPr>
          <w:rFonts w:ascii="仿宋_GB2312" w:eastAsia="仿宋_GB2312"/>
          <w:color w:val="000000"/>
          <w:sz w:val="32"/>
          <w:szCs w:val="32"/>
        </w:rPr>
        <w:t>.</w:t>
      </w:r>
      <w:r>
        <w:rPr>
          <w:rFonts w:hint="eastAsia" w:ascii="仿宋_GB2312" w:eastAsia="仿宋_GB2312"/>
          <w:color w:val="000000"/>
          <w:sz w:val="32"/>
          <w:szCs w:val="32"/>
        </w:rPr>
        <w:t>一般公共服务（类）</w:t>
      </w:r>
      <w:r>
        <w:rPr>
          <w:rFonts w:hint="eastAsia" w:ascii="仿宋_GB2312" w:eastAsia="仿宋_GB2312"/>
          <w:color w:val="000000"/>
          <w:sz w:val="32"/>
          <w:szCs w:val="32"/>
          <w:lang w:eastAsia="zh-CN"/>
        </w:rPr>
        <w:t>财政事务</w:t>
      </w:r>
      <w:r>
        <w:rPr>
          <w:rFonts w:hint="eastAsia" w:ascii="仿宋_GB2312" w:eastAsia="仿宋_GB2312"/>
          <w:color w:val="000000"/>
          <w:sz w:val="32"/>
          <w:szCs w:val="32"/>
        </w:rPr>
        <w:t>（款）</w:t>
      </w:r>
      <w:r>
        <w:rPr>
          <w:rFonts w:hint="eastAsia" w:ascii="仿宋_GB2312" w:eastAsia="仿宋_GB2312"/>
          <w:color w:val="000000"/>
          <w:sz w:val="32"/>
          <w:szCs w:val="32"/>
          <w:lang w:eastAsia="zh-CN"/>
        </w:rPr>
        <w:t>一般行政管理事务</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参公管理事业单位开展财政综合业务、预决算编审等未单独设置项级科目的专门性财政管理工作的项目支出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lang w:eastAsia="zh-CN"/>
        </w:rPr>
        <w:t>.社会保障和就业支出（类）行政事业单位养老支出（款）行政单位离退休（项）：指参公管理事业单位的离退休人员的支出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lang w:eastAsia="zh-CN"/>
        </w:rPr>
        <w:t>.社会保障和就业支出（类）行政事业单位养老支出（款） 机</w:t>
      </w:r>
      <w:r>
        <w:rPr>
          <w:rFonts w:hint="eastAsia" w:ascii="仿宋_GB2312" w:eastAsia="仿宋_GB2312"/>
          <w:color w:val="000000"/>
          <w:sz w:val="32"/>
          <w:szCs w:val="32"/>
          <w:lang w:val="en-US" w:eastAsia="zh-CN"/>
        </w:rPr>
        <w:t>关事业单位基本养老保险缴费支出（项）:指实施养老保险制度由单位缴纳的养老保险费的支出。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8.卫生健康支出（类）行政事业单位医疗（款）行政单位医疗（项）:指参公管理事业单位用于缴纳基本医疗保险的支出。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9.卫生健康支出（类）行政事业单位医疗（款）公务员医疗补助（项）:指参公管理事业单位用于集中公务员医疗补助的支出。</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10.住房保障支出（类）住房改革支出（款）住房公积金（项）:指按照《住房公积金管理条例》的规定，由单位为在职职工缴纳的住房公积金。</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11.住房保障支出（类）住房改革支出（款）购房补贴（项）:指按房改政策规定，向符合条件的职工发放的用于购买住房的补贴</w:t>
      </w:r>
      <w:r>
        <w:rPr>
          <w:rFonts w:hint="eastAsia" w:ascii="仿宋_GB2312" w:eastAsia="仿宋_GB2312"/>
          <w:color w:val="000000"/>
          <w:sz w:val="32"/>
          <w:szCs w:val="32"/>
          <w:lang w:eastAsia="zh-CN"/>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15</w:t>
      </w:r>
      <w:r>
        <w:rPr>
          <w:rFonts w:ascii="仿宋_GB2312" w:eastAsia="仿宋_GB2312"/>
          <w:sz w:val="32"/>
          <w:szCs w:val="32"/>
        </w:rPr>
        <w:t>.</w:t>
      </w:r>
      <w:r>
        <w:rPr>
          <w:rFonts w:hint="eastAsia" w:ascii="仿宋_GB2312" w:eastAsia="仿宋_GB2312"/>
          <w:sz w:val="32"/>
          <w:szCs w:val="32"/>
        </w:rPr>
        <w:t>“三公”经费：指</w:t>
      </w:r>
      <w:r>
        <w:rPr>
          <w:rFonts w:hint="eastAsia" w:ascii="仿宋_GB2312" w:eastAsia="仿宋_GB2312"/>
          <w:sz w:val="32"/>
          <w:szCs w:val="32"/>
          <w:lang w:eastAsia="zh-CN"/>
        </w:rPr>
        <w:t>单位</w:t>
      </w:r>
      <w:r>
        <w:rPr>
          <w:rFonts w:hint="eastAsia" w:ascii="仿宋_GB2312" w:eastAsia="仿宋_GB2312"/>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宋体"/>
          <w:b/>
          <w:color w:val="000000"/>
          <w:sz w:val="44"/>
          <w:szCs w:val="44"/>
        </w:rPr>
      </w:pPr>
      <w:bookmarkStart w:id="51" w:name="_Toc15377226"/>
    </w:p>
    <w:p>
      <w:pPr>
        <w:spacing w:line="600" w:lineRule="exact"/>
        <w:jc w:val="center"/>
        <w:outlineLvl w:val="0"/>
        <w:rPr>
          <w:rFonts w:ascii="宋体"/>
          <w:b/>
          <w:color w:val="000000"/>
          <w:sz w:val="44"/>
          <w:szCs w:val="44"/>
        </w:rPr>
      </w:pPr>
    </w:p>
    <w:p>
      <w:pPr>
        <w:spacing w:line="600" w:lineRule="exact"/>
        <w:jc w:val="center"/>
        <w:outlineLvl w:val="0"/>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pStyle w:val="2"/>
        <w:rPr>
          <w:rFonts w:ascii="宋体"/>
          <w:b/>
          <w:color w:val="000000"/>
          <w:sz w:val="44"/>
          <w:szCs w:val="44"/>
        </w:rPr>
      </w:pPr>
    </w:p>
    <w:p>
      <w:pPr>
        <w:spacing w:line="600" w:lineRule="exact"/>
        <w:jc w:val="center"/>
        <w:outlineLvl w:val="0"/>
        <w:rPr>
          <w:rStyle w:val="24"/>
          <w:rFonts w:hint="eastAsia" w:ascii="黑体" w:hAnsi="黑体" w:eastAsia="黑体"/>
          <w:b w:val="0"/>
        </w:rPr>
      </w:pPr>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4"/>
          <w:rFonts w:hint="eastAsia" w:ascii="黑体" w:hAnsi="黑体" w:eastAsia="黑体"/>
          <w:b w:val="0"/>
        </w:rPr>
        <w:t>四部分 附件</w:t>
      </w:r>
      <w:bookmarkEnd w:id="52"/>
    </w:p>
    <w:p>
      <w:pPr>
        <w:pStyle w:val="2"/>
        <w:rPr>
          <w:color w:val="auto"/>
        </w:rPr>
      </w:pPr>
    </w:p>
    <w:p>
      <w:pPr>
        <w:spacing w:line="600" w:lineRule="exact"/>
        <w:jc w:val="center"/>
        <w:rPr>
          <w:rFonts w:hint="eastAsia" w:ascii="方正小标宋简体" w:hAnsi="宋体" w:eastAsia="方正小标宋简体"/>
          <w:color w:val="auto"/>
          <w:kern w:val="0"/>
          <w:sz w:val="40"/>
          <w:szCs w:val="44"/>
          <w:lang w:eastAsia="zh-CN"/>
        </w:rPr>
      </w:pPr>
      <w:r>
        <w:rPr>
          <w:rFonts w:hint="eastAsia" w:ascii="方正小标宋简体" w:hAnsi="宋体" w:eastAsia="方正小标宋简体"/>
          <w:color w:val="auto"/>
          <w:kern w:val="0"/>
          <w:sz w:val="40"/>
          <w:szCs w:val="44"/>
          <w:lang w:eastAsia="zh-CN"/>
        </w:rPr>
        <w:t>四川省财政厅预算编审中心</w:t>
      </w:r>
    </w:p>
    <w:p>
      <w:pPr>
        <w:spacing w:line="600" w:lineRule="exact"/>
        <w:jc w:val="center"/>
        <w:rPr>
          <w:rFonts w:ascii="方正小标宋简体" w:hAnsi="宋体" w:eastAsia="方正小标宋简体"/>
          <w:color w:val="auto"/>
          <w:kern w:val="0"/>
          <w:sz w:val="40"/>
          <w:szCs w:val="44"/>
          <w:lang w:val="zh-CN"/>
        </w:rPr>
      </w:pPr>
      <w:r>
        <w:rPr>
          <w:rFonts w:ascii="方正小标宋简体" w:hAnsi="宋体" w:eastAsia="方正小标宋简体"/>
          <w:color w:val="auto"/>
          <w:kern w:val="0"/>
          <w:sz w:val="40"/>
          <w:szCs w:val="44"/>
        </w:rPr>
        <w:t>20</w:t>
      </w:r>
      <w:r>
        <w:rPr>
          <w:rFonts w:hint="eastAsia" w:ascii="方正小标宋简体" w:hAnsi="宋体" w:eastAsia="方正小标宋简体"/>
          <w:color w:val="auto"/>
          <w:kern w:val="0"/>
          <w:sz w:val="40"/>
          <w:szCs w:val="44"/>
          <w:lang w:val="en-US" w:eastAsia="zh-CN"/>
        </w:rPr>
        <w:t>20</w:t>
      </w:r>
      <w:r>
        <w:rPr>
          <w:rFonts w:ascii="方正小标宋简体" w:hAnsi="宋体" w:eastAsia="方正小标宋简体"/>
          <w:color w:val="auto"/>
          <w:kern w:val="0"/>
          <w:sz w:val="40"/>
          <w:szCs w:val="44"/>
        </w:rPr>
        <w:t>年</w:t>
      </w:r>
      <w:r>
        <w:rPr>
          <w:rFonts w:hint="eastAsia" w:ascii="方正小标宋简体" w:hAnsi="宋体" w:eastAsia="方正小标宋简体"/>
          <w:color w:val="auto"/>
          <w:kern w:val="0"/>
          <w:sz w:val="40"/>
          <w:szCs w:val="44"/>
          <w:lang w:eastAsia="zh-CN"/>
        </w:rPr>
        <w:t>预算项目</w:t>
      </w:r>
      <w:r>
        <w:rPr>
          <w:rFonts w:hint="eastAsia" w:ascii="方正小标宋简体" w:hAnsi="宋体" w:eastAsia="方正小标宋简体"/>
          <w:color w:val="auto"/>
          <w:kern w:val="0"/>
          <w:sz w:val="40"/>
          <w:szCs w:val="44"/>
          <w:lang w:val="zh-CN"/>
        </w:rPr>
        <w:t>支出绩效自评报告</w:t>
      </w:r>
    </w:p>
    <w:p>
      <w:pPr>
        <w:spacing w:line="58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（本单位不涉及此项工作。）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14"/>
          <w:rFonts w:hint="eastAsia" w:ascii="仿宋" w:hAnsi="仿宋" w:eastAsia="仿宋"/>
          <w:b w:val="0"/>
          <w:bCs/>
          <w:color w:val="000000"/>
          <w:sz w:val="32"/>
          <w:szCs w:val="32"/>
          <w:lang w:val="zh-CN" w:eastAsia="zh-CN"/>
        </w:rPr>
      </w:pP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FF0000"/>
          <w:kern w:val="2"/>
          <w:sz w:val="32"/>
          <w:szCs w:val="32"/>
          <w:lang w:val="zh-CN" w:eastAsia="zh-CN" w:bidi="ar-SA"/>
        </w:rPr>
      </w:pPr>
    </w:p>
    <w:p>
      <w:pPr>
        <w:spacing w:line="600" w:lineRule="exact"/>
        <w:jc w:val="center"/>
        <w:outlineLvl w:val="0"/>
        <w:rPr>
          <w:rFonts w:hint="eastAsia" w:ascii="黑体" w:hAnsi="黑体" w:eastAsia="黑体"/>
          <w:color w:val="000000"/>
          <w:sz w:val="44"/>
          <w:szCs w:val="44"/>
        </w:rPr>
      </w:pPr>
      <w:bookmarkStart w:id="53"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仿宋" w:hAnsi="仿宋" w:eastAsia="仿宋"/>
          <w:b w:val="0"/>
          <w:color w:val="000000"/>
        </w:rPr>
      </w:pPr>
      <w:r>
        <w:rPr>
          <w:rFonts w:hint="eastAsia" w:ascii="黑体" w:hAnsi="黑体" w:eastAsia="黑体"/>
          <w:color w:val="000000"/>
          <w:sz w:val="44"/>
          <w:szCs w:val="44"/>
        </w:rPr>
        <w:t>第</w:t>
      </w:r>
      <w:r>
        <w:rPr>
          <w:rStyle w:val="24"/>
          <w:rFonts w:hint="eastAsia" w:ascii="黑体" w:hAnsi="黑体" w:eastAsia="黑体"/>
          <w:b w:val="0"/>
        </w:rPr>
        <w:t>五部分 附表</w:t>
      </w:r>
      <w:bookmarkEnd w:id="51"/>
      <w:bookmarkEnd w:id="53"/>
      <w:bookmarkStart w:id="54" w:name="_Toc15396619"/>
    </w:p>
    <w:p>
      <w:pPr>
        <w:pStyle w:val="4"/>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color w:val="000000"/>
          <w:sz w:val="32"/>
          <w:szCs w:val="32"/>
        </w:rPr>
        <w:t>一、收</w:t>
      </w:r>
      <w:r>
        <w:rPr>
          <w:rStyle w:val="25"/>
          <w:rFonts w:hint="eastAsia" w:ascii="仿宋_GB2312" w:hAnsi="仿宋_GB2312" w:eastAsia="仿宋_GB2312" w:cs="仿宋_GB2312"/>
          <w:b w:val="0"/>
          <w:bCs w:val="0"/>
          <w:sz w:val="32"/>
          <w:szCs w:val="32"/>
        </w:rPr>
        <w:t>入支出决算总表</w:t>
      </w:r>
      <w:bookmarkEnd w:id="54"/>
    </w:p>
    <w:p>
      <w:pPr>
        <w:pStyle w:val="4"/>
        <w:rPr>
          <w:rFonts w:hint="eastAsia" w:ascii="仿宋_GB2312" w:hAnsi="仿宋_GB2312" w:eastAsia="仿宋_GB2312" w:cs="仿宋_GB2312"/>
          <w:color w:val="000000"/>
          <w:sz w:val="32"/>
          <w:szCs w:val="32"/>
        </w:rPr>
      </w:pPr>
      <w:bookmarkStart w:id="55" w:name="_Toc15396620"/>
      <w:r>
        <w:rPr>
          <w:rFonts w:hint="eastAsia" w:ascii="仿宋_GB2312" w:hAnsi="仿宋_GB2312" w:eastAsia="仿宋_GB2312" w:cs="仿宋_GB2312"/>
          <w:b w:val="0"/>
          <w:color w:val="000000"/>
          <w:sz w:val="32"/>
          <w:szCs w:val="32"/>
        </w:rPr>
        <w:t>二、收</w:t>
      </w:r>
      <w:r>
        <w:rPr>
          <w:rStyle w:val="25"/>
          <w:rFonts w:hint="eastAsia" w:ascii="仿宋_GB2312" w:hAnsi="仿宋_GB2312" w:eastAsia="仿宋_GB2312" w:cs="仿宋_GB2312"/>
          <w:b w:val="0"/>
          <w:bCs w:val="0"/>
          <w:sz w:val="32"/>
          <w:szCs w:val="32"/>
        </w:rPr>
        <w:t>入决算表</w:t>
      </w:r>
      <w:bookmarkEnd w:id="55"/>
    </w:p>
    <w:p>
      <w:pPr>
        <w:pStyle w:val="4"/>
        <w:rPr>
          <w:rFonts w:hint="eastAsia" w:ascii="仿宋_GB2312" w:hAnsi="仿宋_GB2312" w:eastAsia="仿宋_GB2312" w:cs="仿宋_GB2312"/>
          <w:color w:val="000000"/>
          <w:sz w:val="32"/>
          <w:szCs w:val="32"/>
        </w:rPr>
      </w:pPr>
      <w:bookmarkStart w:id="56" w:name="_Toc15396621"/>
      <w:r>
        <w:rPr>
          <w:rStyle w:val="25"/>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color w:val="000000"/>
          <w:sz w:val="32"/>
          <w:szCs w:val="32"/>
        </w:rPr>
        <w:t>支</w:t>
      </w:r>
      <w:r>
        <w:rPr>
          <w:rStyle w:val="25"/>
          <w:rFonts w:hint="eastAsia" w:ascii="仿宋_GB2312" w:hAnsi="仿宋_GB2312" w:eastAsia="仿宋_GB2312" w:cs="仿宋_GB2312"/>
          <w:b w:val="0"/>
          <w:bCs w:val="0"/>
          <w:sz w:val="32"/>
          <w:szCs w:val="32"/>
        </w:rPr>
        <w:t>出决算表</w:t>
      </w:r>
      <w:bookmarkEnd w:id="56"/>
    </w:p>
    <w:p>
      <w:pPr>
        <w:pStyle w:val="4"/>
        <w:rPr>
          <w:rFonts w:hint="eastAsia" w:ascii="仿宋_GB2312" w:hAnsi="仿宋_GB2312" w:eastAsia="仿宋_GB2312" w:cs="仿宋_GB2312"/>
          <w:b w:val="0"/>
          <w:color w:val="000000"/>
          <w:sz w:val="32"/>
          <w:szCs w:val="32"/>
        </w:rPr>
      </w:pPr>
      <w:bookmarkStart w:id="57" w:name="_Toc15396622"/>
      <w:r>
        <w:rPr>
          <w:rStyle w:val="25"/>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color w:val="000000"/>
          <w:sz w:val="32"/>
          <w:szCs w:val="32"/>
        </w:rPr>
        <w:t>财</w:t>
      </w:r>
      <w:r>
        <w:rPr>
          <w:rStyle w:val="25"/>
          <w:rFonts w:hint="eastAsia" w:ascii="仿宋_GB2312" w:hAnsi="仿宋_GB2312" w:eastAsia="仿宋_GB2312" w:cs="仿宋_GB2312"/>
          <w:b w:val="0"/>
          <w:bCs w:val="0"/>
          <w:sz w:val="32"/>
          <w:szCs w:val="32"/>
        </w:rPr>
        <w:t>政拨款收入支出决算总表</w:t>
      </w:r>
      <w:bookmarkEnd w:id="57"/>
    </w:p>
    <w:p>
      <w:pPr>
        <w:pStyle w:val="4"/>
        <w:rPr>
          <w:rStyle w:val="25"/>
          <w:rFonts w:hint="eastAsia" w:ascii="仿宋_GB2312" w:hAnsi="仿宋_GB2312" w:eastAsia="仿宋_GB2312" w:cs="仿宋_GB2312"/>
          <w:b w:val="0"/>
          <w:bCs w:val="0"/>
          <w:sz w:val="32"/>
          <w:szCs w:val="32"/>
        </w:rPr>
      </w:pPr>
      <w:bookmarkStart w:id="58" w:name="_Toc15396623"/>
      <w:r>
        <w:rPr>
          <w:rStyle w:val="25"/>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color w:val="000000"/>
          <w:sz w:val="32"/>
          <w:szCs w:val="32"/>
        </w:rPr>
        <w:t>财</w:t>
      </w:r>
      <w:r>
        <w:rPr>
          <w:rStyle w:val="25"/>
          <w:rFonts w:hint="eastAsia" w:ascii="仿宋_GB2312" w:hAnsi="仿宋_GB2312" w:eastAsia="仿宋_GB2312" w:cs="仿宋_GB2312"/>
          <w:b w:val="0"/>
          <w:bCs w:val="0"/>
          <w:sz w:val="32"/>
          <w:szCs w:val="32"/>
        </w:rPr>
        <w:t>政拨款支出决算明细表</w:t>
      </w:r>
      <w:bookmarkEnd w:id="58"/>
      <w:bookmarkStart w:id="59" w:name="_Toc15396624"/>
    </w:p>
    <w:p>
      <w:pPr>
        <w:pStyle w:val="4"/>
        <w:rPr>
          <w:rFonts w:hint="eastAsia" w:ascii="仿宋_GB2312" w:hAnsi="仿宋_GB2312" w:eastAsia="仿宋_GB2312" w:cs="仿宋_GB2312"/>
          <w:color w:val="000000"/>
          <w:sz w:val="32"/>
          <w:szCs w:val="32"/>
        </w:rPr>
      </w:pPr>
      <w:r>
        <w:rPr>
          <w:rStyle w:val="25"/>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般公共预算财政拨款支出决算表</w:t>
      </w:r>
      <w:bookmarkEnd w:id="59"/>
    </w:p>
    <w:p>
      <w:pPr>
        <w:pStyle w:val="4"/>
        <w:rPr>
          <w:rFonts w:hint="eastAsia" w:ascii="仿宋_GB2312" w:hAnsi="仿宋_GB2312" w:eastAsia="仿宋_GB2312" w:cs="仿宋_GB2312"/>
          <w:color w:val="000000"/>
          <w:sz w:val="32"/>
          <w:szCs w:val="32"/>
        </w:rPr>
      </w:pPr>
      <w:bookmarkStart w:id="60" w:name="_Toc15396625"/>
      <w:r>
        <w:rPr>
          <w:rStyle w:val="25"/>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般公共预算财政拨款支出决算明细表</w:t>
      </w:r>
      <w:bookmarkEnd w:id="60"/>
    </w:p>
    <w:p>
      <w:pPr>
        <w:pStyle w:val="4"/>
        <w:rPr>
          <w:rFonts w:hint="eastAsia" w:ascii="仿宋_GB2312" w:hAnsi="仿宋_GB2312" w:eastAsia="仿宋_GB2312" w:cs="仿宋_GB2312"/>
          <w:color w:val="000000"/>
          <w:sz w:val="32"/>
          <w:szCs w:val="32"/>
        </w:rPr>
      </w:pPr>
      <w:bookmarkStart w:id="61" w:name="_Toc15396626"/>
      <w:r>
        <w:rPr>
          <w:rStyle w:val="25"/>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般公共预算财政拨款基本支出决算表</w:t>
      </w:r>
      <w:bookmarkEnd w:id="61"/>
    </w:p>
    <w:p>
      <w:pPr>
        <w:pStyle w:val="4"/>
        <w:rPr>
          <w:rFonts w:hint="eastAsia" w:ascii="仿宋_GB2312" w:hAnsi="仿宋_GB2312" w:eastAsia="仿宋_GB2312" w:cs="仿宋_GB2312"/>
          <w:color w:val="000000"/>
          <w:sz w:val="32"/>
          <w:szCs w:val="32"/>
        </w:rPr>
      </w:pPr>
      <w:bookmarkStart w:id="62" w:name="_Toc15396627"/>
      <w:r>
        <w:rPr>
          <w:rStyle w:val="25"/>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般公共预算财政拨款项目支出决算表</w:t>
      </w:r>
      <w:bookmarkEnd w:id="62"/>
    </w:p>
    <w:p>
      <w:pPr>
        <w:pStyle w:val="4"/>
        <w:rPr>
          <w:rFonts w:hint="eastAsia" w:ascii="仿宋_GB2312" w:hAnsi="仿宋_GB2312" w:eastAsia="仿宋_GB2312" w:cs="仿宋_GB2312"/>
          <w:color w:val="000000"/>
          <w:sz w:val="32"/>
          <w:szCs w:val="32"/>
        </w:rPr>
      </w:pPr>
      <w:bookmarkStart w:id="63" w:name="_Toc15396628"/>
      <w:r>
        <w:rPr>
          <w:rStyle w:val="25"/>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color w:val="000000"/>
          <w:sz w:val="32"/>
          <w:szCs w:val="32"/>
        </w:rPr>
        <w:t>一</w:t>
      </w:r>
      <w:r>
        <w:rPr>
          <w:rStyle w:val="25"/>
          <w:rFonts w:hint="eastAsia" w:ascii="仿宋_GB2312" w:hAnsi="仿宋_GB2312" w:eastAsia="仿宋_GB2312" w:cs="仿宋_GB2312"/>
          <w:b w:val="0"/>
          <w:bCs w:val="0"/>
          <w:sz w:val="32"/>
          <w:szCs w:val="32"/>
        </w:rPr>
        <w:t>般公共预算财政拨款“三公”经费支出决算表</w:t>
      </w:r>
      <w:bookmarkEnd w:id="63"/>
    </w:p>
    <w:p>
      <w:pPr>
        <w:pStyle w:val="4"/>
        <w:rPr>
          <w:rFonts w:hint="eastAsia" w:ascii="仿宋_GB2312" w:hAnsi="仿宋_GB2312" w:eastAsia="仿宋_GB2312" w:cs="仿宋_GB2312"/>
          <w:color w:val="000000"/>
          <w:sz w:val="32"/>
          <w:szCs w:val="32"/>
        </w:rPr>
      </w:pPr>
      <w:bookmarkStart w:id="64" w:name="_Toc15396629"/>
      <w:r>
        <w:rPr>
          <w:rStyle w:val="25"/>
          <w:rFonts w:hint="eastAsia" w:ascii="仿宋_GB2312" w:hAnsi="仿宋_GB2312" w:eastAsia="仿宋_GB2312" w:cs="仿宋_GB2312"/>
          <w:b w:val="0"/>
          <w:bCs w:val="0"/>
          <w:sz w:val="32"/>
          <w:szCs w:val="32"/>
        </w:rPr>
        <w:t>十一、</w:t>
      </w:r>
      <w:r>
        <w:rPr>
          <w:rFonts w:hint="eastAsia" w:ascii="仿宋_GB2312" w:hAnsi="仿宋_GB2312" w:eastAsia="仿宋_GB2312" w:cs="仿宋_GB2312"/>
          <w:b w:val="0"/>
          <w:color w:val="000000"/>
          <w:sz w:val="32"/>
          <w:szCs w:val="32"/>
        </w:rPr>
        <w:t>政</w:t>
      </w:r>
      <w:r>
        <w:rPr>
          <w:rStyle w:val="25"/>
          <w:rFonts w:hint="eastAsia" w:ascii="仿宋_GB2312" w:hAnsi="仿宋_GB2312" w:eastAsia="仿宋_GB2312" w:cs="仿宋_GB2312"/>
          <w:b w:val="0"/>
          <w:bCs w:val="0"/>
          <w:sz w:val="32"/>
          <w:szCs w:val="32"/>
        </w:rPr>
        <w:t>府性基金预算财政拨款收入支出决算表</w:t>
      </w:r>
      <w:bookmarkEnd w:id="64"/>
    </w:p>
    <w:p>
      <w:pPr>
        <w:pStyle w:val="4"/>
        <w:rPr>
          <w:rFonts w:hint="eastAsia" w:ascii="仿宋_GB2312" w:hAnsi="仿宋_GB2312" w:eastAsia="仿宋_GB2312" w:cs="仿宋_GB2312"/>
          <w:color w:val="000000"/>
          <w:sz w:val="32"/>
          <w:szCs w:val="32"/>
        </w:rPr>
      </w:pPr>
      <w:bookmarkStart w:id="65" w:name="_Toc15396630"/>
      <w:r>
        <w:rPr>
          <w:rStyle w:val="25"/>
          <w:rFonts w:hint="eastAsia" w:ascii="仿宋_GB2312" w:hAnsi="仿宋_GB2312" w:eastAsia="仿宋_GB2312" w:cs="仿宋_GB2312"/>
          <w:b w:val="0"/>
          <w:bCs w:val="0"/>
          <w:sz w:val="32"/>
          <w:szCs w:val="32"/>
        </w:rPr>
        <w:t>十二、</w:t>
      </w:r>
      <w:r>
        <w:rPr>
          <w:rFonts w:hint="eastAsia" w:ascii="仿宋_GB2312" w:hAnsi="仿宋_GB2312" w:eastAsia="仿宋_GB2312" w:cs="仿宋_GB2312"/>
          <w:b w:val="0"/>
          <w:color w:val="000000"/>
          <w:sz w:val="32"/>
          <w:szCs w:val="32"/>
        </w:rPr>
        <w:t>政</w:t>
      </w:r>
      <w:r>
        <w:rPr>
          <w:rStyle w:val="25"/>
          <w:rFonts w:hint="eastAsia" w:ascii="仿宋_GB2312" w:hAnsi="仿宋_GB2312" w:eastAsia="仿宋_GB2312" w:cs="仿宋_GB2312"/>
          <w:b w:val="0"/>
          <w:bCs w:val="0"/>
          <w:sz w:val="32"/>
          <w:szCs w:val="32"/>
        </w:rPr>
        <w:t>府性基金预算财政拨款“三公”经费支出决算表</w:t>
      </w:r>
      <w:bookmarkEnd w:id="65"/>
    </w:p>
    <w:p>
      <w:pPr>
        <w:pStyle w:val="4"/>
        <w:rPr>
          <w:rStyle w:val="25"/>
          <w:rFonts w:hint="eastAsia" w:ascii="仿宋_GB2312" w:hAnsi="仿宋_GB2312" w:eastAsia="仿宋_GB2312" w:cs="仿宋_GB2312"/>
          <w:b w:val="0"/>
          <w:bCs w:val="0"/>
          <w:sz w:val="32"/>
          <w:szCs w:val="32"/>
        </w:rPr>
      </w:pPr>
      <w:bookmarkStart w:id="66" w:name="_Toc15396631"/>
      <w:r>
        <w:rPr>
          <w:rStyle w:val="25"/>
          <w:rFonts w:hint="eastAsia" w:ascii="仿宋_GB2312" w:hAnsi="仿宋_GB2312" w:eastAsia="仿宋_GB2312" w:cs="仿宋_GB2312"/>
          <w:b w:val="0"/>
          <w:bCs w:val="0"/>
          <w:sz w:val="32"/>
          <w:szCs w:val="32"/>
        </w:rPr>
        <w:t>十三、</w:t>
      </w:r>
      <w:r>
        <w:rPr>
          <w:rFonts w:hint="eastAsia" w:ascii="仿宋_GB2312" w:hAnsi="仿宋_GB2312" w:eastAsia="仿宋_GB2312" w:cs="仿宋_GB2312"/>
          <w:b w:val="0"/>
          <w:color w:val="000000"/>
          <w:sz w:val="32"/>
          <w:szCs w:val="32"/>
        </w:rPr>
        <w:t>国</w:t>
      </w:r>
      <w:r>
        <w:rPr>
          <w:rStyle w:val="25"/>
          <w:rFonts w:hint="eastAsia" w:ascii="仿宋_GB2312" w:hAnsi="仿宋_GB2312" w:eastAsia="仿宋_GB2312" w:cs="仿宋_GB2312"/>
          <w:b w:val="0"/>
          <w:bCs w:val="0"/>
          <w:sz w:val="32"/>
          <w:szCs w:val="32"/>
        </w:rPr>
        <w:t>有资本经营预算</w:t>
      </w:r>
      <w:r>
        <w:rPr>
          <w:rStyle w:val="25"/>
          <w:rFonts w:hint="eastAsia" w:ascii="仿宋_GB2312" w:hAnsi="仿宋_GB2312" w:eastAsia="仿宋_GB2312" w:cs="仿宋_GB2312"/>
          <w:b w:val="0"/>
          <w:bCs w:val="0"/>
          <w:sz w:val="32"/>
          <w:szCs w:val="32"/>
          <w:lang w:eastAsia="zh-CN"/>
        </w:rPr>
        <w:t>财政拨款收入</w:t>
      </w:r>
      <w:r>
        <w:rPr>
          <w:rStyle w:val="25"/>
          <w:rFonts w:hint="eastAsia" w:ascii="仿宋_GB2312" w:hAnsi="仿宋_GB2312" w:eastAsia="仿宋_GB2312" w:cs="仿宋_GB2312"/>
          <w:b w:val="0"/>
          <w:bCs w:val="0"/>
          <w:sz w:val="32"/>
          <w:szCs w:val="32"/>
        </w:rPr>
        <w:t>支出决算表</w:t>
      </w:r>
      <w:bookmarkEnd w:id="66"/>
    </w:p>
    <w:p>
      <w:pPr>
        <w:rPr>
          <w:rFonts w:hint="eastAsia" w:ascii="仿宋_GB2312" w:hAnsi="仿宋_GB2312" w:eastAsia="仿宋_GB2312" w:cs="仿宋_GB2312"/>
          <w:sz w:val="32"/>
          <w:szCs w:val="32"/>
          <w:lang w:eastAsia="zh-CN"/>
        </w:rPr>
      </w:pPr>
      <w:r>
        <w:rPr>
          <w:rStyle w:val="25"/>
          <w:rFonts w:hint="eastAsia" w:ascii="仿宋_GB2312" w:hAnsi="仿宋_GB2312" w:eastAsia="仿宋_GB2312" w:cs="仿宋_GB2312"/>
          <w:b w:val="0"/>
          <w:bCs w:val="0"/>
          <w:sz w:val="32"/>
          <w:szCs w:val="32"/>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D797F"/>
    <w:multiLevelType w:val="singleLevel"/>
    <w:tmpl w:val="C64D797F"/>
    <w:lvl w:ilvl="0" w:tentative="0">
      <w:start w:val="1"/>
      <w:numFmt w:val="chineseCounting"/>
      <w:suff w:val="nothing"/>
      <w:lvlText w:val="%1、"/>
      <w:lvlJc w:val="left"/>
      <w:pPr>
        <w:ind w:left="630"/>
      </w:pPr>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lMzQzNTI1OGU2MmVlNGM0ZTBiZjMxNTAxNTE4YTc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AB2297"/>
    <w:rsid w:val="02AB7592"/>
    <w:rsid w:val="03CF59FA"/>
    <w:rsid w:val="048E0480"/>
    <w:rsid w:val="0A2032A3"/>
    <w:rsid w:val="0A6B1D10"/>
    <w:rsid w:val="0EF1775F"/>
    <w:rsid w:val="0FD22F66"/>
    <w:rsid w:val="10C055FF"/>
    <w:rsid w:val="118107EC"/>
    <w:rsid w:val="16BB723D"/>
    <w:rsid w:val="18015F3F"/>
    <w:rsid w:val="1A3969B7"/>
    <w:rsid w:val="1AA711C4"/>
    <w:rsid w:val="1BE8440E"/>
    <w:rsid w:val="1D155CEE"/>
    <w:rsid w:val="1F7C5161"/>
    <w:rsid w:val="20F57F95"/>
    <w:rsid w:val="240371BF"/>
    <w:rsid w:val="24483726"/>
    <w:rsid w:val="244C19FA"/>
    <w:rsid w:val="25612F55"/>
    <w:rsid w:val="27FA607B"/>
    <w:rsid w:val="29FD04D3"/>
    <w:rsid w:val="2ABE7A3E"/>
    <w:rsid w:val="2C1A3051"/>
    <w:rsid w:val="2D1E7816"/>
    <w:rsid w:val="319F7F4E"/>
    <w:rsid w:val="31E90A17"/>
    <w:rsid w:val="32015AB2"/>
    <w:rsid w:val="35413206"/>
    <w:rsid w:val="37620ECD"/>
    <w:rsid w:val="3C0C0783"/>
    <w:rsid w:val="40C84281"/>
    <w:rsid w:val="44BF40CA"/>
    <w:rsid w:val="46942814"/>
    <w:rsid w:val="46D80620"/>
    <w:rsid w:val="488861A4"/>
    <w:rsid w:val="48FC10D7"/>
    <w:rsid w:val="496F39ED"/>
    <w:rsid w:val="4BE068DB"/>
    <w:rsid w:val="4BF6002B"/>
    <w:rsid w:val="4CB40A67"/>
    <w:rsid w:val="4ECE2238"/>
    <w:rsid w:val="54BB6948"/>
    <w:rsid w:val="579D382C"/>
    <w:rsid w:val="5829534E"/>
    <w:rsid w:val="596206AD"/>
    <w:rsid w:val="5AEC2B95"/>
    <w:rsid w:val="5B984F5D"/>
    <w:rsid w:val="5BD6285D"/>
    <w:rsid w:val="604F4A58"/>
    <w:rsid w:val="643232DF"/>
    <w:rsid w:val="647573FD"/>
    <w:rsid w:val="64CA39A1"/>
    <w:rsid w:val="66D27FD9"/>
    <w:rsid w:val="6AB13AB8"/>
    <w:rsid w:val="6C4A05C8"/>
    <w:rsid w:val="6D3A4A49"/>
    <w:rsid w:val="6F033D3E"/>
    <w:rsid w:val="70543024"/>
    <w:rsid w:val="70DD4990"/>
    <w:rsid w:val="72734D90"/>
    <w:rsid w:val="77F10E62"/>
    <w:rsid w:val="7A036CE1"/>
    <w:rsid w:val="7BB80543"/>
    <w:rsid w:val="7D264246"/>
    <w:rsid w:val="7FCC2E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chart" Target="charts/chart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20013;&#24515;&#20915;&#31639;&#20844;&#24320;\&#22270;\&#24037;&#20316;&#318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explosion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explosion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explosion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explosion val="0"/>
            <c:spPr>
              <a:gradFill>
                <a:gsLst>
                  <a:gs pos="100000">
                    <a:schemeClr val="accent4">
                      <a:lumMod val="60000"/>
                      <a:lumOff val="40000"/>
                    </a:schemeClr>
                  </a:gs>
                  <a:gs pos="0">
                    <a:schemeClr val="accent4"/>
                  </a:gs>
                </a:gsLst>
                <a:lin ang="5400000" scaled="0"/>
              </a:gradFill>
              <a:ln w="19050">
                <a:solidFill>
                  <a:schemeClr val="lt1"/>
                </a:solidFill>
              </a:ln>
              <a:effectLst/>
            </c:spPr>
          </c:dPt>
          <c:dLbls>
            <c:dLbl>
              <c:idx val="0"/>
              <c:layout>
                <c:manualLayout>
                  <c:x val="0.0324267782426778"/>
                  <c:y val="0.00656574867773117"/>
                </c:manualLayout>
              </c:layout>
              <c:tx>
                <c:rich>
                  <a:bodyPr rot="0" spcFirstLastPara="0" vertOverflow="ellipsis" vert="horz" wrap="square" lIns="38100" tIns="19050" rIns="38100" bIns="19050" anchor="ctr" anchorCtr="0"/>
                  <a:lstStyle/>
                  <a:p>
                    <a:pPr defTabSz="914400">
                      <a:defRPr lang="zh-CN" sz="900" b="0" i="0" u="none" strike="noStrike" kern="1200" baseline="0">
                        <a:solidFill>
                          <a:schemeClr val="dk1">
                            <a:lumMod val="75000"/>
                            <a:lumOff val="25000"/>
                          </a:schemeClr>
                        </a:solidFill>
                        <a:latin typeface="+mn-lt"/>
                        <a:ea typeface="+mn-ea"/>
                        <a:cs typeface="+mn-cs"/>
                      </a:defRPr>
                    </a:pPr>
                    <a:r>
                      <a:t>一般公共服务支出7</a:t>
                    </a:r>
                    <a:r>
                      <a:rPr lang="en-US" altLang="zh-CN"/>
                      <a:t>3.84</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0661655367025825"/>
                  <c:y val="0.0491547528911755"/>
                </c:manualLayout>
              </c:layout>
              <c:tx>
                <c:rich>
                  <a:bodyPr rot="0" spcFirstLastPara="0" vertOverflow="ellipsis" vert="horz" wrap="square" lIns="38100" tIns="19050" rIns="38100" bIns="19050" anchor="ctr" anchorCtr="0"/>
                  <a:lstStyle/>
                  <a:p>
                    <a:pPr defTabSz="914400">
                      <a:defRPr lang="zh-CN" sz="900" b="0" i="0" u="none" strike="noStrike" kern="1200" baseline="0">
                        <a:solidFill>
                          <a:schemeClr val="dk1">
                            <a:lumMod val="75000"/>
                            <a:lumOff val="25000"/>
                          </a:schemeClr>
                        </a:solidFill>
                        <a:latin typeface="+mn-lt"/>
                        <a:ea typeface="+mn-ea"/>
                        <a:cs typeface="+mn-cs"/>
                      </a:defRPr>
                    </a:pPr>
                    <a:r>
                      <a:t>社会保障和就业支出5.96%</a:t>
                    </a:r>
                  </a:p>
                </c:rich>
              </c:tx>
              <c:numFmt formatCode="General" sourceLinked="1"/>
              <c:spPr>
                <a:noFill/>
                <a:ln>
                  <a:noFill/>
                </a:ln>
                <a:effectLst/>
              </c:spPr>
              <c:txPr>
                <a:bodyPr rot="0" spcFirstLastPara="0" vertOverflow="ellipsis" vert="horz" wrap="square" lIns="38100" tIns="19050" rIns="38100" bIns="19050" anchor="ctr" anchorCtr="0"/>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3631110040934"/>
                      <c:h val="0.24735516372796"/>
                    </c:manualLayout>
                  </c15:layout>
                </c:ext>
              </c:extLst>
            </c:dLbl>
            <c:dLbl>
              <c:idx val="2"/>
              <c:layout>
                <c:manualLayout>
                  <c:x val="-0.0409754276831146"/>
                  <c:y val="-0.0157410784850143"/>
                </c:manualLayout>
              </c:layout>
              <c:tx>
                <c:rich>
                  <a:bodyPr rot="0" spcFirstLastPara="0" vertOverflow="ellipsis" vert="horz" wrap="square" lIns="38100" tIns="19050" rIns="38100" bIns="19050" anchor="ctr" anchorCtr="0"/>
                  <a:lstStyle/>
                  <a:p>
                    <a:pPr defTabSz="914400">
                      <a:defRPr lang="zh-CN" sz="900" b="0" i="0" u="none" strike="noStrike" kern="1200" baseline="0">
                        <a:solidFill>
                          <a:schemeClr val="dk1">
                            <a:lumMod val="75000"/>
                            <a:lumOff val="25000"/>
                          </a:schemeClr>
                        </a:solidFill>
                        <a:latin typeface="+mn-lt"/>
                        <a:ea typeface="+mn-ea"/>
                        <a:cs typeface="+mn-cs"/>
                      </a:defRPr>
                    </a:pPr>
                    <a:r>
                      <a:t>卫生健康支出6</a:t>
                    </a:r>
                    <a:r>
                      <a:rPr lang="en-US" altLang="zh-CN"/>
                      <a:t>.22</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399796607035548"/>
                  <c:y val="0.0361111111111112"/>
                </c:manualLayout>
              </c:layout>
              <c:tx>
                <c:rich>
                  <a:bodyPr rot="0" spcFirstLastPara="0" vertOverflow="ellipsis" vert="horz" wrap="square" lIns="38100" tIns="19050" rIns="38100" bIns="19050" anchor="ctr" anchorCtr="0"/>
                  <a:lstStyle/>
                  <a:p>
                    <a:pPr defTabSz="914400">
                      <a:defRPr lang="zh-CN" sz="900" b="0" i="0" u="none" strike="noStrike" kern="1200" baseline="0">
                        <a:solidFill>
                          <a:schemeClr val="dk1">
                            <a:lumMod val="75000"/>
                            <a:lumOff val="25000"/>
                          </a:schemeClr>
                        </a:solidFill>
                        <a:latin typeface="+mn-lt"/>
                        <a:ea typeface="+mn-ea"/>
                        <a:cs typeface="+mn-cs"/>
                      </a:defRPr>
                    </a:pPr>
                    <a:r>
                      <a:t>住房保障支出</a:t>
                    </a:r>
                  </a:p>
                  <a:p>
                    <a:pPr defTabSz="914400">
                      <a:defRPr lang="zh-CN" sz="900" b="0" i="0" u="none" strike="noStrike" kern="1200" baseline="0">
                        <a:solidFill>
                          <a:schemeClr val="dk1">
                            <a:lumMod val="75000"/>
                            <a:lumOff val="25000"/>
                          </a:schemeClr>
                        </a:solidFill>
                        <a:latin typeface="+mn-lt"/>
                        <a:ea typeface="+mn-ea"/>
                        <a:cs typeface="+mn-cs"/>
                      </a:defRPr>
                    </a:pPr>
                    <a:r>
                      <a:rPr lang="en-US" altLang="zh-CN"/>
                      <a:t>13.98</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[工作簿1.xlsx]Sheet1!$A$2:$D$2</c:f>
              <c:strCache>
                <c:ptCount val="4"/>
                <c:pt idx="0">
                  <c:v>一般公共服务支出</c:v>
                </c:pt>
                <c:pt idx="1">
                  <c:v>社会保障和就业支出</c:v>
                </c:pt>
                <c:pt idx="2">
                  <c:v>卫生健康支出</c:v>
                </c:pt>
                <c:pt idx="3">
                  <c:v>住房保障支出</c:v>
                </c:pt>
              </c:strCache>
            </c:strRef>
          </c:cat>
          <c:val>
            <c:numRef>
              <c:f>[工作簿1.xlsx]Sheet1!$A$3:$D$3</c:f>
              <c:numCache>
                <c:formatCode>General</c:formatCode>
                <c:ptCount val="4"/>
                <c:pt idx="0">
                  <c:v>243.02</c:v>
                </c:pt>
                <c:pt idx="1">
                  <c:v>19.61</c:v>
                </c:pt>
                <c:pt idx="2">
                  <c:v>20.47</c:v>
                </c:pt>
                <c:pt idx="3">
                  <c:v>46.02</c:v>
                </c:pt>
              </c:numCache>
            </c:numRef>
          </c:val>
        </c:ser>
        <c:ser>
          <c:idx val="1"/>
          <c:order val="1"/>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[工作簿1.xlsx]Sheet1!$A$2:$D$2</c:f>
              <c:strCache>
                <c:ptCount val="4"/>
                <c:pt idx="0">
                  <c:v>一般公共服务支出</c:v>
                </c:pt>
                <c:pt idx="1">
                  <c:v>社会保障和就业支出</c:v>
                </c:pt>
                <c:pt idx="2">
                  <c:v>卫生健康支出</c:v>
                </c:pt>
                <c:pt idx="3">
                  <c:v>住房保障支出</c:v>
                </c:pt>
              </c:strCache>
            </c:strRef>
          </c:cat>
          <c:val>
            <c:numRef>
              <c:f>[工作簿1.xlsx]Sheet1!$A$4:$D$4</c:f>
              <c:numCache>
                <c:formatCode>0.00%</c:formatCode>
                <c:ptCount val="4"/>
                <c:pt idx="0">
                  <c:v>0.738393291200778</c:v>
                </c:pt>
                <c:pt idx="1">
                  <c:v>0.0595831307729703</c:v>
                </c:pt>
                <c:pt idx="2">
                  <c:v>0.0621961594555177</c:v>
                </c:pt>
                <c:pt idx="3">
                  <c:v>0.139827418570734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4901</Words>
  <Characters>5252</Characters>
  <Lines>61</Lines>
  <Paragraphs>17</Paragraphs>
  <TotalTime>12</TotalTime>
  <ScaleCrop>false</ScaleCrop>
  <LinksUpToDate>false</LinksUpToDate>
  <CharactersWithSpaces>5269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饭米米</cp:lastModifiedBy>
  <cp:lastPrinted>2021-09-09T07:17:00Z</cp:lastPrinted>
  <dcterms:modified xsi:type="dcterms:W3CDTF">2022-07-28T09:08:10Z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44D86724C04C4E91A06A1BCBED51BD34</vt:lpwstr>
  </property>
</Properties>
</file>