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黑体" w:hAnsi="黑体" w:eastAsia="黑体"/>
          <w:color w:val="000000"/>
          <w:sz w:val="72"/>
          <w:szCs w:val="72"/>
        </w:rPr>
      </w:pPr>
    </w:p>
    <w:p>
      <w:pPr>
        <w:adjustRightInd w:val="0"/>
        <w:snapToGrid w:val="0"/>
        <w:spacing w:line="360" w:lineRule="auto"/>
        <w:jc w:val="center"/>
        <w:outlineLvl w:val="0"/>
        <w:rPr>
          <w:rFonts w:ascii="黑体" w:hAnsi="黑体" w:eastAsia="黑体"/>
          <w:b/>
          <w:bCs/>
          <w:color w:val="000000"/>
          <w:sz w:val="72"/>
          <w:szCs w:val="72"/>
        </w:rPr>
      </w:pPr>
      <w:bookmarkStart w:id="1" w:name="_Toc15377193"/>
      <w:bookmarkStart w:id="2" w:name="_Toc15396475"/>
      <w:bookmarkStart w:id="3" w:name="_Toc15378441"/>
      <w:bookmarkStart w:id="4" w:name="_Toc15377425"/>
      <w:bookmarkStart w:id="5" w:name="_Toc15396597"/>
      <w:r>
        <w:rPr>
          <w:rFonts w:ascii="黑体" w:hAnsi="黑体" w:eastAsia="黑体"/>
          <w:b/>
          <w:bCs/>
          <w:color w:val="000000"/>
          <w:sz w:val="72"/>
          <w:szCs w:val="72"/>
        </w:rPr>
        <w:t>2020</w:t>
      </w:r>
      <w:r>
        <w:rPr>
          <w:rFonts w:hint="eastAsia" w:ascii="黑体" w:hAnsi="黑体" w:eastAsia="黑体"/>
          <w:b/>
          <w:bCs/>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黑体" w:hAnsi="黑体" w:eastAsia="黑体"/>
          <w:b/>
          <w:bCs/>
          <w:color w:val="000000"/>
          <w:sz w:val="72"/>
          <w:szCs w:val="72"/>
        </w:rPr>
        <w:sectPr>
          <w:headerReference r:id="rId3" w:type="default"/>
          <w:footerReference r:id="rId4" w:type="default"/>
          <w:pgSz w:w="11906" w:h="16838"/>
          <w:pgMar w:top="2098" w:right="1474" w:bottom="1984" w:left="1587" w:header="851" w:footer="992" w:gutter="0"/>
          <w:pgNumType w:start="1"/>
          <w:cols w:space="425" w:num="1"/>
          <w:titlePg/>
          <w:docGrid w:type="lines" w:linePitch="312" w:charSpace="0"/>
        </w:sectPr>
      </w:pPr>
      <w:bookmarkStart w:id="6" w:name="_Toc15377426"/>
      <w:bookmarkStart w:id="7" w:name="_Toc15396598"/>
      <w:bookmarkStart w:id="8" w:name="_Toc15396476"/>
      <w:bookmarkStart w:id="9" w:name="_Toc15378442"/>
      <w:bookmarkStart w:id="10" w:name="_Toc15377194"/>
      <w:r>
        <w:rPr>
          <w:rFonts w:hint="eastAsia" w:ascii="黑体" w:hAnsi="黑体" w:eastAsia="黑体"/>
          <w:b/>
          <w:bCs/>
          <w:color w:val="000000"/>
          <w:spacing w:val="-17"/>
          <w:sz w:val="72"/>
          <w:szCs w:val="72"/>
        </w:rPr>
        <w:t>四川省</w:t>
      </w:r>
      <w:bookmarkEnd w:id="0"/>
      <w:bookmarkStart w:id="11" w:name="_Toc15306268"/>
      <w:r>
        <w:rPr>
          <w:rFonts w:hint="eastAsia" w:ascii="黑体" w:hAnsi="黑体" w:eastAsia="黑体"/>
          <w:b/>
          <w:bCs/>
          <w:color w:val="000000"/>
          <w:spacing w:val="-17"/>
          <w:sz w:val="72"/>
          <w:szCs w:val="72"/>
        </w:rPr>
        <w:t>财政厅机关服务中心</w:t>
      </w:r>
      <w:r>
        <w:rPr>
          <w:rFonts w:hint="eastAsia" w:ascii="黑体" w:hAnsi="黑体" w:eastAsia="黑体"/>
          <w:b/>
          <w:bCs/>
          <w:color w:val="000000"/>
          <w:sz w:val="72"/>
          <w:szCs w:val="72"/>
        </w:rPr>
        <w:t>单位决算</w:t>
      </w:r>
      <w:bookmarkEnd w:id="6"/>
      <w:bookmarkEnd w:id="7"/>
      <w:bookmarkEnd w:id="8"/>
      <w:bookmarkEnd w:id="9"/>
      <w:bookmarkEnd w:id="10"/>
      <w:bookmarkEnd w:id="11"/>
    </w:p>
    <w:p>
      <w:pPr>
        <w:adjustRightInd w:val="0"/>
        <w:snapToGrid w:val="0"/>
        <w:spacing w:line="360" w:lineRule="auto"/>
        <w:jc w:val="center"/>
        <w:outlineLvl w:val="0"/>
        <w:rPr>
          <w:rFonts w:ascii="黑体" w:hAnsi="黑体" w:eastAsia="黑体" w:cstheme="minorBidi"/>
          <w:sz w:val="28"/>
          <w:szCs w:val="28"/>
        </w:rPr>
      </w:pPr>
      <w:r>
        <w:rPr>
          <w:rFonts w:hint="eastAsia" w:ascii="黑体" w:hAnsi="黑体" w:eastAsia="黑体"/>
          <w:sz w:val="48"/>
          <w:szCs w:val="48"/>
        </w:rPr>
        <w:t>目录</w:t>
      </w:r>
    </w:p>
    <w:p>
      <w:pPr>
        <w:pStyle w:val="12"/>
      </w:pPr>
      <w:r>
        <w:rPr>
          <w:rFonts w:hint="eastAsia"/>
        </w:rPr>
        <w:t>公开时间：2021年9月10日</w:t>
      </w:r>
    </w:p>
    <w:p/>
    <w:p>
      <w:pPr>
        <w:pStyle w:val="13"/>
        <w:keepNext w:val="0"/>
        <w:keepLines w:val="0"/>
        <w:pageBreakBefore w:val="0"/>
        <w:kinsoku/>
        <w:wordWrap/>
        <w:overflowPunct/>
        <w:topLinePunct w:val="0"/>
        <w:autoSpaceDE/>
        <w:autoSpaceDN/>
        <w:bidi w:val="0"/>
        <w:adjustRightInd w:val="0"/>
        <w:snapToGrid w:val="0"/>
        <w:spacing w:line="600" w:lineRule="exact"/>
        <w:ind w:left="0" w:leftChars="0"/>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第一部分 单位概况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3</w:t>
      </w:r>
    </w:p>
    <w:p>
      <w:pPr>
        <w:pStyle w:val="33"/>
        <w:keepNext w:val="0"/>
        <w:keepLines w:val="0"/>
        <w:pageBreakBefore w:val="0"/>
        <w:tabs>
          <w:tab w:val="right" w:leader="dot" w:pos="8306"/>
        </w:tabs>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一、职能简介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p>
    <w:p>
      <w:pPr>
        <w:pStyle w:val="33"/>
        <w:keepNext w:val="0"/>
        <w:keepLines w:val="0"/>
        <w:pageBreakBefore w:val="0"/>
        <w:tabs>
          <w:tab w:val="right" w:leader="dot" w:pos="8306"/>
        </w:tabs>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二、2020年重点工作完成情况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p>
    <w:p>
      <w:pPr>
        <w:pStyle w:val="33"/>
        <w:keepNext w:val="0"/>
        <w:keepLines w:val="0"/>
        <w:pageBreakBefore w:val="0"/>
        <w:tabs>
          <w:tab w:val="right" w:leader="dot" w:pos="8306"/>
        </w:tabs>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机构设置</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p>
    <w:p>
      <w:pPr>
        <w:pStyle w:val="33"/>
        <w:keepNext w:val="0"/>
        <w:keepLines w:val="0"/>
        <w:pageBreakBefore w:val="0"/>
        <w:tabs>
          <w:tab w:val="right" w:leader="dot" w:pos="8306"/>
        </w:tabs>
        <w:kinsoku/>
        <w:wordWrap/>
        <w:overflowPunct/>
        <w:topLinePunct w:val="0"/>
        <w:autoSpaceDE/>
        <w:autoSpaceDN/>
        <w:bidi w:val="0"/>
        <w:spacing w:line="600" w:lineRule="exact"/>
        <w:ind w:left="0" w:leftChars="0"/>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第二部分 2020年度</w:t>
      </w:r>
      <w:r>
        <w:rPr>
          <w:rFonts w:hint="eastAsia" w:ascii="仿宋_GB2312" w:hAnsi="仿宋_GB2312" w:eastAsia="仿宋_GB2312" w:cs="仿宋_GB2312"/>
          <w:b/>
          <w:bCs/>
          <w:sz w:val="32"/>
          <w:szCs w:val="32"/>
          <w:lang w:eastAsia="zh-CN"/>
        </w:rPr>
        <w:t>单位</w:t>
      </w:r>
      <w:r>
        <w:rPr>
          <w:rFonts w:hint="eastAsia" w:ascii="仿宋_GB2312" w:hAnsi="仿宋_GB2312" w:eastAsia="仿宋_GB2312" w:cs="仿宋_GB2312"/>
          <w:b/>
          <w:bCs/>
          <w:sz w:val="32"/>
          <w:szCs w:val="32"/>
        </w:rPr>
        <w:t>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6</w:t>
      </w:r>
    </w:p>
    <w:p>
      <w:pPr>
        <w:pStyle w:val="33"/>
        <w:keepNext w:val="0"/>
        <w:keepLines w:val="0"/>
        <w:pageBreakBefore w:val="0"/>
        <w:tabs>
          <w:tab w:val="right" w:leader="dot" w:pos="8306"/>
        </w:tabs>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一、收入支出决算总体情况说明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6</w:t>
      </w:r>
    </w:p>
    <w:p>
      <w:pPr>
        <w:pStyle w:val="33"/>
        <w:keepNext w:val="0"/>
        <w:keepLines w:val="0"/>
        <w:pageBreakBefore w:val="0"/>
        <w:tabs>
          <w:tab w:val="right" w:leader="dot" w:pos="8306"/>
        </w:tabs>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二、收入决算情况说明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6</w:t>
      </w:r>
    </w:p>
    <w:p>
      <w:pPr>
        <w:pStyle w:val="33"/>
        <w:keepNext w:val="0"/>
        <w:keepLines w:val="0"/>
        <w:pageBreakBefore w:val="0"/>
        <w:tabs>
          <w:tab w:val="right" w:leader="dot" w:pos="8306"/>
        </w:tabs>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7</w:t>
      </w:r>
    </w:p>
    <w:p>
      <w:pPr>
        <w:pStyle w:val="33"/>
        <w:keepNext w:val="0"/>
        <w:keepLines w:val="0"/>
        <w:pageBreakBefore w:val="0"/>
        <w:tabs>
          <w:tab w:val="right" w:leader="dot" w:pos="8306"/>
        </w:tabs>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四、财政拨款收入支出决算总体情况说明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7</w:t>
      </w:r>
    </w:p>
    <w:p>
      <w:pPr>
        <w:pStyle w:val="33"/>
        <w:keepNext w:val="0"/>
        <w:keepLines w:val="0"/>
        <w:pageBreakBefore w:val="0"/>
        <w:tabs>
          <w:tab w:val="right" w:leader="dot" w:pos="8306"/>
        </w:tabs>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五、一般公共预算财政拨款支出决算情况说明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8</w:t>
      </w:r>
    </w:p>
    <w:p>
      <w:pPr>
        <w:pStyle w:val="33"/>
        <w:keepNext w:val="0"/>
        <w:keepLines w:val="0"/>
        <w:pageBreakBefore w:val="0"/>
        <w:tabs>
          <w:tab w:val="right" w:leader="dot" w:pos="8306"/>
        </w:tabs>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六、一般公共预算财政拨款基本支出决算情况说明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p>
    <w:p>
      <w:pPr>
        <w:pStyle w:val="33"/>
        <w:keepNext w:val="0"/>
        <w:keepLines w:val="0"/>
        <w:pageBreakBefore w:val="0"/>
        <w:tabs>
          <w:tab w:val="right" w:leader="dot" w:pos="8306"/>
        </w:tabs>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七、“三公”经费财政拨款支出决算情况说明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p>
    <w:p>
      <w:pPr>
        <w:pStyle w:val="33"/>
        <w:keepNext w:val="0"/>
        <w:keepLines w:val="0"/>
        <w:pageBreakBefore w:val="0"/>
        <w:tabs>
          <w:tab w:val="right" w:leader="dot" w:pos="8306"/>
        </w:tabs>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八、政府性基金预算支出决算情况说明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p>
    <w:p>
      <w:pPr>
        <w:pStyle w:val="33"/>
        <w:keepNext w:val="0"/>
        <w:keepLines w:val="0"/>
        <w:pageBreakBefore w:val="0"/>
        <w:tabs>
          <w:tab w:val="right" w:leader="dot" w:pos="8306"/>
        </w:tabs>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九、国有资本经营预算支出决算情况说明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p>
    <w:p>
      <w:pPr>
        <w:pStyle w:val="33"/>
        <w:keepNext w:val="0"/>
        <w:keepLines w:val="0"/>
        <w:pageBreakBefore w:val="0"/>
        <w:tabs>
          <w:tab w:val="right" w:leader="dot" w:pos="8306"/>
        </w:tabs>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十、其他重要事项的情况说明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p>
    <w:p>
      <w:pPr>
        <w:pStyle w:val="33"/>
        <w:keepNext w:val="0"/>
        <w:keepLines w:val="0"/>
        <w:pageBreakBefore w:val="0"/>
        <w:tabs>
          <w:tab w:val="right" w:leader="dot" w:pos="8306"/>
        </w:tabs>
        <w:kinsoku/>
        <w:wordWrap/>
        <w:overflowPunct/>
        <w:topLinePunct w:val="0"/>
        <w:autoSpaceDE/>
        <w:autoSpaceDN/>
        <w:bidi w:val="0"/>
        <w:spacing w:line="600" w:lineRule="exact"/>
        <w:ind w:left="0" w:left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第三部分 名词解释</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4</w:t>
      </w:r>
    </w:p>
    <w:p>
      <w:pPr>
        <w:pStyle w:val="33"/>
        <w:keepNext w:val="0"/>
        <w:keepLines w:val="0"/>
        <w:pageBreakBefore w:val="0"/>
        <w:tabs>
          <w:tab w:val="right" w:leader="dot" w:pos="8306"/>
        </w:tabs>
        <w:kinsoku/>
        <w:wordWrap/>
        <w:overflowPunct/>
        <w:topLinePunct w:val="0"/>
        <w:autoSpaceDE/>
        <w:autoSpaceDN/>
        <w:bidi w:val="0"/>
        <w:spacing w:line="600" w:lineRule="exact"/>
        <w:ind w:left="0" w:left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第四部分 附</w:t>
      </w:r>
      <w:r>
        <w:rPr>
          <w:rFonts w:hint="eastAsia" w:ascii="仿宋_GB2312" w:hAnsi="仿宋_GB2312" w:eastAsia="仿宋_GB2312" w:cs="仿宋_GB2312"/>
          <w:b/>
          <w:bCs/>
          <w:sz w:val="32"/>
          <w:szCs w:val="32"/>
          <w:lang w:eastAsia="zh-CN"/>
        </w:rPr>
        <w:t>件</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6</w:t>
      </w:r>
    </w:p>
    <w:p>
      <w:pPr>
        <w:pStyle w:val="33"/>
        <w:keepNext w:val="0"/>
        <w:keepLines w:val="0"/>
        <w:pageBreakBefore w:val="0"/>
        <w:tabs>
          <w:tab w:val="right" w:leader="dot" w:pos="8306"/>
        </w:tabs>
        <w:kinsoku/>
        <w:wordWrap/>
        <w:overflowPunct/>
        <w:topLinePunct w:val="0"/>
        <w:autoSpaceDE/>
        <w:autoSpaceDN/>
        <w:bidi w:val="0"/>
        <w:spacing w:line="600" w:lineRule="exact"/>
        <w:ind w:left="0" w:leftChars="0"/>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部分 附表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7</w:t>
      </w:r>
    </w:p>
    <w:p>
      <w:pPr>
        <w:pStyle w:val="33"/>
        <w:keepNext w:val="0"/>
        <w:keepLines w:val="0"/>
        <w:pageBreakBefore w:val="0"/>
        <w:tabs>
          <w:tab w:val="right" w:leader="dot" w:pos="8306"/>
        </w:tabs>
        <w:kinsoku/>
        <w:wordWrap/>
        <w:overflowPunct/>
        <w:topLinePunct w:val="0"/>
        <w:autoSpaceDE/>
        <w:autoSpaceDN/>
        <w:bidi w:val="0"/>
        <w:spacing w:line="600" w:lineRule="exact"/>
        <w:ind w:firstLine="320" w:firstLineChars="1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33"/>
        <w:keepNext w:val="0"/>
        <w:keepLines w:val="0"/>
        <w:pageBreakBefore w:val="0"/>
        <w:tabs>
          <w:tab w:val="right" w:leader="dot" w:pos="8306"/>
        </w:tabs>
        <w:kinsoku/>
        <w:wordWrap/>
        <w:overflowPunct/>
        <w:topLinePunct w:val="0"/>
        <w:autoSpaceDE/>
        <w:autoSpaceDN/>
        <w:bidi w:val="0"/>
        <w:spacing w:line="600" w:lineRule="exact"/>
        <w:ind w:firstLine="320" w:firstLineChars="1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pStyle w:val="33"/>
        <w:keepNext w:val="0"/>
        <w:keepLines w:val="0"/>
        <w:pageBreakBefore w:val="0"/>
        <w:tabs>
          <w:tab w:val="right" w:leader="dot" w:pos="8306"/>
        </w:tabs>
        <w:kinsoku/>
        <w:wordWrap/>
        <w:overflowPunct/>
        <w:topLinePunct w:val="0"/>
        <w:autoSpaceDE/>
        <w:autoSpaceDN/>
        <w:bidi w:val="0"/>
        <w:spacing w:line="600" w:lineRule="exact"/>
        <w:ind w:firstLine="320" w:firstLineChars="1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pStyle w:val="33"/>
        <w:keepNext w:val="0"/>
        <w:keepLines w:val="0"/>
        <w:pageBreakBefore w:val="0"/>
        <w:tabs>
          <w:tab w:val="right" w:leader="dot" w:pos="8306"/>
        </w:tabs>
        <w:kinsoku/>
        <w:wordWrap/>
        <w:overflowPunct/>
        <w:topLinePunct w:val="0"/>
        <w:autoSpaceDE/>
        <w:autoSpaceDN/>
        <w:bidi w:val="0"/>
        <w:spacing w:line="600" w:lineRule="exact"/>
        <w:ind w:firstLine="320" w:firstLineChars="1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pStyle w:val="33"/>
        <w:keepNext w:val="0"/>
        <w:keepLines w:val="0"/>
        <w:pageBreakBefore w:val="0"/>
        <w:tabs>
          <w:tab w:val="right" w:leader="dot" w:pos="8306"/>
        </w:tabs>
        <w:kinsoku/>
        <w:wordWrap/>
        <w:overflowPunct/>
        <w:topLinePunct w:val="0"/>
        <w:autoSpaceDE/>
        <w:autoSpaceDN/>
        <w:bidi w:val="0"/>
        <w:spacing w:line="600" w:lineRule="exact"/>
        <w:ind w:firstLine="320" w:firstLineChars="1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五、财政拨款支出决算明细表</w:t>
      </w:r>
    </w:p>
    <w:p>
      <w:pPr>
        <w:pStyle w:val="33"/>
        <w:keepNext w:val="0"/>
        <w:keepLines w:val="0"/>
        <w:pageBreakBefore w:val="0"/>
        <w:tabs>
          <w:tab w:val="right" w:leader="dot" w:pos="8306"/>
        </w:tabs>
        <w:kinsoku/>
        <w:wordWrap/>
        <w:overflowPunct/>
        <w:topLinePunct w:val="0"/>
        <w:autoSpaceDE/>
        <w:autoSpaceDN/>
        <w:bidi w:val="0"/>
        <w:spacing w:line="600" w:lineRule="exact"/>
        <w:ind w:firstLine="320" w:firstLineChars="1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六、一般公共预算财政拨款支出决算表</w:t>
      </w:r>
    </w:p>
    <w:p>
      <w:pPr>
        <w:pStyle w:val="33"/>
        <w:keepNext w:val="0"/>
        <w:keepLines w:val="0"/>
        <w:pageBreakBefore w:val="0"/>
        <w:tabs>
          <w:tab w:val="right" w:leader="dot" w:pos="8306"/>
        </w:tabs>
        <w:kinsoku/>
        <w:wordWrap/>
        <w:overflowPunct/>
        <w:topLinePunct w:val="0"/>
        <w:autoSpaceDE/>
        <w:autoSpaceDN/>
        <w:bidi w:val="0"/>
        <w:spacing w:line="600" w:lineRule="exact"/>
        <w:ind w:firstLine="320" w:firstLineChars="1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七、一般公共预算财政拨款支出决算明细表</w:t>
      </w:r>
    </w:p>
    <w:p>
      <w:pPr>
        <w:pStyle w:val="33"/>
        <w:keepNext w:val="0"/>
        <w:keepLines w:val="0"/>
        <w:pageBreakBefore w:val="0"/>
        <w:tabs>
          <w:tab w:val="right" w:leader="dot" w:pos="8306"/>
        </w:tabs>
        <w:kinsoku/>
        <w:wordWrap/>
        <w:overflowPunct/>
        <w:topLinePunct w:val="0"/>
        <w:autoSpaceDE/>
        <w:autoSpaceDN/>
        <w:bidi w:val="0"/>
        <w:spacing w:line="600" w:lineRule="exact"/>
        <w:ind w:firstLine="320" w:firstLineChars="1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八、一般公共预算财政拨款基本支出决算表</w:t>
      </w:r>
    </w:p>
    <w:p>
      <w:pPr>
        <w:pStyle w:val="33"/>
        <w:keepNext w:val="0"/>
        <w:keepLines w:val="0"/>
        <w:pageBreakBefore w:val="0"/>
        <w:tabs>
          <w:tab w:val="right" w:leader="dot" w:pos="8306"/>
        </w:tabs>
        <w:kinsoku/>
        <w:wordWrap/>
        <w:overflowPunct/>
        <w:topLinePunct w:val="0"/>
        <w:autoSpaceDE/>
        <w:autoSpaceDN/>
        <w:bidi w:val="0"/>
        <w:spacing w:line="600" w:lineRule="exact"/>
        <w:ind w:firstLine="320" w:firstLineChars="1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九、一般公共预算财政拨款项目支出决算表</w:t>
      </w:r>
    </w:p>
    <w:p>
      <w:pPr>
        <w:pStyle w:val="33"/>
        <w:keepNext w:val="0"/>
        <w:keepLines w:val="0"/>
        <w:pageBreakBefore w:val="0"/>
        <w:tabs>
          <w:tab w:val="right" w:leader="dot" w:pos="8306"/>
        </w:tabs>
        <w:kinsoku/>
        <w:wordWrap/>
        <w:overflowPunct/>
        <w:topLinePunct w:val="0"/>
        <w:autoSpaceDE/>
        <w:autoSpaceDN/>
        <w:bidi w:val="0"/>
        <w:spacing w:line="600" w:lineRule="exact"/>
        <w:ind w:firstLine="320" w:firstLineChars="1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十、一般公共预算财政拨款“三公”经费支出决算表</w:t>
      </w:r>
    </w:p>
    <w:p>
      <w:pPr>
        <w:pStyle w:val="33"/>
        <w:keepNext w:val="0"/>
        <w:keepLines w:val="0"/>
        <w:pageBreakBefore w:val="0"/>
        <w:tabs>
          <w:tab w:val="right" w:leader="dot" w:pos="8306"/>
        </w:tabs>
        <w:kinsoku/>
        <w:wordWrap/>
        <w:overflowPunct/>
        <w:topLinePunct w:val="0"/>
        <w:autoSpaceDE/>
        <w:autoSpaceDN/>
        <w:bidi w:val="0"/>
        <w:spacing w:line="600" w:lineRule="exact"/>
        <w:ind w:firstLine="320" w:firstLineChars="1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十一、政府性基金预算财政拨款收入支出决算表</w:t>
      </w:r>
    </w:p>
    <w:p>
      <w:pPr>
        <w:pStyle w:val="33"/>
        <w:keepNext w:val="0"/>
        <w:keepLines w:val="0"/>
        <w:pageBreakBefore w:val="0"/>
        <w:tabs>
          <w:tab w:val="right" w:leader="dot" w:pos="8306"/>
        </w:tabs>
        <w:kinsoku/>
        <w:wordWrap/>
        <w:overflowPunct/>
        <w:topLinePunct w:val="0"/>
        <w:autoSpaceDE/>
        <w:autoSpaceDN/>
        <w:bidi w:val="0"/>
        <w:spacing w:line="600" w:lineRule="exact"/>
        <w:ind w:firstLine="320" w:firstLineChars="1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十二、政府性基金预算财政拨款“三公”经费支出决算表</w:t>
      </w:r>
    </w:p>
    <w:p>
      <w:pPr>
        <w:pStyle w:val="33"/>
        <w:keepNext w:val="0"/>
        <w:keepLines w:val="0"/>
        <w:pageBreakBefore w:val="0"/>
        <w:tabs>
          <w:tab w:val="right" w:leader="dot" w:pos="8306"/>
        </w:tabs>
        <w:kinsoku/>
        <w:wordWrap/>
        <w:overflowPunct/>
        <w:topLinePunct w:val="0"/>
        <w:autoSpaceDE/>
        <w:autoSpaceDN/>
        <w:bidi w:val="0"/>
        <w:spacing w:line="600" w:lineRule="exact"/>
        <w:ind w:firstLine="320" w:firstLineChars="1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十三、国有资本经营预算财政拨款收入支出决算表</w:t>
      </w:r>
    </w:p>
    <w:p>
      <w:pPr>
        <w:pStyle w:val="33"/>
        <w:keepNext w:val="0"/>
        <w:keepLines w:val="0"/>
        <w:pageBreakBefore w:val="0"/>
        <w:tabs>
          <w:tab w:val="right" w:leader="dot" w:pos="8306"/>
        </w:tabs>
        <w:kinsoku/>
        <w:wordWrap/>
        <w:overflowPunct/>
        <w:topLinePunct w:val="0"/>
        <w:autoSpaceDE/>
        <w:autoSpaceDN/>
        <w:bidi w:val="0"/>
        <w:spacing w:line="600" w:lineRule="exact"/>
        <w:ind w:firstLine="320" w:firstLineChars="1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十四、国有资本经营预算财政拨款支出决算表</w:t>
      </w:r>
    </w:p>
    <w:p>
      <w:pPr>
        <w:pStyle w:val="13"/>
        <w:adjustRightInd w:val="0"/>
        <w:snapToGrid w:val="0"/>
        <w:spacing w:line="440" w:lineRule="exact"/>
        <w:jc w:val="left"/>
        <w:rPr>
          <w:sz w:val="24"/>
        </w:rPr>
      </w:pPr>
    </w:p>
    <w:p>
      <w:pPr>
        <w:widowControl/>
        <w:adjustRightInd w:val="0"/>
        <w:snapToGrid w:val="0"/>
        <w:spacing w:line="440" w:lineRule="exact"/>
        <w:ind w:firstLine="1320" w:firstLineChars="550"/>
        <w:jc w:val="left"/>
        <w:rPr>
          <w:rFonts w:ascii="仿宋" w:hAnsi="仿宋" w:eastAsia="仿宋"/>
          <w:color w:val="FF0000"/>
          <w:sz w:val="24"/>
        </w:rPr>
      </w:pP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Fonts w:ascii="黑体" w:eastAsia="黑体"/>
          <w:color w:val="000000"/>
          <w:sz w:val="32"/>
          <w:szCs w:val="32"/>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pPr>
        <w:pStyle w:val="4"/>
        <w:spacing w:after="0"/>
        <w:ind w:firstLine="640" w:firstLineChars="200"/>
        <w:rPr>
          <w:rStyle w:val="28"/>
          <w:rFonts w:ascii="黑体" w:hAnsi="黑体" w:eastAsia="黑体"/>
          <w:b w:val="0"/>
          <w:bCs w:val="0"/>
        </w:rPr>
      </w:pPr>
      <w:bookmarkStart w:id="14" w:name="_Toc15396600"/>
      <w:bookmarkStart w:id="15" w:name="_Toc15377197"/>
      <w:r>
        <w:rPr>
          <w:rFonts w:hint="eastAsia" w:ascii="黑体" w:hAnsi="黑体" w:eastAsia="黑体"/>
          <w:b w:val="0"/>
          <w:color w:val="000000"/>
        </w:rPr>
        <w:t>一、</w:t>
      </w:r>
      <w:r>
        <w:rPr>
          <w:rStyle w:val="28"/>
          <w:rFonts w:hint="eastAsia" w:ascii="黑体" w:hAnsi="黑体" w:eastAsia="黑体"/>
          <w:b w:val="0"/>
          <w:bCs w:val="0"/>
        </w:rPr>
        <w:t>职能</w:t>
      </w:r>
      <w:bookmarkEnd w:id="14"/>
      <w:bookmarkEnd w:id="15"/>
      <w:r>
        <w:rPr>
          <w:rStyle w:val="28"/>
          <w:rFonts w:hint="eastAsia" w:ascii="黑体" w:hAnsi="黑体" w:eastAsia="黑体"/>
          <w:b w:val="0"/>
          <w:bCs w:val="0"/>
        </w:rPr>
        <w:t>简介</w:t>
      </w:r>
      <w:bookmarkStart w:id="16" w:name="_Toc15377198"/>
      <w:bookmarkStart w:id="17" w:name="_Toc15378445"/>
    </w:p>
    <w:p>
      <w:pPr>
        <w:pStyle w:val="4"/>
        <w:spacing w:before="0" w:after="0" w:line="240" w:lineRule="auto"/>
        <w:ind w:firstLine="640" w:firstLineChars="200"/>
        <w:rPr>
          <w:rFonts w:ascii="仿宋" w:hAnsi="仿宋" w:eastAsia="仿宋"/>
          <w:color w:val="000000"/>
        </w:rPr>
      </w:pPr>
      <w:r>
        <w:rPr>
          <w:rFonts w:hint="eastAsia" w:ascii="仿宋_GB2312" w:hAnsi="Times New Roman" w:eastAsia="仿宋_GB2312" w:cs="Times New Roman"/>
          <w:b w:val="0"/>
          <w:bCs w:val="0"/>
          <w:color w:val="000000"/>
          <w:lang w:eastAsia="zh-CN"/>
        </w:rPr>
        <w:t>四川省财政厅</w:t>
      </w:r>
      <w:r>
        <w:rPr>
          <w:rFonts w:hint="eastAsia" w:ascii="仿宋_GB2312" w:hAnsi="Times New Roman" w:eastAsia="仿宋_GB2312" w:cs="Times New Roman"/>
          <w:b w:val="0"/>
          <w:bCs w:val="0"/>
          <w:color w:val="000000"/>
        </w:rPr>
        <w:t>机关服务中心</w:t>
      </w:r>
      <w:r>
        <w:rPr>
          <w:rFonts w:hint="eastAsia" w:ascii="仿宋_GB2312" w:hAnsi="Times New Roman" w:eastAsia="仿宋_GB2312" w:cs="Times New Roman"/>
          <w:b w:val="0"/>
          <w:bCs w:val="0"/>
          <w:color w:val="000000"/>
          <w:lang w:eastAsia="zh-CN"/>
        </w:rPr>
        <w:t>（以下简称机关服务中心）</w:t>
      </w:r>
      <w:r>
        <w:rPr>
          <w:rFonts w:hint="eastAsia" w:ascii="仿宋_GB2312" w:hAnsi="Times New Roman" w:eastAsia="仿宋_GB2312" w:cs="Times New Roman"/>
          <w:b w:val="0"/>
          <w:bCs w:val="0"/>
          <w:color w:val="000000"/>
        </w:rPr>
        <w:t>主要职能</w:t>
      </w:r>
      <w:bookmarkEnd w:id="16"/>
      <w:bookmarkEnd w:id="17"/>
      <w:r>
        <w:rPr>
          <w:rFonts w:hint="eastAsia" w:ascii="仿宋_GB2312" w:hAnsi="Times New Roman" w:eastAsia="仿宋_GB2312" w:cs="Times New Roman"/>
          <w:b w:val="0"/>
          <w:bCs w:val="0"/>
          <w:color w:val="000000"/>
        </w:rPr>
        <w:t>：</w:t>
      </w:r>
      <w:r>
        <w:rPr>
          <w:rFonts w:ascii="仿宋_GB2312" w:hAnsi="Times New Roman" w:eastAsia="仿宋_GB2312" w:cs="Times New Roman"/>
          <w:b w:val="0"/>
          <w:bCs w:val="0"/>
          <w:color w:val="000000"/>
        </w:rPr>
        <w:t>负责机关车辆、通讯、物业管理等服务保障工作；承担机关委托的部分行政管理的事务性工作、机关交其使用的固定资产的管理和经营性资产的经营管理工作等。</w:t>
      </w:r>
    </w:p>
    <w:p>
      <w:pPr>
        <w:pStyle w:val="2"/>
        <w:adjustRightInd w:val="0"/>
        <w:snapToGrid w:val="0"/>
        <w:spacing w:beforeLines="0" w:line="600" w:lineRule="exact"/>
        <w:ind w:firstLine="640" w:firstLineChars="200"/>
        <w:outlineLvl w:val="2"/>
        <w:rPr>
          <w:rFonts w:ascii="黑体" w:hAnsi="黑体" w:eastAsia="黑体" w:cs="黑体"/>
          <w:bCs/>
          <w:color w:val="000000"/>
          <w:sz w:val="32"/>
          <w:szCs w:val="32"/>
        </w:rPr>
      </w:pPr>
      <w:bookmarkStart w:id="18" w:name="_Toc15377199"/>
      <w:bookmarkStart w:id="19" w:name="_Toc15378446"/>
      <w:r>
        <w:rPr>
          <w:rFonts w:hint="eastAsia" w:ascii="黑体" w:hAnsi="黑体" w:eastAsia="黑体" w:cs="黑体"/>
          <w:bCs/>
          <w:color w:val="000000"/>
          <w:sz w:val="32"/>
          <w:szCs w:val="32"/>
        </w:rPr>
        <w:t>二、机关服务中心2020年重点工作完成情况</w:t>
      </w:r>
      <w:bookmarkEnd w:id="18"/>
      <w:bookmarkEnd w:id="19"/>
    </w:p>
    <w:p>
      <w:pPr>
        <w:ind w:firstLine="643" w:firstLineChars="200"/>
        <w:rPr>
          <w:rFonts w:ascii="仿宋_GB2312" w:eastAsia="仿宋_GB2312"/>
          <w:color w:val="000000"/>
          <w:sz w:val="32"/>
          <w:szCs w:val="32"/>
        </w:rPr>
      </w:pPr>
      <w:r>
        <w:rPr>
          <w:rFonts w:hint="eastAsia" w:eastAsia="楷体"/>
          <w:b/>
          <w:sz w:val="32"/>
          <w:szCs w:val="32"/>
        </w:rPr>
        <w:t>（一）</w:t>
      </w:r>
      <w:r>
        <w:rPr>
          <w:rFonts w:eastAsia="楷体"/>
          <w:b/>
          <w:sz w:val="32"/>
          <w:szCs w:val="32"/>
        </w:rPr>
        <w:t>加强班子和队伍建设</w:t>
      </w:r>
      <w:r>
        <w:rPr>
          <w:rFonts w:hint="eastAsia" w:eastAsia="楷体"/>
          <w:b/>
          <w:sz w:val="32"/>
          <w:szCs w:val="32"/>
        </w:rPr>
        <w:t>。</w:t>
      </w:r>
      <w:r>
        <w:rPr>
          <w:rFonts w:ascii="仿宋_GB2312" w:eastAsia="仿宋_GB2312"/>
          <w:color w:val="000000"/>
          <w:sz w:val="32"/>
          <w:szCs w:val="32"/>
        </w:rPr>
        <w:t>机关服务中心坚持以习近平新时代中国特色社会主义思想为指导，深入学习</w:t>
      </w:r>
      <w:r>
        <w:rPr>
          <w:rFonts w:hint="eastAsia" w:ascii="仿宋_GB2312" w:eastAsia="仿宋_GB2312"/>
          <w:color w:val="000000"/>
          <w:sz w:val="32"/>
          <w:szCs w:val="32"/>
        </w:rPr>
        <w:t>贯彻党的</w:t>
      </w:r>
      <w:r>
        <w:rPr>
          <w:rFonts w:ascii="仿宋_GB2312" w:eastAsia="仿宋_GB2312"/>
          <w:color w:val="000000"/>
          <w:sz w:val="32"/>
          <w:szCs w:val="32"/>
        </w:rPr>
        <w:t>十九届</w:t>
      </w:r>
      <w:r>
        <w:rPr>
          <w:rFonts w:hint="eastAsia" w:ascii="仿宋_GB2312" w:eastAsia="仿宋_GB2312"/>
          <w:color w:val="000000"/>
          <w:sz w:val="32"/>
          <w:szCs w:val="32"/>
        </w:rPr>
        <w:t>四中、五中全会精神和省委十一届七次、八次全会精神</w:t>
      </w:r>
      <w:r>
        <w:rPr>
          <w:rFonts w:ascii="仿宋_GB2312" w:eastAsia="仿宋_GB2312"/>
          <w:color w:val="000000"/>
          <w:sz w:val="32"/>
          <w:szCs w:val="32"/>
        </w:rPr>
        <w:t>，</w:t>
      </w:r>
      <w:r>
        <w:rPr>
          <w:rFonts w:hint="eastAsia" w:ascii="仿宋_GB2312" w:eastAsia="仿宋_GB2312"/>
          <w:color w:val="000000"/>
          <w:sz w:val="32"/>
          <w:szCs w:val="32"/>
        </w:rPr>
        <w:t>加强班子建设，切实落实“主体责任”，抓好廉政风险防控管理工作，努力打造依法行政</w:t>
      </w:r>
      <w:r>
        <w:rPr>
          <w:rFonts w:hint="eastAsia" w:ascii="仿宋_GB2312" w:eastAsia="仿宋_GB2312"/>
          <w:color w:val="000000"/>
          <w:sz w:val="32"/>
          <w:szCs w:val="32"/>
          <w:lang w:eastAsia="zh-CN"/>
        </w:rPr>
        <w:t>、</w:t>
      </w:r>
      <w:r>
        <w:rPr>
          <w:rFonts w:hint="eastAsia" w:ascii="仿宋_GB2312" w:eastAsia="仿宋_GB2312"/>
          <w:color w:val="000000"/>
          <w:sz w:val="32"/>
          <w:szCs w:val="32"/>
        </w:rPr>
        <w:t>廉洁高效的服务型团队。切实把“两个维护”贯彻到后勤工作全过程</w:t>
      </w:r>
      <w:r>
        <w:rPr>
          <w:rFonts w:hint="eastAsia" w:ascii="仿宋_GB2312" w:eastAsia="仿宋_GB2312"/>
          <w:color w:val="000000"/>
          <w:sz w:val="32"/>
          <w:szCs w:val="32"/>
          <w:lang w:eastAsia="zh-CN"/>
        </w:rPr>
        <w:t>、</w:t>
      </w:r>
      <w:r>
        <w:rPr>
          <w:rFonts w:hint="eastAsia" w:ascii="仿宋_GB2312" w:eastAsia="仿宋_GB2312"/>
          <w:color w:val="000000"/>
          <w:sz w:val="32"/>
          <w:szCs w:val="32"/>
        </w:rPr>
        <w:t>各方面，</w:t>
      </w:r>
      <w:r>
        <w:rPr>
          <w:rFonts w:ascii="仿宋_GB2312" w:eastAsia="仿宋_GB2312"/>
          <w:color w:val="000000"/>
          <w:sz w:val="32"/>
          <w:szCs w:val="32"/>
        </w:rPr>
        <w:t>努力营造机关后勤队伍积极向上的良好氛围。</w:t>
      </w:r>
    </w:p>
    <w:p>
      <w:pPr>
        <w:ind w:firstLine="643" w:firstLineChars="200"/>
        <w:rPr>
          <w:rFonts w:ascii="仿宋_GB2312" w:eastAsia="仿宋_GB2312"/>
          <w:color w:val="000000"/>
          <w:sz w:val="32"/>
          <w:szCs w:val="32"/>
        </w:rPr>
      </w:pPr>
      <w:r>
        <w:rPr>
          <w:rFonts w:hint="eastAsia" w:eastAsia="楷体"/>
          <w:b/>
          <w:bCs/>
          <w:color w:val="171717"/>
          <w:sz w:val="32"/>
          <w:szCs w:val="32"/>
        </w:rPr>
        <w:t>（二）</w:t>
      </w:r>
      <w:r>
        <w:rPr>
          <w:rFonts w:eastAsia="楷体"/>
          <w:b/>
          <w:bCs/>
          <w:color w:val="171717"/>
          <w:sz w:val="32"/>
          <w:szCs w:val="32"/>
        </w:rPr>
        <w:t>扎实做好疫情防控工作</w:t>
      </w:r>
      <w:r>
        <w:rPr>
          <w:rFonts w:hint="eastAsia" w:eastAsia="楷体"/>
          <w:b/>
          <w:bCs/>
          <w:color w:val="171717"/>
          <w:sz w:val="32"/>
          <w:szCs w:val="32"/>
        </w:rPr>
        <w:t>。</w:t>
      </w:r>
      <w:r>
        <w:rPr>
          <w:rFonts w:hint="eastAsia" w:ascii="仿宋_GB2312" w:eastAsia="仿宋_GB2312"/>
          <w:color w:val="000000"/>
          <w:sz w:val="32"/>
          <w:szCs w:val="32"/>
        </w:rPr>
        <w:t>为打赢疫情防控的人民战争、总体战、狙击战，</w:t>
      </w:r>
      <w:r>
        <w:rPr>
          <w:rFonts w:hint="eastAsia" w:ascii="仿宋_GB2312" w:eastAsia="仿宋_GB2312"/>
          <w:color w:val="000000"/>
          <w:sz w:val="32"/>
          <w:szCs w:val="32"/>
          <w:lang w:eastAsia="zh-CN"/>
        </w:rPr>
        <w:t>为</w:t>
      </w:r>
      <w:r>
        <w:rPr>
          <w:rFonts w:hint="eastAsia" w:ascii="仿宋_GB2312" w:eastAsia="仿宋_GB2312"/>
          <w:color w:val="000000"/>
          <w:sz w:val="32"/>
          <w:szCs w:val="32"/>
        </w:rPr>
        <w:t>干部职工营造干净、卫生、安心的办公环境，机关服务中心积极落实疫情防控责任。具体落实如下：保持办公区域卫生，定期消毒；</w:t>
      </w:r>
      <w:r>
        <w:rPr>
          <w:rFonts w:ascii="仿宋_GB2312" w:eastAsia="仿宋_GB2312"/>
          <w:color w:val="000000"/>
          <w:sz w:val="32"/>
          <w:szCs w:val="32"/>
        </w:rPr>
        <w:t>加强对来厅办事人员和车辆的管控力度</w:t>
      </w:r>
      <w:r>
        <w:rPr>
          <w:rFonts w:hint="eastAsia" w:ascii="仿宋_GB2312" w:eastAsia="仿宋_GB2312"/>
          <w:color w:val="000000"/>
          <w:sz w:val="32"/>
          <w:szCs w:val="32"/>
        </w:rPr>
        <w:t>；通过</w:t>
      </w:r>
      <w:r>
        <w:rPr>
          <w:rFonts w:ascii="仿宋_GB2312" w:eastAsia="仿宋_GB2312"/>
          <w:color w:val="000000"/>
          <w:sz w:val="32"/>
          <w:szCs w:val="32"/>
        </w:rPr>
        <w:t>分餐制和错峰取餐，切实做好了职工食堂疫情防控工作</w:t>
      </w:r>
      <w:r>
        <w:rPr>
          <w:rFonts w:hint="eastAsia" w:ascii="仿宋_GB2312" w:eastAsia="仿宋_GB2312"/>
          <w:color w:val="000000"/>
          <w:sz w:val="32"/>
          <w:szCs w:val="32"/>
        </w:rPr>
        <w:t>；落实</w:t>
      </w:r>
      <w:r>
        <w:rPr>
          <w:rFonts w:ascii="仿宋_GB2312" w:eastAsia="仿宋_GB2312"/>
          <w:color w:val="000000"/>
          <w:sz w:val="32"/>
          <w:szCs w:val="32"/>
        </w:rPr>
        <w:t>公务用车</w:t>
      </w:r>
      <w:r>
        <w:rPr>
          <w:rFonts w:hint="eastAsia" w:ascii="仿宋_GB2312" w:eastAsia="仿宋_GB2312"/>
          <w:color w:val="000000"/>
          <w:sz w:val="32"/>
          <w:szCs w:val="32"/>
        </w:rPr>
        <w:t>每日</w:t>
      </w:r>
      <w:r>
        <w:rPr>
          <w:rFonts w:ascii="仿宋_GB2312" w:eastAsia="仿宋_GB2312"/>
          <w:color w:val="000000"/>
          <w:sz w:val="32"/>
          <w:szCs w:val="32"/>
        </w:rPr>
        <w:t>消毒工作，加强车辆消毒和驾驶员自我防护；</w:t>
      </w:r>
      <w:r>
        <w:rPr>
          <w:rFonts w:hint="eastAsia" w:ascii="仿宋_GB2312" w:eastAsia="仿宋_GB2312"/>
          <w:color w:val="000000"/>
          <w:sz w:val="32"/>
          <w:szCs w:val="32"/>
        </w:rPr>
        <w:t>按要求</w:t>
      </w:r>
      <w:r>
        <w:rPr>
          <w:rFonts w:ascii="仿宋_GB2312" w:eastAsia="仿宋_GB2312"/>
          <w:color w:val="000000"/>
          <w:sz w:val="32"/>
          <w:szCs w:val="32"/>
        </w:rPr>
        <w:t>做好中小企业复工复产和房屋租金减免工作。</w:t>
      </w:r>
    </w:p>
    <w:p>
      <w:pPr>
        <w:ind w:firstLine="645"/>
        <w:rPr>
          <w:rFonts w:ascii="仿宋_GB2312" w:eastAsia="仿宋_GB2312"/>
          <w:color w:val="000000"/>
          <w:sz w:val="32"/>
          <w:szCs w:val="32"/>
        </w:rPr>
      </w:pPr>
      <w:r>
        <w:rPr>
          <w:rFonts w:hint="eastAsia" w:eastAsia="楷体"/>
          <w:b/>
          <w:sz w:val="32"/>
          <w:szCs w:val="32"/>
        </w:rPr>
        <w:t>（三）</w:t>
      </w:r>
      <w:r>
        <w:rPr>
          <w:rFonts w:eastAsia="楷体"/>
          <w:b/>
          <w:sz w:val="32"/>
          <w:szCs w:val="32"/>
        </w:rPr>
        <w:t>提高职工食堂管理水平</w:t>
      </w:r>
      <w:r>
        <w:rPr>
          <w:rFonts w:hint="eastAsia" w:eastAsia="楷体"/>
          <w:b/>
          <w:sz w:val="32"/>
          <w:szCs w:val="32"/>
        </w:rPr>
        <w:t>，</w:t>
      </w:r>
      <w:r>
        <w:rPr>
          <w:rFonts w:hint="eastAsia" w:ascii="楷体" w:hAnsi="楷体" w:eastAsia="楷体" w:cs="楷体"/>
          <w:b/>
          <w:bCs/>
          <w:sz w:val="32"/>
          <w:szCs w:val="32"/>
        </w:rPr>
        <w:t>扎实开展“</w:t>
      </w:r>
      <w:r>
        <w:rPr>
          <w:rFonts w:ascii="楷体" w:hAnsi="楷体" w:eastAsia="楷体" w:cs="楷体"/>
          <w:b/>
          <w:bCs/>
          <w:sz w:val="32"/>
          <w:szCs w:val="32"/>
        </w:rPr>
        <w:t>厉行节约制止餐饮浪费</w:t>
      </w:r>
      <w:r>
        <w:rPr>
          <w:rFonts w:hint="eastAsia" w:ascii="楷体" w:hAnsi="楷体" w:eastAsia="楷体" w:cs="楷体"/>
          <w:b/>
          <w:bCs/>
          <w:sz w:val="32"/>
          <w:szCs w:val="32"/>
        </w:rPr>
        <w:t>”活动</w:t>
      </w:r>
      <w:r>
        <w:rPr>
          <w:rFonts w:hint="eastAsia" w:eastAsia="楷体"/>
          <w:b/>
          <w:sz w:val="32"/>
          <w:szCs w:val="32"/>
        </w:rPr>
        <w:t>。</w:t>
      </w:r>
      <w:r>
        <w:rPr>
          <w:rFonts w:ascii="仿宋_GB2312" w:eastAsia="仿宋_GB2312"/>
          <w:color w:val="000000"/>
          <w:sz w:val="32"/>
          <w:szCs w:val="32"/>
        </w:rPr>
        <w:t>加大对职工食堂外包服务单位、食材供应商的监督考核，确保食品标准、成本控制、服务水平等重要环节的质量与效益。</w:t>
      </w:r>
      <w:r>
        <w:rPr>
          <w:rFonts w:hint="eastAsia" w:ascii="仿宋_GB2312" w:eastAsia="仿宋_GB2312"/>
          <w:color w:val="000000"/>
          <w:sz w:val="32"/>
          <w:szCs w:val="32"/>
        </w:rPr>
        <w:t>严格加工操作规程和消毒保洁制度、严把食材采购关、</w:t>
      </w:r>
      <w:r>
        <w:rPr>
          <w:rFonts w:ascii="仿宋_GB2312" w:eastAsia="仿宋_GB2312"/>
          <w:color w:val="000000"/>
          <w:sz w:val="32"/>
          <w:szCs w:val="32"/>
        </w:rPr>
        <w:t>加强就餐人员管理</w:t>
      </w:r>
      <w:r>
        <w:rPr>
          <w:rFonts w:hint="eastAsia" w:ascii="仿宋_GB2312" w:eastAsia="仿宋_GB2312"/>
          <w:color w:val="000000"/>
          <w:sz w:val="32"/>
          <w:szCs w:val="32"/>
        </w:rPr>
        <w:t>。</w:t>
      </w:r>
    </w:p>
    <w:p>
      <w:pPr>
        <w:ind w:firstLine="645"/>
        <w:rPr>
          <w:rFonts w:ascii="仿宋_GB2312" w:eastAsia="仿宋_GB2312"/>
          <w:color w:val="000000"/>
          <w:sz w:val="32"/>
          <w:szCs w:val="32"/>
        </w:rPr>
      </w:pPr>
      <w:r>
        <w:rPr>
          <w:rFonts w:hint="eastAsia" w:eastAsia="楷体"/>
          <w:b/>
          <w:sz w:val="32"/>
          <w:szCs w:val="32"/>
        </w:rPr>
        <w:t>（四）</w:t>
      </w:r>
      <w:r>
        <w:rPr>
          <w:rFonts w:eastAsia="楷体"/>
          <w:b/>
          <w:sz w:val="32"/>
          <w:szCs w:val="32"/>
        </w:rPr>
        <w:t>加强公务用车管理</w:t>
      </w:r>
      <w:r>
        <w:rPr>
          <w:rFonts w:hint="eastAsia" w:eastAsia="楷体"/>
          <w:b/>
          <w:sz w:val="32"/>
          <w:szCs w:val="32"/>
        </w:rPr>
        <w:t>。</w:t>
      </w:r>
      <w:r>
        <w:rPr>
          <w:rFonts w:hint="eastAsia" w:ascii="仿宋_GB2312" w:eastAsia="仿宋_GB2312"/>
          <w:color w:val="000000"/>
          <w:sz w:val="32"/>
          <w:szCs w:val="32"/>
        </w:rPr>
        <w:t>机关服务中心</w:t>
      </w:r>
      <w:r>
        <w:rPr>
          <w:rFonts w:ascii="仿宋_GB2312" w:eastAsia="仿宋_GB2312"/>
          <w:color w:val="000000"/>
          <w:sz w:val="32"/>
          <w:szCs w:val="32"/>
        </w:rPr>
        <w:t>严格执行《党政机关公务用车管理办法》，严格落实公务用车平台信息化管理工作，合理有效配置公务用车资源，</w:t>
      </w:r>
      <w:r>
        <w:rPr>
          <w:rFonts w:hint="eastAsia" w:ascii="仿宋_GB2312" w:eastAsia="仿宋_GB2312"/>
          <w:color w:val="000000"/>
          <w:sz w:val="32"/>
          <w:szCs w:val="32"/>
        </w:rPr>
        <w:t>最大化</w:t>
      </w:r>
      <w:r>
        <w:rPr>
          <w:rFonts w:ascii="仿宋_GB2312" w:eastAsia="仿宋_GB2312"/>
          <w:color w:val="000000"/>
          <w:sz w:val="32"/>
          <w:szCs w:val="32"/>
        </w:rPr>
        <w:t>保障公务出行。加强车辆定点维修和定点投保管理，用好维修资金，确保车况良好</w:t>
      </w:r>
      <w:r>
        <w:rPr>
          <w:rFonts w:hint="eastAsia" w:ascii="仿宋_GB2312" w:eastAsia="仿宋_GB2312"/>
          <w:color w:val="000000"/>
          <w:sz w:val="32"/>
          <w:szCs w:val="32"/>
        </w:rPr>
        <w:t>。车队</w:t>
      </w:r>
      <w:r>
        <w:rPr>
          <w:rFonts w:ascii="仿宋_GB2312" w:eastAsia="仿宋_GB2312"/>
          <w:color w:val="000000"/>
          <w:sz w:val="32"/>
          <w:szCs w:val="32"/>
        </w:rPr>
        <w:t>全年</w:t>
      </w:r>
      <w:r>
        <w:rPr>
          <w:rFonts w:hint="eastAsia" w:ascii="仿宋_GB2312" w:eastAsia="仿宋_GB2312"/>
          <w:color w:val="000000"/>
          <w:sz w:val="32"/>
          <w:szCs w:val="32"/>
        </w:rPr>
        <w:t>未发生</w:t>
      </w:r>
      <w:r>
        <w:rPr>
          <w:rFonts w:ascii="仿宋_GB2312" w:eastAsia="仿宋_GB2312"/>
          <w:color w:val="000000"/>
          <w:sz w:val="32"/>
          <w:szCs w:val="32"/>
        </w:rPr>
        <w:t>交通事故</w:t>
      </w:r>
      <w:r>
        <w:rPr>
          <w:rFonts w:hint="eastAsia" w:ascii="仿宋_GB2312" w:eastAsia="仿宋_GB2312"/>
          <w:color w:val="000000"/>
          <w:sz w:val="32"/>
          <w:szCs w:val="32"/>
        </w:rPr>
        <w:t>、</w:t>
      </w:r>
      <w:r>
        <w:rPr>
          <w:rFonts w:ascii="仿宋_GB2312" w:eastAsia="仿宋_GB2312"/>
          <w:color w:val="000000"/>
          <w:sz w:val="32"/>
          <w:szCs w:val="32"/>
        </w:rPr>
        <w:t>无服务质量和态度方面的投诉。</w:t>
      </w:r>
    </w:p>
    <w:p>
      <w:pPr>
        <w:spacing w:line="560" w:lineRule="exact"/>
        <w:ind w:firstLine="643" w:firstLineChars="200"/>
        <w:rPr>
          <w:rFonts w:ascii="仿宋_GB2312" w:eastAsia="仿宋_GB2312"/>
          <w:color w:val="000000"/>
          <w:sz w:val="32"/>
          <w:szCs w:val="32"/>
        </w:rPr>
      </w:pPr>
      <w:r>
        <w:rPr>
          <w:rFonts w:hint="eastAsia" w:eastAsia="楷体"/>
          <w:b/>
          <w:sz w:val="32"/>
          <w:szCs w:val="32"/>
        </w:rPr>
        <w:t>（五）</w:t>
      </w:r>
      <w:r>
        <w:rPr>
          <w:rFonts w:eastAsia="楷体"/>
          <w:b/>
          <w:sz w:val="32"/>
          <w:szCs w:val="32"/>
        </w:rPr>
        <w:t>加强机关安全生产管理</w:t>
      </w:r>
      <w:r>
        <w:rPr>
          <w:rFonts w:hint="eastAsia" w:eastAsia="楷体"/>
          <w:b/>
          <w:sz w:val="32"/>
          <w:szCs w:val="32"/>
        </w:rPr>
        <w:t>。</w:t>
      </w:r>
      <w:r>
        <w:rPr>
          <w:rFonts w:hint="eastAsia" w:ascii="仿宋_GB2312" w:eastAsia="仿宋_GB2312"/>
          <w:color w:val="000000"/>
          <w:sz w:val="32"/>
          <w:szCs w:val="32"/>
        </w:rPr>
        <w:t>机关</w:t>
      </w:r>
      <w:r>
        <w:rPr>
          <w:rFonts w:ascii="仿宋_GB2312" w:eastAsia="仿宋_GB2312"/>
          <w:color w:val="000000"/>
          <w:sz w:val="32"/>
          <w:szCs w:val="32"/>
        </w:rPr>
        <w:t>服务中心</w:t>
      </w:r>
      <w:r>
        <w:rPr>
          <w:rFonts w:hint="eastAsia" w:ascii="仿宋_GB2312" w:eastAsia="仿宋_GB2312"/>
          <w:color w:val="000000"/>
          <w:sz w:val="32"/>
          <w:szCs w:val="32"/>
        </w:rPr>
        <w:t>深入学习宣传习近平总书记关于安全生产重要论述，贯彻落实党中央、国务院，省委、省政府和厅党组关于安全生产工作部署，</w:t>
      </w:r>
      <w:r>
        <w:rPr>
          <w:rFonts w:ascii="仿宋_GB2312" w:eastAsia="仿宋_GB2312"/>
          <w:color w:val="000000"/>
          <w:sz w:val="32"/>
          <w:szCs w:val="32"/>
        </w:rPr>
        <w:t>深入开展厅机关安全大检查，及时发现和排除安全隐患。</w:t>
      </w:r>
      <w:r>
        <w:rPr>
          <w:rFonts w:hint="eastAsia" w:ascii="仿宋_GB2312" w:eastAsia="仿宋_GB2312"/>
          <w:color w:val="000000"/>
          <w:sz w:val="32"/>
          <w:szCs w:val="32"/>
        </w:rPr>
        <w:t>通过积极落实各项安全制度和措施，实现了全年无重大刑事案件、无重大治安案件、无重大消防事故的三无目标，为厅机关营造了安全有序的办公环境。</w:t>
      </w:r>
    </w:p>
    <w:p>
      <w:pPr>
        <w:ind w:firstLine="643" w:firstLineChars="200"/>
        <w:rPr>
          <w:rFonts w:hint="eastAsia" w:ascii="仿宋_GB2312" w:eastAsia="仿宋_GB2312"/>
          <w:color w:val="000000"/>
          <w:sz w:val="32"/>
          <w:szCs w:val="32"/>
        </w:rPr>
      </w:pPr>
      <w:r>
        <w:rPr>
          <w:rFonts w:hint="eastAsia" w:ascii="楷体" w:hAnsi="楷体" w:eastAsia="楷体" w:cs="楷体"/>
          <w:b/>
          <w:bCs/>
          <w:sz w:val="32"/>
          <w:szCs w:val="32"/>
        </w:rPr>
        <w:t>（六）稳步推进物业管理。</w:t>
      </w:r>
      <w:r>
        <w:rPr>
          <w:rFonts w:ascii="仿宋_GB2312" w:eastAsia="仿宋_GB2312"/>
          <w:color w:val="000000"/>
          <w:sz w:val="32"/>
          <w:szCs w:val="32"/>
        </w:rPr>
        <w:t>机关服务中心致力于为机关干部职工办好事、办实事</w:t>
      </w:r>
      <w:r>
        <w:rPr>
          <w:rFonts w:hint="eastAsia" w:ascii="仿宋_GB2312" w:eastAsia="仿宋_GB2312"/>
          <w:color w:val="000000"/>
          <w:sz w:val="32"/>
          <w:szCs w:val="32"/>
        </w:rPr>
        <w:t>，</w:t>
      </w:r>
      <w:r>
        <w:rPr>
          <w:rFonts w:ascii="仿宋_GB2312" w:eastAsia="仿宋_GB2312"/>
          <w:color w:val="000000"/>
          <w:sz w:val="32"/>
          <w:szCs w:val="32"/>
        </w:rPr>
        <w:t>全年服务1、2号办公楼大中小型会议600余次，对厅机关及宿舍区开展的各类型维修多达700余次。</w:t>
      </w:r>
      <w:r>
        <w:rPr>
          <w:rFonts w:hint="eastAsia" w:ascii="仿宋_GB2312" w:eastAsia="仿宋_GB2312"/>
          <w:color w:val="000000"/>
          <w:sz w:val="32"/>
          <w:szCs w:val="32"/>
        </w:rPr>
        <w:t>按照《四川省节约型机关创建实施方案》要求，加强日常监督检查，</w:t>
      </w:r>
      <w:r>
        <w:rPr>
          <w:rFonts w:ascii="仿宋_GB2312" w:eastAsia="仿宋_GB2312"/>
          <w:color w:val="000000"/>
          <w:sz w:val="32"/>
          <w:szCs w:val="32"/>
        </w:rPr>
        <w:t>抓好厅机关院内的节能减排工作，从杜绝长流</w:t>
      </w:r>
      <w:r>
        <w:rPr>
          <w:rFonts w:hint="eastAsia" w:ascii="仿宋_GB2312" w:eastAsia="仿宋_GB2312"/>
          <w:color w:val="000000"/>
          <w:sz w:val="32"/>
          <w:szCs w:val="32"/>
        </w:rPr>
        <w:t>水、水管跑冒滴漏和长明灯等方面，切实减少水电能源损耗，本年度完成了财政厅节约型机关创建工作。</w:t>
      </w:r>
    </w:p>
    <w:p>
      <w:pPr>
        <w:pStyle w:val="4"/>
        <w:keepNext/>
        <w:keepLines/>
        <w:pageBreakBefore w:val="0"/>
        <w:widowControl w:val="0"/>
        <w:kinsoku/>
        <w:wordWrap/>
        <w:overflowPunct/>
        <w:topLinePunct w:val="0"/>
        <w:autoSpaceDE/>
        <w:autoSpaceDN/>
        <w:bidi w:val="0"/>
        <w:adjustRightInd/>
        <w:snapToGrid/>
        <w:spacing w:line="416" w:lineRule="auto"/>
        <w:ind w:firstLine="640" w:firstLineChars="20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三</w:t>
      </w:r>
      <w:r>
        <w:rPr>
          <w:rFonts w:hint="eastAsia" w:ascii="黑体" w:hAnsi="黑体" w:eastAsia="黑体" w:cs="黑体"/>
          <w:b w:val="0"/>
          <w:bCs w:val="0"/>
        </w:rPr>
        <w:t>、</w:t>
      </w:r>
      <w:r>
        <w:rPr>
          <w:rFonts w:hint="eastAsia" w:ascii="黑体" w:hAnsi="黑体" w:eastAsia="黑体" w:cs="黑体"/>
          <w:b w:val="0"/>
          <w:bCs w:val="0"/>
          <w:lang w:val="en-US" w:eastAsia="zh-CN"/>
        </w:rPr>
        <w:t>机构设置情况</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b w:val="0"/>
          <w:color w:val="000000"/>
        </w:rPr>
      </w:pPr>
      <w:r>
        <w:rPr>
          <w:rFonts w:hint="eastAsia" w:ascii="仿宋_GB2312" w:hAnsi="仿宋_GB2312" w:eastAsia="仿宋_GB2312" w:cs="仿宋_GB2312"/>
          <w:kern w:val="2"/>
          <w:sz w:val="32"/>
          <w:szCs w:val="32"/>
          <w:lang w:val="en-US" w:eastAsia="zh-CN" w:bidi="ar-SA"/>
        </w:rPr>
        <w:t>本单位是隶属于四川省财政厅的二级预算单位，本单位无下属单位。</w:t>
      </w:r>
      <w:bookmarkStart w:id="20" w:name="_Toc15377204"/>
      <w:bookmarkStart w:id="21" w:name="_Toc15396602"/>
    </w:p>
    <w:p>
      <w:pPr>
        <w:pStyle w:val="3"/>
        <w:ind w:right="440"/>
        <w:jc w:val="right"/>
        <w:rPr>
          <w:rFonts w:ascii="黑体" w:hAnsi="黑体" w:eastAsia="黑体"/>
          <w:b w:val="0"/>
          <w:color w:val="000000"/>
        </w:rPr>
      </w:pPr>
      <w:bookmarkStart w:id="70" w:name="_GoBack"/>
      <w:bookmarkEnd w:id="70"/>
    </w:p>
    <w:p>
      <w:pPr>
        <w:pStyle w:val="3"/>
        <w:ind w:right="440"/>
        <w:jc w:val="right"/>
        <w:rPr>
          <w:rFonts w:ascii="黑体" w:hAnsi="黑体" w:eastAsia="黑体"/>
          <w:b w:val="0"/>
          <w:color w:val="000000"/>
        </w:rPr>
      </w:pPr>
    </w:p>
    <w:p>
      <w:pPr>
        <w:pStyle w:val="3"/>
        <w:ind w:right="440"/>
        <w:jc w:val="right"/>
        <w:rPr>
          <w:rFonts w:ascii="黑体" w:hAnsi="黑体" w:eastAsia="黑体"/>
          <w:b w:val="0"/>
          <w:color w:val="000000"/>
        </w:rPr>
      </w:pPr>
    </w:p>
    <w:p>
      <w:pPr>
        <w:pStyle w:val="3"/>
        <w:ind w:right="440"/>
        <w:jc w:val="right"/>
        <w:rPr>
          <w:rFonts w:ascii="黑体" w:hAnsi="黑体" w:eastAsia="黑体"/>
          <w:b w:val="0"/>
          <w:color w:val="000000"/>
        </w:rPr>
      </w:pPr>
    </w:p>
    <w:p>
      <w:pPr>
        <w:pStyle w:val="3"/>
        <w:ind w:right="440"/>
        <w:jc w:val="right"/>
        <w:rPr>
          <w:rFonts w:ascii="黑体" w:hAnsi="黑体" w:eastAsia="黑体"/>
          <w:b w:val="0"/>
          <w:color w:val="000000"/>
        </w:rPr>
      </w:pPr>
    </w:p>
    <w:p>
      <w:pPr>
        <w:pStyle w:val="3"/>
        <w:ind w:right="440"/>
        <w:jc w:val="right"/>
        <w:rPr>
          <w:rFonts w:ascii="黑体" w:hAnsi="黑体" w:eastAsia="黑体"/>
          <w:b w:val="0"/>
          <w:color w:val="000000"/>
        </w:rPr>
      </w:pPr>
    </w:p>
    <w:p>
      <w:pPr>
        <w:pStyle w:val="3"/>
        <w:ind w:right="440"/>
        <w:jc w:val="right"/>
        <w:rPr>
          <w:rFonts w:ascii="黑体" w:hAnsi="黑体" w:eastAsia="黑体"/>
          <w:b w:val="0"/>
          <w:color w:val="000000"/>
        </w:rPr>
      </w:pPr>
    </w:p>
    <w:p>
      <w:pPr>
        <w:widowControl/>
        <w:jc w:val="left"/>
        <w:rPr>
          <w:rFonts w:ascii="黑体" w:hAnsi="黑体" w:eastAsia="黑体"/>
          <w:bCs/>
          <w:color w:val="000000"/>
          <w:kern w:val="44"/>
          <w:sz w:val="44"/>
          <w:szCs w:val="44"/>
        </w:rPr>
      </w:pPr>
      <w:r>
        <w:rPr>
          <w:rFonts w:ascii="黑体" w:hAnsi="黑体" w:eastAsia="黑体"/>
          <w:b/>
          <w:color w:val="000000"/>
        </w:rPr>
        <w:br w:type="page"/>
      </w:r>
    </w:p>
    <w:p>
      <w:pPr>
        <w:pStyle w:val="3"/>
        <w:ind w:right="440"/>
        <w:jc w:val="center"/>
      </w:pPr>
      <w:r>
        <w:rPr>
          <w:rFonts w:hint="eastAsia" w:ascii="黑体" w:hAnsi="黑体" w:eastAsia="黑体"/>
          <w:b w:val="0"/>
          <w:color w:val="000000"/>
          <w:lang w:val="en-US" w:eastAsia="zh-CN"/>
        </w:rPr>
        <w:t xml:space="preserve">  </w:t>
      </w:r>
      <w:r>
        <w:rPr>
          <w:rFonts w:hint="eastAsia" w:ascii="黑体" w:hAnsi="黑体" w:eastAsia="黑体"/>
          <w:b w:val="0"/>
          <w:color w:val="000000"/>
        </w:rPr>
        <w:t>第二部分</w:t>
      </w:r>
      <w:r>
        <w:rPr>
          <w:rStyle w:val="27"/>
          <w:rFonts w:hint="eastAsia" w:ascii="黑体" w:hAnsi="黑体" w:eastAsia="黑体"/>
          <w:b w:val="0"/>
          <w:bCs w:val="0"/>
        </w:rPr>
        <w:t>2020年度</w:t>
      </w:r>
      <w:r>
        <w:rPr>
          <w:rStyle w:val="27"/>
          <w:rFonts w:hint="eastAsia" w:ascii="黑体" w:hAnsi="黑体" w:eastAsia="黑体"/>
          <w:b w:val="0"/>
          <w:bCs w:val="0"/>
          <w:lang w:eastAsia="zh-CN"/>
        </w:rPr>
        <w:t>单位</w:t>
      </w:r>
      <w:r>
        <w:rPr>
          <w:rStyle w:val="27"/>
          <w:rFonts w:hint="eastAsia" w:ascii="黑体" w:hAnsi="黑体" w:eastAsia="黑体"/>
          <w:b w:val="0"/>
          <w:bCs w:val="0"/>
        </w:rPr>
        <w:t>决算情况说明</w:t>
      </w:r>
      <w:bookmarkEnd w:id="20"/>
      <w:bookmarkEnd w:id="21"/>
    </w:p>
    <w:p>
      <w:pPr>
        <w:pStyle w:val="26"/>
        <w:numPr>
          <w:ilvl w:val="0"/>
          <w:numId w:val="1"/>
        </w:numPr>
        <w:spacing w:line="600" w:lineRule="exact"/>
        <w:ind w:firstLineChars="0"/>
        <w:outlineLvl w:val="1"/>
        <w:rPr>
          <w:rStyle w:val="28"/>
          <w:rFonts w:ascii="黑体" w:hAnsi="黑体" w:eastAsia="黑体"/>
          <w:b w:val="0"/>
        </w:rPr>
      </w:pPr>
      <w:bookmarkStart w:id="22" w:name="_Toc15377205"/>
      <w:bookmarkStart w:id="23" w:name="_Toc15396603"/>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22"/>
      <w:bookmarkEnd w:id="23"/>
    </w:p>
    <w:p>
      <w:pPr>
        <w:spacing w:line="58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rPr>
        <w:t>2020年度收、支总计825.85万元。与2019年相比，收、支总计各减少147.53万元，下降15.16%。主要变动原因是</w:t>
      </w:r>
      <w:r>
        <w:rPr>
          <w:rFonts w:hint="eastAsia" w:ascii="仿宋_GB2312" w:eastAsia="仿宋_GB2312"/>
          <w:color w:val="000000"/>
          <w:sz w:val="32"/>
          <w:szCs w:val="32"/>
          <w:lang w:val="en-US" w:eastAsia="zh-CN"/>
        </w:rPr>
        <w:t>2020年减少了停车场维修、设备购置经费等项目支出</w:t>
      </w:r>
      <w:r>
        <w:rPr>
          <w:rFonts w:hint="eastAsia" w:ascii="仿宋_GB2312" w:eastAsia="仿宋_GB2312"/>
          <w:color w:val="000000"/>
          <w:sz w:val="32"/>
          <w:szCs w:val="32"/>
          <w:lang w:eastAsia="zh-CN"/>
        </w:rPr>
        <w:t>。</w:t>
      </w:r>
    </w:p>
    <w:p>
      <w:pPr>
        <w:pStyle w:val="2"/>
        <w:spacing w:before="93"/>
        <w:jc w:val="center"/>
        <w:rPr>
          <w:b/>
          <w:bCs/>
          <w:szCs w:val="30"/>
        </w:rPr>
      </w:pPr>
      <w:r>
        <w:rPr>
          <w:rFonts w:hint="eastAsia" w:ascii="仿宋" w:hAnsi="仿宋" w:eastAsia="仿宋"/>
          <w:b/>
          <w:bCs/>
          <w:color w:val="000000"/>
          <w:szCs w:val="30"/>
        </w:rPr>
        <w:t>图1：收、支决算总计变动情况图（单位：万元）</w:t>
      </w:r>
    </w:p>
    <w:p>
      <w:pPr>
        <w:spacing w:line="600" w:lineRule="exact"/>
        <w:ind w:firstLine="640" w:firstLineChars="200"/>
        <w:rPr>
          <w:rStyle w:val="28"/>
          <w:rFonts w:ascii="黑体" w:hAnsi="黑体" w:eastAsia="黑体"/>
          <w:b w:val="0"/>
        </w:rPr>
      </w:pPr>
      <w:bookmarkStart w:id="24" w:name="_Toc15377206"/>
      <w:bookmarkStart w:id="25" w:name="_Toc15396604"/>
      <w:r>
        <w:rPr>
          <w:rFonts w:hint="eastAsia" w:ascii="仿宋" w:hAnsi="仿宋" w:eastAsia="仿宋"/>
          <w:color w:val="000000"/>
          <w:sz w:val="32"/>
          <w:szCs w:val="32"/>
        </w:rPr>
        <w:drawing>
          <wp:anchor distT="0" distB="0" distL="114300" distR="114300" simplePos="0" relativeHeight="251662336" behindDoc="0" locked="0" layoutInCell="1" allowOverlap="1">
            <wp:simplePos x="0" y="0"/>
            <wp:positionH relativeFrom="column">
              <wp:posOffset>306705</wp:posOffset>
            </wp:positionH>
            <wp:positionV relativeFrom="paragraph">
              <wp:posOffset>130175</wp:posOffset>
            </wp:positionV>
            <wp:extent cx="4593590" cy="2788920"/>
            <wp:effectExtent l="0" t="0" r="16510" b="1143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黑体" w:hAnsi="黑体" w:eastAsia="黑体"/>
          <w:color w:val="000000"/>
          <w:sz w:val="32"/>
          <w:szCs w:val="32"/>
        </w:rPr>
        <w:t>二、收</w:t>
      </w:r>
      <w:r>
        <w:rPr>
          <w:rStyle w:val="28"/>
          <w:rFonts w:hint="eastAsia" w:ascii="黑体" w:hAnsi="黑体" w:eastAsia="黑体"/>
          <w:b w:val="0"/>
        </w:rPr>
        <w:t>入决算情况说明</w:t>
      </w:r>
      <w:bookmarkEnd w:id="24"/>
      <w:bookmarkEnd w:id="25"/>
    </w:p>
    <w:p>
      <w:pPr>
        <w:spacing w:line="580" w:lineRule="exact"/>
        <w:ind w:firstLine="640"/>
        <w:rPr>
          <w:rFonts w:ascii="仿宋_GB2312" w:eastAsia="仿宋_GB2312"/>
          <w:color w:val="000000"/>
          <w:sz w:val="32"/>
          <w:szCs w:val="32"/>
        </w:rPr>
      </w:pPr>
      <w:r>
        <w:rPr>
          <w:rFonts w:hint="eastAsia" w:ascii="仿宋_GB2312" w:eastAsia="仿宋_GB2312"/>
          <w:color w:val="000000"/>
          <w:sz w:val="32"/>
          <w:szCs w:val="32"/>
        </w:rPr>
        <w:t>2020年本年收入合计825.85万元，其中：一般公共预算财政拨款收入825.85万元，占100%；政府性基金预算财政拨款收入0万元，占0%；上级补助收入0万元，占0%；事业收入0万元，占0%；经营收入0万元，占0%；附属单位上缴收入0万元，占0%；其他收入0万元，占0%。</w:t>
      </w:r>
    </w:p>
    <w:p>
      <w:pPr>
        <w:pStyle w:val="2"/>
        <w:spacing w:before="93"/>
        <w:jc w:val="center"/>
        <w:rPr>
          <w:rFonts w:eastAsia="仿宋"/>
          <w:b/>
          <w:bCs/>
        </w:rPr>
      </w:pPr>
      <w:r>
        <w:rPr>
          <w:rFonts w:hint="eastAsia" w:ascii="仿宋" w:hAnsi="仿宋" w:eastAsia="仿宋"/>
          <w:b/>
          <w:bCs/>
          <w:color w:val="000000"/>
          <w:szCs w:val="30"/>
        </w:rPr>
        <w:drawing>
          <wp:anchor distT="0" distB="0" distL="114300" distR="114300" simplePos="0" relativeHeight="251659264" behindDoc="0" locked="0" layoutInCell="1" allowOverlap="1">
            <wp:simplePos x="0" y="0"/>
            <wp:positionH relativeFrom="column">
              <wp:posOffset>581025</wp:posOffset>
            </wp:positionH>
            <wp:positionV relativeFrom="paragraph">
              <wp:posOffset>517525</wp:posOffset>
            </wp:positionV>
            <wp:extent cx="4086225" cy="2076450"/>
            <wp:effectExtent l="19050" t="0" r="0" b="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b/>
          <w:bCs/>
          <w:color w:val="000000"/>
          <w:szCs w:val="30"/>
        </w:rPr>
        <w:t>图2：收入决算结构图</w: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rPr>
          <w:rFonts w:ascii="仿宋_GB2312" w:eastAsia="仿宋_GB2312"/>
          <w:color w:val="FF0000"/>
          <w:sz w:val="32"/>
          <w:szCs w:val="32"/>
        </w:rPr>
      </w:pPr>
    </w:p>
    <w:p>
      <w:pPr>
        <w:pStyle w:val="26"/>
        <w:spacing w:line="580" w:lineRule="exact"/>
        <w:ind w:firstLine="640"/>
        <w:outlineLvl w:val="1"/>
        <w:rPr>
          <w:rStyle w:val="28"/>
          <w:rFonts w:hint="eastAsia" w:ascii="黑体" w:hAnsi="黑体" w:eastAsia="黑体"/>
          <w:b w:val="0"/>
        </w:rPr>
      </w:pPr>
      <w:bookmarkStart w:id="26" w:name="_Toc15377207"/>
      <w:bookmarkStart w:id="27" w:name="_Toc15396605"/>
    </w:p>
    <w:p>
      <w:pPr>
        <w:pStyle w:val="26"/>
        <w:spacing w:line="580" w:lineRule="exact"/>
        <w:ind w:firstLine="640"/>
        <w:outlineLvl w:val="1"/>
        <w:rPr>
          <w:rStyle w:val="28"/>
          <w:rFonts w:ascii="黑体" w:hAnsi="黑体" w:eastAsia="黑体"/>
          <w:b w:val="0"/>
        </w:rPr>
      </w:pPr>
      <w:r>
        <w:rPr>
          <w:rStyle w:val="28"/>
          <w:rFonts w:hint="eastAsia" w:ascii="黑体" w:hAnsi="黑体" w:eastAsia="黑体"/>
          <w:b w:val="0"/>
        </w:rPr>
        <w:t>三、支出决算情况说明</w:t>
      </w:r>
      <w:bookmarkEnd w:id="26"/>
      <w:bookmarkEnd w:id="27"/>
    </w:p>
    <w:p>
      <w:pPr>
        <w:spacing w:line="580" w:lineRule="exact"/>
        <w:ind w:firstLine="640"/>
        <w:rPr>
          <w:rFonts w:ascii="仿宋_GB2312" w:eastAsia="仿宋_GB2312"/>
          <w:color w:val="000000"/>
          <w:sz w:val="32"/>
          <w:szCs w:val="32"/>
        </w:rPr>
      </w:pPr>
      <w:r>
        <w:rPr>
          <w:rFonts w:hint="eastAsia" w:ascii="仿宋_GB2312" w:eastAsia="仿宋_GB2312"/>
          <w:color w:val="000000"/>
          <w:sz w:val="32"/>
          <w:szCs w:val="32"/>
        </w:rPr>
        <w:t>2020年本年支出合计825.85万元，其中：基本支出798.56万元，占96.70%；项目支出27.29万元，占3.30%；上缴上级支出0万元，占0%；经营支出0万元，占0%；对附属单位补助支出0万元，占0%。</w:t>
      </w:r>
    </w:p>
    <w:p>
      <w:pPr>
        <w:pStyle w:val="2"/>
        <w:spacing w:before="93"/>
        <w:jc w:val="center"/>
        <w:rPr>
          <w:rFonts w:eastAsia="仿宋"/>
          <w:b/>
          <w:bCs/>
          <w:szCs w:val="30"/>
        </w:rPr>
      </w:pPr>
      <w:r>
        <w:rPr>
          <w:rFonts w:hint="eastAsia" w:ascii="仿宋" w:hAnsi="仿宋" w:eastAsia="仿宋"/>
          <w:b/>
          <w:bCs/>
          <w:color w:val="000000"/>
          <w:szCs w:val="30"/>
        </w:rPr>
        <w:t>图3：支出决算结构图</w:t>
      </w:r>
    </w:p>
    <w:p>
      <w:pPr>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0288" behindDoc="0" locked="0" layoutInCell="1" allowOverlap="1">
            <wp:simplePos x="0" y="0"/>
            <wp:positionH relativeFrom="column">
              <wp:posOffset>582295</wp:posOffset>
            </wp:positionH>
            <wp:positionV relativeFrom="paragraph">
              <wp:posOffset>50800</wp:posOffset>
            </wp:positionV>
            <wp:extent cx="4166235" cy="2211705"/>
            <wp:effectExtent l="19050" t="0" r="5715" b="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spacing w:line="580" w:lineRule="exact"/>
        <w:ind w:firstLine="640" w:firstLineChars="200"/>
        <w:outlineLvl w:val="1"/>
        <w:rPr>
          <w:rStyle w:val="28"/>
          <w:rFonts w:ascii="黑体" w:hAnsi="黑体" w:eastAsia="黑体"/>
          <w:b w:val="0"/>
        </w:rPr>
      </w:pPr>
      <w:bookmarkStart w:id="28" w:name="_Toc15396606"/>
      <w:bookmarkStart w:id="29" w:name="_Toc15377208"/>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28"/>
      <w:bookmarkEnd w:id="29"/>
    </w:p>
    <w:p>
      <w:pPr>
        <w:spacing w:line="580" w:lineRule="exact"/>
        <w:ind w:firstLine="640"/>
        <w:rPr>
          <w:rFonts w:ascii="仿宋_GB2312" w:eastAsia="仿宋_GB2312"/>
          <w:color w:val="000000"/>
          <w:sz w:val="32"/>
          <w:szCs w:val="32"/>
        </w:rPr>
      </w:pPr>
      <w:r>
        <w:rPr>
          <w:rFonts w:hint="eastAsia" w:ascii="仿宋_GB2312" w:eastAsia="仿宋_GB2312"/>
          <w:color w:val="000000"/>
          <w:sz w:val="32"/>
          <w:szCs w:val="32"/>
        </w:rPr>
        <w:t>2020年财政拨款收、支总计825.85万元。与2019年相比，财政拨款收、支总计各减少147.53万元，下降15.16%。主要变动原</w:t>
      </w:r>
      <w:r>
        <w:rPr>
          <w:rFonts w:hint="eastAsia" w:ascii="仿宋_GB2312" w:eastAsia="仿宋_GB2312"/>
          <w:color w:val="000000"/>
          <w:sz w:val="32"/>
          <w:szCs w:val="32"/>
          <w:highlight w:val="none"/>
        </w:rPr>
        <w:t>因是</w:t>
      </w:r>
      <w:r>
        <w:rPr>
          <w:rFonts w:hint="eastAsia" w:ascii="仿宋_GB2312" w:eastAsia="仿宋_GB2312"/>
          <w:color w:val="000000"/>
          <w:sz w:val="32"/>
          <w:szCs w:val="32"/>
          <w:highlight w:val="none"/>
          <w:lang w:val="en-US" w:eastAsia="zh-CN"/>
        </w:rPr>
        <w:t>2020年减少了停车场维修、设备购置经费等项目支出</w:t>
      </w:r>
      <w:r>
        <w:rPr>
          <w:rFonts w:hint="eastAsia" w:ascii="仿宋_GB2312" w:eastAsia="仿宋_GB2312"/>
          <w:color w:val="000000"/>
          <w:sz w:val="32"/>
          <w:szCs w:val="32"/>
          <w:highlight w:val="none"/>
          <w:lang w:eastAsia="zh-CN"/>
        </w:rPr>
        <w:t>。</w:t>
      </w:r>
    </w:p>
    <w:p>
      <w:pPr>
        <w:pStyle w:val="2"/>
        <w:spacing w:before="93"/>
        <w:jc w:val="center"/>
        <w:rPr>
          <w:rFonts w:hint="eastAsia" w:ascii="黑体" w:hAnsi="黑体" w:eastAsia="黑体"/>
          <w:color w:val="000000"/>
          <w:sz w:val="32"/>
          <w:szCs w:val="32"/>
        </w:rPr>
      </w:pPr>
      <w:r>
        <w:rPr>
          <w:rFonts w:hint="eastAsia"/>
          <w:b/>
          <w:bCs/>
        </w:rPr>
        <w:t>图4：财政拨款收、支决算总计变动情况（单位：万元）</w:t>
      </w:r>
    </w:p>
    <w:p>
      <w:pPr>
        <w:spacing w:line="600" w:lineRule="exact"/>
        <w:ind w:firstLine="640"/>
        <w:rPr>
          <w:rStyle w:val="28"/>
          <w:rFonts w:ascii="黑体" w:hAnsi="黑体" w:eastAsia="黑体"/>
          <w:b w:val="0"/>
        </w:rPr>
      </w:pPr>
      <w:r>
        <w:rPr>
          <w:rFonts w:hint="eastAsia" w:ascii="仿宋" w:hAnsi="仿宋" w:eastAsia="仿宋"/>
          <w:b/>
          <w:color w:val="FF0000"/>
          <w:sz w:val="32"/>
          <w:szCs w:val="32"/>
        </w:rPr>
        <w:drawing>
          <wp:anchor distT="0" distB="0" distL="114300" distR="114300" simplePos="0" relativeHeight="251663360" behindDoc="0" locked="0" layoutInCell="1" allowOverlap="1">
            <wp:simplePos x="0" y="0"/>
            <wp:positionH relativeFrom="column">
              <wp:posOffset>166370</wp:posOffset>
            </wp:positionH>
            <wp:positionV relativeFrom="paragraph">
              <wp:posOffset>94615</wp:posOffset>
            </wp:positionV>
            <wp:extent cx="4936490" cy="2429510"/>
            <wp:effectExtent l="0" t="0" r="16510" b="889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Start w:id="30" w:name="_Toc15377209"/>
      <w:bookmarkStart w:id="31"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30"/>
      <w:bookmarkEnd w:id="31"/>
    </w:p>
    <w:p>
      <w:pPr>
        <w:spacing w:line="600" w:lineRule="exact"/>
        <w:ind w:firstLine="643"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spacing w:line="580" w:lineRule="exact"/>
        <w:ind w:firstLine="640"/>
        <w:rPr>
          <w:rFonts w:ascii="仿宋_GB2312" w:eastAsia="仿宋_GB2312"/>
          <w:color w:val="000000"/>
          <w:sz w:val="32"/>
          <w:szCs w:val="32"/>
          <w:highlight w:val="yellow"/>
        </w:rPr>
      </w:pPr>
      <w:r>
        <w:rPr>
          <w:rFonts w:hint="eastAsia" w:ascii="仿宋_GB2312" w:eastAsia="仿宋_GB2312"/>
          <w:color w:val="000000"/>
          <w:sz w:val="32"/>
          <w:szCs w:val="32"/>
        </w:rPr>
        <w:t>2020年一般公共预算财政拨款支出825.85万元，占本年支出合计的100%。与2019年相比，一般公共预算财政拨款减少147.53万元，下降15.16%。</w:t>
      </w:r>
      <w:r>
        <w:rPr>
          <w:rFonts w:hint="eastAsia" w:ascii="仿宋_GB2312" w:eastAsia="仿宋_GB2312"/>
          <w:color w:val="000000"/>
          <w:sz w:val="32"/>
          <w:szCs w:val="32"/>
          <w:highlight w:val="none"/>
        </w:rPr>
        <w:t>主要变动原因是</w:t>
      </w:r>
      <w:r>
        <w:rPr>
          <w:rFonts w:hint="eastAsia" w:ascii="仿宋_GB2312" w:eastAsia="仿宋_GB2312"/>
          <w:color w:val="000000"/>
          <w:sz w:val="32"/>
          <w:szCs w:val="32"/>
          <w:highlight w:val="none"/>
          <w:lang w:val="en-US" w:eastAsia="zh-CN"/>
        </w:rPr>
        <w:t>2020年减少了停车场维修、设备购置经费等项目经费</w:t>
      </w:r>
      <w:r>
        <w:rPr>
          <w:rFonts w:hint="eastAsia" w:ascii="仿宋_GB2312" w:eastAsia="仿宋_GB2312"/>
          <w:color w:val="000000"/>
          <w:sz w:val="32"/>
          <w:szCs w:val="32"/>
          <w:highlight w:val="none"/>
          <w:lang w:eastAsia="zh-CN"/>
        </w:rPr>
        <w:t>。</w:t>
      </w:r>
    </w:p>
    <w:p>
      <w:pPr>
        <w:pStyle w:val="2"/>
        <w:spacing w:before="93"/>
        <w:jc w:val="center"/>
      </w:pPr>
      <w:r>
        <w:rPr>
          <w:rFonts w:hint="eastAsia" w:ascii="仿宋" w:hAnsi="仿宋" w:eastAsia="仿宋"/>
          <w:b/>
          <w:color w:val="FF0000"/>
          <w:sz w:val="32"/>
          <w:szCs w:val="32"/>
        </w:rPr>
        <w:drawing>
          <wp:anchor distT="0" distB="0" distL="114300" distR="114300" simplePos="0" relativeHeight="251664384" behindDoc="0" locked="0" layoutInCell="1" allowOverlap="1">
            <wp:simplePos x="0" y="0"/>
            <wp:positionH relativeFrom="column">
              <wp:posOffset>123825</wp:posOffset>
            </wp:positionH>
            <wp:positionV relativeFrom="paragraph">
              <wp:posOffset>513715</wp:posOffset>
            </wp:positionV>
            <wp:extent cx="5107940" cy="2287905"/>
            <wp:effectExtent l="0" t="0" r="16510" b="1714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b/>
          <w:bCs/>
          <w:color w:val="000000"/>
          <w:szCs w:val="30"/>
        </w:rPr>
        <w:t>图5：一般公共预算财政拨款支出决算变动情况（单位：万元）</w:t>
      </w:r>
    </w:p>
    <w:p>
      <w:pPr>
        <w:spacing w:line="580" w:lineRule="exact"/>
        <w:ind w:firstLine="643" w:firstLineChars="200"/>
        <w:rPr>
          <w:rFonts w:ascii="仿宋" w:hAnsi="仿宋" w:eastAsia="仿宋"/>
          <w:b/>
          <w:color w:val="000000"/>
          <w:sz w:val="32"/>
          <w:szCs w:val="32"/>
        </w:rPr>
      </w:pPr>
      <w:bookmarkStart w:id="33" w:name="_Toc15377211"/>
      <w:r>
        <w:rPr>
          <w:rFonts w:hint="eastAsia" w:ascii="仿宋" w:hAnsi="仿宋" w:eastAsia="仿宋"/>
          <w:b/>
          <w:color w:val="000000"/>
          <w:sz w:val="32"/>
          <w:szCs w:val="32"/>
        </w:rPr>
        <w:t>（二）一般公共预算财政拨款支出决算结构情况</w:t>
      </w:r>
      <w:bookmarkEnd w:id="33"/>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ascii="仿宋_GB2312" w:eastAsia="仿宋_GB2312"/>
          <w:color w:val="000000"/>
          <w:sz w:val="32"/>
          <w:szCs w:val="32"/>
        </w:rPr>
      </w:pPr>
      <w:r>
        <w:rPr>
          <w:rFonts w:hint="eastAsia" w:ascii="仿宋_GB2312" w:eastAsia="仿宋_GB2312"/>
          <w:color w:val="000000"/>
          <w:sz w:val="32"/>
          <w:szCs w:val="32"/>
        </w:rPr>
        <w:t>2020年一般公共预算财政拨款支出825.85万元，主要用于以下方面:</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_GB2312" w:eastAsia="仿宋_GB2312"/>
          <w:color w:val="000000"/>
          <w:sz w:val="32"/>
          <w:szCs w:val="32"/>
        </w:rPr>
        <w:t>支出654.17万元，占79.21%；</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_GB2312" w:eastAsia="仿宋_GB2312"/>
          <w:color w:val="000000"/>
          <w:sz w:val="32"/>
          <w:szCs w:val="32"/>
        </w:rPr>
        <w:t>支出113.69万元，占13.77%；</w:t>
      </w:r>
      <w:r>
        <w:rPr>
          <w:rFonts w:hint="eastAsia" w:ascii="仿宋" w:hAnsi="仿宋" w:eastAsia="仿宋"/>
          <w:b/>
          <w:bCs/>
          <w:color w:val="000000" w:themeColor="text1"/>
          <w:sz w:val="32"/>
          <w:szCs w:val="32"/>
          <w14:textFill>
            <w14:solidFill>
              <w14:schemeClr w14:val="tx1"/>
            </w14:solidFill>
          </w14:textFill>
        </w:rPr>
        <w:t>卫生健康</w:t>
      </w:r>
      <w:r>
        <w:rPr>
          <w:rFonts w:hint="eastAsia" w:ascii="仿宋" w:hAnsi="仿宋" w:eastAsia="仿宋"/>
          <w:b/>
          <w:color w:val="000000" w:themeColor="text1"/>
          <w:sz w:val="32"/>
          <w:szCs w:val="32"/>
          <w14:textFill>
            <w14:solidFill>
              <w14:schemeClr w14:val="tx1"/>
            </w14:solidFill>
          </w14:textFill>
        </w:rPr>
        <w:t>（类）</w:t>
      </w:r>
      <w:r>
        <w:rPr>
          <w:rFonts w:hint="eastAsia" w:ascii="仿宋_GB2312" w:eastAsia="仿宋_GB2312"/>
          <w:color w:val="000000"/>
          <w:sz w:val="32"/>
          <w:szCs w:val="32"/>
        </w:rPr>
        <w:t>支出19.60万元，占2.38%；</w:t>
      </w:r>
      <w:r>
        <w:rPr>
          <w:rFonts w:hint="eastAsia" w:ascii="仿宋" w:hAnsi="仿宋" w:eastAsia="仿宋"/>
          <w:b/>
          <w:bCs/>
          <w:color w:val="000000" w:themeColor="text1"/>
          <w:sz w:val="32"/>
          <w:szCs w:val="32"/>
          <w14:textFill>
            <w14:solidFill>
              <w14:schemeClr w14:val="tx1"/>
            </w14:solidFill>
          </w14:textFill>
        </w:rPr>
        <w:t>住房保障</w:t>
      </w:r>
      <w:r>
        <w:rPr>
          <w:rFonts w:hint="eastAsia" w:ascii="仿宋" w:hAnsi="仿宋" w:eastAsia="仿宋"/>
          <w:b/>
          <w:color w:val="000000" w:themeColor="text1"/>
          <w:sz w:val="32"/>
          <w:szCs w:val="32"/>
          <w14:textFill>
            <w14:solidFill>
              <w14:schemeClr w14:val="tx1"/>
            </w14:solidFill>
          </w14:textFill>
        </w:rPr>
        <w:t>（类）</w:t>
      </w:r>
      <w:r>
        <w:rPr>
          <w:rFonts w:hint="eastAsia" w:ascii="仿宋_GB2312" w:eastAsia="仿宋_GB2312"/>
          <w:color w:val="000000"/>
          <w:sz w:val="32"/>
          <w:szCs w:val="32"/>
        </w:rPr>
        <w:t>支出38.39万元，占4.64%。</w:t>
      </w:r>
    </w:p>
    <w:p>
      <w:pPr>
        <w:pStyle w:val="2"/>
        <w:spacing w:before="93"/>
        <w:jc w:val="center"/>
        <w:rPr>
          <w:rFonts w:eastAsia="仿宋"/>
          <w:b/>
          <w:bCs/>
          <w:szCs w:val="30"/>
        </w:rPr>
      </w:pPr>
      <w:r>
        <w:rPr>
          <w:rFonts w:hint="eastAsia" w:ascii="仿宋" w:hAnsi="仿宋" w:eastAsia="仿宋"/>
          <w:b/>
          <w:bCs/>
          <w:color w:val="000000" w:themeColor="text1"/>
          <w:szCs w:val="30"/>
          <w14:textFill>
            <w14:solidFill>
              <w14:schemeClr w14:val="tx1"/>
            </w14:solidFill>
          </w14:textFill>
        </w:rPr>
        <w:drawing>
          <wp:anchor distT="0" distB="0" distL="114300" distR="114300" simplePos="0" relativeHeight="251666432" behindDoc="0" locked="0" layoutInCell="1" allowOverlap="1">
            <wp:simplePos x="0" y="0"/>
            <wp:positionH relativeFrom="column">
              <wp:posOffset>323850</wp:posOffset>
            </wp:positionH>
            <wp:positionV relativeFrom="paragraph">
              <wp:posOffset>669925</wp:posOffset>
            </wp:positionV>
            <wp:extent cx="4737735" cy="2209800"/>
            <wp:effectExtent l="19050" t="0" r="5715" b="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b/>
          <w:bCs/>
          <w:color w:val="000000" w:themeColor="text1"/>
          <w:szCs w:val="30"/>
          <w14:textFill>
            <w14:solidFill>
              <w14:schemeClr w14:val="tx1"/>
            </w14:solidFill>
          </w14:textFill>
        </w:rPr>
        <w:t>图6：一般公共预算财政拨款支出决算结构</w:t>
      </w:r>
    </w:p>
    <w:p>
      <w:pPr>
        <w:pStyle w:val="2"/>
        <w:spacing w:before="93"/>
        <w:ind w:firstLine="643" w:firstLineChars="200"/>
        <w:rPr>
          <w:rFonts w:ascii="仿宋" w:hAnsi="仿宋" w:eastAsia="仿宋"/>
          <w:b/>
          <w:color w:val="000000"/>
          <w:sz w:val="32"/>
          <w:szCs w:val="32"/>
        </w:rPr>
      </w:pPr>
      <w:bookmarkStart w:id="34" w:name="_Toc15377212"/>
      <w:r>
        <w:rPr>
          <w:rFonts w:hint="eastAsia" w:ascii="仿宋" w:hAnsi="仿宋" w:eastAsia="仿宋"/>
          <w:b/>
          <w:color w:val="000000"/>
          <w:sz w:val="32"/>
          <w:szCs w:val="32"/>
        </w:rPr>
        <w:t>（三）一般公共预算财政拨款支出决算具体情况</w:t>
      </w:r>
      <w:bookmarkEnd w:id="34"/>
    </w:p>
    <w:p>
      <w:pPr>
        <w:spacing w:line="600" w:lineRule="exact"/>
        <w:ind w:firstLine="643" w:firstLineChars="200"/>
        <w:outlineLvl w:val="2"/>
        <w:rPr>
          <w:rFonts w:ascii="仿宋" w:hAnsi="仿宋" w:eastAsia="仿宋"/>
          <w:color w:val="FF0000"/>
          <w:sz w:val="32"/>
          <w:szCs w:val="32"/>
        </w:rPr>
      </w:pPr>
      <w:bookmarkStart w:id="35" w:name="_Toc15377444"/>
      <w:bookmarkStart w:id="36" w:name="_Toc15377213"/>
      <w:bookmarkStart w:id="37" w:name="_Toc15378460"/>
      <w:r>
        <w:rPr>
          <w:rFonts w:hint="eastAsia" w:ascii="仿宋" w:hAnsi="仿宋" w:eastAsia="仿宋"/>
          <w:b/>
          <w:color w:val="000000" w:themeColor="text1"/>
          <w:sz w:val="32"/>
          <w:szCs w:val="32"/>
          <w14:textFill>
            <w14:solidFill>
              <w14:schemeClr w14:val="tx1"/>
            </w14:solidFill>
          </w14:textFill>
        </w:rPr>
        <w:t>2020年一般公共预算支出决算数为825.85万元</w:t>
      </w:r>
      <w:r>
        <w:rPr>
          <w:rFonts w:hint="eastAsia" w:ascii="仿宋" w:hAnsi="仿宋" w:eastAsia="仿宋"/>
          <w:color w:val="000000" w:themeColor="text1"/>
          <w:sz w:val="32"/>
          <w:szCs w:val="32"/>
          <w14:textFill>
            <w14:solidFill>
              <w14:schemeClr w14:val="tx1"/>
            </w14:solidFill>
          </w14:textFill>
        </w:rPr>
        <w:t>，</w:t>
      </w:r>
      <w:r>
        <w:rPr>
          <w:rStyle w:val="17"/>
          <w:rFonts w:hint="eastAsia" w:ascii="仿宋" w:hAnsi="仿宋" w:eastAsia="仿宋"/>
          <w:bCs/>
          <w:color w:val="000000" w:themeColor="text1"/>
          <w:sz w:val="32"/>
          <w:szCs w:val="32"/>
          <w14:textFill>
            <w14:solidFill>
              <w14:schemeClr w14:val="tx1"/>
            </w14:solidFill>
          </w14:textFill>
        </w:rPr>
        <w:t>完成</w:t>
      </w:r>
      <w:r>
        <w:rPr>
          <w:rStyle w:val="17"/>
          <w:rFonts w:hint="eastAsia" w:ascii="仿宋" w:hAnsi="仿宋" w:eastAsia="仿宋"/>
          <w:bCs/>
          <w:color w:val="000000"/>
          <w:sz w:val="32"/>
          <w:szCs w:val="32"/>
        </w:rPr>
        <w:t>预算87.64</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。其中：</w:t>
      </w:r>
      <w:bookmarkEnd w:id="35"/>
      <w:bookmarkEnd w:id="36"/>
      <w:bookmarkEnd w:id="37"/>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Style w:val="17"/>
          <w:rFonts w:ascii="仿宋" w:hAnsi="仿宋" w:eastAsia="仿宋"/>
          <w:b w:val="0"/>
          <w:bCs/>
          <w:color w:val="000000"/>
          <w:sz w:val="32"/>
          <w:szCs w:val="32"/>
        </w:rPr>
      </w:pPr>
      <w:r>
        <w:rPr>
          <w:rStyle w:val="17"/>
          <w:rFonts w:ascii="仿宋" w:hAnsi="仿宋" w:eastAsia="仿宋"/>
          <w:bCs/>
          <w:color w:val="000000"/>
          <w:sz w:val="32"/>
          <w:szCs w:val="32"/>
        </w:rPr>
        <w:t>1.</w:t>
      </w:r>
      <w:r>
        <w:rPr>
          <w:rStyle w:val="17"/>
          <w:rFonts w:hint="eastAsia" w:ascii="仿宋" w:hAnsi="仿宋" w:eastAsia="仿宋"/>
          <w:bCs/>
          <w:color w:val="000000"/>
          <w:sz w:val="32"/>
          <w:szCs w:val="32"/>
        </w:rPr>
        <w:t>一般公共服务（类）财政事务（款）机关服务（项）</w:t>
      </w:r>
      <w:r>
        <w:rPr>
          <w:rStyle w:val="17"/>
          <w:rFonts w:ascii="仿宋" w:hAnsi="仿宋" w:eastAsia="仿宋"/>
          <w:bCs/>
          <w:color w:val="000000"/>
          <w:sz w:val="32"/>
          <w:szCs w:val="32"/>
        </w:rPr>
        <w:t>:</w:t>
      </w:r>
      <w:r>
        <w:rPr>
          <w:rFonts w:hint="eastAsia" w:ascii="仿宋_GB2312" w:eastAsia="仿宋_GB2312"/>
          <w:color w:val="000000"/>
          <w:sz w:val="32"/>
          <w:szCs w:val="32"/>
        </w:rPr>
        <w:t>支出决算为626.88万元，完成预算94.03%，决算数小于预算数的主要原因是继续积极贯彻落实中央八项规定及省委省政府十项规定要求，减少日常经费开支。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eastAsia="仿宋_GB2312"/>
          <w:color w:val="000000"/>
          <w:sz w:val="32"/>
          <w:szCs w:val="32"/>
        </w:rPr>
      </w:pPr>
      <w:r>
        <w:rPr>
          <w:rStyle w:val="17"/>
          <w:rFonts w:hint="eastAsia" w:ascii="仿宋" w:hAnsi="仿宋" w:eastAsia="仿宋"/>
          <w:bCs/>
          <w:color w:val="000000"/>
          <w:sz w:val="32"/>
          <w:szCs w:val="32"/>
        </w:rPr>
        <w:t>2</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一般公共服务（类）财政事务（款）其他财政事务（项）</w:t>
      </w:r>
      <w:r>
        <w:rPr>
          <w:rStyle w:val="17"/>
          <w:rFonts w:ascii="仿宋" w:hAnsi="仿宋" w:eastAsia="仿宋"/>
          <w:bCs/>
          <w:color w:val="000000"/>
          <w:sz w:val="32"/>
          <w:szCs w:val="32"/>
        </w:rPr>
        <w:t>:</w:t>
      </w:r>
      <w:r>
        <w:rPr>
          <w:rFonts w:hint="eastAsia" w:ascii="仿宋_GB2312" w:eastAsia="仿宋_GB2312"/>
          <w:color w:val="000000"/>
          <w:sz w:val="32"/>
          <w:szCs w:val="32"/>
        </w:rPr>
        <w:t>支出决算为27.29万元，完成预算26.71%，决算数小于预算数的主要原因是部分政府采购项目为跨年执行项目，项目采购资金结转至下一年度支付。</w:t>
      </w:r>
    </w:p>
    <w:p>
      <w:pPr>
        <w:pStyle w:val="2"/>
        <w:keepNext w:val="0"/>
        <w:keepLines w:val="0"/>
        <w:pageBreakBefore w:val="0"/>
        <w:widowControl w:val="0"/>
        <w:kinsoku/>
        <w:wordWrap/>
        <w:overflowPunct/>
        <w:topLinePunct w:val="0"/>
        <w:autoSpaceDE/>
        <w:autoSpaceDN/>
        <w:bidi w:val="0"/>
        <w:adjustRightInd/>
        <w:snapToGrid/>
        <w:spacing w:before="93" w:line="580" w:lineRule="exact"/>
        <w:ind w:firstLine="643" w:firstLineChars="200"/>
        <w:textAlignment w:val="auto"/>
        <w:rPr>
          <w:color w:val="000000"/>
          <w:kern w:val="2"/>
          <w:sz w:val="32"/>
          <w:szCs w:val="32"/>
        </w:rPr>
      </w:pPr>
      <w:r>
        <w:rPr>
          <w:rStyle w:val="17"/>
          <w:rFonts w:hint="eastAsia" w:ascii="仿宋" w:hAnsi="仿宋" w:eastAsia="仿宋"/>
          <w:bCs/>
          <w:color w:val="000000"/>
          <w:sz w:val="32"/>
          <w:szCs w:val="32"/>
        </w:rPr>
        <w:t>3</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社会保障和就业（类）行政事业单位养老（款）事业单位离退休（项）</w:t>
      </w:r>
      <w:r>
        <w:rPr>
          <w:rStyle w:val="17"/>
          <w:rFonts w:ascii="仿宋" w:hAnsi="仿宋" w:eastAsia="仿宋"/>
          <w:bCs/>
          <w:color w:val="000000"/>
          <w:sz w:val="32"/>
          <w:szCs w:val="32"/>
        </w:rPr>
        <w:t>:</w:t>
      </w:r>
      <w:r>
        <w:rPr>
          <w:rFonts w:hint="eastAsia"/>
          <w:color w:val="000000"/>
          <w:kern w:val="2"/>
          <w:sz w:val="32"/>
          <w:szCs w:val="32"/>
        </w:rPr>
        <w:t>支出决算为83.29万元，完成预算98.81%。</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eastAsia="仿宋_GB2312"/>
          <w:color w:val="000000"/>
          <w:sz w:val="32"/>
          <w:szCs w:val="32"/>
        </w:rPr>
      </w:pPr>
      <w:r>
        <w:rPr>
          <w:rStyle w:val="17"/>
          <w:rFonts w:hint="eastAsia" w:ascii="仿宋" w:hAnsi="仿宋" w:eastAsia="仿宋"/>
          <w:bCs/>
          <w:color w:val="000000"/>
          <w:sz w:val="32"/>
          <w:szCs w:val="32"/>
        </w:rPr>
        <w:t>4</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社会保障和就业（类）行政事业单位养老（款）机关事业单位基本养老保险费（项）</w:t>
      </w:r>
      <w:r>
        <w:rPr>
          <w:rStyle w:val="17"/>
          <w:rFonts w:ascii="仿宋" w:hAnsi="仿宋" w:eastAsia="仿宋"/>
          <w:bCs/>
          <w:color w:val="000000"/>
          <w:sz w:val="32"/>
          <w:szCs w:val="32"/>
        </w:rPr>
        <w:t>:</w:t>
      </w:r>
      <w:r>
        <w:rPr>
          <w:rFonts w:hint="eastAsia" w:ascii="仿宋_GB2312" w:eastAsia="仿宋_GB2312"/>
          <w:color w:val="000000"/>
          <w:sz w:val="32"/>
          <w:szCs w:val="32"/>
        </w:rPr>
        <w:t xml:space="preserve"> 支出决算为23.81万元，完成预算96.75%。</w:t>
      </w:r>
    </w:p>
    <w:p>
      <w:pPr>
        <w:pStyle w:val="2"/>
        <w:keepNext w:val="0"/>
        <w:keepLines w:val="0"/>
        <w:pageBreakBefore w:val="0"/>
        <w:widowControl w:val="0"/>
        <w:kinsoku/>
        <w:wordWrap/>
        <w:overflowPunct/>
        <w:topLinePunct w:val="0"/>
        <w:autoSpaceDE/>
        <w:autoSpaceDN/>
        <w:bidi w:val="0"/>
        <w:adjustRightInd/>
        <w:snapToGrid/>
        <w:spacing w:before="93" w:line="580" w:lineRule="exact"/>
        <w:ind w:firstLine="643" w:firstLineChars="200"/>
        <w:textAlignment w:val="auto"/>
        <w:rPr>
          <w:color w:val="000000"/>
          <w:kern w:val="2"/>
          <w:sz w:val="32"/>
          <w:szCs w:val="32"/>
        </w:rPr>
      </w:pPr>
      <w:r>
        <w:rPr>
          <w:rStyle w:val="17"/>
          <w:rFonts w:hint="eastAsia" w:ascii="仿宋" w:hAnsi="仿宋" w:eastAsia="仿宋"/>
          <w:bCs/>
          <w:color w:val="000000"/>
          <w:sz w:val="32"/>
          <w:szCs w:val="32"/>
        </w:rPr>
        <w:t>5</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社会保障和就业（类）行政事业单位养老（款）机关事业职业年金缴费（项）</w:t>
      </w:r>
      <w:r>
        <w:rPr>
          <w:rStyle w:val="17"/>
          <w:rFonts w:ascii="仿宋" w:hAnsi="仿宋" w:eastAsia="仿宋"/>
          <w:bCs/>
          <w:color w:val="000000"/>
          <w:sz w:val="32"/>
          <w:szCs w:val="32"/>
        </w:rPr>
        <w:t>:</w:t>
      </w:r>
      <w:r>
        <w:rPr>
          <w:rFonts w:hint="eastAsia"/>
          <w:color w:val="000000"/>
          <w:kern w:val="2"/>
          <w:sz w:val="32"/>
          <w:szCs w:val="32"/>
        </w:rPr>
        <w:t>支出决算为6.59万元，完成预算100%。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eastAsia="仿宋_GB2312"/>
          <w:color w:val="000000"/>
          <w:sz w:val="32"/>
          <w:szCs w:val="32"/>
        </w:rPr>
      </w:pPr>
      <w:r>
        <w:rPr>
          <w:rStyle w:val="17"/>
          <w:rFonts w:hint="eastAsia" w:ascii="仿宋" w:hAnsi="仿宋" w:eastAsia="仿宋"/>
          <w:bCs/>
          <w:color w:val="000000"/>
          <w:sz w:val="32"/>
          <w:szCs w:val="32"/>
        </w:rPr>
        <w:t>6</w:t>
      </w:r>
      <w:r>
        <w:rPr>
          <w:rStyle w:val="17"/>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Style w:val="17"/>
          <w:rFonts w:hint="eastAsia" w:ascii="仿宋" w:hAnsi="仿宋" w:eastAsia="仿宋"/>
          <w:bCs/>
          <w:color w:val="000000"/>
          <w:sz w:val="32"/>
          <w:szCs w:val="32"/>
        </w:rPr>
        <w:t>（类）行政事业单位医疗（款）行政单位医疗（项）</w:t>
      </w:r>
      <w:r>
        <w:rPr>
          <w:rStyle w:val="17"/>
          <w:rFonts w:ascii="仿宋" w:hAnsi="仿宋" w:eastAsia="仿宋"/>
          <w:bCs/>
          <w:color w:val="000000"/>
          <w:sz w:val="32"/>
          <w:szCs w:val="32"/>
        </w:rPr>
        <w:t>:</w:t>
      </w:r>
      <w:r>
        <w:rPr>
          <w:rFonts w:hint="eastAsia" w:ascii="仿宋_GB2312" w:eastAsia="仿宋_GB2312"/>
          <w:color w:val="000000"/>
          <w:sz w:val="32"/>
          <w:szCs w:val="32"/>
        </w:rPr>
        <w:t>支出决算为19.6万元，完成预算100%。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eastAsia="仿宋_GB2312"/>
          <w:color w:val="000000"/>
          <w:sz w:val="32"/>
          <w:szCs w:val="32"/>
        </w:rPr>
      </w:pPr>
      <w:r>
        <w:rPr>
          <w:rStyle w:val="17"/>
          <w:rFonts w:hint="eastAsia" w:ascii="仿宋" w:hAnsi="仿宋" w:eastAsia="仿宋"/>
          <w:bCs/>
          <w:color w:val="000000"/>
          <w:sz w:val="32"/>
          <w:szCs w:val="32"/>
        </w:rPr>
        <w:t>7</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住房保障（类）住房改革（款）住房公积金（项）</w:t>
      </w:r>
      <w:r>
        <w:rPr>
          <w:rStyle w:val="17"/>
          <w:rFonts w:ascii="仿宋" w:hAnsi="仿宋" w:eastAsia="仿宋"/>
          <w:bCs/>
          <w:color w:val="000000"/>
          <w:sz w:val="32"/>
          <w:szCs w:val="32"/>
        </w:rPr>
        <w:t>:</w:t>
      </w:r>
      <w:r>
        <w:rPr>
          <w:rFonts w:hint="eastAsia" w:ascii="仿宋_GB2312" w:eastAsia="仿宋_GB2312"/>
          <w:color w:val="000000"/>
          <w:sz w:val="32"/>
          <w:szCs w:val="32"/>
        </w:rPr>
        <w:t>支出决算为26.13万元，完成预算100%。</w:t>
      </w:r>
    </w:p>
    <w:p>
      <w:pPr>
        <w:pStyle w:val="2"/>
        <w:keepNext w:val="0"/>
        <w:keepLines w:val="0"/>
        <w:pageBreakBefore w:val="0"/>
        <w:widowControl w:val="0"/>
        <w:kinsoku/>
        <w:wordWrap/>
        <w:overflowPunct/>
        <w:topLinePunct w:val="0"/>
        <w:autoSpaceDE/>
        <w:autoSpaceDN/>
        <w:bidi w:val="0"/>
        <w:adjustRightInd/>
        <w:snapToGrid/>
        <w:spacing w:before="93" w:line="580" w:lineRule="exact"/>
        <w:ind w:firstLine="643" w:firstLineChars="200"/>
        <w:textAlignment w:val="auto"/>
        <w:rPr>
          <w:color w:val="000000"/>
          <w:kern w:val="2"/>
          <w:sz w:val="32"/>
          <w:szCs w:val="32"/>
        </w:rPr>
      </w:pPr>
      <w:r>
        <w:rPr>
          <w:rStyle w:val="17"/>
          <w:rFonts w:hint="eastAsia" w:ascii="仿宋" w:hAnsi="仿宋" w:eastAsia="仿宋"/>
          <w:bCs/>
          <w:color w:val="000000"/>
          <w:sz w:val="32"/>
          <w:szCs w:val="32"/>
        </w:rPr>
        <w:t>8</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住房保障（类）住房改革（款）住房补贴（项）</w:t>
      </w:r>
      <w:r>
        <w:rPr>
          <w:rStyle w:val="17"/>
          <w:rFonts w:ascii="仿宋" w:hAnsi="仿宋" w:eastAsia="仿宋"/>
          <w:bCs/>
          <w:color w:val="000000"/>
          <w:sz w:val="32"/>
          <w:szCs w:val="32"/>
        </w:rPr>
        <w:t>:</w:t>
      </w:r>
      <w:r>
        <w:rPr>
          <w:rFonts w:hint="eastAsia"/>
          <w:color w:val="000000"/>
          <w:kern w:val="2"/>
          <w:sz w:val="32"/>
          <w:szCs w:val="32"/>
        </w:rPr>
        <w:t>支出决算为12.26万元，完成预算100%。</w:t>
      </w:r>
    </w:p>
    <w:p>
      <w:pPr>
        <w:tabs>
          <w:tab w:val="right" w:pos="8306"/>
        </w:tabs>
        <w:spacing w:line="600" w:lineRule="exact"/>
        <w:ind w:firstLine="640"/>
        <w:outlineLvl w:val="1"/>
        <w:rPr>
          <w:rStyle w:val="28"/>
        </w:rPr>
      </w:pPr>
      <w:bookmarkStart w:id="38" w:name="_Toc15396608"/>
      <w:bookmarkStart w:id="39"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38"/>
      <w:bookmarkEnd w:id="39"/>
      <w:r>
        <w:rPr>
          <w:rStyle w:val="28"/>
          <w:rFonts w:ascii="黑体" w:hAnsi="黑体" w:eastAsia="黑体"/>
          <w:b w:val="0"/>
        </w:rPr>
        <w:tab/>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ascii="仿宋_GB2312" w:eastAsia="仿宋_GB2312"/>
          <w:color w:val="000000"/>
          <w:sz w:val="32"/>
          <w:szCs w:val="32"/>
        </w:rPr>
      </w:pPr>
      <w:r>
        <w:rPr>
          <w:rFonts w:hint="eastAsia" w:ascii="仿宋_GB2312" w:eastAsia="仿宋_GB2312"/>
          <w:color w:val="000000"/>
          <w:sz w:val="32"/>
          <w:szCs w:val="32"/>
        </w:rPr>
        <w:t>2020年一般公共预算财政拨款基本支出</w:t>
      </w:r>
      <w:r>
        <w:rPr>
          <w:rFonts w:hint="eastAsia" w:ascii="仿宋_GB2312" w:eastAsia="仿宋_GB2312"/>
          <w:color w:val="000000"/>
          <w:sz w:val="32"/>
          <w:szCs w:val="32"/>
          <w:lang w:val="en-US" w:eastAsia="zh-CN"/>
        </w:rPr>
        <w:t>798.56</w:t>
      </w:r>
      <w:r>
        <w:rPr>
          <w:rFonts w:hint="eastAsia" w:ascii="仿宋_GB2312" w:eastAsia="仿宋_GB2312"/>
          <w:color w:val="000000"/>
          <w:sz w:val="32"/>
          <w:szCs w:val="32"/>
        </w:rPr>
        <w:t>万元，其中：</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ascii="仿宋_GB2312" w:eastAsia="仿宋_GB2312"/>
          <w:color w:val="000000"/>
          <w:sz w:val="32"/>
          <w:szCs w:val="32"/>
        </w:rPr>
      </w:pPr>
      <w:r>
        <w:rPr>
          <w:rFonts w:hint="eastAsia" w:ascii="仿宋_GB2312" w:hAnsi="Calibri" w:eastAsia="仿宋_GB2312" w:cs="仿宋"/>
          <w:color w:val="000000"/>
          <w:kern w:val="0"/>
          <w:sz w:val="32"/>
          <w:szCs w:val="32"/>
          <w:lang w:val="en-US" w:eastAsia="zh-CN" w:bidi="ar-SA"/>
        </w:rPr>
        <w:t>人员经费385.75万元，主要包括：基本工资、津贴补贴、绩效工资、机关事业单位基本养老保险缴费、职业年金缴费、职工基本医疗保险缴费、其他社会保障缴费、其他工资福利支出、奖励金、住房公积金、其他对个人和家庭的补助支出。</w:t>
      </w:r>
      <w:r>
        <w:rPr>
          <w:rFonts w:hint="eastAsia" w:ascii="仿宋_GB2312" w:hAnsi="Calibri" w:eastAsia="仿宋_GB2312" w:cs="仿宋"/>
          <w:color w:val="000000"/>
          <w:kern w:val="0"/>
          <w:sz w:val="32"/>
          <w:szCs w:val="32"/>
          <w:lang w:val="en-US" w:eastAsia="zh-CN" w:bidi="ar-SA"/>
        </w:rPr>
        <w:br w:type="textWrapping"/>
      </w:r>
      <w:r>
        <w:rPr>
          <w:rFonts w:hint="eastAsia" w:ascii="仿宋_GB2312" w:eastAsia="仿宋_GB2312"/>
          <w:color w:val="000000"/>
          <w:sz w:val="32"/>
          <w:szCs w:val="32"/>
        </w:rPr>
        <w:t>　　公用经费412.8</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万元，主要包括：办公费、水费、电费、邮电费、物业管理费、差旅费、维修（护）费、工会经费、福利费、公务用车运行维护费、其他商品和服务支出。</w:t>
      </w:r>
    </w:p>
    <w:p>
      <w:pPr>
        <w:spacing w:line="600" w:lineRule="exact"/>
        <w:ind w:firstLine="640"/>
        <w:outlineLvl w:val="1"/>
        <w:rPr>
          <w:rStyle w:val="28"/>
          <w:rFonts w:ascii="黑体" w:hAnsi="黑体" w:eastAsia="黑体"/>
          <w:b w:val="0"/>
        </w:rPr>
      </w:pPr>
      <w:bookmarkStart w:id="40" w:name="_Toc15396609"/>
      <w:bookmarkStart w:id="41" w:name="_Toc15377215"/>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p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rPr>
        <w:t>2020年“三公”经费财政拨款支出决算为5.91万元，完成预算</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w:t>
      </w:r>
      <w:bookmarkStart w:id="43" w:name="_Toc15377217"/>
      <w:r>
        <w:rPr>
          <w:rFonts w:hint="eastAsia" w:ascii="仿宋_GB2312" w:eastAsia="仿宋_GB2312"/>
          <w:color w:val="000000"/>
          <w:sz w:val="32"/>
          <w:szCs w:val="32"/>
          <w:lang w:eastAsia="zh-CN"/>
        </w:rPr>
        <w:t>，决算数与预算数持平</w:t>
      </w:r>
      <w:r>
        <w:rPr>
          <w:rFonts w:hint="eastAsia" w:ascii="仿宋_GB2312" w:eastAsia="仿宋_GB2312"/>
          <w:color w:val="000000"/>
          <w:sz w:val="32"/>
          <w:szCs w:val="32"/>
          <w:lang w:val="en-US" w:eastAsia="zh-CN"/>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（二）“三公”经费财政拨款支出决算具体情况说明</w:t>
      </w:r>
      <w:bookmarkEnd w:id="43"/>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ascii="仿宋_GB2312" w:eastAsia="仿宋_GB2312"/>
          <w:color w:val="000000"/>
          <w:sz w:val="32"/>
          <w:szCs w:val="32"/>
        </w:rPr>
      </w:pPr>
      <w:r>
        <w:rPr>
          <w:rFonts w:hint="eastAsia" w:ascii="仿宋_GB2312" w:eastAsia="仿宋_GB2312"/>
          <w:color w:val="000000"/>
          <w:sz w:val="32"/>
          <w:szCs w:val="32"/>
        </w:rPr>
        <w:t>2020年“三公”经费财政拨款支出决算中，因公出国（境）费支出决算0万元，占0%，公务用车购置及运行维护费支出决算5.91万元，占100%，公务接待费支出决算0万元，占0%。具体情况如下：</w:t>
      </w:r>
    </w:p>
    <w:p>
      <w:pPr>
        <w:pStyle w:val="2"/>
        <w:spacing w:before="93"/>
        <w:jc w:val="center"/>
        <w:rPr>
          <w:rFonts w:eastAsia="仿宋_GB2312"/>
          <w:b/>
          <w:color w:val="000000"/>
          <w:sz w:val="32"/>
          <w:szCs w:val="32"/>
        </w:rPr>
      </w:pPr>
      <w:r>
        <w:rPr>
          <w:rFonts w:hint="eastAsia" w:ascii="仿宋" w:hAnsi="仿宋" w:eastAsia="仿宋"/>
          <w:color w:val="000000"/>
          <w:sz w:val="32"/>
          <w:szCs w:val="32"/>
        </w:rPr>
        <w:drawing>
          <wp:anchor distT="0" distB="0" distL="114300" distR="114300" simplePos="0" relativeHeight="251665408" behindDoc="0" locked="0" layoutInCell="1" allowOverlap="1">
            <wp:simplePos x="0" y="0"/>
            <wp:positionH relativeFrom="column">
              <wp:posOffset>523875</wp:posOffset>
            </wp:positionH>
            <wp:positionV relativeFrom="paragraph">
              <wp:posOffset>497205</wp:posOffset>
            </wp:positionV>
            <wp:extent cx="4352925" cy="2019300"/>
            <wp:effectExtent l="19050" t="0" r="0" b="0"/>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 w:hAnsi="仿宋" w:eastAsia="仿宋" w:cs="Times New Roman"/>
          <w:b/>
          <w:bCs/>
          <w:color w:val="000000" w:themeColor="text1"/>
          <w:szCs w:val="30"/>
          <w14:textFill>
            <w14:solidFill>
              <w14:schemeClr w14:val="tx1"/>
            </w14:solidFill>
          </w14:textFill>
        </w:rPr>
        <w:t>图7：“三公”经费财政预拨支出结构</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Fonts w:hint="eastAsia" w:ascii="仿宋_GB2312" w:eastAsia="仿宋_GB2312"/>
          <w:color w:val="000000"/>
          <w:sz w:val="32"/>
          <w:szCs w:val="32"/>
          <w:lang w:eastAsia="zh-CN"/>
        </w:rPr>
        <w:t>，与</w:t>
      </w:r>
      <w:r>
        <w:rPr>
          <w:rFonts w:hint="eastAsia" w:ascii="仿宋_GB2312" w:eastAsia="仿宋_GB2312"/>
          <w:color w:val="000000"/>
          <w:sz w:val="32"/>
          <w:szCs w:val="32"/>
          <w:lang w:val="en-US" w:eastAsia="zh-CN"/>
        </w:rPr>
        <w:t>2019</w:t>
      </w:r>
      <w:r>
        <w:rPr>
          <w:rFonts w:hint="eastAsia" w:ascii="仿宋_GB2312" w:eastAsia="仿宋_GB2312"/>
          <w:color w:val="000000"/>
          <w:sz w:val="32"/>
          <w:szCs w:val="32"/>
          <w:lang w:eastAsia="zh-CN"/>
        </w:rPr>
        <w:t>年决算支出数无变化</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5.91万元,完成预算</w:t>
      </w:r>
      <w:r>
        <w:rPr>
          <w:rFonts w:hint="eastAsia" w:ascii="仿宋_GB2312" w:eastAsia="仿宋_GB2312"/>
          <w:color w:val="000000"/>
          <w:sz w:val="32"/>
          <w:szCs w:val="32"/>
          <w:lang w:val="en-US" w:eastAsia="zh-CN"/>
        </w:rPr>
        <w:t>59.1</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2019年减少3.65万元，下降38.18%。主要原因是</w:t>
      </w:r>
      <w:r>
        <w:rPr>
          <w:rFonts w:hint="eastAsia" w:ascii="仿宋_GB2312" w:eastAsia="仿宋_GB2312"/>
          <w:color w:val="000000"/>
          <w:sz w:val="32"/>
          <w:szCs w:val="32"/>
        </w:rPr>
        <w:t>受疫情影响，公务出行减少</w:t>
      </w:r>
      <w:r>
        <w:rPr>
          <w:rFonts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0万元。全年按规定更新购置公务用车0辆，截至</w:t>
      </w:r>
      <w:r>
        <w:rPr>
          <w:rFonts w:ascii="仿宋_GB2312" w:eastAsia="仿宋_GB2312"/>
          <w:color w:val="000000"/>
          <w:sz w:val="32"/>
          <w:szCs w:val="32"/>
        </w:rPr>
        <w:t>20</w:t>
      </w:r>
      <w:r>
        <w:rPr>
          <w:rFonts w:hint="eastAsia" w:ascii="仿宋_GB2312" w:eastAsia="仿宋_GB2312"/>
          <w:color w:val="000000"/>
          <w:sz w:val="32"/>
          <w:szCs w:val="32"/>
        </w:rPr>
        <w:t>20年</w:t>
      </w:r>
      <w:r>
        <w:rPr>
          <w:rFonts w:ascii="仿宋_GB2312" w:eastAsia="仿宋_GB2312"/>
          <w:color w:val="000000"/>
          <w:sz w:val="32"/>
          <w:szCs w:val="32"/>
        </w:rPr>
        <w:t>12</w:t>
      </w:r>
      <w:r>
        <w:rPr>
          <w:rFonts w:hint="eastAsia" w:ascii="仿宋_GB2312" w:eastAsia="仿宋_GB2312"/>
          <w:color w:val="000000"/>
          <w:sz w:val="32"/>
          <w:szCs w:val="32"/>
        </w:rPr>
        <w:t>月底，单位共有公务用车2辆，其中：轿车2辆。</w:t>
      </w:r>
    </w:p>
    <w:p>
      <w:pPr>
        <w:spacing w:line="600" w:lineRule="exact"/>
        <w:ind w:firstLine="640"/>
        <w:rPr>
          <w:rFonts w:eastAsia="黑体"/>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5.91万元。主要用于</w:t>
      </w:r>
      <w:r>
        <w:rPr>
          <w:rFonts w:eastAsia="仿宋_GB2312"/>
          <w:color w:val="000000"/>
          <w:sz w:val="32"/>
          <w:szCs w:val="32"/>
        </w:rPr>
        <w:t>保障</w:t>
      </w:r>
      <w:r>
        <w:rPr>
          <w:rFonts w:hint="eastAsia" w:eastAsia="仿宋_GB2312"/>
          <w:color w:val="000000"/>
          <w:sz w:val="32"/>
          <w:szCs w:val="32"/>
        </w:rPr>
        <w:t>厅</w:t>
      </w:r>
      <w:r>
        <w:rPr>
          <w:rFonts w:eastAsia="仿宋_GB2312"/>
          <w:color w:val="000000"/>
          <w:sz w:val="32"/>
          <w:szCs w:val="32"/>
        </w:rPr>
        <w:t>机关及下属单位财政改革工作调研、财政监督检查、财政支出绩效评价等所需的公务用车燃料费、维修费、过路过桥费、保险费等支出。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0万元</w:t>
      </w:r>
      <w:r>
        <w:rPr>
          <w:rFonts w:hint="eastAsia" w:ascii="仿宋_GB2312" w:eastAsia="仿宋_GB2312"/>
          <w:color w:val="000000"/>
          <w:sz w:val="32"/>
          <w:szCs w:val="32"/>
          <w:lang w:eastAsia="zh-CN"/>
        </w:rPr>
        <w:t>，与</w:t>
      </w:r>
      <w:r>
        <w:rPr>
          <w:rFonts w:hint="eastAsia" w:ascii="仿宋_GB2312" w:eastAsia="仿宋_GB2312"/>
          <w:color w:val="000000"/>
          <w:sz w:val="32"/>
          <w:szCs w:val="32"/>
          <w:lang w:val="en-US" w:eastAsia="zh-CN"/>
        </w:rPr>
        <w:t>2019</w:t>
      </w:r>
      <w:r>
        <w:rPr>
          <w:rFonts w:hint="eastAsia" w:ascii="仿宋_GB2312" w:eastAsia="仿宋_GB2312"/>
          <w:color w:val="000000"/>
          <w:sz w:val="32"/>
          <w:szCs w:val="32"/>
          <w:lang w:eastAsia="zh-CN"/>
        </w:rPr>
        <w:t>年决算支出数无变化</w:t>
      </w:r>
      <w:r>
        <w:rPr>
          <w:rFonts w:hint="eastAsia" w:ascii="仿宋_GB2312" w:eastAsia="仿宋_GB2312"/>
          <w:color w:val="000000"/>
          <w:sz w:val="32"/>
          <w:szCs w:val="32"/>
        </w:rPr>
        <w:t>。</w:t>
      </w:r>
    </w:p>
    <w:p>
      <w:pPr>
        <w:spacing w:line="600" w:lineRule="exact"/>
        <w:ind w:firstLine="640"/>
        <w:outlineLvl w:val="1"/>
        <w:rPr>
          <w:rStyle w:val="28"/>
          <w:rFonts w:ascii="黑体" w:hAnsi="黑体" w:eastAsia="黑体"/>
        </w:rPr>
      </w:pPr>
      <w:bookmarkStart w:id="44" w:name="_Toc15377218"/>
      <w:bookmarkStart w:id="45" w:name="_Toc15396610"/>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机关服务中心2020年无政府性基金预算财政拨款支出。</w:t>
      </w:r>
    </w:p>
    <w:p>
      <w:pPr>
        <w:numPr>
          <w:ilvl w:val="0"/>
          <w:numId w:val="2"/>
        </w:numPr>
        <w:spacing w:line="600" w:lineRule="exact"/>
        <w:ind w:firstLine="640"/>
        <w:outlineLvl w:val="1"/>
        <w:rPr>
          <w:rStyle w:val="28"/>
          <w:rFonts w:ascii="黑体" w:hAnsi="黑体" w:eastAsia="黑体"/>
          <w:b w:val="0"/>
        </w:rPr>
      </w:pPr>
      <w:bookmarkStart w:id="46" w:name="_Toc15377219"/>
      <w:bookmarkStart w:id="47" w:name="_Toc15396611"/>
      <w:r>
        <w:rPr>
          <w:rStyle w:val="28"/>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机关服务中心2020年无国有资本经营预算财政拨款支出。</w:t>
      </w:r>
    </w:p>
    <w:p>
      <w:pPr>
        <w:numPr>
          <w:ilvl w:val="0"/>
          <w:numId w:val="2"/>
        </w:numPr>
        <w:spacing w:line="600" w:lineRule="exact"/>
        <w:ind w:firstLine="640"/>
        <w:outlineLvl w:val="1"/>
        <w:rPr>
          <w:rStyle w:val="28"/>
          <w:rFonts w:ascii="黑体" w:hAnsi="黑体" w:eastAsia="黑体"/>
          <w:b w:val="0"/>
        </w:rPr>
      </w:pPr>
      <w:bookmarkStart w:id="48" w:name="_Toc15377221"/>
      <w:bookmarkStart w:id="49" w:name="_Toc15396612"/>
      <w:r>
        <w:rPr>
          <w:rStyle w:val="28"/>
          <w:rFonts w:hint="eastAsia" w:ascii="黑体" w:hAnsi="黑体" w:eastAsia="黑体"/>
          <w:b w:val="0"/>
        </w:rPr>
        <w:t>其他重要事项的情况说明</w:t>
      </w:r>
      <w:bookmarkEnd w:id="48"/>
      <w:bookmarkEnd w:id="49"/>
    </w:p>
    <w:p>
      <w:pPr>
        <w:spacing w:line="600" w:lineRule="exact"/>
        <w:ind w:firstLine="643" w:firstLineChars="200"/>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pPr>
        <w:spacing w:line="600" w:lineRule="exact"/>
        <w:ind w:firstLine="640"/>
        <w:rPr>
          <w:rFonts w:ascii="方正小标宋简体" w:hAnsi="方正小标宋简体" w:eastAsia="方正小标宋简体" w:cs="方正小标宋简体"/>
          <w:sz w:val="44"/>
          <w:szCs w:val="44"/>
        </w:rPr>
      </w:pPr>
      <w:bookmarkStart w:id="51" w:name="_Toc15377223"/>
      <w:r>
        <w:rPr>
          <w:rFonts w:hint="eastAsia" w:ascii="仿宋_GB2312" w:eastAsia="仿宋_GB2312"/>
          <w:color w:val="000000"/>
          <w:sz w:val="32"/>
          <w:szCs w:val="32"/>
        </w:rPr>
        <w:t>机关服务中心无机关运行经费财政拨款支出。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bookmarkEnd w:id="51"/>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2020年，机关服务中心政府采购支出总额12.68万元，其中：政府采购货物支出9.58万元、政府采购工程支出0万元、政府采购服务支出3.1万元。主要用于办公设备购置等。授予中小企业合同金额62.53万元，部分合同金额根据实际合同约定结转至下一年结算。其中：授予小微企业合同金额6.23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2" w:name="_Toc15377224"/>
      <w:r>
        <w:rPr>
          <w:rFonts w:hint="eastAsia" w:ascii="仿宋" w:hAnsi="仿宋" w:eastAsia="仿宋"/>
          <w:b/>
          <w:color w:val="000000"/>
          <w:sz w:val="32"/>
          <w:szCs w:val="32"/>
        </w:rPr>
        <w:t>（三）国有资产占有使用情况</w:t>
      </w:r>
      <w:bookmarkEnd w:id="52"/>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rPr>
        <w:t>20年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日，机关服务中心共有车辆2辆，其中：其他车辆2辆，</w:t>
      </w:r>
      <w:r>
        <w:rPr>
          <w:rFonts w:hint="eastAsia" w:ascii="仿宋_GB2312" w:eastAsia="仿宋_GB2312"/>
          <w:color w:val="000000" w:themeColor="text1"/>
          <w:sz w:val="32"/>
          <w:szCs w:val="32"/>
          <w14:textFill>
            <w14:solidFill>
              <w14:schemeClr w14:val="tx1"/>
            </w14:solidFill>
          </w14:textFill>
        </w:rPr>
        <w:t>主要是用于</w:t>
      </w:r>
      <w:r>
        <w:rPr>
          <w:rFonts w:eastAsia="仿宋_GB2312"/>
          <w:color w:val="000000"/>
          <w:sz w:val="32"/>
          <w:szCs w:val="32"/>
        </w:rPr>
        <w:t>保障机关及下属单位财政改革工作调研、财政监督检查、财政支出绩效评价等工作所需</w:t>
      </w:r>
      <w:r>
        <w:rPr>
          <w:rFonts w:hint="eastAsia"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根据预算绩效管理要求，本单位无100万元以上项目，因此未开展预算事前绩效评估、编制绩效目标、开展绩效监控、项目绩效目标完成情况自评。</w:t>
      </w:r>
    </w:p>
    <w:p>
      <w:pPr>
        <w:pStyle w:val="2"/>
        <w:spacing w:before="93"/>
      </w:pPr>
    </w:p>
    <w:p>
      <w:pPr>
        <w:rPr>
          <w:rStyle w:val="27"/>
          <w:rFonts w:ascii="黑体" w:hAnsi="黑体" w:eastAsia="黑体"/>
          <w:b w:val="0"/>
        </w:rPr>
      </w:pPr>
      <w:r>
        <w:rPr>
          <w:rFonts w:ascii="仿宋_GB2312" w:hAnsi="仿宋_GB2312" w:eastAsia="仿宋_GB2312" w:cs="仿宋_GB2312"/>
          <w:color w:val="0000FF"/>
          <w:sz w:val="32"/>
          <w:szCs w:val="32"/>
        </w:rPr>
        <w:br w:type="page"/>
      </w:r>
      <w:bookmarkStart w:id="53" w:name="_Toc15396613"/>
      <w:bookmarkStart w:id="54" w:name="_Toc15377225"/>
    </w:p>
    <w:p>
      <w:pPr>
        <w:numPr>
          <w:ilvl w:val="0"/>
          <w:numId w:val="3"/>
        </w:numPr>
        <w:spacing w:line="600" w:lineRule="exact"/>
        <w:ind w:firstLine="660" w:firstLineChars="150"/>
        <w:jc w:val="center"/>
        <w:outlineLvl w:val="0"/>
        <w:rPr>
          <w:rStyle w:val="27"/>
          <w:rFonts w:ascii="黑体" w:hAnsi="黑体" w:eastAsia="黑体"/>
          <w:b w:val="0"/>
        </w:rPr>
      </w:pPr>
      <w:r>
        <w:rPr>
          <w:rFonts w:hint="eastAsia" w:ascii="黑体" w:hAnsi="黑体" w:eastAsia="黑体"/>
          <w:color w:val="000000"/>
          <w:sz w:val="44"/>
          <w:szCs w:val="44"/>
        </w:rPr>
        <w:t>名</w:t>
      </w:r>
      <w:r>
        <w:rPr>
          <w:rStyle w:val="27"/>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1.财政拨款收入：指单位从同级财政部门取得的财政预算资金。</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一般公共服务（类）财政事务（款）机关服务（项）：指机关服务中心为厅机关正常运行提供服务的支出。</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一般公共服务（类）财政事务（款）其他财政事务支出（项）：指机关服务中心除上述项目外，开展其他财政事务方面工作任务的项目支出。</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社会保障和就业（类）行政事业单位养老（款）事业单位离退休（项）：指机关服务中心的离退休人员的支出。</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社会保障和就业（类）行政事业单位养老（款）机关事业单位基本养老保险缴费（项）：指机关服务中心实施养老保险制度由单位缴纳的养老保险费的支出。</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社会保障和就业（类）行政事业单位养老（款）机关事业单位职业年金缴费（项）：指机关服务中心实施养老保险制度由单位缴纳的职业年金的支出。</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.卫生健康（类）行政事业单位医疗（款）行政单位医疗（项）：指机关服务中心用于缴纳单位基本医疗保险支出。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.住房保障（类）住房改革（款）住房公积金（项）：指按照《住房公积金管理条例》的规定，由单位及其在职职工缴存的长期住房储金。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住房保障（类）住房改革（款）购房补贴（项）：指按房改政策规定的标准，向符合条件职工发放的用于购买住房的补贴。</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“三公”经费：纳入</w:t>
      </w:r>
      <w:r>
        <w:rPr>
          <w:rFonts w:hint="eastAsia" w:ascii="仿宋_GB2312" w:eastAsia="仿宋_GB2312"/>
          <w:sz w:val="32"/>
          <w:szCs w:val="32"/>
          <w:lang w:eastAsia="zh-CN"/>
        </w:rPr>
        <w:t>单位</w:t>
      </w:r>
      <w:r>
        <w:rPr>
          <w:rFonts w:hint="eastAsia" w:ascii="仿宋_GB2312" w:eastAsia="仿宋_GB2312"/>
          <w:sz w:val="32"/>
          <w:szCs w:val="32"/>
        </w:rPr>
        <w:t>预算管理的“三公”经费，是指</w:t>
      </w:r>
      <w:r>
        <w:rPr>
          <w:rFonts w:hint="eastAsia" w:ascii="仿宋_GB2312" w:eastAsia="仿宋_GB2312"/>
          <w:sz w:val="32"/>
          <w:szCs w:val="32"/>
          <w:lang w:eastAsia="zh-CN"/>
        </w:rPr>
        <w:t>单位</w:t>
      </w:r>
      <w:r>
        <w:rPr>
          <w:rFonts w:hint="eastAsia" w:ascii="仿宋_GB2312" w:eastAsia="仿宋_GB2312"/>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20" w:lineRule="exact"/>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一般购置费、办公用房水电费以及其他费用。</w:t>
      </w:r>
    </w:p>
    <w:p>
      <w:pPr>
        <w:pStyle w:val="14"/>
        <w:widowControl/>
        <w:shd w:val="clear" w:color="auto" w:fill="FFFFFF"/>
        <w:spacing w:beforeAutospacing="0" w:afterAutospacing="0" w:line="520" w:lineRule="exact"/>
        <w:ind w:firstLine="883" w:firstLineChars="200"/>
        <w:rPr>
          <w:rStyle w:val="27"/>
          <w:rFonts w:ascii="黑体" w:hAnsi="黑体" w:eastAsia="黑体"/>
          <w:b w:val="0"/>
        </w:rPr>
      </w:pPr>
      <w:r>
        <w:rPr>
          <w:rFonts w:ascii="宋体"/>
          <w:b/>
          <w:color w:val="000000"/>
          <w:sz w:val="44"/>
          <w:szCs w:val="44"/>
        </w:rPr>
        <w:br w:type="page"/>
      </w:r>
      <w:bookmarkStart w:id="55" w:name="_Toc15377226"/>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outlineLvl w:val="0"/>
        <w:rPr>
          <w:rStyle w:val="27"/>
          <w:rFonts w:hint="eastAsia" w:ascii="黑体" w:hAnsi="黑体" w:eastAsia="黑体"/>
          <w:b w:val="0"/>
          <w:lang w:eastAsia="zh-CN"/>
        </w:rPr>
      </w:pPr>
      <w:bookmarkStart w:id="56" w:name="_Toc15396618"/>
      <w:r>
        <w:rPr>
          <w:rFonts w:hint="eastAsia" w:ascii="黑体" w:hAnsi="黑体" w:eastAsia="黑体"/>
          <w:color w:val="000000"/>
          <w:sz w:val="44"/>
          <w:szCs w:val="44"/>
        </w:rPr>
        <w:t>第</w:t>
      </w:r>
      <w:r>
        <w:rPr>
          <w:rFonts w:hint="eastAsia" w:ascii="黑体" w:hAnsi="黑体" w:eastAsia="黑体"/>
          <w:color w:val="000000"/>
          <w:sz w:val="44"/>
          <w:szCs w:val="44"/>
          <w:lang w:eastAsia="zh-CN"/>
        </w:rPr>
        <w:t>四</w:t>
      </w:r>
      <w:r>
        <w:rPr>
          <w:rStyle w:val="27"/>
          <w:rFonts w:hint="eastAsia" w:ascii="黑体" w:hAnsi="黑体" w:eastAsia="黑体"/>
          <w:b w:val="0"/>
        </w:rPr>
        <w:t>部分 附</w:t>
      </w:r>
      <w:r>
        <w:rPr>
          <w:rStyle w:val="27"/>
          <w:rFonts w:hint="eastAsia" w:ascii="黑体" w:hAnsi="黑体" w:eastAsia="黑体"/>
          <w:b w:val="0"/>
          <w:lang w:eastAsia="zh-CN"/>
        </w:rPr>
        <w:t>件</w:t>
      </w:r>
    </w:p>
    <w:p>
      <w:pPr>
        <w:pStyle w:val="2"/>
        <w:rPr>
          <w:rFonts w:hint="eastAsia"/>
        </w:rPr>
      </w:pPr>
    </w:p>
    <w:p>
      <w:pPr>
        <w:pStyle w:val="6"/>
        <w:ind w:left="0" w:leftChars="0" w:firstLine="0" w:firstLineChars="0"/>
        <w:jc w:val="center"/>
        <w:rPr>
          <w:rStyle w:val="27"/>
          <w:rFonts w:hint="eastAsia" w:ascii="黑体" w:hAnsi="黑体" w:eastAsia="黑体"/>
          <w:b w:val="0"/>
          <w:lang w:eastAsia="zh-CN"/>
        </w:rPr>
      </w:pPr>
      <w:r>
        <w:rPr>
          <w:rStyle w:val="27"/>
          <w:rFonts w:hint="eastAsia" w:ascii="黑体" w:hAnsi="黑体" w:eastAsia="黑体"/>
          <w:b w:val="0"/>
          <w:lang w:eastAsia="zh-CN"/>
        </w:rPr>
        <w:t>四川省财政厅机关服务中心</w:t>
      </w:r>
    </w:p>
    <w:p>
      <w:pPr>
        <w:pStyle w:val="6"/>
        <w:ind w:left="0" w:leftChars="0" w:firstLine="0" w:firstLineChars="0"/>
        <w:jc w:val="center"/>
        <w:rPr>
          <w:rStyle w:val="27"/>
          <w:rFonts w:hint="eastAsia" w:ascii="黑体" w:hAnsi="黑体" w:eastAsia="黑体"/>
          <w:b w:val="0"/>
          <w:lang w:val="en-US" w:eastAsia="zh-CN"/>
        </w:rPr>
      </w:pPr>
      <w:r>
        <w:rPr>
          <w:rStyle w:val="27"/>
          <w:rFonts w:hint="eastAsia" w:ascii="黑体" w:hAnsi="黑体" w:eastAsia="黑体"/>
          <w:b w:val="0"/>
          <w:lang w:val="en-US" w:eastAsia="zh-CN"/>
        </w:rPr>
        <w:t>2020年预算项目支出绩效自评报告</w:t>
      </w:r>
    </w:p>
    <w:p>
      <w:pPr>
        <w:pStyle w:val="6"/>
        <w:ind w:left="0" w:leftChars="0" w:firstLine="0" w:firstLineChars="0"/>
        <w:jc w:val="center"/>
        <w:rPr>
          <w:rStyle w:val="27"/>
          <w:rFonts w:hint="eastAsia" w:ascii="仿宋" w:hAnsi="仿宋" w:eastAsia="仿宋" w:cs="仿宋"/>
          <w:b w:val="0"/>
          <w:sz w:val="32"/>
          <w:szCs w:val="32"/>
          <w:lang w:val="en-US" w:eastAsia="zh-CN"/>
        </w:rPr>
      </w:pPr>
    </w:p>
    <w:p>
      <w:pPr>
        <w:pStyle w:val="6"/>
        <w:ind w:left="0" w:leftChars="0" w:firstLine="0" w:firstLineChars="0"/>
        <w:jc w:val="center"/>
        <w:rPr>
          <w:rStyle w:val="27"/>
          <w:rFonts w:hint="eastAsia" w:ascii="仿宋" w:hAnsi="仿宋" w:eastAsia="仿宋" w:cs="仿宋"/>
          <w:b w:val="0"/>
          <w:sz w:val="32"/>
          <w:szCs w:val="32"/>
          <w:lang w:val="en-US" w:eastAsia="zh-CN"/>
        </w:rPr>
      </w:pPr>
      <w:r>
        <w:rPr>
          <w:rStyle w:val="27"/>
          <w:rFonts w:hint="eastAsia" w:ascii="仿宋" w:hAnsi="仿宋" w:eastAsia="仿宋" w:cs="仿宋"/>
          <w:b w:val="0"/>
          <w:sz w:val="32"/>
          <w:szCs w:val="32"/>
          <w:lang w:val="en-US" w:eastAsia="zh-CN"/>
        </w:rPr>
        <w:t>（本单位不涉及此项工作。）</w:t>
      </w:r>
    </w:p>
    <w:p>
      <w:pPr>
        <w:rPr>
          <w:rFonts w:hint="eastAsia" w:ascii="黑体" w:hAnsi="黑体" w:eastAsia="黑体"/>
          <w:color w:val="000000"/>
          <w:sz w:val="44"/>
          <w:szCs w:val="44"/>
        </w:rPr>
      </w:pPr>
      <w:r>
        <w:rPr>
          <w:rFonts w:hint="eastAsia" w:ascii="黑体" w:hAnsi="黑体" w:eastAsia="黑体"/>
          <w:color w:val="000000"/>
          <w:sz w:val="44"/>
          <w:szCs w:val="44"/>
        </w:rPr>
        <w:br w:type="page"/>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outlineLvl w:val="0"/>
        <w:rPr>
          <w:rStyle w:val="27"/>
          <w:rFonts w:hint="eastAsia" w:ascii="黑体" w:hAnsi="黑体" w:eastAsia="黑体"/>
          <w:b w:val="0"/>
        </w:rPr>
      </w:pPr>
      <w:r>
        <w:rPr>
          <w:rFonts w:hint="eastAsia" w:ascii="黑体" w:hAnsi="黑体" w:eastAsia="黑体"/>
          <w:color w:val="000000"/>
          <w:sz w:val="44"/>
          <w:szCs w:val="44"/>
        </w:rPr>
        <w:t>第</w:t>
      </w:r>
      <w:r>
        <w:rPr>
          <w:rFonts w:hint="eastAsia" w:ascii="黑体" w:hAnsi="黑体" w:eastAsia="黑体"/>
          <w:color w:val="000000"/>
          <w:sz w:val="44"/>
          <w:szCs w:val="44"/>
          <w:lang w:eastAsia="zh-CN"/>
        </w:rPr>
        <w:t>五</w:t>
      </w:r>
      <w:r>
        <w:rPr>
          <w:rStyle w:val="27"/>
          <w:rFonts w:hint="eastAsia" w:ascii="黑体" w:hAnsi="黑体" w:eastAsia="黑体"/>
          <w:b w:val="0"/>
        </w:rPr>
        <w:t>部分 附表</w:t>
      </w:r>
      <w:bookmarkEnd w:id="55"/>
      <w:bookmarkEnd w:id="56"/>
      <w:bookmarkStart w:id="57" w:name="_Toc15396619"/>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一、收入支出决算总表</w:t>
      </w:r>
      <w:bookmarkEnd w:id="57"/>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
          <w:color w:val="000000"/>
          <w:kern w:val="0"/>
          <w:sz w:val="32"/>
          <w:szCs w:val="32"/>
          <w:lang w:val="en-US" w:eastAsia="zh-CN" w:bidi="ar-SA"/>
        </w:rPr>
      </w:pPr>
      <w:bookmarkStart w:id="58" w:name="_Toc15396620"/>
      <w:r>
        <w:rPr>
          <w:rFonts w:hint="eastAsia" w:ascii="仿宋_GB2312" w:hAnsi="Calibri" w:eastAsia="仿宋_GB2312" w:cs="仿宋"/>
          <w:color w:val="000000"/>
          <w:kern w:val="0"/>
          <w:sz w:val="32"/>
          <w:szCs w:val="32"/>
          <w:lang w:val="en-US" w:eastAsia="zh-CN" w:bidi="ar-SA"/>
        </w:rPr>
        <w:t>二、收入决算表</w:t>
      </w:r>
      <w:bookmarkEnd w:id="58"/>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
          <w:color w:val="000000"/>
          <w:kern w:val="0"/>
          <w:sz w:val="32"/>
          <w:szCs w:val="32"/>
          <w:lang w:val="en-US" w:eastAsia="zh-CN" w:bidi="ar-SA"/>
        </w:rPr>
      </w:pPr>
      <w:bookmarkStart w:id="59" w:name="_Toc15396621"/>
      <w:r>
        <w:rPr>
          <w:rFonts w:hint="eastAsia" w:ascii="仿宋_GB2312" w:hAnsi="Calibri" w:eastAsia="仿宋_GB2312" w:cs="仿宋"/>
          <w:color w:val="000000"/>
          <w:kern w:val="0"/>
          <w:sz w:val="32"/>
          <w:szCs w:val="32"/>
          <w:lang w:val="en-US" w:eastAsia="zh-CN" w:bidi="ar-SA"/>
        </w:rPr>
        <w:t>三、支出决算表</w:t>
      </w:r>
      <w:bookmarkEnd w:id="59"/>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
          <w:color w:val="000000"/>
          <w:kern w:val="0"/>
          <w:sz w:val="32"/>
          <w:szCs w:val="32"/>
          <w:lang w:val="en-US" w:eastAsia="zh-CN" w:bidi="ar-SA"/>
        </w:rPr>
      </w:pPr>
      <w:bookmarkStart w:id="60" w:name="_Toc15396622"/>
      <w:r>
        <w:rPr>
          <w:rFonts w:hint="eastAsia" w:ascii="仿宋_GB2312" w:hAnsi="Calibri" w:eastAsia="仿宋_GB2312" w:cs="仿宋"/>
          <w:color w:val="000000"/>
          <w:kern w:val="0"/>
          <w:sz w:val="32"/>
          <w:szCs w:val="32"/>
          <w:lang w:val="en-US" w:eastAsia="zh-CN" w:bidi="ar-SA"/>
        </w:rPr>
        <w:t>四、财政拨款收入支出决算总表</w:t>
      </w:r>
      <w:bookmarkEnd w:id="60"/>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
          <w:color w:val="000000"/>
          <w:kern w:val="0"/>
          <w:sz w:val="32"/>
          <w:szCs w:val="32"/>
          <w:lang w:val="en-US" w:eastAsia="zh-CN" w:bidi="ar-SA"/>
        </w:rPr>
      </w:pPr>
      <w:bookmarkStart w:id="61" w:name="_Toc15396623"/>
      <w:r>
        <w:rPr>
          <w:rFonts w:hint="eastAsia" w:ascii="仿宋_GB2312" w:hAnsi="Calibri" w:eastAsia="仿宋_GB2312" w:cs="仿宋"/>
          <w:color w:val="000000"/>
          <w:kern w:val="0"/>
          <w:sz w:val="32"/>
          <w:szCs w:val="32"/>
          <w:lang w:val="en-US" w:eastAsia="zh-CN" w:bidi="ar-SA"/>
        </w:rPr>
        <w:t>五、财政拨款支出决算明细表</w:t>
      </w:r>
      <w:bookmarkEnd w:id="61"/>
      <w:bookmarkStart w:id="62" w:name="_Toc15396624"/>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六、一般公共预算财政拨款支出决算表</w:t>
      </w:r>
      <w:bookmarkEnd w:id="62"/>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
          <w:color w:val="000000"/>
          <w:kern w:val="0"/>
          <w:sz w:val="32"/>
          <w:szCs w:val="32"/>
          <w:lang w:val="en-US" w:eastAsia="zh-CN" w:bidi="ar-SA"/>
        </w:rPr>
      </w:pPr>
      <w:bookmarkStart w:id="63" w:name="_Toc15396625"/>
      <w:r>
        <w:rPr>
          <w:rFonts w:hint="eastAsia" w:ascii="仿宋_GB2312" w:hAnsi="Calibri" w:eastAsia="仿宋_GB2312" w:cs="仿宋"/>
          <w:color w:val="000000"/>
          <w:kern w:val="0"/>
          <w:sz w:val="32"/>
          <w:szCs w:val="32"/>
          <w:lang w:val="en-US" w:eastAsia="zh-CN" w:bidi="ar-SA"/>
        </w:rPr>
        <w:t>七、一般公共预算财政拨款支出决算明细表</w:t>
      </w:r>
      <w:bookmarkEnd w:id="63"/>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
          <w:color w:val="000000"/>
          <w:kern w:val="0"/>
          <w:sz w:val="32"/>
          <w:szCs w:val="32"/>
          <w:lang w:val="en-US" w:eastAsia="zh-CN" w:bidi="ar-SA"/>
        </w:rPr>
      </w:pPr>
      <w:bookmarkStart w:id="64" w:name="_Toc15396626"/>
      <w:r>
        <w:rPr>
          <w:rFonts w:hint="eastAsia" w:ascii="仿宋_GB2312" w:hAnsi="Calibri" w:eastAsia="仿宋_GB2312" w:cs="仿宋"/>
          <w:color w:val="000000"/>
          <w:kern w:val="0"/>
          <w:sz w:val="32"/>
          <w:szCs w:val="32"/>
          <w:lang w:val="en-US" w:eastAsia="zh-CN" w:bidi="ar-SA"/>
        </w:rPr>
        <w:t>八、一般公共预算财政拨款基本支出决算表</w:t>
      </w:r>
      <w:bookmarkEnd w:id="64"/>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
          <w:color w:val="000000"/>
          <w:kern w:val="0"/>
          <w:sz w:val="32"/>
          <w:szCs w:val="32"/>
          <w:lang w:val="en-US" w:eastAsia="zh-CN" w:bidi="ar-SA"/>
        </w:rPr>
      </w:pPr>
      <w:bookmarkStart w:id="65" w:name="_Toc15396627"/>
      <w:r>
        <w:rPr>
          <w:rFonts w:hint="eastAsia" w:ascii="仿宋_GB2312" w:hAnsi="Calibri" w:eastAsia="仿宋_GB2312" w:cs="仿宋"/>
          <w:color w:val="000000"/>
          <w:kern w:val="0"/>
          <w:sz w:val="32"/>
          <w:szCs w:val="32"/>
          <w:lang w:val="en-US" w:eastAsia="zh-CN" w:bidi="ar-SA"/>
        </w:rPr>
        <w:t>九、一般公共预算财政拨款项目支出决算表</w:t>
      </w:r>
      <w:bookmarkEnd w:id="65"/>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
          <w:color w:val="000000"/>
          <w:kern w:val="0"/>
          <w:sz w:val="32"/>
          <w:szCs w:val="32"/>
          <w:lang w:val="en-US" w:eastAsia="zh-CN" w:bidi="ar-SA"/>
        </w:rPr>
      </w:pPr>
      <w:bookmarkStart w:id="66" w:name="_Toc15396628"/>
      <w:r>
        <w:rPr>
          <w:rFonts w:hint="eastAsia" w:ascii="仿宋_GB2312" w:hAnsi="Calibri" w:eastAsia="仿宋_GB2312" w:cs="仿宋"/>
          <w:color w:val="000000"/>
          <w:kern w:val="0"/>
          <w:sz w:val="32"/>
          <w:szCs w:val="32"/>
          <w:lang w:val="en-US" w:eastAsia="zh-CN" w:bidi="ar-SA"/>
        </w:rPr>
        <w:t>十、一般公共预算财政拨款“三公”经费支出决算表</w:t>
      </w:r>
      <w:bookmarkEnd w:id="66"/>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
          <w:color w:val="000000"/>
          <w:kern w:val="0"/>
          <w:sz w:val="32"/>
          <w:szCs w:val="32"/>
          <w:lang w:val="en-US" w:eastAsia="zh-CN" w:bidi="ar-SA"/>
        </w:rPr>
      </w:pPr>
      <w:bookmarkStart w:id="67" w:name="_Toc15396629"/>
      <w:r>
        <w:rPr>
          <w:rFonts w:hint="eastAsia" w:ascii="仿宋_GB2312" w:hAnsi="Calibri" w:eastAsia="仿宋_GB2312" w:cs="仿宋"/>
          <w:color w:val="000000"/>
          <w:kern w:val="0"/>
          <w:sz w:val="32"/>
          <w:szCs w:val="32"/>
          <w:lang w:val="en-US" w:eastAsia="zh-CN" w:bidi="ar-SA"/>
        </w:rPr>
        <w:t>十一、政府性基金预算财政拨款收入支出决算表</w:t>
      </w:r>
      <w:bookmarkEnd w:id="67"/>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
          <w:color w:val="000000"/>
          <w:kern w:val="0"/>
          <w:sz w:val="32"/>
          <w:szCs w:val="32"/>
          <w:lang w:val="en-US" w:eastAsia="zh-CN" w:bidi="ar-SA"/>
        </w:rPr>
      </w:pPr>
      <w:bookmarkStart w:id="68" w:name="_Toc15396630"/>
      <w:r>
        <w:rPr>
          <w:rFonts w:hint="eastAsia" w:ascii="仿宋_GB2312" w:hAnsi="Calibri" w:eastAsia="仿宋_GB2312" w:cs="仿宋"/>
          <w:color w:val="000000"/>
          <w:kern w:val="0"/>
          <w:sz w:val="32"/>
          <w:szCs w:val="32"/>
          <w:lang w:val="en-US" w:eastAsia="zh-CN" w:bidi="ar-SA"/>
        </w:rPr>
        <w:t>十二、政府性基金预算财政拨款“三公”经费支出决算表</w:t>
      </w:r>
      <w:bookmarkEnd w:id="68"/>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
          <w:color w:val="000000"/>
          <w:kern w:val="0"/>
          <w:sz w:val="32"/>
          <w:szCs w:val="32"/>
          <w:lang w:val="en-US" w:eastAsia="zh-CN" w:bidi="ar-SA"/>
        </w:rPr>
      </w:pPr>
      <w:bookmarkStart w:id="69" w:name="_Toc15396631"/>
      <w:r>
        <w:rPr>
          <w:rFonts w:hint="eastAsia" w:ascii="仿宋_GB2312" w:hAnsi="Calibri" w:eastAsia="仿宋_GB2312" w:cs="仿宋"/>
          <w:color w:val="000000"/>
          <w:kern w:val="0"/>
          <w:sz w:val="32"/>
          <w:szCs w:val="32"/>
          <w:lang w:val="en-US" w:eastAsia="zh-CN" w:bidi="ar-SA"/>
        </w:rPr>
        <w:t>十三、国有资本经营预算财政拨款收入支出决算表</w:t>
      </w:r>
      <w:bookmarkEnd w:id="69"/>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十四、国有资本经营预算财政拨款支出决算表</w:t>
      </w:r>
    </w:p>
    <w:sectPr>
      <w:footerReference r:id="rId6" w:type="first"/>
      <w:footerReference r:id="rId5"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0"/>
                                <w:jc w:val="center"/>
                              </w:pPr>
                              <w:r>
                                <w:fldChar w:fldCharType="begin"/>
                              </w:r>
                              <w:r>
                                <w:instrText xml:space="preserve">PAGE   \* MERGEFORMAT</w:instrText>
                              </w:r>
                              <w:r>
                                <w:fldChar w:fldCharType="separate"/>
                              </w:r>
                              <w:r>
                                <w:rPr>
                                  <w:lang w:val="zh-CN"/>
                                </w:rPr>
                                <w:t>18</w:t>
                              </w:r>
                              <w:r>
                                <w:fldChar w:fldCharType="end"/>
                              </w:r>
                            </w:p>
                          </w:sdtContent>
                        </w:sd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10"/>
                          <w:jc w:val="center"/>
                        </w:pPr>
                        <w:r>
                          <w:fldChar w:fldCharType="begin"/>
                        </w:r>
                        <w:r>
                          <w:instrText xml:space="preserve">PAGE   \* MERGEFORMAT</w:instrText>
                        </w:r>
                        <w:r>
                          <w:fldChar w:fldCharType="separate"/>
                        </w:r>
                        <w:r>
                          <w:rPr>
                            <w:lang w:val="zh-CN"/>
                          </w:rPr>
                          <w:t>18</w:t>
                        </w:r>
                        <w:r>
                          <w:fldChar w:fldCharType="end"/>
                        </w:r>
                      </w:p>
                    </w:sdtContent>
                  </w:sdt>
                  <w:p>
                    <w:pPr>
                      <w:pStyle w:val="6"/>
                    </w:pP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C202F"/>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2DA2"/>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205E"/>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4681"/>
    <w:rsid w:val="006A5E34"/>
    <w:rsid w:val="006B2360"/>
    <w:rsid w:val="006B2422"/>
    <w:rsid w:val="006B2B9A"/>
    <w:rsid w:val="006C1937"/>
    <w:rsid w:val="006D7B62"/>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2CA9"/>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79A"/>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4B0"/>
    <w:rsid w:val="00A40A00"/>
    <w:rsid w:val="00A4142F"/>
    <w:rsid w:val="00A422EB"/>
    <w:rsid w:val="00A45BB7"/>
    <w:rsid w:val="00A56DF2"/>
    <w:rsid w:val="00A56E6E"/>
    <w:rsid w:val="00A67AB5"/>
    <w:rsid w:val="00A733B2"/>
    <w:rsid w:val="00A741C2"/>
    <w:rsid w:val="00A91760"/>
    <w:rsid w:val="00A93B00"/>
    <w:rsid w:val="00A93C21"/>
    <w:rsid w:val="00AB64C9"/>
    <w:rsid w:val="00AC245D"/>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060F0"/>
    <w:rsid w:val="00C16FC9"/>
    <w:rsid w:val="00C2448E"/>
    <w:rsid w:val="00C33E72"/>
    <w:rsid w:val="00C354B2"/>
    <w:rsid w:val="00C35554"/>
    <w:rsid w:val="00C42709"/>
    <w:rsid w:val="00C50E3B"/>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C61C9C"/>
    <w:rsid w:val="0305160D"/>
    <w:rsid w:val="03383313"/>
    <w:rsid w:val="0A2032A3"/>
    <w:rsid w:val="0ADC1BB1"/>
    <w:rsid w:val="0D7B2723"/>
    <w:rsid w:val="0E3B7DB0"/>
    <w:rsid w:val="0F072230"/>
    <w:rsid w:val="10C055FF"/>
    <w:rsid w:val="11281304"/>
    <w:rsid w:val="118107EC"/>
    <w:rsid w:val="121B0DCB"/>
    <w:rsid w:val="12410CFD"/>
    <w:rsid w:val="16BB723D"/>
    <w:rsid w:val="18015F3F"/>
    <w:rsid w:val="1BE8440E"/>
    <w:rsid w:val="1D155CEE"/>
    <w:rsid w:val="200452A8"/>
    <w:rsid w:val="20A93D90"/>
    <w:rsid w:val="20F57F95"/>
    <w:rsid w:val="210E0926"/>
    <w:rsid w:val="21276DE9"/>
    <w:rsid w:val="240371BF"/>
    <w:rsid w:val="2903666D"/>
    <w:rsid w:val="2934555C"/>
    <w:rsid w:val="29FD04D3"/>
    <w:rsid w:val="2ABE7A3E"/>
    <w:rsid w:val="2AC4649B"/>
    <w:rsid w:val="2ECB11AA"/>
    <w:rsid w:val="319F7F4E"/>
    <w:rsid w:val="3AAD3C01"/>
    <w:rsid w:val="3BA41C4F"/>
    <w:rsid w:val="3E392335"/>
    <w:rsid w:val="3EDE4DB0"/>
    <w:rsid w:val="3FDD2B78"/>
    <w:rsid w:val="412C1D19"/>
    <w:rsid w:val="42B74129"/>
    <w:rsid w:val="496F39ED"/>
    <w:rsid w:val="4A6F784C"/>
    <w:rsid w:val="4BE068DB"/>
    <w:rsid w:val="4ECE2238"/>
    <w:rsid w:val="53613DAB"/>
    <w:rsid w:val="5527216A"/>
    <w:rsid w:val="55FB0D0C"/>
    <w:rsid w:val="5AB11868"/>
    <w:rsid w:val="5AEC070A"/>
    <w:rsid w:val="5BD878A7"/>
    <w:rsid w:val="5BF74D04"/>
    <w:rsid w:val="5FD965C5"/>
    <w:rsid w:val="61AD5309"/>
    <w:rsid w:val="62486E3F"/>
    <w:rsid w:val="6580098D"/>
    <w:rsid w:val="67EA4E53"/>
    <w:rsid w:val="6ACA0E4B"/>
    <w:rsid w:val="6C4A05C8"/>
    <w:rsid w:val="72734D90"/>
    <w:rsid w:val="7322779F"/>
    <w:rsid w:val="74503BC1"/>
    <w:rsid w:val="75301E59"/>
    <w:rsid w:val="772A41E1"/>
    <w:rsid w:val="774C11BC"/>
    <w:rsid w:val="7ABC72A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
    <w:qFormat/>
    <w:uiPriority w:val="99"/>
    <w:pPr>
      <w:spacing w:beforeLines="30"/>
    </w:pPr>
    <w:rPr>
      <w:rFonts w:ascii="仿宋_GB2312" w:eastAsia="仿宋_GB2312"/>
      <w:kern w:val="0"/>
      <w:sz w:val="30"/>
    </w:rPr>
  </w:style>
  <w:style w:type="paragraph" w:styleId="6">
    <w:name w:val="Normal Indent"/>
    <w:basedOn w:val="1"/>
    <w:qFormat/>
    <w:uiPriority w:val="0"/>
    <w:pPr>
      <w:ind w:firstLine="200" w:firstLineChars="200"/>
    </w:pPr>
  </w:style>
  <w:style w:type="paragraph" w:styleId="7">
    <w:name w:val="Document Map"/>
    <w:basedOn w:val="1"/>
    <w:link w:val="34"/>
    <w:semiHidden/>
    <w:unhideWhenUsed/>
    <w:qFormat/>
    <w:uiPriority w:val="99"/>
    <w:rPr>
      <w:rFonts w:ascii="宋体"/>
      <w:sz w:val="18"/>
      <w:szCs w:val="18"/>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Autospacing="1" w:afterAutospacing="1"/>
      <w:jc w:val="left"/>
    </w:pPr>
    <w:rPr>
      <w:kern w:val="0"/>
      <w:sz w:val="24"/>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2"/>
    <w:qFormat/>
    <w:uiPriority w:val="0"/>
    <w:pPr>
      <w:ind w:left="200" w:leftChars="200"/>
    </w:pPr>
    <w:rPr>
      <w:rFonts w:ascii="Calibri" w:hAnsi="Calibri" w:eastAsia="宋体" w:cs="Times New Roman"/>
      <w:lang w:val="en-US" w:eastAsia="zh-CN" w:bidi="ar-SA"/>
    </w:rPr>
  </w:style>
  <w:style w:type="character" w:customStyle="1" w:styleId="34">
    <w:name w:val="文档结构图 Char"/>
    <w:basedOn w:val="16"/>
    <w:link w:val="7"/>
    <w:semiHidden/>
    <w:qFormat/>
    <w:uiPriority w:val="99"/>
    <w:rPr>
      <w:rFonts w:ascii="宋体"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28863699198231"/>
          <c:y val="0.0468791856415751"/>
          <c:w val="0.882554603262372"/>
          <c:h val="0.811518885614787"/>
        </c:manualLayout>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973.38</c:v>
                </c:pt>
                <c:pt idx="1">
                  <c:v>825.85</c:v>
                </c:pt>
              </c:numCache>
            </c:numRef>
          </c:val>
        </c:ser>
        <c:dLbls>
          <c:showLegendKey val="0"/>
          <c:showVal val="1"/>
          <c:showCatName val="0"/>
          <c:showSerName val="0"/>
          <c:showPercent val="0"/>
          <c:showBubbleSize val="0"/>
        </c:dLbls>
        <c:gapWidth val="219"/>
        <c:overlap val="-27"/>
        <c:axId val="114238976"/>
        <c:axId val="114240512"/>
      </c:barChart>
      <c:catAx>
        <c:axId val="1142389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4240512"/>
        <c:crosses val="autoZero"/>
        <c:auto val="1"/>
        <c:lblAlgn val="ctr"/>
        <c:lblOffset val="100"/>
        <c:noMultiLvlLbl val="0"/>
      </c:catAx>
      <c:valAx>
        <c:axId val="11424051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42389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图2.收入决算结构图</c:v>
                </c:pt>
              </c:strCache>
            </c:strRef>
          </c:tx>
          <c:explosion val="0"/>
          <c:dPt>
            <c:idx val="0"/>
            <c:bubble3D val="0"/>
            <c:spPr>
              <a:solidFill>
                <a:schemeClr val="accent1"/>
              </a:solidFill>
              <a:ln>
                <a:noFill/>
              </a:ln>
              <a:effectLst>
                <a:outerShdw blurRad="63500" sx="102000" sy="102000" algn="ctr" rotWithShape="0">
                  <a:prstClr val="black">
                    <a:alpha val="20000"/>
                  </a:prstClr>
                </a:outerShdw>
              </a:effectLst>
            </c:spPr>
          </c:dPt>
          <c:dLbls>
            <c:dLbl>
              <c:idx val="0"/>
              <c:layout>
                <c:manualLayout>
                  <c:x val="0.0855762959699968"/>
                  <c:y val="-0.873162396683522"/>
                </c:manualLayout>
              </c:layout>
              <c:tx>
                <c:rich>
                  <a:bodyPr rot="0" spcFirstLastPara="0" vertOverflow="ellipsis" vert="horz" wrap="square" lIns="38100" tIns="19050" rIns="38100" bIns="19050" anchor="ctr" anchorCtr="1"/>
                  <a:lstStyle/>
                  <a:p>
                    <a:pPr defTabSz="914400">
                      <a:defRPr lang="zh-CN" sz="800" b="1" i="0" u="none" strike="noStrike" kern="1200" spc="0" baseline="0">
                        <a:solidFill>
                          <a:sysClr val="windowText" lastClr="000000"/>
                        </a:solidFill>
                        <a:latin typeface="+mn-lt"/>
                        <a:ea typeface="+mn-ea"/>
                        <a:cs typeface="+mn-cs"/>
                      </a:defRPr>
                    </a:pPr>
                    <a:r>
                      <a:rPr sz="900"/>
                      <a:t>一般公共预算财政拨款收入100%</a:t>
                    </a:r>
                    <a:endParaRPr sz="900"/>
                  </a:p>
                </c:rich>
              </c:tx>
              <c:numFmt formatCode="General" sourceLinked="1"/>
              <c:spPr>
                <a:noFill/>
                <a:ln>
                  <a:noFill/>
                </a:ln>
                <a:effectLst/>
              </c:spPr>
              <c:txPr>
                <a:bodyPr rot="0" spcFirstLastPara="0" vertOverflow="ellipsis" vert="horz" wrap="square" lIns="38100" tIns="19050" rIns="38100" bIns="19050" anchor="ctr" anchorCtr="1"/>
                <a:lstStyle/>
                <a:p>
                  <a:pPr>
                    <a:defRPr lang="zh-CN" sz="800" b="1" i="0" u="none" strike="noStrike" kern="1200" spc="0" baseline="0">
                      <a:solidFill>
                        <a:sysClr val="windowText" lastClr="000000"/>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4988344988345"/>
                      <c:h val="0.745259938837921"/>
                    </c:manualLayout>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1</c:v>
                </c:pt>
              </c:numCache>
            </c:numRef>
          </c:val>
        </c:ser>
        <c:dLbls>
          <c:showLegendKey val="0"/>
          <c:showVal val="0"/>
          <c:showCatName val="1"/>
          <c:showSerName val="0"/>
          <c:showPercent val="0"/>
          <c:showBubbleSize val="0"/>
          <c:showLeaderLines val="1"/>
        </c:dLbls>
        <c:firstSliceAng val="15"/>
      </c:pieChart>
      <c:spPr>
        <a:noFill/>
        <a:ln>
          <a:noFill/>
        </a:ln>
        <a:effectLst/>
      </c:spPr>
    </c:plotArea>
    <c:plotVisOnly val="1"/>
    <c:dispBlanksAs val="zero"/>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图3.支出决算结构图</c:v>
                </c:pt>
              </c:strCache>
            </c:strRef>
          </c:tx>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Lbls>
            <c:dLbl>
              <c:idx val="0"/>
              <c:layout>
                <c:manualLayout>
                  <c:x val="-0.171136289719615"/>
                  <c:y val="-0.047670010240967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974901799826462"/>
                  <c:y val="-0.040695300684313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ysClr val="windowText" lastClr="000000"/>
                    </a:solidFill>
                    <a:latin typeface="+mn-lt"/>
                    <a:ea typeface="+mn-ea"/>
                    <a:cs typeface="+mn-cs"/>
                  </a:defRPr>
                </a:pPr>
              </a:p>
            </c:txPr>
            <c:dLblPos val="bestFit"/>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0.967</c:v>
                </c:pt>
                <c:pt idx="1">
                  <c:v>0.033</c:v>
                </c:pt>
              </c:numCache>
            </c:numRef>
          </c:val>
        </c:ser>
        <c:dLbls>
          <c:showLegendKey val="0"/>
          <c:showVal val="1"/>
          <c:showCatName val="0"/>
          <c:showSerName val="0"/>
          <c:showPercent val="0"/>
          <c:showBubbleSize val="0"/>
          <c:showLeaderLines val="1"/>
        </c:dLbls>
        <c:firstSliceAng val="30"/>
      </c:pieChart>
      <c:spPr>
        <a:noFill/>
        <a:ln>
          <a:noFill/>
        </a:ln>
        <a:effectLst/>
      </c:spPr>
    </c:plotArea>
    <c:plotVisOnly val="1"/>
    <c:dispBlanksAs val="zero"/>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 2019年</c:v>
                </c:pt>
                <c:pt idx="1">
                  <c:v>2020年</c:v>
                </c:pt>
              </c:strCache>
            </c:strRef>
          </c:cat>
          <c:val>
            <c:numRef>
              <c:f>Sheet1!$B$2:$B$3</c:f>
              <c:numCache>
                <c:formatCode>General</c:formatCode>
                <c:ptCount val="2"/>
                <c:pt idx="0">
                  <c:v>973.38</c:v>
                </c:pt>
                <c:pt idx="1">
                  <c:v>825.85</c:v>
                </c:pt>
              </c:numCache>
            </c:numRef>
          </c:val>
        </c:ser>
        <c:dLbls>
          <c:showLegendKey val="0"/>
          <c:showVal val="1"/>
          <c:showCatName val="0"/>
          <c:showSerName val="0"/>
          <c:showPercent val="0"/>
          <c:showBubbleSize val="0"/>
        </c:dLbls>
        <c:gapWidth val="219"/>
        <c:overlap val="-27"/>
        <c:axId val="116822016"/>
        <c:axId val="116823552"/>
      </c:barChart>
      <c:catAx>
        <c:axId val="1168220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6823552"/>
        <c:crosses val="autoZero"/>
        <c:auto val="1"/>
        <c:lblAlgn val="ctr"/>
        <c:lblOffset val="100"/>
        <c:noMultiLvlLbl val="0"/>
      </c:catAx>
      <c:valAx>
        <c:axId val="11682355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68220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64047737444058"/>
          <c:y val="0.0568970302525673"/>
          <c:w val="0.894380905022377"/>
          <c:h val="0.804718290313628"/>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 2019年</c:v>
                </c:pt>
                <c:pt idx="1">
                  <c:v>2020年</c:v>
                </c:pt>
              </c:strCache>
            </c:strRef>
          </c:cat>
          <c:val>
            <c:numRef>
              <c:f>Sheet1!$B$2:$B$3</c:f>
              <c:numCache>
                <c:formatCode>General</c:formatCode>
                <c:ptCount val="2"/>
                <c:pt idx="0">
                  <c:v>973.38</c:v>
                </c:pt>
                <c:pt idx="1">
                  <c:v>825.85</c:v>
                </c:pt>
              </c:numCache>
            </c:numRef>
          </c:val>
        </c:ser>
        <c:dLbls>
          <c:showLegendKey val="0"/>
          <c:showVal val="1"/>
          <c:showCatName val="0"/>
          <c:showSerName val="0"/>
          <c:showPercent val="0"/>
          <c:showBubbleSize val="0"/>
        </c:dLbls>
        <c:gapWidth val="219"/>
        <c:overlap val="-27"/>
        <c:axId val="116864128"/>
        <c:axId val="116865664"/>
      </c:barChart>
      <c:catAx>
        <c:axId val="1168641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6865664"/>
        <c:crosses val="autoZero"/>
        <c:auto val="1"/>
        <c:lblAlgn val="ctr"/>
        <c:lblOffset val="100"/>
        <c:noMultiLvlLbl val="0"/>
      </c:catAx>
      <c:valAx>
        <c:axId val="11686566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68641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图6.一般公共预算财政拨款支出决算结构</c:v>
                </c:pt>
              </c:strCache>
            </c:strRef>
          </c:tx>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layout>
                <c:manualLayout>
                  <c:x val="0.174239378099451"/>
                  <c:y val="-0.049007109236767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69126808485489"/>
                  <c:y val="0.12108540251436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02438401472434"/>
                  <c:y val="0.0016856226305045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02546681061731"/>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ysClr val="windowText" lastClr="000000"/>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0.7921</c:v>
                </c:pt>
                <c:pt idx="1">
                  <c:v>0.1377</c:v>
                </c:pt>
                <c:pt idx="2">
                  <c:v>0.0238</c:v>
                </c:pt>
                <c:pt idx="3">
                  <c:v>0.0464</c:v>
                </c:pt>
              </c:numCache>
            </c:numRef>
          </c:val>
        </c:ser>
        <c:dLbls>
          <c:showLegendKey val="0"/>
          <c:showVal val="0"/>
          <c:showCatName val="1"/>
          <c:showSerName val="0"/>
          <c:showPercent val="0"/>
          <c:showBubbleSize val="0"/>
          <c:showLeaderLines val="1"/>
        </c:dLbls>
        <c:firstSliceAng val="20"/>
      </c:pieChart>
      <c:spPr>
        <a:noFill/>
        <a:ln>
          <a:noFill/>
        </a:ln>
        <a:effectLst/>
      </c:spPr>
    </c:plotArea>
    <c:plotVisOnly val="1"/>
    <c:dispBlanksAs val="zero"/>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1940189642597"/>
          <c:y val="0.120880503144654"/>
          <c:w val="0.351743253099927"/>
          <c:h val="0.758238993710692"/>
        </c:manualLayout>
      </c:layout>
      <c:pieChart>
        <c:varyColors val="1"/>
        <c:ser>
          <c:idx val="0"/>
          <c:order val="0"/>
          <c:tx>
            <c:strRef>
              <c:f>Sheet1!$B$1</c:f>
              <c:strCache>
                <c:ptCount val="1"/>
                <c:pt idx="0">
                  <c:v>列1</c:v>
                </c:pt>
              </c:strCache>
            </c:strRef>
          </c:tx>
          <c:explosion val="0"/>
          <c:dPt>
            <c:idx val="0"/>
            <c:bubble3D val="0"/>
            <c:explosion val="8"/>
            <c:spPr>
              <a:solidFill>
                <a:schemeClr val="accent1"/>
              </a:solidFill>
              <a:ln>
                <a:noFill/>
              </a:ln>
              <a:effectLst>
                <a:outerShdw blurRad="63500" sx="102000" sy="102000" algn="ctr" rotWithShape="0">
                  <a:prstClr val="black">
                    <a:alpha val="20000"/>
                  </a:prstClr>
                </a:outerShdw>
              </a:effectLst>
            </c:spPr>
          </c:dPt>
          <c:dLbls>
            <c:dLbl>
              <c:idx val="0"/>
              <c:layout>
                <c:manualLayout>
                  <c:x val="0.0858804137447808"/>
                  <c:y val="-0.738605781722773"/>
                </c:manualLayout>
              </c:layout>
              <c:numFmt formatCode="0.00%" sourceLinked="0"/>
              <c:spPr>
                <a:noFill/>
                <a:ln>
                  <a:noFill/>
                </a:ln>
                <a:effectLst/>
              </c:spPr>
              <c:txPr>
                <a:bodyPr rot="0" spcFirstLastPara="0" vertOverflow="ellipsis" vert="horz" wrap="square" lIns="38100" tIns="19050" rIns="38100" bIns="19050" anchor="ctr" anchorCtr="0"/>
                <a:lstStyle/>
                <a:p>
                  <a:pPr>
                    <a:defRPr lang="zh-CN" sz="1000" b="1" i="0" u="none" strike="noStrike" kern="1200" spc="0" baseline="0">
                      <a:solidFill>
                        <a:sysClr val="windowText" lastClr="000000"/>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86068563092633"/>
                      <c:h val="0.84559748427673"/>
                    </c:manualLayout>
                  </c15:layout>
                </c:ext>
              </c:extLst>
            </c:dLbl>
            <c:numFmt formatCode="0.00%" sourceLinked="0"/>
            <c:spPr>
              <a:noFill/>
              <a:ln>
                <a:noFill/>
              </a:ln>
              <a:effectLst/>
            </c:spPr>
            <c:txPr>
              <a:bodyPr rot="0" spcFirstLastPara="0" vertOverflow="ellipsis" vert="horz" wrap="square" lIns="38100" tIns="19050" rIns="38100" bIns="19050" anchor="ctr" anchorCtr="0"/>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公务用车购置及运行维护费支出5.91万元</c:v>
                </c:pt>
              </c:strCache>
            </c:strRef>
          </c:cat>
          <c:val>
            <c:numRef>
              <c:f>Sheet1!$B$2</c:f>
              <c:numCache>
                <c:formatCode>General</c:formatCode>
                <c:ptCount val="1"/>
                <c:pt idx="0">
                  <c:v>1</c:v>
                </c:pt>
              </c:numCache>
            </c:numRef>
          </c:val>
        </c:ser>
        <c:dLbls>
          <c:showLegendKey val="0"/>
          <c:showVal val="0"/>
          <c:showCatName val="1"/>
          <c:showSerName val="0"/>
          <c:showPercent val="0"/>
          <c:showBubbleSize val="0"/>
          <c:showLeaderLines val="1"/>
        </c:dLbls>
        <c:firstSliceAng val="15"/>
      </c:pieChart>
      <c:spPr>
        <a:noFill/>
        <a:ln>
          <a:noFill/>
        </a:ln>
        <a:effectLst/>
      </c:spPr>
    </c:plotArea>
    <c:plotVisOnly val="1"/>
    <c:dispBlanksAs val="zero"/>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489560-F3A2-4C60-9FF7-22ED853BAE64}">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18</Pages>
  <Words>5254</Words>
  <Characters>612</Characters>
  <Lines>5</Lines>
  <Paragraphs>11</Paragraphs>
  <TotalTime>2</TotalTime>
  <ScaleCrop>false</ScaleCrop>
  <LinksUpToDate>false</LinksUpToDate>
  <CharactersWithSpaces>5855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2021-09-03T07:28:00Z</cp:lastPrinted>
  <dcterms:modified xsi:type="dcterms:W3CDTF">2022-11-14T04:06:30Z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0821C8E5E1B545E08D816EC9D0EE9248</vt:lpwstr>
  </property>
</Properties>
</file>