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r>
        <w:rPr>
          <w:rFonts w:hint="eastAsia" w:ascii="方正小标宋简体" w:hAnsi="宋体" w:eastAsia="方正小标宋简体"/>
          <w:color w:val="000000"/>
          <w:sz w:val="72"/>
          <w:szCs w:val="72"/>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77426"/>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财政厅社会保险</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基金中心</w:t>
      </w:r>
      <w:r>
        <w:rPr>
          <w:rFonts w:hint="eastAsia" w:ascii="方正小标宋简体" w:hAnsi="宋体" w:eastAsia="方正小标宋简体"/>
          <w:color w:val="000000"/>
          <w:sz w:val="72"/>
          <w:szCs w:val="72"/>
          <w:highlight w:val="none"/>
          <w:lang w:eastAsia="zh-CN"/>
        </w:rPr>
        <w:t>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hint="eastAsia" w:ascii="黑体" w:hAnsi="黑体" w:eastAsia="黑体" w:cs="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pStyle w:val="11"/>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
      <w:pPr>
        <w:pStyle w:val="11"/>
        <w:adjustRightInd w:val="0"/>
        <w:snapToGrid w:val="0"/>
        <w:spacing w:before="0"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4</w:t>
      </w:r>
    </w:p>
    <w:p>
      <w:pPr>
        <w:pStyle w:val="12"/>
        <w:adjustRightInd w:val="0"/>
        <w:snapToGrid w:val="0"/>
        <w:spacing w:line="440" w:lineRule="exact"/>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一、职能</w:t>
      </w:r>
      <w:r>
        <w:rPr>
          <w:rFonts w:hint="eastAsia" w:ascii="仿宋_GB2312" w:hAnsi="仿宋_GB2312" w:eastAsia="仿宋_GB2312" w:cs="仿宋_GB2312"/>
          <w:color w:val="auto"/>
          <w:sz w:val="32"/>
          <w:szCs w:val="32"/>
          <w:highlight w:val="none"/>
          <w:lang w:eastAsia="zh-CN"/>
        </w:rPr>
        <w:t>简介</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4</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2020年重点</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完成情况</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5</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三、机构设置情况</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5</w:t>
      </w:r>
    </w:p>
    <w:p>
      <w:pPr>
        <w:pStyle w:val="11"/>
        <w:adjustRightInd w:val="0"/>
        <w:snapToGrid w:val="0"/>
        <w:spacing w:before="0" w:line="440" w:lineRule="exact"/>
        <w:jc w:val="left"/>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rPr>
        <w:t>第二部分</w:t>
      </w:r>
      <w:r>
        <w:rPr>
          <w:rFonts w:hint="eastAsia" w:ascii="仿宋_GB2312" w:hAnsi="仿宋_GB2312" w:eastAsia="仿宋_GB2312" w:cs="仿宋_GB2312"/>
          <w:b/>
          <w:bCs/>
          <w:color w:val="auto"/>
          <w:sz w:val="32"/>
          <w:szCs w:val="32"/>
          <w:highlight w:val="none"/>
          <w:lang w:val="en-US" w:eastAsia="zh-CN"/>
        </w:rPr>
        <w:t xml:space="preserve"> 2020年度</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决算情况说明</w:t>
      </w:r>
      <w:r>
        <w:rPr>
          <w:rFonts w:hint="eastAsia" w:ascii="仿宋_GB2312" w:hAnsi="仿宋_GB2312" w:eastAsia="仿宋_GB2312" w:cs="仿宋_GB2312"/>
          <w:b/>
          <w:bCs/>
          <w:color w:val="auto"/>
          <w:sz w:val="32"/>
          <w:szCs w:val="32"/>
          <w:highlight w:val="none"/>
          <w:lang w:val="en-US" w:eastAsia="zh-CN"/>
        </w:rPr>
        <w:tab/>
      </w:r>
      <w:r>
        <w:rPr>
          <w:rFonts w:hint="eastAsia" w:ascii="仿宋_GB2312" w:hAnsi="仿宋_GB2312" w:eastAsia="仿宋_GB2312" w:cs="仿宋_GB2312"/>
          <w:b/>
          <w:bCs/>
          <w:color w:val="auto"/>
          <w:sz w:val="32"/>
          <w:szCs w:val="32"/>
          <w:highlight w:val="none"/>
          <w:lang w:val="en-US" w:eastAsia="zh-CN"/>
        </w:rPr>
        <w:t>6</w:t>
      </w:r>
    </w:p>
    <w:p>
      <w:pPr>
        <w:pStyle w:val="12"/>
        <w:adjustRightInd w:val="0"/>
        <w:snapToGrid w:val="0"/>
        <w:spacing w:line="440" w:lineRule="exact"/>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6</w:t>
      </w:r>
    </w:p>
    <w:p>
      <w:pPr>
        <w:pStyle w:val="12"/>
        <w:adjustRightInd w:val="0"/>
        <w:snapToGrid w:val="0"/>
        <w:spacing w:line="440" w:lineRule="exact"/>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6</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7</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8</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8</w:t>
      </w:r>
    </w:p>
    <w:p>
      <w:pPr>
        <w:pStyle w:val="12"/>
        <w:adjustRightInd w:val="0"/>
        <w:snapToGrid w:val="0"/>
        <w:spacing w:line="440" w:lineRule="exact"/>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11</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七、“三公”经费财政拨款支出决算情况说明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11</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12</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九、国有资本经营预算支出决算情况说明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12</w:t>
      </w:r>
    </w:p>
    <w:p>
      <w:pPr>
        <w:pStyle w:val="12"/>
        <w:adjustRightInd w:val="0"/>
        <w:snapToGrid w:val="0"/>
        <w:spacing w:line="440" w:lineRule="exact"/>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十、其他重要事项的情况说明</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12</w:t>
      </w:r>
    </w:p>
    <w:p>
      <w:pPr>
        <w:pStyle w:val="11"/>
        <w:adjustRightInd w:val="0"/>
        <w:snapToGrid w:val="0"/>
        <w:spacing w:before="0" w:line="440" w:lineRule="exact"/>
        <w:jc w:val="left"/>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rPr>
        <w:t>第三部分 名词解释</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t>13</w:t>
      </w:r>
    </w:p>
    <w:p>
      <w:pPr>
        <w:pStyle w:val="11"/>
        <w:adjustRightInd w:val="0"/>
        <w:snapToGrid w:val="0"/>
        <w:spacing w:before="0" w:line="440" w:lineRule="exact"/>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第四部分 </w:t>
      </w:r>
      <w:r>
        <w:rPr>
          <w:rFonts w:hint="eastAsia" w:ascii="仿宋_GB2312" w:hAnsi="仿宋_GB2312" w:eastAsia="仿宋_GB2312" w:cs="仿宋_GB2312"/>
          <w:b/>
          <w:bCs/>
          <w:color w:val="auto"/>
          <w:sz w:val="32"/>
          <w:szCs w:val="32"/>
          <w:highlight w:val="none"/>
          <w:lang w:eastAsia="zh-CN"/>
        </w:rPr>
        <w:t>附件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t>15</w:t>
      </w:r>
    </w:p>
    <w:p>
      <w:pPr>
        <w:pStyle w:val="11"/>
        <w:adjustRightInd w:val="0"/>
        <w:snapToGrid w:val="0"/>
        <w:spacing w:before="0" w:line="440" w:lineRule="exact"/>
        <w:jc w:val="left"/>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 xml:space="preserve">部分 </w:t>
      </w:r>
      <w:r>
        <w:rPr>
          <w:rFonts w:hint="eastAsia" w:ascii="仿宋_GB2312" w:hAnsi="仿宋_GB2312" w:eastAsia="仿宋_GB2312" w:cs="仿宋_GB2312"/>
          <w:b/>
          <w:bCs/>
          <w:sz w:val="32"/>
          <w:szCs w:val="32"/>
          <w:highlight w:val="none"/>
        </w:rPr>
        <w:t>附表</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t>16</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p>
    <w:p>
      <w:pPr>
        <w:pStyle w:val="12"/>
        <w:adjustRightInd w:val="0"/>
        <w:snapToGrid w:val="0"/>
        <w:spacing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bookmarkEnd w:id="12"/>
    <w:bookmarkEnd w:id="13"/>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32"/>
          <w:szCs w:val="32"/>
          <w:highlight w:val="none"/>
          <w:lang w:val="en-US" w:eastAsia="zh-CN"/>
        </w:rPr>
      </w:pPr>
      <w:bookmarkStart w:id="14" w:name="_Toc15396600"/>
      <w:bookmarkStart w:id="15" w:name="_Toc15377197"/>
      <w:r>
        <w:rPr>
          <w:rFonts w:hint="eastAsia" w:ascii="黑体" w:hAnsi="黑体" w:eastAsia="黑体" w:cs="黑体"/>
          <w:color w:val="auto"/>
          <w:sz w:val="44"/>
          <w:szCs w:val="44"/>
          <w:highlight w:val="none"/>
          <w:lang w:eastAsia="zh-CN"/>
        </w:rPr>
        <w:t>第一部分</w:t>
      </w:r>
      <w:r>
        <w:rPr>
          <w:rFonts w:hint="eastAsia" w:ascii="黑体" w:hAnsi="黑体" w:eastAsia="黑体" w:cs="黑体"/>
          <w:color w:val="auto"/>
          <w:sz w:val="44"/>
          <w:szCs w:val="44"/>
          <w:highlight w:val="none"/>
          <w:lang w:val="en-US" w:eastAsia="zh-CN"/>
        </w:rPr>
        <w:t xml:space="preserve"> 单位概况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一、职能简介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sz w:val="32"/>
          <w:szCs w:val="32"/>
        </w:rPr>
        <w:t>全省及省级社保基金预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算、预算调整方案的编制、汇总、审核等工作。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负责全省及省级社保基金预算月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度执行分析工作。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具体承担社保基金预算绩效管理事前评估、事中监控、事后评价工作。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负责社保基金运行分析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短期和中长期精算研究工作。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负责与人民银行成都分行、省级社保经办机构、税务部门按旬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核对社保费征收情况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办理省级金库待划转社会保险费划转基金财政专户工作。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负责办理省级社保基金支出用款计划初审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登记省级财政专户基金收支辅助账工作。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负责登记统收统支省级统筹险种各经办核算单元基金收支台账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登记职业年金省级记账单位应缴费台账。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负责建设和维护全省社会保障资金信息管理系统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做好基础数据管理和分析工作。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具体指导全省社保基金财务管理和会计核算工作。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协助做好社会保障专项资金统计报表汇总审核工作。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参与各</w:t>
      </w:r>
      <w:r>
        <w:rPr>
          <w:rFonts w:hint="eastAsia" w:ascii="仿宋_GB2312" w:hAnsi="仿宋_GB2312" w:eastAsia="仿宋_GB2312" w:cs="仿宋_GB2312"/>
          <w:sz w:val="32"/>
          <w:szCs w:val="32"/>
        </w:rPr>
        <w:t>项社保政策研究制定、社保基金委托投资运营、职业年金投资运营管理等工作。</w:t>
      </w:r>
    </w:p>
    <w:p>
      <w:pPr>
        <w:pageBreakBefore w:val="0"/>
        <w:kinsoku/>
        <w:wordWrap/>
        <w:overflowPunct/>
        <w:topLinePunct w:val="0"/>
        <w:bidi w:val="0"/>
        <w:snapToGrid/>
        <w:spacing w:line="600" w:lineRule="exact"/>
        <w:ind w:firstLine="640" w:firstLineChars="200"/>
        <w:textAlignment w:val="auto"/>
        <w:rPr>
          <w:rFonts w:hint="eastAsia" w:ascii="黑体" w:hAnsi="黑体" w:eastAsia="黑体"/>
          <w:b w:val="0"/>
          <w:color w:val="auto"/>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完成领导交办的其他工作事项。</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二、</w:t>
      </w:r>
      <w:r>
        <w:rPr>
          <w:rFonts w:hint="eastAsia" w:ascii="黑体" w:hAnsi="黑体" w:eastAsia="黑体" w:cs="黑体"/>
          <w:b w:val="0"/>
          <w:color w:val="auto"/>
          <w:sz w:val="32"/>
          <w:szCs w:val="32"/>
          <w:lang w:val="en-US" w:eastAsia="zh-CN"/>
        </w:rPr>
        <w:t>2020年重点</w:t>
      </w:r>
      <w:r>
        <w:rPr>
          <w:rFonts w:hint="eastAsia" w:ascii="黑体" w:hAnsi="黑体" w:eastAsia="黑体" w:cs="黑体"/>
          <w:b w:val="0"/>
          <w:color w:val="auto"/>
          <w:sz w:val="32"/>
          <w:szCs w:val="32"/>
        </w:rPr>
        <w:t>工作</w:t>
      </w:r>
      <w:r>
        <w:rPr>
          <w:rFonts w:hint="eastAsia" w:ascii="黑体" w:hAnsi="黑体" w:eastAsia="黑体" w:cs="黑体"/>
          <w:b w:val="0"/>
          <w:color w:val="auto"/>
          <w:sz w:val="32"/>
          <w:szCs w:val="32"/>
          <w:lang w:eastAsia="zh-CN"/>
        </w:rPr>
        <w:t>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eastAsia="zh-CN"/>
        </w:rPr>
        <w:t>加强制度体系建设。建立健全社保基金中心内部相关管理制度，完善社保基金内部风险防控操作规程。</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全省及省级社保基金预（决）算编制、汇总工作</w:t>
      </w:r>
      <w:r>
        <w:rPr>
          <w:rFonts w:hint="eastAsia" w:ascii="仿宋_GB2312" w:hAnsi="仿宋_GB2312" w:eastAsia="仿宋_GB2312" w:cs="仿宋_GB2312"/>
          <w:sz w:val="32"/>
          <w:szCs w:val="32"/>
          <w:lang w:eastAsia="zh-CN"/>
        </w:rPr>
        <w:t>。高质量完成社保基金</w:t>
      </w:r>
      <w:r>
        <w:rPr>
          <w:rFonts w:hint="eastAsia" w:ascii="仿宋_GB2312" w:hAnsi="仿宋_GB2312" w:eastAsia="仿宋_GB2312" w:cs="仿宋_GB2312"/>
          <w:sz w:val="32"/>
          <w:szCs w:val="32"/>
          <w:lang w:val="en-US" w:eastAsia="zh-CN"/>
        </w:rPr>
        <w:t>2019年决算，2020年预算调整，2021年预算编制、汇总、审核工作，及时上报国家四部门及省人大（常委会）进行审议核正，并依法依规做好预决算的批复及公开工作。</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（三）抓好基金日常运行。加强社保基金的收缴划拨和账户管理，完成相关险种的运行及风险评估报告，按月、季做好社保基金预算执行报表汇总、审核、上报工作。</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（四）完成基金专项工作。开展养老保险基金精算研究，并根据工作需要开展社保基金监督检查。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三、机构设置情况</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本单位是隶属于四川省财政厅的二级预算单位，本单位无下属单位。</w:t>
      </w:r>
      <w:bookmarkStart w:id="50" w:name="_GoBack"/>
      <w:bookmarkEnd w:id="50"/>
    </w:p>
    <w:p>
      <w:pPr>
        <w:pageBreakBefore w:val="0"/>
        <w:widowControl/>
        <w:kinsoku/>
        <w:wordWrap/>
        <w:overflowPunct/>
        <w:topLinePunct w:val="0"/>
        <w:bidi w:val="0"/>
        <w:snapToGrid/>
        <w:spacing w:line="600" w:lineRule="exact"/>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25"/>
        <w:pageBreakBefore w:val="0"/>
        <w:numPr>
          <w:ilvl w:val="0"/>
          <w:numId w:val="0"/>
        </w:numPr>
        <w:kinsoku/>
        <w:wordWrap/>
        <w:overflowPunct/>
        <w:topLinePunct w:val="0"/>
        <w:bidi w:val="0"/>
        <w:snapToGrid/>
        <w:spacing w:line="600" w:lineRule="exact"/>
        <w:jc w:val="center"/>
        <w:textAlignment w:val="auto"/>
        <w:outlineLvl w:val="1"/>
        <w:rPr>
          <w:rStyle w:val="27"/>
          <w:rFonts w:hint="default" w:ascii="黑体" w:hAnsi="黑体" w:eastAsia="黑体"/>
          <w:b w:val="0"/>
          <w:lang w:val="en-US" w:eastAsia="zh-CN"/>
        </w:rPr>
      </w:pPr>
      <w:r>
        <w:rPr>
          <w:rStyle w:val="27"/>
          <w:rFonts w:hint="eastAsia" w:ascii="黑体" w:hAnsi="黑体" w:eastAsia="黑体"/>
          <w:b w:val="0"/>
          <w:sz w:val="44"/>
          <w:szCs w:val="44"/>
          <w:lang w:eastAsia="zh-CN"/>
        </w:rPr>
        <w:t>第二部分</w:t>
      </w:r>
      <w:r>
        <w:rPr>
          <w:rStyle w:val="27"/>
          <w:rFonts w:hint="eastAsia" w:ascii="黑体" w:hAnsi="黑体" w:eastAsia="黑体"/>
          <w:b w:val="0"/>
          <w:sz w:val="44"/>
          <w:szCs w:val="44"/>
          <w:lang w:val="en-US" w:eastAsia="zh-CN"/>
        </w:rPr>
        <w:t xml:space="preserve"> </w:t>
      </w:r>
      <w:r>
        <w:rPr>
          <w:rFonts w:hint="eastAsia" w:ascii="黑体" w:hAnsi="黑体" w:eastAsia="黑体"/>
          <w:b w:val="0"/>
          <w:bCs/>
          <w:color w:val="auto"/>
          <w:sz w:val="44"/>
          <w:szCs w:val="44"/>
          <w:lang w:val="en-US" w:eastAsia="zh-CN"/>
        </w:rPr>
        <w:t>2020年度</w:t>
      </w:r>
      <w:r>
        <w:rPr>
          <w:rFonts w:hint="eastAsia" w:ascii="黑体" w:hAnsi="黑体" w:eastAsia="黑体"/>
          <w:b w:val="0"/>
          <w:bCs/>
          <w:color w:val="auto"/>
          <w:sz w:val="44"/>
          <w:szCs w:val="44"/>
          <w:highlight w:val="none"/>
          <w:lang w:val="en-US" w:eastAsia="zh-CN"/>
        </w:rPr>
        <w:t>单位</w:t>
      </w:r>
      <w:r>
        <w:rPr>
          <w:rStyle w:val="26"/>
          <w:rFonts w:hint="eastAsia" w:ascii="黑体" w:hAnsi="黑体" w:eastAsia="黑体"/>
          <w:b w:val="0"/>
          <w:bCs/>
          <w:color w:val="auto"/>
          <w:sz w:val="44"/>
          <w:szCs w:val="44"/>
        </w:rPr>
        <w:t>决算情况说明</w:t>
      </w:r>
    </w:p>
    <w:p>
      <w:pPr>
        <w:pageBreakBefore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lang w:eastAsia="zh-CN"/>
        </w:rPr>
      </w:pPr>
    </w:p>
    <w:p>
      <w:pPr>
        <w:pageBreakBefore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w:t>
      </w:r>
      <w:bookmarkStart w:id="16" w:name="_Toc15377205"/>
      <w:bookmarkStart w:id="17" w:name="_Toc15396603"/>
      <w:r>
        <w:rPr>
          <w:rFonts w:hint="eastAsia" w:ascii="黑体" w:hAnsi="黑体" w:eastAsia="黑体" w:cs="黑体"/>
          <w:color w:val="000000"/>
          <w:sz w:val="32"/>
          <w:szCs w:val="32"/>
        </w:rPr>
        <w:t>收</w:t>
      </w:r>
      <w:r>
        <w:rPr>
          <w:rStyle w:val="27"/>
          <w:rFonts w:hint="eastAsia" w:ascii="黑体" w:hAnsi="黑体" w:eastAsia="黑体" w:cs="黑体"/>
          <w:b w:val="0"/>
        </w:rPr>
        <w:t>入支出决算总体情况说明</w:t>
      </w:r>
      <w:bookmarkEnd w:id="16"/>
      <w:bookmarkEnd w:id="17"/>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highlight w:val="red"/>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年度收、支总计</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年相比，收、支总计各增加</w:t>
      </w:r>
      <w:r>
        <w:rPr>
          <w:rFonts w:hint="eastAsia" w:ascii="仿宋_GB2312" w:hAnsi="仿宋_GB2312" w:eastAsia="仿宋_GB2312" w:cs="仿宋_GB2312"/>
          <w:color w:val="000000"/>
          <w:sz w:val="32"/>
          <w:szCs w:val="32"/>
          <w:lang w:val="en-US" w:eastAsia="zh-CN"/>
        </w:rPr>
        <w:t>78.94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392.54</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highlight w:val="none"/>
        </w:rPr>
        <w:t>是</w:t>
      </w:r>
      <w:r>
        <w:rPr>
          <w:rFonts w:hint="eastAsia" w:ascii="仿宋_GB2312" w:hAnsi="仿宋_GB2312" w:eastAsia="仿宋_GB2312" w:cs="仿宋_GB2312"/>
          <w:color w:val="000000"/>
          <w:sz w:val="32"/>
          <w:szCs w:val="32"/>
          <w:highlight w:val="none"/>
          <w:lang w:eastAsia="zh-CN"/>
        </w:rPr>
        <w:t>中心为</w:t>
      </w:r>
      <w:r>
        <w:rPr>
          <w:rFonts w:hint="eastAsia" w:ascii="仿宋_GB2312" w:hAnsi="仿宋_GB2312" w:eastAsia="仿宋_GB2312" w:cs="仿宋_GB2312"/>
          <w:color w:val="000000"/>
          <w:sz w:val="32"/>
          <w:szCs w:val="32"/>
          <w:highlight w:val="none"/>
          <w:lang w:val="en-US" w:eastAsia="zh-CN"/>
        </w:rPr>
        <w:t>2019年新成立单位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rPr>
        <w:t>编制内人员逐步到位，导致</w:t>
      </w:r>
      <w:r>
        <w:rPr>
          <w:rFonts w:hint="eastAsia" w:ascii="仿宋_GB2312" w:hAnsi="仿宋_GB2312" w:eastAsia="仿宋_GB2312" w:cs="仿宋_GB2312"/>
          <w:color w:val="000000"/>
          <w:sz w:val="32"/>
          <w:szCs w:val="32"/>
          <w:highlight w:val="none"/>
          <w:lang w:eastAsia="zh-CN"/>
        </w:rPr>
        <w:t>基本支出</w:t>
      </w:r>
      <w:r>
        <w:rPr>
          <w:rFonts w:hint="eastAsia" w:ascii="仿宋_GB2312" w:hAnsi="仿宋_GB2312" w:eastAsia="仿宋_GB2312" w:cs="仿宋_GB2312"/>
          <w:color w:val="000000"/>
          <w:sz w:val="32"/>
          <w:szCs w:val="32"/>
          <w:highlight w:val="none"/>
        </w:rPr>
        <w:t>增加。</w:t>
      </w: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图1：收、支决算总计变动情况图（单位：万元）</w:t>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109220</wp:posOffset>
            </wp:positionH>
            <wp:positionV relativeFrom="paragraph">
              <wp:posOffset>41910</wp:posOffset>
            </wp:positionV>
            <wp:extent cx="5080000" cy="3810000"/>
            <wp:effectExtent l="4445" t="4445" r="5715" b="107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sz w:val="32"/>
          <w:szCs w:val="32"/>
        </w:rPr>
      </w:pPr>
    </w:p>
    <w:p>
      <w:pPr>
        <w:pStyle w:val="25"/>
        <w:pageBreakBefore w:val="0"/>
        <w:numPr>
          <w:ilvl w:val="0"/>
          <w:numId w:val="0"/>
        </w:numPr>
        <w:kinsoku/>
        <w:wordWrap/>
        <w:overflowPunct/>
        <w:topLinePunct w:val="0"/>
        <w:bidi w:val="0"/>
        <w:snapToGrid/>
        <w:spacing w:line="600" w:lineRule="exact"/>
        <w:textAlignment w:val="auto"/>
        <w:outlineLvl w:val="1"/>
        <w:rPr>
          <w:rStyle w:val="27"/>
          <w:rFonts w:hint="eastAsia" w:ascii="仿宋_GB2312" w:hAnsi="仿宋_GB2312" w:eastAsia="仿宋_GB2312" w:cs="仿宋_GB2312"/>
          <w:b w:val="0"/>
        </w:rPr>
      </w:pPr>
    </w:p>
    <w:p>
      <w:pPr>
        <w:pageBreakBefore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w:t>
      </w:r>
      <w:bookmarkStart w:id="18" w:name="_Toc15377206"/>
      <w:bookmarkStart w:id="19" w:name="_Toc15396604"/>
      <w:r>
        <w:rPr>
          <w:rFonts w:hint="eastAsia" w:ascii="黑体" w:hAnsi="黑体" w:eastAsia="黑体" w:cs="黑体"/>
          <w:color w:val="000000"/>
          <w:sz w:val="32"/>
          <w:szCs w:val="32"/>
          <w:lang w:eastAsia="zh-CN"/>
        </w:rPr>
        <w:t>收入决算情况说明</w:t>
      </w:r>
      <w:bookmarkEnd w:id="18"/>
      <w:bookmarkEnd w:id="19"/>
    </w:p>
    <w:p>
      <w:pPr>
        <w:pageBreakBefore w:val="0"/>
        <w:kinsoku/>
        <w:wordWrap/>
        <w:overflowPunct/>
        <w:topLinePunct w:val="0"/>
        <w:bidi w:val="0"/>
        <w:snapToGrid/>
        <w:spacing w:line="60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上级补助收入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ageBreakBefore w:val="0"/>
        <w:kinsoku/>
        <w:wordWrap/>
        <w:overflowPunct/>
        <w:topLinePunct w:val="0"/>
        <w:bidi w:val="0"/>
        <w:snapToGrid/>
        <w:spacing w:line="600" w:lineRule="exact"/>
        <w:ind w:firstLine="643" w:firstLineChars="200"/>
        <w:jc w:val="center"/>
        <w:textAlignment w:val="auto"/>
        <w:outlineLvl w:val="1"/>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图2：收入决算结构图</w:t>
      </w:r>
    </w:p>
    <w:p>
      <w:pPr>
        <w:pageBreakBefore w:val="0"/>
        <w:kinsoku/>
        <w:wordWrap/>
        <w:overflowPunct/>
        <w:topLinePunct w:val="0"/>
        <w:bidi w:val="0"/>
        <w:snapToGrid/>
        <w:spacing w:line="600" w:lineRule="exact"/>
        <w:ind w:firstLine="420" w:firstLineChars="200"/>
        <w:textAlignment w:val="auto"/>
        <w:outlineLvl w:val="1"/>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247650</wp:posOffset>
                </wp:positionV>
                <wp:extent cx="1993900" cy="1967230"/>
                <wp:effectExtent l="12700" t="12700" r="20320" b="16510"/>
                <wp:wrapNone/>
                <wp:docPr id="4" name="椭圆 3"/>
                <wp:cNvGraphicFramePr/>
                <a:graphic xmlns:a="http://schemas.openxmlformats.org/drawingml/2006/main">
                  <a:graphicData uri="http://schemas.microsoft.com/office/word/2010/wordprocessingShape">
                    <wps:wsp>
                      <wps:cNvSpPr/>
                      <wps:spPr>
                        <a:xfrm>
                          <a:off x="0" y="0"/>
                          <a:ext cx="1993900" cy="19672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13"/>
                              <w:kinsoku/>
                              <w:ind w:left="0"/>
                              <w:jc w:val="center"/>
                            </w:pPr>
                            <w:r>
                              <w:rPr>
                                <w:rFonts w:ascii="宋体" w:eastAsia="宋体" w:hAnsiTheme="minorBidi"/>
                                <w:color w:val="000000" w:themeColor="text1"/>
                                <w:kern w:val="24"/>
                                <w:sz w:val="28"/>
                                <w:szCs w:val="28"/>
                                <w14:textFill>
                                  <w14:solidFill>
                                    <w14:schemeClr w14:val="tx1"/>
                                  </w14:solidFill>
                                </w14:textFill>
                              </w:rPr>
                              <w:t>一般公共预算财政拨款收入</w:t>
                            </w:r>
                          </w:p>
                          <w:p>
                            <w:pPr>
                              <w:pStyle w:val="13"/>
                              <w:kinsoku/>
                              <w:ind w:left="0"/>
                              <w:jc w:val="center"/>
                              <w:rPr>
                                <w:rFonts w:hint="default" w:eastAsia="宋体"/>
                                <w:lang w:val="en-US" w:eastAsia="zh-CN"/>
                              </w:rPr>
                            </w:pPr>
                            <w:r>
                              <w:rPr>
                                <w:rFonts w:hint="eastAsia" w:ascii="宋体" w:hAnsiTheme="minorBidi"/>
                                <w:color w:val="000000" w:themeColor="text1"/>
                                <w:kern w:val="24"/>
                                <w:sz w:val="28"/>
                                <w:szCs w:val="28"/>
                                <w:lang w:val="en-US" w:eastAsia="zh-CN"/>
                                <w14:textFill>
                                  <w14:solidFill>
                                    <w14:schemeClr w14:val="tx1"/>
                                  </w14:solidFill>
                                </w14:textFill>
                              </w:rPr>
                              <w:t>占100%</w:t>
                            </w:r>
                          </w:p>
                          <w:p>
                            <w:pPr>
                              <w:pStyle w:val="13"/>
                              <w:kinsoku/>
                              <w:ind w:left="0"/>
                              <w:jc w:val="center"/>
                            </w:pPr>
                            <w:r>
                              <w:rPr>
                                <w:rFonts w:ascii="宋体" w:eastAsia="宋体" w:hAnsiTheme="minorBidi"/>
                                <w:color w:val="000000" w:themeColor="text1"/>
                                <w:kern w:val="24"/>
                                <w:sz w:val="28"/>
                                <w:szCs w:val="28"/>
                                <w14:textFill>
                                  <w14:solidFill>
                                    <w14:schemeClr w14:val="tx1"/>
                                  </w14:solidFill>
                                </w14:textFill>
                              </w:rPr>
                              <w:t>占本年收入100%</w:t>
                            </w:r>
                          </w:p>
                        </w:txbxContent>
                      </wps:txbx>
                      <wps:bodyPr rtlCol="0" anchor="ctr"/>
                    </wps:wsp>
                  </a:graphicData>
                </a:graphic>
              </wp:anchor>
            </w:drawing>
          </mc:Choice>
          <mc:Fallback>
            <w:pict>
              <v:shape id="椭圆 3" o:spid="_x0000_s1026" o:spt="3" type="#_x0000_t3" style="position:absolute;left:0pt;margin-left:141.75pt;margin-top:19.5pt;height:154.9pt;width:157pt;z-index:251660288;v-text-anchor:middle;mso-width-relative:page;mso-height-relative:page;" fillcolor="#4F81BD [3204]" filled="t" stroked="t" coordsize="21600,21600" o:gfxdata="UEsDBAoAAAAAAIdO4kAAAAAAAAAAAAAAAAAEAAAAZHJzL1BLAwQUAAAACACHTuJAKUfMjdgAAAAK&#10;AQAADwAAAGRycy9kb3ducmV2LnhtbE2Py07DMBBF90j8gzVI7KjdhpYkxKkQEkiwAVoktpN4mkTE&#10;dhS7afv3na5gOXeO7qNYH20vJhpD552G+UyBIFd707lGw/f25S4FESI6g713pOFEAdbl9VWBufEH&#10;90XTJjaCTVzIUUMb45BLGeqWLIaZH8jxb+dHi5HPsZFmxAOb214ulFpJi53jhBYHem6p/t3srYbP&#10;N8o+uie5OyXbH6Tq9X2a1Err25u5egQR6Rj/YLjU5+pQcqfK750JotewSJMloxqSjDcxsMweWKhY&#10;uE9TkGUh/08oz1BLAwQUAAAACACHTuJA/GJle+YBAAC6AwAADgAAAGRycy9lMm9Eb2MueG1srVNL&#10;btswEN0X6B0I7mtJ/qS2YDloY7ibog2Q9gBjipII8AeSteQL9BRddttjtefIkFKcpNkV9YLmkG9m&#10;3nscba8HJcmJOy+Mrmgxyynhmpla6LaiX78c3qwp8QF0DdJoXtEz9/R69/rVtrcln5vOyJo7gkW0&#10;L3tb0S4EW2aZZx1X4GfGco2XjXEKAoauzWoHPVZXMpvn+VXWG1dbZxj3Hk/34yXdpfpNw1n43DSe&#10;ByIritxCWl1aj3HNdlsoWwe2E2yiAf/AQoHQ2PRSag8ByDcnXpRSgjnjTRNmzKjMNI1gPGlANUX+&#10;l5q7DixPWtAcby82+f9Xln063Toi6oouKdGg8In+/Pz1+8d3soje9NaXCLmzt26KPG6j0KFxKv6j&#10;BDIkP88XP/kQCMPDYrNZbHK0neFdsbl6O18kx7PHdOt8+MCNInFTUS6lsD5qhhJOH33Aroh+QMVj&#10;b6SoD0LKFLj2eCMdOQG+7/KwLt7vI21MeQaTmvQVna+WiQzgnDUSAvJSFpV73VICssUBZsGl3s+y&#10;/dMmi/Vqv343gjqo+dh6lePvofMIf8kiqtiD78aU1GJKkRrR0evR3bgLw3GYLD+a+oyP5IK8MeMY&#10;g2adwSmOdKPcmIADklpOwxwn8GmcUI+f3O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UfMjdgA&#10;AAAKAQAADwAAAAAAAAABACAAAAAiAAAAZHJzL2Rvd25yZXYueG1sUEsBAhQAFAAAAAgAh07iQPxi&#10;ZXvmAQAAugMAAA4AAAAAAAAAAQAgAAAAJwEAAGRycy9lMm9Eb2MueG1sUEsFBgAAAAAGAAYAWQEA&#10;AH8FAAAAAA==&#10;">
                <v:fill on="t" focussize="0,0"/>
                <v:stroke weight="2pt" color="#385D8A [3204]" joinstyle="round"/>
                <v:imagedata o:title=""/>
                <o:lock v:ext="edit" aspectratio="f"/>
                <v:textbox>
                  <w:txbxContent>
                    <w:p>
                      <w:pPr>
                        <w:pStyle w:val="13"/>
                        <w:kinsoku/>
                        <w:ind w:left="0"/>
                        <w:jc w:val="center"/>
                      </w:pPr>
                      <w:r>
                        <w:rPr>
                          <w:rFonts w:ascii="宋体" w:eastAsia="宋体" w:hAnsiTheme="minorBidi"/>
                          <w:color w:val="000000" w:themeColor="text1"/>
                          <w:kern w:val="24"/>
                          <w:sz w:val="28"/>
                          <w:szCs w:val="28"/>
                          <w14:textFill>
                            <w14:solidFill>
                              <w14:schemeClr w14:val="tx1"/>
                            </w14:solidFill>
                          </w14:textFill>
                        </w:rPr>
                        <w:t>一般公共预算财政拨款收入</w:t>
                      </w:r>
                    </w:p>
                    <w:p>
                      <w:pPr>
                        <w:pStyle w:val="13"/>
                        <w:kinsoku/>
                        <w:ind w:left="0"/>
                        <w:jc w:val="center"/>
                        <w:rPr>
                          <w:rFonts w:hint="default" w:eastAsia="宋体"/>
                          <w:lang w:val="en-US" w:eastAsia="zh-CN"/>
                        </w:rPr>
                      </w:pPr>
                      <w:r>
                        <w:rPr>
                          <w:rFonts w:hint="eastAsia" w:ascii="宋体" w:hAnsiTheme="minorBidi"/>
                          <w:color w:val="000000" w:themeColor="text1"/>
                          <w:kern w:val="24"/>
                          <w:sz w:val="28"/>
                          <w:szCs w:val="28"/>
                          <w:lang w:val="en-US" w:eastAsia="zh-CN"/>
                          <w14:textFill>
                            <w14:solidFill>
                              <w14:schemeClr w14:val="tx1"/>
                            </w14:solidFill>
                          </w14:textFill>
                        </w:rPr>
                        <w:t>占100%</w:t>
                      </w:r>
                    </w:p>
                    <w:p>
                      <w:pPr>
                        <w:pStyle w:val="13"/>
                        <w:kinsoku/>
                        <w:ind w:left="0"/>
                        <w:jc w:val="center"/>
                      </w:pPr>
                      <w:r>
                        <w:rPr>
                          <w:rFonts w:ascii="宋体" w:eastAsia="宋体" w:hAnsiTheme="minorBidi"/>
                          <w:color w:val="000000" w:themeColor="text1"/>
                          <w:kern w:val="24"/>
                          <w:sz w:val="28"/>
                          <w:szCs w:val="28"/>
                          <w14:textFill>
                            <w14:solidFill>
                              <w14:schemeClr w14:val="tx1"/>
                            </w14:solidFill>
                          </w14:textFill>
                        </w:rPr>
                        <w:t>占本年收入100%</w:t>
                      </w:r>
                    </w:p>
                  </w:txbxContent>
                </v:textbox>
              </v:shape>
            </w:pict>
          </mc:Fallback>
        </mc:AlternateContent>
      </w: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rPr>
      </w:pPr>
    </w:p>
    <w:p>
      <w:pPr>
        <w:pageBreakBefore w:val="0"/>
        <w:kinsoku/>
        <w:wordWrap/>
        <w:overflowPunct/>
        <w:topLinePunct w:val="0"/>
        <w:bidi w:val="0"/>
        <w:snapToGrid/>
        <w:spacing w:line="600" w:lineRule="exact"/>
        <w:ind w:firstLine="640" w:firstLineChars="200"/>
        <w:textAlignment w:val="auto"/>
        <w:outlineLvl w:val="1"/>
        <w:rPr>
          <w:rFonts w:hint="eastAsia" w:ascii="仿宋_GB2312" w:hAnsi="仿宋_GB2312" w:eastAsia="仿宋_GB2312" w:cs="仿宋_GB2312"/>
          <w:color w:val="000000"/>
          <w:sz w:val="32"/>
          <w:szCs w:val="32"/>
          <w:lang w:eastAsia="zh-CN"/>
        </w:rPr>
      </w:pPr>
      <w:r>
        <w:rPr>
          <w:rStyle w:val="27"/>
          <w:rFonts w:hint="eastAsia" w:ascii="黑体" w:hAnsi="黑体" w:eastAsia="黑体" w:cs="黑体"/>
          <w:b w:val="0"/>
          <w:lang w:eastAsia="zh-CN"/>
        </w:rPr>
        <w:t>三、</w:t>
      </w:r>
      <w:bookmarkStart w:id="20" w:name="_Toc15396605"/>
      <w:bookmarkStart w:id="21" w:name="_Toc15377207"/>
      <w:r>
        <w:rPr>
          <w:rStyle w:val="27"/>
          <w:rFonts w:hint="eastAsia" w:ascii="黑体" w:hAnsi="黑体" w:eastAsia="黑体" w:cs="黑体"/>
          <w:b w:val="0"/>
        </w:rPr>
        <w:t>支出决算情况说明</w:t>
      </w:r>
      <w:bookmarkEnd w:id="20"/>
      <w:bookmarkEnd w:id="21"/>
    </w:p>
    <w:p>
      <w:pPr>
        <w:pageBreakBefore w:val="0"/>
        <w:kinsoku/>
        <w:wordWrap/>
        <w:overflowPunct/>
        <w:topLinePunct w:val="0"/>
        <w:bidi w:val="0"/>
        <w:snapToGrid/>
        <w:spacing w:line="60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89.05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89.90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10.10</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图3：支出决算结构图</w:t>
      </w: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drawing>
          <wp:anchor distT="0" distB="0" distL="114300" distR="114300" simplePos="0" relativeHeight="251661312" behindDoc="0" locked="0" layoutInCell="1" allowOverlap="1">
            <wp:simplePos x="0" y="0"/>
            <wp:positionH relativeFrom="column">
              <wp:posOffset>1463675</wp:posOffset>
            </wp:positionH>
            <wp:positionV relativeFrom="paragraph">
              <wp:posOffset>257175</wp:posOffset>
            </wp:positionV>
            <wp:extent cx="2463165" cy="2313940"/>
            <wp:effectExtent l="0" t="0" r="5715" b="2540"/>
            <wp:wrapNone/>
            <wp:docPr id="7" name="图片 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
                    <pic:cNvPicPr>
                      <a:picLocks noChangeAspect="1"/>
                    </pic:cNvPicPr>
                  </pic:nvPicPr>
                  <pic:blipFill>
                    <a:blip r:embed="rId7"/>
                    <a:stretch>
                      <a:fillRect/>
                    </a:stretch>
                  </pic:blipFill>
                  <pic:spPr>
                    <a:xfrm>
                      <a:off x="0" y="0"/>
                      <a:ext cx="2463165" cy="2313940"/>
                    </a:xfrm>
                    <a:prstGeom prst="rect">
                      <a:avLst/>
                    </a:prstGeom>
                  </pic:spPr>
                </pic:pic>
              </a:graphicData>
            </a:graphic>
          </wp:anchor>
        </w:drawing>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FF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FF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FF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FF0000"/>
          <w:sz w:val="32"/>
          <w:szCs w:val="32"/>
        </w:rPr>
      </w:pPr>
    </w:p>
    <w:p>
      <w:pPr>
        <w:pageBreakBefore w:val="0"/>
        <w:kinsoku/>
        <w:wordWrap/>
        <w:overflowPunct/>
        <w:topLinePunct w:val="0"/>
        <w:bidi w:val="0"/>
        <w:snapToGrid/>
        <w:spacing w:line="600" w:lineRule="exact"/>
        <w:ind w:firstLine="640" w:firstLineChars="200"/>
        <w:textAlignment w:val="auto"/>
        <w:rPr>
          <w:rStyle w:val="27"/>
          <w:rFonts w:hint="eastAsia" w:ascii="黑体" w:hAnsi="黑体" w:eastAsia="黑体" w:cs="黑体"/>
          <w:b w:val="0"/>
          <w:lang w:val="en-US" w:eastAsia="zh-CN" w:bidi="ar-SA"/>
        </w:rPr>
      </w:pPr>
    </w:p>
    <w:p>
      <w:pPr>
        <w:pageBreakBefore w:val="0"/>
        <w:kinsoku/>
        <w:wordWrap/>
        <w:overflowPunct/>
        <w:topLinePunct w:val="0"/>
        <w:bidi w:val="0"/>
        <w:snapToGrid/>
        <w:spacing w:line="600" w:lineRule="exact"/>
        <w:ind w:firstLine="640" w:firstLineChars="200"/>
        <w:textAlignment w:val="auto"/>
        <w:rPr>
          <w:rStyle w:val="27"/>
          <w:rFonts w:hint="eastAsia" w:ascii="黑体" w:hAnsi="黑体" w:eastAsia="黑体" w:cs="黑体"/>
          <w:b w:val="0"/>
          <w:lang w:val="en-US" w:eastAsia="zh-CN" w:bidi="ar-SA"/>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Style w:val="27"/>
          <w:rFonts w:hint="eastAsia" w:ascii="黑体" w:hAnsi="黑体" w:eastAsia="黑体" w:cs="黑体"/>
          <w:b w:val="0"/>
          <w:lang w:val="en-US" w:eastAsia="zh-CN" w:bidi="ar-SA"/>
        </w:rPr>
        <w:t>四、财政拨款收入支出决算总体情况说明</w:t>
      </w:r>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年财政拨款收、支总计</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年相比，财政拨款收、支总计各增加</w:t>
      </w:r>
      <w:r>
        <w:rPr>
          <w:rFonts w:hint="eastAsia" w:ascii="仿宋_GB2312" w:hAnsi="仿宋_GB2312" w:eastAsia="仿宋_GB2312" w:cs="仿宋_GB2312"/>
          <w:color w:val="000000"/>
          <w:sz w:val="32"/>
          <w:szCs w:val="32"/>
          <w:lang w:val="en-US" w:eastAsia="zh-CN"/>
        </w:rPr>
        <w:t>78.94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392.54</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highlight w:val="none"/>
          <w:lang w:eastAsia="zh-CN"/>
        </w:rPr>
        <w:t>中心为</w:t>
      </w:r>
      <w:r>
        <w:rPr>
          <w:rFonts w:hint="eastAsia" w:ascii="仿宋_GB2312" w:hAnsi="仿宋_GB2312" w:eastAsia="仿宋_GB2312" w:cs="仿宋_GB2312"/>
          <w:color w:val="000000"/>
          <w:sz w:val="32"/>
          <w:szCs w:val="32"/>
          <w:highlight w:val="none"/>
          <w:lang w:val="en-US" w:eastAsia="zh-CN"/>
        </w:rPr>
        <w:t>2019年新成立单位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rPr>
        <w:t>编制内人员逐步到位，导致</w:t>
      </w:r>
      <w:r>
        <w:rPr>
          <w:rFonts w:hint="eastAsia" w:ascii="仿宋_GB2312" w:hAnsi="仿宋_GB2312" w:eastAsia="仿宋_GB2312" w:cs="仿宋_GB2312"/>
          <w:color w:val="000000"/>
          <w:sz w:val="32"/>
          <w:szCs w:val="32"/>
          <w:highlight w:val="none"/>
          <w:lang w:eastAsia="zh-CN"/>
        </w:rPr>
        <w:t>基本支出</w:t>
      </w:r>
      <w:r>
        <w:rPr>
          <w:rFonts w:hint="eastAsia" w:ascii="仿宋_GB2312" w:hAnsi="仿宋_GB2312" w:eastAsia="仿宋_GB2312" w:cs="仿宋_GB2312"/>
          <w:color w:val="000000"/>
          <w:sz w:val="32"/>
          <w:szCs w:val="32"/>
          <w:highlight w:val="none"/>
        </w:rPr>
        <w:t>增加。</w:t>
      </w: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图4：财政拨款收、支决算总计变动情况</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（单位：万元）</w:t>
      </w:r>
    </w:p>
    <w:p>
      <w:pPr>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95250</wp:posOffset>
            </wp:positionV>
            <wp:extent cx="5080000" cy="3810000"/>
            <wp:effectExtent l="4445" t="4445" r="5715"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color w:val="00B050"/>
          <w:sz w:val="32"/>
          <w:szCs w:val="32"/>
        </w:rPr>
      </w:pPr>
    </w:p>
    <w:p>
      <w:pPr>
        <w:pageBreakBefore w:val="0"/>
        <w:kinsoku/>
        <w:wordWrap/>
        <w:overflowPunct/>
        <w:topLinePunct w:val="0"/>
        <w:bidi w:val="0"/>
        <w:snapToGrid/>
        <w:spacing w:line="600" w:lineRule="exact"/>
        <w:ind w:firstLine="640" w:firstLineChars="200"/>
        <w:textAlignment w:val="auto"/>
        <w:rPr>
          <w:rStyle w:val="27"/>
          <w:rFonts w:hint="eastAsia" w:ascii="黑体" w:hAnsi="黑体" w:eastAsia="黑体" w:cs="黑体"/>
          <w:b w:val="0"/>
        </w:rPr>
      </w:pPr>
      <w:bookmarkStart w:id="22" w:name="_Toc15377209"/>
      <w:bookmarkStart w:id="23" w:name="_Toc15396607"/>
      <w:r>
        <w:rPr>
          <w:rStyle w:val="27"/>
          <w:rFonts w:hint="eastAsia" w:ascii="黑体" w:hAnsi="黑体" w:eastAsia="黑体" w:cs="黑体"/>
          <w:b w:val="0"/>
          <w:lang w:eastAsia="zh-CN"/>
        </w:rPr>
        <w:t>五、</w:t>
      </w:r>
      <w:r>
        <w:rPr>
          <w:rStyle w:val="27"/>
          <w:rFonts w:hint="eastAsia" w:ascii="黑体" w:hAnsi="黑体" w:eastAsia="黑体" w:cs="黑体"/>
          <w:b w:val="0"/>
        </w:rPr>
        <w:t>一般公共预算财政拨款支出决算情况说明</w:t>
      </w:r>
      <w:bookmarkEnd w:id="22"/>
      <w:bookmarkEnd w:id="23"/>
    </w:p>
    <w:p>
      <w:pPr>
        <w:pageBreakBefore w:val="0"/>
        <w:kinsoku/>
        <w:wordWrap/>
        <w:overflowPunct/>
        <w:topLinePunct w:val="0"/>
        <w:bidi w:val="0"/>
        <w:snapToGrid/>
        <w:spacing w:line="600" w:lineRule="exact"/>
        <w:ind w:firstLine="643" w:firstLineChars="200"/>
        <w:textAlignment w:val="auto"/>
        <w:outlineLvl w:val="2"/>
        <w:rPr>
          <w:rFonts w:hint="eastAsia" w:ascii="仿宋_GB2312" w:hAnsi="仿宋_GB2312" w:eastAsia="仿宋_GB2312" w:cs="仿宋_GB2312"/>
          <w:b/>
          <w:color w:val="000000"/>
          <w:sz w:val="32"/>
          <w:szCs w:val="32"/>
        </w:rPr>
      </w:pPr>
      <w:bookmarkStart w:id="24" w:name="_Toc15377210"/>
      <w:r>
        <w:rPr>
          <w:rFonts w:hint="eastAsia" w:ascii="楷体_GB2312" w:hAnsi="楷体_GB2312" w:eastAsia="楷体_GB2312" w:cs="楷体_GB2312"/>
          <w:b/>
          <w:color w:val="000000"/>
          <w:sz w:val="32"/>
          <w:szCs w:val="32"/>
        </w:rPr>
        <w:t>（一）一般公共预算财政拨款支出决算总体情况</w:t>
      </w:r>
      <w:bookmarkEnd w:id="24"/>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99.05</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年相比，一般公共预算财政拨款增加</w:t>
      </w:r>
      <w:r>
        <w:rPr>
          <w:rFonts w:hint="eastAsia" w:ascii="仿宋_GB2312" w:hAnsi="仿宋_GB2312" w:eastAsia="仿宋_GB2312" w:cs="仿宋_GB2312"/>
          <w:color w:val="000000"/>
          <w:sz w:val="32"/>
          <w:szCs w:val="32"/>
          <w:lang w:val="en-US" w:eastAsia="zh-CN"/>
        </w:rPr>
        <w:t>78.94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392.54</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highlight w:val="none"/>
          <w:lang w:eastAsia="zh-CN"/>
        </w:rPr>
        <w:t>中心为</w:t>
      </w:r>
      <w:r>
        <w:rPr>
          <w:rFonts w:hint="eastAsia" w:ascii="仿宋_GB2312" w:hAnsi="仿宋_GB2312" w:eastAsia="仿宋_GB2312" w:cs="仿宋_GB2312"/>
          <w:color w:val="000000"/>
          <w:sz w:val="32"/>
          <w:szCs w:val="32"/>
          <w:highlight w:val="none"/>
          <w:lang w:val="en-US" w:eastAsia="zh-CN"/>
        </w:rPr>
        <w:t>2019年新成立单位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rPr>
        <w:t>编制内人员逐步到位，导致</w:t>
      </w:r>
      <w:r>
        <w:rPr>
          <w:rFonts w:hint="eastAsia" w:ascii="仿宋_GB2312" w:hAnsi="仿宋_GB2312" w:eastAsia="仿宋_GB2312" w:cs="仿宋_GB2312"/>
          <w:color w:val="000000"/>
          <w:sz w:val="32"/>
          <w:szCs w:val="32"/>
          <w:highlight w:val="none"/>
          <w:lang w:eastAsia="zh-CN"/>
        </w:rPr>
        <w:t>基本支出</w:t>
      </w:r>
      <w:r>
        <w:rPr>
          <w:rFonts w:hint="eastAsia" w:ascii="仿宋_GB2312" w:hAnsi="仿宋_GB2312" w:eastAsia="仿宋_GB2312" w:cs="仿宋_GB2312"/>
          <w:color w:val="000000"/>
          <w:sz w:val="32"/>
          <w:szCs w:val="32"/>
          <w:highlight w:val="none"/>
        </w:rPr>
        <w:t>增加。</w:t>
      </w: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图5：一般公共预算财政拨款支出决算变动情况</w:t>
      </w: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（单位：万元）</w:t>
      </w:r>
    </w:p>
    <w:p>
      <w:pPr>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85725</wp:posOffset>
            </wp:positionH>
            <wp:positionV relativeFrom="paragraph">
              <wp:posOffset>114300</wp:posOffset>
            </wp:positionV>
            <wp:extent cx="5080000" cy="3810000"/>
            <wp:effectExtent l="4445" t="4445" r="5715" b="1079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ind w:firstLine="643" w:firstLineChars="200"/>
        <w:textAlignment w:val="auto"/>
        <w:outlineLvl w:val="2"/>
        <w:rPr>
          <w:rFonts w:hint="eastAsia" w:ascii="仿宋_GB2312" w:hAnsi="仿宋_GB2312" w:eastAsia="仿宋_GB2312" w:cs="仿宋_GB2312"/>
          <w:b/>
          <w:color w:val="000000"/>
          <w:sz w:val="32"/>
          <w:szCs w:val="32"/>
        </w:rPr>
      </w:pPr>
      <w:bookmarkStart w:id="25" w:name="_Toc15377211"/>
      <w:r>
        <w:rPr>
          <w:rFonts w:hint="eastAsia" w:ascii="楷体_GB2312" w:hAnsi="楷体_GB2312" w:eastAsia="楷体_GB2312" w:cs="楷体_GB2312"/>
          <w:b/>
          <w:color w:val="000000"/>
          <w:sz w:val="32"/>
          <w:szCs w:val="32"/>
        </w:rPr>
        <w:t>（二）一般公共预算财政拨款支出决算结构情况</w:t>
      </w:r>
      <w:bookmarkEnd w:id="25"/>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年一般公共预算财</w:t>
      </w:r>
      <w:r>
        <w:rPr>
          <w:rFonts w:hint="eastAsia" w:ascii="仿宋_GB2312" w:hAnsi="仿宋_GB2312" w:eastAsia="仿宋_GB2312" w:cs="仿宋_GB2312"/>
          <w:color w:val="000000" w:themeColor="text1"/>
          <w:sz w:val="32"/>
          <w:szCs w:val="32"/>
          <w:highlight w:val="none"/>
          <w14:textFill>
            <w14:solidFill>
              <w14:schemeClr w14:val="tx1"/>
            </w14:solidFill>
          </w14:textFill>
        </w:rPr>
        <w:t>政拨款支出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99.05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万元，主要用于以下方面:</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一般公共服务（类）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71.87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72.56</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教育支出（类）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科学技术（类）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文化旅游体育与传媒（类）支出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12.40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12.52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卫生健康</w:t>
      </w:r>
      <w:r>
        <w:rPr>
          <w:rFonts w:hint="eastAsia" w:ascii="仿宋_GB2312" w:hAnsi="仿宋_GB2312" w:eastAsia="仿宋_GB2312" w:cs="仿宋_GB2312"/>
          <w:b/>
          <w:color w:val="000000" w:themeColor="text1"/>
          <w:sz w:val="32"/>
          <w:szCs w:val="32"/>
          <w:highlight w:val="none"/>
          <w14:textFill>
            <w14:solidFill>
              <w14:schemeClr w14:val="tx1"/>
            </w14:solidFill>
          </w14:textFill>
        </w:rPr>
        <w:t>（类）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6.32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6.38</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住房保障（类）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8.46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8.54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napToGrid/>
        <w:spacing w:line="60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图6：一般公共预算财政拨款支出决算结构</w:t>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lang w:eastAsia="zh-CN"/>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drawing>
          <wp:anchor distT="0" distB="0" distL="114300" distR="114300" simplePos="0" relativeHeight="251664384" behindDoc="0" locked="0" layoutInCell="1" allowOverlap="1">
            <wp:simplePos x="0" y="0"/>
            <wp:positionH relativeFrom="column">
              <wp:posOffset>1262380</wp:posOffset>
            </wp:positionH>
            <wp:positionV relativeFrom="paragraph">
              <wp:posOffset>66040</wp:posOffset>
            </wp:positionV>
            <wp:extent cx="2982595" cy="2851785"/>
            <wp:effectExtent l="0" t="0" r="4445" b="13335"/>
            <wp:wrapNone/>
            <wp:docPr id="10" name="图片 10"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222"/>
                    <pic:cNvPicPr>
                      <a:picLocks noChangeAspect="1"/>
                    </pic:cNvPicPr>
                  </pic:nvPicPr>
                  <pic:blipFill>
                    <a:blip r:embed="rId10"/>
                    <a:stretch>
                      <a:fillRect/>
                    </a:stretch>
                  </pic:blipFill>
                  <pic:spPr>
                    <a:xfrm>
                      <a:off x="0" y="0"/>
                      <a:ext cx="2982595" cy="2851785"/>
                    </a:xfrm>
                    <a:prstGeom prst="rect">
                      <a:avLst/>
                    </a:prstGeom>
                  </pic:spPr>
                </pic:pic>
              </a:graphicData>
            </a:graphic>
          </wp:anchor>
        </w:drawing>
      </w: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p>
    <w:p>
      <w:pPr>
        <w:pStyle w:val="6"/>
        <w:pageBreakBefore w:val="0"/>
        <w:kinsoku/>
        <w:wordWrap/>
        <w:overflowPunct/>
        <w:topLinePunct w:val="0"/>
        <w:bidi w:val="0"/>
        <w:snapToGrid/>
        <w:spacing w:line="600" w:lineRule="exact"/>
        <w:textAlignment w:val="auto"/>
        <w:rPr>
          <w:rFonts w:hint="eastAsia" w:ascii="仿宋_GB2312" w:hAnsi="仿宋_GB2312" w:eastAsia="仿宋_GB2312" w:cs="仿宋_GB2312"/>
          <w:b/>
          <w:bCs/>
          <w:color w:val="000000"/>
          <w:sz w:val="32"/>
          <w:szCs w:val="32"/>
        </w:rPr>
      </w:pP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p>
    <w:p>
      <w:pPr>
        <w:pageBreakBefore w:val="0"/>
        <w:kinsoku/>
        <w:wordWrap/>
        <w:overflowPunct/>
        <w:topLinePunct w:val="0"/>
        <w:bidi w:val="0"/>
        <w:snapToGrid/>
        <w:spacing w:line="600" w:lineRule="exact"/>
        <w:ind w:firstLine="643" w:firstLineChars="200"/>
        <w:textAlignment w:val="auto"/>
        <w:outlineLvl w:val="2"/>
        <w:rPr>
          <w:rFonts w:hint="eastAsia" w:ascii="仿宋_GB2312" w:hAnsi="仿宋_GB2312" w:eastAsia="仿宋_GB2312" w:cs="仿宋_GB2312"/>
          <w:b/>
          <w:color w:val="000000"/>
          <w:sz w:val="32"/>
          <w:szCs w:val="32"/>
        </w:rPr>
      </w:pPr>
      <w:bookmarkStart w:id="26" w:name="_Toc15377212"/>
      <w:r>
        <w:rPr>
          <w:rFonts w:hint="eastAsia" w:ascii="楷体_GB2312" w:hAnsi="楷体_GB2312" w:eastAsia="楷体_GB2312" w:cs="楷体_GB2312"/>
          <w:b/>
          <w:color w:val="000000"/>
          <w:sz w:val="32"/>
          <w:szCs w:val="32"/>
        </w:rPr>
        <w:t>（三）一般公共预算财政拨款支出决算具体情况</w:t>
      </w:r>
      <w:bookmarkEnd w:id="26"/>
    </w:p>
    <w:p>
      <w:pPr>
        <w:pageBreakBefore w:val="0"/>
        <w:kinsoku/>
        <w:wordWrap/>
        <w:overflowPunct/>
        <w:topLinePunct w:val="0"/>
        <w:bidi w:val="0"/>
        <w:snapToGrid/>
        <w:spacing w:line="600" w:lineRule="exact"/>
        <w:ind w:firstLine="643" w:firstLineChars="200"/>
        <w:textAlignment w:val="auto"/>
        <w:outlineLvl w:val="2"/>
        <w:rPr>
          <w:rFonts w:hint="eastAsia" w:ascii="仿宋_GB2312" w:hAnsi="仿宋_GB2312" w:eastAsia="仿宋_GB2312" w:cs="仿宋_GB2312"/>
          <w:color w:val="FF0000"/>
          <w:sz w:val="32"/>
          <w:szCs w:val="32"/>
        </w:rPr>
      </w:pPr>
      <w:bookmarkStart w:id="27" w:name="_Toc15378460"/>
      <w:bookmarkStart w:id="28" w:name="_Toc15377213"/>
      <w:bookmarkStart w:id="29" w:name="_Toc15377444"/>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99.05</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6"/>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6"/>
          <w:rFonts w:hint="eastAsia" w:ascii="仿宋_GB2312" w:hAnsi="仿宋_GB2312" w:eastAsia="仿宋_GB2312" w:cs="仿宋_GB2312"/>
          <w:bCs/>
          <w:color w:val="000000"/>
          <w:sz w:val="32"/>
          <w:szCs w:val="32"/>
        </w:rPr>
        <w:t>预算</w:t>
      </w:r>
      <w:r>
        <w:rPr>
          <w:rStyle w:val="16"/>
          <w:rFonts w:hint="eastAsia" w:ascii="仿宋_GB2312" w:hAnsi="仿宋_GB2312" w:eastAsia="仿宋_GB2312" w:cs="仿宋_GB2312"/>
          <w:bCs/>
          <w:color w:val="000000"/>
          <w:sz w:val="32"/>
          <w:szCs w:val="32"/>
          <w:lang w:val="en-US" w:eastAsia="zh-CN"/>
        </w:rPr>
        <w:t>82.14</w:t>
      </w:r>
      <w:r>
        <w:rPr>
          <w:rStyle w:val="16"/>
          <w:rFonts w:hint="eastAsia" w:ascii="仿宋_GB2312" w:hAnsi="仿宋_GB2312" w:eastAsia="仿宋_GB2312" w:cs="仿宋_GB2312"/>
          <w:bCs/>
          <w:color w:val="000000"/>
          <w:sz w:val="32"/>
          <w:szCs w:val="32"/>
        </w:rPr>
        <w:t>%。其中：</w:t>
      </w:r>
      <w:bookmarkEnd w:id="27"/>
      <w:bookmarkEnd w:id="28"/>
      <w:bookmarkEnd w:id="29"/>
    </w:p>
    <w:p>
      <w:pPr>
        <w:pageBreakBefore w:val="0"/>
        <w:kinsoku/>
        <w:wordWrap/>
        <w:overflowPunct/>
        <w:topLinePunct w:val="0"/>
        <w:bidi w:val="0"/>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highlight w:val="none"/>
          <w:lang w:eastAsia="zh-CN"/>
        </w:rPr>
      </w:pPr>
      <w:r>
        <w:rPr>
          <w:rStyle w:val="16"/>
          <w:rFonts w:hint="eastAsia" w:ascii="仿宋_GB2312" w:hAnsi="仿宋_GB2312" w:eastAsia="仿宋_GB2312" w:cs="仿宋_GB2312"/>
          <w:bCs/>
          <w:color w:val="000000"/>
          <w:sz w:val="32"/>
          <w:szCs w:val="32"/>
          <w:highlight w:val="none"/>
        </w:rPr>
        <w:t>1.一般公共服务</w:t>
      </w:r>
      <w:r>
        <w:rPr>
          <w:rStyle w:val="16"/>
          <w:rFonts w:hint="eastAsia" w:ascii="仿宋_GB2312" w:hAnsi="仿宋_GB2312" w:eastAsia="仿宋_GB2312" w:cs="仿宋_GB2312"/>
          <w:bCs/>
          <w:color w:val="000000"/>
          <w:sz w:val="32"/>
          <w:szCs w:val="32"/>
          <w:highlight w:val="none"/>
          <w:lang w:eastAsia="zh-CN"/>
        </w:rPr>
        <w:t>支出</w:t>
      </w:r>
      <w:r>
        <w:rPr>
          <w:rStyle w:val="16"/>
          <w:rFonts w:hint="eastAsia" w:ascii="仿宋_GB2312" w:hAnsi="仿宋_GB2312" w:eastAsia="仿宋_GB2312" w:cs="仿宋_GB2312"/>
          <w:bCs/>
          <w:color w:val="000000"/>
          <w:sz w:val="32"/>
          <w:szCs w:val="32"/>
          <w:highlight w:val="none"/>
        </w:rPr>
        <w:t>（类）</w:t>
      </w:r>
      <w:r>
        <w:rPr>
          <w:rStyle w:val="16"/>
          <w:rFonts w:hint="eastAsia" w:ascii="仿宋_GB2312" w:hAnsi="仿宋_GB2312" w:eastAsia="仿宋_GB2312" w:cs="仿宋_GB2312"/>
          <w:bCs/>
          <w:color w:val="000000"/>
          <w:sz w:val="32"/>
          <w:szCs w:val="32"/>
          <w:highlight w:val="none"/>
          <w:lang w:eastAsia="zh-CN"/>
        </w:rPr>
        <w:t>财政事务</w:t>
      </w:r>
      <w:r>
        <w:rPr>
          <w:rStyle w:val="16"/>
          <w:rFonts w:hint="eastAsia" w:ascii="仿宋_GB2312" w:hAnsi="仿宋_GB2312" w:eastAsia="仿宋_GB2312" w:cs="仿宋_GB2312"/>
          <w:bCs/>
          <w:color w:val="000000"/>
          <w:sz w:val="32"/>
          <w:szCs w:val="32"/>
          <w:highlight w:val="none"/>
        </w:rPr>
        <w:t>（款）</w:t>
      </w:r>
      <w:r>
        <w:rPr>
          <w:rStyle w:val="16"/>
          <w:rFonts w:hint="eastAsia" w:ascii="仿宋_GB2312" w:hAnsi="仿宋_GB2312" w:eastAsia="仿宋_GB2312" w:cs="仿宋_GB2312"/>
          <w:bCs/>
          <w:color w:val="000000"/>
          <w:sz w:val="32"/>
          <w:szCs w:val="32"/>
          <w:highlight w:val="none"/>
          <w:lang w:eastAsia="zh-CN"/>
        </w:rPr>
        <w:t>事业运行</w:t>
      </w:r>
      <w:r>
        <w:rPr>
          <w:rStyle w:val="16"/>
          <w:rFonts w:hint="eastAsia" w:ascii="仿宋_GB2312" w:hAnsi="仿宋_GB2312" w:eastAsia="仿宋_GB2312" w:cs="仿宋_GB2312"/>
          <w:bCs/>
          <w:color w:val="000000"/>
          <w:sz w:val="32"/>
          <w:szCs w:val="32"/>
          <w:highlight w:val="none"/>
        </w:rPr>
        <w:t>（项）:</w:t>
      </w:r>
      <w:r>
        <w:rPr>
          <w:rStyle w:val="16"/>
          <w:rFonts w:hint="eastAsia" w:ascii="仿宋_GB2312" w:hAnsi="仿宋_GB2312" w:eastAsia="仿宋_GB2312" w:cs="仿宋_GB2312"/>
          <w:b w:val="0"/>
          <w:bCs/>
          <w:color w:val="000000"/>
          <w:sz w:val="32"/>
          <w:szCs w:val="32"/>
          <w:highlight w:val="none"/>
        </w:rPr>
        <w:t>支出决算为</w:t>
      </w:r>
      <w:r>
        <w:rPr>
          <w:rStyle w:val="16"/>
          <w:rFonts w:hint="eastAsia" w:ascii="仿宋_GB2312" w:hAnsi="仿宋_GB2312" w:eastAsia="仿宋_GB2312" w:cs="仿宋_GB2312"/>
          <w:b w:val="0"/>
          <w:bCs/>
          <w:color w:val="000000"/>
          <w:sz w:val="32"/>
          <w:szCs w:val="32"/>
          <w:highlight w:val="none"/>
          <w:lang w:val="en-US" w:eastAsia="zh-CN"/>
        </w:rPr>
        <w:t>61.87</w:t>
      </w:r>
      <w:r>
        <w:rPr>
          <w:rStyle w:val="16"/>
          <w:rFonts w:hint="eastAsia" w:ascii="仿宋_GB2312" w:hAnsi="仿宋_GB2312" w:eastAsia="仿宋_GB2312" w:cs="仿宋_GB2312"/>
          <w:b w:val="0"/>
          <w:bCs/>
          <w:color w:val="000000"/>
          <w:sz w:val="32"/>
          <w:szCs w:val="32"/>
          <w:highlight w:val="none"/>
        </w:rPr>
        <w:t>万元，完成预算</w:t>
      </w:r>
      <w:r>
        <w:rPr>
          <w:rStyle w:val="16"/>
          <w:rFonts w:hint="eastAsia" w:ascii="仿宋_GB2312" w:hAnsi="仿宋_GB2312" w:eastAsia="仿宋_GB2312" w:cs="仿宋_GB2312"/>
          <w:b w:val="0"/>
          <w:bCs/>
          <w:color w:val="000000"/>
          <w:sz w:val="32"/>
          <w:szCs w:val="32"/>
          <w:highlight w:val="none"/>
          <w:lang w:val="en-US" w:eastAsia="zh-CN"/>
        </w:rPr>
        <w:t>74.18</w:t>
      </w:r>
      <w:r>
        <w:rPr>
          <w:rStyle w:val="16"/>
          <w:rFonts w:hint="eastAsia" w:ascii="仿宋_GB2312" w:hAnsi="仿宋_GB2312" w:eastAsia="仿宋_GB2312" w:cs="仿宋_GB2312"/>
          <w:b w:val="0"/>
          <w:bCs/>
          <w:color w:val="000000"/>
          <w:sz w:val="32"/>
          <w:szCs w:val="32"/>
          <w:highlight w:val="none"/>
        </w:rPr>
        <w:t>%，决算数小于预算数的主要原因是</w:t>
      </w:r>
      <w:r>
        <w:rPr>
          <w:rStyle w:val="16"/>
          <w:rFonts w:hint="eastAsia" w:ascii="仿宋_GB2312" w:hAnsi="仿宋_GB2312" w:eastAsia="仿宋_GB2312" w:cs="仿宋_GB2312"/>
          <w:b w:val="0"/>
          <w:bCs/>
          <w:color w:val="000000"/>
          <w:sz w:val="32"/>
          <w:szCs w:val="32"/>
          <w:highlight w:val="none"/>
          <w:lang w:eastAsia="zh-CN"/>
        </w:rPr>
        <w:t>积极贯彻中央八项规定和省委省政府十项规定，落实加强事业单位日常经费管理。</w:t>
      </w:r>
    </w:p>
    <w:p>
      <w:pPr>
        <w:pStyle w:val="6"/>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highlight w:val="yellow"/>
          <w:lang w:val="en-US" w:eastAsia="zh-CN"/>
        </w:rPr>
      </w:pPr>
      <w:r>
        <w:rPr>
          <w:rStyle w:val="16"/>
          <w:rFonts w:hint="eastAsia" w:ascii="仿宋_GB2312" w:hAnsi="仿宋_GB2312" w:eastAsia="仿宋_GB2312" w:cs="仿宋_GB2312"/>
          <w:bCs/>
          <w:color w:val="000000"/>
          <w:sz w:val="32"/>
          <w:szCs w:val="32"/>
          <w:lang w:val="en-US" w:eastAsia="zh-CN"/>
        </w:rPr>
        <w:t>2</w:t>
      </w:r>
      <w:r>
        <w:rPr>
          <w:rStyle w:val="16"/>
          <w:rFonts w:hint="eastAsia" w:ascii="仿宋_GB2312" w:hAnsi="仿宋_GB2312" w:eastAsia="仿宋_GB2312" w:cs="仿宋_GB2312"/>
          <w:bCs/>
          <w:color w:val="000000"/>
          <w:sz w:val="32"/>
          <w:szCs w:val="32"/>
        </w:rPr>
        <w:t>.一般公共服务</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财政事务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其他财政事务支出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highlight w:val="none"/>
        </w:rPr>
        <w:t>支出决算为</w:t>
      </w:r>
      <w:r>
        <w:rPr>
          <w:rStyle w:val="16"/>
          <w:rFonts w:hint="eastAsia" w:ascii="仿宋_GB2312" w:hAnsi="仿宋_GB2312" w:eastAsia="仿宋_GB2312" w:cs="仿宋_GB2312"/>
          <w:b w:val="0"/>
          <w:bCs/>
          <w:color w:val="000000"/>
          <w:sz w:val="32"/>
          <w:szCs w:val="32"/>
          <w:highlight w:val="none"/>
          <w:lang w:val="en-US" w:eastAsia="zh-CN"/>
        </w:rPr>
        <w:t>10</w:t>
      </w:r>
      <w:r>
        <w:rPr>
          <w:rStyle w:val="16"/>
          <w:rFonts w:hint="eastAsia" w:ascii="仿宋_GB2312" w:hAnsi="仿宋_GB2312" w:eastAsia="仿宋_GB2312" w:cs="仿宋_GB2312"/>
          <w:b w:val="0"/>
          <w:bCs/>
          <w:color w:val="000000"/>
          <w:sz w:val="32"/>
          <w:szCs w:val="32"/>
          <w:highlight w:val="none"/>
        </w:rPr>
        <w:t>万元，完成预算</w:t>
      </w:r>
      <w:r>
        <w:rPr>
          <w:rStyle w:val="16"/>
          <w:rFonts w:hint="eastAsia" w:ascii="仿宋_GB2312" w:hAnsi="仿宋_GB2312" w:eastAsia="仿宋_GB2312" w:cs="仿宋_GB2312"/>
          <w:b w:val="0"/>
          <w:bCs/>
          <w:color w:val="000000"/>
          <w:sz w:val="32"/>
          <w:szCs w:val="32"/>
          <w:highlight w:val="none"/>
          <w:lang w:val="en-US" w:eastAsia="zh-CN"/>
        </w:rPr>
        <w:t>100</w:t>
      </w:r>
      <w:r>
        <w:rPr>
          <w:rStyle w:val="16"/>
          <w:rFonts w:hint="eastAsia" w:ascii="仿宋_GB2312" w:hAnsi="仿宋_GB2312" w:eastAsia="仿宋_GB2312" w:cs="仿宋_GB2312"/>
          <w:b w:val="0"/>
          <w:bCs/>
          <w:color w:val="000000"/>
          <w:sz w:val="32"/>
          <w:szCs w:val="32"/>
          <w:highlight w:val="none"/>
        </w:rPr>
        <w:t>%</w:t>
      </w:r>
      <w:r>
        <w:rPr>
          <w:rStyle w:val="16"/>
          <w:rFonts w:hint="eastAsia" w:ascii="仿宋_GB2312" w:hAnsi="仿宋_GB2312" w:eastAsia="仿宋_GB2312" w:cs="仿宋_GB2312"/>
          <w:b w:val="0"/>
          <w:bCs/>
          <w:color w:val="000000"/>
          <w:sz w:val="32"/>
          <w:szCs w:val="32"/>
          <w:highlight w:val="none"/>
          <w:lang w:eastAsia="zh-CN"/>
        </w:rPr>
        <w:t>。</w:t>
      </w:r>
    </w:p>
    <w:p>
      <w:pPr>
        <w:pageBreakBefore w:val="0"/>
        <w:kinsoku/>
        <w:wordWrap/>
        <w:overflowPunct/>
        <w:topLinePunct w:val="0"/>
        <w:bidi w:val="0"/>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3</w:t>
      </w:r>
      <w:r>
        <w:rPr>
          <w:rStyle w:val="16"/>
          <w:rFonts w:hint="eastAsia" w:ascii="仿宋_GB2312" w:hAnsi="仿宋_GB2312" w:eastAsia="仿宋_GB2312" w:cs="仿宋_GB2312"/>
          <w:bCs/>
          <w:color w:val="000000"/>
          <w:sz w:val="32"/>
          <w:szCs w:val="32"/>
        </w:rPr>
        <w:t>.社会保障和就业</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机关事业单位基本养老保险缴费支出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8.27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6"/>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lang w:val="en-US" w:eastAsia="zh-CN"/>
        </w:rPr>
      </w:pPr>
      <w:r>
        <w:rPr>
          <w:rStyle w:val="16"/>
          <w:rFonts w:hint="eastAsia" w:ascii="仿宋_GB2312" w:hAnsi="仿宋_GB2312" w:eastAsia="仿宋_GB2312" w:cs="仿宋_GB2312"/>
          <w:b w:val="0"/>
          <w:bCs/>
          <w:color w:val="000000"/>
          <w:sz w:val="32"/>
          <w:szCs w:val="32"/>
          <w:lang w:val="en-US" w:eastAsia="zh-CN"/>
        </w:rPr>
        <w:t>4.</w:t>
      </w:r>
      <w:r>
        <w:rPr>
          <w:rStyle w:val="16"/>
          <w:rFonts w:hint="eastAsia" w:ascii="仿宋_GB2312" w:hAnsi="仿宋_GB2312" w:eastAsia="仿宋_GB2312" w:cs="仿宋_GB2312"/>
          <w:bCs/>
          <w:color w:val="000000"/>
          <w:sz w:val="32"/>
          <w:szCs w:val="32"/>
        </w:rPr>
        <w:t>社会保障和就业</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机关事业单位职业年金缴费支出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4.13</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ageBreakBefore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5</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事业单位医疗</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6.32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ageBreakBefore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住房保障</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住房改革支出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住房公积金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8.46</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ageBreakBefore w:val="0"/>
        <w:tabs>
          <w:tab w:val="right" w:pos="8306"/>
        </w:tabs>
        <w:kinsoku/>
        <w:wordWrap/>
        <w:overflowPunct/>
        <w:topLinePunct w:val="0"/>
        <w:bidi w:val="0"/>
        <w:snapToGrid/>
        <w:spacing w:line="600" w:lineRule="exact"/>
        <w:ind w:firstLine="640"/>
        <w:textAlignment w:val="auto"/>
        <w:outlineLvl w:val="1"/>
        <w:rPr>
          <w:rStyle w:val="27"/>
          <w:rFonts w:hint="eastAsia" w:ascii="仿宋_GB2312" w:hAnsi="仿宋_GB2312" w:eastAsia="仿宋_GB2312" w:cs="仿宋_GB2312"/>
        </w:rPr>
      </w:pPr>
      <w:bookmarkStart w:id="30" w:name="_Toc15396608"/>
      <w:bookmarkStart w:id="31" w:name="_Toc15377214"/>
      <w:r>
        <w:rPr>
          <w:rStyle w:val="27"/>
          <w:rFonts w:hint="eastAsia" w:ascii="黑体" w:hAnsi="黑体" w:eastAsia="黑体" w:cs="黑体"/>
          <w:b w:val="0"/>
          <w:lang w:eastAsia="zh-CN"/>
        </w:rPr>
        <w:t>六、</w:t>
      </w:r>
      <w:r>
        <w:rPr>
          <w:rStyle w:val="27"/>
          <w:rFonts w:hint="eastAsia" w:ascii="黑体" w:hAnsi="黑体" w:eastAsia="黑体" w:cs="黑体"/>
          <w:b w:val="0"/>
        </w:rPr>
        <w:t>一般公共预算财政拨款基本支出决算情况说明</w:t>
      </w:r>
      <w:bookmarkEnd w:id="30"/>
      <w:bookmarkEnd w:id="31"/>
      <w:r>
        <w:rPr>
          <w:rStyle w:val="27"/>
          <w:rFonts w:hint="eastAsia" w:ascii="仿宋_GB2312" w:hAnsi="仿宋_GB2312" w:eastAsia="仿宋_GB2312" w:cs="仿宋_GB2312"/>
          <w:b w:val="0"/>
        </w:rPr>
        <w:tab/>
      </w:r>
    </w:p>
    <w:p>
      <w:pPr>
        <w:pageBreakBefore w:val="0"/>
        <w:kinsoku/>
        <w:wordWrap/>
        <w:overflowPunct/>
        <w:topLinePunct w:val="0"/>
        <w:bidi w:val="0"/>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highlight w:val="none"/>
          <w:lang w:val="en-US" w:eastAsia="zh-CN"/>
        </w:rPr>
        <w:t>89.05</w:t>
      </w:r>
      <w:r>
        <w:rPr>
          <w:rFonts w:hint="eastAsia" w:ascii="仿宋_GB2312" w:hAnsi="仿宋_GB2312" w:eastAsia="仿宋_GB2312" w:cs="仿宋_GB2312"/>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人员经费</w:t>
      </w:r>
      <w:r>
        <w:rPr>
          <w:rFonts w:hint="eastAsia" w:ascii="仿宋_GB2312" w:hAnsi="仿宋_GB2312" w:eastAsia="仿宋_GB2312" w:cs="仿宋_GB2312"/>
          <w:color w:val="000000"/>
          <w:sz w:val="32"/>
          <w:szCs w:val="32"/>
          <w:highlight w:val="none"/>
          <w:lang w:val="en-US" w:eastAsia="zh-CN"/>
        </w:rPr>
        <w:t>81.75</w:t>
      </w:r>
      <w:r>
        <w:rPr>
          <w:rFonts w:hint="eastAsia" w:ascii="仿宋_GB2312" w:hAnsi="仿宋_GB2312" w:eastAsia="仿宋_GB2312" w:cs="仿宋_GB2312"/>
          <w:color w:val="000000"/>
          <w:sz w:val="32"/>
          <w:szCs w:val="32"/>
          <w:highlight w:val="none"/>
        </w:rPr>
        <w:t>万元，主要包括：基本工资、津贴补贴、绩效工资、机关事业单位基本养老保险缴费、职业年金缴费、其他社会保障缴费、其他工资福利支出、住房公积金等。</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公用经费</w:t>
      </w:r>
      <w:r>
        <w:rPr>
          <w:rFonts w:hint="eastAsia" w:ascii="仿宋_GB2312" w:hAnsi="仿宋_GB2312" w:eastAsia="仿宋_GB2312" w:cs="仿宋_GB2312"/>
          <w:color w:val="000000"/>
          <w:sz w:val="32"/>
          <w:szCs w:val="32"/>
          <w:highlight w:val="none"/>
          <w:lang w:val="en-US" w:eastAsia="zh-CN"/>
        </w:rPr>
        <w:t>7.3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主要包括：办公费、差旅费、工会经费、福利费等。</w:t>
      </w:r>
    </w:p>
    <w:p>
      <w:pPr>
        <w:pageBreakBefore w:val="0"/>
        <w:kinsoku/>
        <w:wordWrap/>
        <w:overflowPunct/>
        <w:topLinePunct w:val="0"/>
        <w:bidi w:val="0"/>
        <w:snapToGrid/>
        <w:spacing w:line="600" w:lineRule="exact"/>
        <w:ind w:firstLine="640" w:firstLineChars="200"/>
        <w:textAlignment w:val="auto"/>
        <w:rPr>
          <w:rStyle w:val="27"/>
          <w:rFonts w:hint="eastAsia" w:ascii="黑体" w:hAnsi="黑体" w:eastAsia="黑体" w:cs="黑体"/>
          <w:b w:val="0"/>
        </w:rPr>
      </w:pPr>
      <w:bookmarkStart w:id="32" w:name="_Toc15396609"/>
      <w:bookmarkStart w:id="33" w:name="_Toc15377215"/>
      <w:r>
        <w:rPr>
          <w:rStyle w:val="27"/>
          <w:rFonts w:hint="eastAsia" w:ascii="黑体" w:hAnsi="黑体" w:eastAsia="黑体" w:cs="黑体"/>
          <w:b w:val="0"/>
          <w:lang w:eastAsia="zh-CN"/>
        </w:rPr>
        <w:t>七、</w:t>
      </w:r>
      <w:r>
        <w:rPr>
          <w:rStyle w:val="27"/>
          <w:rFonts w:hint="eastAsia" w:ascii="黑体" w:hAnsi="黑体" w:eastAsia="黑体" w:cs="黑体"/>
          <w:b w:val="0"/>
        </w:rPr>
        <w:t>“三公”经费财政拨款支出决算情况说明</w:t>
      </w:r>
      <w:bookmarkEnd w:id="32"/>
      <w:bookmarkEnd w:id="33"/>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rPr>
      </w:pPr>
      <w:bookmarkStart w:id="34" w:name="_Toc15377216"/>
      <w:r>
        <w:rPr>
          <w:rFonts w:hint="eastAsia" w:ascii="楷体_GB2312" w:hAnsi="楷体_GB2312" w:eastAsia="楷体_GB2312" w:cs="楷体_GB2312"/>
          <w:b/>
          <w:color w:val="000000"/>
          <w:sz w:val="32"/>
          <w:szCs w:val="32"/>
        </w:rPr>
        <w:t>（一）“三公”经费财政拨款支出决算总体情况说明</w:t>
      </w:r>
      <w:bookmarkEnd w:id="34"/>
    </w:p>
    <w:p>
      <w:pPr>
        <w:pageBreakBefore w:val="0"/>
        <w:kinsoku/>
        <w:wordWrap/>
        <w:overflowPunct/>
        <w:topLinePunct w:val="0"/>
        <w:bidi w:val="0"/>
        <w:snapToGrid/>
        <w:spacing w:line="600" w:lineRule="exact"/>
        <w:ind w:firstLine="64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%，决算数与预算数持平。“三公”经费财政拨款支出决算</w:t>
      </w:r>
      <w:r>
        <w:rPr>
          <w:rFonts w:hint="eastAsia" w:ascii="仿宋_GB2312" w:hAnsi="仿宋_GB2312" w:eastAsia="仿宋_GB2312" w:cs="仿宋_GB2312"/>
          <w:color w:val="000000"/>
          <w:sz w:val="32"/>
          <w:szCs w:val="32"/>
          <w:lang w:val="en-US" w:eastAsia="zh-CN"/>
        </w:rPr>
        <w:t>数与上年持平。</w:t>
      </w:r>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rPr>
      </w:pPr>
      <w:bookmarkStart w:id="35" w:name="_Toc15377217"/>
      <w:r>
        <w:rPr>
          <w:rFonts w:hint="eastAsia" w:ascii="楷体_GB2312" w:hAnsi="楷体_GB2312" w:eastAsia="楷体_GB2312" w:cs="楷体_GB2312"/>
          <w:b/>
          <w:color w:val="000000"/>
          <w:sz w:val="32"/>
          <w:szCs w:val="32"/>
        </w:rPr>
        <w:t>（二）“三公”经费财政拨款支出决算具体情况说明</w:t>
      </w:r>
      <w:bookmarkEnd w:id="35"/>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年“三公”经费财政拨款支出决算中，因公出国（境）费支出决算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万元；公务用车购置及运行维护费支出决算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2"/>
          <w:sz w:val="32"/>
          <w:szCs w:val="32"/>
          <w:highlight w:val="none"/>
          <w:lang w:val="en-US" w:eastAsia="zh-CN" w:bidi="ar-SA"/>
        </w:rPr>
        <w:t>截至2020年12月底，单位共有公务用车0辆</w:t>
      </w:r>
      <w:r>
        <w:rPr>
          <w:rFonts w:hint="eastAsia" w:ascii="仿宋_GB2312" w:hAnsi="仿宋_GB2312" w:eastAsia="仿宋_GB2312" w:cs="仿宋_GB2312"/>
          <w:color w:val="000000"/>
          <w:sz w:val="32"/>
          <w:szCs w:val="32"/>
          <w:highlight w:val="none"/>
        </w:rPr>
        <w:t>；公务接待费支出决算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pPr>
        <w:pageBreakBefore w:val="0"/>
        <w:kinsoku/>
        <w:wordWrap/>
        <w:overflowPunct/>
        <w:topLinePunct w:val="0"/>
        <w:bidi w:val="0"/>
        <w:snapToGrid/>
        <w:spacing w:line="600" w:lineRule="exact"/>
        <w:ind w:firstLine="640" w:firstLineChars="200"/>
        <w:textAlignment w:val="auto"/>
        <w:rPr>
          <w:rStyle w:val="27"/>
          <w:rFonts w:hint="eastAsia" w:ascii="黑体" w:hAnsi="黑体" w:eastAsia="黑体" w:cs="黑体"/>
          <w:b w:val="0"/>
        </w:rPr>
      </w:pPr>
      <w:bookmarkStart w:id="36" w:name="_Toc15396610"/>
      <w:bookmarkStart w:id="37" w:name="_Toc15377218"/>
      <w:r>
        <w:rPr>
          <w:rStyle w:val="27"/>
          <w:rFonts w:hint="eastAsia" w:ascii="黑体" w:hAnsi="黑体" w:eastAsia="黑体" w:cs="黑体"/>
          <w:b w:val="0"/>
          <w:lang w:eastAsia="zh-CN"/>
        </w:rPr>
        <w:t>八、</w:t>
      </w:r>
      <w:r>
        <w:rPr>
          <w:rStyle w:val="27"/>
          <w:rFonts w:hint="eastAsia" w:ascii="黑体" w:hAnsi="黑体" w:eastAsia="黑体" w:cs="黑体"/>
          <w:b w:val="0"/>
        </w:rPr>
        <w:t>政府性基金预算支出决算情况说明</w:t>
      </w:r>
      <w:bookmarkEnd w:id="36"/>
      <w:bookmarkEnd w:id="37"/>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年政府性基金预算</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rPr>
        <w:t>拨款支出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7"/>
          <w:rFonts w:hint="eastAsia" w:ascii="仿宋_GB2312" w:hAnsi="仿宋_GB2312" w:eastAsia="仿宋_GB2312" w:cs="仿宋_GB2312"/>
          <w:b w:val="0"/>
          <w:color w:val="auto"/>
        </w:rPr>
      </w:pPr>
      <w:bookmarkStart w:id="38" w:name="_Toc15396611"/>
      <w:bookmarkStart w:id="39" w:name="_Toc15377219"/>
      <w:r>
        <w:rPr>
          <w:rStyle w:val="27"/>
          <w:rFonts w:hint="eastAsia" w:ascii="黑体" w:hAnsi="黑体" w:eastAsia="黑体" w:cs="黑体"/>
          <w:b w:val="0"/>
          <w:lang w:eastAsia="zh-CN"/>
        </w:rPr>
        <w:t>九、</w:t>
      </w:r>
      <w:r>
        <w:rPr>
          <w:rStyle w:val="27"/>
          <w:rFonts w:hint="eastAsia" w:ascii="黑体" w:hAnsi="黑体" w:eastAsia="黑体" w:cs="黑体"/>
          <w:b w:val="0"/>
        </w:rPr>
        <w:t>国有资本经营预算支出决算情况说明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年国有资本经营预算</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rPr>
        <w:t>拨款</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7"/>
          <w:rFonts w:hint="eastAsia" w:ascii="仿宋_GB2312" w:hAnsi="仿宋_GB2312" w:eastAsia="仿宋_GB2312" w:cs="仿宋_GB2312"/>
          <w:b w:val="0"/>
        </w:rPr>
      </w:pPr>
      <w:bookmarkStart w:id="40" w:name="_Toc15396612"/>
      <w:bookmarkStart w:id="41" w:name="_Toc15377221"/>
      <w:r>
        <w:rPr>
          <w:rStyle w:val="27"/>
          <w:rFonts w:hint="eastAsia" w:ascii="黑体" w:hAnsi="黑体" w:eastAsia="黑体" w:cs="黑体"/>
          <w:b w:val="0"/>
          <w:lang w:eastAsia="zh-CN"/>
        </w:rPr>
        <w:t>十、</w:t>
      </w:r>
      <w:r>
        <w:rPr>
          <w:rStyle w:val="27"/>
          <w:rFonts w:hint="eastAsia" w:ascii="黑体" w:hAnsi="黑体" w:eastAsia="黑体" w:cs="黑体"/>
          <w:b w:val="0"/>
        </w:rPr>
        <w:t>其他重要事项的情况说明</w:t>
      </w:r>
      <w:bookmarkEnd w:id="40"/>
      <w:bookmarkEnd w:id="41"/>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rPr>
      </w:pPr>
      <w:bookmarkStart w:id="42" w:name="_Toc15377222"/>
      <w:r>
        <w:rPr>
          <w:rFonts w:hint="eastAsia" w:ascii="楷体_GB2312" w:hAnsi="楷体_GB2312" w:eastAsia="楷体_GB2312" w:cs="楷体_GB2312"/>
          <w:b/>
          <w:color w:val="000000"/>
          <w:sz w:val="32"/>
          <w:szCs w:val="32"/>
        </w:rPr>
        <w:t>（一）机关运行经费支出情况</w:t>
      </w:r>
      <w:bookmarkEnd w:id="42"/>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年机关运行经费支出总额</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rPr>
      </w:pPr>
      <w:bookmarkStart w:id="43" w:name="_Toc15377223"/>
      <w:r>
        <w:rPr>
          <w:rFonts w:hint="eastAsia" w:ascii="楷体_GB2312" w:hAnsi="楷体_GB2312" w:eastAsia="楷体_GB2312" w:cs="楷体_GB2312"/>
          <w:b/>
          <w:color w:val="000000"/>
          <w:sz w:val="32"/>
          <w:szCs w:val="32"/>
        </w:rPr>
        <w:t>（二）政府采购支出情况</w:t>
      </w:r>
      <w:bookmarkEnd w:id="43"/>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年政府采购支出总额</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rPr>
      </w:pPr>
      <w:bookmarkStart w:id="44" w:name="_Toc15377224"/>
      <w:r>
        <w:rPr>
          <w:rFonts w:hint="eastAsia" w:ascii="楷体_GB2312" w:hAnsi="楷体_GB2312" w:eastAsia="楷体_GB2312" w:cs="楷体_GB2312"/>
          <w:b/>
          <w:color w:val="000000"/>
          <w:sz w:val="32"/>
          <w:szCs w:val="32"/>
        </w:rPr>
        <w:t>（三）国有资产占有使用情况</w:t>
      </w:r>
      <w:bookmarkEnd w:id="44"/>
    </w:p>
    <w:p>
      <w:pPr>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截至20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年12月31日，共有车辆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单价50万元以上通用设备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台（套），单价100</w:t>
      </w:r>
      <w:r>
        <w:rPr>
          <w:rFonts w:hint="eastAsia" w:ascii="仿宋_GB2312" w:hAnsi="仿宋_GB2312" w:eastAsia="仿宋_GB2312" w:cs="仿宋_GB2312"/>
          <w:color w:val="000000"/>
          <w:sz w:val="32"/>
          <w:szCs w:val="32"/>
          <w:highlight w:val="none"/>
        </w:rPr>
        <w:t>万元以上专用设备</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台（套）。</w:t>
      </w:r>
    </w:p>
    <w:p>
      <w:pPr>
        <w:pageBreakBefore w:val="0"/>
        <w:kinsoku/>
        <w:wordWrap/>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rPr>
        <w:t>（四）预算绩效管理情况</w:t>
      </w: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lang w:val="en-US" w:eastAsia="zh-CN"/>
        </w:rPr>
        <w:t>100万元及以上项目，无需编制</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lang w:val="en-US" w:eastAsia="zh-CN"/>
        </w:rPr>
        <w:t>预算绩效目标</w:t>
      </w:r>
      <w:r>
        <w:rPr>
          <w:rFonts w:hint="eastAsia" w:ascii="仿宋_GB2312" w:hAnsi="仿宋_GB2312" w:eastAsia="仿宋_GB2312" w:cs="仿宋_GB2312"/>
          <w:color w:val="auto"/>
          <w:sz w:val="32"/>
          <w:szCs w:val="32"/>
        </w:rPr>
        <w:t>。</w:t>
      </w:r>
    </w:p>
    <w:p>
      <w:pPr>
        <w:pageBreakBefore w:val="0"/>
        <w:widowControl/>
        <w:kinsoku/>
        <w:wordWrap/>
        <w:overflowPunct/>
        <w:topLinePunct w:val="0"/>
        <w:bidi w:val="0"/>
        <w:snapToGrid/>
        <w:spacing w:line="600" w:lineRule="exact"/>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pPr>
        <w:pageBreakBefore w:val="0"/>
        <w:kinsoku/>
        <w:wordWrap/>
        <w:overflowPunct/>
        <w:topLinePunct w:val="0"/>
        <w:bidi w:val="0"/>
        <w:snapToGrid/>
        <w:spacing w:line="600" w:lineRule="exact"/>
        <w:jc w:val="left"/>
        <w:textAlignment w:val="auto"/>
        <w:rPr>
          <w:rFonts w:hint="eastAsia" w:ascii="仿宋_GB2312" w:hAnsi="仿宋_GB2312" w:eastAsia="仿宋_GB2312" w:cs="仿宋_GB2312"/>
          <w:b/>
          <w:color w:val="000000"/>
          <w:sz w:val="44"/>
          <w:szCs w:val="44"/>
        </w:rPr>
      </w:pPr>
    </w:p>
    <w:p>
      <w:pPr>
        <w:pageBreakBefore w:val="0"/>
        <w:numPr>
          <w:ilvl w:val="0"/>
          <w:numId w:val="0"/>
        </w:numPr>
        <w:kinsoku/>
        <w:wordWrap/>
        <w:overflowPunct/>
        <w:topLinePunct w:val="0"/>
        <w:bidi w:val="0"/>
        <w:snapToGrid/>
        <w:spacing w:line="600" w:lineRule="exact"/>
        <w:jc w:val="center"/>
        <w:textAlignment w:val="auto"/>
        <w:outlineLvl w:val="0"/>
        <w:rPr>
          <w:rStyle w:val="26"/>
          <w:rFonts w:hint="eastAsia" w:ascii="仿宋_GB2312" w:hAnsi="仿宋_GB2312" w:eastAsia="仿宋_GB2312" w:cs="仿宋_GB2312"/>
          <w:b w:val="0"/>
          <w:bCs/>
        </w:rPr>
      </w:pPr>
      <w:r>
        <w:rPr>
          <w:rFonts w:hint="eastAsia" w:ascii="黑体" w:hAnsi="黑体" w:eastAsia="黑体" w:cs="黑体"/>
          <w:b w:val="0"/>
          <w:bCs/>
          <w:color w:val="000000"/>
          <w:sz w:val="44"/>
          <w:szCs w:val="44"/>
          <w:lang w:eastAsia="zh-CN"/>
        </w:rPr>
        <w:t>第三部分</w:t>
      </w:r>
      <w:r>
        <w:rPr>
          <w:rFonts w:hint="eastAsia" w:ascii="黑体" w:hAnsi="黑体" w:eastAsia="黑体" w:cs="黑体"/>
          <w:b w:val="0"/>
          <w:bCs/>
          <w:color w:val="000000"/>
          <w:sz w:val="44"/>
          <w:szCs w:val="44"/>
          <w:lang w:val="en-US" w:eastAsia="zh-CN"/>
        </w:rPr>
        <w:t xml:space="preserve"> </w:t>
      </w:r>
      <w:bookmarkStart w:id="45" w:name="_Toc15396613"/>
      <w:bookmarkStart w:id="46" w:name="_Toc15377225"/>
      <w:r>
        <w:rPr>
          <w:rFonts w:hint="eastAsia" w:ascii="黑体" w:hAnsi="黑体" w:eastAsia="黑体" w:cs="黑体"/>
          <w:b w:val="0"/>
          <w:bCs/>
          <w:color w:val="000000"/>
          <w:sz w:val="44"/>
          <w:szCs w:val="44"/>
        </w:rPr>
        <w:t>名</w:t>
      </w:r>
      <w:r>
        <w:rPr>
          <w:rStyle w:val="26"/>
          <w:rFonts w:hint="eastAsia" w:ascii="黑体" w:hAnsi="黑体" w:eastAsia="黑体" w:cs="黑体"/>
          <w:b w:val="0"/>
          <w:bCs/>
        </w:rPr>
        <w:t>词解释</w:t>
      </w:r>
      <w:bookmarkEnd w:id="45"/>
      <w:bookmarkEnd w:id="46"/>
    </w:p>
    <w:p>
      <w:pPr>
        <w:pStyle w:val="2"/>
        <w:rPr>
          <w:rFonts w:hint="default" w:eastAsia="仿宋_GB2312"/>
          <w:lang w:val="en-US" w:eastAsia="zh-CN"/>
        </w:rPr>
      </w:pPr>
    </w:p>
    <w:p>
      <w:pPr>
        <w:pStyle w:val="24"/>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.一般公共服务（类）</w:t>
      </w:r>
      <w:r>
        <w:rPr>
          <w:rFonts w:hint="eastAsia" w:ascii="仿宋_GB2312" w:hAnsi="仿宋_GB2312" w:eastAsia="仿宋_GB2312" w:cs="仿宋_GB2312"/>
          <w:color w:val="000000"/>
          <w:sz w:val="32"/>
          <w:szCs w:val="32"/>
          <w:lang w:eastAsia="zh-CN"/>
        </w:rPr>
        <w:t>财政事务</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事业运行</w:t>
      </w:r>
      <w:r>
        <w:rPr>
          <w:rFonts w:hint="eastAsia" w:ascii="仿宋_GB2312" w:hAnsi="仿宋_GB2312" w:eastAsia="仿宋_GB2312" w:cs="仿宋_GB2312"/>
          <w:color w:val="000000"/>
          <w:sz w:val="32"/>
          <w:szCs w:val="32"/>
        </w:rPr>
        <w:t>（项）：指</w:t>
      </w:r>
      <w:r>
        <w:rPr>
          <w:rFonts w:hint="eastAsia" w:ascii="仿宋_GB2312" w:hAnsi="仿宋_GB2312" w:eastAsia="仿宋_GB2312" w:cs="仿宋_GB2312"/>
          <w:color w:val="000000"/>
          <w:sz w:val="32"/>
          <w:szCs w:val="32"/>
          <w:lang w:eastAsia="zh-CN"/>
        </w:rPr>
        <w:t>单位基本工资、绩效工资、工会经费、福利费等基本支出</w:t>
      </w:r>
      <w:r>
        <w:rPr>
          <w:rFonts w:hint="eastAsia" w:ascii="仿宋_GB2312" w:hAnsi="仿宋_GB2312" w:eastAsia="仿宋_GB2312" w:cs="仿宋_GB2312"/>
          <w:color w:val="000000"/>
          <w:sz w:val="32"/>
          <w:szCs w:val="32"/>
        </w:rPr>
        <w:t>。</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bookmarkStart w:id="47" w:name="_Toc15377226"/>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lang w:val="en-US" w:eastAsia="zh-CN" w:bidi="ar-SA"/>
        </w:rPr>
        <w:t>一般公共服务（类）财政事务（款）事业运行（项）：指本单位用于保障机构正常运行、开展日常工作的基本支出。</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kern w:val="0"/>
          <w:sz w:val="32"/>
          <w:szCs w:val="32"/>
          <w:lang w:val="en-US" w:eastAsia="zh-CN" w:bidi="ar-SA"/>
        </w:rPr>
        <w:t>一般公共服务（类）财政事务（款）其他财政事务支出（项）：指开展其他财政事务方面专门性工作任务的项目支出。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lang w:val="en-US" w:eastAsia="zh-CN" w:bidi="ar-SA"/>
        </w:rPr>
        <w:t>5.社会保障和就业（类）行政事业单位养老支出（款）机关事业单位基本养老保险缴费支出（项</w:t>
      </w:r>
      <w:r>
        <w:rPr>
          <w:rFonts w:hint="eastAsia" w:ascii="仿宋_GB2312" w:hAnsi="仿宋_GB2312" w:eastAsia="仿宋_GB2312" w:cs="仿宋_GB2312"/>
          <w:color w:val="000000"/>
          <w:kern w:val="0"/>
          <w:sz w:val="32"/>
          <w:szCs w:val="32"/>
          <w:highlight w:val="none"/>
          <w:lang w:val="en-US" w:eastAsia="zh-CN" w:bidi="ar-SA"/>
        </w:rPr>
        <w:t>）：指单位实施养老保险制度由单位缴纳的养老保险费的支出。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6.社会保障和就业（类）行政事业单位养老支出（款）机关事业单位职业年金缴费支出（项）：指单位实施养老保险制度由单位缴纳的职业年金的支出。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7.卫生健康（类）行政事业单位医疗（款）事业单位医疗（项）：指事业单位用于单位应缴纳基本医疗保险支出。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8.住房保障（类）住房改革支出（款）住房公积金（项）：指按照《住房公积金管理条例》的规定，由单位及其在职职工缴存的长期住房储金。</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9.基本支出：指为保证机构正常运转，完成日常工作任务而发生的人员支出和公用支出。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10.项目支出：指在基本支出之外为完成特定行政任务和事业发展目标所发生的支出。</w:t>
      </w:r>
    </w:p>
    <w:p>
      <w:pPr>
        <w:pStyle w:val="24"/>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11.“三公”经费：纳入财政厅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.机关运行经费：为保障行政单位（含参照公务员法管理的事业单位）运行用于购买货物和服务的各项资金，包括办公</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印刷费、邮电费、差旅费、会议费、福利费、日常维修费、一般购置费、办公用房水电费以及其他费用。</w:t>
      </w:r>
    </w:p>
    <w:p>
      <w:pPr>
        <w:pStyle w:val="6"/>
        <w:keepNext w:val="0"/>
        <w:keepLines w:val="0"/>
        <w:pageBreakBefore w:val="0"/>
        <w:widowControl w:val="0"/>
        <w:kinsoku/>
        <w:wordWrap/>
        <w:overflowPunct/>
        <w:topLinePunct w:val="0"/>
        <w:autoSpaceDE/>
        <w:autoSpaceDN/>
        <w:bidi w:val="0"/>
        <w:adjustRightInd/>
        <w:snapToGrid/>
        <w:spacing w:line="600" w:lineRule="exact"/>
        <w:ind w:firstLine="883" w:firstLineChars="20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b/>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color w:val="000000"/>
          <w:sz w:val="44"/>
          <w:szCs w:val="44"/>
          <w:lang w:eastAsia="zh-CN"/>
        </w:rPr>
      </w:pPr>
      <w:bookmarkStart w:id="48" w:name="_Toc15396618"/>
      <w:r>
        <w:rPr>
          <w:rFonts w:hint="eastAsia" w:ascii="黑体" w:hAnsi="黑体" w:eastAsia="黑体" w:cs="黑体"/>
          <w:color w:val="000000"/>
          <w:sz w:val="44"/>
          <w:szCs w:val="44"/>
        </w:rPr>
        <w:t>第</w:t>
      </w:r>
      <w:r>
        <w:rPr>
          <w:rStyle w:val="26"/>
          <w:rFonts w:hint="eastAsia" w:ascii="黑体" w:hAnsi="黑体" w:eastAsia="黑体" w:cs="黑体"/>
          <w:b w:val="0"/>
          <w:sz w:val="44"/>
          <w:szCs w:val="44"/>
          <w:lang w:eastAsia="zh-CN"/>
        </w:rPr>
        <w:t>四</w:t>
      </w:r>
      <w:r>
        <w:rPr>
          <w:rStyle w:val="26"/>
          <w:rFonts w:hint="eastAsia" w:ascii="黑体" w:hAnsi="黑体" w:eastAsia="黑体" w:cs="黑体"/>
          <w:b w:val="0"/>
          <w:sz w:val="44"/>
          <w:szCs w:val="44"/>
        </w:rPr>
        <w:t xml:space="preserve">部分 </w:t>
      </w:r>
      <w:r>
        <w:rPr>
          <w:rStyle w:val="26"/>
          <w:rFonts w:hint="eastAsia" w:ascii="黑体" w:hAnsi="黑体" w:eastAsia="黑体" w:cs="黑体"/>
          <w:b w:val="0"/>
          <w:sz w:val="44"/>
          <w:szCs w:val="44"/>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四川省财政厅社会保险基金中心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黑体" w:hAnsi="黑体" w:eastAsia="黑体" w:cs="黑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2020年预算项目支出绩效自评报告</w:t>
      </w:r>
    </w:p>
    <w:p>
      <w:pPr>
        <w:pStyle w:val="2"/>
        <w:ind w:left="0" w:leftChars="0" w:firstLine="0" w:firstLineChars="0"/>
        <w:rPr>
          <w:rFonts w:hint="eastAsia" w:ascii="黑体" w:hAnsi="黑体" w:eastAsia="黑体" w:cs="黑体"/>
          <w:color w:val="000000"/>
          <w:sz w:val="44"/>
          <w:szCs w:val="44"/>
          <w:lang w:eastAsia="zh-CN"/>
        </w:rPr>
      </w:pPr>
    </w:p>
    <w:p>
      <w:pPr>
        <w:pStyle w:val="2"/>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（本单位未开展此项工作）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color w:val="000000"/>
          <w:sz w:val="44"/>
          <w:szCs w:val="44"/>
        </w:rPr>
      </w:pPr>
      <w:r>
        <w:rPr>
          <w:rFonts w:hint="eastAsia" w:ascii="黑体" w:hAnsi="黑体" w:eastAsia="黑体" w:cs="黑体"/>
          <w:color w:val="000000"/>
          <w:sz w:val="44"/>
          <w:szCs w:val="44"/>
        </w:rPr>
        <w:t>第</w:t>
      </w:r>
      <w:r>
        <w:rPr>
          <w:rFonts w:hint="eastAsia" w:ascii="黑体" w:hAnsi="黑体" w:eastAsia="黑体" w:cs="黑体"/>
          <w:color w:val="000000"/>
          <w:sz w:val="44"/>
          <w:szCs w:val="44"/>
          <w:lang w:eastAsia="zh-CN"/>
        </w:rPr>
        <w:t>五</w:t>
      </w:r>
      <w:r>
        <w:rPr>
          <w:rStyle w:val="26"/>
          <w:rFonts w:hint="eastAsia" w:ascii="黑体" w:hAnsi="黑体" w:eastAsia="黑体" w:cs="黑体"/>
          <w:b w:val="0"/>
          <w:sz w:val="44"/>
          <w:szCs w:val="44"/>
        </w:rPr>
        <w:t>部分 附表</w:t>
      </w:r>
      <w:bookmarkEnd w:id="47"/>
      <w:bookmarkEnd w:id="48"/>
      <w:bookmarkStart w:id="49" w:name="_Toc15396619"/>
    </w:p>
    <w:bookmarkEnd w:id="49"/>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sz w:val="32"/>
          <w:szCs w:val="32"/>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470D"/>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852D3"/>
    <w:rsid w:val="0A2032A3"/>
    <w:rsid w:val="0D0E2100"/>
    <w:rsid w:val="0D3143B3"/>
    <w:rsid w:val="0DCF2A90"/>
    <w:rsid w:val="107F3A95"/>
    <w:rsid w:val="10C055FF"/>
    <w:rsid w:val="118107EC"/>
    <w:rsid w:val="16152D04"/>
    <w:rsid w:val="16497F7A"/>
    <w:rsid w:val="16BB723D"/>
    <w:rsid w:val="18015F3F"/>
    <w:rsid w:val="1A0575F0"/>
    <w:rsid w:val="1BE8440E"/>
    <w:rsid w:val="1D155CEE"/>
    <w:rsid w:val="1F7840EB"/>
    <w:rsid w:val="20F57F95"/>
    <w:rsid w:val="21392150"/>
    <w:rsid w:val="240371BF"/>
    <w:rsid w:val="25E63E13"/>
    <w:rsid w:val="28C94AC0"/>
    <w:rsid w:val="29FD04D3"/>
    <w:rsid w:val="2ABE7A3E"/>
    <w:rsid w:val="2F2331F5"/>
    <w:rsid w:val="31360AEC"/>
    <w:rsid w:val="319F7F4E"/>
    <w:rsid w:val="37857499"/>
    <w:rsid w:val="39DF1149"/>
    <w:rsid w:val="3C0C0783"/>
    <w:rsid w:val="3F4123F9"/>
    <w:rsid w:val="43E27966"/>
    <w:rsid w:val="455B2EEE"/>
    <w:rsid w:val="48777340"/>
    <w:rsid w:val="490C22D2"/>
    <w:rsid w:val="496F39ED"/>
    <w:rsid w:val="4A5907A7"/>
    <w:rsid w:val="4BE068DB"/>
    <w:rsid w:val="4BF6002B"/>
    <w:rsid w:val="4ECE2238"/>
    <w:rsid w:val="4F972971"/>
    <w:rsid w:val="5AE742FC"/>
    <w:rsid w:val="64CA39A1"/>
    <w:rsid w:val="698269D5"/>
    <w:rsid w:val="6C4A05C8"/>
    <w:rsid w:val="6D0B0ECC"/>
    <w:rsid w:val="72442376"/>
    <w:rsid w:val="72734D90"/>
    <w:rsid w:val="742F4960"/>
    <w:rsid w:val="76602516"/>
    <w:rsid w:val="79763995"/>
    <w:rsid w:val="7C0A60F3"/>
    <w:rsid w:val="7EC73D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rPr>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20.11</c:v>
                </c:pt>
                <c:pt idx="1">
                  <c:v>99.05</c:v>
                </c:pt>
              </c:numCache>
            </c:numRef>
          </c:val>
        </c:ser>
        <c:dLbls>
          <c:showLegendKey val="0"/>
          <c:showVal val="1"/>
          <c:showCatName val="0"/>
          <c:showSerName val="0"/>
          <c:showPercent val="0"/>
          <c:showBubbleSize val="0"/>
        </c:dLbls>
        <c:gapWidth val="219"/>
        <c:overlap val="-27"/>
        <c:axId val="438662268"/>
        <c:axId val="242755932"/>
      </c:barChart>
      <c:catAx>
        <c:axId val="4386622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55932"/>
        <c:crosses val="autoZero"/>
        <c:auto val="1"/>
        <c:lblAlgn val="ctr"/>
        <c:lblOffset val="100"/>
        <c:noMultiLvlLbl val="0"/>
      </c:catAx>
      <c:valAx>
        <c:axId val="2427559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6622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20.11</c:v>
                </c:pt>
                <c:pt idx="1">
                  <c:v>99.05</c:v>
                </c:pt>
              </c:numCache>
            </c:numRef>
          </c:val>
        </c:ser>
        <c:dLbls>
          <c:showLegendKey val="0"/>
          <c:showVal val="1"/>
          <c:showCatName val="0"/>
          <c:showSerName val="0"/>
          <c:showPercent val="0"/>
          <c:showBubbleSize val="0"/>
        </c:dLbls>
        <c:gapWidth val="219"/>
        <c:overlap val="-27"/>
        <c:axId val="438662268"/>
        <c:axId val="242755932"/>
      </c:barChart>
      <c:catAx>
        <c:axId val="4386622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55932"/>
        <c:crosses val="autoZero"/>
        <c:auto val="1"/>
        <c:lblAlgn val="ctr"/>
        <c:lblOffset val="100"/>
        <c:noMultiLvlLbl val="0"/>
      </c:catAx>
      <c:valAx>
        <c:axId val="2427559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6622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20.11</c:v>
                </c:pt>
                <c:pt idx="1">
                  <c:v>99.05</c:v>
                </c:pt>
              </c:numCache>
            </c:numRef>
          </c:val>
        </c:ser>
        <c:dLbls>
          <c:showLegendKey val="0"/>
          <c:showVal val="1"/>
          <c:showCatName val="0"/>
          <c:showSerName val="0"/>
          <c:showPercent val="0"/>
          <c:showBubbleSize val="0"/>
        </c:dLbls>
        <c:gapWidth val="219"/>
        <c:overlap val="-27"/>
        <c:axId val="438662268"/>
        <c:axId val="242755932"/>
      </c:barChart>
      <c:catAx>
        <c:axId val="4386622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55932"/>
        <c:crosses val="autoZero"/>
        <c:auto val="1"/>
        <c:lblAlgn val="ctr"/>
        <c:lblOffset val="100"/>
        <c:noMultiLvlLbl val="0"/>
      </c:catAx>
      <c:valAx>
        <c:axId val="2427559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6622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4152</Words>
  <Characters>4476</Characters>
  <Lines>61</Lines>
  <Paragraphs>17</Paragraphs>
  <TotalTime>1</TotalTime>
  <ScaleCrop>false</ScaleCrop>
  <LinksUpToDate>false</LinksUpToDate>
  <CharactersWithSpaces>4508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周菲</cp:lastModifiedBy>
  <cp:lastPrinted>2021-09-02T08:35:00Z</cp:lastPrinted>
  <dcterms:modified xsi:type="dcterms:W3CDTF">2022-11-14T02:13:14Z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406C653458D84E37927D5F97BD5C9A20</vt:lpwstr>
  </property>
</Properties>
</file>