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ascii="方正小标宋简体" w:hAnsi="宋体" w:eastAsia="方正小标宋简体"/>
          <w:color w:val="000000"/>
          <w:sz w:val="30"/>
          <w:szCs w:val="30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宋体" w:eastAsia="方正小标宋简体"/>
          <w:sz w:val="72"/>
          <w:szCs w:val="72"/>
        </w:rPr>
      </w:pPr>
      <w:bookmarkStart w:id="1" w:name="_Toc15377425"/>
      <w:bookmarkStart w:id="2" w:name="_Toc15396475"/>
      <w:bookmarkStart w:id="3" w:name="_Toc81921838"/>
      <w:bookmarkStart w:id="4" w:name="_Toc15377193"/>
      <w:bookmarkStart w:id="5" w:name="_Toc15396597"/>
      <w:bookmarkStart w:id="6" w:name="_Toc15378441"/>
      <w:r>
        <w:rPr>
          <w:rFonts w:ascii="黑体" w:hAnsi="黑体" w:eastAsia="黑体"/>
          <w:sz w:val="72"/>
          <w:szCs w:val="72"/>
        </w:rPr>
        <w:t>20</w:t>
      </w:r>
      <w:r>
        <w:rPr>
          <w:rFonts w:hint="eastAsia" w:ascii="黑体" w:hAnsi="黑体" w:eastAsia="黑体"/>
          <w:sz w:val="72"/>
          <w:szCs w:val="72"/>
        </w:rPr>
        <w:t>20</w:t>
      </w:r>
      <w:r>
        <w:rPr>
          <w:rFonts w:hint="eastAsia" w:ascii="方正小标宋简体" w:hAnsi="宋体" w:eastAsia="方正小标宋简体"/>
          <w:sz w:val="72"/>
          <w:szCs w:val="72"/>
        </w:rPr>
        <w:t>年</w:t>
      </w:r>
      <w:bookmarkStart w:id="115" w:name="_GoBack"/>
      <w:bookmarkEnd w:id="115"/>
      <w:r>
        <w:rPr>
          <w:rFonts w:hint="eastAsia" w:ascii="方正小标宋简体" w:hAnsi="宋体" w:eastAsia="方正小标宋简体"/>
          <w:sz w:val="72"/>
          <w:szCs w:val="72"/>
        </w:rPr>
        <w:t>度</w:t>
      </w:r>
      <w:bookmarkEnd w:id="1"/>
      <w:bookmarkEnd w:id="2"/>
      <w:bookmarkEnd w:id="3"/>
      <w:bookmarkEnd w:id="4"/>
      <w:bookmarkEnd w:id="5"/>
      <w:bookmarkEnd w:id="6"/>
    </w:p>
    <w:p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宋体" w:eastAsia="方正小标宋简体"/>
          <w:sz w:val="72"/>
          <w:szCs w:val="72"/>
        </w:rPr>
      </w:pPr>
      <w:bookmarkStart w:id="7" w:name="_Toc81921839"/>
      <w:bookmarkStart w:id="8" w:name="_Toc15377194"/>
      <w:bookmarkStart w:id="9" w:name="_Toc15377426"/>
      <w:bookmarkStart w:id="10" w:name="_Toc15396598"/>
      <w:bookmarkStart w:id="11" w:name="_Toc15378442"/>
      <w:bookmarkStart w:id="12" w:name="_Toc15396476"/>
      <w:r>
        <w:rPr>
          <w:rFonts w:hint="eastAsia" w:ascii="方正小标宋简体" w:hAnsi="宋体" w:eastAsia="方正小标宋简体"/>
          <w:sz w:val="72"/>
          <w:szCs w:val="72"/>
        </w:rPr>
        <w:t>四川省</w:t>
      </w:r>
      <w:bookmarkEnd w:id="0"/>
      <w:bookmarkStart w:id="13" w:name="_Toc15306268"/>
      <w:r>
        <w:rPr>
          <w:rFonts w:hint="eastAsia" w:ascii="方正小标宋简体" w:hAnsi="宋体" w:eastAsia="方正小标宋简体"/>
          <w:sz w:val="72"/>
          <w:szCs w:val="72"/>
        </w:rPr>
        <w:t>世界银行贷款工作</w:t>
      </w:r>
      <w:bookmarkEnd w:id="7"/>
    </w:p>
    <w:p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宋体" w:eastAsia="方正小标宋简体"/>
          <w:sz w:val="72"/>
          <w:szCs w:val="72"/>
        </w:rPr>
      </w:pPr>
      <w:bookmarkStart w:id="14" w:name="_Toc81921840"/>
      <w:r>
        <w:rPr>
          <w:rFonts w:hint="eastAsia" w:ascii="方正小标宋简体" w:hAnsi="宋体" w:eastAsia="方正小标宋简体"/>
          <w:sz w:val="72"/>
          <w:szCs w:val="72"/>
        </w:rPr>
        <w:t>领导小组办公室单位决算</w:t>
      </w:r>
      <w:bookmarkEnd w:id="8"/>
      <w:bookmarkEnd w:id="9"/>
      <w:bookmarkEnd w:id="10"/>
      <w:bookmarkEnd w:id="11"/>
      <w:bookmarkEnd w:id="12"/>
      <w:bookmarkEnd w:id="13"/>
      <w:bookmarkEnd w:id="14"/>
    </w:p>
    <w:p>
      <w:pPr>
        <w:widowControl/>
        <w:jc w:val="center"/>
        <w:rPr>
          <w:rFonts w:ascii="仿宋" w:hAnsi="仿宋" w:eastAsia="仿宋"/>
          <w:b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  <w:bookmarkStart w:id="15" w:name="_Toc15396599"/>
      <w:bookmarkStart w:id="16" w:name="_Toc15377196"/>
    </w:p>
    <w:p>
      <w:pPr>
        <w:widowControl/>
        <w:jc w:val="center"/>
        <w:rPr>
          <w:rFonts w:ascii="仿宋" w:hAnsi="仿宋" w:eastAsia="仿宋"/>
          <w:b/>
          <w:sz w:val="24"/>
        </w:rPr>
      </w:pPr>
    </w:p>
    <w:sdt>
      <w:sdt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zh-CN"/>
        </w:rPr>
        <w:id w:val="1863327643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zh-CN"/>
        </w:rPr>
      </w:sdtEndPr>
      <w:sdtContent>
        <w:p>
          <w:pPr>
            <w:pStyle w:val="30"/>
            <w:rPr>
              <w:lang w:val="zh-CN"/>
            </w:rPr>
          </w:pPr>
        </w:p>
        <w:p>
          <w:pPr>
            <w:pStyle w:val="30"/>
            <w:jc w:val="center"/>
            <w:rPr>
              <w:color w:val="auto"/>
              <w:sz w:val="44"/>
              <w:szCs w:val="44"/>
              <w:lang w:val="zh-CN"/>
            </w:rPr>
          </w:pPr>
          <w:r>
            <w:rPr>
              <w:rFonts w:hint="eastAsia"/>
              <w:color w:val="auto"/>
              <w:sz w:val="44"/>
              <w:szCs w:val="44"/>
              <w:lang w:val="zh-CN"/>
            </w:rPr>
            <w:t>目录</w:t>
          </w:r>
        </w:p>
        <w:p>
          <w:pPr>
            <w:pStyle w:val="1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>
          <w:pPr>
            <w:pStyle w:val="1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"_Toc81921841" </w:instrText>
          </w:r>
          <w:r>
            <w:fldChar w:fldCharType="separate"/>
          </w:r>
          <w:r>
            <w:rPr>
              <w:rStyle w:val="15"/>
              <w:rFonts w:hint="eastAsia" w:ascii="黑体" w:hAnsi="黑体" w:eastAsia="黑体"/>
            </w:rPr>
            <w:t>第一部分</w:t>
          </w:r>
          <w:r>
            <w:rPr>
              <w:rStyle w:val="15"/>
              <w:rFonts w:ascii="黑体" w:hAnsi="黑体" w:eastAsia="黑体"/>
            </w:rPr>
            <w:t xml:space="preserve"> </w:t>
          </w:r>
          <w:r>
            <w:rPr>
              <w:rStyle w:val="15"/>
              <w:rFonts w:hint="eastAsia" w:ascii="黑体" w:hAnsi="黑体" w:eastAsia="黑体"/>
            </w:rPr>
            <w:t>单位概况</w:t>
          </w:r>
          <w:r>
            <w:tab/>
          </w:r>
          <w:r>
            <w:fldChar w:fldCharType="begin"/>
          </w:r>
          <w:r>
            <w:instrText xml:space="preserve"> PAGEREF _Toc81921841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"_Toc81921842" </w:instrText>
          </w:r>
          <w:r>
            <w:fldChar w:fldCharType="separate"/>
          </w:r>
          <w:r>
            <w:rPr>
              <w:rStyle w:val="15"/>
              <w:rFonts w:hint="eastAsia" w:ascii="黑体" w:hAnsi="黑体" w:eastAsia="黑体"/>
            </w:rPr>
            <w:t>一、职能简介</w:t>
          </w:r>
          <w:r>
            <w:tab/>
          </w:r>
          <w:r>
            <w:fldChar w:fldCharType="begin"/>
          </w:r>
          <w:r>
            <w:instrText xml:space="preserve"> PAGEREF _Toc81921842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Style w:val="15"/>
              <w:rFonts w:hint="eastAsia" w:ascii="黑体" w:hAnsi="黑体" w:eastAsia="黑体" w:cstheme="minorBidi"/>
            </w:rPr>
          </w:pPr>
          <w:r>
            <w:rPr>
              <w:rStyle w:val="15"/>
              <w:rFonts w:hint="eastAsia" w:ascii="黑体" w:hAnsi="黑体" w:eastAsia="黑体" w:cstheme="minorBidi"/>
            </w:rPr>
            <w:fldChar w:fldCharType="begin"/>
          </w:r>
          <w:r>
            <w:rPr>
              <w:rStyle w:val="15"/>
              <w:rFonts w:hint="eastAsia" w:ascii="黑体" w:hAnsi="黑体" w:eastAsia="黑体" w:cstheme="minorBidi"/>
            </w:rPr>
            <w:instrText xml:space="preserve"> HYPERLINK \l "_Toc81921843" </w:instrText>
          </w:r>
          <w:r>
            <w:rPr>
              <w:rStyle w:val="15"/>
              <w:rFonts w:hint="eastAsia" w:ascii="黑体" w:hAnsi="黑体" w:eastAsia="黑体" w:cstheme="minorBidi"/>
            </w:rPr>
            <w:fldChar w:fldCharType="separate"/>
          </w:r>
          <w:r>
            <w:rPr>
              <w:rStyle w:val="15"/>
              <w:rFonts w:hint="eastAsia" w:ascii="黑体" w:hAnsi="黑体" w:eastAsia="黑体" w:cstheme="minorBidi"/>
            </w:rPr>
            <w:t>二、2020年重点工作完成情况</w:t>
          </w:r>
          <w:r>
            <w:rPr>
              <w:rStyle w:val="15"/>
              <w:rFonts w:hint="eastAsia" w:ascii="黑体" w:hAnsi="黑体" w:eastAsia="黑体" w:cstheme="minorBidi"/>
            </w:rPr>
            <w:tab/>
          </w:r>
          <w:r>
            <w:rPr>
              <w:rStyle w:val="15"/>
              <w:rFonts w:hint="eastAsia" w:ascii="黑体" w:hAnsi="黑体" w:eastAsia="黑体" w:cstheme="minorBidi"/>
            </w:rPr>
            <w:fldChar w:fldCharType="begin"/>
          </w:r>
          <w:r>
            <w:rPr>
              <w:rStyle w:val="15"/>
              <w:rFonts w:hint="eastAsia" w:ascii="黑体" w:hAnsi="黑体" w:eastAsia="黑体" w:cstheme="minorBidi"/>
            </w:rPr>
            <w:instrText xml:space="preserve"> PAGEREF _Toc81921843 \h </w:instrText>
          </w:r>
          <w:r>
            <w:rPr>
              <w:rStyle w:val="15"/>
              <w:rFonts w:hint="eastAsia" w:ascii="黑体" w:hAnsi="黑体" w:eastAsia="黑体" w:cstheme="minorBidi"/>
            </w:rPr>
            <w:fldChar w:fldCharType="separate"/>
          </w:r>
          <w:r>
            <w:rPr>
              <w:rStyle w:val="15"/>
              <w:rFonts w:hint="eastAsia" w:ascii="黑体" w:hAnsi="黑体" w:eastAsia="黑体" w:cstheme="minorBidi"/>
            </w:rPr>
            <w:t>1</w:t>
          </w:r>
          <w:r>
            <w:rPr>
              <w:rStyle w:val="15"/>
              <w:rFonts w:hint="eastAsia" w:ascii="黑体" w:hAnsi="黑体" w:eastAsia="黑体" w:cstheme="minorBidi"/>
            </w:rPr>
            <w:fldChar w:fldCharType="end"/>
          </w:r>
          <w:r>
            <w:rPr>
              <w:rStyle w:val="15"/>
              <w:rFonts w:hint="eastAsia" w:ascii="黑体" w:hAnsi="黑体" w:eastAsia="黑体" w:cstheme="minorBidi"/>
            </w:rPr>
            <w:fldChar w:fldCharType="end"/>
          </w:r>
        </w:p>
        <w:p>
          <w:pPr>
            <w:pStyle w:val="11"/>
            <w:rPr>
              <w:rFonts w:hint="eastAsia"/>
              <w:lang w:val="en-US" w:eastAsia="zh-CN"/>
            </w:rPr>
          </w:pPr>
          <w:r>
            <w:rPr>
              <w:rStyle w:val="15"/>
              <w:rFonts w:hint="eastAsia" w:ascii="黑体" w:hAnsi="黑体" w:eastAsia="黑体" w:cstheme="minorBidi"/>
              <w:lang w:val="en-US" w:eastAsia="zh-CN"/>
            </w:rPr>
            <w:t>三、机构设置情况</w:t>
          </w:r>
          <w:r>
            <w:rPr>
              <w:rStyle w:val="15"/>
              <w:rFonts w:hint="eastAsia" w:ascii="黑体" w:hAnsi="黑体" w:eastAsia="黑体" w:cstheme="minorBidi"/>
            </w:rPr>
            <w:tab/>
          </w:r>
          <w:r>
            <w:rPr>
              <w:rStyle w:val="15"/>
              <w:rFonts w:hint="eastAsia" w:ascii="黑体" w:hAnsi="黑体" w:eastAsia="黑体" w:cstheme="minorBidi"/>
              <w:lang w:val="en-US" w:eastAsia="zh-CN"/>
            </w:rPr>
            <w:t>4</w:t>
          </w:r>
        </w:p>
        <w:p>
          <w:pPr>
            <w:pStyle w:val="1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"_Toc81921844" </w:instrText>
          </w:r>
          <w:r>
            <w:fldChar w:fldCharType="separate"/>
          </w:r>
          <w:r>
            <w:rPr>
              <w:rStyle w:val="15"/>
              <w:rFonts w:hint="eastAsia" w:ascii="黑体" w:hAnsi="黑体" w:eastAsia="黑体"/>
            </w:rPr>
            <w:t>第二部分</w:t>
          </w:r>
          <w:r>
            <w:rPr>
              <w:rStyle w:val="15"/>
              <w:rFonts w:ascii="黑体" w:hAnsi="黑体" w:eastAsia="黑体"/>
            </w:rPr>
            <w:t xml:space="preserve"> 2020</w:t>
          </w:r>
          <w:r>
            <w:rPr>
              <w:rStyle w:val="15"/>
              <w:rFonts w:hint="eastAsia" w:ascii="黑体" w:hAnsi="黑体" w:eastAsia="黑体"/>
            </w:rPr>
            <w:t>年度单位决算情况说明</w:t>
          </w:r>
          <w:r>
            <w:tab/>
          </w: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PAGEREF _Toc81921844 \h </w:instrText>
          </w:r>
          <w:r>
            <w:rPr>
              <w:sz w:val="21"/>
              <w:szCs w:val="21"/>
            </w:rPr>
            <w:fldChar w:fldCharType="separate"/>
          </w:r>
          <w:r>
            <w:rPr>
              <w:sz w:val="21"/>
              <w:szCs w:val="21"/>
            </w:rPr>
            <w:t>5</w:t>
          </w:r>
          <w:r>
            <w:rPr>
              <w:sz w:val="21"/>
              <w:szCs w:val="21"/>
            </w:rP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1260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"_Toc81921845" </w:instrText>
          </w:r>
          <w:r>
            <w:fldChar w:fldCharType="separate"/>
          </w:r>
          <w:r>
            <w:rPr>
              <w:rStyle w:val="15"/>
              <w:rFonts w:hint="eastAsia" w:ascii="黑体" w:hAnsi="黑体" w:eastAsia="黑体" w:cstheme="majorBidi"/>
              <w:bCs/>
            </w:rPr>
            <w:t>一、</w:t>
          </w:r>
          <w:r>
            <w:rPr>
              <w:rStyle w:val="15"/>
              <w:rFonts w:hint="eastAsia" w:ascii="黑体" w:hAnsi="黑体" w:eastAsia="黑体"/>
            </w:rPr>
            <w:t>收</w:t>
          </w:r>
          <w:r>
            <w:rPr>
              <w:rStyle w:val="15"/>
              <w:rFonts w:hint="eastAsia" w:ascii="黑体" w:hAnsi="黑体" w:eastAsia="黑体" w:cstheme="majorBidi"/>
              <w:bCs/>
            </w:rPr>
            <w:t>入支出决算总体情况说明</w:t>
          </w:r>
          <w:r>
            <w:tab/>
          </w:r>
          <w:r>
            <w:fldChar w:fldCharType="begin"/>
          </w:r>
          <w:r>
            <w:instrText xml:space="preserve"> PAGEREF _Toc81921845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1260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"_Toc81921846" </w:instrText>
          </w:r>
          <w:r>
            <w:fldChar w:fldCharType="separate"/>
          </w:r>
          <w:r>
            <w:rPr>
              <w:rStyle w:val="15"/>
              <w:rFonts w:hint="eastAsia" w:ascii="黑体" w:hAnsi="黑体" w:eastAsia="黑体" w:cstheme="majorBidi"/>
              <w:bCs/>
            </w:rPr>
            <w:t>二、</w:t>
          </w:r>
          <w:r>
            <w:rPr>
              <w:rStyle w:val="15"/>
              <w:rFonts w:hint="eastAsia" w:ascii="黑体" w:hAnsi="黑体" w:eastAsia="黑体"/>
            </w:rPr>
            <w:t>收</w:t>
          </w:r>
          <w:r>
            <w:rPr>
              <w:rStyle w:val="15"/>
              <w:rFonts w:hint="eastAsia" w:ascii="黑体" w:hAnsi="黑体" w:eastAsia="黑体" w:cstheme="majorBidi"/>
              <w:bCs/>
            </w:rPr>
            <w:t>入决算情况说明</w:t>
          </w:r>
          <w:r>
            <w:tab/>
          </w:r>
          <w:r>
            <w:fldChar w:fldCharType="begin"/>
          </w:r>
          <w:r>
            <w:instrText xml:space="preserve"> PAGEREF _Toc81921846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1260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"_Toc81921849" </w:instrText>
          </w:r>
          <w:r>
            <w:fldChar w:fldCharType="separate"/>
          </w:r>
          <w:r>
            <w:rPr>
              <w:rStyle w:val="15"/>
              <w:rFonts w:hint="eastAsia" w:ascii="黑体" w:hAnsi="黑体" w:eastAsia="黑体" w:cstheme="majorBidi"/>
              <w:bCs/>
            </w:rPr>
            <w:t>三、</w:t>
          </w:r>
          <w:r>
            <w:rPr>
              <w:rStyle w:val="15"/>
              <w:rFonts w:hint="eastAsia" w:ascii="黑体" w:hAnsi="黑体" w:eastAsia="黑体"/>
            </w:rPr>
            <w:t>支</w:t>
          </w:r>
          <w:r>
            <w:rPr>
              <w:rStyle w:val="15"/>
              <w:rFonts w:hint="eastAsia" w:ascii="黑体" w:hAnsi="黑体" w:eastAsia="黑体" w:cstheme="majorBidi"/>
              <w:bCs/>
            </w:rPr>
            <w:t>出决算情况说明</w:t>
          </w:r>
          <w:r>
            <w:tab/>
          </w:r>
          <w:r>
            <w:fldChar w:fldCharType="begin"/>
          </w:r>
          <w:r>
            <w:instrText xml:space="preserve"> PAGEREF _Toc81921849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"_Toc81921851" </w:instrText>
          </w:r>
          <w:r>
            <w:fldChar w:fldCharType="separate"/>
          </w:r>
          <w:r>
            <w:rPr>
              <w:rStyle w:val="15"/>
              <w:rFonts w:hint="eastAsia" w:ascii="黑体" w:hAnsi="黑体" w:eastAsia="黑体"/>
            </w:rPr>
            <w:t>四、财</w:t>
          </w:r>
          <w:r>
            <w:rPr>
              <w:rStyle w:val="15"/>
              <w:rFonts w:hint="eastAsia" w:ascii="黑体" w:hAnsi="黑体" w:eastAsia="黑体" w:cstheme="majorBidi"/>
              <w:bCs/>
            </w:rPr>
            <w:t>政拨款收入支出决算总体情况说明</w:t>
          </w:r>
          <w:r>
            <w:tab/>
          </w:r>
          <w:r>
            <w:fldChar w:fldCharType="begin"/>
          </w:r>
          <w:r>
            <w:instrText xml:space="preserve"> PAGEREF _Toc81921851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"_Toc81921852" </w:instrText>
          </w:r>
          <w:r>
            <w:fldChar w:fldCharType="separate"/>
          </w:r>
          <w:r>
            <w:rPr>
              <w:rStyle w:val="15"/>
              <w:rFonts w:hint="eastAsia" w:ascii="黑体" w:hAnsi="黑体" w:eastAsia="黑体"/>
            </w:rPr>
            <w:t>五、</w:t>
          </w:r>
          <w:r>
            <w:rPr>
              <w:rStyle w:val="15"/>
              <w:rFonts w:hint="eastAsia" w:ascii="黑体" w:hAnsi="黑体" w:eastAsia="黑体"/>
              <w:b/>
            </w:rPr>
            <w:t>一</w:t>
          </w:r>
          <w:r>
            <w:rPr>
              <w:rStyle w:val="15"/>
              <w:rFonts w:hint="eastAsia" w:ascii="黑体" w:hAnsi="黑体" w:eastAsia="黑体" w:cstheme="majorBidi"/>
              <w:bCs/>
            </w:rPr>
            <w:t>般公共预算财政拨款支出决算情况说明</w:t>
          </w:r>
          <w:r>
            <w:tab/>
          </w:r>
          <w:r>
            <w:fldChar w:fldCharType="begin"/>
          </w:r>
          <w:r>
            <w:instrText xml:space="preserve"> PAGEREF _Toc81921852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"_Toc81921853"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  <w:b/>
            </w:rPr>
            <w:t>（一）一般公共预算财政拨款支出决算总体情况</w:t>
          </w:r>
          <w:r>
            <w:tab/>
          </w:r>
          <w:r>
            <w:fldChar w:fldCharType="begin"/>
          </w:r>
          <w:r>
            <w:instrText xml:space="preserve"> PAGEREF _Toc81921853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"_Toc81921854"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  <w:b/>
            </w:rPr>
            <w:t>（二）一般公共预算财政拨款支出决算结构情况</w:t>
          </w:r>
          <w:r>
            <w:tab/>
          </w:r>
          <w:r>
            <w:fldChar w:fldCharType="begin"/>
          </w:r>
          <w:r>
            <w:instrText xml:space="preserve"> PAGEREF _Toc81921854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"_Toc81921855"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  <w:b/>
            </w:rPr>
            <w:t>（三）一般公共预算财政拨款支出决算具体情况</w:t>
          </w:r>
          <w:r>
            <w:tab/>
          </w:r>
          <w:r>
            <w:fldChar w:fldCharType="begin"/>
          </w:r>
          <w:r>
            <w:instrText xml:space="preserve"> PAGEREF _Toc81921855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"_Toc81921857" </w:instrText>
          </w:r>
          <w:r>
            <w:fldChar w:fldCharType="separate"/>
          </w:r>
          <w:r>
            <w:rPr>
              <w:rStyle w:val="15"/>
              <w:rFonts w:hint="eastAsia" w:ascii="黑体" w:eastAsia="黑体"/>
            </w:rPr>
            <w:t>六</w:t>
          </w:r>
          <w:r>
            <w:rPr>
              <w:rStyle w:val="15"/>
              <w:rFonts w:hint="eastAsia" w:ascii="黑体" w:eastAsia="黑体"/>
              <w:b/>
            </w:rPr>
            <w:t>、</w:t>
          </w:r>
          <w:r>
            <w:rPr>
              <w:rStyle w:val="15"/>
              <w:rFonts w:hint="eastAsia" w:ascii="黑体" w:hAnsi="黑体" w:eastAsia="黑体"/>
              <w:b/>
            </w:rPr>
            <w:t>一</w:t>
          </w:r>
          <w:r>
            <w:rPr>
              <w:rStyle w:val="15"/>
              <w:rFonts w:hint="eastAsia" w:ascii="黑体" w:hAnsi="黑体" w:eastAsia="黑体" w:cstheme="majorBidi"/>
              <w:bCs/>
            </w:rPr>
            <w:t>般公共预算财政拨款基本支出决算情况说明</w:t>
          </w:r>
          <w:r>
            <w:tab/>
          </w:r>
          <w:r>
            <w:fldChar w:fldCharType="begin"/>
          </w:r>
          <w:r>
            <w:instrText xml:space="preserve"> PAGEREF _Toc81921857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"_Toc81921859" </w:instrText>
          </w:r>
          <w:r>
            <w:fldChar w:fldCharType="separate"/>
          </w:r>
          <w:r>
            <w:rPr>
              <w:rStyle w:val="15"/>
              <w:rFonts w:hint="eastAsia" w:ascii="黑体" w:eastAsia="黑体"/>
            </w:rPr>
            <w:t>七、</w:t>
          </w:r>
          <w:r>
            <w:rPr>
              <w:rStyle w:val="15"/>
              <w:rFonts w:ascii="黑体" w:hAnsi="黑体" w:eastAsia="黑体" w:cstheme="majorBidi"/>
              <w:b/>
              <w:bCs/>
            </w:rPr>
            <w:t>“</w:t>
          </w:r>
          <w:r>
            <w:rPr>
              <w:rStyle w:val="15"/>
              <w:rFonts w:hint="eastAsia" w:ascii="黑体" w:hAnsi="黑体" w:eastAsia="黑体" w:cstheme="majorBidi"/>
              <w:bCs/>
            </w:rPr>
            <w:t>三公”经费财政拨款支出决算情况说明</w:t>
          </w:r>
          <w:r>
            <w:tab/>
          </w:r>
          <w:r>
            <w:fldChar w:fldCharType="begin"/>
          </w:r>
          <w:r>
            <w:instrText xml:space="preserve"> PAGEREF _Toc81921859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"_Toc81921860"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  <w:b/>
            </w:rPr>
            <w:t>（一）“三公”经费财政拨款支出决算总体情况说明</w:t>
          </w:r>
          <w:r>
            <w:tab/>
          </w:r>
          <w:r>
            <w:fldChar w:fldCharType="begin"/>
          </w:r>
          <w:r>
            <w:instrText xml:space="preserve"> PAGEREF _Toc81921860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"_Toc81921861"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  <w:b/>
            </w:rPr>
            <w:t>（二）“三公”经费财政拨款支出决算具体情况说明</w:t>
          </w:r>
          <w:r>
            <w:tab/>
          </w:r>
          <w:r>
            <w:fldChar w:fldCharType="begin"/>
          </w:r>
          <w:r>
            <w:instrText xml:space="preserve"> PAGEREF _Toc81921861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"_Toc81921862" </w:instrText>
          </w:r>
          <w:r>
            <w:fldChar w:fldCharType="separate"/>
          </w:r>
          <w:r>
            <w:rPr>
              <w:rStyle w:val="15"/>
              <w:rFonts w:hint="eastAsia" w:ascii="黑体" w:eastAsia="黑体"/>
            </w:rPr>
            <w:t>八、</w:t>
          </w:r>
          <w:r>
            <w:rPr>
              <w:rStyle w:val="15"/>
              <w:rFonts w:hint="eastAsia" w:ascii="黑体" w:hAnsi="黑体" w:eastAsia="黑体" w:cstheme="majorBidi"/>
              <w:bCs/>
            </w:rPr>
            <w:t>政府性基金预算支出决算情况说明</w:t>
          </w:r>
          <w:r>
            <w:tab/>
          </w:r>
          <w:r>
            <w:fldChar w:fldCharType="begin"/>
          </w:r>
          <w:r>
            <w:instrText xml:space="preserve"> PAGEREF _Toc81921862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"_Toc81921863" </w:instrText>
          </w:r>
          <w:r>
            <w:fldChar w:fldCharType="separate"/>
          </w:r>
          <w:r>
            <w:rPr>
              <w:rStyle w:val="15"/>
              <w:rFonts w:hint="eastAsia" w:ascii="黑体" w:hAnsi="黑体" w:eastAsia="黑体" w:cstheme="majorBidi"/>
              <w:bCs/>
            </w:rPr>
            <w:t>九、国有资本经营预算支出决算情况说明</w:t>
          </w:r>
          <w:r>
            <w:tab/>
          </w:r>
          <w:r>
            <w:fldChar w:fldCharType="begin"/>
          </w:r>
          <w:r>
            <w:instrText xml:space="preserve"> PAGEREF _Toc81921863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"_Toc81921864" </w:instrText>
          </w:r>
          <w:r>
            <w:fldChar w:fldCharType="separate"/>
          </w:r>
          <w:r>
            <w:rPr>
              <w:rStyle w:val="15"/>
              <w:rFonts w:hint="eastAsia" w:ascii="黑体" w:hAnsi="黑体" w:eastAsia="黑体" w:cstheme="majorBidi"/>
              <w:bCs/>
            </w:rPr>
            <w:t>十、其他重要事项的情况说明</w:t>
          </w:r>
          <w:r>
            <w:tab/>
          </w:r>
          <w:r>
            <w:fldChar w:fldCharType="begin"/>
          </w:r>
          <w:r>
            <w:instrText xml:space="preserve"> PAGEREF _Toc81921864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"_Toc81921865"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  <w:b/>
            </w:rPr>
            <w:t>（一）机关运行经费支出情况</w:t>
          </w:r>
          <w:r>
            <w:tab/>
          </w:r>
          <w:r>
            <w:fldChar w:fldCharType="begin"/>
          </w:r>
          <w:r>
            <w:instrText xml:space="preserve"> PAGEREF _Toc81921865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"_Toc81921866"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  <w:b/>
            </w:rPr>
            <w:t>（二）政府采购支出情况</w:t>
          </w:r>
          <w:r>
            <w:tab/>
          </w:r>
          <w:r>
            <w:fldChar w:fldCharType="begin"/>
          </w:r>
          <w:r>
            <w:instrText xml:space="preserve"> PAGEREF _Toc81921866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"_Toc81921867"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  <w:b/>
            </w:rPr>
            <w:t>（三）国有资产占有使用情况</w:t>
          </w:r>
          <w:r>
            <w:tab/>
          </w:r>
          <w:r>
            <w:fldChar w:fldCharType="begin"/>
          </w:r>
          <w:r>
            <w:instrText xml:space="preserve"> PAGEREF _Toc81921867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"_Toc81921868"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  <w:b/>
            </w:rPr>
            <w:t>（四）预算绩效管理情况</w:t>
          </w:r>
          <w:r>
            <w:tab/>
          </w:r>
          <w:r>
            <w:fldChar w:fldCharType="begin"/>
          </w:r>
          <w:r>
            <w:instrText xml:space="preserve"> PAGEREF _Toc81921868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"_Toc81921869" </w:instrText>
          </w:r>
          <w:r>
            <w:fldChar w:fldCharType="separate"/>
          </w:r>
          <w:r>
            <w:rPr>
              <w:rStyle w:val="15"/>
              <w:rFonts w:hint="eastAsia" w:ascii="黑体" w:hAnsi="黑体" w:eastAsia="黑体" w:cs="黑体"/>
              <w:bCs/>
              <w:kern w:val="44"/>
            </w:rPr>
            <w:t>第三部分</w:t>
          </w:r>
          <w:r>
            <w:rPr>
              <w:rStyle w:val="15"/>
              <w:rFonts w:hint="eastAsia" w:ascii="黑体" w:hAnsi="黑体" w:eastAsia="黑体"/>
            </w:rPr>
            <w:t xml:space="preserve"> 名</w:t>
          </w:r>
          <w:r>
            <w:rPr>
              <w:rStyle w:val="15"/>
              <w:rFonts w:hint="eastAsia" w:ascii="黑体" w:hAnsi="黑体" w:eastAsia="黑体"/>
              <w:bCs/>
              <w:kern w:val="44"/>
            </w:rPr>
            <w:t>词解释</w:t>
          </w:r>
          <w:r>
            <w:tab/>
          </w:r>
          <w:r>
            <w:fldChar w:fldCharType="begin"/>
          </w:r>
          <w:r>
            <w:instrText xml:space="preserve"> PAGEREF _Toc81921869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"_Toc81921870" </w:instrText>
          </w:r>
          <w:r>
            <w:fldChar w:fldCharType="separate"/>
          </w:r>
          <w:r>
            <w:rPr>
              <w:rStyle w:val="15"/>
              <w:rFonts w:hint="eastAsia" w:ascii="黑体" w:hAnsi="黑体" w:eastAsia="黑体"/>
            </w:rPr>
            <w:t>第</w:t>
          </w:r>
          <w:r>
            <w:rPr>
              <w:rStyle w:val="15"/>
              <w:rFonts w:hint="eastAsia" w:ascii="黑体" w:hAnsi="黑体" w:eastAsia="黑体"/>
              <w:bCs/>
              <w:kern w:val="44"/>
            </w:rPr>
            <w:t>四部分</w:t>
          </w:r>
          <w:r>
            <w:rPr>
              <w:rStyle w:val="15"/>
              <w:rFonts w:ascii="黑体" w:hAnsi="黑体" w:eastAsia="黑体"/>
              <w:bCs/>
              <w:kern w:val="44"/>
            </w:rPr>
            <w:t xml:space="preserve"> </w:t>
          </w:r>
          <w:r>
            <w:rPr>
              <w:rStyle w:val="15"/>
              <w:rFonts w:hint="eastAsia" w:ascii="黑体" w:hAnsi="黑体" w:eastAsia="黑体"/>
              <w:bCs/>
              <w:kern w:val="44"/>
            </w:rPr>
            <w:t>附件</w:t>
          </w:r>
          <w:r>
            <w:tab/>
          </w:r>
          <w:r>
            <w:fldChar w:fldCharType="begin"/>
          </w:r>
          <w:r>
            <w:instrText xml:space="preserve"> PAGEREF _Toc81921870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"_Toc81921871" </w:instrText>
          </w:r>
          <w:r>
            <w:fldChar w:fldCharType="separate"/>
          </w:r>
          <w:r>
            <w:rPr>
              <w:rStyle w:val="15"/>
              <w:rFonts w:hint="eastAsia" w:ascii="黑体" w:hAnsi="黑体" w:eastAsia="黑体"/>
            </w:rPr>
            <w:t>第</w:t>
          </w:r>
          <w:r>
            <w:rPr>
              <w:rStyle w:val="15"/>
              <w:rFonts w:hint="eastAsia" w:ascii="黑体" w:hAnsi="黑体" w:eastAsia="黑体"/>
              <w:bCs/>
              <w:kern w:val="44"/>
            </w:rPr>
            <w:t>五部分</w:t>
          </w:r>
          <w:r>
            <w:rPr>
              <w:rStyle w:val="15"/>
              <w:rFonts w:ascii="黑体" w:hAnsi="黑体" w:eastAsia="黑体"/>
              <w:bCs/>
              <w:kern w:val="44"/>
            </w:rPr>
            <w:t xml:space="preserve"> </w:t>
          </w:r>
          <w:r>
            <w:rPr>
              <w:rStyle w:val="15"/>
              <w:rFonts w:hint="eastAsia" w:ascii="黑体" w:hAnsi="黑体" w:eastAsia="黑体"/>
              <w:bCs/>
              <w:kern w:val="44"/>
            </w:rPr>
            <w:t>附表</w:t>
          </w:r>
          <w:r>
            <w:tab/>
          </w:r>
          <w:r>
            <w:fldChar w:fldCharType="begin"/>
          </w:r>
          <w:r>
            <w:instrText xml:space="preserve"> PAGEREF _Toc81921871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"_Toc81921872"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一、收入支出决算总表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"_Toc81921873"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二、收入决算表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pPr>
            <w:pStyle w:val="11"/>
            <w:sectPr>
              <w:footerReference r:id="rId6" w:type="first"/>
              <w:footerReference r:id="rId5" w:type="default"/>
              <w:pgSz w:w="11906" w:h="16838"/>
              <w:pgMar w:top="1440" w:right="1800" w:bottom="1440" w:left="1800" w:header="851" w:footer="992" w:gutter="0"/>
              <w:pgNumType w:fmt="decimal" w:start="1"/>
              <w:cols w:space="425" w:num="1"/>
              <w:titlePg/>
              <w:docGrid w:type="lines" w:linePitch="312" w:charSpace="0"/>
            </w:sectPr>
          </w:pP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"_Toc81921874"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三、支出决算表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"_Toc81921875"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四、财政拨款收入支出决算总表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"_Toc81921876"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五、财政拨款支出决算明细表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"_Toc81921877"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六、一般公共预算财政拨款支出决算表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"_Toc81921878"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七、一般公共预算财政拨款支出决算明细表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"_Toc81921879"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八、一般公共预算财政拨款基本支出决算表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"_Toc81921880"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九、一般公共预算财政拨款项目支出决算表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"_Toc81921881"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十、一般公共预算财政拨款“三公”经费支出决算表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"_Toc81921882"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十一、政府性基金预算财政拨款收入支出决算表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"_Toc81921883"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十二、政府性基金预算财政拨款“三公”经费支出决算表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"_Toc81921884"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十三、国有资本经营预算财政拨款收入支出决算表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pPr>
            <w:pStyle w:val="11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"_Toc81921885" </w:instrText>
          </w:r>
          <w:r>
            <w:fldChar w:fldCharType="separate"/>
          </w:r>
          <w:r>
            <w:rPr>
              <w:rStyle w:val="15"/>
              <w:rFonts w:hint="eastAsia" w:ascii="仿宋" w:hAnsi="仿宋" w:eastAsia="仿宋"/>
            </w:rPr>
            <w:t>十四、国有资本经营预算财政拨款支出决算表</w:t>
          </w:r>
          <w:r>
            <w:rPr>
              <w:rStyle w:val="15"/>
              <w:rFonts w:hint="eastAsia" w:ascii="仿宋" w:hAnsi="仿宋" w:eastAsia="仿宋"/>
            </w:rP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  <w:spacing w:line="440" w:lineRule="exact"/>
        <w:jc w:val="left"/>
        <w:rPr>
          <w:rFonts w:ascii="仿宋" w:hAnsi="仿宋" w:eastAsia="仿宋"/>
          <w:bCs/>
          <w:kern w:val="44"/>
          <w:sz w:val="24"/>
        </w:rPr>
        <w:sectPr>
          <w:footerReference r:id="rId8" w:type="first"/>
          <w:footerReference r:id="rId7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>
      <w:pPr>
        <w:widowControl/>
        <w:spacing w:line="440" w:lineRule="exact"/>
        <w:jc w:val="left"/>
        <w:rPr>
          <w:rFonts w:ascii="仿宋" w:hAnsi="仿宋" w:eastAsia="仿宋"/>
          <w:bCs/>
          <w:kern w:val="44"/>
          <w:sz w:val="24"/>
        </w:rPr>
      </w:pPr>
    </w:p>
    <w:p>
      <w:pPr>
        <w:pStyle w:val="3"/>
        <w:jc w:val="center"/>
        <w:rPr>
          <w:rStyle w:val="24"/>
          <w:rFonts w:ascii="黑体" w:hAnsi="黑体" w:eastAsia="黑体"/>
          <w:b/>
          <w:bCs w:val="0"/>
        </w:rPr>
      </w:pPr>
      <w:bookmarkStart w:id="17" w:name="_Toc81921841"/>
      <w:r>
        <w:rPr>
          <w:rFonts w:hint="eastAsia" w:ascii="黑体" w:hAnsi="黑体" w:eastAsia="黑体"/>
          <w:b w:val="0"/>
        </w:rPr>
        <w:t>第一部分 单位</w:t>
      </w:r>
      <w:r>
        <w:rPr>
          <w:rStyle w:val="24"/>
          <w:rFonts w:hint="eastAsia" w:ascii="黑体" w:hAnsi="黑体" w:eastAsia="黑体"/>
          <w:b w:val="0"/>
          <w:bCs w:val="0"/>
        </w:rPr>
        <w:t>概况</w:t>
      </w:r>
      <w:bookmarkEnd w:id="15"/>
      <w:bookmarkEnd w:id="16"/>
      <w:bookmarkEnd w:id="17"/>
    </w:p>
    <w:p>
      <w:pPr>
        <w:widowControl/>
        <w:jc w:val="left"/>
        <w:rPr>
          <w:rFonts w:ascii="黑体" w:eastAsia="黑体"/>
          <w:sz w:val="32"/>
          <w:szCs w:val="32"/>
        </w:rPr>
      </w:pPr>
    </w:p>
    <w:p>
      <w:pPr>
        <w:pStyle w:val="4"/>
        <w:numPr>
          <w:numId w:val="0"/>
        </w:numPr>
        <w:rPr>
          <w:rStyle w:val="25"/>
          <w:rFonts w:ascii="黑体" w:hAnsi="黑体" w:eastAsia="黑体"/>
          <w:b w:val="0"/>
          <w:bCs w:val="0"/>
        </w:rPr>
      </w:pPr>
      <w:bookmarkStart w:id="18" w:name="_Toc81921842"/>
      <w:bookmarkStart w:id="19" w:name="_Toc15377197"/>
      <w:bookmarkStart w:id="20" w:name="_Toc15396600"/>
      <w:r>
        <w:rPr>
          <w:rStyle w:val="25"/>
          <w:rFonts w:hint="eastAsia" w:ascii="黑体" w:hAnsi="黑体" w:eastAsia="黑体"/>
          <w:b w:val="0"/>
          <w:bCs w:val="0"/>
          <w:lang w:eastAsia="zh-CN"/>
        </w:rPr>
        <w:t>一、</w:t>
      </w:r>
      <w:r>
        <w:rPr>
          <w:rStyle w:val="25"/>
          <w:rFonts w:hint="eastAsia" w:ascii="黑体" w:hAnsi="黑体" w:eastAsia="黑体"/>
          <w:b w:val="0"/>
          <w:bCs w:val="0"/>
        </w:rPr>
        <w:t>职能简介</w:t>
      </w:r>
      <w:bookmarkEnd w:id="18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对世界银行在川的贷款、赠款项目进行规划、申报、组织协调和检查督导。</w:t>
      </w:r>
    </w:p>
    <w:p>
      <w:pPr>
        <w:pStyle w:val="4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ascii="黑体" w:hAnsi="黑体" w:eastAsia="黑体"/>
          <w:b w:val="0"/>
        </w:rPr>
      </w:pPr>
      <w:bookmarkStart w:id="21" w:name="_Toc81921843"/>
      <w:r>
        <w:rPr>
          <w:rFonts w:hint="eastAsia" w:ascii="黑体" w:hAnsi="黑体" w:eastAsia="黑体"/>
          <w:b w:val="0"/>
          <w:lang w:eastAsia="zh-CN"/>
        </w:rPr>
        <w:t>二、</w:t>
      </w:r>
      <w:r>
        <w:rPr>
          <w:rFonts w:hint="eastAsia" w:ascii="黑体" w:hAnsi="黑体" w:eastAsia="黑体"/>
          <w:b w:val="0"/>
        </w:rPr>
        <w:t>2020年重点工作</w:t>
      </w:r>
      <w:bookmarkEnd w:id="19"/>
      <w:bookmarkEnd w:id="20"/>
      <w:r>
        <w:rPr>
          <w:rFonts w:hint="eastAsia" w:ascii="黑体" w:hAnsi="黑体" w:eastAsia="黑体"/>
          <w:b w:val="0"/>
        </w:rPr>
        <w:t>完成情况</w:t>
      </w:r>
      <w:bookmarkEnd w:id="21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2020年，省世行办以夯实政府主权外债管理基础为支点，认真贯彻落实中央和省委省政府决策部署，围绕中心工作，积极主动作为，全力推动业务工作取得新成效,圆满完成年度各项目标任务。</w:t>
      </w:r>
    </w:p>
    <w:p>
      <w:pPr>
        <w:ind w:firstLine="642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(一)推进新项目的签约和落地，服务全省对外开放新格局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完成了世行贷款“四川长江流域上游森林生态系统修复项目”（我省第一个结果导向性项目）、德国促进贷款“四川省德阳市罗江区周家坝生态湿地保护及资源循环利用项目”的对外协定签署；推动全国第一个PPP世行贷款项目“德阳市旌阳区水环境治理项目”获世行执董会批准；完成了国际农发基金贷款“优势特色产业发展示范项目”、亚洲开发银行贷款“农业综合开发长江绿色生态廊道项目”及“四川资阳绿色转型和发展项目”、法国开发署贷款“四川绵阳市安州区河东新区复合生态项目”的转贷及对下协议的签署。</w:t>
      </w:r>
    </w:p>
    <w:p>
      <w:pPr>
        <w:ind w:firstLine="642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(二)公开招标确定主权外债项目财政专户开户银行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四川省财政部门和预算单位资金存放管理实施办法》，首次通过公开招标选择我省主权外债项目财政专户的开户银行。针对实际情况，我们提前谋划，于2019年12月启动相关工作，研究制定《操作规程》《操作手册》和《人员管理要求》，先后完成细化方案、招标实施等工作，最终确定中行四川省分行、建行四川省分行、工行四川省分行、农行四川省分行、光大银行成都分行共5家商业银行为专户开户资格入围银行（入围资格有效期限3年，2020年—2022年）。</w:t>
      </w:r>
    </w:p>
    <w:p>
      <w:pPr>
        <w:ind w:firstLine="642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(三)制定出台全国第一个省级主权外债管理办法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财政部《国际金融组织和外国政府贷款赠款管理办法》（财政部令第85号）及其配套规定，于今年6月启动我省国际金融组织和外国政府贷款、赠款管理工作的第一个规范性、制度性文件《四川省国际金融组织和外国政府贷款赠款管理办法》制定工作。起草过程中，在研究吃透财政部相关制度规定的基础上，针对工作实际、相关重点难点问题、草案文本框架结构和具体条目等多个方面，紧扣管理核心要素，聚焦“借、用、还”3个关键环节，对相关工作要求进行了进一步明确和细化，并结合工作实际充实了可操作性条款。经省政府同意，《办法》于2020年11月13日公布，2020年12月13日起正式施行。《办法》的出台为进一步规范和加强我省国际金融组织和外国政府贷款、赠款管理工作，防范政府债务风险，提高资金使用效益夯实了制度基础。</w:t>
      </w:r>
    </w:p>
    <w:p>
      <w:pPr>
        <w:ind w:firstLine="642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(四)加快在建项目的推进和提款报账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年初，面对新冠疫情的影响，主动靠前服务指导，全力助推在建项目疫情防控和复工复产两手抓，截至4月底项目复工率即达到100%。创新“三清单一台账”项目管理工作法，实行清单上墙，实施挂图作战，推进项目建设。今年5月、9月、10月分别派出三批次人员赴美姑、金阳、古蔺、叙永、资阳、交通厅公路局项目办等地调研了解项目情况，督促项目进度。2020年，11个在建项目共计提款报账97笔、1.02亿美元。</w:t>
      </w:r>
    </w:p>
    <w:p>
      <w:pPr>
        <w:ind w:firstLine="642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(五)做好项目还本付息付费工作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，亚行贷款成南高速等21个项目还本付息共40批次，其中：对财政部还款17个项目33批次共计1.21亿美元，46.86万欧元；对进出口银行还款4个项目7批次共计3720.42万人民币。2020年所有项目均按时足额还本付息付费，切实维护了我省对外形象和主权外债信誉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rPr>
          <w:rFonts w:hint="eastAsia" w:ascii="黑体" w:hAnsi="黑体" w:eastAsia="黑体"/>
          <w:b w:val="0"/>
          <w:lang w:eastAsia="zh-CN"/>
        </w:rPr>
      </w:pPr>
      <w:r>
        <w:rPr>
          <w:rFonts w:hint="eastAsia" w:ascii="黑体" w:hAnsi="黑体" w:eastAsia="黑体"/>
          <w:b w:val="0"/>
          <w:lang w:val="en-US" w:eastAsia="zh-CN"/>
        </w:rPr>
        <w:t>三、机构设置情况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本单位是隶属于四川省财政厅的二级预算单位，本单位无下属单位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>
      <w:pPr>
        <w:pStyle w:val="2"/>
        <w:spacing w:before="93"/>
      </w:pPr>
    </w:p>
    <w:p>
      <w:pPr>
        <w:rPr>
          <w:rFonts w:hint="eastAsia" w:ascii="黑体" w:hAnsi="黑体" w:eastAsia="黑体"/>
          <w:b w:val="0"/>
        </w:rPr>
      </w:pPr>
      <w:bookmarkStart w:id="22" w:name="_Toc15377204"/>
      <w:bookmarkStart w:id="23" w:name="_Toc15396602"/>
      <w:bookmarkStart w:id="24" w:name="_Toc81921844"/>
      <w:r>
        <w:rPr>
          <w:rFonts w:hint="eastAsia" w:ascii="黑体" w:hAnsi="黑体" w:eastAsia="黑体"/>
          <w:b w:val="0"/>
        </w:rPr>
        <w:br w:type="page"/>
      </w:r>
    </w:p>
    <w:p>
      <w:pPr>
        <w:pStyle w:val="3"/>
        <w:ind w:right="440"/>
        <w:jc w:val="center"/>
        <w:rPr>
          <w:rStyle w:val="24"/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</w:rPr>
        <w:t>第二部分 2020年度单位</w:t>
      </w:r>
      <w:r>
        <w:rPr>
          <w:rStyle w:val="24"/>
          <w:rFonts w:hint="eastAsia" w:ascii="黑体" w:hAnsi="黑体" w:eastAsia="黑体"/>
          <w:b w:val="0"/>
          <w:bCs/>
        </w:rPr>
        <w:t>决算情况说明</w:t>
      </w:r>
      <w:bookmarkEnd w:id="22"/>
      <w:bookmarkEnd w:id="23"/>
      <w:bookmarkEnd w:id="24"/>
    </w:p>
    <w:p/>
    <w:p>
      <w:pPr>
        <w:pStyle w:val="23"/>
        <w:numPr>
          <w:ilvl w:val="0"/>
          <w:numId w:val="1"/>
        </w:numPr>
        <w:spacing w:line="600" w:lineRule="exact"/>
        <w:ind w:firstLineChars="0"/>
        <w:outlineLvl w:val="1"/>
        <w:rPr>
          <w:rStyle w:val="25"/>
          <w:rFonts w:ascii="黑体" w:hAnsi="黑体" w:eastAsia="黑体"/>
          <w:b w:val="0"/>
        </w:rPr>
      </w:pPr>
      <w:bookmarkStart w:id="25" w:name="_Toc15396603"/>
      <w:bookmarkStart w:id="26" w:name="_Toc15377205"/>
      <w:bookmarkStart w:id="27" w:name="_Toc81921845"/>
      <w:r>
        <w:rPr>
          <w:rFonts w:hint="eastAsia" w:ascii="黑体" w:hAnsi="黑体" w:eastAsia="黑体"/>
          <w:sz w:val="32"/>
          <w:szCs w:val="32"/>
        </w:rPr>
        <w:t>收</w:t>
      </w:r>
      <w:r>
        <w:rPr>
          <w:rStyle w:val="25"/>
          <w:rFonts w:hint="eastAsia" w:ascii="黑体" w:hAnsi="黑体" w:eastAsia="黑体"/>
          <w:b w:val="0"/>
        </w:rPr>
        <w:t>入支出决算总体情况说明</w:t>
      </w:r>
      <w:bookmarkEnd w:id="25"/>
      <w:bookmarkEnd w:id="26"/>
      <w:bookmarkEnd w:id="27"/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2020年度收、支总计106.50万元。与2019年相比，收、支总计各增加19.31万元，增长22.14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。主要变动原因是人员增加。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125095</wp:posOffset>
            </wp:positionV>
            <wp:extent cx="5334000" cy="3028950"/>
            <wp:effectExtent l="0" t="0" r="19050" b="19050"/>
            <wp:wrapTopAndBottom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：收、支决算总计变动情况图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pStyle w:val="23"/>
        <w:numPr>
          <w:ilvl w:val="0"/>
          <w:numId w:val="1"/>
        </w:numPr>
        <w:spacing w:line="600" w:lineRule="exact"/>
        <w:ind w:firstLineChars="0"/>
        <w:outlineLvl w:val="1"/>
        <w:rPr>
          <w:rStyle w:val="25"/>
          <w:rFonts w:ascii="黑体" w:hAnsi="黑体" w:eastAsia="黑体"/>
          <w:b w:val="0"/>
        </w:rPr>
      </w:pPr>
      <w:bookmarkStart w:id="28" w:name="_Toc81921846"/>
      <w:bookmarkStart w:id="29" w:name="_Toc15377206"/>
      <w:bookmarkStart w:id="30" w:name="_Toc15396604"/>
      <w:r>
        <w:rPr>
          <w:rFonts w:hint="eastAsia" w:ascii="黑体" w:hAnsi="黑体" w:eastAsia="黑体"/>
          <w:sz w:val="32"/>
          <w:szCs w:val="32"/>
        </w:rPr>
        <w:t>收</w:t>
      </w:r>
      <w:r>
        <w:rPr>
          <w:rStyle w:val="25"/>
          <w:rFonts w:hint="eastAsia" w:ascii="黑体" w:hAnsi="黑体" w:eastAsia="黑体"/>
          <w:b w:val="0"/>
        </w:rPr>
        <w:t>入决算情况说明</w:t>
      </w:r>
      <w:bookmarkEnd w:id="28"/>
      <w:bookmarkEnd w:id="29"/>
      <w:bookmarkEnd w:id="30"/>
    </w:p>
    <w:p>
      <w:pPr>
        <w:spacing w:line="600" w:lineRule="exact"/>
        <w:ind w:firstLine="640" w:firstLineChars="200"/>
        <w:outlineLvl w:val="1"/>
        <w:rPr>
          <w:rFonts w:ascii="仿宋" w:hAnsi="仿宋" w:eastAsia="仿宋"/>
          <w:sz w:val="32"/>
          <w:szCs w:val="32"/>
        </w:rPr>
      </w:pPr>
      <w:bookmarkStart w:id="31" w:name="_Toc81921847"/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20年本年收入合计106.5万元，其中：一般公共预算财政拨款收入106.5万元，占100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；政府性基金预算财政拨款收入0万元，占0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；上级补助收入0万元，占0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；事业收入0万元，占0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；经营收入0万元，占0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；附属单位上</w: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419100</wp:posOffset>
            </wp:positionV>
            <wp:extent cx="5448300" cy="2314575"/>
            <wp:effectExtent l="0" t="0" r="19050" b="952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缴收入0万元，占0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；其他收入0万元，占0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  <w:bookmarkEnd w:id="31"/>
    </w:p>
    <w:p>
      <w:pPr>
        <w:spacing w:line="600" w:lineRule="exact"/>
        <w:jc w:val="center"/>
        <w:outlineLvl w:val="1"/>
        <w:rPr>
          <w:rFonts w:ascii="仿宋" w:hAnsi="仿宋" w:eastAsia="仿宋"/>
          <w:sz w:val="32"/>
          <w:szCs w:val="32"/>
        </w:rPr>
      </w:pPr>
      <w:bookmarkStart w:id="32" w:name="_Toc81921848"/>
      <w:r>
        <w:rPr>
          <w:rFonts w:hint="eastAsia" w:ascii="仿宋" w:hAnsi="仿宋" w:eastAsia="仿宋"/>
          <w:sz w:val="32"/>
          <w:szCs w:val="32"/>
        </w:rPr>
        <w:t>图2：收入决算结构图</w:t>
      </w:r>
      <w:bookmarkEnd w:id="32"/>
    </w:p>
    <w:p>
      <w:pPr>
        <w:pStyle w:val="2"/>
        <w:spacing w:before="93"/>
      </w:pPr>
    </w:p>
    <w:p>
      <w:pPr>
        <w:pStyle w:val="23"/>
        <w:numPr>
          <w:ilvl w:val="0"/>
          <w:numId w:val="1"/>
        </w:numPr>
        <w:spacing w:line="600" w:lineRule="exact"/>
        <w:ind w:firstLineChars="0"/>
        <w:outlineLvl w:val="1"/>
        <w:rPr>
          <w:rStyle w:val="25"/>
          <w:rFonts w:ascii="黑体" w:hAnsi="黑体" w:eastAsia="黑体"/>
          <w:b w:val="0"/>
        </w:rPr>
      </w:pPr>
      <w:bookmarkStart w:id="33" w:name="_Toc15377207"/>
      <w:bookmarkStart w:id="34" w:name="_Toc15396605"/>
      <w:bookmarkStart w:id="35" w:name="_Toc81921849"/>
      <w:r>
        <w:rPr>
          <w:rFonts w:hint="eastAsia" w:ascii="黑体" w:hAnsi="黑体" w:eastAsia="黑体"/>
          <w:sz w:val="32"/>
          <w:szCs w:val="32"/>
        </w:rPr>
        <w:t>支</w:t>
      </w:r>
      <w:r>
        <w:rPr>
          <w:rStyle w:val="25"/>
          <w:rFonts w:hint="eastAsia" w:ascii="黑体" w:hAnsi="黑体" w:eastAsia="黑体"/>
          <w:b w:val="0"/>
        </w:rPr>
        <w:t>出决算情况说明</w:t>
      </w:r>
      <w:bookmarkEnd w:id="33"/>
      <w:bookmarkEnd w:id="34"/>
      <w:bookmarkEnd w:id="35"/>
    </w:p>
    <w:p>
      <w:pPr>
        <w:spacing w:line="600" w:lineRule="exact"/>
        <w:ind w:firstLine="640" w:firstLineChars="200"/>
        <w:outlineLvl w:val="1"/>
        <w:rPr>
          <w:rFonts w:ascii="仿宋" w:hAnsi="仿宋" w:eastAsia="仿宋"/>
          <w:sz w:val="32"/>
          <w:szCs w:val="32"/>
        </w:rPr>
      </w:pPr>
      <w:bookmarkStart w:id="36" w:name="_Toc81921850"/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20年本年支出合计106.50万元，其中：基本支出106.50万元，占100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；项目支出0万元，占0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；上缴上级支出0万元，占0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；经营支出0万元，占0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；对附属单位补助支出0万元，占0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  <w:bookmarkEnd w:id="36"/>
    </w:p>
    <w:p>
      <w:pPr>
        <w:pStyle w:val="2"/>
        <w:spacing w:before="93"/>
      </w:pPr>
      <w:r>
        <w:drawing>
          <wp:inline distT="0" distB="0" distL="0" distR="0">
            <wp:extent cx="5305425" cy="2619375"/>
            <wp:effectExtent l="0" t="0" r="9525" b="9525"/>
            <wp:docPr id="8" name="图表 8" title="单位：万元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图3：支出决算结构图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Style w:val="25"/>
          <w:rFonts w:ascii="黑体" w:hAnsi="黑体" w:eastAsia="黑体"/>
          <w:b w:val="0"/>
        </w:rPr>
      </w:pPr>
      <w:bookmarkStart w:id="37" w:name="_Toc15396606"/>
      <w:bookmarkStart w:id="38" w:name="_Toc15377208"/>
      <w:bookmarkStart w:id="39" w:name="_Toc81921851"/>
      <w:r>
        <w:rPr>
          <w:rFonts w:hint="eastAsia" w:ascii="黑体" w:hAnsi="黑体" w:eastAsia="黑体"/>
          <w:sz w:val="32"/>
          <w:szCs w:val="32"/>
        </w:rPr>
        <w:t>四、财</w:t>
      </w:r>
      <w:r>
        <w:rPr>
          <w:rStyle w:val="25"/>
          <w:rFonts w:hint="eastAsia" w:ascii="黑体" w:hAnsi="黑体" w:eastAsia="黑体"/>
          <w:b w:val="0"/>
        </w:rPr>
        <w:t>政拨款收入支出决算总体情况说明</w:t>
      </w:r>
      <w:bookmarkEnd w:id="37"/>
      <w:bookmarkEnd w:id="38"/>
      <w:bookmarkEnd w:id="39"/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20年财政拨款收、支总计106.50万元。与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9年相比，财政拨款收、支总计各增加19.31万元，增长22.14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。主要变动原因是人员增加。</w:t>
      </w:r>
    </w:p>
    <w:p>
      <w:pPr>
        <w:pStyle w:val="2"/>
        <w:spacing w:before="93"/>
      </w:pPr>
      <w:r>
        <w:rPr>
          <w:color w:val="00B0F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514350</wp:posOffset>
            </wp:positionV>
            <wp:extent cx="5172075" cy="3524250"/>
            <wp:effectExtent l="0" t="0" r="9525" b="19050"/>
            <wp:wrapTopAndBottom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图4：财政拨款收、支决算总计变动情况</w:t>
      </w:r>
    </w:p>
    <w:p>
      <w:pPr>
        <w:spacing w:line="600" w:lineRule="exact"/>
        <w:ind w:firstLine="640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Style w:val="25"/>
          <w:rFonts w:ascii="黑体" w:hAnsi="黑体" w:eastAsia="黑体"/>
          <w:b w:val="0"/>
        </w:rPr>
      </w:pPr>
      <w:bookmarkStart w:id="40" w:name="_Toc15396607"/>
      <w:bookmarkStart w:id="41" w:name="_Toc81921852"/>
      <w:bookmarkStart w:id="42" w:name="_Toc15377209"/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b/>
          <w:sz w:val="32"/>
          <w:szCs w:val="32"/>
        </w:rPr>
        <w:t>一</w:t>
      </w:r>
      <w:r>
        <w:rPr>
          <w:rStyle w:val="25"/>
          <w:rFonts w:hint="eastAsia" w:ascii="黑体" w:hAnsi="黑体" w:eastAsia="黑体"/>
          <w:b w:val="0"/>
        </w:rPr>
        <w:t>般公共预算财政拨款支出决算情况说明</w:t>
      </w:r>
      <w:bookmarkEnd w:id="40"/>
      <w:bookmarkEnd w:id="41"/>
      <w:bookmarkEnd w:id="42"/>
    </w:p>
    <w:p>
      <w:pPr>
        <w:spacing w:line="600" w:lineRule="exact"/>
        <w:ind w:firstLine="642" w:firstLineChars="200"/>
        <w:outlineLvl w:val="2"/>
        <w:rPr>
          <w:rFonts w:ascii="仿宋" w:hAnsi="仿宋" w:eastAsia="仿宋"/>
          <w:b/>
          <w:sz w:val="32"/>
          <w:szCs w:val="32"/>
        </w:rPr>
      </w:pPr>
      <w:bookmarkStart w:id="43" w:name="_Toc81921853"/>
      <w:bookmarkStart w:id="44" w:name="_Toc15377210"/>
      <w:r>
        <w:rPr>
          <w:rFonts w:hint="eastAsia" w:ascii="仿宋" w:hAnsi="仿宋" w:eastAsia="仿宋"/>
          <w:b/>
          <w:sz w:val="32"/>
          <w:szCs w:val="32"/>
        </w:rPr>
        <w:t>（一）一般公共预算财政拨款支出决算总体情况</w:t>
      </w:r>
      <w:bookmarkEnd w:id="43"/>
      <w:bookmarkEnd w:id="44"/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20年一般公共预算财政拨款支出106.50万元，占本年支出合计的100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9年相比，一般公共预算财政拨款增加19.31万元，增长22.14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。主要变动原因是人员增加。</w:t>
      </w:r>
    </w:p>
    <w:p>
      <w:pPr>
        <w:pStyle w:val="2"/>
        <w:spacing w:before="93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247650</wp:posOffset>
            </wp:positionV>
            <wp:extent cx="5391150" cy="4276725"/>
            <wp:effectExtent l="0" t="0" r="19050" b="9525"/>
            <wp:wrapNone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>
      <w:pPr>
        <w:pStyle w:val="2"/>
        <w:spacing w:before="93"/>
      </w:pPr>
    </w:p>
    <w:p>
      <w:pPr>
        <w:pStyle w:val="2"/>
        <w:spacing w:before="93"/>
      </w:pPr>
    </w:p>
    <w:p>
      <w:pPr>
        <w:pStyle w:val="2"/>
        <w:spacing w:before="93"/>
      </w:pPr>
    </w:p>
    <w:p>
      <w:pPr>
        <w:pStyle w:val="2"/>
        <w:spacing w:before="93"/>
      </w:pPr>
    </w:p>
    <w:p>
      <w:pPr>
        <w:pStyle w:val="2"/>
        <w:spacing w:before="93"/>
      </w:pPr>
    </w:p>
    <w:p>
      <w:pPr>
        <w:pStyle w:val="2"/>
        <w:spacing w:before="93"/>
      </w:pPr>
    </w:p>
    <w:p>
      <w:pPr>
        <w:widowControl/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图5：一般公共预算财政拨款支出决算变动情况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2" w:firstLineChars="200"/>
        <w:outlineLvl w:val="2"/>
        <w:rPr>
          <w:rFonts w:ascii="仿宋" w:hAnsi="仿宋" w:eastAsia="仿宋"/>
          <w:b/>
          <w:sz w:val="32"/>
          <w:szCs w:val="32"/>
        </w:rPr>
      </w:pPr>
      <w:bookmarkStart w:id="45" w:name="_Toc81921854"/>
      <w:bookmarkStart w:id="46" w:name="_Toc15377211"/>
      <w:r>
        <w:rPr>
          <w:rFonts w:hint="eastAsia" w:ascii="仿宋" w:hAnsi="仿宋" w:eastAsia="仿宋"/>
          <w:b/>
          <w:sz w:val="32"/>
          <w:szCs w:val="32"/>
        </w:rPr>
        <w:t>（二）一般公共预算财政拨款支出决算结构情况</w:t>
      </w:r>
      <w:bookmarkEnd w:id="45"/>
      <w:bookmarkEnd w:id="46"/>
    </w:p>
    <w:p>
      <w:pPr>
        <w:spacing w:line="600" w:lineRule="exact"/>
        <w:ind w:firstLine="64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20年一般公共预算财政拨款支出106.50万元，主要用于以下方面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b/>
          <w:sz w:val="32"/>
          <w:szCs w:val="32"/>
        </w:rPr>
        <w:t>一般公共服务（类）</w:t>
      </w:r>
      <w:r>
        <w:rPr>
          <w:rFonts w:hint="eastAsia" w:ascii="仿宋" w:hAnsi="仿宋" w:eastAsia="仿宋"/>
          <w:sz w:val="32"/>
          <w:szCs w:val="32"/>
        </w:rPr>
        <w:t>支出78.92万元，占74.10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b/>
          <w:sz w:val="32"/>
          <w:szCs w:val="32"/>
        </w:rPr>
        <w:t>教育支出（类）</w:t>
      </w:r>
      <w:r>
        <w:rPr>
          <w:rFonts w:hint="eastAsia" w:ascii="仿宋" w:hAnsi="仿宋" w:eastAsia="仿宋"/>
          <w:sz w:val="32"/>
          <w:szCs w:val="32"/>
        </w:rPr>
        <w:t>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b/>
          <w:sz w:val="32"/>
          <w:szCs w:val="32"/>
        </w:rPr>
        <w:t>科学技术（类）</w:t>
      </w:r>
      <w:r>
        <w:rPr>
          <w:rFonts w:hint="eastAsia" w:ascii="仿宋" w:hAnsi="仿宋" w:eastAsia="仿宋"/>
          <w:sz w:val="32"/>
          <w:szCs w:val="32"/>
        </w:rPr>
        <w:t>支出0万元，占0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</w:rPr>
        <w:t>文化旅游体育与传媒（类）支出0万元，占0</w:t>
      </w:r>
      <w:r>
        <w:rPr>
          <w:rFonts w:ascii="仿宋" w:hAnsi="仿宋" w:eastAsia="仿宋"/>
          <w:b/>
          <w:bCs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b/>
          <w:sz w:val="32"/>
          <w:szCs w:val="32"/>
        </w:rPr>
        <w:t>社会保障和就业（类）</w:t>
      </w:r>
      <w:r>
        <w:rPr>
          <w:rFonts w:hint="eastAsia" w:ascii="仿宋" w:hAnsi="仿宋" w:eastAsia="仿宋"/>
          <w:sz w:val="32"/>
          <w:szCs w:val="32"/>
        </w:rPr>
        <w:t>支出9.90万元，占9.30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</w:rPr>
        <w:t>卫生健康支出（类）6.32</w:t>
      </w:r>
      <w:r>
        <w:rPr>
          <w:rFonts w:hint="eastAsia" w:ascii="仿宋" w:hAnsi="仿宋" w:eastAsia="仿宋"/>
          <w:sz w:val="32"/>
          <w:szCs w:val="32"/>
        </w:rPr>
        <w:t>万元，占5.93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</w:rPr>
        <w:t>住房保障支出（类）</w:t>
      </w:r>
      <w:r>
        <w:rPr>
          <w:rFonts w:hint="eastAsia" w:ascii="仿宋" w:hAnsi="仿宋" w:eastAsia="仿宋"/>
          <w:sz w:val="32"/>
          <w:szCs w:val="32"/>
        </w:rPr>
        <w:t>11.36万元，占10.67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420" w:firstLineChars="200"/>
        <w:rPr>
          <w:rFonts w:ascii="仿宋" w:hAnsi="仿宋" w:eastAsia="仿宋"/>
          <w:sz w:val="32"/>
          <w:szCs w:val="32"/>
        </w:rPr>
      </w:pPr>
      <w:r>
        <w:rPr>
          <w:color w:val="FF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5238750" cy="3724275"/>
            <wp:effectExtent l="0" t="0" r="19050" b="9525"/>
            <wp:wrapNone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图6：一般公共预算财政拨款支出决算结构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2" w:firstLineChars="200"/>
        <w:outlineLvl w:val="2"/>
        <w:rPr>
          <w:rFonts w:ascii="仿宋" w:hAnsi="仿宋" w:eastAsia="仿宋"/>
          <w:b/>
          <w:sz w:val="32"/>
          <w:szCs w:val="32"/>
        </w:rPr>
      </w:pPr>
      <w:bookmarkStart w:id="47" w:name="_Toc15377212"/>
      <w:bookmarkStart w:id="48" w:name="_Toc81921855"/>
      <w:r>
        <w:rPr>
          <w:rFonts w:hint="eastAsia" w:ascii="仿宋" w:hAnsi="仿宋" w:eastAsia="仿宋"/>
          <w:b/>
          <w:sz w:val="32"/>
          <w:szCs w:val="32"/>
        </w:rPr>
        <w:t>（三）一般公共预算财政拨款支出决算具体情况</w:t>
      </w:r>
      <w:bookmarkEnd w:id="47"/>
      <w:bookmarkEnd w:id="48"/>
    </w:p>
    <w:p>
      <w:pPr>
        <w:spacing w:line="600" w:lineRule="exact"/>
        <w:ind w:firstLine="642" w:firstLineChars="200"/>
        <w:outlineLvl w:val="2"/>
        <w:rPr>
          <w:rFonts w:ascii="仿宋" w:hAnsi="仿宋" w:eastAsia="仿宋"/>
          <w:sz w:val="32"/>
          <w:szCs w:val="32"/>
        </w:rPr>
      </w:pPr>
      <w:bookmarkStart w:id="49" w:name="_Toc15377444"/>
      <w:bookmarkStart w:id="50" w:name="_Toc81921856"/>
      <w:bookmarkStart w:id="51" w:name="_Toc15378460"/>
      <w:bookmarkStart w:id="52" w:name="_Toc15377213"/>
      <w:r>
        <w:rPr>
          <w:rFonts w:hint="eastAsia" w:ascii="仿宋" w:hAnsi="仿宋" w:eastAsia="仿宋"/>
          <w:b/>
          <w:sz w:val="32"/>
          <w:szCs w:val="32"/>
        </w:rPr>
        <w:t>2020年一般公共预算支出决算数为106.50万元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Style w:val="14"/>
          <w:rFonts w:hint="eastAsia" w:ascii="仿宋" w:hAnsi="仿宋" w:eastAsia="仿宋"/>
          <w:bCs/>
          <w:sz w:val="32"/>
          <w:szCs w:val="32"/>
        </w:rPr>
        <w:t>完成预算90.38</w:t>
      </w:r>
      <w:r>
        <w:rPr>
          <w:rStyle w:val="14"/>
          <w:rFonts w:ascii="仿宋" w:hAnsi="仿宋" w:eastAsia="仿宋"/>
          <w:bCs/>
          <w:sz w:val="32"/>
          <w:szCs w:val="32"/>
        </w:rPr>
        <w:t>%</w:t>
      </w:r>
      <w:r>
        <w:rPr>
          <w:rStyle w:val="14"/>
          <w:rFonts w:hint="eastAsia" w:ascii="仿宋" w:hAnsi="仿宋" w:eastAsia="仿宋"/>
          <w:bCs/>
          <w:sz w:val="32"/>
          <w:szCs w:val="32"/>
        </w:rPr>
        <w:t>。其中：</w:t>
      </w:r>
      <w:bookmarkEnd w:id="49"/>
      <w:bookmarkEnd w:id="50"/>
      <w:bookmarkEnd w:id="51"/>
      <w:bookmarkEnd w:id="52"/>
    </w:p>
    <w:p>
      <w:pPr>
        <w:spacing w:line="600" w:lineRule="exact"/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Style w:val="14"/>
          <w:rFonts w:ascii="仿宋" w:hAnsi="仿宋" w:eastAsia="仿宋"/>
          <w:bCs/>
          <w:sz w:val="32"/>
          <w:szCs w:val="32"/>
        </w:rPr>
        <w:t>1.</w:t>
      </w:r>
      <w:r>
        <w:rPr>
          <w:rStyle w:val="14"/>
          <w:rFonts w:hint="eastAsia" w:ascii="仿宋" w:hAnsi="仿宋" w:eastAsia="仿宋"/>
          <w:bCs/>
          <w:sz w:val="32"/>
          <w:szCs w:val="32"/>
        </w:rPr>
        <w:t>一般公共服务（类）财政事务（款）行政运行（项）</w:t>
      </w:r>
      <w:r>
        <w:rPr>
          <w:rStyle w:val="14"/>
          <w:rFonts w:ascii="仿宋" w:hAnsi="仿宋" w:eastAsia="仿宋"/>
          <w:bCs/>
          <w:sz w:val="32"/>
          <w:szCs w:val="32"/>
        </w:rPr>
        <w:t>:</w:t>
      </w:r>
      <w:r>
        <w:rPr>
          <w:rStyle w:val="14"/>
          <w:rFonts w:ascii="仿宋" w:hAnsi="仿宋" w:eastAsia="仿宋"/>
          <w:b w:val="0"/>
          <w:bCs/>
          <w:sz w:val="32"/>
          <w:szCs w:val="32"/>
        </w:rPr>
        <w:t xml:space="preserve"> </w:t>
      </w: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支出决算为78.92万元，完成预算88</w:t>
      </w:r>
      <w:r>
        <w:rPr>
          <w:rStyle w:val="14"/>
          <w:rFonts w:ascii="仿宋" w:hAnsi="仿宋" w:eastAsia="仿宋"/>
          <w:b w:val="0"/>
          <w:bCs/>
          <w:sz w:val="32"/>
          <w:szCs w:val="32"/>
        </w:rPr>
        <w:t>%</w:t>
      </w: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，决算数小于预算数的主要原因是加强效能管理，压减非必要支出。</w:t>
      </w:r>
    </w:p>
    <w:p>
      <w:pPr>
        <w:spacing w:line="600" w:lineRule="exact"/>
        <w:ind w:firstLine="642" w:firstLineChars="200"/>
        <w:rPr>
          <w:rStyle w:val="14"/>
          <w:rFonts w:ascii="仿宋" w:hAnsi="仿宋" w:eastAsia="仿宋"/>
          <w:b w:val="0"/>
          <w:bCs/>
          <w:sz w:val="32"/>
          <w:szCs w:val="32"/>
        </w:rPr>
      </w:pPr>
      <w:r>
        <w:rPr>
          <w:rStyle w:val="14"/>
          <w:rFonts w:ascii="仿宋" w:hAnsi="仿宋" w:eastAsia="仿宋"/>
          <w:bCs/>
          <w:sz w:val="32"/>
          <w:szCs w:val="32"/>
        </w:rPr>
        <w:t>2.</w:t>
      </w:r>
      <w:r>
        <w:rPr>
          <w:rStyle w:val="14"/>
          <w:rFonts w:hint="eastAsia" w:ascii="仿宋" w:hAnsi="仿宋" w:eastAsia="仿宋"/>
          <w:bCs/>
          <w:sz w:val="32"/>
          <w:szCs w:val="32"/>
        </w:rPr>
        <w:t>社会保障和就业（类）行政事业单位养老支出（款）行政单位离退休（项）</w:t>
      </w:r>
      <w:r>
        <w:rPr>
          <w:rStyle w:val="14"/>
          <w:rFonts w:ascii="仿宋" w:hAnsi="仿宋" w:eastAsia="仿宋"/>
          <w:bCs/>
          <w:sz w:val="32"/>
          <w:szCs w:val="32"/>
        </w:rPr>
        <w:t>:</w:t>
      </w:r>
      <w:r>
        <w:rPr>
          <w:rStyle w:val="14"/>
          <w:rFonts w:ascii="仿宋" w:hAnsi="仿宋" w:eastAsia="仿宋"/>
          <w:b w:val="0"/>
          <w:bCs/>
          <w:sz w:val="32"/>
          <w:szCs w:val="32"/>
        </w:rPr>
        <w:t xml:space="preserve"> </w:t>
      </w: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支出决算为2.27万元，完成预算100</w:t>
      </w:r>
      <w:r>
        <w:rPr>
          <w:rStyle w:val="14"/>
          <w:rFonts w:ascii="仿宋" w:hAnsi="仿宋" w:eastAsia="仿宋"/>
          <w:b w:val="0"/>
          <w:bCs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3.</w:t>
      </w:r>
      <w:r>
        <w:rPr>
          <w:rStyle w:val="14"/>
          <w:rFonts w:hint="eastAsia" w:ascii="仿宋" w:hAnsi="仿宋" w:eastAsia="仿宋"/>
          <w:bCs/>
          <w:sz w:val="32"/>
          <w:szCs w:val="32"/>
        </w:rPr>
        <w:t>社会保障和就业（类）行政事业单位养老支出（款）机关事业单位基本养老保险缴费支出（项）:</w:t>
      </w: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 xml:space="preserve"> 支出决算为7.18万元，完成预算100%。</w:t>
      </w:r>
    </w:p>
    <w:p>
      <w:pPr>
        <w:spacing w:line="600" w:lineRule="exact"/>
        <w:ind w:firstLine="642" w:firstLineChars="200"/>
        <w:rPr>
          <w:rStyle w:val="14"/>
          <w:rFonts w:ascii="仿宋" w:hAnsi="仿宋" w:eastAsia="仿宋"/>
          <w:b w:val="0"/>
          <w:bCs/>
          <w:sz w:val="32"/>
          <w:szCs w:val="32"/>
        </w:rPr>
      </w:pPr>
      <w:r>
        <w:rPr>
          <w:rStyle w:val="14"/>
          <w:rFonts w:hint="eastAsia" w:ascii="仿宋" w:hAnsi="仿宋" w:eastAsia="仿宋"/>
          <w:bCs/>
          <w:sz w:val="32"/>
          <w:szCs w:val="32"/>
        </w:rPr>
        <w:t>4</w:t>
      </w:r>
      <w:r>
        <w:rPr>
          <w:rStyle w:val="14"/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卫生健康</w:t>
      </w:r>
      <w:r>
        <w:rPr>
          <w:rStyle w:val="14"/>
          <w:rFonts w:hint="eastAsia" w:ascii="仿宋" w:hAnsi="仿宋" w:eastAsia="仿宋"/>
          <w:bCs/>
          <w:sz w:val="32"/>
          <w:szCs w:val="32"/>
        </w:rPr>
        <w:t>（类）行政事业单位医疗（款）行政单位医疗（项）</w:t>
      </w:r>
      <w:r>
        <w:rPr>
          <w:rStyle w:val="14"/>
          <w:rFonts w:ascii="仿宋" w:hAnsi="仿宋" w:eastAsia="仿宋"/>
          <w:bCs/>
          <w:sz w:val="32"/>
          <w:szCs w:val="32"/>
        </w:rPr>
        <w:t>:</w:t>
      </w: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支出决算为5.22万元，完成预算100</w:t>
      </w:r>
      <w:r>
        <w:rPr>
          <w:rStyle w:val="14"/>
          <w:rFonts w:ascii="仿宋" w:hAnsi="仿宋" w:eastAsia="仿宋"/>
          <w:b w:val="0"/>
          <w:bCs/>
          <w:sz w:val="32"/>
          <w:szCs w:val="32"/>
        </w:rPr>
        <w:t>%.</w:t>
      </w:r>
    </w:p>
    <w:p>
      <w:pPr>
        <w:spacing w:line="600" w:lineRule="exact"/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Style w:val="14"/>
          <w:rFonts w:hint="eastAsia" w:ascii="仿宋" w:hAnsi="仿宋" w:eastAsia="仿宋"/>
          <w:bCs/>
          <w:sz w:val="32"/>
          <w:szCs w:val="32"/>
        </w:rPr>
        <w:t>5.卫生健康（类）行政事业单位医疗（款）公务员医疗补助（项）</w:t>
      </w: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:支出决算为1.1万元，完成预算100%。</w:t>
      </w:r>
    </w:p>
    <w:p>
      <w:pPr>
        <w:spacing w:line="600" w:lineRule="exact"/>
        <w:ind w:firstLine="642" w:firstLineChars="200"/>
        <w:rPr>
          <w:rStyle w:val="14"/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6.住房保障支出（类）住房改革支出（款）住房公积金（项）：</w:t>
      </w: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支出决算为6.93万元，完成预算100%。</w:t>
      </w:r>
    </w:p>
    <w:p>
      <w:pPr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7.</w:t>
      </w:r>
      <w:r>
        <w:rPr>
          <w:rStyle w:val="14"/>
          <w:rFonts w:hint="eastAsia" w:ascii="仿宋" w:hAnsi="仿宋" w:eastAsia="仿宋"/>
          <w:bCs/>
          <w:sz w:val="32"/>
          <w:szCs w:val="32"/>
        </w:rPr>
        <w:t>住房保障支出（类）住房改革支出（款）购房补贴（项）：</w:t>
      </w: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支出决算为4.43万元，完成预算100%。</w:t>
      </w:r>
    </w:p>
    <w:p>
      <w:pPr>
        <w:tabs>
          <w:tab w:val="right" w:pos="8306"/>
        </w:tabs>
        <w:spacing w:line="600" w:lineRule="exact"/>
        <w:ind w:firstLine="640"/>
        <w:outlineLvl w:val="1"/>
        <w:rPr>
          <w:rStyle w:val="25"/>
          <w:rFonts w:ascii="黑体" w:hAnsi="黑体" w:eastAsia="黑体"/>
          <w:b w:val="0"/>
        </w:rPr>
      </w:pPr>
      <w:bookmarkStart w:id="53" w:name="_Toc15396608"/>
      <w:bookmarkStart w:id="54" w:name="_Toc81921857"/>
      <w:bookmarkStart w:id="55" w:name="_Toc15377214"/>
      <w:r>
        <w:rPr>
          <w:rFonts w:hint="eastAsia" w:ascii="黑体" w:eastAsia="黑体"/>
          <w:sz w:val="32"/>
          <w:szCs w:val="32"/>
        </w:rPr>
        <w:t>六</w:t>
      </w:r>
      <w:r>
        <w:rPr>
          <w:rFonts w:hint="eastAsia" w:ascii="黑体" w:eastAsia="黑体"/>
          <w:b/>
          <w:sz w:val="32"/>
          <w:szCs w:val="32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一</w:t>
      </w:r>
      <w:r>
        <w:rPr>
          <w:rStyle w:val="25"/>
          <w:rFonts w:hint="eastAsia" w:ascii="黑体" w:hAnsi="黑体" w:eastAsia="黑体"/>
          <w:b w:val="0"/>
        </w:rPr>
        <w:t>般公共预算财政拨款基本支出决算情况说明</w:t>
      </w:r>
      <w:bookmarkEnd w:id="53"/>
      <w:bookmarkEnd w:id="54"/>
      <w:bookmarkEnd w:id="55"/>
    </w:p>
    <w:p>
      <w:pPr>
        <w:tabs>
          <w:tab w:val="right" w:pos="8306"/>
        </w:tabs>
        <w:spacing w:line="600" w:lineRule="exact"/>
        <w:ind w:firstLine="640"/>
        <w:outlineLvl w:val="1"/>
        <w:rPr>
          <w:rFonts w:ascii="仿宋" w:hAnsi="仿宋" w:eastAsia="仿宋"/>
          <w:sz w:val="32"/>
          <w:szCs w:val="32"/>
        </w:rPr>
      </w:pPr>
      <w:bookmarkStart w:id="56" w:name="_Toc81921858"/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20年一般公共预算财政拨款基本支出106.50万元，其中：</w:t>
      </w:r>
      <w:bookmarkEnd w:id="56"/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人员经费87.29万元，主要包括：基本工资、津贴补贴、奖金、机关事业单位基本养老保险缴费、职工基本医疗保险费、住房公积金、其他工资福利支出等。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公用经费19.21万元，主要包括：办公费、福利费、公务用车运行维护费、差旅费、工会经费、其他商品和服务支出等。</w:t>
      </w:r>
    </w:p>
    <w:p>
      <w:pPr>
        <w:spacing w:line="600" w:lineRule="exact"/>
        <w:ind w:firstLine="640"/>
        <w:outlineLvl w:val="1"/>
        <w:rPr>
          <w:rStyle w:val="25"/>
          <w:rFonts w:ascii="黑体" w:hAnsi="黑体" w:eastAsia="黑体"/>
          <w:b w:val="0"/>
        </w:rPr>
      </w:pPr>
      <w:bookmarkStart w:id="57" w:name="_Toc81921859"/>
      <w:bookmarkStart w:id="58" w:name="_Toc15396609"/>
      <w:bookmarkStart w:id="59" w:name="_Toc15377215"/>
      <w:r>
        <w:rPr>
          <w:rFonts w:hint="eastAsia" w:ascii="黑体" w:eastAsia="黑体"/>
          <w:sz w:val="32"/>
          <w:szCs w:val="32"/>
        </w:rPr>
        <w:t>七、</w:t>
      </w:r>
      <w:r>
        <w:rPr>
          <w:rStyle w:val="25"/>
          <w:rFonts w:hint="eastAsia" w:ascii="黑体" w:hAnsi="黑体" w:eastAsia="黑体"/>
        </w:rPr>
        <w:t>“</w:t>
      </w:r>
      <w:r>
        <w:rPr>
          <w:rStyle w:val="25"/>
          <w:rFonts w:hint="eastAsia" w:ascii="黑体" w:hAnsi="黑体" w:eastAsia="黑体"/>
          <w:b w:val="0"/>
        </w:rPr>
        <w:t>三公”经费财政拨款支出决算情况说明</w:t>
      </w:r>
      <w:bookmarkEnd w:id="57"/>
      <w:bookmarkEnd w:id="58"/>
      <w:bookmarkEnd w:id="59"/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sz w:val="32"/>
          <w:szCs w:val="32"/>
        </w:rPr>
      </w:pPr>
      <w:bookmarkStart w:id="60" w:name="_Toc81921860"/>
      <w:bookmarkStart w:id="61" w:name="_Toc15377216"/>
      <w:r>
        <w:rPr>
          <w:rFonts w:hint="eastAsia" w:ascii="仿宋" w:hAnsi="仿宋" w:eastAsia="仿宋"/>
          <w:b/>
          <w:sz w:val="32"/>
          <w:szCs w:val="32"/>
        </w:rPr>
        <w:t>（一）“三公”经费财政拨款支出决算总体情况说明</w:t>
      </w:r>
      <w:bookmarkEnd w:id="60"/>
      <w:bookmarkEnd w:id="61"/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20年“三公”经费财政拨款支出决算为1.73万元，完成预算33.27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，决算数小于预算数的主要原因是疫情影响，没有公务接待等事项。</w:t>
      </w:r>
    </w:p>
    <w:p>
      <w:pPr>
        <w:pStyle w:val="2"/>
        <w:spacing w:before="93"/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85725</wp:posOffset>
            </wp:positionV>
            <wp:extent cx="5372100" cy="3562350"/>
            <wp:effectExtent l="0" t="0" r="19050" b="19050"/>
            <wp:wrapNone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>
      <w:pPr>
        <w:pStyle w:val="2"/>
        <w:spacing w:before="93"/>
      </w:pPr>
    </w:p>
    <w:p>
      <w:pPr>
        <w:pStyle w:val="2"/>
        <w:spacing w:before="93"/>
        <w:jc w:val="center"/>
      </w:pPr>
    </w:p>
    <w:p>
      <w:pPr>
        <w:pStyle w:val="2"/>
        <w:spacing w:before="93"/>
        <w:jc w:val="center"/>
      </w:pPr>
    </w:p>
    <w:p>
      <w:pPr>
        <w:pStyle w:val="2"/>
        <w:spacing w:before="93"/>
        <w:jc w:val="center"/>
      </w:pPr>
    </w:p>
    <w:p>
      <w:pPr>
        <w:pStyle w:val="2"/>
        <w:spacing w:before="93"/>
        <w:jc w:val="center"/>
      </w:pPr>
    </w:p>
    <w:p>
      <w:pPr>
        <w:pStyle w:val="2"/>
        <w:spacing w:before="93"/>
        <w:jc w:val="center"/>
      </w:pPr>
    </w:p>
    <w:p>
      <w:pPr>
        <w:pStyle w:val="2"/>
        <w:spacing w:before="93"/>
        <w:jc w:val="center"/>
      </w:pPr>
    </w:p>
    <w:p>
      <w:pPr>
        <w:pStyle w:val="2"/>
        <w:spacing w:before="93"/>
        <w:jc w:val="center"/>
      </w:pPr>
      <w:r>
        <w:rPr>
          <w:rFonts w:hint="eastAsia"/>
        </w:rPr>
        <w:t>图7：“三公”经费财政拨款支出结构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sz w:val="32"/>
          <w:szCs w:val="32"/>
        </w:rPr>
      </w:pPr>
      <w:bookmarkStart w:id="62" w:name="_Toc81921861"/>
      <w:bookmarkStart w:id="63" w:name="_Toc15377217"/>
      <w:r>
        <w:rPr>
          <w:rFonts w:hint="eastAsia" w:ascii="仿宋" w:hAnsi="仿宋" w:eastAsia="仿宋"/>
          <w:b/>
          <w:sz w:val="32"/>
          <w:szCs w:val="32"/>
        </w:rPr>
        <w:t>（二）“三公”经费财政拨款支出决算具体情况说明</w:t>
      </w:r>
      <w:bookmarkEnd w:id="62"/>
      <w:bookmarkEnd w:id="63"/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20年“三公”经费财政拨款支出决算中，因公出国（境）费支出决算0万元，占0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；公务用车购置及运行维护费支出决算1.73万元，占1.62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；公务接待费支出决算0万元，占0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sz w:val="32"/>
          <w:szCs w:val="32"/>
        </w:rPr>
        <w:t>因公出国（境）经费支出</w:t>
      </w:r>
      <w:r>
        <w:rPr>
          <w:rFonts w:hint="eastAsia" w:ascii="仿宋_GB2312" w:eastAsia="仿宋_GB2312"/>
          <w:sz w:val="32"/>
          <w:szCs w:val="32"/>
        </w:rPr>
        <w:t>0万元，</w:t>
      </w: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完成预算0</w:t>
      </w:r>
      <w:r>
        <w:rPr>
          <w:rStyle w:val="14"/>
          <w:rFonts w:ascii="仿宋" w:hAnsi="仿宋" w:eastAsia="仿宋"/>
          <w:b w:val="0"/>
          <w:bCs/>
          <w:sz w:val="32"/>
          <w:szCs w:val="32"/>
        </w:rPr>
        <w:t>%</w:t>
      </w: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。，</w:t>
      </w:r>
      <w:r>
        <w:rPr>
          <w:rFonts w:hint="eastAsia" w:ascii="仿宋_GB2312" w:eastAsia="仿宋_GB2312"/>
          <w:sz w:val="32"/>
          <w:szCs w:val="32"/>
        </w:rPr>
        <w:t>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9年无变化。</w:t>
      </w:r>
    </w:p>
    <w:p>
      <w:pPr>
        <w:spacing w:line="60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b/>
          <w:sz w:val="32"/>
          <w:szCs w:val="32"/>
        </w:rPr>
        <w:t>公务用车购置及运行维护费支出</w:t>
      </w:r>
      <w:r>
        <w:rPr>
          <w:rFonts w:hint="eastAsia" w:ascii="仿宋_GB2312" w:eastAsia="仿宋_GB2312"/>
          <w:sz w:val="32"/>
          <w:szCs w:val="32"/>
        </w:rPr>
        <w:t>1.73万元,</w:t>
      </w: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完成预算33.27</w:t>
      </w:r>
      <w:r>
        <w:rPr>
          <w:rStyle w:val="14"/>
          <w:rFonts w:ascii="仿宋" w:hAnsi="仿宋" w:eastAsia="仿宋"/>
          <w:b w:val="0"/>
          <w:bCs/>
          <w:sz w:val="32"/>
          <w:szCs w:val="32"/>
        </w:rPr>
        <w:t>%</w:t>
      </w: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公务用车购置及运行维护费支出决算比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9年增加0.73万元，增长72.46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。主要原因是据实支出车辆运行费。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20年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月底，单位共有公务用车1辆。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公务用车运行维护费支出</w:t>
      </w:r>
      <w:r>
        <w:rPr>
          <w:rFonts w:hint="eastAsia" w:ascii="仿宋_GB2312" w:eastAsia="仿宋_GB2312"/>
          <w:sz w:val="32"/>
          <w:szCs w:val="32"/>
        </w:rPr>
        <w:t>1.73万元。主要用于执行公务等所需的公务用车燃料费、维修费、过路过桥费、保险费等支出。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3.</w:t>
      </w:r>
      <w:r>
        <w:rPr>
          <w:rFonts w:hint="eastAsia" w:ascii="仿宋_GB2312" w:eastAsia="仿宋_GB2312"/>
          <w:b/>
          <w:sz w:val="32"/>
          <w:szCs w:val="32"/>
        </w:rPr>
        <w:t>公务接待费支出</w:t>
      </w:r>
      <w:r>
        <w:rPr>
          <w:rFonts w:hint="eastAsia" w:ascii="仿宋_GB2312" w:eastAsia="仿宋_GB2312"/>
          <w:sz w:val="32"/>
          <w:szCs w:val="32"/>
        </w:rPr>
        <w:t>0万元，</w:t>
      </w:r>
      <w:r>
        <w:rPr>
          <w:rStyle w:val="14"/>
          <w:rFonts w:hint="eastAsia" w:ascii="仿宋" w:hAnsi="仿宋" w:eastAsia="仿宋"/>
          <w:b w:val="0"/>
          <w:bCs/>
          <w:sz w:val="32"/>
          <w:szCs w:val="32"/>
        </w:rPr>
        <w:t>完成预算0</w:t>
      </w:r>
      <w:r>
        <w:rPr>
          <w:rStyle w:val="14"/>
          <w:rFonts w:ascii="仿宋" w:hAnsi="仿宋" w:eastAsia="仿宋"/>
          <w:b w:val="0"/>
          <w:bCs/>
          <w:sz w:val="32"/>
          <w:szCs w:val="32"/>
        </w:rPr>
        <w:t>%，</w:t>
      </w:r>
      <w:r>
        <w:rPr>
          <w:rFonts w:hint="eastAsia" w:ascii="仿宋_GB2312" w:eastAsia="仿宋_GB2312"/>
          <w:sz w:val="32"/>
          <w:szCs w:val="32"/>
        </w:rPr>
        <w:t>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9年无变化。其中：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国内公务接待支出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万元。国内公务接待0批次，0人次（不包括陪同人员），共计支出0万元。</w:t>
      </w:r>
    </w:p>
    <w:p>
      <w:pPr>
        <w:spacing w:line="60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外事接待支出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万元，外事接待0批次，0人，共计支出0万元。</w:t>
      </w:r>
    </w:p>
    <w:p>
      <w:pPr>
        <w:spacing w:line="600" w:lineRule="exact"/>
        <w:ind w:firstLine="640"/>
        <w:outlineLvl w:val="1"/>
        <w:rPr>
          <w:rFonts w:ascii="黑体" w:eastAsia="黑体"/>
          <w:sz w:val="32"/>
          <w:szCs w:val="32"/>
        </w:rPr>
      </w:pPr>
      <w:bookmarkStart w:id="64" w:name="_Toc15377218"/>
      <w:bookmarkStart w:id="65" w:name="_Toc15396610"/>
    </w:p>
    <w:p>
      <w:pPr>
        <w:spacing w:line="600" w:lineRule="exact"/>
        <w:ind w:firstLine="640"/>
        <w:outlineLvl w:val="1"/>
        <w:rPr>
          <w:rStyle w:val="25"/>
          <w:rFonts w:ascii="黑体" w:hAnsi="黑体" w:eastAsia="黑体"/>
        </w:rPr>
      </w:pPr>
      <w:bookmarkStart w:id="66" w:name="_Toc81921862"/>
      <w:r>
        <w:rPr>
          <w:rFonts w:hint="eastAsia" w:ascii="黑体" w:eastAsia="黑体"/>
          <w:sz w:val="32"/>
          <w:szCs w:val="32"/>
        </w:rPr>
        <w:t>八、</w:t>
      </w:r>
      <w:r>
        <w:rPr>
          <w:rStyle w:val="25"/>
          <w:rFonts w:hint="eastAsia" w:ascii="黑体" w:hAnsi="黑体" w:eastAsia="黑体"/>
          <w:b w:val="0"/>
        </w:rPr>
        <w:t>政府性基金预算支出决算情况说明</w:t>
      </w:r>
      <w:bookmarkEnd w:id="64"/>
      <w:bookmarkEnd w:id="65"/>
      <w:bookmarkEnd w:id="66"/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20年政府性基金预算财政拨款支出0万元。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600" w:lineRule="exact"/>
        <w:ind w:firstLine="640"/>
        <w:outlineLvl w:val="1"/>
        <w:rPr>
          <w:rStyle w:val="25"/>
          <w:rFonts w:ascii="黑体" w:hAnsi="黑体" w:eastAsia="黑体"/>
          <w:b w:val="0"/>
        </w:rPr>
      </w:pPr>
      <w:bookmarkStart w:id="67" w:name="_Toc15377219"/>
      <w:bookmarkStart w:id="68" w:name="_Toc15396611"/>
      <w:bookmarkStart w:id="69" w:name="_Toc81921863"/>
      <w:r>
        <w:rPr>
          <w:rStyle w:val="25"/>
          <w:rFonts w:hint="eastAsia" w:ascii="黑体" w:hAnsi="黑体" w:eastAsia="黑体"/>
          <w:b w:val="0"/>
        </w:rPr>
        <w:t>国有资本经营预算支出决算情况说明</w:t>
      </w:r>
      <w:bookmarkEnd w:id="67"/>
      <w:bookmarkEnd w:id="68"/>
      <w:bookmarkEnd w:id="69"/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20年国有资本经营预算财政拨款支出0万元。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2"/>
        </w:numPr>
        <w:spacing w:line="600" w:lineRule="exact"/>
        <w:ind w:firstLine="640"/>
        <w:outlineLvl w:val="1"/>
        <w:rPr>
          <w:rStyle w:val="25"/>
          <w:rFonts w:ascii="黑体" w:hAnsi="黑体" w:eastAsia="黑体"/>
          <w:b w:val="0"/>
        </w:rPr>
      </w:pPr>
      <w:bookmarkStart w:id="70" w:name="_Toc15377221"/>
      <w:bookmarkStart w:id="71" w:name="_Toc15396612"/>
      <w:bookmarkStart w:id="72" w:name="_Toc81921864"/>
      <w:r>
        <w:rPr>
          <w:rStyle w:val="25"/>
          <w:rFonts w:hint="eastAsia" w:ascii="黑体" w:hAnsi="黑体" w:eastAsia="黑体"/>
          <w:b w:val="0"/>
        </w:rPr>
        <w:t>其他重要事项的情况说明</w:t>
      </w:r>
      <w:bookmarkEnd w:id="70"/>
      <w:bookmarkEnd w:id="71"/>
      <w:bookmarkEnd w:id="72"/>
    </w:p>
    <w:p>
      <w:pPr>
        <w:spacing w:line="600" w:lineRule="exact"/>
        <w:ind w:firstLine="642" w:firstLineChars="200"/>
        <w:outlineLvl w:val="2"/>
        <w:rPr>
          <w:rFonts w:ascii="仿宋" w:hAnsi="仿宋" w:eastAsia="仿宋"/>
          <w:sz w:val="32"/>
          <w:szCs w:val="32"/>
        </w:rPr>
      </w:pPr>
      <w:bookmarkStart w:id="73" w:name="_Toc15377222"/>
      <w:bookmarkStart w:id="74" w:name="_Toc81921865"/>
      <w:r>
        <w:rPr>
          <w:rFonts w:hint="eastAsia" w:ascii="仿宋" w:hAnsi="仿宋" w:eastAsia="仿宋"/>
          <w:b/>
          <w:sz w:val="32"/>
          <w:szCs w:val="32"/>
        </w:rPr>
        <w:t>（一）机关运行经费支出情况</w:t>
      </w:r>
      <w:bookmarkEnd w:id="73"/>
      <w:bookmarkEnd w:id="74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20年，四川省世界银行贷款工作领导小组办公室机关运行经费支出19.21万元，比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9年减少1.18万元，下降5.78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。主要原因是加强财务和效能管理，压减非必要支出。</w:t>
      </w:r>
    </w:p>
    <w:p>
      <w:pPr>
        <w:autoSpaceDE w:val="0"/>
        <w:autoSpaceDN w:val="0"/>
        <w:adjustRightInd w:val="0"/>
        <w:spacing w:line="600" w:lineRule="exact"/>
        <w:ind w:firstLine="642" w:firstLineChars="200"/>
        <w:jc w:val="left"/>
        <w:outlineLvl w:val="2"/>
        <w:rPr>
          <w:rFonts w:ascii="仿宋" w:hAnsi="仿宋" w:eastAsia="仿宋"/>
          <w:b/>
          <w:sz w:val="32"/>
          <w:szCs w:val="32"/>
        </w:rPr>
      </w:pPr>
      <w:bookmarkStart w:id="75" w:name="_Toc15377223"/>
      <w:bookmarkStart w:id="76" w:name="_Toc81921866"/>
      <w:r>
        <w:rPr>
          <w:rFonts w:hint="eastAsia" w:ascii="仿宋" w:hAnsi="仿宋" w:eastAsia="仿宋"/>
          <w:b/>
          <w:sz w:val="32"/>
          <w:szCs w:val="32"/>
        </w:rPr>
        <w:t>（二）政府采购支出情况</w:t>
      </w:r>
      <w:bookmarkEnd w:id="75"/>
      <w:bookmarkEnd w:id="76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20年，四川省世界银行贷款工作领导小组办公室政府采购支出总额0万元。</w:t>
      </w:r>
    </w:p>
    <w:p>
      <w:pPr>
        <w:autoSpaceDE w:val="0"/>
        <w:autoSpaceDN w:val="0"/>
        <w:adjustRightInd w:val="0"/>
        <w:spacing w:line="600" w:lineRule="exact"/>
        <w:ind w:firstLine="642" w:firstLineChars="200"/>
        <w:jc w:val="left"/>
        <w:outlineLvl w:val="2"/>
        <w:rPr>
          <w:rFonts w:ascii="仿宋" w:hAnsi="仿宋" w:eastAsia="仿宋"/>
          <w:b/>
          <w:sz w:val="32"/>
          <w:szCs w:val="32"/>
        </w:rPr>
      </w:pPr>
      <w:bookmarkStart w:id="77" w:name="_Toc81921867"/>
      <w:bookmarkStart w:id="78" w:name="_Toc15377224"/>
      <w:r>
        <w:rPr>
          <w:rFonts w:hint="eastAsia" w:ascii="仿宋" w:hAnsi="仿宋" w:eastAsia="仿宋"/>
          <w:b/>
          <w:sz w:val="32"/>
          <w:szCs w:val="32"/>
        </w:rPr>
        <w:t>（三）国有资产占有使用情况</w:t>
      </w:r>
      <w:bookmarkEnd w:id="77"/>
      <w:bookmarkEnd w:id="78"/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20年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日，四川省世界银行贷款工作领导小组办公室共有车辆1辆，其中：其他用车1辆,主要是用于执行公务。单价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万元以上通用设备0台（套），单价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万元以上专用设备0台（套）。</w:t>
      </w:r>
    </w:p>
    <w:p>
      <w:pPr>
        <w:autoSpaceDE w:val="0"/>
        <w:autoSpaceDN w:val="0"/>
        <w:adjustRightInd w:val="0"/>
        <w:spacing w:line="600" w:lineRule="exact"/>
        <w:ind w:firstLine="642" w:firstLineChars="200"/>
        <w:jc w:val="left"/>
        <w:outlineLvl w:val="2"/>
        <w:rPr>
          <w:rFonts w:ascii="仿宋" w:hAnsi="仿宋" w:eastAsia="仿宋"/>
          <w:b/>
          <w:sz w:val="32"/>
          <w:szCs w:val="32"/>
        </w:rPr>
      </w:pPr>
      <w:bookmarkStart w:id="79" w:name="_Toc81921868"/>
      <w:r>
        <w:rPr>
          <w:rFonts w:hint="eastAsia" w:ascii="仿宋" w:hAnsi="仿宋" w:eastAsia="仿宋"/>
          <w:b/>
          <w:sz w:val="32"/>
          <w:szCs w:val="32"/>
        </w:rPr>
        <w:t>（四）预算绩效管理情况</w:t>
      </w:r>
      <w:bookmarkEnd w:id="79"/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根据预算绩效管理要求，本单位在2020年度无100万元以上项目，因此未开展预算事前绩效评估，未编制绩效目标，未开展绩效监控和绩效目标评价。</w:t>
      </w:r>
    </w:p>
    <w:p>
      <w:pPr>
        <w:pStyle w:val="2"/>
        <w:spacing w:before="93"/>
      </w:pPr>
      <w:r>
        <w:br w:type="page"/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3"/>
        </w:numPr>
        <w:spacing w:line="600" w:lineRule="exact"/>
        <w:jc w:val="center"/>
        <w:outlineLvl w:val="0"/>
        <w:rPr>
          <w:rStyle w:val="24"/>
          <w:rFonts w:ascii="黑体" w:hAnsi="黑体" w:eastAsia="黑体"/>
          <w:b w:val="0"/>
        </w:rPr>
      </w:pPr>
      <w:bookmarkStart w:id="80" w:name="_Toc15396613"/>
      <w:bookmarkStart w:id="81" w:name="_Toc81921869"/>
      <w:bookmarkStart w:id="82" w:name="_Toc15377225"/>
      <w:r>
        <w:rPr>
          <w:rFonts w:hint="eastAsia" w:ascii="黑体" w:hAnsi="黑体" w:eastAsia="黑体"/>
          <w:color w:val="000000"/>
          <w:sz w:val="44"/>
          <w:szCs w:val="44"/>
        </w:rPr>
        <w:t>名</w:t>
      </w:r>
      <w:r>
        <w:rPr>
          <w:rStyle w:val="24"/>
          <w:rFonts w:hint="eastAsia" w:ascii="黑体" w:hAnsi="黑体" w:eastAsia="黑体"/>
          <w:b w:val="0"/>
        </w:rPr>
        <w:t>词解释</w:t>
      </w:r>
      <w:bookmarkEnd w:id="80"/>
      <w:bookmarkEnd w:id="81"/>
      <w:bookmarkEnd w:id="82"/>
    </w:p>
    <w:p>
      <w:pPr>
        <w:spacing w:line="600" w:lineRule="exact"/>
        <w:jc w:val="left"/>
        <w:rPr>
          <w:rFonts w:ascii="宋体"/>
          <w:b/>
          <w:color w:val="000000"/>
          <w:sz w:val="44"/>
          <w:szCs w:val="44"/>
        </w:rPr>
      </w:pPr>
    </w:p>
    <w:p>
      <w:pPr>
        <w:pStyle w:val="2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1.财政拨款收入：指单位从同级财政部门取得的财政预算资金。</w:t>
      </w:r>
    </w:p>
    <w:p>
      <w:pPr>
        <w:pStyle w:val="2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2.一般公共服务（类）财政事务（款）行政运行（项）：指参公管理事业单位用于保障机构正常运行、开展日常工作的基本支出。</w:t>
      </w:r>
    </w:p>
    <w:p>
      <w:pPr>
        <w:pStyle w:val="2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3.社会保障和就业（类）行政事业单位养老（款）机关事业单位基本养老保险缴费（项）：指单位实施养老保险制度由单位缴纳的养老保险费的支出。</w:t>
      </w:r>
    </w:p>
    <w:p>
      <w:pPr>
        <w:pStyle w:val="2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4.卫生健康（类）行政事业单位医疗（款）行政单位医疗（项）：指参公管理事业单位用于缴纳单位基本医疗保险的支出。 </w:t>
      </w:r>
    </w:p>
    <w:p>
      <w:pPr>
        <w:pStyle w:val="2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5.卫生健康（类）行政事业单位医疗（款）公务员医疗补助（项）：指参公管理事业单位用于集中缴纳公务员医疗补助的支出。</w:t>
      </w:r>
    </w:p>
    <w:p>
      <w:pPr>
        <w:pStyle w:val="2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6.住房保障（类）住房改革（款）住房公积金（项）：指按照《住房公积金管理条例》的规定，由单位及其在职职工缴存的长期住房储金。</w:t>
      </w:r>
    </w:p>
    <w:p>
      <w:pPr>
        <w:pStyle w:val="2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7.住房保障（类）住房改革（款）购房补贴（项）：指按房改政策规定的标准，向符合条件职工发放的用于购买住房的补贴。</w:t>
      </w:r>
    </w:p>
    <w:p>
      <w:pPr>
        <w:pStyle w:val="2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8.基本支出：指为保障机构正常运转、完成日常工作任务而发生的人员支出和公用支出。</w:t>
      </w:r>
    </w:p>
    <w:p>
      <w:pPr>
        <w:pStyle w:val="2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“三公”经费：指单位用财政拨款安排的因公出国（境）费、公务用车购置及运行费和公务接待费。其中，因公出国（境）费反映单位因公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22"/>
        <w:spacing w:line="560" w:lineRule="exact"/>
        <w:ind w:firstLine="640" w:firstLineChars="200"/>
        <w:rPr>
          <w:rFonts w:hAnsi="仿宋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机关运行经费：为保障参公管理事业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600" w:lineRule="exact"/>
        <w:jc w:val="center"/>
        <w:outlineLvl w:val="0"/>
        <w:rPr>
          <w:rStyle w:val="24"/>
          <w:rFonts w:ascii="黑体" w:hAnsi="黑体" w:eastAsia="黑体"/>
          <w:b w:val="0"/>
        </w:rPr>
      </w:pPr>
      <w:bookmarkStart w:id="83" w:name="_Toc15377226"/>
      <w:r>
        <w:rPr>
          <w:rFonts w:ascii="宋体"/>
          <w:b/>
          <w:color w:val="000000"/>
          <w:sz w:val="44"/>
          <w:szCs w:val="44"/>
        </w:rPr>
        <w:br w:type="page"/>
      </w:r>
      <w:bookmarkStart w:id="84" w:name="_Toc81921870"/>
      <w:bookmarkStart w:id="85" w:name="_Toc15396614"/>
      <w:r>
        <w:rPr>
          <w:rFonts w:hint="eastAsia" w:ascii="黑体" w:hAnsi="黑体" w:eastAsia="黑体"/>
          <w:color w:val="000000"/>
          <w:sz w:val="44"/>
          <w:szCs w:val="44"/>
        </w:rPr>
        <w:t>第</w:t>
      </w:r>
      <w:r>
        <w:rPr>
          <w:rStyle w:val="24"/>
          <w:rFonts w:hint="eastAsia" w:ascii="黑体" w:hAnsi="黑体" w:eastAsia="黑体"/>
          <w:b w:val="0"/>
        </w:rPr>
        <w:t>四部分 附件</w:t>
      </w:r>
      <w:bookmarkEnd w:id="84"/>
      <w:bookmarkEnd w:id="85"/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val="zh-CN"/>
        </w:rPr>
        <w:t>四川省世界银行贷款工作领导小组办公室</w:t>
      </w:r>
    </w:p>
    <w:p>
      <w:pPr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val="zh-CN"/>
        </w:rPr>
        <w:t>202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0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zh-CN"/>
        </w:rPr>
        <w:t>年预算项目支出绩效自评报告</w:t>
      </w:r>
    </w:p>
    <w:p>
      <w:pPr>
        <w:spacing w:line="600" w:lineRule="exact"/>
        <w:jc w:val="center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（本单位不涉及此项工作）</w:t>
      </w:r>
    </w:p>
    <w:p>
      <w:pPr>
        <w:widowControl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color w:val="FF0000"/>
          <w:sz w:val="32"/>
          <w:szCs w:val="32"/>
        </w:rPr>
        <w:br w:type="page"/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仿宋" w:hAnsi="仿宋" w:eastAsia="仿宋"/>
          <w:color w:val="000000"/>
        </w:rPr>
      </w:pPr>
      <w:bookmarkStart w:id="86" w:name="_Toc81921871"/>
      <w:bookmarkStart w:id="87" w:name="_Toc15396618"/>
      <w:r>
        <w:rPr>
          <w:rFonts w:hint="eastAsia" w:ascii="黑体" w:hAnsi="黑体" w:eastAsia="黑体"/>
          <w:color w:val="000000"/>
          <w:sz w:val="44"/>
          <w:szCs w:val="44"/>
        </w:rPr>
        <w:t>第</w:t>
      </w:r>
      <w:r>
        <w:rPr>
          <w:rStyle w:val="24"/>
          <w:rFonts w:hint="eastAsia" w:ascii="黑体" w:hAnsi="黑体" w:eastAsia="黑体"/>
          <w:b w:val="0"/>
        </w:rPr>
        <w:t>五部分 附表</w:t>
      </w:r>
      <w:bookmarkEnd w:id="83"/>
      <w:bookmarkEnd w:id="86"/>
      <w:bookmarkEnd w:id="87"/>
      <w:bookmarkStart w:id="88" w:name="_Toc15396619"/>
    </w:p>
    <w:p>
      <w:pPr>
        <w:pStyle w:val="4"/>
        <w:rPr>
          <w:rFonts w:ascii="仿宋" w:hAnsi="仿宋" w:eastAsia="仿宋"/>
          <w:color w:val="000000"/>
        </w:rPr>
      </w:pPr>
      <w:bookmarkStart w:id="89" w:name="_Toc81921872"/>
      <w:r>
        <w:rPr>
          <w:rFonts w:hint="eastAsia" w:ascii="仿宋" w:hAnsi="仿宋" w:eastAsia="仿宋"/>
          <w:b w:val="0"/>
          <w:color w:val="000000"/>
        </w:rPr>
        <w:t>一、收</w:t>
      </w:r>
      <w:r>
        <w:rPr>
          <w:rStyle w:val="25"/>
          <w:rFonts w:hint="eastAsia" w:ascii="仿宋" w:hAnsi="仿宋" w:eastAsia="仿宋"/>
          <w:b w:val="0"/>
          <w:bCs w:val="0"/>
        </w:rPr>
        <w:t>入支出决算总表</w:t>
      </w:r>
      <w:bookmarkEnd w:id="88"/>
      <w:bookmarkEnd w:id="89"/>
    </w:p>
    <w:p>
      <w:pPr>
        <w:pStyle w:val="4"/>
        <w:rPr>
          <w:rFonts w:ascii="仿宋" w:hAnsi="仿宋" w:eastAsia="仿宋"/>
          <w:color w:val="000000"/>
        </w:rPr>
      </w:pPr>
      <w:bookmarkStart w:id="90" w:name="_Toc15396620"/>
      <w:bookmarkStart w:id="91" w:name="_Toc81921873"/>
      <w:r>
        <w:rPr>
          <w:rFonts w:hint="eastAsia" w:ascii="仿宋" w:hAnsi="仿宋" w:eastAsia="仿宋"/>
          <w:b w:val="0"/>
          <w:color w:val="000000"/>
        </w:rPr>
        <w:t>二、收</w:t>
      </w:r>
      <w:r>
        <w:rPr>
          <w:rStyle w:val="25"/>
          <w:rFonts w:hint="eastAsia" w:ascii="仿宋" w:hAnsi="仿宋" w:eastAsia="仿宋"/>
          <w:b w:val="0"/>
          <w:bCs w:val="0"/>
        </w:rPr>
        <w:t>入决算表</w:t>
      </w:r>
      <w:bookmarkEnd w:id="90"/>
      <w:bookmarkEnd w:id="91"/>
    </w:p>
    <w:p>
      <w:pPr>
        <w:pStyle w:val="4"/>
        <w:rPr>
          <w:rFonts w:ascii="仿宋" w:hAnsi="仿宋" w:eastAsia="仿宋"/>
          <w:color w:val="000000"/>
        </w:rPr>
      </w:pPr>
      <w:bookmarkStart w:id="92" w:name="_Toc81921874"/>
      <w:bookmarkStart w:id="93" w:name="_Toc15396621"/>
      <w:r>
        <w:rPr>
          <w:rStyle w:val="25"/>
          <w:rFonts w:hint="eastAsia" w:ascii="仿宋" w:hAnsi="仿宋" w:eastAsia="仿宋"/>
          <w:b w:val="0"/>
          <w:bCs w:val="0"/>
        </w:rPr>
        <w:t>三、</w:t>
      </w:r>
      <w:r>
        <w:rPr>
          <w:rFonts w:hint="eastAsia" w:ascii="仿宋" w:hAnsi="仿宋" w:eastAsia="仿宋"/>
          <w:b w:val="0"/>
          <w:color w:val="000000"/>
        </w:rPr>
        <w:t>支</w:t>
      </w:r>
      <w:r>
        <w:rPr>
          <w:rStyle w:val="25"/>
          <w:rFonts w:hint="eastAsia" w:ascii="仿宋" w:hAnsi="仿宋" w:eastAsia="仿宋"/>
          <w:b w:val="0"/>
          <w:bCs w:val="0"/>
        </w:rPr>
        <w:t>出决算表</w:t>
      </w:r>
      <w:bookmarkEnd w:id="92"/>
      <w:bookmarkEnd w:id="93"/>
    </w:p>
    <w:p>
      <w:pPr>
        <w:pStyle w:val="4"/>
        <w:rPr>
          <w:rFonts w:ascii="仿宋" w:hAnsi="仿宋" w:eastAsia="仿宋"/>
          <w:b w:val="0"/>
          <w:color w:val="000000"/>
        </w:rPr>
      </w:pPr>
      <w:bookmarkStart w:id="94" w:name="_Toc15396622"/>
      <w:bookmarkStart w:id="95" w:name="_Toc81921875"/>
      <w:r>
        <w:rPr>
          <w:rStyle w:val="25"/>
          <w:rFonts w:hint="eastAsia" w:ascii="仿宋" w:hAnsi="仿宋" w:eastAsia="仿宋"/>
          <w:b w:val="0"/>
          <w:bCs w:val="0"/>
        </w:rPr>
        <w:t>四、</w:t>
      </w:r>
      <w:r>
        <w:rPr>
          <w:rFonts w:hint="eastAsia" w:ascii="仿宋" w:hAnsi="仿宋" w:eastAsia="仿宋"/>
          <w:b w:val="0"/>
          <w:color w:val="000000"/>
        </w:rPr>
        <w:t>财</w:t>
      </w:r>
      <w:r>
        <w:rPr>
          <w:rStyle w:val="25"/>
          <w:rFonts w:hint="eastAsia" w:ascii="仿宋" w:hAnsi="仿宋" w:eastAsia="仿宋"/>
          <w:b w:val="0"/>
          <w:bCs w:val="0"/>
        </w:rPr>
        <w:t>政拨款收入支出决算总表</w:t>
      </w:r>
      <w:bookmarkEnd w:id="94"/>
      <w:bookmarkEnd w:id="95"/>
    </w:p>
    <w:p>
      <w:pPr>
        <w:pStyle w:val="4"/>
        <w:rPr>
          <w:rStyle w:val="25"/>
          <w:rFonts w:ascii="仿宋" w:hAnsi="仿宋" w:eastAsia="仿宋"/>
          <w:b w:val="0"/>
          <w:bCs w:val="0"/>
        </w:rPr>
      </w:pPr>
      <w:bookmarkStart w:id="96" w:name="_Toc15396623"/>
      <w:bookmarkStart w:id="97" w:name="_Toc81921876"/>
      <w:r>
        <w:rPr>
          <w:rStyle w:val="25"/>
          <w:rFonts w:hint="eastAsia" w:ascii="仿宋" w:hAnsi="仿宋" w:eastAsia="仿宋"/>
          <w:b w:val="0"/>
          <w:bCs w:val="0"/>
        </w:rPr>
        <w:t>五、</w:t>
      </w:r>
      <w:r>
        <w:rPr>
          <w:rFonts w:hint="eastAsia" w:ascii="仿宋" w:hAnsi="仿宋" w:eastAsia="仿宋"/>
          <w:b w:val="0"/>
          <w:color w:val="000000"/>
        </w:rPr>
        <w:t>财</w:t>
      </w:r>
      <w:r>
        <w:rPr>
          <w:rStyle w:val="25"/>
          <w:rFonts w:hint="eastAsia" w:ascii="仿宋" w:hAnsi="仿宋" w:eastAsia="仿宋"/>
          <w:b w:val="0"/>
          <w:bCs w:val="0"/>
        </w:rPr>
        <w:t>政拨款支出决算明细表</w:t>
      </w:r>
      <w:bookmarkEnd w:id="96"/>
      <w:bookmarkEnd w:id="97"/>
      <w:bookmarkStart w:id="98" w:name="_Toc15396624"/>
    </w:p>
    <w:p>
      <w:pPr>
        <w:pStyle w:val="4"/>
        <w:rPr>
          <w:rFonts w:ascii="仿宋" w:hAnsi="仿宋" w:eastAsia="仿宋"/>
          <w:color w:val="000000"/>
        </w:rPr>
      </w:pPr>
      <w:bookmarkStart w:id="99" w:name="_Toc81921877"/>
      <w:r>
        <w:rPr>
          <w:rStyle w:val="25"/>
          <w:rFonts w:hint="eastAsia" w:ascii="仿宋" w:hAnsi="仿宋" w:eastAsia="仿宋"/>
          <w:b w:val="0"/>
          <w:bCs w:val="0"/>
        </w:rPr>
        <w:t>六、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5"/>
          <w:rFonts w:hint="eastAsia" w:ascii="仿宋" w:hAnsi="仿宋" w:eastAsia="仿宋"/>
          <w:b w:val="0"/>
          <w:bCs w:val="0"/>
        </w:rPr>
        <w:t>般公共预算财政拨款支出决算表</w:t>
      </w:r>
      <w:bookmarkEnd w:id="98"/>
      <w:bookmarkEnd w:id="99"/>
    </w:p>
    <w:p>
      <w:pPr>
        <w:pStyle w:val="4"/>
        <w:rPr>
          <w:rFonts w:ascii="仿宋" w:hAnsi="仿宋" w:eastAsia="仿宋"/>
          <w:color w:val="000000"/>
        </w:rPr>
      </w:pPr>
      <w:bookmarkStart w:id="100" w:name="_Toc81921878"/>
      <w:bookmarkStart w:id="101" w:name="_Toc15396625"/>
      <w:r>
        <w:rPr>
          <w:rStyle w:val="25"/>
          <w:rFonts w:hint="eastAsia" w:ascii="仿宋" w:hAnsi="仿宋" w:eastAsia="仿宋"/>
          <w:b w:val="0"/>
          <w:bCs w:val="0"/>
        </w:rPr>
        <w:t>七、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5"/>
          <w:rFonts w:hint="eastAsia" w:ascii="仿宋" w:hAnsi="仿宋" w:eastAsia="仿宋"/>
          <w:b w:val="0"/>
          <w:bCs w:val="0"/>
        </w:rPr>
        <w:t>般公共预算财政拨款支出决算明细表</w:t>
      </w:r>
      <w:bookmarkEnd w:id="100"/>
      <w:bookmarkEnd w:id="101"/>
    </w:p>
    <w:p>
      <w:pPr>
        <w:pStyle w:val="4"/>
        <w:rPr>
          <w:rFonts w:ascii="仿宋" w:hAnsi="仿宋" w:eastAsia="仿宋"/>
          <w:color w:val="000000"/>
        </w:rPr>
      </w:pPr>
      <w:bookmarkStart w:id="102" w:name="_Toc81921879"/>
      <w:bookmarkStart w:id="103" w:name="_Toc15396626"/>
      <w:r>
        <w:rPr>
          <w:rStyle w:val="25"/>
          <w:rFonts w:hint="eastAsia" w:ascii="仿宋" w:hAnsi="仿宋" w:eastAsia="仿宋"/>
          <w:b w:val="0"/>
          <w:bCs w:val="0"/>
        </w:rPr>
        <w:t>八、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5"/>
          <w:rFonts w:hint="eastAsia" w:ascii="仿宋" w:hAnsi="仿宋" w:eastAsia="仿宋"/>
          <w:b w:val="0"/>
          <w:bCs w:val="0"/>
        </w:rPr>
        <w:t>般公共预算财政拨款基本支出决算表</w:t>
      </w:r>
      <w:bookmarkEnd w:id="102"/>
      <w:bookmarkEnd w:id="103"/>
    </w:p>
    <w:p>
      <w:pPr>
        <w:pStyle w:val="4"/>
        <w:rPr>
          <w:rFonts w:ascii="仿宋" w:hAnsi="仿宋" w:eastAsia="仿宋"/>
          <w:color w:val="000000"/>
        </w:rPr>
      </w:pPr>
      <w:bookmarkStart w:id="104" w:name="_Toc15396627"/>
      <w:bookmarkStart w:id="105" w:name="_Toc81921880"/>
      <w:r>
        <w:rPr>
          <w:rStyle w:val="25"/>
          <w:rFonts w:hint="eastAsia" w:ascii="仿宋" w:hAnsi="仿宋" w:eastAsia="仿宋"/>
          <w:b w:val="0"/>
          <w:bCs w:val="0"/>
        </w:rPr>
        <w:t>九、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5"/>
          <w:rFonts w:hint="eastAsia" w:ascii="仿宋" w:hAnsi="仿宋" w:eastAsia="仿宋"/>
          <w:b w:val="0"/>
          <w:bCs w:val="0"/>
        </w:rPr>
        <w:t>般公共预算财政拨款项目支出决算表</w:t>
      </w:r>
      <w:bookmarkEnd w:id="104"/>
      <w:bookmarkEnd w:id="105"/>
    </w:p>
    <w:p>
      <w:pPr>
        <w:pStyle w:val="4"/>
        <w:rPr>
          <w:rFonts w:ascii="仿宋" w:hAnsi="仿宋" w:eastAsia="仿宋"/>
          <w:color w:val="000000"/>
        </w:rPr>
      </w:pPr>
      <w:bookmarkStart w:id="106" w:name="_Toc15396628"/>
      <w:bookmarkStart w:id="107" w:name="_Toc81921881"/>
      <w:r>
        <w:rPr>
          <w:rStyle w:val="25"/>
          <w:rFonts w:hint="eastAsia" w:ascii="仿宋" w:hAnsi="仿宋" w:eastAsia="仿宋"/>
          <w:b w:val="0"/>
          <w:bCs w:val="0"/>
        </w:rPr>
        <w:t>十、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5"/>
          <w:rFonts w:hint="eastAsia" w:ascii="仿宋" w:hAnsi="仿宋" w:eastAsia="仿宋"/>
          <w:b w:val="0"/>
          <w:bCs w:val="0"/>
        </w:rPr>
        <w:t>般公共预算财政拨款“三公”经费支出决算表</w:t>
      </w:r>
      <w:bookmarkEnd w:id="106"/>
      <w:bookmarkEnd w:id="107"/>
    </w:p>
    <w:p>
      <w:pPr>
        <w:pStyle w:val="4"/>
        <w:rPr>
          <w:rFonts w:ascii="仿宋" w:hAnsi="仿宋" w:eastAsia="仿宋"/>
          <w:color w:val="000000"/>
        </w:rPr>
      </w:pPr>
      <w:bookmarkStart w:id="108" w:name="_Toc81921882"/>
      <w:bookmarkStart w:id="109" w:name="_Toc15396629"/>
      <w:r>
        <w:rPr>
          <w:rStyle w:val="25"/>
          <w:rFonts w:hint="eastAsia" w:ascii="仿宋" w:hAnsi="仿宋" w:eastAsia="仿宋"/>
          <w:b w:val="0"/>
          <w:bCs w:val="0"/>
        </w:rPr>
        <w:t>十一、</w:t>
      </w:r>
      <w:r>
        <w:rPr>
          <w:rFonts w:hint="eastAsia" w:ascii="仿宋" w:hAnsi="仿宋" w:eastAsia="仿宋"/>
          <w:b w:val="0"/>
          <w:color w:val="000000"/>
        </w:rPr>
        <w:t>政</w:t>
      </w:r>
      <w:r>
        <w:rPr>
          <w:rStyle w:val="25"/>
          <w:rFonts w:hint="eastAsia" w:ascii="仿宋" w:hAnsi="仿宋" w:eastAsia="仿宋"/>
          <w:b w:val="0"/>
          <w:bCs w:val="0"/>
        </w:rPr>
        <w:t>府性基金预算财政拨款收入支出决算表</w:t>
      </w:r>
      <w:bookmarkEnd w:id="108"/>
      <w:bookmarkEnd w:id="109"/>
    </w:p>
    <w:p>
      <w:pPr>
        <w:pStyle w:val="4"/>
        <w:rPr>
          <w:rFonts w:ascii="仿宋" w:hAnsi="仿宋" w:eastAsia="仿宋"/>
          <w:color w:val="000000"/>
        </w:rPr>
      </w:pPr>
      <w:bookmarkStart w:id="110" w:name="_Toc81921883"/>
      <w:bookmarkStart w:id="111" w:name="_Toc15396630"/>
      <w:r>
        <w:rPr>
          <w:rStyle w:val="25"/>
          <w:rFonts w:hint="eastAsia" w:ascii="仿宋" w:hAnsi="仿宋" w:eastAsia="仿宋"/>
          <w:b w:val="0"/>
          <w:bCs w:val="0"/>
        </w:rPr>
        <w:t>十二、</w:t>
      </w:r>
      <w:r>
        <w:rPr>
          <w:rFonts w:hint="eastAsia" w:ascii="仿宋" w:hAnsi="仿宋" w:eastAsia="仿宋"/>
          <w:b w:val="0"/>
          <w:color w:val="000000"/>
        </w:rPr>
        <w:t>政</w:t>
      </w:r>
      <w:r>
        <w:rPr>
          <w:rStyle w:val="25"/>
          <w:rFonts w:hint="eastAsia" w:ascii="仿宋" w:hAnsi="仿宋" w:eastAsia="仿宋"/>
          <w:b w:val="0"/>
          <w:bCs w:val="0"/>
        </w:rPr>
        <w:t>府性基金预算财政拨款“三公”经费支出决算表</w:t>
      </w:r>
      <w:bookmarkEnd w:id="110"/>
      <w:bookmarkEnd w:id="111"/>
    </w:p>
    <w:p>
      <w:pPr>
        <w:pStyle w:val="4"/>
        <w:rPr>
          <w:rStyle w:val="25"/>
          <w:rFonts w:ascii="仿宋" w:hAnsi="仿宋" w:eastAsia="仿宋"/>
          <w:b w:val="0"/>
          <w:bCs w:val="0"/>
        </w:rPr>
      </w:pPr>
      <w:bookmarkStart w:id="112" w:name="_Toc15396631"/>
      <w:bookmarkStart w:id="113" w:name="_Toc81921884"/>
      <w:r>
        <w:rPr>
          <w:rStyle w:val="25"/>
          <w:rFonts w:hint="eastAsia" w:ascii="仿宋" w:hAnsi="仿宋" w:eastAsia="仿宋"/>
          <w:b w:val="0"/>
          <w:bCs w:val="0"/>
        </w:rPr>
        <w:t>十三、</w:t>
      </w:r>
      <w:r>
        <w:rPr>
          <w:rFonts w:hint="eastAsia" w:ascii="仿宋" w:hAnsi="仿宋" w:eastAsia="仿宋"/>
          <w:b w:val="0"/>
          <w:color w:val="000000"/>
        </w:rPr>
        <w:t>国</w:t>
      </w:r>
      <w:r>
        <w:rPr>
          <w:rStyle w:val="25"/>
          <w:rFonts w:hint="eastAsia" w:ascii="仿宋" w:hAnsi="仿宋" w:eastAsia="仿宋"/>
          <w:b w:val="0"/>
          <w:bCs w:val="0"/>
        </w:rPr>
        <w:t>有资本经营预算财政拨款收入支出决算表</w:t>
      </w:r>
      <w:bookmarkEnd w:id="112"/>
      <w:bookmarkEnd w:id="113"/>
    </w:p>
    <w:p>
      <w:pPr>
        <w:rPr>
          <w:rFonts w:eastAsia="仿宋"/>
        </w:rPr>
      </w:pPr>
      <w:bookmarkStart w:id="114" w:name="_Toc81921885"/>
      <w:r>
        <w:rPr>
          <w:rStyle w:val="25"/>
          <w:rFonts w:hint="eastAsia" w:ascii="仿宋" w:hAnsi="仿宋" w:eastAsia="仿宋"/>
          <w:b w:val="0"/>
          <w:bCs w:val="0"/>
        </w:rPr>
        <w:t>十四、国有资本经营预算财政拨款支出决算表</w:t>
      </w:r>
      <w:bookmarkEnd w:id="114"/>
    </w:p>
    <w:sectPr>
      <w:footerReference r:id="rId10" w:type="first"/>
      <w:footerReference r:id="rId9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94781956"/>
                          </w:sdtPr>
                          <w:sdtContent>
                            <w:p>
                              <w:pPr>
                                <w:pStyle w:val="8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WAAAAZHJzL1BLAQIUABQA&#10;AAAIAIdO4kCzSVju0AAAAAUBAAAPAAAAAAAAAAEAIAAAADgAAABkcnMvZG93bnJldi54bWxQSwEC&#10;FAAUAAAACACHTuJAIFtVjMoCAADuBQAADgAAAAAAAAABACAAAAA1AQAAZHJzL2Uyb0RvYy54bWxQ&#10;SwUGAAAAAAYABgBZAQAAc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94781956"/>
                    </w:sdtPr>
                    <w:sdtContent>
                      <w:p>
                        <w:pPr>
                          <w:pStyle w:val="8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WAAAAZHJzL1BLAQIUABQA&#10;AAAIAIdO4kCzSVju0AAAAAUBAAAPAAAAAAAAAAEAIAAAADgAAABkcnMvZG93bnJldi54bWxQSwEC&#10;FAAUAAAACACHTuJARdVmL8oCAADuBQAADgAAAAAAAAABACAAAAA1AQAAZHJzL2Uyb0RvYy54bWxQ&#10;SwUGAAAAAAYABgBZAQAAc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52CEC"/>
    <w:multiLevelType w:val="singleLevel"/>
    <w:tmpl w:val="CF652CE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FA047D"/>
    <w:multiLevelType w:val="singleLevel"/>
    <w:tmpl w:val="E2FA047D"/>
    <w:lvl w:ilvl="0" w:tentative="0">
      <w:start w:val="3"/>
      <w:numFmt w:val="chineseCounting"/>
      <w:suff w:val="space"/>
      <w:lvlText w:val="第%1部分"/>
      <w:lvlJc w:val="left"/>
      <w:rPr>
        <w:rFonts w:hint="eastAsia" w:ascii="黑体" w:hAnsi="黑体" w:eastAsia="黑体" w:cs="黑体"/>
        <w:sz w:val="44"/>
        <w:szCs w:val="44"/>
      </w:rPr>
    </w:lvl>
  </w:abstractNum>
  <w:abstractNum w:abstractNumId="2">
    <w:nsid w:val="1272550B"/>
    <w:multiLevelType w:val="multilevel"/>
    <w:tmpl w:val="1272550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468DB"/>
    <w:rsid w:val="0006487A"/>
    <w:rsid w:val="00065F8F"/>
    <w:rsid w:val="00070A43"/>
    <w:rsid w:val="000768F2"/>
    <w:rsid w:val="00087D49"/>
    <w:rsid w:val="0009184B"/>
    <w:rsid w:val="00094236"/>
    <w:rsid w:val="0009593C"/>
    <w:rsid w:val="00097322"/>
    <w:rsid w:val="000A6A92"/>
    <w:rsid w:val="000B047F"/>
    <w:rsid w:val="000B076B"/>
    <w:rsid w:val="000B5923"/>
    <w:rsid w:val="000B5A48"/>
    <w:rsid w:val="000B6FF3"/>
    <w:rsid w:val="000C1F60"/>
    <w:rsid w:val="000C3467"/>
    <w:rsid w:val="000C3CA6"/>
    <w:rsid w:val="000D1267"/>
    <w:rsid w:val="000D1D50"/>
    <w:rsid w:val="000D5782"/>
    <w:rsid w:val="000D62F4"/>
    <w:rsid w:val="000D6879"/>
    <w:rsid w:val="000E30B8"/>
    <w:rsid w:val="000E6613"/>
    <w:rsid w:val="000E7119"/>
    <w:rsid w:val="000F55B5"/>
    <w:rsid w:val="00114E9B"/>
    <w:rsid w:val="00122DC6"/>
    <w:rsid w:val="00127FB3"/>
    <w:rsid w:val="00132A57"/>
    <w:rsid w:val="00136524"/>
    <w:rsid w:val="0013689E"/>
    <w:rsid w:val="00142216"/>
    <w:rsid w:val="00144D6A"/>
    <w:rsid w:val="0014729F"/>
    <w:rsid w:val="00157BAB"/>
    <w:rsid w:val="001654D1"/>
    <w:rsid w:val="00167A01"/>
    <w:rsid w:val="00171E14"/>
    <w:rsid w:val="00172C04"/>
    <w:rsid w:val="00174518"/>
    <w:rsid w:val="0018106D"/>
    <w:rsid w:val="001877A7"/>
    <w:rsid w:val="00191536"/>
    <w:rsid w:val="0019297C"/>
    <w:rsid w:val="00196687"/>
    <w:rsid w:val="001C0962"/>
    <w:rsid w:val="001D7531"/>
    <w:rsid w:val="001E737D"/>
    <w:rsid w:val="001F0592"/>
    <w:rsid w:val="001F7506"/>
    <w:rsid w:val="001F7DC4"/>
    <w:rsid w:val="002006CD"/>
    <w:rsid w:val="00202B36"/>
    <w:rsid w:val="00204B7A"/>
    <w:rsid w:val="00204BF1"/>
    <w:rsid w:val="00204CDE"/>
    <w:rsid w:val="0021101A"/>
    <w:rsid w:val="00214E34"/>
    <w:rsid w:val="00220536"/>
    <w:rsid w:val="00235629"/>
    <w:rsid w:val="00260C38"/>
    <w:rsid w:val="002616C0"/>
    <w:rsid w:val="00265372"/>
    <w:rsid w:val="002662AA"/>
    <w:rsid w:val="002666E7"/>
    <w:rsid w:val="00280496"/>
    <w:rsid w:val="00294DC9"/>
    <w:rsid w:val="00295495"/>
    <w:rsid w:val="00296818"/>
    <w:rsid w:val="00297905"/>
    <w:rsid w:val="002A31DE"/>
    <w:rsid w:val="002B2613"/>
    <w:rsid w:val="002C7820"/>
    <w:rsid w:val="002D6D05"/>
    <w:rsid w:val="002E7DEC"/>
    <w:rsid w:val="002F1818"/>
    <w:rsid w:val="002F567B"/>
    <w:rsid w:val="0030394F"/>
    <w:rsid w:val="00313661"/>
    <w:rsid w:val="00314B22"/>
    <w:rsid w:val="003176FE"/>
    <w:rsid w:val="003216A9"/>
    <w:rsid w:val="00335A74"/>
    <w:rsid w:val="00346C93"/>
    <w:rsid w:val="0036561B"/>
    <w:rsid w:val="0037013F"/>
    <w:rsid w:val="00380C92"/>
    <w:rsid w:val="00393C3F"/>
    <w:rsid w:val="003A484F"/>
    <w:rsid w:val="003A4883"/>
    <w:rsid w:val="003A5CCD"/>
    <w:rsid w:val="003B0BE0"/>
    <w:rsid w:val="003B0C1B"/>
    <w:rsid w:val="003B4BF6"/>
    <w:rsid w:val="003B688C"/>
    <w:rsid w:val="003C0291"/>
    <w:rsid w:val="003C39AE"/>
    <w:rsid w:val="003C7B60"/>
    <w:rsid w:val="003D0C0F"/>
    <w:rsid w:val="003D1FB2"/>
    <w:rsid w:val="003D66DA"/>
    <w:rsid w:val="003E1310"/>
    <w:rsid w:val="003E6D96"/>
    <w:rsid w:val="003E6F55"/>
    <w:rsid w:val="003E7D19"/>
    <w:rsid w:val="003F4777"/>
    <w:rsid w:val="0040076D"/>
    <w:rsid w:val="00406254"/>
    <w:rsid w:val="00412F2F"/>
    <w:rsid w:val="004223DE"/>
    <w:rsid w:val="00434489"/>
    <w:rsid w:val="00437085"/>
    <w:rsid w:val="00443880"/>
    <w:rsid w:val="004464F4"/>
    <w:rsid w:val="0045066E"/>
    <w:rsid w:val="00471401"/>
    <w:rsid w:val="00473F31"/>
    <w:rsid w:val="0048263A"/>
    <w:rsid w:val="00487E5D"/>
    <w:rsid w:val="004A711F"/>
    <w:rsid w:val="004B199D"/>
    <w:rsid w:val="004B4690"/>
    <w:rsid w:val="004C559B"/>
    <w:rsid w:val="004E0A2D"/>
    <w:rsid w:val="004E1103"/>
    <w:rsid w:val="004E206B"/>
    <w:rsid w:val="004E6DF7"/>
    <w:rsid w:val="004F0FBD"/>
    <w:rsid w:val="004F1F0F"/>
    <w:rsid w:val="00505A47"/>
    <w:rsid w:val="00512FDA"/>
    <w:rsid w:val="00520DA0"/>
    <w:rsid w:val="0054566D"/>
    <w:rsid w:val="005640FD"/>
    <w:rsid w:val="005664BB"/>
    <w:rsid w:val="00566FFA"/>
    <w:rsid w:val="0057481D"/>
    <w:rsid w:val="00575410"/>
    <w:rsid w:val="0058486E"/>
    <w:rsid w:val="00585B33"/>
    <w:rsid w:val="0058680C"/>
    <w:rsid w:val="0059014D"/>
    <w:rsid w:val="00597D1B"/>
    <w:rsid w:val="005A62EB"/>
    <w:rsid w:val="005B5C64"/>
    <w:rsid w:val="005C500F"/>
    <w:rsid w:val="005C5337"/>
    <w:rsid w:val="005C6BD0"/>
    <w:rsid w:val="005D1A0C"/>
    <w:rsid w:val="005D1C8B"/>
    <w:rsid w:val="005D468D"/>
    <w:rsid w:val="005D5CED"/>
    <w:rsid w:val="005F1A4C"/>
    <w:rsid w:val="00605688"/>
    <w:rsid w:val="006070AF"/>
    <w:rsid w:val="00607E6C"/>
    <w:rsid w:val="006101B1"/>
    <w:rsid w:val="006103BF"/>
    <w:rsid w:val="00614E44"/>
    <w:rsid w:val="0061578E"/>
    <w:rsid w:val="0062270A"/>
    <w:rsid w:val="00622830"/>
    <w:rsid w:val="00623DA0"/>
    <w:rsid w:val="00630AEF"/>
    <w:rsid w:val="00630B0D"/>
    <w:rsid w:val="006325F8"/>
    <w:rsid w:val="00633463"/>
    <w:rsid w:val="00634C9A"/>
    <w:rsid w:val="006440E4"/>
    <w:rsid w:val="0065369D"/>
    <w:rsid w:val="0066343B"/>
    <w:rsid w:val="00664777"/>
    <w:rsid w:val="006748A4"/>
    <w:rsid w:val="00681A31"/>
    <w:rsid w:val="00683E73"/>
    <w:rsid w:val="006A3141"/>
    <w:rsid w:val="006A3FA7"/>
    <w:rsid w:val="006A472D"/>
    <w:rsid w:val="006A5E34"/>
    <w:rsid w:val="006B2422"/>
    <w:rsid w:val="006B2B9A"/>
    <w:rsid w:val="006C1937"/>
    <w:rsid w:val="006D3C7B"/>
    <w:rsid w:val="006E7133"/>
    <w:rsid w:val="006F020C"/>
    <w:rsid w:val="007127B7"/>
    <w:rsid w:val="0071695A"/>
    <w:rsid w:val="0071798E"/>
    <w:rsid w:val="00730617"/>
    <w:rsid w:val="007416B6"/>
    <w:rsid w:val="00746F48"/>
    <w:rsid w:val="00753A0D"/>
    <w:rsid w:val="0075404D"/>
    <w:rsid w:val="00761762"/>
    <w:rsid w:val="0076182A"/>
    <w:rsid w:val="00761BC0"/>
    <w:rsid w:val="00766EB7"/>
    <w:rsid w:val="00767B7E"/>
    <w:rsid w:val="007770C3"/>
    <w:rsid w:val="00780161"/>
    <w:rsid w:val="00784D24"/>
    <w:rsid w:val="00785FBA"/>
    <w:rsid w:val="00786E4A"/>
    <w:rsid w:val="007875EB"/>
    <w:rsid w:val="0079426B"/>
    <w:rsid w:val="00796BCD"/>
    <w:rsid w:val="007C6263"/>
    <w:rsid w:val="007D1682"/>
    <w:rsid w:val="007D312A"/>
    <w:rsid w:val="007D3F19"/>
    <w:rsid w:val="007E23B0"/>
    <w:rsid w:val="007E23E5"/>
    <w:rsid w:val="007F1991"/>
    <w:rsid w:val="007F2AC4"/>
    <w:rsid w:val="007F2C2F"/>
    <w:rsid w:val="007F55FC"/>
    <w:rsid w:val="007F5665"/>
    <w:rsid w:val="00800112"/>
    <w:rsid w:val="00800FE4"/>
    <w:rsid w:val="00813348"/>
    <w:rsid w:val="00817807"/>
    <w:rsid w:val="0082062A"/>
    <w:rsid w:val="008253BB"/>
    <w:rsid w:val="0083706E"/>
    <w:rsid w:val="008408F6"/>
    <w:rsid w:val="00840B4D"/>
    <w:rsid w:val="008423A5"/>
    <w:rsid w:val="00850625"/>
    <w:rsid w:val="00852FB0"/>
    <w:rsid w:val="00853718"/>
    <w:rsid w:val="00855221"/>
    <w:rsid w:val="00860645"/>
    <w:rsid w:val="00864C99"/>
    <w:rsid w:val="00871F71"/>
    <w:rsid w:val="00872FD8"/>
    <w:rsid w:val="00873914"/>
    <w:rsid w:val="00875385"/>
    <w:rsid w:val="00883F90"/>
    <w:rsid w:val="00885AF4"/>
    <w:rsid w:val="008939CD"/>
    <w:rsid w:val="008B768C"/>
    <w:rsid w:val="008C4DB1"/>
    <w:rsid w:val="008C4EAF"/>
    <w:rsid w:val="008C5176"/>
    <w:rsid w:val="008C6492"/>
    <w:rsid w:val="008C7FD0"/>
    <w:rsid w:val="008E1DE7"/>
    <w:rsid w:val="008E707C"/>
    <w:rsid w:val="00900B08"/>
    <w:rsid w:val="00901A05"/>
    <w:rsid w:val="00902155"/>
    <w:rsid w:val="00902FA3"/>
    <w:rsid w:val="00923564"/>
    <w:rsid w:val="0092392E"/>
    <w:rsid w:val="009315F9"/>
    <w:rsid w:val="00933499"/>
    <w:rsid w:val="00935C98"/>
    <w:rsid w:val="00940215"/>
    <w:rsid w:val="00945174"/>
    <w:rsid w:val="00946945"/>
    <w:rsid w:val="00951248"/>
    <w:rsid w:val="0095152F"/>
    <w:rsid w:val="00954C49"/>
    <w:rsid w:val="00955E37"/>
    <w:rsid w:val="009602B9"/>
    <w:rsid w:val="00962382"/>
    <w:rsid w:val="0097099F"/>
    <w:rsid w:val="00971997"/>
    <w:rsid w:val="00971FFC"/>
    <w:rsid w:val="009773C9"/>
    <w:rsid w:val="00983F0A"/>
    <w:rsid w:val="0098660A"/>
    <w:rsid w:val="009931C3"/>
    <w:rsid w:val="009A777D"/>
    <w:rsid w:val="009B043B"/>
    <w:rsid w:val="009B1271"/>
    <w:rsid w:val="009B2C43"/>
    <w:rsid w:val="009B4EAE"/>
    <w:rsid w:val="009B7573"/>
    <w:rsid w:val="009C22F4"/>
    <w:rsid w:val="009C2A4B"/>
    <w:rsid w:val="009C2E98"/>
    <w:rsid w:val="009D3447"/>
    <w:rsid w:val="009D4711"/>
    <w:rsid w:val="009D6DD1"/>
    <w:rsid w:val="009F1185"/>
    <w:rsid w:val="009F18CD"/>
    <w:rsid w:val="009F2A13"/>
    <w:rsid w:val="009F7527"/>
    <w:rsid w:val="00A04EB0"/>
    <w:rsid w:val="00A13C63"/>
    <w:rsid w:val="00A13CC1"/>
    <w:rsid w:val="00A16847"/>
    <w:rsid w:val="00A20C03"/>
    <w:rsid w:val="00A237D8"/>
    <w:rsid w:val="00A268C4"/>
    <w:rsid w:val="00A276AB"/>
    <w:rsid w:val="00A27CA3"/>
    <w:rsid w:val="00A307CD"/>
    <w:rsid w:val="00A331C8"/>
    <w:rsid w:val="00A40A00"/>
    <w:rsid w:val="00A4142F"/>
    <w:rsid w:val="00A422EB"/>
    <w:rsid w:val="00A45BB7"/>
    <w:rsid w:val="00A56DF2"/>
    <w:rsid w:val="00A56E6E"/>
    <w:rsid w:val="00A66617"/>
    <w:rsid w:val="00A67AB5"/>
    <w:rsid w:val="00A733B2"/>
    <w:rsid w:val="00A741C2"/>
    <w:rsid w:val="00A747E2"/>
    <w:rsid w:val="00A91760"/>
    <w:rsid w:val="00A93B00"/>
    <w:rsid w:val="00A93C21"/>
    <w:rsid w:val="00AB64C9"/>
    <w:rsid w:val="00AC0F64"/>
    <w:rsid w:val="00AC3C6A"/>
    <w:rsid w:val="00AC698A"/>
    <w:rsid w:val="00AD174C"/>
    <w:rsid w:val="00AD5620"/>
    <w:rsid w:val="00AD656B"/>
    <w:rsid w:val="00AD7C1B"/>
    <w:rsid w:val="00AE16BA"/>
    <w:rsid w:val="00AE1EBE"/>
    <w:rsid w:val="00AE26B2"/>
    <w:rsid w:val="00B00D84"/>
    <w:rsid w:val="00B01505"/>
    <w:rsid w:val="00B03C9D"/>
    <w:rsid w:val="00B04C73"/>
    <w:rsid w:val="00B060AE"/>
    <w:rsid w:val="00B10517"/>
    <w:rsid w:val="00B14A68"/>
    <w:rsid w:val="00B14E76"/>
    <w:rsid w:val="00B156E9"/>
    <w:rsid w:val="00B161B8"/>
    <w:rsid w:val="00B1632F"/>
    <w:rsid w:val="00B2048C"/>
    <w:rsid w:val="00B22580"/>
    <w:rsid w:val="00B310B9"/>
    <w:rsid w:val="00B35F3F"/>
    <w:rsid w:val="00B36CBB"/>
    <w:rsid w:val="00B41025"/>
    <w:rsid w:val="00B425E0"/>
    <w:rsid w:val="00B440AA"/>
    <w:rsid w:val="00B4444D"/>
    <w:rsid w:val="00B44B70"/>
    <w:rsid w:val="00B53C56"/>
    <w:rsid w:val="00B57DAF"/>
    <w:rsid w:val="00B66F4E"/>
    <w:rsid w:val="00B70025"/>
    <w:rsid w:val="00B70892"/>
    <w:rsid w:val="00B75784"/>
    <w:rsid w:val="00B77EA6"/>
    <w:rsid w:val="00B81598"/>
    <w:rsid w:val="00B841F1"/>
    <w:rsid w:val="00B93BB9"/>
    <w:rsid w:val="00B944D6"/>
    <w:rsid w:val="00B94B96"/>
    <w:rsid w:val="00B956EB"/>
    <w:rsid w:val="00BB4DF0"/>
    <w:rsid w:val="00BC289F"/>
    <w:rsid w:val="00BC2D50"/>
    <w:rsid w:val="00BC5361"/>
    <w:rsid w:val="00BC5460"/>
    <w:rsid w:val="00BC6B50"/>
    <w:rsid w:val="00BD0E25"/>
    <w:rsid w:val="00BF5BD6"/>
    <w:rsid w:val="00C03E31"/>
    <w:rsid w:val="00C24344"/>
    <w:rsid w:val="00C33E72"/>
    <w:rsid w:val="00C354B2"/>
    <w:rsid w:val="00C35554"/>
    <w:rsid w:val="00C42709"/>
    <w:rsid w:val="00C47B5B"/>
    <w:rsid w:val="00C533CC"/>
    <w:rsid w:val="00C5751C"/>
    <w:rsid w:val="00C61BFC"/>
    <w:rsid w:val="00C62B85"/>
    <w:rsid w:val="00C65438"/>
    <w:rsid w:val="00C86B55"/>
    <w:rsid w:val="00C87FD8"/>
    <w:rsid w:val="00C91381"/>
    <w:rsid w:val="00C91CBB"/>
    <w:rsid w:val="00CB4744"/>
    <w:rsid w:val="00CB4E70"/>
    <w:rsid w:val="00CC09B6"/>
    <w:rsid w:val="00CC666F"/>
    <w:rsid w:val="00CD1E3F"/>
    <w:rsid w:val="00CD5D6D"/>
    <w:rsid w:val="00CE44F6"/>
    <w:rsid w:val="00CE49DA"/>
    <w:rsid w:val="00CE7B61"/>
    <w:rsid w:val="00CF3285"/>
    <w:rsid w:val="00D00095"/>
    <w:rsid w:val="00D114F0"/>
    <w:rsid w:val="00D20620"/>
    <w:rsid w:val="00D254F7"/>
    <w:rsid w:val="00D26091"/>
    <w:rsid w:val="00D2685C"/>
    <w:rsid w:val="00D34E7C"/>
    <w:rsid w:val="00D35489"/>
    <w:rsid w:val="00D36AFE"/>
    <w:rsid w:val="00D51276"/>
    <w:rsid w:val="00D66362"/>
    <w:rsid w:val="00D7035F"/>
    <w:rsid w:val="00D95DE0"/>
    <w:rsid w:val="00DA634F"/>
    <w:rsid w:val="00DA65AC"/>
    <w:rsid w:val="00DA7A1D"/>
    <w:rsid w:val="00DB1913"/>
    <w:rsid w:val="00DC410D"/>
    <w:rsid w:val="00DC5A81"/>
    <w:rsid w:val="00DC68CA"/>
    <w:rsid w:val="00DC7CBA"/>
    <w:rsid w:val="00DD404F"/>
    <w:rsid w:val="00DD73B7"/>
    <w:rsid w:val="00DF28BC"/>
    <w:rsid w:val="00DF34B9"/>
    <w:rsid w:val="00E01053"/>
    <w:rsid w:val="00E04F74"/>
    <w:rsid w:val="00E07ACF"/>
    <w:rsid w:val="00E14631"/>
    <w:rsid w:val="00E15E32"/>
    <w:rsid w:val="00E20F8B"/>
    <w:rsid w:val="00E27F44"/>
    <w:rsid w:val="00E32935"/>
    <w:rsid w:val="00E331A1"/>
    <w:rsid w:val="00E33202"/>
    <w:rsid w:val="00E336A9"/>
    <w:rsid w:val="00E472B1"/>
    <w:rsid w:val="00E50624"/>
    <w:rsid w:val="00E568DF"/>
    <w:rsid w:val="00E64269"/>
    <w:rsid w:val="00E6705F"/>
    <w:rsid w:val="00E82267"/>
    <w:rsid w:val="00E83020"/>
    <w:rsid w:val="00E853CE"/>
    <w:rsid w:val="00E867B6"/>
    <w:rsid w:val="00EA010F"/>
    <w:rsid w:val="00EB2F38"/>
    <w:rsid w:val="00EC50A4"/>
    <w:rsid w:val="00ED1B63"/>
    <w:rsid w:val="00ED3C1F"/>
    <w:rsid w:val="00ED4085"/>
    <w:rsid w:val="00ED420E"/>
    <w:rsid w:val="00ED54A7"/>
    <w:rsid w:val="00ED6C29"/>
    <w:rsid w:val="00ED6FBE"/>
    <w:rsid w:val="00EE2F57"/>
    <w:rsid w:val="00EF4C34"/>
    <w:rsid w:val="00EF53B4"/>
    <w:rsid w:val="00EF77C6"/>
    <w:rsid w:val="00F05438"/>
    <w:rsid w:val="00F1361C"/>
    <w:rsid w:val="00F156F0"/>
    <w:rsid w:val="00F1576B"/>
    <w:rsid w:val="00F160C7"/>
    <w:rsid w:val="00F2408F"/>
    <w:rsid w:val="00F240E9"/>
    <w:rsid w:val="00F36D8F"/>
    <w:rsid w:val="00F417B1"/>
    <w:rsid w:val="00F45853"/>
    <w:rsid w:val="00F50955"/>
    <w:rsid w:val="00F602DF"/>
    <w:rsid w:val="00F754A1"/>
    <w:rsid w:val="00F81FD9"/>
    <w:rsid w:val="00F841AA"/>
    <w:rsid w:val="00F84A94"/>
    <w:rsid w:val="00F87E96"/>
    <w:rsid w:val="00F937A2"/>
    <w:rsid w:val="00FA23E8"/>
    <w:rsid w:val="00FB6873"/>
    <w:rsid w:val="00FD3CC1"/>
    <w:rsid w:val="00FE0632"/>
    <w:rsid w:val="00FE5A91"/>
    <w:rsid w:val="00FF1E02"/>
    <w:rsid w:val="00FF30B4"/>
    <w:rsid w:val="00FF7353"/>
    <w:rsid w:val="0A2032A3"/>
    <w:rsid w:val="10C055FF"/>
    <w:rsid w:val="118107EC"/>
    <w:rsid w:val="16BB723D"/>
    <w:rsid w:val="18015F3F"/>
    <w:rsid w:val="1BE8440E"/>
    <w:rsid w:val="1D155CEE"/>
    <w:rsid w:val="1E978E6D"/>
    <w:rsid w:val="1FAF797F"/>
    <w:rsid w:val="20F57F95"/>
    <w:rsid w:val="240371BF"/>
    <w:rsid w:val="27842671"/>
    <w:rsid w:val="29FD04D3"/>
    <w:rsid w:val="2ABE7A3E"/>
    <w:rsid w:val="319F7F4E"/>
    <w:rsid w:val="3C0C0783"/>
    <w:rsid w:val="493C27E9"/>
    <w:rsid w:val="496F39ED"/>
    <w:rsid w:val="49FF41D3"/>
    <w:rsid w:val="4BE068DB"/>
    <w:rsid w:val="4BF6002B"/>
    <w:rsid w:val="4ECE2238"/>
    <w:rsid w:val="64CA39A1"/>
    <w:rsid w:val="6C4A05C8"/>
    <w:rsid w:val="6FFB069C"/>
    <w:rsid w:val="72734D90"/>
    <w:rsid w:val="7AFEB400"/>
    <w:rsid w:val="7BB7C7C3"/>
    <w:rsid w:val="7EDDE1CB"/>
    <w:rsid w:val="7F7778C4"/>
    <w:rsid w:val="AFE78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2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3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5"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paragraph" w:customStyle="1" w:styleId="29">
    <w:name w:val="TOC 标题2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30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hart" Target="charts/chart7.xml"/><Relationship Id="rId17" Type="http://schemas.openxmlformats.org/officeDocument/2006/relationships/chart" Target="charts/chart6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4560;&#36130;&#22235;&#24029;&#30465;&#19990;&#34892;&#21150;\2021&#24180;&#24230;\16&#39044;&#20915;&#31639;&#20844;&#24320;2021\&#20915;&#31639;&#20844;&#24320;2021\&#22235;&#24029;&#30465;&#19990;&#30028;&#38134;&#34892;&#36151;&#27454;&#24037;&#20316;&#39046;&#23548;&#23567;&#32452;&#21150;&#20844;&#23460;&#20915;&#31639;&#20844;&#24320;&#25968;&#25454;&#65288;&#26469;&#33258;&#26472;&#20339;&#65289;202108171023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721828521434821"/>
          <c:y val="0.0745487022455526"/>
          <c:w val="0.763971347331584"/>
          <c:h val="0.739371536891222"/>
        </c:manualLayout>
      </c:layout>
      <c:barChart>
        <c:barDir val="col"/>
        <c:grouping val="clustered"/>
        <c:varyColors val="false"/>
        <c:ser>
          <c:idx val="0"/>
          <c:order val="0"/>
          <c:tx>
            <c:strRef>
              <c:f>万元</c:f>
              <c:strCache>
                <c:ptCount val="1"/>
                <c:pt idx="0">
                  <c:v>万元</c:v>
                </c:pt>
              </c:strCache>
            </c:strRef>
          </c:tx>
          <c:invertIfNegative val="false"/>
          <c:dLbls>
            <c:dLbl>
              <c:idx val="0"/>
              <c:layout>
                <c:manualLayout>
                  <c:x val="0.0238095238095238"/>
                  <c:y val="0.016771488469601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bg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en-US">
                        <a:solidFill>
                          <a:schemeClr val="bg2"/>
                        </a:solidFill>
                      </a:rPr>
                      <a:t>87.19</a:t>
                    </a:r>
                    <a:r>
                      <a:rPr lang="zh-CN" altLang="en-US">
                        <a:solidFill>
                          <a:schemeClr val="bg2"/>
                        </a:solidFill>
                      </a:rPr>
                      <a:t>万元</a:t>
                    </a:r>
                    <a:endParaRPr lang="en-US" altLang="en-US"/>
                  </a:p>
                </c:rich>
              </c:tx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14285714285714"/>
                  <c:y val="0.016771488469601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bg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en-US">
                        <a:solidFill>
                          <a:schemeClr val="bg2"/>
                        </a:solidFill>
                      </a:rPr>
                      <a:t>106.50</a:t>
                    </a:r>
                    <a:r>
                      <a:rPr lang="zh-CN" altLang="en-US">
                        <a:solidFill>
                          <a:schemeClr val="bg2"/>
                        </a:solidFill>
                      </a:rPr>
                      <a:t>万元</a:t>
                    </a:r>
                    <a:endParaRPr lang="en-US" altLang="en-US"/>
                  </a:p>
                </c:rich>
              </c:tx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bg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Sheet1!$D$6:$E$7</c:f>
              <c:multiLvlStrCache>
                <c:ptCount val="2"/>
                <c:lvl>
                  <c:pt idx="0">
                    <c:v>2019年</c:v>
                  </c:pt>
                  <c:pt idx="1">
                    <c:v>2020年</c:v>
                  </c:pt>
                </c:lvl>
                <c:lvl>
                  <c:pt idx="0">
                    <c:v>收支总计</c:v>
                  </c:pt>
                </c:lvl>
              </c:multiLvlStrCache>
            </c:multiLvlStrRef>
          </c:cat>
          <c:val>
            <c:numRef>
              <c:f>Sheet1!$D$8:$E$8</c:f>
              <c:numCache>
                <c:formatCode>General</c:formatCode>
                <c:ptCount val="2"/>
                <c:pt idx="0">
                  <c:v>87.19</c:v>
                </c:pt>
                <c:pt idx="1">
                  <c:v>106.5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150"/>
        <c:axId val="389080064"/>
        <c:axId val="99860480"/>
      </c:barChart>
      <c:catAx>
        <c:axId val="389080064"/>
        <c:scaling>
          <c:orientation val="minMax"/>
        </c:scaling>
        <c:delete val="false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9860480"/>
        <c:crosses val="autoZero"/>
        <c:auto val="true"/>
        <c:lblAlgn val="ctr"/>
        <c:lblOffset val="100"/>
        <c:noMultiLvlLbl val="false"/>
      </c:catAx>
      <c:valAx>
        <c:axId val="99860480"/>
        <c:scaling>
          <c:orientation val="minMax"/>
        </c:scaling>
        <c:delete val="false"/>
        <c:axPos val="l"/>
        <c:majorGridlines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8908006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true"/>
    <c:plotArea>
      <c:layout/>
      <c:pieChart>
        <c:varyColors val="true"/>
        <c:ser>
          <c:idx val="0"/>
          <c:order val="0"/>
          <c:explosion val="25"/>
          <c:dPt>
            <c:idx val="0"/>
            <c:bubble3D val="false"/>
          </c:dPt>
          <c:dPt>
            <c:idx val="1"/>
            <c:bubble3D val="false"/>
          </c:dPt>
          <c:dPt>
            <c:idx val="2"/>
            <c:bubble3D val="false"/>
          </c:dPt>
          <c:dPt>
            <c:idx val="3"/>
            <c:bubble3D val="false"/>
          </c:dPt>
          <c:dPt>
            <c:idx val="4"/>
            <c:bubble3D val="false"/>
          </c:dPt>
          <c:dPt>
            <c:idx val="5"/>
            <c:bubble3D val="false"/>
          </c:dPt>
          <c:dPt>
            <c:idx val="6"/>
            <c:bubble3D val="false"/>
          </c:dPt>
          <c:dPt>
            <c:idx val="7"/>
            <c:bubble3D val="false"/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en-US">
                        <a:solidFill>
                          <a:schemeClr val="bg1"/>
                        </a:solidFill>
                      </a:rPr>
                      <a:t>106.50</a:t>
                    </a:r>
                    <a:r>
                      <a:rPr lang="zh-CN" altLang="en-US">
                        <a:solidFill>
                          <a:schemeClr val="bg1"/>
                        </a:solidFill>
                      </a:rPr>
                      <a:t>万元</a:t>
                    </a:r>
                    <a:endParaRPr lang="en-US" altLang="en-US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Sheet1!$D$6:$D$13</c:f>
              <c:strCache>
                <c:ptCount val="8"/>
                <c:pt idx="0">
                  <c:v>一般公共预算财政拨款收入</c:v>
                </c:pt>
                <c:pt idx="1">
                  <c:v>政府性基金预算财政拨款</c:v>
                </c:pt>
                <c:pt idx="2">
                  <c:v>国有资本经营预算财政拨款收入</c:v>
                </c:pt>
                <c:pt idx="3">
                  <c:v>上级补助收入</c:v>
                </c:pt>
                <c:pt idx="4">
                  <c:v>事业收入</c:v>
                </c:pt>
                <c:pt idx="5">
                  <c:v>经营收入</c:v>
                </c:pt>
                <c:pt idx="6">
                  <c:v>附属单位上缴收入</c:v>
                </c:pt>
                <c:pt idx="7">
                  <c:v>其他收入</c:v>
                </c:pt>
              </c:strCache>
            </c:strRef>
          </c:cat>
          <c:val>
            <c:numRef>
              <c:f>Sheet1!$E$6:$E$13</c:f>
              <c:numCache>
                <c:formatCode>#,##0.00</c:formatCode>
                <c:ptCount val="8"/>
                <c:pt idx="0">
                  <c:v>106.5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9084551931009"/>
          <c:y val="0.0531310340593391"/>
          <c:w val="0.366629733783277"/>
          <c:h val="0.89373762490215"/>
        </c:manualLayout>
      </c:layout>
      <c:overlay val="false"/>
      <c:txPr>
        <a:bodyPr rot="0" spcFirstLastPara="0" vertOverflow="ellipsis" vert="horz" wrap="square" anchor="ctr" anchorCtr="true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pieChart>
        <c:varyColors val="true"/>
        <c:ser>
          <c:idx val="0"/>
          <c:order val="0"/>
          <c:explosion val="0"/>
          <c:dPt>
            <c:idx val="0"/>
            <c:bubble3D val="false"/>
          </c:dPt>
          <c:dPt>
            <c:idx val="1"/>
            <c:bubble3D val="false"/>
          </c:dPt>
          <c:dPt>
            <c:idx val="2"/>
            <c:bubble3D val="false"/>
          </c:dPt>
          <c:dPt>
            <c:idx val="3"/>
            <c:bubble3D val="false"/>
          </c:dPt>
          <c:dPt>
            <c:idx val="4"/>
            <c:bubble3D val="false"/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en-US">
                        <a:solidFill>
                          <a:schemeClr val="bg1"/>
                        </a:solidFill>
                      </a:rPr>
                      <a:t>106.5</a:t>
                    </a:r>
                    <a:r>
                      <a:rPr lang="zh-CN" altLang="en-US">
                        <a:solidFill>
                          <a:schemeClr val="bg1"/>
                        </a:solidFill>
                      </a:rPr>
                      <a:t>万元</a:t>
                    </a:r>
                    <a:endParaRPr lang="en-US" altLang="en-US"/>
                  </a:p>
                </c:rich>
              </c:tx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Sheet1!$F$7:$F$11</c:f>
              <c:strCache>
                <c:ptCount val="5"/>
                <c:pt idx="0">
                  <c:v>基本支出</c:v>
                </c:pt>
                <c:pt idx="1">
                  <c:v>项目支出</c:v>
                </c:pt>
                <c:pt idx="2">
                  <c:v>上缴上级支出</c:v>
                </c:pt>
                <c:pt idx="3">
                  <c:v>经营支出</c:v>
                </c:pt>
                <c:pt idx="4">
                  <c:v>对附属单位补助支出</c:v>
                </c:pt>
              </c:strCache>
            </c:strRef>
          </c:cat>
          <c:val>
            <c:numRef>
              <c:f>Sheet1!$G$7:$G$11</c:f>
              <c:numCache>
                <c:formatCode>General</c:formatCode>
                <c:ptCount val="5"/>
                <c:pt idx="0">
                  <c:v>106.5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false"/>
      <c:txPr>
        <a:bodyPr rot="0" spcFirstLastPara="0" vertOverflow="ellipsis" vert="horz" wrap="square" anchor="ctr" anchorCtr="true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tru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万元</c:f>
              <c:strCache>
                <c:ptCount val="1"/>
                <c:pt idx="0">
                  <c:v>万元</c:v>
                </c:pt>
              </c:strCache>
            </c:strRef>
          </c:tx>
          <c:spPr>
            <a:solidFill>
              <a:srgbClr val="00B0F0"/>
            </a:solidFill>
          </c:spPr>
          <c:invertIfNegative val="false"/>
          <c:dLbls>
            <c:dLbl>
              <c:idx val="0"/>
              <c:layout>
                <c:manualLayout>
                  <c:x val="0.0147329650092081"/>
                  <c:y val="0.010810810810810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en-US">
                        <a:solidFill>
                          <a:schemeClr val="bg1"/>
                        </a:solidFill>
                      </a:rPr>
                      <a:t>87.19</a:t>
                    </a:r>
                    <a:r>
                      <a:rPr lang="zh-CN" altLang="en-US">
                        <a:solidFill>
                          <a:schemeClr val="bg1"/>
                        </a:solidFill>
                      </a:rPr>
                      <a:t>万元</a:t>
                    </a:r>
                    <a:endParaRPr lang="en-US" altLang="en-US"/>
                  </a:p>
                </c:rich>
              </c:tx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96439533456108"/>
                  <c:y val="-2.83748315244378e-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en-US">
                        <a:solidFill>
                          <a:schemeClr val="bg1"/>
                        </a:solidFill>
                      </a:rPr>
                      <a:t>106.50</a:t>
                    </a:r>
                    <a:r>
                      <a:rPr lang="zh-CN" altLang="en-US">
                        <a:solidFill>
                          <a:schemeClr val="bg1"/>
                        </a:solidFill>
                      </a:rPr>
                      <a:t>万元</a:t>
                    </a:r>
                    <a:endParaRPr lang="en-US" altLang="en-US"/>
                  </a:p>
                </c:rich>
              </c:tx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Sheet1!$D$6:$E$7</c:f>
              <c:strCache>
                <c:ptCount val="2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Sheet1!$D$8:$E$8</c:f>
              <c:numCache>
                <c:formatCode>General</c:formatCode>
                <c:ptCount val="2"/>
                <c:pt idx="0">
                  <c:v>87.19</c:v>
                </c:pt>
                <c:pt idx="1">
                  <c:v>106.5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150"/>
        <c:axId val="389080576"/>
        <c:axId val="159359552"/>
      </c:barChart>
      <c:catAx>
        <c:axId val="389080576"/>
        <c:scaling>
          <c:orientation val="minMax"/>
        </c:scaling>
        <c:delete val="false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9359552"/>
        <c:crosses val="autoZero"/>
        <c:auto val="true"/>
        <c:lblAlgn val="ctr"/>
        <c:lblOffset val="100"/>
        <c:noMultiLvlLbl val="false"/>
      </c:catAx>
      <c:valAx>
        <c:axId val="159359552"/>
        <c:scaling>
          <c:orientation val="minMax"/>
        </c:scaling>
        <c:delete val="false"/>
        <c:axPos val="l"/>
        <c:majorGridlines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8908057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tru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万元</c:f>
              <c:strCache>
                <c:ptCount val="1"/>
                <c:pt idx="0">
                  <c:v>万元</c:v>
                </c:pt>
              </c:strCache>
            </c:strRef>
          </c:tx>
          <c:invertIfNegative val="false"/>
          <c:dLbls>
            <c:dLbl>
              <c:idx val="0"/>
              <c:layout>
                <c:manualLayout>
                  <c:x val="0.0235571260306243"/>
                  <c:y val="0.008908685968819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en-US">
                        <a:solidFill>
                          <a:schemeClr val="bg1"/>
                        </a:solidFill>
                      </a:rPr>
                      <a:t>87.19</a:t>
                    </a:r>
                    <a:r>
                      <a:rPr lang="zh-CN" altLang="en-US">
                        <a:solidFill>
                          <a:schemeClr val="bg1"/>
                        </a:solidFill>
                      </a:rPr>
                      <a:t>万元</a:t>
                    </a:r>
                    <a:endParaRPr lang="en-US" altLang="en-US"/>
                  </a:p>
                </c:rich>
              </c:tx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306242638398115"/>
                  <c:y val="0.011878247958426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en-US">
                        <a:solidFill>
                          <a:schemeClr val="bg1"/>
                        </a:solidFill>
                      </a:rPr>
                      <a:t>106.5</a:t>
                    </a:r>
                    <a:r>
                      <a:rPr lang="zh-CN" altLang="en-US">
                        <a:solidFill>
                          <a:schemeClr val="bg1"/>
                        </a:solidFill>
                      </a:rPr>
                      <a:t>万元</a:t>
                    </a:r>
                    <a:endParaRPr lang="en-US" altLang="en-US"/>
                  </a:p>
                </c:rich>
              </c:tx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Sheet1!$D$6:$E$7</c:f>
              <c:strCache>
                <c:ptCount val="2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Sheet1!$D$8:$E$8</c:f>
              <c:numCache>
                <c:formatCode>General</c:formatCode>
                <c:ptCount val="2"/>
                <c:pt idx="0">
                  <c:v>87.19</c:v>
                </c:pt>
                <c:pt idx="1">
                  <c:v>106.5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150"/>
        <c:axId val="389081088"/>
        <c:axId val="159362432"/>
      </c:barChart>
      <c:catAx>
        <c:axId val="389081088"/>
        <c:scaling>
          <c:orientation val="minMax"/>
        </c:scaling>
        <c:delete val="false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9362432"/>
        <c:crosses val="autoZero"/>
        <c:auto val="true"/>
        <c:lblAlgn val="ctr"/>
        <c:lblOffset val="100"/>
        <c:noMultiLvlLbl val="false"/>
      </c:catAx>
      <c:valAx>
        <c:axId val="159362432"/>
        <c:scaling>
          <c:orientation val="minMax"/>
        </c:scaling>
        <c:delete val="false"/>
        <c:axPos val="l"/>
        <c:majorGridlines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8908108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0716845878136201"/>
          <c:y val="0.0137073658631546"/>
          <c:w val="0.701385635886423"/>
          <c:h val="0.939355713528137"/>
        </c:manualLayout>
      </c:layout>
      <c:pieChart>
        <c:varyColors val="true"/>
        <c:ser>
          <c:idx val="0"/>
          <c:order val="0"/>
          <c:explosion val="25"/>
          <c:dPt>
            <c:idx val="0"/>
            <c:bubble3D val="false"/>
          </c:dPt>
          <c:dPt>
            <c:idx val="1"/>
            <c:bubble3D val="false"/>
          </c:dPt>
          <c:dPt>
            <c:idx val="2"/>
            <c:bubble3D val="false"/>
          </c:dPt>
          <c:dPt>
            <c:idx val="3"/>
            <c:bubble3D val="false"/>
          </c:dPt>
          <c:dLbls>
            <c:dLbl>
              <c:idx val="2"/>
              <c:layout>
                <c:manualLayout>
                  <c:x val="0.0600509882501246"/>
                  <c:y val="0.0312687549570322"/>
                </c:manualLayout>
              </c:layout>
              <c:dLblPos val="bestFit"/>
              <c:showLegendKey val="false"/>
              <c:showVal val="false"/>
              <c:showCatName val="false"/>
              <c:showSerName val="false"/>
              <c:showPercent val="tru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false"/>
            <c:showVal val="false"/>
            <c:showCatName val="false"/>
            <c:showSerName val="false"/>
            <c:showPercent val="tru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('Z03 支出决算表'!$D$11,'Z03 支出决算表'!$D$14,'Z03 支出决算表'!$D$18,'Z03 支出决算表'!$D$22)</c:f>
              <c:strCache>
                <c:ptCount val="4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('Z03 支出决算表'!$E$11,'Z03 支出决算表'!$E$14,'Z03 支出决算表'!$E$18,'Z03 支出决算表'!$E$22)</c:f>
              <c:numCache>
                <c:formatCode>#,##0.00</c:formatCode>
                <c:ptCount val="4"/>
                <c:pt idx="0">
                  <c:v>78.92</c:v>
                </c:pt>
                <c:pt idx="1">
                  <c:v>9.9</c:v>
                </c:pt>
                <c:pt idx="2">
                  <c:v>6.32</c:v>
                </c:pt>
                <c:pt idx="3">
                  <c:v>11.36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false"/>
      <c:txPr>
        <a:bodyPr rot="0" spcFirstLastPara="0" vertOverflow="ellipsis" vert="horz" wrap="square" anchor="ctr" anchorCtr="true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pieChart>
        <c:varyColors val="true"/>
        <c:ser>
          <c:idx val="0"/>
          <c:order val="0"/>
          <c:explosion val="0"/>
          <c:dPt>
            <c:idx val="0"/>
            <c:bubble3D val="false"/>
          </c:dPt>
          <c:dPt>
            <c:idx val="1"/>
            <c:bubble3D val="false"/>
          </c:dPt>
          <c:dPt>
            <c:idx val="2"/>
            <c:bubble3D val="false"/>
          </c:dPt>
          <c:dLbls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en-US">
                        <a:solidFill>
                          <a:schemeClr val="bg1"/>
                        </a:solidFill>
                      </a:rPr>
                      <a:t>1.73</a:t>
                    </a:r>
                    <a:r>
                      <a:rPr lang="zh-CN" altLang="en-US">
                        <a:solidFill>
                          <a:schemeClr val="bg1"/>
                        </a:solidFill>
                      </a:rPr>
                      <a:t>万元</a:t>
                    </a:r>
                    <a:endParaRPr lang="en-US" altLang="en-US"/>
                  </a:p>
                </c:rich>
              </c:tx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Sheet1!$E$10:$E$12</c:f>
              <c:strCache>
                <c:ptCount val="3"/>
                <c:pt idx="0">
                  <c:v>因公出国（境）费支出</c:v>
                </c:pt>
                <c:pt idx="1">
                  <c:v>公务用车购置及运行维护费支出</c:v>
                </c:pt>
                <c:pt idx="2">
                  <c:v>公务接待费支出</c:v>
                </c:pt>
              </c:strCache>
            </c:strRef>
          </c:cat>
          <c:val>
            <c:numRef>
              <c:f>Sheet1!$F$10:$F$12</c:f>
              <c:numCache>
                <c:formatCode>General</c:formatCode>
                <c:ptCount val="3"/>
                <c:pt idx="0">
                  <c:v>0</c:v>
                </c:pt>
                <c:pt idx="1">
                  <c:v>1.73</c:v>
                </c:pt>
                <c:pt idx="2">
                  <c:v>0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</c:plotArea>
    <c:legend>
      <c:legendPos val="r"/>
      <c:layout/>
      <c:overlay val="false"/>
      <c:txPr>
        <a:bodyPr rot="0" spcFirstLastPara="0" vertOverflow="ellipsis" vert="horz" wrap="square" anchor="ctr" anchorCtr="true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19</Pages>
  <Words>1188</Words>
  <Characters>6773</Characters>
  <Lines>56</Lines>
  <Paragraphs>15</Paragraphs>
  <TotalTime>0</TotalTime>
  <ScaleCrop>false</ScaleCrop>
  <LinksUpToDate>false</LinksUpToDate>
  <CharactersWithSpaces>7946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2021-09-09T15:32:00Z</dcterms:created>
  <dc:creator>曹颖</dc:creator>
  <cp:lastModifiedBy>user</cp:lastModifiedBy>
  <cp:lastPrinted>2021-09-09T16:40:00Z</cp:lastPrinted>
  <dcterms:modified xsi:type="dcterms:W3CDTF">2022-11-14T09:48:32Z</dcterms:modified>
  <dc:title>四川省***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