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96597"/>
      <w:bookmarkStart w:id="3" w:name="_Toc15377193"/>
      <w:bookmarkStart w:id="4" w:name="_Toc1539647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8442"/>
      <w:bookmarkStart w:id="7" w:name="_Toc15396598"/>
      <w:bookmarkStart w:id="8" w:name="_Toc15377426"/>
      <w:bookmarkStart w:id="9" w:name="_Toc15377194"/>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财政厅社会保险</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基金中心单位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600" w:lineRule="exact"/>
        <w:jc w:val="center"/>
        <w:textAlignment w:val="auto"/>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keepNext w:val="0"/>
        <w:keepLines w:val="0"/>
        <w:pageBreakBefore w:val="0"/>
        <w:kinsoku/>
        <w:wordWrap/>
        <w:overflowPunct/>
        <w:topLinePunct w:val="0"/>
        <w:autoSpaceDE/>
        <w:autoSpaceDN/>
        <w:bidi w:val="0"/>
        <w:spacing w:line="600" w:lineRule="exact"/>
        <w:textAlignment w:val="auto"/>
        <w:rPr>
          <w:color w:val="auto"/>
          <w:highlight w:val="none"/>
        </w:rPr>
      </w:pPr>
    </w:p>
    <w:p>
      <w:pPr>
        <w:pStyle w:val="2"/>
      </w:pP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第一部分 </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概况</w:t>
      </w:r>
      <w:r>
        <w:rPr>
          <w:rFonts w:hint="eastAsia" w:ascii="黑体" w:hAnsi="黑体" w:eastAsia="黑体" w:cs="黑体"/>
          <w:color w:val="auto"/>
          <w:sz w:val="32"/>
          <w:szCs w:val="32"/>
          <w:highlight w:val="none"/>
        </w:rPr>
        <w:tab/>
      </w:r>
      <w:r>
        <w:rPr>
          <w:rFonts w:hint="eastAsia" w:ascii="黑体" w:hAnsi="黑体" w:eastAsia="黑体" w:cs="黑体"/>
          <w:color w:val="auto"/>
          <w:sz w:val="32"/>
          <w:szCs w:val="32"/>
          <w:highlight w:val="none"/>
        </w:rPr>
        <w:t>4</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一、职能</w:t>
      </w:r>
      <w:r>
        <w:rPr>
          <w:rFonts w:hint="eastAsia" w:ascii="仿宋_GB2312" w:hAnsi="仿宋_GB2312" w:eastAsia="仿宋_GB2312" w:cs="仿宋_GB2312"/>
          <w:color w:val="auto"/>
          <w:sz w:val="32"/>
          <w:szCs w:val="32"/>
          <w:highlight w:val="none"/>
          <w:lang w:eastAsia="zh-CN"/>
        </w:rPr>
        <w:t>简介</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4</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lang w:val="en-US" w:eastAsia="zh-CN"/>
        </w:rPr>
        <w:t>2021年重点</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完成情况</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5</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三、机构设置情况</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5</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highlight w:val="none"/>
          <w:lang w:val="en-US" w:eastAsia="zh-CN"/>
        </w:rPr>
        <w:t xml:space="preserve">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r>
        <w:rPr>
          <w:rFonts w:hint="eastAsia" w:ascii="黑体" w:hAnsi="黑体" w:eastAsia="黑体" w:cs="黑体"/>
          <w:color w:val="auto"/>
          <w:sz w:val="32"/>
          <w:szCs w:val="32"/>
          <w:highlight w:val="none"/>
        </w:rPr>
        <w:tab/>
      </w:r>
      <w:r>
        <w:rPr>
          <w:rFonts w:hint="eastAsia" w:ascii="黑体" w:hAnsi="黑体" w:eastAsia="黑体" w:cs="黑体"/>
          <w:color w:val="auto"/>
          <w:sz w:val="32"/>
          <w:szCs w:val="32"/>
          <w:highlight w:val="none"/>
          <w:lang w:val="en-US" w:eastAsia="zh-CN"/>
        </w:rPr>
        <w:t>6</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一、收入支出决算总体情况说明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6</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6</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7</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四、财政拨款收入支出决算总体情况说明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8</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五、一般公共预算财政拨款支出决算情况说明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8</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六、一般公共预算财政拨款基本支出决算情况说明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11</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三公”经费财政拨款支出决算情况说明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八、政府性基金预算支出决算情况说明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九、国有资本经营预算支出决算情况说明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十、其他重要事项的情况说明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第三部分 名词解释</w:t>
      </w:r>
      <w:r>
        <w:rPr>
          <w:rFonts w:hint="eastAsia" w:ascii="黑体" w:hAnsi="黑体" w:eastAsia="黑体" w:cs="黑体"/>
          <w:color w:val="auto"/>
          <w:sz w:val="32"/>
          <w:szCs w:val="32"/>
          <w:highlight w:val="none"/>
        </w:rPr>
        <w:tab/>
      </w:r>
      <w:r>
        <w:rPr>
          <w:rFonts w:hint="eastAsia" w:ascii="黑体" w:hAnsi="黑体" w:eastAsia="黑体" w:cs="黑体"/>
          <w:color w:val="auto"/>
          <w:sz w:val="32"/>
          <w:szCs w:val="32"/>
          <w:highlight w:val="none"/>
          <w:lang w:val="en-US" w:eastAsia="zh-CN"/>
        </w:rPr>
        <w:t>14</w:t>
      </w:r>
    </w:p>
    <w:p>
      <w:pPr>
        <w:pStyle w:val="11"/>
        <w:adjustRightInd w:val="0"/>
        <w:snapToGrid w:val="0"/>
        <w:spacing w:line="600" w:lineRule="exact"/>
        <w:jc w:val="left"/>
        <w:rPr>
          <w:rFonts w:hint="default"/>
          <w:lang w:val="en-US"/>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附</w:t>
      </w:r>
      <w:r>
        <w:rPr>
          <w:rFonts w:hint="eastAsia" w:ascii="黑体" w:hAnsi="黑体" w:eastAsia="黑体" w:cs="黑体"/>
          <w:color w:val="auto"/>
          <w:sz w:val="32"/>
          <w:szCs w:val="32"/>
          <w:highlight w:val="none"/>
          <w:lang w:val="en-US" w:eastAsia="zh-CN"/>
        </w:rPr>
        <w:t>件</w:t>
      </w:r>
      <w:r>
        <w:rPr>
          <w:rFonts w:hint="eastAsia" w:ascii="黑体" w:hAnsi="黑体" w:eastAsia="黑体" w:cs="黑体"/>
          <w:color w:val="auto"/>
          <w:sz w:val="32"/>
          <w:szCs w:val="32"/>
          <w:highlight w:val="none"/>
        </w:rPr>
        <w:tab/>
      </w:r>
      <w:r>
        <w:rPr>
          <w:rFonts w:hint="eastAsia" w:ascii="黑体" w:hAnsi="黑体" w:eastAsia="黑体" w:cs="黑体"/>
          <w:color w:val="auto"/>
          <w:sz w:val="32"/>
          <w:szCs w:val="32"/>
          <w:highlight w:val="none"/>
          <w:lang w:val="en-US" w:eastAsia="zh-CN"/>
        </w:rPr>
        <w:t>16</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default" w:ascii="黑体" w:hAnsi="黑体" w:eastAsia="黑体" w:cs="黑体"/>
          <w:color w:val="auto"/>
          <w:sz w:val="32"/>
          <w:szCs w:val="32"/>
          <w:highlight w:val="none"/>
          <w:lang w:val="en-US"/>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部分 附表</w:t>
      </w:r>
      <w:r>
        <w:rPr>
          <w:rFonts w:hint="eastAsia" w:ascii="黑体" w:hAnsi="黑体" w:eastAsia="黑体" w:cs="黑体"/>
          <w:color w:val="auto"/>
          <w:sz w:val="32"/>
          <w:szCs w:val="32"/>
          <w:highlight w:val="none"/>
        </w:rPr>
        <w:tab/>
      </w:r>
      <w:r>
        <w:rPr>
          <w:rFonts w:hint="eastAsia" w:ascii="黑体" w:hAnsi="黑体" w:eastAsia="黑体" w:cs="黑体"/>
          <w:color w:val="auto"/>
          <w:sz w:val="32"/>
          <w:szCs w:val="32"/>
          <w:highlight w:val="none"/>
          <w:lang w:val="en-US" w:eastAsia="zh-CN"/>
        </w:rPr>
        <w:t>17</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五、财政拨款支出决算明细表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七、一般公共预算财政拨款支出决算明细表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八、一般公共预算财政拨款基本支出决算表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九、一般公共预算财政拨款项目支出决算表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十、一般公共预算财政拨款“三公”经费支出决算表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十一、政府性基金预算财政拨款收入支出决算表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十二、政府性基金预算财政拨款“三公”经费支出决算表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十三、国有资本经营预算</w:t>
      </w:r>
      <w:r>
        <w:rPr>
          <w:rFonts w:hint="eastAsia" w:ascii="仿宋_GB2312" w:hAnsi="仿宋_GB2312" w:eastAsia="仿宋_GB2312" w:cs="仿宋_GB2312"/>
          <w:color w:val="auto"/>
          <w:sz w:val="32"/>
          <w:szCs w:val="32"/>
          <w:highlight w:val="none"/>
          <w:lang w:eastAsia="zh-CN"/>
        </w:rPr>
        <w:t>财政拨款收入</w:t>
      </w:r>
      <w:r>
        <w:rPr>
          <w:rFonts w:hint="eastAsia" w:ascii="仿宋_GB2312" w:hAnsi="仿宋_GB2312" w:eastAsia="仿宋_GB2312" w:cs="仿宋_GB2312"/>
          <w:color w:val="auto"/>
          <w:sz w:val="32"/>
          <w:szCs w:val="32"/>
          <w:highlight w:val="none"/>
        </w:rPr>
        <w:t>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十四、国有资本经营预算财政拨款支出决算表</w:t>
      </w:r>
    </w:p>
    <w:p>
      <w:pPr>
        <w:keepNext w:val="0"/>
        <w:keepLines w:val="0"/>
        <w:pageBreakBefore w:val="0"/>
        <w:widowControl/>
        <w:kinsoku/>
        <w:wordWrap/>
        <w:overflowPunct/>
        <w:topLinePunct w:val="0"/>
        <w:autoSpaceDE/>
        <w:autoSpaceDN/>
        <w:bidi w:val="0"/>
        <w:spacing w:line="600" w:lineRule="exact"/>
        <w:jc w:val="left"/>
        <w:textAlignment w:val="auto"/>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bookmarkEnd w:id="12"/>
    <w:bookmarkEnd w:id="13"/>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44"/>
          <w:szCs w:val="44"/>
          <w:highlight w:val="none"/>
          <w:lang w:eastAsia="zh-CN"/>
        </w:rPr>
      </w:pPr>
      <w:bookmarkStart w:id="14" w:name="_Toc15377197"/>
      <w:bookmarkStart w:id="15" w:name="_Toc15396600"/>
      <w:r>
        <w:rPr>
          <w:rFonts w:hint="eastAsia" w:ascii="黑体" w:hAnsi="黑体" w:eastAsia="黑体" w:cs="黑体"/>
          <w:color w:val="auto"/>
          <w:sz w:val="44"/>
          <w:szCs w:val="44"/>
          <w:highlight w:val="none"/>
          <w:lang w:eastAsia="zh-CN"/>
        </w:rPr>
        <w:t>第一部分 单位概况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一、职能简介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sz w:val="32"/>
          <w:szCs w:val="32"/>
        </w:rPr>
        <w:t>全省及省级社保基金预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算、预算调整方案的编制、汇总、审核等工作。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负责全省及省级社保基金预算月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度执行分析工作。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具体承担社保基金预算绩效管理事前评估、事中监控、事后评价工作。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负责社保基金运行分析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短期和中长期精算研究工作。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负责与人民银行成都分行、省级社保经办机构、税务部门按旬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核对社保费征收情况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办理省级金库待划转社会保险费划转基金财政专户工作。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负责办理省级社保基金支出用款计划初审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登记省级财政专户基金收支辅助账工作。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负责登记统收统支省级统筹险种各经办核算单元基金收支台账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登记职业年金省级记账单位应缴费台账。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负责建设和维护全省社会保障资金信息管理系统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做好基础数据管理和分析工作。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具体指导全省社保基金财务管理和会计核算工作。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协助做好社会保障专项资金统计报表汇总审核工作。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参与各</w:t>
      </w:r>
      <w:r>
        <w:rPr>
          <w:rFonts w:hint="eastAsia" w:ascii="仿宋_GB2312" w:hAnsi="仿宋_GB2312" w:eastAsia="仿宋_GB2312" w:cs="仿宋_GB2312"/>
          <w:sz w:val="32"/>
          <w:szCs w:val="32"/>
        </w:rPr>
        <w:t>项社保政策研究制定、社保基金委托投资运营、职业年金投资运营管理等工作。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 w:val="0"/>
          <w:color w:val="auto"/>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完成领导交办的其他工作事项。</w:t>
      </w:r>
    </w:p>
    <w:bookmarkEnd w:id="14"/>
    <w:bookmarkEnd w:id="1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二、2021年重点工作完成情况</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eastAsia="zh-CN"/>
        </w:rPr>
        <w:t>（</w:t>
      </w:r>
      <w:r>
        <w:rPr>
          <w:rFonts w:hint="eastAsia" w:hAnsi="仿宋_GB2312" w:cs="仿宋_GB2312"/>
          <w:sz w:val="32"/>
          <w:szCs w:val="32"/>
          <w:lang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全省及省级社保基金预（决）算编制、汇总工作</w:t>
      </w:r>
      <w:r>
        <w:rPr>
          <w:rFonts w:hint="eastAsia" w:ascii="仿宋_GB2312" w:hAnsi="仿宋_GB2312" w:eastAsia="仿宋_GB2312" w:cs="仿宋_GB2312"/>
          <w:sz w:val="32"/>
          <w:szCs w:val="32"/>
          <w:lang w:eastAsia="zh-CN"/>
        </w:rPr>
        <w:t>。高质量完成社保基金</w:t>
      </w:r>
      <w:r>
        <w:rPr>
          <w:rFonts w:hint="eastAsia" w:ascii="仿宋_GB2312" w:hAnsi="仿宋_GB2312" w:eastAsia="仿宋_GB2312" w:cs="仿宋_GB2312"/>
          <w:sz w:val="32"/>
          <w:szCs w:val="32"/>
          <w:lang w:val="en-US" w:eastAsia="zh-CN"/>
        </w:rPr>
        <w:t>20</w:t>
      </w:r>
      <w:r>
        <w:rPr>
          <w:rFonts w:hint="eastAsia" w:hAnsi="仿宋_GB2312" w:cs="仿宋_GB2312"/>
          <w:sz w:val="32"/>
          <w:szCs w:val="32"/>
          <w:lang w:val="en-US" w:eastAsia="zh-CN"/>
        </w:rPr>
        <w:t>20</w:t>
      </w:r>
      <w:r>
        <w:rPr>
          <w:rFonts w:hint="eastAsia" w:ascii="仿宋_GB2312" w:hAnsi="仿宋_GB2312" w:eastAsia="仿宋_GB2312" w:cs="仿宋_GB2312"/>
          <w:sz w:val="32"/>
          <w:szCs w:val="32"/>
          <w:lang w:val="en-US" w:eastAsia="zh-CN"/>
        </w:rPr>
        <w:t>年决算，202</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年预算调整，202</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val="en-US" w:eastAsia="zh-CN"/>
        </w:rPr>
        <w:t>年预算编制、汇总、审核工作，及时上报国家四部门及省人大（常委会）进行审议核正，并依法依规做好预决算的批复及公开工作。</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二</w:t>
      </w:r>
      <w:r>
        <w:rPr>
          <w:rFonts w:hint="eastAsia" w:ascii="仿宋_GB2312" w:hAnsi="仿宋_GB2312" w:eastAsia="仿宋_GB2312" w:cs="仿宋_GB2312"/>
          <w:sz w:val="32"/>
          <w:szCs w:val="32"/>
          <w:lang w:val="en-US" w:eastAsia="zh-CN"/>
        </w:rPr>
        <w:t>）抓好基金日常运行。加强社保基金的收缴划拨和账户管理，完成相关险种的运行及风险评估报告，按月、季做好社保基金预算执行报表汇总、审核、上报工作。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三、机构设置情况</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Ansi="仿宋_GB2312" w:cs="仿宋_GB2312"/>
          <w:sz w:val="32"/>
          <w:szCs w:val="32"/>
          <w:lang w:val="en-US" w:eastAsia="zh-CN"/>
        </w:rPr>
      </w:pPr>
      <w:r>
        <w:rPr>
          <w:rFonts w:hint="eastAsia" w:hAnsi="仿宋_GB2312" w:cs="仿宋_GB2312"/>
          <w:sz w:val="32"/>
          <w:szCs w:val="32"/>
          <w:lang w:val="en-US" w:eastAsia="zh-CN"/>
        </w:rPr>
        <w:t>本单位是隶属于四川省财政厅的二级预算单位，本单位无下属单位。</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44"/>
          <w:szCs w:val="44"/>
          <w:highlight w:val="none"/>
          <w:lang w:eastAsia="zh-CN"/>
        </w:rPr>
      </w:pPr>
      <w:r>
        <w:rPr>
          <w:rFonts w:hint="eastAsia" w:ascii="黑体" w:hAnsi="黑体" w:eastAsia="黑体" w:cs="黑体"/>
          <w:color w:val="auto"/>
          <w:sz w:val="44"/>
          <w:szCs w:val="44"/>
          <w:highlight w:val="none"/>
          <w:lang w:eastAsia="zh-CN"/>
        </w:rPr>
        <w:t>第二部分 2021年度单位决算情况说明</w:t>
      </w:r>
    </w:p>
    <w:p>
      <w:pPr>
        <w:pStyle w:val="2"/>
        <w:keepNext w:val="0"/>
        <w:keepLines w:val="0"/>
        <w:pageBreakBefore w:val="0"/>
        <w:kinsoku/>
        <w:wordWrap/>
        <w:overflowPunct/>
        <w:topLinePunct w:val="0"/>
        <w:bidi w:val="0"/>
        <w:snapToGrid/>
        <w:spacing w:line="600" w:lineRule="exact"/>
        <w:textAlignment w:val="auto"/>
        <w:rPr>
          <w:rFonts w:hint="eastAsia"/>
          <w:lang w:eastAsia="zh-CN"/>
        </w:rPr>
      </w:pPr>
    </w:p>
    <w:p>
      <w:pPr>
        <w:pStyle w:val="25"/>
        <w:keepNext w:val="0"/>
        <w:keepLines w:val="0"/>
        <w:pageBreakBefore w:val="0"/>
        <w:numPr>
          <w:ilvl w:val="0"/>
          <w:numId w:val="1"/>
        </w:numPr>
        <w:kinsoku/>
        <w:wordWrap/>
        <w:overflowPunct/>
        <w:topLinePunct w:val="0"/>
        <w:bidi w:val="0"/>
        <w:snapToGrid/>
        <w:spacing w:line="600" w:lineRule="exact"/>
        <w:ind w:firstLineChars="0"/>
        <w:textAlignment w:val="auto"/>
        <w:outlineLvl w:val="1"/>
        <w:rPr>
          <w:rStyle w:val="27"/>
          <w:rFonts w:ascii="黑体" w:hAnsi="黑体" w:eastAsia="黑体"/>
          <w:b w:val="0"/>
          <w:color w:val="auto"/>
          <w:highlight w:val="none"/>
        </w:rPr>
      </w:pPr>
      <w:bookmarkStart w:id="16" w:name="_Toc15396603"/>
      <w:bookmarkStart w:id="17"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6"/>
      <w:bookmarkEnd w:id="17"/>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143.36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44.31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44.73</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人员增加，</w:t>
      </w:r>
      <w:r>
        <w:rPr>
          <w:rFonts w:hint="eastAsia" w:ascii="仿宋_GB2312" w:hAnsi="仿宋_GB2312" w:eastAsia="仿宋_GB2312" w:cs="仿宋_GB2312"/>
          <w:color w:val="000000"/>
          <w:sz w:val="32"/>
          <w:szCs w:val="32"/>
          <w:highlight w:val="none"/>
        </w:rPr>
        <w:t>导致</w:t>
      </w:r>
      <w:r>
        <w:rPr>
          <w:rFonts w:hint="eastAsia" w:ascii="仿宋_GB2312" w:hAnsi="仿宋_GB2312" w:eastAsia="仿宋_GB2312" w:cs="仿宋_GB2312"/>
          <w:color w:val="000000"/>
          <w:sz w:val="32"/>
          <w:szCs w:val="32"/>
          <w:highlight w:val="none"/>
          <w:lang w:eastAsia="zh-CN"/>
        </w:rPr>
        <w:t>基本支出</w:t>
      </w:r>
      <w:r>
        <w:rPr>
          <w:rFonts w:hint="eastAsia" w:ascii="仿宋_GB2312" w:hAnsi="仿宋_GB2312" w:eastAsia="仿宋_GB2312" w:cs="仿宋_GB2312"/>
          <w:color w:val="000000"/>
          <w:sz w:val="32"/>
          <w:szCs w:val="32"/>
          <w:highlight w:val="none"/>
        </w:rPr>
        <w:t>增加</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86360</wp:posOffset>
            </wp:positionH>
            <wp:positionV relativeFrom="paragraph">
              <wp:posOffset>278765</wp:posOffset>
            </wp:positionV>
            <wp:extent cx="5080000" cy="3810000"/>
            <wp:effectExtent l="4445" t="4445" r="5715" b="107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jc w:val="left"/>
        <w:textAlignment w:val="auto"/>
        <w:rPr>
          <w:rFonts w:ascii="仿宋_GB2312" w:eastAsia="仿宋_GB2312"/>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w:t>
      </w:r>
    </w:p>
    <w:p>
      <w:pPr>
        <w:pStyle w:val="25"/>
        <w:keepNext w:val="0"/>
        <w:keepLines w:val="0"/>
        <w:pageBreakBefore w:val="0"/>
        <w:numPr>
          <w:ilvl w:val="0"/>
          <w:numId w:val="1"/>
        </w:numPr>
        <w:kinsoku/>
        <w:wordWrap/>
        <w:overflowPunct/>
        <w:topLinePunct w:val="0"/>
        <w:bidi w:val="0"/>
        <w:snapToGrid/>
        <w:spacing w:line="600" w:lineRule="exact"/>
        <w:ind w:firstLineChars="0"/>
        <w:textAlignment w:val="auto"/>
        <w:outlineLvl w:val="1"/>
        <w:rPr>
          <w:rStyle w:val="27"/>
          <w:rFonts w:ascii="黑体" w:hAnsi="黑体" w:eastAsia="黑体"/>
          <w:b w:val="0"/>
          <w:color w:val="auto"/>
          <w:highlight w:val="none"/>
        </w:rPr>
      </w:pPr>
      <w:bookmarkStart w:id="18" w:name="_Toc15377206"/>
      <w:bookmarkStart w:id="19"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18"/>
      <w:bookmarkEnd w:id="19"/>
    </w:p>
    <w:p>
      <w:pPr>
        <w:keepNext w:val="0"/>
        <w:keepLines w:val="0"/>
        <w:pageBreakBefore w:val="0"/>
        <w:kinsoku/>
        <w:wordWrap/>
        <w:overflowPunct/>
        <w:topLinePunct w:val="0"/>
        <w:bidi w:val="0"/>
        <w:snapToGrid/>
        <w:spacing w:line="600" w:lineRule="exact"/>
        <w:ind w:firstLine="640" w:firstLineChars="200"/>
        <w:textAlignment w:val="auto"/>
        <w:outlineLvl w:val="1"/>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143.36</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143.36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spacing w:line="600" w:lineRule="exact"/>
        <w:ind w:firstLine="420" w:firstLineChars="200"/>
        <w:textAlignment w:val="auto"/>
        <w:outlineLvl w:val="1"/>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565785</wp:posOffset>
            </wp:positionH>
            <wp:positionV relativeFrom="paragraph">
              <wp:posOffset>-26035</wp:posOffset>
            </wp:positionV>
            <wp:extent cx="4572000" cy="2743200"/>
            <wp:effectExtent l="4445" t="4445" r="10795" b="107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ind w:left="0" w:leftChars="0" w:firstLine="0" w:firstLineChars="0"/>
        <w:textAlignment w:val="auto"/>
        <w:rPr>
          <w:rFonts w:hint="eastAsia" w:eastAsia="宋体"/>
          <w:lang w:eastAsia="zh-CN"/>
        </w:rPr>
      </w:pPr>
    </w:p>
    <w:p>
      <w:pPr>
        <w:keepNext w:val="0"/>
        <w:keepLines w:val="0"/>
        <w:pageBreakBefore w:val="0"/>
        <w:kinsoku/>
        <w:wordWrap/>
        <w:overflowPunct/>
        <w:topLinePunct w:val="0"/>
        <w:bidi w:val="0"/>
        <w:snapToGrid/>
        <w:spacing w:line="600" w:lineRule="exact"/>
        <w:jc w:val="center"/>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（图2：收入决算结构图）</w:t>
      </w:r>
    </w:p>
    <w:p>
      <w:pPr>
        <w:pStyle w:val="25"/>
        <w:keepNext w:val="0"/>
        <w:keepLines w:val="0"/>
        <w:pageBreakBefore w:val="0"/>
        <w:numPr>
          <w:ilvl w:val="0"/>
          <w:numId w:val="1"/>
        </w:numPr>
        <w:kinsoku/>
        <w:wordWrap/>
        <w:overflowPunct/>
        <w:topLinePunct w:val="0"/>
        <w:bidi w:val="0"/>
        <w:snapToGrid/>
        <w:spacing w:line="600" w:lineRule="exact"/>
        <w:ind w:firstLineChars="0"/>
        <w:textAlignment w:val="auto"/>
        <w:outlineLvl w:val="1"/>
        <w:rPr>
          <w:rStyle w:val="27"/>
          <w:rFonts w:ascii="黑体" w:hAnsi="黑体" w:eastAsia="黑体"/>
          <w:b w:val="0"/>
          <w:color w:val="auto"/>
          <w:highlight w:val="none"/>
        </w:rPr>
      </w:pPr>
      <w:bookmarkStart w:id="20" w:name="_Toc15396605"/>
      <w:bookmarkStart w:id="21"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0"/>
      <w:bookmarkEnd w:id="21"/>
    </w:p>
    <w:p>
      <w:pPr>
        <w:keepNext w:val="0"/>
        <w:keepLines w:val="0"/>
        <w:pageBreakBefore w:val="0"/>
        <w:kinsoku/>
        <w:wordWrap/>
        <w:overflowPunct/>
        <w:topLinePunct w:val="0"/>
        <w:bidi w:val="0"/>
        <w:snapToGrid/>
        <w:spacing w:line="600" w:lineRule="exact"/>
        <w:ind w:firstLine="640" w:firstLineChars="200"/>
        <w:textAlignment w:val="auto"/>
        <w:outlineLvl w:val="1"/>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143.36</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134.06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93.51</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9.3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6.49</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spacing w:line="600" w:lineRule="exact"/>
        <w:ind w:firstLine="420" w:firstLineChars="200"/>
        <w:textAlignment w:val="auto"/>
        <w:rPr>
          <w:rFonts w:hint="eastAsia"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151130</wp:posOffset>
            </wp:positionH>
            <wp:positionV relativeFrom="paragraph">
              <wp:posOffset>141605</wp:posOffset>
            </wp:positionV>
            <wp:extent cx="5083175" cy="3329940"/>
            <wp:effectExtent l="4445" t="4445" r="17780" b="18415"/>
            <wp:wrapNone/>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（图3：支出决算结构图）</w:t>
      </w:r>
    </w:p>
    <w:p>
      <w:pPr>
        <w:keepNext w:val="0"/>
        <w:keepLines w:val="0"/>
        <w:pageBreakBefore w:val="0"/>
        <w:kinsoku/>
        <w:wordWrap/>
        <w:overflowPunct/>
        <w:topLinePunct w:val="0"/>
        <w:bidi w:val="0"/>
        <w:snapToGrid/>
        <w:spacing w:line="600" w:lineRule="exact"/>
        <w:ind w:firstLine="640" w:firstLineChars="200"/>
        <w:textAlignment w:val="auto"/>
        <w:outlineLvl w:val="1"/>
        <w:rPr>
          <w:rStyle w:val="27"/>
          <w:rFonts w:ascii="黑体" w:hAnsi="黑体" w:eastAsia="黑体"/>
          <w:b w:val="0"/>
          <w:color w:val="auto"/>
          <w:highlight w:val="none"/>
        </w:rPr>
      </w:pPr>
      <w:bookmarkStart w:id="22" w:name="_Toc15396606"/>
      <w:bookmarkStart w:id="23"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2"/>
      <w:bookmarkEnd w:id="23"/>
    </w:p>
    <w:p>
      <w:pPr>
        <w:keepNext w:val="0"/>
        <w:keepLines w:val="0"/>
        <w:pageBreakBefore w:val="0"/>
        <w:kinsoku/>
        <w:wordWrap/>
        <w:overflowPunct/>
        <w:topLinePunct w:val="0"/>
        <w:bidi w:val="0"/>
        <w:snapToGrid/>
        <w:spacing w:line="600" w:lineRule="exact"/>
        <w:ind w:firstLine="640"/>
        <w:textAlignment w:val="auto"/>
        <w:rPr>
          <w:rFonts w:hint="eastAsia" w:ascii="仿宋" w:hAnsi="仿宋"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143.36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44.31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44.73</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人员增加，</w:t>
      </w:r>
      <w:r>
        <w:rPr>
          <w:rFonts w:hint="eastAsia" w:ascii="仿宋_GB2312" w:hAnsi="仿宋_GB2312" w:eastAsia="仿宋_GB2312" w:cs="仿宋_GB2312"/>
          <w:color w:val="auto"/>
          <w:sz w:val="32"/>
          <w:szCs w:val="32"/>
          <w:highlight w:val="none"/>
        </w:rPr>
        <w:t>导致</w:t>
      </w:r>
      <w:r>
        <w:rPr>
          <w:rFonts w:hint="eastAsia" w:ascii="仿宋_GB2312" w:hAnsi="仿宋_GB2312" w:eastAsia="仿宋_GB2312" w:cs="仿宋_GB2312"/>
          <w:color w:val="auto"/>
          <w:sz w:val="32"/>
          <w:szCs w:val="32"/>
          <w:highlight w:val="none"/>
          <w:lang w:eastAsia="zh-CN"/>
        </w:rPr>
        <w:t>基本支出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spacing w:line="600" w:lineRule="exact"/>
        <w:ind w:firstLine="640"/>
        <w:textAlignment w:val="auto"/>
        <w:rPr>
          <w:rFonts w:ascii="仿宋" w:hAnsi="仿宋" w:eastAsia="仿宋"/>
          <w:b/>
          <w:color w:val="auto"/>
          <w:sz w:val="32"/>
          <w:szCs w:val="32"/>
          <w:highlight w:val="none"/>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109220</wp:posOffset>
            </wp:positionH>
            <wp:positionV relativeFrom="paragraph">
              <wp:posOffset>87630</wp:posOffset>
            </wp:positionV>
            <wp:extent cx="5080000" cy="3810000"/>
            <wp:effectExtent l="4445" t="4445" r="5715" b="1079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jc w:val="center"/>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（图4：财政拨款收、支决算总计变动情况）</w:t>
      </w:r>
    </w:p>
    <w:p>
      <w:pPr>
        <w:keepNext w:val="0"/>
        <w:keepLines w:val="0"/>
        <w:pageBreakBefore w:val="0"/>
        <w:kinsoku/>
        <w:wordWrap/>
        <w:overflowPunct/>
        <w:topLinePunct w:val="0"/>
        <w:bidi w:val="0"/>
        <w:snapToGrid/>
        <w:spacing w:line="600" w:lineRule="exact"/>
        <w:ind w:firstLine="640" w:firstLineChars="200"/>
        <w:textAlignment w:val="auto"/>
        <w:outlineLvl w:val="1"/>
        <w:rPr>
          <w:rStyle w:val="27"/>
          <w:rFonts w:ascii="黑体" w:hAnsi="黑体" w:eastAsia="黑体"/>
          <w:b w:val="0"/>
          <w:color w:val="auto"/>
          <w:highlight w:val="none"/>
        </w:rPr>
      </w:pPr>
      <w:bookmarkStart w:id="24" w:name="_Toc15396607"/>
      <w:bookmarkStart w:id="25"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4"/>
      <w:bookmarkEnd w:id="25"/>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26" w:name="_Toc15377210"/>
      <w:r>
        <w:rPr>
          <w:rFonts w:hint="eastAsia" w:ascii="楷体_GB2312" w:hAnsi="楷体_GB2312" w:eastAsia="楷体_GB2312" w:cs="楷体_GB2312"/>
          <w:b/>
          <w:color w:val="auto"/>
          <w:sz w:val="32"/>
          <w:szCs w:val="32"/>
          <w:highlight w:val="none"/>
        </w:rPr>
        <w:t>（一）一般公共预算财政拨款支出决算总体情况</w:t>
      </w:r>
      <w:bookmarkEnd w:id="26"/>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143.36</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44.31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44.73</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人员增加，</w:t>
      </w:r>
      <w:r>
        <w:rPr>
          <w:rFonts w:hint="eastAsia" w:ascii="仿宋_GB2312" w:hAnsi="仿宋_GB2312" w:eastAsia="仿宋_GB2312" w:cs="仿宋_GB2312"/>
          <w:color w:val="auto"/>
          <w:sz w:val="32"/>
          <w:szCs w:val="32"/>
          <w:highlight w:val="none"/>
        </w:rPr>
        <w:t>导致</w:t>
      </w:r>
      <w:r>
        <w:rPr>
          <w:rFonts w:hint="eastAsia" w:ascii="仿宋_GB2312" w:hAnsi="仿宋_GB2312" w:eastAsia="仿宋_GB2312" w:cs="仿宋_GB2312"/>
          <w:color w:val="auto"/>
          <w:sz w:val="32"/>
          <w:szCs w:val="32"/>
          <w:highlight w:val="none"/>
          <w:lang w:eastAsia="zh-CN"/>
        </w:rPr>
        <w:t>基本支出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auto"/>
          <w:sz w:val="32"/>
          <w:szCs w:val="32"/>
          <w:highlight w:val="none"/>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359410</wp:posOffset>
            </wp:positionH>
            <wp:positionV relativeFrom="paragraph">
              <wp:posOffset>208915</wp:posOffset>
            </wp:positionV>
            <wp:extent cx="5080000" cy="3810000"/>
            <wp:effectExtent l="4445" t="4445" r="5715" b="1079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（图5：一般公共预算财政拨款支出决算变动情况）</w:t>
      </w:r>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仿宋" w:hAnsi="仿宋" w:eastAsia="仿宋"/>
          <w:b/>
          <w:color w:val="auto"/>
          <w:sz w:val="32"/>
          <w:szCs w:val="32"/>
          <w:highlight w:val="none"/>
        </w:rPr>
      </w:pPr>
      <w:bookmarkStart w:id="27" w:name="_Toc15377211"/>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（二）一般公共预算财政拨款支出决算结构情况</w:t>
      </w:r>
      <w:bookmarkEnd w:id="27"/>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年一般公共预算财政拨款支出143.36万元，主要用于以下方面:</w:t>
      </w:r>
      <w:r>
        <w:rPr>
          <w:rFonts w:hint="eastAsia" w:ascii="仿宋_GB2312" w:hAnsi="仿宋_GB2312" w:eastAsia="仿宋_GB2312" w:cs="仿宋_GB2312"/>
          <w:b/>
          <w:color w:val="auto"/>
          <w:sz w:val="32"/>
          <w:szCs w:val="32"/>
          <w:highlight w:val="none"/>
        </w:rPr>
        <w:t>一般公共服务（类）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102.23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71.31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支出12.16万元，占</w:t>
      </w:r>
      <w:r>
        <w:rPr>
          <w:rFonts w:hint="eastAsia" w:ascii="仿宋_GB2312" w:hAnsi="仿宋_GB2312" w:eastAsia="仿宋_GB2312" w:cs="仿宋_GB2312"/>
          <w:color w:val="auto"/>
          <w:sz w:val="32"/>
          <w:szCs w:val="32"/>
          <w:highlight w:val="none"/>
          <w:lang w:val="en-US" w:eastAsia="zh-CN"/>
        </w:rPr>
        <w:t>8.48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w:t>
      </w:r>
      <w:r>
        <w:rPr>
          <w:rFonts w:hint="eastAsia" w:ascii="仿宋_GB2312" w:hAnsi="仿宋_GB2312" w:eastAsia="仿宋_GB2312" w:cs="仿宋_GB2312"/>
          <w:b/>
          <w:color w:val="auto"/>
          <w:sz w:val="32"/>
          <w:szCs w:val="32"/>
          <w:highlight w:val="none"/>
        </w:rPr>
        <w:t>（类）</w:t>
      </w:r>
      <w:r>
        <w:rPr>
          <w:rFonts w:hint="eastAsia" w:ascii="仿宋_GB2312" w:hAnsi="仿宋_GB2312" w:eastAsia="仿宋_GB2312" w:cs="仿宋_GB2312"/>
          <w:b/>
          <w:bCs/>
          <w:color w:val="auto"/>
          <w:sz w:val="32"/>
          <w:szCs w:val="32"/>
          <w:highlight w:val="none"/>
        </w:rPr>
        <w:t>支出</w:t>
      </w:r>
      <w:r>
        <w:rPr>
          <w:rFonts w:hint="eastAsia" w:ascii="仿宋_GB2312" w:hAnsi="仿宋_GB2312" w:eastAsia="仿宋_GB2312" w:cs="仿宋_GB2312"/>
          <w:color w:val="auto"/>
          <w:sz w:val="32"/>
          <w:szCs w:val="32"/>
          <w:highlight w:val="none"/>
        </w:rPr>
        <w:t>8.49万元，占</w:t>
      </w:r>
      <w:r>
        <w:rPr>
          <w:rFonts w:hint="eastAsia" w:ascii="仿宋_GB2312" w:hAnsi="仿宋_GB2312" w:eastAsia="仿宋_GB2312" w:cs="仿宋_GB2312"/>
          <w:color w:val="auto"/>
          <w:sz w:val="32"/>
          <w:szCs w:val="32"/>
          <w:highlight w:val="none"/>
          <w:lang w:val="en-US" w:eastAsia="zh-CN"/>
        </w:rPr>
        <w:t>5.92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住房保障（类）</w:t>
      </w:r>
      <w:r>
        <w:rPr>
          <w:rFonts w:hint="eastAsia" w:ascii="仿宋_GB2312" w:hAnsi="仿宋_GB2312" w:eastAsia="仿宋_GB2312" w:cs="仿宋_GB2312"/>
          <w:color w:val="auto"/>
          <w:sz w:val="32"/>
          <w:szCs w:val="32"/>
          <w:highlight w:val="none"/>
        </w:rPr>
        <w:t>支出20.48万元，占</w:t>
      </w:r>
      <w:r>
        <w:rPr>
          <w:rFonts w:hint="eastAsia" w:ascii="仿宋_GB2312" w:hAnsi="仿宋_GB2312" w:eastAsia="仿宋_GB2312" w:cs="仿宋_GB2312"/>
          <w:color w:val="auto"/>
          <w:sz w:val="32"/>
          <w:szCs w:val="32"/>
          <w:highlight w:val="none"/>
          <w:lang w:val="en-US" w:eastAsia="zh-CN"/>
        </w:rPr>
        <w:t>14.29</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line="600" w:lineRule="exact"/>
        <w:textAlignment w:val="auto"/>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177800</wp:posOffset>
            </wp:positionH>
            <wp:positionV relativeFrom="paragraph">
              <wp:posOffset>40640</wp:posOffset>
            </wp:positionV>
            <wp:extent cx="5279390" cy="3210560"/>
            <wp:effectExtent l="5080" t="4445" r="19050" b="15875"/>
            <wp:wrapNone/>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kinsoku/>
        <w:wordWrap/>
        <w:overflowPunct/>
        <w:topLinePunct w:val="0"/>
        <w:bidi w:val="0"/>
        <w:snapToGrid/>
        <w:spacing w:line="600" w:lineRule="exact"/>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pStyle w:val="2"/>
        <w:rPr>
          <w:rFonts w:hint="eastAsia"/>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jc w:val="center"/>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w:t>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auto"/>
          <w:sz w:val="32"/>
          <w:szCs w:val="32"/>
          <w:highlight w:val="none"/>
        </w:rPr>
      </w:pPr>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28" w:name="_Toc15377212"/>
      <w:r>
        <w:rPr>
          <w:rFonts w:hint="eastAsia" w:ascii="楷体_GB2312" w:hAnsi="楷体_GB2312" w:eastAsia="楷体_GB2312" w:cs="楷体_GB2312"/>
          <w:b/>
          <w:color w:val="auto"/>
          <w:sz w:val="32"/>
          <w:szCs w:val="32"/>
          <w:highlight w:val="none"/>
        </w:rPr>
        <w:t>（三）一般公共预算财政拨款支出决算具体情况</w:t>
      </w:r>
      <w:bookmarkEnd w:id="28"/>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仿宋_GB2312" w:hAnsi="仿宋_GB2312" w:eastAsia="仿宋_GB2312" w:cs="仿宋_GB2312"/>
          <w:color w:val="auto"/>
          <w:sz w:val="32"/>
          <w:szCs w:val="32"/>
          <w:highlight w:val="none"/>
        </w:rPr>
      </w:pPr>
      <w:bookmarkStart w:id="29" w:name="_Toc15377213"/>
      <w:bookmarkStart w:id="30" w:name="_Toc15378460"/>
      <w:bookmarkStart w:id="31" w:name="_Toc15377444"/>
      <w:r>
        <w:rPr>
          <w:rFonts w:hint="eastAsia" w:ascii="仿宋_GB2312" w:hAnsi="仿宋_GB2312" w:eastAsia="仿宋_GB2312" w:cs="仿宋_GB2312"/>
          <w:b/>
          <w:color w:val="auto"/>
          <w:sz w:val="32"/>
          <w:szCs w:val="32"/>
          <w:highlight w:val="none"/>
        </w:rPr>
        <w:t>20</w:t>
      </w:r>
      <w:r>
        <w:rPr>
          <w:rFonts w:hint="eastAsia" w:ascii="仿宋_GB2312" w:hAnsi="仿宋_GB2312" w:eastAsia="仿宋_GB2312" w:cs="仿宋_GB2312"/>
          <w:b/>
          <w:color w:val="auto"/>
          <w:sz w:val="32"/>
          <w:szCs w:val="32"/>
          <w:highlight w:val="none"/>
          <w:lang w:val="en-US" w:eastAsia="zh-CN"/>
        </w:rPr>
        <w:t>21</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ascii="仿宋_GB2312" w:hAnsi="仿宋_GB2312" w:eastAsia="仿宋_GB2312" w:cs="仿宋_GB2312"/>
          <w:b/>
          <w:color w:val="auto"/>
          <w:sz w:val="32"/>
          <w:szCs w:val="32"/>
          <w:highlight w:val="none"/>
          <w:lang w:val="en-US" w:eastAsia="zh-CN"/>
        </w:rPr>
        <w:t>143.36万元</w:t>
      </w:r>
      <w:r>
        <w:rPr>
          <w:rFonts w:hint="eastAsia" w:ascii="仿宋_GB2312" w:hAnsi="仿宋_GB2312" w:eastAsia="仿宋_GB2312" w:cs="仿宋_GB2312"/>
          <w:color w:val="auto"/>
          <w:sz w:val="32"/>
          <w:szCs w:val="32"/>
          <w:highlight w:val="none"/>
        </w:rPr>
        <w:t>，</w:t>
      </w:r>
      <w:r>
        <w:rPr>
          <w:rStyle w:val="16"/>
          <w:rFonts w:hint="eastAsia" w:ascii="仿宋_GB2312" w:hAnsi="仿宋_GB2312" w:eastAsia="仿宋_GB2312" w:cs="仿宋_GB2312"/>
          <w:bCs/>
          <w:color w:val="auto"/>
          <w:sz w:val="32"/>
          <w:szCs w:val="32"/>
          <w:highlight w:val="none"/>
        </w:rPr>
        <w:t>完成预算</w:t>
      </w:r>
      <w:r>
        <w:rPr>
          <w:rStyle w:val="16"/>
          <w:rFonts w:hint="eastAsia" w:ascii="仿宋_GB2312" w:hAnsi="仿宋_GB2312" w:eastAsia="仿宋_GB2312" w:cs="仿宋_GB2312"/>
          <w:bCs/>
          <w:color w:val="auto"/>
          <w:sz w:val="32"/>
          <w:szCs w:val="32"/>
          <w:highlight w:val="none"/>
          <w:lang w:val="en-US" w:eastAsia="zh-CN"/>
        </w:rPr>
        <w:t>91.98</w:t>
      </w:r>
      <w:r>
        <w:rPr>
          <w:rStyle w:val="16"/>
          <w:rFonts w:hint="eastAsia" w:ascii="仿宋_GB2312" w:hAnsi="仿宋_GB2312" w:eastAsia="仿宋_GB2312" w:cs="仿宋_GB2312"/>
          <w:bCs/>
          <w:color w:val="auto"/>
          <w:sz w:val="32"/>
          <w:szCs w:val="32"/>
          <w:highlight w:val="none"/>
        </w:rPr>
        <w:t>%。其中：</w:t>
      </w:r>
      <w:bookmarkEnd w:id="29"/>
      <w:bookmarkEnd w:id="30"/>
      <w:bookmarkEnd w:id="31"/>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color w:val="auto"/>
          <w:sz w:val="32"/>
          <w:szCs w:val="32"/>
          <w:highlight w:val="none"/>
        </w:rPr>
      </w:pPr>
      <w:r>
        <w:rPr>
          <w:rStyle w:val="16"/>
          <w:rFonts w:hint="eastAsia" w:ascii="仿宋_GB2312" w:hAnsi="仿宋_GB2312" w:eastAsia="仿宋_GB2312" w:cs="仿宋_GB2312"/>
          <w:bCs/>
          <w:color w:val="auto"/>
          <w:sz w:val="32"/>
          <w:szCs w:val="32"/>
          <w:highlight w:val="none"/>
        </w:rPr>
        <w:t>1.一般公共服务（类）财政事务（款）事业运行（项）:</w:t>
      </w:r>
      <w:r>
        <w:rPr>
          <w:rStyle w:val="16"/>
          <w:rFonts w:hint="eastAsia" w:ascii="仿宋_GB2312" w:hAnsi="仿宋_GB2312" w:eastAsia="仿宋_GB2312" w:cs="仿宋_GB2312"/>
          <w:b w:val="0"/>
          <w:bCs/>
          <w:color w:val="auto"/>
          <w:sz w:val="32"/>
          <w:szCs w:val="32"/>
          <w:highlight w:val="none"/>
        </w:rPr>
        <w:t>支出决算为92.93万元，完成预算</w:t>
      </w:r>
      <w:r>
        <w:rPr>
          <w:rStyle w:val="16"/>
          <w:rFonts w:hint="eastAsia" w:ascii="仿宋_GB2312" w:hAnsi="仿宋_GB2312" w:eastAsia="仿宋_GB2312" w:cs="仿宋_GB2312"/>
          <w:b w:val="0"/>
          <w:bCs/>
          <w:color w:val="auto"/>
          <w:sz w:val="32"/>
          <w:szCs w:val="32"/>
          <w:highlight w:val="none"/>
          <w:lang w:val="en-US" w:eastAsia="zh-CN"/>
        </w:rPr>
        <w:t>93.44</w:t>
      </w:r>
      <w:r>
        <w:rPr>
          <w:rStyle w:val="16"/>
          <w:rFonts w:hint="eastAsia" w:ascii="仿宋_GB2312" w:hAnsi="仿宋_GB2312" w:eastAsia="仿宋_GB2312" w:cs="仿宋_GB2312"/>
          <w:b w:val="0"/>
          <w:bCs/>
          <w:color w:val="auto"/>
          <w:sz w:val="32"/>
          <w:szCs w:val="32"/>
          <w:highlight w:val="none"/>
        </w:rPr>
        <w:t>%，决算数小于预算数的主要原因是</w:t>
      </w:r>
      <w:r>
        <w:rPr>
          <w:rStyle w:val="16"/>
          <w:rFonts w:hint="eastAsia" w:ascii="仿宋_GB2312" w:hAnsi="仿宋_GB2312" w:eastAsia="仿宋_GB2312" w:cs="仿宋_GB2312"/>
          <w:b w:val="0"/>
          <w:bCs/>
          <w:color w:val="000000"/>
          <w:sz w:val="32"/>
          <w:szCs w:val="32"/>
          <w:highlight w:val="none"/>
          <w:lang w:eastAsia="zh-CN"/>
        </w:rPr>
        <w:t>积极贯彻中央八项规定和省委省政府十项规定，落实加强事业单位日常经费管理。</w:t>
      </w:r>
    </w:p>
    <w:p>
      <w:pPr>
        <w:keepNext w:val="0"/>
        <w:keepLines w:val="0"/>
        <w:pageBreakBefore w:val="0"/>
        <w:kinsoku/>
        <w:wordWrap/>
        <w:overflowPunct/>
        <w:topLinePunct w:val="0"/>
        <w:bidi w:val="0"/>
        <w:snapToGrid/>
        <w:spacing w:line="600" w:lineRule="exact"/>
        <w:ind w:firstLine="643" w:firstLineChars="200"/>
        <w:textAlignment w:val="auto"/>
        <w:rPr>
          <w:rStyle w:val="16"/>
          <w:rFonts w:hint="eastAsia" w:ascii="仿宋_GB2312" w:hAnsi="仿宋_GB2312" w:eastAsia="仿宋_GB2312" w:cs="仿宋_GB2312"/>
          <w:bCs/>
          <w:color w:val="auto"/>
          <w:sz w:val="32"/>
          <w:szCs w:val="32"/>
          <w:highlight w:val="none"/>
          <w:lang w:val="en-US"/>
        </w:rPr>
      </w:pPr>
      <w:r>
        <w:rPr>
          <w:rStyle w:val="16"/>
          <w:rFonts w:hint="eastAsia" w:ascii="仿宋_GB2312" w:hAnsi="仿宋_GB2312" w:eastAsia="仿宋_GB2312" w:cs="仿宋_GB2312"/>
          <w:bCs/>
          <w:color w:val="auto"/>
          <w:sz w:val="32"/>
          <w:szCs w:val="32"/>
          <w:highlight w:val="none"/>
        </w:rPr>
        <w:t>2.一般公共服务（类）财政事务（款）其他财政事务支出（项）:</w:t>
      </w:r>
      <w:r>
        <w:rPr>
          <w:rStyle w:val="16"/>
          <w:rFonts w:hint="eastAsia" w:ascii="仿宋_GB2312" w:hAnsi="仿宋_GB2312" w:eastAsia="仿宋_GB2312" w:cs="仿宋_GB2312"/>
          <w:b w:val="0"/>
          <w:bCs/>
          <w:color w:val="auto"/>
          <w:sz w:val="32"/>
          <w:szCs w:val="32"/>
          <w:highlight w:val="none"/>
        </w:rPr>
        <w:t>支出决算为9.3万元，完成预算</w:t>
      </w:r>
      <w:r>
        <w:rPr>
          <w:rStyle w:val="16"/>
          <w:rFonts w:hint="eastAsia" w:ascii="仿宋_GB2312" w:hAnsi="仿宋_GB2312" w:eastAsia="仿宋_GB2312" w:cs="仿宋_GB2312"/>
          <w:b w:val="0"/>
          <w:bCs/>
          <w:color w:val="auto"/>
          <w:sz w:val="32"/>
          <w:szCs w:val="32"/>
          <w:highlight w:val="none"/>
          <w:lang w:val="en-US" w:eastAsia="zh-CN"/>
        </w:rPr>
        <w:t>60.86</w:t>
      </w:r>
      <w:r>
        <w:rPr>
          <w:rStyle w:val="16"/>
          <w:rFonts w:hint="eastAsia" w:ascii="仿宋_GB2312" w:hAnsi="仿宋_GB2312" w:eastAsia="仿宋_GB2312" w:cs="仿宋_GB2312"/>
          <w:b w:val="0"/>
          <w:bCs/>
          <w:color w:val="auto"/>
          <w:sz w:val="32"/>
          <w:szCs w:val="32"/>
          <w:highlight w:val="none"/>
        </w:rPr>
        <w:t>%，决算数小于预算数的主要原因是</w:t>
      </w:r>
      <w:r>
        <w:rPr>
          <w:rStyle w:val="16"/>
          <w:rFonts w:hint="eastAsia" w:ascii="仿宋_GB2312" w:hAnsi="仿宋_GB2312" w:eastAsia="仿宋_GB2312" w:cs="仿宋_GB2312"/>
          <w:b w:val="0"/>
          <w:bCs/>
          <w:color w:val="000000"/>
          <w:sz w:val="32"/>
          <w:szCs w:val="32"/>
          <w:highlight w:val="none"/>
          <w:lang w:eastAsia="zh-CN"/>
        </w:rPr>
        <w:t>积极贯彻中央八项规定和省委省政府十项规定，落实加强事业单位日常经费管理。</w:t>
      </w:r>
    </w:p>
    <w:p>
      <w:pPr>
        <w:keepNext w:val="0"/>
        <w:keepLines w:val="0"/>
        <w:pageBreakBefore w:val="0"/>
        <w:kinsoku/>
        <w:wordWrap/>
        <w:overflowPunct/>
        <w:topLinePunct w:val="0"/>
        <w:bidi w:val="0"/>
        <w:snapToGrid/>
        <w:spacing w:line="600" w:lineRule="exact"/>
        <w:ind w:firstLine="643" w:firstLineChars="200"/>
        <w:textAlignment w:val="auto"/>
        <w:rPr>
          <w:rStyle w:val="16"/>
          <w:rFonts w:hint="eastAsia" w:ascii="仿宋_GB2312" w:hAnsi="仿宋_GB2312" w:eastAsia="仿宋_GB2312" w:cs="仿宋_GB2312"/>
          <w:b w:val="0"/>
          <w:bCs/>
          <w:color w:val="auto"/>
          <w:sz w:val="32"/>
          <w:szCs w:val="32"/>
          <w:highlight w:val="none"/>
        </w:rPr>
      </w:pPr>
      <w:r>
        <w:rPr>
          <w:rStyle w:val="16"/>
          <w:rFonts w:hint="eastAsia" w:ascii="仿宋_GB2312" w:hAnsi="仿宋_GB2312" w:eastAsia="仿宋_GB2312" w:cs="仿宋_GB2312"/>
          <w:bCs/>
          <w:color w:val="auto"/>
          <w:sz w:val="32"/>
          <w:szCs w:val="32"/>
          <w:highlight w:val="none"/>
          <w:lang w:val="en-US" w:eastAsia="zh-CN"/>
        </w:rPr>
        <w:t>3</w:t>
      </w:r>
      <w:r>
        <w:rPr>
          <w:rStyle w:val="16"/>
          <w:rFonts w:hint="eastAsia" w:ascii="仿宋_GB2312" w:hAnsi="仿宋_GB2312" w:eastAsia="仿宋_GB2312" w:cs="仿宋_GB2312"/>
          <w:bCs/>
          <w:color w:val="auto"/>
          <w:sz w:val="32"/>
          <w:szCs w:val="32"/>
          <w:highlight w:val="none"/>
        </w:rPr>
        <w:t>.社会保障和就业（类）行政事业单位养老支出（款）机关事业单位基本养老保险缴费支出（项）:</w:t>
      </w:r>
      <w:r>
        <w:rPr>
          <w:rStyle w:val="16"/>
          <w:rFonts w:hint="eastAsia" w:ascii="仿宋_GB2312" w:hAnsi="仿宋_GB2312" w:eastAsia="仿宋_GB2312" w:cs="仿宋_GB2312"/>
          <w:b w:val="0"/>
          <w:bCs/>
          <w:color w:val="auto"/>
          <w:sz w:val="32"/>
          <w:szCs w:val="32"/>
          <w:highlight w:val="none"/>
        </w:rPr>
        <w:t>支出决算为</w:t>
      </w:r>
      <w:r>
        <w:rPr>
          <w:rStyle w:val="16"/>
          <w:rFonts w:hint="eastAsia" w:ascii="仿宋_GB2312" w:hAnsi="仿宋_GB2312" w:eastAsia="仿宋_GB2312" w:cs="仿宋_GB2312"/>
          <w:b w:val="0"/>
          <w:bCs/>
          <w:color w:val="auto"/>
          <w:sz w:val="32"/>
          <w:szCs w:val="32"/>
          <w:highlight w:val="none"/>
          <w:lang w:val="en-US" w:eastAsia="zh-CN"/>
        </w:rPr>
        <w:t>8.29</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pStyle w:val="2"/>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rPr>
      </w:pPr>
      <w:r>
        <w:rPr>
          <w:rStyle w:val="16"/>
          <w:rFonts w:hint="eastAsia" w:ascii="仿宋_GB2312" w:hAnsi="仿宋_GB2312" w:eastAsia="仿宋_GB2312" w:cs="仿宋_GB2312"/>
          <w:bCs/>
          <w:color w:val="auto"/>
          <w:sz w:val="32"/>
          <w:szCs w:val="32"/>
          <w:highlight w:val="none"/>
          <w:lang w:val="en-US" w:eastAsia="zh-CN"/>
        </w:rPr>
        <w:t>4.</w:t>
      </w:r>
      <w:r>
        <w:rPr>
          <w:rStyle w:val="16"/>
          <w:rFonts w:hint="eastAsia" w:ascii="仿宋_GB2312" w:hAnsi="仿宋_GB2312" w:eastAsia="仿宋_GB2312" w:cs="仿宋_GB2312"/>
          <w:bCs/>
          <w:color w:val="auto"/>
          <w:sz w:val="32"/>
          <w:szCs w:val="32"/>
          <w:highlight w:val="none"/>
        </w:rPr>
        <w:t>社会保障和就业（类）行政事业单位养老支出（款）机关事业单位职业年金缴费支出（项）:</w:t>
      </w:r>
      <w:r>
        <w:rPr>
          <w:rStyle w:val="16"/>
          <w:rFonts w:hint="eastAsia" w:ascii="仿宋_GB2312" w:hAnsi="仿宋_GB2312" w:eastAsia="仿宋_GB2312" w:cs="仿宋_GB2312"/>
          <w:b w:val="0"/>
          <w:bCs/>
          <w:color w:val="auto"/>
          <w:sz w:val="32"/>
          <w:szCs w:val="32"/>
          <w:highlight w:val="none"/>
        </w:rPr>
        <w:t>支出决算为</w:t>
      </w:r>
      <w:r>
        <w:rPr>
          <w:rStyle w:val="16"/>
          <w:rFonts w:hint="eastAsia" w:ascii="仿宋_GB2312" w:hAnsi="仿宋_GB2312" w:eastAsia="仿宋_GB2312" w:cs="仿宋_GB2312"/>
          <w:b w:val="0"/>
          <w:bCs/>
          <w:color w:val="auto"/>
          <w:sz w:val="32"/>
          <w:szCs w:val="32"/>
          <w:highlight w:val="none"/>
          <w:lang w:val="en-US" w:eastAsia="zh-CN"/>
        </w:rPr>
        <w:t>3.87</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color w:val="auto"/>
          <w:sz w:val="32"/>
          <w:szCs w:val="32"/>
          <w:highlight w:val="none"/>
        </w:rPr>
      </w:pPr>
      <w:r>
        <w:rPr>
          <w:rStyle w:val="16"/>
          <w:rFonts w:hint="eastAsia" w:ascii="仿宋_GB2312" w:hAnsi="仿宋_GB2312" w:eastAsia="仿宋_GB2312" w:cs="仿宋_GB2312"/>
          <w:bCs/>
          <w:color w:val="auto"/>
          <w:sz w:val="32"/>
          <w:szCs w:val="32"/>
          <w:highlight w:val="none"/>
          <w:lang w:val="en-US" w:eastAsia="zh-CN"/>
        </w:rPr>
        <w:t>5</w:t>
      </w:r>
      <w:r>
        <w:rPr>
          <w:rStyle w:val="16"/>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color w:val="auto"/>
          <w:sz w:val="32"/>
          <w:szCs w:val="32"/>
          <w:highlight w:val="none"/>
        </w:rPr>
        <w:t>卫生健康</w:t>
      </w:r>
      <w:r>
        <w:rPr>
          <w:rStyle w:val="16"/>
          <w:rFonts w:hint="eastAsia" w:ascii="仿宋_GB2312" w:hAnsi="仿宋_GB2312" w:eastAsia="仿宋_GB2312" w:cs="仿宋_GB2312"/>
          <w:bCs/>
          <w:color w:val="auto"/>
          <w:sz w:val="32"/>
          <w:szCs w:val="32"/>
          <w:highlight w:val="none"/>
        </w:rPr>
        <w:t>（类）行政事业单位医疗（款）事业单位医疗（项）:</w:t>
      </w:r>
      <w:r>
        <w:rPr>
          <w:rStyle w:val="16"/>
          <w:rFonts w:hint="eastAsia" w:ascii="仿宋_GB2312" w:hAnsi="仿宋_GB2312" w:eastAsia="仿宋_GB2312" w:cs="仿宋_GB2312"/>
          <w:b w:val="0"/>
          <w:bCs/>
          <w:color w:val="auto"/>
          <w:sz w:val="32"/>
          <w:szCs w:val="32"/>
          <w:highlight w:val="none"/>
        </w:rPr>
        <w:t>支出决算为</w:t>
      </w:r>
      <w:r>
        <w:rPr>
          <w:rStyle w:val="16"/>
          <w:rFonts w:hint="eastAsia" w:ascii="仿宋_GB2312" w:hAnsi="仿宋_GB2312" w:eastAsia="仿宋_GB2312" w:cs="仿宋_GB2312"/>
          <w:b w:val="0"/>
          <w:bCs/>
          <w:color w:val="auto"/>
          <w:sz w:val="32"/>
          <w:szCs w:val="32"/>
          <w:highlight w:val="none"/>
          <w:lang w:val="en-US" w:eastAsia="zh-CN"/>
        </w:rPr>
        <w:t>8.49</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keepNext w:val="0"/>
        <w:keepLines w:val="0"/>
        <w:pageBreakBefore w:val="0"/>
        <w:kinsoku/>
        <w:wordWrap/>
        <w:overflowPunct/>
        <w:topLinePunct w:val="0"/>
        <w:bidi w:val="0"/>
        <w:snapToGrid/>
        <w:spacing w:line="600" w:lineRule="exact"/>
        <w:ind w:firstLine="643" w:firstLineChars="200"/>
        <w:textAlignment w:val="auto"/>
        <w:rPr>
          <w:rStyle w:val="16"/>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住房保障</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住房改革支出</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住房公积金</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10.72</w:t>
      </w:r>
      <w:r>
        <w:rPr>
          <w:rStyle w:val="16"/>
          <w:rFonts w:hint="eastAsia" w:ascii="仿宋_GB2312" w:hAnsi="仿宋_GB2312" w:eastAsia="仿宋_GB2312" w:cs="仿宋_GB2312"/>
          <w:b w:val="0"/>
          <w:bCs/>
          <w:color w:val="000000"/>
          <w:sz w:val="32"/>
          <w:szCs w:val="32"/>
        </w:rPr>
        <w:t>万元，完成预算</w:t>
      </w:r>
      <w:r>
        <w:rPr>
          <w:rStyle w:val="16"/>
          <w:rFonts w:hint="eastAsia" w:ascii="仿宋_GB2312" w:hAnsi="仿宋_GB2312" w:eastAsia="仿宋_GB2312" w:cs="仿宋_GB2312"/>
          <w:b w:val="0"/>
          <w:bCs/>
          <w:color w:val="000000"/>
          <w:sz w:val="32"/>
          <w:szCs w:val="32"/>
          <w:lang w:val="en-US" w:eastAsia="zh-CN"/>
        </w:rPr>
        <w:t>100</w:t>
      </w:r>
      <w:r>
        <w:rPr>
          <w:rStyle w:val="16"/>
          <w:rFonts w:hint="eastAsia" w:ascii="仿宋_GB2312" w:hAnsi="仿宋_GB2312" w:eastAsia="仿宋_GB2312" w:cs="仿宋_GB2312"/>
          <w:b w:val="0"/>
          <w:bCs/>
          <w:color w:val="000000"/>
          <w:sz w:val="32"/>
          <w:szCs w:val="32"/>
        </w:rPr>
        <w:t>%。</w:t>
      </w:r>
    </w:p>
    <w:p>
      <w:pPr>
        <w:pStyle w:val="2"/>
        <w:keepNext w:val="0"/>
        <w:keepLines w:val="0"/>
        <w:pageBreakBefore w:val="0"/>
        <w:kinsoku/>
        <w:wordWrap/>
        <w:overflowPunct/>
        <w:topLinePunct w:val="0"/>
        <w:bidi w:val="0"/>
        <w:snapToGrid/>
        <w:spacing w:line="600" w:lineRule="exact"/>
        <w:textAlignment w:val="auto"/>
        <w:rPr>
          <w:rFonts w:hint="eastAsia"/>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住房保障</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住房改革支出</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购房补贴</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9.76</w:t>
      </w:r>
      <w:r>
        <w:rPr>
          <w:rStyle w:val="16"/>
          <w:rFonts w:hint="eastAsia" w:ascii="仿宋_GB2312" w:hAnsi="仿宋_GB2312" w:eastAsia="仿宋_GB2312" w:cs="仿宋_GB2312"/>
          <w:b w:val="0"/>
          <w:bCs/>
          <w:color w:val="000000"/>
          <w:sz w:val="32"/>
          <w:szCs w:val="32"/>
        </w:rPr>
        <w:t>万元，完成预算</w:t>
      </w:r>
      <w:r>
        <w:rPr>
          <w:rStyle w:val="16"/>
          <w:rFonts w:hint="eastAsia" w:ascii="仿宋_GB2312" w:hAnsi="仿宋_GB2312" w:eastAsia="仿宋_GB2312" w:cs="仿宋_GB2312"/>
          <w:b w:val="0"/>
          <w:bCs/>
          <w:color w:val="000000"/>
          <w:sz w:val="32"/>
          <w:szCs w:val="32"/>
          <w:lang w:val="en-US" w:eastAsia="zh-CN"/>
        </w:rPr>
        <w:t>100</w:t>
      </w:r>
      <w:r>
        <w:rPr>
          <w:rStyle w:val="16"/>
          <w:rFonts w:hint="eastAsia" w:ascii="仿宋_GB2312" w:hAnsi="仿宋_GB2312" w:eastAsia="仿宋_GB2312" w:cs="仿宋_GB2312"/>
          <w:b w:val="0"/>
          <w:bCs/>
          <w:color w:val="000000"/>
          <w:sz w:val="32"/>
          <w:szCs w:val="32"/>
        </w:rPr>
        <w:t>%。</w:t>
      </w:r>
    </w:p>
    <w:p>
      <w:pPr>
        <w:keepNext w:val="0"/>
        <w:keepLines w:val="0"/>
        <w:pageBreakBefore w:val="0"/>
        <w:tabs>
          <w:tab w:val="right" w:pos="8306"/>
        </w:tabs>
        <w:kinsoku/>
        <w:wordWrap/>
        <w:overflowPunct/>
        <w:topLinePunct w:val="0"/>
        <w:bidi w:val="0"/>
        <w:snapToGrid/>
        <w:spacing w:line="600" w:lineRule="exact"/>
        <w:ind w:firstLine="640"/>
        <w:textAlignment w:val="auto"/>
        <w:outlineLvl w:val="1"/>
        <w:rPr>
          <w:rStyle w:val="27"/>
          <w:color w:val="auto"/>
          <w:highlight w:val="none"/>
        </w:rPr>
      </w:pPr>
      <w:bookmarkStart w:id="32" w:name="_Toc15377214"/>
      <w:bookmarkStart w:id="33"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2"/>
      <w:bookmarkEnd w:id="33"/>
      <w:r>
        <w:rPr>
          <w:rStyle w:val="27"/>
          <w:rFonts w:ascii="黑体" w:hAnsi="黑体" w:eastAsia="黑体"/>
          <w:b w:val="0"/>
          <w:color w:val="auto"/>
          <w:highlight w:val="none"/>
        </w:rPr>
        <w:tab/>
      </w:r>
    </w:p>
    <w:p>
      <w:pPr>
        <w:keepNext w:val="0"/>
        <w:keepLines w:val="0"/>
        <w:pageBreakBefore w:val="0"/>
        <w:kinsoku/>
        <w:wordWrap/>
        <w:overflowPunct/>
        <w:topLinePunct w:val="0"/>
        <w:bidi w:val="0"/>
        <w:snapToGrid/>
        <w:spacing w:line="60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134.06</w:t>
      </w:r>
      <w:r>
        <w:rPr>
          <w:rFonts w:hint="eastAsia" w:ascii="仿宋_GB2312" w:hAnsi="仿宋_GB2312" w:eastAsia="仿宋_GB2312" w:cs="仿宋_GB2312"/>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127.21</w:t>
      </w:r>
      <w:r>
        <w:rPr>
          <w:rFonts w:hint="eastAsia" w:ascii="仿宋_GB2312" w:hAnsi="仿宋_GB2312" w:eastAsia="仿宋_GB2312" w:cs="仿宋_GB2312"/>
          <w:color w:val="auto"/>
          <w:sz w:val="32"/>
          <w:szCs w:val="32"/>
          <w:highlight w:val="none"/>
        </w:rPr>
        <w:t>万元，主要包括：基本工资、津贴补贴、绩效工资、机关事业单位基本养老保险缴费、职业年金缴费、职工基本医疗保险缴费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其他社会保障缴费、其他工资福利支出、住房公积金等。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6.85</w:t>
      </w:r>
      <w:r>
        <w:rPr>
          <w:rFonts w:hint="eastAsia" w:ascii="仿宋_GB2312" w:hAnsi="仿宋_GB2312" w:eastAsia="仿宋_GB2312" w:cs="仿宋_GB2312"/>
          <w:color w:val="auto"/>
          <w:sz w:val="32"/>
          <w:szCs w:val="32"/>
          <w:highlight w:val="none"/>
        </w:rPr>
        <w:t>万元，主要包括：办公费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差旅费、工会经费、福利费。</w:t>
      </w:r>
    </w:p>
    <w:p>
      <w:pPr>
        <w:keepNext w:val="0"/>
        <w:keepLines w:val="0"/>
        <w:pageBreakBefore w:val="0"/>
        <w:kinsoku/>
        <w:wordWrap/>
        <w:overflowPunct/>
        <w:topLinePunct w:val="0"/>
        <w:bidi w:val="0"/>
        <w:snapToGrid/>
        <w:spacing w:line="600" w:lineRule="exact"/>
        <w:ind w:firstLine="640"/>
        <w:textAlignment w:val="auto"/>
        <w:outlineLvl w:val="1"/>
        <w:rPr>
          <w:rStyle w:val="27"/>
          <w:rFonts w:ascii="黑体" w:hAnsi="黑体" w:eastAsia="黑体"/>
          <w:b w:val="0"/>
          <w:color w:val="auto"/>
          <w:highlight w:val="none"/>
        </w:rPr>
      </w:pPr>
      <w:bookmarkStart w:id="34" w:name="_Toc15396609"/>
      <w:bookmarkStart w:id="35"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4"/>
      <w:bookmarkEnd w:id="35"/>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36" w:name="_Toc15377216"/>
      <w:r>
        <w:rPr>
          <w:rFonts w:hint="eastAsia" w:ascii="楷体_GB2312" w:hAnsi="楷体_GB2312" w:eastAsia="楷体_GB2312" w:cs="楷体_GB2312"/>
          <w:b/>
          <w:color w:val="auto"/>
          <w:sz w:val="32"/>
          <w:szCs w:val="32"/>
          <w:highlight w:val="none"/>
        </w:rPr>
        <w:t>（一）“三公”经费财政拨款支出决算总体情况说明</w:t>
      </w:r>
      <w:bookmarkEnd w:id="36"/>
    </w:p>
    <w:p>
      <w:pPr>
        <w:keepNext w:val="0"/>
        <w:keepLines w:val="0"/>
        <w:pageBreakBefore w:val="0"/>
        <w:kinsoku/>
        <w:wordWrap/>
        <w:overflowPunct/>
        <w:topLinePunct w:val="0"/>
        <w:bidi w:val="0"/>
        <w:snapToGrid/>
        <w:spacing w:line="600" w:lineRule="exact"/>
        <w:ind w:firstLine="640"/>
        <w:textAlignment w:val="auto"/>
        <w:rPr>
          <w:rFonts w:hint="eastAsia" w:ascii="仿宋" w:hAnsi="仿宋" w:eastAsia="仿宋"/>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未安排</w:t>
      </w:r>
      <w:r>
        <w:rPr>
          <w:rFonts w:hint="eastAsia" w:ascii="仿宋_GB2312" w:hAnsi="仿宋_GB2312" w:eastAsia="仿宋_GB2312" w:cs="仿宋_GB2312"/>
          <w:color w:val="auto"/>
          <w:sz w:val="32"/>
          <w:szCs w:val="32"/>
          <w:highlight w:val="none"/>
        </w:rPr>
        <w:t>“三公”经费财政拨款</w:t>
      </w:r>
      <w:r>
        <w:rPr>
          <w:rFonts w:hint="eastAsia" w:ascii="仿宋_GB2312" w:hAnsi="仿宋_GB2312" w:eastAsia="仿宋_GB2312" w:cs="仿宋_GB2312"/>
          <w:color w:val="auto"/>
          <w:sz w:val="32"/>
          <w:szCs w:val="32"/>
          <w:highlight w:val="none"/>
          <w:lang w:val="en-US" w:eastAsia="zh-CN"/>
        </w:rPr>
        <w:t>预算，“三公”经费</w:t>
      </w:r>
      <w:r>
        <w:rPr>
          <w:rFonts w:hint="eastAsia" w:ascii="仿宋_GB2312" w:hAnsi="仿宋_GB2312" w:eastAsia="仿宋_GB2312" w:cs="仿宋_GB2312"/>
          <w:color w:val="auto"/>
          <w:sz w:val="32"/>
          <w:szCs w:val="32"/>
          <w:highlight w:val="none"/>
        </w:rPr>
        <w:t>财政拨款</w:t>
      </w:r>
      <w:bookmarkStart w:id="64" w:name="_GoBack"/>
      <w:bookmarkEnd w:id="64"/>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“三公”经费财政拨款支出决算数较上年无变化。</w:t>
      </w:r>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37" w:name="_Toc15377217"/>
      <w:r>
        <w:rPr>
          <w:rFonts w:hint="eastAsia" w:ascii="楷体_GB2312" w:hAnsi="楷体_GB2312" w:eastAsia="楷体_GB2312" w:cs="楷体_GB2312"/>
          <w:b/>
          <w:color w:val="auto"/>
          <w:sz w:val="32"/>
          <w:szCs w:val="32"/>
          <w:highlight w:val="none"/>
        </w:rPr>
        <w:t>（二）“三公”经费财政拨款支出决算具体情况说明</w:t>
      </w:r>
      <w:bookmarkEnd w:id="37"/>
    </w:p>
    <w:p>
      <w:pPr>
        <w:keepNext w:val="0"/>
        <w:keepLines w:val="0"/>
        <w:pageBreakBefore w:val="0"/>
        <w:kinsoku/>
        <w:wordWrap/>
        <w:overflowPunct/>
        <w:topLinePunct w:val="0"/>
        <w:bidi w:val="0"/>
        <w:snapToGrid/>
        <w:spacing w:line="600" w:lineRule="exact"/>
        <w:ind w:firstLine="640"/>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万元；公务用车购置及运行维护费支出决算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bidi w:val="0"/>
        <w:snapToGrid/>
        <w:spacing w:line="600" w:lineRule="exact"/>
        <w:ind w:firstLine="640"/>
        <w:textAlignment w:val="auto"/>
        <w:outlineLvl w:val="1"/>
        <w:rPr>
          <w:rStyle w:val="27"/>
          <w:rFonts w:ascii="黑体" w:hAnsi="黑体" w:eastAsia="黑体"/>
          <w:color w:val="auto"/>
          <w:highlight w:val="none"/>
        </w:rPr>
      </w:pPr>
      <w:bookmarkStart w:id="38" w:name="_Toc15377218"/>
      <w:bookmarkStart w:id="39" w:name="_Toc15396610"/>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38"/>
      <w:bookmarkEnd w:id="39"/>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年政府性基金预算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numPr>
          <w:ilvl w:val="0"/>
          <w:numId w:val="2"/>
        </w:numPr>
        <w:kinsoku/>
        <w:wordWrap/>
        <w:overflowPunct/>
        <w:topLinePunct w:val="0"/>
        <w:bidi w:val="0"/>
        <w:snapToGrid/>
        <w:spacing w:line="600" w:lineRule="exact"/>
        <w:ind w:firstLine="640"/>
        <w:textAlignment w:val="auto"/>
        <w:outlineLvl w:val="1"/>
        <w:rPr>
          <w:rStyle w:val="27"/>
          <w:rFonts w:ascii="黑体" w:hAnsi="黑体" w:eastAsia="黑体"/>
          <w:b w:val="0"/>
          <w:color w:val="auto"/>
          <w:highlight w:val="none"/>
        </w:rPr>
      </w:pPr>
      <w:bookmarkStart w:id="40" w:name="_Toc15396611"/>
      <w:bookmarkStart w:id="41" w:name="_Toc15377219"/>
      <w:r>
        <w:rPr>
          <w:rStyle w:val="27"/>
          <w:rFonts w:hint="eastAsia" w:ascii="黑体" w:hAnsi="黑体" w:eastAsia="黑体"/>
          <w:b w:val="0"/>
          <w:color w:val="auto"/>
          <w:highlight w:val="none"/>
        </w:rPr>
        <w:t>国有资本经营预算支出决算情况说明</w:t>
      </w:r>
      <w:bookmarkEnd w:id="40"/>
      <w:bookmarkEnd w:id="41"/>
    </w:p>
    <w:p>
      <w:pPr>
        <w:keepNext w:val="0"/>
        <w:keepLines w:val="0"/>
        <w:pageBreakBefore w:val="0"/>
        <w:kinsoku/>
        <w:wordWrap/>
        <w:overflowPunct/>
        <w:topLinePunct w:val="0"/>
        <w:bidi w:val="0"/>
        <w:snapToGrid/>
        <w:spacing w:line="600" w:lineRule="exact"/>
        <w:ind w:firstLine="64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numPr>
          <w:ilvl w:val="0"/>
          <w:numId w:val="2"/>
        </w:numPr>
        <w:kinsoku/>
        <w:wordWrap/>
        <w:overflowPunct/>
        <w:topLinePunct w:val="0"/>
        <w:bidi w:val="0"/>
        <w:snapToGrid/>
        <w:spacing w:line="600" w:lineRule="exact"/>
        <w:ind w:firstLine="640"/>
        <w:textAlignment w:val="auto"/>
        <w:outlineLvl w:val="1"/>
        <w:rPr>
          <w:rStyle w:val="27"/>
          <w:rFonts w:hint="eastAsia" w:ascii="黑体" w:hAnsi="黑体" w:eastAsia="黑体"/>
          <w:b w:val="0"/>
          <w:color w:val="auto"/>
          <w:highlight w:val="none"/>
        </w:rPr>
      </w:pPr>
      <w:bookmarkStart w:id="42" w:name="_Toc15377221"/>
      <w:bookmarkStart w:id="43" w:name="_Toc15396612"/>
      <w:r>
        <w:rPr>
          <w:rStyle w:val="27"/>
          <w:rFonts w:hint="eastAsia" w:ascii="黑体" w:hAnsi="黑体" w:eastAsia="黑体"/>
          <w:b w:val="0"/>
          <w:color w:val="auto"/>
          <w:highlight w:val="none"/>
        </w:rPr>
        <w:t>其他重要事项的情况说明</w:t>
      </w:r>
      <w:bookmarkEnd w:id="42"/>
      <w:bookmarkEnd w:id="43"/>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44" w:name="_Toc15377222"/>
      <w:r>
        <w:rPr>
          <w:rFonts w:hint="eastAsia" w:ascii="楷体_GB2312" w:hAnsi="楷体_GB2312" w:eastAsia="楷体_GB2312" w:cs="楷体_GB2312"/>
          <w:b/>
          <w:color w:val="auto"/>
          <w:sz w:val="32"/>
          <w:szCs w:val="32"/>
          <w:highlight w:val="none"/>
        </w:rPr>
        <w:t>（一）机关运行经费支出情况</w:t>
      </w:r>
      <w:bookmarkEnd w:id="44"/>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社保基金中心为事业单位，未开支机关运行经费。</w:t>
      </w:r>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45" w:name="_Toc15377223"/>
      <w:r>
        <w:rPr>
          <w:rFonts w:hint="eastAsia" w:ascii="楷体_GB2312" w:hAnsi="楷体_GB2312" w:eastAsia="楷体_GB2312" w:cs="楷体_GB2312"/>
          <w:b/>
          <w:color w:val="auto"/>
          <w:sz w:val="32"/>
          <w:szCs w:val="32"/>
          <w:highlight w:val="none"/>
        </w:rPr>
        <w:t>（二）政府采购支出情况</w:t>
      </w:r>
      <w:bookmarkEnd w:id="45"/>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社保基金中心</w:t>
      </w:r>
      <w:r>
        <w:rPr>
          <w:rFonts w:hint="eastAsia" w:ascii="仿宋_GB2312" w:hAnsi="仿宋_GB2312" w:eastAsia="仿宋_GB2312" w:cs="仿宋_GB2312"/>
          <w:color w:val="auto"/>
          <w:sz w:val="32"/>
          <w:szCs w:val="32"/>
          <w:highlight w:val="none"/>
        </w:rPr>
        <w:t>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46" w:name="_Toc15377224"/>
      <w:r>
        <w:rPr>
          <w:rFonts w:hint="eastAsia" w:ascii="楷体_GB2312" w:hAnsi="楷体_GB2312" w:eastAsia="楷体_GB2312" w:cs="楷体_GB2312"/>
          <w:b/>
          <w:color w:val="auto"/>
          <w:sz w:val="32"/>
          <w:szCs w:val="32"/>
          <w:highlight w:val="none"/>
        </w:rPr>
        <w:t>（三）国有资产占有使用情况</w:t>
      </w:r>
      <w:bookmarkEnd w:id="46"/>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年12月31日，</w:t>
      </w:r>
      <w:r>
        <w:rPr>
          <w:rFonts w:hint="eastAsia" w:ascii="仿宋_GB2312" w:hAnsi="仿宋_GB2312" w:eastAsia="仿宋_GB2312" w:cs="仿宋_GB2312"/>
          <w:color w:val="auto"/>
          <w:sz w:val="32"/>
          <w:szCs w:val="32"/>
          <w:highlight w:val="none"/>
          <w:lang w:eastAsia="zh-CN"/>
        </w:rPr>
        <w:t>社保基金中心</w:t>
      </w:r>
      <w:r>
        <w:rPr>
          <w:rFonts w:hint="eastAsia" w:ascii="仿宋_GB2312" w:hAnsi="仿宋_GB2312" w:eastAsia="仿宋_GB2312" w:cs="仿宋_GB2312"/>
          <w:color w:val="auto"/>
          <w:sz w:val="32"/>
          <w:szCs w:val="32"/>
          <w:highlight w:val="none"/>
        </w:rPr>
        <w:t>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单价50万元以上通用设备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台（套），单价100万元以上专用设备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auto"/>
          <w:sz w:val="32"/>
          <w:szCs w:val="32"/>
          <w:highlight w:val="none"/>
          <w:lang w:eastAsia="zh-CN"/>
        </w:rPr>
      </w:pPr>
      <w:r>
        <w:rPr>
          <w:rFonts w:hint="eastAsia" w:ascii="楷体_GB2312" w:hAnsi="楷体_GB2312" w:eastAsia="楷体_GB2312" w:cs="楷体_GB2312"/>
          <w:b/>
          <w:color w:val="auto"/>
          <w:sz w:val="32"/>
          <w:szCs w:val="32"/>
          <w:highlight w:val="none"/>
        </w:rPr>
        <w:t>（四）预算绩效管理情况</w:t>
      </w:r>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本单位</w:t>
      </w: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lang w:val="en-US" w:eastAsia="zh-CN"/>
        </w:rPr>
        <w:t>100万元以上项目及年度预算增幅达到20%的延续性项目，</w:t>
      </w:r>
      <w:r>
        <w:rPr>
          <w:rFonts w:hint="eastAsia" w:ascii="仿宋_GB2312" w:hAnsi="仿宋_GB2312" w:eastAsia="仿宋_GB2312" w:cs="仿宋_GB2312"/>
          <w:color w:val="auto"/>
          <w:sz w:val="32"/>
          <w:szCs w:val="32"/>
          <w:highlight w:val="none"/>
        </w:rPr>
        <w:t>根据预算绩效管理要求，</w:t>
      </w:r>
      <w:r>
        <w:rPr>
          <w:rFonts w:hint="eastAsia" w:ascii="仿宋_GB2312" w:hAnsi="仿宋_GB2312" w:eastAsia="仿宋_GB2312" w:cs="仿宋_GB2312"/>
          <w:color w:val="auto"/>
          <w:sz w:val="32"/>
          <w:szCs w:val="32"/>
          <w:highlight w:val="none"/>
          <w:lang w:val="en-US" w:eastAsia="zh-CN"/>
        </w:rPr>
        <w:t>无需开展</w:t>
      </w:r>
      <w:r>
        <w:rPr>
          <w:rFonts w:hint="eastAsia" w:ascii="仿宋_GB2312" w:hAnsi="仿宋_GB2312" w:eastAsia="仿宋_GB2312" w:cs="仿宋_GB2312"/>
          <w:color w:val="auto"/>
          <w:sz w:val="32"/>
          <w:szCs w:val="32"/>
          <w:highlight w:val="none"/>
        </w:rPr>
        <w:t>预算事前绩效评估</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绩效目标编制、</w:t>
      </w:r>
      <w:r>
        <w:rPr>
          <w:rFonts w:hint="eastAsia" w:ascii="仿宋_GB2312" w:hAnsi="仿宋_GB2312" w:eastAsia="仿宋_GB2312" w:cs="仿宋_GB2312"/>
          <w:color w:val="auto"/>
          <w:sz w:val="32"/>
          <w:szCs w:val="32"/>
          <w:highlight w:val="none"/>
          <w:lang w:val="en-US" w:eastAsia="zh-CN"/>
        </w:rPr>
        <w:t>绩效监控</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lang w:val="en-US" w:eastAsia="zh-CN"/>
        </w:rPr>
        <w:t>绩效目标完成情况自评工作</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bidi w:val="0"/>
        <w:snapToGrid/>
        <w:spacing w:line="600" w:lineRule="exact"/>
        <w:jc w:val="left"/>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keepNext w:val="0"/>
        <w:keepLines w:val="0"/>
        <w:pageBreakBefore w:val="0"/>
        <w:numPr>
          <w:ilvl w:val="0"/>
          <w:numId w:val="3"/>
        </w:numPr>
        <w:kinsoku/>
        <w:wordWrap/>
        <w:overflowPunct/>
        <w:topLinePunct w:val="0"/>
        <w:bidi w:val="0"/>
        <w:snapToGrid/>
        <w:spacing w:line="600" w:lineRule="exact"/>
        <w:ind w:firstLine="660" w:firstLineChars="150"/>
        <w:jc w:val="center"/>
        <w:textAlignment w:val="auto"/>
        <w:outlineLvl w:val="0"/>
        <w:rPr>
          <w:rStyle w:val="26"/>
          <w:rFonts w:ascii="黑体" w:hAnsi="黑体" w:eastAsia="黑体"/>
          <w:b w:val="0"/>
          <w:color w:val="auto"/>
          <w:highlight w:val="none"/>
        </w:rPr>
      </w:pPr>
      <w:bookmarkStart w:id="47" w:name="_Toc15377225"/>
      <w:bookmarkStart w:id="48"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7"/>
      <w:bookmarkEnd w:id="48"/>
    </w:p>
    <w:p>
      <w:pPr>
        <w:keepNext w:val="0"/>
        <w:keepLines w:val="0"/>
        <w:pageBreakBefore w:val="0"/>
        <w:kinsoku/>
        <w:wordWrap/>
        <w:overflowPunct/>
        <w:topLinePunct w:val="0"/>
        <w:bidi w:val="0"/>
        <w:snapToGrid/>
        <w:spacing w:line="600" w:lineRule="exact"/>
        <w:jc w:val="left"/>
        <w:textAlignment w:val="auto"/>
        <w:rPr>
          <w:rFonts w:ascii="宋体"/>
          <w:b/>
          <w:color w:val="auto"/>
          <w:sz w:val="44"/>
          <w:szCs w:val="44"/>
          <w:highlight w:val="none"/>
        </w:rPr>
      </w:pPr>
    </w:p>
    <w:p>
      <w:pPr>
        <w:pStyle w:val="24"/>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lang w:val="en-US" w:eastAsia="zh-CN" w:bidi="ar-SA"/>
        </w:rPr>
        <w:t>一般公共服务（类）财政事务（款）事业运行（项）：指本单位用于保障机构正常运行、开展日常工作的基本支出。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lang w:val="en-US" w:eastAsia="zh-CN" w:bidi="ar-SA"/>
        </w:rPr>
        <w:t>一般公共服务（类）财政事务（款）其他财政事务支出（项）：指开展其他财政事务方面专门性工作任务的项目支出。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lang w:val="en-US" w:eastAsia="zh-CN" w:bidi="ar-SA"/>
        </w:rPr>
        <w:t>社会保障和就业（类）行政事业单位养老支出（款）机关事业单位基本养老保险缴费支出（项</w:t>
      </w:r>
      <w:r>
        <w:rPr>
          <w:rFonts w:hint="eastAsia" w:ascii="仿宋_GB2312" w:hAnsi="仿宋_GB2312" w:eastAsia="仿宋_GB2312" w:cs="仿宋_GB2312"/>
          <w:color w:val="000000"/>
          <w:kern w:val="0"/>
          <w:sz w:val="32"/>
          <w:szCs w:val="32"/>
          <w:highlight w:val="none"/>
          <w:lang w:val="en-US" w:eastAsia="zh-CN" w:bidi="ar-SA"/>
        </w:rPr>
        <w:t>）：指单位实施养老保险制度由单位缴纳的养老保险费的支出。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highlight w:val="none"/>
          <w:lang w:val="en-US" w:eastAsia="zh-CN" w:bidi="ar-SA"/>
        </w:rPr>
        <w:t>社会保障和就业（类）行政事业单位养老支出（款）机关事业单位职业年金缴费支出（项）：指单位实施养老保险制度由单位缴纳的职业年金的支出。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highlight w:val="none"/>
          <w:lang w:val="en-US" w:eastAsia="zh-CN" w:bidi="ar-SA"/>
        </w:rPr>
        <w:t>卫生健康（类）行政事业单位医疗（款）事业单位医疗（项）：指事业单位用于单位应缴纳基本医疗保险支出。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highlight w:val="none"/>
          <w:lang w:val="en-US" w:eastAsia="zh-CN" w:bidi="ar-SA"/>
        </w:rPr>
        <w:t>住房保障（类）住房改革支出（款）住房公积金（项）：指单位按人力资源社会保障部、财政部规定的基本工资和津贴补贴以及规定比例为职工缴纳的住房公积金。</w:t>
      </w:r>
    </w:p>
    <w:p>
      <w:pPr>
        <w:pStyle w:val="2"/>
        <w:rPr>
          <w:rFonts w:hint="default"/>
          <w:lang w:val="en-US"/>
        </w:rPr>
      </w:pPr>
      <w:r>
        <w:rPr>
          <w:rFonts w:hint="eastAsia" w:ascii="仿宋_GB2312" w:hAnsi="仿宋_GB2312" w:eastAsia="仿宋_GB2312" w:cs="仿宋_GB2312"/>
          <w:color w:val="000000"/>
          <w:kern w:val="0"/>
          <w:sz w:val="32"/>
          <w:szCs w:val="32"/>
          <w:highlight w:val="none"/>
          <w:lang w:val="en-US" w:eastAsia="zh-CN" w:bidi="ar-SA"/>
        </w:rPr>
        <w:t>8</w:t>
      </w:r>
      <w:r>
        <w:rPr>
          <w:rFonts w:ascii="仿宋_GB2312" w:eastAsia="仿宋_GB2312"/>
          <w:color w:val="auto"/>
          <w:sz w:val="32"/>
          <w:szCs w:val="32"/>
          <w:highlight w:val="none"/>
        </w:rPr>
        <w:t>.</w:t>
      </w:r>
      <w:r>
        <w:rPr>
          <w:rFonts w:hint="eastAsia" w:ascii="仿宋_GB2312" w:hAnsi="仿宋_GB2312" w:eastAsia="仿宋_GB2312" w:cs="仿宋_GB2312"/>
          <w:color w:val="000000"/>
          <w:kern w:val="0"/>
          <w:sz w:val="32"/>
          <w:szCs w:val="32"/>
          <w:highlight w:val="none"/>
          <w:lang w:val="en-US" w:eastAsia="zh-CN" w:bidi="ar-SA"/>
        </w:rPr>
        <w:t>住房保障（类）住房改革支出（款）购房补贴（项）：指按房改政策规定的标准，单位向符合条件职工发放的用于购买住房的补贴。</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6"/>
          <w:rFonts w:ascii="黑体" w:hAnsi="黑体" w:eastAsia="黑体"/>
          <w:b w:val="0"/>
          <w:color w:val="auto"/>
          <w:highlight w:val="none"/>
        </w:rPr>
      </w:pPr>
      <w:bookmarkStart w:id="49" w:name="_Toc15377226"/>
      <w:r>
        <w:rPr>
          <w:rFonts w:ascii="宋体"/>
          <w:b/>
          <w:color w:val="auto"/>
          <w:sz w:val="44"/>
          <w:szCs w:val="44"/>
          <w:highlight w:val="none"/>
        </w:rPr>
        <w:br w:type="page"/>
      </w:r>
      <w:bookmarkStart w:id="50"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0"/>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本单位此表无内容</w:t>
      </w:r>
      <w:r>
        <w:rPr>
          <w:rFonts w:hint="eastAsia" w:ascii="黑体" w:hAnsi="黑体" w:eastAsia="黑体" w:cs="黑体"/>
          <w:color w:val="auto"/>
          <w:sz w:val="32"/>
          <w:szCs w:val="32"/>
          <w:highlight w:val="none"/>
          <w:lang w:eastAsia="zh-CN"/>
        </w:rPr>
        <w:t>）</w:t>
      </w: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1"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pStyle w:val="2"/>
        <w:rPr>
          <w:rFonts w:hint="eastAsia" w:ascii="仿宋_GB2312" w:hAnsi="宋体" w:eastAsia="仿宋_GB2312" w:cs="宋体"/>
          <w:color w:val="000000"/>
          <w:kern w:val="0"/>
          <w:sz w:val="32"/>
          <w:szCs w:val="32"/>
          <w:shd w:val="clear" w:color="auto" w:fill="FFFFFF"/>
          <w:lang w:val="en-US" w:eastAsia="zh-CN"/>
        </w:rPr>
      </w:pPr>
    </w:p>
    <w:p>
      <w:pPr>
        <w:pStyle w:val="2"/>
        <w:rPr>
          <w:rFonts w:hint="eastAsia" w:ascii="仿宋_GB2312" w:hAnsi="宋体" w:eastAsia="仿宋_GB2312" w:cs="宋体"/>
          <w:color w:val="000000"/>
          <w:kern w:val="0"/>
          <w:sz w:val="32"/>
          <w:szCs w:val="32"/>
          <w:shd w:val="clear" w:color="auto" w:fill="FFFFFF"/>
          <w:lang w:val="en-US" w:eastAsia="zh-CN"/>
        </w:rPr>
      </w:pPr>
    </w:p>
    <w:p>
      <w:pPr>
        <w:pStyle w:val="2"/>
        <w:ind w:left="0" w:leftChars="0" w:firstLine="0" w:firstLineChars="0"/>
        <w:jc w:val="center"/>
        <w:rPr>
          <w:rFonts w:hint="eastAsia" w:ascii="仿宋_GB2312" w:hAnsi="宋体" w:eastAsia="仿宋_GB2312" w:cs="宋体"/>
          <w:color w:val="000000"/>
          <w:kern w:val="0"/>
          <w:sz w:val="32"/>
          <w:szCs w:val="32"/>
          <w:shd w:val="clear" w:color="auto" w:fill="FFFFFF"/>
          <w:lang w:val="en-US" w:eastAsia="zh-CN"/>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52"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2"/>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53"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3"/>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b w:val="0"/>
          <w:color w:val="auto"/>
          <w:highlight w:val="none"/>
        </w:rPr>
      </w:pPr>
      <w:bookmarkStart w:id="54"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4"/>
    </w:p>
    <w:p>
      <w:pPr>
        <w:pStyle w:val="4"/>
        <w:pageBreakBefore w:val="0"/>
        <w:widowControl w:val="0"/>
        <w:kinsoku/>
        <w:wordWrap/>
        <w:overflowPunct/>
        <w:topLinePunct w:val="0"/>
        <w:autoSpaceDE/>
        <w:autoSpaceDN/>
        <w:bidi w:val="0"/>
        <w:adjustRightInd/>
        <w:snapToGrid/>
        <w:spacing w:line="600" w:lineRule="exact"/>
        <w:textAlignment w:val="auto"/>
        <w:rPr>
          <w:rStyle w:val="27"/>
          <w:rFonts w:ascii="仿宋" w:hAnsi="仿宋" w:eastAsia="仿宋"/>
          <w:b w:val="0"/>
          <w:bCs w:val="0"/>
          <w:color w:val="auto"/>
          <w:highlight w:val="none"/>
        </w:rPr>
      </w:pPr>
      <w:bookmarkStart w:id="55"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5"/>
      <w:bookmarkStart w:id="56" w:name="_Toc15396624"/>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6"/>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57"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57"/>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58"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58"/>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59"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59"/>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60"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0"/>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61"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1"/>
    </w:p>
    <w:p>
      <w:pPr>
        <w:pStyle w:val="4"/>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highlight w:val="none"/>
        </w:rPr>
      </w:pPr>
      <w:bookmarkStart w:id="62"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2"/>
    </w:p>
    <w:p>
      <w:pPr>
        <w:pStyle w:val="4"/>
        <w:pageBreakBefore w:val="0"/>
        <w:widowControl w:val="0"/>
        <w:kinsoku/>
        <w:wordWrap/>
        <w:overflowPunct/>
        <w:topLinePunct w:val="0"/>
        <w:autoSpaceDE/>
        <w:autoSpaceDN/>
        <w:bidi w:val="0"/>
        <w:adjustRightInd/>
        <w:snapToGrid/>
        <w:spacing w:line="600" w:lineRule="exact"/>
        <w:textAlignment w:val="auto"/>
        <w:rPr>
          <w:rStyle w:val="27"/>
          <w:rFonts w:hint="eastAsia" w:ascii="仿宋" w:hAnsi="仿宋" w:eastAsia="仿宋"/>
          <w:b w:val="0"/>
          <w:bCs w:val="0"/>
          <w:color w:val="auto"/>
          <w:highlight w:val="none"/>
        </w:rPr>
      </w:pPr>
      <w:bookmarkStart w:id="63"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3"/>
    </w:p>
    <w:p>
      <w:pPr>
        <w:pageBreakBefore w:val="0"/>
        <w:widowControl w:val="0"/>
        <w:kinsoku/>
        <w:wordWrap/>
        <w:overflowPunct/>
        <w:topLinePunct w:val="0"/>
        <w:autoSpaceDE/>
        <w:autoSpaceDN/>
        <w:bidi w:val="0"/>
        <w:adjustRightInd/>
        <w:snapToGrid/>
        <w:spacing w:line="600" w:lineRule="exact"/>
        <w:textAlignment w:val="auto"/>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bookmarkEnd w:id="49"/>
      <w:bookmarkEnd w:id="51"/>
    </w:p>
    <w:sectPr>
      <w:headerReference r:id="rId3" w:type="default"/>
      <w:footerReference r:id="rId4" w:type="default"/>
      <w:pgSz w:w="11906" w:h="16838"/>
      <w:pgMar w:top="2098"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2985"/>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0949"/>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64108"/>
    <w:rsid w:val="017357CC"/>
    <w:rsid w:val="0286675E"/>
    <w:rsid w:val="02F53EF6"/>
    <w:rsid w:val="035131EA"/>
    <w:rsid w:val="047D343A"/>
    <w:rsid w:val="04EC5CD0"/>
    <w:rsid w:val="05FA6F2E"/>
    <w:rsid w:val="068E57B0"/>
    <w:rsid w:val="07F717AC"/>
    <w:rsid w:val="09306E90"/>
    <w:rsid w:val="0A2032A3"/>
    <w:rsid w:val="0B7D27F9"/>
    <w:rsid w:val="0B8A37D8"/>
    <w:rsid w:val="0C3C4314"/>
    <w:rsid w:val="0DF73E38"/>
    <w:rsid w:val="0F4B5660"/>
    <w:rsid w:val="10C055FF"/>
    <w:rsid w:val="118107EC"/>
    <w:rsid w:val="11A31397"/>
    <w:rsid w:val="11DD6519"/>
    <w:rsid w:val="120F0361"/>
    <w:rsid w:val="13192B43"/>
    <w:rsid w:val="14676670"/>
    <w:rsid w:val="153B7FFA"/>
    <w:rsid w:val="15A2525F"/>
    <w:rsid w:val="16BB723D"/>
    <w:rsid w:val="18015F3F"/>
    <w:rsid w:val="185F1636"/>
    <w:rsid w:val="18C21374"/>
    <w:rsid w:val="1A506A48"/>
    <w:rsid w:val="1BE8440E"/>
    <w:rsid w:val="1CF66D5C"/>
    <w:rsid w:val="1D0659C0"/>
    <w:rsid w:val="1D155CEE"/>
    <w:rsid w:val="1DE628D4"/>
    <w:rsid w:val="1E4750F5"/>
    <w:rsid w:val="20C95868"/>
    <w:rsid w:val="20F57F95"/>
    <w:rsid w:val="22113376"/>
    <w:rsid w:val="22A956A2"/>
    <w:rsid w:val="240371BF"/>
    <w:rsid w:val="244C7464"/>
    <w:rsid w:val="25737086"/>
    <w:rsid w:val="25C741E6"/>
    <w:rsid w:val="26DF6DA3"/>
    <w:rsid w:val="26FD4749"/>
    <w:rsid w:val="27842671"/>
    <w:rsid w:val="280F5435"/>
    <w:rsid w:val="29FD04D3"/>
    <w:rsid w:val="2AA2756E"/>
    <w:rsid w:val="2ABE7A3E"/>
    <w:rsid w:val="2AE84B4A"/>
    <w:rsid w:val="2B5B014B"/>
    <w:rsid w:val="2C011A7E"/>
    <w:rsid w:val="2C597C44"/>
    <w:rsid w:val="2DFA397F"/>
    <w:rsid w:val="2E21407B"/>
    <w:rsid w:val="2EFA178C"/>
    <w:rsid w:val="2FEF2BF9"/>
    <w:rsid w:val="30B46D73"/>
    <w:rsid w:val="319F7F4E"/>
    <w:rsid w:val="34554250"/>
    <w:rsid w:val="35D23F47"/>
    <w:rsid w:val="35FC7E52"/>
    <w:rsid w:val="399946C1"/>
    <w:rsid w:val="39AE70AB"/>
    <w:rsid w:val="3AB25B71"/>
    <w:rsid w:val="3C0C0783"/>
    <w:rsid w:val="3EE74BE3"/>
    <w:rsid w:val="3F9F3A96"/>
    <w:rsid w:val="40ED5D19"/>
    <w:rsid w:val="41AC1BAC"/>
    <w:rsid w:val="42BB77A1"/>
    <w:rsid w:val="42FB2DF5"/>
    <w:rsid w:val="43687078"/>
    <w:rsid w:val="43A63D4C"/>
    <w:rsid w:val="43B83C84"/>
    <w:rsid w:val="44953D84"/>
    <w:rsid w:val="46017B29"/>
    <w:rsid w:val="48F846A5"/>
    <w:rsid w:val="493C27E9"/>
    <w:rsid w:val="496F39ED"/>
    <w:rsid w:val="49FF41D3"/>
    <w:rsid w:val="4BE068DB"/>
    <w:rsid w:val="4BF6002B"/>
    <w:rsid w:val="4C3A0C2A"/>
    <w:rsid w:val="4C5E6342"/>
    <w:rsid w:val="4D02327B"/>
    <w:rsid w:val="4E483338"/>
    <w:rsid w:val="4ECE2238"/>
    <w:rsid w:val="4FC47801"/>
    <w:rsid w:val="51DB4B86"/>
    <w:rsid w:val="54FB6D4B"/>
    <w:rsid w:val="55333C3E"/>
    <w:rsid w:val="555F4FBB"/>
    <w:rsid w:val="5759313B"/>
    <w:rsid w:val="57BC0EEE"/>
    <w:rsid w:val="58EC1EFE"/>
    <w:rsid w:val="5A3D0B78"/>
    <w:rsid w:val="5BEA15A2"/>
    <w:rsid w:val="5D815F4B"/>
    <w:rsid w:val="605B1D8D"/>
    <w:rsid w:val="612F221B"/>
    <w:rsid w:val="63597754"/>
    <w:rsid w:val="63B90092"/>
    <w:rsid w:val="643C3A34"/>
    <w:rsid w:val="64CA39A1"/>
    <w:rsid w:val="652620C3"/>
    <w:rsid w:val="66541784"/>
    <w:rsid w:val="66D01727"/>
    <w:rsid w:val="6743026D"/>
    <w:rsid w:val="69C72F0E"/>
    <w:rsid w:val="6AEB335B"/>
    <w:rsid w:val="6C4A05C8"/>
    <w:rsid w:val="6E8B5914"/>
    <w:rsid w:val="6F6531AA"/>
    <w:rsid w:val="6FD670E0"/>
    <w:rsid w:val="72734D90"/>
    <w:rsid w:val="73907E28"/>
    <w:rsid w:val="74E628C7"/>
    <w:rsid w:val="75031892"/>
    <w:rsid w:val="75BB1372"/>
    <w:rsid w:val="75EC79D3"/>
    <w:rsid w:val="785915BE"/>
    <w:rsid w:val="79E7B28D"/>
    <w:rsid w:val="7B134622"/>
    <w:rsid w:val="7D5A1F0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rPr>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4037;&#20316;&#31807;12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99.05</c:v>
                </c:pt>
                <c:pt idx="1">
                  <c:v>143.36</c:v>
                </c:pt>
              </c:numCache>
            </c:numRef>
          </c:val>
        </c:ser>
        <c:dLbls>
          <c:showLegendKey val="0"/>
          <c:showVal val="1"/>
          <c:showCatName val="0"/>
          <c:showSerName val="0"/>
          <c:showPercent val="0"/>
          <c:showBubbleSize val="0"/>
        </c:dLbls>
        <c:gapWidth val="219"/>
        <c:overlap val="-27"/>
        <c:axId val="438662268"/>
        <c:axId val="242755932"/>
      </c:barChart>
      <c:catAx>
        <c:axId val="4386622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55932"/>
        <c:crosses val="autoZero"/>
        <c:auto val="1"/>
        <c:lblAlgn val="ctr"/>
        <c:lblOffset val="100"/>
        <c:noMultiLvlLbl val="0"/>
      </c:catAx>
      <c:valAx>
        <c:axId val="2427559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622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[工作簿123.xlsx]Sheet1!$B$25</c:f>
              <c:strCache>
                <c:ptCount val="1"/>
                <c:pt idx="0">
                  <c:v>一般公共预算财政拨款收入</c:v>
                </c:pt>
              </c:strCache>
            </c:strRef>
          </c:tx>
          <c:spPr/>
          <c:explosion val="0"/>
          <c:dPt>
            <c:idx val="0"/>
            <c:bubble3D val="0"/>
            <c:spPr>
              <a:solidFill>
                <a:schemeClr val="accent1"/>
              </a:solidFill>
              <a:ln>
                <a:noFill/>
              </a:ln>
              <a:effectLst/>
            </c:spPr>
          </c:dPt>
          <c:dLbls>
            <c:dLbl>
              <c:idx val="0"/>
              <c:layout>
                <c:manualLayout>
                  <c:x val="0.000137839931091087"/>
                  <c:y val="-0.40188503157308"/>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b="0">
                        <a:solidFill>
                          <a:schemeClr val="tx1">
                            <a:lumMod val="75000"/>
                            <a:lumOff val="25000"/>
                          </a:schemeClr>
                        </a:solidFill>
                      </a:rPr>
                      <a:t>一般公共预算财政拨款收入</a:t>
                    </a:r>
                    <a:r>
                      <a:rPr sz="1400" b="0">
                        <a:solidFill>
                          <a:schemeClr val="tx1">
                            <a:lumMod val="75000"/>
                            <a:lumOff val="25000"/>
                          </a:schemeClr>
                        </a:solidFill>
                      </a:rPr>
                      <a:t> </a:t>
                    </a:r>
                    <a:endParaRPr sz="1400" b="0">
                      <a:solidFill>
                        <a:schemeClr val="tx1">
                          <a:lumMod val="75000"/>
                          <a:lumOff val="25000"/>
                        </a:schemeClr>
                      </a:solidFill>
                    </a:endParaRPr>
                  </a:p>
                  <a:p>
                    <a:pPr defTabSz="914400">
                      <a:defRPr lang="zh-CN" sz="900" b="1" i="0" u="none" strike="noStrike" kern="1200" baseline="0">
                        <a:solidFill>
                          <a:schemeClr val="lt1"/>
                        </a:solidFill>
                        <a:latin typeface="+mn-lt"/>
                        <a:ea typeface="+mn-ea"/>
                        <a:cs typeface="+mn-cs"/>
                      </a:defRPr>
                    </a:pPr>
                    <a:r>
                      <a:rPr sz="1400" b="0">
                        <a:solidFill>
                          <a:schemeClr val="tx1">
                            <a:lumMod val="75000"/>
                            <a:lumOff val="25000"/>
                          </a:schemeClr>
                        </a:solidFill>
                      </a:rPr>
                      <a:t>100%</a:t>
                    </a:r>
                    <a:endParaRPr sz="1400" b="0">
                      <a:solidFill>
                        <a:schemeClr val="tx1">
                          <a:lumMod val="75000"/>
                          <a:lumOff val="25000"/>
                        </a:schemeClr>
                      </a:solidFill>
                    </a:endParaRPr>
                  </a:p>
                </c:rich>
              </c:tx>
              <c:dLblPos val="bestFit"/>
              <c:showLegendKey val="0"/>
              <c:showVal val="0"/>
              <c:showCatName val="0"/>
              <c:showSerName val="1"/>
              <c:showPercent val="1"/>
              <c:showBubbleSize val="0"/>
              <c:extLst>
                <c:ext xmlns:c15="http://schemas.microsoft.com/office/drawing/2012/chart" uri="{CE6537A1-D6FC-4f65-9D91-7224C49458BB}">
                  <c15:layout>
                    <c:manualLayout>
                      <c:w val="0.434444444444444"/>
                      <c:h val="0.24837962962963"/>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bestFit"/>
            <c:showLegendKey val="0"/>
            <c:showVal val="0"/>
            <c:showCatName val="0"/>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[工作簿123.xlsx]Sheet1!$C$25</c:f>
              <c:numCache>
                <c:formatCode>General</c:formatCode>
                <c:ptCount val="1"/>
                <c:pt idx="0">
                  <c:v>143.36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0522545687829209"/>
                  <c:y val="-0.33412187876706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基本支出93.51%</a:t>
                    </a:r>
                    <a:endParaRPr sz="120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8028594333727"/>
                  <c:y val="0.060667292299289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项目支出6.49%</a:t>
                    </a:r>
                    <a:endParaRPr sz="120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[工作簿1]Sheet1!$B$19:$B$20</c:f>
              <c:strCache>
                <c:ptCount val="2"/>
                <c:pt idx="0">
                  <c:v>基本支出</c:v>
                </c:pt>
                <c:pt idx="1">
                  <c:v>项目支出</c:v>
                </c:pt>
              </c:strCache>
            </c:strRef>
          </c:cat>
          <c:val>
            <c:numRef>
              <c:f>[工作簿1]Sheet1!$C$19:$C$20</c:f>
              <c:numCache>
                <c:formatCode>General</c:formatCode>
                <c:ptCount val="2"/>
                <c:pt idx="0">
                  <c:v>134.06</c:v>
                </c:pt>
                <c:pt idx="1">
                  <c:v>9.3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99.05</c:v>
                </c:pt>
                <c:pt idx="1">
                  <c:v>143.36</c:v>
                </c:pt>
              </c:numCache>
            </c:numRef>
          </c:val>
        </c:ser>
        <c:dLbls>
          <c:showLegendKey val="0"/>
          <c:showVal val="1"/>
          <c:showCatName val="0"/>
          <c:showSerName val="0"/>
          <c:showPercent val="0"/>
          <c:showBubbleSize val="0"/>
        </c:dLbls>
        <c:gapWidth val="219"/>
        <c:overlap val="-27"/>
        <c:axId val="438662268"/>
        <c:axId val="242755932"/>
      </c:barChart>
      <c:catAx>
        <c:axId val="4386622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55932"/>
        <c:crosses val="autoZero"/>
        <c:auto val="1"/>
        <c:lblAlgn val="ctr"/>
        <c:lblOffset val="100"/>
        <c:noMultiLvlLbl val="0"/>
      </c:catAx>
      <c:valAx>
        <c:axId val="2427559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622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99.05</c:v>
                </c:pt>
                <c:pt idx="1">
                  <c:v>143.36</c:v>
                </c:pt>
              </c:numCache>
            </c:numRef>
          </c:val>
        </c:ser>
        <c:dLbls>
          <c:showLegendKey val="0"/>
          <c:showVal val="1"/>
          <c:showCatName val="0"/>
          <c:showSerName val="0"/>
          <c:showPercent val="0"/>
          <c:showBubbleSize val="0"/>
        </c:dLbls>
        <c:gapWidth val="219"/>
        <c:overlap val="-27"/>
        <c:axId val="438662268"/>
        <c:axId val="242755932"/>
      </c:barChart>
      <c:catAx>
        <c:axId val="4386622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55932"/>
        <c:crosses val="autoZero"/>
        <c:auto val="1"/>
        <c:lblAlgn val="ctr"/>
        <c:lblOffset val="100"/>
        <c:noMultiLvlLbl val="0"/>
      </c:catAx>
      <c:valAx>
        <c:axId val="2427559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622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9803344493409"/>
                  <c:y val="-0.23692573495331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t>一般公共服务支出71.31%</a:t>
                    </a:r>
                    <a:endParaRPr sz="105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3194444444444"/>
                      <c:h val="0.163888888888889"/>
                    </c:manualLayout>
                  </c15:layout>
                </c:ext>
              </c:extLst>
            </c:dLbl>
            <c:dLbl>
              <c:idx val="1"/>
              <c:layout>
                <c:manualLayout>
                  <c:x val="0.0225072767750004"/>
                  <c:y val="0.21310269835866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t>社会保障和就业支出8.48%</a:t>
                    </a:r>
                    <a:endParaRPr sz="105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3668510945393"/>
                      <c:h val="0.14003164556962"/>
                    </c:manualLayout>
                  </c15:layout>
                </c:ext>
              </c:extLst>
            </c:dLbl>
            <c:dLbl>
              <c:idx val="2"/>
              <c:layout>
                <c:manualLayout>
                  <c:x val="-0.016284241469362"/>
                  <c:y val="-0.032518882715203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t>卫生健康支出5.92%</a:t>
                    </a:r>
                    <a:endParaRPr sz="105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00288247502861"/>
                  <c:y val="-0.0011701858602333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50"/>
                      <a:t>住房保障支出14.29%</a:t>
                    </a:r>
                    <a:endParaRPr sz="105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[工作簿1]Sheet1!$B$4:$B$7</c:f>
              <c:strCache>
                <c:ptCount val="4"/>
                <c:pt idx="0">
                  <c:v>一般公共服务支出</c:v>
                </c:pt>
                <c:pt idx="1">
                  <c:v>社会保障和就业支出</c:v>
                </c:pt>
                <c:pt idx="2">
                  <c:v>卫生健康支出</c:v>
                </c:pt>
                <c:pt idx="3">
                  <c:v>住房保障支出</c:v>
                </c:pt>
              </c:strCache>
            </c:strRef>
          </c:cat>
          <c:val>
            <c:numRef>
              <c:f>[工作簿1]Sheet1!$C$4:$C$7</c:f>
              <c:numCache>
                <c:formatCode>#,##0.00</c:formatCode>
                <c:ptCount val="4"/>
                <c:pt idx="0">
                  <c:v>102.23</c:v>
                </c:pt>
                <c:pt idx="1">
                  <c:v>12.16</c:v>
                </c:pt>
                <c:pt idx="2">
                  <c:v>8.49</c:v>
                </c:pt>
                <c:pt idx="3">
                  <c:v>20.48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4124</Words>
  <Characters>4442</Characters>
  <Lines>61</Lines>
  <Paragraphs>17</Paragraphs>
  <TotalTime>1</TotalTime>
  <ScaleCrop>false</ScaleCrop>
  <LinksUpToDate>false</LinksUpToDate>
  <CharactersWithSpaces>4480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周菲</cp:lastModifiedBy>
  <cp:lastPrinted>2022-08-19T17:19:00Z</cp:lastPrinted>
  <dcterms:modified xsi:type="dcterms:W3CDTF">2023-10-10T03:45:17Z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FC99F4422A3E4593A67B4DE3DCA95764</vt:lpwstr>
  </property>
</Properties>
</file>