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96475"/>
      <w:bookmarkStart w:id="4" w:name="_Toc15378441"/>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96476"/>
      <w:bookmarkStart w:id="8" w:name="_Toc15377194"/>
      <w:bookmarkStart w:id="9" w:name="_Toc15378442"/>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政府和社会资本</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合作中心单位决算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sdt>
      <w:sdtPr>
        <w:rPr>
          <w:rFonts w:ascii="宋体" w:hAnsi="宋体" w:eastAsia="宋体"/>
          <w:sz w:val="21"/>
          <w:szCs w:val="24"/>
        </w:rPr>
        <w:id w:val="594008739"/>
        <w:docPartObj>
          <w:docPartGallery w:val="Table of Contents"/>
          <w:docPartUnique/>
        </w:docPartObj>
      </w:sdtPr>
      <w:sdtEndPr>
        <w:rPr>
          <w:rFonts w:asciiTheme="minorHAnsi" w:hAnsiTheme="minorHAnsi" w:eastAsiaTheme="minorEastAsia" w:cstheme="minorBidi"/>
          <w:sz w:val="20"/>
          <w:szCs w:val="20"/>
        </w:rPr>
      </w:sdtEndPr>
      <w:sdtContent>
        <w:p>
          <w:pPr>
            <w:pStyle w:val="11"/>
            <w:rPr>
              <w:rFonts w:ascii="仿宋_GB2312" w:hAnsi="仿宋_GB2312" w:eastAsia="仿宋_GB2312" w:cs="仿宋_GB2312"/>
              <w:b/>
              <w:bCs/>
              <w:sz w:val="32"/>
              <w:szCs w:val="32"/>
            </w:rPr>
          </w:pPr>
        </w:p>
        <w:p>
          <w:pPr>
            <w:pStyle w:val="33"/>
            <w:tabs>
              <w:tab w:val="right" w:leader="dot" w:pos="8306"/>
            </w:tabs>
          </w:pPr>
          <w:r>
            <w:fldChar w:fldCharType="begin"/>
          </w:r>
          <w:r>
            <w:instrText xml:space="preserve"> HYPERLINK \l "_Toc2008454201_WPSOffice_Level1" </w:instrText>
          </w:r>
          <w:r>
            <w:fldChar w:fldCharType="separate"/>
          </w:r>
          <w:r>
            <w:rPr>
              <w:rFonts w:hint="eastAsia" w:ascii="仿宋_GB2312" w:hAnsi="仿宋_GB2312" w:eastAsia="仿宋_GB2312" w:cs="仿宋_GB2312"/>
              <w:b/>
              <w:bCs/>
              <w:sz w:val="32"/>
              <w:szCs w:val="32"/>
            </w:rPr>
            <w:t>第一部分 单位概况</w:t>
          </w:r>
          <w:r>
            <w:rPr>
              <w:rFonts w:hint="eastAsia" w:ascii="仿宋_GB2312" w:hAnsi="仿宋_GB2312" w:eastAsia="仿宋_GB2312" w:cs="仿宋_GB2312"/>
              <w:b/>
              <w:bCs/>
              <w:sz w:val="32"/>
              <w:szCs w:val="32"/>
            </w:rPr>
            <w:tab/>
          </w:r>
          <w:bookmarkStart w:id="12" w:name="_Toc2008454201_WPSOffice_Level1Page"/>
          <w:r>
            <w:rPr>
              <w:rFonts w:hint="eastAsia" w:ascii="仿宋_GB2312" w:hAnsi="仿宋_GB2312" w:eastAsia="仿宋_GB2312" w:cs="仿宋_GB2312"/>
              <w:b/>
              <w:bCs/>
              <w:sz w:val="32"/>
              <w:szCs w:val="32"/>
            </w:rPr>
            <w:t>4</w:t>
          </w:r>
          <w:bookmarkEnd w:id="12"/>
          <w:r>
            <w:rPr>
              <w:rFonts w:hint="eastAsia" w:ascii="仿宋_GB2312" w:hAnsi="仿宋_GB2312" w:eastAsia="仿宋_GB2312" w:cs="仿宋_GB2312"/>
              <w:b/>
              <w:bCs/>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"_Toc612227116_WPSOffice_Level2" </w:instrText>
          </w:r>
          <w:r>
            <w:fldChar w:fldCharType="separate"/>
          </w:r>
          <w:r>
            <w:rPr>
              <w:rFonts w:hint="eastAsia" w:ascii="仿宋_GB2312" w:hAnsi="仿宋_GB2312" w:eastAsia="仿宋_GB2312" w:cs="仿宋_GB2312"/>
              <w:sz w:val="32"/>
              <w:szCs w:val="32"/>
            </w:rPr>
            <w:t>一、职能简介</w:t>
          </w:r>
          <w:r>
            <w:rPr>
              <w:rFonts w:hint="eastAsia" w:ascii="仿宋_GB2312" w:hAnsi="仿宋_GB2312" w:eastAsia="仿宋_GB2312" w:cs="仿宋_GB2312"/>
              <w:sz w:val="32"/>
              <w:szCs w:val="32"/>
            </w:rPr>
            <w:tab/>
          </w:r>
          <w:bookmarkStart w:id="13" w:name="_Toc612227116_WPSOffice_Level2Page"/>
          <w:r>
            <w:rPr>
              <w:rFonts w:hint="eastAsia" w:ascii="仿宋_GB2312" w:hAnsi="仿宋_GB2312" w:eastAsia="仿宋_GB2312" w:cs="仿宋_GB2312"/>
              <w:sz w:val="32"/>
              <w:szCs w:val="32"/>
            </w:rPr>
            <w:t>4</w:t>
          </w:r>
          <w:bookmarkEnd w:id="13"/>
          <w:r>
            <w:rPr>
              <w:rFonts w:hint="eastAsia" w:ascii="仿宋_GB2312" w:hAnsi="仿宋_GB2312" w:eastAsia="仿宋_GB2312" w:cs="仿宋_GB2312"/>
              <w:sz w:val="32"/>
              <w:szCs w:val="32"/>
            </w:rPr>
            <w:fldChar w:fldCharType="end"/>
          </w:r>
        </w:p>
        <w:p>
          <w:pPr>
            <w:pStyle w:val="34"/>
            <w:tabs>
              <w:tab w:val="right" w:leader="dot" w:pos="8306"/>
            </w:tabs>
            <w:ind w:left="420"/>
            <w:rPr>
              <w:rFonts w:hint="eastAsia" w:ascii="仿宋_GB2312" w:hAnsi="仿宋_GB2312" w:eastAsia="仿宋_GB2312" w:cs="仿宋_GB2312"/>
              <w:sz w:val="32"/>
              <w:szCs w:val="32"/>
            </w:rPr>
          </w:pPr>
          <w:r>
            <w:fldChar w:fldCharType="begin"/>
          </w:r>
          <w:r>
            <w:instrText xml:space="preserve"> HYPERLINK \l "_Toc1268367063_WPSOffice_Level2" </w:instrText>
          </w:r>
          <w:r>
            <w:fldChar w:fldCharType="separate"/>
          </w:r>
          <w:r>
            <w:rPr>
              <w:rFonts w:hint="eastAsia" w:ascii="仿宋_GB2312" w:hAnsi="仿宋_GB2312" w:eastAsia="仿宋_GB2312" w:cs="仿宋_GB2312"/>
              <w:sz w:val="32"/>
              <w:szCs w:val="32"/>
            </w:rPr>
            <w:t>二、2021年重点工作完成情况</w:t>
          </w:r>
          <w:r>
            <w:rPr>
              <w:rFonts w:hint="eastAsia" w:ascii="仿宋_GB2312" w:hAnsi="仿宋_GB2312" w:eastAsia="仿宋_GB2312" w:cs="仿宋_GB2312"/>
              <w:sz w:val="32"/>
              <w:szCs w:val="32"/>
            </w:rPr>
            <w:tab/>
          </w:r>
          <w:bookmarkStart w:id="14" w:name="_Toc1268367063_WPSOffice_Level2Page"/>
          <w:r>
            <w:rPr>
              <w:rFonts w:hint="eastAsia" w:ascii="仿宋_GB2312" w:hAnsi="仿宋_GB2312" w:eastAsia="仿宋_GB2312" w:cs="仿宋_GB2312"/>
              <w:sz w:val="32"/>
              <w:szCs w:val="32"/>
            </w:rPr>
            <w:t>4</w:t>
          </w:r>
          <w:bookmarkEnd w:id="14"/>
          <w:r>
            <w:rPr>
              <w:rFonts w:hint="eastAsia" w:ascii="仿宋_GB2312" w:hAnsi="仿宋_GB2312" w:eastAsia="仿宋_GB2312" w:cs="仿宋_GB2312"/>
              <w:sz w:val="32"/>
              <w:szCs w:val="32"/>
            </w:rPr>
            <w:fldChar w:fldCharType="end"/>
          </w:r>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17a24ef8-a395-491b-86f5-6ba2f4951678}"/>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w:t>
              </w:r>
              <w:r>
                <w:rPr>
                  <w:rFonts w:hint="eastAsia" w:ascii="仿宋_GB2312" w:hAnsi="仿宋_GB2312" w:eastAsia="仿宋_GB2312" w:cs="仿宋_GB2312"/>
                  <w:sz w:val="32"/>
                  <w:szCs w:val="32"/>
                </w:rPr>
                <w:t>情况</w:t>
              </w:r>
            </w:sdtContent>
          </w:sdt>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bookmarkStart w:id="182" w:name="_GoBack"/>
          <w:bookmarkEnd w:id="182"/>
        </w:p>
        <w:p>
          <w:pPr>
            <w:pStyle w:val="33"/>
            <w:tabs>
              <w:tab w:val="right" w:leader="dot" w:pos="8306"/>
            </w:tabs>
            <w:rPr>
              <w:rFonts w:ascii="仿宋_GB2312" w:hAnsi="仿宋_GB2312" w:eastAsia="仿宋_GB2312" w:cs="仿宋_GB2312"/>
              <w:b/>
              <w:bCs/>
              <w:sz w:val="32"/>
              <w:szCs w:val="32"/>
            </w:rPr>
          </w:pPr>
          <w:r>
            <w:fldChar w:fldCharType="begin"/>
          </w:r>
          <w:r>
            <w:instrText xml:space="preserve"> HYPERLINK \l "_Toc612227116_WPSOffice_Level1" </w:instrText>
          </w:r>
          <w:r>
            <w:fldChar w:fldCharType="separate"/>
          </w:r>
          <w:r>
            <w:rPr>
              <w:rFonts w:hint="eastAsia" w:ascii="仿宋_GB2312" w:hAnsi="仿宋_GB2312" w:eastAsia="仿宋_GB2312" w:cs="仿宋_GB2312"/>
              <w:b/>
              <w:bCs/>
              <w:sz w:val="32"/>
              <w:szCs w:val="32"/>
            </w:rPr>
            <w:t>第二部分 2021年度单位决算情况说明</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"_Toc1093575981_WPSOffice_Level2" </w:instrText>
          </w:r>
          <w:r>
            <w:fldChar w:fldCharType="separate"/>
          </w:r>
          <w:r>
            <w:rPr>
              <w:rFonts w:hint="eastAsia" w:ascii="仿宋_GB2312" w:hAnsi="仿宋_GB2312" w:eastAsia="仿宋_GB2312" w:cs="仿宋_GB2312"/>
              <w:sz w:val="32"/>
              <w:szCs w:val="32"/>
            </w:rPr>
            <w:t>一、收入支出决算总体情况说明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fldChar w:fldCharType="end"/>
          </w:r>
        </w:p>
        <w:p>
          <w:pPr>
            <w:pStyle w:val="34"/>
            <w:tabs>
              <w:tab w:val="right" w:leader="dot" w:pos="8306"/>
            </w:tabs>
            <w:ind w:left="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"_Toc1372400823_WPSOffice_Level2" </w:instrText>
          </w:r>
          <w:r>
            <w:fldChar w:fldCharType="separate"/>
          </w: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fldChar w:fldCharType="end"/>
          </w:r>
          <w:r>
            <w:fldChar w:fldCharType="begin"/>
          </w:r>
          <w:r>
            <w:instrText xml:space="preserve"> HYPERLINK \l "_Toc1483867600_WPSOffice_Level2" </w:instrText>
          </w:r>
          <w:r>
            <w:fldChar w:fldCharType="separate"/>
          </w:r>
          <w: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"_Toc1311308022_WPSOffice_Level2" </w:instrText>
          </w:r>
          <w:r>
            <w:fldChar w:fldCharType="separate"/>
          </w: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"_Toc1624928381_WPSOffice_Level2" </w:instrText>
          </w:r>
          <w:r>
            <w:fldChar w:fldCharType="separate"/>
          </w: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"_Toc80608654_WPSOffice_Level2" </w:instrText>
          </w:r>
          <w:r>
            <w:fldChar w:fldCharType="separate"/>
          </w: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rPr>
            <w:tab/>
          </w:r>
          <w:bookmarkStart w:id="15" w:name="_Toc80608654_WPSOffice_Level2Page"/>
          <w:r>
            <w:rPr>
              <w:rFonts w:hint="eastAsia" w:ascii="仿宋_GB2312" w:hAnsi="仿宋_GB2312" w:eastAsia="仿宋_GB2312" w:cs="仿宋_GB2312"/>
              <w:sz w:val="32"/>
              <w:szCs w:val="32"/>
            </w:rPr>
            <w:t>1</w:t>
          </w:r>
          <w:bookmarkEnd w:id="15"/>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"_Toc1172201406_WPSOffice_Level2" </w:instrText>
          </w:r>
          <w:r>
            <w:fldChar w:fldCharType="separate"/>
          </w: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rPr>
            <w:tab/>
          </w:r>
          <w:bookmarkStart w:id="16" w:name="_Toc1172201406_WPSOffice_Level2Page"/>
          <w:r>
            <w:rPr>
              <w:rFonts w:hint="eastAsia" w:ascii="仿宋_GB2312" w:hAnsi="仿宋_GB2312" w:eastAsia="仿宋_GB2312" w:cs="仿宋_GB2312"/>
              <w:sz w:val="32"/>
              <w:szCs w:val="32"/>
            </w:rPr>
            <w:t>1</w:t>
          </w:r>
          <w:bookmarkEnd w:id="16"/>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"_Toc1255533822_WPSOffice_Level2" </w:instrText>
          </w:r>
          <w:r>
            <w:fldChar w:fldCharType="separate"/>
          </w: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rPr>
            <w:tab/>
          </w:r>
          <w:bookmarkStart w:id="17" w:name="_Toc1255533822_WPSOffice_Level2Page"/>
          <w:r>
            <w:rPr>
              <w:rFonts w:hint="eastAsia" w:ascii="仿宋_GB2312" w:hAnsi="仿宋_GB2312" w:eastAsia="仿宋_GB2312" w:cs="仿宋_GB2312"/>
              <w:sz w:val="32"/>
              <w:szCs w:val="32"/>
            </w:rPr>
            <w:t>1</w:t>
          </w:r>
          <w:bookmarkEnd w:id="17"/>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"_Toc232232125_WPSOffice_Level2" </w:instrText>
          </w:r>
          <w:r>
            <w:fldChar w:fldCharType="separate"/>
          </w:r>
          <w:r>
            <w:rPr>
              <w:rFonts w:hint="eastAsia" w:ascii="仿宋_GB2312" w:hAnsi="仿宋_GB2312" w:eastAsia="仿宋_GB2312" w:cs="仿宋_GB2312"/>
              <w:sz w:val="32"/>
              <w:szCs w:val="32"/>
            </w:rPr>
            <w:t>九、 国有资本经营预算支出决算情况说明</w:t>
          </w:r>
          <w:r>
            <w:rPr>
              <w:rFonts w:hint="eastAsia" w:ascii="仿宋_GB2312" w:hAnsi="仿宋_GB2312" w:eastAsia="仿宋_GB2312" w:cs="仿宋_GB2312"/>
              <w:sz w:val="32"/>
              <w:szCs w:val="32"/>
            </w:rPr>
            <w:tab/>
          </w:r>
          <w:bookmarkStart w:id="18" w:name="_Toc232232125_WPSOffice_Level2Page"/>
          <w:r>
            <w:rPr>
              <w:rFonts w:hint="eastAsia" w:ascii="仿宋_GB2312" w:hAnsi="仿宋_GB2312" w:eastAsia="仿宋_GB2312" w:cs="仿宋_GB2312"/>
              <w:sz w:val="32"/>
              <w:szCs w:val="32"/>
            </w:rPr>
            <w:t>1</w:t>
          </w:r>
          <w:bookmarkEnd w:id="18"/>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p>
        <w:p>
          <w:pPr>
            <w:pStyle w:val="34"/>
            <w:tabs>
              <w:tab w:val="right" w:leader="dot" w:pos="8306"/>
            </w:tabs>
            <w:ind w:left="420"/>
          </w:pPr>
          <w:r>
            <w:fldChar w:fldCharType="begin"/>
          </w:r>
          <w:r>
            <w:instrText xml:space="preserve"> HYPERLINK \l "_Toc693253490_WPSOffice_Level2" </w:instrText>
          </w:r>
          <w:r>
            <w:fldChar w:fldCharType="separate"/>
          </w:r>
          <w:r>
            <w:rPr>
              <w:rFonts w:hint="eastAsia" w:ascii="仿宋_GB2312" w:hAnsi="仿宋_GB2312" w:eastAsia="仿宋_GB2312" w:cs="仿宋_GB2312"/>
              <w:sz w:val="32"/>
              <w:szCs w:val="32"/>
            </w:rPr>
            <w:t>十、 其他重要事项的情况说明</w:t>
          </w:r>
          <w:r>
            <w:rPr>
              <w:rFonts w:hint="eastAsia" w:ascii="仿宋_GB2312" w:hAnsi="仿宋_GB2312" w:eastAsia="仿宋_GB2312" w:cs="仿宋_GB2312"/>
              <w:sz w:val="32"/>
              <w:szCs w:val="32"/>
            </w:rPr>
            <w:tab/>
          </w:r>
          <w:bookmarkStart w:id="19" w:name="_Toc693253490_WPSOffice_Level2Page"/>
          <w:r>
            <w:rPr>
              <w:rFonts w:hint="eastAsia" w:ascii="仿宋_GB2312" w:hAnsi="仿宋_GB2312" w:eastAsia="仿宋_GB2312" w:cs="仿宋_GB2312"/>
              <w:sz w:val="32"/>
              <w:szCs w:val="32"/>
            </w:rPr>
            <w:t>1</w:t>
          </w:r>
          <w:bookmarkEnd w:id="19"/>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p>
        <w:p>
          <w:pPr>
            <w:pStyle w:val="33"/>
            <w:tabs>
              <w:tab w:val="right" w:leader="dot" w:pos="8306"/>
            </w:tabs>
            <w:rPr>
              <w:rFonts w:ascii="仿宋_GB2312" w:hAnsi="仿宋_GB2312" w:eastAsia="仿宋_GB2312" w:cs="仿宋_GB2312"/>
              <w:b/>
              <w:bCs/>
              <w:sz w:val="32"/>
              <w:szCs w:val="32"/>
            </w:rPr>
          </w:pPr>
          <w:r>
            <w:fldChar w:fldCharType="begin"/>
          </w:r>
          <w:r>
            <w:instrText xml:space="preserve"> HYPERLINK \l "_Toc1268367063_WPSOffice_Level1" </w:instrText>
          </w:r>
          <w:r>
            <w:fldChar w:fldCharType="separate"/>
          </w:r>
          <w:r>
            <w:rPr>
              <w:rFonts w:hint="eastAsia" w:ascii="仿宋_GB2312" w:hAnsi="仿宋_GB2312" w:eastAsia="仿宋_GB2312" w:cs="仿宋_GB2312"/>
              <w:b/>
              <w:bCs/>
              <w:sz w:val="32"/>
              <w:szCs w:val="32"/>
            </w:rPr>
            <w:t>第三部分 名词解释</w:t>
          </w:r>
          <w:r>
            <w:rPr>
              <w:rFonts w:hint="eastAsia" w:ascii="仿宋_GB2312" w:hAnsi="仿宋_GB2312" w:eastAsia="仿宋_GB2312" w:cs="仿宋_GB2312"/>
              <w:b/>
              <w:bCs/>
              <w:sz w:val="32"/>
              <w:szCs w:val="32"/>
            </w:rPr>
            <w:tab/>
          </w:r>
          <w:bookmarkStart w:id="20" w:name="_Toc1268367063_WPSOffice_Level1Page"/>
          <w:r>
            <w:rPr>
              <w:rFonts w:hint="eastAsia" w:ascii="仿宋_GB2312" w:hAnsi="仿宋_GB2312" w:eastAsia="仿宋_GB2312" w:cs="仿宋_GB2312"/>
              <w:b/>
              <w:bCs/>
              <w:sz w:val="32"/>
              <w:szCs w:val="32"/>
            </w:rPr>
            <w:t>1</w:t>
          </w:r>
          <w:bookmarkEnd w:id="20"/>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fldChar w:fldCharType="end"/>
          </w:r>
        </w:p>
        <w:p>
          <w:pPr>
            <w:pStyle w:val="33"/>
            <w:tabs>
              <w:tab w:val="right" w:leader="dot" w:pos="8306"/>
            </w:tabs>
            <w:rPr>
              <w:rFonts w:ascii="仿宋_GB2312" w:hAnsi="仿宋_GB2312" w:eastAsia="仿宋_GB2312" w:cs="仿宋_GB2312"/>
              <w:b/>
              <w:bCs/>
              <w:sz w:val="32"/>
              <w:szCs w:val="32"/>
            </w:rPr>
          </w:pPr>
          <w:r>
            <w:fldChar w:fldCharType="begin"/>
          </w:r>
          <w:r>
            <w:instrText xml:space="preserve"> HYPERLINK \l "_Toc1093575981_WPSOffice_Level1" </w:instrText>
          </w:r>
          <w:r>
            <w:fldChar w:fldCharType="separate"/>
          </w:r>
          <w:r>
            <w:rPr>
              <w:rFonts w:hint="eastAsia" w:ascii="仿宋_GB2312" w:hAnsi="仿宋_GB2312" w:eastAsia="仿宋_GB2312" w:cs="仿宋_GB2312"/>
              <w:b/>
              <w:bCs/>
              <w:sz w:val="32"/>
              <w:szCs w:val="32"/>
            </w:rPr>
            <w:t>第四部分 附件</w:t>
          </w:r>
          <w:r>
            <w:rPr>
              <w:rFonts w:hint="eastAsia" w:ascii="仿宋_GB2312" w:hAnsi="仿宋_GB2312" w:eastAsia="仿宋_GB2312" w:cs="仿宋_GB2312"/>
              <w:b/>
              <w:bCs/>
              <w:sz w:val="32"/>
              <w:szCs w:val="32"/>
            </w:rPr>
            <w:tab/>
          </w:r>
          <w:bookmarkStart w:id="21" w:name="_Toc1093575981_WPSOffice_Level1Page"/>
          <w:r>
            <w:rPr>
              <w:rFonts w:hint="eastAsia" w:ascii="仿宋_GB2312" w:hAnsi="仿宋_GB2312" w:eastAsia="仿宋_GB2312" w:cs="仿宋_GB2312"/>
              <w:b/>
              <w:bCs/>
              <w:sz w:val="32"/>
              <w:szCs w:val="32"/>
            </w:rPr>
            <w:t>1</w:t>
          </w:r>
          <w:bookmarkEnd w:id="21"/>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fldChar w:fldCharType="end"/>
          </w:r>
        </w:p>
        <w:p>
          <w:pPr>
            <w:pStyle w:val="33"/>
            <w:tabs>
              <w:tab w:val="right" w:leader="dot" w:pos="8306"/>
            </w:tabs>
          </w:pPr>
          <w:r>
            <w:fldChar w:fldCharType="begin"/>
          </w:r>
          <w:r>
            <w:instrText xml:space="preserve"> HYPERLINK \l "_Toc2037673724_WPSOffice_Level1" </w:instrText>
          </w:r>
          <w:r>
            <w:fldChar w:fldCharType="separate"/>
          </w:r>
          <w:r>
            <w:rPr>
              <w:rFonts w:hint="eastAsia" w:ascii="仿宋_GB2312" w:hAnsi="仿宋_GB2312" w:eastAsia="仿宋_GB2312" w:cs="仿宋_GB2312"/>
              <w:b/>
              <w:bCs/>
              <w:sz w:val="32"/>
              <w:szCs w:val="32"/>
            </w:rPr>
            <w:t>第五部分 附表</w:t>
          </w:r>
          <w:r>
            <w:rPr>
              <w:rFonts w:hint="eastAsia" w:ascii="仿宋_GB2312" w:hAnsi="仿宋_GB2312" w:eastAsia="仿宋_GB2312" w:cs="仿宋_GB2312"/>
              <w:b/>
              <w:bCs/>
              <w:sz w:val="32"/>
              <w:szCs w:val="32"/>
            </w:rPr>
            <w:tab/>
          </w:r>
          <w:bookmarkStart w:id="22" w:name="_Toc2037673724_WPSOffice_Level1Page"/>
          <w:r>
            <w:rPr>
              <w:rFonts w:hint="eastAsia" w:ascii="仿宋_GB2312" w:hAnsi="仿宋_GB2312" w:eastAsia="仿宋_GB2312" w:cs="仿宋_GB2312"/>
              <w:b/>
              <w:bCs/>
              <w:sz w:val="32"/>
              <w:szCs w:val="32"/>
            </w:rPr>
            <w:t>1</w:t>
          </w:r>
          <w:bookmarkEnd w:id="22"/>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fldChar w:fldCharType="end"/>
          </w:r>
        </w:p>
      </w:sdtContent>
    </w:sdt>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"_Toc19217_WPSOffice_Level2" </w:instrText>
      </w:r>
      <w:r>
        <w:fldChar w:fldCharType="separate"/>
      </w:r>
      <w:r>
        <w:rPr>
          <w:rFonts w:hint="eastAsia" w:ascii="仿宋_GB2312" w:hAnsi="仿宋_GB2312" w:eastAsia="仿宋_GB2312" w:cs="仿宋_GB2312"/>
          <w:sz w:val="32"/>
          <w:szCs w:val="32"/>
        </w:rPr>
        <w:t>一、收入支出决算总表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"_Toc9156_WPSOffice_Level2" </w:instrText>
      </w:r>
      <w:r>
        <w:fldChar w:fldCharType="separate"/>
      </w:r>
      <w:r>
        <w:rPr>
          <w:rFonts w:hint="eastAsia" w:ascii="仿宋_GB2312" w:hAnsi="仿宋_GB2312" w:eastAsia="仿宋_GB2312" w:cs="仿宋_GB2312"/>
          <w:sz w:val="32"/>
          <w:szCs w:val="32"/>
        </w:rPr>
        <w:t>二、收入决算表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"_Toc10458_WPSOffice_Level2" </w:instrText>
      </w:r>
      <w:r>
        <w:fldChar w:fldCharType="separate"/>
      </w:r>
      <w:r>
        <w:rPr>
          <w:rFonts w:hint="eastAsia" w:ascii="仿宋_GB2312" w:hAnsi="仿宋_GB2312" w:eastAsia="仿宋_GB2312" w:cs="仿宋_GB2312"/>
          <w:sz w:val="32"/>
          <w:szCs w:val="32"/>
        </w:rPr>
        <w:t>三、支出决算表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"_Toc17974_WPSOffice_Level2" </w:instrText>
      </w:r>
      <w:r>
        <w:fldChar w:fldCharType="separate"/>
      </w:r>
      <w:r>
        <w:rPr>
          <w:rFonts w:hint="eastAsia" w:ascii="仿宋_GB2312" w:hAnsi="仿宋_GB2312" w:eastAsia="仿宋_GB2312" w:cs="仿宋_GB2312"/>
          <w:sz w:val="32"/>
          <w:szCs w:val="32"/>
        </w:rPr>
        <w:t>四、财政拨款收入支出决算总表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"_Toc6586_WPSOffice_Level2" </w:instrText>
      </w:r>
      <w:r>
        <w:fldChar w:fldCharType="separate"/>
      </w:r>
      <w:r>
        <w:rPr>
          <w:rFonts w:hint="eastAsia" w:ascii="仿宋_GB2312" w:hAnsi="仿宋_GB2312" w:eastAsia="仿宋_GB2312" w:cs="仿宋_GB2312"/>
          <w:sz w:val="32"/>
          <w:szCs w:val="32"/>
        </w:rPr>
        <w:t>五、财政拨款支出决算明细表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"_Toc18457_WPSOffice_Level2" </w:instrText>
      </w:r>
      <w:r>
        <w:fldChar w:fldCharType="separate"/>
      </w:r>
      <w:r>
        <w:rPr>
          <w:rFonts w:hint="eastAsia" w:ascii="仿宋_GB2312" w:hAnsi="仿宋_GB2312" w:eastAsia="仿宋_GB2312" w:cs="仿宋_GB2312"/>
          <w:sz w:val="32"/>
          <w:szCs w:val="32"/>
        </w:rPr>
        <w:t>六、一般公共预算财政拨款支出决算表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"_Toc32557_WPSOffice_Level2" </w:instrText>
      </w:r>
      <w:r>
        <w:fldChar w:fldCharType="separate"/>
      </w:r>
      <w:r>
        <w:rPr>
          <w:rFonts w:hint="eastAsia" w:ascii="仿宋_GB2312" w:hAnsi="仿宋_GB2312" w:eastAsia="仿宋_GB2312" w:cs="仿宋_GB2312"/>
          <w:sz w:val="32"/>
          <w:szCs w:val="32"/>
        </w:rPr>
        <w:t>七、一般公共预算财政拨款支出决算明细表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"_Toc7311_WPSOffice_Level2" </w:instrText>
      </w:r>
      <w:r>
        <w:fldChar w:fldCharType="separate"/>
      </w:r>
      <w:r>
        <w:rPr>
          <w:rFonts w:hint="eastAsia" w:ascii="仿宋_GB2312" w:hAnsi="仿宋_GB2312" w:eastAsia="仿宋_GB2312" w:cs="仿宋_GB2312"/>
          <w:sz w:val="32"/>
          <w:szCs w:val="32"/>
        </w:rPr>
        <w:t>八、一般公共预算财政拨款基本支出决算表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"_Toc8445_WPSOffice_Level2" </w:instrText>
      </w:r>
      <w:r>
        <w:fldChar w:fldCharType="separate"/>
      </w:r>
      <w:r>
        <w:rPr>
          <w:rFonts w:hint="eastAsia" w:ascii="仿宋_GB2312" w:hAnsi="仿宋_GB2312" w:eastAsia="仿宋_GB2312" w:cs="仿宋_GB2312"/>
          <w:sz w:val="32"/>
          <w:szCs w:val="32"/>
        </w:rPr>
        <w:t>九、一般公共预算财政拨款项目支出决算表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"_Toc20645_WPSOffice_Level2" </w:instrText>
      </w:r>
      <w:r>
        <w:fldChar w:fldCharType="separate"/>
      </w:r>
      <w:r>
        <w:rPr>
          <w:rFonts w:hint="eastAsia" w:ascii="仿宋_GB2312" w:hAnsi="仿宋_GB2312" w:eastAsia="仿宋_GB2312" w:cs="仿宋_GB2312"/>
          <w:sz w:val="32"/>
          <w:szCs w:val="32"/>
        </w:rPr>
        <w:t>十、一般公共预算财政拨款“三公”经费支出决算表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"_Toc21193_WPSOffice_Level2" </w:instrText>
      </w:r>
      <w:r>
        <w:fldChar w:fldCharType="separate"/>
      </w:r>
      <w:r>
        <w:rPr>
          <w:rFonts w:hint="eastAsia" w:ascii="仿宋_GB2312" w:hAnsi="仿宋_GB2312" w:eastAsia="仿宋_GB2312" w:cs="仿宋_GB2312"/>
          <w:sz w:val="32"/>
          <w:szCs w:val="32"/>
        </w:rPr>
        <w:t>十一、政府性基金预算财政拨款收入支出决算表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"_Toc312_WPSOffice_Level2" </w:instrText>
      </w:r>
      <w:r>
        <w:fldChar w:fldCharType="separate"/>
      </w:r>
      <w:r>
        <w:rPr>
          <w:rFonts w:hint="eastAsia" w:ascii="仿宋_GB2312" w:hAnsi="仿宋_GB2312" w:eastAsia="仿宋_GB2312" w:cs="仿宋_GB2312"/>
          <w:sz w:val="32"/>
          <w:szCs w:val="32"/>
        </w:rPr>
        <w:t>十二、政府性基金预算财政拨款“三公”经费支出决算表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rPr>
          <w:rFonts w:ascii="仿宋_GB2312" w:hAnsi="仿宋_GB2312" w:eastAsia="仿宋_GB2312" w:cs="仿宋_GB2312"/>
          <w:sz w:val="32"/>
          <w:szCs w:val="32"/>
        </w:rPr>
      </w:pPr>
      <w:r>
        <w:fldChar w:fldCharType="begin"/>
      </w:r>
      <w:r>
        <w:instrText xml:space="preserve"> HYPERLINK \l "_Toc24264_WPSOffice_Level2" </w:instrText>
      </w:r>
      <w:r>
        <w:fldChar w:fldCharType="separate"/>
      </w:r>
      <w:r>
        <w:rPr>
          <w:rFonts w:hint="eastAsia" w:ascii="仿宋_GB2312" w:hAnsi="仿宋_GB2312" w:eastAsia="仿宋_GB2312" w:cs="仿宋_GB2312"/>
          <w:sz w:val="32"/>
          <w:szCs w:val="32"/>
        </w:rPr>
        <w:t>十三、国有资本经营预算财政拨款收入支出决算表</w:t>
      </w:r>
      <w:r>
        <w:rPr>
          <w:rFonts w:hint="eastAsia" w:ascii="仿宋_GB2312" w:hAnsi="仿宋_GB2312" w:eastAsia="仿宋_GB2312" w:cs="仿宋_GB2312"/>
          <w:kern w:val="2"/>
          <w:sz w:val="32"/>
          <w:szCs w:val="32"/>
        </w:rPr>
        <w:fldChar w:fldCharType="end"/>
      </w:r>
    </w:p>
    <w:p>
      <w:pPr>
        <w:pStyle w:val="34"/>
        <w:tabs>
          <w:tab w:val="right" w:leader="dot" w:pos="8306"/>
        </w:tabs>
        <w:ind w:left="420"/>
      </w:pPr>
      <w:r>
        <w:fldChar w:fldCharType="begin"/>
      </w:r>
      <w:r>
        <w:instrText xml:space="preserve"> HYPERLINK \l "_Toc13611_WPSOffice_Level2" </w:instrText>
      </w:r>
      <w:r>
        <w:fldChar w:fldCharType="separate"/>
      </w:r>
      <w:sdt>
        <w:sdtPr>
          <w:rPr>
            <w:rFonts w:hint="eastAsia" w:ascii="仿宋_GB2312" w:hAnsi="仿宋_GB2312" w:eastAsia="仿宋_GB2312" w:cs="仿宋_GB2312"/>
            <w:kern w:val="2"/>
            <w:sz w:val="32"/>
            <w:szCs w:val="32"/>
          </w:rPr>
          <w:id w:val="147458048"/>
          <w:placeholder>
            <w:docPart w:val="{ab24ca6d-8cdd-4549-b528-f8a2dff16383}"/>
          </w:placeholder>
        </w:sdtPr>
        <w:sdtEndPr>
          <w:rPr>
            <w:rFonts w:hint="eastAsia" w:ascii="仿宋_GB2312" w:hAnsi="仿宋_GB2312" w:eastAsia="仿宋_GB2312" w:cs="仿宋_GB2312"/>
            <w:kern w:val="2"/>
            <w:sz w:val="32"/>
            <w:szCs w:val="32"/>
          </w:rPr>
        </w:sdtEndPr>
        <w:sdtContent>
          <w:r>
            <w:rPr>
              <w:rFonts w:hint="eastAsia" w:ascii="仿宋_GB2312" w:hAnsi="仿宋_GB2312" w:eastAsia="仿宋_GB2312" w:cs="仿宋_GB2312"/>
              <w:sz w:val="32"/>
              <w:szCs w:val="32"/>
            </w:rPr>
            <w:t>十四、国有资本经营预算财政拨款支出决算表</w:t>
          </w:r>
        </w:sdtContent>
      </w:sdt>
      <w:r>
        <w:fldChar w:fldCharType="end"/>
      </w:r>
    </w:p>
    <w:p>
      <w:pPr>
        <w:jc w:val="center"/>
        <w:rPr>
          <w:rFonts w:ascii="仿宋_GB2312" w:hAnsi="仿宋_GB2312" w:eastAsia="仿宋_GB2312" w:cs="仿宋_GB2312"/>
          <w:sz w:val="32"/>
          <w:szCs w:val="32"/>
        </w:rPr>
      </w:pPr>
    </w:p>
    <w:p>
      <w:pPr>
        <w:pStyle w:val="3"/>
        <w:jc w:val="center"/>
        <w:rPr>
          <w:rFonts w:ascii="黑体" w:hAnsi="黑体" w:eastAsia="黑体"/>
          <w:b w:val="0"/>
        </w:rPr>
      </w:pPr>
    </w:p>
    <w:p>
      <w:pPr>
        <w:rPr>
          <w:rFonts w:ascii="黑体" w:hAnsi="黑体" w:eastAsia="黑体"/>
        </w:rPr>
      </w:pPr>
      <w:r>
        <w:rPr>
          <w:rFonts w:hint="eastAsia" w:ascii="黑体" w:hAnsi="黑体" w:eastAsia="黑体"/>
        </w:rPr>
        <w:br w:type="page"/>
      </w:r>
    </w:p>
    <w:p>
      <w:pPr>
        <w:pStyle w:val="3"/>
        <w:jc w:val="center"/>
        <w:rPr>
          <w:rFonts w:ascii="黑体" w:eastAsia="黑体"/>
          <w:sz w:val="32"/>
          <w:szCs w:val="32"/>
        </w:rPr>
      </w:pPr>
      <w:bookmarkStart w:id="23" w:name="_Toc2007941441_WPSOffice_Level1"/>
      <w:bookmarkStart w:id="24" w:name="_Toc2008454201_WPSOffice_Level1"/>
      <w:r>
        <w:rPr>
          <w:rFonts w:hint="eastAsia" w:ascii="黑体" w:hAnsi="黑体" w:eastAsia="黑体"/>
          <w:b w:val="0"/>
        </w:rPr>
        <w:t>第一部分 单位</w:t>
      </w:r>
      <w:r>
        <w:rPr>
          <w:rStyle w:val="18"/>
          <w:rFonts w:hint="eastAsia" w:ascii="黑体" w:hAnsi="黑体" w:eastAsia="黑体"/>
          <w:b w:val="0"/>
          <w:bCs w:val="0"/>
        </w:rPr>
        <w:t>概况</w:t>
      </w:r>
      <w:bookmarkEnd w:id="23"/>
      <w:bookmarkEnd w:id="24"/>
    </w:p>
    <w:p>
      <w:pPr>
        <w:pStyle w:val="4"/>
        <w:spacing w:before="0" w:after="0" w:line="560" w:lineRule="exact"/>
        <w:ind w:firstLine="640" w:firstLineChars="200"/>
        <w:rPr>
          <w:rFonts w:ascii="黑体" w:hAnsi="黑体" w:eastAsia="黑体" w:cs="黑体"/>
          <w:b w:val="0"/>
          <w:color w:val="000000"/>
        </w:rPr>
      </w:pPr>
      <w:bookmarkStart w:id="25" w:name="_Toc1251563524_WPSOffice_Level2"/>
      <w:bookmarkStart w:id="26" w:name="_Toc612227116_WPSOffice_Level2"/>
      <w:bookmarkStart w:id="27" w:name="_Toc15377197"/>
      <w:bookmarkStart w:id="28" w:name="_Toc15396600"/>
      <w:r>
        <w:rPr>
          <w:rFonts w:hint="eastAsia" w:ascii="黑体" w:hAnsi="黑体" w:eastAsia="黑体" w:cs="黑体"/>
          <w:b w:val="0"/>
          <w:color w:val="000000"/>
        </w:rPr>
        <w:t>一、职能简介</w:t>
      </w:r>
      <w:bookmarkEnd w:id="25"/>
      <w:bookmarkEnd w:id="26"/>
    </w:p>
    <w:p>
      <w:pPr>
        <w:pStyle w:val="4"/>
        <w:spacing w:before="0" w:after="0" w:line="560" w:lineRule="exact"/>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四川省政府和社会资本合作中心（以下简称“PPP中心”）围绕政府与社会资本合作，承担省级管理制度和支持政策的研究拟订；负责省级PPP专项资金和投资引导基金管理的具体工作；组织全省PPP项目征集、储备、推介、示范，指导开展物有所值评价、财政承受能力论证以及绩效评价等具体工作；承担PPP模式宣传培训、统计分析、业务咨询、监督检查等工作。</w:t>
      </w:r>
    </w:p>
    <w:p>
      <w:pPr>
        <w:pStyle w:val="4"/>
        <w:spacing w:before="0" w:after="0" w:line="560" w:lineRule="exact"/>
        <w:ind w:firstLine="640" w:firstLineChars="200"/>
        <w:rPr>
          <w:rFonts w:ascii="黑体" w:hAnsi="黑体" w:eastAsia="黑体"/>
          <w:b w:val="0"/>
        </w:rPr>
      </w:pPr>
      <w:bookmarkStart w:id="29" w:name="_Toc180405741_WPSOffice_Level2"/>
      <w:bookmarkStart w:id="30" w:name="_Toc1268367063_WPSOffice_Level2"/>
      <w:r>
        <w:rPr>
          <w:rFonts w:hint="eastAsia" w:ascii="黑体" w:hAnsi="黑体" w:eastAsia="黑体"/>
          <w:b w:val="0"/>
        </w:rPr>
        <w:t>二、2021年重点工作</w:t>
      </w:r>
      <w:bookmarkEnd w:id="27"/>
      <w:bookmarkEnd w:id="28"/>
      <w:r>
        <w:rPr>
          <w:rFonts w:hint="eastAsia" w:ascii="黑体" w:hAnsi="黑体" w:eastAsia="黑体"/>
          <w:b w:val="0"/>
        </w:rPr>
        <w:t>完成情况</w:t>
      </w:r>
      <w:bookmarkEnd w:id="29"/>
      <w:bookmarkEnd w:id="30"/>
    </w:p>
    <w:p>
      <w:pPr>
        <w:pStyle w:val="32"/>
        <w:spacing w:line="560" w:lineRule="exact"/>
        <w:ind w:left="97" w:leftChars="46" w:firstLine="642" w:firstLineChars="200"/>
        <w:rPr>
          <w:rFonts w:ascii="仿宋_GB2312"/>
        </w:rPr>
      </w:pPr>
      <w:r>
        <w:rPr>
          <w:rFonts w:hint="eastAsia" w:ascii="仿宋_GB2312" w:hAnsiTheme="minorHAnsi" w:cstheme="minorBidi"/>
          <w:b/>
          <w:szCs w:val="32"/>
        </w:rPr>
        <w:t>一是围绕全生命周期管理健全制度体系。</w:t>
      </w:r>
      <w:r>
        <w:rPr>
          <w:rFonts w:hint="eastAsia" w:ascii="仿宋_GB2312" w:hAnsiTheme="minorHAnsi" w:cstheme="minorBidi"/>
          <w:szCs w:val="32"/>
        </w:rPr>
        <w:t>出台PPP项目</w:t>
      </w:r>
      <w:r>
        <w:rPr>
          <w:rFonts w:hint="eastAsia" w:ascii="仿宋_GB2312" w:hAnsi="仿宋_GB2312" w:cs="仿宋_GB2312"/>
          <w:color w:val="000000" w:themeColor="text1"/>
          <w:szCs w:val="32"/>
        </w:rPr>
        <w:t>合同管理有关事项通知，</w:t>
      </w:r>
      <w:r>
        <w:rPr>
          <w:rFonts w:hint="eastAsia" w:ascii="仿宋_GB2312" w:hAnsi="仿宋"/>
          <w:color w:val="000000"/>
          <w:szCs w:val="32"/>
        </w:rPr>
        <w:t>加强PPP项目合同全生命周期管理</w:t>
      </w:r>
      <w:r>
        <w:rPr>
          <w:rFonts w:hint="eastAsia" w:ascii="仿宋_GB2312" w:hAnsi="仿宋_GB2312" w:cs="仿宋_GB2312"/>
          <w:color w:val="000000" w:themeColor="text1"/>
          <w:szCs w:val="32"/>
        </w:rPr>
        <w:t>。</w:t>
      </w:r>
      <w:r>
        <w:rPr>
          <w:rFonts w:hint="eastAsia" w:ascii="仿宋_GB2312"/>
        </w:rPr>
        <w:t>制发执行会计准则有关事项通知，规范项目会计处理。</w:t>
      </w:r>
      <w:r>
        <w:rPr>
          <w:rFonts w:hint="eastAsia" w:ascii="仿宋_GB2312" w:hAnsiTheme="minorHAnsi" w:cstheme="minorBidi"/>
          <w:szCs w:val="32"/>
        </w:rPr>
        <w:t>印发做好PPP项目资产证券化有关工作通知，拓宽项目融资渠道。</w:t>
      </w:r>
      <w:r>
        <w:rPr>
          <w:rFonts w:hint="eastAsia" w:ascii="仿宋_GB2312"/>
        </w:rPr>
        <w:t>拟制分行业领域项目绩效评价指标体系，稳步扩大分行业绩效覆盖范围。</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eastAsia="仿宋_GB2312"/>
          <w:b/>
          <w:sz w:val="32"/>
          <w:szCs w:val="32"/>
        </w:rPr>
        <w:t>二是围绕发挥引导作用推动提质增效。</w:t>
      </w:r>
      <w:r>
        <w:rPr>
          <w:rFonts w:hint="eastAsia" w:ascii="仿宋_GB2312" w:eastAsia="仿宋_GB2312"/>
          <w:sz w:val="32"/>
          <w:szCs w:val="32"/>
        </w:rPr>
        <w:t>开展示范项目核查督导，</w:t>
      </w:r>
      <w:r>
        <w:rPr>
          <w:rFonts w:hint="eastAsia" w:ascii="仿宋_GB2312" w:hAnsi="仿宋_GB2312" w:eastAsia="仿宋_GB2312" w:cs="仿宋_GB2312"/>
          <w:sz w:val="32"/>
          <w:szCs w:val="32"/>
        </w:rPr>
        <w:t>会同省发展改革委赴宜宾、泸州等6市开展实地调研督导，</w:t>
      </w:r>
      <w:r>
        <w:rPr>
          <w:rFonts w:hint="eastAsia" w:ascii="仿宋_GB2312" w:eastAsia="仿宋_GB2312"/>
          <w:sz w:val="32"/>
          <w:szCs w:val="32"/>
        </w:rPr>
        <w:t>督促指导市县对问题进行整改，并形成专项报告获省领导肯定批示。遴选第六批全省示范项目，充分发挥示范项目引导带动作用。</w:t>
      </w:r>
    </w:p>
    <w:p>
      <w:pPr>
        <w:spacing w:line="560" w:lineRule="exact"/>
        <w:ind w:firstLine="645"/>
        <w:rPr>
          <w:rFonts w:ascii="仿宋_GB2312" w:hAnsi="仿宋_GB2312" w:eastAsia="仿宋_GB2312" w:cs="仿宋_GB2312"/>
          <w:sz w:val="32"/>
          <w:szCs w:val="32"/>
        </w:rPr>
      </w:pPr>
      <w:r>
        <w:rPr>
          <w:rFonts w:hint="eastAsia" w:ascii="仿宋_GB2312" w:eastAsia="仿宋_GB2312"/>
          <w:b/>
          <w:sz w:val="32"/>
          <w:szCs w:val="32"/>
        </w:rPr>
        <w:t>三是围绕防范化解风险形成管理闭环。</w:t>
      </w:r>
      <w:r>
        <w:rPr>
          <w:rFonts w:hint="eastAsia" w:ascii="仿宋_GB2312" w:hAnsi="仿宋_GB2312" w:eastAsia="仿宋_GB2312" w:cs="仿宋_GB2312"/>
          <w:sz w:val="32"/>
          <w:szCs w:val="32"/>
        </w:rPr>
        <w:t>定期梳理管理库项目纳入</w:t>
      </w:r>
      <w:r>
        <w:rPr>
          <w:rFonts w:hint="eastAsia" w:ascii="仿宋_GB2312" w:eastAsia="仿宋_GB2312"/>
          <w:sz w:val="32"/>
          <w:szCs w:val="32"/>
        </w:rPr>
        <w:t>财政部监测平台和四川省政府债券全生命周期管理系统情况，对有关项目提出分类处置要求。督促市县动态更新管理库项目年度支出责任，</w:t>
      </w:r>
      <w:r>
        <w:rPr>
          <w:rFonts w:hint="eastAsia" w:ascii="仿宋_GB2312" w:eastAsia="仿宋_GB2312" w:cs="仿宋_GB2312"/>
          <w:sz w:val="32"/>
          <w:szCs w:val="32"/>
        </w:rPr>
        <w:t>根据支出责任占比实施分类管理</w:t>
      </w:r>
      <w:r>
        <w:rPr>
          <w:rFonts w:hint="eastAsia" w:ascii="仿宋_GB2312" w:hAnsi="仿宋_GB2312" w:eastAsia="仿宋_GB2312" w:cs="仿宋_GB2312"/>
          <w:sz w:val="32"/>
          <w:szCs w:val="32"/>
        </w:rPr>
        <w:t>。</w:t>
      </w:r>
      <w:r>
        <w:rPr>
          <w:rFonts w:hint="eastAsia" w:ascii="仿宋_GB2312" w:eastAsia="仿宋_GB2312"/>
          <w:sz w:val="32"/>
          <w:szCs w:val="32"/>
        </w:rPr>
        <w:t>组织市县更新录入综合信息平台财承监测数据，科学审慎预测未来年度一般公共预算支出增幅。</w:t>
      </w:r>
    </w:p>
    <w:p>
      <w:pPr>
        <w:spacing w:line="560" w:lineRule="exact"/>
        <w:ind w:firstLine="642" w:firstLineChars="200"/>
        <w:rPr>
          <w:rFonts w:ascii="仿宋_GB2312" w:eastAsia="仿宋_GB2312"/>
          <w:color w:val="000000" w:themeColor="text1"/>
          <w:sz w:val="32"/>
          <w:szCs w:val="32"/>
          <w:u w:val="single"/>
        </w:rPr>
      </w:pPr>
      <w:r>
        <w:rPr>
          <w:rFonts w:hint="eastAsia" w:ascii="仿宋_GB2312" w:eastAsia="仿宋_GB2312"/>
          <w:b/>
          <w:sz w:val="32"/>
          <w:szCs w:val="32"/>
        </w:rPr>
        <w:t>四是围绕形成良性循环着力盘活存量。</w:t>
      </w:r>
      <w:r>
        <w:rPr>
          <w:rFonts w:hint="eastAsia" w:ascii="仿宋_GB2312" w:eastAsia="仿宋_GB2312"/>
          <w:sz w:val="32"/>
          <w:szCs w:val="32"/>
        </w:rPr>
        <w:t>已入库存量项目41个，投资额327亿元，盘活存量资产114亿元。指导市县征集储备资产证券化项目59个，投资额664亿元。累计</w:t>
      </w:r>
      <w:r>
        <w:rPr>
          <w:rFonts w:hint="eastAsia" w:ascii="仿宋_GB2312" w:hAnsi="Calibri" w:eastAsia="仿宋_GB2312"/>
          <w:sz w:val="32"/>
          <w:szCs w:val="32"/>
        </w:rPr>
        <w:t>发行资产证券化产品项目8个，发行金额35亿元。</w:t>
      </w:r>
    </w:p>
    <w:p>
      <w:pPr>
        <w:spacing w:line="560" w:lineRule="exact"/>
        <w:ind w:firstLine="629" w:firstLineChars="196"/>
        <w:textAlignment w:val="baseline"/>
        <w:rPr>
          <w:rFonts w:ascii="仿宋_GB2312" w:eastAsia="仿宋_GB2312"/>
          <w:sz w:val="32"/>
          <w:szCs w:val="32"/>
          <w:u w:val="single"/>
        </w:rPr>
      </w:pPr>
      <w:r>
        <w:rPr>
          <w:rFonts w:hint="eastAsia" w:ascii="仿宋_GB2312" w:eastAsia="仿宋_GB2312"/>
          <w:b/>
          <w:sz w:val="32"/>
          <w:szCs w:val="32"/>
        </w:rPr>
        <w:t>五是围绕全覆盖绩效要求做实绩效考核。</w:t>
      </w:r>
      <w:r>
        <w:rPr>
          <w:rFonts w:hint="eastAsia" w:ascii="仿宋_GB2312" w:eastAsia="仿宋_GB2312"/>
          <w:sz w:val="32"/>
          <w:szCs w:val="32"/>
        </w:rPr>
        <w:t>督促指导市县严格开展PPP综合补助资金绩效自评，加强资金绩效管理</w:t>
      </w:r>
      <w:r>
        <w:rPr>
          <w:rFonts w:hint="eastAsia" w:ascii="仿宋_GB2312" w:hAnsi="仿宋_GB2312" w:eastAsia="仿宋_GB2312" w:cs="仿宋_GB2312"/>
          <w:sz w:val="32"/>
          <w:szCs w:val="32"/>
        </w:rPr>
        <w:t>。</w:t>
      </w:r>
      <w:r>
        <w:rPr>
          <w:rFonts w:hint="eastAsia" w:ascii="仿宋_GB2312" w:eastAsia="仿宋_GB2312"/>
          <w:sz w:val="32"/>
          <w:szCs w:val="32"/>
        </w:rPr>
        <w:t>制发全省PPP专家库专家工作质效绩效考核分析报告，有效调动专家积极性主动性。首次组织市县对咨询机构服务项目质效开展评价，推动提升PPP咨询服务质量。</w:t>
      </w:r>
    </w:p>
    <w:p>
      <w:pPr>
        <w:pStyle w:val="6"/>
        <w:spacing w:line="560" w:lineRule="exact"/>
        <w:ind w:firstLine="643"/>
        <w:rPr>
          <w:rFonts w:ascii="楷体_GB2312" w:hAnsi="黑体" w:eastAsia="楷体_GB2312"/>
          <w:sz w:val="32"/>
          <w:szCs w:val="32"/>
        </w:rPr>
      </w:pPr>
      <w:r>
        <w:rPr>
          <w:rFonts w:hint="eastAsia" w:ascii="仿宋_GB2312" w:hAnsi="黑体" w:eastAsia="仿宋_GB2312"/>
          <w:b/>
          <w:sz w:val="32"/>
          <w:szCs w:val="32"/>
        </w:rPr>
        <w:t>六是围绕夯实技术支撑发布分析报告。</w:t>
      </w:r>
      <w:r>
        <w:rPr>
          <w:rFonts w:hint="eastAsia" w:ascii="仿宋_GB2312" w:eastAsia="仿宋_GB2312" w:cs="新宋体" w:hAnsiTheme="minorHAnsi"/>
          <w:kern w:val="0"/>
          <w:sz w:val="32"/>
          <w:szCs w:val="32"/>
        </w:rPr>
        <w:t>发布融资成本分析报告、咨询机构参与全省PPP项目情况公告及投资收益和政府成本分析报告，为参与各方提供信息参照。</w:t>
      </w:r>
      <w:r>
        <w:rPr>
          <w:rFonts w:ascii="仿宋_GB2312" w:eastAsia="仿宋_GB2312"/>
          <w:sz w:val="32"/>
          <w:szCs w:val="32"/>
        </w:rPr>
        <w:t>按</w:t>
      </w:r>
      <w:r>
        <w:rPr>
          <w:rFonts w:hint="eastAsia" w:ascii="仿宋_GB2312" w:eastAsia="仿宋_GB2312"/>
          <w:sz w:val="32"/>
          <w:szCs w:val="32"/>
        </w:rPr>
        <w:t>期统计</w:t>
      </w:r>
      <w:r>
        <w:rPr>
          <w:rFonts w:ascii="仿宋_GB2312" w:eastAsia="仿宋_GB2312"/>
          <w:sz w:val="32"/>
          <w:szCs w:val="32"/>
        </w:rPr>
        <w:t>发布</w:t>
      </w:r>
      <w:r>
        <w:rPr>
          <w:rFonts w:hint="eastAsia" w:ascii="仿宋_GB2312" w:eastAsia="仿宋_GB2312"/>
          <w:sz w:val="32"/>
          <w:szCs w:val="32"/>
        </w:rPr>
        <w:t>项目月报、季报，公开项目回报机制、落地签约等情况。</w:t>
      </w:r>
    </w:p>
    <w:p>
      <w:pPr>
        <w:spacing w:line="560" w:lineRule="exact"/>
        <w:ind w:firstLine="642" w:firstLineChars="200"/>
        <w:rPr>
          <w:rFonts w:ascii="仿宋_GB2312" w:eastAsia="仿宋_GB2312"/>
          <w:sz w:val="32"/>
          <w:szCs w:val="32"/>
        </w:rPr>
      </w:pPr>
      <w:r>
        <w:rPr>
          <w:rFonts w:hint="eastAsia" w:ascii="仿宋_GB2312" w:hAnsi="黑体" w:eastAsia="仿宋_GB2312"/>
          <w:b/>
          <w:sz w:val="32"/>
          <w:szCs w:val="32"/>
        </w:rPr>
        <w:t>七是围绕项目信息公开促进公平公正。</w:t>
      </w:r>
      <w:r>
        <w:rPr>
          <w:rFonts w:hint="eastAsia" w:ascii="仿宋_GB2312" w:eastAsia="仿宋_GB2312"/>
          <w:sz w:val="32"/>
          <w:szCs w:val="32"/>
        </w:rPr>
        <w:t>向社会公开发布全省PPP项目信息公开年度工作报告。通过</w:t>
      </w:r>
      <w:r>
        <w:rPr>
          <w:rFonts w:hint="eastAsia" w:eastAsia="仿宋_GB2312"/>
          <w:sz w:val="32"/>
          <w:szCs w:val="32"/>
        </w:rPr>
        <w:t>财政部</w:t>
      </w:r>
      <w:r>
        <w:rPr>
          <w:rFonts w:hint="eastAsia" w:ascii="仿宋_GB2312" w:eastAsia="仿宋_GB2312"/>
          <w:sz w:val="32"/>
          <w:szCs w:val="32"/>
        </w:rPr>
        <w:t>PPP</w:t>
      </w:r>
      <w:r>
        <w:rPr>
          <w:rFonts w:hint="eastAsia" w:eastAsia="仿宋_GB2312"/>
          <w:sz w:val="32"/>
          <w:szCs w:val="32"/>
        </w:rPr>
        <w:t>综合信息平台、财政厅门户网等媒介持续推介发布项目共计</w:t>
      </w:r>
      <w:r>
        <w:rPr>
          <w:rFonts w:hint="eastAsia" w:ascii="仿宋_GB2312" w:eastAsia="仿宋_GB2312"/>
          <w:sz w:val="32"/>
          <w:szCs w:val="32"/>
        </w:rPr>
        <w:t>34</w:t>
      </w:r>
      <w:r>
        <w:rPr>
          <w:rFonts w:hint="eastAsia" w:eastAsia="仿宋_GB2312"/>
          <w:sz w:val="32"/>
          <w:szCs w:val="32"/>
        </w:rPr>
        <w:t>个，累计投资额</w:t>
      </w:r>
      <w:r>
        <w:rPr>
          <w:rFonts w:hint="eastAsia" w:ascii="仿宋_GB2312" w:eastAsia="仿宋_GB2312"/>
          <w:sz w:val="32"/>
          <w:szCs w:val="32"/>
        </w:rPr>
        <w:t>1275</w:t>
      </w:r>
      <w:r>
        <w:rPr>
          <w:rFonts w:hint="eastAsia" w:eastAsia="仿宋_GB2312"/>
          <w:sz w:val="32"/>
          <w:szCs w:val="32"/>
        </w:rPr>
        <w:t>亿元。</w:t>
      </w:r>
      <w:r>
        <w:rPr>
          <w:rFonts w:hint="eastAsia" w:ascii="仿宋_GB2312" w:eastAsia="仿宋_GB2312"/>
          <w:sz w:val="32"/>
          <w:szCs w:val="32"/>
        </w:rPr>
        <w:t>定期梳理发布民企参与情况，促进民企公平公正参与项目。</w:t>
      </w:r>
    </w:p>
    <w:p>
      <w:pPr>
        <w:pStyle w:val="2"/>
        <w:ind w:firstLine="60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color w:val="000000"/>
          <w:lang w:eastAsia="zh-CN"/>
        </w:rPr>
        <w:t>三、机构设置</w:t>
      </w:r>
      <w:r>
        <w:rPr>
          <w:rFonts w:hint="eastAsia" w:ascii="黑体" w:hAnsi="黑体" w:eastAsia="黑体" w:cs="黑体"/>
          <w:b w:val="0"/>
          <w:color w:val="000000"/>
        </w:rPr>
        <w:t>情况</w:t>
      </w:r>
    </w:p>
    <w:p>
      <w:pPr>
        <w:pStyle w:val="2"/>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本单位是隶属于四川省财政厅的二级预算单位，本单位无下属单位。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18"/>
          <w:rFonts w:ascii="黑体" w:hAnsi="黑体" w:eastAsia="黑体"/>
          <w:b w:val="0"/>
          <w:bCs/>
        </w:rPr>
      </w:pPr>
      <w:bookmarkStart w:id="31" w:name="_Toc15377204"/>
      <w:bookmarkStart w:id="32" w:name="_Toc612227116_WPSOffice_Level1"/>
      <w:bookmarkStart w:id="33" w:name="_Toc15396602"/>
      <w:bookmarkStart w:id="34" w:name="_Toc1251563524_WPSOffice_Level1"/>
      <w:r>
        <w:rPr>
          <w:rFonts w:hint="eastAsia" w:ascii="黑体" w:hAnsi="黑体" w:eastAsia="黑体"/>
          <w:b w:val="0"/>
        </w:rPr>
        <w:t>第二部分 2021年度</w:t>
      </w:r>
      <w:r>
        <w:rPr>
          <w:rStyle w:val="18"/>
          <w:rFonts w:hint="eastAsia" w:ascii="黑体" w:hAnsi="黑体" w:eastAsia="黑体"/>
          <w:b w:val="0"/>
          <w:bCs/>
        </w:rPr>
        <w:t>单位决算情况说明</w:t>
      </w:r>
      <w:bookmarkEnd w:id="31"/>
      <w:bookmarkEnd w:id="32"/>
      <w:bookmarkEnd w:id="33"/>
      <w:bookmarkEnd w:id="34"/>
    </w:p>
    <w:p>
      <w:pPr>
        <w:pStyle w:val="26"/>
        <w:spacing w:line="600" w:lineRule="exact"/>
        <w:ind w:firstLine="640"/>
        <w:outlineLvl w:val="1"/>
        <w:rPr>
          <w:rStyle w:val="27"/>
          <w:rFonts w:ascii="黑体" w:hAnsi="黑体" w:eastAsia="黑体"/>
          <w:b w:val="0"/>
        </w:rPr>
      </w:pPr>
      <w:bookmarkStart w:id="35" w:name="_Toc724984971_WPSOffice_Level2"/>
      <w:bookmarkStart w:id="36" w:name="_Toc1093575981_WPSOffice_Level2"/>
      <w:bookmarkStart w:id="37" w:name="_Toc15396603"/>
      <w:bookmarkStart w:id="38" w:name="_Toc15377205"/>
      <w:r>
        <w:rPr>
          <w:rFonts w:hint="eastAsia" w:ascii="黑体" w:hAnsi="黑体" w:eastAsia="黑体"/>
          <w:sz w:val="32"/>
          <w:szCs w:val="32"/>
        </w:rPr>
        <w:t>一、收</w:t>
      </w:r>
      <w:r>
        <w:rPr>
          <w:rStyle w:val="27"/>
          <w:rFonts w:hint="eastAsia" w:ascii="黑体" w:hAnsi="黑体" w:eastAsia="黑体"/>
          <w:b w:val="0"/>
        </w:rPr>
        <w:t>入支出决算总体情况说明</w:t>
      </w:r>
      <w:bookmarkEnd w:id="35"/>
      <w:bookmarkEnd w:id="36"/>
      <w:bookmarkEnd w:id="37"/>
      <w:bookmarkEnd w:id="38"/>
    </w:p>
    <w:p>
      <w:pPr>
        <w:spacing w:line="600" w:lineRule="exact"/>
        <w:ind w:firstLine="320" w:firstLineChars="100"/>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6432" behindDoc="0" locked="0" layoutInCell="1" allowOverlap="1">
            <wp:simplePos x="0" y="0"/>
            <wp:positionH relativeFrom="column">
              <wp:posOffset>190500</wp:posOffset>
            </wp:positionH>
            <wp:positionV relativeFrom="paragraph">
              <wp:posOffset>1777365</wp:posOffset>
            </wp:positionV>
            <wp:extent cx="4749800" cy="2330450"/>
            <wp:effectExtent l="0" t="0" r="0" b="0"/>
            <wp:wrapSquare wrapText="bothSides"/>
            <wp:docPr id="103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2021年度收、支总计均为163.69万元。与2020年相比，收、支总计各减少5.78万元，下降3.41</w:t>
      </w:r>
      <w:r>
        <w:rPr>
          <w:rFonts w:ascii="仿宋" w:hAnsi="仿宋" w:eastAsia="仿宋"/>
          <w:sz w:val="32"/>
          <w:szCs w:val="32"/>
        </w:rPr>
        <w:t>%</w:t>
      </w:r>
      <w:r>
        <w:rPr>
          <w:rFonts w:hint="eastAsia" w:ascii="仿宋" w:hAnsi="仿宋" w:eastAsia="仿宋"/>
          <w:sz w:val="32"/>
          <w:szCs w:val="32"/>
        </w:rPr>
        <w:t>。主要变动原因是部分专项经费减少。</w:t>
      </w:r>
      <w:bookmarkStart w:id="39" w:name="_Toc2037673724_WPSOffice_Level2"/>
      <w:bookmarkStart w:id="40" w:name="_Toc964664827_WPSOffice_Level2"/>
    </w:p>
    <w:p>
      <w:pPr>
        <w:spacing w:line="600" w:lineRule="exact"/>
        <w:jc w:val="center"/>
        <w:rPr>
          <w:rFonts w:ascii="黑体" w:hAnsi="黑体" w:eastAsia="黑体"/>
          <w:sz w:val="32"/>
          <w:szCs w:val="32"/>
        </w:rPr>
      </w:pPr>
      <w:r>
        <w:rPr>
          <w:rFonts w:hint="eastAsia" w:ascii="仿宋_GB2312" w:hAnsi="仿宋_GB2312" w:eastAsia="仿宋_GB2312" w:cs="仿宋_GB2312"/>
          <w:b/>
          <w:bCs/>
          <w:color w:val="000000" w:themeColor="text1"/>
          <w:sz w:val="28"/>
          <w:szCs w:val="28"/>
        </w:rPr>
        <w:t>图1：收、支决算总计变动情况图（单位：万元）</w:t>
      </w:r>
      <w:bookmarkEnd w:id="39"/>
      <w:bookmarkEnd w:id="40"/>
    </w:p>
    <w:p>
      <w:pPr>
        <w:pStyle w:val="26"/>
        <w:spacing w:line="600" w:lineRule="exact"/>
        <w:ind w:firstLine="640"/>
        <w:outlineLvl w:val="1"/>
        <w:rPr>
          <w:rFonts w:ascii="黑体" w:hAnsi="黑体" w:eastAsia="黑体"/>
          <w:sz w:val="32"/>
          <w:szCs w:val="32"/>
        </w:rPr>
      </w:pPr>
      <w:bookmarkStart w:id="41" w:name="_Toc15377206"/>
      <w:bookmarkStart w:id="42" w:name="_Toc15396604"/>
      <w:r>
        <w:rPr>
          <w:rFonts w:hint="eastAsia" w:ascii="黑体" w:hAnsi="黑体" w:eastAsia="黑体"/>
          <w:sz w:val="32"/>
          <w:szCs w:val="32"/>
        </w:rPr>
        <w:t>二、收入决算情况说明</w:t>
      </w:r>
      <w:bookmarkEnd w:id="41"/>
      <w:bookmarkEnd w:id="4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21年本年收入合计163.69万元，其中：一般公共预算财政拨款收入163.69万元，占100</w:t>
      </w:r>
      <w:r>
        <w:rPr>
          <w:rFonts w:ascii="仿宋" w:hAnsi="仿宋" w:eastAsia="仿宋"/>
          <w:sz w:val="32"/>
          <w:szCs w:val="32"/>
        </w:rPr>
        <w:t>%</w:t>
      </w:r>
      <w:r>
        <w:rPr>
          <w:rFonts w:hint="eastAsia" w:ascii="仿宋" w:hAnsi="仿宋" w:eastAsia="仿宋"/>
          <w:sz w:val="32"/>
          <w:szCs w:val="32"/>
        </w:rPr>
        <w:t>。</w:t>
      </w:r>
    </w:p>
    <w:p>
      <w:pPr>
        <w:spacing w:line="600" w:lineRule="exact"/>
        <w:jc w:val="center"/>
        <w:rPr>
          <w:rFonts w:ascii="仿宋" w:hAnsi="仿宋" w:eastAsia="仿宋"/>
          <w:sz w:val="32"/>
          <w:szCs w:val="32"/>
        </w:rPr>
      </w:pPr>
      <w:bookmarkStart w:id="43" w:name="_Toc2008454201_WPSOffice_Level2"/>
      <w:bookmarkStart w:id="44" w:name="_Toc716480253_WPSOffice_Level2"/>
      <w:r>
        <w:rPr>
          <w:rFonts w:hint="eastAsia" w:ascii="仿宋_GB2312" w:hAnsi="仿宋_GB2312" w:eastAsia="仿宋_GB2312" w:cs="仿宋_GB2312"/>
          <w:b/>
          <w:bCs/>
          <w:color w:val="000000" w:themeColor="text1"/>
          <w:sz w:val="28"/>
          <w:szCs w:val="28"/>
        </w:rPr>
        <w:t>图2：收入决算结构图</w:t>
      </w:r>
      <w:bookmarkEnd w:id="43"/>
      <w:bookmarkEnd w:id="44"/>
    </w:p>
    <w:p>
      <w:pPr>
        <w:pStyle w:val="2"/>
        <w:spacing w:before="93"/>
        <w:rPr>
          <w:sz w:val="32"/>
          <w:szCs w:val="32"/>
        </w:rPr>
      </w:pPr>
      <w:r>
        <w:rPr>
          <w:rFonts w:hint="eastAsia"/>
        </w:rPr>
        <w:t xml:space="preserve">   </w:t>
      </w:r>
      <w:r>
        <w:drawing>
          <wp:inline distT="0" distB="0" distL="114300" distR="114300">
            <wp:extent cx="4547235" cy="1607820"/>
            <wp:effectExtent l="0" t="0" r="5715" b="1143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6"/>
        <w:spacing w:line="600" w:lineRule="exact"/>
        <w:ind w:firstLine="640"/>
        <w:outlineLvl w:val="1"/>
        <w:rPr>
          <w:rFonts w:ascii="黑体" w:hAnsi="黑体" w:eastAsia="黑体"/>
          <w:sz w:val="32"/>
          <w:szCs w:val="32"/>
        </w:rPr>
      </w:pPr>
      <w:bookmarkStart w:id="45" w:name="_Toc883280816_WPSOffice_Level2"/>
      <w:bookmarkStart w:id="46" w:name="_Toc15377207"/>
      <w:bookmarkStart w:id="47" w:name="_Toc15396605"/>
      <w:bookmarkStart w:id="48" w:name="_Toc1372400823_WPSOffice_Level2"/>
    </w:p>
    <w:p>
      <w:pPr>
        <w:pStyle w:val="26"/>
        <w:spacing w:line="600" w:lineRule="exact"/>
        <w:ind w:firstLine="640"/>
        <w:outlineLvl w:val="1"/>
        <w:rPr>
          <w:rStyle w:val="27"/>
          <w:rFonts w:ascii="黑体" w:hAnsi="黑体" w:eastAsia="黑体"/>
          <w:b w:val="0"/>
        </w:rPr>
      </w:pPr>
      <w:r>
        <w:rPr>
          <w:rFonts w:hint="eastAsia" w:ascii="黑体" w:hAnsi="黑体" w:eastAsia="黑体"/>
          <w:sz w:val="32"/>
          <w:szCs w:val="32"/>
        </w:rPr>
        <w:t>三、支</w:t>
      </w:r>
      <w:r>
        <w:rPr>
          <w:rStyle w:val="27"/>
          <w:rFonts w:hint="eastAsia" w:ascii="黑体" w:hAnsi="黑体" w:eastAsia="黑体"/>
          <w:b w:val="0"/>
        </w:rPr>
        <w:t>出决算情况说明</w:t>
      </w:r>
      <w:bookmarkEnd w:id="45"/>
      <w:bookmarkEnd w:id="46"/>
      <w:bookmarkEnd w:id="47"/>
      <w:bookmarkEnd w:id="48"/>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21年本年支出合计163.69万元，其中：基本支出148.69万元，占90.8</w:t>
      </w:r>
      <w:r>
        <w:rPr>
          <w:rFonts w:ascii="仿宋" w:hAnsi="仿宋" w:eastAsia="仿宋"/>
          <w:sz w:val="32"/>
          <w:szCs w:val="32"/>
        </w:rPr>
        <w:t>4%</w:t>
      </w:r>
      <w:r>
        <w:rPr>
          <w:rFonts w:hint="eastAsia" w:ascii="仿宋" w:hAnsi="仿宋" w:eastAsia="仿宋"/>
          <w:sz w:val="32"/>
          <w:szCs w:val="32"/>
        </w:rPr>
        <w:t>；项目支出15万元，占9.1</w:t>
      </w:r>
      <w:r>
        <w:rPr>
          <w:rFonts w:ascii="仿宋" w:hAnsi="仿宋" w:eastAsia="仿宋"/>
          <w:sz w:val="32"/>
          <w:szCs w:val="32"/>
        </w:rPr>
        <w:t>6%</w:t>
      </w:r>
      <w:r>
        <w:rPr>
          <w:rFonts w:hint="eastAsia" w:ascii="仿宋" w:hAnsi="仿宋" w:eastAsia="仿宋"/>
          <w:sz w:val="32"/>
          <w:szCs w:val="32"/>
        </w:rPr>
        <w:t>。</w:t>
      </w:r>
    </w:p>
    <w:p>
      <w:pPr>
        <w:spacing w:line="600" w:lineRule="exact"/>
        <w:ind w:firstLine="562" w:firstLineChars="200"/>
        <w:jc w:val="center"/>
        <w:rPr>
          <w:rFonts w:ascii="仿宋" w:hAnsi="仿宋" w:eastAsia="仿宋"/>
          <w:sz w:val="32"/>
          <w:szCs w:val="32"/>
        </w:rPr>
      </w:pPr>
      <w:bookmarkStart w:id="49" w:name="_Toc557470527_WPSOffice_Level2"/>
      <w:bookmarkStart w:id="50" w:name="_Toc1013790645_WPSOffice_Level2"/>
      <w:bookmarkStart w:id="51" w:name="_Toc1483867600_WPSOffice_Level2"/>
      <w:r>
        <w:rPr>
          <w:rFonts w:hint="eastAsia" w:ascii="仿宋_GB2312" w:hAnsi="仿宋_GB2312" w:eastAsia="仿宋_GB2312" w:cs="仿宋_GB2312"/>
          <w:b/>
          <w:bCs/>
          <w:color w:val="000000" w:themeColor="text1"/>
          <w:sz w:val="28"/>
          <w:szCs w:val="28"/>
        </w:rPr>
        <w:t>图3：支出决算结构图</w:t>
      </w:r>
      <w:bookmarkEnd w:id="49"/>
      <w:bookmarkEnd w:id="50"/>
      <w:bookmarkEnd w:id="51"/>
    </w:p>
    <w:p>
      <w:pPr>
        <w:spacing w:line="600" w:lineRule="exact"/>
        <w:ind w:firstLine="420" w:firstLineChars="200"/>
        <w:rPr>
          <w:rFonts w:ascii="黑体" w:hAnsi="黑体" w:eastAsia="黑体"/>
          <w:sz w:val="32"/>
          <w:szCs w:val="32"/>
        </w:rPr>
      </w:pPr>
      <w:bookmarkStart w:id="52" w:name="_Toc15396606"/>
      <w:bookmarkStart w:id="53" w:name="_Toc15377208"/>
      <w:r>
        <w:drawing>
          <wp:anchor distT="0" distB="0" distL="114300" distR="114300" simplePos="0" relativeHeight="251665408" behindDoc="0" locked="0" layoutInCell="1" allowOverlap="1">
            <wp:simplePos x="0" y="0"/>
            <wp:positionH relativeFrom="column">
              <wp:posOffset>290195</wp:posOffset>
            </wp:positionH>
            <wp:positionV relativeFrom="paragraph">
              <wp:posOffset>182245</wp:posOffset>
            </wp:positionV>
            <wp:extent cx="4894580" cy="1779270"/>
            <wp:effectExtent l="0" t="0" r="1270" b="11430"/>
            <wp:wrapSquare wrapText="bothSides"/>
            <wp:docPr id="307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7"/>
          <w:rFonts w:ascii="黑体" w:hAnsi="黑体" w:eastAsia="黑体"/>
          <w:b w:val="0"/>
        </w:rPr>
      </w:pPr>
      <w:bookmarkStart w:id="54" w:name="_Toc1059760787_WPSOffice_Level2"/>
      <w:bookmarkStart w:id="55" w:name="_Toc1311308022_WPSOffice_Level2"/>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52"/>
      <w:bookmarkEnd w:id="53"/>
      <w:bookmarkEnd w:id="54"/>
      <w:bookmarkEnd w:id="5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21年财政拨款收、支总计均为163.69万元。与</w:t>
      </w:r>
      <w:r>
        <w:rPr>
          <w:rFonts w:ascii="仿宋" w:hAnsi="仿宋" w:eastAsia="仿宋"/>
          <w:sz w:val="32"/>
          <w:szCs w:val="32"/>
        </w:rPr>
        <w:t>20</w:t>
      </w:r>
      <w:r>
        <w:rPr>
          <w:rFonts w:hint="eastAsia" w:ascii="仿宋" w:hAnsi="仿宋" w:eastAsia="仿宋"/>
          <w:sz w:val="32"/>
          <w:szCs w:val="32"/>
        </w:rPr>
        <w:t>20年相比，财政拨款收、支总计各减少5.78万元，下降3.41</w:t>
      </w:r>
      <w:r>
        <w:rPr>
          <w:rFonts w:ascii="仿宋" w:hAnsi="仿宋" w:eastAsia="仿宋"/>
          <w:sz w:val="32"/>
          <w:szCs w:val="32"/>
        </w:rPr>
        <w:t>%</w:t>
      </w:r>
      <w:r>
        <w:rPr>
          <w:rFonts w:hint="eastAsia" w:ascii="仿宋" w:hAnsi="仿宋" w:eastAsia="仿宋"/>
          <w:sz w:val="32"/>
          <w:szCs w:val="32"/>
        </w:rPr>
        <w:t>。主要变动原因是部分专项经费减少。</w:t>
      </w:r>
    </w:p>
    <w:p>
      <w:pPr>
        <w:spacing w:line="600" w:lineRule="exact"/>
        <w:jc w:val="center"/>
        <w:rPr>
          <w:rFonts w:ascii="黑体" w:hAnsi="黑体" w:eastAsia="黑体"/>
          <w:sz w:val="32"/>
          <w:szCs w:val="32"/>
        </w:rPr>
      </w:pPr>
      <w:bookmarkStart w:id="56" w:name="_Toc2134671808_WPSOffice_Level2"/>
      <w:bookmarkStart w:id="57" w:name="_Toc1551180753_WPSOffice_Level2"/>
      <w:r>
        <w:drawing>
          <wp:anchor distT="0" distB="0" distL="114300" distR="114300" simplePos="0" relativeHeight="251675648" behindDoc="0" locked="0" layoutInCell="1" allowOverlap="1">
            <wp:simplePos x="0" y="0"/>
            <wp:positionH relativeFrom="column">
              <wp:posOffset>152400</wp:posOffset>
            </wp:positionH>
            <wp:positionV relativeFrom="paragraph">
              <wp:posOffset>668655</wp:posOffset>
            </wp:positionV>
            <wp:extent cx="5289550" cy="1949450"/>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drawing>
          <wp:anchor distT="0" distB="0" distL="114300" distR="114300" simplePos="0" relativeHeight="251660288" behindDoc="0" locked="0" layoutInCell="1" allowOverlap="1">
            <wp:simplePos x="0" y="0"/>
            <wp:positionH relativeFrom="column">
              <wp:posOffset>-133985</wp:posOffset>
            </wp:positionH>
            <wp:positionV relativeFrom="paragraph">
              <wp:posOffset>558800</wp:posOffset>
            </wp:positionV>
            <wp:extent cx="5205095" cy="2190115"/>
            <wp:effectExtent l="0" t="0" r="14605" b="635"/>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仿宋_GB2312" w:eastAsia="仿宋_GB2312" w:cs="仿宋_GB2312"/>
          <w:b/>
          <w:bCs/>
          <w:color w:val="000000" w:themeColor="text1"/>
          <w:sz w:val="28"/>
          <w:szCs w:val="28"/>
        </w:rPr>
        <w:t>图4：财政拨款收、支决算总计变动情况（单位：万元</w:t>
      </w:r>
      <w:bookmarkEnd w:id="56"/>
      <w:bookmarkEnd w:id="57"/>
      <w:bookmarkStart w:id="58" w:name="_Toc15377209"/>
      <w:bookmarkStart w:id="59" w:name="_Toc15396607"/>
      <w:r>
        <w:rPr>
          <w:rFonts w:hint="eastAsia" w:ascii="仿宋_GB2312" w:hAnsi="仿宋_GB2312" w:eastAsia="仿宋_GB2312" w:cs="仿宋_GB2312"/>
          <w:b/>
          <w:bCs/>
          <w:color w:val="000000" w:themeColor="text1"/>
          <w:sz w:val="28"/>
          <w:szCs w:val="28"/>
        </w:rPr>
        <w:t>）</w:t>
      </w:r>
    </w:p>
    <w:p>
      <w:pPr>
        <w:spacing w:line="600" w:lineRule="exact"/>
        <w:ind w:firstLine="640" w:firstLineChars="200"/>
        <w:outlineLvl w:val="1"/>
        <w:rPr>
          <w:rStyle w:val="27"/>
          <w:rFonts w:ascii="黑体" w:hAnsi="黑体" w:eastAsia="黑体"/>
          <w:b w:val="0"/>
        </w:rPr>
      </w:pPr>
      <w:bookmarkStart w:id="60" w:name="_Toc1905129081_WPSOffice_Level2"/>
      <w:bookmarkStart w:id="61" w:name="_Toc1624928381_WPSOffice_Level2"/>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58"/>
      <w:bookmarkEnd w:id="59"/>
      <w:bookmarkEnd w:id="60"/>
      <w:bookmarkEnd w:id="61"/>
    </w:p>
    <w:p>
      <w:pPr>
        <w:spacing w:line="600" w:lineRule="exact"/>
        <w:ind w:firstLine="642" w:firstLineChars="200"/>
        <w:outlineLvl w:val="2"/>
        <w:rPr>
          <w:rFonts w:ascii="仿宋" w:hAnsi="仿宋" w:eastAsia="仿宋"/>
          <w:b/>
          <w:sz w:val="32"/>
          <w:szCs w:val="32"/>
        </w:rPr>
      </w:pPr>
      <w:bookmarkStart w:id="62" w:name="_Toc612227116_WPSOffice_Level3"/>
      <w:bookmarkStart w:id="63" w:name="_Toc15377210"/>
      <w:r>
        <w:rPr>
          <w:rFonts w:hint="eastAsia" w:ascii="仿宋" w:hAnsi="仿宋" w:eastAsia="仿宋"/>
          <w:b/>
          <w:sz w:val="32"/>
          <w:szCs w:val="32"/>
        </w:rPr>
        <w:t>（一）一般公共预算财政拨款支出决算总体情况</w:t>
      </w:r>
      <w:bookmarkEnd w:id="62"/>
      <w:bookmarkEnd w:id="6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21年一般公共预算财政拨款支出163.69万元，占本年支出合计的100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20年相比，一般公共预算财政拨款支出减少5.78万元，下降3.41%。主要变动原因是部分专项经费减少。</w:t>
      </w:r>
    </w:p>
    <w:p>
      <w:pPr>
        <w:spacing w:line="560" w:lineRule="exact"/>
        <w:jc w:val="center"/>
        <w:rPr>
          <w:rFonts w:ascii="仿宋" w:hAnsi="仿宋" w:eastAsia="仿宋"/>
          <w:b/>
          <w:sz w:val="32"/>
          <w:szCs w:val="32"/>
        </w:rPr>
      </w:pPr>
      <w:r>
        <w:drawing>
          <wp:anchor distT="0" distB="0" distL="114300" distR="114300" simplePos="0" relativeHeight="251694080" behindDoc="0" locked="0" layoutInCell="1" allowOverlap="1">
            <wp:simplePos x="0" y="0"/>
            <wp:positionH relativeFrom="column">
              <wp:posOffset>107950</wp:posOffset>
            </wp:positionH>
            <wp:positionV relativeFrom="paragraph">
              <wp:posOffset>457200</wp:posOffset>
            </wp:positionV>
            <wp:extent cx="5123815" cy="2329180"/>
            <wp:effectExtent l="0" t="0" r="635" b="1397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b/>
          <w:bCs/>
          <w:color w:val="000000" w:themeColor="text1"/>
          <w:sz w:val="28"/>
          <w:szCs w:val="28"/>
        </w:rPr>
        <w:t>　图5：一般公共预算财政拨款支出决算变动情况（单位：万元）</w:t>
      </w:r>
      <w:bookmarkStart w:id="64" w:name="_Toc15377211"/>
      <w:bookmarkStart w:id="65" w:name="_Toc1268367063_WPSOffice_Level3"/>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64"/>
      <w:bookmarkEnd w:id="6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21年一般公共预算财政拨款支出163.69万元，主要用于以下方面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支出110.44万元，占67.47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支出13.75万元，占8.4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支出7.36万元，占4.5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支出32.14万元，占19.63</w:t>
      </w:r>
      <w:r>
        <w:rPr>
          <w:rFonts w:ascii="仿宋" w:hAnsi="仿宋" w:eastAsia="仿宋"/>
          <w:sz w:val="32"/>
          <w:szCs w:val="32"/>
        </w:rPr>
        <w:t>%</w:t>
      </w:r>
      <w:r>
        <w:rPr>
          <w:rFonts w:hint="eastAsia" w:ascii="仿宋" w:hAnsi="仿宋" w:eastAsia="仿宋"/>
          <w:sz w:val="32"/>
          <w:szCs w:val="32"/>
        </w:rPr>
        <w:t>。</w:t>
      </w:r>
    </w:p>
    <w:p>
      <w:pPr>
        <w:spacing w:line="600" w:lineRule="exact"/>
        <w:jc w:val="center"/>
        <w:rPr>
          <w:rFonts w:ascii="仿宋_GB2312" w:hAnsi="仿宋_GB2312" w:eastAsia="仿宋_GB2312" w:cs="仿宋_GB2312"/>
          <w:b/>
          <w:bCs/>
          <w:color w:val="000000"/>
          <w:sz w:val="28"/>
          <w:szCs w:val="28"/>
        </w:rPr>
      </w:pPr>
      <w:bookmarkStart w:id="66" w:name="_Toc2108512638_WPSOffice_Level2"/>
    </w:p>
    <w:p>
      <w:pPr>
        <w:spacing w:line="600" w:lineRule="exact"/>
        <w:jc w:val="center"/>
        <w:rPr>
          <w:rFonts w:ascii="仿宋_GB2312" w:hAnsi="仿宋_GB2312" w:eastAsia="仿宋_GB2312" w:cs="仿宋_GB2312"/>
          <w:b/>
          <w:bCs/>
          <w:color w:val="000000"/>
          <w:sz w:val="28"/>
          <w:szCs w:val="28"/>
        </w:rPr>
      </w:pPr>
    </w:p>
    <w:p>
      <w:pPr>
        <w:spacing w:line="600" w:lineRule="exact"/>
        <w:jc w:val="center"/>
        <w:rPr>
          <w:rFonts w:ascii="仿宋_GB2312" w:hAnsi="仿宋_GB2312" w:eastAsia="仿宋_GB2312" w:cs="仿宋_GB2312"/>
          <w:b/>
          <w:bCs/>
          <w:color w:val="000000"/>
          <w:sz w:val="28"/>
          <w:szCs w:val="28"/>
        </w:rPr>
      </w:pPr>
    </w:p>
    <w:p>
      <w:pPr>
        <w:spacing w:line="600" w:lineRule="exact"/>
        <w:jc w:val="center"/>
        <w:rPr>
          <w:rFonts w:ascii="仿宋_GB2312" w:hAnsi="仿宋_GB2312" w:eastAsia="仿宋_GB2312" w:cs="仿宋_GB2312"/>
          <w:b/>
          <w:bCs/>
          <w:color w:val="000000"/>
          <w:sz w:val="28"/>
          <w:szCs w:val="28"/>
        </w:rPr>
      </w:pPr>
    </w:p>
    <w:p>
      <w:pPr>
        <w:spacing w:line="600" w:lineRule="exact"/>
        <w:jc w:val="center"/>
        <w:rPr>
          <w:rFonts w:ascii="仿宋" w:hAnsi="仿宋" w:eastAsia="仿宋"/>
          <w:b/>
          <w:sz w:val="32"/>
          <w:szCs w:val="32"/>
        </w:rPr>
      </w:pPr>
      <w:bookmarkStart w:id="67" w:name="_Toc741723989_WPSOffice_Level2"/>
      <w:bookmarkStart w:id="68" w:name="_Toc16442880_WPSOffice_Level2"/>
      <w:r>
        <w:rPr>
          <w:rFonts w:hint="eastAsia" w:ascii="仿宋_GB2312" w:hAnsi="仿宋_GB2312" w:eastAsia="仿宋_GB2312" w:cs="仿宋_GB2312"/>
          <w:b/>
          <w:bCs/>
          <w:color w:val="000000"/>
          <w:sz w:val="28"/>
          <w:szCs w:val="28"/>
        </w:rPr>
        <w:t>图6：一般公共预算财政拨款支出决算结构</w:t>
      </w:r>
      <w:bookmarkEnd w:id="66"/>
      <w:bookmarkEnd w:id="67"/>
      <w:bookmarkEnd w:id="68"/>
      <w:bookmarkStart w:id="69" w:name="_Toc15377212"/>
    </w:p>
    <w:p>
      <w:pPr>
        <w:pStyle w:val="2"/>
        <w:spacing w:before="93"/>
        <w:rPr>
          <w:rFonts w:ascii="仿宋" w:hAnsi="仿宋" w:eastAsia="仿宋"/>
          <w:b/>
          <w:sz w:val="32"/>
          <w:szCs w:val="32"/>
        </w:rPr>
      </w:pPr>
      <w:r>
        <w:drawing>
          <wp:inline distT="0" distB="0" distL="114300" distR="114300">
            <wp:extent cx="5046980" cy="2470785"/>
            <wp:effectExtent l="0" t="0" r="1270" b="5715"/>
            <wp:docPr id="61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2" w:firstLineChars="200"/>
        <w:outlineLvl w:val="2"/>
        <w:rPr>
          <w:rFonts w:ascii="仿宋" w:hAnsi="仿宋" w:eastAsia="仿宋"/>
          <w:b/>
          <w:sz w:val="32"/>
          <w:szCs w:val="32"/>
        </w:rPr>
      </w:pPr>
      <w:bookmarkStart w:id="70" w:name="_Toc1093575981_WPSOffice_Level3"/>
      <w:r>
        <w:rPr>
          <w:rFonts w:hint="eastAsia" w:ascii="仿宋" w:hAnsi="仿宋" w:eastAsia="仿宋"/>
          <w:b/>
          <w:sz w:val="32"/>
          <w:szCs w:val="32"/>
        </w:rPr>
        <w:t>（三）一般公共预算财政拨款支出决算具体情况</w:t>
      </w:r>
      <w:bookmarkEnd w:id="69"/>
      <w:bookmarkEnd w:id="70"/>
    </w:p>
    <w:p>
      <w:pPr>
        <w:spacing w:line="600" w:lineRule="exact"/>
        <w:ind w:firstLine="642" w:firstLineChars="200"/>
        <w:outlineLvl w:val="2"/>
        <w:rPr>
          <w:rFonts w:ascii="仿宋" w:hAnsi="仿宋" w:eastAsia="仿宋"/>
          <w:sz w:val="32"/>
          <w:szCs w:val="32"/>
        </w:rPr>
      </w:pPr>
      <w:bookmarkStart w:id="71" w:name="_Toc15378460"/>
      <w:bookmarkStart w:id="72" w:name="_Toc15377444"/>
      <w:bookmarkStart w:id="73" w:name="_Toc15377213"/>
      <w:r>
        <w:rPr>
          <w:rFonts w:hint="eastAsia" w:ascii="仿宋" w:hAnsi="仿宋" w:eastAsia="仿宋"/>
          <w:b/>
          <w:sz w:val="32"/>
          <w:szCs w:val="32"/>
        </w:rPr>
        <w:t>2021年一般公共预算支出决算数为163.69万元</w:t>
      </w:r>
      <w:r>
        <w:rPr>
          <w:rFonts w:hint="eastAsia" w:ascii="仿宋" w:hAnsi="仿宋" w:eastAsia="仿宋"/>
          <w:sz w:val="32"/>
          <w:szCs w:val="32"/>
        </w:rPr>
        <w:t>，</w:t>
      </w:r>
      <w:r>
        <w:rPr>
          <w:rStyle w:val="16"/>
          <w:rFonts w:hint="eastAsia" w:ascii="仿宋" w:hAnsi="仿宋" w:eastAsia="仿宋"/>
          <w:bCs/>
          <w:sz w:val="32"/>
          <w:szCs w:val="32"/>
        </w:rPr>
        <w:t>完成预算80.03</w:t>
      </w:r>
      <w:r>
        <w:rPr>
          <w:rStyle w:val="16"/>
          <w:rFonts w:ascii="仿宋" w:hAnsi="仿宋" w:eastAsia="仿宋"/>
          <w:bCs/>
          <w:sz w:val="32"/>
          <w:szCs w:val="32"/>
        </w:rPr>
        <w:t>%</w:t>
      </w:r>
      <w:r>
        <w:rPr>
          <w:rStyle w:val="16"/>
          <w:rFonts w:hint="eastAsia" w:ascii="仿宋" w:hAnsi="仿宋" w:eastAsia="仿宋"/>
          <w:bCs/>
          <w:sz w:val="32"/>
          <w:szCs w:val="32"/>
        </w:rPr>
        <w:t>。其中：</w:t>
      </w:r>
      <w:bookmarkEnd w:id="71"/>
      <w:bookmarkEnd w:id="72"/>
      <w:bookmarkEnd w:id="73"/>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1.一般公共服务（类）财政事务（款）事业运行（项）: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支出决算为95.44万元，完成预算86.15%，决算数小于预算数的主要原因是继续积极贯彻落实中央八项规定及省委省政府十项规定，加强事业单位日常经费管理。</w:t>
      </w:r>
    </w:p>
    <w:p>
      <w:pPr>
        <w:pStyle w:val="6"/>
        <w:spacing w:line="560" w:lineRule="exact"/>
        <w:ind w:firstLine="643"/>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2.一般公共服务（类）财政事务（款）其他财政事务支出（项）：</w:t>
      </w:r>
      <w:r>
        <w:rPr>
          <w:rFonts w:hint="eastAsia" w:ascii="仿宋_GB2312" w:hAnsi="仿宋_GB2312" w:eastAsia="仿宋_GB2312" w:cs="仿宋_GB2312"/>
          <w:color w:val="000000"/>
          <w:kern w:val="0"/>
          <w:sz w:val="32"/>
          <w:szCs w:val="32"/>
        </w:rPr>
        <w:t>支出决算为15万元，完成预算37.04%，决算数小于预算数的主要原因是受疫情影响，2021年财政部“中国PPP融资论坛”未按期举办，我省相应的PPP项目宣传推介展位费等费用未发生。</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3.社会保障和就业（类）行政事业单位养老支出（款）机关事业单位基本养老保险缴费支出（项）: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支出决算为9.17万元，完成预算100%。</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4.社会保障和就业（类）行政事业单位养老支出（款）机关事业单位职业年金缴费支出（项）: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支出决算为4.58万元，完成预算100%。</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5.卫生健康（类）行政事业单位医疗（款）事业单位医疗（项）: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支出决算为7.36万元，完成预算100%。</w:t>
      </w:r>
    </w:p>
    <w:p>
      <w:pPr>
        <w:spacing w:line="560" w:lineRule="exact"/>
        <w:ind w:firstLine="642" w:firstLineChars="200"/>
        <w:rPr>
          <w:rFonts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rPr>
        <w:t>6.住房保障（类）住房改革支出（款）住房公积金（项）: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支出决算为9.72万元，完成预算100%。</w:t>
      </w:r>
    </w:p>
    <w:p>
      <w:pPr>
        <w:spacing w:line="560" w:lineRule="exact"/>
        <w:ind w:firstLine="642" w:firstLineChars="200"/>
        <w:rPr>
          <w:rFonts w:ascii="仿宋" w:hAnsi="仿宋" w:eastAsia="仿宋"/>
          <w:b/>
          <w:sz w:val="32"/>
          <w:szCs w:val="32"/>
        </w:rPr>
      </w:pPr>
      <w:r>
        <w:rPr>
          <w:rStyle w:val="16"/>
          <w:rFonts w:hint="eastAsia" w:ascii="仿宋_GB2312" w:hAnsi="仿宋_GB2312" w:eastAsia="仿宋_GB2312" w:cs="仿宋_GB2312"/>
          <w:bCs/>
          <w:color w:val="000000"/>
          <w:sz w:val="32"/>
          <w:szCs w:val="32"/>
        </w:rPr>
        <w:t>7.住房保障（类）住房改革支出（款）购房补贴（项）: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支出决算为22.42万元，完成预算100%。</w:t>
      </w:r>
    </w:p>
    <w:p>
      <w:pPr>
        <w:tabs>
          <w:tab w:val="right" w:pos="8306"/>
        </w:tabs>
        <w:spacing w:line="600" w:lineRule="exact"/>
        <w:ind w:firstLine="640"/>
        <w:outlineLvl w:val="1"/>
        <w:rPr>
          <w:rStyle w:val="27"/>
        </w:rPr>
      </w:pPr>
      <w:bookmarkStart w:id="74" w:name="_Toc590209305_WPSOffice_Level2"/>
      <w:bookmarkStart w:id="75" w:name="_Toc15377214"/>
      <w:bookmarkStart w:id="76" w:name="_Toc15396608"/>
      <w:bookmarkStart w:id="77" w:name="_Toc80608654_WPSOffice_Level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74"/>
      <w:bookmarkEnd w:id="75"/>
      <w:bookmarkEnd w:id="76"/>
      <w:bookmarkEnd w:id="77"/>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21年一般公共预算财政拨款基本支出148.69万元，其中：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人员经费140.75万元，</w:t>
      </w:r>
      <w:r>
        <w:rPr>
          <w:rFonts w:hint="eastAsia" w:ascii="仿宋_GB2312" w:hAnsi="Calibri" w:eastAsia="仿宋_GB2312" w:cs="仿宋"/>
          <w:color w:val="000000"/>
          <w:kern w:val="0"/>
          <w:sz w:val="32"/>
          <w:szCs w:val="32"/>
        </w:rPr>
        <w:t>主要包括：基本工资、津贴补贴、绩效工资、机关事业单位基本养老保险缴费、职业年金缴费、职工基本医疗保险缴费、其他社会保障缴费、住房公积金、其他工资福利支出等。</w:t>
      </w:r>
      <w:r>
        <w:rPr>
          <w:rFonts w:ascii="仿宋" w:hAnsi="仿宋" w:eastAsia="仿宋"/>
          <w:sz w:val="32"/>
          <w:szCs w:val="32"/>
        </w:rPr>
        <w:br w:type="textWrapping"/>
      </w:r>
      <w:r>
        <w:rPr>
          <w:rFonts w:hint="eastAsia" w:ascii="仿宋" w:hAnsi="仿宋" w:eastAsia="仿宋"/>
          <w:sz w:val="32"/>
          <w:szCs w:val="32"/>
        </w:rPr>
        <w:t>　　公用经费7.94万元，主要包括：办公费、差旅费、工会经费、福利费等。</w:t>
      </w:r>
    </w:p>
    <w:p>
      <w:pPr>
        <w:spacing w:line="600" w:lineRule="exact"/>
        <w:ind w:firstLine="640"/>
        <w:outlineLvl w:val="1"/>
        <w:rPr>
          <w:rStyle w:val="27"/>
          <w:rFonts w:ascii="黑体" w:hAnsi="黑体" w:eastAsia="黑体"/>
          <w:b w:val="0"/>
        </w:rPr>
      </w:pPr>
      <w:bookmarkStart w:id="78" w:name="_Toc1172201406_WPSOffice_Level2"/>
      <w:bookmarkStart w:id="79" w:name="_Toc15396609"/>
      <w:bookmarkStart w:id="80" w:name="_Toc1216338861_WPSOffice_Level2"/>
      <w:bookmarkStart w:id="81" w:name="_Toc1537721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78"/>
      <w:bookmarkEnd w:id="79"/>
      <w:bookmarkEnd w:id="80"/>
      <w:bookmarkEnd w:id="81"/>
    </w:p>
    <w:p>
      <w:pPr>
        <w:autoSpaceDE w:val="0"/>
        <w:autoSpaceDN w:val="0"/>
        <w:adjustRightInd w:val="0"/>
        <w:spacing w:line="560" w:lineRule="exact"/>
        <w:ind w:firstLine="640" w:firstLineChars="200"/>
        <w:rPr>
          <w:rFonts w:ascii="仿宋_GB2312" w:hAnsi="Calibri" w:eastAsia="仿宋_GB2312" w:cs="仿宋"/>
          <w:color w:val="000000"/>
          <w:kern w:val="0"/>
          <w:sz w:val="32"/>
          <w:szCs w:val="32"/>
        </w:rPr>
      </w:pPr>
      <w:bookmarkStart w:id="82" w:name="_Toc15377217"/>
      <w:bookmarkStart w:id="83" w:name="_Toc15377218"/>
      <w:bookmarkStart w:id="84" w:name="_Toc840680235_WPSOffice_Level2"/>
      <w:bookmarkStart w:id="85" w:name="_Toc15396610"/>
      <w:bookmarkStart w:id="86" w:name="_Toc1255533822_WPSOffice_Level2"/>
      <w:r>
        <w:rPr>
          <w:rFonts w:hint="eastAsia" w:ascii="仿宋_GB2312" w:hAnsi="Calibri" w:eastAsia="仿宋_GB2312" w:cs="仿宋"/>
          <w:color w:val="000000"/>
          <w:kern w:val="0"/>
          <w:sz w:val="32"/>
          <w:szCs w:val="32"/>
        </w:rPr>
        <w:t>PPP中心2021年未发生“三公”经费财政拨款支出，本年度“三公”经费财政拨款支出与上年决算数无变化。本单位无公务用车，与上年无变化。</w:t>
      </w:r>
    </w:p>
    <w:p>
      <w:pPr>
        <w:pStyle w:val="2"/>
        <w:spacing w:before="93"/>
        <w:ind w:firstLine="642" w:firstLineChars="200"/>
        <w:rPr>
          <w:rFonts w:ascii="仿宋" w:hAnsi="仿宋" w:eastAsia="仿宋"/>
          <w:b/>
          <w:kern w:val="2"/>
          <w:sz w:val="32"/>
          <w:szCs w:val="32"/>
        </w:rPr>
      </w:pPr>
      <w:r>
        <w:rPr>
          <w:rFonts w:hint="eastAsia" w:ascii="仿宋" w:hAnsi="仿宋" w:eastAsia="仿宋"/>
          <w:b/>
          <w:kern w:val="2"/>
          <w:sz w:val="32"/>
          <w:szCs w:val="32"/>
        </w:rPr>
        <w:t>（一）“三公”经费财政拨款支出决算总体情况说明</w:t>
      </w:r>
    </w:p>
    <w:p>
      <w:pPr>
        <w:pStyle w:val="2"/>
        <w:spacing w:before="93"/>
        <w:ind w:firstLine="640" w:firstLineChars="200"/>
        <w:rPr>
          <w:rFonts w:hAnsi="Calibri" w:cs="仿宋"/>
          <w:color w:val="000000"/>
          <w:sz w:val="32"/>
          <w:szCs w:val="32"/>
        </w:rPr>
      </w:pPr>
      <w:r>
        <w:rPr>
          <w:rFonts w:hint="eastAsia" w:hAnsi="Calibri" w:cs="仿宋"/>
          <w:color w:val="000000"/>
          <w:sz w:val="32"/>
          <w:szCs w:val="32"/>
        </w:rPr>
        <w:t>2021年“三公”经费财政拨款支出决算为0万元，较上年无变化。</w:t>
      </w:r>
    </w:p>
    <w:p>
      <w:pPr>
        <w:pStyle w:val="2"/>
        <w:spacing w:before="93"/>
        <w:ind w:firstLine="642" w:firstLineChars="200"/>
        <w:rPr>
          <w:rFonts w:ascii="仿宋" w:hAnsi="仿宋" w:eastAsia="仿宋"/>
          <w:b/>
          <w:kern w:val="2"/>
          <w:sz w:val="32"/>
          <w:szCs w:val="32"/>
        </w:rPr>
      </w:pPr>
      <w:r>
        <w:rPr>
          <w:rFonts w:hint="eastAsia" w:ascii="仿宋" w:hAnsi="仿宋" w:eastAsia="仿宋"/>
          <w:b/>
          <w:kern w:val="2"/>
          <w:sz w:val="32"/>
          <w:szCs w:val="32"/>
        </w:rPr>
        <w:t>（二）“三公”经费财政拨款支出决算具体情况说明</w:t>
      </w:r>
    </w:p>
    <w:p>
      <w:pPr>
        <w:pStyle w:val="2"/>
        <w:spacing w:before="93"/>
        <w:ind w:firstLine="640" w:firstLineChars="200"/>
        <w:rPr>
          <w:rFonts w:hAnsi="Calibri" w:cs="仿宋"/>
          <w:color w:val="000000"/>
          <w:sz w:val="32"/>
          <w:szCs w:val="32"/>
        </w:rPr>
      </w:pPr>
      <w:r>
        <w:rPr>
          <w:rFonts w:hint="eastAsia" w:hAnsi="Calibri" w:cs="仿宋"/>
          <w:color w:val="000000"/>
          <w:sz w:val="32"/>
          <w:szCs w:val="32"/>
        </w:rPr>
        <w:t>2021年“三公”经费财政拨款支出决算中，因公出国（境）费支出决算0万元；公务用车购置及运行维护费支出决算0万元；公务接待费支出决算0万元。具体情况如下：</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1.因公出国（境）经费支出</w:t>
      </w:r>
      <w:r>
        <w:rPr>
          <w:rFonts w:hint="eastAsia" w:hAnsi="Calibri" w:cs="仿宋"/>
          <w:color w:val="000000"/>
          <w:sz w:val="32"/>
          <w:szCs w:val="32"/>
        </w:rPr>
        <w:t>0万元，较上年无变化。</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2.公务用车购置及运行维护费支出</w:t>
      </w:r>
      <w:r>
        <w:rPr>
          <w:rFonts w:hint="eastAsia" w:hAnsi="Calibri" w:cs="仿宋"/>
          <w:color w:val="000000"/>
          <w:sz w:val="32"/>
          <w:szCs w:val="32"/>
        </w:rPr>
        <w:t>0万元，较上年无变化。其中：</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公务用车购置支出</w:t>
      </w:r>
      <w:r>
        <w:rPr>
          <w:rFonts w:hint="eastAsia" w:hAnsi="Calibri" w:cs="仿宋"/>
          <w:color w:val="000000"/>
          <w:sz w:val="32"/>
          <w:szCs w:val="32"/>
        </w:rPr>
        <w:t>0万元。全年按规定更新购置公务用车0辆。</w:t>
      </w:r>
      <w:r>
        <w:rPr>
          <w:rFonts w:hint="eastAsia" w:hAnsi="Calibri" w:cs="仿宋"/>
          <w:b/>
          <w:bCs/>
          <w:color w:val="000000"/>
          <w:sz w:val="32"/>
          <w:szCs w:val="32"/>
        </w:rPr>
        <w:t>公务用车运行维护费支出</w:t>
      </w:r>
      <w:r>
        <w:rPr>
          <w:rFonts w:hint="eastAsia" w:hAnsi="Calibri" w:cs="仿宋"/>
          <w:color w:val="000000"/>
          <w:sz w:val="32"/>
          <w:szCs w:val="32"/>
        </w:rPr>
        <w:t>0万元。</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3.公务接待费支出</w:t>
      </w:r>
      <w:r>
        <w:rPr>
          <w:rFonts w:hint="eastAsia" w:hAnsi="Calibri" w:cs="仿宋"/>
          <w:color w:val="000000"/>
          <w:sz w:val="32"/>
          <w:szCs w:val="32"/>
        </w:rPr>
        <w:t>0万元，较上年无变化。其中:</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国内公务接待支出</w:t>
      </w:r>
      <w:r>
        <w:rPr>
          <w:rFonts w:hint="eastAsia" w:hAnsi="Calibri" w:cs="仿宋"/>
          <w:color w:val="000000"/>
          <w:sz w:val="32"/>
          <w:szCs w:val="32"/>
        </w:rPr>
        <w:t>0万元。国内公务接待0批次，0人次，共计支出0万元。</w:t>
      </w:r>
    </w:p>
    <w:p>
      <w:pPr>
        <w:pStyle w:val="2"/>
        <w:spacing w:before="93"/>
        <w:ind w:firstLine="642" w:firstLineChars="200"/>
        <w:rPr>
          <w:rFonts w:hAnsi="Calibri" w:cs="仿宋"/>
          <w:color w:val="000000"/>
          <w:sz w:val="32"/>
          <w:szCs w:val="32"/>
        </w:rPr>
      </w:pPr>
      <w:r>
        <w:rPr>
          <w:rFonts w:hint="eastAsia" w:hAnsi="Calibri" w:cs="仿宋"/>
          <w:b/>
          <w:bCs/>
          <w:color w:val="000000"/>
          <w:sz w:val="32"/>
          <w:szCs w:val="32"/>
        </w:rPr>
        <w:t>外事接待支出</w:t>
      </w:r>
      <w:r>
        <w:rPr>
          <w:rFonts w:hint="eastAsia" w:hAnsi="Calibri" w:cs="仿宋"/>
          <w:color w:val="000000"/>
          <w:sz w:val="32"/>
          <w:szCs w:val="32"/>
        </w:rPr>
        <w:t>0万元，外事接待0批次，0人，共计支出0万元。</w:t>
      </w:r>
    </w:p>
    <w:bookmarkEnd w:id="82"/>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83"/>
      <w:bookmarkEnd w:id="84"/>
      <w:bookmarkEnd w:id="85"/>
      <w:bookmarkEnd w:id="8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1"/>
        </w:numPr>
        <w:spacing w:line="600" w:lineRule="exact"/>
        <w:ind w:firstLine="640"/>
        <w:outlineLvl w:val="1"/>
        <w:rPr>
          <w:rStyle w:val="27"/>
          <w:rFonts w:ascii="黑体" w:hAnsi="黑体" w:eastAsia="黑体"/>
          <w:b w:val="0"/>
        </w:rPr>
      </w:pPr>
      <w:bookmarkStart w:id="87" w:name="_Toc15396611"/>
      <w:bookmarkStart w:id="88" w:name="_Toc1345237038_WPSOffice_Level2"/>
      <w:bookmarkStart w:id="89" w:name="_Toc232232125_WPSOffice_Level2"/>
      <w:bookmarkStart w:id="90" w:name="_Toc15377219"/>
      <w:r>
        <w:rPr>
          <w:rStyle w:val="27"/>
          <w:rFonts w:hint="eastAsia" w:ascii="黑体" w:hAnsi="黑体" w:eastAsia="黑体"/>
          <w:b w:val="0"/>
        </w:rPr>
        <w:t>国有资本经营预算支出决算情况说明</w:t>
      </w:r>
      <w:bookmarkEnd w:id="87"/>
      <w:bookmarkEnd w:id="88"/>
      <w:bookmarkEnd w:id="89"/>
      <w:bookmarkEnd w:id="9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1"/>
        </w:numPr>
        <w:spacing w:line="600" w:lineRule="exact"/>
        <w:ind w:firstLine="640"/>
        <w:outlineLvl w:val="1"/>
        <w:rPr>
          <w:rStyle w:val="27"/>
          <w:rFonts w:ascii="黑体" w:hAnsi="黑体" w:eastAsia="黑体"/>
          <w:b w:val="0"/>
        </w:rPr>
      </w:pPr>
      <w:bookmarkStart w:id="91" w:name="_Toc693253490_WPSOffice_Level2"/>
      <w:bookmarkStart w:id="92" w:name="_Toc15377221"/>
      <w:bookmarkStart w:id="93" w:name="_Toc873386028_WPSOffice_Level2"/>
      <w:bookmarkStart w:id="94" w:name="_Toc15396612"/>
      <w:r>
        <w:rPr>
          <w:rStyle w:val="27"/>
          <w:rFonts w:hint="eastAsia" w:ascii="黑体" w:hAnsi="黑体" w:eastAsia="黑体"/>
          <w:b w:val="0"/>
        </w:rPr>
        <w:t>其他重要事项的情况说明</w:t>
      </w:r>
      <w:bookmarkEnd w:id="91"/>
      <w:bookmarkEnd w:id="92"/>
      <w:bookmarkEnd w:id="93"/>
      <w:bookmarkEnd w:id="94"/>
    </w:p>
    <w:p>
      <w:pPr>
        <w:spacing w:line="600" w:lineRule="exact"/>
        <w:ind w:firstLine="642" w:firstLineChars="200"/>
        <w:outlineLvl w:val="2"/>
        <w:rPr>
          <w:rFonts w:ascii="仿宋" w:hAnsi="仿宋" w:eastAsia="仿宋"/>
          <w:sz w:val="32"/>
          <w:szCs w:val="32"/>
        </w:rPr>
      </w:pPr>
      <w:bookmarkStart w:id="95" w:name="_Toc15377222"/>
      <w:bookmarkStart w:id="96" w:name="_Toc2037673724_WPSOffice_Level3"/>
      <w:r>
        <w:rPr>
          <w:rFonts w:hint="eastAsia" w:ascii="仿宋" w:hAnsi="仿宋" w:eastAsia="仿宋"/>
          <w:b/>
          <w:sz w:val="32"/>
          <w:szCs w:val="32"/>
        </w:rPr>
        <w:t>（一）机关运行经费支出情况</w:t>
      </w:r>
      <w:bookmarkEnd w:id="95"/>
      <w:bookmarkEnd w:id="96"/>
    </w:p>
    <w:p>
      <w:pPr>
        <w:autoSpaceDE w:val="0"/>
        <w:autoSpaceDN w:val="0"/>
        <w:adjustRightInd w:val="0"/>
        <w:spacing w:line="560" w:lineRule="exact"/>
        <w:ind w:firstLine="640" w:firstLineChars="200"/>
        <w:rPr>
          <w:rFonts w:ascii="仿宋_GB2312" w:hAnsi="仿宋_GB2312" w:eastAsia="仿宋_GB2312" w:cs="仿宋_GB2312"/>
          <w:color w:val="000000"/>
          <w:kern w:val="0"/>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hAnsi="仿宋_GB2312" w:eastAsia="仿宋_GB2312" w:cs="仿宋_GB2312"/>
          <w:color w:val="000000"/>
          <w:kern w:val="0"/>
          <w:sz w:val="32"/>
          <w:szCs w:val="32"/>
        </w:rPr>
        <w:t>PPP中心无机关运行经费。</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7" w:name="_Toc15377223"/>
      <w:bookmarkStart w:id="98" w:name="_Toc716480253_WPSOffice_Level3"/>
      <w:r>
        <w:rPr>
          <w:rFonts w:hint="eastAsia" w:ascii="仿宋" w:hAnsi="仿宋" w:eastAsia="仿宋"/>
          <w:b/>
          <w:sz w:val="32"/>
          <w:szCs w:val="32"/>
        </w:rPr>
        <w:t>（二）政府采购支出情况</w:t>
      </w:r>
      <w:bookmarkEnd w:id="97"/>
      <w:bookmarkEnd w:id="9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hAnsi="仿宋_GB2312" w:eastAsia="仿宋_GB2312" w:cs="仿宋_GB2312"/>
          <w:color w:val="000000"/>
          <w:kern w:val="0"/>
          <w:sz w:val="32"/>
          <w:szCs w:val="32"/>
        </w:rPr>
        <w:t>PPP中心未发生</w:t>
      </w:r>
      <w:r>
        <w:rPr>
          <w:rFonts w:hint="eastAsia" w:ascii="仿宋_GB2312" w:eastAsia="仿宋_GB2312"/>
          <w:sz w:val="32"/>
          <w:szCs w:val="32"/>
        </w:rPr>
        <w:t>政府采购支出。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9" w:name="_Toc15377224"/>
      <w:bookmarkStart w:id="100" w:name="_Toc1372400823_WPSOffice_Level3"/>
      <w:r>
        <w:rPr>
          <w:rFonts w:hint="eastAsia" w:ascii="仿宋" w:hAnsi="仿宋" w:eastAsia="仿宋"/>
          <w:b/>
          <w:sz w:val="32"/>
          <w:szCs w:val="32"/>
        </w:rPr>
        <w:t>（三）国有资产占有使用情况</w:t>
      </w:r>
      <w:bookmarkEnd w:id="99"/>
      <w:bookmarkEnd w:id="10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hAnsi="仿宋_GB2312" w:eastAsia="仿宋_GB2312" w:cs="仿宋_GB2312"/>
          <w:color w:val="000000"/>
          <w:kern w:val="0"/>
          <w:sz w:val="32"/>
          <w:szCs w:val="32"/>
        </w:rPr>
        <w:t>截至2021年12月31日，PPP中心共有车辆0辆。单价50万元以上通用设备0台（套），单价100万元以上专用设备0台（套）。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01" w:name="_Toc1483867600_WPSOffice_Level3"/>
      <w:r>
        <w:rPr>
          <w:rFonts w:hint="eastAsia" w:ascii="仿宋" w:hAnsi="仿宋" w:eastAsia="仿宋"/>
          <w:b/>
          <w:sz w:val="32"/>
          <w:szCs w:val="32"/>
        </w:rPr>
        <w:t>（四）预算绩效管理情况</w:t>
      </w:r>
      <w:bookmarkEnd w:id="101"/>
    </w:p>
    <w:p>
      <w:pPr>
        <w:spacing w:line="600" w:lineRule="exact"/>
        <w:ind w:firstLine="640"/>
        <w:rPr>
          <w:rStyle w:val="16"/>
          <w:rFonts w:ascii="仿宋_GB2312" w:hAnsi="仿宋_GB2312" w:eastAsia="仿宋_GB2312" w:cs="仿宋_GB2312"/>
          <w:b w:val="0"/>
          <w:bCs/>
          <w:color w:val="000000"/>
          <w:sz w:val="32"/>
          <w:szCs w:val="32"/>
        </w:rPr>
      </w:pPr>
      <w:r>
        <w:rPr>
          <w:rFonts w:hint="eastAsia" w:ascii="仿宋_GB2312" w:hAnsi="仿宋_GB2312" w:eastAsia="仿宋_GB2312" w:cs="仿宋_GB2312"/>
          <w:color w:val="000000"/>
          <w:sz w:val="32"/>
          <w:szCs w:val="32"/>
        </w:rPr>
        <w:t>本单位2021年无100万元以上项目，根据预算绩效管理要求，</w:t>
      </w:r>
      <w:r>
        <w:rPr>
          <w:rStyle w:val="16"/>
          <w:rFonts w:hint="eastAsia" w:ascii="仿宋_GB2312" w:hAnsi="仿宋_GB2312" w:eastAsia="仿宋_GB2312" w:cs="仿宋_GB2312"/>
          <w:b w:val="0"/>
          <w:bCs/>
          <w:color w:val="000000"/>
          <w:sz w:val="32"/>
          <w:szCs w:val="32"/>
        </w:rPr>
        <w:t>未开展预算事前绩效评估，未编制绩效目标，未开展绩效监控和绩效目标评价。</w:t>
      </w:r>
    </w:p>
    <w:p>
      <w:pPr>
        <w:spacing w:line="560" w:lineRule="exact"/>
        <w:ind w:firstLine="640" w:firstLineChars="200"/>
        <w:rPr>
          <w:rFonts w:ascii="仿宋_GB2312" w:hAnsi="仿宋_GB2312" w:eastAsia="仿宋_GB2312" w:cs="仿宋_GB2312"/>
          <w:sz w:val="32"/>
          <w:szCs w:val="32"/>
        </w:rPr>
      </w:pPr>
    </w:p>
    <w:p>
      <w:pPr>
        <w:pStyle w:val="2"/>
        <w:spacing w:before="93"/>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18"/>
          <w:rFonts w:ascii="黑体" w:hAnsi="黑体" w:eastAsia="黑体"/>
          <w:b w:val="0"/>
        </w:rPr>
      </w:pPr>
      <w:bookmarkStart w:id="102" w:name="_Toc180405741_WPSOffice_Level1"/>
      <w:bookmarkStart w:id="103" w:name="_Toc15377225"/>
      <w:bookmarkStart w:id="104" w:name="_Toc15396613"/>
      <w:bookmarkStart w:id="105" w:name="_Toc1268367063_WPSOffice_Level1"/>
      <w:r>
        <w:rPr>
          <w:rFonts w:hint="eastAsia" w:ascii="黑体" w:hAnsi="黑体" w:eastAsia="黑体"/>
          <w:sz w:val="44"/>
          <w:szCs w:val="44"/>
        </w:rPr>
        <w:t>名</w:t>
      </w:r>
      <w:r>
        <w:rPr>
          <w:rStyle w:val="18"/>
          <w:rFonts w:hint="eastAsia" w:ascii="黑体" w:hAnsi="黑体" w:eastAsia="黑体"/>
          <w:b w:val="0"/>
        </w:rPr>
        <w:t>词解释</w:t>
      </w:r>
      <w:bookmarkEnd w:id="102"/>
      <w:bookmarkEnd w:id="103"/>
      <w:bookmarkEnd w:id="104"/>
      <w:bookmarkEnd w:id="105"/>
    </w:p>
    <w:p>
      <w:pPr>
        <w:spacing w:line="600" w:lineRule="exact"/>
        <w:jc w:val="left"/>
        <w:rPr>
          <w:rFonts w:ascii="宋体"/>
          <w:b/>
          <w:sz w:val="44"/>
          <w:szCs w:val="44"/>
        </w:rPr>
      </w:pPr>
    </w:p>
    <w:p>
      <w:pPr>
        <w:pStyle w:val="25"/>
        <w:spacing w:line="560" w:lineRule="exact"/>
        <w:ind w:firstLine="640" w:firstLineChars="200"/>
        <w:jc w:val="both"/>
        <w:rPr>
          <w:rFonts w:ascii="仿宋_GB2312" w:eastAsia="仿宋_GB2312"/>
          <w:sz w:val="32"/>
          <w:szCs w:val="32"/>
        </w:rPr>
      </w:pPr>
      <w:bookmarkStart w:id="106" w:name="_Toc15377226"/>
      <w:r>
        <w:rPr>
          <w:rFonts w:hint="eastAsia" w:ascii="仿宋_GB2312" w:eastAsia="仿宋_GB2312"/>
          <w:sz w:val="32"/>
          <w:szCs w:val="32"/>
        </w:rPr>
        <w:t>1.财政拨款收入：指单位从同级财政部门取得的财政预算资金。</w:t>
      </w:r>
    </w:p>
    <w:p>
      <w:pPr>
        <w:pStyle w:val="25"/>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2.一般公共服务（类）财政事务（款）事业运行（项）：指本单位用于保障机构正常运行、开展日常工作的基本支出。</w:t>
      </w:r>
      <w:r>
        <w:rPr>
          <w:rFonts w:hint="eastAsia" w:ascii="仿宋_GB2312" w:eastAsia="仿宋_GB2312"/>
          <w:sz w:val="32"/>
          <w:szCs w:val="32"/>
        </w:rPr>
        <w:br w:type="textWrapping"/>
      </w:r>
      <w:r>
        <w:rPr>
          <w:rFonts w:hint="eastAsia" w:ascii="仿宋_GB2312" w:eastAsia="仿宋_GB2312"/>
          <w:sz w:val="32"/>
          <w:szCs w:val="32"/>
        </w:rPr>
        <w:t xml:space="preserve">    3.一般公共服务（类）财政事务（款）其他财政事务支出（项）：指开展其他财政事务方面专门性工作任务的项目支出。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4.社会保障和就业（类）行政事业单位养老支出（款）机关事业单位基本养老保险缴费支出（项）：指单位实施养老保险制度由单位缴纳的养老保险费的支出。</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5.社会保障和就业（类）行政事业单位养老支出（款）机关事业单位职业年金缴费支出（项）：指单位实施养老保险制度由单位缴纳的职业年金的支出。</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w:t>
      </w:r>
      <w:r>
        <w:rPr>
          <w:rFonts w:hint="eastAsia" w:ascii="仿宋_GB2312" w:eastAsia="仿宋_GB2312" w:cs="仿宋"/>
          <w:color w:val="000000"/>
          <w:sz w:val="32"/>
          <w:szCs w:val="32"/>
        </w:rPr>
        <w:t>6</w:t>
      </w:r>
      <w:r>
        <w:rPr>
          <w:rFonts w:hint="eastAsia" w:ascii="仿宋_GB2312" w:hAnsi="Calibri" w:eastAsia="仿宋_GB2312" w:cs="仿宋"/>
          <w:color w:val="000000"/>
          <w:sz w:val="32"/>
          <w:szCs w:val="32"/>
        </w:rPr>
        <w:t>.卫生健康（类）行政事业单位医疗（款）事业单位医疗（项）：指事业单位用于单位应缴纳基本医疗保险支出。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7.住房保障（类）住房改革支出（款）住房公积金（项）：指行政事业单位按人力资源和社会保障部、财政部规定的基本工资和津贴补贴以及规定比例为职工缴纳的住房公积金。</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8.住房保障（类）住房改革支出（款）购房补贴（项）：指按房改政策规定的标准，行政事业单位向符合条件职工发放的用于购买住房的补贴。</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9.基本支出：指为保证机构正常运转，完成日常工作任务而发生的人员支出和公用支出。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10.项目支出：指在基本支出之外为完成特定行政任务和事业发展目标所发生的支出。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11.“三公”经费：纳入财政厅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12.机关运行经费：为保障行政单位（含参照公务员法管理的事业单位）运行用于购买货物和服务的各项资金，包括办公及印刷费、邮电费、差旅费、会议费、福利费、日常维修费、一般购置费、办公用房水电费以及其他费用。</w:t>
      </w: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spacing w:line="600" w:lineRule="exact"/>
        <w:jc w:val="center"/>
        <w:outlineLvl w:val="0"/>
        <w:rPr>
          <w:rStyle w:val="18"/>
          <w:rFonts w:ascii="黑体" w:hAnsi="黑体" w:eastAsia="黑体"/>
          <w:b w:val="0"/>
        </w:rPr>
      </w:pPr>
      <w:r>
        <w:rPr>
          <w:rFonts w:ascii="宋体"/>
          <w:b/>
          <w:sz w:val="44"/>
          <w:szCs w:val="44"/>
        </w:rPr>
        <w:br w:type="page"/>
      </w:r>
      <w:bookmarkStart w:id="107" w:name="_Toc724984971_WPSOffice_Level1"/>
      <w:bookmarkStart w:id="108" w:name="_Toc1093575981_WPSOffice_Level1"/>
      <w:bookmarkStart w:id="109" w:name="_Toc15396614"/>
      <w:r>
        <w:rPr>
          <w:rFonts w:hint="eastAsia" w:ascii="黑体" w:hAnsi="黑体" w:eastAsia="黑体"/>
          <w:sz w:val="44"/>
          <w:szCs w:val="44"/>
        </w:rPr>
        <w:t>第</w:t>
      </w:r>
      <w:r>
        <w:rPr>
          <w:rStyle w:val="18"/>
          <w:rFonts w:hint="eastAsia" w:ascii="黑体" w:hAnsi="黑体" w:eastAsia="黑体"/>
          <w:b w:val="0"/>
        </w:rPr>
        <w:t>四部分 附件</w:t>
      </w:r>
      <w:bookmarkEnd w:id="107"/>
      <w:bookmarkEnd w:id="108"/>
      <w:bookmarkEnd w:id="109"/>
    </w:p>
    <w:p>
      <w:pPr>
        <w:spacing w:line="572" w:lineRule="exact"/>
        <w:jc w:val="left"/>
        <w:outlineLvl w:val="0"/>
        <w:rPr>
          <w:rFonts w:ascii="仿宋_GB2312" w:hAnsi="仿宋_GB2312" w:eastAsia="黑体" w:cs="仿宋_GB2312"/>
          <w:sz w:val="32"/>
          <w:szCs w:val="32"/>
        </w:rPr>
      </w:pPr>
      <w:bookmarkStart w:id="110" w:name="_Toc15396618"/>
      <w:r>
        <w:rPr>
          <w:rFonts w:hint="eastAsia" w:ascii="黑体" w:hAnsi="黑体" w:eastAsia="黑体" w:cs="黑体"/>
          <w:sz w:val="32"/>
          <w:szCs w:val="32"/>
        </w:rPr>
        <w:t>附件</w:t>
      </w:r>
      <w:r>
        <w:rPr>
          <w:rFonts w:ascii="黑体" w:hAnsi="黑体" w:eastAsia="黑体" w:cs="黑体"/>
          <w:sz w:val="32"/>
          <w:szCs w:val="32"/>
        </w:rPr>
        <w:t>(</w:t>
      </w:r>
      <w:r>
        <w:rPr>
          <w:rFonts w:hint="eastAsia" w:ascii="黑体" w:hAnsi="黑体" w:eastAsia="黑体" w:cs="黑体"/>
          <w:sz w:val="32"/>
          <w:szCs w:val="32"/>
        </w:rPr>
        <w:t>本单位此表无内容）</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rPr>
          <w:rFonts w:ascii="黑体" w:hAnsi="黑体" w:eastAsia="黑体"/>
          <w:sz w:val="44"/>
          <w:szCs w:val="44"/>
        </w:rPr>
      </w:pPr>
      <w:bookmarkStart w:id="111" w:name="_Toc964664827_WPSOffice_Level1"/>
      <w:bookmarkStart w:id="112" w:name="_Toc2037673724_WPSOffice_Level1"/>
      <w:r>
        <w:rPr>
          <w:rFonts w:hint="eastAsia" w:ascii="黑体" w:hAnsi="黑体" w:eastAsia="黑体"/>
          <w:sz w:val="44"/>
          <w:szCs w:val="44"/>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18"/>
          <w:rFonts w:hint="eastAsia" w:ascii="黑体" w:hAnsi="黑体" w:eastAsia="黑体"/>
          <w:b w:val="0"/>
        </w:rPr>
        <w:t>五部分 附表</w:t>
      </w:r>
      <w:bookmarkEnd w:id="106"/>
      <w:bookmarkEnd w:id="110"/>
      <w:bookmarkEnd w:id="111"/>
      <w:bookmarkEnd w:id="112"/>
      <w:bookmarkStart w:id="113" w:name="_Toc15396619"/>
    </w:p>
    <w:p>
      <w:pPr>
        <w:pStyle w:val="4"/>
        <w:rPr>
          <w:rFonts w:ascii="仿宋" w:hAnsi="仿宋" w:eastAsia="仿宋"/>
        </w:rPr>
      </w:pPr>
      <w:bookmarkStart w:id="114" w:name="_Toc1876618024_WPSOffice_Level2"/>
      <w:bookmarkStart w:id="115" w:name="_Toc7173973_WPSOffice_Level2"/>
      <w:bookmarkStart w:id="116" w:name="_Toc36219811_WPSOffice_Level2"/>
      <w:bookmarkStart w:id="117" w:name="_Toc1231838531_WPSOffice_Level2"/>
      <w:r>
        <w:rPr>
          <w:rFonts w:hint="eastAsia" w:ascii="仿宋" w:hAnsi="仿宋" w:eastAsia="仿宋"/>
          <w:b w:val="0"/>
        </w:rPr>
        <w:t>一、收</w:t>
      </w:r>
      <w:r>
        <w:rPr>
          <w:rStyle w:val="27"/>
          <w:rFonts w:hint="eastAsia" w:ascii="仿宋" w:hAnsi="仿宋" w:eastAsia="仿宋"/>
          <w:b w:val="0"/>
          <w:bCs w:val="0"/>
        </w:rPr>
        <w:t>入支出决算总表</w:t>
      </w:r>
      <w:bookmarkEnd w:id="113"/>
      <w:bookmarkEnd w:id="114"/>
      <w:bookmarkEnd w:id="115"/>
      <w:bookmarkEnd w:id="116"/>
      <w:bookmarkEnd w:id="117"/>
    </w:p>
    <w:p>
      <w:pPr>
        <w:pStyle w:val="4"/>
        <w:rPr>
          <w:rFonts w:ascii="仿宋" w:hAnsi="仿宋" w:eastAsia="仿宋"/>
        </w:rPr>
      </w:pPr>
      <w:bookmarkStart w:id="118" w:name="_Toc177676368_WPSOffice_Level2"/>
      <w:bookmarkStart w:id="119" w:name="_Toc129413714_WPSOffice_Level2"/>
      <w:bookmarkStart w:id="120" w:name="_Toc605720770_WPSOffice_Level2"/>
      <w:bookmarkStart w:id="121" w:name="_Toc1981587259_WPSOffice_Level2"/>
      <w:bookmarkStart w:id="122" w:name="_Toc15396620"/>
      <w:r>
        <w:rPr>
          <w:rFonts w:hint="eastAsia" w:ascii="仿宋" w:hAnsi="仿宋" w:eastAsia="仿宋"/>
          <w:b w:val="0"/>
        </w:rPr>
        <w:t>二、收</w:t>
      </w:r>
      <w:r>
        <w:rPr>
          <w:rStyle w:val="27"/>
          <w:rFonts w:hint="eastAsia" w:ascii="仿宋" w:hAnsi="仿宋" w:eastAsia="仿宋"/>
          <w:b w:val="0"/>
          <w:bCs w:val="0"/>
        </w:rPr>
        <w:t>入决算表</w:t>
      </w:r>
      <w:bookmarkEnd w:id="118"/>
      <w:bookmarkEnd w:id="119"/>
      <w:bookmarkEnd w:id="120"/>
      <w:bookmarkEnd w:id="121"/>
      <w:bookmarkEnd w:id="122"/>
    </w:p>
    <w:p>
      <w:pPr>
        <w:pStyle w:val="4"/>
        <w:rPr>
          <w:rFonts w:ascii="仿宋" w:hAnsi="仿宋" w:eastAsia="仿宋"/>
        </w:rPr>
      </w:pPr>
      <w:bookmarkStart w:id="123" w:name="_Toc2011258992_WPSOffice_Level2"/>
      <w:bookmarkStart w:id="124" w:name="_Toc1616535423_WPSOffice_Level2"/>
      <w:bookmarkStart w:id="125" w:name="_Toc905324101_WPSOffice_Level2"/>
      <w:bookmarkStart w:id="126" w:name="_Toc15396621"/>
      <w:bookmarkStart w:id="127" w:name="_Toc1851336933_WPSOffice_Level2"/>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123"/>
      <w:bookmarkEnd w:id="124"/>
      <w:bookmarkEnd w:id="125"/>
      <w:bookmarkEnd w:id="126"/>
      <w:bookmarkEnd w:id="127"/>
    </w:p>
    <w:p>
      <w:pPr>
        <w:pStyle w:val="4"/>
        <w:rPr>
          <w:rFonts w:ascii="仿宋" w:hAnsi="仿宋" w:eastAsia="仿宋"/>
          <w:b w:val="0"/>
        </w:rPr>
      </w:pPr>
      <w:bookmarkStart w:id="128" w:name="_Toc1728024018_WPSOffice_Level2"/>
      <w:bookmarkStart w:id="129" w:name="_Toc80583805_WPSOffice_Level2"/>
      <w:bookmarkStart w:id="130" w:name="_Toc1964123945_WPSOffice_Level2"/>
      <w:bookmarkStart w:id="131" w:name="_Toc15396622"/>
      <w:bookmarkStart w:id="132" w:name="_Toc866248332_WPSOffice_Level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128"/>
      <w:bookmarkEnd w:id="129"/>
      <w:bookmarkEnd w:id="130"/>
      <w:bookmarkEnd w:id="131"/>
      <w:bookmarkEnd w:id="132"/>
    </w:p>
    <w:p>
      <w:pPr>
        <w:pStyle w:val="4"/>
        <w:rPr>
          <w:rStyle w:val="27"/>
          <w:rFonts w:ascii="仿宋" w:hAnsi="仿宋" w:eastAsia="仿宋"/>
          <w:b w:val="0"/>
          <w:bCs w:val="0"/>
        </w:rPr>
      </w:pPr>
      <w:bookmarkStart w:id="133" w:name="_Toc1123857356_WPSOffice_Level2"/>
      <w:bookmarkStart w:id="134" w:name="_Toc1085159704_WPSOffice_Level2"/>
      <w:bookmarkStart w:id="135" w:name="_Toc15396623"/>
      <w:bookmarkStart w:id="136" w:name="_Toc1269578171_WPSOffice_Level2"/>
      <w:bookmarkStart w:id="137" w:name="_Toc1156049013_WPSOffice_Level2"/>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133"/>
      <w:bookmarkEnd w:id="134"/>
      <w:bookmarkEnd w:id="135"/>
      <w:bookmarkEnd w:id="136"/>
      <w:bookmarkEnd w:id="137"/>
      <w:bookmarkStart w:id="138" w:name="_Toc15396624"/>
    </w:p>
    <w:p>
      <w:pPr>
        <w:pStyle w:val="4"/>
        <w:rPr>
          <w:rFonts w:ascii="仿宋" w:hAnsi="仿宋" w:eastAsia="仿宋"/>
        </w:rPr>
      </w:pPr>
      <w:bookmarkStart w:id="139" w:name="_Toc464474111_WPSOffice_Level2"/>
      <w:bookmarkStart w:id="140" w:name="_Toc1799495783_WPSOffice_Level2"/>
      <w:bookmarkStart w:id="141" w:name="_Toc1043329152_WPSOffice_Level2"/>
      <w:bookmarkStart w:id="142" w:name="_Toc727914566_WPSOffice_Level2"/>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138"/>
      <w:bookmarkEnd w:id="139"/>
      <w:bookmarkEnd w:id="140"/>
      <w:bookmarkEnd w:id="141"/>
      <w:bookmarkEnd w:id="142"/>
    </w:p>
    <w:p>
      <w:pPr>
        <w:pStyle w:val="4"/>
        <w:rPr>
          <w:rFonts w:ascii="仿宋" w:hAnsi="仿宋" w:eastAsia="仿宋"/>
        </w:rPr>
      </w:pPr>
      <w:bookmarkStart w:id="143" w:name="_Toc15396625"/>
      <w:bookmarkStart w:id="144" w:name="_Toc661831518_WPSOffice_Level2"/>
      <w:bookmarkStart w:id="145" w:name="_Toc1403452926_WPSOffice_Level2"/>
      <w:bookmarkStart w:id="146" w:name="_Toc2000411841_WPSOffice_Level2"/>
      <w:bookmarkStart w:id="147" w:name="_Toc1814664469_WPSOffice_Level2"/>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143"/>
      <w:bookmarkEnd w:id="144"/>
      <w:bookmarkEnd w:id="145"/>
      <w:bookmarkEnd w:id="146"/>
      <w:bookmarkEnd w:id="147"/>
    </w:p>
    <w:p>
      <w:pPr>
        <w:pStyle w:val="4"/>
        <w:rPr>
          <w:rFonts w:ascii="仿宋" w:hAnsi="仿宋" w:eastAsia="仿宋"/>
        </w:rPr>
      </w:pPr>
      <w:bookmarkStart w:id="148" w:name="_Toc364022204_WPSOffice_Level2"/>
      <w:bookmarkStart w:id="149" w:name="_Toc15396626"/>
      <w:bookmarkStart w:id="150" w:name="_Toc2059074135_WPSOffice_Level2"/>
      <w:bookmarkStart w:id="151" w:name="_Toc1963568286_WPSOffice_Level2"/>
      <w:bookmarkStart w:id="152" w:name="_Toc511183513_WPSOffice_Level2"/>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148"/>
      <w:bookmarkEnd w:id="149"/>
      <w:bookmarkEnd w:id="150"/>
      <w:bookmarkEnd w:id="151"/>
      <w:bookmarkEnd w:id="152"/>
    </w:p>
    <w:p>
      <w:pPr>
        <w:pStyle w:val="4"/>
        <w:rPr>
          <w:rFonts w:ascii="仿宋" w:hAnsi="仿宋" w:eastAsia="仿宋"/>
        </w:rPr>
      </w:pPr>
      <w:bookmarkStart w:id="153" w:name="_Toc706573823_WPSOffice_Level2"/>
      <w:bookmarkStart w:id="154" w:name="_Toc15396627"/>
      <w:bookmarkStart w:id="155" w:name="_Toc1086979173_WPSOffice_Level2"/>
      <w:bookmarkStart w:id="156" w:name="_Toc1242921787_WPSOffice_Level2"/>
      <w:bookmarkStart w:id="157" w:name="_Toc153731702_WPSOffice_Level2"/>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153"/>
      <w:bookmarkEnd w:id="154"/>
      <w:bookmarkEnd w:id="155"/>
      <w:bookmarkEnd w:id="156"/>
      <w:bookmarkEnd w:id="157"/>
    </w:p>
    <w:p>
      <w:pPr>
        <w:pStyle w:val="4"/>
        <w:rPr>
          <w:rFonts w:ascii="仿宋" w:hAnsi="仿宋" w:eastAsia="仿宋"/>
        </w:rPr>
      </w:pPr>
      <w:bookmarkStart w:id="158" w:name="_Toc2096293199_WPSOffice_Level2"/>
      <w:bookmarkStart w:id="159" w:name="_Toc406767406_WPSOffice_Level2"/>
      <w:bookmarkStart w:id="160" w:name="_Toc46149698_WPSOffice_Level2"/>
      <w:bookmarkStart w:id="161" w:name="_Toc1489574103_WPSOffice_Level2"/>
      <w:bookmarkStart w:id="162"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158"/>
      <w:bookmarkEnd w:id="159"/>
      <w:bookmarkEnd w:id="160"/>
      <w:bookmarkEnd w:id="161"/>
      <w:bookmarkEnd w:id="162"/>
    </w:p>
    <w:p>
      <w:pPr>
        <w:pStyle w:val="4"/>
        <w:rPr>
          <w:rFonts w:ascii="仿宋" w:hAnsi="仿宋" w:eastAsia="仿宋"/>
        </w:rPr>
      </w:pPr>
      <w:bookmarkStart w:id="163" w:name="_Toc1302659849_WPSOffice_Level2"/>
      <w:bookmarkStart w:id="164" w:name="_Toc155740194_WPSOffice_Level2"/>
      <w:bookmarkStart w:id="165" w:name="_Toc1228146190_WPSOffice_Level2"/>
      <w:bookmarkStart w:id="166" w:name="_Toc1325444362_WPSOffice_Level2"/>
      <w:bookmarkStart w:id="167"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163"/>
      <w:bookmarkEnd w:id="164"/>
      <w:bookmarkEnd w:id="165"/>
      <w:bookmarkEnd w:id="166"/>
      <w:bookmarkEnd w:id="167"/>
    </w:p>
    <w:p>
      <w:pPr>
        <w:pStyle w:val="4"/>
        <w:rPr>
          <w:rFonts w:ascii="仿宋" w:hAnsi="仿宋" w:eastAsia="仿宋"/>
        </w:rPr>
      </w:pPr>
      <w:bookmarkStart w:id="168" w:name="_Toc1759494631_WPSOffice_Level2"/>
      <w:bookmarkStart w:id="169" w:name="_Toc657684576_WPSOffice_Level2"/>
      <w:bookmarkStart w:id="170" w:name="_Toc795743230_WPSOffice_Level2"/>
      <w:bookmarkStart w:id="171" w:name="_Toc15396630"/>
      <w:bookmarkStart w:id="172" w:name="_Toc1054308602_WPSOffice_Level2"/>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168"/>
      <w:bookmarkEnd w:id="169"/>
      <w:bookmarkEnd w:id="170"/>
      <w:bookmarkEnd w:id="171"/>
      <w:bookmarkEnd w:id="172"/>
    </w:p>
    <w:p>
      <w:pPr>
        <w:pStyle w:val="4"/>
        <w:rPr>
          <w:rStyle w:val="27"/>
          <w:rFonts w:ascii="仿宋" w:hAnsi="仿宋" w:eastAsia="仿宋"/>
          <w:b w:val="0"/>
          <w:bCs w:val="0"/>
        </w:rPr>
      </w:pPr>
      <w:bookmarkStart w:id="173" w:name="_Toc607004709_WPSOffice_Level2"/>
      <w:bookmarkStart w:id="174" w:name="_Toc4073383_WPSOffice_Level2"/>
      <w:bookmarkStart w:id="175" w:name="_Toc15396631"/>
      <w:bookmarkStart w:id="176" w:name="_Toc861684996_WPSOffice_Level2"/>
      <w:bookmarkStart w:id="177" w:name="_Toc1174035631_WPSOffice_Level2"/>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173"/>
      <w:bookmarkEnd w:id="174"/>
      <w:bookmarkEnd w:id="175"/>
      <w:bookmarkEnd w:id="176"/>
      <w:bookmarkEnd w:id="177"/>
    </w:p>
    <w:p>
      <w:pPr>
        <w:rPr>
          <w:rFonts w:eastAsia="仿宋"/>
        </w:rPr>
      </w:pPr>
      <w:bookmarkStart w:id="178" w:name="_Toc1907082086_WPSOffice_Level2"/>
      <w:bookmarkStart w:id="179" w:name="_Toc1608311062_WPSOffice_Level2"/>
      <w:bookmarkStart w:id="180" w:name="_Toc2041174733_WPSOffice_Level2"/>
      <w:bookmarkStart w:id="181" w:name="_Toc728943030_WPSOffice_Level2"/>
      <w:r>
        <w:rPr>
          <w:rStyle w:val="27"/>
          <w:rFonts w:hint="eastAsia" w:ascii="仿宋" w:hAnsi="仿宋" w:eastAsia="仿宋"/>
          <w:b w:val="0"/>
          <w:bCs w:val="0"/>
        </w:rPr>
        <w:t>十四、国有资本经营预算财政拨款支出决算表</w:t>
      </w:r>
      <w:bookmarkEnd w:id="178"/>
      <w:bookmarkEnd w:id="179"/>
      <w:bookmarkEnd w:id="180"/>
      <w:bookmarkEnd w:id="18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16</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47DC"/>
    <w:rsid w:val="00A45BB7"/>
    <w:rsid w:val="00A56DF2"/>
    <w:rsid w:val="00A56E6E"/>
    <w:rsid w:val="00A67AB5"/>
    <w:rsid w:val="00A733B2"/>
    <w:rsid w:val="00A741C2"/>
    <w:rsid w:val="00A91760"/>
    <w:rsid w:val="00A93B00"/>
    <w:rsid w:val="00A93C21"/>
    <w:rsid w:val="00AB64C9"/>
    <w:rsid w:val="00AC3C6A"/>
    <w:rsid w:val="00AC7A51"/>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4E97"/>
    <w:rsid w:val="00F602DF"/>
    <w:rsid w:val="00F754A1"/>
    <w:rsid w:val="00F81FD9"/>
    <w:rsid w:val="00F841AA"/>
    <w:rsid w:val="00F84A94"/>
    <w:rsid w:val="00F87E96"/>
    <w:rsid w:val="00FA23E8"/>
    <w:rsid w:val="00FD3CC1"/>
    <w:rsid w:val="00FF1E02"/>
    <w:rsid w:val="00FF30B4"/>
    <w:rsid w:val="0A2032A3"/>
    <w:rsid w:val="0B8A37D8"/>
    <w:rsid w:val="0BBF55BB"/>
    <w:rsid w:val="0EE52123"/>
    <w:rsid w:val="10C055FF"/>
    <w:rsid w:val="118107EC"/>
    <w:rsid w:val="11DD6519"/>
    <w:rsid w:val="15EC9E47"/>
    <w:rsid w:val="16BB723D"/>
    <w:rsid w:val="18015F3F"/>
    <w:rsid w:val="19AF85C8"/>
    <w:rsid w:val="1AE5BEA9"/>
    <w:rsid w:val="1BE8440E"/>
    <w:rsid w:val="1D155CEE"/>
    <w:rsid w:val="1EEA9320"/>
    <w:rsid w:val="1EFF804F"/>
    <w:rsid w:val="1FD2F364"/>
    <w:rsid w:val="1FF7FC9A"/>
    <w:rsid w:val="20F57F95"/>
    <w:rsid w:val="240371BF"/>
    <w:rsid w:val="25C741E6"/>
    <w:rsid w:val="27842671"/>
    <w:rsid w:val="27DB99E7"/>
    <w:rsid w:val="29FD04D3"/>
    <w:rsid w:val="2ABE7A3E"/>
    <w:rsid w:val="2AED2838"/>
    <w:rsid w:val="2EFA178C"/>
    <w:rsid w:val="2F377860"/>
    <w:rsid w:val="30B46D73"/>
    <w:rsid w:val="319F7F4E"/>
    <w:rsid w:val="355A6CC9"/>
    <w:rsid w:val="37FB131F"/>
    <w:rsid w:val="37FD26D8"/>
    <w:rsid w:val="39AE70AB"/>
    <w:rsid w:val="3ABF0B2F"/>
    <w:rsid w:val="3BDF59D1"/>
    <w:rsid w:val="3BF699CF"/>
    <w:rsid w:val="3BFFE42F"/>
    <w:rsid w:val="3C0C0783"/>
    <w:rsid w:val="3CFFB216"/>
    <w:rsid w:val="3D5F6F55"/>
    <w:rsid w:val="3DFF6C16"/>
    <w:rsid w:val="3EE312BB"/>
    <w:rsid w:val="3F754FCD"/>
    <w:rsid w:val="3F9F3A96"/>
    <w:rsid w:val="3FB338E5"/>
    <w:rsid w:val="3FB93D1B"/>
    <w:rsid w:val="3FBF709F"/>
    <w:rsid w:val="3FD7446C"/>
    <w:rsid w:val="3FD7CFDC"/>
    <w:rsid w:val="3FF3A701"/>
    <w:rsid w:val="3FFE8CFD"/>
    <w:rsid w:val="493C27E9"/>
    <w:rsid w:val="496F39ED"/>
    <w:rsid w:val="49FF41D3"/>
    <w:rsid w:val="4BE068DB"/>
    <w:rsid w:val="4BF6002B"/>
    <w:rsid w:val="4ECE2238"/>
    <w:rsid w:val="4F3AFDA3"/>
    <w:rsid w:val="4FDF6192"/>
    <w:rsid w:val="51DB4B86"/>
    <w:rsid w:val="51F90AD6"/>
    <w:rsid w:val="55333C3E"/>
    <w:rsid w:val="559D32AC"/>
    <w:rsid w:val="57DFF2D2"/>
    <w:rsid w:val="587E52C9"/>
    <w:rsid w:val="5B7EA197"/>
    <w:rsid w:val="5BFFABAE"/>
    <w:rsid w:val="5CF7C123"/>
    <w:rsid w:val="5DF6B118"/>
    <w:rsid w:val="5EEAADD7"/>
    <w:rsid w:val="5FDF9734"/>
    <w:rsid w:val="5FE3884F"/>
    <w:rsid w:val="5FFFF850"/>
    <w:rsid w:val="62799B4D"/>
    <w:rsid w:val="64CA39A1"/>
    <w:rsid w:val="658EFE32"/>
    <w:rsid w:val="667FB9E4"/>
    <w:rsid w:val="6796E55D"/>
    <w:rsid w:val="69F6C06F"/>
    <w:rsid w:val="6AE23042"/>
    <w:rsid w:val="6AF72050"/>
    <w:rsid w:val="6AFFD28E"/>
    <w:rsid w:val="6C4A05C8"/>
    <w:rsid w:val="6CFEE39F"/>
    <w:rsid w:val="6D9F4043"/>
    <w:rsid w:val="6DAF89C7"/>
    <w:rsid w:val="6DCF5107"/>
    <w:rsid w:val="6E6D1A27"/>
    <w:rsid w:val="6EAD82FB"/>
    <w:rsid w:val="6EDB2803"/>
    <w:rsid w:val="6F7EF694"/>
    <w:rsid w:val="6F7F6C9E"/>
    <w:rsid w:val="6FBD21C6"/>
    <w:rsid w:val="6FBFC80A"/>
    <w:rsid w:val="6FCB9327"/>
    <w:rsid w:val="6FD7AB5A"/>
    <w:rsid w:val="6FFFB367"/>
    <w:rsid w:val="71DD120D"/>
    <w:rsid w:val="71FFF1D4"/>
    <w:rsid w:val="72734D90"/>
    <w:rsid w:val="735FE98F"/>
    <w:rsid w:val="73FDFEA2"/>
    <w:rsid w:val="74691283"/>
    <w:rsid w:val="75FF4938"/>
    <w:rsid w:val="76AF20C3"/>
    <w:rsid w:val="76FD890E"/>
    <w:rsid w:val="77B7015E"/>
    <w:rsid w:val="77FCE52D"/>
    <w:rsid w:val="7927495A"/>
    <w:rsid w:val="7977808B"/>
    <w:rsid w:val="79BF7834"/>
    <w:rsid w:val="79E7B28D"/>
    <w:rsid w:val="7AF52145"/>
    <w:rsid w:val="7AF96591"/>
    <w:rsid w:val="7B5F1E8F"/>
    <w:rsid w:val="7BBBFA57"/>
    <w:rsid w:val="7BDEAB61"/>
    <w:rsid w:val="7BEF196F"/>
    <w:rsid w:val="7BFFB276"/>
    <w:rsid w:val="7E596FDD"/>
    <w:rsid w:val="7E9D9D70"/>
    <w:rsid w:val="7EBAD997"/>
    <w:rsid w:val="7EF7FBFA"/>
    <w:rsid w:val="7F7EDA44"/>
    <w:rsid w:val="7F9F20EE"/>
    <w:rsid w:val="7FB16009"/>
    <w:rsid w:val="7FBD00E4"/>
    <w:rsid w:val="7FD76696"/>
    <w:rsid w:val="7FDB48AC"/>
    <w:rsid w:val="7FF724DF"/>
    <w:rsid w:val="7FF795D4"/>
    <w:rsid w:val="7FFB3DAB"/>
    <w:rsid w:val="8B5D991F"/>
    <w:rsid w:val="9E3A10E2"/>
    <w:rsid w:val="A6EDF059"/>
    <w:rsid w:val="A7BA533F"/>
    <w:rsid w:val="AC50D572"/>
    <w:rsid w:val="ACFF384C"/>
    <w:rsid w:val="AF5B45AA"/>
    <w:rsid w:val="AFD38FE4"/>
    <w:rsid w:val="AFFF8C1C"/>
    <w:rsid w:val="B3DCD15B"/>
    <w:rsid w:val="B9A0B2C7"/>
    <w:rsid w:val="BAFFD645"/>
    <w:rsid w:val="BBA74738"/>
    <w:rsid w:val="BBFFE45A"/>
    <w:rsid w:val="BEAF39DA"/>
    <w:rsid w:val="BEBDA2A4"/>
    <w:rsid w:val="BED351D3"/>
    <w:rsid w:val="BF3BF108"/>
    <w:rsid w:val="BFBF906E"/>
    <w:rsid w:val="BFBFAD19"/>
    <w:rsid w:val="BFDC7100"/>
    <w:rsid w:val="BFEEB5E4"/>
    <w:rsid w:val="BFF7344C"/>
    <w:rsid w:val="CDE61A06"/>
    <w:rsid w:val="CDFFE284"/>
    <w:rsid w:val="CEBED0FE"/>
    <w:rsid w:val="CFF94B5F"/>
    <w:rsid w:val="D6B3A292"/>
    <w:rsid w:val="D6BD9E2F"/>
    <w:rsid w:val="DA7C862D"/>
    <w:rsid w:val="DBEE657C"/>
    <w:rsid w:val="DCBFAD65"/>
    <w:rsid w:val="DCFEF9CF"/>
    <w:rsid w:val="DDDFB512"/>
    <w:rsid w:val="DDFB6C9E"/>
    <w:rsid w:val="DEF78D9F"/>
    <w:rsid w:val="DEF7E493"/>
    <w:rsid w:val="DF371C13"/>
    <w:rsid w:val="DFA7DC87"/>
    <w:rsid w:val="DFB4A126"/>
    <w:rsid w:val="DFDEE116"/>
    <w:rsid w:val="DFFCA898"/>
    <w:rsid w:val="DFFFC460"/>
    <w:rsid w:val="E77F354A"/>
    <w:rsid w:val="E9DDFF74"/>
    <w:rsid w:val="EA772C55"/>
    <w:rsid w:val="EAFB640D"/>
    <w:rsid w:val="EB786B97"/>
    <w:rsid w:val="EBDF91FC"/>
    <w:rsid w:val="EBE9BDEF"/>
    <w:rsid w:val="EBFF42EF"/>
    <w:rsid w:val="EC7E3FB5"/>
    <w:rsid w:val="ED561DD0"/>
    <w:rsid w:val="EEEEA842"/>
    <w:rsid w:val="EF72FD48"/>
    <w:rsid w:val="EFD2FE37"/>
    <w:rsid w:val="F2E1F9D4"/>
    <w:rsid w:val="F38BD0E2"/>
    <w:rsid w:val="F3EFAAA5"/>
    <w:rsid w:val="F3FFD973"/>
    <w:rsid w:val="F4EFC54B"/>
    <w:rsid w:val="F5E6DB41"/>
    <w:rsid w:val="F5EDDEB3"/>
    <w:rsid w:val="F742DFDA"/>
    <w:rsid w:val="F76F137B"/>
    <w:rsid w:val="F7880819"/>
    <w:rsid w:val="F7AE2225"/>
    <w:rsid w:val="F7F8F85D"/>
    <w:rsid w:val="F8D2E14C"/>
    <w:rsid w:val="FB999400"/>
    <w:rsid w:val="FBC2048E"/>
    <w:rsid w:val="FBF94ACC"/>
    <w:rsid w:val="FC9F075A"/>
    <w:rsid w:val="FCBECFB2"/>
    <w:rsid w:val="FCE304A7"/>
    <w:rsid w:val="FCFF0948"/>
    <w:rsid w:val="FD772729"/>
    <w:rsid w:val="FD7E6472"/>
    <w:rsid w:val="FE5C6CF1"/>
    <w:rsid w:val="FE611B5E"/>
    <w:rsid w:val="FEDF0FA1"/>
    <w:rsid w:val="FEDFA0C1"/>
    <w:rsid w:val="FEEF8909"/>
    <w:rsid w:val="FEFF63ED"/>
    <w:rsid w:val="FEFF8663"/>
    <w:rsid w:val="FF5633EE"/>
    <w:rsid w:val="FF5E71FD"/>
    <w:rsid w:val="FF5FEF01"/>
    <w:rsid w:val="FF6FD3B2"/>
    <w:rsid w:val="FF777D29"/>
    <w:rsid w:val="FFBE5AD4"/>
    <w:rsid w:val="FFBF862D"/>
    <w:rsid w:val="FFDDD180"/>
    <w:rsid w:val="FFEB6D6A"/>
    <w:rsid w:val="FFF5EBC3"/>
    <w:rsid w:val="FFF853CE"/>
    <w:rsid w:val="FFFA986F"/>
    <w:rsid w:val="FFFCD448"/>
    <w:rsid w:val="FFFDEB63"/>
    <w:rsid w:val="FFFE2067"/>
    <w:rsid w:val="FFFF3278"/>
    <w:rsid w:val="FFFFE7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标题 1 Char"/>
    <w:basedOn w:val="15"/>
    <w:link w:val="3"/>
    <w:qFormat/>
    <w:uiPriority w:val="9"/>
    <w:rPr>
      <w:rFonts w:ascii="Times New Roman" w:hAnsi="Times New Roman"/>
      <w:b/>
      <w:bCs/>
      <w:kern w:val="44"/>
      <w:sz w:val="44"/>
      <w:szCs w:val="44"/>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图表目录1"/>
    <w:basedOn w:val="1"/>
    <w:next w:val="1"/>
    <w:qFormat/>
    <w:uiPriority w:val="0"/>
    <w:pPr>
      <w:ind w:left="200" w:leftChars="200" w:hanging="200" w:hangingChars="200"/>
    </w:pPr>
    <w:rPr>
      <w:rFonts w:ascii="Calibri" w:hAnsi="Calibri" w:eastAsia="仿宋_GB2312"/>
      <w:sz w:val="32"/>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ome/user/Desktop/2022/&#24037;&#36164;/2021&#24180;&#20915;&#31639;/2021&#20915;&#31639;&#22270;&#34920;.xls"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1.xml"/><Relationship Id="rId1" Type="http://schemas.openxmlformats.org/officeDocument/2006/relationships/oleObject" Target="/home/user/Desktop/2022/&#24037;&#36164;/2021&#24180;&#20915;&#31639;/2021&#20915;&#31639;&#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ome/user/Desktop/2022/&#24037;&#36164;/2021&#24180;&#20915;&#31639;/2021&#20915;&#31639;&#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ome/user/Desktop/2022/&#24037;&#36164;/2021&#24180;&#20915;&#31639;/2021&#20915;&#31639;&#22270;&#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022/&#24037;&#36164;/2021&#24180;&#20915;&#31639;/2021&#20915;&#31639;&#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ome/user/Desktop/2022/&#24037;&#36164;/2021&#24180;&#20915;&#31639;/2021&#20915;&#31639;&#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ome/user/Desktop/2022/&#24037;&#36164;/2021&#24180;&#20915;&#31639;/2021&#20915;&#31639;&#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43224977893806"/>
          <c:y val="0.0871934604904632"/>
          <c:w val="0.880918143921849"/>
          <c:h val="0.76808384646742"/>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[2021决算图表.xls]Sheet1!$A$1:$A$2</c:f>
              <c:strCache>
                <c:ptCount val="2"/>
                <c:pt idx="0">
                  <c:v>2020年</c:v>
                </c:pt>
                <c:pt idx="1">
                  <c:v>2021年</c:v>
                </c:pt>
              </c:strCache>
            </c:strRef>
          </c:cat>
          <c:val>
            <c:numRef>
              <c:f>[2021决算图表.xls]Sheet1!$B$1:$B$2</c:f>
              <c:numCache>
                <c:formatCode>General</c:formatCode>
                <c:ptCount val="2"/>
                <c:pt idx="0">
                  <c:v>169.47</c:v>
                </c:pt>
                <c:pt idx="1">
                  <c:v>163.69</c:v>
                </c:pt>
              </c:numCache>
            </c:numRef>
          </c:val>
        </c:ser>
        <c:dLbls>
          <c:showLegendKey val="false"/>
          <c:showVal val="false"/>
          <c:showCatName val="false"/>
          <c:showSerName val="false"/>
          <c:showPercent val="false"/>
          <c:showBubbleSize val="false"/>
        </c:dLbls>
        <c:gapWidth val="219"/>
        <c:overlap val="-27"/>
        <c:axId val="145135872"/>
        <c:axId val="145735680"/>
      </c:barChart>
      <c:catAx>
        <c:axId val="14513587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735680"/>
        <c:crosses val="autoZero"/>
        <c:auto val="true"/>
        <c:lblAlgn val="ctr"/>
        <c:lblOffset val="100"/>
        <c:noMultiLvlLbl val="false"/>
      </c:catAx>
      <c:valAx>
        <c:axId val="145735680"/>
        <c:scaling>
          <c:orientation val="minMax"/>
          <c:max val="170"/>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fals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135872"/>
        <c:crosses val="autoZero"/>
        <c:crossBetween val="between"/>
        <c:majorUnit val="2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a:ln w="19050">
              <a:noFill/>
            </a:ln>
          </c:spPr>
          <c:explosion val="0"/>
          <c:dPt>
            <c:idx val="0"/>
            <c:bubble3D val="false"/>
            <c:spPr>
              <a:solidFill>
                <a:schemeClr val="accent1"/>
              </a:solidFill>
              <a:ln w="19050">
                <a:noFill/>
              </a:ln>
              <a:effectLst/>
            </c:spPr>
          </c:dPt>
          <c:dLbls>
            <c:delete val="true"/>
          </c:dLbls>
          <c:val>
            <c:numRef>
              <c:f>[2021决算图表.xls]Sheet2!$A$4</c:f>
              <c:numCache>
                <c:formatCode>General</c:formatCode>
                <c:ptCount val="1"/>
                <c:pt idx="0">
                  <c:v>163.69</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zero"/>
    <c:showDLblsOverMax val="false"/>
  </c:chart>
  <c:spPr>
    <a:solidFill>
      <a:schemeClr val="bg1"/>
    </a:solidFill>
    <a:ln w="9525" cap="flat" cmpd="sng" algn="ctr">
      <a:noFill/>
      <a:round/>
    </a:ln>
    <a:effectLst/>
  </c:spPr>
  <c:txPr>
    <a:bodyPr/>
    <a:lstStyle/>
    <a:p>
      <a:pPr>
        <a:defRPr lang="zh-CN"/>
      </a:pPr>
    </a:p>
  </c:txPr>
  <c:externalData r:id="rId1">
    <c:autoUpdate val="false"/>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a:ln w="19050">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Lbls>
            <c:dLbl>
              <c:idx val="0"/>
              <c:layout>
                <c:manualLayout>
                  <c:x val="-0.048562803517522"/>
                  <c:y val="-0.274891305406351"/>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[2021决算图表.xls]Sheet3!$A$2:$A$3</c:f>
              <c:strCache>
                <c:ptCount val="2"/>
                <c:pt idx="0">
                  <c:v>基本支出占</c:v>
                </c:pt>
                <c:pt idx="1">
                  <c:v>项目支出占</c:v>
                </c:pt>
              </c:strCache>
            </c:strRef>
          </c:cat>
          <c:val>
            <c:numRef>
              <c:f>[2021决算图表.xls]Sheet3!$B$2:$B$3</c:f>
              <c:numCache>
                <c:formatCode>General</c:formatCode>
                <c:ptCount val="2"/>
                <c:pt idx="0">
                  <c:v>148.69</c:v>
                </c:pt>
                <c:pt idx="1">
                  <c:v>15</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zero"/>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[2021决算图表.xls]Sheet1!$A$1:$A$2</c:f>
              <c:strCache>
                <c:ptCount val="2"/>
                <c:pt idx="0">
                  <c:v>2020年</c:v>
                </c:pt>
                <c:pt idx="1">
                  <c:v>2021年</c:v>
                </c:pt>
              </c:strCache>
            </c:strRef>
          </c:cat>
          <c:val>
            <c:numRef>
              <c:f>[2021决算图表.xls]Sheet1!$B$1:$B$2</c:f>
              <c:numCache>
                <c:formatCode>General</c:formatCode>
                <c:ptCount val="2"/>
                <c:pt idx="0">
                  <c:v>169.47</c:v>
                </c:pt>
                <c:pt idx="1">
                  <c:v>163.69</c:v>
                </c:pt>
              </c:numCache>
            </c:numRef>
          </c:val>
        </c:ser>
        <c:dLbls>
          <c:showLegendKey val="false"/>
          <c:showVal val="false"/>
          <c:showCatName val="false"/>
          <c:showSerName val="false"/>
          <c:showPercent val="false"/>
          <c:showBubbleSize val="false"/>
        </c:dLbls>
        <c:gapWidth val="219"/>
        <c:overlap val="-27"/>
        <c:axId val="146431360"/>
        <c:axId val="146445440"/>
      </c:barChart>
      <c:catAx>
        <c:axId val="146431360"/>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445440"/>
        <c:crosses val="autoZero"/>
        <c:auto val="true"/>
        <c:lblAlgn val="ctr"/>
        <c:lblOffset val="100"/>
        <c:noMultiLvlLbl val="false"/>
      </c:catAx>
      <c:valAx>
        <c:axId val="146445440"/>
        <c:scaling>
          <c:orientation val="minMax"/>
          <c:max val="170"/>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fals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431360"/>
        <c:crosses val="autoZero"/>
        <c:crossBetween val="between"/>
        <c:majorUnit val="2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1628839401731"/>
          <c:y val="0.0452459016393443"/>
          <c:w val="0.884638888888889"/>
          <c:h val="0.837592592592593"/>
        </c:manualLayout>
      </c:layout>
      <c:barChart>
        <c:barDir val="col"/>
        <c:grouping val="clustered"/>
        <c:varyColors val="false"/>
        <c:dLbls>
          <c:showLegendKey val="false"/>
          <c:showVal val="true"/>
          <c:showCatName val="false"/>
          <c:showSerName val="false"/>
          <c:showPercent val="false"/>
          <c:showBubbleSize val="false"/>
        </c:dLbls>
        <c:gapWidth val="219"/>
        <c:overlap val="-27"/>
        <c:axId val="146414208"/>
        <c:axId val="146420096"/>
      </c:barChart>
      <c:catAx>
        <c:axId val="14641420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420096"/>
        <c:crosses val="autoZero"/>
        <c:auto val="true"/>
        <c:lblAlgn val="ctr"/>
        <c:lblOffset val="100"/>
        <c:noMultiLvlLbl val="false"/>
      </c:catAx>
      <c:valAx>
        <c:axId val="14642009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414208"/>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[2021决算图表.xls]Sheet1!$A$1:$A$2</c:f>
              <c:strCache>
                <c:ptCount val="2"/>
                <c:pt idx="0">
                  <c:v>2020年</c:v>
                </c:pt>
                <c:pt idx="1">
                  <c:v>2021年</c:v>
                </c:pt>
              </c:strCache>
            </c:strRef>
          </c:cat>
          <c:val>
            <c:numRef>
              <c:f>[2021决算图表.xls]Sheet1!$B$1:$B$2</c:f>
              <c:numCache>
                <c:formatCode>General</c:formatCode>
                <c:ptCount val="2"/>
                <c:pt idx="0">
                  <c:v>169.47</c:v>
                </c:pt>
                <c:pt idx="1">
                  <c:v>163.69</c:v>
                </c:pt>
              </c:numCache>
            </c:numRef>
          </c:val>
        </c:ser>
        <c:dLbls>
          <c:showLegendKey val="false"/>
          <c:showVal val="false"/>
          <c:showCatName val="false"/>
          <c:showSerName val="false"/>
          <c:showPercent val="false"/>
          <c:showBubbleSize val="false"/>
        </c:dLbls>
        <c:gapWidth val="219"/>
        <c:overlap val="-27"/>
        <c:axId val="147857792"/>
        <c:axId val="147859328"/>
      </c:barChart>
      <c:catAx>
        <c:axId val="14785779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7859328"/>
        <c:crosses val="autoZero"/>
        <c:auto val="true"/>
        <c:lblAlgn val="ctr"/>
        <c:lblOffset val="100"/>
        <c:noMultiLvlLbl val="false"/>
      </c:catAx>
      <c:valAx>
        <c:axId val="147859328"/>
        <c:scaling>
          <c:orientation val="minMax"/>
          <c:max val="170"/>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fals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7857792"/>
        <c:crosses val="autoZero"/>
        <c:crossBetween val="between"/>
        <c:majorUnit val="2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a:ln w="19050">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Pt>
            <c:idx val="2"/>
            <c:bubble3D val="false"/>
            <c:spPr>
              <a:solidFill>
                <a:schemeClr val="accent3"/>
              </a:solidFill>
              <a:ln w="19050">
                <a:noFill/>
              </a:ln>
              <a:effectLst/>
            </c:spPr>
          </c:dPt>
          <c:dPt>
            <c:idx val="3"/>
            <c:bubble3D val="false"/>
            <c:spPr>
              <a:solidFill>
                <a:schemeClr val="accent4"/>
              </a:solidFill>
              <a:ln w="19050">
                <a:noFill/>
              </a:ln>
              <a:effectLst/>
            </c:spPr>
          </c:dPt>
          <c:dLbls>
            <c:dLbl>
              <c:idx val="0"/>
              <c:layout>
                <c:manualLayout>
                  <c:x val="0.03125"/>
                  <c:y val="-0.0381944444444444"/>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0395933570663873"/>
                  <c:y val="0.0360544261600282"/>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0685598109652703"/>
                  <c:y val="0.00514395761207661"/>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0534745423149058"/>
                  <c:y val="-0.016453650808442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[2021决算图表.xls]Sheet4!$A$2:$A$5</c:f>
              <c:strCache>
                <c:ptCount val="4"/>
                <c:pt idx="0">
                  <c:v>一般公共服务支出</c:v>
                </c:pt>
                <c:pt idx="1">
                  <c:v>社会保障和就业支出</c:v>
                </c:pt>
                <c:pt idx="2">
                  <c:v>卫生健康支出</c:v>
                </c:pt>
                <c:pt idx="3">
                  <c:v>住房保障支出</c:v>
                </c:pt>
              </c:strCache>
            </c:strRef>
          </c:cat>
          <c:val>
            <c:numRef>
              <c:f>[2021决算图表.xls]Sheet4!$B$2:$B$5</c:f>
              <c:numCache>
                <c:formatCode>#,##0.00</c:formatCode>
                <c:ptCount val="4"/>
                <c:pt idx="0">
                  <c:v>110.44</c:v>
                </c:pt>
                <c:pt idx="1">
                  <c:v>13.75</c:v>
                </c:pt>
                <c:pt idx="2">
                  <c:v>7.36</c:v>
                </c:pt>
                <c:pt idx="3">
                  <c:v>32.14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zero"/>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0.30764</cdr:x>
      <cdr:y>0.29398</cdr:y>
    </cdr:from>
    <cdr:to>
      <cdr:x>0.68889</cdr:x>
      <cdr:y>0.75231</cdr:y>
    </cdr:to>
    <cdr:sp>
      <cdr:nvSpPr>
        <cdr:cNvPr id="2" name="矩形 1"/>
        <cdr:cNvSpPr/>
      </cdr:nvSpPr>
      <cdr:spPr xmlns:a="http://schemas.openxmlformats.org/drawingml/2006/main">
        <a:xfrm xmlns:a="http://schemas.openxmlformats.org/drawingml/2006/main">
          <a:off x="1406525" y="806450"/>
          <a:ext cx="1743075" cy="12573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false">
          <a:normAutofit/>
        </a:bodyPr>
        <a:lstStyle/>
        <a:p>
          <a:endParaRPr lang="zh-CN" altLang="en-US"/>
        </a:p>
      </cdr:txBody>
    </cdr:sp>
  </cdr:relSizeAnchor>
  <cdr:relSizeAnchor xmlns:cdr="http://schemas.openxmlformats.org/drawingml/2006/chartDrawing">
    <cdr:from>
      <cdr:x>0.30556</cdr:x>
      <cdr:y>0.3287</cdr:y>
    </cdr:from>
    <cdr:to>
      <cdr:x>0.72431</cdr:x>
      <cdr:y>0.73148</cdr:y>
    </cdr:to>
    <cdr:sp>
      <cdr:nvSpPr>
        <cdr:cNvPr id="3" name="矩形 2"/>
        <cdr:cNvSpPr/>
      </cdr:nvSpPr>
      <cdr:spPr xmlns:a="http://schemas.openxmlformats.org/drawingml/2006/main">
        <a:xfrm xmlns:a="http://schemas.openxmlformats.org/drawingml/2006/main">
          <a:off x="1397000" y="901700"/>
          <a:ext cx="1914525" cy="11049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false">
          <a:normAutofit/>
        </a:bodyPr>
        <a:lstStyle/>
        <a:p>
          <a:endParaRPr lang="zh-CN" altLang="en-US"/>
        </a:p>
      </cdr:txBody>
    </cdr:sp>
  </cdr:relSizeAnchor>
  <cdr:relSizeAnchor xmlns:cdr="http://schemas.openxmlformats.org/drawingml/2006/chartDrawing">
    <cdr:from>
      <cdr:x>0.37639</cdr:x>
      <cdr:y>0.23148</cdr:y>
    </cdr:from>
    <cdr:to>
      <cdr:x>0.62417</cdr:x>
      <cdr:y>0.66551</cdr:y>
    </cdr:to>
    <cdr:sp>
      <cdr:nvSpPr>
        <cdr:cNvPr id="4" name="矩形 3"/>
        <cdr:cNvSpPr/>
      </cdr:nvSpPr>
      <cdr:spPr xmlns:a="http://schemas.openxmlformats.org/drawingml/2006/main">
        <a:xfrm xmlns:a="http://schemas.openxmlformats.org/drawingml/2006/main">
          <a:off x="1720850" y="635000"/>
          <a:ext cx="1132840" cy="11906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false">
          <a:normAutofit/>
        </a:bodyPr>
        <a:lstStyle/>
        <a:p>
          <a:r>
            <a:rPr lang="zh-CN" altLang="en-US" sz="1000"/>
            <a:t>一般公共预算财政拨款收入163.69万元，占100%</a:t>
          </a:r>
          <a:endParaRPr lang="zh-CN" altLang="en-US" sz="10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b24ca6d-8cdd-4549-b528-f8a2dff16383}"/>
        <w:style w:val=""/>
        <w:category>
          <w:name w:val="常规"/>
          <w:gallery w:val="placeholder"/>
        </w:category>
        <w:types>
          <w:type w:val="bbPlcHdr"/>
        </w:types>
        <w:behaviors>
          <w:behavior w:val="content"/>
        </w:behaviors>
        <w:description w:val=""/>
        <w:guid w:val="{AB24CA6D-8CDD-4549-B528-F8A2DFF16383}"/>
      </w:docPartPr>
      <w:docPartBody>
        <w:p>
          <w:r>
            <w:rPr>
              <w:color w:val="808080"/>
            </w:rPr>
            <w:t>单击此处输入文字。</w:t>
          </w:r>
        </w:p>
      </w:docPartBody>
    </w:docPart>
    <w:docPart>
      <w:docPartPr>
        <w:name w:val="{17a24ef8-a395-491b-86f5-6ba2f4951678}"/>
        <w:style w:val=""/>
        <w:category>
          <w:name w:val="常规"/>
          <w:gallery w:val="placeholder"/>
        </w:category>
        <w:types>
          <w:type w:val="bbPlcHdr"/>
        </w:types>
        <w:behaviors>
          <w:behavior w:val="content"/>
        </w:behaviors>
        <w:description w:val=""/>
        <w:guid w:val="{17a24ef8-a395-491b-86f5-6ba2f495167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2"/>
  </w:compat>
  <w:rsids>
    <w:rsidRoot w:val="0069595D"/>
    <w:rsid w:val="006959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4784</Words>
  <Characters>2196</Characters>
  <Lines>18</Lines>
  <Paragraphs>13</Paragraphs>
  <TotalTime>6</TotalTime>
  <ScaleCrop>false</ScaleCrop>
  <LinksUpToDate>false</LinksUpToDate>
  <CharactersWithSpaces>6967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2020-08-11T09:49:00Z</dcterms:created>
  <dc:creator>曹颖</dc:creator>
  <cp:lastModifiedBy>子悠</cp:lastModifiedBy>
  <cp:lastPrinted>2022-11-15T01:37:00Z</cp:lastPrinted>
  <dcterms:modified xsi:type="dcterms:W3CDTF">2022-11-14T10:29:26Z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