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pStyle w:val="2"/>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5792"/>
      <w:bookmarkStart w:id="2" w:name="_Toc15377193"/>
      <w:bookmarkStart w:id="3" w:name="_Toc15378441"/>
      <w:bookmarkStart w:id="4" w:name="_Toc952733613"/>
      <w:bookmarkStart w:id="5" w:name="_Toc15377425"/>
      <w:bookmarkStart w:id="6" w:name="_Toc15396475"/>
      <w:bookmarkStart w:id="7"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8" w:name="_Toc1597907127"/>
      <w:bookmarkStart w:id="9" w:name="_Toc15377426"/>
      <w:bookmarkStart w:id="10" w:name="_Toc27746"/>
      <w:bookmarkStart w:id="11" w:name="_Toc15396598"/>
      <w:bookmarkStart w:id="12" w:name="_Toc15378442"/>
      <w:bookmarkStart w:id="13" w:name="_Toc15396476"/>
      <w:bookmarkStart w:id="14"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财政厅政府债券发行管理中心单位</w:t>
      </w:r>
      <w:r>
        <w:rPr>
          <w:rFonts w:hint="eastAsia" w:ascii="方正小标宋简体" w:hAnsi="方正小标宋简体" w:eastAsia="方正小标宋简体" w:cs="方正小标宋简体"/>
          <w:color w:val="auto"/>
          <w:sz w:val="72"/>
          <w:szCs w:val="72"/>
          <w:highlight w:val="none"/>
        </w:rPr>
        <w:t>决算</w:t>
      </w:r>
      <w:bookmarkEnd w:id="8"/>
      <w:bookmarkEnd w:id="9"/>
      <w:bookmarkEnd w:id="10"/>
      <w:bookmarkEnd w:id="11"/>
      <w:bookmarkEnd w:id="12"/>
      <w:bookmarkEnd w:id="13"/>
      <w:bookmarkEnd w:id="14"/>
      <w:bookmarkEnd w:id="15"/>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sdt>
      <w:sdtPr>
        <w:rPr>
          <w:rFonts w:hint="eastAsia" w:ascii="仿宋_GB2312" w:hAnsi="仿宋_GB2312" w:eastAsia="仿宋_GB2312" w:cs="仿宋_GB2312"/>
          <w:color w:val="auto"/>
          <w:kern w:val="2"/>
          <w:sz w:val="32"/>
          <w:szCs w:val="32"/>
          <w:highlight w:val="none"/>
          <w:lang w:val="en-US" w:eastAsia="zh-CN" w:bidi="ar-SA"/>
        </w:rPr>
        <w:id w:val="147475192"/>
        <w15:color w:val="DBDBDB"/>
        <w:docPartObj>
          <w:docPartGallery w:val="Table of Contents"/>
          <w:docPartUnique/>
        </w:docPartObj>
      </w:sdtPr>
      <w:sdtEndPr>
        <w:rPr>
          <w:rFonts w:hint="eastAsia" w:ascii="仿宋_GB2312" w:hAnsi="仿宋_GB2312" w:eastAsia="仿宋_GB2312" w:cs="仿宋_GB2312"/>
          <w:color w:val="auto"/>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color w:val="auto"/>
              <w:kern w:val="2"/>
              <w:sz w:val="32"/>
              <w:szCs w:val="32"/>
              <w:highlight w:val="none"/>
              <w:lang w:val="en-US" w:eastAsia="zh-CN" w:bidi="ar-SA"/>
            </w:rPr>
            <w:instrText xml:space="preserve">TOC \o "1-2" \h \u </w:instrText>
          </w:r>
          <w:r>
            <w:rPr>
              <w:rFonts w:hint="eastAsia" w:ascii="仿宋_GB2312" w:hAnsi="仿宋_GB2312" w:eastAsia="仿宋_GB2312" w:cs="仿宋_GB2312"/>
              <w:color w:val="auto"/>
              <w:kern w:val="2"/>
              <w:sz w:val="32"/>
              <w:szCs w:val="32"/>
              <w:highlight w:val="none"/>
              <w:lang w:val="en-US" w:eastAsia="zh-CN" w:bidi="ar-SA"/>
            </w:rPr>
            <w:fldChar w:fldCharType="separate"/>
          </w:r>
        </w:p>
        <w:p>
          <w:pPr>
            <w:pStyle w:val="10"/>
            <w:tabs>
              <w:tab w:val="right" w:leader="dot" w:pos="8732"/>
              <w:tab w:val="clear" w:pos="8296"/>
            </w:tabs>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_Toc531500713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lang w:eastAsia="zh-CN"/>
            </w:rPr>
            <w:t>第一部分</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bCs w:val="0"/>
              <w:sz w:val="32"/>
              <w:szCs w:val="32"/>
              <w:highlight w:val="none"/>
            </w:rPr>
            <w:t>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_Toc531500713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_Toc839384530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lang w:eastAsia="zh-CN"/>
            </w:rPr>
            <w:t xml:space="preserve">一、 </w:t>
          </w:r>
          <w:r>
            <w:rPr>
              <w:rFonts w:hint="eastAsia" w:ascii="仿宋_GB2312" w:hAnsi="仿宋_GB2312" w:eastAsia="仿宋_GB2312" w:cs="仿宋_GB2312"/>
              <w:sz w:val="32"/>
              <w:szCs w:val="32"/>
              <w:highlight w:val="none"/>
            </w:rPr>
            <w:t>职能</w:t>
          </w:r>
          <w:r>
            <w:rPr>
              <w:rFonts w:hint="eastAsia" w:ascii="仿宋_GB2312" w:hAnsi="仿宋_GB2312" w:eastAsia="仿宋_GB2312" w:cs="仿宋_GB2312"/>
              <w:sz w:val="32"/>
              <w:szCs w:val="32"/>
              <w:highlight w:val="none"/>
              <w:lang w:eastAsia="zh-CN"/>
            </w:rPr>
            <w:t>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_Toc839384530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_Toc589309433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lang w:val="en-US" w:eastAsia="zh-CN"/>
            </w:rPr>
            <w:t>二、2021年重点</w:t>
          </w:r>
          <w:r>
            <w:rPr>
              <w:rFonts w:hint="eastAsia" w:ascii="仿宋_GB2312" w:hAnsi="仿宋_GB2312" w:eastAsia="仿宋_GB2312" w:cs="仿宋_GB2312"/>
              <w:sz w:val="32"/>
              <w:szCs w:val="32"/>
              <w:highlight w:val="none"/>
              <w:lang w:eastAsia="zh-CN"/>
            </w:rPr>
            <w:t>工作完成情况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_Toc589309433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_Toc85072673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lang w:val="en-US" w:eastAsia="zh-CN"/>
            </w:rPr>
            <w:t>三、机构设置</w:t>
          </w:r>
          <w:r>
            <w:rPr>
              <w:rFonts w:hint="eastAsia" w:ascii="仿宋_GB2312" w:hAnsi="仿宋_GB2312" w:eastAsia="仿宋_GB2312" w:cs="仿宋_GB2312"/>
              <w:sz w:val="32"/>
              <w:szCs w:val="32"/>
              <w:highlight w:val="none"/>
              <w:lang w:eastAsia="zh-CN"/>
            </w:rPr>
            <w:t>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_Toc85072673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0"/>
            <w:tabs>
              <w:tab w:val="right" w:leader="dot" w:pos="8732"/>
              <w:tab w:val="clear" w:pos="8296"/>
            </w:tabs>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_Toc1571652856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sz w:val="32"/>
              <w:szCs w:val="32"/>
              <w:highlight w:val="none"/>
            </w:rPr>
            <w:t xml:space="preserve">第二部分 </w:t>
          </w:r>
          <w:r>
            <w:rPr>
              <w:rFonts w:hint="eastAsia" w:ascii="仿宋_GB2312" w:hAnsi="仿宋_GB2312" w:eastAsia="仿宋_GB2312" w:cs="仿宋_GB2312"/>
              <w:bCs/>
              <w:sz w:val="32"/>
              <w:szCs w:val="32"/>
              <w:highlight w:val="none"/>
              <w:lang w:val="en-US" w:eastAsia="zh-CN"/>
            </w:rPr>
            <w:t>2021年度</w:t>
          </w:r>
          <w:r>
            <w:rPr>
              <w:rFonts w:hint="eastAsia" w:ascii="仿宋_GB2312" w:hAnsi="仿宋_GB2312" w:eastAsia="仿宋_GB2312" w:cs="仿宋_GB2312"/>
              <w:bCs/>
              <w:sz w:val="32"/>
              <w:szCs w:val="32"/>
              <w:highlight w:val="none"/>
              <w:lang w:eastAsia="zh-CN"/>
            </w:rPr>
            <w:t>单位</w:t>
          </w:r>
          <w:r>
            <w:rPr>
              <w:rFonts w:hint="eastAsia" w:ascii="仿宋_GB2312" w:hAnsi="仿宋_GB2312" w:eastAsia="仿宋_GB2312" w:cs="仿宋_GB2312"/>
              <w:bCs/>
              <w:sz w:val="32"/>
              <w:szCs w:val="32"/>
              <w:highlight w:val="none"/>
            </w:rPr>
            <w:t>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_Toc1571652856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_Toc218176486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rPr>
            <w:t xml:space="preserve">一、 </w:t>
          </w:r>
          <w:r>
            <w:rPr>
              <w:rFonts w:hint="eastAsia" w:ascii="仿宋_GB2312" w:hAnsi="仿宋_GB2312" w:eastAsia="仿宋_GB2312" w:cs="仿宋_GB2312"/>
              <w:sz w:val="32"/>
              <w:szCs w:val="32"/>
              <w:highlight w:val="none"/>
            </w:rPr>
            <w:t>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_Toc218176486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_Toc666438000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收入决算情况说明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_Toc666438000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_Toc1469517596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_Toc1469517596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_Toc80183229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四、财政拨款收入支出决算总体情况说明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_Toc80183229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_Toc1980488210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五、一般公共预算财政拨款支出决算情况说明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_Toc1980488210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_Toc424298515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六、一般公共预算财政拨款基本支出决算情况说明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_Toc424298515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_Toc1851580427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七、“三公”经费财政拨款支出决算情况说明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_Toc1851580427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_Toc888682894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八、政府性基金预算支出决算情况说明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_Toc888682894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_Toc515122010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rPr>
            <w:t xml:space="preserve">九、 </w:t>
          </w:r>
          <w:r>
            <w:rPr>
              <w:rFonts w:hint="eastAsia" w:ascii="仿宋_GB2312" w:hAnsi="仿宋_GB2312" w:eastAsia="仿宋_GB2312" w:cs="仿宋_GB2312"/>
              <w:sz w:val="32"/>
              <w:szCs w:val="32"/>
              <w:highlight w:val="none"/>
            </w:rPr>
            <w:t>国有资本经营预算支出决算情况说明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_Toc515122010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_Toc2019944056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rPr>
            <w:t xml:space="preserve">十、 </w:t>
          </w:r>
          <w:r>
            <w:rPr>
              <w:rFonts w:hint="eastAsia" w:ascii="仿宋_GB2312" w:hAnsi="仿宋_GB2312" w:eastAsia="仿宋_GB2312" w:cs="仿宋_GB2312"/>
              <w:sz w:val="32"/>
              <w:szCs w:val="32"/>
              <w:highlight w:val="none"/>
            </w:rPr>
            <w:t>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_Toc2019944056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0"/>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_Toc254548200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rPr>
            <w:t xml:space="preserve">第三部分 </w:t>
          </w:r>
          <w:r>
            <w:rPr>
              <w:rFonts w:hint="eastAsia" w:ascii="仿宋_GB2312" w:hAnsi="仿宋_GB2312" w:eastAsia="仿宋_GB2312" w:cs="仿宋_GB2312"/>
              <w:sz w:val="32"/>
              <w:szCs w:val="32"/>
              <w:highlight w:val="none"/>
            </w:rPr>
            <w:t>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_Toc254548200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0"/>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_Toc1757439172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第四部分 附件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_Toc1757439172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0"/>
            <w:tabs>
              <w:tab w:val="right" w:leader="dot" w:pos="8732"/>
              <w:tab w:val="clear" w:pos="8296"/>
            </w:tabs>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_Toc1416605848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第</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部分 附表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_Toc1416605848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_Toc278700407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一、收</w:t>
          </w:r>
          <w:r>
            <w:rPr>
              <w:rFonts w:hint="eastAsia" w:ascii="仿宋_GB2312" w:hAnsi="仿宋_GB2312" w:eastAsia="仿宋_GB2312" w:cs="仿宋_GB2312"/>
              <w:bCs w:val="0"/>
              <w:sz w:val="32"/>
              <w:szCs w:val="32"/>
              <w:highlight w:val="none"/>
            </w:rPr>
            <w:t>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_Toc278700407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_Toc487142228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sz w:val="32"/>
              <w:szCs w:val="32"/>
              <w:highlight w:val="none"/>
            </w:rPr>
            <w:t>二、收</w:t>
          </w:r>
          <w:r>
            <w:rPr>
              <w:rFonts w:hint="eastAsia" w:ascii="仿宋_GB2312" w:hAnsi="仿宋_GB2312" w:eastAsia="仿宋_GB2312" w:cs="仿宋_GB2312"/>
              <w:bCs w:val="0"/>
              <w:sz w:val="32"/>
              <w:szCs w:val="32"/>
              <w:highlight w:val="none"/>
            </w:rPr>
            <w:t>入决算表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_Toc487142228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_Toc377990071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三、</w:t>
          </w:r>
          <w:r>
            <w:rPr>
              <w:rFonts w:hint="eastAsia" w:ascii="仿宋_GB2312" w:hAnsi="仿宋_GB2312" w:eastAsia="仿宋_GB2312" w:cs="仿宋_GB2312"/>
              <w:sz w:val="32"/>
              <w:szCs w:val="32"/>
              <w:highlight w:val="none"/>
            </w:rPr>
            <w:t>支</w:t>
          </w:r>
          <w:r>
            <w:rPr>
              <w:rFonts w:hint="eastAsia" w:ascii="仿宋_GB2312" w:hAnsi="仿宋_GB2312" w:eastAsia="仿宋_GB2312" w:cs="仿宋_GB2312"/>
              <w:bCs w:val="0"/>
              <w:sz w:val="32"/>
              <w:szCs w:val="32"/>
              <w:highlight w:val="none"/>
            </w:rPr>
            <w:t>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_Toc377990071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_Toc357631038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四、</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政拨款收入支出决算总表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_Toc357631038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_Toc1900454443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五、</w:t>
          </w:r>
          <w:r>
            <w:rPr>
              <w:rFonts w:hint="eastAsia" w:ascii="仿宋_GB2312" w:hAnsi="仿宋_GB2312" w:eastAsia="仿宋_GB2312" w:cs="仿宋_GB2312"/>
              <w:sz w:val="32"/>
              <w:szCs w:val="32"/>
              <w:highlight w:val="none"/>
            </w:rPr>
            <w:t>财</w:t>
          </w:r>
          <w:r>
            <w:rPr>
              <w:rFonts w:hint="eastAsia" w:ascii="仿宋_GB2312" w:hAnsi="仿宋_GB2312" w:eastAsia="仿宋_GB2312" w:cs="仿宋_GB2312"/>
              <w:bCs w:val="0"/>
              <w:sz w:val="32"/>
              <w:szCs w:val="32"/>
              <w:highlight w:val="none"/>
            </w:rPr>
            <w:t>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_Toc1900454443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_Toc1304076253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六、</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_Toc1304076253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_Toc364156341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七、</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般公共预算财政拨款支出决算明细表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_Toc364156341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_Toc351560756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八、</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般公共预算财政拨款基本支出决算表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_Toc351560756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_Toc109326218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九、</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般公共预算财政拨款项目支出决算表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_Toc109326218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_Toc1962063469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十、</w:t>
          </w: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bCs w:val="0"/>
              <w:sz w:val="32"/>
              <w:szCs w:val="32"/>
              <w:highlight w:val="none"/>
            </w:rPr>
            <w:t>般公共预算财政拨款“三公”经费支出决算表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_Toc1962063469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_Toc883061470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十一、</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府性基金预算财政拨款收入支出决算表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_Toc883061470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_Toc948710749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十二、</w:t>
          </w:r>
          <w:r>
            <w:rPr>
              <w:rFonts w:hint="eastAsia" w:ascii="仿宋_GB2312" w:hAnsi="仿宋_GB2312" w:eastAsia="仿宋_GB2312" w:cs="仿宋_GB2312"/>
              <w:sz w:val="32"/>
              <w:szCs w:val="32"/>
              <w:highlight w:val="none"/>
            </w:rPr>
            <w:t>政</w:t>
          </w:r>
          <w:r>
            <w:rPr>
              <w:rFonts w:hint="eastAsia" w:ascii="仿宋_GB2312" w:hAnsi="仿宋_GB2312" w:eastAsia="仿宋_GB2312" w:cs="仿宋_GB2312"/>
              <w:bCs w:val="0"/>
              <w:sz w:val="32"/>
              <w:szCs w:val="32"/>
              <w:highlight w:val="none"/>
            </w:rPr>
            <w:t>府性基金预算财政拨款“三公”经费支出决算表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_Toc948710749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_Toc403889254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rPr>
            <w:t>十三、</w:t>
          </w:r>
          <w:r>
            <w:rPr>
              <w:rFonts w:hint="eastAsia" w:ascii="仿宋_GB2312" w:hAnsi="仿宋_GB2312" w:eastAsia="仿宋_GB2312" w:cs="仿宋_GB2312"/>
              <w:sz w:val="32"/>
              <w:szCs w:val="32"/>
              <w:highlight w:val="none"/>
            </w:rPr>
            <w:t>国</w:t>
          </w:r>
          <w:r>
            <w:rPr>
              <w:rFonts w:hint="eastAsia" w:ascii="仿宋_GB2312" w:hAnsi="仿宋_GB2312" w:eastAsia="仿宋_GB2312" w:cs="仿宋_GB2312"/>
              <w:bCs w:val="0"/>
              <w:sz w:val="32"/>
              <w:szCs w:val="32"/>
              <w:highlight w:val="none"/>
            </w:rPr>
            <w:t>有资本经营预算</w:t>
          </w:r>
          <w:r>
            <w:rPr>
              <w:rFonts w:hint="eastAsia" w:ascii="仿宋_GB2312" w:hAnsi="仿宋_GB2312" w:eastAsia="仿宋_GB2312" w:cs="仿宋_GB2312"/>
              <w:bCs w:val="0"/>
              <w:sz w:val="32"/>
              <w:szCs w:val="32"/>
              <w:highlight w:val="none"/>
              <w:lang w:eastAsia="zh-CN"/>
            </w:rPr>
            <w:t>财政拨款收入</w:t>
          </w:r>
          <w:r>
            <w:rPr>
              <w:rFonts w:hint="eastAsia" w:ascii="仿宋_GB2312" w:hAnsi="仿宋_GB2312" w:eastAsia="仿宋_GB2312" w:cs="仿宋_GB2312"/>
              <w:bCs w:val="0"/>
              <w:sz w:val="32"/>
              <w:szCs w:val="32"/>
              <w:highlight w:val="none"/>
            </w:rPr>
            <w:t>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_Toc403889254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pStyle w:val="11"/>
            <w:tabs>
              <w:tab w:val="right" w:leader="dot" w:pos="8732"/>
              <w:tab w:val="clear" w:pos="8296"/>
            </w:tabs>
          </w:pPr>
          <w:r>
            <w:rPr>
              <w:rFonts w:hint="eastAsia" w:ascii="仿宋_GB2312" w:hAnsi="仿宋_GB2312" w:eastAsia="仿宋_GB2312" w:cs="仿宋_GB2312"/>
              <w:color w:val="auto"/>
              <w:kern w:val="2"/>
              <w:sz w:val="32"/>
              <w:szCs w:val="32"/>
              <w:highlight w:val="none"/>
              <w:lang w:val="en-US" w:eastAsia="zh-CN" w:bidi="ar-SA"/>
            </w:rPr>
            <w:fldChar w:fldCharType="begin"/>
          </w:r>
          <w:r>
            <w:rPr>
              <w:rFonts w:hint="eastAsia" w:ascii="仿宋_GB2312" w:hAnsi="仿宋_GB2312" w:eastAsia="仿宋_GB2312" w:cs="仿宋_GB2312"/>
              <w:kern w:val="2"/>
              <w:sz w:val="32"/>
              <w:szCs w:val="32"/>
              <w:highlight w:val="none"/>
              <w:lang w:val="en-US" w:eastAsia="zh-CN" w:bidi="ar-SA"/>
            </w:rPr>
            <w:instrText xml:space="preserve"> HYPERLINK \l _Toc968134143 </w:instrText>
          </w:r>
          <w:r>
            <w:rPr>
              <w:rFonts w:hint="eastAsia" w:ascii="仿宋_GB2312" w:hAnsi="仿宋_GB2312" w:eastAsia="仿宋_GB2312" w:cs="仿宋_GB2312"/>
              <w:kern w:val="2"/>
              <w:sz w:val="32"/>
              <w:szCs w:val="32"/>
              <w:highlight w:val="none"/>
              <w:lang w:val="en-US" w:eastAsia="zh-CN" w:bidi="ar-SA"/>
            </w:rPr>
            <w:fldChar w:fldCharType="separate"/>
          </w:r>
          <w:r>
            <w:rPr>
              <w:rFonts w:hint="eastAsia" w:ascii="仿宋_GB2312" w:hAnsi="仿宋_GB2312" w:eastAsia="仿宋_GB2312" w:cs="仿宋_GB2312"/>
              <w:bCs w:val="0"/>
              <w:sz w:val="32"/>
              <w:szCs w:val="32"/>
              <w:highlight w:val="none"/>
              <w:lang w:eastAsia="zh-CN"/>
            </w:rPr>
            <w:t>十四、国有资本经营预算财政拨款支出决算表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_Toc968134143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color w:val="auto"/>
              <w:kern w:val="2"/>
              <w:sz w:val="32"/>
              <w:szCs w:val="32"/>
              <w:highlight w:val="none"/>
              <w:lang w:val="en-US" w:eastAsia="zh-CN" w:bidi="ar-SA"/>
            </w:rPr>
            <w:fldChar w:fldCharType="end"/>
          </w:r>
        </w:p>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fldChar w:fldCharType="end"/>
          </w:r>
        </w:p>
      </w:sdtContent>
    </w:sdt>
    <w:p>
      <w:bookmarkStart w:id="16" w:name="_Toc15377196"/>
      <w:bookmarkStart w:id="17" w:name="_Toc15396599"/>
      <w:r>
        <w:rPr>
          <w:rFonts w:hint="eastAsia" w:ascii="仿宋_GB2312" w:hAnsi="仿宋_GB2312" w:eastAsia="仿宋_GB2312" w:cs="仿宋_GB2312"/>
          <w:color w:val="auto"/>
          <w:kern w:val="2"/>
          <w:sz w:val="32"/>
          <w:szCs w:val="32"/>
          <w:highlight w:val="none"/>
          <w:lang w:val="en-US" w:eastAsia="zh-CN" w:bidi="ar-SA"/>
        </w:rPr>
        <w:br w:type="page"/>
      </w:r>
    </w:p>
    <w:p>
      <w:pPr>
        <w:pStyle w:val="2"/>
      </w:pPr>
    </w:p>
    <w:p>
      <w:pPr>
        <w:pStyle w:val="3"/>
        <w:pageBreakBefore w:val="0"/>
        <w:numPr>
          <w:ilvl w:val="0"/>
          <w:numId w:val="0"/>
        </w:numPr>
        <w:kinsoku/>
        <w:wordWrap/>
        <w:overflowPunct/>
        <w:topLinePunct w:val="0"/>
        <w:autoSpaceDE/>
        <w:autoSpaceDN/>
        <w:bidi w:val="0"/>
        <w:snapToGrid/>
        <w:spacing w:line="560" w:lineRule="exact"/>
        <w:jc w:val="center"/>
        <w:textAlignment w:val="auto"/>
      </w:pPr>
      <w:bookmarkStart w:id="18" w:name="_Toc531500713"/>
      <w:r>
        <w:rPr>
          <w:rFonts w:hint="eastAsia" w:ascii="黑体" w:hAnsi="黑体" w:eastAsia="黑体"/>
          <w:b w:val="0"/>
          <w:color w:val="auto"/>
          <w:highlight w:val="none"/>
          <w:lang w:eastAsia="zh-CN"/>
        </w:rPr>
        <w:t>第一部分</w:t>
      </w:r>
      <w:r>
        <w:rPr>
          <w:rFonts w:hint="eastAsia" w:ascii="黑体" w:hAnsi="黑体" w:eastAsia="黑体"/>
          <w:b w:val="0"/>
          <w:color w:val="auto"/>
          <w:highlight w:val="none"/>
          <w:lang w:val="en-US" w:eastAsia="zh-CN"/>
        </w:rPr>
        <w:t xml:space="preserve">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6"/>
      <w:bookmarkEnd w:id="17"/>
      <w:bookmarkEnd w:id="18"/>
    </w:p>
    <w:p>
      <w:pPr>
        <w:numPr>
          <w:ilvl w:val="0"/>
          <w:numId w:val="1"/>
        </w:numPr>
        <w:spacing w:line="600" w:lineRule="exact"/>
        <w:ind w:firstLine="645"/>
        <w:outlineLvl w:val="1"/>
        <w:rPr>
          <w:rFonts w:hint="eastAsia" w:ascii="黑体" w:hAnsi="黑体" w:eastAsia="黑体" w:cs="黑体"/>
          <w:color w:val="auto"/>
          <w:sz w:val="32"/>
          <w:szCs w:val="32"/>
          <w:highlight w:val="none"/>
          <w:lang w:eastAsia="zh-CN"/>
        </w:rPr>
      </w:pPr>
      <w:bookmarkStart w:id="19" w:name="_Toc839384530"/>
      <w:bookmarkStart w:id="20" w:name="_Toc15377197"/>
      <w:bookmarkStart w:id="21" w:name="_Toc15396600"/>
      <w:r>
        <w:rPr>
          <w:rFonts w:hint="eastAsia" w:ascii="黑体" w:hAnsi="黑体" w:eastAsia="黑体" w:cs="黑体"/>
          <w:color w:val="auto"/>
          <w:sz w:val="32"/>
          <w:szCs w:val="32"/>
          <w:highlight w:val="none"/>
        </w:rPr>
        <w:t>职能</w:t>
      </w:r>
      <w:r>
        <w:rPr>
          <w:rFonts w:hint="eastAsia" w:ascii="黑体" w:hAnsi="黑体" w:eastAsia="黑体" w:cs="黑体"/>
          <w:color w:val="auto"/>
          <w:sz w:val="32"/>
          <w:szCs w:val="32"/>
          <w:highlight w:val="none"/>
          <w:lang w:eastAsia="zh-CN"/>
        </w:rPr>
        <w:t>简介</w:t>
      </w:r>
      <w:bookmarkEnd w:id="19"/>
    </w:p>
    <w:p>
      <w:pPr>
        <w:numPr>
          <w:ilvl w:val="0"/>
          <w:numId w:val="0"/>
        </w:numPr>
        <w:spacing w:line="600" w:lineRule="exact"/>
        <w:ind w:firstLine="640" w:firstLineChars="200"/>
        <w:rPr>
          <w:rFonts w:hint="eastAsia" w:ascii="仿宋" w:hAnsi="仿宋" w:eastAsia="仿宋"/>
          <w:color w:val="auto"/>
          <w:sz w:val="32"/>
          <w:szCs w:val="32"/>
          <w:highlight w:val="none"/>
        </w:rPr>
      </w:pPr>
      <w:r>
        <w:rPr>
          <w:rFonts w:hint="eastAsia" w:ascii="仿宋_GB2312" w:hAnsi="仿宋_GB2312" w:eastAsia="仿宋_GB2312" w:cs="仿宋_GB2312"/>
          <w:color w:val="auto"/>
          <w:sz w:val="32"/>
          <w:szCs w:val="32"/>
          <w:highlight w:val="none"/>
          <w:lang w:eastAsia="zh-CN"/>
        </w:rPr>
        <w:t>四川省财政厅政府债券发行管理中心（以下简称“政府债券发行管理中心”）</w:t>
      </w:r>
      <w:r>
        <w:rPr>
          <w:rFonts w:hint="eastAsia" w:ascii="仿宋_GB2312" w:hAnsi="仿宋_GB2312" w:eastAsia="仿宋_GB2312" w:cs="仿宋_GB2312"/>
          <w:color w:val="auto"/>
          <w:sz w:val="32"/>
          <w:szCs w:val="32"/>
          <w:highlight w:val="none"/>
        </w:rPr>
        <w:t>承担政府债券</w:t>
      </w:r>
      <w:r>
        <w:rPr>
          <w:rFonts w:hint="eastAsia" w:ascii="仿宋_GB2312" w:hAnsi="仿宋_GB2312" w:eastAsia="仿宋_GB2312" w:cs="仿宋_GB2312"/>
          <w:color w:val="auto"/>
          <w:sz w:val="32"/>
          <w:szCs w:val="32"/>
          <w:highlight w:val="none"/>
          <w:lang w:eastAsia="zh-CN"/>
        </w:rPr>
        <w:t>公开</w:t>
      </w:r>
      <w:r>
        <w:rPr>
          <w:rFonts w:hint="eastAsia" w:ascii="仿宋_GB2312" w:hAnsi="仿宋_GB2312" w:eastAsia="仿宋_GB2312" w:cs="仿宋_GB2312"/>
          <w:color w:val="auto"/>
          <w:sz w:val="32"/>
          <w:szCs w:val="32"/>
          <w:highlight w:val="none"/>
        </w:rPr>
        <w:t>发行、信用评级、统计分析、信息披露的具体事务和地方政府债券登记托管、流通转让、交割结算以及还本付息等事项。</w:t>
      </w:r>
    </w:p>
    <w:p>
      <w:pPr>
        <w:numPr>
          <w:ilvl w:val="0"/>
          <w:numId w:val="0"/>
        </w:numPr>
        <w:spacing w:line="600" w:lineRule="exact"/>
        <w:ind w:firstLine="640" w:firstLineChars="200"/>
        <w:outlineLvl w:val="1"/>
        <w:rPr>
          <w:rFonts w:hint="eastAsia" w:ascii="黑体" w:hAnsi="黑体" w:eastAsia="黑体" w:cs="黑体"/>
          <w:color w:val="auto"/>
          <w:sz w:val="32"/>
          <w:szCs w:val="32"/>
          <w:highlight w:val="none"/>
          <w:lang w:eastAsia="zh-CN"/>
        </w:rPr>
      </w:pPr>
      <w:bookmarkStart w:id="22" w:name="_Toc589309433"/>
      <w:r>
        <w:rPr>
          <w:rFonts w:hint="eastAsia" w:ascii="黑体" w:hAnsi="黑体" w:eastAsia="黑体" w:cs="黑体"/>
          <w:color w:val="auto"/>
          <w:sz w:val="32"/>
          <w:szCs w:val="32"/>
          <w:highlight w:val="none"/>
          <w:lang w:val="en-US" w:eastAsia="zh-CN"/>
        </w:rPr>
        <w:t>二、2021年重点</w:t>
      </w:r>
      <w:r>
        <w:rPr>
          <w:rFonts w:hint="eastAsia" w:ascii="黑体" w:hAnsi="黑体" w:eastAsia="黑体" w:cs="黑体"/>
          <w:color w:val="auto"/>
          <w:sz w:val="32"/>
          <w:szCs w:val="32"/>
          <w:highlight w:val="none"/>
          <w:lang w:eastAsia="zh-CN"/>
        </w:rPr>
        <w:t>工作</w:t>
      </w:r>
      <w:bookmarkEnd w:id="20"/>
      <w:bookmarkEnd w:id="21"/>
      <w:r>
        <w:rPr>
          <w:rFonts w:hint="eastAsia" w:ascii="黑体" w:hAnsi="黑体" w:eastAsia="黑体" w:cs="黑体"/>
          <w:color w:val="auto"/>
          <w:sz w:val="32"/>
          <w:szCs w:val="32"/>
          <w:highlight w:val="none"/>
          <w:lang w:eastAsia="zh-CN"/>
        </w:rPr>
        <w:t>完成情况</w:t>
      </w:r>
      <w:bookmarkEnd w:id="22"/>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rPr>
        <w:t>2021年</w:t>
      </w:r>
      <w:r>
        <w:rPr>
          <w:rFonts w:hint="eastAsia" w:ascii="仿宋_GB2312" w:hAnsi="仿宋_GB2312" w:eastAsia="仿宋_GB2312" w:cs="仿宋_GB2312"/>
          <w:color w:val="auto"/>
          <w:sz w:val="32"/>
          <w:szCs w:val="32"/>
          <w:highlight w:val="none"/>
          <w:lang w:eastAsia="zh-CN"/>
        </w:rPr>
        <w:t>以来，中心始终坚持围绕中心、</w:t>
      </w:r>
      <w:r>
        <w:rPr>
          <w:rFonts w:hint="eastAsia" w:ascii="仿宋_GB2312" w:hAnsi="仿宋_GB2312" w:eastAsia="仿宋_GB2312" w:cs="仿宋_GB2312"/>
          <w:color w:val="auto"/>
          <w:sz w:val="32"/>
          <w:szCs w:val="32"/>
          <w:highlight w:val="none"/>
        </w:rPr>
        <w:t>服务大局，坚持规范化、市场化开展地方债</w:t>
      </w:r>
      <w:r>
        <w:rPr>
          <w:rFonts w:hint="eastAsia" w:ascii="仿宋_GB2312" w:hAnsi="仿宋_GB2312" w:eastAsia="仿宋_GB2312" w:cs="仿宋_GB2312"/>
          <w:color w:val="000000"/>
          <w:sz w:val="32"/>
          <w:szCs w:val="32"/>
        </w:rPr>
        <w:t>融资，</w:t>
      </w:r>
      <w:r>
        <w:rPr>
          <w:rFonts w:hint="eastAsia" w:ascii="仿宋_GB2312" w:hAnsi="仿宋_GB2312" w:eastAsia="仿宋_GB2312" w:cs="仿宋_GB2312"/>
          <w:color w:val="000000"/>
          <w:sz w:val="32"/>
          <w:szCs w:val="32"/>
          <w:lang w:eastAsia="zh-CN"/>
        </w:rPr>
        <w:t>全年发行地方债共计</w:t>
      </w:r>
      <w:r>
        <w:rPr>
          <w:rFonts w:hint="eastAsia" w:ascii="仿宋_GB2312" w:hAnsi="仿宋_GB2312" w:eastAsia="仿宋_GB2312" w:cs="仿宋_GB2312"/>
          <w:color w:val="000000"/>
          <w:sz w:val="32"/>
          <w:szCs w:val="32"/>
          <w:lang w:val="en-US" w:eastAsia="zh-CN"/>
        </w:rPr>
        <w:t>3695亿元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圆满完成了发行目标任务，</w:t>
      </w:r>
      <w:r>
        <w:rPr>
          <w:rFonts w:hint="eastAsia" w:ascii="仿宋_GB2312" w:hAnsi="仿宋_GB2312" w:eastAsia="仿宋_GB2312" w:cs="仿宋_GB2312"/>
          <w:sz w:val="32"/>
          <w:szCs w:val="32"/>
        </w:rPr>
        <w:t>切实发挥债券资金使用效益，促进全省经济高质量发展。</w:t>
      </w:r>
    </w:p>
    <w:p>
      <w:pPr>
        <w:numPr>
          <w:ilvl w:val="0"/>
          <w:numId w:val="0"/>
        </w:numPr>
        <w:spacing w:line="600" w:lineRule="exact"/>
        <w:ind w:firstLine="640" w:firstLineChars="200"/>
        <w:outlineLvl w:val="1"/>
        <w:rPr>
          <w:rFonts w:hint="eastAsia" w:ascii="黑体" w:hAnsi="黑体" w:eastAsia="黑体" w:cs="黑体"/>
          <w:color w:val="auto"/>
          <w:sz w:val="32"/>
          <w:szCs w:val="32"/>
          <w:highlight w:val="none"/>
          <w:lang w:eastAsia="zh-CN"/>
        </w:rPr>
      </w:pPr>
      <w:bookmarkStart w:id="23" w:name="_Toc85072673"/>
      <w:r>
        <w:rPr>
          <w:rFonts w:hint="eastAsia" w:ascii="黑体" w:hAnsi="黑体" w:eastAsia="黑体" w:cs="黑体"/>
          <w:color w:val="auto"/>
          <w:sz w:val="32"/>
          <w:szCs w:val="32"/>
          <w:highlight w:val="none"/>
          <w:lang w:val="en-US" w:eastAsia="zh-CN"/>
        </w:rPr>
        <w:t>三、机构设置</w:t>
      </w:r>
      <w:r>
        <w:rPr>
          <w:rFonts w:hint="eastAsia" w:ascii="黑体" w:hAnsi="黑体" w:eastAsia="黑体" w:cs="黑体"/>
          <w:color w:val="auto"/>
          <w:sz w:val="32"/>
          <w:szCs w:val="32"/>
          <w:highlight w:val="none"/>
          <w:lang w:eastAsia="zh-CN"/>
        </w:rPr>
        <w:t>情况</w:t>
      </w:r>
      <w:bookmarkEnd w:id="23"/>
    </w:p>
    <w:p>
      <w:pPr>
        <w:pStyle w:val="2"/>
        <w:rPr>
          <w:rFonts w:hint="default" w:eastAsia="仿宋_GB2312"/>
          <w:lang w:val="en-US" w:eastAsia="zh-CN"/>
        </w:rPr>
      </w:pPr>
      <w:r>
        <w:rPr>
          <w:rFonts w:hint="eastAsia"/>
          <w:lang w:val="en-US" w:eastAsia="zh-CN"/>
        </w:rPr>
        <w:t xml:space="preserve">    本单位是隶属于四川省财政厅的二级预算单位，本单位无下属单位。</w:t>
      </w:r>
    </w:p>
    <w:p>
      <w:pPr>
        <w:pageBreakBefore w:val="0"/>
        <w:widowControl/>
        <w:kinsoku/>
        <w:wordWrap/>
        <w:overflowPunct/>
        <w:topLinePunct w:val="0"/>
        <w:autoSpaceDE/>
        <w:autoSpaceDN/>
        <w:bidi w:val="0"/>
        <w:snapToGrid/>
        <w:spacing w:line="560"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line="560" w:lineRule="exact"/>
        <w:ind w:right="440"/>
        <w:jc w:val="center"/>
        <w:textAlignment w:val="auto"/>
        <w:rPr>
          <w:color w:val="auto"/>
          <w:highlight w:val="none"/>
        </w:rPr>
      </w:pPr>
      <w:bookmarkStart w:id="24" w:name="_Toc15377204"/>
      <w:bookmarkStart w:id="25" w:name="_Toc1571652856"/>
      <w:bookmarkStart w:id="26"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4"/>
      <w:bookmarkEnd w:id="25"/>
      <w:bookmarkEnd w:id="26"/>
    </w:p>
    <w:p>
      <w:pPr>
        <w:pStyle w:val="23"/>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outlineLvl w:val="1"/>
        <w:rPr>
          <w:rStyle w:val="25"/>
          <w:rFonts w:ascii="黑体" w:hAnsi="黑体" w:eastAsia="黑体"/>
          <w:b w:val="0"/>
          <w:color w:val="auto"/>
          <w:highlight w:val="none"/>
        </w:rPr>
      </w:pPr>
      <w:bookmarkStart w:id="27" w:name="_Toc15377205"/>
      <w:bookmarkStart w:id="28" w:name="_Toc15396603"/>
      <w:bookmarkStart w:id="29" w:name="_Toc21817648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7"/>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年度收、支总计</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年相比，收、支总计各增加</w:t>
      </w:r>
      <w:r>
        <w:rPr>
          <w:rFonts w:hint="eastAsia" w:ascii="仿宋_GB2312" w:hAnsi="仿宋_GB2312" w:eastAsia="仿宋_GB2312" w:cs="仿宋_GB2312"/>
          <w:color w:val="auto"/>
          <w:sz w:val="32"/>
          <w:szCs w:val="32"/>
          <w:highlight w:val="none"/>
          <w:lang w:val="en-US" w:eastAsia="zh-CN"/>
        </w:rPr>
        <w:t>19.35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13.16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000000"/>
          <w:sz w:val="32"/>
          <w:szCs w:val="32"/>
        </w:rPr>
        <w:t>人员经费增加。</w:t>
      </w:r>
    </w:p>
    <w:p>
      <w:pPr>
        <w:pStyle w:val="2"/>
        <w:jc w:val="center"/>
        <w:rPr>
          <w:rFonts w:ascii="仿宋_GB2312" w:eastAsia="仿宋_GB2312"/>
          <w:color w:val="auto"/>
          <w:sz w:val="32"/>
          <w:szCs w:val="32"/>
          <w:highlight w:val="none"/>
        </w:rPr>
      </w:pPr>
      <w:r>
        <w:rPr>
          <w:rFonts w:hint="eastAsia" w:eastAsia="仿宋"/>
          <w:lang w:eastAsia="zh-CN"/>
        </w:rPr>
        <w:drawing>
          <wp:inline distT="0" distB="0" distL="114300" distR="114300">
            <wp:extent cx="5034280" cy="3087370"/>
            <wp:effectExtent l="0" t="0" r="13970" b="177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Style w:val="25"/>
          <w:rFonts w:ascii="黑体" w:hAnsi="黑体" w:eastAsia="黑体"/>
          <w:b w:val="0"/>
          <w:color w:val="auto"/>
          <w:highlight w:val="none"/>
        </w:rPr>
      </w:pPr>
      <w:bookmarkStart w:id="30" w:name="_Toc15377206"/>
      <w:bookmarkStart w:id="31" w:name="_Toc15396604"/>
      <w:bookmarkStart w:id="32" w:name="_Toc666438000"/>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30"/>
      <w:bookmarkEnd w:id="31"/>
      <w:bookmarkEnd w:id="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highlight w:val="none"/>
        </w:rPr>
      </w:pPr>
      <w:bookmarkStart w:id="33" w:name="_Toc5100"/>
      <w:bookmarkStart w:id="34" w:name="_Toc538912723"/>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年本年收入合计</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万元，其中：一般公共预算财政拨款收入</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%；政府性基金预算财政拨款收入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国有资本经营预算财政拨款收入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%；上级补助收入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%；事业收入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%；附属单位上缴收入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%；其他收入</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bookmarkEnd w:id="33"/>
      <w:bookmarkEnd w:id="34"/>
    </w:p>
    <w:p>
      <w:pPr>
        <w:pStyle w:val="2"/>
        <w:jc w:val="center"/>
        <w:rPr>
          <w:rFonts w:ascii="仿宋_GB2312" w:eastAsia="仿宋_GB2312"/>
          <w:color w:val="auto"/>
          <w:sz w:val="32"/>
          <w:szCs w:val="32"/>
          <w:highlight w:val="none"/>
        </w:rPr>
      </w:pPr>
      <w:r>
        <w:rPr>
          <w:rFonts w:hint="eastAsia" w:eastAsia="仿宋"/>
          <w:color w:val="auto"/>
          <w:lang w:eastAsia="zh-CN"/>
          <w14:textOutline w14:w="9525">
            <w14:solidFill>
              <w14:schemeClr w14:val="accent1"/>
            </w14:solidFill>
            <w14:round/>
          </w14:textOutline>
        </w:rPr>
        <w:drawing>
          <wp:inline distT="0" distB="0" distL="114300" distR="114300">
            <wp:extent cx="4730750" cy="2422525"/>
            <wp:effectExtent l="0" t="0" r="12700" b="1587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outlineLvl w:val="1"/>
        <w:rPr>
          <w:rStyle w:val="25"/>
          <w:rFonts w:ascii="黑体" w:hAnsi="黑体" w:eastAsia="黑体"/>
          <w:b w:val="0"/>
          <w:color w:val="auto"/>
          <w:highlight w:val="none"/>
        </w:rPr>
      </w:pPr>
      <w:bookmarkStart w:id="35" w:name="_Toc15377207"/>
      <w:bookmarkStart w:id="36" w:name="_Toc15396605"/>
      <w:bookmarkStart w:id="37" w:name="_Toc1469517596"/>
      <w:r>
        <w:rPr>
          <w:rFonts w:hint="eastAsia" w:ascii="黑体" w:hAnsi="黑体" w:eastAsia="黑体"/>
          <w:color w:val="auto"/>
          <w:sz w:val="32"/>
          <w:szCs w:val="32"/>
          <w:highlight w:val="none"/>
          <w:lang w:val="en-US" w:eastAsia="zh-CN"/>
        </w:rPr>
        <w:t>三、</w:t>
      </w:r>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5"/>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仿宋_GB2312" w:hAnsi="仿宋_GB2312" w:eastAsia="仿宋_GB2312" w:cs="仿宋_GB2312"/>
          <w:color w:val="auto"/>
          <w:sz w:val="32"/>
          <w:szCs w:val="32"/>
          <w:highlight w:val="none"/>
          <w:shd w:val="pct10" w:color="auto" w:fill="FFFFFF"/>
        </w:rPr>
      </w:pPr>
      <w:bookmarkStart w:id="38" w:name="_Toc66478971"/>
      <w:bookmarkStart w:id="39" w:name="_Toc30082"/>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年本年支出合计</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万元，其中：基本支出</w:t>
      </w:r>
      <w:r>
        <w:rPr>
          <w:rFonts w:hint="eastAsia" w:ascii="仿宋_GB2312" w:hAnsi="仿宋_GB2312" w:eastAsia="仿宋_GB2312" w:cs="仿宋_GB2312"/>
          <w:color w:val="auto"/>
          <w:sz w:val="32"/>
          <w:szCs w:val="32"/>
          <w:highlight w:val="none"/>
          <w:lang w:val="en-US" w:eastAsia="zh-CN"/>
        </w:rPr>
        <w:t>135.87</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81.65</w:t>
      </w:r>
      <w:r>
        <w:rPr>
          <w:rFonts w:hint="eastAsia" w:ascii="仿宋_GB2312" w:hAnsi="仿宋_GB2312" w:eastAsia="仿宋_GB2312" w:cs="仿宋_GB2312"/>
          <w:color w:val="auto"/>
          <w:sz w:val="32"/>
          <w:szCs w:val="32"/>
          <w:highlight w:val="none"/>
        </w:rPr>
        <w:t>%；项目支出</w:t>
      </w:r>
      <w:r>
        <w:rPr>
          <w:rFonts w:hint="eastAsia" w:ascii="仿宋_GB2312" w:hAnsi="仿宋_GB2312" w:eastAsia="仿宋_GB2312" w:cs="仿宋_GB2312"/>
          <w:color w:val="auto"/>
          <w:sz w:val="32"/>
          <w:szCs w:val="32"/>
          <w:highlight w:val="none"/>
          <w:lang w:val="en-US" w:eastAsia="zh-CN"/>
        </w:rPr>
        <w:t>30.54</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18.35</w:t>
      </w:r>
      <w:r>
        <w:rPr>
          <w:rFonts w:hint="eastAsia" w:ascii="仿宋_GB2312" w:hAnsi="仿宋_GB2312" w:eastAsia="仿宋_GB2312" w:cs="仿宋_GB2312"/>
          <w:color w:val="auto"/>
          <w:sz w:val="32"/>
          <w:szCs w:val="32"/>
          <w:highlight w:val="none"/>
        </w:rPr>
        <w:t>%；上缴上级支出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%；经营支出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%；对附属单位补助支出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bookmarkEnd w:id="38"/>
      <w:bookmarkEnd w:id="39"/>
    </w:p>
    <w:p>
      <w:pPr>
        <w:pStyle w:val="2"/>
        <w:jc w:val="center"/>
        <w:rPr>
          <w:rFonts w:hint="eastAsia" w:ascii="黑体" w:hAnsi="黑体" w:eastAsia="黑体"/>
          <w:color w:val="auto"/>
          <w:sz w:val="32"/>
          <w:szCs w:val="32"/>
          <w:highlight w:val="none"/>
        </w:rPr>
      </w:pPr>
      <w:bookmarkStart w:id="40" w:name="_Toc15396606"/>
      <w:bookmarkStart w:id="41" w:name="_Toc15377208"/>
      <w:r>
        <w:rPr>
          <w:rFonts w:hint="eastAsia" w:eastAsia="仿宋"/>
          <w:lang w:eastAsia="zh-CN"/>
        </w:rPr>
        <w:drawing>
          <wp:inline distT="0" distB="0" distL="114300" distR="114300">
            <wp:extent cx="4515485" cy="2682875"/>
            <wp:effectExtent l="0" t="0" r="18415" b="317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5"/>
          <w:rFonts w:ascii="黑体" w:hAnsi="黑体" w:eastAsia="黑体"/>
          <w:b w:val="0"/>
          <w:color w:val="auto"/>
          <w:highlight w:val="none"/>
        </w:rPr>
      </w:pPr>
      <w:bookmarkStart w:id="42" w:name="_Toc80183229"/>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olor w:val="000000"/>
          <w:sz w:val="32"/>
          <w:szCs w:val="32"/>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年财政拨款收、支总计</w:t>
      </w:r>
      <w:r>
        <w:rPr>
          <w:rFonts w:hint="eastAsia" w:ascii="仿宋_GB2312" w:hAnsi="仿宋_GB2312" w:eastAsia="仿宋_GB2312" w:cs="仿宋_GB2312"/>
          <w:color w:val="auto"/>
          <w:sz w:val="32"/>
          <w:szCs w:val="32"/>
          <w:highlight w:val="none"/>
          <w:lang w:eastAsia="zh-CN"/>
        </w:rPr>
        <w:t>均为</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年相比，财政拨款收、支总计各增加</w:t>
      </w:r>
      <w:r>
        <w:rPr>
          <w:rFonts w:hint="eastAsia" w:ascii="仿宋_GB2312" w:hAnsi="仿宋_GB2312" w:eastAsia="仿宋_GB2312" w:cs="仿宋_GB2312"/>
          <w:color w:val="auto"/>
          <w:sz w:val="32"/>
          <w:szCs w:val="32"/>
          <w:highlight w:val="none"/>
          <w:lang w:val="en-US" w:eastAsia="zh-CN"/>
        </w:rPr>
        <w:t>19.35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13.16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000000"/>
          <w:sz w:val="32"/>
          <w:szCs w:val="32"/>
        </w:rPr>
        <w:t>人员经费增加</w:t>
      </w:r>
      <w:r>
        <w:rPr>
          <w:rFonts w:hint="eastAsia" w:ascii="仿宋_GB2312" w:hAnsi="仿宋_GB2312" w:eastAsia="仿宋_GB2312" w:cs="仿宋_GB2312"/>
          <w:color w:val="000000"/>
          <w:sz w:val="32"/>
          <w:szCs w:val="32"/>
          <w:lang w:eastAsia="zh-CN"/>
        </w:rPr>
        <w:t>。</w:t>
      </w:r>
    </w:p>
    <w:p>
      <w:pPr>
        <w:pStyle w:val="2"/>
        <w:jc w:val="center"/>
        <w:rPr>
          <w:rFonts w:ascii="仿宋" w:hAnsi="仿宋" w:eastAsia="仿宋"/>
          <w:b/>
          <w:color w:val="auto"/>
          <w:sz w:val="32"/>
          <w:szCs w:val="32"/>
          <w:highlight w:val="none"/>
        </w:rPr>
      </w:pPr>
      <w:r>
        <w:drawing>
          <wp:inline distT="0" distB="0" distL="114300" distR="114300">
            <wp:extent cx="5127625" cy="3157855"/>
            <wp:effectExtent l="0" t="0" r="15875" b="444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Style w:val="25"/>
          <w:rFonts w:ascii="黑体" w:hAnsi="黑体" w:eastAsia="黑体"/>
          <w:b w:val="0"/>
          <w:color w:val="auto"/>
          <w:highlight w:val="none"/>
        </w:rPr>
      </w:pPr>
      <w:bookmarkStart w:id="43" w:name="_Toc15377209"/>
      <w:bookmarkStart w:id="44" w:name="_Toc15396607"/>
      <w:bookmarkStart w:id="45" w:name="_Toc198048821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6" w:name="_Toc15377210"/>
      <w:r>
        <w:rPr>
          <w:rFonts w:hint="eastAsia" w:ascii="楷体_GB2312" w:hAnsi="楷体_GB2312" w:eastAsia="楷体_GB2312" w:cs="楷体_GB2312"/>
          <w:b/>
          <w:color w:val="auto"/>
          <w:sz w:val="32"/>
          <w:szCs w:val="32"/>
          <w:highlight w:val="none"/>
        </w:rPr>
        <w:t>（一）一般公共预算财政拨款支出决算总体情况</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年一般公共预算财政拨款支出</w:t>
      </w:r>
      <w:r>
        <w:rPr>
          <w:rFonts w:hint="eastAsia" w:ascii="仿宋_GB2312" w:hAnsi="仿宋_GB2312" w:eastAsia="仿宋_GB2312" w:cs="仿宋_GB2312"/>
          <w:color w:val="auto"/>
          <w:sz w:val="32"/>
          <w:szCs w:val="32"/>
          <w:highlight w:val="none"/>
          <w:lang w:val="en-US" w:eastAsia="zh-CN"/>
        </w:rPr>
        <w:t>166.41</w:t>
      </w:r>
      <w:r>
        <w:rPr>
          <w:rFonts w:hint="eastAsia" w:ascii="仿宋_GB2312" w:hAnsi="仿宋_GB2312" w:eastAsia="仿宋_GB2312" w:cs="仿宋_GB2312"/>
          <w:color w:val="auto"/>
          <w:sz w:val="32"/>
          <w:szCs w:val="32"/>
          <w:highlight w:val="none"/>
        </w:rPr>
        <w:t>万元，占本年支出合计的</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%。与20</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年相比，一般公共预算财政拨款</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增加</w:t>
      </w:r>
      <w:r>
        <w:rPr>
          <w:rFonts w:hint="eastAsia" w:ascii="仿宋_GB2312" w:hAnsi="仿宋_GB2312" w:eastAsia="仿宋_GB2312" w:cs="仿宋_GB2312"/>
          <w:color w:val="auto"/>
          <w:sz w:val="32"/>
          <w:szCs w:val="32"/>
          <w:highlight w:val="none"/>
          <w:lang w:val="en-US" w:eastAsia="zh-CN"/>
        </w:rPr>
        <w:t>19.35</w:t>
      </w:r>
      <w:r>
        <w:rPr>
          <w:rFonts w:hint="eastAsia" w:ascii="仿宋_GB2312" w:hAnsi="仿宋_GB2312" w:eastAsia="仿宋_GB2312" w:cs="仿宋_GB2312"/>
          <w:color w:val="auto"/>
          <w:sz w:val="32"/>
          <w:szCs w:val="32"/>
          <w:highlight w:val="none"/>
        </w:rPr>
        <w:t>万元，增长</w:t>
      </w:r>
      <w:r>
        <w:rPr>
          <w:rFonts w:hint="eastAsia" w:ascii="仿宋_GB2312" w:hAnsi="仿宋_GB2312" w:eastAsia="仿宋_GB2312" w:cs="仿宋_GB2312"/>
          <w:color w:val="auto"/>
          <w:sz w:val="32"/>
          <w:szCs w:val="32"/>
          <w:highlight w:val="none"/>
          <w:lang w:val="en-US" w:eastAsia="zh-CN"/>
        </w:rPr>
        <w:t>13.16</w:t>
      </w:r>
      <w:r>
        <w:rPr>
          <w:rFonts w:hint="eastAsia" w:ascii="仿宋_GB2312" w:hAnsi="仿宋_GB2312" w:eastAsia="仿宋_GB2312" w:cs="仿宋_GB2312"/>
          <w:color w:val="auto"/>
          <w:sz w:val="32"/>
          <w:szCs w:val="32"/>
          <w:highlight w:val="none"/>
        </w:rPr>
        <w:t>%。主要变动原因是</w:t>
      </w:r>
      <w:r>
        <w:rPr>
          <w:rFonts w:hint="eastAsia" w:ascii="仿宋_GB2312" w:hAnsi="仿宋_GB2312" w:eastAsia="仿宋_GB2312" w:cs="仿宋_GB2312"/>
          <w:color w:val="auto"/>
          <w:sz w:val="32"/>
          <w:szCs w:val="32"/>
          <w:highlight w:val="none"/>
          <w:lang w:eastAsia="zh-CN"/>
        </w:rPr>
        <w:t>人员经费增加。</w:t>
      </w:r>
    </w:p>
    <w:p>
      <w:pPr>
        <w:pStyle w:val="2"/>
        <w:jc w:val="center"/>
        <w:rPr>
          <w:rFonts w:hint="eastAsia" w:eastAsia="仿宋"/>
          <w:lang w:eastAsia="zh-CN"/>
        </w:rPr>
      </w:pPr>
      <w:r>
        <w:rPr>
          <w:rFonts w:hint="eastAsia" w:eastAsia="仿宋"/>
          <w:lang w:eastAsia="zh-CN"/>
        </w:rPr>
        <w:drawing>
          <wp:inline distT="0" distB="0" distL="114300" distR="114300">
            <wp:extent cx="4858385" cy="3151505"/>
            <wp:effectExtent l="0" t="0" r="18415" b="1079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7" w:name="_Toc15377211"/>
      <w:r>
        <w:rPr>
          <w:rFonts w:hint="eastAsia" w:ascii="楷体_GB2312" w:hAnsi="楷体_GB2312" w:eastAsia="楷体_GB2312" w:cs="楷体_GB2312"/>
          <w:b/>
          <w:color w:val="auto"/>
          <w:sz w:val="32"/>
          <w:szCs w:val="32"/>
          <w:highlight w:val="none"/>
        </w:rPr>
        <w:t>（二）一般公共预算财政拨款支出决算结构情况</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166.41</w:t>
      </w:r>
      <w:r>
        <w:rPr>
          <w:rFonts w:hint="eastAsia" w:ascii="仿宋_GB2312" w:hAnsi="仿宋_GB2312" w:eastAsia="仿宋_GB2312" w:cs="仿宋_GB2312"/>
          <w:b w:val="0"/>
          <w:bCs w:val="0"/>
          <w:color w:val="auto"/>
          <w:sz w:val="32"/>
          <w:szCs w:val="32"/>
          <w:highlight w:val="none"/>
        </w:rPr>
        <w:t>万元，主要用于以下方面:</w:t>
      </w:r>
      <w:r>
        <w:rPr>
          <w:rFonts w:hint="eastAsia" w:ascii="仿宋_GB2312" w:hAnsi="仿宋_GB2312" w:eastAsia="仿宋_GB2312" w:cs="仿宋_GB2312"/>
          <w:b/>
          <w:bCs/>
          <w:color w:val="auto"/>
          <w:sz w:val="32"/>
          <w:szCs w:val="32"/>
          <w:highlight w:val="none"/>
        </w:rPr>
        <w:t>一般公共服务（类）支出</w:t>
      </w:r>
      <w:r>
        <w:rPr>
          <w:rFonts w:hint="eastAsia" w:ascii="仿宋_GB2312" w:hAnsi="仿宋_GB2312" w:eastAsia="仿宋_GB2312" w:cs="仿宋_GB2312"/>
          <w:b w:val="0"/>
          <w:bCs w:val="0"/>
          <w:color w:val="auto"/>
          <w:sz w:val="32"/>
          <w:szCs w:val="32"/>
          <w:highlight w:val="none"/>
          <w:lang w:val="en-US" w:eastAsia="zh-CN"/>
        </w:rPr>
        <w:t>124.74</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74.96</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教育支出（类）</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科学技术（类）支出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文化旅游体育与传媒（类）支出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社会保障和就业（类）</w:t>
      </w:r>
      <w:r>
        <w:rPr>
          <w:rFonts w:hint="eastAsia" w:ascii="仿宋_GB2312" w:hAnsi="仿宋_GB2312" w:eastAsia="仿宋_GB2312" w:cs="仿宋_GB2312"/>
          <w:b w:val="0"/>
          <w:bCs w:val="0"/>
          <w:color w:val="auto"/>
          <w:sz w:val="32"/>
          <w:szCs w:val="32"/>
          <w:highlight w:val="none"/>
        </w:rPr>
        <w:t>支出</w:t>
      </w:r>
      <w:r>
        <w:rPr>
          <w:rFonts w:hint="eastAsia" w:ascii="仿宋_GB2312" w:hAnsi="仿宋_GB2312" w:eastAsia="仿宋_GB2312" w:cs="仿宋_GB2312"/>
          <w:b w:val="0"/>
          <w:bCs w:val="0"/>
          <w:color w:val="auto"/>
          <w:sz w:val="32"/>
          <w:szCs w:val="32"/>
          <w:highlight w:val="none"/>
          <w:lang w:val="en-US" w:eastAsia="zh-CN"/>
        </w:rPr>
        <w:t>12.7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7.63</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卫生健康</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仿宋_GB2312" w:eastAsia="仿宋_GB2312" w:cs="仿宋_GB2312"/>
          <w:b/>
          <w:bCs/>
          <w:color w:val="auto"/>
          <w:sz w:val="32"/>
          <w:szCs w:val="32"/>
          <w:highlight w:val="none"/>
        </w:rPr>
        <w:t>支出</w:t>
      </w:r>
      <w:r>
        <w:rPr>
          <w:rFonts w:hint="eastAsia" w:ascii="仿宋_GB2312" w:hAnsi="仿宋_GB2312" w:eastAsia="仿宋_GB2312" w:cs="仿宋_GB2312"/>
          <w:b w:val="0"/>
          <w:bCs w:val="0"/>
          <w:color w:val="auto"/>
          <w:sz w:val="32"/>
          <w:szCs w:val="32"/>
          <w:highlight w:val="none"/>
          <w:lang w:val="en-US" w:eastAsia="zh-CN"/>
        </w:rPr>
        <w:t>8.11</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4.87</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bCs/>
          <w:color w:val="auto"/>
          <w:sz w:val="32"/>
          <w:szCs w:val="32"/>
          <w:highlight w:val="none"/>
        </w:rPr>
        <w:t>住房保障</w:t>
      </w:r>
      <w:r>
        <w:rPr>
          <w:rFonts w:hint="eastAsia" w:ascii="仿宋_GB2312" w:hAnsi="仿宋_GB2312" w:eastAsia="仿宋_GB2312" w:cs="仿宋_GB2312"/>
          <w:b/>
          <w:bCs/>
          <w:color w:val="auto"/>
          <w:sz w:val="32"/>
          <w:szCs w:val="32"/>
          <w:highlight w:val="none"/>
          <w:lang w:val="en-US" w:eastAsia="zh-CN"/>
        </w:rPr>
        <w:t>类</w:t>
      </w:r>
      <w:r>
        <w:rPr>
          <w:rFonts w:hint="eastAsia" w:ascii="仿宋_GB2312" w:hAnsi="仿宋_GB2312" w:eastAsia="仿宋_GB2312" w:cs="仿宋_GB2312"/>
          <w:b/>
          <w:bCs/>
          <w:color w:val="auto"/>
          <w:sz w:val="32"/>
          <w:szCs w:val="32"/>
          <w:highlight w:val="none"/>
        </w:rPr>
        <w:t>支出</w:t>
      </w:r>
      <w:r>
        <w:rPr>
          <w:rFonts w:hint="eastAsia" w:ascii="仿宋_GB2312" w:hAnsi="仿宋_GB2312" w:eastAsia="仿宋_GB2312" w:cs="仿宋_GB2312"/>
          <w:b w:val="0"/>
          <w:bCs w:val="0"/>
          <w:color w:val="auto"/>
          <w:sz w:val="32"/>
          <w:szCs w:val="32"/>
          <w:highlight w:val="none"/>
          <w:lang w:val="en-US" w:eastAsia="zh-CN"/>
        </w:rPr>
        <w:t>20.86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12.54</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w:t>
      </w:r>
    </w:p>
    <w:p>
      <w:pPr>
        <w:pStyle w:val="2"/>
        <w:jc w:val="center"/>
        <w:rPr>
          <w:rFonts w:ascii="仿宋" w:hAnsi="仿宋" w:eastAsia="仿宋"/>
          <w:color w:val="auto"/>
          <w:sz w:val="32"/>
          <w:szCs w:val="32"/>
          <w:highlight w:val="none"/>
        </w:rPr>
      </w:pPr>
      <w:r>
        <w:rPr>
          <w:rFonts w:hint="eastAsia" w:eastAsia="仿宋"/>
          <w:lang w:eastAsia="zh-CN"/>
        </w:rPr>
        <w:drawing>
          <wp:inline distT="0" distB="0" distL="114300" distR="114300">
            <wp:extent cx="4982210" cy="3062605"/>
            <wp:effectExtent l="0" t="0" r="8890" b="44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color w:val="auto"/>
          <w:sz w:val="32"/>
          <w:szCs w:val="32"/>
          <w:highlight w:val="none"/>
        </w:rPr>
      </w:pPr>
      <w:bookmarkStart w:id="48" w:name="_Toc15377212"/>
      <w:r>
        <w:rPr>
          <w:rFonts w:hint="eastAsia" w:ascii="楷体_GB2312" w:hAnsi="楷体_GB2312" w:eastAsia="楷体_GB2312" w:cs="楷体_GB2312"/>
          <w:b/>
          <w:color w:val="auto"/>
          <w:sz w:val="32"/>
          <w:szCs w:val="32"/>
          <w:highlight w:val="none"/>
        </w:rPr>
        <w:t>（三）一般公共预算财政拨款支出决算具体情况</w:t>
      </w:r>
      <w:bookmarkEnd w:id="48"/>
    </w:p>
    <w:p>
      <w:pPr>
        <w:keepNext w:val="0"/>
        <w:keepLines w:val="0"/>
        <w:pageBreakBefore w:val="0"/>
        <w:widowControl w:val="0"/>
        <w:kinsoku/>
        <w:wordWrap/>
        <w:overflowPunct/>
        <w:topLinePunct w:val="0"/>
        <w:bidi w:val="0"/>
        <w:snapToGrid/>
        <w:spacing w:line="560" w:lineRule="exact"/>
        <w:ind w:firstLine="640" w:firstLineChars="200"/>
        <w:textAlignment w:val="auto"/>
        <w:outlineLvl w:val="2"/>
        <w:rPr>
          <w:rFonts w:hint="eastAsia" w:ascii="仿宋_GB2312" w:hAnsi="仿宋_GB2312" w:eastAsia="仿宋_GB2312" w:cs="仿宋_GB2312"/>
          <w:b w:val="0"/>
          <w:bCs/>
          <w:color w:val="auto"/>
          <w:sz w:val="32"/>
          <w:szCs w:val="32"/>
          <w:highlight w:val="none"/>
        </w:rPr>
      </w:pPr>
      <w:bookmarkStart w:id="49" w:name="_Toc15378460"/>
      <w:bookmarkStart w:id="50" w:name="_Toc15377444"/>
      <w:bookmarkStart w:id="51" w:name="_Toc15377213"/>
      <w:r>
        <w:rPr>
          <w:rFonts w:hint="eastAsia" w:ascii="仿宋_GB2312" w:hAnsi="仿宋_GB2312" w:eastAsia="仿宋_GB2312" w:cs="仿宋_GB2312"/>
          <w:b w:val="0"/>
          <w:bCs/>
          <w:color w:val="auto"/>
          <w:sz w:val="32"/>
          <w:szCs w:val="32"/>
          <w:highlight w:val="none"/>
        </w:rPr>
        <w:t>20</w:t>
      </w:r>
      <w:r>
        <w:rPr>
          <w:rFonts w:hint="eastAsia" w:ascii="仿宋_GB2312" w:hAnsi="仿宋_GB2312" w:eastAsia="仿宋_GB2312" w:cs="仿宋_GB2312"/>
          <w:b w:val="0"/>
          <w:bCs/>
          <w:color w:val="auto"/>
          <w:sz w:val="32"/>
          <w:szCs w:val="32"/>
          <w:highlight w:val="none"/>
          <w:lang w:val="en-US" w:eastAsia="zh-CN"/>
        </w:rPr>
        <w:t>21</w:t>
      </w:r>
      <w:r>
        <w:rPr>
          <w:rFonts w:hint="eastAsia" w:ascii="仿宋_GB2312" w:hAnsi="仿宋_GB2312" w:eastAsia="仿宋_GB2312" w:cs="仿宋_GB2312"/>
          <w:b w:val="0"/>
          <w:bCs/>
          <w:color w:val="auto"/>
          <w:sz w:val="32"/>
          <w:szCs w:val="32"/>
          <w:highlight w:val="none"/>
        </w:rPr>
        <w:t>年</w:t>
      </w:r>
      <w:r>
        <w:rPr>
          <w:rFonts w:hint="eastAsia" w:ascii="仿宋_GB2312" w:hAnsi="仿宋_GB2312" w:eastAsia="仿宋_GB2312" w:cs="仿宋_GB2312"/>
          <w:b w:val="0"/>
          <w:bCs/>
          <w:color w:val="auto"/>
          <w:sz w:val="32"/>
          <w:szCs w:val="32"/>
          <w:highlight w:val="none"/>
          <w:lang w:eastAsia="zh-CN"/>
        </w:rPr>
        <w:t>一</w:t>
      </w:r>
      <w:r>
        <w:rPr>
          <w:rFonts w:hint="eastAsia" w:ascii="仿宋_GB2312" w:hAnsi="仿宋_GB2312" w:eastAsia="仿宋_GB2312" w:cs="仿宋_GB2312"/>
          <w:b w:val="0"/>
          <w:bCs/>
          <w:color w:val="auto"/>
          <w:sz w:val="32"/>
          <w:szCs w:val="32"/>
          <w:highlight w:val="none"/>
        </w:rPr>
        <w:t>般公共预算支出决算数为</w:t>
      </w:r>
      <w:r>
        <w:rPr>
          <w:rFonts w:hint="eastAsia" w:ascii="仿宋_GB2312" w:hAnsi="仿宋_GB2312" w:eastAsia="仿宋_GB2312" w:cs="仿宋_GB2312"/>
          <w:b w:val="0"/>
          <w:bCs/>
          <w:color w:val="auto"/>
          <w:sz w:val="32"/>
          <w:szCs w:val="32"/>
          <w:highlight w:val="none"/>
          <w:lang w:val="en-US" w:eastAsia="zh-CN"/>
        </w:rPr>
        <w:t>166.41</w:t>
      </w:r>
      <w:r>
        <w:rPr>
          <w:rFonts w:hint="eastAsia" w:ascii="仿宋_GB2312" w:hAnsi="仿宋_GB2312" w:eastAsia="仿宋_GB2312" w:cs="仿宋_GB2312"/>
          <w:b w:val="0"/>
          <w:bCs/>
          <w:color w:val="auto"/>
          <w:sz w:val="32"/>
          <w:szCs w:val="32"/>
          <w:highlight w:val="none"/>
        </w:rPr>
        <w:t>，</w:t>
      </w:r>
      <w:r>
        <w:rPr>
          <w:rStyle w:val="14"/>
          <w:rFonts w:hint="eastAsia" w:ascii="仿宋_GB2312" w:hAnsi="仿宋_GB2312" w:eastAsia="仿宋_GB2312" w:cs="仿宋_GB2312"/>
          <w:b w:val="0"/>
          <w:bCs/>
          <w:color w:val="auto"/>
          <w:sz w:val="32"/>
          <w:szCs w:val="32"/>
          <w:highlight w:val="none"/>
        </w:rPr>
        <w:t>完成预算</w:t>
      </w:r>
      <w:r>
        <w:rPr>
          <w:rStyle w:val="14"/>
          <w:rFonts w:hint="eastAsia" w:ascii="仿宋_GB2312" w:hAnsi="仿宋_GB2312" w:eastAsia="仿宋_GB2312" w:cs="仿宋_GB2312"/>
          <w:b w:val="0"/>
          <w:bCs/>
          <w:color w:val="auto"/>
          <w:sz w:val="32"/>
          <w:szCs w:val="32"/>
          <w:highlight w:val="none"/>
          <w:lang w:val="en-US" w:eastAsia="zh-CN"/>
        </w:rPr>
        <w:t>83.47</w:t>
      </w:r>
      <w:r>
        <w:rPr>
          <w:rStyle w:val="14"/>
          <w:rFonts w:hint="eastAsia" w:ascii="仿宋_GB2312" w:hAnsi="仿宋_GB2312" w:eastAsia="仿宋_GB2312" w:cs="仿宋_GB2312"/>
          <w:b w:val="0"/>
          <w:bCs/>
          <w:color w:val="auto"/>
          <w:sz w:val="32"/>
          <w:szCs w:val="32"/>
          <w:highlight w:val="none"/>
        </w:rPr>
        <w:t>%。其中：</w:t>
      </w:r>
      <w:bookmarkEnd w:id="49"/>
      <w:bookmarkEnd w:id="50"/>
      <w:bookmarkEnd w:id="51"/>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Style w:val="14"/>
          <w:rFonts w:hint="eastAsia" w:ascii="仿宋_GB2312" w:hAnsi="仿宋_GB2312" w:eastAsia="仿宋_GB2312" w:cs="仿宋_GB2312"/>
          <w:b w:val="0"/>
          <w:bCs/>
          <w:color w:val="auto"/>
          <w:sz w:val="32"/>
          <w:szCs w:val="32"/>
          <w:highlight w:val="none"/>
        </w:rPr>
      </w:pPr>
      <w:r>
        <w:rPr>
          <w:rStyle w:val="14"/>
          <w:rFonts w:hint="eastAsia" w:ascii="仿宋_GB2312" w:hAnsi="仿宋_GB2312" w:eastAsia="仿宋_GB2312" w:cs="仿宋_GB2312"/>
          <w:b/>
          <w:bCs w:val="0"/>
          <w:color w:val="auto"/>
          <w:sz w:val="32"/>
          <w:szCs w:val="32"/>
          <w:highlight w:val="none"/>
          <w:lang w:val="en-US" w:eastAsia="zh-CN"/>
        </w:rPr>
        <w:t>1.</w:t>
      </w:r>
      <w:r>
        <w:rPr>
          <w:rStyle w:val="14"/>
          <w:rFonts w:hint="eastAsia" w:ascii="仿宋_GB2312" w:hAnsi="仿宋_GB2312" w:eastAsia="仿宋_GB2312" w:cs="仿宋_GB2312"/>
          <w:b/>
          <w:bCs w:val="0"/>
          <w:color w:val="auto"/>
          <w:sz w:val="32"/>
          <w:szCs w:val="32"/>
          <w:highlight w:val="none"/>
        </w:rPr>
        <w:t>一般公共服务（类）</w:t>
      </w:r>
      <w:r>
        <w:rPr>
          <w:rStyle w:val="14"/>
          <w:rFonts w:hint="eastAsia" w:ascii="仿宋_GB2312" w:hAnsi="仿宋_GB2312" w:eastAsia="仿宋_GB2312" w:cs="仿宋_GB2312"/>
          <w:b/>
          <w:bCs w:val="0"/>
          <w:color w:val="000000"/>
          <w:sz w:val="32"/>
          <w:szCs w:val="32"/>
        </w:rPr>
        <w:t>财政事务（款）事业运行</w:t>
      </w:r>
      <w:r>
        <w:rPr>
          <w:rStyle w:val="14"/>
          <w:rFonts w:hint="eastAsia" w:ascii="仿宋_GB2312" w:hAnsi="仿宋_GB2312" w:eastAsia="仿宋_GB2312" w:cs="仿宋_GB2312"/>
          <w:b/>
          <w:bCs w:val="0"/>
          <w:color w:val="auto"/>
          <w:sz w:val="32"/>
          <w:szCs w:val="32"/>
          <w:highlight w:val="none"/>
        </w:rPr>
        <w:t>（项）</w:t>
      </w:r>
      <w:r>
        <w:rPr>
          <w:rStyle w:val="14"/>
          <w:rFonts w:hint="eastAsia" w:ascii="仿宋_GB2312" w:hAnsi="仿宋_GB2312" w:eastAsia="仿宋_GB2312" w:cs="仿宋_GB2312"/>
          <w:b w:val="0"/>
          <w:bCs/>
          <w:color w:val="auto"/>
          <w:sz w:val="32"/>
          <w:szCs w:val="32"/>
          <w:highlight w:val="none"/>
        </w:rPr>
        <w:t>: 支出决算为</w:t>
      </w:r>
      <w:r>
        <w:rPr>
          <w:rStyle w:val="14"/>
          <w:rFonts w:hint="eastAsia" w:ascii="仿宋_GB2312" w:hAnsi="仿宋_GB2312" w:eastAsia="仿宋_GB2312" w:cs="仿宋_GB2312"/>
          <w:b w:val="0"/>
          <w:bCs/>
          <w:color w:val="auto"/>
          <w:sz w:val="32"/>
          <w:szCs w:val="32"/>
          <w:highlight w:val="none"/>
          <w:lang w:val="en-US" w:eastAsia="zh-CN"/>
        </w:rPr>
        <w:t>94.2</w:t>
      </w:r>
      <w:r>
        <w:rPr>
          <w:rStyle w:val="14"/>
          <w:rFonts w:hint="eastAsia" w:ascii="仿宋_GB2312" w:hAnsi="仿宋_GB2312" w:eastAsia="仿宋_GB2312" w:cs="仿宋_GB2312"/>
          <w:b w:val="0"/>
          <w:bCs/>
          <w:color w:val="auto"/>
          <w:sz w:val="32"/>
          <w:szCs w:val="32"/>
          <w:highlight w:val="none"/>
        </w:rPr>
        <w:t>万元，完成预算</w:t>
      </w:r>
      <w:r>
        <w:rPr>
          <w:rStyle w:val="14"/>
          <w:rFonts w:hint="eastAsia" w:ascii="仿宋_GB2312" w:hAnsi="仿宋_GB2312" w:eastAsia="仿宋_GB2312" w:cs="仿宋_GB2312"/>
          <w:b w:val="0"/>
          <w:bCs/>
          <w:color w:val="auto"/>
          <w:sz w:val="32"/>
          <w:szCs w:val="32"/>
          <w:highlight w:val="none"/>
          <w:lang w:val="en-US" w:eastAsia="zh-CN"/>
        </w:rPr>
        <w:t>83.59</w:t>
      </w:r>
      <w:r>
        <w:rPr>
          <w:rStyle w:val="14"/>
          <w:rFonts w:hint="eastAsia" w:ascii="仿宋_GB2312" w:hAnsi="仿宋_GB2312" w:eastAsia="仿宋_GB2312" w:cs="仿宋_GB2312"/>
          <w:b w:val="0"/>
          <w:bCs/>
          <w:color w:val="auto"/>
          <w:sz w:val="32"/>
          <w:szCs w:val="32"/>
          <w:highlight w:val="none"/>
        </w:rPr>
        <w:t>%，决算数小于预算数的主要原因是</w:t>
      </w:r>
      <w:r>
        <w:rPr>
          <w:rStyle w:val="14"/>
          <w:rFonts w:hint="eastAsia" w:ascii="仿宋_GB2312" w:hAnsi="仿宋_GB2312" w:eastAsia="仿宋_GB2312" w:cs="仿宋_GB2312"/>
          <w:b w:val="0"/>
          <w:bCs/>
          <w:color w:val="000000"/>
          <w:sz w:val="32"/>
          <w:szCs w:val="32"/>
        </w:rPr>
        <w:t>积极贯彻落实中央八项规定及省委省政府十项规定要求，加强单位日常经费管理</w:t>
      </w:r>
      <w:r>
        <w:rPr>
          <w:rStyle w:val="14"/>
          <w:rFonts w:hint="eastAsia" w:ascii="仿宋_GB2312" w:hAnsi="仿宋_GB2312" w:eastAsia="仿宋_GB2312" w:cs="仿宋_GB2312"/>
          <w:b w:val="0"/>
          <w:bCs/>
          <w:color w:val="auto"/>
          <w:sz w:val="32"/>
          <w:szCs w:val="32"/>
          <w:highlight w:val="none"/>
        </w:rPr>
        <w:t>。</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sz w:val="32"/>
          <w:szCs w:val="32"/>
          <w:lang w:val="en-US" w:eastAsia="zh-CN"/>
        </w:rPr>
      </w:pPr>
      <w:r>
        <w:rPr>
          <w:rStyle w:val="14"/>
          <w:rFonts w:hint="eastAsia" w:ascii="仿宋_GB2312" w:hAnsi="仿宋_GB2312" w:eastAsia="仿宋_GB2312" w:cs="仿宋_GB2312"/>
          <w:b/>
          <w:bCs w:val="0"/>
          <w:color w:val="000000"/>
          <w:sz w:val="32"/>
          <w:szCs w:val="32"/>
        </w:rPr>
        <w:t>2.一般公共服务（类）财政事务（款）其他财政事务支出（项）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30.54</w:t>
      </w:r>
      <w:r>
        <w:rPr>
          <w:rStyle w:val="14"/>
          <w:rFonts w:hint="eastAsia" w:ascii="仿宋_GB2312" w:hAnsi="仿宋_GB2312" w:eastAsia="仿宋_GB2312" w:cs="仿宋_GB2312"/>
          <w:b w:val="0"/>
          <w:bCs/>
          <w:color w:val="000000"/>
          <w:sz w:val="32"/>
          <w:szCs w:val="32"/>
        </w:rPr>
        <w:t>万元，完成预算</w:t>
      </w:r>
      <w:r>
        <w:rPr>
          <w:rStyle w:val="14"/>
          <w:rFonts w:hint="eastAsia" w:ascii="仿宋_GB2312" w:hAnsi="仿宋_GB2312" w:eastAsia="仿宋_GB2312" w:cs="仿宋_GB2312"/>
          <w:b w:val="0"/>
          <w:bCs/>
          <w:color w:val="000000"/>
          <w:sz w:val="32"/>
          <w:szCs w:val="32"/>
          <w:lang w:val="en-US" w:eastAsia="zh-CN"/>
        </w:rPr>
        <w:t>67.87</w:t>
      </w:r>
      <w:r>
        <w:rPr>
          <w:rStyle w:val="14"/>
          <w:rFonts w:hint="eastAsia" w:ascii="仿宋_GB2312" w:hAnsi="仿宋_GB2312" w:eastAsia="仿宋_GB2312" w:cs="仿宋_GB2312"/>
          <w:b w:val="0"/>
          <w:bCs/>
          <w:color w:val="000000"/>
          <w:sz w:val="32"/>
          <w:szCs w:val="32"/>
        </w:rPr>
        <w:t>%，决算数小于预算数的主要原因是</w:t>
      </w:r>
      <w:r>
        <w:rPr>
          <w:rFonts w:hint="eastAsia" w:ascii="仿宋_GB2312" w:hAnsi="仿宋_GB2312" w:eastAsia="仿宋_GB2312" w:cs="仿宋_GB2312"/>
          <w:b w:val="0"/>
          <w:bCs/>
          <w:sz w:val="32"/>
          <w:szCs w:val="32"/>
        </w:rPr>
        <w:t>预算中原拟聘请咨询机构提供的基础资料不能达到工作要求标准,暂不具备项目实施条件</w:t>
      </w:r>
      <w:r>
        <w:rPr>
          <w:rStyle w:val="14"/>
          <w:rFonts w:hint="eastAsia" w:ascii="仿宋_GB2312" w:hAnsi="仿宋_GB2312" w:eastAsia="仿宋_GB2312" w:cs="仿宋_GB2312"/>
          <w:b w:val="0"/>
          <w:bCs/>
          <w:color w:val="000000"/>
          <w:sz w:val="32"/>
          <w:szCs w:val="32"/>
        </w:rPr>
        <w:t>。</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Style w:val="14"/>
          <w:rFonts w:hint="eastAsia" w:ascii="仿宋_GB2312" w:hAnsi="仿宋_GB2312" w:eastAsia="仿宋_GB2312" w:cs="仿宋_GB2312"/>
          <w:b w:val="0"/>
          <w:bCs/>
          <w:color w:val="auto"/>
          <w:sz w:val="32"/>
          <w:szCs w:val="32"/>
          <w:highlight w:val="none"/>
          <w:lang w:eastAsia="zh-CN"/>
        </w:rPr>
      </w:pPr>
      <w:r>
        <w:rPr>
          <w:rStyle w:val="14"/>
          <w:rFonts w:hint="eastAsia" w:ascii="仿宋_GB2312" w:hAnsi="仿宋_GB2312" w:eastAsia="仿宋_GB2312" w:cs="仿宋_GB2312"/>
          <w:b/>
          <w:bCs w:val="0"/>
          <w:color w:val="000000"/>
          <w:sz w:val="32"/>
          <w:szCs w:val="32"/>
          <w:lang w:val="en-US" w:eastAsia="zh-CN"/>
        </w:rPr>
        <w:t>3.</w:t>
      </w:r>
      <w:r>
        <w:rPr>
          <w:rStyle w:val="14"/>
          <w:rFonts w:hint="eastAsia" w:ascii="仿宋_GB2312" w:hAnsi="仿宋_GB2312" w:eastAsia="仿宋_GB2312" w:cs="仿宋_GB2312"/>
          <w:b/>
          <w:bCs w:val="0"/>
          <w:color w:val="000000"/>
          <w:sz w:val="32"/>
          <w:szCs w:val="32"/>
        </w:rPr>
        <w:t>社会保障和就业（类）行政事业单位养老支出（款）机关事业单位基本养老保险缴费支出（项）</w:t>
      </w:r>
      <w:r>
        <w:rPr>
          <w:rStyle w:val="14"/>
          <w:rFonts w:hint="eastAsia" w:ascii="仿宋_GB2312" w:hAnsi="仿宋_GB2312" w:eastAsia="仿宋_GB2312" w:cs="仿宋_GB2312"/>
          <w:b w:val="0"/>
          <w:bCs/>
          <w:color w:val="auto"/>
          <w:sz w:val="32"/>
          <w:szCs w:val="32"/>
          <w:highlight w:val="none"/>
        </w:rPr>
        <w:t>: 支出决算为</w:t>
      </w:r>
      <w:r>
        <w:rPr>
          <w:rStyle w:val="14"/>
          <w:rFonts w:hint="eastAsia" w:ascii="仿宋_GB2312" w:hAnsi="仿宋_GB2312" w:eastAsia="仿宋_GB2312" w:cs="仿宋_GB2312"/>
          <w:b w:val="0"/>
          <w:bCs/>
          <w:color w:val="auto"/>
          <w:sz w:val="32"/>
          <w:szCs w:val="32"/>
          <w:highlight w:val="none"/>
          <w:lang w:val="en-US" w:eastAsia="zh-CN"/>
        </w:rPr>
        <w:t>8.46</w:t>
      </w:r>
      <w:r>
        <w:rPr>
          <w:rStyle w:val="14"/>
          <w:rFonts w:hint="eastAsia" w:ascii="仿宋_GB2312" w:hAnsi="仿宋_GB2312" w:eastAsia="仿宋_GB2312" w:cs="仿宋_GB2312"/>
          <w:b w:val="0"/>
          <w:bCs/>
          <w:color w:val="auto"/>
          <w:sz w:val="32"/>
          <w:szCs w:val="32"/>
          <w:highlight w:val="none"/>
        </w:rPr>
        <w:t>万元，完成预算</w:t>
      </w:r>
      <w:r>
        <w:rPr>
          <w:rStyle w:val="14"/>
          <w:rFonts w:hint="eastAsia" w:ascii="仿宋_GB2312" w:hAnsi="仿宋_GB2312" w:eastAsia="仿宋_GB2312" w:cs="仿宋_GB2312"/>
          <w:b w:val="0"/>
          <w:bCs/>
          <w:color w:val="auto"/>
          <w:sz w:val="32"/>
          <w:szCs w:val="32"/>
          <w:highlight w:val="none"/>
          <w:lang w:val="en-US" w:eastAsia="zh-CN"/>
        </w:rPr>
        <w:t>100</w:t>
      </w:r>
      <w:r>
        <w:rPr>
          <w:rStyle w:val="14"/>
          <w:rFonts w:hint="eastAsia" w:ascii="仿宋_GB2312" w:hAnsi="仿宋_GB2312" w:eastAsia="仿宋_GB2312" w:cs="仿宋_GB2312"/>
          <w:b w:val="0"/>
          <w:bCs/>
          <w:color w:val="auto"/>
          <w:sz w:val="32"/>
          <w:szCs w:val="32"/>
          <w:highlight w:val="none"/>
        </w:rPr>
        <w:t>%</w:t>
      </w:r>
      <w:r>
        <w:rPr>
          <w:rStyle w:val="14"/>
          <w:rFonts w:hint="eastAsia" w:ascii="仿宋_GB2312" w:hAnsi="仿宋_GB2312" w:eastAsia="仿宋_GB2312" w:cs="仿宋_GB2312"/>
          <w:b w:val="0"/>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bCs w:val="0"/>
          <w:color w:val="000000"/>
          <w:sz w:val="32"/>
          <w:szCs w:val="32"/>
        </w:rPr>
        <w:t>4.社会保障和就业（类）行政事业单位养老支出（款）机关事业单位职业年金缴费支出（项）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4.24</w:t>
      </w:r>
      <w:r>
        <w:rPr>
          <w:rStyle w:val="14"/>
          <w:rFonts w:hint="eastAsia" w:ascii="仿宋_GB2312" w:hAnsi="仿宋_GB2312" w:eastAsia="仿宋_GB2312" w:cs="仿宋_GB2312"/>
          <w:b w:val="0"/>
          <w:bCs/>
          <w:color w:val="000000"/>
          <w:sz w:val="32"/>
          <w:szCs w:val="32"/>
        </w:rPr>
        <w:t>万元，完成预算100%。</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bCs w:val="0"/>
          <w:color w:val="000000"/>
          <w:sz w:val="32"/>
          <w:szCs w:val="32"/>
        </w:rPr>
        <w:t>5.</w:t>
      </w:r>
      <w:r>
        <w:rPr>
          <w:rFonts w:hint="eastAsia" w:ascii="仿宋_GB2312" w:hAnsi="仿宋_GB2312" w:eastAsia="仿宋_GB2312" w:cs="仿宋_GB2312"/>
          <w:b/>
          <w:bCs w:val="0"/>
          <w:color w:val="000000" w:themeColor="text1"/>
          <w:sz w:val="32"/>
          <w:szCs w:val="32"/>
          <w14:textFill>
            <w14:solidFill>
              <w14:schemeClr w14:val="tx1"/>
            </w14:solidFill>
          </w14:textFill>
        </w:rPr>
        <w:t>卫生健康</w:t>
      </w:r>
      <w:r>
        <w:rPr>
          <w:rStyle w:val="14"/>
          <w:rFonts w:hint="eastAsia" w:ascii="仿宋_GB2312" w:hAnsi="仿宋_GB2312" w:eastAsia="仿宋_GB2312" w:cs="仿宋_GB2312"/>
          <w:b/>
          <w:bCs w:val="0"/>
          <w:color w:val="000000"/>
          <w:sz w:val="32"/>
          <w:szCs w:val="32"/>
        </w:rPr>
        <w:t>（类）行政事业单位医疗（款）事业单位医疗（项）</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8.11</w:t>
      </w:r>
      <w:r>
        <w:rPr>
          <w:rStyle w:val="14"/>
          <w:rFonts w:hint="eastAsia" w:ascii="仿宋_GB2312" w:hAnsi="仿宋_GB2312" w:eastAsia="仿宋_GB2312" w:cs="仿宋_GB2312"/>
          <w:b w:val="0"/>
          <w:bCs/>
          <w:color w:val="000000"/>
          <w:sz w:val="32"/>
          <w:szCs w:val="32"/>
        </w:rPr>
        <w:t>万元，完成预算100%。</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color w:val="000000"/>
          <w:sz w:val="32"/>
          <w:szCs w:val="32"/>
        </w:rPr>
      </w:pPr>
      <w:r>
        <w:rPr>
          <w:rStyle w:val="14"/>
          <w:rFonts w:hint="eastAsia" w:ascii="仿宋_GB2312" w:hAnsi="仿宋_GB2312" w:eastAsia="仿宋_GB2312" w:cs="仿宋_GB2312"/>
          <w:b/>
          <w:bCs w:val="0"/>
          <w:color w:val="000000"/>
          <w:sz w:val="32"/>
          <w:szCs w:val="32"/>
        </w:rPr>
        <w:t>6.住房保障（类）住房改革支出（款）住房公积金（项）</w:t>
      </w:r>
      <w:r>
        <w:rPr>
          <w:rStyle w:val="14"/>
          <w:rFonts w:hint="eastAsia" w:ascii="仿宋_GB2312" w:hAnsi="仿宋_GB2312" w:eastAsia="仿宋_GB2312" w:cs="仿宋_GB2312"/>
          <w:b w:val="0"/>
          <w:bCs/>
          <w:color w:val="000000"/>
          <w:sz w:val="32"/>
          <w:szCs w:val="32"/>
        </w:rPr>
        <w:t>:支出决算为9.</w:t>
      </w:r>
      <w:r>
        <w:rPr>
          <w:rStyle w:val="14"/>
          <w:rFonts w:hint="eastAsia" w:ascii="仿宋_GB2312" w:hAnsi="仿宋_GB2312" w:eastAsia="仿宋_GB2312" w:cs="仿宋_GB2312"/>
          <w:b w:val="0"/>
          <w:bCs/>
          <w:color w:val="000000"/>
          <w:sz w:val="32"/>
          <w:szCs w:val="32"/>
          <w:lang w:val="en-US" w:eastAsia="zh-CN"/>
        </w:rPr>
        <w:t>81</w:t>
      </w:r>
      <w:r>
        <w:rPr>
          <w:rStyle w:val="14"/>
          <w:rFonts w:hint="eastAsia" w:ascii="仿宋_GB2312" w:hAnsi="仿宋_GB2312" w:eastAsia="仿宋_GB2312" w:cs="仿宋_GB2312"/>
          <w:b w:val="0"/>
          <w:bCs/>
          <w:color w:val="000000"/>
          <w:sz w:val="32"/>
          <w:szCs w:val="32"/>
        </w:rPr>
        <w:t>万元，完成预算100%。</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color w:val="auto"/>
          <w:sz w:val="32"/>
          <w:szCs w:val="32"/>
          <w:highlight w:val="none"/>
        </w:rPr>
      </w:pPr>
      <w:r>
        <w:rPr>
          <w:rStyle w:val="14"/>
          <w:rFonts w:hint="eastAsia" w:ascii="仿宋_GB2312" w:hAnsi="仿宋_GB2312" w:eastAsia="仿宋_GB2312" w:cs="仿宋_GB2312"/>
          <w:b/>
          <w:bCs w:val="0"/>
          <w:color w:val="000000"/>
          <w:sz w:val="32"/>
          <w:szCs w:val="32"/>
        </w:rPr>
        <w:t>7.住房保障（类）住房改革支出（款）购房补贴（项）</w:t>
      </w:r>
      <w:r>
        <w:rPr>
          <w:rStyle w:val="14"/>
          <w:rFonts w:hint="eastAsia" w:ascii="仿宋_GB2312" w:hAnsi="仿宋_GB2312" w:eastAsia="仿宋_GB2312" w:cs="仿宋_GB2312"/>
          <w:b w:val="0"/>
          <w:bCs/>
          <w:color w:val="000000"/>
          <w:sz w:val="32"/>
          <w:szCs w:val="32"/>
          <w:lang w:eastAsia="zh-CN"/>
        </w:rPr>
        <w:t>：</w:t>
      </w:r>
      <w:r>
        <w:rPr>
          <w:rStyle w:val="14"/>
          <w:rFonts w:hint="eastAsia" w:ascii="仿宋_GB2312" w:hAnsi="仿宋_GB2312" w:eastAsia="仿宋_GB2312" w:cs="仿宋_GB2312"/>
          <w:b w:val="0"/>
          <w:bCs/>
          <w:color w:val="000000"/>
          <w:sz w:val="32"/>
          <w:szCs w:val="32"/>
        </w:rPr>
        <w:t>支出决算为</w:t>
      </w:r>
      <w:r>
        <w:rPr>
          <w:rStyle w:val="14"/>
          <w:rFonts w:hint="eastAsia" w:ascii="仿宋_GB2312" w:hAnsi="仿宋_GB2312" w:eastAsia="仿宋_GB2312" w:cs="仿宋_GB2312"/>
          <w:b w:val="0"/>
          <w:bCs/>
          <w:color w:val="000000"/>
          <w:sz w:val="32"/>
          <w:szCs w:val="32"/>
          <w:lang w:val="en-US" w:eastAsia="zh-CN"/>
        </w:rPr>
        <w:t>11.05</w:t>
      </w:r>
      <w:r>
        <w:rPr>
          <w:rStyle w:val="14"/>
          <w:rFonts w:hint="eastAsia" w:ascii="仿宋_GB2312" w:hAnsi="仿宋_GB2312" w:eastAsia="仿宋_GB2312" w:cs="仿宋_GB2312"/>
          <w:b w:val="0"/>
          <w:bCs/>
          <w:color w:val="000000"/>
          <w:sz w:val="32"/>
          <w:szCs w:val="32"/>
        </w:rPr>
        <w:t>万元，完成预算100%。</w:t>
      </w:r>
    </w:p>
    <w:p>
      <w:pPr>
        <w:keepNext w:val="0"/>
        <w:keepLines w:val="0"/>
        <w:pageBreakBefore w:val="0"/>
        <w:widowControl w:val="0"/>
        <w:tabs>
          <w:tab w:val="right" w:pos="8306"/>
        </w:tabs>
        <w:kinsoku/>
        <w:wordWrap/>
        <w:overflowPunct/>
        <w:topLinePunct w:val="0"/>
        <w:bidi w:val="0"/>
        <w:snapToGrid/>
        <w:spacing w:line="560" w:lineRule="exact"/>
        <w:ind w:firstLine="640"/>
        <w:textAlignment w:val="auto"/>
        <w:outlineLvl w:val="1"/>
        <w:rPr>
          <w:rStyle w:val="25"/>
          <w:rFonts w:hint="eastAsia" w:ascii="黑体" w:hAnsi="黑体" w:eastAsia="黑体" w:cs="黑体"/>
          <w:color w:val="auto"/>
          <w:sz w:val="32"/>
          <w:szCs w:val="32"/>
          <w:highlight w:val="none"/>
        </w:rPr>
      </w:pPr>
      <w:bookmarkStart w:id="52" w:name="_Toc15396608"/>
      <w:bookmarkStart w:id="53" w:name="_Toc424298515"/>
      <w:bookmarkStart w:id="54" w:name="_Toc15377214"/>
      <w:r>
        <w:rPr>
          <w:rFonts w:hint="eastAsia" w:ascii="黑体" w:hAnsi="黑体" w:eastAsia="黑体" w:cs="黑体"/>
          <w:color w:val="auto"/>
          <w:sz w:val="32"/>
          <w:szCs w:val="32"/>
          <w:highlight w:val="none"/>
        </w:rPr>
        <w:t>六</w:t>
      </w:r>
      <w:r>
        <w:rPr>
          <w:rFonts w:hint="eastAsia" w:ascii="黑体" w:hAnsi="黑体" w:eastAsia="黑体" w:cs="黑体"/>
          <w:b/>
          <w:color w:val="auto"/>
          <w:sz w:val="32"/>
          <w:szCs w:val="32"/>
          <w:highlight w:val="none"/>
        </w:rPr>
        <w:t>、一</w:t>
      </w:r>
      <w:r>
        <w:rPr>
          <w:rStyle w:val="25"/>
          <w:rFonts w:hint="eastAsia" w:ascii="黑体" w:hAnsi="黑体" w:eastAsia="黑体" w:cs="黑体"/>
          <w:b w:val="0"/>
          <w:color w:val="auto"/>
          <w:sz w:val="32"/>
          <w:szCs w:val="32"/>
          <w:highlight w:val="none"/>
        </w:rPr>
        <w:t>般公共预算财政拨款基本支出决算情况说明</w:t>
      </w:r>
      <w:bookmarkEnd w:id="52"/>
      <w:bookmarkEnd w:id="53"/>
      <w:bookmarkEnd w:id="54"/>
      <w:r>
        <w:rPr>
          <w:rStyle w:val="25"/>
          <w:rFonts w:hint="eastAsia" w:ascii="黑体" w:hAnsi="黑体" w:eastAsia="黑体" w:cs="黑体"/>
          <w:b w:val="0"/>
          <w:color w:val="auto"/>
          <w:sz w:val="32"/>
          <w:szCs w:val="32"/>
          <w:highlight w:val="none"/>
        </w:rPr>
        <w:tab/>
      </w:r>
    </w:p>
    <w:p>
      <w:pPr>
        <w:keepNext w:val="0"/>
        <w:keepLines w:val="0"/>
        <w:pageBreakBefore w:val="0"/>
        <w:widowControl w:val="0"/>
        <w:kinsoku/>
        <w:wordWrap/>
        <w:overflowPunct/>
        <w:topLinePunct w:val="0"/>
        <w:bidi w:val="0"/>
        <w:snapToGrid/>
        <w:spacing w:line="560" w:lineRule="exact"/>
        <w:ind w:firstLine="645"/>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年一般公共预算财政拨款基本支出</w:t>
      </w:r>
      <w:r>
        <w:rPr>
          <w:rFonts w:hint="eastAsia" w:ascii="仿宋_GB2312" w:hAnsi="仿宋_GB2312" w:eastAsia="仿宋_GB2312" w:cs="仿宋_GB2312"/>
          <w:color w:val="auto"/>
          <w:sz w:val="32"/>
          <w:szCs w:val="32"/>
          <w:highlight w:val="none"/>
          <w:lang w:val="en-US" w:eastAsia="zh-CN"/>
        </w:rPr>
        <w:t>135.87</w:t>
      </w:r>
      <w:r>
        <w:rPr>
          <w:rFonts w:hint="eastAsia" w:ascii="仿宋_GB2312" w:hAnsi="仿宋_GB2312" w:eastAsia="仿宋_GB2312" w:cs="仿宋_GB2312"/>
          <w:color w:val="auto"/>
          <w:sz w:val="32"/>
          <w:szCs w:val="32"/>
          <w:highlight w:val="none"/>
        </w:rPr>
        <w:t>万元，其中：</w:t>
      </w:r>
    </w:p>
    <w:p>
      <w:pPr>
        <w:keepNext w:val="0"/>
        <w:keepLines w:val="0"/>
        <w:pageBreakBefore w:val="0"/>
        <w:widowControl w:val="0"/>
        <w:kinsoku/>
        <w:wordWrap/>
        <w:overflowPunct/>
        <w:topLinePunct w:val="0"/>
        <w:bidi w:val="0"/>
        <w:snapToGrid/>
        <w:spacing w:line="560" w:lineRule="exact"/>
        <w:ind w:firstLine="645"/>
        <w:textAlignment w:val="auto"/>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人员经费</w:t>
      </w:r>
      <w:r>
        <w:rPr>
          <w:rFonts w:hint="eastAsia" w:ascii="仿宋_GB2312" w:hAnsi="仿宋_GB2312" w:eastAsia="仿宋_GB2312" w:cs="仿宋_GB2312"/>
          <w:color w:val="auto"/>
          <w:sz w:val="32"/>
          <w:szCs w:val="32"/>
          <w:highlight w:val="none"/>
          <w:lang w:val="en-US" w:eastAsia="zh-CN"/>
        </w:rPr>
        <w:t>118.4</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000000"/>
          <w:sz w:val="32"/>
          <w:szCs w:val="32"/>
        </w:rPr>
        <w:t>基本工资、津贴补贴、绩效工资、机关事业单位基本养老保险缴费、职业年金缴费、职工基本医疗保险缴费、其他社会保障缴费、住房公积金、其他工资福利支出等。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auto"/>
          <w:sz w:val="32"/>
          <w:szCs w:val="32"/>
          <w:highlight w:val="none"/>
        </w:rPr>
        <w:t>　　公用经费</w:t>
      </w:r>
      <w:r>
        <w:rPr>
          <w:rFonts w:hint="eastAsia" w:ascii="仿宋_GB2312" w:hAnsi="仿宋_GB2312" w:eastAsia="仿宋_GB2312" w:cs="仿宋_GB2312"/>
          <w:color w:val="auto"/>
          <w:sz w:val="32"/>
          <w:szCs w:val="32"/>
          <w:highlight w:val="none"/>
          <w:lang w:val="en-US" w:eastAsia="zh-CN"/>
        </w:rPr>
        <w:t>17.47</w:t>
      </w:r>
      <w:r>
        <w:rPr>
          <w:rFonts w:hint="eastAsia" w:ascii="仿宋_GB2312" w:hAnsi="仿宋_GB2312" w:eastAsia="仿宋_GB2312" w:cs="仿宋_GB2312"/>
          <w:color w:val="auto"/>
          <w:sz w:val="32"/>
          <w:szCs w:val="32"/>
          <w:highlight w:val="none"/>
        </w:rPr>
        <w:t>万元，主要包括：</w:t>
      </w:r>
      <w:r>
        <w:rPr>
          <w:rFonts w:hint="eastAsia" w:ascii="仿宋_GB2312" w:hAnsi="仿宋_GB2312" w:eastAsia="仿宋_GB2312" w:cs="仿宋_GB2312"/>
          <w:color w:val="000000"/>
          <w:sz w:val="32"/>
          <w:szCs w:val="32"/>
        </w:rPr>
        <w:t>办公费、差旅费、工会经费、福利费等。</w:t>
      </w:r>
    </w:p>
    <w:p>
      <w:pPr>
        <w:keepNext w:val="0"/>
        <w:keepLines w:val="0"/>
        <w:pageBreakBefore w:val="0"/>
        <w:widowControl w:val="0"/>
        <w:kinsoku/>
        <w:wordWrap/>
        <w:overflowPunct/>
        <w:topLinePunct w:val="0"/>
        <w:bidi w:val="0"/>
        <w:snapToGrid/>
        <w:spacing w:line="560" w:lineRule="exact"/>
        <w:ind w:firstLine="640"/>
        <w:textAlignment w:val="auto"/>
        <w:outlineLvl w:val="1"/>
        <w:rPr>
          <w:rStyle w:val="25"/>
          <w:rFonts w:ascii="黑体" w:hAnsi="黑体" w:eastAsia="黑体"/>
          <w:b w:val="0"/>
          <w:color w:val="auto"/>
          <w:highlight w:val="none"/>
        </w:rPr>
      </w:pPr>
      <w:bookmarkStart w:id="55" w:name="_Toc15396609"/>
      <w:bookmarkStart w:id="56" w:name="_Toc15377215"/>
      <w:bookmarkStart w:id="57" w:name="_Toc1851580427"/>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55"/>
      <w:bookmarkEnd w:id="56"/>
      <w:bookmarkEnd w:id="57"/>
    </w:p>
    <w:p>
      <w:pPr>
        <w:keepNext w:val="0"/>
        <w:keepLines w:val="0"/>
        <w:pageBreakBefore w:val="0"/>
        <w:widowControl w:val="0"/>
        <w:kinsoku/>
        <w:wordWrap/>
        <w:overflowPunct/>
        <w:topLinePunct w:val="0"/>
        <w:bidi w:val="0"/>
        <w:snapToGrid/>
        <w:spacing w:line="560" w:lineRule="exact"/>
        <w:ind w:firstLine="640"/>
        <w:textAlignment w:val="auto"/>
        <w:outlineLvl w:val="2"/>
        <w:rPr>
          <w:rFonts w:hint="eastAsia" w:ascii="楷体_GB2312" w:hAnsi="楷体_GB2312" w:eastAsia="楷体_GB2312" w:cs="楷体_GB2312"/>
          <w:b/>
          <w:color w:val="auto"/>
          <w:sz w:val="32"/>
          <w:szCs w:val="32"/>
          <w:highlight w:val="none"/>
        </w:rPr>
      </w:pPr>
      <w:bookmarkStart w:id="58" w:name="_Toc15377216"/>
      <w:r>
        <w:rPr>
          <w:rFonts w:hint="eastAsia" w:ascii="楷体_GB2312" w:hAnsi="楷体_GB2312" w:eastAsia="楷体_GB2312" w:cs="楷体_GB2312"/>
          <w:b/>
          <w:color w:val="auto"/>
          <w:sz w:val="32"/>
          <w:szCs w:val="32"/>
          <w:highlight w:val="none"/>
        </w:rPr>
        <w:t>（一）“三公”经费财政拨款支出决算总体情况说明</w:t>
      </w:r>
      <w:bookmarkEnd w:id="58"/>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Times New Roman" w:hAnsi="Times New Roman" w:eastAsia="仿宋_GB2312" w:cs="Times New Roman"/>
          <w:b w:val="0"/>
          <w:bCs w:val="0"/>
          <w:i w:val="0"/>
          <w:caps w:val="0"/>
          <w:color w:val="auto"/>
          <w:spacing w:val="0"/>
          <w:sz w:val="32"/>
          <w:szCs w:val="32"/>
          <w:highlight w:val="none"/>
          <w:shd w:val="clear" w:color="auto" w:fill="auto"/>
        </w:rPr>
        <w:t>政府债券发行管理中心</w:t>
      </w:r>
      <w:r>
        <w:rPr>
          <w:rFonts w:hint="eastAsia" w:eastAsia="仿宋_GB2312" w:cs="Times New Roman"/>
          <w:b w:val="0"/>
          <w:bCs w:val="0"/>
          <w:i w:val="0"/>
          <w:caps w:val="0"/>
          <w:color w:val="auto"/>
          <w:spacing w:val="0"/>
          <w:sz w:val="32"/>
          <w:szCs w:val="32"/>
          <w:highlight w:val="none"/>
          <w:shd w:val="clear" w:color="auto" w:fill="auto"/>
          <w:lang w:val="en-US" w:eastAsia="zh-CN"/>
        </w:rPr>
        <w:t>无</w:t>
      </w:r>
      <w:r>
        <w:rPr>
          <w:rFonts w:hint="eastAsia" w:ascii="仿宋_GB2312" w:hAnsi="仿宋_GB2312" w:eastAsia="仿宋_GB2312" w:cs="仿宋_GB2312"/>
          <w:color w:val="auto"/>
          <w:sz w:val="32"/>
          <w:szCs w:val="32"/>
          <w:highlight w:val="none"/>
        </w:rPr>
        <w:t>“三公”经费财政拨款支出</w:t>
      </w:r>
      <w:r>
        <w:rPr>
          <w:rFonts w:hint="eastAsia" w:ascii="仿宋_GB2312" w:hAnsi="仿宋_GB2312" w:eastAsia="仿宋_GB2312" w:cs="仿宋_GB2312"/>
          <w:color w:val="auto"/>
          <w:sz w:val="32"/>
          <w:szCs w:val="32"/>
          <w:highlight w:val="none"/>
          <w:lang w:val="en-US" w:eastAsia="zh-CN"/>
        </w:rPr>
        <w:t>预算，</w:t>
      </w:r>
      <w:bookmarkStart w:id="109" w:name="_GoBack"/>
      <w:bookmarkEnd w:id="109"/>
      <w:r>
        <w:rPr>
          <w:rFonts w:hint="eastAsia" w:ascii="仿宋_GB2312" w:hAnsi="仿宋_GB2312" w:eastAsia="仿宋_GB2312" w:cs="仿宋_GB2312"/>
          <w:color w:val="auto"/>
          <w:sz w:val="32"/>
          <w:szCs w:val="32"/>
          <w:highlight w:val="none"/>
        </w:rPr>
        <w:t>决算为</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支出决算</w:t>
      </w:r>
      <w:r>
        <w:rPr>
          <w:rFonts w:hint="eastAsia" w:ascii="仿宋_GB2312" w:hAnsi="仿宋_GB2312" w:eastAsia="仿宋_GB2312" w:cs="仿宋_GB2312"/>
          <w:color w:val="auto"/>
          <w:sz w:val="32"/>
          <w:szCs w:val="32"/>
          <w:highlight w:val="none"/>
          <w:lang w:eastAsia="zh-CN"/>
        </w:rPr>
        <w:t>较上年无变化</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snapToGrid/>
        <w:spacing w:line="560" w:lineRule="exact"/>
        <w:ind w:firstLine="640"/>
        <w:textAlignment w:val="auto"/>
        <w:outlineLvl w:val="2"/>
        <w:rPr>
          <w:rFonts w:hint="eastAsia" w:ascii="楷体_GB2312" w:hAnsi="楷体_GB2312" w:eastAsia="楷体_GB2312" w:cs="楷体_GB2312"/>
          <w:b/>
          <w:color w:val="auto"/>
          <w:sz w:val="32"/>
          <w:szCs w:val="32"/>
          <w:highlight w:val="none"/>
        </w:rPr>
      </w:pPr>
      <w:bookmarkStart w:id="59" w:name="_Toc15377217"/>
      <w:r>
        <w:rPr>
          <w:rFonts w:hint="eastAsia" w:ascii="楷体_GB2312" w:hAnsi="楷体_GB2312" w:eastAsia="楷体_GB2312" w:cs="楷体_GB2312"/>
          <w:b/>
          <w:color w:val="auto"/>
          <w:sz w:val="32"/>
          <w:szCs w:val="32"/>
          <w:highlight w:val="none"/>
        </w:rPr>
        <w:t>（二）“三公”经费财政拨款支出决算具体情况说明</w:t>
      </w:r>
      <w:bookmarkEnd w:id="59"/>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rPr>
        <w:t>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w:t>
      </w:r>
      <w:r>
        <w:rPr>
          <w:rFonts w:hint="eastAsia" w:ascii="Times New Roman" w:hAnsi="Times New Roman" w:eastAsia="仿宋_GB2312" w:cs="Times New Roman"/>
          <w:b w:val="0"/>
          <w:bCs w:val="0"/>
          <w:i w:val="0"/>
          <w:caps w:val="0"/>
          <w:color w:val="auto"/>
          <w:spacing w:val="0"/>
          <w:sz w:val="32"/>
          <w:szCs w:val="32"/>
          <w:highlight w:val="none"/>
          <w:shd w:val="clear" w:color="auto" w:fill="auto"/>
        </w:rPr>
        <w:t>政府债券发行管理中心</w:t>
      </w:r>
      <w:r>
        <w:rPr>
          <w:rFonts w:hint="eastAsia" w:ascii="仿宋_GB2312" w:hAnsi="仿宋_GB2312" w:eastAsia="仿宋_GB2312" w:cs="仿宋_GB2312"/>
          <w:color w:val="auto"/>
          <w:sz w:val="32"/>
          <w:szCs w:val="32"/>
          <w:highlight w:val="none"/>
        </w:rPr>
        <w:t>“三公”经费财政拨款支出决算中，因公出国（境）费支出决算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%；公务用车购置及运行维护费支出决算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%；公务接待费支出决算</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万元，占</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支出决算</w:t>
      </w:r>
      <w:r>
        <w:rPr>
          <w:rFonts w:hint="eastAsia" w:ascii="仿宋_GB2312" w:hAnsi="仿宋_GB2312" w:eastAsia="仿宋_GB2312" w:cs="仿宋_GB2312"/>
          <w:color w:val="auto"/>
          <w:sz w:val="32"/>
          <w:szCs w:val="32"/>
          <w:highlight w:val="none"/>
          <w:lang w:eastAsia="zh-CN"/>
        </w:rPr>
        <w:t>较上年</w:t>
      </w:r>
      <w:r>
        <w:rPr>
          <w:rFonts w:hint="eastAsia" w:ascii="仿宋_GB2312" w:hAnsi="仿宋_GB2312" w:eastAsia="仿宋_GB2312" w:cs="仿宋_GB2312"/>
          <w:b w:val="0"/>
          <w:bCs w:val="0"/>
          <w:color w:val="auto"/>
          <w:sz w:val="32"/>
          <w:szCs w:val="32"/>
          <w:highlight w:val="none"/>
          <w:lang w:eastAsia="zh-CN"/>
        </w:rPr>
        <w:t>无变化。</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rPr>
        <w:t>因公出国（境）经费支出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本年未安排因公出国（境）经费，</w:t>
      </w:r>
      <w:r>
        <w:rPr>
          <w:rFonts w:hint="eastAsia" w:ascii="仿宋_GB2312" w:hAnsi="仿宋_GB2312" w:eastAsia="仿宋_GB2312" w:cs="仿宋_GB2312"/>
          <w:b w:val="0"/>
          <w:bCs w:val="0"/>
          <w:color w:val="auto"/>
          <w:sz w:val="32"/>
          <w:szCs w:val="32"/>
          <w:highlight w:val="none"/>
          <w:lang w:eastAsia="zh-CN"/>
        </w:rPr>
        <w:t>支出决算较上年无变化。</w:t>
      </w:r>
    </w:p>
    <w:p>
      <w:pPr>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2.公务用车购置及运行维护费支出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本年未安排公务用车购置及运行维护费，</w:t>
      </w:r>
      <w:r>
        <w:rPr>
          <w:rFonts w:hint="eastAsia" w:ascii="仿宋_GB2312" w:hAnsi="仿宋_GB2312" w:eastAsia="仿宋_GB2312" w:cs="仿宋_GB2312"/>
          <w:b w:val="0"/>
          <w:bCs w:val="0"/>
          <w:color w:val="auto"/>
          <w:sz w:val="32"/>
          <w:szCs w:val="32"/>
          <w:highlight w:val="none"/>
          <w:lang w:eastAsia="zh-CN"/>
        </w:rPr>
        <w:t>支出决算较上年无变化。</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其中：</w:t>
      </w:r>
      <w:r>
        <w:rPr>
          <w:rFonts w:hint="eastAsia" w:ascii="仿宋_GB2312" w:hAnsi="仿宋_GB2312" w:eastAsia="仿宋_GB2312" w:cs="仿宋_GB2312"/>
          <w:b/>
          <w:bCs/>
          <w:color w:val="auto"/>
          <w:sz w:val="32"/>
          <w:szCs w:val="32"/>
          <w:highlight w:val="none"/>
        </w:rPr>
        <w:t>公务用车购置支出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color w:val="auto"/>
          <w:sz w:val="32"/>
          <w:szCs w:val="32"/>
          <w:highlight w:val="none"/>
        </w:rPr>
        <w:t>截至20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年12月底，单位共有公务用车</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辆，</w:t>
      </w:r>
      <w:r>
        <w:rPr>
          <w:rFonts w:hint="eastAsia" w:ascii="仿宋_GB2312" w:hAnsi="仿宋_GB2312" w:eastAsia="仿宋_GB2312" w:cs="仿宋_GB2312"/>
          <w:b w:val="0"/>
          <w:bCs w:val="0"/>
          <w:color w:val="auto"/>
          <w:sz w:val="32"/>
          <w:szCs w:val="32"/>
          <w:highlight w:val="none"/>
          <w:lang w:eastAsia="zh-CN"/>
        </w:rPr>
        <w:t>较上年无变化。</w:t>
      </w: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bCs/>
          <w:color w:val="auto"/>
          <w:sz w:val="32"/>
          <w:szCs w:val="32"/>
          <w:highlight w:val="none"/>
        </w:rPr>
        <w:t>公务用车运行维护费支出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，支出决算较上年无变化。</w:t>
      </w: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3.公务接待费支出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val="en-US" w:eastAsia="zh-CN"/>
        </w:rPr>
        <w:t>本年未安排公务接待费</w:t>
      </w:r>
      <w:r>
        <w:rPr>
          <w:rFonts w:hint="eastAsia" w:ascii="仿宋_GB2312" w:hAnsi="仿宋_GB2312" w:eastAsia="仿宋_GB2312" w:cs="仿宋_GB2312"/>
          <w:b w:val="0"/>
          <w:bCs w:val="0"/>
          <w:color w:val="auto"/>
          <w:sz w:val="32"/>
          <w:szCs w:val="32"/>
          <w:highlight w:val="none"/>
          <w:lang w:eastAsia="zh-CN"/>
        </w:rPr>
        <w:t>，支出决算较上年无变化。</w:t>
      </w:r>
      <w:r>
        <w:rPr>
          <w:rFonts w:hint="eastAsia" w:ascii="仿宋_GB2312" w:hAnsi="仿宋_GB2312" w:eastAsia="仿宋_GB2312" w:cs="仿宋_GB2312"/>
          <w:b w:val="0"/>
          <w:bCs w:val="0"/>
          <w:color w:val="auto"/>
          <w:sz w:val="32"/>
          <w:szCs w:val="32"/>
          <w:highlight w:val="none"/>
        </w:rPr>
        <w:t>其中：</w:t>
      </w: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bCs/>
          <w:color w:val="auto"/>
          <w:sz w:val="32"/>
          <w:szCs w:val="32"/>
          <w:highlight w:val="none"/>
        </w:rPr>
        <w:t>国内公务接待支出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，支出决算较上年无变化。</w:t>
      </w:r>
    </w:p>
    <w:p>
      <w:pPr>
        <w:keepNext w:val="0"/>
        <w:keepLines w:val="0"/>
        <w:pageBreakBefore w:val="0"/>
        <w:widowControl w:val="0"/>
        <w:kinsoku/>
        <w:wordWrap/>
        <w:overflowPunct/>
        <w:topLinePunct w:val="0"/>
        <w:bidi w:val="0"/>
        <w:snapToGrid/>
        <w:spacing w:line="560" w:lineRule="exact"/>
        <w:ind w:firstLine="64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外事接待支出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支出决算较上年</w:t>
      </w:r>
      <w:r>
        <w:rPr>
          <w:rFonts w:hint="eastAsia" w:ascii="仿宋_GB2312" w:hAnsi="仿宋_GB2312" w:eastAsia="仿宋_GB2312" w:cs="仿宋_GB2312"/>
          <w:color w:val="auto"/>
          <w:sz w:val="32"/>
          <w:szCs w:val="32"/>
          <w:highlight w:val="none"/>
          <w:lang w:eastAsia="zh-CN"/>
        </w:rPr>
        <w:t>无变化。</w:t>
      </w:r>
      <w:bookmarkStart w:id="60" w:name="_Toc15396610"/>
      <w:bookmarkStart w:id="61" w:name="_Toc15377218"/>
    </w:p>
    <w:p>
      <w:pPr>
        <w:keepNext w:val="0"/>
        <w:keepLines w:val="0"/>
        <w:pageBreakBefore w:val="0"/>
        <w:widowControl w:val="0"/>
        <w:kinsoku/>
        <w:wordWrap/>
        <w:overflowPunct/>
        <w:topLinePunct w:val="0"/>
        <w:bidi w:val="0"/>
        <w:snapToGrid/>
        <w:spacing w:line="560" w:lineRule="exact"/>
        <w:ind w:firstLine="640"/>
        <w:textAlignment w:val="auto"/>
        <w:outlineLvl w:val="1"/>
        <w:rPr>
          <w:rStyle w:val="25"/>
          <w:rFonts w:ascii="黑体" w:hAnsi="黑体" w:eastAsia="黑体"/>
          <w:color w:val="auto"/>
          <w:highlight w:val="none"/>
        </w:rPr>
      </w:pPr>
      <w:bookmarkStart w:id="62" w:name="_Toc888682894"/>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0"/>
      <w:bookmarkEnd w:id="61"/>
      <w:bookmarkEnd w:id="62"/>
    </w:p>
    <w:p>
      <w:pPr>
        <w:keepNext w:val="0"/>
        <w:keepLines w:val="0"/>
        <w:pageBreakBefore w:val="0"/>
        <w:widowControl w:val="0"/>
        <w:kinsoku/>
        <w:wordWrap/>
        <w:overflowPunct/>
        <w:topLinePunct w:val="0"/>
        <w:bidi w:val="0"/>
        <w:snapToGrid/>
        <w:spacing w:line="560"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Times New Roman" w:hAnsi="Times New Roman" w:eastAsia="仿宋_GB2312" w:cs="Times New Roman"/>
          <w:b w:val="0"/>
          <w:bCs w:val="0"/>
          <w:i w:val="0"/>
          <w:caps w:val="0"/>
          <w:color w:val="auto"/>
          <w:spacing w:val="0"/>
          <w:sz w:val="32"/>
          <w:szCs w:val="32"/>
          <w:highlight w:val="none"/>
          <w:shd w:val="clear" w:color="auto" w:fill="auto"/>
        </w:rPr>
        <w:t>政府债券发行管理中心</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w:t>
      </w:r>
      <w:r>
        <w:rPr>
          <w:rFonts w:hint="eastAsia" w:ascii="仿宋_GB2312" w:eastAsia="仿宋_GB2312"/>
          <w:color w:val="auto"/>
          <w:sz w:val="32"/>
          <w:szCs w:val="32"/>
          <w:highlight w:val="none"/>
          <w:lang w:eastAsia="zh-CN"/>
        </w:rPr>
        <w:t>较上年无变化</w:t>
      </w:r>
      <w:r>
        <w:rPr>
          <w:rFonts w:hint="eastAsia" w:ascii="仿宋_GB2312" w:eastAsia="仿宋_GB2312"/>
          <w:color w:val="auto"/>
          <w:sz w:val="32"/>
          <w:szCs w:val="32"/>
          <w:highlight w:val="none"/>
        </w:rPr>
        <w:t>。</w:t>
      </w:r>
    </w:p>
    <w:p>
      <w:pPr>
        <w:keepNext w:val="0"/>
        <w:keepLines w:val="0"/>
        <w:pageBreakBefore w:val="0"/>
        <w:widowControl w:val="0"/>
        <w:numPr>
          <w:ilvl w:val="0"/>
          <w:numId w:val="3"/>
        </w:numPr>
        <w:kinsoku/>
        <w:wordWrap/>
        <w:overflowPunct/>
        <w:topLinePunct w:val="0"/>
        <w:bidi w:val="0"/>
        <w:snapToGrid/>
        <w:spacing w:line="560" w:lineRule="exact"/>
        <w:ind w:firstLine="640"/>
        <w:textAlignment w:val="auto"/>
        <w:outlineLvl w:val="1"/>
        <w:rPr>
          <w:rStyle w:val="25"/>
          <w:rFonts w:ascii="黑体" w:hAnsi="黑体" w:eastAsia="黑体"/>
          <w:b w:val="0"/>
          <w:color w:val="auto"/>
          <w:highlight w:val="none"/>
        </w:rPr>
      </w:pPr>
      <w:bookmarkStart w:id="63" w:name="_Toc15377219"/>
      <w:bookmarkStart w:id="64" w:name="_Toc15396611"/>
      <w:bookmarkStart w:id="65" w:name="_Toc515122010"/>
      <w:r>
        <w:rPr>
          <w:rStyle w:val="25"/>
          <w:rFonts w:hint="eastAsia" w:ascii="黑体" w:hAnsi="黑体" w:eastAsia="黑体"/>
          <w:b w:val="0"/>
          <w:color w:val="auto"/>
          <w:highlight w:val="none"/>
        </w:rPr>
        <w:t>国有资本经营预算支出决算情况说明</w:t>
      </w:r>
      <w:bookmarkEnd w:id="63"/>
      <w:bookmarkEnd w:id="64"/>
      <w:bookmarkEnd w:id="65"/>
    </w:p>
    <w:p>
      <w:pPr>
        <w:keepNext w:val="0"/>
        <w:keepLines w:val="0"/>
        <w:pageBreakBefore w:val="0"/>
        <w:widowControl w:val="0"/>
        <w:kinsoku/>
        <w:wordWrap/>
        <w:overflowPunct/>
        <w:topLinePunct w:val="0"/>
        <w:bidi w:val="0"/>
        <w:snapToGrid/>
        <w:spacing w:line="560" w:lineRule="exact"/>
        <w:ind w:firstLine="640"/>
        <w:textAlignment w:val="auto"/>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Times New Roman" w:hAnsi="Times New Roman" w:eastAsia="仿宋_GB2312" w:cs="Times New Roman"/>
          <w:b w:val="0"/>
          <w:bCs w:val="0"/>
          <w:i w:val="0"/>
          <w:caps w:val="0"/>
          <w:color w:val="auto"/>
          <w:spacing w:val="0"/>
          <w:sz w:val="32"/>
          <w:szCs w:val="32"/>
          <w:highlight w:val="none"/>
          <w:shd w:val="clear" w:color="auto" w:fill="auto"/>
        </w:rPr>
        <w:t>政府债券发行管理中心</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w:t>
      </w:r>
      <w:r>
        <w:rPr>
          <w:rFonts w:hint="eastAsia" w:ascii="仿宋_GB2312" w:eastAsia="仿宋_GB2312"/>
          <w:color w:val="auto"/>
          <w:sz w:val="32"/>
          <w:szCs w:val="32"/>
          <w:highlight w:val="none"/>
          <w:lang w:eastAsia="zh-CN"/>
        </w:rPr>
        <w:t>较上年无变化</w:t>
      </w:r>
      <w:r>
        <w:rPr>
          <w:rFonts w:hint="eastAsia" w:ascii="仿宋_GB2312" w:eastAsia="仿宋_GB2312"/>
          <w:color w:val="auto"/>
          <w:sz w:val="32"/>
          <w:szCs w:val="32"/>
          <w:highlight w:val="none"/>
        </w:rPr>
        <w:t>。</w:t>
      </w:r>
    </w:p>
    <w:p>
      <w:pPr>
        <w:keepNext w:val="0"/>
        <w:keepLines w:val="0"/>
        <w:pageBreakBefore w:val="0"/>
        <w:widowControl w:val="0"/>
        <w:numPr>
          <w:ilvl w:val="0"/>
          <w:numId w:val="3"/>
        </w:numPr>
        <w:kinsoku/>
        <w:wordWrap/>
        <w:overflowPunct/>
        <w:topLinePunct w:val="0"/>
        <w:bidi w:val="0"/>
        <w:snapToGrid/>
        <w:spacing w:line="560" w:lineRule="exact"/>
        <w:ind w:firstLine="640"/>
        <w:textAlignment w:val="auto"/>
        <w:outlineLvl w:val="1"/>
        <w:rPr>
          <w:rStyle w:val="25"/>
          <w:rFonts w:hint="eastAsia" w:ascii="黑体" w:hAnsi="黑体" w:eastAsia="黑体"/>
          <w:b w:val="0"/>
          <w:color w:val="auto"/>
          <w:highlight w:val="none"/>
        </w:rPr>
      </w:pPr>
      <w:bookmarkStart w:id="66" w:name="_Toc15396612"/>
      <w:bookmarkStart w:id="67" w:name="_Toc2019944056"/>
      <w:bookmarkStart w:id="68" w:name="_Toc15377221"/>
      <w:r>
        <w:rPr>
          <w:rStyle w:val="25"/>
          <w:rFonts w:hint="eastAsia" w:ascii="黑体" w:hAnsi="黑体" w:eastAsia="黑体"/>
          <w:b w:val="0"/>
          <w:color w:val="auto"/>
          <w:highlight w:val="none"/>
        </w:rPr>
        <w:t>其他重要事项的情况说明</w:t>
      </w:r>
      <w:bookmarkEnd w:id="66"/>
      <w:bookmarkEnd w:id="67"/>
      <w:bookmarkEnd w:id="68"/>
    </w:p>
    <w:p>
      <w:pPr>
        <w:keepNext w:val="0"/>
        <w:keepLines w:val="0"/>
        <w:pageBreakBefore w:val="0"/>
        <w:widowControl w:val="0"/>
        <w:kinsoku/>
        <w:wordWrap/>
        <w:overflowPunct/>
        <w:topLinePunct w:val="0"/>
        <w:bidi w:val="0"/>
        <w:snapToGrid/>
        <w:spacing w:line="560" w:lineRule="exact"/>
        <w:ind w:firstLine="643" w:firstLineChars="200"/>
        <w:textAlignment w:val="auto"/>
        <w:outlineLvl w:val="2"/>
        <w:rPr>
          <w:rFonts w:hint="eastAsia" w:ascii="楷体_GB2312" w:hAnsi="楷体_GB2312" w:eastAsia="楷体_GB2312" w:cs="楷体_GB2312"/>
          <w:b w:val="0"/>
          <w:bCs/>
          <w:color w:val="auto"/>
          <w:sz w:val="32"/>
          <w:szCs w:val="32"/>
          <w:highlight w:val="none"/>
        </w:rPr>
      </w:pPr>
      <w:bookmarkStart w:id="69" w:name="_Toc15377222"/>
      <w:r>
        <w:rPr>
          <w:rFonts w:hint="eastAsia" w:ascii="楷体_GB2312" w:hAnsi="楷体_GB2312" w:eastAsia="楷体_GB2312" w:cs="楷体_GB2312"/>
          <w:b/>
          <w:bCs w:val="0"/>
          <w:color w:val="auto"/>
          <w:sz w:val="32"/>
          <w:szCs w:val="32"/>
          <w:highlight w:val="none"/>
        </w:rPr>
        <w:t>（一）机关运行经费支出情况</w:t>
      </w:r>
      <w:bookmarkEnd w:id="69"/>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政府债券发行管理中心</w:t>
      </w:r>
      <w:r>
        <w:rPr>
          <w:rFonts w:hint="eastAsia" w:ascii="仿宋_GB2312" w:eastAsia="仿宋_GB2312"/>
          <w:color w:val="000000"/>
          <w:sz w:val="32"/>
          <w:szCs w:val="32"/>
          <w:lang w:val="en-US" w:eastAsia="zh-CN"/>
        </w:rPr>
        <w:t>机关</w:t>
      </w:r>
      <w:r>
        <w:rPr>
          <w:rFonts w:hint="eastAsia" w:ascii="仿宋_GB2312" w:eastAsia="仿宋_GB2312"/>
          <w:color w:val="auto"/>
          <w:sz w:val="32"/>
          <w:szCs w:val="32"/>
          <w:highlight w:val="none"/>
        </w:rPr>
        <w:t>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支出决算</w:t>
      </w:r>
      <w:r>
        <w:rPr>
          <w:rFonts w:hint="eastAsia" w:ascii="仿宋_GB2312" w:eastAsia="仿宋_GB2312"/>
          <w:color w:val="auto"/>
          <w:sz w:val="32"/>
          <w:szCs w:val="32"/>
          <w:highlight w:val="none"/>
          <w:lang w:eastAsia="zh-CN"/>
        </w:rPr>
        <w:t>较上年无变化。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楷体_GB2312" w:hAnsi="楷体_GB2312" w:eastAsia="楷体_GB2312" w:cs="楷体_GB2312"/>
          <w:b w:val="0"/>
          <w:bCs/>
          <w:color w:val="auto"/>
          <w:sz w:val="32"/>
          <w:szCs w:val="32"/>
          <w:highlight w:val="none"/>
        </w:rPr>
      </w:pPr>
      <w:bookmarkStart w:id="70" w:name="_Toc15377223"/>
      <w:r>
        <w:rPr>
          <w:rFonts w:hint="eastAsia" w:ascii="楷体_GB2312" w:hAnsi="楷体_GB2312" w:eastAsia="楷体_GB2312" w:cs="楷体_GB2312"/>
          <w:b/>
          <w:bCs w:val="0"/>
          <w:color w:val="auto"/>
          <w:sz w:val="32"/>
          <w:szCs w:val="32"/>
          <w:highlight w:val="none"/>
        </w:rPr>
        <w:t>（二）政府采购支出情况</w:t>
      </w:r>
      <w:bookmarkEnd w:id="70"/>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rPr>
        <w:t>政府债券发行管理中心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支出决算</w:t>
      </w:r>
      <w:r>
        <w:rPr>
          <w:rFonts w:hint="eastAsia" w:ascii="仿宋_GB2312" w:eastAsia="仿宋_GB2312"/>
          <w:color w:val="auto"/>
          <w:sz w:val="32"/>
          <w:szCs w:val="32"/>
          <w:highlight w:val="none"/>
          <w:lang w:eastAsia="zh-CN"/>
        </w:rPr>
        <w:t>较上年无变化。</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楷体_GB2312" w:hAnsi="楷体_GB2312" w:eastAsia="楷体_GB2312" w:cs="楷体_GB2312"/>
          <w:b/>
          <w:color w:val="auto"/>
          <w:sz w:val="32"/>
          <w:szCs w:val="32"/>
          <w:highlight w:val="none"/>
        </w:rPr>
      </w:pPr>
      <w:bookmarkStart w:id="71" w:name="_Toc15377224"/>
      <w:r>
        <w:rPr>
          <w:rFonts w:hint="eastAsia" w:ascii="楷体_GB2312" w:hAnsi="楷体_GB2312" w:eastAsia="楷体_GB2312" w:cs="楷体_GB2312"/>
          <w:b/>
          <w:color w:val="auto"/>
          <w:sz w:val="32"/>
          <w:szCs w:val="32"/>
          <w:highlight w:val="none"/>
        </w:rPr>
        <w:t>（三）国有资产占有使用情况</w:t>
      </w:r>
      <w:bookmarkEnd w:id="71"/>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rPr>
        <w:t>政府债券发行管理中心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较上年无变化</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outlineLvl w:val="2"/>
        <w:rPr>
          <w:rFonts w:hint="eastAsia" w:ascii="楷体_GB2312" w:hAnsi="楷体_GB2312" w:eastAsia="楷体_GB2312" w:cs="楷体_GB2312"/>
          <w:b/>
          <w:color w:val="auto"/>
          <w:sz w:val="32"/>
          <w:szCs w:val="32"/>
          <w:highlight w:val="none"/>
          <w:lang w:eastAsia="zh-CN"/>
        </w:rPr>
      </w:pPr>
      <w:r>
        <w:rPr>
          <w:rFonts w:hint="eastAsia" w:ascii="楷体_GB2312" w:hAnsi="楷体_GB2312" w:eastAsia="楷体_GB2312" w:cs="楷体_GB2312"/>
          <w:b/>
          <w:color w:val="auto"/>
          <w:sz w:val="32"/>
          <w:szCs w:val="32"/>
          <w:highlight w:val="none"/>
        </w:rPr>
        <w:t>（四）预算绩效管理情况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lang w:eastAsia="zh-CN"/>
        </w:rPr>
        <w:t>无</w:t>
      </w:r>
      <w:r>
        <w:rPr>
          <w:rFonts w:hint="eastAsia" w:ascii="仿宋_GB2312" w:hAnsi="仿宋_GB2312" w:eastAsia="仿宋_GB2312" w:cs="仿宋_GB2312"/>
          <w:color w:val="auto"/>
          <w:sz w:val="32"/>
          <w:szCs w:val="32"/>
          <w:highlight w:val="none"/>
          <w:lang w:val="en-US" w:eastAsia="zh-CN"/>
        </w:rPr>
        <w:t>100万元以上项目，因此未开展预算事前评估、编制绩效目标、开展绩效监控、项目绩效目标完成情况自评。</w:t>
      </w:r>
    </w:p>
    <w:p>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2" w:name="_Toc15396613"/>
      <w:bookmarkStart w:id="73" w:name="_Toc15377225"/>
      <w:bookmarkStart w:id="74" w:name="_Toc254548200"/>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2"/>
      <w:bookmarkEnd w:id="73"/>
      <w:bookmarkEnd w:id="74"/>
    </w:p>
    <w:p>
      <w:pPr>
        <w:keepNext w:val="0"/>
        <w:keepLines w:val="0"/>
        <w:pageBreakBefore w:val="0"/>
        <w:widowControl w:val="0"/>
        <w:kinsoku/>
        <w:wordWrap/>
        <w:overflowPunct/>
        <w:topLinePunct w:val="0"/>
        <w:bidi w:val="0"/>
        <w:snapToGrid/>
        <w:spacing w:line="560" w:lineRule="exact"/>
        <w:jc w:val="left"/>
        <w:textAlignment w:val="auto"/>
        <w:rPr>
          <w:rFonts w:ascii="宋体"/>
          <w:b/>
          <w:color w:val="auto"/>
          <w:sz w:val="44"/>
          <w:szCs w:val="44"/>
          <w:highlight w:val="none"/>
        </w:rPr>
      </w:pP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1.财政拨款收入：指单位从同级财政部门取得的财政预算资金。</w:t>
      </w:r>
    </w:p>
    <w:p>
      <w:pPr>
        <w:keepNext w:val="0"/>
        <w:keepLines w:val="0"/>
        <w:pageBreakBefore w:val="0"/>
        <w:widowControl w:val="0"/>
        <w:kinsoku/>
        <w:wordWrap/>
        <w:overflowPunct/>
        <w:topLinePunct w:val="0"/>
        <w:bidi w:val="0"/>
        <w:snapToGrid/>
        <w:spacing w:line="560" w:lineRule="exact"/>
        <w:jc w:val="left"/>
        <w:textAlignment w:val="auto"/>
        <w:rPr>
          <w:rFonts w:hint="eastAsia"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 xml:space="preserve">    2.一般公共服务（类）财政事务（款）事业运行（项）：指本单位用于保障机构正常运行、开展日常工作的基本支出。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3.一般公共服务（类）财政事务（款）其他财政事务支出（项）：指开展其</w:t>
      </w:r>
      <w:r>
        <w:rPr>
          <w:rFonts w:ascii="仿宋_GB2312" w:hAnsi="Calibri" w:eastAsia="仿宋_GB2312" w:cs="仿宋"/>
          <w:color w:val="000000"/>
          <w:kern w:val="0"/>
          <w:sz w:val="32"/>
          <w:szCs w:val="32"/>
        </w:rPr>
        <w:t>他财政事务方面专门性工作任务的项目支</w:t>
      </w:r>
      <w:r>
        <w:rPr>
          <w:rFonts w:hint="eastAsia" w:ascii="仿宋_GB2312" w:hAnsi="Calibri" w:eastAsia="仿宋_GB2312" w:cs="仿宋"/>
          <w:color w:val="000000"/>
          <w:kern w:val="0"/>
          <w:sz w:val="32"/>
          <w:szCs w:val="32"/>
        </w:rPr>
        <w:t>出。</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xml:space="preserve">    4.</w:t>
      </w:r>
      <w:r>
        <w:rPr>
          <w:rFonts w:ascii="仿宋_GB2312" w:hAnsi="Calibri" w:eastAsia="仿宋_GB2312" w:cs="仿宋"/>
          <w:color w:val="000000"/>
          <w:kern w:val="0"/>
          <w:sz w:val="32"/>
          <w:szCs w:val="32"/>
        </w:rPr>
        <w:t>社会保障和就业（类）行政事业单位养老支出（款）机关事业单位基本养老保险缴费支出（项）：指</w:t>
      </w:r>
      <w:r>
        <w:rPr>
          <w:rFonts w:hint="eastAsia" w:ascii="仿宋_GB2312" w:hAnsi="Calibri" w:eastAsia="仿宋_GB2312" w:cs="仿宋"/>
          <w:color w:val="000000"/>
          <w:kern w:val="0"/>
          <w:sz w:val="32"/>
          <w:szCs w:val="32"/>
        </w:rPr>
        <w:t>单位</w:t>
      </w:r>
      <w:r>
        <w:rPr>
          <w:rFonts w:ascii="仿宋_GB2312" w:hAnsi="Calibri" w:eastAsia="仿宋_GB2312" w:cs="仿宋"/>
          <w:color w:val="000000"/>
          <w:kern w:val="0"/>
          <w:sz w:val="32"/>
          <w:szCs w:val="32"/>
        </w:rPr>
        <w:t>实施养老保险制度由单位缴纳的养老保险费的支出。</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xml:space="preserve">    5.</w:t>
      </w:r>
      <w:r>
        <w:rPr>
          <w:rFonts w:ascii="仿宋_GB2312" w:hAnsi="Calibri" w:eastAsia="仿宋_GB2312" w:cs="仿宋"/>
          <w:color w:val="000000"/>
          <w:kern w:val="0"/>
          <w:sz w:val="32"/>
          <w:szCs w:val="32"/>
        </w:rPr>
        <w:t>社会保障和就业（类）行政事业单位养老支出（款）机关事业单位职业年金缴费支出（项）：指</w:t>
      </w:r>
      <w:r>
        <w:rPr>
          <w:rFonts w:hint="eastAsia" w:ascii="仿宋_GB2312" w:hAnsi="Calibri" w:eastAsia="仿宋_GB2312" w:cs="仿宋"/>
          <w:color w:val="000000"/>
          <w:kern w:val="0"/>
          <w:sz w:val="32"/>
          <w:szCs w:val="32"/>
        </w:rPr>
        <w:t>单位</w:t>
      </w:r>
      <w:r>
        <w:rPr>
          <w:rFonts w:ascii="仿宋_GB2312" w:hAnsi="Calibri" w:eastAsia="仿宋_GB2312" w:cs="仿宋"/>
          <w:color w:val="000000"/>
          <w:kern w:val="0"/>
          <w:sz w:val="32"/>
          <w:szCs w:val="32"/>
        </w:rPr>
        <w:t>实施养老保险制度由单位缴纳的职业年金的支出。</w:t>
      </w:r>
      <w:r>
        <w:rPr>
          <w:rFonts w:hint="eastAsia" w:ascii="仿宋_GB2312" w:hAnsi="Calibri" w:eastAsia="仿宋_GB2312" w:cs="仿宋"/>
          <w:color w:val="000000"/>
          <w:kern w:val="0"/>
          <w:sz w:val="32"/>
          <w:szCs w:val="32"/>
        </w:rPr>
        <w:br w:type="textWrapping"/>
      </w:r>
      <w:r>
        <w:rPr>
          <w:rFonts w:hint="eastAsia" w:ascii="仿宋_GB2312" w:hAnsi="Calibri" w:eastAsia="仿宋_GB2312" w:cs="仿宋"/>
          <w:color w:val="000000"/>
          <w:kern w:val="0"/>
          <w:sz w:val="32"/>
          <w:szCs w:val="32"/>
        </w:rPr>
        <w:t xml:space="preserve">    6.</w:t>
      </w:r>
      <w:r>
        <w:rPr>
          <w:rFonts w:ascii="仿宋_GB2312" w:hAnsi="Calibri" w:eastAsia="仿宋_GB2312" w:cs="仿宋"/>
          <w:color w:val="000000"/>
          <w:kern w:val="0"/>
          <w:sz w:val="32"/>
          <w:szCs w:val="32"/>
        </w:rPr>
        <w:t>卫生健康（类）行政事业单位医疗（款）事业单位医疗（项）：指事业单位用于单位应缴纳基本医疗保险支出。</w:t>
      </w:r>
    </w:p>
    <w:p>
      <w:pPr>
        <w:keepNext w:val="0"/>
        <w:keepLines w:val="0"/>
        <w:pageBreakBefore w:val="0"/>
        <w:widowControl w:val="0"/>
        <w:kinsoku/>
        <w:wordWrap/>
        <w:overflowPunct/>
        <w:topLinePunct w:val="0"/>
        <w:bidi w:val="0"/>
        <w:snapToGrid/>
        <w:spacing w:line="560" w:lineRule="exact"/>
        <w:ind w:firstLine="640"/>
        <w:jc w:val="left"/>
        <w:textAlignment w:val="auto"/>
        <w:rPr>
          <w:rFonts w:hint="eastAsia" w:ascii="仿宋_GB2312" w:hAnsi="Calibri" w:eastAsia="仿宋_GB2312" w:cs="仿宋"/>
          <w:color w:val="000000"/>
          <w:kern w:val="0"/>
          <w:sz w:val="32"/>
          <w:szCs w:val="32"/>
          <w:lang w:eastAsia="zh-CN"/>
        </w:rPr>
      </w:pPr>
      <w:r>
        <w:rPr>
          <w:rFonts w:hint="eastAsia" w:ascii="仿宋_GB2312" w:hAnsi="Calibri" w:eastAsia="仿宋_GB2312" w:cs="仿宋"/>
          <w:color w:val="000000"/>
          <w:kern w:val="0"/>
          <w:sz w:val="32"/>
          <w:szCs w:val="32"/>
        </w:rPr>
        <w:t>7.</w:t>
      </w:r>
      <w:r>
        <w:rPr>
          <w:rFonts w:ascii="仿宋_GB2312" w:hAnsi="Calibri" w:eastAsia="仿宋_GB2312" w:cs="仿宋"/>
          <w:color w:val="000000"/>
          <w:kern w:val="0"/>
          <w:sz w:val="32"/>
          <w:szCs w:val="32"/>
        </w:rPr>
        <w:t>住房保障（类）住房改革支出（款）住房公积金（项）：指</w:t>
      </w:r>
      <w:r>
        <w:rPr>
          <w:rFonts w:hint="eastAsia" w:ascii="仿宋_GB2312" w:hAnsi="Calibri" w:eastAsia="仿宋_GB2312" w:cs="仿宋"/>
          <w:color w:val="000000"/>
          <w:kern w:val="0"/>
          <w:sz w:val="32"/>
          <w:szCs w:val="32"/>
          <w:lang w:eastAsia="zh-CN"/>
        </w:rPr>
        <w:t>行政事业单位</w:t>
      </w:r>
      <w:r>
        <w:rPr>
          <w:rFonts w:ascii="仿宋_GB2312" w:hAnsi="Calibri" w:eastAsia="仿宋_GB2312" w:cs="仿宋"/>
          <w:color w:val="000000"/>
          <w:kern w:val="0"/>
          <w:sz w:val="32"/>
          <w:szCs w:val="32"/>
        </w:rPr>
        <w:t>按</w:t>
      </w:r>
      <w:r>
        <w:rPr>
          <w:rFonts w:hint="eastAsia" w:ascii="仿宋_GB2312" w:hAnsi="Calibri" w:eastAsia="仿宋_GB2312" w:cs="仿宋"/>
          <w:color w:val="000000"/>
          <w:kern w:val="0"/>
          <w:sz w:val="32"/>
          <w:szCs w:val="32"/>
          <w:lang w:eastAsia="zh-CN"/>
        </w:rPr>
        <w:t>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60" w:lineRule="exact"/>
        <w:jc w:val="left"/>
        <w:textAlignment w:val="auto"/>
        <w:rPr>
          <w:rFonts w:ascii="仿宋" w:hAnsi="仿宋" w:eastAsia="仿宋"/>
          <w:b/>
          <w:color w:val="000000"/>
          <w:sz w:val="32"/>
          <w:szCs w:val="32"/>
        </w:rPr>
      </w:pPr>
      <w:r>
        <w:rPr>
          <w:rFonts w:hint="eastAsia" w:ascii="仿宋_GB2312" w:hAnsi="Calibri" w:eastAsia="仿宋_GB2312" w:cs="仿宋"/>
          <w:color w:val="000000"/>
          <w:kern w:val="0"/>
          <w:sz w:val="32"/>
          <w:szCs w:val="32"/>
        </w:rPr>
        <w:t xml:space="preserve">    8.</w:t>
      </w:r>
      <w:r>
        <w:rPr>
          <w:rFonts w:ascii="仿宋_GB2312" w:hAnsi="Calibri" w:eastAsia="仿宋_GB2312" w:cs="仿宋"/>
          <w:color w:val="000000"/>
          <w:kern w:val="0"/>
          <w:sz w:val="32"/>
          <w:szCs w:val="32"/>
        </w:rPr>
        <w:t>住房保障（类）住房改革支出（款）购房补贴（项）：指按房改政策规定的标准，</w:t>
      </w:r>
      <w:r>
        <w:rPr>
          <w:rFonts w:hint="eastAsia" w:ascii="仿宋_GB2312" w:hAnsi="Calibri" w:eastAsia="仿宋_GB2312" w:cs="仿宋"/>
          <w:color w:val="000000"/>
          <w:kern w:val="0"/>
          <w:sz w:val="32"/>
          <w:szCs w:val="32"/>
          <w:lang w:eastAsia="zh-CN"/>
        </w:rPr>
        <w:t>行政事业单位</w:t>
      </w:r>
      <w:r>
        <w:rPr>
          <w:rFonts w:ascii="仿宋_GB2312" w:hAnsi="Calibri" w:eastAsia="仿宋_GB2312" w:cs="仿宋"/>
          <w:color w:val="000000"/>
          <w:kern w:val="0"/>
          <w:sz w:val="32"/>
          <w:szCs w:val="32"/>
        </w:rPr>
        <w:t>向符合条件职工发放的用于购买住房的补贴。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11</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2"/>
        <w:keepNext w:val="0"/>
        <w:keepLines w:val="0"/>
        <w:pageBreakBefore w:val="0"/>
        <w:widowControl w:val="0"/>
        <w:kinsoku/>
        <w:wordWrap/>
        <w:overflowPunct/>
        <w:topLinePunct w:val="0"/>
        <w:bidi w:val="0"/>
        <w:snapToGrid/>
        <w:spacing w:line="560" w:lineRule="exact"/>
        <w:textAlignment w:val="auto"/>
        <w:rPr>
          <w:rFonts w:hint="eastAsia" w:ascii="仿宋_GB2312" w:eastAsia="仿宋_GB2312"/>
          <w:sz w:val="32"/>
          <w:szCs w:val="32"/>
        </w:rPr>
      </w:pPr>
    </w:p>
    <w:p>
      <w:pPr>
        <w:spacing w:line="600" w:lineRule="exact"/>
        <w:jc w:val="center"/>
        <w:outlineLvl w:val="0"/>
        <w:rPr>
          <w:rStyle w:val="24"/>
          <w:rFonts w:ascii="黑体" w:hAnsi="黑体" w:eastAsia="黑体"/>
          <w:b w:val="0"/>
          <w:color w:val="auto"/>
          <w:highlight w:val="none"/>
        </w:rPr>
      </w:pPr>
      <w:bookmarkStart w:id="75" w:name="_Toc1757439172"/>
      <w:bookmarkStart w:id="76"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5"/>
      <w:bookmarkEnd w:id="76"/>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 w:eastAsia="zh-CN"/>
        </w:rPr>
      </w:pPr>
      <w:bookmarkStart w:id="77" w:name="_Toc1110050410"/>
      <w:bookmarkStart w:id="78" w:name="_Toc26207"/>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eastAsia="zh-CN"/>
        </w:rPr>
        <w:t>（本单位此表无内容）</w:t>
      </w:r>
      <w:bookmarkEnd w:id="77"/>
      <w:bookmarkEnd w:id="78"/>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9"/>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pStyle w:val="22"/>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rPr>
      </w:pPr>
    </w:p>
    <w:p>
      <w:pPr>
        <w:pStyle w:val="2"/>
        <w:pageBreakBefore w:val="0"/>
        <w:widowControl w:val="0"/>
        <w:kinsoku/>
        <w:wordWrap/>
        <w:overflowPunct/>
        <w:topLinePunct w:val="0"/>
        <w:bidi w:val="0"/>
        <w:snapToGrid/>
        <w:spacing w:line="560" w:lineRule="exact"/>
        <w:textAlignment w:val="auto"/>
        <w:rPr>
          <w:rFonts w:hint="eastAsia" w:ascii="黑体" w:hAnsi="黑体" w:eastAsia="黑体"/>
          <w:color w:val="auto"/>
          <w:sz w:val="44"/>
          <w:szCs w:val="44"/>
          <w:highlight w:val="none"/>
        </w:rPr>
      </w:pPr>
      <w:bookmarkStart w:id="79" w:name="_Toc15377226"/>
      <w:bookmarkStart w:id="80" w:name="_Toc15396618"/>
    </w:p>
    <w:p>
      <w:pPr>
        <w:pageBreakBefore w:val="0"/>
        <w:widowControl w:val="0"/>
        <w:kinsoku/>
        <w:wordWrap/>
        <w:overflowPunct/>
        <w:topLinePunct w:val="0"/>
        <w:bidi w:val="0"/>
        <w:snapToGrid/>
        <w:spacing w:line="560" w:lineRule="exact"/>
        <w:jc w:val="center"/>
        <w:textAlignment w:val="auto"/>
        <w:outlineLvl w:val="0"/>
        <w:rPr>
          <w:rFonts w:hint="eastAsia" w:ascii="仿宋" w:hAnsi="仿宋" w:eastAsia="仿宋"/>
          <w:b w:val="0"/>
          <w:color w:val="auto"/>
          <w:highlight w:val="none"/>
        </w:rPr>
      </w:pPr>
      <w:bookmarkStart w:id="81" w:name="_Toc141660584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lang w:eastAsia="zh-CN"/>
        </w:rPr>
        <w:t>五</w:t>
      </w:r>
      <w:r>
        <w:rPr>
          <w:rStyle w:val="24"/>
          <w:rFonts w:hint="eastAsia" w:ascii="黑体" w:hAnsi="黑体" w:eastAsia="黑体"/>
          <w:b w:val="0"/>
          <w:color w:val="auto"/>
          <w:highlight w:val="none"/>
        </w:rPr>
        <w:t>部分 附表</w:t>
      </w:r>
      <w:bookmarkEnd w:id="79"/>
      <w:bookmarkEnd w:id="80"/>
      <w:bookmarkEnd w:id="81"/>
      <w:bookmarkStart w:id="82" w:name="_Toc1539661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83" w:name="_Toc278700407"/>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2"/>
      <w:bookmarkEnd w:id="83"/>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84" w:name="_Toc15396620"/>
      <w:bookmarkStart w:id="85" w:name="_Toc487142228"/>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4"/>
      <w:bookmarkEnd w:id="85"/>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86" w:name="_Toc377990071"/>
      <w:bookmarkStart w:id="87"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6"/>
      <w:bookmarkEnd w:id="87"/>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val="0"/>
          <w:color w:val="auto"/>
          <w:highlight w:val="none"/>
        </w:rPr>
      </w:pPr>
      <w:bookmarkStart w:id="88" w:name="_Toc15396622"/>
      <w:bookmarkStart w:id="89" w:name="_Toc357631038"/>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8"/>
      <w:bookmarkEnd w:id="89"/>
    </w:p>
    <w:p>
      <w:pPr>
        <w:pStyle w:val="4"/>
        <w:pageBreakBefore w:val="0"/>
        <w:widowControl w:val="0"/>
        <w:kinsoku/>
        <w:wordWrap/>
        <w:overflowPunct/>
        <w:topLinePunct w:val="0"/>
        <w:autoSpaceDE/>
        <w:autoSpaceDN/>
        <w:bidi w:val="0"/>
        <w:adjustRightInd/>
        <w:snapToGrid/>
        <w:spacing w:line="560" w:lineRule="exact"/>
        <w:textAlignment w:val="auto"/>
        <w:rPr>
          <w:rStyle w:val="25"/>
          <w:rFonts w:ascii="仿宋" w:hAnsi="仿宋" w:eastAsia="仿宋"/>
          <w:b w:val="0"/>
          <w:bCs w:val="0"/>
          <w:color w:val="auto"/>
          <w:highlight w:val="none"/>
        </w:rPr>
      </w:pPr>
      <w:bookmarkStart w:id="90" w:name="_Toc15396623"/>
      <w:bookmarkStart w:id="91" w:name="_Toc190045444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90"/>
      <w:bookmarkEnd w:id="91"/>
      <w:bookmarkStart w:id="92" w:name="_Toc15396624"/>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93" w:name="_Toc1304076253"/>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2"/>
      <w:bookmarkEnd w:id="93"/>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94" w:name="_Toc364156341"/>
      <w:bookmarkStart w:id="95"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4"/>
      <w:bookmarkEnd w:id="95"/>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96" w:name="_Toc15396626"/>
      <w:bookmarkStart w:id="97" w:name="_Toc35156075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6"/>
      <w:bookmarkEnd w:id="97"/>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98" w:name="_Toc109326218"/>
      <w:bookmarkStart w:id="99"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8"/>
      <w:bookmarkEnd w:id="99"/>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100" w:name="_Toc15396628"/>
      <w:bookmarkStart w:id="101" w:name="_Toc1962063469"/>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100"/>
      <w:bookmarkEnd w:id="101"/>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102" w:name="_Toc15396629"/>
      <w:bookmarkStart w:id="103" w:name="_Toc883061470"/>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2"/>
      <w:bookmarkEnd w:id="103"/>
    </w:p>
    <w:p>
      <w:pPr>
        <w:pStyle w:val="4"/>
        <w:pageBreakBefore w:val="0"/>
        <w:widowControl w:val="0"/>
        <w:kinsoku/>
        <w:wordWrap/>
        <w:overflowPunct/>
        <w:topLinePunct w:val="0"/>
        <w:autoSpaceDE/>
        <w:autoSpaceDN/>
        <w:bidi w:val="0"/>
        <w:adjustRightInd/>
        <w:snapToGrid/>
        <w:spacing w:line="560" w:lineRule="exact"/>
        <w:textAlignment w:val="auto"/>
        <w:rPr>
          <w:rFonts w:ascii="仿宋" w:hAnsi="仿宋" w:eastAsia="仿宋"/>
          <w:color w:val="auto"/>
          <w:highlight w:val="none"/>
        </w:rPr>
      </w:pPr>
      <w:bookmarkStart w:id="104" w:name="_Toc15396630"/>
      <w:bookmarkStart w:id="105" w:name="_Toc948710749"/>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104"/>
      <w:bookmarkEnd w:id="105"/>
    </w:p>
    <w:p>
      <w:pPr>
        <w:pStyle w:val="4"/>
        <w:pageBreakBefore w:val="0"/>
        <w:widowControl w:val="0"/>
        <w:kinsoku/>
        <w:wordWrap/>
        <w:overflowPunct/>
        <w:topLinePunct w:val="0"/>
        <w:autoSpaceDE/>
        <w:autoSpaceDN/>
        <w:bidi w:val="0"/>
        <w:adjustRightInd/>
        <w:snapToGrid/>
        <w:spacing w:line="560" w:lineRule="exact"/>
        <w:textAlignment w:val="auto"/>
        <w:rPr>
          <w:rStyle w:val="25"/>
          <w:rFonts w:hint="eastAsia" w:ascii="仿宋" w:hAnsi="仿宋" w:eastAsia="仿宋"/>
          <w:b w:val="0"/>
          <w:bCs w:val="0"/>
          <w:color w:val="auto"/>
          <w:highlight w:val="none"/>
        </w:rPr>
      </w:pPr>
      <w:bookmarkStart w:id="106" w:name="_Toc15396631"/>
      <w:bookmarkStart w:id="107" w:name="_Toc403889254"/>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6"/>
      <w:bookmarkEnd w:id="107"/>
    </w:p>
    <w:p>
      <w:pPr>
        <w:pageBreakBefore w:val="0"/>
        <w:widowControl w:val="0"/>
        <w:kinsoku/>
        <w:wordWrap/>
        <w:overflowPunct/>
        <w:topLinePunct w:val="0"/>
        <w:autoSpaceDE/>
        <w:autoSpaceDN/>
        <w:bidi w:val="0"/>
        <w:adjustRightInd/>
        <w:snapToGrid/>
        <w:spacing w:line="560" w:lineRule="exact"/>
        <w:textAlignment w:val="auto"/>
        <w:rPr>
          <w:rFonts w:hint="eastAsia" w:eastAsia="仿宋"/>
          <w:color w:val="auto"/>
          <w:highlight w:val="none"/>
          <w:lang w:eastAsia="zh-CN"/>
        </w:rPr>
      </w:pPr>
      <w:bookmarkStart w:id="108" w:name="_Toc968134143"/>
      <w:r>
        <w:rPr>
          <w:rStyle w:val="25"/>
          <w:rFonts w:hint="eastAsia" w:ascii="仿宋" w:hAnsi="仿宋" w:eastAsia="仿宋"/>
          <w:b w:val="0"/>
          <w:bCs w:val="0"/>
          <w:color w:val="auto"/>
          <w:highlight w:val="none"/>
          <w:lang w:eastAsia="zh-CN"/>
        </w:rPr>
        <w:t>十四、国有资本经营预算财政拨款支出决算表</w:t>
      </w:r>
      <w:bookmarkEnd w:id="108"/>
    </w:p>
    <w:sectPr>
      <w:headerReference r:id="rId3" w:type="default"/>
      <w:footerReference r:id="rId4" w:type="default"/>
      <w:pgSz w:w="11906" w:h="16838"/>
      <w:pgMar w:top="1644" w:right="1587" w:bottom="1587"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F9E19A5"/>
    <w:multiLevelType w:val="singleLevel"/>
    <w:tmpl w:val="FF9E19A5"/>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hjZjkxMjg2OGJjOTQ0NThhNzBhOGI4YTVmY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8159D"/>
    <w:rsid w:val="04281B49"/>
    <w:rsid w:val="0428627B"/>
    <w:rsid w:val="052D29DF"/>
    <w:rsid w:val="07BB67DE"/>
    <w:rsid w:val="0A2032A3"/>
    <w:rsid w:val="0B70708D"/>
    <w:rsid w:val="0B8A37D8"/>
    <w:rsid w:val="0EFA47F9"/>
    <w:rsid w:val="0FF5BA4A"/>
    <w:rsid w:val="10C055FF"/>
    <w:rsid w:val="110B613B"/>
    <w:rsid w:val="118107EC"/>
    <w:rsid w:val="11DD6519"/>
    <w:rsid w:val="12565D9E"/>
    <w:rsid w:val="13F02EB7"/>
    <w:rsid w:val="141A22D7"/>
    <w:rsid w:val="16BB723D"/>
    <w:rsid w:val="16EF0FB7"/>
    <w:rsid w:val="18015F3F"/>
    <w:rsid w:val="1BE8440E"/>
    <w:rsid w:val="1D155CEE"/>
    <w:rsid w:val="20F57F95"/>
    <w:rsid w:val="232733ED"/>
    <w:rsid w:val="240371BF"/>
    <w:rsid w:val="25C741E6"/>
    <w:rsid w:val="26F2CB1C"/>
    <w:rsid w:val="27842671"/>
    <w:rsid w:val="29FD04D3"/>
    <w:rsid w:val="2ABE7A3E"/>
    <w:rsid w:val="2EFA178C"/>
    <w:rsid w:val="2F61022A"/>
    <w:rsid w:val="30B46D73"/>
    <w:rsid w:val="319F7F4E"/>
    <w:rsid w:val="33F32068"/>
    <w:rsid w:val="34277356"/>
    <w:rsid w:val="3786148E"/>
    <w:rsid w:val="37FBC7E8"/>
    <w:rsid w:val="3997D203"/>
    <w:rsid w:val="39AE70AB"/>
    <w:rsid w:val="3A3F0663"/>
    <w:rsid w:val="3BED0A69"/>
    <w:rsid w:val="3C0C0783"/>
    <w:rsid w:val="3DBBA75A"/>
    <w:rsid w:val="3EFFCBAF"/>
    <w:rsid w:val="3F9F3A96"/>
    <w:rsid w:val="3FFF006D"/>
    <w:rsid w:val="43534E51"/>
    <w:rsid w:val="493C27E9"/>
    <w:rsid w:val="496F39ED"/>
    <w:rsid w:val="49EE31DF"/>
    <w:rsid w:val="49FF41D3"/>
    <w:rsid w:val="4BE068DB"/>
    <w:rsid w:val="4BF6002B"/>
    <w:rsid w:val="4ECE2238"/>
    <w:rsid w:val="4FFC650B"/>
    <w:rsid w:val="51DB4B86"/>
    <w:rsid w:val="53FEFFAC"/>
    <w:rsid w:val="542B47E5"/>
    <w:rsid w:val="55333C3E"/>
    <w:rsid w:val="573D9A64"/>
    <w:rsid w:val="58EF21E3"/>
    <w:rsid w:val="5B67FC49"/>
    <w:rsid w:val="5BC7899F"/>
    <w:rsid w:val="5BF53B2B"/>
    <w:rsid w:val="5CE1EC78"/>
    <w:rsid w:val="5D6B9631"/>
    <w:rsid w:val="5DFF7D44"/>
    <w:rsid w:val="5EEF47A5"/>
    <w:rsid w:val="5F791DBF"/>
    <w:rsid w:val="5FBEF0EE"/>
    <w:rsid w:val="5FF96087"/>
    <w:rsid w:val="63A652F6"/>
    <w:rsid w:val="64CA39A1"/>
    <w:rsid w:val="66FF5D07"/>
    <w:rsid w:val="67FF1B09"/>
    <w:rsid w:val="69EF5416"/>
    <w:rsid w:val="6A7656AD"/>
    <w:rsid w:val="6AC6289F"/>
    <w:rsid w:val="6B7F82A2"/>
    <w:rsid w:val="6BBF96CA"/>
    <w:rsid w:val="6C48671A"/>
    <w:rsid w:val="6C4A05C8"/>
    <w:rsid w:val="6E6F5BB3"/>
    <w:rsid w:val="6EFE9B20"/>
    <w:rsid w:val="6F8F301F"/>
    <w:rsid w:val="6FDBE48A"/>
    <w:rsid w:val="72734D90"/>
    <w:rsid w:val="72BFE525"/>
    <w:rsid w:val="73164BEE"/>
    <w:rsid w:val="73D99DD6"/>
    <w:rsid w:val="775F5954"/>
    <w:rsid w:val="77DDE723"/>
    <w:rsid w:val="77EF743D"/>
    <w:rsid w:val="77F5D69B"/>
    <w:rsid w:val="79E7B28D"/>
    <w:rsid w:val="7AFF5A28"/>
    <w:rsid w:val="7AFFDD08"/>
    <w:rsid w:val="7B5EDA9D"/>
    <w:rsid w:val="7BEE86F3"/>
    <w:rsid w:val="7BF1086E"/>
    <w:rsid w:val="7BFDA4A8"/>
    <w:rsid w:val="7CDF686C"/>
    <w:rsid w:val="7CFD912E"/>
    <w:rsid w:val="7DA61D36"/>
    <w:rsid w:val="7DA9BF64"/>
    <w:rsid w:val="7DAF3C73"/>
    <w:rsid w:val="7E5E9A00"/>
    <w:rsid w:val="7EAE25EB"/>
    <w:rsid w:val="7EBFF07A"/>
    <w:rsid w:val="7F3D046D"/>
    <w:rsid w:val="7F75D0E0"/>
    <w:rsid w:val="7F77F7DF"/>
    <w:rsid w:val="7F7957EA"/>
    <w:rsid w:val="7F7D5EAF"/>
    <w:rsid w:val="7F7DA3A4"/>
    <w:rsid w:val="7F9F20EE"/>
    <w:rsid w:val="7FB67862"/>
    <w:rsid w:val="7FB7682F"/>
    <w:rsid w:val="7FCF1F29"/>
    <w:rsid w:val="7FEFD32C"/>
    <w:rsid w:val="7FF210FB"/>
    <w:rsid w:val="7FFA43AA"/>
    <w:rsid w:val="7FFD902E"/>
    <w:rsid w:val="7FFE42FE"/>
    <w:rsid w:val="8DEE7560"/>
    <w:rsid w:val="91575A27"/>
    <w:rsid w:val="9D4B5CFF"/>
    <w:rsid w:val="9E3A10E2"/>
    <w:rsid w:val="9EF37ADD"/>
    <w:rsid w:val="9F6F1A3C"/>
    <w:rsid w:val="9FFF3DD4"/>
    <w:rsid w:val="A7D910AB"/>
    <w:rsid w:val="AFBBE393"/>
    <w:rsid w:val="B29F5A37"/>
    <w:rsid w:val="BB7E0E2E"/>
    <w:rsid w:val="BBFDFEF2"/>
    <w:rsid w:val="BEED149C"/>
    <w:rsid w:val="BEEE269C"/>
    <w:rsid w:val="BEFB4262"/>
    <w:rsid w:val="BF531AB2"/>
    <w:rsid w:val="BF7D3B9A"/>
    <w:rsid w:val="BF992865"/>
    <w:rsid w:val="BFDD8D06"/>
    <w:rsid w:val="CAFF6D75"/>
    <w:rsid w:val="CDF96457"/>
    <w:rsid w:val="D7577504"/>
    <w:rsid w:val="D7BBBD93"/>
    <w:rsid w:val="D7BF7CCC"/>
    <w:rsid w:val="D93F5D4D"/>
    <w:rsid w:val="DEAEBA98"/>
    <w:rsid w:val="DEFD2F5B"/>
    <w:rsid w:val="DF8F52EB"/>
    <w:rsid w:val="E0CE89A6"/>
    <w:rsid w:val="E5BB462A"/>
    <w:rsid w:val="E7BE63F6"/>
    <w:rsid w:val="E7FE083B"/>
    <w:rsid w:val="E7FE60A0"/>
    <w:rsid w:val="E94E1C51"/>
    <w:rsid w:val="EB3FE60A"/>
    <w:rsid w:val="EBFF6D7F"/>
    <w:rsid w:val="EDB35CE8"/>
    <w:rsid w:val="EDE7EF29"/>
    <w:rsid w:val="EDEB3F87"/>
    <w:rsid w:val="EEB56240"/>
    <w:rsid w:val="EEEEB271"/>
    <w:rsid w:val="EFECD3CB"/>
    <w:rsid w:val="EFFA41AF"/>
    <w:rsid w:val="F0FFF05D"/>
    <w:rsid w:val="F2E1F9D4"/>
    <w:rsid w:val="F43F6ED7"/>
    <w:rsid w:val="F6AFD9B1"/>
    <w:rsid w:val="F7880819"/>
    <w:rsid w:val="F7DEE2BB"/>
    <w:rsid w:val="F7DF5445"/>
    <w:rsid w:val="F7F7BCF3"/>
    <w:rsid w:val="F7FD1760"/>
    <w:rsid w:val="F9354930"/>
    <w:rsid w:val="F9EFAD42"/>
    <w:rsid w:val="FAFBFB34"/>
    <w:rsid w:val="FB6D976F"/>
    <w:rsid w:val="FB772A05"/>
    <w:rsid w:val="FB7B59E5"/>
    <w:rsid w:val="FB7D5120"/>
    <w:rsid w:val="FB7F45C3"/>
    <w:rsid w:val="FBBBDE12"/>
    <w:rsid w:val="FBDE8936"/>
    <w:rsid w:val="FBEF0B0A"/>
    <w:rsid w:val="FBF718F0"/>
    <w:rsid w:val="FC5270D1"/>
    <w:rsid w:val="FDFD2AD0"/>
    <w:rsid w:val="FE67E35A"/>
    <w:rsid w:val="FE7D7863"/>
    <w:rsid w:val="FE7DB255"/>
    <w:rsid w:val="FEEB0769"/>
    <w:rsid w:val="FF27384A"/>
    <w:rsid w:val="FF664BDA"/>
    <w:rsid w:val="FFBADBC6"/>
    <w:rsid w:val="FFBB58BA"/>
    <w:rsid w:val="FFBF2C11"/>
    <w:rsid w:val="FFEFE01F"/>
    <w:rsid w:val="FFF7BFAE"/>
    <w:rsid w:val="FFFE011E"/>
    <w:rsid w:val="FFFF26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heme="minorHAnsi" w:hAnsiTheme="minorHAnsi" w:eastAsiaTheme="minorEastAsia" w:cstheme="minorBidi"/>
      <w:sz w:val="20"/>
      <w:szCs w:val="20"/>
    </w:rPr>
  </w:style>
  <w:style w:type="paragraph" w:customStyle="1" w:styleId="31">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solidFill>
                <a:latin typeface="+mn-lt"/>
                <a:ea typeface="+mn-ea"/>
                <a:cs typeface="+mn-cs"/>
              </a:defRPr>
            </a:pPr>
            <a:r>
              <a:rPr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rPr>
              <a:t> 图</a:t>
            </a:r>
            <a:r>
              <a:rPr lang="en-US" altLang="zh-CN"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rPr>
              <a:t>1</a:t>
            </a:r>
            <a:r>
              <a:rPr altLang="en-US"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rPr>
              <a:t>：收、支决算总计变动情况图</a:t>
            </a:r>
            <a:endParaRPr altLang="en-US"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endParaRPr>
          </a:p>
          <a:p>
            <a:pPr defTabSz="914400">
              <a:defRPr lang="zh-CN" sz="1400" b="0" i="0" u="none" strike="noStrike" kern="1200" spc="0" baseline="0">
                <a:solidFill>
                  <a:schemeClr val="tx1"/>
                </a:solidFill>
                <a:latin typeface="+mn-lt"/>
                <a:ea typeface="+mn-ea"/>
                <a:cs typeface="+mn-cs"/>
              </a:defRPr>
            </a:pPr>
            <a:r>
              <a:rPr altLang="en-US"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rPr>
              <a:t>（单位：万元）</a:t>
            </a:r>
            <a:endParaRPr altLang="en-US"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endParaRPr>
          </a:p>
        </c:rich>
      </c:tx>
      <c:layout>
        <c:manualLayout>
          <c:xMode val="edge"/>
          <c:yMode val="edge"/>
          <c:x val="0.215712811397793"/>
          <c:y val="0.00617030028794735"/>
        </c:manualLayout>
      </c:layout>
      <c:overlay val="0"/>
      <c:spPr>
        <a:noFill/>
        <a:ln>
          <a:noFill/>
        </a:ln>
        <a:effectLst/>
      </c:spPr>
    </c:title>
    <c:autoTitleDeleted val="0"/>
    <c:plotArea>
      <c:layout>
        <c:manualLayout>
          <c:layoutTarget val="inner"/>
          <c:xMode val="edge"/>
          <c:yMode val="edge"/>
          <c:x val="0.147098154586788"/>
          <c:y val="0.236508277789723"/>
          <c:w val="0.768520994918427"/>
          <c:h val="0.648333691679209"/>
        </c:manualLayout>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147.06</c:v>
                </c:pt>
                <c:pt idx="1">
                  <c:v>166.41</c:v>
                </c:pt>
              </c:numCache>
            </c:numRef>
          </c:val>
        </c:ser>
        <c:dLbls>
          <c:showLegendKey val="0"/>
          <c:showVal val="0"/>
          <c:showCatName val="0"/>
          <c:showSerName val="0"/>
          <c:showPercent val="0"/>
          <c:showBubbleSize val="0"/>
        </c:dLbls>
        <c:gapWidth val="150"/>
        <c:overlap val="0"/>
        <c:axId val="700774076"/>
        <c:axId val="560475347"/>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700774076"/>
        <c:scaling>
          <c:orientation val="minMax"/>
        </c:scaling>
        <c:delete val="0"/>
        <c:axPos val="b"/>
        <c:majorTickMark val="none"/>
        <c:minorTickMark val="none"/>
        <c:tickLblPos val="nextTo"/>
        <c:spPr>
          <a:noFill/>
          <a:ln w="9525" cap="flat" cmpd="sng" algn="ctr">
            <a:solidFill>
              <a:schemeClr val="tx1">
                <a:lumMod val="65000"/>
                <a:lumOff val="3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0475347"/>
        <c:crosses val="autoZero"/>
        <c:auto val="1"/>
        <c:lblAlgn val="ctr"/>
        <c:lblOffset val="100"/>
        <c:noMultiLvlLbl val="0"/>
      </c:catAx>
      <c:valAx>
        <c:axId val="560475347"/>
        <c:scaling>
          <c:orientation val="minMax"/>
          <c:min val="0"/>
        </c:scaling>
        <c:delete val="0"/>
        <c:axPos val="l"/>
        <c:majorGridlines>
          <c:spPr>
            <a:ln w="9525" cap="flat" cmpd="sng" algn="ctr">
              <a:solidFill>
                <a:schemeClr val="tx1">
                  <a:lumMod val="65000"/>
                  <a:lumOff val="3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700774076"/>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图2：收入决算结构图</a:t>
            </a:r>
            <a:endParaRPr sz="1600" b="1">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23375"/>
          <c:y val="0.00790047923534161"/>
        </c:manualLayout>
      </c:layout>
      <c:overlay val="0"/>
      <c:spPr>
        <a:noFill/>
        <a:ln>
          <a:noFill/>
        </a:ln>
        <a:effectLst/>
      </c:spPr>
    </c:title>
    <c:autoTitleDeleted val="0"/>
    <c:plotArea>
      <c:layout>
        <c:manualLayout>
          <c:layoutTarget val="inner"/>
          <c:xMode val="edge"/>
          <c:yMode val="edge"/>
          <c:x val="0.323683621236915"/>
          <c:y val="0.175084175084175"/>
          <c:w val="0.402408161192553"/>
          <c:h val="0.697524415770846"/>
        </c:manualLayout>
      </c:layout>
      <c:pieChart>
        <c:varyColors val="1"/>
        <c:ser>
          <c:idx val="1"/>
          <c:order val="0"/>
          <c:tx>
            <c:strRef>
              <c:f>Sheet1!$B$1</c:f>
              <c:strCache>
                <c:ptCount val="1"/>
                <c:pt idx="0">
                  <c:v>图2：</c:v>
                </c:pt>
              </c:strCache>
            </c:strRef>
          </c:tx>
          <c:spPr>
            <a:ln w="19050">
              <a:noFill/>
            </a:ln>
          </c:spPr>
          <c:explosion val="0"/>
          <c:dPt>
            <c:idx val="0"/>
            <c:bubble3D val="0"/>
            <c:spPr>
              <a:solidFill>
                <a:schemeClr val="accent1"/>
              </a:solidFill>
              <a:ln w="19050">
                <a:noFill/>
              </a:ln>
              <a:effectLst/>
            </c:spPr>
          </c:dPt>
          <c:dLbls>
            <c:dLbl>
              <c:idx val="0"/>
              <c:layout>
                <c:manualLayout>
                  <c:x val="-7.5729138677616e-7"/>
                  <c:y val="-0.30240983836400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rPr sz="1000" b="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一般公共预算财政拨款收入166.41万元，占本年收入</a:t>
                    </a:r>
                    <a:r>
                      <a:rPr lang="en-US" altLang="zh-CN" sz="1000" b="0">
                        <a:solidFill>
                          <a:schemeClr val="tx1"/>
                        </a:solidFill>
                        <a:latin typeface="宋体" panose="02010600030101010101" charset="-122"/>
                        <a:ea typeface="宋体" panose="02010600030101010101" charset="-122"/>
                        <a:cs typeface="宋体" panose="02010600030101010101" charset="-122"/>
                        <a:sym typeface="宋体" panose="02010600030101010101" charset="-122"/>
                      </a:rPr>
                      <a:t>100%</a:t>
                    </a:r>
                    <a:endParaRPr lang="en-US" altLang="zh-CN" sz="1000" b="0">
                      <a:solidFill>
                        <a:schemeClr val="tx1"/>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一般公共预算财政拨款收入166.41万元，占本年收入100%</c:v>
                </c:pt>
              </c:strCache>
            </c:strRef>
          </c:cat>
          <c:val>
            <c:numRef>
              <c:f>{1}</c:f>
              <c:numCache>
                <c:formatCode>General</c:formatCode>
                <c:ptCount val="1"/>
                <c:pt idx="0">
                  <c:v>1</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1600">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ln>
                  <a:noFill/>
                </a:ln>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rPr sz="1600" b="1">
                <a:ln>
                  <a:noFill/>
                </a:ln>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rPr>
              <a:t>图3：支出决算结构图</a:t>
            </a:r>
            <a:endParaRPr sz="1600" b="1">
              <a:ln>
                <a:noFill/>
              </a:ln>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endParaRPr>
          </a:p>
        </c:rich>
      </c:tx>
      <c:layout>
        <c:manualLayout>
          <c:xMode val="edge"/>
          <c:yMode val="edge"/>
          <c:x val="0.320466071745555"/>
          <c:y val="0.0181282574212554"/>
        </c:manualLayout>
      </c:layout>
      <c:overlay val="0"/>
      <c:spPr>
        <a:noFill/>
        <a:ln>
          <a:noFill/>
        </a:ln>
        <a:effectLst/>
      </c:spPr>
    </c:title>
    <c:autoTitleDeleted val="0"/>
    <c:plotArea>
      <c:layout>
        <c:manualLayout>
          <c:layoutTarget val="inner"/>
          <c:xMode val="edge"/>
          <c:yMode val="edge"/>
          <c:x val="0.305612082670906"/>
          <c:y val="0.23725356900068"/>
          <c:w val="0.425606783253842"/>
          <c:h val="0.727958305007931"/>
        </c:manualLayout>
      </c:layout>
      <c:pieChart>
        <c:varyColors val="1"/>
        <c:ser>
          <c:idx val="0"/>
          <c:order val="0"/>
          <c:tx>
            <c:strRef>
              <c:f>Sheet1!$B$1</c:f>
              <c:strCache>
                <c:ptCount val="1"/>
                <c:pt idx="0">
                  <c:v>图3：</c:v>
                </c:pt>
              </c:strCache>
            </c:strRef>
          </c:tx>
          <c:spPr/>
          <c:explosion val="0"/>
          <c:dPt>
            <c:idx val="0"/>
            <c:bubble3D val="0"/>
            <c:explosion val="0"/>
            <c:spPr>
              <a:solidFill>
                <a:schemeClr val="accent1"/>
              </a:solidFill>
              <a:ln>
                <a:noFill/>
              </a:ln>
              <a:effectLst>
                <a:outerShdw blurRad="63500" sx="102000" sy="102000" algn="ctr" rotWithShape="0">
                  <a:prstClr val="black">
                    <a:alpha val="20000"/>
                  </a:prstClr>
                </a:outerShdw>
              </a:effectLst>
            </c:spPr>
          </c:dPt>
          <c:dPt>
            <c:idx val="1"/>
            <c:bubble3D val="0"/>
            <c:explosion val="0"/>
            <c:spPr>
              <a:solidFill>
                <a:schemeClr val="accent2"/>
              </a:solidFill>
              <a:ln>
                <a:noFill/>
              </a:ln>
              <a:effectLst>
                <a:outerShdw blurRad="63500" sx="102000" sy="102000" algn="ctr" rotWithShape="0">
                  <a:prstClr val="black">
                    <a:alpha val="20000"/>
                  </a:prstClr>
                </a:outerShdw>
              </a:effectLst>
            </c:spPr>
          </c:dPt>
          <c:dLbls>
            <c:dLbl>
              <c:idx val="0"/>
              <c:layout>
                <c:manualLayout>
                  <c:x val="-0.137598478674273"/>
                  <c:y val="-0.266985472878364"/>
                </c:manualLayout>
              </c:layout>
              <c:tx>
                <c:rich>
                  <a:bodyPr rot="0" spcFirstLastPara="0" vertOverflow="ellipsis" vert="horz" wrap="square" lIns="38100" tIns="19050" rIns="38100" bIns="19050" anchor="ctr" anchorCtr="1"/>
                  <a:lstStyle/>
                  <a:p>
                    <a:pPr defTabSz="914400">
                      <a:defRPr lang="zh-CN" sz="1000" b="1" i="0" u="none" strike="noStrike" kern="1200" spc="0" baseline="0">
                        <a:ln>
                          <a:noFill/>
                        </a:l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t>基本支出：占81.65%</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ln>
                        <a:noFill/>
                      </a:l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41972290138549"/>
                  <c:y val="0.172684763063741"/>
                </c:manualLayout>
              </c:layout>
              <c:tx>
                <c:rich>
                  <a:bodyPr rot="0" spcFirstLastPara="0" vertOverflow="ellipsis" vert="horz" wrap="square" lIns="38100" tIns="19050" rIns="38100" bIns="19050" anchor="ctr" anchorCtr="1"/>
                  <a:lstStyle/>
                  <a:p>
                    <a:pPr defTabSz="914400">
                      <a:defRPr lang="zh-CN" sz="1000" b="1" i="0" u="none" strike="noStrike" kern="1200" spc="0" baseline="0">
                        <a:ln>
                          <a:noFill/>
                        </a:l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r>
                      <a:t>项目支出：占18.35%</a:t>
                    </a:r>
                  </a:p>
                </c:rich>
              </c:tx>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ln>
                        <a:noFill/>
                      </a:l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ln>
                      <a:noFill/>
                    </a:ln>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基本支出：占81.65%</c:v>
                </c:pt>
                <c:pt idx="1">
                  <c:v>项目支出：占18.35%</c:v>
                </c:pt>
              </c:strCache>
            </c:strRef>
          </c:cat>
          <c:val>
            <c:numRef>
              <c:f>Sheet1!$B$2:$B$3</c:f>
              <c:numCache>
                <c:formatCode>General</c:formatCode>
                <c:ptCount val="2"/>
                <c:pt idx="0">
                  <c:v>135.87</c:v>
                </c:pt>
                <c:pt idx="1">
                  <c:v>30.54</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1600">
          <a:ln>
            <a:noFill/>
          </a:ln>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t>图4：财政拨款收、支决算总计变动情况</a:t>
            </a:r>
          </a:p>
          <a:p>
            <a:pPr defTabSz="914400">
              <a:defRPr lang="zh-CN" sz="1600" b="1" i="0" u="none" strike="noStrike" kern="1200" spc="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t>（单位：万元）</a:t>
            </a:r>
          </a:p>
        </c:rich>
      </c:tx>
      <c:layout>
        <c:manualLayout>
          <c:xMode val="edge"/>
          <c:yMode val="edge"/>
          <c:x val="0.134741992523163"/>
          <c:y val="0.0276600469048936"/>
        </c:manualLayout>
      </c:layout>
      <c:overlay val="0"/>
      <c:spPr>
        <a:noFill/>
        <a:ln>
          <a:noFill/>
        </a:ln>
        <a:effectLst/>
      </c:spPr>
    </c:title>
    <c:autoTitleDeleted val="0"/>
    <c:plotArea>
      <c:layout>
        <c:manualLayout>
          <c:layoutTarget val="inner"/>
          <c:xMode val="edge"/>
          <c:yMode val="edge"/>
          <c:x val="0.0904660259601029"/>
          <c:y val="0.247481561431913"/>
          <c:w val="0.867815384615385"/>
          <c:h val="0.669185105234754"/>
        </c:manualLayout>
      </c:layout>
      <c:barChart>
        <c:barDir val="col"/>
        <c:grouping val="clustered"/>
        <c:varyColors val="0"/>
        <c:ser>
          <c:idx val="0"/>
          <c:order val="0"/>
          <c:tx>
            <c:strRef>
              <c:f>Sheet1!$B$1</c:f>
              <c:strCache>
                <c:ptCount val="1"/>
                <c:pt idx="0">
                  <c:v>图表4：财政拨款收、支决算总计变动情况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147.06</c:v>
                </c:pt>
                <c:pt idx="1">
                  <c:v>166.41</c:v>
                </c:pt>
              </c:numCache>
            </c:numRef>
          </c:val>
        </c:ser>
        <c:dLbls>
          <c:showLegendKey val="0"/>
          <c:showVal val="0"/>
          <c:showCatName val="0"/>
          <c:showSerName val="0"/>
          <c:showPercent val="0"/>
          <c:showBubbleSize val="0"/>
        </c:dLbls>
        <c:gapWidth val="219"/>
        <c:overlap val="-27"/>
        <c:axId val="265688418"/>
        <c:axId val="276167461"/>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265688418"/>
        <c:scaling>
          <c:orientation val="minMax"/>
        </c:scaling>
        <c:delete val="0"/>
        <c:axPos val="b"/>
        <c:majorTickMark val="none"/>
        <c:minorTickMark val="none"/>
        <c:tickLblPos val="nextTo"/>
        <c:spPr>
          <a:noFill/>
          <a:ln w="9525" cap="flat" cmpd="sng" algn="ctr">
            <a:solidFill>
              <a:schemeClr val="tx1">
                <a:lumMod val="65000"/>
                <a:lumOff val="35000"/>
              </a:schemeClr>
            </a:solidFill>
            <a:round/>
          </a:ln>
          <a:effectLst/>
        </c:spPr>
        <c:txPr>
          <a:bodyPr rot="-60000000" spcFirstLastPara="0" vertOverflow="ellipsis" vert="horz" wrap="square" anchor="ctr" anchorCtr="1"/>
          <a:lstStyle/>
          <a:p>
            <a:pPr>
              <a:defRPr lang="zh-CN" sz="1000" b="0" i="0" u="none" strike="noStrike" kern="1200" baseline="0">
                <a:solidFill>
                  <a:schemeClr val="tx1">
                    <a:lumMod val="75000"/>
                    <a:lumOff val="2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276167461"/>
        <c:crosses val="autoZero"/>
        <c:auto val="1"/>
        <c:lblAlgn val="ctr"/>
        <c:lblOffset val="100"/>
        <c:noMultiLvlLbl val="0"/>
      </c:catAx>
      <c:valAx>
        <c:axId val="276167461"/>
        <c:scaling>
          <c:orientation val="minMax"/>
          <c:max val="180"/>
          <c:min val="0"/>
        </c:scaling>
        <c:delete val="0"/>
        <c:axPos val="l"/>
        <c:majorGridlines>
          <c:spPr>
            <a:ln w="9525" cap="flat" cmpd="sng" algn="ctr">
              <a:solidFill>
                <a:schemeClr val="tx1">
                  <a:lumMod val="65000"/>
                  <a:lumOff val="3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1000" b="0" i="0" u="none" strike="noStrike" kern="1200" baseline="0">
                <a:solidFill>
                  <a:schemeClr val="tx1">
                    <a:lumMod val="65000"/>
                    <a:lumOff val="35000"/>
                  </a:schemeClr>
                </a:solidFill>
                <a:latin typeface="宋体" panose="02010600030101010101" charset="-122"/>
                <a:ea typeface="宋体" panose="02010600030101010101" charset="-122"/>
                <a:cs typeface="宋体" panose="02010600030101010101" charset="-122"/>
                <a:sym typeface="宋体" panose="02010600030101010101" charset="-122"/>
              </a:defRPr>
            </a:pPr>
          </a:p>
        </c:txPr>
        <c:crossAx val="265688418"/>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sz="1600" b="1">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spc="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r>
              <a:t>图5：一般公共预算财政拨款支出决算变动情况（单位：万元）</a:t>
            </a:r>
          </a:p>
        </c:rich>
      </c:tx>
      <c:layout>
        <c:manualLayout>
          <c:xMode val="edge"/>
          <c:yMode val="edge"/>
          <c:x val="0.10501895177101"/>
          <c:y val="0.0419101349989926"/>
        </c:manualLayout>
      </c:layout>
      <c:overlay val="0"/>
      <c:spPr>
        <a:noFill/>
        <a:ln>
          <a:noFill/>
        </a:ln>
        <a:effectLst/>
      </c:spPr>
    </c:title>
    <c:autoTitleDeleted val="0"/>
    <c:plotArea>
      <c:layout>
        <c:manualLayout>
          <c:layoutTarget val="inner"/>
          <c:xMode val="edge"/>
          <c:yMode val="edge"/>
          <c:x val="0.0798065612338257"/>
          <c:y val="0.295385855329438"/>
          <c:w val="0.891439027578094"/>
          <c:h val="0.621680435220633"/>
        </c:manualLayout>
      </c:layout>
      <c:barChart>
        <c:barDir val="col"/>
        <c:grouping val="clustered"/>
        <c:varyColors val="0"/>
        <c:ser>
          <c:idx val="0"/>
          <c:order val="0"/>
          <c:tx>
            <c:strRef>
              <c:f>Sheet1!$B$1</c:f>
              <c:strCache>
                <c:ptCount val="1"/>
                <c:pt idx="0">
                  <c:v>图5：一般公共预算财政拨款支出决算变动情况（单位：万元）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147.06</c:v>
                </c:pt>
                <c:pt idx="1">
                  <c:v>166.41</c:v>
                </c:pt>
              </c:numCache>
            </c:numRef>
          </c:val>
        </c:ser>
        <c:dLbls>
          <c:showLegendKey val="0"/>
          <c:showVal val="0"/>
          <c:showCatName val="0"/>
          <c:showSerName val="0"/>
          <c:showPercent val="0"/>
          <c:showBubbleSize val="0"/>
        </c:dLbls>
        <c:gapWidth val="219"/>
        <c:overlap val="-27"/>
        <c:axId val="575954357"/>
        <c:axId val="188230301"/>
        <c:extLst>
          <c:ext xmlns:c15="http://schemas.microsoft.com/office/drawing/2012/chart" uri="{02D57815-91ED-43cb-92C2-25804820EDAC}">
            <c15:filteredBarSeries>
              <c15:ser>
                <c:idx val="1"/>
                <c:order val="1"/>
                <c:tx>
                  <c:strRef>
                    <c:extLst>
                      <c:ext uri="{02D57815-91ED-43cb-92C2-25804820EDAC}">
                        <c15:formulaRef>
                          <c15:sqref>Sheet1!#REF!</c15:sqref>
                        </c15:formulaRef>
                      </c:ext>
                    </c:extLst>
                    <c:strCache>
                      <c:ptCount val="1"/>
                      <c:pt idx="0">
                        <c:v/>
                      </c:pt>
                    </c:strCache>
                  </c:strRef>
                </c:tx>
                <c:spPr>
                  <a:solidFill>
                    <a:schemeClr val="accent2"/>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Sheet1!$A$2:$A$3</c15:sqref>
                        </c15:formulaRef>
                      </c:ext>
                    </c:extLst>
                    <c:strCache>
                      <c:ptCount val="2"/>
                      <c:pt idx="0">
                        <c:v>2020年</c:v>
                      </c:pt>
                      <c:pt idx="1">
                        <c:v>2021年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575954357"/>
        <c:scaling>
          <c:orientation val="minMax"/>
        </c:scaling>
        <c:delete val="0"/>
        <c:axPos val="b"/>
        <c:majorTickMark val="none"/>
        <c:minorTickMark val="none"/>
        <c:tickLblPos val="nextTo"/>
        <c:spPr>
          <a:noFill/>
          <a:ln w="9525" cap="flat" cmpd="sng" algn="ctr">
            <a:solidFill>
              <a:schemeClr val="tx1">
                <a:lumMod val="65000"/>
                <a:lumOff val="3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75000"/>
                    <a:lumOff val="25000"/>
                  </a:schemeClr>
                </a:solidFill>
                <a:latin typeface="+mn-lt"/>
                <a:ea typeface="+mn-ea"/>
                <a:cs typeface="+mn-cs"/>
              </a:defRPr>
            </a:pPr>
          </a:p>
        </c:txPr>
        <c:crossAx val="188230301"/>
        <c:crosses val="autoZero"/>
        <c:auto val="1"/>
        <c:lblAlgn val="ctr"/>
        <c:lblOffset val="100"/>
        <c:noMultiLvlLbl val="0"/>
      </c:catAx>
      <c:valAx>
        <c:axId val="188230301"/>
        <c:scaling>
          <c:orientation val="minMax"/>
          <c:min val="0"/>
        </c:scaling>
        <c:delete val="0"/>
        <c:axPos val="l"/>
        <c:majorGridlines>
          <c:spPr>
            <a:ln w="9525" cap="flat" cmpd="sng" algn="ctr">
              <a:solidFill>
                <a:schemeClr val="tx1">
                  <a:lumMod val="65000"/>
                  <a:lumOff val="3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5954357"/>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1729586170265"/>
          <c:y val="0.0342792961449856"/>
        </c:manualLayout>
      </c:layout>
      <c:overlay val="0"/>
      <c:spPr>
        <a:noFill/>
        <a:ln>
          <a:noFill/>
        </a:ln>
        <a:effectLst/>
      </c:spPr>
      <c:txPr>
        <a:bodyPr rot="0" spcFirstLastPara="0" vertOverflow="ellipsis" vert="horz" wrap="square" anchor="ctr" anchorCtr="1"/>
        <a:lstStyle/>
        <a:p>
          <a:pPr>
            <a:defRPr lang="zh-CN" sz="1600" b="1" i="0" u="none" strike="noStrike" kern="1200" spc="0" baseline="0">
              <a:solidFill>
                <a:schemeClr val="tx1"/>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title>
    <c:autoTitleDeleted val="0"/>
    <c:plotArea>
      <c:layout>
        <c:manualLayout>
          <c:layoutTarget val="inner"/>
          <c:xMode val="edge"/>
          <c:yMode val="edge"/>
          <c:x val="0.300575619043"/>
          <c:y val="0.247221955748609"/>
          <c:w val="0.401589947429158"/>
          <c:h val="0.649253731343284"/>
        </c:manualLayout>
      </c:layout>
      <c:pieChart>
        <c:varyColors val="1"/>
        <c:ser>
          <c:idx val="0"/>
          <c:order val="0"/>
          <c:tx>
            <c:strRef>
              <c:f>Sheet1!$B$1</c:f>
              <c:strCache>
                <c:ptCount val="1"/>
                <c:pt idx="0">
                  <c:v>图6：一般公共预算财政拨款支出决算结构</c:v>
                </c:pt>
              </c:strCache>
            </c:strRef>
          </c:tx>
          <c:spPr>
            <a:ln w="19050">
              <a:noFill/>
            </a:ln>
          </c:spPr>
          <c:explosion val="0"/>
          <c:dPt>
            <c:idx val="0"/>
            <c:bubble3D val="0"/>
            <c:spPr>
              <a:solidFill>
                <a:schemeClr val="accent1"/>
              </a:solidFill>
              <a:ln w="19050">
                <a:noFill/>
              </a:ln>
              <a:effectLst/>
            </c:spPr>
          </c:dPt>
          <c:dPt>
            <c:idx val="1"/>
            <c:bubble3D val="0"/>
            <c:spPr>
              <a:solidFill>
                <a:schemeClr val="accent2"/>
              </a:solidFill>
              <a:ln w="19050">
                <a:noFill/>
              </a:ln>
              <a:effectLst/>
            </c:spPr>
          </c:dPt>
          <c:dPt>
            <c:idx val="2"/>
            <c:bubble3D val="0"/>
            <c:spPr>
              <a:solidFill>
                <a:schemeClr val="accent3"/>
              </a:solidFill>
              <a:ln w="19050">
                <a:noFill/>
              </a:ln>
              <a:effectLst/>
            </c:spPr>
          </c:dPt>
          <c:dPt>
            <c:idx val="3"/>
            <c:bubble3D val="0"/>
            <c:explosion val="0"/>
            <c:spPr>
              <a:solidFill>
                <a:schemeClr val="accent4"/>
              </a:solidFill>
              <a:ln w="19050">
                <a:noFill/>
              </a:ln>
              <a:effectLst/>
            </c:spPr>
          </c:dPt>
          <c:dLbls>
            <c:dLbl>
              <c:idx val="0"/>
              <c:layout>
                <c:manualLayout>
                  <c:x val="-0.176188949459146"/>
                  <c:y val="-0.19582727970382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sz="1000">
                        <a:solidFill>
                          <a:schemeClr val="tx1"/>
                        </a:solidFill>
                      </a:rPr>
                      <a:t>一般公共服务（类）支出</a:t>
                    </a:r>
                    <a:r>
                      <a:rPr lang="en-US" altLang="zh-CN" sz="1000">
                        <a:solidFill>
                          <a:schemeClr val="tx1"/>
                        </a:solidFill>
                      </a:rPr>
                      <a:t>74.96%</a:t>
                    </a:r>
                    <a:endParaRPr lang="en-US" altLang="zh-CN" sz="1000">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290848840173337"/>
                      <c:h val="0.155297532656023"/>
                    </c:manualLayout>
                  </c15:layout>
                </c:ext>
              </c:extLst>
            </c:dLbl>
            <c:dLbl>
              <c:idx val="1"/>
              <c:layout>
                <c:manualLayout>
                  <c:x val="0.0292085614319436"/>
                  <c:y val="0.02628571116654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sz="1000">
                        <a:solidFill>
                          <a:schemeClr val="tx1"/>
                        </a:solidFill>
                      </a:rPr>
                      <a:t>社会保障和就业（类）支出</a:t>
                    </a:r>
                    <a:r>
                      <a:rPr lang="en-US" altLang="zh-CN" sz="1000">
                        <a:solidFill>
                          <a:schemeClr val="tx1"/>
                        </a:solidFill>
                      </a:rPr>
                      <a:t>7.63%</a:t>
                    </a:r>
                    <a:endParaRPr lang="en-US" altLang="zh-CN" sz="1000">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manualLayout>
                      <c:w val="0.22933730454207"/>
                      <c:h val="0.15411973918198"/>
                    </c:manualLayout>
                  </c15:layout>
                </c:ext>
              </c:extLst>
            </c:dLbl>
            <c:dLbl>
              <c:idx val="2"/>
              <c:layout>
                <c:manualLayout>
                  <c:x val="0.0142450228071437"/>
                  <c:y val="0.0090874872732625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sz="1000">
                        <a:solidFill>
                          <a:schemeClr val="tx1"/>
                        </a:solidFill>
                      </a:rPr>
                      <a:t>卫生健康类支出</a:t>
                    </a:r>
                    <a:r>
                      <a:rPr lang="en-US" altLang="zh-CN" sz="1000">
                        <a:solidFill>
                          <a:schemeClr val="tx1"/>
                        </a:solidFill>
                      </a:rPr>
                      <a:t>4.87%</a:t>
                    </a:r>
                    <a:endParaRPr lang="en-US" altLang="zh-CN" sz="1000">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0970316584904228"/>
                  <c:y val="0.0403131039430853"/>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solidFill>
                        <a:latin typeface="+mn-lt"/>
                        <a:ea typeface="+mn-ea"/>
                        <a:cs typeface="+mn-cs"/>
                      </a:defRPr>
                    </a:pPr>
                    <a:r>
                      <a:rPr sz="1000">
                        <a:solidFill>
                          <a:schemeClr val="tx1"/>
                        </a:solidFill>
                      </a:rPr>
                      <a:t>住房保障类支出</a:t>
                    </a:r>
                    <a:r>
                      <a:rPr lang="en-US" altLang="zh-CN" sz="1000">
                        <a:solidFill>
                          <a:schemeClr val="tx1"/>
                        </a:solidFill>
                      </a:rPr>
                      <a:t>12.54%</a:t>
                    </a:r>
                    <a:endParaRPr lang="en-US" altLang="zh-CN" sz="1000">
                      <a:solidFill>
                        <a:schemeClr val="tx1"/>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一般公共服务类支出74.96%</c:v>
                </c:pt>
                <c:pt idx="1">
                  <c:v>社会保障和就业类支出7.63%</c:v>
                </c:pt>
                <c:pt idx="2">
                  <c:v>卫生健康支出4.87%</c:v>
                </c:pt>
                <c:pt idx="3">
                  <c:v>住房保障支出12.54%</c:v>
                </c:pt>
              </c:strCache>
            </c:strRef>
          </c:cat>
          <c:val>
            <c:numRef>
              <c:f>Sheet1!$B$2:$B$5</c:f>
              <c:numCache>
                <c:formatCode>General</c:formatCode>
                <c:ptCount val="4"/>
                <c:pt idx="0">
                  <c:v>124.74</c:v>
                </c:pt>
                <c:pt idx="1">
                  <c:v>12.7</c:v>
                </c:pt>
                <c:pt idx="2">
                  <c:v>8.11</c:v>
                </c:pt>
                <c:pt idx="3">
                  <c:v>20.86</c:v>
                </c:pt>
              </c:numCache>
            </c:numRef>
          </c:val>
        </c:ser>
        <c:dLbls>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15</Pages>
  <Words>4171</Words>
  <Characters>4516</Characters>
  <Lines>61</Lines>
  <Paragraphs>17</Paragraphs>
  <TotalTime>19</TotalTime>
  <ScaleCrop>false</ScaleCrop>
  <LinksUpToDate>false</LinksUpToDate>
  <CharactersWithSpaces>4654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2020-08-07T09:49:00Z</dcterms:created>
  <dc:creator>曹颖</dc:creator>
  <cp:lastModifiedBy>静静</cp:lastModifiedBy>
  <cp:lastPrinted>2022-08-28T02:50:00Z</cp:lastPrinted>
  <dcterms:modified xsi:type="dcterms:W3CDTF">2023-10-10T06:13:58Z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DA79A7327BCF46C99335DF3D410F0F49</vt:lpwstr>
  </property>
</Properties>
</file>