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672"/>
        <w:gridCol w:w="672"/>
        <w:gridCol w:w="1143"/>
        <w:gridCol w:w="966"/>
        <w:gridCol w:w="1032"/>
        <w:gridCol w:w="1272"/>
        <w:gridCol w:w="973"/>
        <w:gridCol w:w="848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overflowPunct/>
              <w:spacing w:line="240" w:lineRule="auto"/>
              <w:ind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年中央财政药品监管补助资金分配表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  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国家抽检及监测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药品监管能力建设及其他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药品综合监管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提前通知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本次下达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国家药品抽查检验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药品专项检查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安全宣传与舆情监测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overflowPunct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2791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3709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2588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省药监局机关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省审评中心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省检查中心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省药检院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2170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2170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市州小计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自贡市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泸州市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广元市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阿坝州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凉山州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118 </w:t>
            </w:r>
          </w:p>
        </w:tc>
      </w:tr>
    </w:tbl>
    <w:p>
      <w:pPr>
        <w:pStyle w:val="11"/>
        <w:overflowPunct/>
        <w:spacing w:line="580" w:lineRule="exact"/>
        <w:ind w:left="0" w:leftChars="0" w:right="-320" w:rightChars="-100" w:firstLine="0" w:firstLineChars="0"/>
        <w:rPr>
          <w:rFonts w:hint="eastAsia"/>
        </w:rPr>
        <w:sectPr>
          <w:footerReference r:id="rId5" w:type="default"/>
          <w:pgSz w:w="11906" w:h="16838"/>
          <w:pgMar w:top="1440" w:right="1080" w:bottom="1440" w:left="1080" w:header="851" w:footer="992" w:gutter="0"/>
          <w:pgNumType w:fmt="decimal"/>
          <w:cols w:space="0" w:num="1"/>
          <w:rtlGutter w:val="0"/>
          <w:docGrid w:type="lines" w:linePitch="440" w:charSpace="0"/>
        </w:sectPr>
      </w:pPr>
    </w:p>
    <w:p>
      <w:pPr>
        <w:pStyle w:val="2"/>
        <w:bidi w:val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bidi w:val="0"/>
        <w:rPr>
          <w:rFonts w:hint="eastAsia"/>
        </w:rPr>
      </w:pP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2025年中央</w:t>
      </w:r>
      <w:r>
        <w:rPr>
          <w:rFonts w:hint="eastAsia"/>
          <w:lang w:eastAsia="zh-CN"/>
        </w:rPr>
        <w:t>财政</w:t>
      </w:r>
      <w:r>
        <w:rPr>
          <w:rFonts w:hint="eastAsia"/>
        </w:rPr>
        <w:t>药品监管补助资金项目</w:t>
      </w:r>
    </w:p>
    <w:p>
      <w:pPr>
        <w:pStyle w:val="2"/>
        <w:bidi w:val="0"/>
        <w:rPr>
          <w:rFonts w:hint="eastAsia"/>
        </w:rPr>
      </w:pPr>
      <w:r>
        <w:rPr>
          <w:rFonts w:hint="eastAsia"/>
        </w:rPr>
        <w:t>实施方案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根据《财政部 市场监管总局 国家药监局关于下达2025年食品药品监管补助资金预算的通知》（财行〔2025〕143号）和国家药监局、省委省政府工作部署，结合我省实际，制定本实施方案。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ind w:right="0" w:rightChars="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一、</w:t>
      </w:r>
      <w:r>
        <w:rPr>
          <w:rFonts w:hint="default" w:ascii="Times New Roman" w:hAnsi="Times New Roman" w:cs="Times New Roman"/>
          <w:lang w:eastAsia="zh-CN"/>
        </w:rPr>
        <w:t>项目目标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通过组织实施国家药监局下达的国家药品（含医疗器械、化妆品，下同）抽查检验、专项整治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药品安全宣传与舆情监测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药品综合监管、不良反应监测、</w:t>
      </w:r>
      <w:r>
        <w:rPr>
          <w:rFonts w:hint="default" w:ascii="Times New Roman" w:hAnsi="Times New Roman" w:cs="Times New Roman"/>
          <w:lang w:eastAsia="zh-CN"/>
        </w:rPr>
        <w:t>援藏援彝</w:t>
      </w:r>
      <w:r>
        <w:rPr>
          <w:rFonts w:hint="default" w:ascii="Times New Roman" w:hAnsi="Times New Roman" w:cs="Times New Roman"/>
        </w:rPr>
        <w:t>等工作任务，进一步提高我省药品监管水平，落实强监管守底线、助产业追高线要求，打造高质量药品安全四川。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二、项目范围和实施单位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  <w:t>实施单位为省药监局机关、省食品药品审查评价及安全监测中心（以下简称“省审评中心”）、省药品技术检查中心（以下简称“省检查中心”）、省药品检验研究院（以下简称“省药检院”），各市（州）市场监管局等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ind w:right="0" w:right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三、项目内容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ind w:right="0" w:rightChars="0"/>
        <w:textAlignment w:val="auto"/>
        <w:rPr>
          <w:rFonts w:hint="default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（一）采取据实法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国家抽检及监测任务</w:t>
      </w:r>
      <w:r>
        <w:rPr>
          <w:rFonts w:hint="default" w:ascii="Times New Roman" w:hAnsi="Times New Roman" w:cs="Times New Roman"/>
          <w:lang w:eastAsia="zh-CN"/>
        </w:rPr>
        <w:t>补助</w:t>
      </w:r>
      <w:r>
        <w:rPr>
          <w:rFonts w:hint="default" w:ascii="Times New Roman" w:hAnsi="Times New Roman" w:cs="Times New Roman"/>
        </w:rPr>
        <w:t>2791万元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cs="Times New Roman"/>
        </w:rPr>
        <w:t>1.国家药品抽查检验补助2366万元。</w:t>
      </w:r>
      <w:r>
        <w:rPr>
          <w:rFonts w:hint="default" w:ascii="Times New Roman" w:hAnsi="Times New Roman" w:cs="Times New Roman"/>
        </w:rPr>
        <w:t>根据国家药监局工作计划和国家药品抽查检验成本，</w:t>
      </w:r>
      <w:r>
        <w:rPr>
          <w:rFonts w:hint="default" w:ascii="Times New Roman" w:hAnsi="Times New Roman" w:cs="Times New Roman"/>
          <w:lang w:eastAsia="zh-CN"/>
        </w:rPr>
        <w:t>按照</w:t>
      </w:r>
      <w:r>
        <w:rPr>
          <w:rFonts w:hint="default" w:ascii="Times New Roman" w:hAnsi="Times New Roman" w:cs="Times New Roman"/>
        </w:rPr>
        <w:t>药品抽样300元/批、购样500元/批、检验2600元/批、评价20万元/品种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医疗器械抽样800元/批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检验及评价8000元/批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化妆品抽样购样1000元/批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检验及评价3500元/批</w:t>
      </w:r>
      <w:r>
        <w:rPr>
          <w:rFonts w:hint="default" w:ascii="Times New Roman" w:hAnsi="Times New Roman" w:cs="Times New Roman"/>
          <w:lang w:eastAsia="zh-CN"/>
        </w:rPr>
        <w:t>测算</w:t>
      </w:r>
      <w:r>
        <w:rPr>
          <w:rFonts w:hint="default" w:ascii="Times New Roman" w:hAnsi="Times New Roman" w:cs="Times New Roman"/>
        </w:rPr>
        <w:t>。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省药检院2170万元，成都市药品检验研究院196万元。主要用于：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一是完成800批次国</w:t>
      </w:r>
      <w:r>
        <w:rPr>
          <w:rFonts w:hint="default" w:ascii="Times New Roman" w:hAnsi="Times New Roman" w:cs="Times New Roman"/>
          <w:lang w:eastAsia="zh-CN"/>
        </w:rPr>
        <w:t>家药品</w:t>
      </w:r>
      <w:r>
        <w:rPr>
          <w:rFonts w:hint="default" w:ascii="Times New Roman" w:hAnsi="Times New Roman" w:cs="Times New Roman"/>
        </w:rPr>
        <w:t>抽样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对6个品种</w:t>
      </w:r>
      <w:r>
        <w:rPr>
          <w:rFonts w:hint="default" w:ascii="Times New Roman" w:hAnsi="Times New Roman" w:cs="Times New Roman"/>
          <w:lang w:eastAsia="zh-CN"/>
        </w:rPr>
        <w:t>共计</w:t>
      </w:r>
      <w:r>
        <w:rPr>
          <w:rFonts w:hint="default" w:ascii="Times New Roman" w:hAnsi="Times New Roman" w:cs="Times New Roman"/>
          <w:lang w:val="en-US" w:eastAsia="zh-CN"/>
        </w:rPr>
        <w:t>1320批次药品</w:t>
      </w:r>
      <w:r>
        <w:rPr>
          <w:rFonts w:hint="default" w:ascii="Times New Roman" w:hAnsi="Times New Roman" w:cs="Times New Roman"/>
        </w:rPr>
        <w:t>（其中包含1个中药材监测品种</w:t>
      </w:r>
      <w:r>
        <w:rPr>
          <w:rFonts w:hint="default" w:ascii="Times New Roman" w:hAnsi="Times New Roman" w:cs="Times New Roman"/>
          <w:lang w:val="en-US" w:eastAsia="zh-CN"/>
        </w:rPr>
        <w:t>70批次</w:t>
      </w:r>
      <w:r>
        <w:rPr>
          <w:rFonts w:hint="default" w:ascii="Times New Roman" w:hAnsi="Times New Roman" w:cs="Times New Roman"/>
        </w:rPr>
        <w:t>）抽样检验</w:t>
      </w:r>
      <w:r>
        <w:rPr>
          <w:rFonts w:hint="default" w:ascii="Times New Roman" w:hAnsi="Times New Roman" w:cs="Times New Roman"/>
          <w:lang w:eastAsia="zh-CN"/>
        </w:rPr>
        <w:t>和</w:t>
      </w:r>
      <w:r>
        <w:rPr>
          <w:rFonts w:hint="default" w:ascii="Times New Roman" w:hAnsi="Times New Roman" w:cs="Times New Roman"/>
        </w:rPr>
        <w:t>探索性研究</w:t>
      </w:r>
      <w:r>
        <w:rPr>
          <w:rFonts w:hint="default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并对其质量和风险进行综合评价，形成药品质量分析研究报告及有关专项探索性研究报告</w:t>
      </w:r>
      <w:r>
        <w:rPr>
          <w:rFonts w:hint="default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对国家</w:t>
      </w:r>
      <w:r>
        <w:rPr>
          <w:rFonts w:hint="default" w:ascii="Times New Roman" w:hAnsi="Times New Roman" w:cs="Times New Roman"/>
          <w:lang w:eastAsia="zh-CN"/>
        </w:rPr>
        <w:t>药监</w:t>
      </w:r>
      <w:r>
        <w:rPr>
          <w:rFonts w:hint="default" w:ascii="Times New Roman" w:hAnsi="Times New Roman" w:cs="Times New Roman"/>
        </w:rPr>
        <w:t>局授权的辖区内生物制品进行样品检验和资料审核，对药品注册样品进行检验复核。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二是完成71批次国家医疗器械生产环节质量抽样，45批次医疗器械检验任务，并对抽检结果进行综合分析形成报告，对省内国家集采中选医疗器械产品开展风险监测。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三是完成850批次国家化妆品监督抽样检验，200批次国家化妆品安全风险监测抽样检验，并对抽检结果进行综合分析形成报告。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项目责任单位：省药监局药品流通处、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药品生产处、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器械监管处、化妆品监管处、药品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注册处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，省药检院、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成都市药检院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eastAsia="楷体_GB2312" w:cs="Times New Roman"/>
          <w:lang w:val="en-US" w:eastAsia="zh-CN"/>
        </w:rPr>
        <w:t>2.</w:t>
      </w:r>
      <w:r>
        <w:rPr>
          <w:rStyle w:val="10"/>
          <w:rFonts w:hint="default" w:ascii="Times New Roman" w:hAnsi="Times New Roman" w:cs="Times New Roman"/>
        </w:rPr>
        <w:t>药品专项检查补助241万元。</w:t>
      </w:r>
      <w:r>
        <w:rPr>
          <w:rFonts w:hint="default" w:ascii="Times New Roman" w:hAnsi="Times New Roman" w:cs="Times New Roman"/>
        </w:rPr>
        <w:t>根据国家药监局工作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及开展工作实际产生的相关费用据实测算，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省审评中心229万元</w:t>
      </w:r>
      <w:r>
        <w:rPr>
          <w:rFonts w:hint="default" w:ascii="Times New Roman" w:hAnsi="Times New Roman" w:cs="Times New Roman"/>
          <w:lang w:eastAsia="zh-CN"/>
        </w:rPr>
        <w:t>，用于开展</w:t>
      </w:r>
      <w:r>
        <w:rPr>
          <w:rFonts w:hint="default" w:ascii="Times New Roman" w:hAnsi="Times New Roman" w:cs="Times New Roman"/>
        </w:rPr>
        <w:t>药品注册国省联合现场核查</w:t>
      </w:r>
      <w:r>
        <w:rPr>
          <w:rFonts w:hint="default" w:ascii="Times New Roman" w:hAnsi="Times New Roman" w:cs="Times New Roman"/>
          <w:lang w:eastAsia="zh-CN"/>
        </w:rPr>
        <w:t>、开展</w:t>
      </w:r>
      <w:r>
        <w:rPr>
          <w:rFonts w:hint="default" w:ascii="Times New Roman" w:hAnsi="Times New Roman" w:cs="Times New Roman"/>
        </w:rPr>
        <w:t>药品补充申请前置服务现场检查</w:t>
      </w:r>
      <w:r>
        <w:rPr>
          <w:rFonts w:hint="default" w:ascii="Times New Roman" w:hAnsi="Times New Roman" w:cs="Times New Roman"/>
          <w:lang w:eastAsia="zh-CN"/>
        </w:rPr>
        <w:t>，以及开展</w:t>
      </w:r>
      <w:r>
        <w:rPr>
          <w:rFonts w:hint="default" w:ascii="Times New Roman" w:hAnsi="Times New Roman" w:cs="Times New Roman"/>
        </w:rPr>
        <w:t>不良事件监测及药物滥用</w:t>
      </w:r>
      <w:r>
        <w:rPr>
          <w:rFonts w:hint="default" w:ascii="Times New Roman" w:hAnsi="Times New Roman" w:cs="Times New Roman"/>
          <w:lang w:eastAsia="zh-CN"/>
        </w:rPr>
        <w:t>监测。下达</w:t>
      </w:r>
      <w:r>
        <w:rPr>
          <w:rFonts w:hint="default" w:ascii="Times New Roman" w:hAnsi="Times New Roman" w:cs="Times New Roman"/>
        </w:rPr>
        <w:t>省检查中心12万元，用于无菌植入专项生产环节重点检查。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项目责任单位：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省药监局药品生产处、药品注册处、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器械监管处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省审评中心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、省检查中心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Style w:val="10"/>
          <w:rFonts w:hint="default" w:ascii="Times New Roman" w:hAnsi="Times New Roman" w:cs="Times New Roman"/>
        </w:rPr>
        <w:t>3.药品安全宣传与舆情监测补助184万元。</w:t>
      </w:r>
      <w:r>
        <w:rPr>
          <w:rFonts w:hint="default" w:ascii="Times New Roman" w:hAnsi="Times New Roman" w:cs="Times New Roman"/>
        </w:rPr>
        <w:t>根据国家药监局部署</w:t>
      </w:r>
      <w:r>
        <w:rPr>
          <w:rFonts w:hint="default" w:ascii="Times New Roman" w:hAnsi="Times New Roman" w:cs="Times New Roman"/>
          <w:lang w:eastAsia="zh-CN"/>
        </w:rPr>
        <w:t>的</w:t>
      </w:r>
      <w:r>
        <w:rPr>
          <w:rFonts w:hint="default" w:ascii="Times New Roman" w:hAnsi="Times New Roman" w:cs="Times New Roman"/>
        </w:rPr>
        <w:t>新闻宣传与舆情监测</w:t>
      </w:r>
      <w:r>
        <w:rPr>
          <w:rFonts w:hint="default" w:ascii="Times New Roman" w:hAnsi="Times New Roman" w:cs="Times New Roman"/>
          <w:lang w:eastAsia="zh-CN"/>
        </w:rPr>
        <w:t>工作任务</w:t>
      </w:r>
      <w:r>
        <w:rPr>
          <w:rFonts w:hint="default" w:ascii="Times New Roman" w:hAnsi="Times New Roman" w:cs="Times New Roman"/>
        </w:rPr>
        <w:t>，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省药监局机关163万元，用于网站及新媒体药品安全宣传、户外宣传展示、“两品一械”科普作品制作及舆情监测等。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省审评中心14万元，用于药物滥用及医疗器械不良事件专项科普宣传活动。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凉山州市场</w:t>
      </w:r>
      <w:r>
        <w:rPr>
          <w:rFonts w:hint="default" w:ascii="Times New Roman" w:hAnsi="Times New Roman" w:cs="Times New Roman"/>
          <w:lang w:eastAsia="zh-CN"/>
        </w:rPr>
        <w:t>监管</w:t>
      </w:r>
      <w:r>
        <w:rPr>
          <w:rFonts w:hint="default" w:ascii="Times New Roman" w:hAnsi="Times New Roman" w:cs="Times New Roman"/>
        </w:rPr>
        <w:t>局7万元，用于承办国家</w:t>
      </w:r>
      <w:r>
        <w:rPr>
          <w:rFonts w:hint="default" w:ascii="Times New Roman" w:hAnsi="Times New Roman" w:cs="Times New Roman"/>
          <w:lang w:eastAsia="zh-CN"/>
        </w:rPr>
        <w:t>药监</w:t>
      </w:r>
      <w:r>
        <w:rPr>
          <w:rFonts w:hint="default" w:ascii="Times New Roman" w:hAnsi="Times New Roman" w:cs="Times New Roman"/>
        </w:rPr>
        <w:t>局“6</w:t>
      </w:r>
      <w:r>
        <w:rPr>
          <w:rFonts w:hint="default" w:ascii="Times New Roman" w:hAnsi="Times New Roman" w:eastAsia="仿宋_GB2312" w:cs="Times New Roman"/>
        </w:rPr>
        <w:t>・</w:t>
      </w:r>
      <w:r>
        <w:rPr>
          <w:rFonts w:hint="default" w:ascii="Times New Roman" w:hAnsi="Times New Roman" w:cs="Times New Roman"/>
        </w:rPr>
        <w:t>26国际禁毒日”</w:t>
      </w:r>
      <w:r>
        <w:rPr>
          <w:rFonts w:hint="default" w:ascii="Times New Roman" w:hAnsi="Times New Roman" w:cs="Times New Roman"/>
          <w:lang w:eastAsia="zh-CN"/>
        </w:rPr>
        <w:t>全国暨四川省防范青少年药物滥用</w:t>
      </w:r>
      <w:r>
        <w:rPr>
          <w:rFonts w:hint="default" w:ascii="Times New Roman" w:hAnsi="Times New Roman" w:cs="Times New Roman"/>
        </w:rPr>
        <w:t>宣传活动。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项目责任单位：省药监局办公室，省审评中心，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凉山州市场</w:t>
      </w:r>
      <w:r>
        <w:rPr>
          <w:rFonts w:hint="eastAsia" w:eastAsia="仿宋" w:cs="Times New Roman"/>
          <w:sz w:val="32"/>
          <w:szCs w:val="32"/>
          <w:highlight w:val="none"/>
          <w:lang w:val="en-US" w:eastAsia="zh-CN"/>
        </w:rPr>
        <w:t>监管局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ind w:right="0" w:rightChars="0"/>
        <w:textAlignment w:val="auto"/>
        <w:rPr>
          <w:rFonts w:hint="default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cs="Times New Roman"/>
        </w:rPr>
        <w:t>（二）采取项目法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药品监管能力建设以及其他药品安全监管工作的必要支出173万元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省</w:t>
      </w:r>
      <w:r>
        <w:rPr>
          <w:rFonts w:hint="default" w:ascii="Times New Roman" w:hAnsi="Times New Roman" w:cs="Times New Roman"/>
          <w:lang w:eastAsia="zh-CN"/>
        </w:rPr>
        <w:t>药监</w:t>
      </w:r>
      <w:r>
        <w:rPr>
          <w:rFonts w:hint="default" w:ascii="Times New Roman" w:hAnsi="Times New Roman" w:cs="Times New Roman"/>
        </w:rPr>
        <w:t>局机关10万元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省审评中心30万元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省检查中心10万元</w:t>
      </w:r>
      <w:r>
        <w:rPr>
          <w:rFonts w:hint="default" w:ascii="Times New Roman" w:hAnsi="Times New Roman" w:cs="Times New Roman"/>
          <w:lang w:eastAsia="zh-CN"/>
        </w:rPr>
        <w:t>，用于完成</w:t>
      </w:r>
      <w:r>
        <w:rPr>
          <w:rFonts w:hint="default" w:ascii="Times New Roman" w:hAnsi="Times New Roman" w:cs="Times New Roman"/>
        </w:rPr>
        <w:t>国家药监局下达的放射性药品生产检查</w:t>
      </w:r>
      <w:r>
        <w:rPr>
          <w:rFonts w:hint="default" w:ascii="Times New Roman" w:hAnsi="Times New Roman" w:cs="Times New Roman"/>
          <w:lang w:eastAsia="zh-CN"/>
        </w:rPr>
        <w:t>、</w:t>
      </w:r>
      <w:r>
        <w:rPr>
          <w:rFonts w:hint="default" w:ascii="Times New Roman" w:hAnsi="Times New Roman" w:cs="Times New Roman"/>
        </w:rPr>
        <w:t>药物警戒、医疗器械审评等相关研究任务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省审评中心38万元，省检查中心18万元，省药检院7万元，用于支持药品补充申请审评审批改革试点工作及监管能力建设。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广元市市场</w:t>
      </w:r>
      <w:r>
        <w:rPr>
          <w:rFonts w:hint="default" w:ascii="Times New Roman" w:hAnsi="Times New Roman" w:cs="Times New Roman"/>
          <w:lang w:eastAsia="zh-CN"/>
        </w:rPr>
        <w:t>监管</w:t>
      </w:r>
      <w:r>
        <w:rPr>
          <w:rFonts w:hint="default" w:ascii="Times New Roman" w:hAnsi="Times New Roman" w:cs="Times New Roman"/>
        </w:rPr>
        <w:t>局60万元，用于购置中药材农药残留和重金属检验设备，提升我省川产道地药材全产业链安全监管能力。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ind w:right="0" w:rightChars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（三）采取因素法</w:t>
      </w:r>
      <w:r>
        <w:rPr>
          <w:rFonts w:hint="default" w:ascii="Times New Roman" w:hAnsi="Times New Roman" w:cs="Times New Roman"/>
          <w:lang w:eastAsia="zh-CN"/>
        </w:rPr>
        <w:t>下达</w:t>
      </w:r>
      <w:r>
        <w:rPr>
          <w:rFonts w:hint="default" w:ascii="Times New Roman" w:hAnsi="Times New Roman" w:cs="Times New Roman"/>
        </w:rPr>
        <w:t>市县药品安全综合监管经费3110万元。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选择常住人口、地域面积、药品生产经营市场主体数量等基本因素（权重分别</w:t>
      </w:r>
      <w:r>
        <w:rPr>
          <w:rFonts w:hint="default" w:ascii="Times New Roman" w:hAnsi="Times New Roman" w:cs="Times New Roman"/>
          <w:lang w:eastAsia="zh-CN"/>
        </w:rPr>
        <w:t>为</w:t>
      </w:r>
      <w:r>
        <w:rPr>
          <w:rFonts w:hint="default" w:ascii="Times New Roman" w:hAnsi="Times New Roman" w:cs="Times New Roman"/>
        </w:rPr>
        <w:t>10%、5%、15%），和药化械不良反应监测、药品安全违法案件查办量、药品安全重点工作开展情况、药品安全专项整治任务量（无菌植入医疗器械检查）等业务因素（权重分别</w:t>
      </w:r>
      <w:r>
        <w:rPr>
          <w:rFonts w:hint="default" w:ascii="Times New Roman" w:hAnsi="Times New Roman" w:cs="Times New Roman"/>
          <w:lang w:eastAsia="zh-CN"/>
        </w:rPr>
        <w:t>为</w:t>
      </w:r>
      <w:r>
        <w:rPr>
          <w:rFonts w:hint="default" w:ascii="Times New Roman" w:hAnsi="Times New Roman" w:cs="Times New Roman"/>
        </w:rPr>
        <w:t>20%、20%、15%、5%），以及上</w:t>
      </w:r>
      <w:r>
        <w:rPr>
          <w:rFonts w:hint="default" w:ascii="Times New Roman" w:hAnsi="Times New Roman" w:cs="Times New Roman"/>
          <w:lang w:eastAsia="zh-CN"/>
        </w:rPr>
        <w:t>一</w:t>
      </w:r>
      <w:r>
        <w:rPr>
          <w:rFonts w:hint="default" w:ascii="Times New Roman" w:hAnsi="Times New Roman" w:cs="Times New Roman"/>
        </w:rPr>
        <w:t>年</w:t>
      </w:r>
      <w:r>
        <w:rPr>
          <w:rFonts w:hint="default" w:ascii="Times New Roman" w:hAnsi="Times New Roman" w:cs="Times New Roman"/>
          <w:lang w:eastAsia="zh-CN"/>
        </w:rPr>
        <w:t>度</w:t>
      </w:r>
      <w:r>
        <w:rPr>
          <w:rFonts w:hint="default" w:ascii="Times New Roman" w:hAnsi="Times New Roman" w:cs="Times New Roman"/>
        </w:rPr>
        <w:t>市（州）财政综合绩效结果、市（州）补助资金部门绩效评价结果等绩效因素（权重分别</w:t>
      </w:r>
      <w:r>
        <w:rPr>
          <w:rFonts w:hint="default" w:ascii="Times New Roman" w:hAnsi="Times New Roman" w:cs="Times New Roman"/>
          <w:lang w:eastAsia="zh-CN"/>
        </w:rPr>
        <w:t>为</w:t>
      </w:r>
      <w:r>
        <w:rPr>
          <w:rFonts w:hint="default" w:ascii="Times New Roman" w:hAnsi="Times New Roman" w:cs="Times New Roman"/>
        </w:rPr>
        <w:t>4%、6%）进行测算，并结合市（州）</w:t>
      </w:r>
      <w:r>
        <w:rPr>
          <w:rFonts w:hint="default" w:ascii="Times New Roman" w:hAnsi="Times New Roman" w:cs="Times New Roman"/>
          <w:highlight w:val="none"/>
        </w:rPr>
        <w:t>财力</w:t>
      </w:r>
      <w:r>
        <w:rPr>
          <w:rFonts w:hint="default" w:ascii="Times New Roman" w:hAnsi="Times New Roman" w:cs="Times New Roman"/>
          <w:highlight w:val="none"/>
          <w:lang w:eastAsia="zh-CN"/>
        </w:rPr>
        <w:t>系数进行适</w:t>
      </w:r>
      <w:r>
        <w:rPr>
          <w:rFonts w:hint="default" w:ascii="Times New Roman" w:hAnsi="Times New Roman" w:cs="Times New Roman"/>
          <w:lang w:eastAsia="zh-CN"/>
        </w:rPr>
        <w:t>当</w:t>
      </w:r>
      <w:r>
        <w:rPr>
          <w:rFonts w:hint="default" w:ascii="Times New Roman" w:hAnsi="Times New Roman" w:cs="Times New Roman"/>
        </w:rPr>
        <w:t>调整确定补助金额。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highlight w:val="none"/>
          <w:lang w:eastAsia="zh-CN"/>
        </w:rPr>
        <w:t>市（州）药品综合监管资金主要用于补助以下药品监管工作：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</w:rPr>
        <w:t>.不良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eastAsia="zh-CN"/>
        </w:rPr>
        <w:t>事件监测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各市（州）市场监管局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完成药品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、医疗器械、化妆品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每百万人口不良反应报告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数的收集、核实、评价，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开展医疗器械不良事件监测相关宣传1次，开展医疗器械不良事件监测相关培训16学时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，推进省级医疗器械不良事件监测哨点（医疗机构）建设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项目责任单位：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省药监局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药品生产处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器械监管处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化妆品监管处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省审评中心，各市（州）市场监管局。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2.药物滥用监测。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各市（州）市场监管局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完成药物滥用监测调查表上报基础工作，开展药物滥用监测培训1次，开展药物滥用监测相关宣传1次。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推进药物滥用监测医疗机构（含5个国家级、22个省级）哨点建设。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项目责任单位：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省药监局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药品生产处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省审评中心，各市（州）市场监管局。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</w:rPr>
        <w:t>无菌植入医疗器械专项整治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各市（州）市场监管局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开展经营使用环节无菌和植入性医疗器械专项检查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项目责任单位：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省药监局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器械监管处，各市（州）市场监管局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" w:cs="Times New Roman"/>
          <w:b/>
          <w:sz w:val="32"/>
          <w:szCs w:val="32"/>
          <w:highlight w:val="none"/>
          <w:lang w:val="en-US" w:eastAsia="zh-CN"/>
        </w:rPr>
        <w:t>4.全国药品安全宣传周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各市（州）市场监管局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完成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国家局布置的</w:t>
      </w:r>
      <w:r>
        <w:rPr>
          <w:rFonts w:hint="default" w:ascii="Times New Roman" w:hAnsi="Times New Roman" w:eastAsia="仿宋" w:cs="Times New Roman"/>
          <w:b w:val="0"/>
          <w:bCs/>
          <w:sz w:val="32"/>
          <w:szCs w:val="32"/>
          <w:highlight w:val="none"/>
          <w:lang w:val="en-US" w:eastAsia="zh-CN"/>
        </w:rPr>
        <w:t>全国药品安全宣传周1次。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项目责任单位：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省药监局办公室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，各市（州）市场监管局。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 w:val="0"/>
          <w:sz w:val="32"/>
          <w:szCs w:val="32"/>
          <w:highlight w:val="none"/>
          <w:lang w:val="en-US" w:eastAsia="zh-CN"/>
        </w:rPr>
        <w:t>5.援藏援彝。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根据中央和四川援藏援彝工作部署，按照行政区划补助50个藏彝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县（市、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区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。主要用于支持藏彝区药品监管工作。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项目责任单位：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省药监局规财处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，甘孜、阿坝、凉山、乐山市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（州）市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场监管局。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6.应急演练。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highlight w:val="none"/>
          <w:lang w:val="en-US" w:eastAsia="zh-CN"/>
        </w:rPr>
        <w:t>根据国家和四川“十四五”规划工作部署，省、市、县负责药品监管的部门要进一步健全应急管理制度机制，常态化开展药品安全应急演练，不断提升应急处置能力。广安、雅安市市场监管局按照预警分级标准，完成2025年省级、市级药品安全应急演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3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项目责任单位：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省药监局办公室、药品流通处，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广安、雅安市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场监管局。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四、项目组织实施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省药监局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办公室负责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新闻宣传与舆情监测工作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任务布置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、方案下达，组织、指导项目的实施和绩效评价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省药监局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药品注册处负责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药品补充申请审评审批程序改革试点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工作及药品注册国省联合现场核查任务布置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、方案下达，组织、指导项目的实施和绩效评价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.省药监局药品生产处负责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生物制品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批签发、药品不良反应监测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、药物滥用监测能力建设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等工作任务布置、方案下达，组织、指导项目的实施和绩效评价。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.省药监局药品流通处负责药品抽查检验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、质量监测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等工作任务布置、方案下达，组织、指导项目的实施和绩效评价。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.省药监局化妆品监管处负责化妆品抽查检验、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风险监测及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不良反应监测等工作任务布置、方案下达，组织、指导项目的实施和绩效评价。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.省药监局器械监管处负责医疗器械抽查检验、不良反应监测、不良事件监测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无菌和植入性医疗器械专项整治等工作任务布置、方案下达，组织、指导项目的实施和绩效评价。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.省药监局规财处负责援藏援彝工作任务布置、方案下达，组织指导项目的实施和绩效评价。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.省药检院具体承担国家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药品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批签发检验，药品、医疗器械、化妆品抽查检验及评价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，药品、化妆品风险监测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和绩效评价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，指导市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开展抽查检验工作。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.省审评中心具体承担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药品注册国省联合现场核查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和不良反应监测、不良事件监测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药物滥用监测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能力建设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等工作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和绩效评价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，指导市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开展监测工作。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.省检查中心具体承担专项整治等技术检查工作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和绩效评价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，指导市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州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开展专项整治工作。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五、项目执行时间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研究任务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年12月底前完成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，其他工作任务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2025年12月底前完成。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六、项目监督与评估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ind w:right="0" w:right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（一）</w:t>
      </w:r>
      <w:r>
        <w:rPr>
          <w:rFonts w:hint="default" w:ascii="Times New Roman" w:hAnsi="Times New Roman" w:cs="Times New Roman"/>
        </w:rPr>
        <w:t>项目监管</w:t>
      </w:r>
      <w:r>
        <w:rPr>
          <w:rFonts w:hint="default" w:ascii="Times New Roman" w:hAnsi="Times New Roman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1.项目实施单位承担项目的组织实施及管理，开展项目绩效自评工作，严格遵守《中央财政食品药品监管补助资金管理实施办法》（川财行〔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111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号）相关规定。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2.省药监局规财处负责项目资金使用的监督与考核。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660" w:lineRule="exact"/>
        <w:ind w:right="0" w:rightChars="0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（二）资金监管。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项目资金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实行专款专用、专项核算，不得列支与项目内容无关的费用。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rPr>
          <w:rFonts w:hint="default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10214610</wp:posOffset>
                </wp:positionH>
                <wp:positionV relativeFrom="paragraph">
                  <wp:posOffset>3246755</wp:posOffset>
                </wp:positionV>
                <wp:extent cx="6741160" cy="56787415"/>
                <wp:effectExtent l="4445" t="635" r="5715" b="11430"/>
                <wp:wrapNone/>
                <wp:docPr id="868" name="直接连接符 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1222355" y="9391650"/>
                          <a:ext cx="6741160" cy="56787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04.3pt;margin-top:255.65pt;height:4471.45pt;width:530.8pt;z-index:251659264;mso-width-relative:page;mso-height-relative:page;" filled="f" stroked="t" coordsize="21600,21600" o:gfxdata="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cNF57eAAAADgEAAA8AAAAAAAAAAQAgAAAA&#10;IgAAAGRycy9kb3ducmV2LnhtbFBLAQIUABQAAAAIAIdO4kCF+a9dBQIAANMDAAAOAAAAAAAAAAEA&#10;IAAAAC0BAABkcnMvZTJvRG9jLnhtbFBLBQYAAAAABgAGAFkBAACk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eastAsia="zh-CN"/>
        </w:rPr>
        <w:t>项目实施单位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要切实做好绩效监控和绩效评价，确保资金安全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</w:p>
    <w:sectPr>
      <w:footerReference r:id="rId6" w:type="default"/>
      <w:pgSz w:w="11906" w:h="16838"/>
      <w:pgMar w:top="1757" w:right="1474" w:bottom="1871" w:left="1587" w:header="851" w:footer="0" w:gutter="0"/>
      <w:paperSrc/>
      <w:pgNumType w:fmt="decimal"/>
      <w:cols w:space="0" w:num="1"/>
      <w:rtlGutter w:val="0"/>
      <w:docGrid w:type="lines" w:linePitch="44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7174C"/>
    <w:rsid w:val="0270601D"/>
    <w:rsid w:val="03404C40"/>
    <w:rsid w:val="0A6E7F4C"/>
    <w:rsid w:val="0B7F7952"/>
    <w:rsid w:val="0BE40575"/>
    <w:rsid w:val="0CF550D2"/>
    <w:rsid w:val="0DD26630"/>
    <w:rsid w:val="15C01464"/>
    <w:rsid w:val="15F1161D"/>
    <w:rsid w:val="18723928"/>
    <w:rsid w:val="18C67035"/>
    <w:rsid w:val="1BE9545F"/>
    <w:rsid w:val="1BED17B1"/>
    <w:rsid w:val="1F6C04A6"/>
    <w:rsid w:val="28B63F6D"/>
    <w:rsid w:val="28BC0562"/>
    <w:rsid w:val="2A624D97"/>
    <w:rsid w:val="2DCFFBB3"/>
    <w:rsid w:val="2F292A5E"/>
    <w:rsid w:val="30AC28B9"/>
    <w:rsid w:val="391F2D12"/>
    <w:rsid w:val="39504BD0"/>
    <w:rsid w:val="3CD33064"/>
    <w:rsid w:val="3D3037BD"/>
    <w:rsid w:val="3FB7569D"/>
    <w:rsid w:val="44C424A5"/>
    <w:rsid w:val="4A0B5F87"/>
    <w:rsid w:val="4DF73806"/>
    <w:rsid w:val="4EDE0AEA"/>
    <w:rsid w:val="4F703C8A"/>
    <w:rsid w:val="4FA5096C"/>
    <w:rsid w:val="53DB0C3B"/>
    <w:rsid w:val="545D5EF6"/>
    <w:rsid w:val="578E4942"/>
    <w:rsid w:val="57E7174C"/>
    <w:rsid w:val="59B90B50"/>
    <w:rsid w:val="5B366EB4"/>
    <w:rsid w:val="5BC000C7"/>
    <w:rsid w:val="5F982884"/>
    <w:rsid w:val="65C1510D"/>
    <w:rsid w:val="6D9640F9"/>
    <w:rsid w:val="6DB4632D"/>
    <w:rsid w:val="6EFD1B86"/>
    <w:rsid w:val="753BD8B7"/>
    <w:rsid w:val="75774810"/>
    <w:rsid w:val="75F92A79"/>
    <w:rsid w:val="76FE5846"/>
    <w:rsid w:val="77D3B5FC"/>
    <w:rsid w:val="77FB8F6B"/>
    <w:rsid w:val="78906A8F"/>
    <w:rsid w:val="7ACC0279"/>
    <w:rsid w:val="7DF94E76"/>
    <w:rsid w:val="7EFB8C2B"/>
    <w:rsid w:val="7F762D24"/>
    <w:rsid w:val="7F911130"/>
    <w:rsid w:val="7FFBBE76"/>
    <w:rsid w:val="B137B173"/>
    <w:rsid w:val="CCF9D744"/>
    <w:rsid w:val="D3FBEE2A"/>
    <w:rsid w:val="D76EF3FD"/>
    <w:rsid w:val="DBDFED38"/>
    <w:rsid w:val="DF7EF741"/>
    <w:rsid w:val="DFBF0D8F"/>
    <w:rsid w:val="DFFA3097"/>
    <w:rsid w:val="EBDFA470"/>
    <w:rsid w:val="EFF7269D"/>
    <w:rsid w:val="F3AF253F"/>
    <w:rsid w:val="F65E76A8"/>
    <w:rsid w:val="F7F7E84E"/>
    <w:rsid w:val="F7FD014A"/>
    <w:rsid w:val="FC3C5EF3"/>
    <w:rsid w:val="FE5DF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2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20" w:lineRule="exact"/>
      <w:outlineLvl w:val="1"/>
    </w:pPr>
    <w:rPr>
      <w:rFonts w:ascii="Arial" w:hAnsi="Arial" w:eastAsia="黑体" w:cs="Times New Roman"/>
    </w:rPr>
  </w:style>
  <w:style w:type="paragraph" w:styleId="4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620" w:lineRule="exact"/>
      <w:outlineLvl w:val="2"/>
    </w:pPr>
    <w:rPr>
      <w:rFonts w:ascii="Times New Roman" w:hAnsi="Times New Roman" w:eastAsia="楷体_GB2312" w:cs="Times New Roman"/>
      <w:b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 w:val="0"/>
      <w:keepLines w:val="0"/>
      <w:spacing w:beforeLines="0" w:beforeAutospacing="0" w:afterLines="0" w:afterAutospacing="0" w:line="620" w:lineRule="exact"/>
      <w:outlineLvl w:val="3"/>
    </w:pPr>
    <w:rPr>
      <w:rFonts w:ascii="Times New Roman" w:hAnsi="Times New Roman" w:eastAsia="楷体_GB2312" w:cs="Times New Roma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标题 4 Char"/>
    <w:link w:val="5"/>
    <w:qFormat/>
    <w:uiPriority w:val="0"/>
    <w:rPr>
      <w:rFonts w:ascii="Times New Roman" w:hAnsi="Times New Roman" w:eastAsia="楷体_GB2312"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3540</Words>
  <Characters>3916</Characters>
  <Lines>0</Lines>
  <Paragraphs>0</Paragraphs>
  <TotalTime>4</TotalTime>
  <ScaleCrop>false</ScaleCrop>
  <LinksUpToDate>false</LinksUpToDate>
  <CharactersWithSpaces>4080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2025-07-30T00:00:00Z</dcterms:created>
  <dc:creator>薛旭植</dc:creator>
  <cp:lastModifiedBy>Administrator</cp:lastModifiedBy>
  <cp:lastPrinted>2025-09-11T10:29:00Z</cp:lastPrinted>
  <dcterms:modified xsi:type="dcterms:W3CDTF">2025-09-26T08:29:09Z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eyJoZGlkIjoiZjE4YmIwNzRhM2M5N2Y3ZmZkZGE2OTc2YzM1NjViNzMiLCJ1c2VySWQiOiIyNzk2NjA0NjkifQ==</vt:lpwstr>
  </property>
  <property fmtid="{D5CDD505-2E9C-101B-9397-08002B2CF9AE}" pid="4" name="ICV">
    <vt:lpwstr>9D5F02758E0747F2BB891FEC695A7E64_12</vt:lpwstr>
  </property>
</Properties>
</file>