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黑体" w:eastAsia="黑体" w:cs="方正小标宋简体"/>
        </w:rPr>
      </w:pPr>
      <w:r>
        <w:rPr>
          <w:rFonts w:ascii="黑体" w:hAnsi="黑体" w:eastAsia="黑体" w:cs="方正小标宋简体"/>
        </w:rPr>
        <w:t>附件</w:t>
      </w:r>
    </w:p>
    <w:p>
      <w:pPr>
        <w:spacing w:line="576" w:lineRule="exact"/>
        <w:rPr>
          <w:rFonts w:ascii="方正小标宋简体" w:hAnsi="仿宋" w:eastAsia="方正小标宋简体" w:cs="方正小标宋简体"/>
          <w:sz w:val="44"/>
          <w:szCs w:val="44"/>
        </w:rPr>
      </w:pPr>
    </w:p>
    <w:p>
      <w:pPr>
        <w:spacing w:line="640" w:lineRule="exact"/>
        <w:jc w:val="center"/>
        <w:rPr>
          <w:rFonts w:ascii="方正小标宋简体" w:hAnsi="仿宋" w:eastAsia="方正小标宋简体" w:cs="方正小标宋简体"/>
          <w:sz w:val="44"/>
          <w:szCs w:val="44"/>
        </w:rPr>
      </w:pPr>
      <w:r>
        <w:rPr>
          <w:rFonts w:hint="eastAsia" w:ascii="方正小标宋简体" w:hAnsi="仿宋" w:eastAsia="方正小标宋简体" w:cs="方正小标宋简体"/>
          <w:sz w:val="44"/>
          <w:szCs w:val="44"/>
        </w:rPr>
        <w:t>四川省省级国库现金管理实施办法</w:t>
      </w:r>
    </w:p>
    <w:p>
      <w:pPr>
        <w:spacing w:line="640" w:lineRule="exact"/>
        <w:jc w:val="center"/>
        <w:rPr>
          <w:rFonts w:ascii="仿宋_GB2312" w:hAnsiTheme="minorEastAsia"/>
        </w:rPr>
      </w:pPr>
    </w:p>
    <w:p>
      <w:pPr>
        <w:spacing w:line="576" w:lineRule="exact"/>
        <w:jc w:val="center"/>
        <w:rPr>
          <w:rFonts w:ascii="黑体" w:hAnsi="仿宋" w:eastAsia="黑体"/>
        </w:rPr>
      </w:pPr>
      <w:r>
        <w:rPr>
          <w:rFonts w:hint="eastAsia" w:ascii="黑体" w:hAnsi="仿宋" w:eastAsia="黑体" w:cs="黑体"/>
        </w:rPr>
        <w:t>第一章</w:t>
      </w:r>
      <w:r>
        <w:rPr>
          <w:rFonts w:ascii="黑体" w:hAnsi="仿宋" w:eastAsia="黑体" w:cs="黑体"/>
        </w:rPr>
        <w:t xml:space="preserve">  </w:t>
      </w:r>
      <w:r>
        <w:rPr>
          <w:rFonts w:hint="eastAsia" w:ascii="黑体" w:hAnsi="仿宋" w:eastAsia="黑体" w:cs="黑体"/>
        </w:rPr>
        <w:t>总则</w:t>
      </w:r>
    </w:p>
    <w:p>
      <w:pPr>
        <w:spacing w:line="576" w:lineRule="exact"/>
        <w:rPr>
          <w:rFonts w:cs="仿宋_GB2312"/>
        </w:rPr>
      </w:pPr>
      <w:r>
        <w:rPr>
          <w:rFonts w:ascii="仿宋" w:hAnsi="仿宋" w:eastAsia="仿宋" w:cs="仿宋"/>
        </w:rPr>
        <w:t xml:space="preserve">   </w:t>
      </w:r>
      <w:r>
        <w:rPr>
          <w:rFonts w:ascii="黑体" w:hAnsi="黑体" w:eastAsia="黑体" w:cs="黑体"/>
        </w:rPr>
        <w:t xml:space="preserve"> </w:t>
      </w:r>
      <w:r>
        <w:rPr>
          <w:rFonts w:hint="eastAsia" w:ascii="黑体" w:hAnsi="黑体" w:eastAsia="黑体" w:cs="黑体"/>
        </w:rPr>
        <w:t>第一条</w:t>
      </w:r>
      <w:r>
        <w:t xml:space="preserve">  </w:t>
      </w:r>
      <w:r>
        <w:rPr>
          <w:rFonts w:hint="eastAsia" w:cs="仿宋_GB2312"/>
        </w:rPr>
        <w:t>为深化和完善国库集中收付制度改革，进一步规范省级国库现金管理，防范资金存放安全风险和廉政风险，提高财政资金使用效益，增强财政政策与货币政策协调性，根据《中华人民共和国预算法》、《中华人民共和国银行业监督管理法》、《中华人民共和国国家金库条例》和财政部、中国人民银行印发的《地方国库现金管理试点办法》、《关于进一步规范地方国库现金管理的通知》等法律法规及有关规定，结合我省实际和试点工作情况，制定本办法。</w:t>
      </w:r>
    </w:p>
    <w:p>
      <w:pPr>
        <w:spacing w:line="576" w:lineRule="exact"/>
        <w:ind w:firstLine="640" w:firstLineChars="200"/>
        <w:rPr>
          <w:b/>
          <w:bCs/>
        </w:rPr>
      </w:pPr>
      <w:r>
        <w:rPr>
          <w:rFonts w:hint="eastAsia" w:ascii="黑体" w:hAnsi="黑体" w:eastAsia="黑体" w:cs="黑体"/>
        </w:rPr>
        <w:t>第二条</w:t>
      </w:r>
      <w:r>
        <w:t xml:space="preserve">  </w:t>
      </w:r>
      <w:r>
        <w:rPr>
          <w:rFonts w:hint="eastAsia" w:cs="仿宋_GB2312"/>
        </w:rPr>
        <w:t>本办法适用于四川省省级国库现金管理业务。</w:t>
      </w:r>
    </w:p>
    <w:p>
      <w:pPr>
        <w:spacing w:line="576" w:lineRule="exact"/>
        <w:ind w:firstLine="640" w:firstLineChars="200"/>
        <w:rPr>
          <w:rFonts w:cs="仿宋_GB2312"/>
        </w:rPr>
      </w:pPr>
      <w:r>
        <w:rPr>
          <w:rFonts w:hint="eastAsia" w:cs="仿宋_GB2312"/>
        </w:rPr>
        <w:t>本办法所称国库现金，是指四川省人民政府（以下简称省政府）存放在中华人民共和国国家金库四川省分库（以下简称国家金库四川省分库）的财政资金。</w:t>
      </w:r>
    </w:p>
    <w:p>
      <w:pPr>
        <w:spacing w:line="576" w:lineRule="exact"/>
        <w:ind w:firstLine="640" w:firstLineChars="200"/>
        <w:rPr>
          <w:rFonts w:cs="仿宋_GB2312"/>
        </w:rPr>
      </w:pPr>
      <w:r>
        <w:rPr>
          <w:rFonts w:hint="eastAsia" w:cs="仿宋_GB2312"/>
        </w:rPr>
        <w:t>本办法所称国库现金管理，是指在确保国库现金安全和省级财政资金支付需要的前提下，运用金融工具有效运作国库现金，提高资金使用效益的管理活动。</w:t>
      </w:r>
    </w:p>
    <w:p>
      <w:pPr>
        <w:spacing w:line="576" w:lineRule="exact"/>
        <w:ind w:firstLine="640" w:firstLineChars="200"/>
        <w:rPr>
          <w:b/>
          <w:bCs/>
        </w:rPr>
      </w:pPr>
      <w:r>
        <w:rPr>
          <w:rFonts w:hint="eastAsia" w:ascii="黑体" w:hAnsi="黑体" w:eastAsia="黑体" w:cs="黑体"/>
        </w:rPr>
        <w:t>第三条</w:t>
      </w:r>
      <w:r>
        <w:t xml:space="preserve">  </w:t>
      </w:r>
      <w:r>
        <w:rPr>
          <w:rFonts w:hint="eastAsia" w:cs="仿宋_GB2312"/>
        </w:rPr>
        <w:t>四川省省级国库现金管理遵循以下原则：</w:t>
      </w:r>
    </w:p>
    <w:p>
      <w:pPr>
        <w:spacing w:line="576" w:lineRule="exact"/>
        <w:ind w:firstLine="640" w:firstLineChars="200"/>
      </w:pPr>
      <w:r>
        <w:rPr>
          <w:rFonts w:hint="eastAsia" w:cs="仿宋_GB2312"/>
        </w:rPr>
        <w:t>（一）协调性原则。省级国库现金管理要注重政策效果，与党中央和国务院及省委、省政府宏观经济政策相一致。充分考虑对市场流动性的影响，与货币政策操作相协调，有利于促进全省经济社会健康发展。</w:t>
      </w:r>
    </w:p>
    <w:p>
      <w:pPr>
        <w:spacing w:line="576" w:lineRule="exact"/>
        <w:ind w:firstLine="640" w:firstLineChars="200"/>
        <w:rPr>
          <w:rFonts w:cs="仿宋_GB2312"/>
        </w:rPr>
      </w:pPr>
      <w:r>
        <w:rPr>
          <w:rFonts w:hint="eastAsia" w:cs="仿宋_GB2312"/>
        </w:rPr>
        <w:t>（二）公开、公平、公正原则。省级国库现金管理实行公开招标操作，严格规范运行程序，防止利益输送行为。</w:t>
      </w:r>
    </w:p>
    <w:p>
      <w:pPr>
        <w:spacing w:line="576" w:lineRule="exact"/>
        <w:ind w:firstLine="640" w:firstLineChars="200"/>
        <w:rPr>
          <w:rFonts w:cs="仿宋_GB2312"/>
        </w:rPr>
      </w:pPr>
      <w:r>
        <w:rPr>
          <w:rFonts w:hint="eastAsia" w:cs="仿宋_GB2312"/>
        </w:rPr>
        <w:t>（三）安全性、流动性、收益性相统一的原则。在确保财政资金安全、财政支出支付流动性需求基础上，择优选择存款银行，实现保值增值。</w:t>
      </w:r>
    </w:p>
    <w:p>
      <w:pPr>
        <w:spacing w:line="576" w:lineRule="exact"/>
        <w:ind w:firstLine="640" w:firstLineChars="200"/>
        <w:rPr>
          <w:rFonts w:hint="eastAsia" w:ascii="仿宋_GB2312" w:cs="仿宋_GB2312"/>
        </w:rPr>
      </w:pPr>
      <w:r>
        <w:rPr>
          <w:rFonts w:hint="eastAsia" w:ascii="黑体" w:hAnsi="黑体" w:eastAsia="黑体" w:cs="黑体"/>
        </w:rPr>
        <w:t>第四条</w:t>
      </w:r>
      <w:r>
        <w:t xml:space="preserve">  </w:t>
      </w:r>
      <w:r>
        <w:rPr>
          <w:rFonts w:hint="eastAsia" w:ascii="仿宋_GB2312" w:cs="仿宋_GB2312"/>
        </w:rPr>
        <w:t>省级国库现金管理操作工具为商业银行定期存款，期限在1年期以内（不含1年）。</w:t>
      </w:r>
    </w:p>
    <w:p>
      <w:pPr>
        <w:spacing w:line="576" w:lineRule="exact"/>
        <w:ind w:firstLine="640" w:firstLineChars="200"/>
        <w:rPr>
          <w:rFonts w:hint="eastAsia" w:ascii="仿宋_GB2312" w:cs="仿宋_GB2312"/>
        </w:rPr>
      </w:pPr>
      <w:r>
        <w:rPr>
          <w:rFonts w:hint="eastAsia" w:ascii="仿宋_GB2312" w:cs="仿宋_GB2312"/>
        </w:rPr>
        <w:t>根据库款和预算收支执行情况，省级国库现金管理可实施期限在3个月以内的存款操作。具体操作办法由财政厅和人民银行成都分行另行制定。</w:t>
      </w:r>
    </w:p>
    <w:p>
      <w:pPr>
        <w:spacing w:line="576" w:lineRule="exact"/>
        <w:ind w:firstLine="640" w:firstLineChars="200"/>
        <w:rPr>
          <w:rFonts w:cs="仿宋_GB2312"/>
        </w:rPr>
      </w:pPr>
      <w:r>
        <w:rPr>
          <w:rFonts w:hint="eastAsia" w:cs="仿宋_GB2312"/>
        </w:rPr>
        <w:t>本办法所称商业银行定期存款，是指财政厅将暂时闲置的国库现金按一定期限存放商业银行，商业银行提供足额质押并向财政厅支付利息。</w:t>
      </w:r>
    </w:p>
    <w:p>
      <w:pPr>
        <w:spacing w:line="576" w:lineRule="exact"/>
        <w:ind w:firstLine="640" w:firstLineChars="200"/>
        <w:rPr>
          <w:rFonts w:cs="仿宋_GB2312"/>
        </w:rPr>
      </w:pPr>
      <w:r>
        <w:rPr>
          <w:rFonts w:hint="eastAsia" w:ascii="黑体" w:hAnsi="黑体" w:eastAsia="黑体" w:cs="黑体"/>
        </w:rPr>
        <w:t>第五条</w:t>
      </w:r>
      <w:r>
        <w:rPr>
          <w:rFonts w:ascii="仿宋" w:hAnsi="仿宋" w:eastAsia="仿宋" w:cs="仿宋"/>
        </w:rPr>
        <w:t xml:space="preserve">  </w:t>
      </w:r>
      <w:r>
        <w:rPr>
          <w:rFonts w:hint="eastAsia" w:cs="仿宋_GB2312"/>
        </w:rPr>
        <w:t>省级国库现金管理商业银行定期存款（以下简称国库定期存款）利率以操作当日同期限金融机构人民币存款基准利率为基础，在四川省市场利率定价自律机制协商的浮动水平区间内根据商业原则确定。</w:t>
      </w:r>
    </w:p>
    <w:p>
      <w:pPr>
        <w:spacing w:line="576" w:lineRule="exact"/>
        <w:ind w:firstLine="640" w:firstLineChars="200"/>
        <w:rPr>
          <w:rFonts w:cs="仿宋_GB2312"/>
        </w:rPr>
      </w:pPr>
      <w:r>
        <w:rPr>
          <w:rFonts w:hint="eastAsia" w:ascii="黑体" w:hAnsi="黑体" w:eastAsia="黑体" w:cs="黑体"/>
        </w:rPr>
        <w:t>第六条</w:t>
      </w:r>
      <w:r>
        <w:rPr>
          <w:rFonts w:ascii="仿宋" w:hAnsi="仿宋" w:eastAsia="仿宋" w:cs="仿宋"/>
        </w:rPr>
        <w:t xml:space="preserve">  </w:t>
      </w:r>
      <w:r>
        <w:rPr>
          <w:rFonts w:hint="eastAsia" w:cs="仿宋_GB2312"/>
        </w:rPr>
        <w:t>本办法所称商业银行，是指国有商业银行、股份制商业银行、城市商业银行和农村商业银行在成都市中心城区的法人银行或四川省（成都）分行。省级国库现金管理承办银行是指省级国库现金管理参与银行指定的具体承办国库现金管理资金存放业务的分支机构。</w:t>
      </w:r>
    </w:p>
    <w:p>
      <w:pPr>
        <w:spacing w:line="576" w:lineRule="exact"/>
        <w:ind w:firstLine="640" w:firstLineChars="200"/>
        <w:rPr>
          <w:rFonts w:cs="仿宋_GB2312"/>
        </w:rPr>
      </w:pPr>
      <w:r>
        <w:rPr>
          <w:rFonts w:hint="eastAsia" w:ascii="黑体" w:hAnsi="黑体" w:eastAsia="黑体" w:cs="黑体"/>
        </w:rPr>
        <w:t>第七条</w:t>
      </w:r>
      <w:r>
        <w:rPr>
          <w:rFonts w:ascii="仿宋" w:hAnsi="仿宋" w:eastAsia="仿宋" w:cs="仿宋"/>
        </w:rPr>
        <w:t xml:space="preserve">  </w:t>
      </w:r>
      <w:r>
        <w:rPr>
          <w:rFonts w:hint="eastAsia" w:cs="仿宋_GB2312"/>
        </w:rPr>
        <w:t>四川省财政厅（以下简称财政厅）、中国人民银行成都分行（以下简称人行成都分行）共同开展省级国库现金管理工作，明确双方职责分工，建立必要的协调工作机制。</w:t>
      </w:r>
    </w:p>
    <w:p>
      <w:pPr>
        <w:spacing w:line="576" w:lineRule="exact"/>
        <w:ind w:firstLine="640" w:firstLineChars="200"/>
        <w:rPr>
          <w:rFonts w:cs="仿宋_GB2312"/>
        </w:rPr>
      </w:pPr>
      <w:r>
        <w:rPr>
          <w:rFonts w:hint="eastAsia" w:cs="仿宋_GB2312"/>
        </w:rPr>
        <w:t>财政厅、人行成都分行通过相关层级的联席会议等方式，加强省级国库现金管理工作协调，及时沟通现金管理操作以及财政政策、货币政策调整的相关信息。</w:t>
      </w:r>
    </w:p>
    <w:p>
      <w:pPr>
        <w:spacing w:line="576" w:lineRule="exact"/>
        <w:ind w:firstLine="640" w:firstLineChars="200"/>
      </w:pPr>
      <w:r>
        <w:rPr>
          <w:rFonts w:hint="eastAsia" w:cs="仿宋_GB2312"/>
        </w:rPr>
        <w:t>财政厅和人行成都分行联合成立省级国库现金管理工作小组（以下简称工作小组），负责拟定年度国库现金管理规模，制定操作计划和实施方案，组织开展招标工作，以及承担省级国库现金管理其他相关工作。</w:t>
      </w:r>
    </w:p>
    <w:p>
      <w:pPr>
        <w:spacing w:line="576" w:lineRule="exact"/>
        <w:rPr>
          <w:rFonts w:ascii="仿宋" w:hAnsi="仿宋" w:eastAsia="仿宋"/>
          <w:b/>
          <w:bCs/>
        </w:rPr>
      </w:pPr>
    </w:p>
    <w:p>
      <w:pPr>
        <w:spacing w:line="576" w:lineRule="exact"/>
        <w:jc w:val="center"/>
        <w:rPr>
          <w:rFonts w:ascii="黑体" w:hAnsi="仿宋" w:eastAsia="黑体"/>
        </w:rPr>
      </w:pPr>
      <w:r>
        <w:rPr>
          <w:rFonts w:hint="eastAsia" w:ascii="黑体" w:hAnsi="仿宋" w:eastAsia="黑体" w:cs="黑体"/>
        </w:rPr>
        <w:t>第二章</w:t>
      </w:r>
      <w:r>
        <w:rPr>
          <w:rFonts w:ascii="黑体" w:hAnsi="仿宋" w:eastAsia="黑体" w:cs="黑体"/>
        </w:rPr>
        <w:t xml:space="preserve">  </w:t>
      </w:r>
      <w:r>
        <w:rPr>
          <w:rFonts w:hint="eastAsia" w:ascii="黑体" w:hAnsi="仿宋" w:eastAsia="黑体" w:cs="黑体"/>
        </w:rPr>
        <w:t>国库现金管理规模和操作计划</w:t>
      </w:r>
    </w:p>
    <w:p>
      <w:pPr>
        <w:spacing w:line="576" w:lineRule="exact"/>
        <w:ind w:firstLine="640" w:firstLineChars="200"/>
      </w:pPr>
      <w:r>
        <w:rPr>
          <w:rFonts w:hint="eastAsia" w:ascii="黑体" w:hAnsi="黑体" w:eastAsia="黑体" w:cs="黑体"/>
        </w:rPr>
        <w:t>第八条</w:t>
      </w:r>
      <w:r>
        <w:rPr>
          <w:rFonts w:ascii="仿宋" w:hAnsi="仿宋" w:eastAsia="仿宋" w:cs="仿宋"/>
        </w:rPr>
        <w:t xml:space="preserve">  </w:t>
      </w:r>
      <w:r>
        <w:rPr>
          <w:rFonts w:hint="eastAsia" w:cs="仿宋_GB2312"/>
        </w:rPr>
        <w:t>财政厅根据省级国库现金流量，在对库款进行分析及预测的基础上，商人行成都分行提出年度国库现金管理规模（即国库现金管理定期存款余额限额），报省政府批准后实施。年度执行中，根据当年财政收支和货币政策调整变化等情况，需增加管理规模的应报省政府批准。</w:t>
      </w:r>
    </w:p>
    <w:p>
      <w:pPr>
        <w:spacing w:line="576" w:lineRule="exact"/>
        <w:ind w:firstLine="640" w:firstLineChars="200"/>
        <w:rPr>
          <w:rFonts w:cs="仿宋_GB2312"/>
        </w:rPr>
      </w:pPr>
      <w:r>
        <w:rPr>
          <w:rFonts w:hint="eastAsia" w:ascii="黑体" w:hAnsi="黑体" w:eastAsia="黑体" w:cs="黑体"/>
        </w:rPr>
        <w:t>第九条</w:t>
      </w:r>
      <w:r>
        <w:rPr>
          <w:rFonts w:ascii="黑体" w:hAnsi="黑体" w:eastAsia="黑体" w:cs="黑体"/>
        </w:rPr>
        <w:t xml:space="preserve">  </w:t>
      </w:r>
      <w:r>
        <w:rPr>
          <w:rFonts w:hint="eastAsia" w:cs="仿宋_GB2312"/>
        </w:rPr>
        <w:t>财政厅、人行成都分行在省政府批准的年度管理规模内，根据当前预算收支执行和库款等情况，在保障财政资金支付的前提下制定国库现金管理操作计划，按规定及时将月度操作计划和每期具体操作信息分别报财政部、中国人民银行总行备案。</w:t>
      </w:r>
    </w:p>
    <w:p>
      <w:pPr>
        <w:spacing w:line="576" w:lineRule="exact"/>
        <w:ind w:firstLine="640" w:firstLineChars="200"/>
        <w:rPr>
          <w:rFonts w:ascii="仿宋" w:hAnsi="仿宋" w:eastAsia="仿宋"/>
        </w:rPr>
      </w:pPr>
    </w:p>
    <w:p>
      <w:pPr>
        <w:numPr>
          <w:ilvl w:val="0"/>
          <w:numId w:val="1"/>
        </w:numPr>
        <w:spacing w:line="576" w:lineRule="exact"/>
        <w:jc w:val="center"/>
        <w:rPr>
          <w:rFonts w:ascii="黑体" w:hAnsi="仿宋" w:eastAsia="黑体"/>
        </w:rPr>
      </w:pPr>
      <w:r>
        <w:rPr>
          <w:rFonts w:hint="eastAsia" w:ascii="黑体" w:hAnsi="仿宋" w:eastAsia="黑体" w:cs="黑体"/>
        </w:rPr>
        <w:t>招标确定存款银行和存款金额</w:t>
      </w:r>
    </w:p>
    <w:p>
      <w:pPr>
        <w:spacing w:line="576" w:lineRule="exact"/>
        <w:ind w:firstLine="640" w:firstLineChars="200"/>
        <w:rPr>
          <w:rFonts w:ascii="仿宋_GB2312" w:hAnsi="宋体"/>
          <w:kern w:val="0"/>
        </w:rPr>
      </w:pPr>
      <w:r>
        <w:rPr>
          <w:rFonts w:hint="eastAsia" w:ascii="黑体" w:hAnsi="黑体" w:eastAsia="黑体" w:cs="黑体"/>
        </w:rPr>
        <w:t>第十条</w:t>
      </w:r>
      <w:r>
        <w:rPr>
          <w:rFonts w:ascii="黑体" w:hAnsi="黑体" w:eastAsia="黑体" w:cs="黑体"/>
        </w:rPr>
        <w:t xml:space="preserve">  </w:t>
      </w:r>
      <w:r>
        <w:rPr>
          <w:rFonts w:hint="eastAsia" w:ascii="仿宋_GB2312" w:hAnsi="宋体" w:cs="仿宋_GB2312"/>
          <w:kern w:val="0"/>
        </w:rPr>
        <w:t>省</w:t>
      </w:r>
      <w:r>
        <w:rPr>
          <w:rFonts w:hint="eastAsia" w:cs="仿宋_GB2312"/>
        </w:rPr>
        <w:t>级国库现金管理采取公开招标方式，按评标办法择优确定存储国库现金的商业银行（以下简称“存款银行”），计算确定存款金额</w:t>
      </w:r>
      <w:r>
        <w:rPr>
          <w:rFonts w:hint="eastAsia" w:ascii="仿宋_GB2312" w:hAnsi="宋体" w:cs="仿宋_GB2312"/>
          <w:kern w:val="0"/>
        </w:rPr>
        <w:t>。公开招标由工作小组组织实施。</w:t>
      </w:r>
    </w:p>
    <w:p>
      <w:pPr>
        <w:spacing w:line="576" w:lineRule="exact"/>
        <w:ind w:firstLine="640" w:firstLineChars="200"/>
      </w:pPr>
      <w:r>
        <w:rPr>
          <w:rFonts w:hint="eastAsia" w:ascii="黑体" w:hAnsi="宋体" w:eastAsia="黑体" w:cs="黑体"/>
          <w:kern w:val="0"/>
        </w:rPr>
        <w:t>第十</w:t>
      </w:r>
      <w:r>
        <w:rPr>
          <w:rFonts w:hint="eastAsia" w:ascii="黑体" w:hAnsi="黑体" w:eastAsia="黑体" w:cs="黑体"/>
        </w:rPr>
        <w:t>一</w:t>
      </w:r>
      <w:r>
        <w:rPr>
          <w:rFonts w:hint="eastAsia" w:ascii="黑体" w:hAnsi="宋体" w:eastAsia="黑体" w:cs="黑体"/>
          <w:kern w:val="0"/>
        </w:rPr>
        <w:t>条</w:t>
      </w:r>
      <w:r>
        <w:rPr>
          <w:rFonts w:ascii="黑体" w:hAnsi="宋体" w:eastAsia="黑体" w:cs="黑体"/>
          <w:kern w:val="0"/>
        </w:rPr>
        <w:t xml:space="preserve">  </w:t>
      </w:r>
      <w:r>
        <w:rPr>
          <w:rFonts w:hint="eastAsia" w:cs="仿宋_GB2312"/>
        </w:rPr>
        <w:t>财政厅、人行成都分行通过定向邀请方式征集建立专家名册，其人员原则上为省级有关部门从事财政、金融、法律等方面在职的专家及业务骨干。每期从专家名册中</w:t>
      </w:r>
      <w:r>
        <w:rPr>
          <w:rFonts w:hint="eastAsia" w:cs="仿宋_GB2312"/>
          <w:color w:val="000000"/>
        </w:rPr>
        <w:t>抽取确定人员，组成</w:t>
      </w:r>
      <w:r>
        <w:rPr>
          <w:rFonts w:hint="eastAsia" w:cs="仿宋_GB2312"/>
        </w:rPr>
        <w:t>国库现金管理评标委员会，开展评标工作</w:t>
      </w:r>
      <w:r>
        <w:rPr>
          <w:rFonts w:hint="eastAsia" w:cs="仿宋_GB2312"/>
          <w:color w:val="000000"/>
        </w:rPr>
        <w:t>。</w:t>
      </w:r>
      <w:r>
        <w:rPr>
          <w:rFonts w:hint="eastAsia" w:cs="仿宋_GB2312"/>
        </w:rPr>
        <w:t>评标委员会成员总</w:t>
      </w:r>
      <w:r>
        <w:rPr>
          <w:rFonts w:hint="eastAsia" w:ascii="仿宋_GB2312" w:cs="仿宋_GB2312"/>
        </w:rPr>
        <w:t>数应为</w:t>
      </w:r>
      <w:r>
        <w:rPr>
          <w:rFonts w:hint="eastAsia" w:ascii="仿宋_GB2312"/>
        </w:rPr>
        <w:t>5</w:t>
      </w:r>
      <w:r>
        <w:rPr>
          <w:rFonts w:hint="eastAsia" w:ascii="仿宋_GB2312" w:cs="仿宋_GB2312"/>
        </w:rPr>
        <w:t>人以上单数</w:t>
      </w:r>
      <w:r>
        <w:rPr>
          <w:rFonts w:hint="eastAsia" w:cs="仿宋_GB2312"/>
        </w:rPr>
        <w:t>。</w:t>
      </w:r>
    </w:p>
    <w:p>
      <w:pPr>
        <w:spacing w:line="576" w:lineRule="exact"/>
        <w:ind w:firstLine="640" w:firstLineChars="200"/>
      </w:pPr>
      <w:r>
        <w:rPr>
          <w:rFonts w:hint="eastAsia" w:ascii="黑体" w:hAnsi="黑体" w:eastAsia="黑体" w:cs="黑体"/>
        </w:rPr>
        <w:t>第十</w:t>
      </w:r>
      <w:r>
        <w:rPr>
          <w:rFonts w:hint="eastAsia" w:ascii="黑体" w:hAnsi="宋体" w:eastAsia="黑体" w:cs="黑体"/>
          <w:kern w:val="0"/>
        </w:rPr>
        <w:t>二</w:t>
      </w:r>
      <w:r>
        <w:rPr>
          <w:rFonts w:hint="eastAsia" w:ascii="黑体" w:hAnsi="黑体" w:eastAsia="黑体" w:cs="黑体"/>
        </w:rPr>
        <w:t>条</w:t>
      </w:r>
      <w:r>
        <w:rPr>
          <w:rFonts w:ascii="黑体" w:hAnsi="黑体" w:eastAsia="黑体" w:cs="黑体"/>
        </w:rPr>
        <w:t xml:space="preserve">  </w:t>
      </w:r>
      <w:r>
        <w:rPr>
          <w:rFonts w:hint="eastAsia" w:cs="仿宋_GB2312"/>
        </w:rPr>
        <w:t>公开招标操作前，财政厅、人行成都分行共同制定省级国库现金管理商业银行定期存款招</w:t>
      </w:r>
      <w:r>
        <w:rPr>
          <w:rFonts w:hint="eastAsia" w:cs="仿宋_GB2312"/>
          <w:color w:val="000000"/>
        </w:rPr>
        <w:t>标文件</w:t>
      </w:r>
      <w:r>
        <w:rPr>
          <w:rFonts w:hint="eastAsia" w:cs="仿宋_GB2312"/>
        </w:rPr>
        <w:t>，明确操作规模、操作工具、评标办法</w:t>
      </w:r>
      <w:r>
        <w:rPr>
          <w:rFonts w:hint="eastAsia" w:cs="仿宋_GB2312"/>
          <w:color w:val="000000"/>
        </w:rPr>
        <w:t>等内容。</w:t>
      </w:r>
    </w:p>
    <w:p>
      <w:pPr>
        <w:spacing w:line="576" w:lineRule="exact"/>
        <w:ind w:firstLine="640" w:firstLineChars="200"/>
      </w:pPr>
      <w:r>
        <w:rPr>
          <w:rFonts w:hint="eastAsia" w:ascii="黑体" w:hAnsi="黑体" w:eastAsia="黑体" w:cs="黑体"/>
        </w:rPr>
        <w:t>第十三条</w:t>
      </w:r>
      <w:r>
        <w:rPr>
          <w:rFonts w:ascii="黑体" w:hAnsi="黑体" w:eastAsia="黑体" w:cs="黑体"/>
        </w:rPr>
        <w:t xml:space="preserve">  </w:t>
      </w:r>
      <w:r>
        <w:rPr>
          <w:rFonts w:hint="eastAsia" w:cs="仿宋_GB2312"/>
        </w:rPr>
        <w:t>公开招标</w:t>
      </w:r>
      <w:r>
        <w:rPr>
          <w:rFonts w:hint="eastAsia" w:ascii="仿宋_GB2312" w:cs="仿宋_GB2312"/>
        </w:rPr>
        <w:t>日前3个工作日，财政厅、人行成都分行分别通过官方网站发布招标公告。招标公告应明确招标内容、招标条件以及招标文件领取等事项</w:t>
      </w:r>
      <w:r>
        <w:rPr>
          <w:rFonts w:hint="eastAsia" w:cs="仿宋_GB2312"/>
        </w:rPr>
        <w:t>。</w:t>
      </w:r>
    </w:p>
    <w:p>
      <w:pPr>
        <w:spacing w:line="576" w:lineRule="exact"/>
        <w:ind w:firstLine="640" w:firstLineChars="200"/>
      </w:pPr>
      <w:r>
        <w:rPr>
          <w:rFonts w:hint="eastAsia" w:ascii="黑体" w:hAnsi="黑体" w:eastAsia="黑体" w:cs="黑体"/>
        </w:rPr>
        <w:t>第十四条</w:t>
      </w:r>
      <w:r>
        <w:rPr>
          <w:rFonts w:ascii="仿宋" w:hAnsi="仿宋" w:eastAsia="仿宋" w:cs="仿宋"/>
        </w:rPr>
        <w:t xml:space="preserve">  </w:t>
      </w:r>
      <w:r>
        <w:rPr>
          <w:rFonts w:hint="eastAsia" w:cs="仿宋_GB2312"/>
        </w:rPr>
        <w:t>商业银行按照招标公告以及招标文件有关规定本着自愿的原则进行投标。</w:t>
      </w:r>
    </w:p>
    <w:p>
      <w:pPr>
        <w:spacing w:line="576" w:lineRule="exact"/>
        <w:ind w:firstLine="640" w:firstLineChars="200"/>
        <w:rPr>
          <w:rFonts w:cs="仿宋_GB2312"/>
        </w:rPr>
      </w:pPr>
      <w:r>
        <w:rPr>
          <w:rFonts w:hint="eastAsia" w:ascii="黑体" w:hAnsi="黑体" w:eastAsia="黑体" w:cs="黑体"/>
        </w:rPr>
        <w:t>第十五条</w:t>
      </w:r>
      <w:r>
        <w:rPr>
          <w:rFonts w:ascii="黑体" w:hAnsi="黑体" w:eastAsia="黑体" w:cs="黑体"/>
        </w:rPr>
        <w:t xml:space="preserve">  </w:t>
      </w:r>
      <w:r>
        <w:rPr>
          <w:rFonts w:hint="eastAsia" w:cs="仿宋_GB2312"/>
        </w:rPr>
        <w:t>商业银行参与省级国库现金管理须同时符合下列条件：</w:t>
      </w:r>
    </w:p>
    <w:p>
      <w:pPr>
        <w:spacing w:line="576" w:lineRule="exact"/>
        <w:ind w:firstLine="640" w:firstLineChars="200"/>
        <w:rPr>
          <w:rFonts w:cs="仿宋_GB2312"/>
        </w:rPr>
      </w:pPr>
      <w:r>
        <w:rPr>
          <w:rFonts w:hint="eastAsia" w:cs="仿宋_GB2312"/>
        </w:rPr>
        <w:t>（一）依法开</w:t>
      </w:r>
      <w:r>
        <w:rPr>
          <w:rFonts w:hint="eastAsia" w:ascii="仿宋_GB2312" w:cs="仿宋_GB2312"/>
        </w:rPr>
        <w:t>展经营活动，近3年内在</w:t>
      </w:r>
      <w:r>
        <w:rPr>
          <w:rFonts w:hint="eastAsia" w:cs="仿宋_GB2312"/>
        </w:rPr>
        <w:t>经营活动中无重大违法违规记录；</w:t>
      </w:r>
    </w:p>
    <w:p>
      <w:pPr>
        <w:spacing w:line="576" w:lineRule="exact"/>
        <w:ind w:firstLine="640" w:firstLineChars="200"/>
        <w:rPr>
          <w:rFonts w:cs="仿宋_GB2312"/>
        </w:rPr>
      </w:pPr>
      <w:r>
        <w:rPr>
          <w:rFonts w:hint="eastAsia" w:cs="仿宋_GB2312"/>
        </w:rPr>
        <w:t>（二）财务稳健，资本充足率、不良贷款率、拨备覆盖率、流动性覆盖率、流动性比例等指标达到监管标准；</w:t>
      </w:r>
    </w:p>
    <w:p>
      <w:pPr>
        <w:spacing w:line="576" w:lineRule="exact"/>
        <w:ind w:firstLine="640" w:firstLineChars="200"/>
        <w:rPr>
          <w:rFonts w:cs="仿宋_GB2312"/>
        </w:rPr>
      </w:pPr>
      <w:r>
        <w:rPr>
          <w:rFonts w:hint="eastAsia" w:cs="仿宋_GB2312"/>
        </w:rPr>
        <w:t>（三）</w:t>
      </w:r>
      <w:r>
        <w:rPr>
          <w:rFonts w:hint="eastAsia" w:ascii="仿宋_GB2312" w:cs="仿宋_GB2312"/>
        </w:rPr>
        <w:t>内部管理机制健全，具有较强的风险控制能力，近3年内未发生金融风险及重大违约事件。</w:t>
      </w:r>
    </w:p>
    <w:p>
      <w:pPr>
        <w:spacing w:line="576" w:lineRule="exact"/>
        <w:ind w:firstLine="640" w:firstLineChars="200"/>
      </w:pPr>
      <w:r>
        <w:rPr>
          <w:rFonts w:hint="eastAsia" w:cs="仿宋_GB2312"/>
        </w:rPr>
        <w:t>上述条件依据人行成都分行</w:t>
      </w:r>
      <w:r>
        <w:rPr>
          <w:rFonts w:hint="eastAsia" w:ascii="仿宋_GB2312" w:hAnsi="仿宋_GB2312" w:cs="仿宋_GB2312"/>
        </w:rPr>
        <w:t>及分行营业管理部、四川银保监局按相关规定提供的情况认定确认。</w:t>
      </w:r>
    </w:p>
    <w:p>
      <w:pPr>
        <w:spacing w:line="576" w:lineRule="exact"/>
        <w:ind w:firstLine="640" w:firstLineChars="200"/>
        <w:rPr>
          <w:rFonts w:ascii="黑体" w:hAnsi="黑体" w:eastAsia="黑体"/>
        </w:rPr>
      </w:pPr>
      <w:r>
        <w:rPr>
          <w:rFonts w:hint="eastAsia" w:ascii="黑体" w:hAnsi="黑体" w:eastAsia="黑体" w:cs="黑体"/>
        </w:rPr>
        <w:t>第十六条</w:t>
      </w:r>
      <w:r>
        <w:rPr>
          <w:rFonts w:ascii="黑体" w:hAnsi="黑体" w:eastAsia="黑体" w:cs="黑体"/>
        </w:rPr>
        <w:t xml:space="preserve">  </w:t>
      </w:r>
      <w:r>
        <w:rPr>
          <w:rFonts w:hint="eastAsia" w:cs="仿宋_GB2312"/>
        </w:rPr>
        <w:t>公开招标日，财政厅、人行成都分行组织</w:t>
      </w:r>
      <w:r>
        <w:rPr>
          <w:rFonts w:hint="eastAsia" w:ascii="仿宋_GB2312" w:cs="仿宋_GB2312"/>
          <w:kern w:val="0"/>
        </w:rPr>
        <w:t>召开开标会议，进行现场唱标；</w:t>
      </w:r>
      <w:r>
        <w:rPr>
          <w:rFonts w:hint="eastAsia" w:cs="仿宋_GB2312"/>
        </w:rPr>
        <w:t>组织</w:t>
      </w:r>
      <w:r>
        <w:rPr>
          <w:rFonts w:hint="eastAsia" w:ascii="仿宋_GB2312" w:cs="仿宋_GB2312"/>
          <w:kern w:val="0"/>
        </w:rPr>
        <w:t>召开评标会议</w:t>
      </w:r>
      <w:r>
        <w:rPr>
          <w:rFonts w:hint="eastAsia" w:cs="仿宋_GB2312"/>
        </w:rPr>
        <w:t>，由</w:t>
      </w:r>
      <w:r>
        <w:rPr>
          <w:rFonts w:hint="eastAsia" w:ascii="仿宋_GB2312" w:cs="仿宋_GB2312"/>
          <w:kern w:val="0"/>
        </w:rPr>
        <w:t>评标委员会进行评标。</w:t>
      </w:r>
    </w:p>
    <w:p>
      <w:pPr>
        <w:spacing w:line="576" w:lineRule="exact"/>
        <w:ind w:firstLine="640" w:firstLineChars="200"/>
      </w:pPr>
      <w:r>
        <w:rPr>
          <w:rFonts w:hint="eastAsia" w:ascii="黑体" w:hAnsi="黑体" w:eastAsia="黑体" w:cs="黑体"/>
        </w:rPr>
        <w:t>第十七条</w:t>
      </w:r>
      <w:r>
        <w:rPr>
          <w:rFonts w:ascii="黑体" w:hAnsi="黑体" w:eastAsia="黑体" w:cs="黑体"/>
        </w:rPr>
        <w:t xml:space="preserve"> </w:t>
      </w:r>
      <w:r>
        <w:rPr>
          <w:rFonts w:hint="eastAsia" w:ascii="黑体" w:hAnsi="黑体" w:eastAsia="黑体" w:cs="黑体"/>
        </w:rPr>
        <w:t xml:space="preserve"> </w:t>
      </w:r>
      <w:r>
        <w:rPr>
          <w:rFonts w:hint="eastAsia" w:cs="仿宋_GB2312"/>
        </w:rPr>
        <w:t>评标委员会根据本办法和招标文件规定对投标商业银行资质进行审核确认。对符合本办法第十五条规定条件的投标商业银行，根据招标文件规定的评标办法进行评分，按得分由高到低依次选择存款银行，存款银行的家数按当期操作规模确定。根据当期操作规模和评标办法计算确定存款金额。</w:t>
      </w:r>
    </w:p>
    <w:p>
      <w:pPr>
        <w:spacing w:line="576" w:lineRule="exact"/>
        <w:ind w:firstLine="640" w:firstLineChars="200"/>
        <w:rPr>
          <w:rFonts w:ascii="仿宋_GB2312"/>
        </w:rPr>
      </w:pPr>
      <w:r>
        <w:rPr>
          <w:rFonts w:hint="eastAsia" w:ascii="黑体" w:eastAsia="黑体" w:cs="黑体"/>
        </w:rPr>
        <w:t>第十八条</w:t>
      </w:r>
      <w:r>
        <w:rPr>
          <w:rFonts w:ascii="黑体" w:eastAsia="黑体" w:cs="黑体"/>
        </w:rPr>
        <w:t xml:space="preserve">  </w:t>
      </w:r>
      <w:r>
        <w:rPr>
          <w:rFonts w:hint="eastAsia" w:ascii="仿宋_GB2312" w:cs="仿宋_GB2312"/>
        </w:rPr>
        <w:t>评标采取综合评价法，按照招标文件确定的评标标准和方法，对投标文件进行评审。</w:t>
      </w:r>
    </w:p>
    <w:p>
      <w:pPr>
        <w:spacing w:line="576" w:lineRule="exact"/>
        <w:ind w:firstLine="640" w:firstLineChars="200"/>
        <w:rPr>
          <w:rFonts w:ascii="仿宋" w:hAnsi="仿宋" w:eastAsia="仿宋"/>
        </w:rPr>
      </w:pPr>
      <w:r>
        <w:rPr>
          <w:rFonts w:hint="eastAsia" w:ascii="黑体" w:hAnsi="黑体" w:eastAsia="黑体" w:cs="黑体"/>
        </w:rPr>
        <w:t>第十九条</w:t>
      </w:r>
      <w:r>
        <w:rPr>
          <w:rFonts w:ascii="仿宋" w:hAnsi="仿宋" w:eastAsia="仿宋" w:cs="仿宋"/>
        </w:rPr>
        <w:t xml:space="preserve">  </w:t>
      </w:r>
      <w:r>
        <w:rPr>
          <w:rFonts w:hint="eastAsia" w:cs="仿宋_GB2312"/>
        </w:rPr>
        <w:t>存款银行的国库定期存款金额以一千万元为单位、按四舍五入法的方式计算确定。存款金额为一千万元的整倍数，收舍后当期总存款金额不足一千万元的存款银行，实际分配定期存款金额为零。</w:t>
      </w:r>
    </w:p>
    <w:p>
      <w:pPr>
        <w:spacing w:line="576" w:lineRule="exact"/>
        <w:ind w:firstLine="640" w:firstLineChars="200"/>
        <w:rPr>
          <w:rFonts w:ascii="仿宋_GB2312" w:cs="仿宋_GB2312"/>
        </w:rPr>
      </w:pPr>
      <w:r>
        <w:rPr>
          <w:rFonts w:hint="eastAsia" w:ascii="黑体" w:hAnsi="黑体" w:eastAsia="黑体" w:cs="黑体"/>
        </w:rPr>
        <w:t>第二十条</w:t>
      </w:r>
      <w:r>
        <w:t xml:space="preserve">  </w:t>
      </w:r>
      <w:r>
        <w:rPr>
          <w:rFonts w:hint="eastAsia" w:ascii="仿宋_GB2312" w:cs="仿宋_GB2312"/>
        </w:rPr>
        <w:t>省级国库现金管理应严格控制单一存款银行存款比例，当期中标的存款银行不少于5家，单家存款银行当期存款金额不得超过当期操作规模的25%。单一存款银行存放的国库定期存款余额不得超过该银行一般性存款余额的10%，不得超过省级国库现金管理总存款余额的20%。</w:t>
      </w:r>
    </w:p>
    <w:p>
      <w:pPr>
        <w:spacing w:line="576" w:lineRule="exact"/>
        <w:ind w:firstLine="640" w:firstLineChars="200"/>
      </w:pPr>
      <w:r>
        <w:rPr>
          <w:rFonts w:hint="eastAsia" w:cs="仿宋_GB2312"/>
        </w:rPr>
        <w:t>存款银行国库定期存款金额超出以上控制比例的，超出部分按存款金额的分配方式再次分配至其他存款银行。存款银行当期存款金额超过申报金额，其超过部分按存款金额的分配方式再次分配至其他存款银行。</w:t>
      </w:r>
    </w:p>
    <w:p>
      <w:pPr>
        <w:spacing w:line="576" w:lineRule="exact"/>
        <w:ind w:firstLine="640" w:firstLineChars="200"/>
        <w:rPr>
          <w:rFonts w:cs="仿宋_GB2312"/>
        </w:rPr>
      </w:pPr>
      <w:r>
        <w:rPr>
          <w:rFonts w:hint="eastAsia" w:ascii="黑体" w:hAnsi="黑体" w:eastAsia="黑体" w:cs="黑体"/>
        </w:rPr>
        <w:t>第二十一条</w:t>
      </w:r>
      <w:r>
        <w:rPr>
          <w:rFonts w:ascii="黑体" w:hAnsi="黑体" w:eastAsia="黑体" w:cs="黑体"/>
        </w:rPr>
        <w:t xml:space="preserve">  </w:t>
      </w:r>
      <w:r>
        <w:rPr>
          <w:rFonts w:hint="eastAsia" w:cs="仿宋_GB2312"/>
        </w:rPr>
        <w:t>在招标完成当日，财政厅、人行成都分行根据评标委员会提交的评标结果，分别通过官方网站及时公告中标结果。</w:t>
      </w:r>
    </w:p>
    <w:p>
      <w:pPr>
        <w:spacing w:line="576" w:lineRule="exact"/>
        <w:ind w:firstLine="640" w:firstLineChars="200"/>
        <w:rPr>
          <w:rFonts w:ascii="仿宋_GB2312"/>
        </w:rPr>
      </w:pPr>
      <w:r>
        <w:rPr>
          <w:rFonts w:hint="eastAsia" w:ascii="黑体" w:hAnsi="黑体" w:eastAsia="黑体" w:cs="黑体"/>
        </w:rPr>
        <w:t>第二十二条</w:t>
      </w:r>
      <w:r>
        <w:rPr>
          <w:rFonts w:ascii="黑体" w:hAnsi="黑体" w:eastAsia="黑体" w:cs="黑体"/>
        </w:rPr>
        <w:t xml:space="preserve">  </w:t>
      </w:r>
      <w:r>
        <w:rPr>
          <w:rFonts w:hint="eastAsia" w:ascii="仿宋_GB2312" w:cs="仿宋_GB2312"/>
        </w:rPr>
        <w:t>公告次</w:t>
      </w:r>
      <w:r>
        <w:rPr>
          <w:rFonts w:hint="eastAsia" w:ascii="仿宋_GB2312"/>
        </w:rPr>
        <w:t>1</w:t>
      </w:r>
      <w:r>
        <w:rPr>
          <w:rFonts w:hint="eastAsia" w:ascii="仿宋_GB2312" w:cs="仿宋_GB2312"/>
        </w:rPr>
        <w:t>个工作日，由财政厅向中标存款银行发放中标通知书。</w:t>
      </w:r>
    </w:p>
    <w:p>
      <w:pPr>
        <w:spacing w:line="576" w:lineRule="exact"/>
        <w:ind w:firstLine="640" w:firstLineChars="200"/>
      </w:pPr>
    </w:p>
    <w:p>
      <w:pPr>
        <w:spacing w:line="576" w:lineRule="exact"/>
        <w:jc w:val="center"/>
        <w:rPr>
          <w:rFonts w:ascii="黑体" w:hAnsi="仿宋" w:eastAsia="黑体"/>
        </w:rPr>
      </w:pPr>
      <w:r>
        <w:rPr>
          <w:rFonts w:hint="eastAsia" w:ascii="黑体" w:hAnsi="仿宋" w:eastAsia="黑体" w:cs="黑体"/>
        </w:rPr>
        <w:t>第四章</w:t>
      </w:r>
      <w:r>
        <w:rPr>
          <w:rFonts w:ascii="黑体" w:hAnsi="仿宋" w:eastAsia="黑体" w:cs="黑体"/>
        </w:rPr>
        <w:t xml:space="preserve">  </w:t>
      </w:r>
      <w:r>
        <w:rPr>
          <w:rFonts w:hint="eastAsia" w:ascii="黑体" w:hAnsi="仿宋" w:eastAsia="黑体" w:cs="黑体"/>
        </w:rPr>
        <w:t>办理质押和资金划拨</w:t>
      </w:r>
    </w:p>
    <w:p>
      <w:pPr>
        <w:spacing w:line="576" w:lineRule="exact"/>
        <w:ind w:firstLine="640" w:firstLineChars="200"/>
        <w:rPr>
          <w:rFonts w:ascii="仿宋" w:hAnsi="仿宋" w:eastAsia="仿宋"/>
        </w:rPr>
      </w:pPr>
      <w:r>
        <w:rPr>
          <w:rFonts w:hint="eastAsia" w:ascii="黑体" w:hAnsi="黑体" w:eastAsia="黑体" w:cs="黑体"/>
        </w:rPr>
        <w:t>第二十三条</w:t>
      </w:r>
      <w:r>
        <w:rPr>
          <w:rFonts w:ascii="仿宋" w:hAnsi="仿宋" w:eastAsia="仿宋" w:cs="仿宋"/>
        </w:rPr>
        <w:t xml:space="preserve">  </w:t>
      </w:r>
      <w:r>
        <w:rPr>
          <w:rFonts w:hint="eastAsia" w:cs="仿宋_GB2312"/>
        </w:rPr>
        <w:t>财政厅、人行成都分行与存款银行签订《四川省省级国库现金管理商业银行定期存款协议》，明确各方权利和义务。</w:t>
      </w:r>
    </w:p>
    <w:p>
      <w:pPr>
        <w:spacing w:line="576" w:lineRule="exact"/>
        <w:ind w:firstLine="640" w:firstLineChars="200"/>
        <w:rPr>
          <w:rFonts w:cs="仿宋_GB2312"/>
        </w:rPr>
      </w:pPr>
      <w:r>
        <w:rPr>
          <w:rFonts w:hint="eastAsia" w:ascii="黑体" w:hAnsi="黑体" w:eastAsia="黑体" w:cs="黑体"/>
        </w:rPr>
        <w:t>第二十四条</w:t>
      </w:r>
      <w:r>
        <w:rPr>
          <w:rFonts w:ascii="仿宋" w:hAnsi="仿宋" w:eastAsia="仿宋" w:cs="仿宋"/>
          <w:b/>
          <w:bCs/>
        </w:rPr>
        <w:t xml:space="preserve">  </w:t>
      </w:r>
      <w:r>
        <w:rPr>
          <w:rFonts w:hint="eastAsia" w:cs="仿宋_GB2312"/>
        </w:rPr>
        <w:t>财政厅在中央国债登记结算有限责任公司开设四川省省级国库现金管理质押账户，用于登记财政厅收到的存款银行质押品质权信息。人行成都分行负责办理具体质押操作。</w:t>
      </w:r>
    </w:p>
    <w:p>
      <w:pPr>
        <w:spacing w:line="576" w:lineRule="exact"/>
        <w:ind w:firstLine="640" w:firstLineChars="200"/>
        <w:rPr>
          <w:rFonts w:ascii="仿宋_GB2312" w:cs="仿宋_GB2312"/>
        </w:rPr>
      </w:pPr>
      <w:r>
        <w:rPr>
          <w:rFonts w:hint="eastAsia" w:ascii="黑体" w:hAnsi="黑体" w:eastAsia="黑体" w:cs="黑体"/>
        </w:rPr>
        <w:t>第二十五条</w:t>
      </w:r>
      <w:r>
        <w:rPr>
          <w:rFonts w:ascii="黑体" w:hAnsi="黑体" w:eastAsia="黑体" w:cs="黑体"/>
        </w:rPr>
        <w:t xml:space="preserve">  </w:t>
      </w:r>
      <w:r>
        <w:rPr>
          <w:rFonts w:hint="eastAsia" w:ascii="仿宋_GB2312" w:cs="仿宋_GB2312"/>
        </w:rPr>
        <w:t>存款银行应于收到中标通知书当日，通过中央国债登记结算有限责任公司质押</w:t>
      </w:r>
      <w:r>
        <w:rPr>
          <w:rFonts w:hint="eastAsia" w:ascii="仿宋_GB2312" w:cs="仿宋_GB2312"/>
          <w:lang w:eastAsia="zh-CN"/>
        </w:rPr>
        <w:t>债券</w:t>
      </w:r>
      <w:bookmarkStart w:id="0" w:name="_GoBack"/>
      <w:bookmarkEnd w:id="0"/>
      <w:r>
        <w:rPr>
          <w:rFonts w:hint="eastAsia" w:ascii="仿宋_GB2312" w:cs="仿宋_GB2312"/>
        </w:rPr>
        <w:t>管理服务系统完成国债或地方政府债券足额质押手续。质押品为可流通国债或地方政府债券，质押的国债或地方政府债券面值数额分别为存款金额的105%、115%。</w:t>
      </w:r>
    </w:p>
    <w:p>
      <w:pPr>
        <w:spacing w:line="576" w:lineRule="exact"/>
        <w:ind w:firstLine="640" w:firstLineChars="200"/>
        <w:rPr>
          <w:rFonts w:ascii="仿宋_GB2312"/>
        </w:rPr>
      </w:pPr>
      <w:r>
        <w:rPr>
          <w:rFonts w:hint="eastAsia" w:ascii="黑体" w:hAnsi="黑体" w:eastAsia="黑体" w:cs="黑体"/>
        </w:rPr>
        <w:t>第二十六条</w:t>
      </w:r>
      <w:r>
        <w:rPr>
          <w:rFonts w:ascii="黑体" w:hAnsi="黑体" w:eastAsia="黑体" w:cs="黑体"/>
        </w:rPr>
        <w:t xml:space="preserve">  </w:t>
      </w:r>
      <w:r>
        <w:rPr>
          <w:rFonts w:hint="eastAsia" w:ascii="仿宋_GB2312" w:cs="仿宋_GB2312"/>
        </w:rPr>
        <w:t>财政厅根据中标结果和足额质押信息，开具拨款凭证</w:t>
      </w:r>
      <w:r>
        <w:rPr>
          <w:rFonts w:hint="eastAsia" w:ascii="仿宋_GB2312" w:cs="仿宋_GB2312"/>
          <w:lang w:eastAsia="zh-CN"/>
        </w:rPr>
        <w:t>（支付指令）</w:t>
      </w:r>
      <w:r>
        <w:rPr>
          <w:rFonts w:hint="eastAsia" w:ascii="仿宋_GB2312" w:cs="仿宋_GB2312"/>
        </w:rPr>
        <w:t>送达人行成都分行，人行成都分行对拨款凭证</w:t>
      </w:r>
      <w:r>
        <w:rPr>
          <w:rFonts w:hint="eastAsia" w:ascii="仿宋_GB2312" w:cs="仿宋_GB2312"/>
          <w:lang w:eastAsia="zh-CN"/>
        </w:rPr>
        <w:t>（支付指令）</w:t>
      </w:r>
      <w:r>
        <w:rPr>
          <w:rFonts w:hint="eastAsia" w:ascii="仿宋_GB2312" w:cs="仿宋_GB2312"/>
        </w:rPr>
        <w:t>审核无误后，及时将资金分别划拨至各存款银行“四川省省级国库现金管理”账户。附言信息须注明“</w:t>
      </w:r>
      <w:r>
        <w:rPr>
          <w:rFonts w:hint="eastAsia" w:ascii="仿宋_GB2312"/>
        </w:rPr>
        <w:t>XX</w:t>
      </w:r>
      <w:r>
        <w:rPr>
          <w:rFonts w:hint="eastAsia" w:ascii="仿宋_GB2312" w:cs="仿宋_GB2312"/>
        </w:rPr>
        <w:t>年第</w:t>
      </w:r>
      <w:r>
        <w:rPr>
          <w:rFonts w:hint="eastAsia" w:ascii="仿宋_GB2312"/>
        </w:rPr>
        <w:t>XX</w:t>
      </w:r>
      <w:r>
        <w:rPr>
          <w:rFonts w:hint="eastAsia" w:ascii="仿宋_GB2312" w:cs="仿宋_GB2312"/>
        </w:rPr>
        <w:t>期省级国库定期存款”。</w:t>
      </w:r>
    </w:p>
    <w:p>
      <w:pPr>
        <w:spacing w:line="576" w:lineRule="exact"/>
        <w:ind w:firstLine="640" w:firstLineChars="200"/>
        <w:rPr>
          <w:rFonts w:ascii="仿宋_GB2312" w:cs="仿宋_GB2312"/>
        </w:rPr>
      </w:pPr>
      <w:r>
        <w:rPr>
          <w:rFonts w:hint="eastAsia" w:ascii="黑体" w:hAnsi="黑体" w:eastAsia="黑体" w:cs="黑体"/>
        </w:rPr>
        <w:t>第二十七条</w:t>
      </w:r>
      <w:r>
        <w:rPr>
          <w:rFonts w:ascii="仿宋" w:hAnsi="仿宋" w:eastAsia="仿宋" w:cs="仿宋"/>
          <w:b/>
          <w:bCs/>
        </w:rPr>
        <w:t xml:space="preserve">  </w:t>
      </w:r>
      <w:r>
        <w:rPr>
          <w:rFonts w:hint="eastAsia" w:ascii="仿宋_GB2312" w:cs="仿宋_GB2312"/>
        </w:rPr>
        <w:t>存款银行收到划拨资金后，其承办机构应于次</w:t>
      </w:r>
      <w:r>
        <w:rPr>
          <w:rFonts w:hint="eastAsia" w:ascii="仿宋_GB2312"/>
        </w:rPr>
        <w:t>1</w:t>
      </w:r>
      <w:r>
        <w:rPr>
          <w:rFonts w:hint="eastAsia" w:ascii="仿宋_GB2312" w:cs="仿宋_GB2312"/>
        </w:rPr>
        <w:t>个工作日向财政厅提交国库定期存款证明，并将国库定期存款证明复印件送人行成都分行。国库定期存款证明应当载明存款单位名称、账号、存款银行名称、起息日、到期日、存款金额、利率以及期限等要素。</w:t>
      </w:r>
    </w:p>
    <w:p>
      <w:pPr>
        <w:spacing w:line="576" w:lineRule="exact"/>
        <w:ind w:firstLine="640" w:firstLineChars="200"/>
        <w:rPr>
          <w:rFonts w:ascii="仿宋_GB2312"/>
        </w:rPr>
      </w:pPr>
      <w:r>
        <w:rPr>
          <w:rFonts w:hint="eastAsia" w:ascii="黑体" w:hAnsi="黑体" w:eastAsia="黑体" w:cs="黑体"/>
        </w:rPr>
        <w:t>第二十八条</w:t>
      </w:r>
      <w:r>
        <w:rPr>
          <w:rFonts w:ascii="仿宋" w:hAnsi="仿宋" w:eastAsia="仿宋" w:cs="仿宋"/>
          <w:b/>
          <w:bCs/>
        </w:rPr>
        <w:t xml:space="preserve">  </w:t>
      </w:r>
      <w:r>
        <w:rPr>
          <w:rFonts w:hint="eastAsia" w:ascii="仿宋_GB2312" w:cs="仿宋_GB2312"/>
        </w:rPr>
        <w:t>存款到期日前</w:t>
      </w:r>
      <w:r>
        <w:rPr>
          <w:rFonts w:hint="eastAsia" w:ascii="仿宋_GB2312"/>
        </w:rPr>
        <w:t>1</w:t>
      </w:r>
      <w:r>
        <w:rPr>
          <w:rFonts w:hint="eastAsia" w:ascii="仿宋_GB2312" w:cs="仿宋_GB2312"/>
        </w:rPr>
        <w:t>个工作日，存款银行应主动与财政厅和人行成都分行核对国库定期存款到期划回本金、利息信息。存款到期日，存款银行承办机构将国库定期存款本金足额划入国家金库四川省分库；到期利息收入开具《缴款书》缴入国家金库四川省分库，纳入省级财政预算管理；本金和利息不得并笔。存款银行承办机构应于当日办理资金汇划。</w:t>
      </w:r>
    </w:p>
    <w:p>
      <w:pPr>
        <w:spacing w:line="576" w:lineRule="exact"/>
        <w:ind w:firstLine="640" w:firstLineChars="200"/>
        <w:rPr>
          <w:rFonts w:ascii="仿宋_GB2312"/>
        </w:rPr>
      </w:pPr>
      <w:r>
        <w:rPr>
          <w:rFonts w:hint="eastAsia" w:ascii="仿宋_GB2312" w:cs="仿宋_GB2312"/>
        </w:rPr>
        <w:t>到期日若遇国家法定节假日，则顺延至次</w:t>
      </w:r>
      <w:r>
        <w:rPr>
          <w:rFonts w:hint="eastAsia" w:ascii="仿宋_GB2312"/>
        </w:rPr>
        <w:t>1</w:t>
      </w:r>
      <w:r>
        <w:rPr>
          <w:rFonts w:hint="eastAsia" w:ascii="仿宋_GB2312" w:cs="仿宋_GB2312"/>
        </w:rPr>
        <w:t>工作日办理。顺延期存款利息以存款本金为基数，根据当日金融机构活期存款基准利率计算。</w:t>
      </w:r>
    </w:p>
    <w:p>
      <w:pPr>
        <w:spacing w:line="576" w:lineRule="exact"/>
        <w:ind w:firstLine="640" w:firstLineChars="200"/>
        <w:rPr>
          <w:rFonts w:ascii="仿宋_GB2312"/>
        </w:rPr>
      </w:pPr>
      <w:r>
        <w:rPr>
          <w:rFonts w:hint="eastAsia" w:ascii="黑体" w:hAnsi="黑体" w:eastAsia="黑体" w:cs="黑体"/>
        </w:rPr>
        <w:t>第二十九条</w:t>
      </w:r>
      <w:r>
        <w:rPr>
          <w:rFonts w:ascii="仿宋" w:hAnsi="仿宋" w:eastAsia="仿宋" w:cs="仿宋"/>
          <w:b/>
          <w:bCs/>
        </w:rPr>
        <w:t xml:space="preserve">  </w:t>
      </w:r>
      <w:r>
        <w:rPr>
          <w:rFonts w:hint="eastAsia" w:ascii="仿宋_GB2312" w:cs="仿宋_GB2312"/>
        </w:rPr>
        <w:t>人行成都分行在收到存款银行划回的国库定期存款本金和利息后，于当日通知财政厅，并最迟于次</w:t>
      </w:r>
      <w:r>
        <w:rPr>
          <w:rFonts w:hint="eastAsia" w:ascii="仿宋_GB2312"/>
        </w:rPr>
        <w:t>1</w:t>
      </w:r>
      <w:r>
        <w:rPr>
          <w:rFonts w:hint="eastAsia" w:ascii="仿宋_GB2312" w:cs="仿宋_GB2312"/>
        </w:rPr>
        <w:t>工作日办理存款银行相关质押品的解押操作。对应的国库定期存款证明自动失效。</w:t>
      </w:r>
    </w:p>
    <w:p>
      <w:pPr>
        <w:spacing w:line="576" w:lineRule="exact"/>
      </w:pPr>
      <w:r>
        <w:t xml:space="preserve">   </w:t>
      </w:r>
    </w:p>
    <w:p>
      <w:pPr>
        <w:spacing w:line="576" w:lineRule="exact"/>
        <w:jc w:val="center"/>
        <w:rPr>
          <w:rFonts w:ascii="黑体" w:hAnsi="黑体" w:eastAsia="黑体"/>
        </w:rPr>
      </w:pPr>
      <w:r>
        <w:rPr>
          <w:rFonts w:hint="eastAsia" w:ascii="黑体" w:hAnsi="仿宋" w:eastAsia="黑体" w:cs="黑体"/>
        </w:rPr>
        <w:t>第五章</w:t>
      </w:r>
      <w:r>
        <w:rPr>
          <w:rFonts w:ascii="黑体" w:hAnsi="仿宋" w:eastAsia="黑体" w:cs="黑体"/>
        </w:rPr>
        <w:t xml:space="preserve">  </w:t>
      </w:r>
      <w:r>
        <w:rPr>
          <w:rFonts w:hint="eastAsia" w:ascii="黑体" w:hAnsi="黑体" w:eastAsia="黑体" w:cs="黑体"/>
        </w:rPr>
        <w:t>会计核算和报表</w:t>
      </w:r>
    </w:p>
    <w:p>
      <w:pPr>
        <w:spacing w:line="576" w:lineRule="exact"/>
        <w:ind w:firstLine="640" w:firstLineChars="200"/>
        <w:rPr>
          <w:rFonts w:cs="仿宋_GB2312"/>
        </w:rPr>
      </w:pPr>
      <w:r>
        <w:rPr>
          <w:rFonts w:hint="eastAsia" w:ascii="黑体" w:hAnsi="黑体" w:eastAsia="黑体" w:cs="黑体"/>
        </w:rPr>
        <w:t>第三十条</w:t>
      </w:r>
      <w:r>
        <w:t xml:space="preserve">  </w:t>
      </w:r>
      <w:r>
        <w:rPr>
          <w:rFonts w:hint="eastAsia" w:cs="仿宋_GB2312"/>
        </w:rPr>
        <w:t>存款银行按规定在</w:t>
      </w:r>
      <w:r>
        <w:rPr>
          <w:rFonts w:cs="仿宋_GB2312"/>
        </w:rPr>
        <w:t>“</w:t>
      </w:r>
      <w:r>
        <w:rPr>
          <w:rFonts w:hint="eastAsia" w:cs="仿宋_GB2312"/>
        </w:rPr>
        <w:t>国库定期存款</w:t>
      </w:r>
      <w:r>
        <w:rPr>
          <w:rFonts w:cs="仿宋_GB2312"/>
        </w:rPr>
        <w:t>”</w:t>
      </w:r>
      <w:r>
        <w:rPr>
          <w:rFonts w:hint="eastAsia" w:cs="仿宋_GB2312"/>
        </w:rPr>
        <w:t>一级负债类科目下设置</w:t>
      </w:r>
      <w:r>
        <w:rPr>
          <w:rFonts w:cs="仿宋_GB2312"/>
        </w:rPr>
        <w:t>“</w:t>
      </w:r>
      <w:r>
        <w:rPr>
          <w:rFonts w:hint="eastAsia" w:cs="仿宋_GB2312"/>
        </w:rPr>
        <w:t>四川省省级国库现金管理</w:t>
      </w:r>
      <w:r>
        <w:rPr>
          <w:rFonts w:cs="仿宋_GB2312"/>
        </w:rPr>
        <w:t>”</w:t>
      </w:r>
      <w:r>
        <w:rPr>
          <w:rFonts w:hint="eastAsia" w:cs="仿宋_GB2312"/>
        </w:rPr>
        <w:t>账户，用于核算存入、归还的国库定期存款。存款银行应将</w:t>
      </w:r>
      <w:r>
        <w:rPr>
          <w:rFonts w:cs="仿宋_GB2312"/>
        </w:rPr>
        <w:t>“</w:t>
      </w:r>
      <w:r>
        <w:rPr>
          <w:rFonts w:hint="eastAsia" w:cs="仿宋_GB2312"/>
        </w:rPr>
        <w:t>国库定期存款</w:t>
      </w:r>
      <w:r>
        <w:rPr>
          <w:rFonts w:cs="仿宋_GB2312"/>
        </w:rPr>
        <w:t>”</w:t>
      </w:r>
      <w:r>
        <w:rPr>
          <w:rFonts w:hint="eastAsia" w:cs="仿宋_GB2312"/>
        </w:rPr>
        <w:t>增设及科目、账户变动情况报人行成都分行备案。该科目纳入一般存款范围缴纳存款准备金。</w:t>
      </w:r>
    </w:p>
    <w:p>
      <w:pPr>
        <w:spacing w:line="576" w:lineRule="exact"/>
        <w:ind w:firstLine="640" w:firstLineChars="200"/>
        <w:rPr>
          <w:rFonts w:ascii="仿宋_GB2312"/>
        </w:rPr>
      </w:pPr>
      <w:r>
        <w:rPr>
          <w:rFonts w:hint="eastAsia" w:ascii="黑体" w:hAnsi="黑体" w:eastAsia="黑体" w:cs="黑体"/>
        </w:rPr>
        <w:t>第三十一条</w:t>
      </w:r>
      <w:r>
        <w:t xml:space="preserve">  </w:t>
      </w:r>
      <w:r>
        <w:rPr>
          <w:rFonts w:hint="eastAsia" w:ascii="仿宋_GB2312" w:cs="仿宋_GB2312"/>
        </w:rPr>
        <w:t>存款银行应按规定向财政厅和人行成都分行报送截止到上月底的一般性存款余额、国库定期存款余额占上月底一般性存款余额的比例等信息（格式见附件</w:t>
      </w:r>
      <w:r>
        <w:rPr>
          <w:rFonts w:hint="eastAsia" w:ascii="仿宋_GB2312"/>
        </w:rPr>
        <w:t>1</w:t>
      </w:r>
      <w:r>
        <w:rPr>
          <w:rFonts w:hint="eastAsia" w:ascii="仿宋_GB2312" w:cs="仿宋_GB2312"/>
        </w:rPr>
        <w:t>）。各家存款银行当期存款份额应符合本办法第二十条规定的比例。</w:t>
      </w:r>
    </w:p>
    <w:p>
      <w:pPr>
        <w:spacing w:line="576" w:lineRule="exact"/>
        <w:ind w:firstLine="627" w:firstLineChars="196"/>
      </w:pPr>
      <w:r>
        <w:rPr>
          <w:rFonts w:hint="eastAsia" w:cs="仿宋_GB2312"/>
        </w:rPr>
        <w:t>每次开展省级国库现金管理操作前，财政厅会同人行成都分行应审核各商业银行一般性存款余额的相关信息，不符合规定比例的商业银行，不得参与当期国库定期存款业务。</w:t>
      </w:r>
    </w:p>
    <w:p>
      <w:pPr>
        <w:spacing w:line="576" w:lineRule="exact"/>
        <w:ind w:firstLine="640" w:firstLineChars="200"/>
      </w:pPr>
      <w:r>
        <w:rPr>
          <w:rFonts w:hint="eastAsia" w:ascii="黑体" w:hAnsi="黑体" w:eastAsia="黑体" w:cs="黑体"/>
        </w:rPr>
        <w:t>第三十二条</w:t>
      </w:r>
      <w:r>
        <w:rPr>
          <w:rFonts w:ascii="黑体" w:hAnsi="黑体" w:eastAsia="黑体" w:cs="黑体"/>
        </w:rPr>
        <w:t xml:space="preserve">  </w:t>
      </w:r>
      <w:r>
        <w:rPr>
          <w:rFonts w:hint="eastAsia" w:cs="仿宋_GB2312"/>
        </w:rPr>
        <w:t>人行成都分行按规定设置</w:t>
      </w:r>
      <w:r>
        <w:rPr>
          <w:rFonts w:cs="仿宋_GB2312"/>
        </w:rPr>
        <w:t>“</w:t>
      </w:r>
      <w:r>
        <w:rPr>
          <w:rFonts w:hint="eastAsia" w:cs="仿宋_GB2312"/>
        </w:rPr>
        <w:t>国库现金管理</w:t>
      </w:r>
      <w:r>
        <w:rPr>
          <w:rFonts w:cs="仿宋_GB2312"/>
        </w:rPr>
        <w:t>”</w:t>
      </w:r>
      <w:r>
        <w:rPr>
          <w:rFonts w:hint="eastAsia" w:cs="仿宋_GB2312"/>
        </w:rPr>
        <w:t>资产类科目，核算存款银行国库定期存款操作、到期收回以及余额，该余额纳入国库库存表反映并进行管理和监督（格式见附件</w:t>
      </w:r>
      <w:r>
        <w:t>2</w:t>
      </w:r>
      <w:r>
        <w:rPr>
          <w:rFonts w:hint="eastAsia" w:cs="仿宋_GB2312"/>
        </w:rPr>
        <w:t>）。</w:t>
      </w:r>
    </w:p>
    <w:p>
      <w:pPr>
        <w:spacing w:line="576" w:lineRule="exact"/>
        <w:ind w:firstLine="640" w:firstLineChars="200"/>
        <w:rPr>
          <w:rFonts w:cs="仿宋_GB2312"/>
        </w:rPr>
      </w:pPr>
      <w:r>
        <w:rPr>
          <w:rFonts w:hint="eastAsia" w:ascii="黑体" w:hAnsi="黑体" w:eastAsia="黑体" w:cs="黑体"/>
        </w:rPr>
        <w:t>第三十三条</w:t>
      </w:r>
      <w:r>
        <w:t xml:space="preserve">  </w:t>
      </w:r>
      <w:r>
        <w:rPr>
          <w:rFonts w:hint="eastAsia" w:cs="仿宋_GB2312"/>
        </w:rPr>
        <w:t>人行成都分行根</w:t>
      </w:r>
      <w:r>
        <w:rPr>
          <w:rFonts w:hint="eastAsia" w:ascii="仿宋_GB2312" w:cs="仿宋_GB2312"/>
        </w:rPr>
        <w:t>据国库现金管理资金划拨情况，于次1工作日向财政厅提供当期国库定期存款资金划出、存款到期本息划回明细表（格式见附件3）。</w:t>
      </w:r>
    </w:p>
    <w:p>
      <w:pPr>
        <w:spacing w:line="576" w:lineRule="exact"/>
        <w:ind w:firstLine="640" w:firstLineChars="200"/>
      </w:pPr>
      <w:r>
        <w:rPr>
          <w:rFonts w:hint="eastAsia" w:ascii="黑体" w:hAnsi="黑体" w:eastAsia="黑体" w:cs="黑体"/>
        </w:rPr>
        <w:t>第三十四条</w:t>
      </w:r>
      <w:r>
        <w:t xml:space="preserve">  </w:t>
      </w:r>
      <w:r>
        <w:rPr>
          <w:rFonts w:hint="eastAsia" w:ascii="仿宋_GB2312" w:cs="仿宋_GB2312"/>
        </w:rPr>
        <w:t>人行成都分行按月、按年向财政厅提供分存款银行的国库定期存款操作、存款到期和余额以及利息收入等报表及电子信息（格式见附件4、5），并进行对账。</w:t>
      </w:r>
    </w:p>
    <w:p>
      <w:pPr>
        <w:spacing w:line="576" w:lineRule="exact"/>
        <w:ind w:firstLine="643" w:firstLineChars="200"/>
        <w:rPr>
          <w:b/>
          <w:bCs/>
        </w:rPr>
      </w:pPr>
    </w:p>
    <w:p>
      <w:pPr>
        <w:spacing w:line="576" w:lineRule="exact"/>
        <w:jc w:val="center"/>
        <w:rPr>
          <w:rFonts w:ascii="黑体" w:hAnsi="黑体" w:eastAsia="黑体"/>
        </w:rPr>
      </w:pPr>
      <w:r>
        <w:rPr>
          <w:rFonts w:hint="eastAsia" w:ascii="黑体" w:hAnsi="黑体" w:eastAsia="黑体" w:cs="黑体"/>
        </w:rPr>
        <w:t>第六章</w:t>
      </w:r>
      <w:r>
        <w:rPr>
          <w:rFonts w:ascii="黑体" w:hAnsi="黑体" w:eastAsia="黑体" w:cs="黑体"/>
        </w:rPr>
        <w:t xml:space="preserve">  </w:t>
      </w:r>
      <w:r>
        <w:rPr>
          <w:rFonts w:hint="eastAsia" w:ascii="黑体" w:hAnsi="黑体" w:eastAsia="黑体" w:cs="黑体"/>
        </w:rPr>
        <w:t>管理监督和法律责任</w:t>
      </w:r>
    </w:p>
    <w:p>
      <w:pPr>
        <w:spacing w:line="576" w:lineRule="exact"/>
        <w:ind w:firstLine="640" w:firstLineChars="200"/>
      </w:pPr>
      <w:r>
        <w:rPr>
          <w:rFonts w:hint="eastAsia" w:ascii="黑体" w:hAnsi="黑体" w:eastAsia="黑体" w:cs="黑体"/>
        </w:rPr>
        <w:t>第三十五条</w:t>
      </w:r>
      <w:r>
        <w:t xml:space="preserve">  </w:t>
      </w:r>
      <w:r>
        <w:rPr>
          <w:rFonts w:hint="eastAsia" w:cs="仿宋_GB2312"/>
        </w:rPr>
        <w:t>财政厅在省级国库现金管理中的主要职责：</w:t>
      </w:r>
    </w:p>
    <w:p>
      <w:pPr>
        <w:spacing w:line="576" w:lineRule="exact"/>
        <w:ind w:firstLine="640" w:firstLineChars="200"/>
      </w:pPr>
      <w:r>
        <w:rPr>
          <w:rFonts w:hint="eastAsia" w:cs="仿宋_GB2312"/>
        </w:rPr>
        <w:t>（一）会同人行成都分行制定省级国库现金管理相关制度；</w:t>
      </w:r>
    </w:p>
    <w:p>
      <w:pPr>
        <w:spacing w:line="576" w:lineRule="exact"/>
        <w:ind w:firstLine="656" w:firstLineChars="200"/>
      </w:pPr>
      <w:r>
        <w:rPr>
          <w:rFonts w:hint="eastAsia" w:cs="仿宋_GB2312"/>
          <w:spacing w:val="4"/>
        </w:rPr>
        <w:t>（二）负责商请四川银保监局提供四川辖内商业银行相关信</w:t>
      </w:r>
      <w:r>
        <w:rPr>
          <w:rFonts w:hint="eastAsia" w:cs="仿宋_GB2312"/>
        </w:rPr>
        <w:t>息；</w:t>
      </w:r>
    </w:p>
    <w:p>
      <w:pPr>
        <w:spacing w:line="576" w:lineRule="exact"/>
        <w:ind w:firstLine="640" w:firstLineChars="200"/>
      </w:pPr>
      <w:r>
        <w:rPr>
          <w:rFonts w:hint="eastAsia" w:cs="仿宋_GB2312"/>
        </w:rPr>
        <w:t>（三）负责牵头工作小组日常工作，按职责分工召集联席会议；</w:t>
      </w:r>
    </w:p>
    <w:p>
      <w:pPr>
        <w:spacing w:line="576" w:lineRule="exact"/>
        <w:ind w:firstLine="656" w:firstLineChars="200"/>
      </w:pPr>
      <w:r>
        <w:rPr>
          <w:rFonts w:hint="eastAsia" w:cs="仿宋_GB2312"/>
          <w:spacing w:val="4"/>
        </w:rPr>
        <w:t>（四）会同人行成都分行组织省级国库现金管理商业银行招</w:t>
      </w:r>
      <w:r>
        <w:rPr>
          <w:rFonts w:hint="eastAsia" w:cs="仿宋_GB2312"/>
        </w:rPr>
        <w:t>投标工作；</w:t>
      </w:r>
    </w:p>
    <w:p>
      <w:pPr>
        <w:spacing w:line="576" w:lineRule="exact"/>
        <w:ind w:firstLine="640" w:firstLineChars="200"/>
      </w:pPr>
      <w:r>
        <w:rPr>
          <w:rFonts w:hint="eastAsia" w:cs="仿宋_GB2312"/>
        </w:rPr>
        <w:t>（五）在确认存款银行国债、地方政府债券质押符合规定的前提下，及时开具拨款凭证向存款银行划拨资金；</w:t>
      </w:r>
    </w:p>
    <w:p>
      <w:pPr>
        <w:spacing w:line="576" w:lineRule="exact"/>
        <w:ind w:firstLine="640" w:firstLineChars="200"/>
        <w:rPr>
          <w:rFonts w:cs="仿宋_GB2312"/>
        </w:rPr>
      </w:pPr>
      <w:r>
        <w:rPr>
          <w:rFonts w:hint="eastAsia" w:cs="仿宋_GB2312"/>
        </w:rPr>
        <w:t>（六）在国库定期存款存续期内，负责对存款银行质押品实施管理；</w:t>
      </w:r>
    </w:p>
    <w:p>
      <w:pPr>
        <w:spacing w:line="576" w:lineRule="exact"/>
        <w:ind w:firstLine="656" w:firstLineChars="200"/>
        <w:rPr>
          <w:rFonts w:cs="仿宋_GB2312"/>
          <w:spacing w:val="4"/>
        </w:rPr>
      </w:pPr>
      <w:r>
        <w:rPr>
          <w:rFonts w:hint="eastAsia" w:cs="仿宋_GB2312"/>
          <w:spacing w:val="4"/>
        </w:rPr>
        <w:t>（七）配合人行成都分行对存款银行参与国库现金管理活动实施监督检查；</w:t>
      </w:r>
    </w:p>
    <w:p>
      <w:pPr>
        <w:spacing w:line="576" w:lineRule="exact"/>
        <w:ind w:firstLine="656" w:firstLineChars="200"/>
        <w:rPr>
          <w:rFonts w:cs="仿宋_GB2312"/>
        </w:rPr>
      </w:pPr>
      <w:r>
        <w:rPr>
          <w:rFonts w:hint="eastAsia" w:cs="仿宋_GB2312"/>
          <w:spacing w:val="4"/>
        </w:rPr>
        <w:t>（八）按要求做好向财政部信息报送及国库现金管理开展情</w:t>
      </w:r>
      <w:r>
        <w:rPr>
          <w:rFonts w:hint="eastAsia" w:cs="仿宋_GB2312"/>
        </w:rPr>
        <w:t>况报告工作；</w:t>
      </w:r>
    </w:p>
    <w:p>
      <w:pPr>
        <w:spacing w:line="576" w:lineRule="exact"/>
        <w:ind w:firstLine="656" w:firstLineChars="200"/>
      </w:pPr>
      <w:r>
        <w:rPr>
          <w:rFonts w:hint="eastAsia" w:cs="仿宋_GB2312"/>
          <w:spacing w:val="4"/>
        </w:rPr>
        <w:t>（九）发现存款银行有可能影响国库资金安全的重大事项时，</w:t>
      </w:r>
      <w:r>
        <w:rPr>
          <w:rFonts w:hint="eastAsia" w:cs="仿宋_GB2312"/>
        </w:rPr>
        <w:t>及时通知人行成都分行；</w:t>
      </w:r>
    </w:p>
    <w:p>
      <w:pPr>
        <w:spacing w:line="576" w:lineRule="exact"/>
        <w:ind w:firstLine="640" w:firstLineChars="200"/>
      </w:pPr>
      <w:r>
        <w:rPr>
          <w:rFonts w:hint="eastAsia" w:cs="仿宋_GB2312"/>
        </w:rPr>
        <w:t>（十）做好国库现金管理其他工作。</w:t>
      </w:r>
    </w:p>
    <w:p>
      <w:pPr>
        <w:spacing w:line="576" w:lineRule="exact"/>
        <w:ind w:firstLine="640" w:firstLineChars="200"/>
      </w:pPr>
      <w:r>
        <w:rPr>
          <w:rFonts w:hint="eastAsia" w:ascii="黑体" w:hAnsi="黑体" w:eastAsia="黑体" w:cs="黑体"/>
        </w:rPr>
        <w:t>第三十六条</w:t>
      </w:r>
      <w:r>
        <w:t xml:space="preserve">  </w:t>
      </w:r>
      <w:r>
        <w:rPr>
          <w:rFonts w:hint="eastAsia" w:cs="仿宋_GB2312"/>
        </w:rPr>
        <w:t>人行成都分行在省级国库现金管理中的主要职责：</w:t>
      </w:r>
    </w:p>
    <w:p>
      <w:pPr>
        <w:spacing w:line="576" w:lineRule="exact"/>
        <w:ind w:firstLine="640" w:firstLineChars="200"/>
      </w:pPr>
      <w:r>
        <w:rPr>
          <w:rFonts w:hint="eastAsia" w:cs="仿宋_GB2312"/>
        </w:rPr>
        <w:t>（一）会同财政厅制定省级国库现金管理相关制度；</w:t>
      </w:r>
    </w:p>
    <w:p>
      <w:pPr>
        <w:spacing w:line="576" w:lineRule="exact"/>
        <w:ind w:firstLine="656" w:firstLineChars="200"/>
        <w:rPr>
          <w:spacing w:val="4"/>
        </w:rPr>
      </w:pPr>
      <w:r>
        <w:rPr>
          <w:rFonts w:hint="eastAsia" w:cs="仿宋_GB2312"/>
          <w:spacing w:val="4"/>
        </w:rPr>
        <w:t>（二）会同财政厅组成工作小组，按职责分工召集联席会议；</w:t>
      </w:r>
    </w:p>
    <w:p>
      <w:pPr>
        <w:spacing w:line="576" w:lineRule="exact"/>
        <w:ind w:firstLine="656" w:firstLineChars="200"/>
      </w:pPr>
      <w:r>
        <w:rPr>
          <w:rFonts w:hint="eastAsia" w:cs="仿宋_GB2312"/>
          <w:spacing w:val="4"/>
        </w:rPr>
        <w:t>（三）会同财政厅组织省级国库现金管理商业银行招投标工</w:t>
      </w:r>
      <w:r>
        <w:rPr>
          <w:rFonts w:hint="eastAsia" w:cs="仿宋_GB2312"/>
        </w:rPr>
        <w:t>作；</w:t>
      </w:r>
    </w:p>
    <w:p>
      <w:pPr>
        <w:spacing w:line="576" w:lineRule="exact"/>
        <w:ind w:firstLine="640" w:firstLineChars="200"/>
      </w:pPr>
      <w:r>
        <w:rPr>
          <w:rFonts w:hint="eastAsia" w:cs="仿宋_GB2312"/>
        </w:rPr>
        <w:t>（四）办理国库现金管理相关资金划拨，国债、地方政府债券质押等操作；</w:t>
      </w:r>
    </w:p>
    <w:p>
      <w:pPr>
        <w:spacing w:line="576" w:lineRule="exact"/>
        <w:ind w:firstLine="656" w:firstLineChars="200"/>
        <w:rPr>
          <w:rFonts w:cs="仿宋_GB2312"/>
        </w:rPr>
      </w:pPr>
      <w:r>
        <w:rPr>
          <w:rFonts w:hint="eastAsia" w:cs="仿宋_GB2312"/>
          <w:spacing w:val="4"/>
        </w:rPr>
        <w:t>（五）负责提供商业银行相关指标以及年度综合评价结果等；</w:t>
      </w:r>
      <w:r>
        <w:rPr>
          <w:rFonts w:hint="eastAsia" w:cs="仿宋_GB2312"/>
        </w:rPr>
        <w:t>向财政厅提供国库定期存款操作相关报表及信息；按要求向中国人民银行总行报告国库现金管理开展情况及相关信息；</w:t>
      </w:r>
    </w:p>
    <w:p>
      <w:pPr>
        <w:spacing w:line="576" w:lineRule="exact"/>
        <w:ind w:firstLine="656" w:firstLineChars="200"/>
        <w:rPr>
          <w:rFonts w:cs="仿宋_GB2312"/>
        </w:rPr>
      </w:pPr>
      <w:r>
        <w:rPr>
          <w:rFonts w:hint="eastAsia" w:cs="仿宋_GB2312"/>
          <w:spacing w:val="4"/>
        </w:rPr>
        <w:t>（六）会同财政厅对存款银行参与国库现金管理活动实施监</w:t>
      </w:r>
      <w:r>
        <w:rPr>
          <w:rFonts w:hint="eastAsia" w:cs="仿宋_GB2312"/>
        </w:rPr>
        <w:t>督检查；</w:t>
      </w:r>
    </w:p>
    <w:p>
      <w:pPr>
        <w:spacing w:line="576" w:lineRule="exact"/>
        <w:ind w:firstLine="656" w:firstLineChars="200"/>
      </w:pPr>
      <w:r>
        <w:rPr>
          <w:rFonts w:hint="eastAsia" w:cs="仿宋_GB2312"/>
          <w:spacing w:val="4"/>
        </w:rPr>
        <w:t>（七）发现存款银行有可能影响国库资金安全的重大事项时，</w:t>
      </w:r>
      <w:r>
        <w:rPr>
          <w:rFonts w:hint="eastAsia" w:cs="仿宋_GB2312"/>
        </w:rPr>
        <w:t>及时通知财政厅；</w:t>
      </w:r>
    </w:p>
    <w:p>
      <w:pPr>
        <w:spacing w:line="576" w:lineRule="exact"/>
        <w:ind w:firstLine="640" w:firstLineChars="200"/>
      </w:pPr>
      <w:r>
        <w:rPr>
          <w:rFonts w:hint="eastAsia" w:cs="仿宋_GB2312"/>
        </w:rPr>
        <w:t>（八）负责做好国库现金管理其他工作。</w:t>
      </w:r>
    </w:p>
    <w:p>
      <w:pPr>
        <w:spacing w:line="576" w:lineRule="exact"/>
        <w:ind w:firstLine="640" w:firstLineChars="200"/>
      </w:pPr>
      <w:r>
        <w:rPr>
          <w:rFonts w:hint="eastAsia" w:ascii="黑体" w:hAnsi="黑体" w:eastAsia="黑体" w:cs="黑体"/>
        </w:rPr>
        <w:t>第三十七条</w:t>
      </w:r>
      <w:r>
        <w:t xml:space="preserve">  </w:t>
      </w:r>
      <w:r>
        <w:rPr>
          <w:rFonts w:hint="eastAsia" w:cs="仿宋_GB2312"/>
        </w:rPr>
        <w:t>存款银行在省级国库现金管理中的主要职责：</w:t>
      </w:r>
    </w:p>
    <w:p>
      <w:pPr>
        <w:spacing w:line="576" w:lineRule="exact"/>
        <w:ind w:firstLine="640" w:firstLineChars="200"/>
      </w:pPr>
      <w:r>
        <w:rPr>
          <w:rFonts w:hint="eastAsia" w:cs="仿宋_GB2312"/>
        </w:rPr>
        <w:t>（一）按要求与财政厅、人行成都分行签订省级国库现金管理协议；</w:t>
      </w:r>
    </w:p>
    <w:p>
      <w:pPr>
        <w:spacing w:line="576" w:lineRule="exact"/>
        <w:ind w:firstLine="640" w:firstLineChars="200"/>
      </w:pPr>
      <w:r>
        <w:rPr>
          <w:rFonts w:hint="eastAsia" w:cs="仿宋_GB2312"/>
        </w:rPr>
        <w:t>（二）按规定提供足额质押品；</w:t>
      </w:r>
    </w:p>
    <w:p>
      <w:pPr>
        <w:spacing w:line="576" w:lineRule="exact"/>
        <w:ind w:firstLine="656" w:firstLineChars="200"/>
      </w:pPr>
      <w:r>
        <w:rPr>
          <w:rFonts w:hint="eastAsia" w:cs="仿宋_GB2312"/>
          <w:spacing w:val="4"/>
        </w:rPr>
        <w:t>（三）按规定设置国库现金管理业务相关科目和账户并及时</w:t>
      </w:r>
      <w:r>
        <w:rPr>
          <w:rFonts w:hint="eastAsia" w:cs="仿宋_GB2312"/>
        </w:rPr>
        <w:t>备案；在存款到期日，按时足额缴清到期存款本息；</w:t>
      </w:r>
    </w:p>
    <w:p>
      <w:pPr>
        <w:spacing w:line="576" w:lineRule="exact"/>
        <w:ind w:firstLine="640" w:firstLineChars="200"/>
      </w:pPr>
      <w:r>
        <w:rPr>
          <w:rFonts w:hint="eastAsia" w:cs="仿宋_GB2312"/>
        </w:rPr>
        <w:t>（四）按本办法及协议规定报送相关报表及信息；</w:t>
      </w:r>
    </w:p>
    <w:p>
      <w:pPr>
        <w:spacing w:line="576" w:lineRule="exact"/>
        <w:ind w:firstLine="656" w:firstLineChars="200"/>
      </w:pPr>
      <w:r>
        <w:rPr>
          <w:rFonts w:hint="eastAsia" w:cs="仿宋_GB2312"/>
          <w:spacing w:val="4"/>
        </w:rPr>
        <w:t>（五）接受财政厅和人行成都分行针对参与国库现金管理活</w:t>
      </w:r>
      <w:r>
        <w:rPr>
          <w:rFonts w:hint="eastAsia" w:cs="仿宋_GB2312"/>
        </w:rPr>
        <w:t>动的评价和监督检查；</w:t>
      </w:r>
    </w:p>
    <w:p>
      <w:pPr>
        <w:spacing w:line="576" w:lineRule="exact"/>
        <w:ind w:firstLine="640" w:firstLineChars="200"/>
      </w:pPr>
      <w:r>
        <w:rPr>
          <w:rFonts w:hint="eastAsia" w:cs="仿宋_GB2312"/>
        </w:rPr>
        <w:t>（六）出现特殊重大事项等可能影响国库现金安全的，及时通知财政厅和人行成都分行；</w:t>
      </w:r>
    </w:p>
    <w:p>
      <w:pPr>
        <w:spacing w:line="576" w:lineRule="exact"/>
        <w:ind w:firstLine="640" w:firstLineChars="200"/>
      </w:pPr>
      <w:r>
        <w:rPr>
          <w:rFonts w:hint="eastAsia" w:cs="仿宋_GB2312"/>
        </w:rPr>
        <w:t>（七）按协议及有关要求做好国库现金管理其他工作。</w:t>
      </w:r>
    </w:p>
    <w:p>
      <w:pPr>
        <w:spacing w:line="576" w:lineRule="exact"/>
        <w:ind w:firstLine="640" w:firstLineChars="200"/>
      </w:pPr>
      <w:r>
        <w:rPr>
          <w:rFonts w:hint="eastAsia" w:ascii="黑体" w:hAnsi="黑体" w:eastAsia="黑体" w:cs="黑体"/>
        </w:rPr>
        <w:t>第三十八条</w:t>
      </w:r>
      <w:r>
        <w:t xml:space="preserve">  </w:t>
      </w:r>
      <w:r>
        <w:rPr>
          <w:rFonts w:hint="eastAsia" w:cs="仿宋_GB2312"/>
        </w:rPr>
        <w:t>存款银行违反协议规定，未及时、足额汇划国库定期存款本息的，不予解除质押品并按有关规定执行。未按时足额归还到期存款本息资金的，差额本息款项应予以追缴，对违约银行应按协议的有关约定进行处理，并由人行成都分行按有关规定进行处罚。</w:t>
      </w:r>
    </w:p>
    <w:p>
      <w:pPr>
        <w:spacing w:line="576" w:lineRule="exact"/>
        <w:ind w:firstLine="640" w:firstLineChars="200"/>
        <w:rPr>
          <w:rFonts w:cs="仿宋_GB2312"/>
        </w:rPr>
      </w:pPr>
      <w:r>
        <w:rPr>
          <w:rFonts w:hint="eastAsia" w:ascii="黑体" w:hAnsi="黑体" w:eastAsia="黑体" w:cs="黑体"/>
        </w:rPr>
        <w:t>第三十九条</w:t>
      </w:r>
      <w:r>
        <w:t xml:space="preserve">  </w:t>
      </w:r>
      <w:r>
        <w:rPr>
          <w:rFonts w:hint="eastAsia" w:cs="仿宋_GB2312"/>
        </w:rPr>
        <w:t>存款银行发生以下行为，财政厅和人行成都分行视情节轻重，暂停以至取消其参与国库现金管理活动。</w:t>
      </w:r>
    </w:p>
    <w:p>
      <w:pPr>
        <w:spacing w:line="576" w:lineRule="exact"/>
        <w:ind w:firstLine="656" w:firstLineChars="200"/>
        <w:rPr>
          <w:rFonts w:cs="仿宋_GB2312"/>
          <w:spacing w:val="4"/>
        </w:rPr>
      </w:pPr>
      <w:r>
        <w:rPr>
          <w:rFonts w:hint="eastAsia" w:cs="仿宋_GB2312"/>
          <w:spacing w:val="4"/>
        </w:rPr>
        <w:t>（一）出现重大违法违规，导致财务恶化或引起信用危机的；</w:t>
      </w:r>
    </w:p>
    <w:p>
      <w:pPr>
        <w:spacing w:line="576" w:lineRule="exact"/>
        <w:ind w:firstLine="640" w:firstLineChars="200"/>
        <w:rPr>
          <w:rFonts w:cs="仿宋_GB2312"/>
        </w:rPr>
      </w:pPr>
      <w:r>
        <w:rPr>
          <w:rFonts w:hint="eastAsia" w:cs="仿宋_GB2312"/>
        </w:rPr>
        <w:t>（二）存在弄虚作假等严重不正当竞争行为的；</w:t>
      </w:r>
    </w:p>
    <w:p>
      <w:pPr>
        <w:spacing w:line="576" w:lineRule="exact"/>
        <w:ind w:firstLine="640" w:firstLineChars="200"/>
      </w:pPr>
      <w:r>
        <w:rPr>
          <w:rFonts w:hint="eastAsia" w:cs="仿宋_GB2312"/>
        </w:rPr>
        <w:t>（三）将国库定期存款资金与财政厅、人行成都分行相关负责人员在本行亲属的业绩、收入挂钩，或存在其他利益输送行为的；</w:t>
      </w:r>
    </w:p>
    <w:p>
      <w:pPr>
        <w:spacing w:line="576" w:lineRule="exact"/>
        <w:ind w:firstLine="640" w:firstLineChars="200"/>
        <w:rPr>
          <w:rFonts w:cs="仿宋_GB2312"/>
        </w:rPr>
      </w:pPr>
      <w:r>
        <w:rPr>
          <w:rFonts w:hint="eastAsia" w:cs="仿宋_GB2312"/>
        </w:rPr>
        <w:t>（四）未按规定及时、足额质押或及时汇划到期本息违约两次（含）以上，或涉及金额较大的；</w:t>
      </w:r>
    </w:p>
    <w:p>
      <w:pPr>
        <w:spacing w:line="576" w:lineRule="exact"/>
        <w:ind w:firstLine="640" w:firstLineChars="200"/>
        <w:rPr>
          <w:rFonts w:ascii="黑体" w:hAnsi="黑体" w:eastAsia="黑体" w:cs="仿宋_GB2312"/>
        </w:rPr>
      </w:pPr>
      <w:r>
        <w:rPr>
          <w:rFonts w:hint="eastAsia" w:cs="仿宋_GB2312"/>
        </w:rPr>
        <w:t>（五）可能危及财政国库资金安全的其他情况。</w:t>
      </w:r>
    </w:p>
    <w:p>
      <w:pPr>
        <w:spacing w:line="576" w:lineRule="exact"/>
        <w:ind w:firstLine="640" w:firstLineChars="200"/>
      </w:pPr>
      <w:r>
        <w:rPr>
          <w:rFonts w:hint="eastAsia" w:ascii="黑体" w:hAnsi="黑体" w:eastAsia="黑体" w:cs="黑体"/>
        </w:rPr>
        <w:t>第四十条</w:t>
      </w:r>
      <w:r>
        <w:t xml:space="preserve">  </w:t>
      </w:r>
      <w:r>
        <w:rPr>
          <w:rFonts w:hint="eastAsia" w:cs="仿宋_GB2312"/>
        </w:rPr>
        <w:t>存款银行不得指定不符合本办法第十五条（一）、（三）情况之一的下属分支机构承办省级国库现金管理业务。存款银行未按规定办理国库定期存款业务，造成国库现金管理风险或损失的，承担相应法律责任。</w:t>
      </w:r>
    </w:p>
    <w:p>
      <w:pPr>
        <w:spacing w:line="576" w:lineRule="exact"/>
        <w:ind w:firstLine="640" w:firstLineChars="200"/>
        <w:rPr>
          <w:rFonts w:cs="仿宋_GB2312"/>
        </w:rPr>
      </w:pPr>
      <w:r>
        <w:rPr>
          <w:rFonts w:hint="eastAsia" w:ascii="黑体" w:hAnsi="黑体" w:eastAsia="黑体" w:cs="黑体"/>
        </w:rPr>
        <w:t>第四十一条</w:t>
      </w:r>
      <w:r>
        <w:t xml:space="preserve"> </w:t>
      </w:r>
      <w:r>
        <w:rPr>
          <w:rFonts w:cs="仿宋_GB2312"/>
        </w:rPr>
        <w:t xml:space="preserve"> </w:t>
      </w:r>
      <w:r>
        <w:rPr>
          <w:rFonts w:hint="eastAsia" w:cs="仿宋_GB2312"/>
        </w:rPr>
        <w:t>存款银行必须加强对国库定期存款资金运用管理，防范资金风险，不得将国库定期存款资金投向国家有关政策限制的领域，不得以国库定期存款资金赚取高风险收益。</w:t>
      </w:r>
    </w:p>
    <w:p>
      <w:pPr>
        <w:spacing w:line="576" w:lineRule="exact"/>
        <w:ind w:firstLine="640" w:firstLineChars="200"/>
        <w:rPr>
          <w:rFonts w:cs="仿宋_GB2312"/>
        </w:rPr>
      </w:pPr>
      <w:r>
        <w:rPr>
          <w:rFonts w:hint="eastAsia" w:ascii="黑体" w:hAnsi="黑体" w:eastAsia="黑体" w:cs="黑体"/>
        </w:rPr>
        <w:t>第四十二条</w:t>
      </w:r>
      <w:r>
        <w:t xml:space="preserve">  </w:t>
      </w:r>
      <w:r>
        <w:rPr>
          <w:rFonts w:hint="eastAsia" w:cs="仿宋_GB2312"/>
        </w:rPr>
        <w:t>国库定期存款属于政府的财政库款。除法律另有规定外，任何单位不得扣划、冻结财政厅在存款银行的国库定期存款。任何单位和个人不得借开展国库现金管理业务干预金融机构正常经营，不得将国库现金管理与银行贷款挂钩。</w:t>
      </w:r>
    </w:p>
    <w:p>
      <w:pPr>
        <w:spacing w:line="576" w:lineRule="exact"/>
      </w:pPr>
    </w:p>
    <w:p>
      <w:pPr>
        <w:spacing w:line="576" w:lineRule="exact"/>
      </w:pPr>
    </w:p>
    <w:p>
      <w:pPr>
        <w:spacing w:line="576" w:lineRule="exact"/>
        <w:jc w:val="center"/>
        <w:rPr>
          <w:rFonts w:ascii="黑体" w:hAnsi="黑体" w:eastAsia="黑体"/>
        </w:rPr>
      </w:pPr>
      <w:r>
        <w:rPr>
          <w:rFonts w:hint="eastAsia" w:ascii="黑体" w:hAnsi="黑体" w:eastAsia="黑体" w:cs="黑体"/>
        </w:rPr>
        <w:t>第七章</w:t>
      </w:r>
      <w:r>
        <w:rPr>
          <w:rFonts w:ascii="黑体" w:hAnsi="黑体" w:eastAsia="黑体" w:cs="黑体"/>
        </w:rPr>
        <w:t xml:space="preserve">  </w:t>
      </w:r>
      <w:r>
        <w:rPr>
          <w:rFonts w:hint="eastAsia" w:ascii="黑体" w:hAnsi="黑体" w:eastAsia="黑体" w:cs="黑体"/>
        </w:rPr>
        <w:t>附则</w:t>
      </w:r>
    </w:p>
    <w:p>
      <w:pPr>
        <w:spacing w:line="576" w:lineRule="exact"/>
        <w:ind w:firstLine="640" w:firstLineChars="200"/>
        <w:rPr>
          <w:rFonts w:cs="仿宋_GB2312"/>
        </w:rPr>
      </w:pPr>
      <w:r>
        <w:rPr>
          <w:rFonts w:hint="eastAsia" w:ascii="黑体" w:hAnsi="黑体" w:eastAsia="黑体" w:cs="黑体"/>
        </w:rPr>
        <w:t>第四十三条</w:t>
      </w:r>
      <w:r>
        <w:t xml:space="preserve">  </w:t>
      </w:r>
      <w:r>
        <w:rPr>
          <w:rFonts w:hint="eastAsia" w:cs="仿宋_GB2312"/>
        </w:rPr>
        <w:t>本办法由财政厅、人行成都分行负责解释。</w:t>
      </w:r>
    </w:p>
    <w:p>
      <w:pPr>
        <w:spacing w:line="576" w:lineRule="exact"/>
        <w:ind w:firstLine="640"/>
        <w:rPr>
          <w:rFonts w:hint="eastAsia" w:ascii="仿宋_GB2312" w:hAnsi="仿宋_GB2312" w:eastAsia="仿宋_GB2312" w:cs="仿宋_GB2312"/>
        </w:rPr>
      </w:pPr>
      <w:r>
        <w:rPr>
          <w:rFonts w:hint="eastAsia" w:ascii="黑体" w:hAnsi="黑体" w:eastAsia="黑体" w:cs="黑体"/>
        </w:rPr>
        <w:t>第四十四条</w:t>
      </w:r>
      <w:r>
        <w:t xml:space="preserve">  </w:t>
      </w:r>
      <w:r>
        <w:rPr>
          <w:rFonts w:hint="eastAsia" w:ascii="仿宋_GB2312" w:hAnsi="仿宋_GB2312" w:eastAsia="仿宋_GB2312" w:cs="仿宋_GB2312"/>
        </w:rPr>
        <w:t>本办法自公布之日起30日以后施行，有效期5年。《四川省财政厅 中国人民银行成都分行关于印发&lt;四川省省级国库现金管理实施办法&gt;的通知》（川财规〔2019〕19号）废止。</w:t>
      </w:r>
    </w:p>
    <w:p>
      <w:pPr>
        <w:spacing w:line="576" w:lineRule="exact"/>
        <w:ind w:firstLine="640"/>
      </w:pPr>
    </w:p>
    <w:p>
      <w:pPr>
        <w:spacing w:line="576" w:lineRule="exact"/>
        <w:ind w:firstLine="640" w:firstLineChars="200"/>
        <w:rPr>
          <w:rFonts w:ascii="仿宋_GB2312"/>
        </w:rPr>
      </w:pPr>
      <w:r>
        <w:rPr>
          <w:rFonts w:hint="eastAsia" w:ascii="仿宋_GB2312" w:cs="仿宋_GB2312"/>
        </w:rPr>
        <w:t>附件：</w:t>
      </w:r>
      <w:r>
        <w:rPr>
          <w:rFonts w:hint="eastAsia" w:ascii="仿宋_GB2312"/>
        </w:rPr>
        <w:t>1.</w:t>
      </w:r>
      <w:r>
        <w:rPr>
          <w:rFonts w:hint="eastAsia" w:ascii="仿宋_GB2312" w:cs="仿宋_GB2312"/>
        </w:rPr>
        <w:t>商业银行一般性存款余额表</w:t>
      </w:r>
    </w:p>
    <w:p>
      <w:pPr>
        <w:spacing w:line="576" w:lineRule="exact"/>
        <w:ind w:firstLine="1600" w:firstLineChars="500"/>
        <w:rPr>
          <w:rFonts w:ascii="仿宋_GB2312"/>
        </w:rPr>
      </w:pPr>
      <w:r>
        <w:rPr>
          <w:rFonts w:hint="eastAsia" w:ascii="仿宋_GB2312"/>
        </w:rPr>
        <w:t>2.</w:t>
      </w:r>
      <w:r>
        <w:rPr>
          <w:rFonts w:hint="eastAsia" w:ascii="仿宋_GB2312" w:cs="仿宋_GB2312"/>
        </w:rPr>
        <w:t>国家金库四川省分库库存日报表</w:t>
      </w:r>
    </w:p>
    <w:p>
      <w:pPr>
        <w:spacing w:line="576" w:lineRule="exact"/>
        <w:ind w:left="1920" w:hanging="1920" w:hangingChars="600"/>
        <w:rPr>
          <w:rFonts w:ascii="仿宋_GB2312"/>
        </w:rPr>
      </w:pPr>
      <w:r>
        <w:rPr>
          <w:rFonts w:hint="eastAsia" w:ascii="仿宋_GB2312"/>
        </w:rPr>
        <w:t xml:space="preserve">          3.</w:t>
      </w:r>
      <w:r>
        <w:rPr>
          <w:rFonts w:hint="eastAsia" w:ascii="仿宋_GB2312" w:cs="仿宋_GB2312"/>
        </w:rPr>
        <w:t>四川省省级国库现金管理商业银行定期存款资金划出明细表、四川省省级国库现金管理商业银行定期存款本息划回明细表</w:t>
      </w:r>
    </w:p>
    <w:p>
      <w:pPr>
        <w:spacing w:line="576" w:lineRule="exact"/>
        <w:ind w:left="1920" w:leftChars="500" w:hanging="320" w:hangingChars="100"/>
        <w:rPr>
          <w:rFonts w:ascii="仿宋_GB2312"/>
        </w:rPr>
      </w:pPr>
      <w:r>
        <w:rPr>
          <w:rFonts w:hint="eastAsia" w:ascii="仿宋_GB2312"/>
        </w:rPr>
        <w:t>4.</w:t>
      </w:r>
      <w:r>
        <w:rPr>
          <w:rFonts w:hint="eastAsia" w:ascii="仿宋_GB2312" w:cs="仿宋_GB2312"/>
        </w:rPr>
        <w:t>四川省省级国库现金管理定期存款月（年）报表</w:t>
      </w:r>
    </w:p>
    <w:p>
      <w:pPr>
        <w:spacing w:line="576" w:lineRule="exact"/>
        <w:ind w:firstLine="1600" w:firstLineChars="500"/>
        <w:rPr>
          <w:rFonts w:ascii="仿宋_GB2312" w:cs="仿宋_GB2312"/>
        </w:rPr>
      </w:pPr>
      <w:r>
        <w:rPr>
          <w:rFonts w:hint="eastAsia" w:ascii="仿宋_GB2312"/>
        </w:rPr>
        <w:t>5.</w:t>
      </w:r>
      <w:r>
        <w:rPr>
          <w:rFonts w:hint="eastAsia" w:ascii="仿宋_GB2312" w:cs="仿宋_GB2312"/>
        </w:rPr>
        <w:t>四川省省级国库现金管理分存款银行汇总表</w:t>
      </w:r>
    </w:p>
    <w:p>
      <w:pPr>
        <w:spacing w:line="576" w:lineRule="exact"/>
        <w:ind w:firstLine="1600" w:firstLineChars="500"/>
        <w:rPr>
          <w:rFonts w:ascii="仿宋_GB2312" w:cs="仿宋_GB2312"/>
        </w:rPr>
      </w:pPr>
    </w:p>
    <w:p>
      <w:pPr>
        <w:spacing w:line="576" w:lineRule="exact"/>
        <w:ind w:firstLine="1600" w:firstLineChars="500"/>
        <w:rPr>
          <w:rFonts w:ascii="仿宋_GB2312" w:cs="仿宋_GB2312"/>
        </w:rPr>
      </w:pPr>
    </w:p>
    <w:p>
      <w:pPr>
        <w:spacing w:line="576" w:lineRule="exact"/>
        <w:ind w:firstLine="1600" w:firstLineChars="500"/>
        <w:rPr>
          <w:rFonts w:ascii="仿宋_GB2312" w:cs="仿宋_GB2312"/>
        </w:rPr>
      </w:pPr>
    </w:p>
    <w:p>
      <w:pPr>
        <w:spacing w:line="576" w:lineRule="exact"/>
        <w:ind w:firstLine="1600" w:firstLineChars="500"/>
        <w:rPr>
          <w:rFonts w:ascii="仿宋_GB2312" w:cs="仿宋_GB2312"/>
        </w:rPr>
      </w:pPr>
    </w:p>
    <w:p>
      <w:pPr>
        <w:spacing w:line="576" w:lineRule="exact"/>
        <w:ind w:firstLine="1600" w:firstLineChars="500"/>
        <w:rPr>
          <w:rFonts w:ascii="仿宋_GB2312" w:cs="仿宋_GB2312"/>
        </w:rPr>
      </w:pPr>
    </w:p>
    <w:p>
      <w:pPr>
        <w:spacing w:line="576" w:lineRule="exact"/>
        <w:ind w:firstLine="1600" w:firstLineChars="500"/>
        <w:rPr>
          <w:rFonts w:ascii="仿宋_GB2312" w:cs="仿宋_GB2312"/>
        </w:rPr>
      </w:pPr>
    </w:p>
    <w:p>
      <w:pPr>
        <w:spacing w:line="576" w:lineRule="exact"/>
        <w:ind w:firstLine="1600" w:firstLineChars="500"/>
        <w:rPr>
          <w:rFonts w:ascii="仿宋_GB2312" w:cs="仿宋_GB2312"/>
        </w:rPr>
      </w:pPr>
    </w:p>
    <w:p>
      <w:pPr>
        <w:spacing w:line="576" w:lineRule="exact"/>
        <w:ind w:firstLine="1600" w:firstLineChars="500"/>
        <w:rPr>
          <w:rFonts w:ascii="仿宋_GB2312" w:cs="仿宋_GB2312"/>
        </w:rPr>
      </w:pPr>
    </w:p>
    <w:p>
      <w:pPr>
        <w:spacing w:line="576" w:lineRule="exact"/>
        <w:ind w:firstLine="1600" w:firstLineChars="500"/>
        <w:rPr>
          <w:rFonts w:ascii="仿宋_GB2312" w:cs="仿宋_GB2312"/>
        </w:rPr>
      </w:pPr>
    </w:p>
    <w:p>
      <w:pPr>
        <w:spacing w:line="576" w:lineRule="exact"/>
        <w:rPr>
          <w:rFonts w:ascii="黑体" w:hAnsi="黑体" w:eastAsia="黑体" w:cs="黑体"/>
        </w:rPr>
      </w:pPr>
      <w:r>
        <w:rPr>
          <w:rFonts w:hint="eastAsia" w:ascii="黑体" w:hAnsi="黑体" w:eastAsia="黑体" w:cs="黑体"/>
        </w:rPr>
        <w:t>附件</w:t>
      </w:r>
      <w:r>
        <w:rPr>
          <w:rFonts w:ascii="黑体" w:hAnsi="黑体" w:eastAsia="黑体" w:cs="黑体"/>
        </w:rPr>
        <w:t>1</w:t>
      </w:r>
    </w:p>
    <w:p>
      <w:pPr>
        <w:spacing w:line="576" w:lineRule="exact"/>
      </w:pPr>
    </w:p>
    <w:tbl>
      <w:tblPr>
        <w:tblStyle w:val="5"/>
        <w:tblW w:w="8220" w:type="dxa"/>
        <w:tblInd w:w="15" w:type="dxa"/>
        <w:tblLayout w:type="fixed"/>
        <w:tblCellMar>
          <w:top w:w="0" w:type="dxa"/>
          <w:left w:w="0" w:type="dxa"/>
          <w:bottom w:w="0" w:type="dxa"/>
          <w:right w:w="0" w:type="dxa"/>
        </w:tblCellMar>
      </w:tblPr>
      <w:tblGrid>
        <w:gridCol w:w="1077"/>
        <w:gridCol w:w="3163"/>
        <w:gridCol w:w="2641"/>
        <w:gridCol w:w="1339"/>
      </w:tblGrid>
      <w:tr>
        <w:tblPrEx>
          <w:tblLayout w:type="fixed"/>
          <w:tblCellMar>
            <w:top w:w="0" w:type="dxa"/>
            <w:left w:w="0" w:type="dxa"/>
            <w:bottom w:w="0" w:type="dxa"/>
            <w:right w:w="0" w:type="dxa"/>
          </w:tblCellMar>
        </w:tblPrEx>
        <w:trPr>
          <w:trHeight w:val="990" w:hRule="atLeast"/>
        </w:trPr>
        <w:tc>
          <w:tcPr>
            <w:tcW w:w="8220" w:type="dxa"/>
            <w:gridSpan w:val="4"/>
            <w:tcBorders>
              <w:top w:val="nil"/>
              <w:left w:val="nil"/>
              <w:bottom w:val="nil"/>
              <w:right w:val="nil"/>
            </w:tcBorders>
            <w:noWrap/>
            <w:tcMar>
              <w:top w:w="15" w:type="dxa"/>
              <w:left w:w="15" w:type="dxa"/>
              <w:right w:w="15" w:type="dxa"/>
            </w:tcMar>
            <w:vAlign w:val="center"/>
          </w:tcPr>
          <w:p>
            <w:pPr>
              <w:widowControl/>
              <w:spacing w:line="576" w:lineRule="exact"/>
              <w:jc w:val="center"/>
              <w:textAlignment w:val="center"/>
              <w:rPr>
                <w:rFonts w:ascii="宋体" w:hAnsi="宋体" w:eastAsia="宋体"/>
                <w:b/>
                <w:bCs/>
                <w:color w:val="000000"/>
                <w:sz w:val="28"/>
                <w:szCs w:val="28"/>
              </w:rPr>
            </w:pPr>
            <w:r>
              <w:rPr>
                <w:rFonts w:hint="eastAsia" w:ascii="宋体" w:hAnsi="宋体" w:eastAsia="宋体" w:cs="宋体"/>
                <w:b/>
                <w:bCs/>
                <w:color w:val="000000"/>
                <w:kern w:val="0"/>
                <w:sz w:val="28"/>
                <w:szCs w:val="28"/>
              </w:rPr>
              <w:t>商业银行一般性存款余额表</w:t>
            </w:r>
          </w:p>
        </w:tc>
      </w:tr>
      <w:tr>
        <w:tblPrEx>
          <w:tblLayout w:type="fixed"/>
          <w:tblCellMar>
            <w:top w:w="0" w:type="dxa"/>
            <w:left w:w="0" w:type="dxa"/>
            <w:bottom w:w="0" w:type="dxa"/>
            <w:right w:w="0" w:type="dxa"/>
          </w:tblCellMar>
        </w:tblPrEx>
        <w:trPr>
          <w:trHeight w:val="521" w:hRule="atLeast"/>
        </w:trPr>
        <w:tc>
          <w:tcPr>
            <w:tcW w:w="1077"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c>
          <w:tcPr>
            <w:tcW w:w="3163"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c>
          <w:tcPr>
            <w:tcW w:w="2641"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c>
          <w:tcPr>
            <w:tcW w:w="1339"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r>
      <w:tr>
        <w:tblPrEx>
          <w:tblLayout w:type="fixed"/>
          <w:tblCellMar>
            <w:top w:w="0" w:type="dxa"/>
            <w:left w:w="0" w:type="dxa"/>
            <w:bottom w:w="0" w:type="dxa"/>
            <w:right w:w="0" w:type="dxa"/>
          </w:tblCellMar>
        </w:tblPrEx>
        <w:trPr>
          <w:trHeight w:val="521" w:hRule="atLeast"/>
        </w:trPr>
        <w:tc>
          <w:tcPr>
            <w:tcW w:w="1077" w:type="dxa"/>
            <w:tcBorders>
              <w:top w:val="nil"/>
              <w:left w:val="nil"/>
              <w:bottom w:val="nil"/>
              <w:right w:val="nil"/>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5804" w:type="dxa"/>
            <w:gridSpan w:val="2"/>
            <w:tcBorders>
              <w:top w:val="nil"/>
              <w:left w:val="nil"/>
              <w:bottom w:val="nil"/>
              <w:right w:val="nil"/>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日期：</w:t>
            </w: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年</w:t>
            </w: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月</w:t>
            </w: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日</w:t>
            </w:r>
          </w:p>
        </w:tc>
        <w:tc>
          <w:tcPr>
            <w:tcW w:w="1339" w:type="dxa"/>
            <w:tcBorders>
              <w:top w:val="nil"/>
              <w:left w:val="nil"/>
              <w:bottom w:val="nil"/>
              <w:right w:val="nil"/>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单位：万元</w:t>
            </w:r>
          </w:p>
        </w:tc>
      </w:tr>
      <w:tr>
        <w:tblPrEx>
          <w:tblLayout w:type="fixed"/>
          <w:tblCellMar>
            <w:top w:w="0" w:type="dxa"/>
            <w:left w:w="0" w:type="dxa"/>
            <w:bottom w:w="0" w:type="dxa"/>
            <w:right w:w="0" w:type="dxa"/>
          </w:tblCellMar>
        </w:tblPrEx>
        <w:trPr>
          <w:trHeight w:val="1170" w:hRule="atLeast"/>
        </w:trPr>
        <w:tc>
          <w:tcPr>
            <w:tcW w:w="10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银行名称</w:t>
            </w:r>
          </w:p>
        </w:tc>
        <w:tc>
          <w:tcPr>
            <w:tcW w:w="3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已存国库现金管理存款余额</w:t>
            </w:r>
          </w:p>
        </w:tc>
        <w:tc>
          <w:tcPr>
            <w:tcW w:w="2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上月末一般性存款余额</w:t>
            </w:r>
          </w:p>
        </w:tc>
        <w:tc>
          <w:tcPr>
            <w:tcW w:w="1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占比</w:t>
            </w:r>
          </w:p>
        </w:tc>
      </w:tr>
      <w:tr>
        <w:tblPrEx>
          <w:tblLayout w:type="fixed"/>
          <w:tblCellMar>
            <w:top w:w="0" w:type="dxa"/>
            <w:left w:w="0" w:type="dxa"/>
            <w:bottom w:w="0" w:type="dxa"/>
            <w:right w:w="0" w:type="dxa"/>
          </w:tblCellMar>
        </w:tblPrEx>
        <w:trPr>
          <w:trHeight w:val="1170" w:hRule="atLeast"/>
        </w:trPr>
        <w:tc>
          <w:tcPr>
            <w:tcW w:w="10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31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2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3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r>
      <w:tr>
        <w:tblPrEx>
          <w:tblLayout w:type="fixed"/>
          <w:tblCellMar>
            <w:top w:w="0" w:type="dxa"/>
            <w:left w:w="0" w:type="dxa"/>
            <w:bottom w:w="0" w:type="dxa"/>
            <w:right w:w="0" w:type="dxa"/>
          </w:tblCellMar>
        </w:tblPrEx>
        <w:trPr>
          <w:trHeight w:val="662" w:hRule="atLeast"/>
        </w:trPr>
        <w:tc>
          <w:tcPr>
            <w:tcW w:w="1077" w:type="dxa"/>
            <w:tcBorders>
              <w:top w:val="nil"/>
              <w:left w:val="nil"/>
              <w:bottom w:val="nil"/>
              <w:right w:val="nil"/>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公章：</w:t>
            </w:r>
          </w:p>
        </w:tc>
        <w:tc>
          <w:tcPr>
            <w:tcW w:w="3163" w:type="dxa"/>
            <w:tcBorders>
              <w:top w:val="nil"/>
              <w:left w:val="nil"/>
              <w:bottom w:val="nil"/>
              <w:right w:val="nil"/>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复核：</w:t>
            </w:r>
          </w:p>
        </w:tc>
        <w:tc>
          <w:tcPr>
            <w:tcW w:w="2641" w:type="dxa"/>
            <w:tcBorders>
              <w:top w:val="nil"/>
              <w:left w:val="nil"/>
              <w:bottom w:val="nil"/>
              <w:right w:val="nil"/>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339" w:type="dxa"/>
            <w:tcBorders>
              <w:top w:val="nil"/>
              <w:left w:val="nil"/>
              <w:bottom w:val="nil"/>
              <w:right w:val="nil"/>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制表：</w:t>
            </w:r>
          </w:p>
        </w:tc>
      </w:tr>
      <w:tr>
        <w:tblPrEx>
          <w:tblLayout w:type="fixed"/>
          <w:tblCellMar>
            <w:top w:w="0" w:type="dxa"/>
            <w:left w:w="0" w:type="dxa"/>
            <w:bottom w:w="0" w:type="dxa"/>
            <w:right w:w="0" w:type="dxa"/>
          </w:tblCellMar>
        </w:tblPrEx>
        <w:trPr>
          <w:trHeight w:val="521" w:hRule="atLeast"/>
        </w:trPr>
        <w:tc>
          <w:tcPr>
            <w:tcW w:w="1077" w:type="dxa"/>
            <w:tcBorders>
              <w:top w:val="nil"/>
              <w:left w:val="nil"/>
              <w:bottom w:val="nil"/>
              <w:right w:val="nil"/>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3163" w:type="dxa"/>
            <w:tcBorders>
              <w:top w:val="nil"/>
              <w:left w:val="nil"/>
              <w:bottom w:val="nil"/>
              <w:right w:val="nil"/>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2641" w:type="dxa"/>
            <w:tcBorders>
              <w:top w:val="nil"/>
              <w:left w:val="nil"/>
              <w:bottom w:val="nil"/>
              <w:right w:val="nil"/>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339" w:type="dxa"/>
            <w:tcBorders>
              <w:top w:val="nil"/>
              <w:left w:val="nil"/>
              <w:bottom w:val="nil"/>
              <w:right w:val="nil"/>
            </w:tcBorders>
            <w:noWrap/>
            <w:tcMar>
              <w:top w:w="15" w:type="dxa"/>
              <w:left w:w="15" w:type="dxa"/>
              <w:right w:w="15" w:type="dxa"/>
            </w:tcMar>
            <w:vAlign w:val="center"/>
          </w:tcPr>
          <w:p>
            <w:pPr>
              <w:spacing w:line="576" w:lineRule="exact"/>
              <w:rPr>
                <w:rFonts w:ascii="仿宋_GB2312" w:hAnsi="宋体"/>
                <w:color w:val="000000"/>
                <w:sz w:val="24"/>
                <w:szCs w:val="24"/>
              </w:rPr>
            </w:pPr>
          </w:p>
        </w:tc>
      </w:tr>
      <w:tr>
        <w:tblPrEx>
          <w:tblLayout w:type="fixed"/>
          <w:tblCellMar>
            <w:top w:w="0" w:type="dxa"/>
            <w:left w:w="0" w:type="dxa"/>
            <w:bottom w:w="0" w:type="dxa"/>
            <w:right w:w="0" w:type="dxa"/>
          </w:tblCellMar>
        </w:tblPrEx>
        <w:trPr>
          <w:trHeight w:val="615" w:hRule="atLeast"/>
        </w:trPr>
        <w:tc>
          <w:tcPr>
            <w:tcW w:w="8220" w:type="dxa"/>
            <w:gridSpan w:val="4"/>
            <w:tcBorders>
              <w:top w:val="nil"/>
              <w:left w:val="nil"/>
              <w:bottom w:val="nil"/>
              <w:right w:val="nil"/>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注：</w:t>
            </w:r>
            <w:r>
              <w:rPr>
                <w:rFonts w:ascii="仿宋_GB2312" w:hAnsi="宋体" w:cs="仿宋_GB2312"/>
                <w:color w:val="000000"/>
                <w:kern w:val="0"/>
                <w:sz w:val="24"/>
                <w:szCs w:val="24"/>
              </w:rPr>
              <w:t>1.</w:t>
            </w:r>
            <w:r>
              <w:rPr>
                <w:rFonts w:hint="eastAsia" w:ascii="仿宋_GB2312" w:hAnsi="宋体" w:cs="仿宋_GB2312"/>
                <w:color w:val="000000"/>
                <w:kern w:val="0"/>
                <w:sz w:val="24"/>
                <w:szCs w:val="24"/>
              </w:rPr>
              <w:t>占比</w:t>
            </w:r>
            <w:r>
              <w:rPr>
                <w:rFonts w:ascii="仿宋_GB2312" w:hAnsi="宋体" w:cs="仿宋_GB2312"/>
                <w:color w:val="000000"/>
                <w:kern w:val="0"/>
                <w:sz w:val="24"/>
                <w:szCs w:val="24"/>
              </w:rPr>
              <w:t>=</w:t>
            </w:r>
            <w:r>
              <w:rPr>
                <w:rFonts w:hint="eastAsia" w:ascii="仿宋_GB2312" w:hAnsi="宋体" w:cs="仿宋_GB2312"/>
                <w:color w:val="000000"/>
                <w:kern w:val="0"/>
                <w:sz w:val="24"/>
                <w:szCs w:val="24"/>
              </w:rPr>
              <w:t>已存国库现金管理存款余额÷上月末一般性存款余额</w:t>
            </w:r>
          </w:p>
        </w:tc>
      </w:tr>
      <w:tr>
        <w:tblPrEx>
          <w:tblLayout w:type="fixed"/>
          <w:tblCellMar>
            <w:top w:w="0" w:type="dxa"/>
            <w:left w:w="0" w:type="dxa"/>
            <w:bottom w:w="0" w:type="dxa"/>
            <w:right w:w="0" w:type="dxa"/>
          </w:tblCellMar>
        </w:tblPrEx>
        <w:trPr>
          <w:trHeight w:val="990" w:hRule="atLeast"/>
        </w:trPr>
        <w:tc>
          <w:tcPr>
            <w:tcW w:w="8220" w:type="dxa"/>
            <w:gridSpan w:val="4"/>
            <w:tcBorders>
              <w:top w:val="nil"/>
              <w:left w:val="nil"/>
              <w:bottom w:val="nil"/>
              <w:right w:val="nil"/>
            </w:tcBorders>
            <w:noWrap/>
            <w:tcMar>
              <w:top w:w="15" w:type="dxa"/>
              <w:left w:w="15" w:type="dxa"/>
              <w:right w:w="15" w:type="dxa"/>
            </w:tcMar>
            <w:vAlign w:val="center"/>
          </w:tcPr>
          <w:p>
            <w:pPr>
              <w:widowControl/>
              <w:spacing w:line="576" w:lineRule="exact"/>
              <w:ind w:left="720" w:hanging="720" w:hangingChars="300"/>
              <w:textAlignment w:val="center"/>
              <w:rPr>
                <w:rFonts w:ascii="仿宋_GB2312" w:hAnsi="宋体"/>
                <w:color w:val="000000"/>
                <w:sz w:val="24"/>
                <w:szCs w:val="24"/>
              </w:rPr>
            </w:pPr>
            <w:r>
              <w:rPr>
                <w:rFonts w:ascii="仿宋_GB2312" w:hAnsi="宋体" w:cs="仿宋_GB2312"/>
                <w:color w:val="000000"/>
                <w:kern w:val="0"/>
                <w:sz w:val="24"/>
                <w:szCs w:val="24"/>
              </w:rPr>
              <w:t xml:space="preserve">    2.</w:t>
            </w:r>
            <w:r>
              <w:rPr>
                <w:rFonts w:hint="eastAsia" w:ascii="仿宋_GB2312" w:hAnsi="宋体" w:cs="仿宋_GB2312"/>
                <w:color w:val="000000"/>
                <w:kern w:val="0"/>
                <w:sz w:val="24"/>
                <w:szCs w:val="24"/>
              </w:rPr>
              <w:t>商业银行应于每月初</w:t>
            </w:r>
            <w:r>
              <w:rPr>
                <w:rFonts w:ascii="仿宋_GB2312" w:hAnsi="宋体" w:cs="仿宋_GB2312"/>
                <w:color w:val="000000"/>
                <w:kern w:val="0"/>
                <w:sz w:val="24"/>
                <w:szCs w:val="24"/>
              </w:rPr>
              <w:t>3</w:t>
            </w:r>
            <w:r>
              <w:rPr>
                <w:rFonts w:hint="eastAsia" w:ascii="仿宋_GB2312" w:hAnsi="宋体" w:cs="仿宋_GB2312"/>
                <w:color w:val="000000"/>
                <w:kern w:val="0"/>
                <w:sz w:val="24"/>
                <w:szCs w:val="24"/>
              </w:rPr>
              <w:t>个工作日内向省财政厅、人行成都分行提供该报表信息</w:t>
            </w:r>
          </w:p>
        </w:tc>
      </w:tr>
    </w:tbl>
    <w:p>
      <w:pPr>
        <w:spacing w:line="576" w:lineRule="exact"/>
      </w:pPr>
    </w:p>
    <w:p>
      <w:pPr>
        <w:spacing w:line="576" w:lineRule="exact"/>
      </w:pPr>
      <w:r>
        <w:br w:type="page"/>
      </w:r>
      <w:r>
        <w:rPr>
          <w:rFonts w:hint="eastAsia" w:ascii="黑体" w:hAnsi="黑体" w:eastAsia="黑体" w:cs="黑体"/>
        </w:rPr>
        <w:t>附件</w:t>
      </w:r>
      <w:r>
        <w:rPr>
          <w:rFonts w:ascii="黑体" w:hAnsi="黑体" w:eastAsia="黑体" w:cs="黑体"/>
        </w:rPr>
        <w:t>2</w:t>
      </w:r>
    </w:p>
    <w:p>
      <w:pPr>
        <w:spacing w:line="576" w:lineRule="exact"/>
      </w:pPr>
    </w:p>
    <w:tbl>
      <w:tblPr>
        <w:tblStyle w:val="5"/>
        <w:tblW w:w="8080" w:type="dxa"/>
        <w:jc w:val="center"/>
        <w:tblInd w:w="0" w:type="dxa"/>
        <w:tblLayout w:type="fixed"/>
        <w:tblCellMar>
          <w:top w:w="0" w:type="dxa"/>
          <w:left w:w="0" w:type="dxa"/>
          <w:bottom w:w="0" w:type="dxa"/>
          <w:right w:w="0" w:type="dxa"/>
        </w:tblCellMar>
      </w:tblPr>
      <w:tblGrid>
        <w:gridCol w:w="2856"/>
        <w:gridCol w:w="1755"/>
        <w:gridCol w:w="1713"/>
        <w:gridCol w:w="1756"/>
      </w:tblGrid>
      <w:tr>
        <w:tblPrEx>
          <w:tblLayout w:type="fixed"/>
          <w:tblCellMar>
            <w:top w:w="0" w:type="dxa"/>
            <w:left w:w="0" w:type="dxa"/>
            <w:bottom w:w="0" w:type="dxa"/>
            <w:right w:w="0" w:type="dxa"/>
          </w:tblCellMar>
        </w:tblPrEx>
        <w:trPr>
          <w:trHeight w:val="728" w:hRule="atLeast"/>
          <w:jc w:val="center"/>
        </w:trPr>
        <w:tc>
          <w:tcPr>
            <w:tcW w:w="8080" w:type="dxa"/>
            <w:gridSpan w:val="4"/>
            <w:tcBorders>
              <w:top w:val="nil"/>
              <w:left w:val="nil"/>
              <w:bottom w:val="nil"/>
              <w:right w:val="nil"/>
            </w:tcBorders>
            <w:noWrap/>
            <w:tcMar>
              <w:top w:w="15" w:type="dxa"/>
              <w:left w:w="15" w:type="dxa"/>
              <w:right w:w="15" w:type="dxa"/>
            </w:tcMar>
            <w:vAlign w:val="center"/>
          </w:tcPr>
          <w:p>
            <w:pPr>
              <w:widowControl/>
              <w:spacing w:line="576" w:lineRule="exact"/>
              <w:jc w:val="center"/>
              <w:textAlignment w:val="center"/>
              <w:rPr>
                <w:rFonts w:ascii="宋体" w:hAnsi="宋体" w:eastAsia="宋体"/>
                <w:b/>
                <w:bCs/>
                <w:color w:val="000000"/>
                <w:sz w:val="28"/>
                <w:szCs w:val="28"/>
              </w:rPr>
            </w:pPr>
            <w:r>
              <w:rPr>
                <w:rFonts w:hint="eastAsia" w:ascii="宋体" w:hAnsi="宋体" w:eastAsia="宋体" w:cs="宋体"/>
                <w:b/>
                <w:bCs/>
                <w:color w:val="000000"/>
                <w:kern w:val="0"/>
                <w:sz w:val="28"/>
                <w:szCs w:val="28"/>
              </w:rPr>
              <w:t>国家金库四川省分库库存日报表</w:t>
            </w:r>
          </w:p>
        </w:tc>
      </w:tr>
      <w:tr>
        <w:tblPrEx>
          <w:tblLayout w:type="fixed"/>
          <w:tblCellMar>
            <w:top w:w="0" w:type="dxa"/>
            <w:left w:w="0" w:type="dxa"/>
            <w:bottom w:w="0" w:type="dxa"/>
            <w:right w:w="0" w:type="dxa"/>
          </w:tblCellMar>
        </w:tblPrEx>
        <w:trPr>
          <w:trHeight w:val="386" w:hRule="atLeast"/>
          <w:jc w:val="center"/>
        </w:trPr>
        <w:tc>
          <w:tcPr>
            <w:tcW w:w="2856" w:type="dxa"/>
            <w:tcBorders>
              <w:top w:val="nil"/>
              <w:left w:val="nil"/>
              <w:bottom w:val="nil"/>
              <w:right w:val="nil"/>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755" w:type="dxa"/>
            <w:tcBorders>
              <w:top w:val="nil"/>
              <w:left w:val="nil"/>
              <w:bottom w:val="nil"/>
              <w:right w:val="nil"/>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713" w:type="dxa"/>
            <w:tcBorders>
              <w:top w:val="nil"/>
              <w:left w:val="nil"/>
              <w:bottom w:val="nil"/>
              <w:right w:val="nil"/>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756" w:type="dxa"/>
            <w:tcBorders>
              <w:top w:val="nil"/>
              <w:left w:val="nil"/>
              <w:bottom w:val="nil"/>
              <w:right w:val="nil"/>
            </w:tcBorders>
            <w:noWrap/>
            <w:tcMar>
              <w:top w:w="15" w:type="dxa"/>
              <w:left w:w="15" w:type="dxa"/>
              <w:right w:w="15" w:type="dxa"/>
            </w:tcMar>
            <w:vAlign w:val="center"/>
          </w:tcPr>
          <w:p>
            <w:pPr>
              <w:spacing w:line="576" w:lineRule="exact"/>
              <w:rPr>
                <w:rFonts w:ascii="仿宋_GB2312" w:hAnsi="宋体"/>
                <w:color w:val="000000"/>
                <w:sz w:val="24"/>
                <w:szCs w:val="24"/>
              </w:rPr>
            </w:pPr>
          </w:p>
        </w:tc>
      </w:tr>
      <w:tr>
        <w:tblPrEx>
          <w:tblLayout w:type="fixed"/>
          <w:tblCellMar>
            <w:top w:w="0" w:type="dxa"/>
            <w:left w:w="0" w:type="dxa"/>
            <w:bottom w:w="0" w:type="dxa"/>
            <w:right w:w="0" w:type="dxa"/>
          </w:tblCellMar>
        </w:tblPrEx>
        <w:trPr>
          <w:trHeight w:val="386" w:hRule="atLeast"/>
          <w:jc w:val="center"/>
        </w:trPr>
        <w:tc>
          <w:tcPr>
            <w:tcW w:w="2856" w:type="dxa"/>
            <w:tcBorders>
              <w:top w:val="nil"/>
              <w:left w:val="nil"/>
              <w:bottom w:val="nil"/>
              <w:right w:val="nil"/>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3468" w:type="dxa"/>
            <w:gridSpan w:val="2"/>
            <w:tcBorders>
              <w:top w:val="nil"/>
              <w:left w:val="nil"/>
              <w:bottom w:val="nil"/>
              <w:right w:val="nil"/>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日期：</w:t>
            </w: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年</w:t>
            </w: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月</w:t>
            </w: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日</w:t>
            </w:r>
          </w:p>
        </w:tc>
        <w:tc>
          <w:tcPr>
            <w:tcW w:w="1756" w:type="dxa"/>
            <w:tcBorders>
              <w:top w:val="nil"/>
              <w:left w:val="nil"/>
              <w:bottom w:val="nil"/>
              <w:right w:val="nil"/>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单位：万元</w:t>
            </w:r>
          </w:p>
        </w:tc>
      </w:tr>
      <w:tr>
        <w:tblPrEx>
          <w:tblLayout w:type="fixed"/>
          <w:tblCellMar>
            <w:top w:w="0" w:type="dxa"/>
            <w:left w:w="0" w:type="dxa"/>
            <w:bottom w:w="0" w:type="dxa"/>
            <w:right w:w="0" w:type="dxa"/>
          </w:tblCellMar>
        </w:tblPrEx>
        <w:trPr>
          <w:trHeight w:val="879" w:hRule="atLeast"/>
          <w:jc w:val="center"/>
        </w:trPr>
        <w:tc>
          <w:tcPr>
            <w:tcW w:w="2856"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科目名称</w:t>
            </w:r>
          </w:p>
        </w:tc>
        <w:tc>
          <w:tcPr>
            <w:tcW w:w="175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上日余额</w:t>
            </w:r>
          </w:p>
        </w:tc>
        <w:tc>
          <w:tcPr>
            <w:tcW w:w="1713"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本日发生额</w:t>
            </w:r>
          </w:p>
        </w:tc>
        <w:tc>
          <w:tcPr>
            <w:tcW w:w="1756"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本日余额</w:t>
            </w:r>
          </w:p>
        </w:tc>
      </w:tr>
      <w:tr>
        <w:tblPrEx>
          <w:tblLayout w:type="fixed"/>
          <w:tblCellMar>
            <w:top w:w="0" w:type="dxa"/>
            <w:left w:w="0" w:type="dxa"/>
            <w:bottom w:w="0" w:type="dxa"/>
            <w:right w:w="0" w:type="dxa"/>
          </w:tblCellMar>
        </w:tblPrEx>
        <w:trPr>
          <w:trHeight w:val="665" w:hRule="atLeast"/>
          <w:jc w:val="center"/>
        </w:trPr>
        <w:tc>
          <w:tcPr>
            <w:tcW w:w="2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库存</w:t>
            </w:r>
          </w:p>
        </w:tc>
        <w:tc>
          <w:tcPr>
            <w:tcW w:w="1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r>
      <w:tr>
        <w:tblPrEx>
          <w:tblLayout w:type="fixed"/>
          <w:tblCellMar>
            <w:top w:w="0" w:type="dxa"/>
            <w:left w:w="0" w:type="dxa"/>
            <w:bottom w:w="0" w:type="dxa"/>
            <w:right w:w="0" w:type="dxa"/>
          </w:tblCellMar>
        </w:tblPrEx>
        <w:trPr>
          <w:trHeight w:val="665" w:hRule="atLeast"/>
          <w:jc w:val="center"/>
        </w:trPr>
        <w:tc>
          <w:tcPr>
            <w:tcW w:w="2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其中：现金</w:t>
            </w:r>
          </w:p>
        </w:tc>
        <w:tc>
          <w:tcPr>
            <w:tcW w:w="1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r>
      <w:tr>
        <w:tblPrEx>
          <w:tblLayout w:type="fixed"/>
          <w:tblCellMar>
            <w:top w:w="0" w:type="dxa"/>
            <w:left w:w="0" w:type="dxa"/>
            <w:bottom w:w="0" w:type="dxa"/>
            <w:right w:w="0" w:type="dxa"/>
          </w:tblCellMar>
        </w:tblPrEx>
        <w:trPr>
          <w:trHeight w:val="665" w:hRule="atLeast"/>
          <w:jc w:val="center"/>
        </w:trPr>
        <w:tc>
          <w:tcPr>
            <w:tcW w:w="2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定期存款</w:t>
            </w:r>
          </w:p>
        </w:tc>
        <w:tc>
          <w:tcPr>
            <w:tcW w:w="1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r>
      <w:tr>
        <w:tblPrEx>
          <w:tblLayout w:type="fixed"/>
          <w:tblCellMar>
            <w:top w:w="0" w:type="dxa"/>
            <w:left w:w="0" w:type="dxa"/>
            <w:bottom w:w="0" w:type="dxa"/>
            <w:right w:w="0" w:type="dxa"/>
          </w:tblCellMar>
        </w:tblPrEx>
        <w:trPr>
          <w:trHeight w:val="415" w:hRule="atLeast"/>
          <w:jc w:val="center"/>
        </w:trPr>
        <w:tc>
          <w:tcPr>
            <w:tcW w:w="2856"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c>
          <w:tcPr>
            <w:tcW w:w="1755"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c>
          <w:tcPr>
            <w:tcW w:w="1713"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c>
          <w:tcPr>
            <w:tcW w:w="1756"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r>
      <w:tr>
        <w:tblPrEx>
          <w:tblLayout w:type="fixed"/>
          <w:tblCellMar>
            <w:top w:w="0" w:type="dxa"/>
            <w:left w:w="0" w:type="dxa"/>
            <w:bottom w:w="0" w:type="dxa"/>
            <w:right w:w="0" w:type="dxa"/>
          </w:tblCellMar>
        </w:tblPrEx>
        <w:trPr>
          <w:trHeight w:val="619" w:hRule="atLeast"/>
          <w:jc w:val="center"/>
        </w:trPr>
        <w:tc>
          <w:tcPr>
            <w:tcW w:w="2856" w:type="dxa"/>
            <w:tcBorders>
              <w:top w:val="nil"/>
              <w:left w:val="nil"/>
              <w:bottom w:val="nil"/>
              <w:right w:val="nil"/>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公章：</w:t>
            </w:r>
          </w:p>
        </w:tc>
        <w:tc>
          <w:tcPr>
            <w:tcW w:w="1755" w:type="dxa"/>
            <w:tcBorders>
              <w:top w:val="nil"/>
              <w:left w:val="nil"/>
              <w:bottom w:val="nil"/>
              <w:right w:val="nil"/>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复核：</w:t>
            </w:r>
          </w:p>
        </w:tc>
        <w:tc>
          <w:tcPr>
            <w:tcW w:w="1713" w:type="dxa"/>
            <w:tcBorders>
              <w:top w:val="nil"/>
              <w:left w:val="nil"/>
              <w:bottom w:val="nil"/>
              <w:right w:val="nil"/>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756" w:type="dxa"/>
            <w:tcBorders>
              <w:top w:val="nil"/>
              <w:left w:val="nil"/>
              <w:bottom w:val="nil"/>
              <w:right w:val="nil"/>
            </w:tcBorders>
            <w:noWrap/>
            <w:tcMar>
              <w:top w:w="15" w:type="dxa"/>
              <w:left w:w="15" w:type="dxa"/>
              <w:right w:w="15" w:type="dxa"/>
            </w:tcMar>
            <w:vAlign w:val="center"/>
          </w:tcPr>
          <w:p>
            <w:pPr>
              <w:widowControl/>
              <w:spacing w:line="576" w:lineRule="exact"/>
              <w:ind w:firstLine="480" w:firstLineChars="200"/>
              <w:textAlignment w:val="center"/>
              <w:rPr>
                <w:rFonts w:ascii="仿宋_GB2312" w:hAnsi="宋体"/>
                <w:color w:val="000000"/>
                <w:sz w:val="24"/>
                <w:szCs w:val="24"/>
              </w:rPr>
            </w:pPr>
            <w:r>
              <w:rPr>
                <w:rFonts w:hint="eastAsia" w:ascii="仿宋_GB2312" w:hAnsi="宋体" w:cs="仿宋_GB2312"/>
                <w:color w:val="000000"/>
                <w:kern w:val="0"/>
                <w:sz w:val="24"/>
                <w:szCs w:val="24"/>
              </w:rPr>
              <w:t>制表：</w:t>
            </w:r>
          </w:p>
        </w:tc>
      </w:tr>
    </w:tbl>
    <w:p>
      <w:pPr>
        <w:spacing w:line="576" w:lineRule="exact"/>
        <w:rPr>
          <w:rFonts w:ascii="黑体" w:hAnsi="黑体" w:eastAsia="黑体" w:cs="黑体"/>
        </w:rPr>
        <w:sectPr>
          <w:footerReference r:id="rId3" w:type="default"/>
          <w:pgSz w:w="11906" w:h="16838"/>
          <w:pgMar w:top="2098" w:right="1474" w:bottom="1985" w:left="1588" w:header="851" w:footer="1418" w:gutter="0"/>
          <w:cols w:space="425" w:num="1"/>
          <w:docGrid w:type="lines" w:linePitch="312" w:charSpace="0"/>
        </w:sectPr>
      </w:pPr>
    </w:p>
    <w:p>
      <w:pPr>
        <w:spacing w:line="576" w:lineRule="exact"/>
      </w:pPr>
      <w:r>
        <w:rPr>
          <w:rFonts w:hint="eastAsia" w:ascii="黑体" w:hAnsi="黑体" w:eastAsia="黑体" w:cs="黑体"/>
        </w:rPr>
        <w:t>附件3</w:t>
      </w:r>
    </w:p>
    <w:tbl>
      <w:tblPr>
        <w:tblStyle w:val="5"/>
        <w:tblW w:w="8140" w:type="dxa"/>
        <w:jc w:val="center"/>
        <w:tblInd w:w="0" w:type="dxa"/>
        <w:tblLayout w:type="fixed"/>
        <w:tblCellMar>
          <w:top w:w="0" w:type="dxa"/>
          <w:left w:w="0" w:type="dxa"/>
          <w:bottom w:w="0" w:type="dxa"/>
          <w:right w:w="0" w:type="dxa"/>
        </w:tblCellMar>
      </w:tblPr>
      <w:tblGrid>
        <w:gridCol w:w="408"/>
        <w:gridCol w:w="1020"/>
        <w:gridCol w:w="2515"/>
        <w:gridCol w:w="2184"/>
        <w:gridCol w:w="1766"/>
        <w:gridCol w:w="247"/>
      </w:tblGrid>
      <w:tr>
        <w:tblPrEx>
          <w:tblLayout w:type="fixed"/>
          <w:tblCellMar>
            <w:top w:w="0" w:type="dxa"/>
            <w:left w:w="0" w:type="dxa"/>
            <w:bottom w:w="0" w:type="dxa"/>
            <w:right w:w="0" w:type="dxa"/>
          </w:tblCellMar>
        </w:tblPrEx>
        <w:trPr>
          <w:trHeight w:val="463" w:hRule="atLeast"/>
          <w:jc w:val="center"/>
        </w:trPr>
        <w:tc>
          <w:tcPr>
            <w:tcW w:w="8140" w:type="dxa"/>
            <w:gridSpan w:val="6"/>
            <w:tcBorders>
              <w:top w:val="nil"/>
              <w:left w:val="nil"/>
              <w:bottom w:val="nil"/>
              <w:right w:val="nil"/>
            </w:tcBorders>
            <w:noWrap/>
            <w:tcMar>
              <w:top w:w="15" w:type="dxa"/>
              <w:left w:w="15" w:type="dxa"/>
              <w:right w:w="15" w:type="dxa"/>
            </w:tcMar>
            <w:vAlign w:val="center"/>
          </w:tcPr>
          <w:p>
            <w:pPr>
              <w:widowControl/>
              <w:spacing w:line="576" w:lineRule="exact"/>
              <w:jc w:val="center"/>
              <w:textAlignment w:val="center"/>
              <w:rPr>
                <w:rFonts w:ascii="宋体" w:hAnsi="宋体" w:eastAsia="宋体"/>
                <w:b/>
                <w:bCs/>
                <w:color w:val="000000"/>
                <w:sz w:val="24"/>
                <w:szCs w:val="24"/>
              </w:rPr>
            </w:pPr>
            <w:r>
              <w:rPr>
                <w:rFonts w:hint="eastAsia" w:ascii="宋体" w:hAnsi="宋体" w:eastAsia="宋体" w:cs="宋体"/>
                <w:b/>
                <w:bCs/>
                <w:color w:val="000000"/>
                <w:kern w:val="0"/>
                <w:sz w:val="24"/>
                <w:szCs w:val="24"/>
              </w:rPr>
              <w:t>四川省省级国库现金管理商业银行定期存款资金划出明细表</w:t>
            </w:r>
          </w:p>
        </w:tc>
      </w:tr>
      <w:tr>
        <w:tblPrEx>
          <w:tblLayout w:type="fixed"/>
          <w:tblCellMar>
            <w:top w:w="0" w:type="dxa"/>
            <w:left w:w="0" w:type="dxa"/>
            <w:bottom w:w="0" w:type="dxa"/>
            <w:right w:w="0" w:type="dxa"/>
          </w:tblCellMar>
        </w:tblPrEx>
        <w:trPr>
          <w:trHeight w:val="321" w:hRule="atLeast"/>
          <w:jc w:val="center"/>
        </w:trPr>
        <w:tc>
          <w:tcPr>
            <w:tcW w:w="8140" w:type="dxa"/>
            <w:gridSpan w:val="6"/>
            <w:tcBorders>
              <w:top w:val="nil"/>
              <w:left w:val="nil"/>
              <w:bottom w:val="nil"/>
              <w:right w:val="nil"/>
            </w:tcBorders>
            <w:noWrap/>
            <w:tcMar>
              <w:top w:w="15" w:type="dxa"/>
              <w:left w:w="15" w:type="dxa"/>
              <w:right w:w="15" w:type="dxa"/>
            </w:tcMar>
            <w:vAlign w:val="center"/>
          </w:tcPr>
          <w:p>
            <w:pPr>
              <w:widowControl/>
              <w:spacing w:line="576" w:lineRule="exact"/>
              <w:jc w:val="center"/>
              <w:textAlignment w:val="center"/>
              <w:rPr>
                <w:rFonts w:ascii="仿宋_GB2312" w:hAnsi="宋体"/>
                <w:color w:val="000000"/>
                <w:sz w:val="21"/>
                <w:szCs w:val="21"/>
              </w:rPr>
            </w:pPr>
            <w:r>
              <w:rPr>
                <w:rFonts w:hint="eastAsia" w:ascii="仿宋_GB2312" w:hAnsi="宋体" w:cs="仿宋_GB2312"/>
                <w:color w:val="000000"/>
                <w:kern w:val="0"/>
                <w:sz w:val="21"/>
                <w:szCs w:val="21"/>
              </w:rPr>
              <w:t>（</w:t>
            </w:r>
            <w:r>
              <w:rPr>
                <w:rFonts w:ascii="仿宋_GB2312" w:hAnsi="宋体" w:cs="仿宋_GB2312"/>
                <w:color w:val="000000"/>
                <w:kern w:val="0"/>
                <w:sz w:val="21"/>
                <w:szCs w:val="21"/>
              </w:rPr>
              <w:t xml:space="preserve">     </w:t>
            </w:r>
            <w:r>
              <w:rPr>
                <w:rFonts w:hint="eastAsia" w:ascii="仿宋_GB2312" w:hAnsi="宋体" w:cs="仿宋_GB2312"/>
                <w:color w:val="000000"/>
                <w:kern w:val="0"/>
                <w:sz w:val="21"/>
                <w:szCs w:val="21"/>
              </w:rPr>
              <w:t>年第</w:t>
            </w:r>
            <w:r>
              <w:rPr>
                <w:rFonts w:ascii="仿宋_GB2312" w:hAnsi="宋体" w:cs="仿宋_GB2312"/>
                <w:color w:val="000000"/>
                <w:kern w:val="0"/>
                <w:sz w:val="21"/>
                <w:szCs w:val="21"/>
              </w:rPr>
              <w:t xml:space="preserve">   </w:t>
            </w:r>
            <w:r>
              <w:rPr>
                <w:rFonts w:hint="eastAsia" w:ascii="仿宋_GB2312" w:hAnsi="宋体" w:cs="仿宋_GB2312"/>
                <w:color w:val="000000"/>
                <w:kern w:val="0"/>
                <w:sz w:val="21"/>
                <w:szCs w:val="21"/>
              </w:rPr>
              <w:t>期）</w:t>
            </w:r>
          </w:p>
        </w:tc>
      </w:tr>
      <w:tr>
        <w:tblPrEx>
          <w:tblLayout w:type="fixed"/>
          <w:tblCellMar>
            <w:top w:w="0" w:type="dxa"/>
            <w:left w:w="0" w:type="dxa"/>
            <w:bottom w:w="0" w:type="dxa"/>
            <w:right w:w="0" w:type="dxa"/>
          </w:tblCellMar>
        </w:tblPrEx>
        <w:trPr>
          <w:trHeight w:val="355" w:hRule="atLeast"/>
          <w:jc w:val="center"/>
        </w:trPr>
        <w:tc>
          <w:tcPr>
            <w:tcW w:w="6127" w:type="dxa"/>
            <w:gridSpan w:val="4"/>
            <w:tcBorders>
              <w:top w:val="nil"/>
              <w:left w:val="nil"/>
              <w:bottom w:val="nil"/>
              <w:right w:val="nil"/>
            </w:tcBorders>
            <w:tcMar>
              <w:top w:w="15" w:type="dxa"/>
              <w:left w:w="15" w:type="dxa"/>
              <w:right w:w="15" w:type="dxa"/>
            </w:tcMar>
            <w:vAlign w:val="center"/>
          </w:tcPr>
          <w:p>
            <w:pPr>
              <w:widowControl/>
              <w:spacing w:line="576" w:lineRule="exact"/>
              <w:jc w:val="center"/>
              <w:textAlignment w:val="center"/>
              <w:rPr>
                <w:rFonts w:ascii="仿宋_GB2312" w:hAnsi="宋体"/>
                <w:color w:val="000000"/>
                <w:sz w:val="21"/>
                <w:szCs w:val="21"/>
              </w:rPr>
            </w:pPr>
            <w:r>
              <w:rPr>
                <w:rFonts w:hint="eastAsia" w:ascii="仿宋_GB2312" w:hAnsi="宋体" w:cs="仿宋_GB2312"/>
                <w:color w:val="000000"/>
                <w:kern w:val="0"/>
                <w:sz w:val="21"/>
                <w:szCs w:val="21"/>
              </w:rPr>
              <w:t>起息日：</w:t>
            </w:r>
            <w:r>
              <w:rPr>
                <w:rFonts w:ascii="仿宋_GB2312" w:hAnsi="宋体" w:cs="仿宋_GB2312"/>
                <w:color w:val="000000"/>
                <w:kern w:val="0"/>
                <w:sz w:val="21"/>
                <w:szCs w:val="21"/>
              </w:rPr>
              <w:t xml:space="preserve">   </w:t>
            </w:r>
            <w:r>
              <w:rPr>
                <w:rFonts w:hint="eastAsia" w:ascii="仿宋_GB2312" w:hAnsi="宋体" w:cs="仿宋_GB2312"/>
                <w:color w:val="000000"/>
                <w:kern w:val="0"/>
                <w:sz w:val="21"/>
                <w:szCs w:val="21"/>
              </w:rPr>
              <w:t>到期日：</w:t>
            </w:r>
            <w:r>
              <w:rPr>
                <w:rFonts w:ascii="仿宋_GB2312" w:hAnsi="宋体" w:cs="仿宋_GB2312"/>
                <w:color w:val="000000"/>
                <w:kern w:val="0"/>
                <w:sz w:val="21"/>
                <w:szCs w:val="21"/>
              </w:rPr>
              <w:t xml:space="preserve">    </w:t>
            </w:r>
            <w:r>
              <w:rPr>
                <w:rFonts w:hint="eastAsia" w:ascii="仿宋_GB2312" w:hAnsi="宋体" w:cs="仿宋_GB2312"/>
                <w:color w:val="000000"/>
                <w:kern w:val="0"/>
                <w:sz w:val="21"/>
                <w:szCs w:val="21"/>
              </w:rPr>
              <w:t>存款期限：</w:t>
            </w:r>
            <w:r>
              <w:rPr>
                <w:rFonts w:ascii="仿宋_GB2312" w:hAnsi="宋体" w:cs="仿宋_GB2312"/>
                <w:color w:val="000000"/>
                <w:kern w:val="0"/>
                <w:sz w:val="21"/>
                <w:szCs w:val="21"/>
              </w:rPr>
              <w:t xml:space="preserve">   </w:t>
            </w:r>
            <w:r>
              <w:rPr>
                <w:rFonts w:hint="eastAsia" w:ascii="仿宋_GB2312" w:hAnsi="宋体" w:cs="仿宋_GB2312"/>
                <w:color w:val="000000"/>
                <w:kern w:val="0"/>
                <w:sz w:val="21"/>
                <w:szCs w:val="21"/>
              </w:rPr>
              <w:t>利率：</w:t>
            </w:r>
          </w:p>
        </w:tc>
        <w:tc>
          <w:tcPr>
            <w:tcW w:w="2013" w:type="dxa"/>
            <w:gridSpan w:val="2"/>
            <w:tcBorders>
              <w:top w:val="nil"/>
              <w:left w:val="nil"/>
              <w:bottom w:val="nil"/>
              <w:right w:val="nil"/>
            </w:tcBorders>
            <w:tcMar>
              <w:top w:w="15" w:type="dxa"/>
              <w:left w:w="15" w:type="dxa"/>
              <w:right w:w="15" w:type="dxa"/>
            </w:tcMar>
            <w:vAlign w:val="center"/>
          </w:tcPr>
          <w:p>
            <w:pPr>
              <w:widowControl/>
              <w:spacing w:line="576" w:lineRule="exact"/>
              <w:jc w:val="center"/>
              <w:textAlignment w:val="center"/>
              <w:rPr>
                <w:rFonts w:ascii="仿宋_GB2312" w:hAnsi="宋体"/>
                <w:color w:val="000000"/>
                <w:sz w:val="21"/>
                <w:szCs w:val="21"/>
              </w:rPr>
            </w:pPr>
            <w:r>
              <w:rPr>
                <w:rFonts w:hint="eastAsia" w:ascii="仿宋_GB2312" w:hAnsi="宋体" w:cs="仿宋_GB2312"/>
                <w:color w:val="000000"/>
                <w:kern w:val="0"/>
                <w:sz w:val="21"/>
                <w:szCs w:val="21"/>
              </w:rPr>
              <w:t>单位：万元</w:t>
            </w:r>
          </w:p>
        </w:tc>
      </w:tr>
      <w:tr>
        <w:tblPrEx>
          <w:tblLayout w:type="fixed"/>
          <w:tblCellMar>
            <w:top w:w="0" w:type="dxa"/>
            <w:left w:w="0" w:type="dxa"/>
            <w:bottom w:w="0" w:type="dxa"/>
            <w:right w:w="0" w:type="dxa"/>
          </w:tblCellMar>
        </w:tblPrEx>
        <w:trPr>
          <w:trHeight w:val="510" w:hRule="exact"/>
          <w:jc w:val="center"/>
        </w:trPr>
        <w:tc>
          <w:tcPr>
            <w:tcW w:w="408"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spacing w:line="576" w:lineRule="exact"/>
              <w:rPr>
                <w:rFonts w:ascii="仿宋_GB2312" w:hAnsi="宋体"/>
                <w:color w:val="000000"/>
                <w:sz w:val="21"/>
                <w:szCs w:val="21"/>
              </w:rPr>
            </w:pPr>
            <w:r>
              <w:rPr>
                <w:rFonts w:hint="eastAsia" w:ascii="仿宋_GB2312" w:hAnsi="宋体" w:cs="仿宋_GB2312"/>
                <w:color w:val="000000"/>
                <w:kern w:val="0"/>
                <w:sz w:val="21"/>
                <w:szCs w:val="21"/>
              </w:rPr>
              <w:t>序号</w:t>
            </w:r>
          </w:p>
        </w:tc>
        <w:tc>
          <w:tcPr>
            <w:tcW w:w="2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存款银行</w:t>
            </w:r>
          </w:p>
        </w:tc>
        <w:tc>
          <w:tcPr>
            <w:tcW w:w="2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资金划出金额</w:t>
            </w: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备</w:t>
            </w:r>
            <w:r>
              <w:rPr>
                <w:rFonts w:ascii="仿宋_GB2312" w:hAnsi="宋体" w:cs="仿宋_GB2312"/>
                <w:color w:val="000000"/>
                <w:kern w:val="0"/>
                <w:sz w:val="21"/>
                <w:szCs w:val="21"/>
              </w:rPr>
              <w:t xml:space="preserve">  </w:t>
            </w:r>
            <w:r>
              <w:rPr>
                <w:rFonts w:hint="eastAsia" w:ascii="仿宋_GB2312" w:hAnsi="宋体" w:cs="仿宋_GB2312"/>
                <w:color w:val="000000"/>
                <w:kern w:val="0"/>
                <w:sz w:val="21"/>
                <w:szCs w:val="21"/>
              </w:rPr>
              <w:t>注</w:t>
            </w:r>
          </w:p>
        </w:tc>
        <w:tc>
          <w:tcPr>
            <w:tcW w:w="247"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r>
      <w:tr>
        <w:tblPrEx>
          <w:tblLayout w:type="fixed"/>
          <w:tblCellMar>
            <w:top w:w="0" w:type="dxa"/>
            <w:left w:w="0" w:type="dxa"/>
            <w:bottom w:w="0" w:type="dxa"/>
            <w:right w:w="0" w:type="dxa"/>
          </w:tblCellMar>
        </w:tblPrEx>
        <w:trPr>
          <w:trHeight w:val="510" w:hRule="exact"/>
          <w:jc w:val="center"/>
        </w:trPr>
        <w:tc>
          <w:tcPr>
            <w:tcW w:w="408"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ascii="仿宋_GB2312" w:hAnsi="宋体" w:cs="仿宋_GB2312"/>
                <w:color w:val="000000"/>
                <w:kern w:val="0"/>
                <w:sz w:val="21"/>
                <w:szCs w:val="21"/>
              </w:rPr>
              <w:t>1</w:t>
            </w:r>
          </w:p>
        </w:tc>
        <w:tc>
          <w:tcPr>
            <w:tcW w:w="2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商业银行</w:t>
            </w:r>
            <w:r>
              <w:rPr>
                <w:rFonts w:ascii="仿宋_GB2312" w:hAnsi="宋体" w:cs="仿宋_GB2312"/>
                <w:color w:val="000000"/>
                <w:kern w:val="0"/>
                <w:sz w:val="21"/>
                <w:szCs w:val="21"/>
              </w:rPr>
              <w:t>1</w:t>
            </w:r>
          </w:p>
        </w:tc>
        <w:tc>
          <w:tcPr>
            <w:tcW w:w="2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247"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r>
      <w:tr>
        <w:tblPrEx>
          <w:tblLayout w:type="fixed"/>
          <w:tblCellMar>
            <w:top w:w="0" w:type="dxa"/>
            <w:left w:w="0" w:type="dxa"/>
            <w:bottom w:w="0" w:type="dxa"/>
            <w:right w:w="0" w:type="dxa"/>
          </w:tblCellMar>
        </w:tblPrEx>
        <w:trPr>
          <w:trHeight w:val="510" w:hRule="exact"/>
          <w:jc w:val="center"/>
        </w:trPr>
        <w:tc>
          <w:tcPr>
            <w:tcW w:w="408"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ascii="仿宋_GB2312" w:hAnsi="宋体" w:cs="仿宋_GB2312"/>
                <w:color w:val="000000"/>
                <w:kern w:val="0"/>
                <w:sz w:val="21"/>
                <w:szCs w:val="21"/>
              </w:rPr>
              <w:t>2</w:t>
            </w:r>
          </w:p>
        </w:tc>
        <w:tc>
          <w:tcPr>
            <w:tcW w:w="2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商业银行</w:t>
            </w:r>
            <w:r>
              <w:rPr>
                <w:rFonts w:ascii="仿宋_GB2312" w:hAnsi="宋体" w:cs="仿宋_GB2312"/>
                <w:color w:val="000000"/>
                <w:kern w:val="0"/>
                <w:sz w:val="21"/>
                <w:szCs w:val="21"/>
              </w:rPr>
              <w:t>2</w:t>
            </w:r>
          </w:p>
        </w:tc>
        <w:tc>
          <w:tcPr>
            <w:tcW w:w="2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247"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r>
      <w:tr>
        <w:tblPrEx>
          <w:tblLayout w:type="fixed"/>
          <w:tblCellMar>
            <w:top w:w="0" w:type="dxa"/>
            <w:left w:w="0" w:type="dxa"/>
            <w:bottom w:w="0" w:type="dxa"/>
            <w:right w:w="0" w:type="dxa"/>
          </w:tblCellMar>
        </w:tblPrEx>
        <w:trPr>
          <w:trHeight w:val="510" w:hRule="exact"/>
          <w:jc w:val="center"/>
        </w:trPr>
        <w:tc>
          <w:tcPr>
            <w:tcW w:w="408"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ascii="仿宋_GB2312" w:hAnsi="宋体" w:cs="仿宋_GB2312"/>
                <w:color w:val="000000"/>
                <w:kern w:val="0"/>
                <w:sz w:val="21"/>
                <w:szCs w:val="21"/>
              </w:rPr>
              <w:t>3</w:t>
            </w:r>
          </w:p>
        </w:tc>
        <w:tc>
          <w:tcPr>
            <w:tcW w:w="2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商业银行</w:t>
            </w:r>
            <w:r>
              <w:rPr>
                <w:rFonts w:ascii="仿宋_GB2312" w:hAnsi="宋体" w:cs="仿宋_GB2312"/>
                <w:color w:val="000000"/>
                <w:kern w:val="0"/>
                <w:sz w:val="21"/>
                <w:szCs w:val="21"/>
              </w:rPr>
              <w:t>3</w:t>
            </w:r>
          </w:p>
        </w:tc>
        <w:tc>
          <w:tcPr>
            <w:tcW w:w="2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247"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r>
      <w:tr>
        <w:tblPrEx>
          <w:tblLayout w:type="fixed"/>
          <w:tblCellMar>
            <w:top w:w="0" w:type="dxa"/>
            <w:left w:w="0" w:type="dxa"/>
            <w:bottom w:w="0" w:type="dxa"/>
            <w:right w:w="0" w:type="dxa"/>
          </w:tblCellMar>
        </w:tblPrEx>
        <w:trPr>
          <w:trHeight w:val="510" w:hRule="exact"/>
          <w:jc w:val="center"/>
        </w:trPr>
        <w:tc>
          <w:tcPr>
            <w:tcW w:w="408"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ascii="仿宋_GB2312" w:hAnsi="宋体" w:cs="仿宋_GB2312"/>
                <w:color w:val="000000"/>
                <w:kern w:val="0"/>
                <w:sz w:val="21"/>
                <w:szCs w:val="21"/>
              </w:rPr>
              <w:t>4</w:t>
            </w:r>
          </w:p>
        </w:tc>
        <w:tc>
          <w:tcPr>
            <w:tcW w:w="2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w:t>
            </w:r>
          </w:p>
        </w:tc>
        <w:tc>
          <w:tcPr>
            <w:tcW w:w="2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247"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r>
      <w:tr>
        <w:tblPrEx>
          <w:tblLayout w:type="fixed"/>
          <w:tblCellMar>
            <w:top w:w="0" w:type="dxa"/>
            <w:left w:w="0" w:type="dxa"/>
            <w:bottom w:w="0" w:type="dxa"/>
            <w:right w:w="0" w:type="dxa"/>
          </w:tblCellMar>
        </w:tblPrEx>
        <w:trPr>
          <w:trHeight w:val="510" w:hRule="exact"/>
          <w:jc w:val="center"/>
        </w:trPr>
        <w:tc>
          <w:tcPr>
            <w:tcW w:w="408"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ascii="仿宋_GB2312" w:hAnsi="宋体" w:cs="仿宋_GB2312"/>
                <w:color w:val="000000"/>
                <w:kern w:val="0"/>
                <w:sz w:val="21"/>
                <w:szCs w:val="21"/>
              </w:rPr>
              <w:t>5</w:t>
            </w:r>
          </w:p>
        </w:tc>
        <w:tc>
          <w:tcPr>
            <w:tcW w:w="2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w:t>
            </w:r>
          </w:p>
        </w:tc>
        <w:tc>
          <w:tcPr>
            <w:tcW w:w="2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247"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r>
      <w:tr>
        <w:tblPrEx>
          <w:tblLayout w:type="fixed"/>
          <w:tblCellMar>
            <w:top w:w="0" w:type="dxa"/>
            <w:left w:w="0" w:type="dxa"/>
            <w:bottom w:w="0" w:type="dxa"/>
            <w:right w:w="0" w:type="dxa"/>
          </w:tblCellMar>
        </w:tblPrEx>
        <w:trPr>
          <w:trHeight w:val="510" w:hRule="exact"/>
          <w:jc w:val="center"/>
        </w:trPr>
        <w:tc>
          <w:tcPr>
            <w:tcW w:w="408"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2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b/>
                <w:bCs/>
                <w:color w:val="000000"/>
                <w:sz w:val="21"/>
                <w:szCs w:val="21"/>
              </w:rPr>
            </w:pPr>
            <w:r>
              <w:rPr>
                <w:rFonts w:hint="eastAsia" w:ascii="仿宋_GB2312" w:hAnsi="宋体" w:cs="仿宋_GB2312"/>
                <w:b/>
                <w:bCs/>
                <w:color w:val="000000"/>
                <w:kern w:val="0"/>
                <w:sz w:val="21"/>
                <w:szCs w:val="21"/>
              </w:rPr>
              <w:t>合</w:t>
            </w:r>
            <w:r>
              <w:rPr>
                <w:rFonts w:ascii="仿宋_GB2312" w:hAnsi="宋体" w:cs="仿宋_GB2312"/>
                <w:b/>
                <w:bCs/>
                <w:color w:val="000000"/>
                <w:kern w:val="0"/>
                <w:sz w:val="21"/>
                <w:szCs w:val="21"/>
              </w:rPr>
              <w:t xml:space="preserve">  </w:t>
            </w:r>
            <w:r>
              <w:rPr>
                <w:rFonts w:hint="eastAsia" w:ascii="仿宋_GB2312" w:hAnsi="宋体" w:cs="仿宋_GB2312"/>
                <w:b/>
                <w:bCs/>
                <w:color w:val="000000"/>
                <w:kern w:val="0"/>
                <w:sz w:val="21"/>
                <w:szCs w:val="21"/>
              </w:rPr>
              <w:t>计</w:t>
            </w:r>
          </w:p>
        </w:tc>
        <w:tc>
          <w:tcPr>
            <w:tcW w:w="21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247"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r>
      <w:tr>
        <w:tblPrEx>
          <w:tblLayout w:type="fixed"/>
          <w:tblCellMar>
            <w:top w:w="0" w:type="dxa"/>
            <w:left w:w="0" w:type="dxa"/>
            <w:bottom w:w="0" w:type="dxa"/>
            <w:right w:w="0" w:type="dxa"/>
          </w:tblCellMar>
        </w:tblPrEx>
        <w:trPr>
          <w:trHeight w:val="508" w:hRule="atLeast"/>
          <w:jc w:val="center"/>
        </w:trPr>
        <w:tc>
          <w:tcPr>
            <w:tcW w:w="408" w:type="dxa"/>
            <w:tcBorders>
              <w:top w:val="nil"/>
              <w:left w:val="nil"/>
              <w:bottom w:val="nil"/>
              <w:right w:val="nil"/>
            </w:tcBorders>
            <w:noWrap/>
            <w:tcMar>
              <w:top w:w="15" w:type="dxa"/>
              <w:left w:w="15" w:type="dxa"/>
              <w:right w:w="15" w:type="dxa"/>
            </w:tcMar>
            <w:vAlign w:val="center"/>
          </w:tcPr>
          <w:p>
            <w:pPr>
              <w:widowControl/>
              <w:spacing w:line="576" w:lineRule="exact"/>
              <w:textAlignment w:val="center"/>
              <w:rPr>
                <w:rFonts w:ascii="仿宋_GB2312" w:hAnsi="宋体"/>
                <w:color w:val="000000"/>
                <w:sz w:val="20"/>
                <w:szCs w:val="20"/>
              </w:rPr>
            </w:pPr>
          </w:p>
        </w:tc>
        <w:tc>
          <w:tcPr>
            <w:tcW w:w="1020"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r>
              <w:rPr>
                <w:rFonts w:hint="eastAsia" w:ascii="仿宋_GB2312" w:hAnsi="宋体" w:cs="仿宋_GB2312"/>
                <w:color w:val="000000"/>
                <w:kern w:val="0"/>
                <w:sz w:val="20"/>
                <w:szCs w:val="20"/>
              </w:rPr>
              <w:t>公章：</w:t>
            </w:r>
          </w:p>
        </w:tc>
        <w:tc>
          <w:tcPr>
            <w:tcW w:w="2515" w:type="dxa"/>
            <w:tcBorders>
              <w:top w:val="nil"/>
              <w:left w:val="nil"/>
              <w:bottom w:val="nil"/>
              <w:right w:val="nil"/>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ascii="仿宋_GB2312" w:hAnsi="宋体" w:cs="仿宋_GB2312"/>
                <w:color w:val="000000"/>
                <w:kern w:val="0"/>
                <w:sz w:val="21"/>
                <w:szCs w:val="21"/>
              </w:rPr>
              <w:t xml:space="preserve">                 </w:t>
            </w:r>
            <w:r>
              <w:rPr>
                <w:rFonts w:hint="eastAsia" w:ascii="仿宋_GB2312" w:hAnsi="宋体" w:cs="仿宋_GB2312"/>
                <w:color w:val="000000"/>
                <w:kern w:val="0"/>
                <w:sz w:val="21"/>
                <w:szCs w:val="21"/>
              </w:rPr>
              <w:t>复核：</w:t>
            </w:r>
          </w:p>
        </w:tc>
        <w:tc>
          <w:tcPr>
            <w:tcW w:w="2184"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c>
          <w:tcPr>
            <w:tcW w:w="1766" w:type="dxa"/>
            <w:tcBorders>
              <w:top w:val="nil"/>
              <w:left w:val="nil"/>
              <w:bottom w:val="nil"/>
              <w:right w:val="nil"/>
            </w:tcBorders>
            <w:noWrap/>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制表：</w:t>
            </w:r>
          </w:p>
        </w:tc>
        <w:tc>
          <w:tcPr>
            <w:tcW w:w="247"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r>
    </w:tbl>
    <w:p>
      <w:pPr>
        <w:spacing w:line="340" w:lineRule="exact"/>
      </w:pPr>
    </w:p>
    <w:tbl>
      <w:tblPr>
        <w:tblStyle w:val="5"/>
        <w:tblW w:w="7660" w:type="dxa"/>
        <w:jc w:val="center"/>
        <w:tblInd w:w="0" w:type="dxa"/>
        <w:tblLayout w:type="fixed"/>
        <w:tblCellMar>
          <w:top w:w="0" w:type="dxa"/>
          <w:left w:w="0" w:type="dxa"/>
          <w:bottom w:w="0" w:type="dxa"/>
          <w:right w:w="0" w:type="dxa"/>
        </w:tblCellMar>
      </w:tblPr>
      <w:tblGrid>
        <w:gridCol w:w="642"/>
        <w:gridCol w:w="1126"/>
        <w:gridCol w:w="1267"/>
        <w:gridCol w:w="1046"/>
        <w:gridCol w:w="1300"/>
        <w:gridCol w:w="1014"/>
        <w:gridCol w:w="1265"/>
      </w:tblGrid>
      <w:tr>
        <w:tblPrEx>
          <w:tblLayout w:type="fixed"/>
          <w:tblCellMar>
            <w:top w:w="0" w:type="dxa"/>
            <w:left w:w="0" w:type="dxa"/>
            <w:bottom w:w="0" w:type="dxa"/>
            <w:right w:w="0" w:type="dxa"/>
          </w:tblCellMar>
        </w:tblPrEx>
        <w:trPr>
          <w:trHeight w:val="552" w:hRule="atLeast"/>
          <w:jc w:val="center"/>
        </w:trPr>
        <w:tc>
          <w:tcPr>
            <w:tcW w:w="7660" w:type="dxa"/>
            <w:gridSpan w:val="7"/>
            <w:tcBorders>
              <w:top w:val="nil"/>
              <w:left w:val="nil"/>
              <w:bottom w:val="nil"/>
              <w:right w:val="nil"/>
            </w:tcBorders>
            <w:noWrap/>
            <w:tcMar>
              <w:top w:w="15" w:type="dxa"/>
              <w:left w:w="15" w:type="dxa"/>
              <w:right w:w="15" w:type="dxa"/>
            </w:tcMar>
            <w:vAlign w:val="center"/>
          </w:tcPr>
          <w:p>
            <w:pPr>
              <w:widowControl/>
              <w:spacing w:line="576" w:lineRule="exact"/>
              <w:jc w:val="center"/>
              <w:textAlignment w:val="center"/>
              <w:rPr>
                <w:rFonts w:ascii="宋体" w:hAnsi="宋体" w:eastAsia="宋体"/>
                <w:b/>
                <w:bCs/>
                <w:color w:val="000000"/>
                <w:sz w:val="24"/>
                <w:szCs w:val="24"/>
              </w:rPr>
            </w:pPr>
            <w:r>
              <w:rPr>
                <w:rFonts w:hint="eastAsia" w:ascii="宋体" w:hAnsi="宋体" w:eastAsia="宋体" w:cs="宋体"/>
                <w:b/>
                <w:bCs/>
                <w:color w:val="000000"/>
                <w:kern w:val="0"/>
                <w:sz w:val="24"/>
                <w:szCs w:val="24"/>
              </w:rPr>
              <w:t>四川省省级国库现金管理商业银行定期存款本息划回明细表</w:t>
            </w:r>
          </w:p>
        </w:tc>
      </w:tr>
      <w:tr>
        <w:tblPrEx>
          <w:tblLayout w:type="fixed"/>
          <w:tblCellMar>
            <w:top w:w="0" w:type="dxa"/>
            <w:left w:w="0" w:type="dxa"/>
            <w:bottom w:w="0" w:type="dxa"/>
            <w:right w:w="0" w:type="dxa"/>
          </w:tblCellMar>
        </w:tblPrEx>
        <w:trPr>
          <w:trHeight w:val="373" w:hRule="atLeast"/>
          <w:jc w:val="center"/>
        </w:trPr>
        <w:tc>
          <w:tcPr>
            <w:tcW w:w="7660" w:type="dxa"/>
            <w:gridSpan w:val="7"/>
            <w:tcBorders>
              <w:top w:val="nil"/>
              <w:left w:val="nil"/>
              <w:bottom w:val="nil"/>
              <w:right w:val="nil"/>
            </w:tcBorders>
            <w:noWrap/>
            <w:tcMar>
              <w:top w:w="15" w:type="dxa"/>
              <w:left w:w="15" w:type="dxa"/>
              <w:right w:w="15" w:type="dxa"/>
            </w:tcMar>
            <w:vAlign w:val="center"/>
          </w:tcPr>
          <w:p>
            <w:pPr>
              <w:widowControl/>
              <w:spacing w:line="576" w:lineRule="exact"/>
              <w:jc w:val="center"/>
              <w:textAlignment w:val="center"/>
              <w:rPr>
                <w:rFonts w:ascii="仿宋_GB2312" w:hAnsi="宋体"/>
                <w:color w:val="000000"/>
                <w:sz w:val="20"/>
                <w:szCs w:val="20"/>
              </w:rPr>
            </w:pPr>
            <w:r>
              <w:rPr>
                <w:rFonts w:hint="eastAsia" w:ascii="仿宋_GB2312" w:hAnsi="宋体" w:cs="仿宋_GB2312"/>
                <w:color w:val="000000"/>
                <w:kern w:val="0"/>
                <w:sz w:val="20"/>
                <w:szCs w:val="20"/>
              </w:rPr>
              <w:t>（</w:t>
            </w:r>
            <w:r>
              <w:rPr>
                <w:rFonts w:ascii="仿宋_GB2312" w:hAnsi="宋体" w:cs="仿宋_GB2312"/>
                <w:color w:val="000000"/>
                <w:kern w:val="0"/>
                <w:sz w:val="20"/>
                <w:szCs w:val="20"/>
              </w:rPr>
              <w:t xml:space="preserve">      </w:t>
            </w:r>
            <w:r>
              <w:rPr>
                <w:rFonts w:hint="eastAsia" w:ascii="仿宋_GB2312" w:hAnsi="宋体" w:cs="仿宋_GB2312"/>
                <w:color w:val="000000"/>
                <w:kern w:val="0"/>
                <w:sz w:val="20"/>
                <w:szCs w:val="20"/>
              </w:rPr>
              <w:t>年第</w:t>
            </w:r>
            <w:r>
              <w:rPr>
                <w:rFonts w:ascii="仿宋_GB2312" w:hAnsi="宋体" w:cs="仿宋_GB2312"/>
                <w:color w:val="000000"/>
                <w:kern w:val="0"/>
                <w:sz w:val="20"/>
                <w:szCs w:val="20"/>
              </w:rPr>
              <w:t xml:space="preserve">   </w:t>
            </w:r>
            <w:r>
              <w:rPr>
                <w:rFonts w:hint="eastAsia" w:ascii="仿宋_GB2312" w:hAnsi="宋体" w:cs="仿宋_GB2312"/>
                <w:color w:val="000000"/>
                <w:kern w:val="0"/>
                <w:sz w:val="20"/>
                <w:szCs w:val="20"/>
              </w:rPr>
              <w:t>期）</w:t>
            </w:r>
          </w:p>
        </w:tc>
      </w:tr>
      <w:tr>
        <w:tblPrEx>
          <w:tblLayout w:type="fixed"/>
          <w:tblCellMar>
            <w:top w:w="0" w:type="dxa"/>
            <w:left w:w="0" w:type="dxa"/>
            <w:bottom w:w="0" w:type="dxa"/>
            <w:right w:w="0" w:type="dxa"/>
          </w:tblCellMar>
        </w:tblPrEx>
        <w:trPr>
          <w:trHeight w:val="373" w:hRule="atLeast"/>
          <w:jc w:val="center"/>
        </w:trPr>
        <w:tc>
          <w:tcPr>
            <w:tcW w:w="6395" w:type="dxa"/>
            <w:gridSpan w:val="6"/>
            <w:tcBorders>
              <w:top w:val="nil"/>
              <w:left w:val="nil"/>
              <w:bottom w:val="nil"/>
              <w:right w:val="nil"/>
            </w:tcBorders>
            <w:tcMar>
              <w:top w:w="15" w:type="dxa"/>
              <w:left w:w="15" w:type="dxa"/>
              <w:right w:w="15" w:type="dxa"/>
            </w:tcMar>
            <w:vAlign w:val="center"/>
          </w:tcPr>
          <w:p>
            <w:pPr>
              <w:widowControl/>
              <w:spacing w:line="576" w:lineRule="exact"/>
              <w:jc w:val="center"/>
              <w:textAlignment w:val="center"/>
              <w:rPr>
                <w:rFonts w:ascii="仿宋_GB2312" w:hAnsi="宋体"/>
                <w:color w:val="000000"/>
                <w:sz w:val="21"/>
                <w:szCs w:val="21"/>
              </w:rPr>
            </w:pPr>
            <w:r>
              <w:rPr>
                <w:rFonts w:hint="eastAsia" w:ascii="仿宋_GB2312" w:hAnsi="宋体" w:cs="仿宋_GB2312"/>
                <w:color w:val="000000"/>
                <w:kern w:val="0"/>
                <w:sz w:val="21"/>
                <w:szCs w:val="21"/>
              </w:rPr>
              <w:t>起息日：</w:t>
            </w:r>
            <w:r>
              <w:rPr>
                <w:rFonts w:ascii="仿宋_GB2312" w:hAnsi="宋体" w:cs="仿宋_GB2312"/>
                <w:color w:val="000000"/>
                <w:kern w:val="0"/>
                <w:sz w:val="21"/>
                <w:szCs w:val="21"/>
              </w:rPr>
              <w:t xml:space="preserve">     </w:t>
            </w:r>
            <w:r>
              <w:rPr>
                <w:rFonts w:hint="eastAsia" w:ascii="仿宋_GB2312" w:hAnsi="宋体" w:cs="仿宋_GB2312"/>
                <w:color w:val="000000"/>
                <w:kern w:val="0"/>
                <w:sz w:val="21"/>
                <w:szCs w:val="21"/>
              </w:rPr>
              <w:t>到期日：</w:t>
            </w:r>
            <w:r>
              <w:rPr>
                <w:rFonts w:ascii="仿宋_GB2312" w:hAnsi="宋体" w:cs="仿宋_GB2312"/>
                <w:color w:val="000000"/>
                <w:kern w:val="0"/>
                <w:sz w:val="21"/>
                <w:szCs w:val="21"/>
              </w:rPr>
              <w:t xml:space="preserve">      </w:t>
            </w:r>
            <w:r>
              <w:rPr>
                <w:rFonts w:hint="eastAsia" w:ascii="仿宋_GB2312" w:hAnsi="宋体" w:cs="仿宋_GB2312"/>
                <w:color w:val="000000"/>
                <w:kern w:val="0"/>
                <w:sz w:val="21"/>
                <w:szCs w:val="21"/>
              </w:rPr>
              <w:t>存款期限：</w:t>
            </w:r>
            <w:r>
              <w:rPr>
                <w:rFonts w:ascii="仿宋_GB2312" w:hAnsi="宋体" w:cs="仿宋_GB2312"/>
                <w:color w:val="000000"/>
                <w:kern w:val="0"/>
                <w:sz w:val="21"/>
                <w:szCs w:val="21"/>
              </w:rPr>
              <w:t xml:space="preserve">    </w:t>
            </w:r>
            <w:r>
              <w:rPr>
                <w:rFonts w:hint="eastAsia" w:ascii="仿宋_GB2312" w:hAnsi="宋体" w:cs="仿宋_GB2312"/>
                <w:color w:val="000000"/>
                <w:kern w:val="0"/>
                <w:sz w:val="21"/>
                <w:szCs w:val="21"/>
              </w:rPr>
              <w:t>利率：</w:t>
            </w:r>
          </w:p>
        </w:tc>
        <w:tc>
          <w:tcPr>
            <w:tcW w:w="1265" w:type="dxa"/>
            <w:tcBorders>
              <w:top w:val="nil"/>
              <w:left w:val="nil"/>
              <w:bottom w:val="nil"/>
              <w:right w:val="nil"/>
            </w:tcBorders>
            <w:tcMar>
              <w:top w:w="15" w:type="dxa"/>
              <w:left w:w="15" w:type="dxa"/>
              <w:right w:w="15" w:type="dxa"/>
            </w:tcMar>
            <w:vAlign w:val="center"/>
          </w:tcPr>
          <w:p>
            <w:pPr>
              <w:widowControl/>
              <w:spacing w:line="576" w:lineRule="exact"/>
              <w:jc w:val="center"/>
              <w:textAlignment w:val="center"/>
              <w:rPr>
                <w:rFonts w:ascii="仿宋_GB2312" w:hAnsi="宋体"/>
                <w:color w:val="000000"/>
                <w:sz w:val="21"/>
                <w:szCs w:val="21"/>
              </w:rPr>
            </w:pPr>
            <w:r>
              <w:rPr>
                <w:rFonts w:hint="eastAsia" w:ascii="仿宋_GB2312" w:hAnsi="宋体" w:cs="仿宋_GB2312"/>
                <w:color w:val="000000"/>
                <w:kern w:val="0"/>
                <w:sz w:val="21"/>
                <w:szCs w:val="21"/>
              </w:rPr>
              <w:t>单位：万元</w:t>
            </w:r>
          </w:p>
        </w:tc>
      </w:tr>
      <w:tr>
        <w:tblPrEx>
          <w:tblLayout w:type="fixed"/>
          <w:tblCellMar>
            <w:top w:w="0" w:type="dxa"/>
            <w:left w:w="0" w:type="dxa"/>
            <w:bottom w:w="0" w:type="dxa"/>
            <w:right w:w="0" w:type="dxa"/>
          </w:tblCellMar>
        </w:tblPrEx>
        <w:trPr>
          <w:trHeight w:val="510" w:hRule="exact"/>
          <w:jc w:val="center"/>
        </w:trPr>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r>
              <w:rPr>
                <w:rFonts w:hint="eastAsia" w:ascii="仿宋_GB2312" w:hAnsi="宋体" w:cs="仿宋_GB2312"/>
                <w:color w:val="000000"/>
                <w:sz w:val="21"/>
                <w:szCs w:val="21"/>
              </w:rPr>
              <w:t>序号</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存款银行</w:t>
            </w:r>
          </w:p>
        </w:tc>
        <w:tc>
          <w:tcPr>
            <w:tcW w:w="12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应收本金</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实收本金</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应收利息</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应收罚息</w:t>
            </w:r>
          </w:p>
        </w:tc>
        <w:tc>
          <w:tcPr>
            <w:tcW w:w="1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实收利息</w:t>
            </w:r>
          </w:p>
        </w:tc>
      </w:tr>
      <w:tr>
        <w:tblPrEx>
          <w:tblLayout w:type="fixed"/>
          <w:tblCellMar>
            <w:top w:w="0" w:type="dxa"/>
            <w:left w:w="0" w:type="dxa"/>
            <w:bottom w:w="0" w:type="dxa"/>
            <w:right w:w="0" w:type="dxa"/>
          </w:tblCellMar>
        </w:tblPrEx>
        <w:trPr>
          <w:trHeight w:val="510" w:hRule="exact"/>
          <w:jc w:val="center"/>
        </w:trPr>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ascii="仿宋_GB2312" w:hAnsi="宋体" w:cs="仿宋_GB2312"/>
                <w:color w:val="000000"/>
                <w:kern w:val="0"/>
                <w:sz w:val="21"/>
                <w:szCs w:val="21"/>
              </w:rPr>
              <w:t>1</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商业银行</w:t>
            </w:r>
            <w:r>
              <w:rPr>
                <w:rFonts w:ascii="仿宋_GB2312" w:hAnsi="宋体" w:cs="仿宋_GB2312"/>
                <w:color w:val="000000"/>
                <w:kern w:val="0"/>
                <w:sz w:val="21"/>
                <w:szCs w:val="21"/>
              </w:rPr>
              <w:t>1</w:t>
            </w:r>
          </w:p>
        </w:tc>
        <w:tc>
          <w:tcPr>
            <w:tcW w:w="12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r>
      <w:tr>
        <w:tblPrEx>
          <w:tblLayout w:type="fixed"/>
          <w:tblCellMar>
            <w:top w:w="0" w:type="dxa"/>
            <w:left w:w="0" w:type="dxa"/>
            <w:bottom w:w="0" w:type="dxa"/>
            <w:right w:w="0" w:type="dxa"/>
          </w:tblCellMar>
        </w:tblPrEx>
        <w:trPr>
          <w:trHeight w:val="510" w:hRule="exact"/>
          <w:jc w:val="center"/>
        </w:trPr>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ascii="仿宋_GB2312" w:hAnsi="宋体" w:cs="仿宋_GB2312"/>
                <w:color w:val="000000"/>
                <w:kern w:val="0"/>
                <w:sz w:val="21"/>
                <w:szCs w:val="21"/>
              </w:rPr>
              <w:t>2</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商业银行</w:t>
            </w:r>
            <w:r>
              <w:rPr>
                <w:rFonts w:ascii="仿宋_GB2312" w:hAnsi="宋体" w:cs="仿宋_GB2312"/>
                <w:color w:val="000000"/>
                <w:kern w:val="0"/>
                <w:sz w:val="21"/>
                <w:szCs w:val="21"/>
              </w:rPr>
              <w:t>2</w:t>
            </w:r>
          </w:p>
        </w:tc>
        <w:tc>
          <w:tcPr>
            <w:tcW w:w="12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r>
      <w:tr>
        <w:tblPrEx>
          <w:tblLayout w:type="fixed"/>
          <w:tblCellMar>
            <w:top w:w="0" w:type="dxa"/>
            <w:left w:w="0" w:type="dxa"/>
            <w:bottom w:w="0" w:type="dxa"/>
            <w:right w:w="0" w:type="dxa"/>
          </w:tblCellMar>
        </w:tblPrEx>
        <w:trPr>
          <w:trHeight w:val="510" w:hRule="exact"/>
          <w:jc w:val="center"/>
        </w:trPr>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ascii="仿宋_GB2312" w:hAnsi="宋体" w:cs="仿宋_GB2312"/>
                <w:color w:val="000000"/>
                <w:kern w:val="0"/>
                <w:sz w:val="21"/>
                <w:szCs w:val="21"/>
              </w:rPr>
              <w:t>3</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商业银行</w:t>
            </w:r>
            <w:r>
              <w:rPr>
                <w:rFonts w:ascii="仿宋_GB2312" w:hAnsi="宋体" w:cs="仿宋_GB2312"/>
                <w:color w:val="000000"/>
                <w:kern w:val="0"/>
                <w:sz w:val="21"/>
                <w:szCs w:val="21"/>
              </w:rPr>
              <w:t>3</w:t>
            </w:r>
          </w:p>
        </w:tc>
        <w:tc>
          <w:tcPr>
            <w:tcW w:w="12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r>
      <w:tr>
        <w:tblPrEx>
          <w:tblLayout w:type="fixed"/>
          <w:tblCellMar>
            <w:top w:w="0" w:type="dxa"/>
            <w:left w:w="0" w:type="dxa"/>
            <w:bottom w:w="0" w:type="dxa"/>
            <w:right w:w="0" w:type="dxa"/>
          </w:tblCellMar>
        </w:tblPrEx>
        <w:trPr>
          <w:trHeight w:val="510" w:hRule="exact"/>
          <w:jc w:val="center"/>
        </w:trPr>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ascii="仿宋_GB2312" w:hAnsi="宋体" w:cs="仿宋_GB2312"/>
                <w:color w:val="000000"/>
                <w:kern w:val="0"/>
                <w:sz w:val="21"/>
                <w:szCs w:val="21"/>
              </w:rPr>
              <w:t>4</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w:t>
            </w:r>
          </w:p>
        </w:tc>
        <w:tc>
          <w:tcPr>
            <w:tcW w:w="12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r>
      <w:tr>
        <w:tblPrEx>
          <w:tblLayout w:type="fixed"/>
          <w:tblCellMar>
            <w:top w:w="0" w:type="dxa"/>
            <w:left w:w="0" w:type="dxa"/>
            <w:bottom w:w="0" w:type="dxa"/>
            <w:right w:w="0" w:type="dxa"/>
          </w:tblCellMar>
        </w:tblPrEx>
        <w:trPr>
          <w:trHeight w:val="510" w:hRule="exact"/>
          <w:jc w:val="center"/>
        </w:trPr>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ascii="仿宋_GB2312" w:hAnsi="宋体" w:cs="仿宋_GB2312"/>
                <w:color w:val="000000"/>
                <w:kern w:val="0"/>
                <w:sz w:val="21"/>
                <w:szCs w:val="21"/>
              </w:rPr>
              <w:t>5</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w:t>
            </w:r>
          </w:p>
        </w:tc>
        <w:tc>
          <w:tcPr>
            <w:tcW w:w="12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r>
      <w:tr>
        <w:tblPrEx>
          <w:tblLayout w:type="fixed"/>
          <w:tblCellMar>
            <w:top w:w="0" w:type="dxa"/>
            <w:left w:w="0" w:type="dxa"/>
            <w:bottom w:w="0" w:type="dxa"/>
            <w:right w:w="0" w:type="dxa"/>
          </w:tblCellMar>
        </w:tblPrEx>
        <w:trPr>
          <w:trHeight w:val="510" w:hRule="exact"/>
          <w:jc w:val="center"/>
        </w:trPr>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b/>
                <w:bCs/>
                <w:color w:val="000000"/>
                <w:sz w:val="21"/>
                <w:szCs w:val="21"/>
              </w:rPr>
            </w:pPr>
            <w:r>
              <w:rPr>
                <w:rFonts w:hint="eastAsia" w:ascii="仿宋_GB2312" w:hAnsi="宋体" w:cs="仿宋_GB2312"/>
                <w:b/>
                <w:bCs/>
                <w:color w:val="000000"/>
                <w:kern w:val="0"/>
                <w:sz w:val="21"/>
                <w:szCs w:val="21"/>
              </w:rPr>
              <w:t>合</w:t>
            </w:r>
            <w:r>
              <w:rPr>
                <w:rFonts w:ascii="仿宋_GB2312" w:hAnsi="宋体" w:cs="仿宋_GB2312"/>
                <w:b/>
                <w:bCs/>
                <w:color w:val="000000"/>
                <w:kern w:val="0"/>
                <w:sz w:val="21"/>
                <w:szCs w:val="21"/>
              </w:rPr>
              <w:t xml:space="preserve">  </w:t>
            </w:r>
            <w:r>
              <w:rPr>
                <w:rFonts w:hint="eastAsia" w:ascii="仿宋_GB2312" w:hAnsi="宋体" w:cs="仿宋_GB2312"/>
                <w:b/>
                <w:bCs/>
                <w:color w:val="000000"/>
                <w:kern w:val="0"/>
                <w:sz w:val="21"/>
                <w:szCs w:val="21"/>
              </w:rPr>
              <w:t>计</w:t>
            </w:r>
          </w:p>
        </w:tc>
        <w:tc>
          <w:tcPr>
            <w:tcW w:w="12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r>
      <w:tr>
        <w:tblPrEx>
          <w:tblLayout w:type="fixed"/>
          <w:tblCellMar>
            <w:top w:w="0" w:type="dxa"/>
            <w:left w:w="0" w:type="dxa"/>
            <w:bottom w:w="0" w:type="dxa"/>
            <w:right w:w="0" w:type="dxa"/>
          </w:tblCellMar>
        </w:tblPrEx>
        <w:trPr>
          <w:trHeight w:val="268" w:hRule="atLeast"/>
          <w:jc w:val="center"/>
        </w:trPr>
        <w:tc>
          <w:tcPr>
            <w:tcW w:w="642" w:type="dxa"/>
            <w:tcBorders>
              <w:top w:val="nil"/>
              <w:left w:val="nil"/>
              <w:bottom w:val="nil"/>
              <w:right w:val="nil"/>
            </w:tcBorders>
            <w:noWrap/>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p>
        </w:tc>
        <w:tc>
          <w:tcPr>
            <w:tcW w:w="1126"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r>
              <w:rPr>
                <w:rFonts w:hint="eastAsia" w:ascii="仿宋_GB2312" w:hAnsi="宋体" w:cs="仿宋_GB2312"/>
                <w:color w:val="000000"/>
                <w:kern w:val="0"/>
                <w:sz w:val="21"/>
                <w:szCs w:val="21"/>
              </w:rPr>
              <w:t>公章：</w:t>
            </w:r>
          </w:p>
        </w:tc>
        <w:tc>
          <w:tcPr>
            <w:tcW w:w="1267"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c>
          <w:tcPr>
            <w:tcW w:w="1046" w:type="dxa"/>
            <w:tcBorders>
              <w:top w:val="nil"/>
              <w:left w:val="nil"/>
              <w:bottom w:val="nil"/>
              <w:right w:val="nil"/>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ascii="仿宋_GB2312" w:hAnsi="宋体" w:cs="仿宋_GB2312"/>
                <w:color w:val="000000"/>
                <w:kern w:val="0"/>
                <w:sz w:val="21"/>
                <w:szCs w:val="21"/>
              </w:rPr>
              <w:t xml:space="preserve">    </w:t>
            </w:r>
            <w:r>
              <w:rPr>
                <w:rFonts w:hint="eastAsia" w:ascii="仿宋_GB2312" w:hAnsi="宋体" w:cs="仿宋_GB2312"/>
                <w:color w:val="000000"/>
                <w:kern w:val="0"/>
                <w:sz w:val="21"/>
                <w:szCs w:val="21"/>
              </w:rPr>
              <w:t>复核：</w:t>
            </w:r>
          </w:p>
        </w:tc>
        <w:tc>
          <w:tcPr>
            <w:tcW w:w="1300"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s="宋体"/>
                <w:color w:val="000000"/>
                <w:sz w:val="24"/>
                <w:szCs w:val="24"/>
              </w:rPr>
            </w:pPr>
            <w:r>
              <w:rPr>
                <w:rFonts w:ascii="宋体" w:hAnsi="宋体" w:eastAsia="宋体" w:cs="宋体"/>
                <w:color w:val="000000"/>
                <w:sz w:val="24"/>
                <w:szCs w:val="24"/>
              </w:rPr>
              <w:t xml:space="preserve">  </w:t>
            </w:r>
          </w:p>
        </w:tc>
        <w:tc>
          <w:tcPr>
            <w:tcW w:w="1014" w:type="dxa"/>
            <w:tcBorders>
              <w:top w:val="nil"/>
              <w:left w:val="nil"/>
              <w:bottom w:val="nil"/>
              <w:right w:val="nil"/>
            </w:tcBorders>
            <w:noWrap/>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p>
        </w:tc>
        <w:tc>
          <w:tcPr>
            <w:tcW w:w="1265"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r>
              <w:rPr>
                <w:rFonts w:hint="eastAsia" w:ascii="仿宋_GB2312" w:hAnsi="宋体" w:cs="仿宋_GB2312"/>
                <w:color w:val="000000"/>
                <w:kern w:val="0"/>
                <w:sz w:val="21"/>
                <w:szCs w:val="21"/>
              </w:rPr>
              <w:t>制表：</w:t>
            </w:r>
          </w:p>
        </w:tc>
      </w:tr>
    </w:tbl>
    <w:p>
      <w:pPr>
        <w:spacing w:line="576" w:lineRule="exact"/>
        <w:rPr>
          <w:rFonts w:ascii="宋体" w:hAnsi="宋体" w:eastAsia="宋体"/>
          <w:b/>
          <w:bCs/>
          <w:color w:val="000000"/>
          <w:kern w:val="0"/>
          <w:sz w:val="28"/>
          <w:szCs w:val="28"/>
        </w:rPr>
      </w:pPr>
      <w:r>
        <w:br w:type="page"/>
      </w:r>
      <w:r>
        <w:rPr>
          <w:rFonts w:hint="eastAsia" w:ascii="黑体" w:hAnsi="黑体" w:eastAsia="黑体" w:cs="黑体"/>
        </w:rPr>
        <w:t>附件</w:t>
      </w:r>
      <w:r>
        <w:rPr>
          <w:rFonts w:ascii="黑体" w:hAnsi="黑体" w:eastAsia="黑体" w:cs="黑体"/>
        </w:rPr>
        <w:t>4</w:t>
      </w:r>
    </w:p>
    <w:tbl>
      <w:tblPr>
        <w:tblStyle w:val="5"/>
        <w:tblpPr w:leftFromText="180" w:rightFromText="180" w:vertAnchor="text" w:horzAnchor="page" w:tblpX="1785" w:tblpY="614"/>
        <w:tblOverlap w:val="never"/>
        <w:tblW w:w="8370" w:type="dxa"/>
        <w:tblInd w:w="0" w:type="dxa"/>
        <w:tblLayout w:type="fixed"/>
        <w:tblCellMar>
          <w:top w:w="0" w:type="dxa"/>
          <w:left w:w="0" w:type="dxa"/>
          <w:bottom w:w="0" w:type="dxa"/>
          <w:right w:w="0" w:type="dxa"/>
        </w:tblCellMar>
      </w:tblPr>
      <w:tblGrid>
        <w:gridCol w:w="750"/>
        <w:gridCol w:w="2040"/>
        <w:gridCol w:w="1395"/>
        <w:gridCol w:w="1395"/>
        <w:gridCol w:w="1395"/>
        <w:gridCol w:w="1395"/>
      </w:tblGrid>
      <w:tr>
        <w:tblPrEx>
          <w:tblLayout w:type="fixed"/>
          <w:tblCellMar>
            <w:top w:w="0" w:type="dxa"/>
            <w:left w:w="0" w:type="dxa"/>
            <w:bottom w:w="0" w:type="dxa"/>
            <w:right w:w="0" w:type="dxa"/>
          </w:tblCellMar>
        </w:tblPrEx>
        <w:trPr>
          <w:trHeight w:val="522" w:hRule="atLeast"/>
        </w:trPr>
        <w:tc>
          <w:tcPr>
            <w:tcW w:w="8370" w:type="dxa"/>
            <w:gridSpan w:val="6"/>
            <w:tcBorders>
              <w:top w:val="nil"/>
              <w:left w:val="nil"/>
              <w:bottom w:val="nil"/>
              <w:right w:val="nil"/>
            </w:tcBorders>
            <w:noWrap/>
            <w:tcMar>
              <w:top w:w="15" w:type="dxa"/>
              <w:left w:w="15" w:type="dxa"/>
              <w:right w:w="15" w:type="dxa"/>
            </w:tcMar>
            <w:vAlign w:val="center"/>
          </w:tcPr>
          <w:p>
            <w:pPr>
              <w:widowControl/>
              <w:spacing w:line="576" w:lineRule="exact"/>
              <w:jc w:val="center"/>
              <w:textAlignment w:val="center"/>
              <w:rPr>
                <w:rFonts w:ascii="宋体" w:hAnsi="宋体" w:eastAsia="宋体"/>
                <w:b/>
                <w:bCs/>
                <w:color w:val="000000"/>
                <w:sz w:val="28"/>
                <w:szCs w:val="28"/>
              </w:rPr>
            </w:pPr>
            <w:r>
              <w:rPr>
                <w:rFonts w:hint="eastAsia" w:ascii="宋体" w:hAnsi="宋体" w:eastAsia="宋体" w:cs="宋体"/>
                <w:b/>
                <w:bCs/>
                <w:color w:val="000000"/>
                <w:kern w:val="0"/>
                <w:sz w:val="28"/>
                <w:szCs w:val="28"/>
              </w:rPr>
              <w:t>四川省省级国库现金管理定期存款月（年）报表</w:t>
            </w:r>
          </w:p>
        </w:tc>
      </w:tr>
      <w:tr>
        <w:tblPrEx>
          <w:tblLayout w:type="fixed"/>
          <w:tblCellMar>
            <w:top w:w="0" w:type="dxa"/>
            <w:left w:w="0" w:type="dxa"/>
            <w:bottom w:w="0" w:type="dxa"/>
            <w:right w:w="0" w:type="dxa"/>
          </w:tblCellMar>
        </w:tblPrEx>
        <w:trPr>
          <w:trHeight w:val="522" w:hRule="atLeast"/>
        </w:trPr>
        <w:tc>
          <w:tcPr>
            <w:tcW w:w="8370" w:type="dxa"/>
            <w:gridSpan w:val="6"/>
            <w:tcBorders>
              <w:top w:val="nil"/>
              <w:left w:val="nil"/>
              <w:bottom w:val="nil"/>
              <w:right w:val="nil"/>
            </w:tcBorders>
            <w:noWrap/>
            <w:tcMar>
              <w:top w:w="15" w:type="dxa"/>
              <w:left w:w="15" w:type="dxa"/>
              <w:right w:w="15" w:type="dxa"/>
            </w:tcMar>
            <w:vAlign w:val="center"/>
          </w:tcPr>
          <w:p>
            <w:pPr>
              <w:widowControl/>
              <w:spacing w:line="576" w:lineRule="exact"/>
              <w:jc w:val="center"/>
              <w:textAlignment w:val="center"/>
              <w:rPr>
                <w:rFonts w:ascii="仿宋_GB2312" w:hAnsi="宋体"/>
                <w:color w:val="000000"/>
                <w:sz w:val="22"/>
                <w:szCs w:val="22"/>
              </w:rPr>
            </w:pPr>
            <w:r>
              <w:rPr>
                <w:rFonts w:hint="eastAsia" w:ascii="仿宋_GB2312" w:hAnsi="宋体" w:cs="仿宋_GB2312"/>
                <w:color w:val="000000"/>
                <w:kern w:val="0"/>
                <w:sz w:val="22"/>
                <w:szCs w:val="22"/>
              </w:rPr>
              <w:t>（</w:t>
            </w:r>
            <w:r>
              <w:rPr>
                <w:rFonts w:ascii="仿宋_GB2312" w:hAnsi="宋体" w:cs="仿宋_GB2312"/>
                <w:color w:val="000000"/>
                <w:kern w:val="0"/>
                <w:sz w:val="22"/>
                <w:szCs w:val="22"/>
              </w:rPr>
              <w:t xml:space="preserve">       </w:t>
            </w:r>
            <w:r>
              <w:rPr>
                <w:rFonts w:hint="eastAsia" w:ascii="仿宋_GB2312" w:hAnsi="宋体" w:cs="仿宋_GB2312"/>
                <w:color w:val="000000"/>
                <w:kern w:val="0"/>
                <w:sz w:val="22"/>
                <w:szCs w:val="22"/>
              </w:rPr>
              <w:t>年</w:t>
            </w:r>
            <w:r>
              <w:rPr>
                <w:rFonts w:ascii="仿宋_GB2312" w:hAnsi="宋体" w:cs="仿宋_GB2312"/>
                <w:color w:val="000000"/>
                <w:kern w:val="0"/>
                <w:sz w:val="22"/>
                <w:szCs w:val="22"/>
              </w:rPr>
              <w:t xml:space="preserve">     </w:t>
            </w:r>
            <w:r>
              <w:rPr>
                <w:rFonts w:hint="eastAsia" w:ascii="仿宋_GB2312" w:hAnsi="宋体" w:cs="仿宋_GB2312"/>
                <w:color w:val="000000"/>
                <w:kern w:val="0"/>
                <w:sz w:val="22"/>
                <w:szCs w:val="22"/>
              </w:rPr>
              <w:t>月）</w:t>
            </w:r>
          </w:p>
        </w:tc>
      </w:tr>
      <w:tr>
        <w:tblPrEx>
          <w:tblLayout w:type="fixed"/>
          <w:tblCellMar>
            <w:top w:w="0" w:type="dxa"/>
            <w:left w:w="0" w:type="dxa"/>
            <w:bottom w:w="0" w:type="dxa"/>
            <w:right w:w="0" w:type="dxa"/>
          </w:tblCellMar>
        </w:tblPrEx>
        <w:trPr>
          <w:trHeight w:val="522" w:hRule="atLeast"/>
        </w:trPr>
        <w:tc>
          <w:tcPr>
            <w:tcW w:w="8370" w:type="dxa"/>
            <w:gridSpan w:val="6"/>
            <w:tcBorders>
              <w:top w:val="nil"/>
              <w:left w:val="nil"/>
              <w:bottom w:val="single" w:color="000000" w:sz="4" w:space="0"/>
              <w:right w:val="nil"/>
            </w:tcBorders>
            <w:noWrap/>
            <w:tcMar>
              <w:top w:w="15" w:type="dxa"/>
              <w:left w:w="15" w:type="dxa"/>
              <w:right w:w="15" w:type="dxa"/>
            </w:tcMar>
            <w:vAlign w:val="center"/>
          </w:tcPr>
          <w:p>
            <w:pPr>
              <w:widowControl/>
              <w:spacing w:line="576" w:lineRule="exact"/>
              <w:jc w:val="center"/>
              <w:textAlignment w:val="center"/>
              <w:rPr>
                <w:rFonts w:ascii="仿宋_GB2312" w:hAnsi="宋体"/>
                <w:color w:val="000000"/>
                <w:sz w:val="22"/>
                <w:szCs w:val="22"/>
              </w:rPr>
            </w:pPr>
            <w:r>
              <w:rPr>
                <w:rFonts w:hint="eastAsia" w:ascii="仿宋_GB2312" w:hAnsi="宋体" w:cs="仿宋_GB2312"/>
                <w:color w:val="000000"/>
                <w:kern w:val="0"/>
                <w:sz w:val="22"/>
                <w:szCs w:val="22"/>
              </w:rPr>
              <w:t>制表日期：</w:t>
            </w:r>
            <w:r>
              <w:rPr>
                <w:rFonts w:ascii="仿宋_GB2312" w:hAnsi="宋体" w:cs="仿宋_GB2312"/>
                <w:color w:val="000000"/>
                <w:kern w:val="0"/>
                <w:sz w:val="22"/>
                <w:szCs w:val="22"/>
              </w:rPr>
              <w:t xml:space="preserve">                                              </w:t>
            </w:r>
            <w:r>
              <w:rPr>
                <w:rFonts w:hint="eastAsia" w:ascii="仿宋_GB2312" w:hAnsi="宋体" w:cs="仿宋_GB2312"/>
                <w:color w:val="000000"/>
                <w:kern w:val="0"/>
                <w:sz w:val="22"/>
                <w:szCs w:val="22"/>
              </w:rPr>
              <w:t>单位：万元</w:t>
            </w:r>
          </w:p>
        </w:tc>
      </w:tr>
      <w:tr>
        <w:tblPrEx>
          <w:tblLayout w:type="fixed"/>
          <w:tblCellMar>
            <w:top w:w="0" w:type="dxa"/>
            <w:left w:w="0" w:type="dxa"/>
            <w:bottom w:w="0" w:type="dxa"/>
            <w:right w:w="0" w:type="dxa"/>
          </w:tblCellMar>
        </w:tblPrEx>
        <w:trPr>
          <w:trHeight w:val="522" w:hRule="atLeast"/>
        </w:trPr>
        <w:tc>
          <w:tcPr>
            <w:tcW w:w="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0"/>
                <w:szCs w:val="20"/>
              </w:rPr>
            </w:pPr>
            <w:r>
              <w:rPr>
                <w:rFonts w:hint="eastAsia" w:ascii="仿宋_GB2312" w:hAnsi="宋体" w:cs="仿宋_GB2312"/>
                <w:color w:val="000000"/>
                <w:sz w:val="20"/>
                <w:szCs w:val="20"/>
              </w:rPr>
              <w:t>序号</w:t>
            </w:r>
          </w:p>
        </w:tc>
        <w:tc>
          <w:tcPr>
            <w:tcW w:w="20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存款银行</w:t>
            </w:r>
          </w:p>
        </w:tc>
        <w:tc>
          <w:tcPr>
            <w:tcW w:w="1395"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期初国库定期存款余额</w:t>
            </w:r>
          </w:p>
        </w:tc>
        <w:tc>
          <w:tcPr>
            <w:tcW w:w="27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本期国库定期存款发生额</w:t>
            </w:r>
          </w:p>
        </w:tc>
        <w:tc>
          <w:tcPr>
            <w:tcW w:w="13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期末国库定期存款余额</w:t>
            </w:r>
          </w:p>
        </w:tc>
      </w:tr>
      <w:tr>
        <w:tblPrEx>
          <w:tblLayout w:type="fixed"/>
          <w:tblCellMar>
            <w:top w:w="0" w:type="dxa"/>
            <w:left w:w="0" w:type="dxa"/>
            <w:bottom w:w="0" w:type="dxa"/>
            <w:right w:w="0" w:type="dxa"/>
          </w:tblCellMar>
        </w:tblPrEx>
        <w:trPr>
          <w:trHeight w:val="522" w:hRule="atLeast"/>
        </w:trPr>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0"/>
                <w:szCs w:val="20"/>
              </w:rPr>
            </w:pPr>
          </w:p>
        </w:tc>
        <w:tc>
          <w:tcPr>
            <w:tcW w:w="20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存入定期存款</w:t>
            </w:r>
          </w:p>
        </w:tc>
        <w:tc>
          <w:tcPr>
            <w:tcW w:w="1395"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收回定期存款</w:t>
            </w:r>
          </w:p>
        </w:tc>
        <w:tc>
          <w:tcPr>
            <w:tcW w:w="13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r>
      <w:tr>
        <w:tblPrEx>
          <w:tblLayout w:type="fixed"/>
          <w:tblCellMar>
            <w:top w:w="0" w:type="dxa"/>
            <w:left w:w="0" w:type="dxa"/>
            <w:bottom w:w="0" w:type="dxa"/>
            <w:right w:w="0" w:type="dxa"/>
          </w:tblCellMar>
        </w:tblPrEx>
        <w:trPr>
          <w:trHeight w:val="522"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spacing w:line="576" w:lineRule="exact"/>
              <w:rPr>
                <w:rFonts w:ascii="仿宋_GB2312" w:hAnsi="宋体"/>
                <w:b/>
                <w:bCs/>
                <w:color w:val="000000"/>
                <w:sz w:val="21"/>
                <w:szCs w:val="21"/>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一、国有商业银行</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r>
      <w:tr>
        <w:tblPrEx>
          <w:tblLayout w:type="fixed"/>
          <w:tblCellMar>
            <w:top w:w="0" w:type="dxa"/>
            <w:left w:w="0" w:type="dxa"/>
            <w:bottom w:w="0" w:type="dxa"/>
            <w:right w:w="0" w:type="dxa"/>
          </w:tblCellMar>
        </w:tblPrEx>
        <w:trPr>
          <w:trHeight w:val="522"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ascii="仿宋_GB2312" w:hAnsi="宋体" w:cs="仿宋_GB2312"/>
                <w:color w:val="000000"/>
                <w:kern w:val="0"/>
                <w:sz w:val="21"/>
                <w:szCs w:val="21"/>
              </w:rPr>
              <w:t>1</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商业银行</w:t>
            </w:r>
            <w:r>
              <w:rPr>
                <w:rFonts w:ascii="仿宋_GB2312" w:hAnsi="宋体" w:cs="仿宋_GB2312"/>
                <w:color w:val="000000"/>
                <w:kern w:val="0"/>
                <w:sz w:val="21"/>
                <w:szCs w:val="21"/>
              </w:rPr>
              <w:t>1</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r>
      <w:tr>
        <w:tblPrEx>
          <w:tblLayout w:type="fixed"/>
          <w:tblCellMar>
            <w:top w:w="0" w:type="dxa"/>
            <w:left w:w="0" w:type="dxa"/>
            <w:bottom w:w="0" w:type="dxa"/>
            <w:right w:w="0" w:type="dxa"/>
          </w:tblCellMar>
        </w:tblPrEx>
        <w:trPr>
          <w:trHeight w:val="522"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ascii="仿宋_GB2312" w:hAnsi="宋体" w:cs="仿宋_GB2312"/>
                <w:color w:val="000000"/>
                <w:kern w:val="0"/>
                <w:sz w:val="21"/>
                <w:szCs w:val="21"/>
              </w:rPr>
              <w:t>2</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商业银行</w:t>
            </w:r>
            <w:r>
              <w:rPr>
                <w:rFonts w:ascii="仿宋_GB2312" w:hAnsi="宋体" w:cs="仿宋_GB2312"/>
                <w:color w:val="000000"/>
                <w:kern w:val="0"/>
                <w:sz w:val="21"/>
                <w:szCs w:val="21"/>
              </w:rPr>
              <w:t>2</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r>
      <w:tr>
        <w:tblPrEx>
          <w:tblLayout w:type="fixed"/>
          <w:tblCellMar>
            <w:top w:w="0" w:type="dxa"/>
            <w:left w:w="0" w:type="dxa"/>
            <w:bottom w:w="0" w:type="dxa"/>
            <w:right w:w="0" w:type="dxa"/>
          </w:tblCellMar>
        </w:tblPrEx>
        <w:trPr>
          <w:trHeight w:val="522"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ascii="仿宋_GB2312" w:hAnsi="宋体" w:cs="仿宋_GB2312"/>
                <w:color w:val="000000"/>
                <w:kern w:val="0"/>
                <w:sz w:val="21"/>
                <w:szCs w:val="21"/>
              </w:rPr>
              <w:t>3</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r>
      <w:tr>
        <w:tblPrEx>
          <w:tblLayout w:type="fixed"/>
          <w:tblCellMar>
            <w:top w:w="0" w:type="dxa"/>
            <w:left w:w="0" w:type="dxa"/>
            <w:bottom w:w="0" w:type="dxa"/>
            <w:right w:w="0" w:type="dxa"/>
          </w:tblCellMar>
        </w:tblPrEx>
        <w:trPr>
          <w:trHeight w:val="522"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二、股份制商业银行</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r>
      <w:tr>
        <w:tblPrEx>
          <w:tblLayout w:type="fixed"/>
          <w:tblCellMar>
            <w:top w:w="0" w:type="dxa"/>
            <w:left w:w="0" w:type="dxa"/>
            <w:bottom w:w="0" w:type="dxa"/>
            <w:right w:w="0" w:type="dxa"/>
          </w:tblCellMar>
        </w:tblPrEx>
        <w:trPr>
          <w:trHeight w:val="522"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ascii="仿宋_GB2312" w:hAnsi="宋体" w:cs="仿宋_GB2312"/>
                <w:color w:val="000000"/>
                <w:kern w:val="0"/>
                <w:sz w:val="21"/>
                <w:szCs w:val="21"/>
              </w:rPr>
              <w:t>4</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r>
      <w:tr>
        <w:tblPrEx>
          <w:tblLayout w:type="fixed"/>
          <w:tblCellMar>
            <w:top w:w="0" w:type="dxa"/>
            <w:left w:w="0" w:type="dxa"/>
            <w:bottom w:w="0" w:type="dxa"/>
            <w:right w:w="0" w:type="dxa"/>
          </w:tblCellMar>
        </w:tblPrEx>
        <w:trPr>
          <w:trHeight w:val="522"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三、城市商业银行</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r>
      <w:tr>
        <w:tblPrEx>
          <w:tblLayout w:type="fixed"/>
          <w:tblCellMar>
            <w:top w:w="0" w:type="dxa"/>
            <w:left w:w="0" w:type="dxa"/>
            <w:bottom w:w="0" w:type="dxa"/>
            <w:right w:w="0" w:type="dxa"/>
          </w:tblCellMar>
        </w:tblPrEx>
        <w:trPr>
          <w:trHeight w:val="522"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ascii="仿宋_GB2312" w:hAnsi="宋体" w:cs="仿宋_GB2312"/>
                <w:color w:val="000000"/>
                <w:kern w:val="0"/>
                <w:sz w:val="21"/>
                <w:szCs w:val="21"/>
              </w:rPr>
              <w:t>5</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r>
      <w:tr>
        <w:tblPrEx>
          <w:tblLayout w:type="fixed"/>
          <w:tblCellMar>
            <w:top w:w="0" w:type="dxa"/>
            <w:left w:w="0" w:type="dxa"/>
            <w:bottom w:w="0" w:type="dxa"/>
            <w:right w:w="0" w:type="dxa"/>
          </w:tblCellMar>
        </w:tblPrEx>
        <w:trPr>
          <w:trHeight w:val="522"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四、农村商业银行</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r>
      <w:tr>
        <w:tblPrEx>
          <w:tblLayout w:type="fixed"/>
          <w:tblCellMar>
            <w:top w:w="0" w:type="dxa"/>
            <w:left w:w="0" w:type="dxa"/>
            <w:bottom w:w="0" w:type="dxa"/>
            <w:right w:w="0" w:type="dxa"/>
          </w:tblCellMar>
        </w:tblPrEx>
        <w:trPr>
          <w:trHeight w:val="522"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ascii="仿宋_GB2312" w:hAnsi="宋体" w:cs="仿宋_GB2312"/>
                <w:color w:val="000000"/>
                <w:kern w:val="0"/>
                <w:sz w:val="21"/>
                <w:szCs w:val="21"/>
              </w:rPr>
              <w:t>6</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r>
      <w:tr>
        <w:tblPrEx>
          <w:tblLayout w:type="fixed"/>
          <w:tblCellMar>
            <w:top w:w="0" w:type="dxa"/>
            <w:left w:w="0" w:type="dxa"/>
            <w:bottom w:w="0" w:type="dxa"/>
            <w:right w:w="0" w:type="dxa"/>
          </w:tblCellMar>
        </w:tblPrEx>
        <w:trPr>
          <w:trHeight w:val="522"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五、中国邮政储蓄银行</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r>
      <w:tr>
        <w:tblPrEx>
          <w:tblLayout w:type="fixed"/>
          <w:tblCellMar>
            <w:top w:w="0" w:type="dxa"/>
            <w:left w:w="0" w:type="dxa"/>
            <w:bottom w:w="0" w:type="dxa"/>
            <w:right w:w="0" w:type="dxa"/>
          </w:tblCellMar>
        </w:tblPrEx>
        <w:trPr>
          <w:trHeight w:val="522"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b/>
                <w:bCs/>
                <w:color w:val="000000"/>
                <w:sz w:val="21"/>
                <w:szCs w:val="21"/>
              </w:rPr>
            </w:pPr>
            <w:r>
              <w:rPr>
                <w:rFonts w:hint="eastAsia" w:ascii="仿宋_GB2312" w:hAnsi="宋体" w:cs="仿宋_GB2312"/>
                <w:b/>
                <w:bCs/>
                <w:color w:val="000000"/>
                <w:kern w:val="0"/>
                <w:sz w:val="21"/>
                <w:szCs w:val="21"/>
              </w:rPr>
              <w:t>合</w:t>
            </w:r>
            <w:r>
              <w:rPr>
                <w:rFonts w:ascii="仿宋_GB2312" w:hAnsi="宋体" w:cs="仿宋_GB2312"/>
                <w:b/>
                <w:bCs/>
                <w:color w:val="000000"/>
                <w:kern w:val="0"/>
                <w:sz w:val="21"/>
                <w:szCs w:val="21"/>
              </w:rPr>
              <w:t xml:space="preserve">  </w:t>
            </w:r>
            <w:r>
              <w:rPr>
                <w:rFonts w:hint="eastAsia" w:ascii="仿宋_GB2312" w:hAnsi="宋体" w:cs="仿宋_GB2312"/>
                <w:b/>
                <w:bCs/>
                <w:color w:val="000000"/>
                <w:kern w:val="0"/>
                <w:sz w:val="21"/>
                <w:szCs w:val="21"/>
              </w:rPr>
              <w:t>计</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6" w:lineRule="exact"/>
              <w:rPr>
                <w:rFonts w:ascii="仿宋_GB2312" w:hAnsi="宋体"/>
                <w:color w:val="000000"/>
                <w:sz w:val="21"/>
                <w:szCs w:val="21"/>
              </w:rPr>
            </w:pPr>
          </w:p>
        </w:tc>
      </w:tr>
      <w:tr>
        <w:tblPrEx>
          <w:tblLayout w:type="fixed"/>
          <w:tblCellMar>
            <w:top w:w="0" w:type="dxa"/>
            <w:left w:w="0" w:type="dxa"/>
            <w:bottom w:w="0" w:type="dxa"/>
            <w:right w:w="0" w:type="dxa"/>
          </w:tblCellMar>
        </w:tblPrEx>
        <w:trPr>
          <w:trHeight w:val="522" w:hRule="atLeast"/>
        </w:trPr>
        <w:tc>
          <w:tcPr>
            <w:tcW w:w="750" w:type="dxa"/>
            <w:tcBorders>
              <w:top w:val="nil"/>
              <w:left w:val="nil"/>
              <w:bottom w:val="nil"/>
              <w:right w:val="nil"/>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公章：</w:t>
            </w:r>
          </w:p>
        </w:tc>
        <w:tc>
          <w:tcPr>
            <w:tcW w:w="2040" w:type="dxa"/>
            <w:tcBorders>
              <w:top w:val="single" w:color="000000" w:sz="4" w:space="0"/>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0"/>
                <w:szCs w:val="20"/>
              </w:rPr>
            </w:pPr>
          </w:p>
        </w:tc>
        <w:tc>
          <w:tcPr>
            <w:tcW w:w="1395" w:type="dxa"/>
            <w:tcBorders>
              <w:top w:val="nil"/>
              <w:left w:val="nil"/>
              <w:bottom w:val="nil"/>
              <w:right w:val="nil"/>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ascii="仿宋_GB2312" w:hAnsi="宋体" w:cs="仿宋_GB2312"/>
                <w:color w:val="000000"/>
                <w:kern w:val="0"/>
                <w:sz w:val="21"/>
                <w:szCs w:val="21"/>
              </w:rPr>
              <w:t xml:space="preserve">        </w:t>
            </w:r>
            <w:r>
              <w:rPr>
                <w:rFonts w:hint="eastAsia" w:ascii="仿宋_GB2312" w:hAnsi="宋体" w:cs="仿宋_GB2312"/>
                <w:color w:val="000000"/>
                <w:kern w:val="0"/>
                <w:sz w:val="21"/>
                <w:szCs w:val="21"/>
              </w:rPr>
              <w:t>复核：</w:t>
            </w:r>
          </w:p>
        </w:tc>
        <w:tc>
          <w:tcPr>
            <w:tcW w:w="1395" w:type="dxa"/>
            <w:tcBorders>
              <w:top w:val="single" w:color="000000" w:sz="4" w:space="0"/>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0"/>
                <w:szCs w:val="20"/>
              </w:rPr>
            </w:pPr>
          </w:p>
        </w:tc>
        <w:tc>
          <w:tcPr>
            <w:tcW w:w="1395" w:type="dxa"/>
            <w:tcBorders>
              <w:top w:val="nil"/>
              <w:left w:val="nil"/>
              <w:bottom w:val="nil"/>
              <w:right w:val="nil"/>
            </w:tcBorders>
            <w:noWrap/>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ascii="仿宋_GB2312" w:hAnsi="宋体" w:cs="仿宋_GB2312"/>
                <w:color w:val="000000"/>
                <w:kern w:val="0"/>
                <w:sz w:val="21"/>
                <w:szCs w:val="21"/>
              </w:rPr>
              <w:t xml:space="preserve">        </w:t>
            </w:r>
            <w:r>
              <w:rPr>
                <w:rFonts w:hint="eastAsia" w:ascii="仿宋_GB2312" w:hAnsi="宋体" w:cs="仿宋_GB2312"/>
                <w:color w:val="000000"/>
                <w:kern w:val="0"/>
                <w:sz w:val="21"/>
                <w:szCs w:val="21"/>
              </w:rPr>
              <w:t>制表：</w:t>
            </w:r>
          </w:p>
        </w:tc>
        <w:tc>
          <w:tcPr>
            <w:tcW w:w="1395"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r>
    </w:tbl>
    <w:p>
      <w:pPr>
        <w:spacing w:line="576" w:lineRule="exact"/>
      </w:pPr>
    </w:p>
    <w:p>
      <w:pPr>
        <w:spacing w:line="576" w:lineRule="exact"/>
        <w:rPr>
          <w:rFonts w:ascii="黑体" w:hAnsi="黑体" w:eastAsia="黑体" w:cs="黑体"/>
        </w:rPr>
      </w:pPr>
      <w:r>
        <w:br w:type="page"/>
      </w:r>
      <w:r>
        <w:rPr>
          <w:rFonts w:hint="eastAsia" w:ascii="黑体" w:hAnsi="黑体" w:eastAsia="黑体" w:cs="黑体"/>
        </w:rPr>
        <w:t>附件</w:t>
      </w:r>
      <w:r>
        <w:rPr>
          <w:rFonts w:ascii="黑体" w:hAnsi="黑体" w:eastAsia="黑体" w:cs="黑体"/>
        </w:rPr>
        <w:t>5</w:t>
      </w:r>
    </w:p>
    <w:p>
      <w:pPr>
        <w:spacing w:line="576" w:lineRule="exact"/>
      </w:pPr>
    </w:p>
    <w:tbl>
      <w:tblPr>
        <w:tblStyle w:val="5"/>
        <w:tblW w:w="8685" w:type="dxa"/>
        <w:tblInd w:w="15" w:type="dxa"/>
        <w:tblLayout w:type="fixed"/>
        <w:tblCellMar>
          <w:top w:w="0" w:type="dxa"/>
          <w:left w:w="0" w:type="dxa"/>
          <w:bottom w:w="0" w:type="dxa"/>
          <w:right w:w="0" w:type="dxa"/>
        </w:tblCellMar>
      </w:tblPr>
      <w:tblGrid>
        <w:gridCol w:w="1765"/>
        <w:gridCol w:w="1316"/>
        <w:gridCol w:w="997"/>
        <w:gridCol w:w="1141"/>
        <w:gridCol w:w="930"/>
        <w:gridCol w:w="1155"/>
        <w:gridCol w:w="1381"/>
      </w:tblGrid>
      <w:tr>
        <w:tblPrEx>
          <w:tblLayout w:type="fixed"/>
          <w:tblCellMar>
            <w:top w:w="0" w:type="dxa"/>
            <w:left w:w="0" w:type="dxa"/>
            <w:bottom w:w="0" w:type="dxa"/>
            <w:right w:w="0" w:type="dxa"/>
          </w:tblCellMar>
        </w:tblPrEx>
        <w:trPr>
          <w:trHeight w:val="420" w:hRule="atLeast"/>
        </w:trPr>
        <w:tc>
          <w:tcPr>
            <w:tcW w:w="8685" w:type="dxa"/>
            <w:gridSpan w:val="7"/>
            <w:tcBorders>
              <w:top w:val="nil"/>
              <w:left w:val="nil"/>
              <w:bottom w:val="nil"/>
              <w:right w:val="nil"/>
            </w:tcBorders>
            <w:noWrap/>
            <w:tcMar>
              <w:top w:w="15" w:type="dxa"/>
              <w:left w:w="15" w:type="dxa"/>
              <w:right w:w="15" w:type="dxa"/>
            </w:tcMar>
            <w:vAlign w:val="center"/>
          </w:tcPr>
          <w:p>
            <w:pPr>
              <w:widowControl/>
              <w:spacing w:line="576" w:lineRule="exact"/>
              <w:jc w:val="center"/>
              <w:textAlignment w:val="center"/>
              <w:rPr>
                <w:rFonts w:ascii="宋体" w:hAnsi="宋体" w:eastAsia="宋体"/>
                <w:b/>
                <w:bCs/>
                <w:color w:val="000000"/>
                <w:sz w:val="28"/>
                <w:szCs w:val="28"/>
              </w:rPr>
            </w:pPr>
            <w:r>
              <w:rPr>
                <w:rFonts w:hint="eastAsia" w:ascii="宋体" w:hAnsi="宋体" w:eastAsia="宋体" w:cs="宋体"/>
                <w:b/>
                <w:bCs/>
                <w:color w:val="000000"/>
                <w:kern w:val="0"/>
                <w:sz w:val="28"/>
                <w:szCs w:val="28"/>
              </w:rPr>
              <w:t>四川省省级国库现金管理分存款银行汇总表</w:t>
            </w:r>
          </w:p>
        </w:tc>
      </w:tr>
      <w:tr>
        <w:tblPrEx>
          <w:tblLayout w:type="fixed"/>
          <w:tblCellMar>
            <w:top w:w="0" w:type="dxa"/>
            <w:left w:w="0" w:type="dxa"/>
            <w:bottom w:w="0" w:type="dxa"/>
            <w:right w:w="0" w:type="dxa"/>
          </w:tblCellMar>
        </w:tblPrEx>
        <w:trPr>
          <w:trHeight w:val="420" w:hRule="atLeast"/>
        </w:trPr>
        <w:tc>
          <w:tcPr>
            <w:tcW w:w="1765" w:type="dxa"/>
            <w:tcBorders>
              <w:top w:val="nil"/>
              <w:left w:val="nil"/>
              <w:bottom w:val="nil"/>
              <w:right w:val="nil"/>
            </w:tcBorders>
            <w:noWrap/>
            <w:tcMar>
              <w:top w:w="15" w:type="dxa"/>
              <w:left w:w="15" w:type="dxa"/>
              <w:right w:w="15" w:type="dxa"/>
            </w:tcMar>
            <w:vAlign w:val="center"/>
          </w:tcPr>
          <w:p>
            <w:pPr>
              <w:spacing w:line="576" w:lineRule="exact"/>
              <w:jc w:val="center"/>
              <w:rPr>
                <w:rFonts w:ascii="宋体" w:hAnsi="宋体" w:eastAsia="宋体"/>
                <w:color w:val="000000"/>
                <w:sz w:val="24"/>
                <w:szCs w:val="24"/>
              </w:rPr>
            </w:pPr>
          </w:p>
        </w:tc>
        <w:tc>
          <w:tcPr>
            <w:tcW w:w="1316" w:type="dxa"/>
            <w:tcBorders>
              <w:top w:val="nil"/>
              <w:left w:val="nil"/>
              <w:bottom w:val="nil"/>
              <w:right w:val="nil"/>
            </w:tcBorders>
            <w:noWrap/>
            <w:tcMar>
              <w:top w:w="15" w:type="dxa"/>
              <w:left w:w="15" w:type="dxa"/>
              <w:right w:w="15" w:type="dxa"/>
            </w:tcMar>
            <w:vAlign w:val="center"/>
          </w:tcPr>
          <w:p>
            <w:pPr>
              <w:spacing w:line="576" w:lineRule="exact"/>
              <w:jc w:val="center"/>
              <w:rPr>
                <w:rFonts w:ascii="宋体" w:hAnsi="宋体" w:eastAsia="宋体"/>
                <w:color w:val="000000"/>
                <w:sz w:val="24"/>
                <w:szCs w:val="24"/>
              </w:rPr>
            </w:pPr>
          </w:p>
        </w:tc>
        <w:tc>
          <w:tcPr>
            <w:tcW w:w="997" w:type="dxa"/>
            <w:tcBorders>
              <w:top w:val="nil"/>
              <w:left w:val="nil"/>
              <w:bottom w:val="nil"/>
              <w:right w:val="nil"/>
            </w:tcBorders>
            <w:noWrap/>
            <w:tcMar>
              <w:top w:w="15" w:type="dxa"/>
              <w:left w:w="15" w:type="dxa"/>
              <w:right w:w="15" w:type="dxa"/>
            </w:tcMar>
            <w:vAlign w:val="center"/>
          </w:tcPr>
          <w:p>
            <w:pPr>
              <w:spacing w:line="576" w:lineRule="exact"/>
              <w:jc w:val="center"/>
              <w:rPr>
                <w:rFonts w:ascii="宋体" w:hAnsi="宋体" w:eastAsia="宋体"/>
                <w:color w:val="000000"/>
                <w:sz w:val="24"/>
                <w:szCs w:val="24"/>
              </w:rPr>
            </w:pPr>
          </w:p>
        </w:tc>
        <w:tc>
          <w:tcPr>
            <w:tcW w:w="1141" w:type="dxa"/>
            <w:tcBorders>
              <w:top w:val="nil"/>
              <w:left w:val="nil"/>
              <w:bottom w:val="nil"/>
              <w:right w:val="nil"/>
            </w:tcBorders>
            <w:noWrap/>
            <w:tcMar>
              <w:top w:w="15" w:type="dxa"/>
              <w:left w:w="15" w:type="dxa"/>
              <w:right w:w="15" w:type="dxa"/>
            </w:tcMar>
            <w:vAlign w:val="center"/>
          </w:tcPr>
          <w:p>
            <w:pPr>
              <w:spacing w:line="576" w:lineRule="exact"/>
              <w:jc w:val="center"/>
              <w:rPr>
                <w:rFonts w:ascii="宋体" w:hAnsi="宋体" w:eastAsia="宋体"/>
                <w:color w:val="000000"/>
                <w:sz w:val="24"/>
                <w:szCs w:val="24"/>
              </w:rPr>
            </w:pPr>
          </w:p>
        </w:tc>
        <w:tc>
          <w:tcPr>
            <w:tcW w:w="930" w:type="dxa"/>
            <w:tcBorders>
              <w:top w:val="nil"/>
              <w:left w:val="nil"/>
              <w:bottom w:val="nil"/>
              <w:right w:val="nil"/>
            </w:tcBorders>
            <w:noWrap/>
            <w:tcMar>
              <w:top w:w="15" w:type="dxa"/>
              <w:left w:w="15" w:type="dxa"/>
              <w:right w:w="15" w:type="dxa"/>
            </w:tcMar>
            <w:vAlign w:val="center"/>
          </w:tcPr>
          <w:p>
            <w:pPr>
              <w:spacing w:line="576" w:lineRule="exact"/>
              <w:jc w:val="center"/>
              <w:rPr>
                <w:rFonts w:ascii="宋体" w:hAnsi="宋体" w:eastAsia="宋体"/>
                <w:color w:val="000000"/>
                <w:sz w:val="24"/>
                <w:szCs w:val="24"/>
              </w:rPr>
            </w:pPr>
          </w:p>
        </w:tc>
        <w:tc>
          <w:tcPr>
            <w:tcW w:w="1155" w:type="dxa"/>
            <w:tcBorders>
              <w:top w:val="nil"/>
              <w:left w:val="nil"/>
              <w:bottom w:val="nil"/>
              <w:right w:val="nil"/>
            </w:tcBorders>
            <w:noWrap/>
            <w:tcMar>
              <w:top w:w="15" w:type="dxa"/>
              <w:left w:w="15" w:type="dxa"/>
              <w:right w:w="15" w:type="dxa"/>
            </w:tcMar>
            <w:vAlign w:val="center"/>
          </w:tcPr>
          <w:p>
            <w:pPr>
              <w:spacing w:line="576" w:lineRule="exact"/>
              <w:jc w:val="center"/>
              <w:rPr>
                <w:rFonts w:ascii="宋体" w:hAnsi="宋体" w:eastAsia="宋体"/>
                <w:color w:val="000000"/>
                <w:sz w:val="24"/>
                <w:szCs w:val="24"/>
              </w:rPr>
            </w:pPr>
          </w:p>
        </w:tc>
        <w:tc>
          <w:tcPr>
            <w:tcW w:w="1381" w:type="dxa"/>
            <w:tcBorders>
              <w:top w:val="nil"/>
              <w:left w:val="nil"/>
              <w:bottom w:val="nil"/>
              <w:right w:val="nil"/>
            </w:tcBorders>
            <w:noWrap/>
            <w:tcMar>
              <w:top w:w="15" w:type="dxa"/>
              <w:left w:w="15" w:type="dxa"/>
              <w:right w:w="15" w:type="dxa"/>
            </w:tcMar>
            <w:vAlign w:val="center"/>
          </w:tcPr>
          <w:p>
            <w:pPr>
              <w:spacing w:line="576" w:lineRule="exact"/>
              <w:jc w:val="center"/>
              <w:rPr>
                <w:rFonts w:ascii="宋体" w:hAnsi="宋体" w:eastAsia="宋体"/>
                <w:color w:val="000000"/>
                <w:sz w:val="24"/>
                <w:szCs w:val="24"/>
              </w:rPr>
            </w:pPr>
          </w:p>
        </w:tc>
      </w:tr>
      <w:tr>
        <w:tblPrEx>
          <w:tblLayout w:type="fixed"/>
          <w:tblCellMar>
            <w:top w:w="0" w:type="dxa"/>
            <w:left w:w="0" w:type="dxa"/>
            <w:bottom w:w="0" w:type="dxa"/>
            <w:right w:w="0" w:type="dxa"/>
          </w:tblCellMar>
        </w:tblPrEx>
        <w:trPr>
          <w:trHeight w:val="420" w:hRule="atLeast"/>
        </w:trPr>
        <w:tc>
          <w:tcPr>
            <w:tcW w:w="1765" w:type="dxa"/>
            <w:tcBorders>
              <w:top w:val="nil"/>
              <w:left w:val="nil"/>
              <w:bottom w:val="nil"/>
              <w:right w:val="nil"/>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316" w:type="dxa"/>
            <w:tcBorders>
              <w:top w:val="nil"/>
              <w:left w:val="nil"/>
              <w:bottom w:val="nil"/>
              <w:right w:val="nil"/>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3068" w:type="dxa"/>
            <w:gridSpan w:val="3"/>
            <w:tcBorders>
              <w:top w:val="nil"/>
              <w:left w:val="nil"/>
              <w:bottom w:val="single" w:color="000000" w:sz="4" w:space="0"/>
              <w:right w:val="nil"/>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日期：</w:t>
            </w: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年</w:t>
            </w: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月</w:t>
            </w: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日</w:t>
            </w:r>
          </w:p>
        </w:tc>
        <w:tc>
          <w:tcPr>
            <w:tcW w:w="1155" w:type="dxa"/>
            <w:tcBorders>
              <w:top w:val="nil"/>
              <w:left w:val="nil"/>
              <w:bottom w:val="nil"/>
              <w:right w:val="nil"/>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381" w:type="dxa"/>
            <w:tcBorders>
              <w:top w:val="nil"/>
              <w:left w:val="nil"/>
              <w:bottom w:val="nil"/>
              <w:right w:val="nil"/>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单位：万元</w:t>
            </w:r>
          </w:p>
        </w:tc>
      </w:tr>
      <w:tr>
        <w:tblPrEx>
          <w:tblLayout w:type="fixed"/>
          <w:tblCellMar>
            <w:top w:w="0" w:type="dxa"/>
            <w:left w:w="0" w:type="dxa"/>
            <w:bottom w:w="0" w:type="dxa"/>
            <w:right w:w="0" w:type="dxa"/>
          </w:tblCellMar>
        </w:tblPrEx>
        <w:trPr>
          <w:trHeight w:val="420" w:hRule="atLeast"/>
        </w:trPr>
        <w:tc>
          <w:tcPr>
            <w:tcW w:w="1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银行</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存款金额</w:t>
            </w:r>
          </w:p>
        </w:tc>
        <w:tc>
          <w:tcPr>
            <w:tcW w:w="9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起息日</w:t>
            </w:r>
          </w:p>
        </w:tc>
        <w:tc>
          <w:tcPr>
            <w:tcW w:w="1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到期日</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期限</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年利率</w:t>
            </w: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到期利息</w:t>
            </w:r>
          </w:p>
        </w:tc>
      </w:tr>
      <w:tr>
        <w:tblPrEx>
          <w:tblLayout w:type="fixed"/>
          <w:tblCellMar>
            <w:top w:w="0" w:type="dxa"/>
            <w:left w:w="0" w:type="dxa"/>
            <w:bottom w:w="0" w:type="dxa"/>
            <w:right w:w="0" w:type="dxa"/>
          </w:tblCellMar>
        </w:tblPrEx>
        <w:trPr>
          <w:trHeight w:val="420" w:hRule="atLeast"/>
        </w:trPr>
        <w:tc>
          <w:tcPr>
            <w:tcW w:w="1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商业银行</w:t>
            </w:r>
            <w:r>
              <w:rPr>
                <w:rFonts w:ascii="仿宋_GB2312" w:hAnsi="宋体" w:cs="仿宋_GB2312"/>
                <w:color w:val="000000"/>
                <w:kern w:val="0"/>
                <w:sz w:val="24"/>
                <w:szCs w:val="24"/>
              </w:rPr>
              <w:t>1</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9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r>
      <w:tr>
        <w:tblPrEx>
          <w:tblLayout w:type="fixed"/>
          <w:tblCellMar>
            <w:top w:w="0" w:type="dxa"/>
            <w:left w:w="0" w:type="dxa"/>
            <w:bottom w:w="0" w:type="dxa"/>
            <w:right w:w="0" w:type="dxa"/>
          </w:tblCellMar>
        </w:tblPrEx>
        <w:trPr>
          <w:trHeight w:val="420" w:hRule="atLeast"/>
        </w:trPr>
        <w:tc>
          <w:tcPr>
            <w:tcW w:w="1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小计</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9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r>
      <w:tr>
        <w:tblPrEx>
          <w:tblLayout w:type="fixed"/>
          <w:tblCellMar>
            <w:top w:w="0" w:type="dxa"/>
            <w:left w:w="0" w:type="dxa"/>
            <w:bottom w:w="0" w:type="dxa"/>
            <w:right w:w="0" w:type="dxa"/>
          </w:tblCellMar>
        </w:tblPrEx>
        <w:trPr>
          <w:trHeight w:val="420" w:hRule="atLeast"/>
        </w:trPr>
        <w:tc>
          <w:tcPr>
            <w:tcW w:w="1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商业银行</w:t>
            </w:r>
            <w:r>
              <w:rPr>
                <w:rFonts w:ascii="仿宋_GB2312" w:hAnsi="宋体" w:cs="仿宋_GB2312"/>
                <w:color w:val="000000"/>
                <w:kern w:val="0"/>
                <w:sz w:val="24"/>
                <w:szCs w:val="24"/>
              </w:rPr>
              <w:t>2</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9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r>
      <w:tr>
        <w:tblPrEx>
          <w:tblLayout w:type="fixed"/>
          <w:tblCellMar>
            <w:top w:w="0" w:type="dxa"/>
            <w:left w:w="0" w:type="dxa"/>
            <w:bottom w:w="0" w:type="dxa"/>
            <w:right w:w="0" w:type="dxa"/>
          </w:tblCellMar>
        </w:tblPrEx>
        <w:trPr>
          <w:trHeight w:val="420" w:hRule="atLeast"/>
        </w:trPr>
        <w:tc>
          <w:tcPr>
            <w:tcW w:w="1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小计</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9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r>
      <w:tr>
        <w:tblPrEx>
          <w:tblLayout w:type="fixed"/>
          <w:tblCellMar>
            <w:top w:w="0" w:type="dxa"/>
            <w:left w:w="0" w:type="dxa"/>
            <w:bottom w:w="0" w:type="dxa"/>
            <w:right w:w="0" w:type="dxa"/>
          </w:tblCellMar>
        </w:tblPrEx>
        <w:trPr>
          <w:trHeight w:val="420" w:hRule="atLeast"/>
        </w:trPr>
        <w:tc>
          <w:tcPr>
            <w:tcW w:w="1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商业银行</w:t>
            </w:r>
            <w:r>
              <w:rPr>
                <w:rFonts w:ascii="仿宋_GB2312" w:hAnsi="宋体" w:cs="仿宋_GB2312"/>
                <w:color w:val="000000"/>
                <w:kern w:val="0"/>
                <w:sz w:val="24"/>
                <w:szCs w:val="24"/>
              </w:rPr>
              <w:t>3</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9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r>
      <w:tr>
        <w:tblPrEx>
          <w:tblLayout w:type="fixed"/>
          <w:tblCellMar>
            <w:top w:w="0" w:type="dxa"/>
            <w:left w:w="0" w:type="dxa"/>
            <w:bottom w:w="0" w:type="dxa"/>
            <w:right w:w="0" w:type="dxa"/>
          </w:tblCellMar>
        </w:tblPrEx>
        <w:trPr>
          <w:trHeight w:val="420" w:hRule="atLeast"/>
        </w:trPr>
        <w:tc>
          <w:tcPr>
            <w:tcW w:w="1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小计</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9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r>
      <w:tr>
        <w:tblPrEx>
          <w:tblLayout w:type="fixed"/>
          <w:tblCellMar>
            <w:top w:w="0" w:type="dxa"/>
            <w:left w:w="0" w:type="dxa"/>
            <w:bottom w:w="0" w:type="dxa"/>
            <w:right w:w="0" w:type="dxa"/>
          </w:tblCellMar>
        </w:tblPrEx>
        <w:trPr>
          <w:trHeight w:val="420" w:hRule="atLeast"/>
        </w:trPr>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9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r>
      <w:tr>
        <w:tblPrEx>
          <w:tblLayout w:type="fixed"/>
          <w:tblCellMar>
            <w:top w:w="0" w:type="dxa"/>
            <w:left w:w="0" w:type="dxa"/>
            <w:bottom w:w="0" w:type="dxa"/>
            <w:right w:w="0" w:type="dxa"/>
          </w:tblCellMar>
        </w:tblPrEx>
        <w:trPr>
          <w:trHeight w:val="420" w:hRule="atLeast"/>
        </w:trPr>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9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r>
      <w:tr>
        <w:tblPrEx>
          <w:tblLayout w:type="fixed"/>
          <w:tblCellMar>
            <w:top w:w="0" w:type="dxa"/>
            <w:left w:w="0" w:type="dxa"/>
            <w:bottom w:w="0" w:type="dxa"/>
            <w:right w:w="0" w:type="dxa"/>
          </w:tblCellMar>
        </w:tblPrEx>
        <w:trPr>
          <w:trHeight w:val="420" w:hRule="atLeast"/>
        </w:trPr>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9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r>
      <w:tr>
        <w:tblPrEx>
          <w:tblLayout w:type="fixed"/>
          <w:tblCellMar>
            <w:top w:w="0" w:type="dxa"/>
            <w:left w:w="0" w:type="dxa"/>
            <w:bottom w:w="0" w:type="dxa"/>
            <w:right w:w="0" w:type="dxa"/>
          </w:tblCellMar>
        </w:tblPrEx>
        <w:trPr>
          <w:trHeight w:val="420" w:hRule="atLeast"/>
        </w:trPr>
        <w:tc>
          <w:tcPr>
            <w:tcW w:w="1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9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r>
      <w:tr>
        <w:tblPrEx>
          <w:tblLayout w:type="fixed"/>
          <w:tblCellMar>
            <w:top w:w="0" w:type="dxa"/>
            <w:left w:w="0" w:type="dxa"/>
            <w:bottom w:w="0" w:type="dxa"/>
            <w:right w:w="0" w:type="dxa"/>
          </w:tblCellMar>
        </w:tblPrEx>
        <w:trPr>
          <w:trHeight w:val="420" w:hRule="atLeast"/>
        </w:trPr>
        <w:tc>
          <w:tcPr>
            <w:tcW w:w="1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textAlignment w:val="center"/>
              <w:rPr>
                <w:rFonts w:ascii="仿宋_GB2312" w:hAnsi="宋体"/>
                <w:color w:val="000000"/>
                <w:sz w:val="24"/>
                <w:szCs w:val="24"/>
              </w:rPr>
            </w:pPr>
            <w:r>
              <w:rPr>
                <w:rFonts w:hint="eastAsia" w:ascii="仿宋_GB2312" w:hAnsi="宋体" w:cs="仿宋_GB2312"/>
                <w:color w:val="000000"/>
                <w:kern w:val="0"/>
                <w:sz w:val="24"/>
                <w:szCs w:val="24"/>
              </w:rPr>
              <w:t>合计</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9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c>
          <w:tcPr>
            <w:tcW w:w="13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76" w:lineRule="exact"/>
              <w:rPr>
                <w:rFonts w:ascii="仿宋_GB2312" w:hAnsi="宋体"/>
                <w:color w:val="000000"/>
                <w:sz w:val="24"/>
                <w:szCs w:val="24"/>
              </w:rPr>
            </w:pPr>
          </w:p>
        </w:tc>
      </w:tr>
      <w:tr>
        <w:tblPrEx>
          <w:tblLayout w:type="fixed"/>
          <w:tblCellMar>
            <w:top w:w="0" w:type="dxa"/>
            <w:left w:w="0" w:type="dxa"/>
            <w:bottom w:w="0" w:type="dxa"/>
            <w:right w:w="0" w:type="dxa"/>
          </w:tblCellMar>
        </w:tblPrEx>
        <w:trPr>
          <w:trHeight w:val="285" w:hRule="atLeast"/>
        </w:trPr>
        <w:tc>
          <w:tcPr>
            <w:tcW w:w="1765" w:type="dxa"/>
            <w:tcBorders>
              <w:top w:val="nil"/>
              <w:left w:val="nil"/>
              <w:bottom w:val="nil"/>
              <w:right w:val="nil"/>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hint="eastAsia" w:ascii="仿宋_GB2312" w:hAnsi="宋体" w:cs="仿宋_GB2312"/>
                <w:color w:val="000000"/>
                <w:kern w:val="0"/>
                <w:sz w:val="21"/>
                <w:szCs w:val="21"/>
              </w:rPr>
              <w:t>公章：</w:t>
            </w:r>
          </w:p>
        </w:tc>
        <w:tc>
          <w:tcPr>
            <w:tcW w:w="1316" w:type="dxa"/>
            <w:tcBorders>
              <w:top w:val="single" w:color="000000" w:sz="4" w:space="0"/>
              <w:left w:val="nil"/>
              <w:bottom w:val="nil"/>
              <w:right w:val="nil"/>
            </w:tcBorders>
            <w:noWrap/>
            <w:tcMar>
              <w:top w:w="15" w:type="dxa"/>
              <w:left w:w="15" w:type="dxa"/>
              <w:right w:w="15" w:type="dxa"/>
            </w:tcMar>
            <w:vAlign w:val="center"/>
          </w:tcPr>
          <w:p>
            <w:pPr>
              <w:spacing w:line="576" w:lineRule="exact"/>
              <w:rPr>
                <w:rFonts w:ascii="宋体" w:hAnsi="宋体" w:eastAsia="宋体" w:cs="宋体"/>
                <w:color w:val="000000"/>
                <w:sz w:val="20"/>
                <w:szCs w:val="20"/>
              </w:rPr>
            </w:pPr>
            <w:r>
              <w:rPr>
                <w:rFonts w:ascii="宋体" w:hAnsi="宋体" w:eastAsia="宋体" w:cs="宋体"/>
                <w:color w:val="000000"/>
                <w:sz w:val="20"/>
                <w:szCs w:val="20"/>
              </w:rPr>
              <w:t xml:space="preserve"> </w:t>
            </w:r>
          </w:p>
        </w:tc>
        <w:tc>
          <w:tcPr>
            <w:tcW w:w="997" w:type="dxa"/>
            <w:tcBorders>
              <w:top w:val="nil"/>
              <w:left w:val="nil"/>
              <w:bottom w:val="nil"/>
              <w:right w:val="nil"/>
            </w:tcBorders>
            <w:noWrap/>
            <w:tcMar>
              <w:top w:w="15" w:type="dxa"/>
              <w:left w:w="15" w:type="dxa"/>
              <w:right w:w="15" w:type="dxa"/>
            </w:tcMar>
            <w:vAlign w:val="center"/>
          </w:tcPr>
          <w:p>
            <w:pPr>
              <w:spacing w:line="576" w:lineRule="exact"/>
              <w:ind w:firstLine="420" w:firstLineChars="200"/>
              <w:rPr>
                <w:rFonts w:ascii="宋体" w:hAnsi="宋体" w:eastAsia="宋体"/>
                <w:color w:val="000000"/>
                <w:sz w:val="24"/>
                <w:szCs w:val="24"/>
              </w:rPr>
            </w:pPr>
            <w:r>
              <w:rPr>
                <w:rFonts w:hint="eastAsia" w:ascii="仿宋_GB2312" w:hAnsi="宋体" w:cs="仿宋_GB2312"/>
                <w:color w:val="000000"/>
                <w:kern w:val="0"/>
                <w:sz w:val="21"/>
                <w:szCs w:val="21"/>
              </w:rPr>
              <w:t>复核：</w:t>
            </w:r>
          </w:p>
        </w:tc>
        <w:tc>
          <w:tcPr>
            <w:tcW w:w="1141" w:type="dxa"/>
            <w:tcBorders>
              <w:top w:val="nil"/>
              <w:left w:val="nil"/>
              <w:bottom w:val="nil"/>
              <w:right w:val="nil"/>
            </w:tcBorders>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p>
        </w:tc>
        <w:tc>
          <w:tcPr>
            <w:tcW w:w="930" w:type="dxa"/>
            <w:tcBorders>
              <w:top w:val="nil"/>
              <w:left w:val="nil"/>
              <w:bottom w:val="nil"/>
              <w:right w:val="nil"/>
            </w:tcBorders>
            <w:noWrap/>
            <w:tcMar>
              <w:top w:w="15" w:type="dxa"/>
              <w:left w:w="15" w:type="dxa"/>
              <w:right w:w="15" w:type="dxa"/>
            </w:tcMar>
            <w:vAlign w:val="center"/>
          </w:tcPr>
          <w:p>
            <w:pPr>
              <w:spacing w:line="576" w:lineRule="exact"/>
              <w:rPr>
                <w:rFonts w:ascii="宋体" w:hAnsi="宋体" w:eastAsia="宋体"/>
                <w:color w:val="000000"/>
                <w:sz w:val="24"/>
                <w:szCs w:val="24"/>
              </w:rPr>
            </w:pPr>
          </w:p>
        </w:tc>
        <w:tc>
          <w:tcPr>
            <w:tcW w:w="1155" w:type="dxa"/>
            <w:tcBorders>
              <w:top w:val="nil"/>
              <w:left w:val="nil"/>
              <w:bottom w:val="nil"/>
              <w:right w:val="nil"/>
            </w:tcBorders>
            <w:noWrap/>
            <w:tcMar>
              <w:top w:w="15" w:type="dxa"/>
              <w:left w:w="15" w:type="dxa"/>
              <w:right w:w="15" w:type="dxa"/>
            </w:tcMar>
            <w:vAlign w:val="center"/>
          </w:tcPr>
          <w:p>
            <w:pPr>
              <w:widowControl/>
              <w:spacing w:line="576" w:lineRule="exact"/>
              <w:textAlignment w:val="center"/>
              <w:rPr>
                <w:rFonts w:ascii="仿宋_GB2312" w:hAnsi="宋体"/>
                <w:color w:val="000000"/>
                <w:sz w:val="21"/>
                <w:szCs w:val="21"/>
              </w:rPr>
            </w:pPr>
            <w:r>
              <w:rPr>
                <w:rFonts w:ascii="仿宋_GB2312" w:hAnsi="宋体" w:cs="仿宋_GB2312"/>
                <w:color w:val="000000"/>
                <w:kern w:val="0"/>
                <w:sz w:val="21"/>
                <w:szCs w:val="21"/>
              </w:rPr>
              <w:t xml:space="preserve"> </w:t>
            </w:r>
            <w:r>
              <w:rPr>
                <w:rFonts w:hint="eastAsia" w:ascii="仿宋_GB2312" w:hAnsi="宋体" w:cs="仿宋_GB2312"/>
                <w:color w:val="000000"/>
                <w:kern w:val="0"/>
                <w:sz w:val="21"/>
                <w:szCs w:val="21"/>
              </w:rPr>
              <w:t>制表：</w:t>
            </w:r>
          </w:p>
        </w:tc>
        <w:tc>
          <w:tcPr>
            <w:tcW w:w="1381" w:type="dxa"/>
            <w:tcBorders>
              <w:top w:val="nil"/>
              <w:left w:val="nil"/>
              <w:bottom w:val="nil"/>
              <w:right w:val="nil"/>
            </w:tcBorders>
            <w:noWrap/>
            <w:tcMar>
              <w:top w:w="15" w:type="dxa"/>
              <w:left w:w="15" w:type="dxa"/>
              <w:right w:w="15" w:type="dxa"/>
            </w:tcMar>
            <w:vAlign w:val="center"/>
          </w:tcPr>
          <w:p>
            <w:pPr>
              <w:spacing w:line="576" w:lineRule="exact"/>
              <w:rPr>
                <w:rFonts w:ascii="仿宋_GB2312" w:hAnsi="宋体"/>
                <w:color w:val="000000"/>
                <w:sz w:val="24"/>
                <w:szCs w:val="24"/>
              </w:rPr>
            </w:pPr>
          </w:p>
        </w:tc>
      </w:tr>
    </w:tbl>
    <w:p>
      <w:pPr>
        <w:spacing w:line="576" w:lineRule="exact"/>
      </w:pPr>
    </w:p>
    <w:p>
      <w:pPr>
        <w:spacing w:line="576" w:lineRule="exact"/>
      </w:pPr>
    </w:p>
    <w:p>
      <w:pPr>
        <w:spacing w:line="576" w:lineRule="exact"/>
        <w:ind w:firstLine="1600" w:firstLineChars="500"/>
      </w:pPr>
    </w:p>
    <w:sectPr>
      <w:pgSz w:w="11906" w:h="16838"/>
      <w:pgMar w:top="2098" w:right="1474" w:bottom="1871"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612502"/>
      <w:docPartObj>
        <w:docPartGallery w:val="autotext"/>
      </w:docPartObj>
    </w:sdtPr>
    <w:sdtContent>
      <w:p>
        <w:pPr>
          <w:pStyle w:val="3"/>
          <w:jc w:val="center"/>
        </w:pPr>
        <w:r>
          <w:fldChar w:fldCharType="begin"/>
        </w:r>
        <w:r>
          <w:instrText xml:space="preserve">PAGE   \* MERGEFORMAT</w:instrText>
        </w:r>
        <w:r>
          <w:fldChar w:fldCharType="separate"/>
        </w:r>
        <w:r>
          <w:rPr>
            <w:lang w:val="zh-CN"/>
          </w:rPr>
          <w:t>18</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6DCA"/>
    <w:multiLevelType w:val="singleLevel"/>
    <w:tmpl w:val="212C6DCA"/>
    <w:lvl w:ilvl="0" w:tentative="0">
      <w:start w:val="3"/>
      <w:numFmt w:val="chineseCounting"/>
      <w:suff w:val="space"/>
      <w:lvlText w:val="第%1章"/>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C3"/>
    <w:rsid w:val="00005738"/>
    <w:rsid w:val="00015812"/>
    <w:rsid w:val="0003173E"/>
    <w:rsid w:val="000322BF"/>
    <w:rsid w:val="00037E26"/>
    <w:rsid w:val="00040F7B"/>
    <w:rsid w:val="000E1F1C"/>
    <w:rsid w:val="000E4082"/>
    <w:rsid w:val="001109E0"/>
    <w:rsid w:val="001576EA"/>
    <w:rsid w:val="001A2858"/>
    <w:rsid w:val="001C2871"/>
    <w:rsid w:val="001E302E"/>
    <w:rsid w:val="0023209A"/>
    <w:rsid w:val="00242F3C"/>
    <w:rsid w:val="002522CC"/>
    <w:rsid w:val="00297445"/>
    <w:rsid w:val="00297563"/>
    <w:rsid w:val="002B56F6"/>
    <w:rsid w:val="002E2B2B"/>
    <w:rsid w:val="002E61C3"/>
    <w:rsid w:val="002F3728"/>
    <w:rsid w:val="00312E56"/>
    <w:rsid w:val="003272F9"/>
    <w:rsid w:val="00335633"/>
    <w:rsid w:val="00390381"/>
    <w:rsid w:val="003A649E"/>
    <w:rsid w:val="003E7DC2"/>
    <w:rsid w:val="00435DE8"/>
    <w:rsid w:val="00450620"/>
    <w:rsid w:val="00455F0F"/>
    <w:rsid w:val="00464B75"/>
    <w:rsid w:val="00491350"/>
    <w:rsid w:val="004B3F69"/>
    <w:rsid w:val="004E0C8F"/>
    <w:rsid w:val="00501365"/>
    <w:rsid w:val="00512BF2"/>
    <w:rsid w:val="00535DFE"/>
    <w:rsid w:val="0053631E"/>
    <w:rsid w:val="005929C7"/>
    <w:rsid w:val="005A1D36"/>
    <w:rsid w:val="005B0FC7"/>
    <w:rsid w:val="005D7B82"/>
    <w:rsid w:val="005F449B"/>
    <w:rsid w:val="006231B0"/>
    <w:rsid w:val="00630F8B"/>
    <w:rsid w:val="00671BA4"/>
    <w:rsid w:val="0068180C"/>
    <w:rsid w:val="006842CA"/>
    <w:rsid w:val="006C2AC3"/>
    <w:rsid w:val="006D2E39"/>
    <w:rsid w:val="00715E3C"/>
    <w:rsid w:val="0073525B"/>
    <w:rsid w:val="00781B33"/>
    <w:rsid w:val="007877E7"/>
    <w:rsid w:val="007A466E"/>
    <w:rsid w:val="007A4AAC"/>
    <w:rsid w:val="007F458F"/>
    <w:rsid w:val="00857486"/>
    <w:rsid w:val="00857936"/>
    <w:rsid w:val="008818AA"/>
    <w:rsid w:val="008A0726"/>
    <w:rsid w:val="008A28BE"/>
    <w:rsid w:val="008A37C8"/>
    <w:rsid w:val="008A3AE8"/>
    <w:rsid w:val="008B6F61"/>
    <w:rsid w:val="008E0536"/>
    <w:rsid w:val="00924020"/>
    <w:rsid w:val="00933950"/>
    <w:rsid w:val="009416D7"/>
    <w:rsid w:val="009579C3"/>
    <w:rsid w:val="00960091"/>
    <w:rsid w:val="009A080F"/>
    <w:rsid w:val="009E2679"/>
    <w:rsid w:val="00A215FE"/>
    <w:rsid w:val="00A450DE"/>
    <w:rsid w:val="00A569FD"/>
    <w:rsid w:val="00A9049D"/>
    <w:rsid w:val="00AB5E89"/>
    <w:rsid w:val="00AC746D"/>
    <w:rsid w:val="00B11D64"/>
    <w:rsid w:val="00B67551"/>
    <w:rsid w:val="00B760C7"/>
    <w:rsid w:val="00B81164"/>
    <w:rsid w:val="00B9338A"/>
    <w:rsid w:val="00BC4C74"/>
    <w:rsid w:val="00C35CBD"/>
    <w:rsid w:val="00C825F1"/>
    <w:rsid w:val="00CC4D90"/>
    <w:rsid w:val="00CE6CCE"/>
    <w:rsid w:val="00D203E5"/>
    <w:rsid w:val="00D552FF"/>
    <w:rsid w:val="00D56B23"/>
    <w:rsid w:val="00D63533"/>
    <w:rsid w:val="00D7462F"/>
    <w:rsid w:val="00DB79BE"/>
    <w:rsid w:val="00DC3B32"/>
    <w:rsid w:val="00DE38B6"/>
    <w:rsid w:val="00E23904"/>
    <w:rsid w:val="00E7324E"/>
    <w:rsid w:val="00E87F8F"/>
    <w:rsid w:val="00EA0A63"/>
    <w:rsid w:val="00EC28FB"/>
    <w:rsid w:val="00EC5C70"/>
    <w:rsid w:val="00EC6644"/>
    <w:rsid w:val="00EE04B5"/>
    <w:rsid w:val="00F06EB0"/>
    <w:rsid w:val="00F3371F"/>
    <w:rsid w:val="00FC4D66"/>
    <w:rsid w:val="00FE4453"/>
    <w:rsid w:val="00FF06DB"/>
    <w:rsid w:val="0C3954C3"/>
    <w:rsid w:val="164A52F5"/>
    <w:rsid w:val="2C151917"/>
    <w:rsid w:val="57CD0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仿宋_GB2312" w:cs="Times New Roman"/>
      <w:sz w:val="18"/>
      <w:szCs w:val="18"/>
    </w:rPr>
  </w:style>
  <w:style w:type="character" w:customStyle="1" w:styleId="8">
    <w:name w:val="页脚 Char"/>
    <w:basedOn w:val="6"/>
    <w:link w:val="3"/>
    <w:qFormat/>
    <w:uiPriority w:val="99"/>
    <w:rPr>
      <w:rFonts w:ascii="Times New Roman" w:hAnsi="Times New Roman" w:eastAsia="仿宋_GB2312" w:cs="Times New Roman"/>
      <w:sz w:val="18"/>
      <w:szCs w:val="18"/>
    </w:rPr>
  </w:style>
  <w:style w:type="character" w:customStyle="1" w:styleId="9">
    <w:name w:val="批注框文本 Char"/>
    <w:basedOn w:val="6"/>
    <w:link w:val="2"/>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B06117-D825-4B0A-ACC0-5BD9C587C15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1097</Words>
  <Characters>6255</Characters>
  <Lines>52</Lines>
  <Paragraphs>14</Paragraphs>
  <TotalTime>74</TotalTime>
  <ScaleCrop>false</ScaleCrop>
  <LinksUpToDate>false</LinksUpToDate>
  <CharactersWithSpaces>7338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2021-09-01T09:47:00Z</dcterms:created>
  <dc:creator>杨娟</dc:creator>
  <cp:lastModifiedBy>范磊</cp:lastModifiedBy>
  <cp:lastPrinted>2022-02-14T04:22:00Z</cp:lastPrinted>
  <dcterms:modified xsi:type="dcterms:W3CDTF">2022-02-18T04:41:29Z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