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475"/>
      <w:bookmarkStart w:id="3" w:name="_Toc15377193"/>
      <w:bookmarkStart w:id="4" w:name="_Toc15396597"/>
      <w:bookmarkStart w:id="5" w:name="_Toc15378441"/>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77194"/>
      <w:bookmarkStart w:id="9" w:name="_Toc1539647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财政投资评审中心</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方正小标宋简体" w:hAnsi="宋体" w:eastAsia="方正小标宋简体"/>
          <w:color w:val="000000"/>
          <w:sz w:val="36"/>
          <w:szCs w:val="36"/>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公开时间：2020年9月3日</w:t>
      </w:r>
    </w:p>
    <w:p/>
    <w:sdt>
      <w:sdtPr>
        <w:rPr>
          <w:rFonts w:ascii="宋体" w:hAnsi="宋体" w:eastAsia="宋体" w:cs="Times New Roman"/>
          <w:kern w:val="2"/>
          <w:sz w:val="21"/>
          <w:szCs w:val="24"/>
          <w:lang w:val="en-US" w:eastAsia="zh-CN" w:bidi="ar-SA"/>
        </w:rPr>
        <w:id w:val="147459859"/>
        <w:docPartObj>
          <w:docPartGallery w:val="Table of Contents"/>
          <w:docPartUnique/>
        </w:docPartObj>
      </w:sdtPr>
      <w:sdtEndPr>
        <w:rPr>
          <w:rFonts w:hint="eastAsia" w:asciiTheme="minorEastAsia" w:hAnsiTheme="minorEastAsia" w:eastAsiaTheme="minorEastAsia" w:cstheme="minorEastAsia"/>
          <w:kern w:val="2"/>
          <w:sz w:val="24"/>
          <w:szCs w:val="24"/>
          <w:lang w:val="en-US" w:eastAsia="zh-CN" w:bidi="ar-SA"/>
        </w:rPr>
      </w:sdtEndPr>
      <w:sdtContent>
        <w:p>
          <w:pPr>
            <w:spacing w:before="0" w:beforeLines="0" w:after="0" w:afterLines="0" w:line="240" w:lineRule="auto"/>
            <w:ind w:left="0" w:leftChars="0" w:right="0" w:rightChars="0" w:firstLine="0" w:firstLineChars="0"/>
            <w:jc w:val="center"/>
          </w:pPr>
          <w:bookmarkStart w:id="12" w:name="_Toc5490_WPSOffice_Type2"/>
        </w:p>
        <w:p>
          <w:pPr>
            <w:pStyle w:val="30"/>
            <w:tabs>
              <w:tab w:val="right" w:leader="dot" w:pos="8306"/>
            </w:tabs>
            <w:spacing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_Toc15108_WPSOffice_Level1 </w:instrText>
          </w:r>
          <w:r>
            <w:rPr>
              <w:rFonts w:hint="eastAsia" w:ascii="仿宋" w:hAnsi="仿宋" w:eastAsia="仿宋" w:cs="仿宋"/>
              <w:b w:val="0"/>
              <w:bCs w:val="0"/>
              <w:sz w:val="24"/>
              <w:szCs w:val="24"/>
            </w:rPr>
            <w:fldChar w:fldCharType="separate"/>
          </w:r>
          <w:sdt>
            <w:sdtPr>
              <w:rPr>
                <w:rFonts w:hint="eastAsia" w:ascii="仿宋" w:hAnsi="仿宋" w:eastAsia="仿宋" w:cs="仿宋"/>
                <w:b w:val="0"/>
                <w:bCs w:val="0"/>
                <w:kern w:val="2"/>
                <w:sz w:val="24"/>
                <w:szCs w:val="24"/>
                <w:lang w:val="en-US" w:eastAsia="zh-CN" w:bidi="ar-SA"/>
              </w:rPr>
              <w:id w:val="147459859"/>
              <w:placeholder>
                <w:docPart w:val="{b4cd5bc1-04f6-4f3c-89a7-cf64fe8535a2}"/>
              </w:placeholder>
            </w:sdtPr>
            <w:sdtEndPr>
              <w:rPr>
                <w:rFonts w:hint="eastAsia" w:ascii="仿宋" w:hAnsi="仿宋" w:eastAsia="仿宋" w:cs="仿宋"/>
                <w:b w:val="0"/>
                <w:bCs w:val="0"/>
                <w:kern w:val="2"/>
                <w:sz w:val="24"/>
                <w:szCs w:val="24"/>
                <w:lang w:val="en-US" w:eastAsia="zh-CN" w:bidi="ar-SA"/>
              </w:rPr>
            </w:sdtEndPr>
            <w:sdtContent>
              <w:r>
                <w:rPr>
                  <w:rFonts w:hint="eastAsia" w:ascii="仿宋" w:hAnsi="仿宋" w:eastAsia="仿宋" w:cs="仿宋"/>
                  <w:b w:val="0"/>
                  <w:bCs w:val="0"/>
                  <w:sz w:val="24"/>
                  <w:szCs w:val="24"/>
                </w:rPr>
                <w:t>第一部分 部门概况</w:t>
              </w:r>
            </w:sdtContent>
          </w:sdt>
          <w:r>
            <w:rPr>
              <w:rFonts w:hint="eastAsia" w:ascii="仿宋" w:hAnsi="仿宋" w:eastAsia="仿宋" w:cs="仿宋"/>
              <w:b w:val="0"/>
              <w:bCs w:val="0"/>
              <w:sz w:val="24"/>
              <w:szCs w:val="24"/>
            </w:rPr>
            <w:tab/>
          </w:r>
          <w:bookmarkStart w:id="13" w:name="_Toc15108_WPSOffice_Level1Page"/>
          <w:r>
            <w:rPr>
              <w:rFonts w:hint="eastAsia" w:ascii="仿宋" w:hAnsi="仿宋" w:eastAsia="仿宋" w:cs="仿宋"/>
              <w:b w:val="0"/>
              <w:bCs w:val="0"/>
              <w:sz w:val="24"/>
              <w:szCs w:val="24"/>
            </w:rPr>
            <w:t>1</w:t>
          </w:r>
          <w:bookmarkEnd w:id="13"/>
          <w:r>
            <w:rPr>
              <w:rFonts w:hint="eastAsia" w:ascii="仿宋" w:hAnsi="仿宋" w:eastAsia="仿宋" w:cs="仿宋"/>
              <w:b w:val="0"/>
              <w:bCs w:val="0"/>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_Toc5490_WPSOffice_Level2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0322e3f1-d011-47fa-992a-3bed997292ac}"/>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一、基本职能及主要工作</w:t>
              </w:r>
            </w:sdtContent>
          </w:sdt>
          <w:r>
            <w:rPr>
              <w:rFonts w:hint="eastAsia" w:asciiTheme="minorEastAsia" w:hAnsiTheme="minorEastAsia" w:eastAsiaTheme="minorEastAsia" w:cstheme="minorEastAsia"/>
              <w:sz w:val="24"/>
              <w:szCs w:val="24"/>
            </w:rPr>
            <w:tab/>
          </w:r>
          <w:bookmarkStart w:id="14" w:name="_Toc5490_WPSOffice_Level2Page"/>
          <w:r>
            <w:rPr>
              <w:rFonts w:hint="eastAsia" w:asciiTheme="minorEastAsia" w:hAnsiTheme="minorEastAsia" w:eastAsiaTheme="minorEastAsia" w:cstheme="minorEastAsia"/>
              <w:sz w:val="24"/>
              <w:szCs w:val="24"/>
            </w:rPr>
            <w:t>1</w:t>
          </w:r>
          <w:bookmarkEnd w:id="14"/>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_Toc3345_WPSOffice_Level2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54eeb6f2-6d96-45e8-9c01-15cf6da58100}"/>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二、机构设置</w:t>
              </w:r>
            </w:sdtContent>
          </w:sdt>
          <w:r>
            <w:rPr>
              <w:rFonts w:hint="eastAsia" w:asciiTheme="minorEastAsia" w:hAnsiTheme="minorEastAsia" w:eastAsiaTheme="minorEastAsia" w:cstheme="minorEastAsia"/>
              <w:sz w:val="24"/>
              <w:szCs w:val="24"/>
            </w:rPr>
            <w:tab/>
          </w:r>
          <w:bookmarkStart w:id="15" w:name="_Toc3345_WPSOffice_Level2Page"/>
          <w:r>
            <w:rPr>
              <w:rFonts w:hint="eastAsia" w:asciiTheme="minorEastAsia" w:hAnsiTheme="minorEastAsia" w:eastAsiaTheme="minorEastAsia" w:cstheme="minorEastAsia"/>
              <w:sz w:val="24"/>
              <w:szCs w:val="24"/>
            </w:rPr>
            <w:t>2</w:t>
          </w:r>
          <w:bookmarkEnd w:id="15"/>
          <w:r>
            <w:rPr>
              <w:rFonts w:hint="eastAsia" w:asciiTheme="minorEastAsia" w:hAnsiTheme="minorEastAsia" w:eastAsiaTheme="minorEastAsia" w:cstheme="minorEastAsia"/>
              <w:sz w:val="24"/>
              <w:szCs w:val="24"/>
            </w:rPr>
            <w:fldChar w:fldCharType="end"/>
          </w:r>
        </w:p>
        <w:p>
          <w:pPr>
            <w:pStyle w:val="30"/>
            <w:tabs>
              <w:tab w:val="right" w:leader="dot" w:pos="8306"/>
            </w:tabs>
            <w:spacing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_Toc5490_WPSOffice_Level1 </w:instrText>
          </w:r>
          <w:r>
            <w:rPr>
              <w:rFonts w:hint="eastAsia" w:ascii="仿宋" w:hAnsi="仿宋" w:eastAsia="仿宋" w:cs="仿宋"/>
              <w:b w:val="0"/>
              <w:bCs w:val="0"/>
              <w:sz w:val="24"/>
              <w:szCs w:val="24"/>
            </w:rPr>
            <w:fldChar w:fldCharType="separate"/>
          </w:r>
          <w:sdt>
            <w:sdtPr>
              <w:rPr>
                <w:rFonts w:hint="eastAsia" w:ascii="仿宋" w:hAnsi="仿宋" w:eastAsia="仿宋" w:cs="仿宋"/>
                <w:b w:val="0"/>
                <w:bCs w:val="0"/>
                <w:kern w:val="2"/>
                <w:sz w:val="24"/>
                <w:szCs w:val="24"/>
                <w:lang w:val="en-US" w:eastAsia="zh-CN" w:bidi="ar-SA"/>
              </w:rPr>
              <w:id w:val="147459859"/>
              <w:placeholder>
                <w:docPart w:val="{54503ef8-571e-407e-b3ca-3a7e72906403}"/>
              </w:placeholder>
            </w:sdtPr>
            <w:sdtEndPr>
              <w:rPr>
                <w:rFonts w:hint="eastAsia" w:ascii="仿宋" w:hAnsi="仿宋" w:eastAsia="仿宋" w:cs="仿宋"/>
                <w:b w:val="0"/>
                <w:bCs w:val="0"/>
                <w:kern w:val="2"/>
                <w:sz w:val="24"/>
                <w:szCs w:val="24"/>
                <w:lang w:val="en-US" w:eastAsia="zh-CN" w:bidi="ar-SA"/>
              </w:rPr>
            </w:sdtEndPr>
            <w:sdtContent>
              <w:r>
                <w:rPr>
                  <w:rFonts w:hint="eastAsia" w:ascii="仿宋" w:hAnsi="仿宋" w:eastAsia="仿宋" w:cs="仿宋"/>
                  <w:b w:val="0"/>
                  <w:bCs w:val="0"/>
                  <w:sz w:val="24"/>
                  <w:szCs w:val="24"/>
                </w:rPr>
                <w:t>第二部分 2019年度部门决算情况说明</w:t>
              </w:r>
            </w:sdtContent>
          </w:sdt>
          <w:r>
            <w:rPr>
              <w:rFonts w:hint="eastAsia" w:ascii="仿宋" w:hAnsi="仿宋" w:eastAsia="仿宋" w:cs="仿宋"/>
              <w:b w:val="0"/>
              <w:bCs w:val="0"/>
              <w:sz w:val="24"/>
              <w:szCs w:val="24"/>
            </w:rPr>
            <w:tab/>
          </w:r>
          <w:bookmarkStart w:id="16" w:name="_Toc5490_WPSOffice_Level1Page"/>
          <w:r>
            <w:rPr>
              <w:rFonts w:hint="eastAsia" w:ascii="仿宋" w:hAnsi="仿宋" w:eastAsia="仿宋" w:cs="仿宋"/>
              <w:b w:val="0"/>
              <w:bCs w:val="0"/>
              <w:sz w:val="24"/>
              <w:szCs w:val="24"/>
            </w:rPr>
            <w:t>3</w:t>
          </w:r>
          <w:bookmarkEnd w:id="16"/>
          <w:r>
            <w:rPr>
              <w:rFonts w:hint="eastAsia" w:ascii="仿宋" w:hAnsi="仿宋" w:eastAsia="仿宋" w:cs="仿宋"/>
              <w:b w:val="0"/>
              <w:bCs w:val="0"/>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_Toc24782_WPSOffice_Level2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fb79619d-aaee-4d53-8976-16b469c37fce}"/>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一、 收入支出决算总体情况说明</w:t>
              </w:r>
            </w:sdtContent>
          </w:sdt>
          <w:r>
            <w:rPr>
              <w:rFonts w:hint="eastAsia" w:asciiTheme="minorEastAsia" w:hAnsiTheme="minorEastAsia" w:eastAsiaTheme="minorEastAsia" w:cstheme="minorEastAsia"/>
              <w:sz w:val="24"/>
              <w:szCs w:val="24"/>
            </w:rPr>
            <w:tab/>
          </w:r>
          <w:bookmarkStart w:id="17" w:name="_Toc24782_WPSOffice_Level2Page"/>
          <w:r>
            <w:rPr>
              <w:rFonts w:hint="eastAsia" w:asciiTheme="minorEastAsia" w:hAnsiTheme="minorEastAsia" w:eastAsiaTheme="minorEastAsia" w:cstheme="minorEastAsia"/>
              <w:sz w:val="24"/>
              <w:szCs w:val="24"/>
            </w:rPr>
            <w:t>3</w:t>
          </w:r>
          <w:bookmarkEnd w:id="17"/>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_Toc6968_WPSOffice_Level2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f1149fb4-cf0f-47a6-8419-dd59a2605284}"/>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二、 收入决算情况说明</w:t>
              </w:r>
            </w:sdtContent>
          </w:sdt>
          <w:r>
            <w:rPr>
              <w:rFonts w:hint="eastAsia" w:asciiTheme="minorEastAsia" w:hAnsiTheme="minorEastAsia" w:eastAsiaTheme="minorEastAsia" w:cstheme="minorEastAsia"/>
              <w:sz w:val="24"/>
              <w:szCs w:val="24"/>
            </w:rPr>
            <w:tab/>
          </w:r>
          <w:bookmarkStart w:id="18" w:name="_Toc6968_WPSOffice_Level2Page"/>
          <w:r>
            <w:rPr>
              <w:rFonts w:hint="eastAsia" w:asciiTheme="minorEastAsia" w:hAnsiTheme="minorEastAsia" w:eastAsiaTheme="minorEastAsia" w:cstheme="minorEastAsia"/>
              <w:sz w:val="24"/>
              <w:szCs w:val="24"/>
            </w:rPr>
            <w:t>3</w:t>
          </w:r>
          <w:bookmarkEnd w:id="18"/>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_Toc23241_WPSOffice_Level2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a36d7f9d-a7ce-4461-a65a-672eb603bf93}"/>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三、 支出决算情况说明</w:t>
              </w:r>
            </w:sdtContent>
          </w:sdt>
          <w:r>
            <w:rPr>
              <w:rFonts w:hint="eastAsia" w:asciiTheme="minorEastAsia" w:hAnsiTheme="minorEastAsia" w:eastAsiaTheme="minorEastAsia" w:cstheme="minorEastAsia"/>
              <w:sz w:val="24"/>
              <w:szCs w:val="24"/>
            </w:rPr>
            <w:tab/>
          </w:r>
          <w:bookmarkStart w:id="19" w:name="_Toc23241_WPSOffice_Level2Page"/>
          <w:r>
            <w:rPr>
              <w:rFonts w:hint="eastAsia" w:asciiTheme="minorEastAsia" w:hAnsiTheme="minorEastAsia" w:eastAsiaTheme="minorEastAsia" w:cstheme="minorEastAsia"/>
              <w:sz w:val="24"/>
              <w:szCs w:val="24"/>
            </w:rPr>
            <w:t>4</w:t>
          </w:r>
          <w:bookmarkEnd w:id="19"/>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_Toc24727_WPSOffice_Level2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6836d313-e55c-402e-929c-d99602a59b7e}"/>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四、财政拨款收入支出决算总体情况说明</w:t>
              </w:r>
            </w:sdtContent>
          </w:sdt>
          <w:r>
            <w:rPr>
              <w:rFonts w:hint="eastAsia" w:asciiTheme="minorEastAsia" w:hAnsiTheme="minorEastAsia" w:eastAsiaTheme="minorEastAsia" w:cstheme="minorEastAsia"/>
              <w:sz w:val="24"/>
              <w:szCs w:val="24"/>
            </w:rPr>
            <w:tab/>
          </w:r>
          <w:bookmarkStart w:id="20" w:name="_Toc24727_WPSOffice_Level2Page"/>
          <w:r>
            <w:rPr>
              <w:rFonts w:hint="eastAsia" w:asciiTheme="minorEastAsia" w:hAnsiTheme="minorEastAsia" w:eastAsiaTheme="minorEastAsia" w:cstheme="minorEastAsia"/>
              <w:sz w:val="24"/>
              <w:szCs w:val="24"/>
            </w:rPr>
            <w:t>5</w:t>
          </w:r>
          <w:bookmarkEnd w:id="20"/>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_Toc3801_WPSOffice_Level2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23e97112-6fe6-4d5b-b15c-02c334ddd725}"/>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五、一般公共预算财政拨款支出决算情况说明</w:t>
              </w:r>
            </w:sdtContent>
          </w:sdt>
          <w:r>
            <w:rPr>
              <w:rFonts w:hint="eastAsia" w:asciiTheme="minorEastAsia" w:hAnsiTheme="minorEastAsia" w:eastAsiaTheme="minorEastAsia" w:cstheme="minorEastAsia"/>
              <w:sz w:val="24"/>
              <w:szCs w:val="24"/>
            </w:rPr>
            <w:tab/>
          </w:r>
          <w:bookmarkStart w:id="21" w:name="_Toc3801_WPSOffice_Level2Page"/>
          <w:r>
            <w:rPr>
              <w:rFonts w:hint="eastAsia" w:asciiTheme="minorEastAsia" w:hAnsiTheme="minorEastAsia" w:eastAsiaTheme="minorEastAsia" w:cstheme="minorEastAsia"/>
              <w:sz w:val="24"/>
              <w:szCs w:val="24"/>
            </w:rPr>
            <w:t>5</w:t>
          </w:r>
          <w:bookmarkEnd w:id="21"/>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_Toc23937_WPSOffice_Level2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8a2d7b47-e0ff-4353-99b2-b2f601949ff9}"/>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六、一般公共预算财政拨款基本支出决算情况说明</w:t>
              </w:r>
            </w:sdtContent>
          </w:sdt>
          <w:r>
            <w:rPr>
              <w:rFonts w:hint="eastAsia" w:asciiTheme="minorEastAsia" w:hAnsiTheme="minorEastAsia" w:eastAsiaTheme="minorEastAsia" w:cstheme="minorEastAsia"/>
              <w:sz w:val="24"/>
              <w:szCs w:val="24"/>
            </w:rPr>
            <w:tab/>
          </w:r>
          <w:bookmarkStart w:id="22" w:name="_Toc23937_WPSOffice_Level2Page"/>
          <w:r>
            <w:rPr>
              <w:rFonts w:hint="eastAsia" w:asciiTheme="minorEastAsia" w:hAnsiTheme="minorEastAsia" w:eastAsiaTheme="minorEastAsia" w:cstheme="minorEastAsia"/>
              <w:sz w:val="24"/>
              <w:szCs w:val="24"/>
            </w:rPr>
            <w:t>9</w:t>
          </w:r>
          <w:bookmarkEnd w:id="22"/>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_Toc23534_WPSOffice_Level2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cd6eccfc-574e-420d-9303-0f5d8822cc49}"/>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七、“三公”经费财政拨款支出决算情况说明</w:t>
              </w:r>
            </w:sdtContent>
          </w:sdt>
          <w:r>
            <w:rPr>
              <w:rFonts w:hint="eastAsia" w:asciiTheme="minorEastAsia" w:hAnsiTheme="minorEastAsia" w:eastAsiaTheme="minorEastAsia" w:cstheme="minorEastAsia"/>
              <w:sz w:val="24"/>
              <w:szCs w:val="24"/>
            </w:rPr>
            <w:tab/>
          </w:r>
          <w:bookmarkStart w:id="23" w:name="_Toc23534_WPSOffice_Level2Page"/>
          <w:r>
            <w:rPr>
              <w:rFonts w:hint="eastAsia" w:asciiTheme="minorEastAsia" w:hAnsiTheme="minorEastAsia" w:eastAsiaTheme="minorEastAsia" w:cstheme="minorEastAsia"/>
              <w:sz w:val="24"/>
              <w:szCs w:val="24"/>
            </w:rPr>
            <w:t>9</w:t>
          </w:r>
          <w:bookmarkEnd w:id="23"/>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_Toc32102_WPSOffice_Level2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5cfd62e5-788b-446f-9066-59995eaf7f89}"/>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八、政府性基金预算支出决算情况说明</w:t>
              </w:r>
            </w:sdtContent>
          </w:sdt>
          <w:r>
            <w:rPr>
              <w:rFonts w:hint="eastAsia" w:asciiTheme="minorEastAsia" w:hAnsiTheme="minorEastAsia" w:eastAsiaTheme="minorEastAsia" w:cstheme="minorEastAsia"/>
              <w:sz w:val="24"/>
              <w:szCs w:val="24"/>
            </w:rPr>
            <w:tab/>
          </w:r>
          <w:bookmarkStart w:id="24" w:name="_Toc32102_WPSOffice_Level2Page"/>
          <w:r>
            <w:rPr>
              <w:rFonts w:hint="eastAsia" w:asciiTheme="minorEastAsia" w:hAnsiTheme="minorEastAsia" w:eastAsiaTheme="minorEastAsia" w:cstheme="minorEastAsia"/>
              <w:sz w:val="24"/>
              <w:szCs w:val="24"/>
            </w:rPr>
            <w:t>11</w:t>
          </w:r>
          <w:bookmarkEnd w:id="24"/>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_Toc28407_WPSOffice_Level2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25d40349-570a-4d69-9ae2-ec7619a8a717}"/>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九、国有资本经营预算支出决算情况说明</w:t>
              </w:r>
            </w:sdtContent>
          </w:sdt>
          <w:r>
            <w:rPr>
              <w:rFonts w:hint="eastAsia" w:asciiTheme="minorEastAsia" w:hAnsiTheme="minorEastAsia" w:eastAsiaTheme="minorEastAsia" w:cstheme="minorEastAsia"/>
              <w:sz w:val="24"/>
              <w:szCs w:val="24"/>
            </w:rPr>
            <w:tab/>
          </w:r>
          <w:bookmarkStart w:id="25" w:name="_Toc28407_WPSOffice_Level2Page"/>
          <w:r>
            <w:rPr>
              <w:rFonts w:hint="eastAsia" w:asciiTheme="minorEastAsia" w:hAnsiTheme="minorEastAsia" w:eastAsiaTheme="minorEastAsia" w:cstheme="minorEastAsia"/>
              <w:sz w:val="24"/>
              <w:szCs w:val="24"/>
            </w:rPr>
            <w:t>11</w:t>
          </w:r>
          <w:bookmarkEnd w:id="25"/>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_Toc21450_WPSOffice_Level2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86202f84-d27c-409c-8b6c-d09d690be753}"/>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十、其他重要事项的情况说明</w:t>
              </w:r>
            </w:sdtContent>
          </w:sdt>
          <w:r>
            <w:rPr>
              <w:rFonts w:hint="eastAsia" w:asciiTheme="minorEastAsia" w:hAnsiTheme="minorEastAsia" w:eastAsiaTheme="minorEastAsia" w:cstheme="minorEastAsia"/>
              <w:sz w:val="24"/>
              <w:szCs w:val="24"/>
            </w:rPr>
            <w:tab/>
          </w:r>
          <w:bookmarkStart w:id="26" w:name="_Toc21450_WPSOffice_Level2Page"/>
          <w:r>
            <w:rPr>
              <w:rFonts w:hint="eastAsia" w:asciiTheme="minorEastAsia" w:hAnsiTheme="minorEastAsia" w:eastAsiaTheme="minorEastAsia" w:cstheme="minorEastAsia"/>
              <w:sz w:val="24"/>
              <w:szCs w:val="24"/>
            </w:rPr>
            <w:t>12</w:t>
          </w:r>
          <w:bookmarkEnd w:id="26"/>
          <w:r>
            <w:rPr>
              <w:rFonts w:hint="eastAsia" w:asciiTheme="minorEastAsia" w:hAnsiTheme="minorEastAsia" w:eastAsiaTheme="minorEastAsia" w:cstheme="minorEastAsia"/>
              <w:sz w:val="24"/>
              <w:szCs w:val="24"/>
            </w:rPr>
            <w:fldChar w:fldCharType="end"/>
          </w:r>
        </w:p>
        <w:p>
          <w:pPr>
            <w:pStyle w:val="30"/>
            <w:tabs>
              <w:tab w:val="right" w:leader="dot" w:pos="8306"/>
            </w:tabs>
            <w:spacing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_Toc3345_WPSOffice_Level1 </w:instrText>
          </w:r>
          <w:r>
            <w:rPr>
              <w:rFonts w:hint="eastAsia" w:ascii="仿宋" w:hAnsi="仿宋" w:eastAsia="仿宋" w:cs="仿宋"/>
              <w:b w:val="0"/>
              <w:bCs w:val="0"/>
              <w:sz w:val="24"/>
              <w:szCs w:val="24"/>
            </w:rPr>
            <w:fldChar w:fldCharType="separate"/>
          </w:r>
          <w:sdt>
            <w:sdtPr>
              <w:rPr>
                <w:rFonts w:hint="eastAsia" w:ascii="仿宋" w:hAnsi="仿宋" w:eastAsia="仿宋" w:cs="仿宋"/>
                <w:b w:val="0"/>
                <w:bCs w:val="0"/>
                <w:kern w:val="2"/>
                <w:sz w:val="24"/>
                <w:szCs w:val="24"/>
                <w:lang w:val="en-US" w:eastAsia="zh-CN" w:bidi="ar-SA"/>
              </w:rPr>
              <w:id w:val="147459859"/>
              <w:placeholder>
                <w:docPart w:val="{3f589798-cd19-4307-9bd3-b9c9a33d1096}"/>
              </w:placeholder>
            </w:sdtPr>
            <w:sdtEndPr>
              <w:rPr>
                <w:rFonts w:hint="eastAsia" w:ascii="仿宋" w:hAnsi="仿宋" w:eastAsia="仿宋" w:cs="仿宋"/>
                <w:b w:val="0"/>
                <w:bCs w:val="0"/>
                <w:kern w:val="2"/>
                <w:sz w:val="24"/>
                <w:szCs w:val="24"/>
                <w:lang w:val="en-US" w:eastAsia="zh-CN" w:bidi="ar-SA"/>
              </w:rPr>
            </w:sdtEndPr>
            <w:sdtContent>
              <w:r>
                <w:rPr>
                  <w:rFonts w:hint="eastAsia" w:ascii="仿宋" w:hAnsi="仿宋" w:eastAsia="仿宋" w:cs="仿宋"/>
                  <w:b w:val="0"/>
                  <w:bCs w:val="0"/>
                  <w:sz w:val="24"/>
                  <w:szCs w:val="24"/>
                </w:rPr>
                <w:t>第三部分 名词解释</w:t>
              </w:r>
            </w:sdtContent>
          </w:sdt>
          <w:r>
            <w:rPr>
              <w:rFonts w:hint="eastAsia" w:ascii="仿宋" w:hAnsi="仿宋" w:eastAsia="仿宋" w:cs="仿宋"/>
              <w:b w:val="0"/>
              <w:bCs w:val="0"/>
              <w:sz w:val="24"/>
              <w:szCs w:val="24"/>
            </w:rPr>
            <w:tab/>
          </w:r>
          <w:bookmarkStart w:id="27" w:name="_Toc3345_WPSOffice_Level1Page"/>
          <w:r>
            <w:rPr>
              <w:rFonts w:hint="eastAsia" w:ascii="仿宋" w:hAnsi="仿宋" w:eastAsia="仿宋" w:cs="仿宋"/>
              <w:b w:val="0"/>
              <w:bCs w:val="0"/>
              <w:sz w:val="24"/>
              <w:szCs w:val="24"/>
            </w:rPr>
            <w:t>17</w:t>
          </w:r>
          <w:bookmarkEnd w:id="27"/>
          <w:r>
            <w:rPr>
              <w:rFonts w:hint="eastAsia" w:ascii="仿宋" w:hAnsi="仿宋" w:eastAsia="仿宋" w:cs="仿宋"/>
              <w:b w:val="0"/>
              <w:bCs w:val="0"/>
              <w:sz w:val="24"/>
              <w:szCs w:val="24"/>
            </w:rPr>
            <w:fldChar w:fldCharType="end"/>
          </w:r>
        </w:p>
        <w:p>
          <w:pPr>
            <w:pStyle w:val="30"/>
            <w:tabs>
              <w:tab w:val="right" w:leader="dot" w:pos="8306"/>
            </w:tabs>
            <w:spacing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_Toc24782_WPSOffice_Level1 </w:instrText>
          </w:r>
          <w:r>
            <w:rPr>
              <w:rFonts w:hint="eastAsia" w:ascii="仿宋" w:hAnsi="仿宋" w:eastAsia="仿宋" w:cs="仿宋"/>
              <w:b w:val="0"/>
              <w:bCs w:val="0"/>
              <w:sz w:val="24"/>
              <w:szCs w:val="24"/>
            </w:rPr>
            <w:fldChar w:fldCharType="separate"/>
          </w:r>
          <w:sdt>
            <w:sdtPr>
              <w:rPr>
                <w:rFonts w:hint="eastAsia" w:ascii="仿宋" w:hAnsi="仿宋" w:eastAsia="仿宋" w:cs="仿宋"/>
                <w:b w:val="0"/>
                <w:bCs w:val="0"/>
                <w:kern w:val="2"/>
                <w:sz w:val="24"/>
                <w:szCs w:val="24"/>
                <w:lang w:val="en-US" w:eastAsia="zh-CN" w:bidi="ar-SA"/>
              </w:rPr>
              <w:id w:val="147459859"/>
              <w:placeholder>
                <w:docPart w:val="{131cc4f3-9161-44ac-ad1e-6350dd97df01}"/>
              </w:placeholder>
            </w:sdtPr>
            <w:sdtEndPr>
              <w:rPr>
                <w:rFonts w:hint="eastAsia" w:ascii="仿宋" w:hAnsi="仿宋" w:eastAsia="仿宋" w:cs="仿宋"/>
                <w:b w:val="0"/>
                <w:bCs w:val="0"/>
                <w:kern w:val="2"/>
                <w:sz w:val="24"/>
                <w:szCs w:val="24"/>
                <w:lang w:val="en-US" w:eastAsia="zh-CN" w:bidi="ar-SA"/>
              </w:rPr>
            </w:sdtEndPr>
            <w:sdtContent>
              <w:r>
                <w:rPr>
                  <w:rFonts w:hint="eastAsia" w:ascii="仿宋" w:hAnsi="仿宋" w:eastAsia="仿宋" w:cs="仿宋"/>
                  <w:b w:val="0"/>
                  <w:bCs w:val="0"/>
                  <w:sz w:val="24"/>
                  <w:szCs w:val="24"/>
                </w:rPr>
                <w:t>第四部分 附件</w:t>
              </w:r>
            </w:sdtContent>
          </w:sdt>
          <w:r>
            <w:rPr>
              <w:rFonts w:hint="eastAsia" w:ascii="仿宋" w:hAnsi="仿宋" w:eastAsia="仿宋" w:cs="仿宋"/>
              <w:b w:val="0"/>
              <w:bCs w:val="0"/>
              <w:sz w:val="24"/>
              <w:szCs w:val="24"/>
            </w:rPr>
            <w:tab/>
          </w:r>
          <w:bookmarkStart w:id="28" w:name="_Toc24782_WPSOffice_Level1Page"/>
          <w:r>
            <w:rPr>
              <w:rFonts w:hint="eastAsia" w:ascii="仿宋" w:hAnsi="仿宋" w:eastAsia="仿宋" w:cs="仿宋"/>
              <w:b w:val="0"/>
              <w:bCs w:val="0"/>
              <w:sz w:val="24"/>
              <w:szCs w:val="24"/>
            </w:rPr>
            <w:t>20</w:t>
          </w:r>
          <w:bookmarkEnd w:id="28"/>
          <w:r>
            <w:rPr>
              <w:rFonts w:hint="eastAsia" w:ascii="仿宋" w:hAnsi="仿宋" w:eastAsia="仿宋" w:cs="仿宋"/>
              <w:b w:val="0"/>
              <w:bCs w:val="0"/>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附件</w:t>
          </w: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_Toc25136_WPSOffice_Level2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be5a9eac-1ff1-47a4-8df7-92b7b79753f8}"/>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2019年部门整体支出绩效评价报告</w:t>
              </w:r>
            </w:sdtContent>
          </w:sdt>
          <w:r>
            <w:rPr>
              <w:rFonts w:hint="eastAsia" w:asciiTheme="minorEastAsia" w:hAnsiTheme="minorEastAsia" w:eastAsiaTheme="minorEastAsia" w:cstheme="minorEastAsia"/>
              <w:sz w:val="24"/>
              <w:szCs w:val="24"/>
            </w:rPr>
            <w:tab/>
          </w:r>
          <w:bookmarkStart w:id="29" w:name="_Toc25136_WPSOffice_Level2Page"/>
          <w:r>
            <w:rPr>
              <w:rFonts w:hint="eastAsia" w:asciiTheme="minorEastAsia" w:hAnsiTheme="minorEastAsia" w:eastAsiaTheme="minorEastAsia" w:cstheme="minorEastAsia"/>
              <w:sz w:val="24"/>
              <w:szCs w:val="24"/>
            </w:rPr>
            <w:t>20</w:t>
          </w:r>
          <w:bookmarkEnd w:id="29"/>
          <w:r>
            <w:rPr>
              <w:rFonts w:hint="eastAsia" w:asciiTheme="minorEastAsia" w:hAnsiTheme="minorEastAsia" w:eastAsiaTheme="minorEastAsia" w:cstheme="minorEastAsia"/>
              <w:sz w:val="24"/>
              <w:szCs w:val="24"/>
            </w:rPr>
            <w:fldChar w:fldCharType="end"/>
          </w:r>
        </w:p>
        <w:p>
          <w:pPr>
            <w:pStyle w:val="30"/>
            <w:tabs>
              <w:tab w:val="right" w:leader="dot" w:pos="8306"/>
            </w:tabs>
            <w:spacing w:line="440" w:lineRule="exact"/>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_Toc6968_WPSOffice_Level1 </w:instrText>
          </w:r>
          <w:r>
            <w:rPr>
              <w:rFonts w:hint="eastAsia" w:ascii="仿宋" w:hAnsi="仿宋" w:eastAsia="仿宋" w:cs="仿宋"/>
              <w:b w:val="0"/>
              <w:bCs w:val="0"/>
              <w:sz w:val="24"/>
              <w:szCs w:val="24"/>
            </w:rPr>
            <w:fldChar w:fldCharType="separate"/>
          </w:r>
          <w:sdt>
            <w:sdtPr>
              <w:rPr>
                <w:rFonts w:hint="eastAsia" w:ascii="仿宋" w:hAnsi="仿宋" w:eastAsia="仿宋" w:cs="仿宋"/>
                <w:b w:val="0"/>
                <w:bCs w:val="0"/>
                <w:kern w:val="2"/>
                <w:sz w:val="24"/>
                <w:szCs w:val="24"/>
                <w:lang w:val="en-US" w:eastAsia="zh-CN" w:bidi="ar-SA"/>
              </w:rPr>
              <w:id w:val="147459859"/>
              <w:placeholder>
                <w:docPart w:val="{90136eb8-1de9-47d3-a4ae-f736edb0f360}"/>
              </w:placeholder>
            </w:sdtPr>
            <w:sdtEndPr>
              <w:rPr>
                <w:rFonts w:hint="eastAsia" w:ascii="仿宋" w:hAnsi="仿宋" w:eastAsia="仿宋" w:cs="仿宋"/>
                <w:b w:val="0"/>
                <w:bCs w:val="0"/>
                <w:kern w:val="2"/>
                <w:sz w:val="24"/>
                <w:szCs w:val="24"/>
                <w:lang w:val="en-US" w:eastAsia="zh-CN" w:bidi="ar-SA"/>
              </w:rPr>
            </w:sdtEndPr>
            <w:sdtContent>
              <w:r>
                <w:rPr>
                  <w:rFonts w:hint="eastAsia" w:ascii="仿宋" w:hAnsi="仿宋" w:eastAsia="仿宋" w:cs="仿宋"/>
                  <w:b w:val="0"/>
                  <w:bCs w:val="0"/>
                  <w:sz w:val="24"/>
                  <w:szCs w:val="24"/>
                </w:rPr>
                <w:t>第五部分 附表</w:t>
              </w:r>
            </w:sdtContent>
          </w:sdt>
          <w:r>
            <w:rPr>
              <w:rFonts w:hint="eastAsia" w:ascii="仿宋" w:hAnsi="仿宋" w:eastAsia="仿宋" w:cs="仿宋"/>
              <w:b w:val="0"/>
              <w:bCs w:val="0"/>
              <w:sz w:val="24"/>
              <w:szCs w:val="24"/>
            </w:rPr>
            <w:tab/>
          </w:r>
          <w:bookmarkStart w:id="30" w:name="_Toc6968_WPSOffice_Level1Page"/>
          <w:r>
            <w:rPr>
              <w:rFonts w:hint="eastAsia" w:ascii="仿宋" w:hAnsi="仿宋" w:eastAsia="仿宋" w:cs="仿宋"/>
              <w:b w:val="0"/>
              <w:bCs w:val="0"/>
              <w:sz w:val="24"/>
              <w:szCs w:val="24"/>
            </w:rPr>
            <w:t>2</w:t>
          </w:r>
          <w:bookmarkEnd w:id="30"/>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_Toc5750_WPSOffice_Level2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ee78d56c-98b1-4a1c-a84d-380f2ea83b30}"/>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一、收入支出决算总表</w:t>
              </w:r>
            </w:sdtContent>
          </w:sdt>
          <w:r>
            <w:rPr>
              <w:rFonts w:hint="eastAsia" w:asciiTheme="minorEastAsia" w:hAnsiTheme="minorEastAsia" w:eastAsiaTheme="minorEastAsia" w:cstheme="minorEastAsia"/>
              <w:sz w:val="24"/>
              <w:szCs w:val="24"/>
            </w:rPr>
            <w:tab/>
          </w:r>
          <w:bookmarkStart w:id="31" w:name="_Toc5750_WPSOffice_Level2Page"/>
          <w:r>
            <w:rPr>
              <w:rFonts w:hint="eastAsia" w:asciiTheme="minorEastAsia" w:hAnsiTheme="minorEastAsia" w:eastAsiaTheme="minorEastAsia" w:cstheme="minorEastAsia"/>
              <w:sz w:val="24"/>
              <w:szCs w:val="24"/>
            </w:rPr>
            <w:t>2</w:t>
          </w:r>
          <w:bookmarkEnd w:id="31"/>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_Toc382_WPSOffice_Level2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f2d324af-e191-483b-bb6e-455c0439e01b}"/>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二、收入决算表</w:t>
              </w:r>
            </w:sdtContent>
          </w:sdt>
          <w:r>
            <w:rPr>
              <w:rFonts w:hint="eastAsia" w:asciiTheme="minorEastAsia" w:hAnsiTheme="minorEastAsia" w:eastAsiaTheme="minorEastAsia" w:cstheme="minorEastAsia"/>
              <w:sz w:val="24"/>
              <w:szCs w:val="24"/>
            </w:rPr>
            <w:tab/>
          </w:r>
          <w:bookmarkStart w:id="32" w:name="_Toc382_WPSOffice_Level2Page"/>
          <w:r>
            <w:rPr>
              <w:rFonts w:hint="eastAsia" w:asciiTheme="minorEastAsia" w:hAnsiTheme="minorEastAsia" w:eastAsiaTheme="minorEastAsia" w:cstheme="minorEastAsia"/>
              <w:sz w:val="24"/>
              <w:szCs w:val="24"/>
            </w:rPr>
            <w:t>2</w:t>
          </w:r>
          <w:bookmarkEnd w:id="32"/>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_Toc7992_WPSOffice_Level2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ae7ef6a8-7253-4bc8-a936-2fbf8f456947}"/>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三、支出决算表</w:t>
              </w:r>
            </w:sdtContent>
          </w:sdt>
          <w:r>
            <w:rPr>
              <w:rFonts w:hint="eastAsia" w:asciiTheme="minorEastAsia" w:hAnsiTheme="minorEastAsia" w:eastAsiaTheme="minorEastAsia" w:cstheme="minorEastAsia"/>
              <w:sz w:val="24"/>
              <w:szCs w:val="24"/>
            </w:rPr>
            <w:tab/>
          </w:r>
          <w:bookmarkStart w:id="33" w:name="_Toc7992_WPSOffice_Level2Page"/>
          <w:r>
            <w:rPr>
              <w:rFonts w:hint="eastAsia" w:asciiTheme="minorEastAsia" w:hAnsiTheme="minorEastAsia" w:eastAsiaTheme="minorEastAsia" w:cstheme="minorEastAsia"/>
              <w:sz w:val="24"/>
              <w:szCs w:val="24"/>
            </w:rPr>
            <w:t>2</w:t>
          </w:r>
          <w:bookmarkEnd w:id="33"/>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_Toc1667_WPSOffice_Level2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8ca799f0-1fea-4cb7-8f05-1f84ce4ef50e}"/>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四、财政拨款收入支出决算总表</w:t>
              </w:r>
            </w:sdtContent>
          </w:sdt>
          <w:r>
            <w:rPr>
              <w:rFonts w:hint="eastAsia" w:asciiTheme="minorEastAsia" w:hAnsiTheme="minorEastAsia" w:eastAsiaTheme="minorEastAsia" w:cstheme="minorEastAsia"/>
              <w:sz w:val="24"/>
              <w:szCs w:val="24"/>
            </w:rPr>
            <w:tab/>
          </w:r>
          <w:bookmarkStart w:id="34" w:name="_Toc1667_WPSOffice_Level2Page"/>
          <w:r>
            <w:rPr>
              <w:rFonts w:hint="eastAsia" w:asciiTheme="minorEastAsia" w:hAnsiTheme="minorEastAsia" w:eastAsiaTheme="minorEastAsia" w:cstheme="minorEastAsia"/>
              <w:sz w:val="24"/>
              <w:szCs w:val="24"/>
            </w:rPr>
            <w:t>2</w:t>
          </w:r>
          <w:bookmarkEnd w:id="34"/>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_Toc14440_WPSOffice_Level2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bcc37243-d534-4478-8053-caf7ddf5b410}"/>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五、财政拨款支出决算明细表</w:t>
              </w:r>
            </w:sdtContent>
          </w:sdt>
          <w:r>
            <w:rPr>
              <w:rFonts w:hint="eastAsia" w:asciiTheme="minorEastAsia" w:hAnsiTheme="minorEastAsia" w:eastAsiaTheme="minorEastAsia" w:cstheme="minorEastAsia"/>
              <w:sz w:val="24"/>
              <w:szCs w:val="24"/>
            </w:rPr>
            <w:tab/>
          </w:r>
          <w:bookmarkStart w:id="35" w:name="_Toc14440_WPSOffice_Level2Page"/>
          <w:r>
            <w:rPr>
              <w:rFonts w:hint="eastAsia" w:asciiTheme="minorEastAsia" w:hAnsiTheme="minorEastAsia" w:eastAsiaTheme="minorEastAsia" w:cstheme="minorEastAsia"/>
              <w:sz w:val="24"/>
              <w:szCs w:val="24"/>
            </w:rPr>
            <w:t>2</w:t>
          </w:r>
          <w:bookmarkEnd w:id="35"/>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_Toc12247_WPSOffice_Level2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df701110-d4a5-433d-a7ba-acc987c90536}"/>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六、一般公共预算财政拨款支出决算表</w:t>
              </w:r>
            </w:sdtContent>
          </w:sdt>
          <w:r>
            <w:rPr>
              <w:rFonts w:hint="eastAsia" w:asciiTheme="minorEastAsia" w:hAnsiTheme="minorEastAsia" w:eastAsiaTheme="minorEastAsia" w:cstheme="minorEastAsia"/>
              <w:sz w:val="24"/>
              <w:szCs w:val="24"/>
            </w:rPr>
            <w:tab/>
          </w:r>
          <w:bookmarkStart w:id="36" w:name="_Toc12247_WPSOffice_Level2Page"/>
          <w:r>
            <w:rPr>
              <w:rFonts w:hint="eastAsia" w:asciiTheme="minorEastAsia" w:hAnsiTheme="minorEastAsia" w:eastAsiaTheme="minorEastAsia" w:cstheme="minorEastAsia"/>
              <w:sz w:val="24"/>
              <w:szCs w:val="24"/>
            </w:rPr>
            <w:t>2</w:t>
          </w:r>
          <w:bookmarkEnd w:id="36"/>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_Toc5349_WPSOffice_Level2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a1a5c128-d6dd-43ba-90a2-8af213e0b374}"/>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七、一般公共预算财政拨款支出决算明细表</w:t>
              </w:r>
            </w:sdtContent>
          </w:sdt>
          <w:r>
            <w:rPr>
              <w:rFonts w:hint="eastAsia" w:asciiTheme="minorEastAsia" w:hAnsiTheme="minorEastAsia" w:eastAsiaTheme="minorEastAsia" w:cstheme="minorEastAsia"/>
              <w:sz w:val="24"/>
              <w:szCs w:val="24"/>
            </w:rPr>
            <w:tab/>
          </w:r>
          <w:bookmarkStart w:id="37" w:name="_Toc5349_WPSOffice_Level2Page"/>
          <w:r>
            <w:rPr>
              <w:rFonts w:hint="eastAsia" w:asciiTheme="minorEastAsia" w:hAnsiTheme="minorEastAsia" w:eastAsiaTheme="minorEastAsia" w:cstheme="minorEastAsia"/>
              <w:sz w:val="24"/>
              <w:szCs w:val="24"/>
            </w:rPr>
            <w:t>2</w:t>
          </w:r>
          <w:bookmarkEnd w:id="37"/>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_Toc27549_WPSOffice_Level2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98275faf-bd63-4c68-acce-68fdad79c0ee}"/>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八、一般公共预算财政拨款基本支出决算表</w:t>
              </w:r>
            </w:sdtContent>
          </w:sdt>
          <w:r>
            <w:rPr>
              <w:rFonts w:hint="eastAsia" w:asciiTheme="minorEastAsia" w:hAnsiTheme="minorEastAsia" w:eastAsiaTheme="minorEastAsia" w:cstheme="minorEastAsia"/>
              <w:sz w:val="24"/>
              <w:szCs w:val="24"/>
            </w:rPr>
            <w:tab/>
          </w:r>
          <w:bookmarkStart w:id="38" w:name="_Toc27549_WPSOffice_Level2Page"/>
          <w:r>
            <w:rPr>
              <w:rFonts w:hint="eastAsia" w:asciiTheme="minorEastAsia" w:hAnsiTheme="minorEastAsia" w:eastAsiaTheme="minorEastAsia" w:cstheme="minorEastAsia"/>
              <w:sz w:val="24"/>
              <w:szCs w:val="24"/>
            </w:rPr>
            <w:t>2</w:t>
          </w:r>
          <w:bookmarkEnd w:id="38"/>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_Toc24056_WPSOffice_Level2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848aa057-02d9-4c2c-bae0-d40ba4f5b1fc}"/>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九、一般公共预算财政拨款项目支出决算表</w:t>
              </w:r>
            </w:sdtContent>
          </w:sdt>
          <w:r>
            <w:rPr>
              <w:rFonts w:hint="eastAsia" w:asciiTheme="minorEastAsia" w:hAnsiTheme="minorEastAsia" w:eastAsiaTheme="minorEastAsia" w:cstheme="minorEastAsia"/>
              <w:sz w:val="24"/>
              <w:szCs w:val="24"/>
            </w:rPr>
            <w:tab/>
          </w:r>
          <w:bookmarkStart w:id="39" w:name="_Toc24056_WPSOffice_Level2Page"/>
          <w:r>
            <w:rPr>
              <w:rFonts w:hint="eastAsia" w:asciiTheme="minorEastAsia" w:hAnsiTheme="minorEastAsia" w:eastAsiaTheme="minorEastAsia" w:cstheme="minorEastAsia"/>
              <w:sz w:val="24"/>
              <w:szCs w:val="24"/>
            </w:rPr>
            <w:t>2</w:t>
          </w:r>
          <w:bookmarkEnd w:id="39"/>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_Toc19151_WPSOffice_Level2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055e3369-33cb-4c6a-82ca-090d110ee9e8}"/>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十、一般公共预算财政拨款“三公”经费支出决算表</w:t>
              </w:r>
            </w:sdtContent>
          </w:sdt>
          <w:r>
            <w:rPr>
              <w:rFonts w:hint="eastAsia" w:asciiTheme="minorEastAsia" w:hAnsiTheme="minorEastAsia" w:eastAsiaTheme="minorEastAsia" w:cstheme="minorEastAsia"/>
              <w:sz w:val="24"/>
              <w:szCs w:val="24"/>
            </w:rPr>
            <w:tab/>
          </w:r>
          <w:bookmarkStart w:id="40" w:name="_Toc19151_WPSOffice_Level2Page"/>
          <w:r>
            <w:rPr>
              <w:rFonts w:hint="eastAsia" w:asciiTheme="minorEastAsia" w:hAnsiTheme="minorEastAsia" w:eastAsiaTheme="minorEastAsia" w:cstheme="minorEastAsia"/>
              <w:sz w:val="24"/>
              <w:szCs w:val="24"/>
            </w:rPr>
            <w:t>2</w:t>
          </w:r>
          <w:bookmarkEnd w:id="40"/>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_Toc582_WPSOffice_Level2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3b796e13-e761-4b72-8566-d4ec2410ed8f}"/>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十一、政府性基金预算财政拨款收入支出决算表</w:t>
              </w:r>
            </w:sdtContent>
          </w:sdt>
          <w:r>
            <w:rPr>
              <w:rFonts w:hint="eastAsia" w:asciiTheme="minorEastAsia" w:hAnsiTheme="minorEastAsia" w:eastAsiaTheme="minorEastAsia" w:cstheme="minorEastAsia"/>
              <w:sz w:val="24"/>
              <w:szCs w:val="24"/>
            </w:rPr>
            <w:tab/>
          </w:r>
          <w:bookmarkStart w:id="41" w:name="_Toc582_WPSOffice_Level2Page"/>
          <w:r>
            <w:rPr>
              <w:rFonts w:hint="eastAsia" w:asciiTheme="minorEastAsia" w:hAnsiTheme="minorEastAsia" w:eastAsiaTheme="minorEastAsia" w:cstheme="minorEastAsia"/>
              <w:sz w:val="24"/>
              <w:szCs w:val="24"/>
            </w:rPr>
            <w:t>2</w:t>
          </w:r>
          <w:bookmarkEnd w:id="41"/>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_Toc17629_WPSOffice_Level2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faaf2ca9-4756-410e-aa70-d8c916633270}"/>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十二、政府性基金预算财政拨款“三公”经费支出决算表</w:t>
              </w:r>
            </w:sdtContent>
          </w:sdt>
          <w:r>
            <w:rPr>
              <w:rFonts w:hint="eastAsia" w:asciiTheme="minorEastAsia" w:hAnsiTheme="minorEastAsia" w:eastAsiaTheme="minorEastAsia" w:cstheme="minorEastAsia"/>
              <w:sz w:val="24"/>
              <w:szCs w:val="24"/>
            </w:rPr>
            <w:tab/>
          </w:r>
          <w:bookmarkStart w:id="42" w:name="_Toc17629_WPSOffice_Level2Page"/>
          <w:r>
            <w:rPr>
              <w:rFonts w:hint="eastAsia" w:asciiTheme="minorEastAsia" w:hAnsiTheme="minorEastAsia" w:eastAsiaTheme="minorEastAsia" w:cstheme="minorEastAsia"/>
              <w:sz w:val="24"/>
              <w:szCs w:val="24"/>
            </w:rPr>
            <w:t>2</w:t>
          </w:r>
          <w:bookmarkEnd w:id="42"/>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p>
        <w:p>
          <w:pPr>
            <w:pStyle w:val="31"/>
            <w:tabs>
              <w:tab w:val="right" w:leader="dot" w:pos="8306"/>
            </w:tabs>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_Toc22868_WPSOffice_Level2 </w:instrText>
          </w:r>
          <w:r>
            <w:rPr>
              <w:rFonts w:hint="eastAsia" w:asciiTheme="minorEastAsia" w:hAnsiTheme="minorEastAsia" w:eastAsiaTheme="minorEastAsia" w:cstheme="minorEastAsia"/>
              <w:sz w:val="24"/>
              <w:szCs w:val="24"/>
            </w:rPr>
            <w:fldChar w:fldCharType="separate"/>
          </w:r>
          <w:sdt>
            <w:sdtPr>
              <w:rPr>
                <w:rFonts w:hint="eastAsia" w:asciiTheme="minorEastAsia" w:hAnsiTheme="minorEastAsia" w:eastAsiaTheme="minorEastAsia" w:cstheme="minorEastAsia"/>
                <w:kern w:val="2"/>
                <w:sz w:val="24"/>
                <w:szCs w:val="24"/>
                <w:lang w:val="en-US" w:eastAsia="zh-CN" w:bidi="ar-SA"/>
              </w:rPr>
              <w:id w:val="147459859"/>
              <w:placeholder>
                <w:docPart w:val="{d24fd366-3876-41f0-b468-6ac69b6053a9}"/>
              </w:placeholder>
            </w:sdtPr>
            <w:sdtEndPr>
              <w:rPr>
                <w:rFonts w:hint="eastAsia" w:asciiTheme="minorEastAsia" w:hAnsiTheme="minorEastAsia" w:eastAsiaTheme="minorEastAsia" w:cstheme="minorEastAsia"/>
                <w:kern w:val="2"/>
                <w:sz w:val="24"/>
                <w:szCs w:val="24"/>
                <w:lang w:val="en-US" w:eastAsia="zh-CN" w:bidi="ar-SA"/>
              </w:rPr>
            </w:sdtEndPr>
            <w:sdtContent>
              <w:r>
                <w:rPr>
                  <w:rFonts w:hint="eastAsia" w:asciiTheme="minorEastAsia" w:hAnsiTheme="minorEastAsia" w:eastAsiaTheme="minorEastAsia" w:cstheme="minorEastAsia"/>
                  <w:sz w:val="24"/>
                  <w:szCs w:val="24"/>
                </w:rPr>
                <w:t>十三、国有资本经营预算支出决算表</w:t>
              </w:r>
            </w:sdtContent>
          </w:sdt>
          <w:r>
            <w:rPr>
              <w:rFonts w:hint="eastAsia" w:asciiTheme="minorEastAsia" w:hAnsiTheme="minorEastAsia" w:eastAsiaTheme="minorEastAsia" w:cstheme="minorEastAsia"/>
              <w:sz w:val="24"/>
              <w:szCs w:val="24"/>
            </w:rPr>
            <w:tab/>
          </w:r>
          <w:bookmarkStart w:id="43" w:name="_Toc22868_WPSOffice_Level2Page"/>
          <w:r>
            <w:rPr>
              <w:rFonts w:hint="eastAsia" w:asciiTheme="minorEastAsia" w:hAnsiTheme="minorEastAsia" w:eastAsiaTheme="minorEastAsia" w:cstheme="minorEastAsia"/>
              <w:sz w:val="24"/>
              <w:szCs w:val="24"/>
            </w:rPr>
            <w:t>2</w:t>
          </w:r>
          <w:bookmarkEnd w:id="43"/>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bookmarkEnd w:id="12"/>
        </w:p>
      </w:sdtContent>
    </w:sdt>
    <w:p>
      <w:pPr>
        <w:pStyle w:val="2"/>
        <w:jc w:val="center"/>
        <w:rPr>
          <w:rFonts w:hint="eastAsia" w:ascii="黑体" w:hAnsi="黑体" w:eastAsia="黑体"/>
          <w:b w:val="0"/>
        </w:rPr>
        <w:sectPr>
          <w:footerReference r:id="rId7" w:type="first"/>
          <w:footerReference r:id="rId6" w:type="default"/>
          <w:pgSz w:w="11906" w:h="16838"/>
          <w:pgMar w:top="1440" w:right="1800" w:bottom="1440" w:left="1800" w:header="851" w:footer="992" w:gutter="0"/>
          <w:pgNumType w:start="1"/>
          <w:cols w:space="425" w:num="1"/>
          <w:titlePg/>
          <w:docGrid w:type="lines" w:linePitch="312" w:charSpace="0"/>
        </w:sectPr>
      </w:pPr>
      <w:bookmarkStart w:id="44" w:name="_Toc15377196"/>
      <w:bookmarkStart w:id="45" w:name="_Toc15396599"/>
    </w:p>
    <w:p>
      <w:pPr>
        <w:pStyle w:val="2"/>
        <w:jc w:val="center"/>
        <w:rPr>
          <w:rStyle w:val="24"/>
          <w:rFonts w:ascii="黑体" w:hAnsi="黑体" w:eastAsia="黑体"/>
          <w:b/>
          <w:bCs w:val="0"/>
        </w:rPr>
      </w:pPr>
      <w:bookmarkStart w:id="46" w:name="_Toc15108_WPSOffice_Level1"/>
      <w:r>
        <w:rPr>
          <w:rFonts w:hint="eastAsia" w:ascii="黑体" w:hAnsi="黑体" w:eastAsia="黑体"/>
          <w:b w:val="0"/>
        </w:rPr>
        <w:t xml:space="preserve">第一部分 </w:t>
      </w:r>
      <w:r>
        <w:rPr>
          <w:rStyle w:val="24"/>
          <w:rFonts w:hint="eastAsia" w:ascii="黑体" w:hAnsi="黑体" w:eastAsia="黑体"/>
          <w:b w:val="0"/>
          <w:bCs w:val="0"/>
        </w:rPr>
        <w:t>部门概况</w:t>
      </w:r>
      <w:bookmarkEnd w:id="44"/>
      <w:bookmarkEnd w:id="45"/>
      <w:bookmarkEnd w:id="46"/>
    </w:p>
    <w:p>
      <w:pPr>
        <w:widowControl/>
        <w:jc w:val="left"/>
        <w:rPr>
          <w:rFonts w:ascii="黑体" w:eastAsia="黑体"/>
          <w:color w:val="000000"/>
          <w:sz w:val="32"/>
          <w:szCs w:val="32"/>
        </w:rPr>
      </w:pPr>
    </w:p>
    <w:p>
      <w:pPr>
        <w:pStyle w:val="3"/>
        <w:ind w:firstLine="640" w:firstLineChars="200"/>
        <w:rPr>
          <w:rStyle w:val="25"/>
          <w:rFonts w:ascii="仿宋" w:hAnsi="仿宋" w:eastAsia="仿宋"/>
          <w:b w:val="0"/>
          <w:bCs w:val="0"/>
        </w:rPr>
      </w:pPr>
      <w:bookmarkStart w:id="47" w:name="_Toc15396600"/>
      <w:bookmarkStart w:id="48" w:name="_Toc5490_WPSOffice_Level2"/>
      <w:bookmarkStart w:id="49"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47"/>
      <w:bookmarkEnd w:id="48"/>
      <w:bookmarkEnd w:id="49"/>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50" w:name="_Toc15378445"/>
      <w:bookmarkStart w:id="51" w:name="_Toc15377198"/>
      <w:r>
        <w:rPr>
          <w:rFonts w:hint="eastAsia" w:ascii="仿宋" w:hAnsi="仿宋" w:eastAsia="仿宋"/>
          <w:bCs/>
          <w:color w:val="000000"/>
          <w:sz w:val="32"/>
          <w:szCs w:val="32"/>
        </w:rPr>
        <w:t>（一）主要职能。</w:t>
      </w:r>
      <w:bookmarkEnd w:id="50"/>
      <w:bookmarkEnd w:id="51"/>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四川省财政投资评审中心（以下简称“评审中心”）主要职责任务是：承担主要由国家和省安排资金的项目概（预、决）算、省级财政专项支出项目预算的评审任务；开展对国家投资项目建设全过程的管理和效益评价等方面的业务，对项目支出预算执行和专项资金使用情况进行追踪问效；开展与国家投资有关的市场研究、财务管理和分析、投资风险分析等业务；承办投资财务培训等工作；参与我省投资项目管理有关政策、法规以及政府性投资评审操作规程、指标体系的研究和项目标准、定额的评价。</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52" w:name="_Toc15377199"/>
      <w:bookmarkStart w:id="53"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52"/>
      <w:bookmarkEnd w:id="53"/>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1.项目评审工作。2019年，评审中心共完成估（概）算、预算、决（结）算评审项目355个，送审投资171.98亿元，审定投资152.58亿元，审减投资19.4亿元，综合审减率11.28%。</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2.绩效评价工作。2019年，评审中心完成厅财政监督与绩效管理处和其他业务处室委托的省人大常委会办公厅等28个省级部门整体支出绩效评价工作，涉及资金85.12亿元；完成“重点生态功能区转移支付”等14个项目支出绩效评价工作，涉及资金118.08亿元；完成产业发展、民生保障等2类政策绩效评价工作，涉及资金2.41亿元。</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3.财政资金监管工作。2019年，评审中心完成“四川省西昌强制隔离戒毒所概算执行情况评审监管”、“四川省农业机械鉴定基地建设预算执行情况”、“四川省粮食增产气象保障工程资金到位评审”等3个财政资金监管项目，涉及财政资金5.81亿元。</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4.</w:t>
      </w:r>
      <w:r>
        <w:rPr>
          <w:rFonts w:hint="eastAsia" w:ascii="仿宋" w:hAnsi="仿宋" w:eastAsia="仿宋"/>
          <w:bCs/>
          <w:color w:val="000000"/>
          <w:sz w:val="32"/>
          <w:szCs w:val="32"/>
          <w:lang w:eastAsia="zh-CN"/>
        </w:rPr>
        <w:t>其他</w:t>
      </w:r>
      <w:r>
        <w:rPr>
          <w:rFonts w:hint="eastAsia" w:ascii="仿宋" w:hAnsi="仿宋" w:eastAsia="仿宋"/>
          <w:bCs/>
          <w:color w:val="000000"/>
          <w:sz w:val="32"/>
          <w:szCs w:val="32"/>
        </w:rPr>
        <w:t>工作。2019年，评审中心完成 “两不愁、三保障”扶贫资金专项核查等10个专项核查任务，完成“遂宁市、巴中市、甘孜州开展政府工程欠款清偿工作专题调研”工作1项，协助厅机关业务处室、有关主管部门开展项目验收、初步设计评审等其他工作13项，完成财政部预算评审中心交办的2019年中央部门资格考试教务费项目支出标准建设工作。</w:t>
      </w:r>
    </w:p>
    <w:p>
      <w:pPr>
        <w:pStyle w:val="3"/>
        <w:ind w:firstLine="640" w:firstLineChars="200"/>
        <w:rPr>
          <w:rStyle w:val="25"/>
          <w:b w:val="0"/>
          <w:bCs w:val="0"/>
        </w:rPr>
      </w:pPr>
      <w:bookmarkStart w:id="54" w:name="_Toc15377200"/>
      <w:bookmarkStart w:id="55" w:name="_Toc3345_WPSOffice_Level2"/>
      <w:bookmarkStart w:id="56"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54"/>
      <w:bookmarkEnd w:id="55"/>
      <w:bookmarkEnd w:id="56"/>
    </w:p>
    <w:p>
      <w:pPr>
        <w:ind w:firstLine="640" w:firstLineChars="200"/>
        <w:rPr>
          <w:rFonts w:hint="eastAsia" w:ascii="仿宋" w:hAnsi="仿宋" w:eastAsia="仿宋"/>
          <w:sz w:val="32"/>
          <w:szCs w:val="32"/>
        </w:rPr>
        <w:sectPr>
          <w:footerReference r:id="rId9" w:type="first"/>
          <w:footerReference r:id="rId8" w:type="default"/>
          <w:pgSz w:w="11906" w:h="16838"/>
          <w:pgMar w:top="1440" w:right="1800" w:bottom="1440" w:left="1800" w:header="851" w:footer="992" w:gutter="0"/>
          <w:pgNumType w:fmt="decimal" w:start="1"/>
          <w:cols w:space="425" w:num="1"/>
          <w:titlePg/>
          <w:docGrid w:type="lines" w:linePitch="312" w:charSpace="0"/>
        </w:sectPr>
      </w:pPr>
      <w:r>
        <w:rPr>
          <w:rFonts w:hint="eastAsia" w:ascii="仿宋" w:hAnsi="仿宋" w:eastAsia="仿宋"/>
          <w:sz w:val="32"/>
          <w:szCs w:val="32"/>
          <w:lang w:eastAsia="zh-CN"/>
        </w:rPr>
        <w:t>四川省财政投资评审中心</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2"/>
        <w:ind w:right="440"/>
        <w:jc w:val="center"/>
        <w:rPr>
          <w:rStyle w:val="24"/>
          <w:rFonts w:ascii="黑体" w:hAnsi="黑体" w:eastAsia="黑体"/>
          <w:b w:val="0"/>
          <w:bCs w:val="0"/>
        </w:rPr>
      </w:pPr>
      <w:bookmarkStart w:id="57" w:name="_Toc15377204"/>
      <w:bookmarkStart w:id="58" w:name="_Toc15396602"/>
      <w:bookmarkStart w:id="59" w:name="_Toc5490_WPSOffice_Level1"/>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57"/>
      <w:bookmarkEnd w:id="58"/>
      <w:bookmarkEnd w:id="59"/>
    </w:p>
    <w:p/>
    <w:p>
      <w:pPr>
        <w:pStyle w:val="23"/>
        <w:numPr>
          <w:ilvl w:val="0"/>
          <w:numId w:val="1"/>
        </w:numPr>
        <w:spacing w:line="600" w:lineRule="exact"/>
        <w:ind w:firstLineChars="0"/>
        <w:outlineLvl w:val="1"/>
        <w:rPr>
          <w:rStyle w:val="25"/>
          <w:rFonts w:ascii="黑体" w:hAnsi="黑体" w:eastAsia="黑体"/>
          <w:b w:val="0"/>
        </w:rPr>
      </w:pPr>
      <w:bookmarkStart w:id="60" w:name="_Toc15396603"/>
      <w:bookmarkStart w:id="61" w:name="_Toc15377205"/>
      <w:bookmarkStart w:id="62" w:name="_Toc24782_WPSOffice_Level2"/>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60"/>
      <w:bookmarkEnd w:id="61"/>
      <w:bookmarkEnd w:id="62"/>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58240" behindDoc="0" locked="0" layoutInCell="1" allowOverlap="1">
            <wp:simplePos x="0" y="0"/>
            <wp:positionH relativeFrom="column">
              <wp:posOffset>106045</wp:posOffset>
            </wp:positionH>
            <wp:positionV relativeFrom="paragraph">
              <wp:posOffset>1195070</wp:posOffset>
            </wp:positionV>
            <wp:extent cx="5080000" cy="3810000"/>
            <wp:effectExtent l="4445" t="4445" r="2095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1728.14</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66.83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3.72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财政委托业务支出小幅减少。</w:t>
      </w:r>
    </w:p>
    <w:p>
      <w:pPr>
        <w:spacing w:line="600" w:lineRule="exact"/>
        <w:ind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w:t>
      </w: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63" w:name="_Toc15377206"/>
      <w:bookmarkStart w:id="64" w:name="_Toc15396604"/>
      <w:bookmarkStart w:id="65" w:name="_Toc6968_WPSOffice_Level2"/>
      <w:r>
        <w:rPr>
          <w:rFonts w:hint="eastAsia" w:ascii="黑体" w:hAnsi="黑体" w:eastAsia="黑体"/>
          <w:color w:val="000000"/>
          <w:sz w:val="32"/>
          <w:szCs w:val="32"/>
        </w:rPr>
        <w:t>收</w:t>
      </w:r>
      <w:r>
        <w:rPr>
          <w:rStyle w:val="25"/>
          <w:rFonts w:hint="eastAsia" w:ascii="黑体" w:hAnsi="黑体" w:eastAsia="黑体"/>
          <w:b w:val="0"/>
        </w:rPr>
        <w:t>入决算情况说明</w:t>
      </w:r>
      <w:bookmarkEnd w:id="63"/>
      <w:bookmarkEnd w:id="64"/>
      <w:bookmarkEnd w:id="65"/>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1728.14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1728.14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3" w:firstLineChars="200"/>
        <w:jc w:val="center"/>
        <w:outlineLvl w:val="1"/>
        <w:rPr>
          <w:rFonts w:ascii="仿宋" w:hAnsi="仿宋" w:eastAsia="仿宋"/>
          <w:color w:val="000000" w:themeColor="text1"/>
          <w:sz w:val="32"/>
          <w:szCs w:val="32"/>
        </w:rPr>
      </w:pPr>
      <w:r>
        <w:rPr>
          <w:rFonts w:hint="eastAsia" w:ascii="仿宋" w:hAnsi="仿宋" w:eastAsia="仿宋"/>
          <w:b/>
          <w:color w:val="FF0000"/>
          <w:sz w:val="32"/>
          <w:szCs w:val="32"/>
          <w:u w:val="none"/>
        </w:rPr>
        <w:drawing>
          <wp:anchor distT="0" distB="0" distL="114300" distR="114300" simplePos="0" relativeHeight="251659264" behindDoc="0" locked="0" layoutInCell="1" allowOverlap="1">
            <wp:simplePos x="0" y="0"/>
            <wp:positionH relativeFrom="column">
              <wp:posOffset>106045</wp:posOffset>
            </wp:positionH>
            <wp:positionV relativeFrom="paragraph">
              <wp:posOffset>71120</wp:posOffset>
            </wp:positionV>
            <wp:extent cx="5080000" cy="3228975"/>
            <wp:effectExtent l="4445" t="4445" r="20955" b="508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000000" w:themeColor="text1"/>
          <w:sz w:val="32"/>
          <w:szCs w:val="32"/>
        </w:rPr>
        <w:t>（图2：收入决算结构图）</w:t>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66" w:name="_Toc23241_WPSOffice_Level2"/>
      <w:bookmarkStart w:id="67" w:name="_Toc15377207"/>
      <w:bookmarkStart w:id="68"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66"/>
      <w:bookmarkEnd w:id="67"/>
      <w:bookmarkEnd w:id="68"/>
    </w:p>
    <w:p>
      <w:pPr>
        <w:spacing w:line="600" w:lineRule="exact"/>
        <w:ind w:firstLine="640" w:firstLineChars="200"/>
        <w:outlineLvl w:val="1"/>
        <w:rPr>
          <w:rFonts w:ascii="仿宋" w:hAnsi="仿宋" w:eastAsia="仿宋"/>
          <w:color w:val="000000"/>
          <w:sz w:val="32"/>
          <w:szCs w:val="32"/>
          <w:shd w:val="pct10" w:color="auto" w:fill="FFFFFF"/>
        </w:rPr>
      </w:pPr>
      <w:r>
        <w:rPr>
          <w:rFonts w:hint="eastAsia" w:ascii="仿宋" w:hAnsi="仿宋" w:eastAsia="仿宋"/>
          <w:color w:val="000000"/>
          <w:sz w:val="32"/>
          <w:szCs w:val="32"/>
          <w:shd w:val="pct10" w:color="auto" w:fill="FFFFFF"/>
          <w:lang w:eastAsia="zh-CN"/>
        </w:rPr>
        <w:drawing>
          <wp:anchor distT="0" distB="0" distL="114300" distR="114300" simplePos="0" relativeHeight="251660288" behindDoc="0" locked="0" layoutInCell="1" allowOverlap="1">
            <wp:simplePos x="0" y="0"/>
            <wp:positionH relativeFrom="column">
              <wp:posOffset>96520</wp:posOffset>
            </wp:positionH>
            <wp:positionV relativeFrom="paragraph">
              <wp:posOffset>810260</wp:posOffset>
            </wp:positionV>
            <wp:extent cx="5080000" cy="3086735"/>
            <wp:effectExtent l="4445" t="4445" r="20955" b="1397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1728.14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414.37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23.98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1313.77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76.02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69" w:name="_Toc15377208"/>
      <w:bookmarkStart w:id="70" w:name="_Toc15396606"/>
      <w:bookmarkStart w:id="71" w:name="_Toc24727_WPSOffice_Level2"/>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69"/>
      <w:bookmarkEnd w:id="70"/>
      <w:bookmarkEnd w:id="71"/>
    </w:p>
    <w:p>
      <w:pPr>
        <w:spacing w:line="60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1312" behindDoc="0" locked="0" layoutInCell="1" allowOverlap="1">
            <wp:simplePos x="0" y="0"/>
            <wp:positionH relativeFrom="column">
              <wp:posOffset>23495</wp:posOffset>
            </wp:positionH>
            <wp:positionV relativeFrom="paragraph">
              <wp:posOffset>1233170</wp:posOffset>
            </wp:positionV>
            <wp:extent cx="5080000" cy="3810000"/>
            <wp:effectExtent l="4445" t="4445" r="20955" b="1460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1728.14</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66.83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3.72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财政委托业务支出小幅减少。</w:t>
      </w:r>
    </w:p>
    <w:p>
      <w:pPr>
        <w:spacing w:line="600" w:lineRule="exact"/>
        <w:ind w:firstLine="0"/>
        <w:jc w:val="center"/>
        <w:rPr>
          <w:rFonts w:ascii="仿宋" w:hAnsi="仿宋" w:eastAsia="仿宋"/>
          <w:b/>
          <w:color w:val="FF0000"/>
          <w:sz w:val="32"/>
          <w:szCs w:val="32"/>
        </w:rPr>
      </w:pPr>
      <w:r>
        <w:rPr>
          <w:rFonts w:hint="eastAsia" w:ascii="仿宋" w:hAnsi="仿宋" w:eastAsia="仿宋"/>
          <w:color w:val="000000" w:themeColor="text1"/>
          <w:sz w:val="32"/>
          <w:szCs w:val="32"/>
        </w:rPr>
        <w:t>（图4：财政拨款收、支决算总计变动情况）</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72" w:name="_Toc3801_WPSOffice_Level2"/>
      <w:bookmarkStart w:id="73" w:name="_Toc15377209"/>
      <w:bookmarkStart w:id="74"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72"/>
      <w:bookmarkEnd w:id="73"/>
      <w:bookmarkEnd w:id="74"/>
    </w:p>
    <w:p>
      <w:pPr>
        <w:spacing w:line="600" w:lineRule="exact"/>
        <w:ind w:firstLine="643" w:firstLineChars="200"/>
        <w:outlineLvl w:val="2"/>
        <w:rPr>
          <w:rFonts w:ascii="仿宋" w:hAnsi="仿宋" w:eastAsia="仿宋"/>
          <w:b/>
          <w:color w:val="000000"/>
          <w:sz w:val="32"/>
          <w:szCs w:val="32"/>
        </w:rPr>
      </w:pPr>
      <w:bookmarkStart w:id="75" w:name="_Toc15377210"/>
      <w:r>
        <w:rPr>
          <w:rFonts w:hint="eastAsia" w:ascii="仿宋" w:hAnsi="仿宋" w:eastAsia="仿宋"/>
          <w:b/>
          <w:color w:val="000000"/>
          <w:sz w:val="32"/>
          <w:szCs w:val="32"/>
        </w:rPr>
        <w:t>（一）一般公共预算财政拨款支出决算总体情况</w:t>
      </w:r>
      <w:bookmarkEnd w:id="75"/>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1728.14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66.83</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3.72</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财政委托业务支出小幅减少。</w:t>
      </w:r>
    </w:p>
    <w:p>
      <w:pPr>
        <w:spacing w:line="600" w:lineRule="exact"/>
        <w:ind w:firstLine="640" w:firstLineChars="200"/>
        <w:jc w:val="center"/>
        <w:rPr>
          <w:rFonts w:ascii="仿宋" w:hAnsi="仿宋" w:eastAsia="仿宋"/>
          <w:color w:val="000000" w:themeColor="text1"/>
          <w:sz w:val="32"/>
          <w:szCs w:val="32"/>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128270</wp:posOffset>
            </wp:positionH>
            <wp:positionV relativeFrom="paragraph">
              <wp:posOffset>52070</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ascii="仿宋" w:hAnsi="仿宋" w:eastAsia="仿宋"/>
          <w:color w:val="000000" w:themeColor="text1"/>
          <w:sz w:val="32"/>
          <w:szCs w:val="32"/>
        </w:rPr>
        <w:t>（图5：一般公共预算财政拨款支出决算变动情况）</w:t>
      </w: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76" w:name="_Toc15377211"/>
      <w:r>
        <w:rPr>
          <w:rFonts w:hint="eastAsia" w:ascii="仿宋" w:hAnsi="仿宋" w:eastAsia="仿宋"/>
          <w:b/>
          <w:color w:val="000000"/>
          <w:sz w:val="32"/>
          <w:szCs w:val="32"/>
        </w:rPr>
        <w:t>（二）一般公共预算财政拨款支出决算结构情况</w:t>
      </w:r>
      <w:bookmarkEnd w:id="76"/>
    </w:p>
    <w:p>
      <w:pPr>
        <w:spacing w:line="600" w:lineRule="exact"/>
        <w:ind w:firstLine="640"/>
        <w:rPr>
          <w:rFonts w:ascii="仿宋" w:hAnsi="仿宋" w:eastAsia="仿宋"/>
          <w:b/>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1728.14</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1623.84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93.96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31.46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1.82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23.51</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1.36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w:t>
      </w:r>
      <w:r>
        <w:rPr>
          <w:rFonts w:hint="eastAsia" w:ascii="仿宋" w:hAnsi="仿宋" w:eastAsia="仿宋"/>
          <w:b/>
          <w:bCs/>
          <w:color w:val="000000" w:themeColor="text1"/>
          <w:sz w:val="32"/>
          <w:szCs w:val="32"/>
          <w:lang w:eastAsia="zh-CN"/>
        </w:rPr>
        <w:t>（类）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19.03</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1.11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w:t>
      </w:r>
      <w:r>
        <w:rPr>
          <w:rFonts w:hint="eastAsia" w:ascii="仿宋" w:hAnsi="仿宋" w:eastAsia="仿宋"/>
          <w:b/>
          <w:bCs/>
          <w:color w:val="000000" w:themeColor="text1"/>
          <w:sz w:val="32"/>
          <w:szCs w:val="32"/>
          <w:lang w:eastAsia="zh-CN"/>
        </w:rPr>
        <w:t>（类）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30.30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1.75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firstLineChars="0"/>
        <w:jc w:val="center"/>
        <w:rPr>
          <w:rFonts w:ascii="仿宋" w:hAnsi="仿宋" w:eastAsia="仿宋"/>
          <w:color w:val="000000"/>
          <w:sz w:val="32"/>
          <w:szCs w:val="32"/>
        </w:rPr>
      </w:pPr>
      <w:r>
        <w:rPr>
          <w:rFonts w:hint="eastAsia" w:ascii="仿宋" w:hAnsi="仿宋" w:eastAsia="仿宋"/>
          <w:color w:val="000000" w:themeColor="text1"/>
          <w:sz w:val="32"/>
          <w:szCs w:val="32"/>
          <w:lang w:eastAsia="zh-CN"/>
        </w:rPr>
        <w:drawing>
          <wp:anchor distT="0" distB="0" distL="114300" distR="114300" simplePos="0" relativeHeight="251666432" behindDoc="0" locked="0" layoutInCell="1" allowOverlap="1">
            <wp:simplePos x="0" y="0"/>
            <wp:positionH relativeFrom="column">
              <wp:posOffset>96520</wp:posOffset>
            </wp:positionH>
            <wp:positionV relativeFrom="paragraph">
              <wp:posOffset>71120</wp:posOffset>
            </wp:positionV>
            <wp:extent cx="5080000" cy="3810000"/>
            <wp:effectExtent l="4445" t="4445" r="20955" b="1460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eastAsia" w:ascii="仿宋" w:hAnsi="仿宋" w:eastAsia="仿宋"/>
          <w:color w:val="000000"/>
          <w:sz w:val="32"/>
          <w:szCs w:val="32"/>
        </w:rPr>
        <w:t>（图6：一般公共预算财政拨款支出决算结构）</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77" w:name="_Toc15377212"/>
      <w:r>
        <w:rPr>
          <w:rFonts w:hint="eastAsia" w:ascii="仿宋" w:hAnsi="仿宋" w:eastAsia="仿宋"/>
          <w:b/>
          <w:color w:val="000000"/>
          <w:sz w:val="32"/>
          <w:szCs w:val="32"/>
        </w:rPr>
        <w:t>（三）一般公共预算财政拨款支出决算具体情况</w:t>
      </w:r>
      <w:bookmarkEnd w:id="77"/>
    </w:p>
    <w:p>
      <w:pPr>
        <w:spacing w:line="600" w:lineRule="exact"/>
        <w:ind w:firstLine="643" w:firstLineChars="200"/>
        <w:outlineLvl w:val="2"/>
        <w:rPr>
          <w:rFonts w:ascii="仿宋" w:hAnsi="仿宋" w:eastAsia="仿宋"/>
          <w:color w:val="FF0000"/>
          <w:sz w:val="32"/>
          <w:szCs w:val="32"/>
        </w:rPr>
      </w:pPr>
      <w:bookmarkStart w:id="78" w:name="_Toc15378460"/>
      <w:bookmarkStart w:id="79" w:name="_Toc15377213"/>
      <w:bookmarkStart w:id="80" w:name="_Toc15377444"/>
      <w:r>
        <w:rPr>
          <w:rFonts w:hint="eastAsia" w:ascii="仿宋" w:hAnsi="仿宋" w:eastAsia="仿宋"/>
          <w:b/>
          <w:color w:val="000000" w:themeColor="text1"/>
          <w:sz w:val="32"/>
          <w:szCs w:val="32"/>
        </w:rPr>
        <w:t>2019年般公共预算支出决算数为</w:t>
      </w:r>
      <w:r>
        <w:rPr>
          <w:rFonts w:hint="eastAsia" w:ascii="仿宋" w:hAnsi="仿宋" w:eastAsia="仿宋"/>
          <w:b/>
          <w:color w:val="000000" w:themeColor="text1"/>
          <w:sz w:val="32"/>
          <w:szCs w:val="32"/>
          <w:lang w:val="en-US" w:eastAsia="zh-CN"/>
        </w:rPr>
        <w:t>1728.14万元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69.53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78"/>
      <w:bookmarkEnd w:id="79"/>
      <w:bookmarkEnd w:id="80"/>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发展与改革事务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其他发展与改革事务支出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165.90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95.87</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协作评审服务费用据实结算，与年初预估略有差异</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lang w:eastAsia="zh-CN"/>
        </w:rPr>
      </w:pPr>
      <w:r>
        <w:rPr>
          <w:rStyle w:val="14"/>
          <w:rFonts w:hint="eastAsia" w:ascii="仿宋" w:hAnsi="仿宋" w:eastAsia="仿宋"/>
          <w:b/>
          <w:bCs/>
          <w:color w:val="000000"/>
          <w:sz w:val="32"/>
          <w:szCs w:val="32"/>
          <w:lang w:val="en-US" w:eastAsia="zh-CN"/>
        </w:rPr>
        <w:t>2.</w:t>
      </w:r>
      <w:r>
        <w:rPr>
          <w:rStyle w:val="14"/>
          <w:rFonts w:hint="eastAsia" w:ascii="仿宋" w:hAnsi="仿宋" w:eastAsia="仿宋"/>
          <w:b/>
          <w:bCs/>
          <w:color w:val="000000"/>
          <w:sz w:val="32"/>
          <w:szCs w:val="32"/>
          <w:lang w:eastAsia="zh-CN"/>
        </w:rPr>
        <w:t>一般公共服务（类）财政事务（款）行政运行（项）：</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336.23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97.04</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缩减了部分差旅费、维修（护）费、信息网络及软件购置更新等支出，未产生咨询费及会议费。</w:t>
      </w:r>
    </w:p>
    <w:p>
      <w:pPr>
        <w:spacing w:line="600" w:lineRule="exact"/>
        <w:ind w:firstLine="643" w:firstLineChars="200"/>
        <w:rPr>
          <w:rStyle w:val="14"/>
          <w:rFonts w:hint="default" w:ascii="仿宋" w:hAnsi="仿宋" w:eastAsia="仿宋"/>
          <w:b w:val="0"/>
          <w:bCs/>
          <w:color w:val="000000"/>
          <w:sz w:val="32"/>
          <w:szCs w:val="32"/>
          <w:lang w:val="en-US" w:eastAsia="zh-CN"/>
        </w:rPr>
      </w:pPr>
      <w:r>
        <w:rPr>
          <w:rStyle w:val="14"/>
          <w:rFonts w:hint="eastAsia" w:ascii="仿宋" w:hAnsi="仿宋" w:eastAsia="仿宋"/>
          <w:b/>
          <w:bCs/>
          <w:color w:val="000000"/>
          <w:sz w:val="32"/>
          <w:szCs w:val="32"/>
          <w:lang w:val="en-US" w:eastAsia="zh-CN"/>
        </w:rPr>
        <w:t>2.</w:t>
      </w:r>
      <w:r>
        <w:rPr>
          <w:rStyle w:val="14"/>
          <w:rFonts w:hint="eastAsia" w:ascii="仿宋" w:hAnsi="仿宋" w:eastAsia="仿宋"/>
          <w:b/>
          <w:bCs/>
          <w:color w:val="000000"/>
          <w:sz w:val="32"/>
          <w:szCs w:val="32"/>
          <w:lang w:eastAsia="zh-CN"/>
        </w:rPr>
        <w:t>一般公共服务（类）财政事务（款）一般行政管理事务（项）：</w:t>
      </w:r>
      <w:r>
        <w:rPr>
          <w:rStyle w:val="14"/>
          <w:rFonts w:hint="eastAsia" w:ascii="仿宋" w:hAnsi="仿宋" w:eastAsia="仿宋"/>
          <w:b w:val="0"/>
          <w:bCs/>
          <w:color w:val="000000"/>
          <w:sz w:val="32"/>
          <w:szCs w:val="32"/>
          <w:lang w:eastAsia="zh-CN"/>
        </w:rPr>
        <w:t>支出决算为</w:t>
      </w:r>
      <w:r>
        <w:rPr>
          <w:rStyle w:val="14"/>
          <w:rFonts w:hint="eastAsia" w:ascii="仿宋" w:hAnsi="仿宋" w:eastAsia="仿宋"/>
          <w:b w:val="0"/>
          <w:bCs/>
          <w:color w:val="000000"/>
          <w:sz w:val="32"/>
          <w:szCs w:val="32"/>
          <w:lang w:val="en-US" w:eastAsia="zh-CN"/>
        </w:rPr>
        <w:t>4.42万元，完成预算77.54%，决算数小于预算数的主要原因是</w:t>
      </w:r>
      <w:r>
        <w:rPr>
          <w:rStyle w:val="14"/>
          <w:rFonts w:hint="eastAsia" w:ascii="仿宋" w:hAnsi="仿宋" w:eastAsia="仿宋"/>
          <w:b w:val="0"/>
          <w:bCs/>
          <w:color w:val="000000"/>
          <w:sz w:val="32"/>
          <w:szCs w:val="32"/>
          <w:lang w:eastAsia="zh-CN"/>
        </w:rPr>
        <w:t>积极贯彻厉行节约，加强出国（境）经费管理。</w:t>
      </w:r>
    </w:p>
    <w:p>
      <w:pPr>
        <w:spacing w:line="600" w:lineRule="exact"/>
        <w:ind w:firstLine="643" w:firstLineChars="200"/>
        <w:rPr>
          <w:rStyle w:val="14"/>
          <w:rFonts w:hint="default" w:ascii="仿宋" w:hAnsi="仿宋" w:eastAsia="仿宋"/>
          <w:b w:val="0"/>
          <w:bCs/>
          <w:color w:val="000000"/>
          <w:sz w:val="32"/>
          <w:szCs w:val="32"/>
          <w:lang w:val="en-US" w:eastAsia="zh-CN"/>
        </w:rPr>
      </w:pPr>
      <w:r>
        <w:rPr>
          <w:rStyle w:val="14"/>
          <w:rFonts w:hint="eastAsia" w:ascii="仿宋" w:hAnsi="仿宋" w:eastAsia="仿宋"/>
          <w:b/>
          <w:bCs/>
          <w:color w:val="000000"/>
          <w:sz w:val="32"/>
          <w:szCs w:val="32"/>
          <w:lang w:val="en-US" w:eastAsia="zh-CN"/>
        </w:rPr>
        <w:t>3.一般公共服务</w:t>
      </w:r>
      <w:r>
        <w:rPr>
          <w:rStyle w:val="14"/>
          <w:rFonts w:hint="eastAsia" w:ascii="仿宋" w:hAnsi="仿宋" w:eastAsia="仿宋"/>
          <w:b/>
          <w:bCs/>
          <w:color w:val="000000"/>
          <w:sz w:val="32"/>
          <w:szCs w:val="32"/>
          <w:lang w:eastAsia="zh-CN"/>
        </w:rPr>
        <w:t>（类）财政事务（款）财政委托业务支出（项）：</w:t>
      </w:r>
      <w:r>
        <w:rPr>
          <w:rStyle w:val="14"/>
          <w:rFonts w:hint="eastAsia" w:ascii="仿宋" w:hAnsi="仿宋" w:eastAsia="仿宋"/>
          <w:b w:val="0"/>
          <w:bCs/>
          <w:color w:val="000000"/>
          <w:sz w:val="32"/>
          <w:szCs w:val="32"/>
          <w:lang w:eastAsia="zh-CN"/>
        </w:rPr>
        <w:t>支出决算为</w:t>
      </w:r>
      <w:r>
        <w:rPr>
          <w:rStyle w:val="14"/>
          <w:rFonts w:hint="eastAsia" w:ascii="仿宋" w:hAnsi="仿宋" w:eastAsia="仿宋"/>
          <w:b w:val="0"/>
          <w:bCs/>
          <w:color w:val="000000"/>
          <w:sz w:val="32"/>
          <w:szCs w:val="32"/>
          <w:lang w:val="en-US" w:eastAsia="zh-CN"/>
        </w:rPr>
        <w:t>1117.29万元，完成预算60.38%，决算数小于预算数的主要原因是部分政府采购项目为跨年执行项目，项目采购资金结转至下一年执行。</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4</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教育（类）</w:t>
      </w:r>
      <w:r>
        <w:rPr>
          <w:rStyle w:val="14"/>
          <w:rFonts w:hint="eastAsia" w:ascii="仿宋" w:hAnsi="仿宋" w:eastAsia="仿宋"/>
          <w:bCs/>
          <w:color w:val="000000"/>
          <w:sz w:val="32"/>
          <w:szCs w:val="32"/>
          <w:lang w:eastAsia="zh-CN"/>
        </w:rPr>
        <w:t>进修及培训</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培训支出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31.46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94.47</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，决算数小于预算数的主要原因是</w:t>
      </w:r>
      <w:r>
        <w:rPr>
          <w:rStyle w:val="14"/>
          <w:rFonts w:hint="eastAsia" w:ascii="仿宋" w:hAnsi="仿宋" w:eastAsia="仿宋"/>
          <w:b w:val="0"/>
          <w:bCs/>
          <w:color w:val="000000"/>
          <w:sz w:val="32"/>
          <w:szCs w:val="32"/>
          <w:lang w:eastAsia="zh-CN"/>
        </w:rPr>
        <w:t>积极贯彻厉行节约，加强培训经费管理</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机关事业单位基本养老保险缴费支出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23.24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86.36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6.</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行政事业单位离退休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机关事业单位职业年金缴费支出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0.27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rPr>
        <w:t>卫生健康</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行政事业单位医疗</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行政单位医疗</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16.09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rPr>
        <w:t>卫生健康</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行政事业单位医疗</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公务员医疗补助</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2.94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9</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rPr>
        <w:t>住房保障</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住房改革支出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住房公积金</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21.46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10</w:t>
      </w:r>
      <w:r>
        <w:rPr>
          <w:rStyle w:val="14"/>
          <w:rFonts w:ascii="仿宋" w:hAnsi="仿宋" w:eastAsia="仿宋"/>
          <w:bCs/>
          <w:color w:val="000000"/>
          <w:sz w:val="32"/>
          <w:szCs w:val="32"/>
        </w:rPr>
        <w:t>.</w:t>
      </w:r>
      <w:r>
        <w:rPr>
          <w:rFonts w:hint="eastAsia" w:ascii="仿宋" w:hAnsi="仿宋" w:eastAsia="仿宋"/>
          <w:b/>
          <w:bCs/>
          <w:color w:val="000000" w:themeColor="text1"/>
          <w:sz w:val="32"/>
          <w:szCs w:val="32"/>
          <w:lang w:eastAsia="zh-CN"/>
        </w:rPr>
        <w:t>住房保障</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住房改革支出</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购房补贴</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8.84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81" w:name="_Toc23937_WPSOffice_Level2"/>
      <w:bookmarkStart w:id="82" w:name="_Toc15377214"/>
      <w:bookmarkStart w:id="83"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81"/>
      <w:bookmarkEnd w:id="82"/>
      <w:bookmarkEnd w:id="83"/>
      <w:r>
        <w:rPr>
          <w:rStyle w:val="25"/>
          <w:rFonts w:ascii="黑体" w:hAnsi="黑体" w:eastAsia="黑体"/>
          <w:b w:val="0"/>
        </w:rPr>
        <w:tab/>
      </w:r>
    </w:p>
    <w:p>
      <w:pPr>
        <w:spacing w:line="600" w:lineRule="exact"/>
        <w:ind w:firstLine="645"/>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414.37</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265.59</w:t>
      </w:r>
      <w:r>
        <w:rPr>
          <w:rFonts w:hint="eastAsia" w:ascii="仿宋" w:hAnsi="仿宋" w:eastAsia="仿宋"/>
          <w:color w:val="000000"/>
          <w:sz w:val="32"/>
          <w:szCs w:val="32"/>
        </w:rPr>
        <w:t>万元，主要包括：基本工资、津贴补贴、绩效工资、机关事业单位基本养老保险缴费、职业年金缴费、</w:t>
      </w:r>
      <w:r>
        <w:rPr>
          <w:rFonts w:hint="eastAsia" w:ascii="仿宋" w:hAnsi="仿宋" w:eastAsia="仿宋"/>
          <w:color w:val="000000"/>
          <w:sz w:val="32"/>
          <w:szCs w:val="32"/>
          <w:lang w:eastAsia="zh-CN"/>
        </w:rPr>
        <w:t>职工基本医疗保险缴费、公务员医疗补助缴费、住房公积金、</w:t>
      </w:r>
      <w:r>
        <w:rPr>
          <w:rFonts w:hint="eastAsia" w:ascii="仿宋" w:hAnsi="仿宋" w:eastAsia="仿宋"/>
          <w:color w:val="000000"/>
          <w:sz w:val="32"/>
          <w:szCs w:val="32"/>
        </w:rPr>
        <w:t>其他工资福利支出、奖励金等。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148.77</w:t>
      </w:r>
      <w:r>
        <w:rPr>
          <w:rFonts w:hint="eastAsia" w:ascii="仿宋" w:hAnsi="仿宋" w:eastAsia="仿宋"/>
          <w:color w:val="000000"/>
          <w:sz w:val="32"/>
          <w:szCs w:val="32"/>
        </w:rPr>
        <w:t>万元，主要包括：办公费、手续费、水费、电费、邮电费、物业管理费、差旅费、维修（护）费、培训费、公务接待费、工会经费、福利费、公务用车运行维护费、其他交通费、其他商品和服务支出等。</w:t>
      </w:r>
    </w:p>
    <w:p>
      <w:pPr>
        <w:spacing w:line="600" w:lineRule="exact"/>
        <w:ind w:firstLine="640"/>
        <w:outlineLvl w:val="1"/>
        <w:rPr>
          <w:rStyle w:val="25"/>
          <w:rFonts w:ascii="黑体" w:hAnsi="黑体" w:eastAsia="黑体"/>
          <w:b w:val="0"/>
        </w:rPr>
      </w:pPr>
      <w:bookmarkStart w:id="84" w:name="_Toc15396609"/>
      <w:bookmarkStart w:id="85" w:name="_Toc15377215"/>
      <w:bookmarkStart w:id="86" w:name="_Toc23534_WPSOffice_Level2"/>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84"/>
      <w:bookmarkEnd w:id="85"/>
      <w:bookmarkEnd w:id="86"/>
    </w:p>
    <w:p>
      <w:pPr>
        <w:spacing w:line="600" w:lineRule="exact"/>
        <w:ind w:firstLine="640"/>
        <w:outlineLvl w:val="2"/>
        <w:rPr>
          <w:rFonts w:ascii="仿宋" w:hAnsi="仿宋" w:eastAsia="仿宋"/>
          <w:b/>
          <w:color w:val="000000"/>
          <w:sz w:val="32"/>
          <w:szCs w:val="32"/>
        </w:rPr>
      </w:pPr>
      <w:bookmarkStart w:id="87" w:name="_Toc15377216"/>
      <w:r>
        <w:rPr>
          <w:rFonts w:hint="eastAsia" w:ascii="仿宋" w:hAnsi="仿宋" w:eastAsia="仿宋"/>
          <w:b/>
          <w:color w:val="000000"/>
          <w:sz w:val="32"/>
          <w:szCs w:val="32"/>
        </w:rPr>
        <w:t>（一）“三公”经费财政拨款支出决算总体情况说明</w:t>
      </w:r>
      <w:bookmarkEnd w:id="8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9.15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78.88</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Style w:val="14"/>
          <w:rFonts w:hint="eastAsia" w:ascii="仿宋" w:hAnsi="仿宋" w:eastAsia="仿宋"/>
          <w:b w:val="0"/>
          <w:bCs/>
          <w:color w:val="000000"/>
          <w:sz w:val="32"/>
          <w:szCs w:val="32"/>
          <w:lang w:eastAsia="zh-CN"/>
        </w:rPr>
        <w:t>积极贯彻厉行节约，加强“三公”经费管理</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88" w:name="_Toc15377217"/>
      <w:r>
        <w:rPr>
          <w:rFonts w:hint="eastAsia" w:ascii="仿宋" w:hAnsi="仿宋" w:eastAsia="仿宋"/>
          <w:b/>
          <w:color w:val="000000"/>
          <w:sz w:val="32"/>
          <w:szCs w:val="32"/>
        </w:rPr>
        <w:t>（二）“三公”经费财政拨款支出决算具体情况说明</w:t>
      </w:r>
      <w:bookmarkEnd w:id="88"/>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4.42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48.31</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4.21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46.01</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5.68</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jc w:val="center"/>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7456" behindDoc="0" locked="0" layoutInCell="1" allowOverlap="1">
            <wp:simplePos x="0" y="0"/>
            <wp:positionH relativeFrom="column">
              <wp:posOffset>115570</wp:posOffset>
            </wp:positionH>
            <wp:positionV relativeFrom="paragraph">
              <wp:posOffset>33020</wp:posOffset>
            </wp:positionV>
            <wp:extent cx="5080000" cy="3810000"/>
            <wp:effectExtent l="4445" t="4445" r="20955" b="1460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rFonts w:hint="eastAsia" w:ascii="仿宋" w:hAnsi="仿宋" w:eastAsia="仿宋"/>
          <w:color w:val="000000"/>
          <w:sz w:val="32"/>
          <w:szCs w:val="32"/>
        </w:rPr>
        <w:t>（图7：“三公”经费财政拨款支出结构）</w:t>
      </w:r>
    </w:p>
    <w:p>
      <w:pPr>
        <w:spacing w:line="600" w:lineRule="exact"/>
        <w:ind w:firstLine="640"/>
        <w:rPr>
          <w:rFonts w:ascii="仿宋_GB2312" w:eastAsia="仿宋_GB2312"/>
          <w:b/>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4.42</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77.54</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4.42</w:t>
      </w:r>
      <w:r>
        <w:rPr>
          <w:rFonts w:hint="eastAsia" w:ascii="仿宋_GB2312" w:eastAsia="仿宋_GB2312"/>
          <w:color w:val="000000"/>
          <w:sz w:val="32"/>
          <w:szCs w:val="32"/>
        </w:rPr>
        <w:t>万元，主要原因是</w:t>
      </w:r>
      <w:r>
        <w:rPr>
          <w:rFonts w:hint="eastAsia" w:ascii="仿宋_GB2312" w:eastAsia="仿宋_GB2312"/>
          <w:color w:val="000000"/>
          <w:sz w:val="32"/>
          <w:szCs w:val="32"/>
          <w:lang w:eastAsia="zh-CN"/>
        </w:rPr>
        <w:t>上年未安排因公出国（境），本年</w:t>
      </w:r>
      <w:r>
        <w:rPr>
          <w:rFonts w:hint="eastAsia" w:ascii="仿宋_GB2312" w:eastAsia="仿宋_GB2312"/>
          <w:color w:val="000000"/>
          <w:sz w:val="32"/>
          <w:szCs w:val="32"/>
          <w:lang w:val="en-US" w:eastAsia="zh-CN"/>
        </w:rPr>
        <w:t>1人赴英国参加培训</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w:t>
      </w:r>
      <w:r>
        <w:rPr>
          <w:rFonts w:hint="eastAsia" w:ascii="仿宋_GB2312" w:eastAsia="仿宋_GB2312"/>
          <w:color w:val="000000"/>
          <w:sz w:val="32"/>
          <w:szCs w:val="32"/>
          <w:lang w:eastAsia="zh-CN"/>
        </w:rPr>
        <w:t>本单位</w:t>
      </w:r>
      <w:r>
        <w:rPr>
          <w:rFonts w:hint="eastAsia" w:ascii="仿宋_GB2312" w:eastAsia="仿宋_GB2312"/>
          <w:color w:val="000000"/>
          <w:sz w:val="32"/>
          <w:szCs w:val="32"/>
          <w:lang w:val="en-US" w:eastAsia="zh-CN"/>
        </w:rPr>
        <w:t>1人作为“四川省财政厅</w:t>
      </w:r>
      <w:r>
        <w:rPr>
          <w:rFonts w:hint="eastAsia" w:ascii="仿宋_GB2312" w:hAnsi="仿宋" w:eastAsia="仿宋_GB2312" w:cs="仿宋"/>
          <w:color w:val="000000"/>
          <w:sz w:val="32"/>
          <w:szCs w:val="32"/>
          <w:lang w:val="en-US" w:eastAsia="zh-CN"/>
        </w:rPr>
        <w:t>赴英国开展预算绩效管理培训团</w:t>
      </w:r>
      <w:r>
        <w:rPr>
          <w:rFonts w:hint="eastAsia" w:ascii="仿宋_GB2312" w:eastAsia="仿宋_GB2312"/>
          <w:color w:val="000000"/>
          <w:sz w:val="32"/>
          <w:szCs w:val="32"/>
          <w:lang w:val="en-US" w:eastAsia="zh-CN"/>
        </w:rPr>
        <w:t>”成员赴英国伦敦和爱丁堡系统学习观摩OECD国家的预算绩效管理理念、方法和实践。</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4.21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80.96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1.48</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54.21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本年度项目开展使用公务用车频率较高。</w:t>
      </w:r>
    </w:p>
    <w:p>
      <w:pPr>
        <w:spacing w:line="600" w:lineRule="exact"/>
        <w:ind w:firstLine="640" w:firstLineChars="200"/>
        <w:rPr>
          <w:rFonts w:ascii="仿宋_GB2312" w:eastAsia="仿宋_GB2312"/>
          <w:b w:val="0"/>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4.21</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执行公务活动、开展专项核查、开展评审项目、开展绩效评价</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hint="default" w:ascii="仿宋_GB2312" w:eastAsia="仿宋_GB2312"/>
          <w:color w:val="000000"/>
          <w:sz w:val="32"/>
          <w:szCs w:val="32"/>
          <w:lang w:val="en-US" w:eastAsia="zh-CN"/>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0.52</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74.29</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0.52</w:t>
      </w:r>
      <w:r>
        <w:rPr>
          <w:rFonts w:hint="eastAsia" w:ascii="仿宋_GB2312" w:eastAsia="仿宋_GB2312"/>
          <w:color w:val="000000"/>
          <w:sz w:val="32"/>
          <w:szCs w:val="32"/>
        </w:rPr>
        <w:t>万元。主要原因是</w:t>
      </w:r>
      <w:r>
        <w:rPr>
          <w:rFonts w:hint="eastAsia" w:ascii="仿宋_GB2312" w:eastAsia="仿宋_GB2312"/>
          <w:color w:val="000000"/>
          <w:sz w:val="32"/>
          <w:szCs w:val="32"/>
          <w:lang w:eastAsia="zh-CN"/>
        </w:rPr>
        <w:t>上年未安排公务接待，本年安排</w:t>
      </w:r>
      <w:r>
        <w:rPr>
          <w:rFonts w:hint="eastAsia" w:ascii="仿宋_GB2312" w:eastAsia="仿宋_GB2312"/>
          <w:color w:val="000000"/>
          <w:sz w:val="32"/>
          <w:szCs w:val="32"/>
          <w:lang w:val="en-US" w:eastAsia="zh-CN"/>
        </w:rPr>
        <w:t>4批次国内公务接待。</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0.52</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接待国内相关单位调研团队发生的</w:t>
      </w:r>
      <w:r>
        <w:rPr>
          <w:rFonts w:hint="eastAsia" w:ascii="仿宋_GB2312" w:eastAsia="仿宋_GB2312"/>
          <w:color w:val="000000"/>
          <w:sz w:val="32"/>
          <w:szCs w:val="32"/>
        </w:rPr>
        <w:t>用餐费等</w:t>
      </w:r>
      <w:r>
        <w:rPr>
          <w:rFonts w:hint="eastAsia" w:ascii="仿宋_GB2312" w:eastAsia="仿宋_GB2312"/>
          <w:color w:val="000000"/>
          <w:sz w:val="32"/>
          <w:szCs w:val="32"/>
          <w:lang w:eastAsia="zh-CN"/>
        </w:rPr>
        <w:t>接待支出</w:t>
      </w:r>
      <w:r>
        <w:rPr>
          <w:rFonts w:hint="eastAsia" w:ascii="仿宋_GB2312" w:eastAsia="仿宋_GB2312"/>
          <w:color w:val="000000"/>
          <w:sz w:val="32"/>
          <w:szCs w:val="32"/>
        </w:rPr>
        <w:t>。国内公务接待</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34</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0.52</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财政部预算评审中心开展信息化支出标准及申报规范调研、河南省财政厅预算评审中心开展部门整体支出绩效评价工作调研、江苏省财政投资评审中心开展评审制度建设调研、财政部预算评审中心开展惠农补贴调研（</w:t>
      </w:r>
      <w:r>
        <w:rPr>
          <w:rFonts w:hint="eastAsia" w:ascii="仿宋_GB2312" w:eastAsia="仿宋_GB2312"/>
          <w:color w:val="000000"/>
          <w:sz w:val="32"/>
          <w:szCs w:val="32"/>
          <w:lang w:val="en-US" w:eastAsia="zh-CN"/>
        </w:rPr>
        <w:t>2批次</w:t>
      </w:r>
      <w:r>
        <w:rPr>
          <w:rFonts w:hint="eastAsia" w:ascii="仿宋_GB2312" w:eastAsia="仿宋_GB2312"/>
          <w:color w:val="000000"/>
          <w:sz w:val="32"/>
          <w:szCs w:val="32"/>
          <w:lang w:eastAsia="zh-CN"/>
        </w:rPr>
        <w:t>）</w:t>
      </w:r>
      <w:r>
        <w:rPr>
          <w:rFonts w:hint="eastAsia" w:ascii="仿宋_GB2312" w:eastAsia="仿宋_GB2312"/>
          <w:color w:val="000000"/>
          <w:sz w:val="32"/>
          <w:szCs w:val="32"/>
        </w:rPr>
        <w:t>。</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lang w:val="en-US" w:eastAsia="zh-CN"/>
        </w:rPr>
        <w:t>。</w:t>
      </w:r>
    </w:p>
    <w:p>
      <w:pPr>
        <w:spacing w:line="600" w:lineRule="exact"/>
        <w:ind w:firstLine="640"/>
        <w:outlineLvl w:val="1"/>
        <w:rPr>
          <w:rFonts w:ascii="黑体" w:eastAsia="黑体"/>
          <w:color w:val="000000"/>
          <w:sz w:val="32"/>
          <w:szCs w:val="32"/>
        </w:rPr>
      </w:pPr>
      <w:bookmarkStart w:id="89" w:name="_Toc15377218"/>
      <w:bookmarkStart w:id="90" w:name="_Toc15396610"/>
    </w:p>
    <w:p>
      <w:pPr>
        <w:spacing w:line="600" w:lineRule="exact"/>
        <w:ind w:firstLine="640"/>
        <w:outlineLvl w:val="1"/>
        <w:rPr>
          <w:rStyle w:val="25"/>
          <w:rFonts w:ascii="黑体" w:hAnsi="黑体" w:eastAsia="黑体"/>
        </w:rPr>
      </w:pPr>
      <w:bookmarkStart w:id="91" w:name="_Toc32102_WPSOffice_Level2"/>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89"/>
      <w:bookmarkEnd w:id="90"/>
      <w:bookmarkEnd w:id="9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1"/>
          <w:numId w:val="0"/>
        </w:numPr>
        <w:spacing w:line="600" w:lineRule="exact"/>
        <w:ind w:firstLine="640" w:firstLineChars="200"/>
        <w:outlineLvl w:val="1"/>
        <w:rPr>
          <w:rStyle w:val="25"/>
          <w:rFonts w:ascii="黑体" w:hAnsi="黑体" w:eastAsia="黑体"/>
          <w:b w:val="0"/>
        </w:rPr>
      </w:pPr>
      <w:bookmarkStart w:id="92" w:name="_Toc28407_WPSOffice_Level2"/>
      <w:bookmarkStart w:id="93" w:name="_Toc15377219"/>
      <w:bookmarkStart w:id="94" w:name="_Toc15396611"/>
      <w:r>
        <w:rPr>
          <w:rStyle w:val="25"/>
          <w:rFonts w:hint="eastAsia" w:ascii="黑体" w:hAnsi="黑体" w:eastAsia="黑体"/>
          <w:b w:val="0"/>
          <w:lang w:eastAsia="zh-CN"/>
        </w:rPr>
        <w:t>九、</w:t>
      </w:r>
      <w:r>
        <w:rPr>
          <w:rStyle w:val="25"/>
          <w:rFonts w:hint="eastAsia" w:ascii="黑体" w:hAnsi="黑体" w:eastAsia="黑体"/>
          <w:b w:val="0"/>
        </w:rPr>
        <w:t>国有资本经营预算支出决算情况说明</w:t>
      </w:r>
      <w:bookmarkEnd w:id="92"/>
      <w:bookmarkEnd w:id="93"/>
      <w:bookmarkEnd w:id="94"/>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95" w:name="_Toc21450_WPSOffice_Level2"/>
      <w:bookmarkStart w:id="96" w:name="_Toc15377221"/>
      <w:bookmarkStart w:id="97"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w:t>
      </w:r>
      <w:bookmarkEnd w:id="95"/>
      <w:r>
        <w:rPr>
          <w:rStyle w:val="25"/>
          <w:rFonts w:hint="eastAsia" w:ascii="黑体" w:hAnsi="黑体" w:eastAsia="黑体"/>
          <w:b w:val="0"/>
        </w:rPr>
        <w:t>明</w:t>
      </w:r>
      <w:bookmarkEnd w:id="96"/>
      <w:bookmarkEnd w:id="97"/>
    </w:p>
    <w:p>
      <w:pPr>
        <w:spacing w:line="600" w:lineRule="exact"/>
        <w:ind w:firstLine="643" w:firstLineChars="200"/>
        <w:outlineLvl w:val="2"/>
        <w:rPr>
          <w:rFonts w:ascii="仿宋" w:hAnsi="仿宋" w:eastAsia="仿宋"/>
          <w:color w:val="000000"/>
          <w:sz w:val="32"/>
          <w:szCs w:val="32"/>
        </w:rPr>
      </w:pPr>
      <w:bookmarkStart w:id="98" w:name="_Toc15377222"/>
      <w:r>
        <w:rPr>
          <w:rFonts w:hint="eastAsia" w:ascii="仿宋" w:hAnsi="仿宋" w:eastAsia="仿宋"/>
          <w:b/>
          <w:color w:val="000000"/>
          <w:sz w:val="32"/>
          <w:szCs w:val="32"/>
        </w:rPr>
        <w:t>（一）机关运行经费支出情况</w:t>
      </w:r>
      <w:bookmarkEnd w:id="98"/>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评审中心</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148.77</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92.81</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165.85</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eastAsia="zh-CN"/>
        </w:rPr>
        <w:t>本年的机关运行经费包含了非定额公用经费。按同口径测算，</w:t>
      </w:r>
      <w:r>
        <w:rPr>
          <w:rFonts w:hint="eastAsia" w:ascii="仿宋_GB2312" w:eastAsia="仿宋_GB2312"/>
          <w:color w:val="000000" w:themeColor="text1"/>
          <w:sz w:val="32"/>
          <w:szCs w:val="32"/>
          <w:lang w:val="en-US" w:eastAsia="zh-CN"/>
        </w:rPr>
        <w:t>2018年机关运行经费支出113.07万元,2019年比2018年增加35.7万元，增长31.57%，主要原因是上年未举办培训，本年举办两期全省财政评审系统业务能力提升培训。</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99" w:name="_Toc15377223"/>
      <w:r>
        <w:rPr>
          <w:rFonts w:hint="eastAsia" w:ascii="仿宋" w:hAnsi="仿宋" w:eastAsia="仿宋"/>
          <w:b/>
          <w:color w:val="000000"/>
          <w:sz w:val="32"/>
          <w:szCs w:val="32"/>
        </w:rPr>
        <w:t>（二）政府采购支出情况</w:t>
      </w:r>
      <w:bookmarkEnd w:id="99"/>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评审中心</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945.91</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14.88</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931.03</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购买机房服务器及协作评审服务</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00" w:name="_Toc15377224"/>
      <w:r>
        <w:rPr>
          <w:rFonts w:hint="eastAsia" w:ascii="仿宋" w:hAnsi="仿宋" w:eastAsia="仿宋"/>
          <w:b/>
          <w:color w:val="000000"/>
          <w:sz w:val="32"/>
          <w:szCs w:val="32"/>
        </w:rPr>
        <w:t>（三）国有资产占有使用情况</w:t>
      </w:r>
      <w:bookmarkEnd w:id="100"/>
    </w:p>
    <w:p>
      <w:pPr>
        <w:autoSpaceDE w:val="0"/>
        <w:autoSpaceDN w:val="0"/>
        <w:adjustRightInd w:val="0"/>
        <w:spacing w:line="600" w:lineRule="exact"/>
        <w:ind w:firstLine="640" w:firstLineChars="200"/>
        <w:jc w:val="left"/>
        <w:outlineLvl w:val="9"/>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评审中心</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为</w:t>
      </w:r>
      <w:r>
        <w:rPr>
          <w:rFonts w:hint="eastAsia" w:ascii="仿宋_GB2312" w:eastAsia="仿宋_GB2312"/>
          <w:color w:val="000000"/>
          <w:sz w:val="32"/>
          <w:szCs w:val="32"/>
        </w:rPr>
        <w:t>其他用车</w:t>
      </w:r>
      <w:r>
        <w:rPr>
          <w:rFonts w:hint="eastAsia" w:ascii="仿宋_GB2312" w:eastAsia="仿宋_GB2312"/>
          <w:color w:val="000000"/>
          <w:sz w:val="32"/>
          <w:szCs w:val="32"/>
          <w:lang w:val="en-US" w:eastAsia="zh-CN"/>
        </w:rPr>
        <w:t>，</w:t>
      </w:r>
      <w:r>
        <w:rPr>
          <w:rFonts w:hint="eastAsia" w:ascii="仿宋_GB2312" w:eastAsia="仿宋_GB2312"/>
          <w:color w:val="000000" w:themeColor="text1"/>
          <w:sz w:val="32"/>
          <w:szCs w:val="32"/>
        </w:rPr>
        <w:t>主要是用于</w:t>
      </w:r>
      <w:r>
        <w:rPr>
          <w:rFonts w:hint="eastAsia" w:ascii="仿宋_GB2312" w:eastAsia="仿宋_GB2312"/>
          <w:color w:val="000000" w:themeColor="text1"/>
          <w:sz w:val="32"/>
          <w:szCs w:val="32"/>
          <w:lang w:eastAsia="zh-CN"/>
        </w:rPr>
        <w:t>保障执行外</w:t>
      </w:r>
      <w:bookmarkStart w:id="146" w:name="_GoBack"/>
      <w:bookmarkEnd w:id="146"/>
      <w:r>
        <w:rPr>
          <w:rFonts w:hint="eastAsia" w:ascii="仿宋_GB2312" w:eastAsia="仿宋_GB2312"/>
          <w:color w:val="000000" w:themeColor="text1"/>
          <w:sz w:val="32"/>
          <w:szCs w:val="32"/>
          <w:lang w:eastAsia="zh-CN"/>
        </w:rPr>
        <w:t>出公务。</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autoSpaceDE w:val="0"/>
        <w:autoSpaceDN w:val="0"/>
        <w:adjustRightInd w:val="0"/>
        <w:spacing w:line="600" w:lineRule="exact"/>
        <w:ind w:left="0" w:firstLine="643" w:firstLineChars="200"/>
        <w:jc w:val="left"/>
        <w:outlineLvl w:val="2"/>
        <w:rPr>
          <w:rFonts w:ascii="仿宋" w:hAnsi="仿宋" w:eastAsia="仿宋" w:cs="Times New Roman"/>
          <w:b/>
          <w:bCs w:val="0"/>
          <w:color w:val="000000"/>
          <w:sz w:val="32"/>
          <w:szCs w:val="32"/>
        </w:rPr>
      </w:pPr>
      <w:r>
        <w:rPr>
          <w:rFonts w:hint="eastAsia" w:ascii="仿宋" w:hAnsi="仿宋" w:eastAsia="仿宋" w:cs="Times New Roman"/>
          <w:b/>
          <w:bCs w:val="0"/>
          <w:color w:val="000000"/>
          <w:sz w:val="32"/>
          <w:szCs w:val="32"/>
          <w:u w:val="none"/>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评审中心严格执行相关财经纪律，健全内部控制体系，完善内部财务制度，积极高效地开展各项评审工作，201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年部门整体支出自评得分为</w:t>
      </w:r>
      <w:r>
        <w:rPr>
          <w:rFonts w:hint="eastAsia" w:ascii="仿宋_GB2312" w:hAnsi="仿宋_GB2312" w:eastAsia="仿宋_GB2312" w:cs="仿宋_GB2312"/>
          <w:sz w:val="32"/>
          <w:szCs w:val="32"/>
          <w:lang w:val="en-US" w:eastAsia="zh-CN"/>
        </w:rPr>
        <w:t>80.96</w:t>
      </w:r>
      <w:r>
        <w:rPr>
          <w:rFonts w:hint="eastAsia" w:ascii="仿宋_GB2312" w:hAnsi="仿宋_GB2312" w:eastAsia="仿宋_GB2312" w:cs="仿宋_GB2312"/>
          <w:sz w:val="32"/>
          <w:szCs w:val="32"/>
        </w:rPr>
        <w:t>分（满分100分）。本部门无专项预算项目，因此未组织开展项目支出绩效评价</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财政投资评审委托业务费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、“财政投资评审劳务费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财政投资评审委托业务费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1292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577.71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44.71</w:t>
      </w:r>
      <w:r>
        <w:rPr>
          <w:rFonts w:hint="eastAsia" w:ascii="仿宋_GB2312" w:hAnsi="仿宋_GB2312" w:eastAsia="仿宋_GB2312" w:cs="仿宋_GB2312"/>
          <w:sz w:val="32"/>
          <w:szCs w:val="32"/>
        </w:rPr>
        <w:t>%。通过项目实施，全面完成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四川省财政厅委托的各项评审任务，为厅业务处室安排项目预算资金和绩效管理提供技术支撑，提高</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执行进度偏慢、年末结转资金较大</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优先消化结转资金，适当压减该项目的下一年预算。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“财政投资评审劳务费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189.26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94.63</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财政厅、发改委安排的评审（评价）工作任务。发现的主要问题：</w:t>
      </w:r>
      <w:r>
        <w:rPr>
          <w:rFonts w:hint="eastAsia" w:ascii="仿宋_GB2312" w:hAnsi="仿宋_GB2312" w:eastAsia="仿宋_GB2312" w:cs="仿宋_GB2312"/>
          <w:sz w:val="32"/>
          <w:szCs w:val="32"/>
          <w:lang w:eastAsia="zh-CN"/>
        </w:rPr>
        <w:t>实际执行较预算安排有偏差</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加强费用测算，提高预算编制的准确度。</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财政投资评审委托业务费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四川省财政投资评审中心</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1292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577.71</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1292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577.71</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全面完成四川省财政厅委托的各项评审任务，为厅业务处室安排项目预算资金和绩效管理提供技术支撑，提高资金使用效益。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全面完成四川省财政厅委托的各项评审任务，为厅业务处室安排项目预算资金和绩效管理提供技术支撑，提高资金使用效益。</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绩效评价类别</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≥40类</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42类</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评审项目（含概、预、结、决）个数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≥200个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364个</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评审金额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≥80亿元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398.80亿元</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评审（评价）结论合格率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按照业务单位要求，按时限上报。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对预算绩效管理工作的促进作用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为财政预算管理提供技术支撑，节约财政资金，提高资金使用效率。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为财政预算管理提供技术支撑，节约财政资金，提高资金使用效率。</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委托对象满意度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000000"/>
                <w:sz w:val="24"/>
                <w:lang w:val="en-US"/>
              </w:rPr>
            </w:pPr>
            <w:r>
              <w:rPr>
                <w:rFonts w:hint="eastAsia" w:ascii="宋体" w:hAnsi="宋体" w:cs="宋体"/>
                <w:i w:val="0"/>
                <w:color w:val="000000"/>
                <w:kern w:val="0"/>
                <w:sz w:val="24"/>
                <w:szCs w:val="24"/>
                <w:u w:val="none"/>
                <w:lang w:val="en-US" w:eastAsia="zh-CN" w:bidi="ar"/>
              </w:rPr>
              <w:t>100%</w:t>
            </w:r>
          </w:p>
        </w:tc>
      </w:tr>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财政投资评审劳务费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四川省财政投资评审中心</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189.26</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189.26</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完成财政厅、发改委安排的评审（评价）工作任务。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完成财政厅、发改委安排的评审（评价）工作任务。</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评审（评价）金额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≥10亿元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45.83亿元</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评审（评价）项目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≥40个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78个</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评审结论合格率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按照业务委托单位要求，按时完成上报。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对预算编制工作的促进作用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为财政预算安排提供决策参考，促进项目投资准确合理。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为财政预算安排提供决策参考，促进项目投资准确合理。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委托对象满意度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4"/>
                <w:szCs w:val="24"/>
                <w:u w:val="none"/>
                <w:lang w:val="en-US" w:eastAsia="zh-CN" w:bidi="ar"/>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color w:val="000000"/>
                <w:sz w:val="24"/>
                <w:lang w:val="en-US"/>
              </w:rPr>
            </w:pPr>
            <w:r>
              <w:rPr>
                <w:rFonts w:hint="eastAsia" w:ascii="宋体" w:hAnsi="宋体" w:cs="宋体"/>
                <w:i w:val="0"/>
                <w:color w:val="000000"/>
                <w:kern w:val="0"/>
                <w:sz w:val="24"/>
                <w:szCs w:val="24"/>
                <w:u w:val="none"/>
                <w:lang w:val="en-US" w:eastAsia="zh-CN" w:bidi="ar"/>
              </w:rPr>
              <w:t>100%</w:t>
            </w:r>
          </w:p>
        </w:tc>
      </w:tr>
    </w:tbl>
    <w:p>
      <w:pPr>
        <w:spacing w:line="580" w:lineRule="exact"/>
        <w:ind w:left="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四川省财政投资评审中心</w:t>
      </w:r>
      <w:r>
        <w:rPr>
          <w:rFonts w:hint="eastAsia" w:ascii="仿宋_GB2312" w:hAnsi="仿宋_GB2312" w:eastAsia="仿宋_GB2312" w:cs="仿宋_GB2312"/>
          <w:sz w:val="32"/>
          <w:szCs w:val="32"/>
        </w:rPr>
        <w:t>2019年部门整体支出绩效评价报告》见附件（附件1）。</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2"/>
        </w:numPr>
        <w:spacing w:line="600" w:lineRule="exact"/>
        <w:ind w:firstLine="660" w:firstLineChars="150"/>
        <w:jc w:val="center"/>
        <w:outlineLvl w:val="0"/>
        <w:rPr>
          <w:rStyle w:val="24"/>
          <w:rFonts w:ascii="黑体" w:hAnsi="黑体" w:eastAsia="黑体"/>
          <w:b w:val="0"/>
        </w:rPr>
      </w:pPr>
      <w:bookmarkStart w:id="101" w:name="_Toc3345_WPSOffice_Level1"/>
      <w:bookmarkStart w:id="102" w:name="_Toc15396613"/>
      <w:bookmarkStart w:id="103" w:name="_Toc15377225"/>
      <w:r>
        <w:rPr>
          <w:rFonts w:hint="eastAsia" w:ascii="黑体" w:hAnsi="黑体" w:eastAsia="黑体"/>
          <w:b w:val="0"/>
          <w:color w:val="000000"/>
          <w:sz w:val="44"/>
          <w:szCs w:val="44"/>
          <w:u w:val="none"/>
        </w:rPr>
        <w:t>名</w:t>
      </w:r>
      <w:r>
        <w:rPr>
          <w:rStyle w:val="24"/>
          <w:rFonts w:hint="eastAsia" w:ascii="黑体" w:hAnsi="黑体" w:eastAsia="黑体"/>
          <w:b w:val="0"/>
        </w:rPr>
        <w:t>词解释</w:t>
      </w:r>
      <w:bookmarkEnd w:id="101"/>
      <w:bookmarkEnd w:id="102"/>
      <w:bookmarkEnd w:id="103"/>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一般公共服务（类）发展与改革事务（款）</w:t>
      </w:r>
      <w:r>
        <w:rPr>
          <w:rFonts w:hint="eastAsia" w:ascii="仿宋_GB2312" w:eastAsia="仿宋_GB2312"/>
          <w:sz w:val="32"/>
          <w:szCs w:val="32"/>
          <w:lang w:eastAsia="zh-CN"/>
        </w:rPr>
        <w:t>其他发展与改革事务支出</w:t>
      </w:r>
      <w:r>
        <w:rPr>
          <w:rFonts w:hint="eastAsia" w:ascii="仿宋_GB2312" w:eastAsia="仿宋_GB2312"/>
          <w:sz w:val="32"/>
          <w:szCs w:val="32"/>
        </w:rPr>
        <w:t>（项）:指</w:t>
      </w:r>
      <w:r>
        <w:rPr>
          <w:rFonts w:hint="eastAsia" w:ascii="仿宋_GB2312" w:eastAsia="仿宋_GB2312"/>
          <w:sz w:val="32"/>
          <w:szCs w:val="32"/>
          <w:lang w:eastAsia="zh-CN"/>
        </w:rPr>
        <w:t>发展与改革方面事务方面，除行政运行、一般行政管理事务、机关服务、战略规划与实施、日常经济运行调节、社会事业发展规划、经济体制改革研究、物价管理、应对气候变化管理事务、事业运行以外的其他支出</w:t>
      </w:r>
      <w:r>
        <w:rPr>
          <w:rFonts w:hint="eastAsia" w:ascii="仿宋_GB2312" w:eastAsia="仿宋_GB2312"/>
          <w:sz w:val="32"/>
          <w:szCs w:val="32"/>
        </w:rPr>
        <w:t>。</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.一般公共服务（类）财政事务（款）行政运行（项）：指反映行政单位（包括实行公务员管理的事业单位）的基本支出。</w:t>
      </w:r>
    </w:p>
    <w:p>
      <w:pPr>
        <w:pStyle w:val="22"/>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一般公共服务（类）财政事务（款）</w:t>
      </w:r>
      <w:r>
        <w:rPr>
          <w:rFonts w:hint="eastAsia" w:ascii="仿宋_GB2312" w:eastAsia="仿宋_GB2312"/>
          <w:sz w:val="32"/>
          <w:szCs w:val="32"/>
          <w:lang w:eastAsia="zh-CN"/>
        </w:rPr>
        <w:t>一般行政管理事务</w:t>
      </w:r>
      <w:r>
        <w:rPr>
          <w:rFonts w:hint="eastAsia" w:ascii="仿宋_GB2312" w:eastAsia="仿宋_GB2312"/>
          <w:sz w:val="32"/>
          <w:szCs w:val="32"/>
        </w:rPr>
        <w:t>（项）</w:t>
      </w:r>
      <w:r>
        <w:rPr>
          <w:rFonts w:hint="eastAsia" w:ascii="仿宋_GB2312" w:eastAsia="仿宋_GB2312"/>
          <w:sz w:val="32"/>
          <w:szCs w:val="32"/>
          <w:lang w:eastAsia="zh-CN"/>
        </w:rPr>
        <w:t>：指反映</w:t>
      </w:r>
      <w:r>
        <w:rPr>
          <w:rFonts w:hint="eastAsia" w:ascii="仿宋_GB2312" w:eastAsia="仿宋_GB2312"/>
          <w:sz w:val="32"/>
          <w:szCs w:val="32"/>
        </w:rPr>
        <w:t>行政单位（包括实行公务员管理的事业单位）</w:t>
      </w:r>
      <w:r>
        <w:rPr>
          <w:rFonts w:hint="eastAsia" w:ascii="仿宋_GB2312" w:eastAsia="仿宋_GB2312"/>
          <w:sz w:val="32"/>
          <w:szCs w:val="32"/>
          <w:lang w:eastAsia="zh-CN"/>
        </w:rPr>
        <w:t>未单独设置项级科目的其他项目支出。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.一般公共服务（类）财政事务（款）财政委托业务支出（项）：指反映财政委托评审机构进行财政投资评审和委托建设银行等机构代理业务发生的支出。</w:t>
      </w:r>
    </w:p>
    <w:p>
      <w:pPr>
        <w:pStyle w:val="22"/>
        <w:spacing w:line="560" w:lineRule="exact"/>
        <w:ind w:firstLine="640" w:firstLineChars="200"/>
        <w:rPr>
          <w:rFonts w:hint="default" w:ascii="仿宋_GB2312" w:eastAsia="仿宋_GB2312"/>
          <w:sz w:val="32"/>
          <w:szCs w:val="32"/>
          <w:lang w:val="en-US" w:eastAsia="zh-CN"/>
        </w:rPr>
      </w:pPr>
      <w:r>
        <w:rPr>
          <w:rFonts w:hint="eastAsia" w:ascii="仿宋_GB2312" w:eastAsia="仿宋_GB2312"/>
          <w:b w:val="0"/>
          <w:color w:val="000000"/>
          <w:sz w:val="32"/>
          <w:szCs w:val="32"/>
          <w:lang w:val="en-US" w:eastAsia="zh-CN"/>
        </w:rPr>
        <w:t>8.</w:t>
      </w:r>
      <w:r>
        <w:rPr>
          <w:rFonts w:hint="eastAsia" w:ascii="仿宋_GB2312" w:hAnsi="Calibri" w:eastAsia="仿宋_GB2312"/>
          <w:b w:val="0"/>
          <w:color w:val="000000"/>
          <w:sz w:val="32"/>
          <w:szCs w:val="32"/>
        </w:rPr>
        <w:t xml:space="preserve">教育（类）进修及培训（款）培训支出（项）: </w:t>
      </w:r>
      <w:r>
        <w:rPr>
          <w:rFonts w:hint="eastAsia" w:ascii="仿宋_GB2312" w:eastAsia="仿宋_GB2312"/>
          <w:b w:val="0"/>
          <w:color w:val="000000"/>
          <w:sz w:val="32"/>
          <w:szCs w:val="32"/>
          <w:lang w:eastAsia="zh-CN"/>
        </w:rPr>
        <w:t>指反映各部门安排的用于培训的</w:t>
      </w:r>
      <w:r>
        <w:rPr>
          <w:rFonts w:hint="eastAsia" w:ascii="仿宋_GB2312" w:eastAsia="仿宋_GB2312"/>
          <w:b w:val="0"/>
          <w:color w:val="000000"/>
          <w:sz w:val="32"/>
          <w:szCs w:val="32"/>
          <w:lang w:val="en-US" w:eastAsia="zh-CN"/>
        </w:rPr>
        <w:t xml:space="preserve"> 支出。教育部门的师资培训，党校、行政学院等专业干部教育机构的支出，以及退役士兵、转业士官的培训支出，不在本科目反映。</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.社会保障和就业（类）行政事业单位离退休（款）机关事业单位基本养老保险缴费支出（项）：指反映机关事业单位实施养老保险制度由单位缴纳的基本养老保险费支出。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社会保障和就业（类）行政事业单位离退休（款）机关事业单位</w:t>
      </w:r>
      <w:r>
        <w:rPr>
          <w:rFonts w:hint="eastAsia" w:ascii="仿宋_GB2312" w:eastAsia="仿宋_GB2312"/>
          <w:sz w:val="32"/>
          <w:szCs w:val="32"/>
          <w:lang w:eastAsia="zh-CN"/>
        </w:rPr>
        <w:t>职业年金</w:t>
      </w:r>
      <w:r>
        <w:rPr>
          <w:rFonts w:hint="eastAsia" w:ascii="仿宋_GB2312" w:eastAsia="仿宋_GB2312"/>
          <w:sz w:val="32"/>
          <w:szCs w:val="32"/>
        </w:rPr>
        <w:t>缴费支出（项）：指反映机关事业单位实施养老保险制度由单位缴纳的</w:t>
      </w:r>
      <w:r>
        <w:rPr>
          <w:rFonts w:hint="eastAsia" w:ascii="仿宋_GB2312" w:eastAsia="仿宋_GB2312"/>
          <w:sz w:val="32"/>
          <w:szCs w:val="32"/>
          <w:lang w:eastAsia="zh-CN"/>
        </w:rPr>
        <w:t>职业年金</w:t>
      </w:r>
      <w:r>
        <w:rPr>
          <w:rFonts w:hint="eastAsia" w:ascii="仿宋_GB2312" w:eastAsia="仿宋_GB2312"/>
          <w:sz w:val="32"/>
          <w:szCs w:val="32"/>
        </w:rPr>
        <w:t>支出。</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卫生健康</w:t>
      </w:r>
      <w:r>
        <w:rPr>
          <w:rFonts w:hint="eastAsia" w:ascii="仿宋_GB2312" w:eastAsia="仿宋_GB2312"/>
          <w:sz w:val="32"/>
          <w:szCs w:val="32"/>
        </w:rPr>
        <w:t>（类）</w:t>
      </w:r>
      <w:r>
        <w:rPr>
          <w:rFonts w:hint="eastAsia" w:ascii="仿宋_GB2312" w:eastAsia="仿宋_GB2312"/>
          <w:sz w:val="32"/>
          <w:szCs w:val="32"/>
          <w:lang w:eastAsia="zh-CN"/>
        </w:rPr>
        <w:t>行政事业单位医疗</w:t>
      </w:r>
      <w:r>
        <w:rPr>
          <w:rFonts w:hint="eastAsia" w:ascii="仿宋_GB2312" w:eastAsia="仿宋_GB2312"/>
          <w:sz w:val="32"/>
          <w:szCs w:val="32"/>
        </w:rPr>
        <w:t>（款）行政单位医疗（项）：指反映财政部门集中安排的行政单位</w:t>
      </w:r>
      <w:r>
        <w:rPr>
          <w:rFonts w:hint="eastAsia" w:ascii="仿宋_GB2312" w:eastAsia="仿宋_GB2312"/>
          <w:sz w:val="32"/>
          <w:szCs w:val="32"/>
          <w:lang w:eastAsia="zh-CN"/>
        </w:rPr>
        <w:t>（包括实行公务员管理的事业单位，下同）</w:t>
      </w:r>
      <w:r>
        <w:rPr>
          <w:rFonts w:hint="eastAsia" w:ascii="仿宋_GB2312" w:eastAsia="仿宋_GB2312"/>
          <w:sz w:val="32"/>
          <w:szCs w:val="32"/>
        </w:rPr>
        <w:t>基本医疗保险缴费经费，未参加医疗保险的行政单位的公费医疗经费，按国家规定享受离休人员、红军老战士待遇人员的医疗经费。</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卫生健康</w:t>
      </w:r>
      <w:r>
        <w:rPr>
          <w:rFonts w:hint="eastAsia" w:ascii="仿宋_GB2312" w:eastAsia="仿宋_GB2312"/>
          <w:sz w:val="32"/>
          <w:szCs w:val="32"/>
        </w:rPr>
        <w:t>（类）</w:t>
      </w:r>
      <w:r>
        <w:rPr>
          <w:rFonts w:hint="eastAsia" w:ascii="仿宋_GB2312" w:eastAsia="仿宋_GB2312"/>
          <w:sz w:val="32"/>
          <w:szCs w:val="32"/>
          <w:lang w:eastAsia="zh-CN"/>
        </w:rPr>
        <w:t>行政事业单位医疗</w:t>
      </w:r>
      <w:r>
        <w:rPr>
          <w:rFonts w:hint="eastAsia" w:ascii="仿宋_GB2312" w:eastAsia="仿宋_GB2312"/>
          <w:sz w:val="32"/>
          <w:szCs w:val="32"/>
        </w:rPr>
        <w:t>（款）公务员医疗补助（项）：指反映财政部门安排的公务员医疗补助经费。</w:t>
      </w:r>
    </w:p>
    <w:p>
      <w:pPr>
        <w:pStyle w:val="2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hint="eastAsia" w:ascii="仿宋_GB2312" w:eastAsia="仿宋_GB2312"/>
          <w:sz w:val="32"/>
          <w:szCs w:val="32"/>
        </w:rPr>
        <w:t>.住房保障支出（类）住房改革支出（款）住房公积金（项）：指反映行政事业单位按人力资源和社会保障部、财政部规定的基本工资和津补贴以及规定比例为职工缴纳的住房公积金。</w:t>
      </w:r>
    </w:p>
    <w:p>
      <w:pPr>
        <w:pStyle w:val="22"/>
        <w:spacing w:line="560" w:lineRule="exact"/>
        <w:ind w:firstLine="640" w:firstLineChars="200"/>
        <w:rPr>
          <w:rFonts w:ascii="仿宋" w:hAnsi="仿宋" w:eastAsia="仿宋"/>
          <w:b/>
          <w:color w:val="000000"/>
          <w:sz w:val="32"/>
          <w:szCs w:val="32"/>
        </w:rPr>
      </w:pPr>
      <w:r>
        <w:rPr>
          <w:rFonts w:hint="eastAsia" w:ascii="仿宋_GB2312" w:eastAsia="仿宋_GB2312"/>
          <w:sz w:val="32"/>
          <w:szCs w:val="32"/>
        </w:rPr>
        <w:t>1</w:t>
      </w:r>
      <w:r>
        <w:rPr>
          <w:rFonts w:hint="eastAsia" w:ascii="仿宋_GB2312" w:eastAsia="仿宋_GB2312"/>
          <w:sz w:val="32"/>
          <w:szCs w:val="32"/>
          <w:lang w:val="en-US" w:eastAsia="zh-CN"/>
        </w:rPr>
        <w:t>4</w:t>
      </w:r>
      <w:r>
        <w:rPr>
          <w:rFonts w:hint="eastAsia" w:ascii="仿宋_GB2312" w:eastAsia="仿宋_GB2312"/>
          <w:sz w:val="32"/>
          <w:szCs w:val="32"/>
        </w:rPr>
        <w:t>.住房保障支出（类）住房改革支出（款）购房补贴（项）：指反映按房改政策规定，行政事业单位向符合条件职工（含离退休人员）、军队（含武警）向转役复员离退休人员发放的用于购买住房的补贴。</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s="黑体"/>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4"/>
          <w:rFonts w:ascii="黑体" w:hAnsi="黑体" w:eastAsia="黑体"/>
          <w:b w:val="0"/>
        </w:rPr>
      </w:pPr>
      <w:bookmarkStart w:id="104" w:name="_Toc15377226"/>
      <w:r>
        <w:rPr>
          <w:rFonts w:ascii="宋体"/>
          <w:b/>
          <w:color w:val="000000"/>
          <w:sz w:val="44"/>
          <w:szCs w:val="44"/>
        </w:rPr>
        <w:br w:type="page"/>
      </w:r>
      <w:bookmarkStart w:id="105" w:name="_Toc15396614"/>
      <w:bookmarkStart w:id="106" w:name="_Toc24782_WPSOffice_Level1"/>
      <w:r>
        <w:rPr>
          <w:rFonts w:hint="eastAsia" w:ascii="黑体" w:hAnsi="黑体" w:eastAsia="黑体"/>
          <w:color w:val="000000"/>
          <w:sz w:val="44"/>
          <w:szCs w:val="44"/>
        </w:rPr>
        <w:t>第</w:t>
      </w:r>
      <w:r>
        <w:rPr>
          <w:rStyle w:val="24"/>
          <w:rFonts w:hint="eastAsia" w:ascii="黑体" w:hAnsi="黑体" w:eastAsia="黑体"/>
          <w:b w:val="0"/>
        </w:rPr>
        <w:t>四部分 附件</w:t>
      </w:r>
      <w:bookmarkEnd w:id="105"/>
      <w:bookmarkEnd w:id="106"/>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u w:val="none"/>
          <w:lang w:eastAsia="zh-CN"/>
        </w:rPr>
      </w:pPr>
      <w:bookmarkStart w:id="107" w:name="_Toc19987_WPSOffice_Level2"/>
      <w:bookmarkStart w:id="108" w:name="_Toc1642_WPSOffice_Level2"/>
      <w:r>
        <w:rPr>
          <w:rFonts w:hint="eastAsia" w:ascii="方正小标宋简体" w:hAnsi="宋体" w:eastAsia="方正小标宋简体"/>
          <w:color w:val="000000"/>
          <w:kern w:val="0"/>
          <w:sz w:val="40"/>
          <w:szCs w:val="44"/>
          <w:u w:val="none"/>
          <w:lang w:eastAsia="zh-CN"/>
        </w:rPr>
        <w:t>四川省财政投资评审中心</w:t>
      </w:r>
      <w:bookmarkEnd w:id="107"/>
      <w:bookmarkEnd w:id="108"/>
    </w:p>
    <w:p>
      <w:pPr>
        <w:spacing w:line="600" w:lineRule="exact"/>
        <w:jc w:val="center"/>
        <w:rPr>
          <w:rFonts w:ascii="方正小标宋简体" w:hAnsi="宋体" w:eastAsia="方正小标宋简体"/>
          <w:color w:val="000000"/>
          <w:kern w:val="0"/>
          <w:sz w:val="40"/>
          <w:szCs w:val="44"/>
          <w:lang w:val="zh-CN"/>
        </w:rPr>
      </w:pPr>
      <w:bookmarkStart w:id="109" w:name="_Toc25136_WPSOffice_Level2"/>
      <w:r>
        <w:rPr>
          <w:rFonts w:ascii="方正小标宋简体" w:hAnsi="宋体" w:eastAsia="方正小标宋简体"/>
          <w:color w:val="000000"/>
          <w:kern w:val="0"/>
          <w:sz w:val="40"/>
          <w:szCs w:val="44"/>
          <w:u w:val="none"/>
        </w:rPr>
        <w:t>2019年部门</w:t>
      </w:r>
      <w:r>
        <w:rPr>
          <w:rFonts w:hint="eastAsia" w:ascii="方正小标宋简体" w:hAnsi="宋体" w:eastAsia="方正小标宋简体"/>
          <w:color w:val="000000"/>
          <w:kern w:val="0"/>
          <w:sz w:val="40"/>
          <w:szCs w:val="44"/>
          <w:u w:val="none"/>
          <w:lang w:val="zh-CN"/>
        </w:rPr>
        <w:t>整体支出绩效评价报告</w:t>
      </w:r>
      <w:bookmarkEnd w:id="109"/>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bookmarkStart w:id="110" w:name="_Toc22507_WPSOffice_Level2"/>
      <w:bookmarkStart w:id="111" w:name="_Toc28447_WPSOffice_Level2"/>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bookmarkEnd w:id="110"/>
      <w:bookmarkEnd w:id="111"/>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四川省财政投资评审中心（以下简称“评审中心”）是四川省财政厅直属参公事业单位，为省财政一级预算单位，无下级预算单位，机构内设办公室、人力资源部、质量控制部、综合发展部、评审一部、评审二部6个职能部门。</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评审中心主要工作职责为：承担主要由国家和省安排资金的项目概（预、决）算、省级财政专项支出项目预算的评审任务；开展对国家投资项目建设全过程管理和效益评价等方面的业务，对项目支出预算执行和专项资金使用情况进行追踪问效；开展与国家投资有关的市场研究、财务管理和分析、投资风险分析等业务；承办投资财务培训等工作；参与我省投资项目管理有关政策、法规以及政府性投资评审操作规程、指标体系的研究和项目标准、定额的评价。近年来，中心不断健全完善职能，努力探索创新，逐步建立了以“三算”（项目概[估]算、预算、决[结]算）评审和绩效评价为主线，以部门预算项目评审（评价）和专项预算项目评审（评价）为主体，以工程建设、设备采购、购买服务、公私合作项目评审（评价）为主要内容的评审职能体系。</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省编委核定中心事业编制20人。截至20</w:t>
      </w:r>
      <w:r>
        <w:rPr>
          <w:rFonts w:hint="eastAsia" w:ascii="仿宋_GB2312" w:hAnsi="宋体" w:eastAsia="仿宋_GB2312" w:cs="宋体"/>
          <w:color w:val="000000"/>
          <w:kern w:val="0"/>
          <w:sz w:val="32"/>
          <w:szCs w:val="32"/>
          <w:shd w:val="clear" w:color="auto" w:fill="FFFFFF"/>
          <w:lang w:val="en-US" w:eastAsia="zh-CN"/>
        </w:rPr>
        <w:t>19</w:t>
      </w:r>
      <w:r>
        <w:rPr>
          <w:rFonts w:hint="eastAsia" w:ascii="仿宋_GB2312" w:hAnsi="宋体" w:eastAsia="仿宋_GB2312" w:cs="宋体"/>
          <w:color w:val="000000"/>
          <w:kern w:val="0"/>
          <w:sz w:val="32"/>
          <w:szCs w:val="32"/>
          <w:shd w:val="clear" w:color="auto" w:fill="FFFFFF"/>
          <w:lang w:val="zh-CN"/>
        </w:rPr>
        <w:t>年底，评审中心实有编制人员1</w:t>
      </w: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lang w:val="zh-CN"/>
        </w:rPr>
        <w:t>人，其中参照公务员法管理人员 1</w:t>
      </w:r>
      <w:r>
        <w:rPr>
          <w:rFonts w:hint="eastAsia" w:ascii="仿宋_GB2312" w:hAnsi="宋体" w:eastAsia="仿宋_GB2312" w:cs="宋体"/>
          <w:color w:val="000000"/>
          <w:kern w:val="0"/>
          <w:sz w:val="32"/>
          <w:szCs w:val="32"/>
          <w:shd w:val="clear" w:color="auto" w:fill="FFFFFF"/>
          <w:lang w:val="en-US" w:eastAsia="zh-CN"/>
        </w:rPr>
        <w:t>6</w:t>
      </w:r>
      <w:r>
        <w:rPr>
          <w:rFonts w:hint="eastAsia" w:ascii="仿宋_GB2312" w:hAnsi="宋体" w:eastAsia="仿宋_GB2312" w:cs="宋体"/>
          <w:color w:val="000000"/>
          <w:kern w:val="0"/>
          <w:sz w:val="32"/>
          <w:szCs w:val="32"/>
          <w:shd w:val="clear" w:color="auto" w:fill="FFFFFF"/>
          <w:lang w:val="zh-CN"/>
        </w:rPr>
        <w:t>人，工勤人员2人，无离退休人员。</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bookmarkStart w:id="112" w:name="_Toc4026_WPSOffice_Level2"/>
      <w:bookmarkStart w:id="113" w:name="_Toc13824_WPSOffice_Level2"/>
      <w:r>
        <w:rPr>
          <w:rFonts w:hint="eastAsia" w:ascii="黑体" w:hAnsi="宋体" w:eastAsia="黑体" w:cs="宋体"/>
          <w:color w:val="000000"/>
          <w:kern w:val="0"/>
          <w:sz w:val="32"/>
          <w:szCs w:val="32"/>
          <w:shd w:val="clear" w:color="auto" w:fill="FFFFFF"/>
        </w:rPr>
        <w:t>二、部门财政资金收支情况</w:t>
      </w:r>
      <w:bookmarkEnd w:id="112"/>
      <w:bookmarkEnd w:id="113"/>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评审中心201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年全年收入总额</w:t>
      </w:r>
      <w:r>
        <w:rPr>
          <w:rFonts w:hint="eastAsia" w:ascii="仿宋_GB2312" w:hAnsi="宋体" w:eastAsia="仿宋_GB2312" w:cs="宋体"/>
          <w:color w:val="000000"/>
          <w:kern w:val="0"/>
          <w:sz w:val="32"/>
          <w:szCs w:val="32"/>
          <w:shd w:val="clear" w:color="auto" w:fill="FFFFFF"/>
          <w:lang w:val="en-US" w:eastAsia="zh-CN"/>
        </w:rPr>
        <w:t>2803.15</w:t>
      </w:r>
      <w:r>
        <w:rPr>
          <w:rFonts w:hint="eastAsia" w:ascii="仿宋_GB2312" w:hAnsi="宋体" w:eastAsia="仿宋_GB2312" w:cs="宋体"/>
          <w:color w:val="000000"/>
          <w:kern w:val="0"/>
          <w:sz w:val="32"/>
          <w:szCs w:val="32"/>
          <w:shd w:val="clear" w:color="auto" w:fill="FFFFFF"/>
          <w:lang w:val="zh-CN"/>
        </w:rPr>
        <w:t>万元，其中：财政拨款收入</w:t>
      </w:r>
      <w:r>
        <w:rPr>
          <w:rFonts w:hint="eastAsia" w:ascii="仿宋_GB2312" w:hAnsi="宋体" w:eastAsia="仿宋_GB2312" w:cs="宋体"/>
          <w:color w:val="000000"/>
          <w:kern w:val="0"/>
          <w:sz w:val="32"/>
          <w:szCs w:val="32"/>
          <w:shd w:val="clear" w:color="auto" w:fill="FFFFFF"/>
          <w:lang w:val="en-US" w:eastAsia="zh-CN"/>
        </w:rPr>
        <w:t>1961.71</w:t>
      </w:r>
      <w:r>
        <w:rPr>
          <w:rFonts w:hint="eastAsia" w:ascii="仿宋_GB2312" w:hAnsi="宋体" w:eastAsia="仿宋_GB2312" w:cs="宋体"/>
          <w:color w:val="000000"/>
          <w:kern w:val="0"/>
          <w:sz w:val="32"/>
          <w:szCs w:val="32"/>
          <w:shd w:val="clear" w:color="auto" w:fill="FFFFFF"/>
          <w:lang w:val="zh-CN"/>
        </w:rPr>
        <w:t>万元，上年结转</w:t>
      </w:r>
      <w:r>
        <w:rPr>
          <w:rFonts w:hint="eastAsia" w:ascii="仿宋_GB2312" w:hAnsi="宋体" w:eastAsia="仿宋_GB2312" w:cs="宋体"/>
          <w:color w:val="000000"/>
          <w:kern w:val="0"/>
          <w:sz w:val="32"/>
          <w:szCs w:val="32"/>
          <w:shd w:val="clear" w:color="auto" w:fill="FFFFFF"/>
          <w:lang w:val="en-US" w:eastAsia="zh-CN"/>
        </w:rPr>
        <w:t>841.44</w:t>
      </w:r>
      <w:r>
        <w:rPr>
          <w:rFonts w:hint="eastAsia" w:ascii="仿宋_GB2312" w:hAnsi="宋体" w:eastAsia="仿宋_GB2312" w:cs="宋体"/>
          <w:color w:val="000000"/>
          <w:kern w:val="0"/>
          <w:sz w:val="32"/>
          <w:szCs w:val="32"/>
          <w:shd w:val="clear" w:color="auto" w:fill="FFFFFF"/>
          <w:lang w:val="zh-CN"/>
        </w:rPr>
        <w:t>万元。</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评审中心201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年全年支出总额</w:t>
      </w:r>
      <w:r>
        <w:rPr>
          <w:rFonts w:hint="eastAsia" w:ascii="仿宋_GB2312" w:hAnsi="宋体" w:eastAsia="仿宋_GB2312" w:cs="宋体"/>
          <w:color w:val="000000"/>
          <w:kern w:val="0"/>
          <w:sz w:val="32"/>
          <w:szCs w:val="32"/>
          <w:shd w:val="clear" w:color="auto" w:fill="FFFFFF"/>
          <w:lang w:val="en-US" w:eastAsia="zh-CN"/>
        </w:rPr>
        <w:t>1728.14</w:t>
      </w:r>
      <w:r>
        <w:rPr>
          <w:rFonts w:hint="eastAsia" w:ascii="仿宋_GB2312" w:hAnsi="宋体" w:eastAsia="仿宋_GB2312" w:cs="宋体"/>
          <w:color w:val="000000"/>
          <w:kern w:val="0"/>
          <w:sz w:val="32"/>
          <w:szCs w:val="32"/>
          <w:shd w:val="clear" w:color="auto" w:fill="FFFFFF"/>
          <w:lang w:val="zh-CN"/>
        </w:rPr>
        <w:t>万元，其中：工资福利支出</w:t>
      </w:r>
      <w:r>
        <w:rPr>
          <w:rFonts w:hint="eastAsia" w:ascii="仿宋_GB2312" w:hAnsi="宋体" w:eastAsia="仿宋_GB2312" w:cs="宋体"/>
          <w:color w:val="000000"/>
          <w:kern w:val="0"/>
          <w:sz w:val="32"/>
          <w:szCs w:val="32"/>
          <w:shd w:val="clear" w:color="auto" w:fill="FFFFFF"/>
          <w:lang w:val="en-US" w:eastAsia="zh-CN"/>
        </w:rPr>
        <w:t>265.57</w:t>
      </w:r>
      <w:r>
        <w:rPr>
          <w:rFonts w:hint="eastAsia" w:ascii="仿宋_GB2312" w:hAnsi="宋体" w:eastAsia="仿宋_GB2312" w:cs="宋体"/>
          <w:color w:val="000000"/>
          <w:kern w:val="0"/>
          <w:sz w:val="32"/>
          <w:szCs w:val="32"/>
          <w:shd w:val="clear" w:color="auto" w:fill="FFFFFF"/>
          <w:lang w:val="zh-CN"/>
        </w:rPr>
        <w:t>万元，商品和服务支出</w:t>
      </w:r>
      <w:r>
        <w:rPr>
          <w:rFonts w:hint="eastAsia" w:ascii="仿宋_GB2312" w:hAnsi="宋体" w:eastAsia="仿宋_GB2312" w:cs="宋体"/>
          <w:color w:val="000000"/>
          <w:kern w:val="0"/>
          <w:sz w:val="32"/>
          <w:szCs w:val="32"/>
          <w:shd w:val="clear" w:color="auto" w:fill="FFFFFF"/>
          <w:lang w:val="en-US" w:eastAsia="zh-CN"/>
        </w:rPr>
        <w:t>1270.49</w:t>
      </w:r>
      <w:r>
        <w:rPr>
          <w:rFonts w:hint="eastAsia" w:ascii="仿宋_GB2312" w:hAnsi="宋体" w:eastAsia="仿宋_GB2312" w:cs="宋体"/>
          <w:color w:val="000000"/>
          <w:kern w:val="0"/>
          <w:sz w:val="32"/>
          <w:szCs w:val="32"/>
          <w:shd w:val="clear" w:color="auto" w:fill="FFFFFF"/>
          <w:lang w:val="zh-CN"/>
        </w:rPr>
        <w:t>万元，对个人和家庭的补助</w:t>
      </w:r>
      <w:r>
        <w:rPr>
          <w:rFonts w:hint="eastAsia" w:ascii="仿宋_GB2312" w:hAnsi="宋体" w:eastAsia="仿宋_GB2312" w:cs="宋体"/>
          <w:color w:val="000000"/>
          <w:kern w:val="0"/>
          <w:sz w:val="32"/>
          <w:szCs w:val="32"/>
          <w:shd w:val="clear" w:color="auto" w:fill="FFFFFF"/>
          <w:lang w:val="en-US" w:eastAsia="zh-CN"/>
        </w:rPr>
        <w:t>0.02万元，</w:t>
      </w:r>
      <w:r>
        <w:rPr>
          <w:rFonts w:hint="eastAsia" w:ascii="仿宋_GB2312" w:hAnsi="宋体" w:eastAsia="仿宋_GB2312" w:cs="宋体"/>
          <w:color w:val="000000"/>
          <w:kern w:val="0"/>
          <w:sz w:val="32"/>
          <w:szCs w:val="32"/>
          <w:shd w:val="clear" w:color="auto" w:fill="FFFFFF"/>
          <w:lang w:val="zh-CN"/>
        </w:rPr>
        <w:t>资本性支出（基本建设）</w:t>
      </w:r>
      <w:r>
        <w:rPr>
          <w:rFonts w:hint="eastAsia" w:ascii="仿宋_GB2312" w:hAnsi="宋体" w:eastAsia="仿宋_GB2312" w:cs="宋体"/>
          <w:color w:val="000000"/>
          <w:kern w:val="0"/>
          <w:sz w:val="32"/>
          <w:szCs w:val="32"/>
          <w:shd w:val="clear" w:color="auto" w:fill="FFFFFF"/>
          <w:lang w:val="en-US" w:eastAsia="zh-CN"/>
        </w:rPr>
        <w:t>165.90</w:t>
      </w:r>
      <w:r>
        <w:rPr>
          <w:rFonts w:hint="eastAsia" w:ascii="仿宋_GB2312" w:hAnsi="宋体" w:eastAsia="仿宋_GB2312" w:cs="宋体"/>
          <w:color w:val="000000"/>
          <w:kern w:val="0"/>
          <w:sz w:val="32"/>
          <w:szCs w:val="32"/>
          <w:shd w:val="clear" w:color="auto" w:fill="FFFFFF"/>
          <w:lang w:val="zh-CN"/>
        </w:rPr>
        <w:t>万元，资本性支出</w:t>
      </w:r>
      <w:r>
        <w:rPr>
          <w:rFonts w:hint="eastAsia" w:ascii="仿宋_GB2312" w:hAnsi="宋体" w:eastAsia="仿宋_GB2312" w:cs="宋体"/>
          <w:color w:val="000000"/>
          <w:kern w:val="0"/>
          <w:sz w:val="32"/>
          <w:szCs w:val="32"/>
          <w:shd w:val="clear" w:color="auto" w:fill="FFFFFF"/>
          <w:lang w:val="en-US" w:eastAsia="zh-CN"/>
        </w:rPr>
        <w:t>26.16</w:t>
      </w:r>
      <w:r>
        <w:rPr>
          <w:rFonts w:hint="eastAsia" w:ascii="仿宋_GB2312" w:hAnsi="宋体" w:eastAsia="仿宋_GB2312" w:cs="宋体"/>
          <w:color w:val="000000"/>
          <w:kern w:val="0"/>
          <w:sz w:val="32"/>
          <w:szCs w:val="32"/>
          <w:shd w:val="clear" w:color="auto" w:fill="FFFFFF"/>
          <w:lang w:val="zh-CN"/>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bookmarkStart w:id="114" w:name="_Toc20411_WPSOffice_Level2"/>
      <w:bookmarkStart w:id="115" w:name="_Toc27909_WPSOffice_Level2"/>
      <w:r>
        <w:rPr>
          <w:rFonts w:hint="eastAsia" w:ascii="黑体" w:hAnsi="宋体" w:eastAsia="黑体" w:cs="宋体"/>
          <w:color w:val="000000"/>
          <w:kern w:val="0"/>
          <w:sz w:val="32"/>
          <w:szCs w:val="32"/>
          <w:shd w:val="clear" w:color="auto" w:fill="FFFFFF"/>
        </w:rPr>
        <w:t>三、部门整体预算绩效管理情况</w:t>
      </w:r>
      <w:bookmarkEnd w:id="114"/>
      <w:bookmarkEnd w:id="115"/>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1.预算编制。</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（1）目标制定（</w:t>
      </w:r>
      <w:r>
        <w:rPr>
          <w:rFonts w:hint="eastAsia" w:ascii="仿宋_GB2312" w:hAnsi="宋体" w:eastAsia="仿宋_GB2312" w:cs="宋体"/>
          <w:color w:val="000000"/>
          <w:kern w:val="0"/>
          <w:sz w:val="32"/>
          <w:szCs w:val="32"/>
          <w:shd w:val="clear" w:color="auto" w:fill="FFFFFF"/>
          <w:lang w:val="en-US" w:eastAsia="zh-CN"/>
        </w:rPr>
        <w:t>10</w:t>
      </w:r>
      <w:r>
        <w:rPr>
          <w:rFonts w:hint="eastAsia" w:ascii="仿宋_GB2312" w:hAnsi="宋体" w:eastAsia="仿宋_GB2312" w:cs="宋体"/>
          <w:color w:val="000000"/>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年，评审中心结合部门“三定”方案确定的机构职责、近年来评审职能创新拓展情况、以及财政部预算评审中心和四川省财政厅年度重点工作制定了中心201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年重点工作计划，按照相关要求制定了整体部门支出绩效目标和项目支出绩效目标。从项目完成、项目效益、满意度等方面多角度地细化量化指标，能够较完整、合理地反映部门年度职责履行情况。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（2）目标实现（10分）。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rPr>
        <w:t>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年，评审中心针对“财政投资评审委托业务费”项目和“财政投资评审劳务费”项目开展了绩效目标管理，共编制绩效目标2个，涉及财政资金</w:t>
      </w:r>
      <w:r>
        <w:rPr>
          <w:rFonts w:hint="eastAsia" w:ascii="仿宋_GB2312" w:hAnsi="宋体" w:eastAsia="仿宋_GB2312" w:cs="宋体"/>
          <w:color w:val="000000"/>
          <w:kern w:val="0"/>
          <w:sz w:val="32"/>
          <w:szCs w:val="32"/>
          <w:shd w:val="clear" w:color="auto" w:fill="FFFFFF"/>
          <w:lang w:val="en-US" w:eastAsia="zh-CN"/>
        </w:rPr>
        <w:t>1492</w:t>
      </w:r>
      <w:r>
        <w:rPr>
          <w:rFonts w:hint="eastAsia" w:ascii="仿宋_GB2312" w:hAnsi="宋体" w:eastAsia="仿宋_GB2312" w:cs="宋体"/>
          <w:color w:val="000000"/>
          <w:kern w:val="0"/>
          <w:sz w:val="32"/>
          <w:szCs w:val="32"/>
          <w:shd w:val="clear" w:color="auto" w:fill="FFFFFF"/>
          <w:lang w:val="zh-CN"/>
        </w:rPr>
        <w:t>万元，共设置了</w:t>
      </w:r>
      <w:r>
        <w:rPr>
          <w:rFonts w:hint="eastAsia" w:ascii="仿宋_GB2312" w:hAnsi="宋体" w:eastAsia="仿宋_GB2312" w:cs="宋体"/>
          <w:color w:val="000000"/>
          <w:kern w:val="0"/>
          <w:sz w:val="32"/>
          <w:szCs w:val="32"/>
          <w:shd w:val="clear" w:color="auto" w:fill="FFFFFF"/>
          <w:lang w:val="en-US" w:eastAsia="zh-CN"/>
        </w:rPr>
        <w:t>11个数量指标，两个项目</w:t>
      </w:r>
      <w:r>
        <w:rPr>
          <w:rFonts w:hint="eastAsia" w:ascii="仿宋_GB2312" w:hAnsi="宋体" w:eastAsia="仿宋_GB2312" w:cs="宋体"/>
          <w:color w:val="000000"/>
          <w:kern w:val="0"/>
          <w:sz w:val="32"/>
          <w:szCs w:val="32"/>
          <w:shd w:val="clear" w:color="auto" w:fill="FFFFFF"/>
          <w:lang w:val="zh-CN"/>
        </w:rPr>
        <w:t>均完成了预期绩效目标。该项指标得</w:t>
      </w:r>
      <w:r>
        <w:rPr>
          <w:rFonts w:hint="eastAsia" w:ascii="仿宋_GB2312" w:hAnsi="宋体" w:eastAsia="仿宋_GB2312" w:cs="宋体"/>
          <w:color w:val="000000"/>
          <w:kern w:val="0"/>
          <w:sz w:val="32"/>
          <w:szCs w:val="32"/>
          <w:shd w:val="clear" w:color="auto" w:fill="FFFFFF"/>
          <w:lang w:val="en-US" w:eastAsia="zh-CN"/>
        </w:rPr>
        <w:t>10</w:t>
      </w:r>
      <w:r>
        <w:rPr>
          <w:rFonts w:hint="eastAsia" w:ascii="仿宋_GB2312" w:hAnsi="宋体" w:eastAsia="仿宋_GB2312" w:cs="宋体"/>
          <w:color w:val="000000"/>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（3）编制准确（</w:t>
      </w:r>
      <w:r>
        <w:rPr>
          <w:rFonts w:hint="eastAsia" w:ascii="仿宋_GB2312" w:hAnsi="宋体" w:eastAsia="仿宋_GB2312" w:cs="宋体"/>
          <w:color w:val="000000"/>
          <w:kern w:val="0"/>
          <w:sz w:val="32"/>
          <w:szCs w:val="32"/>
          <w:shd w:val="clear" w:color="auto" w:fill="FFFFFF"/>
          <w:lang w:val="en-US" w:eastAsia="zh-CN"/>
        </w:rPr>
        <w:t>10</w:t>
      </w:r>
      <w:r>
        <w:rPr>
          <w:rFonts w:hint="eastAsia" w:ascii="仿宋_GB2312" w:hAnsi="宋体" w:eastAsia="仿宋_GB2312" w:cs="宋体"/>
          <w:color w:val="000000"/>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评审中心根据《四川省财政厅关于编制省级部门201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-202</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年支出规划和201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年部门预算的通知》（川财预〔201</w:t>
      </w:r>
      <w:r>
        <w:rPr>
          <w:rFonts w:hint="eastAsia" w:ascii="仿宋_GB2312" w:hAnsi="宋体" w:eastAsia="仿宋_GB2312" w:cs="宋体"/>
          <w:color w:val="000000"/>
          <w:kern w:val="0"/>
          <w:sz w:val="32"/>
          <w:szCs w:val="32"/>
          <w:shd w:val="clear" w:color="auto" w:fill="FFFFFF"/>
          <w:lang w:val="en-US" w:eastAsia="zh-CN"/>
        </w:rPr>
        <w:t>8</w:t>
      </w:r>
      <w:r>
        <w:rPr>
          <w:rFonts w:hint="eastAsia" w:ascii="仿宋_GB2312" w:hAnsi="宋体" w:eastAsia="仿宋_GB2312" w:cs="宋体"/>
          <w:color w:val="000000"/>
          <w:kern w:val="0"/>
          <w:sz w:val="32"/>
          <w:szCs w:val="32"/>
          <w:shd w:val="clear" w:color="auto" w:fill="FFFFFF"/>
          <w:lang w:val="zh-CN"/>
        </w:rPr>
        <w:t>〕10</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号）文件，认真做好201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年预算编制工作。201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年，评审中心年初部门预算数为</w:t>
      </w:r>
      <w:r>
        <w:rPr>
          <w:rFonts w:hint="eastAsia" w:ascii="仿宋_GB2312" w:hAnsi="宋体" w:eastAsia="仿宋_GB2312" w:cs="宋体"/>
          <w:color w:val="000000"/>
          <w:kern w:val="0"/>
          <w:sz w:val="32"/>
          <w:szCs w:val="32"/>
          <w:shd w:val="clear" w:color="auto" w:fill="FFFFFF"/>
          <w:lang w:val="en-US" w:eastAsia="zh-CN"/>
        </w:rPr>
        <w:t>2803.15万元，部门全年预算调剂金额为0万元，该项指标得10分</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2.预算执行。</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（1）支出控制（</w:t>
      </w:r>
      <w:r>
        <w:rPr>
          <w:rFonts w:hint="eastAsia" w:ascii="仿宋_GB2312" w:hAnsi="宋体" w:eastAsia="仿宋_GB2312" w:cs="宋体"/>
          <w:color w:val="000000"/>
          <w:kern w:val="0"/>
          <w:sz w:val="32"/>
          <w:szCs w:val="32"/>
          <w:shd w:val="clear" w:color="auto" w:fill="FFFFFF"/>
          <w:lang w:val="en-US" w:eastAsia="zh-CN"/>
        </w:rPr>
        <w:t>10</w:t>
      </w:r>
      <w:r>
        <w:rPr>
          <w:rFonts w:hint="eastAsia" w:ascii="仿宋_GB2312" w:hAnsi="宋体" w:eastAsia="仿宋_GB2312" w:cs="宋体"/>
          <w:color w:val="000000"/>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年，评审中心公用经费及非定额公用支出年初预算数为</w:t>
      </w:r>
      <w:r>
        <w:rPr>
          <w:rFonts w:hint="eastAsia" w:ascii="仿宋_GB2312" w:hAnsi="宋体" w:eastAsia="仿宋_GB2312" w:cs="宋体"/>
          <w:color w:val="000000"/>
          <w:kern w:val="0"/>
          <w:sz w:val="32"/>
          <w:szCs w:val="32"/>
          <w:shd w:val="clear" w:color="auto" w:fill="FFFFFF"/>
          <w:lang w:val="en-US" w:eastAsia="zh-CN"/>
        </w:rPr>
        <w:t>230.20</w:t>
      </w:r>
      <w:r>
        <w:rPr>
          <w:rFonts w:hint="eastAsia" w:ascii="仿宋_GB2312" w:hAnsi="宋体" w:eastAsia="仿宋_GB2312" w:cs="宋体"/>
          <w:color w:val="000000"/>
          <w:kern w:val="0"/>
          <w:sz w:val="32"/>
          <w:szCs w:val="32"/>
          <w:shd w:val="clear" w:color="auto" w:fill="FFFFFF"/>
          <w:lang w:val="zh-CN"/>
        </w:rPr>
        <w:t>万元，年末决算数为</w:t>
      </w:r>
      <w:r>
        <w:rPr>
          <w:rFonts w:hint="eastAsia" w:ascii="仿宋_GB2312" w:hAnsi="宋体" w:eastAsia="仿宋_GB2312" w:cs="宋体"/>
          <w:color w:val="000000"/>
          <w:kern w:val="0"/>
          <w:sz w:val="32"/>
          <w:szCs w:val="32"/>
          <w:shd w:val="clear" w:color="auto" w:fill="FFFFFF"/>
          <w:lang w:val="en-US" w:eastAsia="zh-CN"/>
        </w:rPr>
        <w:t>148.77</w:t>
      </w:r>
      <w:r>
        <w:rPr>
          <w:rFonts w:hint="eastAsia" w:ascii="仿宋_GB2312" w:hAnsi="宋体" w:eastAsia="仿宋_GB2312" w:cs="宋体"/>
          <w:color w:val="000000"/>
          <w:kern w:val="0"/>
          <w:sz w:val="32"/>
          <w:szCs w:val="32"/>
          <w:shd w:val="clear" w:color="auto" w:fill="FFFFFF"/>
          <w:lang w:val="zh-CN"/>
        </w:rPr>
        <w:t>万元，，该项指标得</w:t>
      </w:r>
      <w:r>
        <w:rPr>
          <w:rFonts w:hint="eastAsia" w:ascii="仿宋_GB2312" w:hAnsi="宋体" w:eastAsia="仿宋_GB2312" w:cs="宋体"/>
          <w:color w:val="000000"/>
          <w:kern w:val="0"/>
          <w:sz w:val="32"/>
          <w:szCs w:val="32"/>
          <w:shd w:val="clear" w:color="auto" w:fill="FFFFFF"/>
          <w:lang w:val="en-US" w:eastAsia="zh-CN"/>
        </w:rPr>
        <w:t>10分</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（2）动态调整（</w:t>
      </w:r>
      <w:r>
        <w:rPr>
          <w:rFonts w:hint="eastAsia" w:ascii="仿宋_GB2312" w:hAnsi="宋体" w:eastAsia="仿宋_GB2312" w:cs="宋体"/>
          <w:color w:val="000000"/>
          <w:kern w:val="0"/>
          <w:sz w:val="32"/>
          <w:szCs w:val="32"/>
          <w:shd w:val="clear" w:color="auto" w:fill="FFFFFF"/>
          <w:lang w:val="en-US" w:eastAsia="zh-CN"/>
        </w:rPr>
        <w:t>1.04</w:t>
      </w:r>
      <w:r>
        <w:rPr>
          <w:rFonts w:hint="eastAsia" w:ascii="仿宋_GB2312" w:hAnsi="宋体" w:eastAsia="仿宋_GB2312" w:cs="宋体"/>
          <w:color w:val="000000"/>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年，评审中心年度预算总额为</w:t>
      </w:r>
      <w:r>
        <w:rPr>
          <w:rFonts w:hint="eastAsia" w:ascii="仿宋_GB2312" w:hAnsi="宋体" w:eastAsia="仿宋_GB2312" w:cs="宋体"/>
          <w:color w:val="000000"/>
          <w:kern w:val="0"/>
          <w:sz w:val="32"/>
          <w:szCs w:val="32"/>
          <w:shd w:val="clear" w:color="auto" w:fill="FFFFFF"/>
          <w:lang w:val="en-US" w:eastAsia="zh-CN"/>
        </w:rPr>
        <w:t>2803.15万元，</w:t>
      </w:r>
      <w:r>
        <w:rPr>
          <w:rFonts w:hint="eastAsia" w:ascii="仿宋_GB2312" w:hAnsi="宋体" w:eastAsia="仿宋_GB2312" w:cs="宋体"/>
          <w:color w:val="000000"/>
          <w:kern w:val="0"/>
          <w:sz w:val="32"/>
          <w:szCs w:val="32"/>
          <w:shd w:val="clear" w:color="auto" w:fill="FFFFFF"/>
          <w:lang w:val="zh-CN"/>
        </w:rPr>
        <w:t>绩效监控调整取消额为</w:t>
      </w:r>
      <w:r>
        <w:rPr>
          <w:rFonts w:hint="eastAsia" w:ascii="仿宋_GB2312" w:hAnsi="宋体" w:eastAsia="仿宋_GB2312" w:cs="宋体"/>
          <w:color w:val="000000"/>
          <w:kern w:val="0"/>
          <w:sz w:val="32"/>
          <w:szCs w:val="32"/>
          <w:shd w:val="clear" w:color="auto" w:fill="FFFFFF"/>
          <w:lang w:val="en-US" w:eastAsia="zh-CN"/>
        </w:rPr>
        <w:t>88</w:t>
      </w:r>
      <w:r>
        <w:rPr>
          <w:rFonts w:hint="eastAsia" w:ascii="仿宋_GB2312" w:hAnsi="宋体" w:eastAsia="仿宋_GB2312" w:cs="宋体"/>
          <w:color w:val="000000"/>
          <w:kern w:val="0"/>
          <w:sz w:val="32"/>
          <w:szCs w:val="32"/>
          <w:shd w:val="clear" w:color="auto" w:fill="FFFFFF"/>
          <w:lang w:val="zh-CN"/>
        </w:rPr>
        <w:t>万元，预算结余注销额为</w:t>
      </w:r>
      <w:r>
        <w:rPr>
          <w:rFonts w:hint="eastAsia" w:ascii="仿宋_GB2312" w:hAnsi="宋体" w:eastAsia="仿宋_GB2312" w:cs="宋体"/>
          <w:color w:val="000000"/>
          <w:kern w:val="0"/>
          <w:sz w:val="32"/>
          <w:szCs w:val="32"/>
          <w:shd w:val="clear" w:color="auto" w:fill="FFFFFF"/>
          <w:lang w:val="en-US" w:eastAsia="zh-CN"/>
        </w:rPr>
        <w:t>757.28万元</w:t>
      </w:r>
      <w:r>
        <w:rPr>
          <w:rFonts w:hint="eastAsia" w:ascii="仿宋_GB2312" w:hAnsi="宋体" w:eastAsia="仿宋_GB2312" w:cs="宋体"/>
          <w:color w:val="000000"/>
          <w:kern w:val="0"/>
          <w:sz w:val="32"/>
          <w:szCs w:val="32"/>
          <w:shd w:val="clear" w:color="auto" w:fill="FFFFFF"/>
          <w:lang w:val="zh-CN"/>
        </w:rPr>
        <w:t>，该项指标</w:t>
      </w:r>
      <w:r>
        <w:rPr>
          <w:rFonts w:hint="eastAsia" w:ascii="仿宋_GB2312" w:hAnsi="宋体" w:eastAsia="仿宋_GB2312" w:cs="宋体"/>
          <w:color w:val="000000"/>
          <w:kern w:val="0"/>
          <w:sz w:val="32"/>
          <w:szCs w:val="32"/>
          <w:shd w:val="clear" w:color="auto" w:fill="FFFFFF"/>
          <w:lang w:val="en-US" w:eastAsia="zh-CN"/>
        </w:rPr>
        <w:t>=88/（88+757.28）=1.04分</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（3）执行进度（5.</w:t>
      </w:r>
      <w:r>
        <w:rPr>
          <w:rFonts w:hint="eastAsia" w:ascii="仿宋_GB2312" w:hAnsi="宋体" w:eastAsia="仿宋_GB2312" w:cs="宋体"/>
          <w:color w:val="000000"/>
          <w:kern w:val="0"/>
          <w:sz w:val="32"/>
          <w:szCs w:val="32"/>
          <w:shd w:val="clear" w:color="auto" w:fill="FFFFFF"/>
          <w:lang w:val="en-US" w:eastAsia="zh-CN"/>
        </w:rPr>
        <w:t>65</w:t>
      </w:r>
      <w:r>
        <w:rPr>
          <w:rFonts w:hint="eastAsia" w:ascii="仿宋_GB2312" w:hAnsi="宋体" w:eastAsia="仿宋_GB2312" w:cs="宋体"/>
          <w:color w:val="000000"/>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 xml:space="preserve"> 201</w:t>
      </w:r>
      <w:r>
        <w:rPr>
          <w:rFonts w:hint="eastAsia" w:ascii="仿宋_GB2312" w:hAnsi="宋体" w:eastAsia="仿宋_GB2312" w:cs="宋体"/>
          <w:color w:val="000000"/>
          <w:kern w:val="0"/>
          <w:sz w:val="32"/>
          <w:szCs w:val="32"/>
          <w:shd w:val="clear" w:color="auto" w:fill="FFFFFF"/>
          <w:lang w:val="en-US" w:eastAsia="zh-CN"/>
        </w:rPr>
        <w:t>9</w:t>
      </w:r>
      <w:r>
        <w:rPr>
          <w:rFonts w:hint="eastAsia" w:ascii="仿宋_GB2312" w:hAnsi="宋体" w:eastAsia="仿宋_GB2312" w:cs="宋体"/>
          <w:color w:val="000000"/>
          <w:kern w:val="0"/>
          <w:sz w:val="32"/>
          <w:szCs w:val="32"/>
          <w:shd w:val="clear" w:color="auto" w:fill="FFFFFF"/>
          <w:lang w:val="zh-CN"/>
        </w:rPr>
        <w:t>年，评审中心1-6月部门预算执行进度为</w:t>
      </w:r>
      <w:r>
        <w:rPr>
          <w:rFonts w:hint="eastAsia" w:ascii="仿宋_GB2312" w:hAnsi="宋体" w:eastAsia="仿宋_GB2312" w:cs="宋体"/>
          <w:color w:val="000000"/>
          <w:kern w:val="0"/>
          <w:sz w:val="32"/>
          <w:szCs w:val="32"/>
          <w:shd w:val="clear" w:color="auto" w:fill="FFFFFF"/>
          <w:lang w:val="en-US" w:eastAsia="zh-CN"/>
        </w:rPr>
        <w:t>23.6</w:t>
      </w:r>
      <w:r>
        <w:rPr>
          <w:rFonts w:hint="eastAsia" w:ascii="仿宋_GB2312" w:hAnsi="宋体" w:eastAsia="仿宋_GB2312" w:cs="宋体"/>
          <w:color w:val="000000"/>
          <w:kern w:val="0"/>
          <w:sz w:val="32"/>
          <w:szCs w:val="32"/>
          <w:shd w:val="clear" w:color="auto" w:fill="FFFFFF"/>
          <w:lang w:val="zh-CN"/>
        </w:rPr>
        <w:t>%， 1-9月部门预算执行进度为</w:t>
      </w:r>
      <w:r>
        <w:rPr>
          <w:rFonts w:hint="eastAsia" w:ascii="仿宋_GB2312" w:hAnsi="宋体" w:eastAsia="仿宋_GB2312" w:cs="宋体"/>
          <w:color w:val="000000"/>
          <w:kern w:val="0"/>
          <w:sz w:val="32"/>
          <w:szCs w:val="32"/>
          <w:shd w:val="clear" w:color="auto" w:fill="FFFFFF"/>
          <w:lang w:val="en-US" w:eastAsia="zh-CN"/>
        </w:rPr>
        <w:t>37.82</w:t>
      </w:r>
      <w:r>
        <w:rPr>
          <w:rFonts w:hint="eastAsia" w:ascii="仿宋_GB2312" w:hAnsi="宋体" w:eastAsia="仿宋_GB2312" w:cs="宋体"/>
          <w:color w:val="000000"/>
          <w:kern w:val="0"/>
          <w:sz w:val="32"/>
          <w:szCs w:val="32"/>
          <w:shd w:val="clear" w:color="auto" w:fill="FFFFFF"/>
          <w:lang w:val="zh-CN"/>
        </w:rPr>
        <w:t>%， 1-11月部门预算执行进度为4</w:t>
      </w:r>
      <w:r>
        <w:rPr>
          <w:rFonts w:hint="eastAsia" w:ascii="仿宋_GB2312" w:hAnsi="宋体" w:eastAsia="仿宋_GB2312" w:cs="宋体"/>
          <w:color w:val="000000"/>
          <w:kern w:val="0"/>
          <w:sz w:val="32"/>
          <w:szCs w:val="32"/>
          <w:shd w:val="clear" w:color="auto" w:fill="FFFFFF"/>
          <w:lang w:val="en-US" w:eastAsia="zh-CN"/>
        </w:rPr>
        <w:t>5</w:t>
      </w:r>
      <w:r>
        <w:rPr>
          <w:rFonts w:hint="eastAsia" w:ascii="仿宋_GB2312" w:hAnsi="宋体" w:eastAsia="仿宋_GB2312" w:cs="宋体"/>
          <w:color w:val="000000"/>
          <w:kern w:val="0"/>
          <w:sz w:val="32"/>
          <w:szCs w:val="32"/>
          <w:shd w:val="clear" w:color="auto" w:fill="FFFFFF"/>
          <w:lang w:val="zh-CN"/>
        </w:rPr>
        <w:t>%，该项指标得分</w:t>
      </w:r>
      <w:r>
        <w:rPr>
          <w:rFonts w:hint="eastAsia" w:ascii="仿宋_GB2312" w:hAnsi="宋体" w:eastAsia="仿宋_GB2312" w:cs="宋体"/>
          <w:color w:val="000000"/>
          <w:kern w:val="0"/>
          <w:sz w:val="32"/>
          <w:szCs w:val="32"/>
          <w:shd w:val="clear" w:color="auto" w:fill="FFFFFF"/>
          <w:lang w:val="en-US" w:eastAsia="zh-CN"/>
        </w:rPr>
        <w:t>=（3×23.6%/40%）+（4×37.82%/67.5%）+（3×45%/82.5%）=5.65分</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3.完成结果。</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（1）预算完成（</w:t>
      </w:r>
      <w:r>
        <w:rPr>
          <w:rFonts w:hint="eastAsia" w:ascii="仿宋_GB2312" w:hAnsi="宋体" w:eastAsia="仿宋_GB2312" w:cs="宋体"/>
          <w:color w:val="000000"/>
          <w:kern w:val="0"/>
          <w:sz w:val="32"/>
          <w:szCs w:val="32"/>
          <w:shd w:val="clear" w:color="auto" w:fill="FFFFFF"/>
          <w:lang w:val="en-US" w:eastAsia="zh-CN"/>
        </w:rPr>
        <w:t>6.17</w:t>
      </w:r>
      <w:r>
        <w:rPr>
          <w:rFonts w:hint="eastAsia" w:ascii="仿宋_GB2312" w:hAnsi="宋体" w:eastAsia="仿宋_GB2312" w:cs="宋体"/>
          <w:color w:val="000000"/>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2018年年末，中心年初预算</w:t>
      </w:r>
      <w:r>
        <w:rPr>
          <w:rFonts w:hint="eastAsia" w:ascii="仿宋_GB2312" w:hAnsi="宋体" w:eastAsia="仿宋_GB2312" w:cs="宋体"/>
          <w:color w:val="000000"/>
          <w:kern w:val="0"/>
          <w:sz w:val="32"/>
          <w:szCs w:val="32"/>
          <w:shd w:val="clear" w:color="auto" w:fill="FFFFFF"/>
          <w:lang w:val="en-US" w:eastAsia="zh-CN"/>
        </w:rPr>
        <w:t>2803.15</w:t>
      </w:r>
      <w:r>
        <w:rPr>
          <w:rFonts w:hint="eastAsia" w:ascii="仿宋_GB2312" w:hAnsi="宋体" w:eastAsia="仿宋_GB2312" w:cs="宋体"/>
          <w:color w:val="000000"/>
          <w:kern w:val="0"/>
          <w:sz w:val="32"/>
          <w:szCs w:val="32"/>
          <w:shd w:val="clear" w:color="auto" w:fill="FFFFFF"/>
          <w:lang w:val="zh-CN"/>
        </w:rPr>
        <w:t>万元，决算支出17</w:t>
      </w:r>
      <w:r>
        <w:rPr>
          <w:rFonts w:hint="eastAsia" w:ascii="仿宋_GB2312" w:hAnsi="宋体" w:eastAsia="仿宋_GB2312" w:cs="宋体"/>
          <w:color w:val="000000"/>
          <w:kern w:val="0"/>
          <w:sz w:val="32"/>
          <w:szCs w:val="32"/>
          <w:shd w:val="clear" w:color="auto" w:fill="FFFFFF"/>
          <w:lang w:val="en-US" w:eastAsia="zh-CN"/>
        </w:rPr>
        <w:t>28.14</w:t>
      </w:r>
      <w:r>
        <w:rPr>
          <w:rFonts w:hint="eastAsia" w:ascii="仿宋_GB2312" w:hAnsi="宋体" w:eastAsia="仿宋_GB2312" w:cs="宋体"/>
          <w:color w:val="000000"/>
          <w:kern w:val="0"/>
          <w:sz w:val="32"/>
          <w:szCs w:val="32"/>
          <w:shd w:val="clear" w:color="auto" w:fill="FFFFFF"/>
          <w:lang w:val="zh-CN"/>
        </w:rPr>
        <w:t>万元，预算执行进度</w:t>
      </w:r>
      <w:r>
        <w:rPr>
          <w:rFonts w:hint="eastAsia" w:ascii="仿宋_GB2312" w:hAnsi="宋体" w:eastAsia="仿宋_GB2312" w:cs="宋体"/>
          <w:color w:val="000000"/>
          <w:kern w:val="0"/>
          <w:sz w:val="32"/>
          <w:szCs w:val="32"/>
          <w:shd w:val="clear" w:color="auto" w:fill="FFFFFF"/>
          <w:lang w:val="en-US" w:eastAsia="zh-CN"/>
        </w:rPr>
        <w:t>61.65</w:t>
      </w:r>
      <w:r>
        <w:rPr>
          <w:rFonts w:hint="eastAsia" w:ascii="仿宋_GB2312" w:hAnsi="宋体" w:eastAsia="仿宋_GB2312" w:cs="宋体"/>
          <w:color w:val="000000"/>
          <w:kern w:val="0"/>
          <w:sz w:val="32"/>
          <w:szCs w:val="32"/>
          <w:shd w:val="clear" w:color="auto" w:fill="FFFFFF"/>
          <w:lang w:val="zh-CN"/>
        </w:rPr>
        <w:t>%，该项指标得</w:t>
      </w:r>
      <w:r>
        <w:rPr>
          <w:rFonts w:hint="eastAsia" w:ascii="仿宋_GB2312" w:hAnsi="宋体" w:eastAsia="仿宋_GB2312" w:cs="宋体"/>
          <w:color w:val="000000"/>
          <w:kern w:val="0"/>
          <w:sz w:val="32"/>
          <w:szCs w:val="32"/>
          <w:shd w:val="clear" w:color="auto" w:fill="FFFFFF"/>
          <w:lang w:val="en-US" w:eastAsia="zh-CN"/>
        </w:rPr>
        <w:t>6.17分</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（2）违规记录（10分）。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依据上一年度审计监督、财政检查结果，中心未出现部门预算管理方面违纪违规问题。</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1.信息公开。</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1</w:t>
      </w:r>
      <w:r>
        <w:rPr>
          <w:rFonts w:hint="eastAsia" w:ascii="仿宋_GB2312" w:hAnsi="宋体" w:eastAsia="仿宋_GB2312" w:cs="宋体"/>
          <w:color w:val="000000"/>
          <w:kern w:val="0"/>
          <w:sz w:val="32"/>
          <w:szCs w:val="32"/>
          <w:shd w:val="clear" w:color="auto" w:fill="FFFFFF"/>
          <w:lang w:val="zh-CN"/>
        </w:rPr>
        <w:t>）自评公开（</w:t>
      </w:r>
      <w:r>
        <w:rPr>
          <w:rFonts w:hint="eastAsia" w:ascii="仿宋_GB2312" w:hAnsi="宋体" w:eastAsia="仿宋_GB2312" w:cs="宋体"/>
          <w:color w:val="000000"/>
          <w:kern w:val="0"/>
          <w:sz w:val="32"/>
          <w:szCs w:val="32"/>
          <w:shd w:val="clear" w:color="auto" w:fill="FFFFFF"/>
          <w:lang w:val="en-US" w:eastAsia="zh-CN"/>
        </w:rPr>
        <w:t>2分</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评审中心按照财政厅相关要求，通过四川省财政厅网站对2017年部门决算情况进行了公开，部门整体绩效自评情况随同决算公开。</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2.整改反馈。</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（1）结果整改（</w:t>
      </w:r>
      <w:r>
        <w:rPr>
          <w:rFonts w:hint="eastAsia" w:ascii="仿宋_GB2312" w:hAnsi="宋体" w:eastAsia="仿宋_GB2312" w:cs="宋体"/>
          <w:color w:val="000000"/>
          <w:kern w:val="0"/>
          <w:sz w:val="32"/>
          <w:szCs w:val="32"/>
          <w:shd w:val="clear" w:color="auto" w:fill="FFFFFF"/>
          <w:lang w:val="en-US" w:eastAsia="zh-CN"/>
        </w:rPr>
        <w:t>4</w:t>
      </w:r>
      <w:r>
        <w:rPr>
          <w:rFonts w:hint="eastAsia" w:ascii="仿宋_GB2312" w:hAnsi="宋体" w:eastAsia="仿宋_GB2312" w:cs="宋体"/>
          <w:color w:val="000000"/>
          <w:kern w:val="0"/>
          <w:sz w:val="32"/>
          <w:szCs w:val="32"/>
          <w:shd w:val="clear" w:color="auto" w:fill="FFFFFF"/>
          <w:lang w:val="zh-CN"/>
        </w:rPr>
        <w:t>分）。</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2019年</w:t>
      </w:r>
      <w:r>
        <w:rPr>
          <w:rFonts w:hint="eastAsia" w:ascii="仿宋_GB2312" w:hAnsi="宋体" w:eastAsia="仿宋_GB2312" w:cs="宋体"/>
          <w:color w:val="000000"/>
          <w:kern w:val="0"/>
          <w:sz w:val="32"/>
          <w:szCs w:val="32"/>
          <w:shd w:val="clear" w:color="auto" w:fill="FFFFFF"/>
          <w:lang w:val="zh-CN"/>
        </w:rPr>
        <w:t>，评审中心未接受绩效目标核查、绩效监控核查和重点绩效评价，该项指标得</w:t>
      </w:r>
      <w:r>
        <w:rPr>
          <w:rFonts w:hint="eastAsia" w:ascii="仿宋_GB2312" w:hAnsi="宋体" w:eastAsia="仿宋_GB2312" w:cs="宋体"/>
          <w:color w:val="000000"/>
          <w:kern w:val="0"/>
          <w:sz w:val="32"/>
          <w:szCs w:val="32"/>
          <w:shd w:val="clear" w:color="auto" w:fill="FFFFFF"/>
          <w:lang w:val="en-US" w:eastAsia="zh-CN"/>
        </w:rPr>
        <w:t>10分</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w:t>
      </w:r>
      <w:r>
        <w:rPr>
          <w:rFonts w:hint="eastAsia" w:ascii="仿宋_GB2312" w:hAnsi="宋体" w:eastAsia="仿宋_GB2312" w:cs="宋体"/>
          <w:color w:val="000000"/>
          <w:kern w:val="0"/>
          <w:sz w:val="32"/>
          <w:szCs w:val="32"/>
          <w:shd w:val="clear" w:color="auto" w:fill="FFFFFF"/>
          <w:lang w:val="en-US" w:eastAsia="zh-CN"/>
        </w:rPr>
        <w:t>2</w:t>
      </w:r>
      <w:r>
        <w:rPr>
          <w:rFonts w:hint="eastAsia" w:ascii="仿宋_GB2312" w:hAnsi="宋体" w:eastAsia="仿宋_GB2312" w:cs="宋体"/>
          <w:color w:val="000000"/>
          <w:kern w:val="0"/>
          <w:sz w:val="32"/>
          <w:szCs w:val="32"/>
          <w:shd w:val="clear" w:color="auto" w:fill="FFFFFF"/>
          <w:lang w:val="zh-CN"/>
        </w:rPr>
        <w:t>）应用反馈（</w:t>
      </w:r>
      <w:r>
        <w:rPr>
          <w:rFonts w:hint="eastAsia" w:ascii="仿宋_GB2312" w:hAnsi="宋体" w:eastAsia="仿宋_GB2312" w:cs="宋体"/>
          <w:color w:val="000000"/>
          <w:kern w:val="0"/>
          <w:sz w:val="32"/>
          <w:szCs w:val="32"/>
          <w:shd w:val="clear" w:color="auto" w:fill="FFFFFF"/>
          <w:lang w:val="en-US" w:eastAsia="zh-CN"/>
        </w:rPr>
        <w:t>4分</w:t>
      </w:r>
      <w:r>
        <w:rPr>
          <w:rFonts w:hint="eastAsia" w:ascii="仿宋_GB2312" w:hAnsi="宋体" w:eastAsia="仿宋_GB2312" w:cs="宋体"/>
          <w:color w:val="000000"/>
          <w:kern w:val="0"/>
          <w:sz w:val="32"/>
          <w:szCs w:val="32"/>
          <w:shd w:val="clear" w:color="auto" w:fill="FFFFFF"/>
          <w:lang w:val="zh-CN"/>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en-US" w:eastAsia="zh-CN"/>
        </w:rPr>
        <w:t>2019年，</w:t>
      </w:r>
      <w:r>
        <w:rPr>
          <w:rFonts w:hint="eastAsia" w:ascii="仿宋_GB2312" w:hAnsi="宋体" w:eastAsia="仿宋_GB2312" w:cs="宋体"/>
          <w:color w:val="000000"/>
          <w:kern w:val="0"/>
          <w:sz w:val="32"/>
          <w:szCs w:val="32"/>
          <w:shd w:val="clear" w:color="auto" w:fill="FFFFFF"/>
          <w:lang w:val="zh-CN"/>
        </w:rPr>
        <w:t>评审中心未接受绩效目标核查、绩效监控核查和重点绩效评价，无需反馈应用绩效结果报告，该项指标得</w:t>
      </w:r>
      <w:r>
        <w:rPr>
          <w:rFonts w:hint="eastAsia" w:ascii="仿宋_GB2312" w:hAnsi="宋体" w:eastAsia="仿宋_GB2312" w:cs="宋体"/>
          <w:color w:val="000000"/>
          <w:kern w:val="0"/>
          <w:sz w:val="32"/>
          <w:szCs w:val="32"/>
          <w:shd w:val="clear" w:color="auto" w:fill="FFFFFF"/>
          <w:lang w:val="en-US" w:eastAsia="zh-CN"/>
        </w:rPr>
        <w:t>4分。</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bookmarkStart w:id="116" w:name="_Toc26351_WPSOffice_Level2"/>
      <w:bookmarkStart w:id="117" w:name="_Toc27227_WPSOffice_Level2"/>
      <w:r>
        <w:rPr>
          <w:rFonts w:hint="eastAsia" w:ascii="黑体" w:hAnsi="宋体" w:eastAsia="黑体" w:cs="宋体"/>
          <w:color w:val="000000"/>
          <w:kern w:val="0"/>
          <w:sz w:val="32"/>
          <w:szCs w:val="32"/>
          <w:shd w:val="clear" w:color="auto" w:fill="FFFFFF"/>
        </w:rPr>
        <w:t>四、评价结论及建议</w:t>
      </w:r>
      <w:bookmarkEnd w:id="116"/>
      <w:bookmarkEnd w:id="117"/>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总体来讲，评审中心能按照预算绩效管理相关要求，对2018年部门整体支出和一般公共预算项目支出进行了绩效目标管理，自评得分</w:t>
      </w:r>
      <w:r>
        <w:rPr>
          <w:rFonts w:hint="eastAsia" w:ascii="仿宋_GB2312" w:hAnsi="宋体" w:eastAsia="仿宋_GB2312" w:cs="宋体"/>
          <w:color w:val="000000"/>
          <w:kern w:val="0"/>
          <w:sz w:val="32"/>
          <w:szCs w:val="32"/>
          <w:shd w:val="clear" w:color="auto" w:fill="FFFFFF"/>
          <w:lang w:val="en-US" w:eastAsia="zh-CN"/>
        </w:rPr>
        <w:t>72.86</w:t>
      </w:r>
      <w:r>
        <w:rPr>
          <w:rFonts w:hint="eastAsia" w:ascii="仿宋_GB2312" w:hAnsi="宋体" w:eastAsia="仿宋_GB2312" w:cs="宋体"/>
          <w:color w:val="000000"/>
          <w:kern w:val="0"/>
          <w:sz w:val="32"/>
          <w:szCs w:val="32"/>
          <w:shd w:val="clear" w:color="auto" w:fill="FFFFFF"/>
          <w:lang w:val="zh-CN"/>
        </w:rPr>
        <w:t>分（满分</w:t>
      </w:r>
      <w:r>
        <w:rPr>
          <w:rFonts w:hint="eastAsia" w:ascii="仿宋_GB2312" w:hAnsi="宋体" w:eastAsia="仿宋_GB2312" w:cs="宋体"/>
          <w:color w:val="000000"/>
          <w:kern w:val="0"/>
          <w:sz w:val="32"/>
          <w:szCs w:val="32"/>
          <w:shd w:val="clear" w:color="auto" w:fill="FFFFFF"/>
          <w:lang w:val="en-US" w:eastAsia="zh-CN"/>
        </w:rPr>
        <w:t>90</w:t>
      </w:r>
      <w:r>
        <w:rPr>
          <w:rFonts w:hint="eastAsia" w:ascii="仿宋_GB2312" w:hAnsi="宋体" w:eastAsia="仿宋_GB2312" w:cs="宋体"/>
          <w:color w:val="000000"/>
          <w:kern w:val="0"/>
          <w:sz w:val="32"/>
          <w:szCs w:val="32"/>
          <w:shd w:val="clear" w:color="auto" w:fill="FFFFFF"/>
          <w:lang w:val="zh-CN"/>
        </w:rPr>
        <w:t>分），按百分制折算后得分为</w:t>
      </w:r>
      <w:r>
        <w:rPr>
          <w:rFonts w:hint="eastAsia" w:ascii="仿宋_GB2312" w:hAnsi="宋体" w:eastAsia="仿宋_GB2312" w:cs="宋体"/>
          <w:color w:val="000000"/>
          <w:kern w:val="0"/>
          <w:sz w:val="32"/>
          <w:szCs w:val="32"/>
          <w:shd w:val="clear" w:color="auto" w:fill="FFFFFF"/>
          <w:lang w:val="en-US" w:eastAsia="zh-CN"/>
        </w:rPr>
        <w:t>80.96</w:t>
      </w:r>
      <w:r>
        <w:rPr>
          <w:rFonts w:hint="eastAsia" w:ascii="仿宋_GB2312" w:hAnsi="宋体" w:eastAsia="仿宋_GB2312" w:cs="宋体"/>
          <w:color w:val="000000"/>
          <w:kern w:val="0"/>
          <w:sz w:val="32"/>
          <w:szCs w:val="32"/>
          <w:shd w:val="clear" w:color="auto" w:fill="FFFFFF"/>
          <w:lang w:val="zh-CN"/>
        </w:rPr>
        <w:t>分（满分100分）。评审中心严格执行相关财经纪律，健全内部控制体系，完善内部财务制度，积极高效地开展各项评审工作，确保了职工队伍稳定、机构日常运转和事业发展目标全面完成，基本达到财政资金支出预算的预期绩效目标。</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2019年部门预算绩效管理工作中，评审中心存在的主要问题有：一是部门预算执行进度偏慢，在不同时点均低于省级平均水平；二是年末结转资金较大，降低了财政资金的使用效率；三是两个常年项目的绩效目标设置还需改进完善。主要原因在于评审业务工作集中于二至四季度，评审费用须根据任务完成进度进行结算，导致委托业务费执行进度偏慢，极大地影响了部门整体的执行进度；其次，由于评审任务由财政厅、发改委相关处室根据当年项目、资金安排情况和实际需要下达，评审任务的计划性不强，部分项目无法在年底按期完结，需进行跨年支付，导致年末结转资金较大。</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1.提高项目预算编制准确性。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在编制下一年度预算的准备工作阶段，</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中心将加强与主管部门相关业务处室的沟通，强化项目前期评估，力求年度评审业务计划安排的前瞻性，提前做好详细的年度评审业务计划，并结合以前年度项目支出的实际情况，提高项目支出预算编制的准确性和合理性。</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2.加强预算执行进度管理。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中心将进一步探索与完善购买评审（评价）服务的付费机制，定期监控项目实施进度，及时结算评审项目费用，加快项目支出进度，尽量均衡安排财政资金支出。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加强预算绩效管理学习</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lang w:eastAsia="zh-CN"/>
        </w:rPr>
        <w:sectPr>
          <w:pgSz w:w="11906" w:h="16838"/>
          <w:pgMar w:top="1440" w:right="1800" w:bottom="1440" w:left="1800" w:header="851" w:footer="992" w:gutter="0"/>
          <w:pgNumType w:fmt="decimal"/>
          <w:cols w:space="425" w:num="1"/>
          <w:titlePg/>
          <w:docGrid w:type="lines" w:linePitch="312" w:charSpace="0"/>
        </w:sectPr>
      </w:pPr>
      <w:r>
        <w:rPr>
          <w:rFonts w:hint="eastAsia" w:ascii="仿宋_GB2312" w:hAnsi="仿宋_GB2312" w:eastAsia="仿宋_GB2312" w:cs="仿宋_GB2312"/>
          <w:sz w:val="32"/>
          <w:szCs w:val="32"/>
        </w:rPr>
        <w:t>结合评审中心工作实际，进一步强化在预算管理、绩效管理等方面的学习，增强绩效目标设置的合理性</w:t>
      </w:r>
      <w:r>
        <w:rPr>
          <w:rFonts w:hint="eastAsia" w:ascii="仿宋_GB2312" w:hAnsi="仿宋_GB2312" w:eastAsia="仿宋_GB2312" w:cs="仿宋_GB2312"/>
          <w:sz w:val="32"/>
          <w:szCs w:val="32"/>
          <w:lang w:eastAsia="zh-CN"/>
        </w:rPr>
        <w:t>，增强预算绩效管理的科学性。</w:t>
      </w:r>
    </w:p>
    <w:tbl>
      <w:tblPr>
        <w:tblStyle w:val="1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6"/>
        <w:gridCol w:w="1767"/>
        <w:gridCol w:w="1750"/>
        <w:gridCol w:w="1419"/>
        <w:gridCol w:w="6561"/>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0" w:hRule="atLeast"/>
        </w:trPr>
        <w:tc>
          <w:tcPr>
            <w:tcW w:w="13988"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2019年度部门整体支出绩效评价自评表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8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绩效指标</w:t>
            </w:r>
          </w:p>
        </w:tc>
        <w:tc>
          <w:tcPr>
            <w:tcW w:w="14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指标分值</w:t>
            </w:r>
          </w:p>
        </w:tc>
        <w:tc>
          <w:tcPr>
            <w:tcW w:w="65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指标解释</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p>
        </w:tc>
        <w:tc>
          <w:tcPr>
            <w:tcW w:w="14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5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部门预算管理（80分）</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预算编制（30分）</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目标制定</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评价部门绩效目标是否要素完整、细化量化。</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目标实现</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评价部门绩效目标实际实现程度与预期目标的偏离度。</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编制准确</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评价部门年初预算编制是否科学准确。</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预算执行（30分）</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支出控制</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部门公用经费及非定额公用支出控制情况。</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动态调整</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评价部门开展绩效运行监控后，将绩效监控结果应用到预算调整的情况。</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执行进度</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评价部门在6、9、11月的预算执行情况。</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完成结果（20分）</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预算完成</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评价部门预算项目年终预算执行情况。</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违规记录</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根据审计监督、财政检查结果反映部门上一年度部门预算管理是否合规。</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绩效结果应用（10分）</w:t>
            </w:r>
          </w:p>
        </w:tc>
        <w:tc>
          <w:tcPr>
            <w:tcW w:w="17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信息公开（2分)</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自评公开</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评价部门是否按要求将部门整体绩效自评情况和自行组织的评价情况向社会公开。</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整改反馈（8分）</w:t>
            </w: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结果整改</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评价部门根据绩效管理结果整改问题、完善政策、改进管理的情况。</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13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应用反馈</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评价部门按要求及时向财政部门反馈结果应用情况。</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48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总分</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6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72.86</w:t>
            </w:r>
          </w:p>
        </w:tc>
      </w:tr>
    </w:tbl>
    <w:p>
      <w:pPr>
        <w:spacing w:line="580" w:lineRule="exact"/>
        <w:ind w:firstLine="0" w:firstLineChars="0"/>
        <w:rPr>
          <w:rFonts w:hint="eastAsia" w:ascii="仿宋_GB2312" w:hAnsi="仿宋_GB2312" w:eastAsia="仿宋_GB2312" w:cs="仿宋_GB2312"/>
          <w:sz w:val="32"/>
          <w:szCs w:val="32"/>
          <w:lang w:eastAsia="zh-CN"/>
        </w:rPr>
        <w:sectPr>
          <w:pgSz w:w="16838" w:h="11906" w:orient="landscape"/>
          <w:pgMar w:top="1800" w:right="1440" w:bottom="1800" w:left="1440" w:header="851" w:footer="992" w:gutter="0"/>
          <w:pgNumType w:fmt="decimal"/>
          <w:cols w:space="425" w:num="1"/>
          <w:titlePg/>
          <w:docGrid w:type="lines" w:linePitch="312" w:charSpace="0"/>
        </w:sectPr>
      </w:pPr>
    </w:p>
    <w:p>
      <w:pPr>
        <w:spacing w:line="600" w:lineRule="exact"/>
        <w:jc w:val="center"/>
        <w:outlineLvl w:val="0"/>
        <w:rPr>
          <w:rStyle w:val="24"/>
          <w:rFonts w:ascii="黑体" w:hAnsi="黑体" w:eastAsia="黑体"/>
          <w:b w:val="0"/>
        </w:rPr>
      </w:pPr>
      <w:bookmarkStart w:id="118" w:name="_Toc15396618"/>
      <w:bookmarkStart w:id="119" w:name="_Toc6968_WPSOffice_Level1"/>
      <w:r>
        <w:rPr>
          <w:rFonts w:hint="eastAsia" w:ascii="黑体" w:hAnsi="黑体" w:eastAsia="黑体"/>
          <w:color w:val="000000"/>
          <w:sz w:val="44"/>
          <w:szCs w:val="44"/>
        </w:rPr>
        <w:t>第</w:t>
      </w:r>
      <w:r>
        <w:rPr>
          <w:rStyle w:val="24"/>
          <w:rFonts w:hint="eastAsia" w:ascii="黑体" w:hAnsi="黑体" w:eastAsia="黑体"/>
          <w:b w:val="0"/>
        </w:rPr>
        <w:t>五部分 附表</w:t>
      </w:r>
      <w:bookmarkEnd w:id="104"/>
      <w:bookmarkEnd w:id="118"/>
      <w:bookmarkEnd w:id="11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120" w:name="_Toc5750_WPSOffice_Level2"/>
      <w:bookmarkStart w:id="121"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120"/>
      <w:bookmarkEnd w:id="121"/>
    </w:p>
    <w:p>
      <w:pPr>
        <w:pStyle w:val="3"/>
        <w:rPr>
          <w:rFonts w:ascii="仿宋" w:hAnsi="仿宋" w:eastAsia="仿宋"/>
          <w:color w:val="000000"/>
        </w:rPr>
      </w:pPr>
      <w:bookmarkStart w:id="122" w:name="_Toc382_WPSOffice_Level2"/>
      <w:bookmarkStart w:id="123" w:name="_Toc15396620"/>
      <w:r>
        <w:rPr>
          <w:rFonts w:hint="eastAsia" w:ascii="仿宋" w:hAnsi="仿宋" w:eastAsia="仿宋"/>
          <w:b w:val="0"/>
          <w:color w:val="000000"/>
        </w:rPr>
        <w:t>二、收</w:t>
      </w:r>
      <w:r>
        <w:rPr>
          <w:rStyle w:val="25"/>
          <w:rFonts w:hint="eastAsia" w:ascii="仿宋" w:hAnsi="仿宋" w:eastAsia="仿宋"/>
          <w:b w:val="0"/>
          <w:bCs w:val="0"/>
        </w:rPr>
        <w:t>入决算</w:t>
      </w:r>
      <w:bookmarkEnd w:id="122"/>
      <w:r>
        <w:rPr>
          <w:rStyle w:val="25"/>
          <w:rFonts w:hint="eastAsia" w:ascii="仿宋" w:hAnsi="仿宋" w:eastAsia="仿宋"/>
          <w:b w:val="0"/>
          <w:bCs w:val="0"/>
        </w:rPr>
        <w:t>表</w:t>
      </w:r>
      <w:bookmarkEnd w:id="123"/>
    </w:p>
    <w:p>
      <w:pPr>
        <w:pStyle w:val="3"/>
        <w:rPr>
          <w:rFonts w:ascii="仿宋" w:hAnsi="仿宋" w:eastAsia="仿宋"/>
          <w:color w:val="000000"/>
        </w:rPr>
      </w:pPr>
      <w:bookmarkStart w:id="124" w:name="_Toc7992_WPSOffice_Level2"/>
      <w:bookmarkStart w:id="12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w:t>
      </w:r>
      <w:bookmarkEnd w:id="124"/>
      <w:r>
        <w:rPr>
          <w:rStyle w:val="25"/>
          <w:rFonts w:hint="eastAsia" w:ascii="仿宋" w:hAnsi="仿宋" w:eastAsia="仿宋"/>
          <w:b w:val="0"/>
          <w:bCs w:val="0"/>
        </w:rPr>
        <w:t>表</w:t>
      </w:r>
      <w:bookmarkEnd w:id="125"/>
    </w:p>
    <w:p>
      <w:pPr>
        <w:pStyle w:val="3"/>
        <w:rPr>
          <w:rFonts w:ascii="仿宋" w:hAnsi="仿宋" w:eastAsia="仿宋"/>
          <w:b w:val="0"/>
          <w:color w:val="000000"/>
        </w:rPr>
      </w:pPr>
      <w:bookmarkStart w:id="126" w:name="_Toc15396622"/>
      <w:bookmarkStart w:id="127" w:name="_Toc1667_WPSOffice_Level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126"/>
      <w:bookmarkEnd w:id="127"/>
    </w:p>
    <w:p>
      <w:pPr>
        <w:pStyle w:val="3"/>
        <w:rPr>
          <w:rStyle w:val="25"/>
          <w:rFonts w:ascii="仿宋" w:hAnsi="仿宋" w:eastAsia="仿宋"/>
          <w:b w:val="0"/>
          <w:bCs w:val="0"/>
        </w:rPr>
      </w:pPr>
      <w:bookmarkStart w:id="128" w:name="_Toc14440_WPSOffice_Level2"/>
      <w:bookmarkStart w:id="129"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128"/>
      <w:bookmarkEnd w:id="129"/>
      <w:bookmarkStart w:id="130" w:name="_Toc15396624"/>
    </w:p>
    <w:p>
      <w:pPr>
        <w:pStyle w:val="3"/>
        <w:rPr>
          <w:rFonts w:ascii="仿宋" w:hAnsi="仿宋" w:eastAsia="仿宋"/>
          <w:color w:val="000000"/>
        </w:rPr>
      </w:pPr>
      <w:bookmarkStart w:id="131" w:name="_Toc12247_WPSOffice_Level2"/>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130"/>
      <w:bookmarkEnd w:id="131"/>
    </w:p>
    <w:p>
      <w:pPr>
        <w:pStyle w:val="3"/>
        <w:rPr>
          <w:rFonts w:ascii="仿宋" w:hAnsi="仿宋" w:eastAsia="仿宋"/>
          <w:color w:val="000000"/>
        </w:rPr>
      </w:pPr>
      <w:bookmarkStart w:id="132" w:name="_Toc5349_WPSOffice_Level2"/>
      <w:bookmarkStart w:id="133"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132"/>
      <w:bookmarkEnd w:id="133"/>
    </w:p>
    <w:p>
      <w:pPr>
        <w:pStyle w:val="3"/>
        <w:rPr>
          <w:rFonts w:ascii="仿宋" w:hAnsi="仿宋" w:eastAsia="仿宋"/>
          <w:color w:val="000000"/>
        </w:rPr>
      </w:pPr>
      <w:bookmarkStart w:id="134" w:name="_Toc27549_WPSOffice_Level2"/>
      <w:bookmarkStart w:id="135"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134"/>
      <w:bookmarkEnd w:id="135"/>
    </w:p>
    <w:p>
      <w:pPr>
        <w:pStyle w:val="3"/>
        <w:rPr>
          <w:rFonts w:ascii="仿宋" w:hAnsi="仿宋" w:eastAsia="仿宋"/>
          <w:color w:val="000000"/>
        </w:rPr>
      </w:pPr>
      <w:bookmarkStart w:id="136" w:name="_Toc15396627"/>
      <w:bookmarkStart w:id="137" w:name="_Toc24056_WPSOffice_Level2"/>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136"/>
      <w:bookmarkEnd w:id="137"/>
    </w:p>
    <w:p>
      <w:pPr>
        <w:pStyle w:val="3"/>
        <w:rPr>
          <w:rFonts w:ascii="仿宋" w:hAnsi="仿宋" w:eastAsia="仿宋"/>
          <w:color w:val="000000"/>
        </w:rPr>
      </w:pPr>
      <w:bookmarkStart w:id="138" w:name="_Toc19151_WPSOffice_Level2"/>
      <w:bookmarkStart w:id="13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38"/>
      <w:bookmarkEnd w:id="139"/>
    </w:p>
    <w:p>
      <w:pPr>
        <w:pStyle w:val="3"/>
        <w:rPr>
          <w:rFonts w:ascii="仿宋" w:hAnsi="仿宋" w:eastAsia="仿宋"/>
          <w:color w:val="000000"/>
        </w:rPr>
      </w:pPr>
      <w:bookmarkStart w:id="140" w:name="_Toc15396629"/>
      <w:bookmarkStart w:id="141" w:name="_Toc582_WPSOffice_Level2"/>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40"/>
      <w:bookmarkEnd w:id="141"/>
    </w:p>
    <w:p>
      <w:pPr>
        <w:pStyle w:val="3"/>
        <w:rPr>
          <w:rFonts w:ascii="仿宋" w:hAnsi="仿宋" w:eastAsia="仿宋"/>
          <w:color w:val="000000"/>
        </w:rPr>
      </w:pPr>
      <w:bookmarkStart w:id="142" w:name="_Toc15396630"/>
      <w:bookmarkStart w:id="143" w:name="_Toc17629_WPSOffice_Level2"/>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42"/>
      <w:bookmarkEnd w:id="143"/>
    </w:p>
    <w:p>
      <w:pPr>
        <w:pStyle w:val="3"/>
        <w:rPr>
          <w:rFonts w:ascii="仿宋" w:hAnsi="仿宋" w:eastAsia="仿宋"/>
          <w:color w:val="000000" w:themeColor="text1"/>
        </w:rPr>
      </w:pPr>
      <w:bookmarkStart w:id="144" w:name="_Toc15396631"/>
      <w:bookmarkStart w:id="145" w:name="_Toc22868_WPSOffice_Level2"/>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144"/>
      <w:bookmarkEnd w:id="145"/>
    </w:p>
    <w:sectPr>
      <w:footerReference r:id="rId11" w:type="first"/>
      <w:footerReference r:id="rId10"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11</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11</w:t>
                    </w:r>
                    <w:r>
                      <w:fldChar w:fldCharType="end"/>
                    </w:r>
                  </w:p>
                </w:sdtContent>
              </w:sdt>
              <w:p/>
            </w:txbxContent>
          </v:textbox>
        </v:shape>
      </w:pict>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11</w:t>
                    </w:r>
                    <w:r>
                      <w:fldChar w:fldCharType="end"/>
                    </w:r>
                  </w:p>
                </w:sdtContent>
              </w:sdt>
              <w:p/>
            </w:txbxContent>
          </v:textbox>
        </v:shape>
      </w:pict>
    </w:r>
  </w:p>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jc w:val="center"/>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2C7AA1"/>
    <w:rsid w:val="044230E7"/>
    <w:rsid w:val="045B6E1E"/>
    <w:rsid w:val="0485473C"/>
    <w:rsid w:val="049A75DB"/>
    <w:rsid w:val="05D46361"/>
    <w:rsid w:val="05F552A7"/>
    <w:rsid w:val="0694728A"/>
    <w:rsid w:val="07555C8F"/>
    <w:rsid w:val="09582C72"/>
    <w:rsid w:val="0B86746C"/>
    <w:rsid w:val="0C361129"/>
    <w:rsid w:val="0D631C44"/>
    <w:rsid w:val="0E3D03D0"/>
    <w:rsid w:val="0EB45FDC"/>
    <w:rsid w:val="0EC474DD"/>
    <w:rsid w:val="105D39E6"/>
    <w:rsid w:val="10C055FF"/>
    <w:rsid w:val="1132403F"/>
    <w:rsid w:val="1337154B"/>
    <w:rsid w:val="143B249F"/>
    <w:rsid w:val="14B91401"/>
    <w:rsid w:val="14C61001"/>
    <w:rsid w:val="162F70C2"/>
    <w:rsid w:val="164A1E86"/>
    <w:rsid w:val="16BB723D"/>
    <w:rsid w:val="16E15AE8"/>
    <w:rsid w:val="17694287"/>
    <w:rsid w:val="1822259E"/>
    <w:rsid w:val="18EA4672"/>
    <w:rsid w:val="1ADD00E3"/>
    <w:rsid w:val="1B522742"/>
    <w:rsid w:val="1B673F33"/>
    <w:rsid w:val="1B927A2A"/>
    <w:rsid w:val="1C024EFB"/>
    <w:rsid w:val="1C57150F"/>
    <w:rsid w:val="1DE73B69"/>
    <w:rsid w:val="216827A3"/>
    <w:rsid w:val="21A86AE0"/>
    <w:rsid w:val="22C308BC"/>
    <w:rsid w:val="240371BF"/>
    <w:rsid w:val="2406670F"/>
    <w:rsid w:val="247F57E3"/>
    <w:rsid w:val="25B934E6"/>
    <w:rsid w:val="28510B3D"/>
    <w:rsid w:val="29FD04D3"/>
    <w:rsid w:val="2D695460"/>
    <w:rsid w:val="2E024D74"/>
    <w:rsid w:val="2E241869"/>
    <w:rsid w:val="319F7F4E"/>
    <w:rsid w:val="32360049"/>
    <w:rsid w:val="32D76653"/>
    <w:rsid w:val="32E7542C"/>
    <w:rsid w:val="32EB6F73"/>
    <w:rsid w:val="3354584D"/>
    <w:rsid w:val="34A737F6"/>
    <w:rsid w:val="35CC4BD2"/>
    <w:rsid w:val="35D64040"/>
    <w:rsid w:val="35DE7494"/>
    <w:rsid w:val="363A066E"/>
    <w:rsid w:val="367B08C7"/>
    <w:rsid w:val="374B5440"/>
    <w:rsid w:val="378A3E31"/>
    <w:rsid w:val="38DB13E4"/>
    <w:rsid w:val="3A2522A9"/>
    <w:rsid w:val="3ADE3783"/>
    <w:rsid w:val="3D35554D"/>
    <w:rsid w:val="3E0B2F18"/>
    <w:rsid w:val="3FE2249B"/>
    <w:rsid w:val="40716A48"/>
    <w:rsid w:val="4195052C"/>
    <w:rsid w:val="45AF223C"/>
    <w:rsid w:val="49BE5A84"/>
    <w:rsid w:val="4A451420"/>
    <w:rsid w:val="4A6861D3"/>
    <w:rsid w:val="4C175FC5"/>
    <w:rsid w:val="4CAD02DF"/>
    <w:rsid w:val="4D5815CC"/>
    <w:rsid w:val="4DE82666"/>
    <w:rsid w:val="4ECE2238"/>
    <w:rsid w:val="50A33A3C"/>
    <w:rsid w:val="51333291"/>
    <w:rsid w:val="5248494E"/>
    <w:rsid w:val="525B50E8"/>
    <w:rsid w:val="53065B81"/>
    <w:rsid w:val="534D1CCB"/>
    <w:rsid w:val="553A5555"/>
    <w:rsid w:val="55905CAA"/>
    <w:rsid w:val="5639493B"/>
    <w:rsid w:val="59CB61C8"/>
    <w:rsid w:val="5A115F95"/>
    <w:rsid w:val="5E0F30A5"/>
    <w:rsid w:val="603C6A03"/>
    <w:rsid w:val="609427D2"/>
    <w:rsid w:val="614D7B44"/>
    <w:rsid w:val="63BB1D9F"/>
    <w:rsid w:val="664C71F2"/>
    <w:rsid w:val="665A140F"/>
    <w:rsid w:val="67C50C6F"/>
    <w:rsid w:val="69E64829"/>
    <w:rsid w:val="6BE145AB"/>
    <w:rsid w:val="6BF26CB1"/>
    <w:rsid w:val="6BFC152D"/>
    <w:rsid w:val="6C044B98"/>
    <w:rsid w:val="6CCC2F4C"/>
    <w:rsid w:val="6CFF5C05"/>
    <w:rsid w:val="6D6F7FF8"/>
    <w:rsid w:val="6EBD7DA1"/>
    <w:rsid w:val="70D721B7"/>
    <w:rsid w:val="72734D90"/>
    <w:rsid w:val="727F20CD"/>
    <w:rsid w:val="735D34CF"/>
    <w:rsid w:val="73762412"/>
    <w:rsid w:val="74FA3D81"/>
    <w:rsid w:val="75BA1221"/>
    <w:rsid w:val="75D255B1"/>
    <w:rsid w:val="764537A0"/>
    <w:rsid w:val="770D0D3A"/>
    <w:rsid w:val="7721529F"/>
    <w:rsid w:val="78703523"/>
    <w:rsid w:val="78845171"/>
    <w:rsid w:val="797522F2"/>
    <w:rsid w:val="7C4A50E4"/>
    <w:rsid w:val="7C8E1AA8"/>
    <w:rsid w:val="7EBA3E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7.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pt idx="0">
                  <c:v>1794.97</c:v>
                </c:pt>
                <c:pt idx="1">
                  <c:v>1728.14</c:v>
                </c:pt>
              </c:numCache>
            </c:numRef>
          </c:val>
        </c:ser>
        <c:dLbls>
          <c:showLegendKey val="0"/>
          <c:showVal val="1"/>
          <c:showCatName val="0"/>
          <c:showSerName val="0"/>
          <c:showPercent val="0"/>
          <c:showBubbleSize val="0"/>
        </c:dLbls>
        <c:gapWidth val="219"/>
        <c:overlap val="-27"/>
        <c:axId val="98688168"/>
        <c:axId val="318484447"/>
      </c:barChart>
      <c:catAx>
        <c:axId val="986881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8484447"/>
        <c:crosses val="autoZero"/>
        <c:auto val="1"/>
        <c:lblAlgn val="ctr"/>
        <c:lblOffset val="100"/>
        <c:noMultiLvlLbl val="0"/>
      </c:catAx>
      <c:valAx>
        <c:axId val="318484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881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收入决算情况（单位：万元）</a:t>
            </a:r>
          </a:p>
        </c:rich>
      </c:tx>
      <c:layout/>
      <c:overlay val="0"/>
      <c:spPr>
        <a:noFill/>
        <a:ln>
          <a:noFill/>
        </a:ln>
        <a:effectLst/>
      </c:spPr>
    </c:title>
    <c:autoTitleDeleted val="0"/>
    <c:plotArea>
      <c:layout/>
      <c:pieChart>
        <c:varyColors val="1"/>
        <c:ser>
          <c:idx val="0"/>
          <c:order val="0"/>
          <c:tx>
            <c:strRef>
              <c:f>Sheet1!$B$1</c:f>
              <c:strCache>
                <c:ptCount val="1"/>
                <c:pt idx="0">
                  <c:v>本年收入</c:v>
                </c:pt>
              </c:strCache>
            </c:strRef>
          </c:tx>
          <c:spPr/>
          <c:explosion val="0"/>
          <c:dPt>
            <c:idx val="0"/>
            <c:bubble3D val="0"/>
            <c:spPr>
              <a:solidFill>
                <a:schemeClr val="accent1"/>
              </a:solidFill>
              <a:ln w="19050">
                <a:solidFill>
                  <a:schemeClr val="lt1"/>
                </a:solidFill>
              </a:ln>
              <a:effectLst/>
            </c:spPr>
          </c:dPt>
          <c:dLbls>
            <c:dLbl>
              <c:idx val="0"/>
              <c:layout>
                <c:manualLayout>
                  <c:x val="-1.09660155098368e-6"/>
                  <c:y val="-0.24896071948210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bg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1728.14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支出决算情况（单位：万元）</a:t>
            </a:r>
          </a:p>
        </c:rich>
      </c:tx>
      <c:layout/>
      <c:overlay val="0"/>
      <c:spPr>
        <a:noFill/>
        <a:ln>
          <a:noFill/>
        </a:ln>
        <a:effectLst/>
      </c:sp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848165629520446"/>
                  <c:y val="0.14880115785246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50441595087511"/>
                  <c:y val="-0.15630112947017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bg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414.37</c:v>
                </c:pt>
                <c:pt idx="1">
                  <c:v>1313.77</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manualLayout>
          <c:xMode val="edge"/>
          <c:yMode val="edge"/>
          <c:x val="0.7945"/>
          <c:y val="0.48395391894671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pt idx="0">
                  <c:v>1794.97</c:v>
                </c:pt>
                <c:pt idx="1">
                  <c:v>1728.14</c:v>
                </c:pt>
              </c:numCache>
            </c:numRef>
          </c:val>
        </c:ser>
        <c:dLbls>
          <c:showLegendKey val="0"/>
          <c:showVal val="1"/>
          <c:showCatName val="0"/>
          <c:showSerName val="0"/>
          <c:showPercent val="0"/>
          <c:showBubbleSize val="0"/>
        </c:dLbls>
        <c:gapWidth val="219"/>
        <c:overlap val="-27"/>
        <c:axId val="98688168"/>
        <c:axId val="318484447"/>
      </c:barChart>
      <c:catAx>
        <c:axId val="986881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8484447"/>
        <c:crosses val="autoZero"/>
        <c:auto val="1"/>
        <c:lblAlgn val="ctr"/>
        <c:lblOffset val="100"/>
        <c:noMultiLvlLbl val="0"/>
      </c:catAx>
      <c:valAx>
        <c:axId val="318484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881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2018年</c:v>
                </c:pt>
                <c:pt idx="1">
                  <c:v>2019年</c:v>
                </c:pt>
              </c:strCache>
            </c:strRef>
          </c:cat>
          <c:val>
            <c:numRef>
              <c:f>Sheet1!$B$2:$B$3</c:f>
              <c:numCache>
                <c:formatCode>General</c:formatCode>
                <c:ptCount val="2"/>
                <c:pt idx="0">
                  <c:v>1794.97</c:v>
                </c:pt>
                <c:pt idx="1">
                  <c:v>1728.14</c:v>
                </c:pt>
              </c:numCache>
            </c:numRef>
          </c:val>
        </c:ser>
        <c:dLbls>
          <c:showLegendKey val="0"/>
          <c:showVal val="1"/>
          <c:showCatName val="0"/>
          <c:showSerName val="0"/>
          <c:showPercent val="0"/>
          <c:showBubbleSize val="0"/>
        </c:dLbls>
        <c:gapWidth val="219"/>
        <c:overlap val="-27"/>
        <c:axId val="98688168"/>
        <c:axId val="318484447"/>
      </c:barChart>
      <c:catAx>
        <c:axId val="986881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8484447"/>
        <c:crosses val="autoZero"/>
        <c:auto val="1"/>
        <c:lblAlgn val="ctr"/>
        <c:lblOffset val="100"/>
        <c:noMultiLvlLbl val="0"/>
      </c:catAx>
      <c:valAx>
        <c:axId val="318484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881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一般公共预算财政拨款支出决算结构（单位：万元）</a:t>
            </a:r>
          </a:p>
        </c:rich>
      </c:tx>
      <c:layout/>
      <c:overlay val="0"/>
      <c:spPr>
        <a:noFill/>
        <a:ln>
          <a:noFill/>
        </a:ln>
        <a:effectLst/>
      </c:sp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numFmt formatCode="0.00%" sourceLinked="0"/>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bg1"/>
                      </a:solidFill>
                      <a:latin typeface="+mn-lt"/>
                      <a:ea typeface="+mn-ea"/>
                      <a:cs typeface="+mn-cs"/>
                    </a:defRPr>
                  </a:pPr>
                </a:p>
              </c:txPr>
              <c:dLblPos val="bestFit"/>
              <c:showLegendKey val="1"/>
              <c:showVal val="0"/>
              <c:showCatName val="1"/>
              <c:showSerName val="0"/>
              <c:showPercent val="1"/>
              <c:showBubbleSize val="0"/>
              <c:separator>
</c:separator>
              <c:extLst>
                <c:ext xmlns:c15="http://schemas.microsoft.com/office/drawing/2012/chart" uri="{CE6537A1-D6FC-4f65-9D91-7224C49458BB}"/>
              </c:extLst>
            </c:dLbl>
            <c:dLbl>
              <c:idx val="1"/>
              <c:layout>
                <c:manualLayout>
                  <c:x val="0.0431355597894602"/>
                  <c:y val="-0.148403144416656"/>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373433884902104"/>
                  <c:y val="-0.0562137976159458"/>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485963679124558"/>
                  <c:y val="0.021040761258957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110593953628332"/>
                  <c:y val="0.118252756745529"/>
                </c:manualLayout>
              </c:layout>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一般公共服务</c:v>
                </c:pt>
                <c:pt idx="1">
                  <c:v>教育</c:v>
                </c:pt>
                <c:pt idx="2">
                  <c:v>社会保障和就业</c:v>
                </c:pt>
                <c:pt idx="3">
                  <c:v>卫生健康</c:v>
                </c:pt>
                <c:pt idx="4">
                  <c:v>住房保障</c:v>
                </c:pt>
              </c:strCache>
            </c:strRef>
          </c:cat>
          <c:val>
            <c:numRef>
              <c:f>Sheet1!$B$2:$B$6</c:f>
              <c:numCache>
                <c:formatCode>General</c:formatCode>
                <c:ptCount val="5"/>
                <c:pt idx="0">
                  <c:v>1623.84</c:v>
                </c:pt>
                <c:pt idx="1">
                  <c:v>31.46</c:v>
                </c:pt>
                <c:pt idx="2">
                  <c:v>23.51</c:v>
                </c:pt>
                <c:pt idx="3">
                  <c:v>19.03</c:v>
                </c:pt>
                <c:pt idx="4">
                  <c:v>30.3</c:v>
                </c:pt>
              </c:numCache>
            </c:numRef>
          </c:val>
        </c:ser>
        <c:dLbls>
          <c:showLegendKey val="1"/>
          <c:showVal val="0"/>
          <c:showCatName val="1"/>
          <c:showSerName val="0"/>
          <c:showPercent val="1"/>
          <c:showBubbleSize val="0"/>
          <c:showLeaderLines val="1"/>
        </c:dLbls>
        <c:firstSliceAng val="9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经费（单位：万元）</a:t>
            </a:r>
            <a:endParaRPr altLang="en-US"/>
          </a:p>
        </c:rich>
      </c:tx>
      <c:layout/>
      <c:overlay val="0"/>
      <c:spPr>
        <a:noFill/>
        <a:ln>
          <a:noFill/>
        </a:ln>
        <a:effectLst/>
      </c:spPr>
    </c:title>
    <c:autoTitleDeleted val="0"/>
    <c:plotArea>
      <c:layout/>
      <c:pieChart>
        <c:varyColors val="1"/>
        <c:ser>
          <c:idx val="0"/>
          <c:order val="0"/>
          <c:tx>
            <c:strRef>
              <c:f>Sheet1!$B$1</c:f>
              <c:strCache>
                <c:ptCount val="1"/>
                <c:pt idx="0">
                  <c:v>本年支出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0510830884043398"/>
                  <c:y val="-0.230830845061195"/>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bg1"/>
                      </a:solidFill>
                      <a:latin typeface="+mn-lt"/>
                      <a:ea typeface="+mn-ea"/>
                      <a:cs typeface="+mn-cs"/>
                    </a:defRPr>
                  </a:pPr>
                </a:p>
              </c:txPr>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471913870549094"/>
                  <c:y val="0.258519938347962"/>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bg1"/>
                      </a:solidFill>
                      <a:latin typeface="+mn-lt"/>
                      <a:ea typeface="+mn-ea"/>
                      <a:cs typeface="+mn-cs"/>
                    </a:defRPr>
                  </a:pPr>
                </a:p>
              </c:txPr>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354421206181274"/>
                  <c:y val="0.00364839795626976"/>
                </c:manualLayout>
              </c:layout>
              <c:numFmt formatCode="0.00%" sourceLinked="0"/>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4.42</c:v>
                </c:pt>
                <c:pt idx="1">
                  <c:v>4.21</c:v>
                </c:pt>
                <c:pt idx="2">
                  <c:v>0.52</c:v>
                </c:pt>
              </c:numCache>
            </c:numRef>
          </c:val>
        </c:ser>
        <c:dLbls>
          <c:showLegendKey val="1"/>
          <c:showVal val="0"/>
          <c:showCatName val="1"/>
          <c:showSerName val="0"/>
          <c:showPercent val="1"/>
          <c:showBubbleSize val="0"/>
          <c:showLeaderLines val="1"/>
        </c:dLbls>
        <c:firstSliceAng val="9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4cd5bc1-04f6-4f3c-89a7-cf64fe8535a2}"/>
        <w:style w:val=""/>
        <w:category>
          <w:name w:val="常规"/>
          <w:gallery w:val="placeholder"/>
        </w:category>
        <w:types>
          <w:type w:val="bbPlcHdr"/>
        </w:types>
        <w:behaviors>
          <w:behavior w:val="content"/>
        </w:behaviors>
        <w:description w:val=""/>
        <w:guid w:val="{b4cd5bc1-04f6-4f3c-89a7-cf64fe8535a2}"/>
      </w:docPartPr>
      <w:docPartBody>
        <w:p>
          <w:r>
            <w:rPr>
              <w:color w:val="808080"/>
            </w:rPr>
            <w:t>单击此处输入文字。</w:t>
          </w:r>
        </w:p>
      </w:docPartBody>
    </w:docPart>
    <w:docPart>
      <w:docPartPr>
        <w:name w:val="{0322e3f1-d011-47fa-992a-3bed997292ac}"/>
        <w:style w:val=""/>
        <w:category>
          <w:name w:val="常规"/>
          <w:gallery w:val="placeholder"/>
        </w:category>
        <w:types>
          <w:type w:val="bbPlcHdr"/>
        </w:types>
        <w:behaviors>
          <w:behavior w:val="content"/>
        </w:behaviors>
        <w:description w:val=""/>
        <w:guid w:val="{0322e3f1-d011-47fa-992a-3bed997292ac}"/>
      </w:docPartPr>
      <w:docPartBody>
        <w:p>
          <w:r>
            <w:rPr>
              <w:color w:val="808080"/>
            </w:rPr>
            <w:t>单击此处输入文字。</w:t>
          </w:r>
        </w:p>
      </w:docPartBody>
    </w:docPart>
    <w:docPart>
      <w:docPartPr>
        <w:name w:val="{54eeb6f2-6d96-45e8-9c01-15cf6da58100}"/>
        <w:style w:val=""/>
        <w:category>
          <w:name w:val="常规"/>
          <w:gallery w:val="placeholder"/>
        </w:category>
        <w:types>
          <w:type w:val="bbPlcHdr"/>
        </w:types>
        <w:behaviors>
          <w:behavior w:val="content"/>
        </w:behaviors>
        <w:description w:val=""/>
        <w:guid w:val="{54eeb6f2-6d96-45e8-9c01-15cf6da58100}"/>
      </w:docPartPr>
      <w:docPartBody>
        <w:p>
          <w:r>
            <w:rPr>
              <w:color w:val="808080"/>
            </w:rPr>
            <w:t>单击此处输入文字。</w:t>
          </w:r>
        </w:p>
      </w:docPartBody>
    </w:docPart>
    <w:docPart>
      <w:docPartPr>
        <w:name w:val="{54503ef8-571e-407e-b3ca-3a7e72906403}"/>
        <w:style w:val=""/>
        <w:category>
          <w:name w:val="常规"/>
          <w:gallery w:val="placeholder"/>
        </w:category>
        <w:types>
          <w:type w:val="bbPlcHdr"/>
        </w:types>
        <w:behaviors>
          <w:behavior w:val="content"/>
        </w:behaviors>
        <w:description w:val=""/>
        <w:guid w:val="{54503ef8-571e-407e-b3ca-3a7e72906403}"/>
      </w:docPartPr>
      <w:docPartBody>
        <w:p>
          <w:r>
            <w:rPr>
              <w:color w:val="808080"/>
            </w:rPr>
            <w:t>单击此处输入文字。</w:t>
          </w:r>
        </w:p>
      </w:docPartBody>
    </w:docPart>
    <w:docPart>
      <w:docPartPr>
        <w:name w:val="{fb79619d-aaee-4d53-8976-16b469c37fce}"/>
        <w:style w:val=""/>
        <w:category>
          <w:name w:val="常规"/>
          <w:gallery w:val="placeholder"/>
        </w:category>
        <w:types>
          <w:type w:val="bbPlcHdr"/>
        </w:types>
        <w:behaviors>
          <w:behavior w:val="content"/>
        </w:behaviors>
        <w:description w:val=""/>
        <w:guid w:val="{fb79619d-aaee-4d53-8976-16b469c37fce}"/>
      </w:docPartPr>
      <w:docPartBody>
        <w:p>
          <w:r>
            <w:rPr>
              <w:color w:val="808080"/>
            </w:rPr>
            <w:t>单击此处输入文字。</w:t>
          </w:r>
        </w:p>
      </w:docPartBody>
    </w:docPart>
    <w:docPart>
      <w:docPartPr>
        <w:name w:val="{f1149fb4-cf0f-47a6-8419-dd59a2605284}"/>
        <w:style w:val=""/>
        <w:category>
          <w:name w:val="常规"/>
          <w:gallery w:val="placeholder"/>
        </w:category>
        <w:types>
          <w:type w:val="bbPlcHdr"/>
        </w:types>
        <w:behaviors>
          <w:behavior w:val="content"/>
        </w:behaviors>
        <w:description w:val=""/>
        <w:guid w:val="{f1149fb4-cf0f-47a6-8419-dd59a2605284}"/>
      </w:docPartPr>
      <w:docPartBody>
        <w:p>
          <w:r>
            <w:rPr>
              <w:color w:val="808080"/>
            </w:rPr>
            <w:t>单击此处输入文字。</w:t>
          </w:r>
        </w:p>
      </w:docPartBody>
    </w:docPart>
    <w:docPart>
      <w:docPartPr>
        <w:name w:val="{a36d7f9d-a7ce-4461-a65a-672eb603bf93}"/>
        <w:style w:val=""/>
        <w:category>
          <w:name w:val="常规"/>
          <w:gallery w:val="placeholder"/>
        </w:category>
        <w:types>
          <w:type w:val="bbPlcHdr"/>
        </w:types>
        <w:behaviors>
          <w:behavior w:val="content"/>
        </w:behaviors>
        <w:description w:val=""/>
        <w:guid w:val="{a36d7f9d-a7ce-4461-a65a-672eb603bf93}"/>
      </w:docPartPr>
      <w:docPartBody>
        <w:p>
          <w:r>
            <w:rPr>
              <w:color w:val="808080"/>
            </w:rPr>
            <w:t>单击此处输入文字。</w:t>
          </w:r>
        </w:p>
      </w:docPartBody>
    </w:docPart>
    <w:docPart>
      <w:docPartPr>
        <w:name w:val="{6836d313-e55c-402e-929c-d99602a59b7e}"/>
        <w:style w:val=""/>
        <w:category>
          <w:name w:val="常规"/>
          <w:gallery w:val="placeholder"/>
        </w:category>
        <w:types>
          <w:type w:val="bbPlcHdr"/>
        </w:types>
        <w:behaviors>
          <w:behavior w:val="content"/>
        </w:behaviors>
        <w:description w:val=""/>
        <w:guid w:val="{6836d313-e55c-402e-929c-d99602a59b7e}"/>
      </w:docPartPr>
      <w:docPartBody>
        <w:p>
          <w:r>
            <w:rPr>
              <w:color w:val="808080"/>
            </w:rPr>
            <w:t>单击此处输入文字。</w:t>
          </w:r>
        </w:p>
      </w:docPartBody>
    </w:docPart>
    <w:docPart>
      <w:docPartPr>
        <w:name w:val="{23e97112-6fe6-4d5b-b15c-02c334ddd725}"/>
        <w:style w:val=""/>
        <w:category>
          <w:name w:val="常规"/>
          <w:gallery w:val="placeholder"/>
        </w:category>
        <w:types>
          <w:type w:val="bbPlcHdr"/>
        </w:types>
        <w:behaviors>
          <w:behavior w:val="content"/>
        </w:behaviors>
        <w:description w:val=""/>
        <w:guid w:val="{23e97112-6fe6-4d5b-b15c-02c334ddd725}"/>
      </w:docPartPr>
      <w:docPartBody>
        <w:p>
          <w:r>
            <w:rPr>
              <w:color w:val="808080"/>
            </w:rPr>
            <w:t>单击此处输入文字。</w:t>
          </w:r>
        </w:p>
      </w:docPartBody>
    </w:docPart>
    <w:docPart>
      <w:docPartPr>
        <w:name w:val="{8a2d7b47-e0ff-4353-99b2-b2f601949ff9}"/>
        <w:style w:val=""/>
        <w:category>
          <w:name w:val="常规"/>
          <w:gallery w:val="placeholder"/>
        </w:category>
        <w:types>
          <w:type w:val="bbPlcHdr"/>
        </w:types>
        <w:behaviors>
          <w:behavior w:val="content"/>
        </w:behaviors>
        <w:description w:val=""/>
        <w:guid w:val="{8a2d7b47-e0ff-4353-99b2-b2f601949ff9}"/>
      </w:docPartPr>
      <w:docPartBody>
        <w:p>
          <w:r>
            <w:rPr>
              <w:color w:val="808080"/>
            </w:rPr>
            <w:t>单击此处输入文字。</w:t>
          </w:r>
        </w:p>
      </w:docPartBody>
    </w:docPart>
    <w:docPart>
      <w:docPartPr>
        <w:name w:val="{cd6eccfc-574e-420d-9303-0f5d8822cc49}"/>
        <w:style w:val=""/>
        <w:category>
          <w:name w:val="常规"/>
          <w:gallery w:val="placeholder"/>
        </w:category>
        <w:types>
          <w:type w:val="bbPlcHdr"/>
        </w:types>
        <w:behaviors>
          <w:behavior w:val="content"/>
        </w:behaviors>
        <w:description w:val=""/>
        <w:guid w:val="{cd6eccfc-574e-420d-9303-0f5d8822cc49}"/>
      </w:docPartPr>
      <w:docPartBody>
        <w:p>
          <w:r>
            <w:rPr>
              <w:color w:val="808080"/>
            </w:rPr>
            <w:t>单击此处输入文字。</w:t>
          </w:r>
        </w:p>
      </w:docPartBody>
    </w:docPart>
    <w:docPart>
      <w:docPartPr>
        <w:name w:val="{5cfd62e5-788b-446f-9066-59995eaf7f89}"/>
        <w:style w:val=""/>
        <w:category>
          <w:name w:val="常规"/>
          <w:gallery w:val="placeholder"/>
        </w:category>
        <w:types>
          <w:type w:val="bbPlcHdr"/>
        </w:types>
        <w:behaviors>
          <w:behavior w:val="content"/>
        </w:behaviors>
        <w:description w:val=""/>
        <w:guid w:val="{5cfd62e5-788b-446f-9066-59995eaf7f89}"/>
      </w:docPartPr>
      <w:docPartBody>
        <w:p>
          <w:r>
            <w:rPr>
              <w:color w:val="808080"/>
            </w:rPr>
            <w:t>单击此处输入文字。</w:t>
          </w:r>
        </w:p>
      </w:docPartBody>
    </w:docPart>
    <w:docPart>
      <w:docPartPr>
        <w:name w:val="{25d40349-570a-4d69-9ae2-ec7619a8a717}"/>
        <w:style w:val=""/>
        <w:category>
          <w:name w:val="常规"/>
          <w:gallery w:val="placeholder"/>
        </w:category>
        <w:types>
          <w:type w:val="bbPlcHdr"/>
        </w:types>
        <w:behaviors>
          <w:behavior w:val="content"/>
        </w:behaviors>
        <w:description w:val=""/>
        <w:guid w:val="{25d40349-570a-4d69-9ae2-ec7619a8a717}"/>
      </w:docPartPr>
      <w:docPartBody>
        <w:p>
          <w:r>
            <w:rPr>
              <w:color w:val="808080"/>
            </w:rPr>
            <w:t>单击此处输入文字。</w:t>
          </w:r>
        </w:p>
      </w:docPartBody>
    </w:docPart>
    <w:docPart>
      <w:docPartPr>
        <w:name w:val="{86202f84-d27c-409c-8b6c-d09d690be753}"/>
        <w:style w:val=""/>
        <w:category>
          <w:name w:val="常规"/>
          <w:gallery w:val="placeholder"/>
        </w:category>
        <w:types>
          <w:type w:val="bbPlcHdr"/>
        </w:types>
        <w:behaviors>
          <w:behavior w:val="content"/>
        </w:behaviors>
        <w:description w:val=""/>
        <w:guid w:val="{86202f84-d27c-409c-8b6c-d09d690be753}"/>
      </w:docPartPr>
      <w:docPartBody>
        <w:p>
          <w:r>
            <w:rPr>
              <w:color w:val="808080"/>
            </w:rPr>
            <w:t>单击此处输入文字。</w:t>
          </w:r>
        </w:p>
      </w:docPartBody>
    </w:docPart>
    <w:docPart>
      <w:docPartPr>
        <w:name w:val="{3f589798-cd19-4307-9bd3-b9c9a33d1096}"/>
        <w:style w:val=""/>
        <w:category>
          <w:name w:val="常规"/>
          <w:gallery w:val="placeholder"/>
        </w:category>
        <w:types>
          <w:type w:val="bbPlcHdr"/>
        </w:types>
        <w:behaviors>
          <w:behavior w:val="content"/>
        </w:behaviors>
        <w:description w:val=""/>
        <w:guid w:val="{3f589798-cd19-4307-9bd3-b9c9a33d1096}"/>
      </w:docPartPr>
      <w:docPartBody>
        <w:p>
          <w:r>
            <w:rPr>
              <w:color w:val="808080"/>
            </w:rPr>
            <w:t>单击此处输入文字。</w:t>
          </w:r>
        </w:p>
      </w:docPartBody>
    </w:docPart>
    <w:docPart>
      <w:docPartPr>
        <w:name w:val="{131cc4f3-9161-44ac-ad1e-6350dd97df01}"/>
        <w:style w:val=""/>
        <w:category>
          <w:name w:val="常规"/>
          <w:gallery w:val="placeholder"/>
        </w:category>
        <w:types>
          <w:type w:val="bbPlcHdr"/>
        </w:types>
        <w:behaviors>
          <w:behavior w:val="content"/>
        </w:behaviors>
        <w:description w:val=""/>
        <w:guid w:val="{131cc4f3-9161-44ac-ad1e-6350dd97df01}"/>
      </w:docPartPr>
      <w:docPartBody>
        <w:p>
          <w:r>
            <w:rPr>
              <w:color w:val="808080"/>
            </w:rPr>
            <w:t>单击此处输入文字。</w:t>
          </w:r>
        </w:p>
      </w:docPartBody>
    </w:docPart>
    <w:docPart>
      <w:docPartPr>
        <w:name w:val="{be5a9eac-1ff1-47a4-8df7-92b7b79753f8}"/>
        <w:style w:val=""/>
        <w:category>
          <w:name w:val="常规"/>
          <w:gallery w:val="placeholder"/>
        </w:category>
        <w:types>
          <w:type w:val="bbPlcHdr"/>
        </w:types>
        <w:behaviors>
          <w:behavior w:val="content"/>
        </w:behaviors>
        <w:description w:val=""/>
        <w:guid w:val="{be5a9eac-1ff1-47a4-8df7-92b7b79753f8}"/>
      </w:docPartPr>
      <w:docPartBody>
        <w:p>
          <w:r>
            <w:rPr>
              <w:color w:val="808080"/>
            </w:rPr>
            <w:t>单击此处输入文字。</w:t>
          </w:r>
        </w:p>
      </w:docPartBody>
    </w:docPart>
    <w:docPart>
      <w:docPartPr>
        <w:name w:val="{90136eb8-1de9-47d3-a4ae-f736edb0f360}"/>
        <w:style w:val=""/>
        <w:category>
          <w:name w:val="常规"/>
          <w:gallery w:val="placeholder"/>
        </w:category>
        <w:types>
          <w:type w:val="bbPlcHdr"/>
        </w:types>
        <w:behaviors>
          <w:behavior w:val="content"/>
        </w:behaviors>
        <w:description w:val=""/>
        <w:guid w:val="{90136eb8-1de9-47d3-a4ae-f736edb0f360}"/>
      </w:docPartPr>
      <w:docPartBody>
        <w:p>
          <w:r>
            <w:rPr>
              <w:color w:val="808080"/>
            </w:rPr>
            <w:t>单击此处输入文字。</w:t>
          </w:r>
        </w:p>
      </w:docPartBody>
    </w:docPart>
    <w:docPart>
      <w:docPartPr>
        <w:name w:val="{ee78d56c-98b1-4a1c-a84d-380f2ea83b30}"/>
        <w:style w:val=""/>
        <w:category>
          <w:name w:val="常规"/>
          <w:gallery w:val="placeholder"/>
        </w:category>
        <w:types>
          <w:type w:val="bbPlcHdr"/>
        </w:types>
        <w:behaviors>
          <w:behavior w:val="content"/>
        </w:behaviors>
        <w:description w:val=""/>
        <w:guid w:val="{ee78d56c-98b1-4a1c-a84d-380f2ea83b30}"/>
      </w:docPartPr>
      <w:docPartBody>
        <w:p>
          <w:r>
            <w:rPr>
              <w:color w:val="808080"/>
            </w:rPr>
            <w:t>单击此处输入文字。</w:t>
          </w:r>
        </w:p>
      </w:docPartBody>
    </w:docPart>
    <w:docPart>
      <w:docPartPr>
        <w:name w:val="{f2d324af-e191-483b-bb6e-455c0439e01b}"/>
        <w:style w:val=""/>
        <w:category>
          <w:name w:val="常规"/>
          <w:gallery w:val="placeholder"/>
        </w:category>
        <w:types>
          <w:type w:val="bbPlcHdr"/>
        </w:types>
        <w:behaviors>
          <w:behavior w:val="content"/>
        </w:behaviors>
        <w:description w:val=""/>
        <w:guid w:val="{f2d324af-e191-483b-bb6e-455c0439e01b}"/>
      </w:docPartPr>
      <w:docPartBody>
        <w:p>
          <w:r>
            <w:rPr>
              <w:color w:val="808080"/>
            </w:rPr>
            <w:t>单击此处输入文字。</w:t>
          </w:r>
        </w:p>
      </w:docPartBody>
    </w:docPart>
    <w:docPart>
      <w:docPartPr>
        <w:name w:val="{ae7ef6a8-7253-4bc8-a936-2fbf8f456947}"/>
        <w:style w:val=""/>
        <w:category>
          <w:name w:val="常规"/>
          <w:gallery w:val="placeholder"/>
        </w:category>
        <w:types>
          <w:type w:val="bbPlcHdr"/>
        </w:types>
        <w:behaviors>
          <w:behavior w:val="content"/>
        </w:behaviors>
        <w:description w:val=""/>
        <w:guid w:val="{ae7ef6a8-7253-4bc8-a936-2fbf8f456947}"/>
      </w:docPartPr>
      <w:docPartBody>
        <w:p>
          <w:r>
            <w:rPr>
              <w:color w:val="808080"/>
            </w:rPr>
            <w:t>单击此处输入文字。</w:t>
          </w:r>
        </w:p>
      </w:docPartBody>
    </w:docPart>
    <w:docPart>
      <w:docPartPr>
        <w:name w:val="{8ca799f0-1fea-4cb7-8f05-1f84ce4ef50e}"/>
        <w:style w:val=""/>
        <w:category>
          <w:name w:val="常规"/>
          <w:gallery w:val="placeholder"/>
        </w:category>
        <w:types>
          <w:type w:val="bbPlcHdr"/>
        </w:types>
        <w:behaviors>
          <w:behavior w:val="content"/>
        </w:behaviors>
        <w:description w:val=""/>
        <w:guid w:val="{8ca799f0-1fea-4cb7-8f05-1f84ce4ef50e}"/>
      </w:docPartPr>
      <w:docPartBody>
        <w:p>
          <w:r>
            <w:rPr>
              <w:color w:val="808080"/>
            </w:rPr>
            <w:t>单击此处输入文字。</w:t>
          </w:r>
        </w:p>
      </w:docPartBody>
    </w:docPart>
    <w:docPart>
      <w:docPartPr>
        <w:name w:val="{bcc37243-d534-4478-8053-caf7ddf5b410}"/>
        <w:style w:val=""/>
        <w:category>
          <w:name w:val="常规"/>
          <w:gallery w:val="placeholder"/>
        </w:category>
        <w:types>
          <w:type w:val="bbPlcHdr"/>
        </w:types>
        <w:behaviors>
          <w:behavior w:val="content"/>
        </w:behaviors>
        <w:description w:val=""/>
        <w:guid w:val="{bcc37243-d534-4478-8053-caf7ddf5b410}"/>
      </w:docPartPr>
      <w:docPartBody>
        <w:p>
          <w:r>
            <w:rPr>
              <w:color w:val="808080"/>
            </w:rPr>
            <w:t>单击此处输入文字。</w:t>
          </w:r>
        </w:p>
      </w:docPartBody>
    </w:docPart>
    <w:docPart>
      <w:docPartPr>
        <w:name w:val="{df701110-d4a5-433d-a7ba-acc987c90536}"/>
        <w:style w:val=""/>
        <w:category>
          <w:name w:val="常规"/>
          <w:gallery w:val="placeholder"/>
        </w:category>
        <w:types>
          <w:type w:val="bbPlcHdr"/>
        </w:types>
        <w:behaviors>
          <w:behavior w:val="content"/>
        </w:behaviors>
        <w:description w:val=""/>
        <w:guid w:val="{df701110-d4a5-433d-a7ba-acc987c90536}"/>
      </w:docPartPr>
      <w:docPartBody>
        <w:p>
          <w:r>
            <w:rPr>
              <w:color w:val="808080"/>
            </w:rPr>
            <w:t>单击此处输入文字。</w:t>
          </w:r>
        </w:p>
      </w:docPartBody>
    </w:docPart>
    <w:docPart>
      <w:docPartPr>
        <w:name w:val="{a1a5c128-d6dd-43ba-90a2-8af213e0b374}"/>
        <w:style w:val=""/>
        <w:category>
          <w:name w:val="常规"/>
          <w:gallery w:val="placeholder"/>
        </w:category>
        <w:types>
          <w:type w:val="bbPlcHdr"/>
        </w:types>
        <w:behaviors>
          <w:behavior w:val="content"/>
        </w:behaviors>
        <w:description w:val=""/>
        <w:guid w:val="{a1a5c128-d6dd-43ba-90a2-8af213e0b374}"/>
      </w:docPartPr>
      <w:docPartBody>
        <w:p>
          <w:r>
            <w:rPr>
              <w:color w:val="808080"/>
            </w:rPr>
            <w:t>单击此处输入文字。</w:t>
          </w:r>
        </w:p>
      </w:docPartBody>
    </w:docPart>
    <w:docPart>
      <w:docPartPr>
        <w:name w:val="{98275faf-bd63-4c68-acce-68fdad79c0ee}"/>
        <w:style w:val=""/>
        <w:category>
          <w:name w:val="常规"/>
          <w:gallery w:val="placeholder"/>
        </w:category>
        <w:types>
          <w:type w:val="bbPlcHdr"/>
        </w:types>
        <w:behaviors>
          <w:behavior w:val="content"/>
        </w:behaviors>
        <w:description w:val=""/>
        <w:guid w:val="{98275faf-bd63-4c68-acce-68fdad79c0ee}"/>
      </w:docPartPr>
      <w:docPartBody>
        <w:p>
          <w:r>
            <w:rPr>
              <w:color w:val="808080"/>
            </w:rPr>
            <w:t>单击此处输入文字。</w:t>
          </w:r>
        </w:p>
      </w:docPartBody>
    </w:docPart>
    <w:docPart>
      <w:docPartPr>
        <w:name w:val="{848aa057-02d9-4c2c-bae0-d40ba4f5b1fc}"/>
        <w:style w:val=""/>
        <w:category>
          <w:name w:val="常规"/>
          <w:gallery w:val="placeholder"/>
        </w:category>
        <w:types>
          <w:type w:val="bbPlcHdr"/>
        </w:types>
        <w:behaviors>
          <w:behavior w:val="content"/>
        </w:behaviors>
        <w:description w:val=""/>
        <w:guid w:val="{848aa057-02d9-4c2c-bae0-d40ba4f5b1fc}"/>
      </w:docPartPr>
      <w:docPartBody>
        <w:p>
          <w:r>
            <w:rPr>
              <w:color w:val="808080"/>
            </w:rPr>
            <w:t>单击此处输入文字。</w:t>
          </w:r>
        </w:p>
      </w:docPartBody>
    </w:docPart>
    <w:docPart>
      <w:docPartPr>
        <w:name w:val="{055e3369-33cb-4c6a-82ca-090d110ee9e8}"/>
        <w:style w:val=""/>
        <w:category>
          <w:name w:val="常规"/>
          <w:gallery w:val="placeholder"/>
        </w:category>
        <w:types>
          <w:type w:val="bbPlcHdr"/>
        </w:types>
        <w:behaviors>
          <w:behavior w:val="content"/>
        </w:behaviors>
        <w:description w:val=""/>
        <w:guid w:val="{055e3369-33cb-4c6a-82ca-090d110ee9e8}"/>
      </w:docPartPr>
      <w:docPartBody>
        <w:p>
          <w:r>
            <w:rPr>
              <w:color w:val="808080"/>
            </w:rPr>
            <w:t>单击此处输入文字。</w:t>
          </w:r>
        </w:p>
      </w:docPartBody>
    </w:docPart>
    <w:docPart>
      <w:docPartPr>
        <w:name w:val="{3b796e13-e761-4b72-8566-d4ec2410ed8f}"/>
        <w:style w:val=""/>
        <w:category>
          <w:name w:val="常规"/>
          <w:gallery w:val="placeholder"/>
        </w:category>
        <w:types>
          <w:type w:val="bbPlcHdr"/>
        </w:types>
        <w:behaviors>
          <w:behavior w:val="content"/>
        </w:behaviors>
        <w:description w:val=""/>
        <w:guid w:val="{3b796e13-e761-4b72-8566-d4ec2410ed8f}"/>
      </w:docPartPr>
      <w:docPartBody>
        <w:p>
          <w:r>
            <w:rPr>
              <w:color w:val="808080"/>
            </w:rPr>
            <w:t>单击此处输入文字。</w:t>
          </w:r>
        </w:p>
      </w:docPartBody>
    </w:docPart>
    <w:docPart>
      <w:docPartPr>
        <w:name w:val="{faaf2ca9-4756-410e-aa70-d8c916633270}"/>
        <w:style w:val=""/>
        <w:category>
          <w:name w:val="常规"/>
          <w:gallery w:val="placeholder"/>
        </w:category>
        <w:types>
          <w:type w:val="bbPlcHdr"/>
        </w:types>
        <w:behaviors>
          <w:behavior w:val="content"/>
        </w:behaviors>
        <w:description w:val=""/>
        <w:guid w:val="{faaf2ca9-4756-410e-aa70-d8c916633270}"/>
      </w:docPartPr>
      <w:docPartBody>
        <w:p>
          <w:r>
            <w:rPr>
              <w:color w:val="808080"/>
            </w:rPr>
            <w:t>单击此处输入文字。</w:t>
          </w:r>
        </w:p>
      </w:docPartBody>
    </w:docPart>
    <w:docPart>
      <w:docPartPr>
        <w:name w:val="{d24fd366-3876-41f0-b468-6ac69b6053a9}"/>
        <w:style w:val=""/>
        <w:category>
          <w:name w:val="常规"/>
          <w:gallery w:val="placeholder"/>
        </w:category>
        <w:types>
          <w:type w:val="bbPlcHdr"/>
        </w:types>
        <w:behaviors>
          <w:behavior w:val="content"/>
        </w:behaviors>
        <w:description w:val=""/>
        <w:guid w:val="{d24fd366-3876-41f0-b468-6ac69b6053a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textRotate="1"/>
    <customShpInfo spid="_x0000_s2052" textRotate="1"/>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1DF1D2-61EF-4619-A9B5-A2315068514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7727</Words>
  <Characters>1968</Characters>
  <Lines>16</Lines>
  <Paragraphs>19</Paragraphs>
  <TotalTime>41</TotalTime>
  <ScaleCrop>false</ScaleCrop>
  <LinksUpToDate>false</LinksUpToDate>
  <CharactersWithSpaces>9676</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2020-08-27T13:10:58Z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