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jc w:val="center"/>
        <w:textAlignment w:val="auto"/>
        <w:outlineLvl w:val="9"/>
        <w:rPr>
          <w:rFonts w:ascii="方正小标宋简体" w:hAnsi="宋体" w:eastAsia="方正小标宋简体"/>
          <w:color w:val="000000"/>
          <w:sz w:val="72"/>
          <w:szCs w:val="72"/>
        </w:rPr>
      </w:pPr>
      <w:bookmarkStart w:id="0" w:name="_Toc15306267"/>
    </w:p>
    <w:p>
      <w:pPr>
        <w:keepNext w:val="0"/>
        <w:keepLines w:val="0"/>
        <w:pageBreakBefore w:val="0"/>
        <w:kinsoku/>
        <w:wordWrap/>
        <w:overflowPunct/>
        <w:topLinePunct w:val="0"/>
        <w:autoSpaceDE/>
        <w:autoSpaceDN/>
        <w:bidi w:val="0"/>
        <w:spacing w:line="600" w:lineRule="exact"/>
        <w:jc w:val="center"/>
        <w:textAlignment w:val="auto"/>
        <w:outlineLvl w:val="9"/>
        <w:rPr>
          <w:rFonts w:ascii="方正小标宋简体" w:hAnsi="宋体" w:eastAsia="方正小标宋简体"/>
          <w:color w:val="000000"/>
          <w:sz w:val="72"/>
          <w:szCs w:val="72"/>
        </w:rPr>
      </w:pPr>
    </w:p>
    <w:p>
      <w:pPr>
        <w:keepNext w:val="0"/>
        <w:keepLines w:val="0"/>
        <w:pageBreakBefore w:val="0"/>
        <w:kinsoku/>
        <w:wordWrap/>
        <w:overflowPunct/>
        <w:topLinePunct w:val="0"/>
        <w:autoSpaceDE/>
        <w:autoSpaceDN/>
        <w:bidi w:val="0"/>
        <w:spacing w:line="600" w:lineRule="exact"/>
        <w:jc w:val="center"/>
        <w:textAlignment w:val="auto"/>
        <w:outlineLvl w:val="9"/>
        <w:rPr>
          <w:rFonts w:ascii="方正小标宋简体" w:hAnsi="宋体" w:eastAsia="方正小标宋简体"/>
          <w:color w:val="000000"/>
          <w:sz w:val="72"/>
          <w:szCs w:val="72"/>
        </w:rPr>
      </w:pPr>
    </w:p>
    <w:p>
      <w:pPr>
        <w:keepNext w:val="0"/>
        <w:keepLines w:val="0"/>
        <w:pageBreakBefore w:val="0"/>
        <w:kinsoku/>
        <w:wordWrap/>
        <w:overflowPunct/>
        <w:topLinePunct w:val="0"/>
        <w:autoSpaceDE/>
        <w:autoSpaceDN/>
        <w:bidi w:val="0"/>
        <w:spacing w:line="600" w:lineRule="exact"/>
        <w:jc w:val="center"/>
        <w:textAlignment w:val="auto"/>
        <w:outlineLvl w:val="9"/>
        <w:rPr>
          <w:rFonts w:ascii="方正小标宋简体" w:hAnsi="宋体" w:eastAsia="方正小标宋简体"/>
          <w:color w:val="000000"/>
          <w:sz w:val="72"/>
          <w:szCs w:val="72"/>
        </w:rPr>
      </w:pPr>
    </w:p>
    <w:p>
      <w:pPr>
        <w:keepNext w:val="0"/>
        <w:keepLines w:val="0"/>
        <w:pageBreakBefore w:val="0"/>
        <w:kinsoku/>
        <w:wordWrap/>
        <w:overflowPunct/>
        <w:topLinePunct w:val="0"/>
        <w:autoSpaceDE/>
        <w:autoSpaceDN/>
        <w:bidi w:val="0"/>
        <w:adjustRightInd w:val="0"/>
        <w:snapToGrid w:val="0"/>
        <w:spacing w:line="360" w:lineRule="auto"/>
        <w:jc w:val="center"/>
        <w:textAlignment w:val="auto"/>
        <w:outlineLvl w:val="9"/>
        <w:rPr>
          <w:rFonts w:ascii="方正小标宋简体" w:hAnsi="宋体" w:eastAsia="方正小标宋简体"/>
          <w:color w:val="000000"/>
          <w:sz w:val="72"/>
          <w:szCs w:val="72"/>
        </w:rPr>
      </w:pPr>
      <w:bookmarkStart w:id="1" w:name="_Toc15396597"/>
      <w:bookmarkStart w:id="2" w:name="_Toc15378441"/>
      <w:bookmarkStart w:id="3" w:name="_Toc15396475"/>
      <w:bookmarkStart w:id="4" w:name="_Toc15377193"/>
      <w:bookmarkStart w:id="5" w:name="_Toc14034"/>
      <w:bookmarkStart w:id="6" w:name="_Toc15377425"/>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bookmarkEnd w:id="6"/>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方正小标宋简体" w:hAnsi="宋体" w:eastAsia="方正小标宋简体"/>
          <w:color w:val="000000"/>
          <w:sz w:val="72"/>
          <w:szCs w:val="72"/>
          <w:lang w:eastAsia="zh-CN"/>
        </w:rPr>
      </w:pPr>
      <w:bookmarkStart w:id="7" w:name="_Toc15396598"/>
      <w:bookmarkStart w:id="8" w:name="_Toc15396476"/>
      <w:bookmarkStart w:id="9" w:name="_Toc15378442"/>
      <w:bookmarkStart w:id="10" w:name="_Toc15377194"/>
      <w:bookmarkStart w:id="11" w:name="_Toc262"/>
      <w:bookmarkStart w:id="12" w:name="_Toc15377426"/>
      <w:r>
        <w:rPr>
          <w:rFonts w:hint="eastAsia" w:ascii="方正小标宋简体" w:hAnsi="宋体" w:eastAsia="方正小标宋简体"/>
          <w:color w:val="000000"/>
          <w:sz w:val="72"/>
          <w:szCs w:val="72"/>
          <w:lang w:eastAsia="zh-CN"/>
        </w:rPr>
        <w:t>四川省化工地质勘查院</w:t>
      </w:r>
      <w:bookmarkEnd w:id="0"/>
      <w:bookmarkStart w:id="13" w:name="_Toc15306268"/>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部门决算</w:t>
      </w:r>
      <w:bookmarkEnd w:id="7"/>
      <w:bookmarkEnd w:id="8"/>
      <w:bookmarkEnd w:id="9"/>
      <w:bookmarkEnd w:id="10"/>
      <w:bookmarkEnd w:id="11"/>
      <w:bookmarkEnd w:id="12"/>
      <w:bookmarkEnd w:id="13"/>
    </w:p>
    <w:p>
      <w:pPr>
        <w:keepNext w:val="0"/>
        <w:keepLines w:val="0"/>
        <w:pageBreakBefore w:val="0"/>
        <w:widowControl/>
        <w:kinsoku/>
        <w:wordWrap/>
        <w:overflowPunct/>
        <w:topLinePunct w:val="0"/>
        <w:autoSpaceDE/>
        <w:autoSpaceDN/>
        <w:bidi w:val="0"/>
        <w:jc w:val="center"/>
        <w:textAlignment w:val="auto"/>
        <w:outlineLvl w:val="9"/>
        <w:rPr>
          <w:rFonts w:hint="eastAsia" w:ascii="黑体" w:hAnsi="黑体" w:eastAsia="黑体"/>
          <w:color w:val="000000"/>
          <w:sz w:val="48"/>
          <w:szCs w:val="48"/>
        </w:rPr>
        <w:sectPr>
          <w:headerReference r:id="rId4" w:type="first"/>
          <w:headerReference r:id="rId3" w:type="default"/>
          <w:footerReference r:id="rId5" w:type="default"/>
          <w:pgSz w:w="11906" w:h="16838"/>
          <w:pgMar w:top="1440" w:right="1800" w:bottom="1440" w:left="1800" w:header="851" w:footer="992" w:gutter="0"/>
          <w:pgNumType w:start="1"/>
          <w:cols w:space="425" w:num="1"/>
          <w:titlePg/>
          <w:docGrid w:type="lines" w:linePitch="312" w:charSpace="0"/>
        </w:sectPr>
      </w:pPr>
    </w:p>
    <w:p>
      <w:pPr>
        <w:keepNext w:val="0"/>
        <w:keepLines w:val="0"/>
        <w:pageBreakBefore w:val="0"/>
        <w:widowControl/>
        <w:kinsoku/>
        <w:wordWrap/>
        <w:overflowPunct/>
        <w:topLinePunct w:val="0"/>
        <w:autoSpaceDE/>
        <w:autoSpaceDN/>
        <w:bidi w:val="0"/>
        <w:jc w:val="center"/>
        <w:textAlignment w:val="auto"/>
        <w:outlineLvl w:val="9"/>
        <w:rPr>
          <w:rFonts w:hint="eastAsia" w:ascii="黑体" w:hAnsi="黑体" w:eastAsia="黑体"/>
          <w:color w:val="000000"/>
          <w:sz w:val="48"/>
          <w:szCs w:val="48"/>
        </w:rPr>
      </w:pPr>
      <w:r>
        <w:rPr>
          <w:rFonts w:hint="eastAsia" w:ascii="黑体" w:hAnsi="黑体" w:eastAsia="黑体"/>
          <w:color w:val="000000"/>
          <w:sz w:val="48"/>
          <w:szCs w:val="48"/>
        </w:rPr>
        <w:t>目录</w:t>
      </w:r>
    </w:p>
    <w:p>
      <w:pPr>
        <w:pStyle w:val="8"/>
      </w:pPr>
      <w:r>
        <w:rPr>
          <w:rFonts w:hint="eastAsia"/>
        </w:rPr>
        <w:t>公开时间：2020年9月3日</w:t>
      </w:r>
    </w:p>
    <w:sdt>
      <w:sdtPr>
        <w:rPr>
          <w:rFonts w:ascii="宋体" w:hAnsi="宋体" w:eastAsia="宋体" w:cs="Times New Roman"/>
          <w:kern w:val="2"/>
          <w:sz w:val="21"/>
          <w:szCs w:val="24"/>
          <w:lang w:val="en-US" w:eastAsia="zh-CN" w:bidi="ar-SA"/>
        </w:rPr>
        <w:id w:val="147451814"/>
        <w15:color w:val="DBDBDB"/>
        <w:docPartObj>
          <w:docPartGallery w:val="Table of Contents"/>
          <w:docPartUnique/>
        </w:docPartObj>
      </w:sdtPr>
      <w:sdtEndPr>
        <w:rPr>
          <w:rFonts w:ascii="方正小标宋简体" w:hAnsi="宋体" w:eastAsia="方正小标宋简体" w:cs="Times New Roman"/>
          <w:color w:val="000000"/>
          <w:kern w:val="2"/>
          <w:sz w:val="21"/>
          <w:szCs w:val="72"/>
          <w:lang w:val="en-US" w:eastAsia="zh-CN" w:bidi="ar-SA"/>
        </w:rPr>
      </w:sdtEndPr>
      <w:sdtContent>
        <w:p>
          <w:pPr>
            <w:keepNext w:val="0"/>
            <w:keepLines w:val="0"/>
            <w:pageBreakBefore w:val="0"/>
            <w:widowControl w:val="0"/>
            <w:kinsoku/>
            <w:wordWrap/>
            <w:overflowPunct/>
            <w:topLinePunct w:val="0"/>
            <w:autoSpaceDE/>
            <w:autoSpaceDN/>
            <w:bidi w:val="0"/>
            <w:adjustRightInd/>
            <w:snapToGrid/>
            <w:spacing w:before="0" w:beforeLines="0" w:after="0" w:afterLines="0" w:line="190" w:lineRule="exact"/>
            <w:ind w:left="0" w:leftChars="0" w:right="0" w:rightChars="0" w:firstLine="0" w:firstLineChars="0"/>
            <w:jc w:val="center"/>
            <w:textAlignment w:val="auto"/>
          </w:pPr>
          <w:r>
            <w:rPr>
              <w:rFonts w:ascii="方正小标宋简体" w:hAnsi="宋体" w:eastAsia="方正小标宋简体"/>
              <w:color w:val="000000"/>
              <w:sz w:val="72"/>
              <w:szCs w:val="72"/>
            </w:rPr>
            <w:fldChar w:fldCharType="begin"/>
          </w:r>
          <w:r>
            <w:rPr>
              <w:rFonts w:ascii="方正小标宋简体" w:hAnsi="宋体" w:eastAsia="方正小标宋简体"/>
              <w:color w:val="000000"/>
              <w:sz w:val="72"/>
              <w:szCs w:val="72"/>
            </w:rPr>
            <w:instrText xml:space="preserve">TOC \o "1-3" \h \u </w:instrText>
          </w:r>
          <w:r>
            <w:rPr>
              <w:rFonts w:ascii="方正小标宋简体" w:hAnsi="宋体" w:eastAsia="方正小标宋简体"/>
              <w:color w:val="000000"/>
              <w:sz w:val="72"/>
              <w:szCs w:val="72"/>
            </w:rPr>
            <w:fldChar w:fldCharType="separate"/>
          </w:r>
        </w:p>
        <w:p>
          <w:pPr>
            <w:pStyle w:val="8"/>
            <w:keepNext w:val="0"/>
            <w:keepLines w:val="0"/>
            <w:pageBreakBefore w:val="0"/>
            <w:widowControl w:val="0"/>
            <w:tabs>
              <w:tab w:val="right" w:leader="dot" w:pos="8306"/>
              <w:tab w:val="clear" w:pos="8296"/>
            </w:tabs>
            <w:kinsoku/>
            <w:wordWrap/>
            <w:overflowPunct/>
            <w:topLinePunct w:val="0"/>
            <w:autoSpaceDE/>
            <w:autoSpaceDN/>
            <w:bidi w:val="0"/>
            <w:spacing w:line="370" w:lineRule="exact"/>
            <w:textAlignment w:val="auto"/>
            <w:rPr>
              <w:sz w:val="24"/>
              <w:szCs w:val="24"/>
            </w:rPr>
          </w:pPr>
          <w:r>
            <w:rPr>
              <w:rFonts w:ascii="方正小标宋简体" w:hAnsi="宋体" w:eastAsia="方正小标宋简体"/>
              <w:color w:val="000000"/>
              <w:sz w:val="24"/>
              <w:szCs w:val="24"/>
            </w:rPr>
            <w:fldChar w:fldCharType="begin"/>
          </w:r>
          <w:r>
            <w:rPr>
              <w:rFonts w:ascii="方正小标宋简体" w:hAnsi="宋体" w:eastAsia="方正小标宋简体"/>
              <w:sz w:val="24"/>
              <w:szCs w:val="24"/>
            </w:rPr>
            <w:instrText xml:space="preserve"> HYPERLINK \l _Toc26323 </w:instrText>
          </w:r>
          <w:r>
            <w:rPr>
              <w:rFonts w:ascii="方正小标宋简体" w:hAnsi="宋体" w:eastAsia="方正小标宋简体"/>
              <w:sz w:val="24"/>
              <w:szCs w:val="24"/>
            </w:rPr>
            <w:fldChar w:fldCharType="separate"/>
          </w:r>
          <w:r>
            <w:rPr>
              <w:rStyle w:val="11"/>
              <w:rFonts w:hint="eastAsia" w:ascii="Times New Roman" w:hAnsi="Times New Roman" w:eastAsia="宋体"/>
              <w:sz w:val="24"/>
              <w:szCs w:val="24"/>
            </w:rPr>
            <w:t>第一部分 部门概况</w:t>
          </w:r>
          <w:r>
            <w:rPr>
              <w:sz w:val="24"/>
              <w:szCs w:val="24"/>
            </w:rPr>
            <w:tab/>
          </w:r>
          <w:r>
            <w:rPr>
              <w:sz w:val="24"/>
              <w:szCs w:val="24"/>
            </w:rPr>
            <w:fldChar w:fldCharType="begin"/>
          </w:r>
          <w:r>
            <w:rPr>
              <w:sz w:val="24"/>
              <w:szCs w:val="24"/>
            </w:rPr>
            <w:instrText xml:space="preserve"> PAGEREF _Toc26323 </w:instrText>
          </w:r>
          <w:r>
            <w:rPr>
              <w:sz w:val="24"/>
              <w:szCs w:val="24"/>
            </w:rPr>
            <w:fldChar w:fldCharType="separate"/>
          </w:r>
          <w:r>
            <w:rPr>
              <w:sz w:val="24"/>
              <w:szCs w:val="24"/>
            </w:rPr>
            <w:t>1</w:t>
          </w:r>
          <w:r>
            <w:rPr>
              <w:sz w:val="24"/>
              <w:szCs w:val="24"/>
            </w:rPr>
            <w:fldChar w:fldCharType="end"/>
          </w:r>
          <w:r>
            <w:rPr>
              <w:rFonts w:ascii="方正小标宋简体" w:hAnsi="宋体" w:eastAsia="方正小标宋简体"/>
              <w:color w:val="000000"/>
              <w:sz w:val="24"/>
              <w:szCs w:val="24"/>
            </w:rPr>
            <w:fldChar w:fldCharType="end"/>
          </w:r>
        </w:p>
        <w:p>
          <w:pPr>
            <w:pStyle w:val="9"/>
            <w:keepNext w:val="0"/>
            <w:keepLines w:val="0"/>
            <w:pageBreakBefore w:val="0"/>
            <w:widowControl w:val="0"/>
            <w:kinsoku/>
            <w:wordWrap/>
            <w:overflowPunct/>
            <w:topLinePunct w:val="0"/>
            <w:autoSpaceDE/>
            <w:autoSpaceDN/>
            <w:bidi w:val="0"/>
            <w:adjustRightInd w:val="0"/>
            <w:snapToGrid w:val="0"/>
            <w:spacing w:line="370" w:lineRule="exact"/>
            <w:jc w:val="left"/>
            <w:textAlignment w:val="auto"/>
            <w:rPr>
              <w:sz w:val="24"/>
              <w:szCs w:val="24"/>
            </w:rPr>
          </w:pPr>
          <w:r>
            <w:rPr>
              <w:rFonts w:ascii="方正小标宋简体" w:hAnsi="宋体" w:eastAsia="方正小标宋简体"/>
              <w:color w:val="000000"/>
              <w:sz w:val="24"/>
              <w:szCs w:val="24"/>
            </w:rPr>
            <w:fldChar w:fldCharType="begin"/>
          </w:r>
          <w:r>
            <w:rPr>
              <w:rFonts w:ascii="方正小标宋简体" w:hAnsi="宋体" w:eastAsia="方正小标宋简体"/>
              <w:sz w:val="24"/>
              <w:szCs w:val="24"/>
            </w:rPr>
            <w:instrText xml:space="preserve"> HYPERLINK \l _Toc9502 </w:instrText>
          </w:r>
          <w:r>
            <w:rPr>
              <w:rFonts w:ascii="方正小标宋简体" w:hAnsi="宋体" w:eastAsia="方正小标宋简体"/>
              <w:sz w:val="24"/>
              <w:szCs w:val="24"/>
            </w:rPr>
            <w:fldChar w:fldCharType="separate"/>
          </w:r>
          <w:r>
            <w:rPr>
              <w:rStyle w:val="11"/>
              <w:rFonts w:hint="eastAsia" w:ascii="仿宋" w:hAnsi="仿宋" w:eastAsia="仿宋"/>
              <w:sz w:val="24"/>
              <w:szCs w:val="24"/>
            </w:rPr>
            <w:t>一、基本职能及主要工作</w:t>
          </w:r>
          <w:r>
            <w:rPr>
              <w:sz w:val="24"/>
              <w:szCs w:val="24"/>
            </w:rPr>
            <w:tab/>
          </w:r>
          <w:r>
            <w:rPr>
              <w:sz w:val="24"/>
              <w:szCs w:val="24"/>
            </w:rPr>
            <w:fldChar w:fldCharType="begin"/>
          </w:r>
          <w:r>
            <w:rPr>
              <w:sz w:val="24"/>
              <w:szCs w:val="24"/>
            </w:rPr>
            <w:instrText xml:space="preserve"> PAGEREF _Toc9502 </w:instrText>
          </w:r>
          <w:r>
            <w:rPr>
              <w:sz w:val="24"/>
              <w:szCs w:val="24"/>
            </w:rPr>
            <w:fldChar w:fldCharType="separate"/>
          </w:r>
          <w:r>
            <w:rPr>
              <w:sz w:val="24"/>
              <w:szCs w:val="24"/>
            </w:rPr>
            <w:t>1</w:t>
          </w:r>
          <w:r>
            <w:rPr>
              <w:sz w:val="24"/>
              <w:szCs w:val="24"/>
            </w:rPr>
            <w:fldChar w:fldCharType="end"/>
          </w:r>
          <w:r>
            <w:rPr>
              <w:rFonts w:ascii="方正小标宋简体" w:hAnsi="宋体" w:eastAsia="方正小标宋简体"/>
              <w:color w:val="000000"/>
              <w:sz w:val="24"/>
              <w:szCs w:val="24"/>
            </w:rPr>
            <w:fldChar w:fldCharType="end"/>
          </w:r>
        </w:p>
        <w:p>
          <w:pPr>
            <w:pStyle w:val="9"/>
            <w:keepNext w:val="0"/>
            <w:keepLines w:val="0"/>
            <w:pageBreakBefore w:val="0"/>
            <w:widowControl w:val="0"/>
            <w:kinsoku/>
            <w:wordWrap/>
            <w:overflowPunct/>
            <w:topLinePunct w:val="0"/>
            <w:autoSpaceDE/>
            <w:autoSpaceDN/>
            <w:bidi w:val="0"/>
            <w:adjustRightInd w:val="0"/>
            <w:snapToGrid w:val="0"/>
            <w:spacing w:line="370" w:lineRule="exact"/>
            <w:jc w:val="left"/>
            <w:textAlignment w:val="auto"/>
            <w:rPr>
              <w:sz w:val="24"/>
              <w:szCs w:val="24"/>
            </w:rPr>
          </w:pPr>
          <w:r>
            <w:rPr>
              <w:rFonts w:ascii="方正小标宋简体" w:hAnsi="宋体" w:eastAsia="方正小标宋简体"/>
              <w:color w:val="000000"/>
              <w:sz w:val="24"/>
              <w:szCs w:val="24"/>
            </w:rPr>
            <w:fldChar w:fldCharType="begin"/>
          </w:r>
          <w:r>
            <w:rPr>
              <w:rFonts w:ascii="方正小标宋简体" w:hAnsi="宋体" w:eastAsia="方正小标宋简体"/>
              <w:sz w:val="24"/>
              <w:szCs w:val="24"/>
            </w:rPr>
            <w:instrText xml:space="preserve"> HYPERLINK \l _Toc1235 </w:instrText>
          </w:r>
          <w:r>
            <w:rPr>
              <w:rFonts w:ascii="方正小标宋简体" w:hAnsi="宋体" w:eastAsia="方正小标宋简体"/>
              <w:sz w:val="24"/>
              <w:szCs w:val="24"/>
            </w:rPr>
            <w:fldChar w:fldCharType="separate"/>
          </w:r>
          <w:r>
            <w:rPr>
              <w:rStyle w:val="11"/>
              <w:rFonts w:hint="eastAsia" w:ascii="仿宋" w:hAnsi="仿宋" w:eastAsia="仿宋"/>
              <w:sz w:val="24"/>
              <w:szCs w:val="24"/>
            </w:rPr>
            <w:t>二、机构设置</w:t>
          </w:r>
          <w:r>
            <w:rPr>
              <w:sz w:val="24"/>
              <w:szCs w:val="24"/>
            </w:rPr>
            <w:tab/>
          </w:r>
          <w:r>
            <w:rPr>
              <w:sz w:val="24"/>
              <w:szCs w:val="24"/>
            </w:rPr>
            <w:fldChar w:fldCharType="begin"/>
          </w:r>
          <w:r>
            <w:rPr>
              <w:sz w:val="24"/>
              <w:szCs w:val="24"/>
            </w:rPr>
            <w:instrText xml:space="preserve"> PAGEREF _Toc1235 </w:instrText>
          </w:r>
          <w:r>
            <w:rPr>
              <w:sz w:val="24"/>
              <w:szCs w:val="24"/>
            </w:rPr>
            <w:fldChar w:fldCharType="separate"/>
          </w:r>
          <w:r>
            <w:rPr>
              <w:sz w:val="24"/>
              <w:szCs w:val="24"/>
            </w:rPr>
            <w:t>2</w:t>
          </w:r>
          <w:r>
            <w:rPr>
              <w:sz w:val="24"/>
              <w:szCs w:val="24"/>
            </w:rPr>
            <w:fldChar w:fldCharType="end"/>
          </w:r>
          <w:r>
            <w:rPr>
              <w:rFonts w:ascii="方正小标宋简体" w:hAnsi="宋体" w:eastAsia="方正小标宋简体"/>
              <w:color w:val="000000"/>
              <w:sz w:val="24"/>
              <w:szCs w:val="24"/>
            </w:rPr>
            <w:fldChar w:fldCharType="end"/>
          </w:r>
        </w:p>
        <w:p>
          <w:pPr>
            <w:pStyle w:val="8"/>
            <w:keepNext w:val="0"/>
            <w:keepLines w:val="0"/>
            <w:pageBreakBefore w:val="0"/>
            <w:widowControl w:val="0"/>
            <w:tabs>
              <w:tab w:val="right" w:leader="dot" w:pos="8306"/>
              <w:tab w:val="clear" w:pos="8296"/>
            </w:tabs>
            <w:kinsoku/>
            <w:wordWrap/>
            <w:overflowPunct/>
            <w:topLinePunct w:val="0"/>
            <w:autoSpaceDE/>
            <w:autoSpaceDN/>
            <w:bidi w:val="0"/>
            <w:spacing w:line="370" w:lineRule="exact"/>
            <w:textAlignment w:val="auto"/>
            <w:rPr>
              <w:sz w:val="24"/>
              <w:szCs w:val="24"/>
            </w:rPr>
          </w:pPr>
          <w:r>
            <w:rPr>
              <w:rFonts w:ascii="方正小标宋简体" w:hAnsi="宋体" w:eastAsia="方正小标宋简体"/>
              <w:color w:val="000000"/>
              <w:sz w:val="24"/>
              <w:szCs w:val="24"/>
            </w:rPr>
            <w:fldChar w:fldCharType="begin"/>
          </w:r>
          <w:r>
            <w:rPr>
              <w:rFonts w:ascii="方正小标宋简体" w:hAnsi="宋体" w:eastAsia="方正小标宋简体"/>
              <w:sz w:val="24"/>
              <w:szCs w:val="24"/>
            </w:rPr>
            <w:instrText xml:space="preserve"> HYPERLINK \l _Toc26297 </w:instrText>
          </w:r>
          <w:r>
            <w:rPr>
              <w:rFonts w:ascii="方正小标宋简体" w:hAnsi="宋体" w:eastAsia="方正小标宋简体"/>
              <w:sz w:val="24"/>
              <w:szCs w:val="24"/>
            </w:rPr>
            <w:fldChar w:fldCharType="separate"/>
          </w:r>
          <w:r>
            <w:rPr>
              <w:rStyle w:val="11"/>
              <w:rFonts w:hint="eastAsia" w:ascii="Times New Roman" w:hAnsi="Times New Roman" w:eastAsia="宋体"/>
              <w:sz w:val="24"/>
              <w:szCs w:val="24"/>
            </w:rPr>
            <w:t>第二部分 2019年度部门决算情况说明</w:t>
          </w:r>
          <w:r>
            <w:rPr>
              <w:sz w:val="24"/>
              <w:szCs w:val="24"/>
            </w:rPr>
            <w:tab/>
          </w:r>
          <w:r>
            <w:rPr>
              <w:sz w:val="24"/>
              <w:szCs w:val="24"/>
            </w:rPr>
            <w:fldChar w:fldCharType="begin"/>
          </w:r>
          <w:r>
            <w:rPr>
              <w:sz w:val="24"/>
              <w:szCs w:val="24"/>
            </w:rPr>
            <w:instrText xml:space="preserve"> PAGEREF _Toc26297 </w:instrText>
          </w:r>
          <w:r>
            <w:rPr>
              <w:sz w:val="24"/>
              <w:szCs w:val="24"/>
            </w:rPr>
            <w:fldChar w:fldCharType="separate"/>
          </w:r>
          <w:r>
            <w:rPr>
              <w:sz w:val="24"/>
              <w:szCs w:val="24"/>
            </w:rPr>
            <w:t>3</w:t>
          </w:r>
          <w:r>
            <w:rPr>
              <w:sz w:val="24"/>
              <w:szCs w:val="24"/>
            </w:rPr>
            <w:fldChar w:fldCharType="end"/>
          </w:r>
          <w:r>
            <w:rPr>
              <w:rFonts w:ascii="方正小标宋简体" w:hAnsi="宋体" w:eastAsia="方正小标宋简体"/>
              <w:color w:val="000000"/>
              <w:sz w:val="24"/>
              <w:szCs w:val="24"/>
            </w:rPr>
            <w:fldChar w:fldCharType="end"/>
          </w:r>
        </w:p>
        <w:p>
          <w:pPr>
            <w:pStyle w:val="9"/>
            <w:keepNext w:val="0"/>
            <w:keepLines w:val="0"/>
            <w:pageBreakBefore w:val="0"/>
            <w:widowControl w:val="0"/>
            <w:kinsoku/>
            <w:wordWrap/>
            <w:overflowPunct/>
            <w:topLinePunct w:val="0"/>
            <w:autoSpaceDE/>
            <w:autoSpaceDN/>
            <w:bidi w:val="0"/>
            <w:adjustRightInd w:val="0"/>
            <w:snapToGrid w:val="0"/>
            <w:spacing w:line="370" w:lineRule="exact"/>
            <w:jc w:val="left"/>
            <w:textAlignment w:val="auto"/>
            <w:rPr>
              <w:sz w:val="24"/>
              <w:szCs w:val="24"/>
            </w:rPr>
          </w:pPr>
          <w:r>
            <w:rPr>
              <w:rFonts w:ascii="方正小标宋简体" w:hAnsi="宋体" w:eastAsia="方正小标宋简体"/>
              <w:color w:val="000000"/>
              <w:sz w:val="24"/>
              <w:szCs w:val="24"/>
            </w:rPr>
            <w:fldChar w:fldCharType="begin"/>
          </w:r>
          <w:r>
            <w:rPr>
              <w:rFonts w:ascii="方正小标宋简体" w:hAnsi="宋体" w:eastAsia="方正小标宋简体"/>
              <w:sz w:val="24"/>
              <w:szCs w:val="24"/>
            </w:rPr>
            <w:instrText xml:space="preserve"> HYPERLINK \l _Toc15206 </w:instrText>
          </w:r>
          <w:r>
            <w:rPr>
              <w:rFonts w:ascii="方正小标宋简体" w:hAnsi="宋体" w:eastAsia="方正小标宋简体"/>
              <w:sz w:val="24"/>
              <w:szCs w:val="24"/>
            </w:rPr>
            <w:fldChar w:fldCharType="separate"/>
          </w:r>
          <w:r>
            <w:rPr>
              <w:rStyle w:val="11"/>
              <w:rFonts w:hint="default" w:ascii="仿宋" w:hAnsi="仿宋" w:eastAsia="仿宋" w:cstheme="majorBidi"/>
              <w:bCs/>
              <w:sz w:val="24"/>
              <w:szCs w:val="24"/>
            </w:rPr>
            <w:t xml:space="preserve">一、 </w:t>
          </w:r>
          <w:r>
            <w:rPr>
              <w:rStyle w:val="11"/>
              <w:rFonts w:hint="eastAsia" w:ascii="仿宋" w:hAnsi="仿宋" w:eastAsia="仿宋" w:cstheme="majorBidi"/>
              <w:bCs/>
              <w:sz w:val="24"/>
              <w:szCs w:val="24"/>
            </w:rPr>
            <w:t>收入</w:t>
          </w:r>
          <w:r>
            <w:rPr>
              <w:rStyle w:val="11"/>
              <w:rFonts w:hint="eastAsia" w:ascii="仿宋" w:hAnsi="仿宋" w:eastAsia="仿宋"/>
              <w:sz w:val="24"/>
              <w:szCs w:val="24"/>
            </w:rPr>
            <w:t>支出决算</w:t>
          </w:r>
          <w:r>
            <w:rPr>
              <w:rStyle w:val="11"/>
              <w:rFonts w:hint="eastAsia" w:ascii="仿宋" w:hAnsi="仿宋" w:eastAsia="仿宋" w:cstheme="majorBidi"/>
              <w:bCs/>
              <w:sz w:val="24"/>
              <w:szCs w:val="24"/>
            </w:rPr>
            <w:t>总体情况说明</w:t>
          </w:r>
          <w:r>
            <w:rPr>
              <w:sz w:val="24"/>
              <w:szCs w:val="24"/>
            </w:rPr>
            <w:tab/>
          </w:r>
          <w:r>
            <w:rPr>
              <w:sz w:val="24"/>
              <w:szCs w:val="24"/>
            </w:rPr>
            <w:fldChar w:fldCharType="begin"/>
          </w:r>
          <w:r>
            <w:rPr>
              <w:sz w:val="24"/>
              <w:szCs w:val="24"/>
            </w:rPr>
            <w:instrText xml:space="preserve"> PAGEREF _Toc15206 </w:instrText>
          </w:r>
          <w:r>
            <w:rPr>
              <w:sz w:val="24"/>
              <w:szCs w:val="24"/>
            </w:rPr>
            <w:fldChar w:fldCharType="separate"/>
          </w:r>
          <w:r>
            <w:rPr>
              <w:sz w:val="24"/>
              <w:szCs w:val="24"/>
            </w:rPr>
            <w:t>3</w:t>
          </w:r>
          <w:r>
            <w:rPr>
              <w:sz w:val="24"/>
              <w:szCs w:val="24"/>
            </w:rPr>
            <w:fldChar w:fldCharType="end"/>
          </w:r>
          <w:r>
            <w:rPr>
              <w:rFonts w:ascii="方正小标宋简体" w:hAnsi="宋体" w:eastAsia="方正小标宋简体"/>
              <w:color w:val="000000"/>
              <w:sz w:val="24"/>
              <w:szCs w:val="24"/>
            </w:rPr>
            <w:fldChar w:fldCharType="end"/>
          </w:r>
        </w:p>
        <w:p>
          <w:pPr>
            <w:pStyle w:val="9"/>
            <w:keepNext w:val="0"/>
            <w:keepLines w:val="0"/>
            <w:pageBreakBefore w:val="0"/>
            <w:widowControl w:val="0"/>
            <w:kinsoku/>
            <w:wordWrap/>
            <w:overflowPunct/>
            <w:topLinePunct w:val="0"/>
            <w:autoSpaceDE/>
            <w:autoSpaceDN/>
            <w:bidi w:val="0"/>
            <w:adjustRightInd w:val="0"/>
            <w:snapToGrid w:val="0"/>
            <w:spacing w:line="370" w:lineRule="exact"/>
            <w:jc w:val="left"/>
            <w:textAlignment w:val="auto"/>
            <w:rPr>
              <w:sz w:val="24"/>
              <w:szCs w:val="24"/>
            </w:rPr>
          </w:pPr>
          <w:r>
            <w:rPr>
              <w:rFonts w:ascii="方正小标宋简体" w:hAnsi="宋体" w:eastAsia="方正小标宋简体"/>
              <w:color w:val="000000"/>
              <w:sz w:val="24"/>
              <w:szCs w:val="24"/>
            </w:rPr>
            <w:fldChar w:fldCharType="begin"/>
          </w:r>
          <w:r>
            <w:rPr>
              <w:rFonts w:ascii="方正小标宋简体" w:hAnsi="宋体" w:eastAsia="方正小标宋简体"/>
              <w:sz w:val="24"/>
              <w:szCs w:val="24"/>
            </w:rPr>
            <w:instrText xml:space="preserve"> HYPERLINK \l _Toc30706 </w:instrText>
          </w:r>
          <w:r>
            <w:rPr>
              <w:rFonts w:ascii="方正小标宋简体" w:hAnsi="宋体" w:eastAsia="方正小标宋简体"/>
              <w:sz w:val="24"/>
              <w:szCs w:val="24"/>
            </w:rPr>
            <w:fldChar w:fldCharType="separate"/>
          </w:r>
          <w:r>
            <w:rPr>
              <w:rStyle w:val="11"/>
              <w:rFonts w:hint="default" w:ascii="仿宋" w:hAnsi="仿宋" w:eastAsia="仿宋" w:cstheme="majorBidi"/>
              <w:bCs/>
              <w:sz w:val="24"/>
              <w:szCs w:val="24"/>
            </w:rPr>
            <w:t xml:space="preserve">二、 </w:t>
          </w:r>
          <w:r>
            <w:rPr>
              <w:rStyle w:val="11"/>
              <w:rFonts w:hint="eastAsia" w:ascii="仿宋" w:hAnsi="仿宋" w:eastAsia="仿宋" w:cstheme="majorBidi"/>
              <w:bCs/>
              <w:sz w:val="24"/>
              <w:szCs w:val="24"/>
            </w:rPr>
            <w:t>收入</w:t>
          </w:r>
          <w:r>
            <w:rPr>
              <w:rStyle w:val="11"/>
              <w:rFonts w:hint="eastAsia" w:ascii="仿宋" w:hAnsi="仿宋" w:eastAsia="仿宋"/>
              <w:sz w:val="24"/>
              <w:szCs w:val="24"/>
            </w:rPr>
            <w:t>决算</w:t>
          </w:r>
          <w:r>
            <w:rPr>
              <w:rStyle w:val="11"/>
              <w:rFonts w:hint="eastAsia" w:ascii="仿宋" w:hAnsi="仿宋" w:eastAsia="仿宋" w:cstheme="majorBidi"/>
              <w:bCs/>
              <w:sz w:val="24"/>
              <w:szCs w:val="24"/>
            </w:rPr>
            <w:t>情况说明</w:t>
          </w:r>
          <w:r>
            <w:rPr>
              <w:sz w:val="24"/>
              <w:szCs w:val="24"/>
            </w:rPr>
            <w:tab/>
          </w:r>
          <w:r>
            <w:rPr>
              <w:sz w:val="24"/>
              <w:szCs w:val="24"/>
            </w:rPr>
            <w:fldChar w:fldCharType="begin"/>
          </w:r>
          <w:r>
            <w:rPr>
              <w:sz w:val="24"/>
              <w:szCs w:val="24"/>
            </w:rPr>
            <w:instrText xml:space="preserve"> PAGEREF _Toc30706 </w:instrText>
          </w:r>
          <w:r>
            <w:rPr>
              <w:sz w:val="24"/>
              <w:szCs w:val="24"/>
            </w:rPr>
            <w:fldChar w:fldCharType="separate"/>
          </w:r>
          <w:r>
            <w:rPr>
              <w:sz w:val="24"/>
              <w:szCs w:val="24"/>
            </w:rPr>
            <w:t>3</w:t>
          </w:r>
          <w:r>
            <w:rPr>
              <w:sz w:val="24"/>
              <w:szCs w:val="24"/>
            </w:rPr>
            <w:fldChar w:fldCharType="end"/>
          </w:r>
          <w:r>
            <w:rPr>
              <w:rFonts w:ascii="方正小标宋简体" w:hAnsi="宋体" w:eastAsia="方正小标宋简体"/>
              <w:color w:val="000000"/>
              <w:sz w:val="24"/>
              <w:szCs w:val="24"/>
            </w:rPr>
            <w:fldChar w:fldCharType="end"/>
          </w:r>
        </w:p>
        <w:p>
          <w:pPr>
            <w:pStyle w:val="9"/>
            <w:keepNext w:val="0"/>
            <w:keepLines w:val="0"/>
            <w:pageBreakBefore w:val="0"/>
            <w:widowControl w:val="0"/>
            <w:kinsoku/>
            <w:wordWrap/>
            <w:overflowPunct/>
            <w:topLinePunct w:val="0"/>
            <w:autoSpaceDE/>
            <w:autoSpaceDN/>
            <w:bidi w:val="0"/>
            <w:adjustRightInd w:val="0"/>
            <w:snapToGrid w:val="0"/>
            <w:spacing w:line="370" w:lineRule="exact"/>
            <w:jc w:val="left"/>
            <w:textAlignment w:val="auto"/>
            <w:rPr>
              <w:sz w:val="24"/>
              <w:szCs w:val="24"/>
            </w:rPr>
          </w:pPr>
          <w:r>
            <w:rPr>
              <w:rFonts w:ascii="方正小标宋简体" w:hAnsi="宋体" w:eastAsia="方正小标宋简体"/>
              <w:color w:val="000000"/>
              <w:sz w:val="24"/>
              <w:szCs w:val="24"/>
            </w:rPr>
            <w:fldChar w:fldCharType="begin"/>
          </w:r>
          <w:r>
            <w:rPr>
              <w:rFonts w:ascii="方正小标宋简体" w:hAnsi="宋体" w:eastAsia="方正小标宋简体"/>
              <w:sz w:val="24"/>
              <w:szCs w:val="24"/>
            </w:rPr>
            <w:instrText xml:space="preserve"> HYPERLINK \l _Toc11626 </w:instrText>
          </w:r>
          <w:r>
            <w:rPr>
              <w:rFonts w:ascii="方正小标宋简体" w:hAnsi="宋体" w:eastAsia="方正小标宋简体"/>
              <w:sz w:val="24"/>
              <w:szCs w:val="24"/>
            </w:rPr>
            <w:fldChar w:fldCharType="separate"/>
          </w:r>
          <w:r>
            <w:rPr>
              <w:rStyle w:val="11"/>
              <w:rFonts w:hint="default" w:ascii="仿宋" w:hAnsi="仿宋" w:eastAsia="仿宋" w:cstheme="majorBidi"/>
              <w:bCs/>
              <w:sz w:val="24"/>
              <w:szCs w:val="24"/>
            </w:rPr>
            <w:t xml:space="preserve">三、 </w:t>
          </w:r>
          <w:r>
            <w:rPr>
              <w:rStyle w:val="11"/>
              <w:rFonts w:hint="eastAsia" w:ascii="仿宋" w:hAnsi="仿宋" w:eastAsia="仿宋" w:cstheme="majorBidi"/>
              <w:bCs/>
              <w:sz w:val="24"/>
              <w:szCs w:val="24"/>
            </w:rPr>
            <w:t>支出决算情况说明</w:t>
          </w:r>
          <w:r>
            <w:rPr>
              <w:sz w:val="24"/>
              <w:szCs w:val="24"/>
            </w:rPr>
            <w:tab/>
          </w:r>
          <w:r>
            <w:rPr>
              <w:sz w:val="24"/>
              <w:szCs w:val="24"/>
            </w:rPr>
            <w:fldChar w:fldCharType="begin"/>
          </w:r>
          <w:r>
            <w:rPr>
              <w:sz w:val="24"/>
              <w:szCs w:val="24"/>
            </w:rPr>
            <w:instrText xml:space="preserve"> PAGEREF _Toc11626 </w:instrText>
          </w:r>
          <w:r>
            <w:rPr>
              <w:sz w:val="24"/>
              <w:szCs w:val="24"/>
            </w:rPr>
            <w:fldChar w:fldCharType="separate"/>
          </w:r>
          <w:r>
            <w:rPr>
              <w:sz w:val="24"/>
              <w:szCs w:val="24"/>
            </w:rPr>
            <w:t>4</w:t>
          </w:r>
          <w:r>
            <w:rPr>
              <w:sz w:val="24"/>
              <w:szCs w:val="24"/>
            </w:rPr>
            <w:fldChar w:fldCharType="end"/>
          </w:r>
          <w:r>
            <w:rPr>
              <w:rFonts w:ascii="方正小标宋简体" w:hAnsi="宋体" w:eastAsia="方正小标宋简体"/>
              <w:color w:val="000000"/>
              <w:sz w:val="24"/>
              <w:szCs w:val="24"/>
            </w:rPr>
            <w:fldChar w:fldCharType="end"/>
          </w:r>
        </w:p>
        <w:p>
          <w:pPr>
            <w:pStyle w:val="9"/>
            <w:keepNext w:val="0"/>
            <w:keepLines w:val="0"/>
            <w:pageBreakBefore w:val="0"/>
            <w:widowControl w:val="0"/>
            <w:kinsoku/>
            <w:wordWrap/>
            <w:overflowPunct/>
            <w:topLinePunct w:val="0"/>
            <w:autoSpaceDE/>
            <w:autoSpaceDN/>
            <w:bidi w:val="0"/>
            <w:adjustRightInd w:val="0"/>
            <w:snapToGrid w:val="0"/>
            <w:spacing w:line="370" w:lineRule="exact"/>
            <w:jc w:val="left"/>
            <w:textAlignment w:val="auto"/>
            <w:rPr>
              <w:sz w:val="24"/>
              <w:szCs w:val="24"/>
            </w:rPr>
          </w:pPr>
          <w:r>
            <w:rPr>
              <w:rFonts w:ascii="方正小标宋简体" w:hAnsi="宋体" w:eastAsia="方正小标宋简体"/>
              <w:color w:val="000000"/>
              <w:sz w:val="24"/>
              <w:szCs w:val="24"/>
            </w:rPr>
            <w:fldChar w:fldCharType="begin"/>
          </w:r>
          <w:r>
            <w:rPr>
              <w:rFonts w:ascii="方正小标宋简体" w:hAnsi="宋体" w:eastAsia="方正小标宋简体"/>
              <w:sz w:val="24"/>
              <w:szCs w:val="24"/>
            </w:rPr>
            <w:instrText xml:space="preserve"> HYPERLINK \l _Toc5000 </w:instrText>
          </w:r>
          <w:r>
            <w:rPr>
              <w:rFonts w:ascii="方正小标宋简体" w:hAnsi="宋体" w:eastAsia="方正小标宋简体"/>
              <w:sz w:val="24"/>
              <w:szCs w:val="24"/>
            </w:rPr>
            <w:fldChar w:fldCharType="separate"/>
          </w:r>
          <w:r>
            <w:rPr>
              <w:rStyle w:val="11"/>
              <w:rFonts w:hint="eastAsia" w:ascii="仿宋" w:hAnsi="仿宋" w:eastAsia="仿宋" w:cstheme="majorBidi"/>
              <w:bCs/>
              <w:sz w:val="24"/>
              <w:szCs w:val="24"/>
            </w:rPr>
            <w:t>四、财政拨款</w:t>
          </w:r>
          <w:r>
            <w:rPr>
              <w:rStyle w:val="11"/>
              <w:rFonts w:hint="eastAsia" w:ascii="仿宋" w:hAnsi="仿宋" w:eastAsia="仿宋"/>
              <w:sz w:val="24"/>
              <w:szCs w:val="24"/>
            </w:rPr>
            <w:t>收入</w:t>
          </w:r>
          <w:r>
            <w:rPr>
              <w:rStyle w:val="11"/>
              <w:rFonts w:hint="eastAsia" w:ascii="仿宋" w:hAnsi="仿宋" w:eastAsia="仿宋" w:cstheme="majorBidi"/>
              <w:bCs/>
              <w:sz w:val="24"/>
              <w:szCs w:val="24"/>
            </w:rPr>
            <w:t>支出决算总体情况说明</w:t>
          </w:r>
          <w:r>
            <w:rPr>
              <w:sz w:val="24"/>
              <w:szCs w:val="24"/>
            </w:rPr>
            <w:tab/>
          </w:r>
          <w:r>
            <w:rPr>
              <w:sz w:val="24"/>
              <w:szCs w:val="24"/>
            </w:rPr>
            <w:fldChar w:fldCharType="begin"/>
          </w:r>
          <w:r>
            <w:rPr>
              <w:sz w:val="24"/>
              <w:szCs w:val="24"/>
            </w:rPr>
            <w:instrText xml:space="preserve"> PAGEREF _Toc5000 </w:instrText>
          </w:r>
          <w:r>
            <w:rPr>
              <w:sz w:val="24"/>
              <w:szCs w:val="24"/>
            </w:rPr>
            <w:fldChar w:fldCharType="separate"/>
          </w:r>
          <w:r>
            <w:rPr>
              <w:sz w:val="24"/>
              <w:szCs w:val="24"/>
            </w:rPr>
            <w:t>5</w:t>
          </w:r>
          <w:r>
            <w:rPr>
              <w:sz w:val="24"/>
              <w:szCs w:val="24"/>
            </w:rPr>
            <w:fldChar w:fldCharType="end"/>
          </w:r>
          <w:r>
            <w:rPr>
              <w:rFonts w:ascii="方正小标宋简体" w:hAnsi="宋体" w:eastAsia="方正小标宋简体"/>
              <w:color w:val="000000"/>
              <w:sz w:val="24"/>
              <w:szCs w:val="24"/>
            </w:rPr>
            <w:fldChar w:fldCharType="end"/>
          </w:r>
        </w:p>
        <w:p>
          <w:pPr>
            <w:pStyle w:val="9"/>
            <w:keepNext w:val="0"/>
            <w:keepLines w:val="0"/>
            <w:pageBreakBefore w:val="0"/>
            <w:widowControl w:val="0"/>
            <w:kinsoku/>
            <w:wordWrap/>
            <w:overflowPunct/>
            <w:topLinePunct w:val="0"/>
            <w:autoSpaceDE/>
            <w:autoSpaceDN/>
            <w:bidi w:val="0"/>
            <w:adjustRightInd w:val="0"/>
            <w:snapToGrid w:val="0"/>
            <w:spacing w:line="370" w:lineRule="exact"/>
            <w:jc w:val="left"/>
            <w:textAlignment w:val="auto"/>
            <w:rPr>
              <w:sz w:val="24"/>
              <w:szCs w:val="24"/>
            </w:rPr>
          </w:pPr>
          <w:r>
            <w:rPr>
              <w:rFonts w:ascii="方正小标宋简体" w:hAnsi="宋体" w:eastAsia="方正小标宋简体"/>
              <w:color w:val="000000"/>
              <w:sz w:val="24"/>
              <w:szCs w:val="24"/>
            </w:rPr>
            <w:fldChar w:fldCharType="begin"/>
          </w:r>
          <w:r>
            <w:rPr>
              <w:rFonts w:ascii="方正小标宋简体" w:hAnsi="宋体" w:eastAsia="方正小标宋简体"/>
              <w:sz w:val="24"/>
              <w:szCs w:val="24"/>
            </w:rPr>
            <w:instrText xml:space="preserve"> HYPERLINK \l _Toc19805 </w:instrText>
          </w:r>
          <w:r>
            <w:rPr>
              <w:rFonts w:ascii="方正小标宋简体" w:hAnsi="宋体" w:eastAsia="方正小标宋简体"/>
              <w:sz w:val="24"/>
              <w:szCs w:val="24"/>
            </w:rPr>
            <w:fldChar w:fldCharType="separate"/>
          </w:r>
          <w:r>
            <w:rPr>
              <w:rStyle w:val="11"/>
              <w:rFonts w:hint="eastAsia" w:ascii="仿宋" w:hAnsi="仿宋" w:eastAsia="仿宋" w:cstheme="majorBidi"/>
              <w:bCs/>
              <w:sz w:val="24"/>
              <w:szCs w:val="24"/>
            </w:rPr>
            <w:t>五、一般</w:t>
          </w:r>
          <w:r>
            <w:rPr>
              <w:rStyle w:val="11"/>
              <w:rFonts w:hint="eastAsia" w:ascii="仿宋" w:hAnsi="仿宋" w:eastAsia="仿宋"/>
              <w:sz w:val="24"/>
              <w:szCs w:val="24"/>
            </w:rPr>
            <w:t>公共</w:t>
          </w:r>
          <w:r>
            <w:rPr>
              <w:rStyle w:val="11"/>
              <w:rFonts w:hint="eastAsia" w:ascii="仿宋" w:hAnsi="仿宋" w:eastAsia="仿宋" w:cstheme="majorBidi"/>
              <w:bCs/>
              <w:sz w:val="24"/>
              <w:szCs w:val="24"/>
            </w:rPr>
            <w:t>预算财政拨款支出决算情况说明</w:t>
          </w:r>
          <w:r>
            <w:rPr>
              <w:sz w:val="24"/>
              <w:szCs w:val="24"/>
            </w:rPr>
            <w:tab/>
          </w:r>
          <w:r>
            <w:rPr>
              <w:sz w:val="24"/>
              <w:szCs w:val="24"/>
            </w:rPr>
            <w:fldChar w:fldCharType="begin"/>
          </w:r>
          <w:r>
            <w:rPr>
              <w:sz w:val="24"/>
              <w:szCs w:val="24"/>
            </w:rPr>
            <w:instrText xml:space="preserve"> PAGEREF _Toc19805 </w:instrText>
          </w:r>
          <w:r>
            <w:rPr>
              <w:sz w:val="24"/>
              <w:szCs w:val="24"/>
            </w:rPr>
            <w:fldChar w:fldCharType="separate"/>
          </w:r>
          <w:r>
            <w:rPr>
              <w:sz w:val="24"/>
              <w:szCs w:val="24"/>
            </w:rPr>
            <w:t>5</w:t>
          </w:r>
          <w:r>
            <w:rPr>
              <w:sz w:val="24"/>
              <w:szCs w:val="24"/>
            </w:rPr>
            <w:fldChar w:fldCharType="end"/>
          </w:r>
          <w:r>
            <w:rPr>
              <w:rFonts w:ascii="方正小标宋简体" w:hAnsi="宋体" w:eastAsia="方正小标宋简体"/>
              <w:color w:val="000000"/>
              <w:sz w:val="24"/>
              <w:szCs w:val="24"/>
            </w:rPr>
            <w:fldChar w:fldCharType="end"/>
          </w:r>
        </w:p>
        <w:p>
          <w:pPr>
            <w:pStyle w:val="9"/>
            <w:keepNext w:val="0"/>
            <w:keepLines w:val="0"/>
            <w:pageBreakBefore w:val="0"/>
            <w:widowControl w:val="0"/>
            <w:kinsoku/>
            <w:wordWrap/>
            <w:overflowPunct/>
            <w:topLinePunct w:val="0"/>
            <w:autoSpaceDE/>
            <w:autoSpaceDN/>
            <w:bidi w:val="0"/>
            <w:adjustRightInd w:val="0"/>
            <w:snapToGrid w:val="0"/>
            <w:spacing w:line="370" w:lineRule="exact"/>
            <w:jc w:val="left"/>
            <w:textAlignment w:val="auto"/>
            <w:rPr>
              <w:sz w:val="24"/>
              <w:szCs w:val="24"/>
            </w:rPr>
          </w:pPr>
          <w:r>
            <w:rPr>
              <w:rFonts w:ascii="方正小标宋简体" w:hAnsi="宋体" w:eastAsia="方正小标宋简体"/>
              <w:color w:val="000000"/>
              <w:sz w:val="24"/>
              <w:szCs w:val="24"/>
            </w:rPr>
            <w:fldChar w:fldCharType="begin"/>
          </w:r>
          <w:r>
            <w:rPr>
              <w:rFonts w:ascii="方正小标宋简体" w:hAnsi="宋体" w:eastAsia="方正小标宋简体"/>
              <w:sz w:val="24"/>
              <w:szCs w:val="24"/>
            </w:rPr>
            <w:instrText xml:space="preserve"> HYPERLINK \l _Toc10093 </w:instrText>
          </w:r>
          <w:r>
            <w:rPr>
              <w:rFonts w:ascii="方正小标宋简体" w:hAnsi="宋体" w:eastAsia="方正小标宋简体"/>
              <w:sz w:val="24"/>
              <w:szCs w:val="24"/>
            </w:rPr>
            <w:fldChar w:fldCharType="separate"/>
          </w:r>
          <w:r>
            <w:rPr>
              <w:rStyle w:val="11"/>
              <w:rFonts w:hint="eastAsia" w:ascii="仿宋" w:hAnsi="仿宋" w:eastAsia="仿宋" w:cstheme="majorBidi"/>
              <w:bCs/>
              <w:sz w:val="24"/>
              <w:szCs w:val="24"/>
            </w:rPr>
            <w:t>六、一般公共</w:t>
          </w:r>
          <w:r>
            <w:rPr>
              <w:rStyle w:val="11"/>
              <w:rFonts w:hint="eastAsia" w:ascii="仿宋" w:hAnsi="仿宋" w:eastAsia="仿宋"/>
              <w:sz w:val="24"/>
              <w:szCs w:val="24"/>
            </w:rPr>
            <w:t>预算</w:t>
          </w:r>
          <w:r>
            <w:rPr>
              <w:rStyle w:val="11"/>
              <w:rFonts w:hint="eastAsia" w:ascii="仿宋" w:hAnsi="仿宋" w:eastAsia="仿宋" w:cstheme="majorBidi"/>
              <w:bCs/>
              <w:sz w:val="24"/>
              <w:szCs w:val="24"/>
            </w:rPr>
            <w:t>财政拨款基本支出决算情况说明</w:t>
          </w:r>
          <w:r>
            <w:rPr>
              <w:sz w:val="24"/>
              <w:szCs w:val="24"/>
            </w:rPr>
            <w:tab/>
          </w:r>
          <w:r>
            <w:rPr>
              <w:sz w:val="24"/>
              <w:szCs w:val="24"/>
            </w:rPr>
            <w:fldChar w:fldCharType="begin"/>
          </w:r>
          <w:r>
            <w:rPr>
              <w:sz w:val="24"/>
              <w:szCs w:val="24"/>
            </w:rPr>
            <w:instrText xml:space="preserve"> PAGEREF _Toc10093 </w:instrText>
          </w:r>
          <w:r>
            <w:rPr>
              <w:sz w:val="24"/>
              <w:szCs w:val="24"/>
            </w:rPr>
            <w:fldChar w:fldCharType="separate"/>
          </w:r>
          <w:r>
            <w:rPr>
              <w:sz w:val="24"/>
              <w:szCs w:val="24"/>
            </w:rPr>
            <w:t>8</w:t>
          </w:r>
          <w:r>
            <w:rPr>
              <w:sz w:val="24"/>
              <w:szCs w:val="24"/>
            </w:rPr>
            <w:fldChar w:fldCharType="end"/>
          </w:r>
          <w:r>
            <w:rPr>
              <w:rFonts w:ascii="方正小标宋简体" w:hAnsi="宋体" w:eastAsia="方正小标宋简体"/>
              <w:color w:val="000000"/>
              <w:sz w:val="24"/>
              <w:szCs w:val="24"/>
            </w:rPr>
            <w:fldChar w:fldCharType="end"/>
          </w:r>
        </w:p>
        <w:p>
          <w:pPr>
            <w:pStyle w:val="9"/>
            <w:keepNext w:val="0"/>
            <w:keepLines w:val="0"/>
            <w:pageBreakBefore w:val="0"/>
            <w:widowControl w:val="0"/>
            <w:kinsoku/>
            <w:wordWrap/>
            <w:overflowPunct/>
            <w:topLinePunct w:val="0"/>
            <w:autoSpaceDE/>
            <w:autoSpaceDN/>
            <w:bidi w:val="0"/>
            <w:adjustRightInd w:val="0"/>
            <w:snapToGrid w:val="0"/>
            <w:spacing w:line="370" w:lineRule="exact"/>
            <w:jc w:val="left"/>
            <w:textAlignment w:val="auto"/>
            <w:rPr>
              <w:sz w:val="24"/>
              <w:szCs w:val="24"/>
            </w:rPr>
          </w:pPr>
          <w:r>
            <w:rPr>
              <w:rFonts w:ascii="方正小标宋简体" w:hAnsi="宋体" w:eastAsia="方正小标宋简体"/>
              <w:color w:val="000000"/>
              <w:sz w:val="24"/>
              <w:szCs w:val="24"/>
            </w:rPr>
            <w:fldChar w:fldCharType="begin"/>
          </w:r>
          <w:r>
            <w:rPr>
              <w:rFonts w:ascii="方正小标宋简体" w:hAnsi="宋体" w:eastAsia="方正小标宋简体"/>
              <w:sz w:val="24"/>
              <w:szCs w:val="24"/>
            </w:rPr>
            <w:instrText xml:space="preserve"> HYPERLINK \l _Toc9147 </w:instrText>
          </w:r>
          <w:r>
            <w:rPr>
              <w:rFonts w:ascii="方正小标宋简体" w:hAnsi="宋体" w:eastAsia="方正小标宋简体"/>
              <w:sz w:val="24"/>
              <w:szCs w:val="24"/>
            </w:rPr>
            <w:fldChar w:fldCharType="separate"/>
          </w:r>
          <w:r>
            <w:rPr>
              <w:rStyle w:val="11"/>
              <w:rFonts w:hint="eastAsia" w:ascii="仿宋" w:hAnsi="仿宋" w:eastAsia="仿宋" w:cstheme="majorBidi"/>
              <w:bCs/>
              <w:sz w:val="24"/>
              <w:szCs w:val="24"/>
            </w:rPr>
            <w:t>七、“三公”经费</w:t>
          </w:r>
          <w:r>
            <w:rPr>
              <w:rStyle w:val="11"/>
              <w:rFonts w:hint="eastAsia" w:ascii="仿宋" w:hAnsi="仿宋" w:eastAsia="仿宋"/>
              <w:sz w:val="24"/>
              <w:szCs w:val="24"/>
            </w:rPr>
            <w:t>财政</w:t>
          </w:r>
          <w:r>
            <w:rPr>
              <w:rStyle w:val="11"/>
              <w:rFonts w:hint="eastAsia" w:ascii="仿宋" w:hAnsi="仿宋" w:eastAsia="仿宋" w:cstheme="majorBidi"/>
              <w:bCs/>
              <w:sz w:val="24"/>
              <w:szCs w:val="24"/>
            </w:rPr>
            <w:t>拨款支出决算情况说明</w:t>
          </w:r>
          <w:r>
            <w:rPr>
              <w:sz w:val="24"/>
              <w:szCs w:val="24"/>
            </w:rPr>
            <w:tab/>
          </w:r>
          <w:r>
            <w:rPr>
              <w:sz w:val="24"/>
              <w:szCs w:val="24"/>
            </w:rPr>
            <w:fldChar w:fldCharType="begin"/>
          </w:r>
          <w:r>
            <w:rPr>
              <w:sz w:val="24"/>
              <w:szCs w:val="24"/>
            </w:rPr>
            <w:instrText xml:space="preserve"> PAGEREF _Toc9147 </w:instrText>
          </w:r>
          <w:r>
            <w:rPr>
              <w:sz w:val="24"/>
              <w:szCs w:val="24"/>
            </w:rPr>
            <w:fldChar w:fldCharType="separate"/>
          </w:r>
          <w:r>
            <w:rPr>
              <w:sz w:val="24"/>
              <w:szCs w:val="24"/>
            </w:rPr>
            <w:t>9</w:t>
          </w:r>
          <w:r>
            <w:rPr>
              <w:sz w:val="24"/>
              <w:szCs w:val="24"/>
            </w:rPr>
            <w:fldChar w:fldCharType="end"/>
          </w:r>
          <w:r>
            <w:rPr>
              <w:rFonts w:ascii="方正小标宋简体" w:hAnsi="宋体" w:eastAsia="方正小标宋简体"/>
              <w:color w:val="000000"/>
              <w:sz w:val="24"/>
              <w:szCs w:val="24"/>
            </w:rPr>
            <w:fldChar w:fldCharType="end"/>
          </w:r>
        </w:p>
        <w:p>
          <w:pPr>
            <w:pStyle w:val="9"/>
            <w:keepNext w:val="0"/>
            <w:keepLines w:val="0"/>
            <w:pageBreakBefore w:val="0"/>
            <w:widowControl w:val="0"/>
            <w:kinsoku/>
            <w:wordWrap/>
            <w:overflowPunct/>
            <w:topLinePunct w:val="0"/>
            <w:autoSpaceDE/>
            <w:autoSpaceDN/>
            <w:bidi w:val="0"/>
            <w:adjustRightInd w:val="0"/>
            <w:snapToGrid w:val="0"/>
            <w:spacing w:line="370" w:lineRule="exact"/>
            <w:jc w:val="left"/>
            <w:textAlignment w:val="auto"/>
            <w:rPr>
              <w:sz w:val="24"/>
              <w:szCs w:val="24"/>
            </w:rPr>
          </w:pPr>
          <w:r>
            <w:rPr>
              <w:rFonts w:ascii="方正小标宋简体" w:hAnsi="宋体" w:eastAsia="方正小标宋简体"/>
              <w:color w:val="000000"/>
              <w:sz w:val="24"/>
              <w:szCs w:val="24"/>
            </w:rPr>
            <w:fldChar w:fldCharType="begin"/>
          </w:r>
          <w:r>
            <w:rPr>
              <w:rFonts w:ascii="方正小标宋简体" w:hAnsi="宋体" w:eastAsia="方正小标宋简体"/>
              <w:sz w:val="24"/>
              <w:szCs w:val="24"/>
            </w:rPr>
            <w:instrText xml:space="preserve"> HYPERLINK \l _Toc23309 </w:instrText>
          </w:r>
          <w:r>
            <w:rPr>
              <w:rFonts w:ascii="方正小标宋简体" w:hAnsi="宋体" w:eastAsia="方正小标宋简体"/>
              <w:sz w:val="24"/>
              <w:szCs w:val="24"/>
            </w:rPr>
            <w:fldChar w:fldCharType="separate"/>
          </w:r>
          <w:r>
            <w:rPr>
              <w:rStyle w:val="11"/>
              <w:rFonts w:hint="eastAsia" w:ascii="仿宋" w:hAnsi="仿宋" w:eastAsia="仿宋" w:cstheme="majorBidi"/>
              <w:bCs/>
              <w:sz w:val="24"/>
              <w:szCs w:val="24"/>
            </w:rPr>
            <w:t>八、政府性基金</w:t>
          </w:r>
          <w:r>
            <w:rPr>
              <w:rStyle w:val="11"/>
              <w:rFonts w:hint="eastAsia" w:ascii="仿宋" w:hAnsi="仿宋" w:eastAsia="仿宋"/>
              <w:sz w:val="24"/>
              <w:szCs w:val="24"/>
            </w:rPr>
            <w:t>预算</w:t>
          </w:r>
          <w:r>
            <w:rPr>
              <w:rStyle w:val="11"/>
              <w:rFonts w:hint="eastAsia" w:ascii="仿宋" w:hAnsi="仿宋" w:eastAsia="仿宋" w:cstheme="majorBidi"/>
              <w:bCs/>
              <w:sz w:val="24"/>
              <w:szCs w:val="24"/>
            </w:rPr>
            <w:t>支出决算情况说明</w:t>
          </w:r>
          <w:r>
            <w:rPr>
              <w:sz w:val="24"/>
              <w:szCs w:val="24"/>
            </w:rPr>
            <w:tab/>
          </w:r>
          <w:r>
            <w:rPr>
              <w:sz w:val="24"/>
              <w:szCs w:val="24"/>
            </w:rPr>
            <w:fldChar w:fldCharType="begin"/>
          </w:r>
          <w:r>
            <w:rPr>
              <w:sz w:val="24"/>
              <w:szCs w:val="24"/>
            </w:rPr>
            <w:instrText xml:space="preserve"> PAGEREF _Toc23309 </w:instrText>
          </w:r>
          <w:r>
            <w:rPr>
              <w:sz w:val="24"/>
              <w:szCs w:val="24"/>
            </w:rPr>
            <w:fldChar w:fldCharType="separate"/>
          </w:r>
          <w:r>
            <w:rPr>
              <w:sz w:val="24"/>
              <w:szCs w:val="24"/>
            </w:rPr>
            <w:t>11</w:t>
          </w:r>
          <w:r>
            <w:rPr>
              <w:sz w:val="24"/>
              <w:szCs w:val="24"/>
            </w:rPr>
            <w:fldChar w:fldCharType="end"/>
          </w:r>
          <w:r>
            <w:rPr>
              <w:rFonts w:ascii="方正小标宋简体" w:hAnsi="宋体" w:eastAsia="方正小标宋简体"/>
              <w:color w:val="000000"/>
              <w:sz w:val="24"/>
              <w:szCs w:val="24"/>
            </w:rPr>
            <w:fldChar w:fldCharType="end"/>
          </w:r>
        </w:p>
        <w:p>
          <w:pPr>
            <w:pStyle w:val="9"/>
            <w:keepNext w:val="0"/>
            <w:keepLines w:val="0"/>
            <w:pageBreakBefore w:val="0"/>
            <w:widowControl w:val="0"/>
            <w:kinsoku/>
            <w:wordWrap/>
            <w:overflowPunct/>
            <w:topLinePunct w:val="0"/>
            <w:autoSpaceDE/>
            <w:autoSpaceDN/>
            <w:bidi w:val="0"/>
            <w:adjustRightInd w:val="0"/>
            <w:snapToGrid w:val="0"/>
            <w:spacing w:line="370" w:lineRule="exact"/>
            <w:jc w:val="left"/>
            <w:textAlignment w:val="auto"/>
            <w:rPr>
              <w:sz w:val="24"/>
              <w:szCs w:val="24"/>
            </w:rPr>
          </w:pPr>
          <w:r>
            <w:rPr>
              <w:rFonts w:ascii="方正小标宋简体" w:hAnsi="宋体" w:eastAsia="方正小标宋简体"/>
              <w:color w:val="000000"/>
              <w:sz w:val="24"/>
              <w:szCs w:val="24"/>
            </w:rPr>
            <w:fldChar w:fldCharType="begin"/>
          </w:r>
          <w:r>
            <w:rPr>
              <w:rFonts w:ascii="方正小标宋简体" w:hAnsi="宋体" w:eastAsia="方正小标宋简体"/>
              <w:sz w:val="24"/>
              <w:szCs w:val="24"/>
            </w:rPr>
            <w:instrText xml:space="preserve"> HYPERLINK \l _Toc23225 </w:instrText>
          </w:r>
          <w:r>
            <w:rPr>
              <w:rFonts w:ascii="方正小标宋简体" w:hAnsi="宋体" w:eastAsia="方正小标宋简体"/>
              <w:sz w:val="24"/>
              <w:szCs w:val="24"/>
            </w:rPr>
            <w:fldChar w:fldCharType="separate"/>
          </w:r>
          <w:r>
            <w:rPr>
              <w:rStyle w:val="11"/>
              <w:rFonts w:hint="eastAsia" w:ascii="仿宋" w:hAnsi="仿宋" w:eastAsia="仿宋" w:cstheme="majorBidi"/>
              <w:bCs/>
              <w:sz w:val="24"/>
              <w:szCs w:val="24"/>
            </w:rPr>
            <w:t>九、 国有资本</w:t>
          </w:r>
          <w:r>
            <w:rPr>
              <w:rStyle w:val="11"/>
              <w:rFonts w:hint="eastAsia" w:ascii="仿宋" w:hAnsi="仿宋" w:eastAsia="仿宋"/>
              <w:sz w:val="24"/>
              <w:szCs w:val="24"/>
            </w:rPr>
            <w:t>经营预算</w:t>
          </w:r>
          <w:r>
            <w:rPr>
              <w:rStyle w:val="11"/>
              <w:rFonts w:hint="eastAsia" w:ascii="仿宋" w:hAnsi="仿宋" w:eastAsia="仿宋" w:cstheme="majorBidi"/>
              <w:bCs/>
              <w:sz w:val="24"/>
              <w:szCs w:val="24"/>
            </w:rPr>
            <w:t>支出决算情况说明</w:t>
          </w:r>
          <w:r>
            <w:rPr>
              <w:sz w:val="24"/>
              <w:szCs w:val="24"/>
            </w:rPr>
            <w:tab/>
          </w:r>
          <w:r>
            <w:rPr>
              <w:sz w:val="24"/>
              <w:szCs w:val="24"/>
            </w:rPr>
            <w:fldChar w:fldCharType="begin"/>
          </w:r>
          <w:r>
            <w:rPr>
              <w:sz w:val="24"/>
              <w:szCs w:val="24"/>
            </w:rPr>
            <w:instrText xml:space="preserve"> PAGEREF _Toc23225 </w:instrText>
          </w:r>
          <w:r>
            <w:rPr>
              <w:sz w:val="24"/>
              <w:szCs w:val="24"/>
            </w:rPr>
            <w:fldChar w:fldCharType="separate"/>
          </w:r>
          <w:r>
            <w:rPr>
              <w:sz w:val="24"/>
              <w:szCs w:val="24"/>
            </w:rPr>
            <w:t>11</w:t>
          </w:r>
          <w:r>
            <w:rPr>
              <w:sz w:val="24"/>
              <w:szCs w:val="24"/>
            </w:rPr>
            <w:fldChar w:fldCharType="end"/>
          </w:r>
          <w:r>
            <w:rPr>
              <w:rFonts w:ascii="方正小标宋简体" w:hAnsi="宋体" w:eastAsia="方正小标宋简体"/>
              <w:color w:val="000000"/>
              <w:sz w:val="24"/>
              <w:szCs w:val="24"/>
            </w:rPr>
            <w:fldChar w:fldCharType="end"/>
          </w:r>
        </w:p>
        <w:p>
          <w:pPr>
            <w:pStyle w:val="9"/>
            <w:keepNext w:val="0"/>
            <w:keepLines w:val="0"/>
            <w:pageBreakBefore w:val="0"/>
            <w:widowControl w:val="0"/>
            <w:kinsoku/>
            <w:wordWrap/>
            <w:overflowPunct/>
            <w:topLinePunct w:val="0"/>
            <w:autoSpaceDE/>
            <w:autoSpaceDN/>
            <w:bidi w:val="0"/>
            <w:adjustRightInd w:val="0"/>
            <w:snapToGrid w:val="0"/>
            <w:spacing w:line="370" w:lineRule="exact"/>
            <w:jc w:val="left"/>
            <w:textAlignment w:val="auto"/>
            <w:rPr>
              <w:sz w:val="24"/>
              <w:szCs w:val="24"/>
            </w:rPr>
          </w:pPr>
          <w:r>
            <w:rPr>
              <w:rFonts w:ascii="方正小标宋简体" w:hAnsi="宋体" w:eastAsia="方正小标宋简体"/>
              <w:color w:val="000000"/>
              <w:sz w:val="24"/>
              <w:szCs w:val="24"/>
            </w:rPr>
            <w:fldChar w:fldCharType="begin"/>
          </w:r>
          <w:r>
            <w:rPr>
              <w:rFonts w:ascii="方正小标宋简体" w:hAnsi="宋体" w:eastAsia="方正小标宋简体"/>
              <w:sz w:val="24"/>
              <w:szCs w:val="24"/>
            </w:rPr>
            <w:instrText xml:space="preserve"> HYPERLINK \l _Toc8448 </w:instrText>
          </w:r>
          <w:r>
            <w:rPr>
              <w:rFonts w:ascii="方正小标宋简体" w:hAnsi="宋体" w:eastAsia="方正小标宋简体"/>
              <w:sz w:val="24"/>
              <w:szCs w:val="24"/>
            </w:rPr>
            <w:fldChar w:fldCharType="separate"/>
          </w:r>
          <w:r>
            <w:rPr>
              <w:rStyle w:val="11"/>
              <w:rFonts w:hint="eastAsia" w:ascii="仿宋" w:hAnsi="仿宋" w:eastAsia="仿宋" w:cstheme="majorBidi"/>
              <w:bCs/>
              <w:sz w:val="24"/>
              <w:szCs w:val="24"/>
            </w:rPr>
            <w:t>十、其他重要事项的情况说明</w:t>
          </w:r>
          <w:r>
            <w:rPr>
              <w:sz w:val="24"/>
              <w:szCs w:val="24"/>
            </w:rPr>
            <w:tab/>
          </w:r>
          <w:r>
            <w:rPr>
              <w:sz w:val="24"/>
              <w:szCs w:val="24"/>
            </w:rPr>
            <w:fldChar w:fldCharType="begin"/>
          </w:r>
          <w:r>
            <w:rPr>
              <w:sz w:val="24"/>
              <w:szCs w:val="24"/>
            </w:rPr>
            <w:instrText xml:space="preserve"> PAGEREF _Toc8448 </w:instrText>
          </w:r>
          <w:r>
            <w:rPr>
              <w:sz w:val="24"/>
              <w:szCs w:val="24"/>
            </w:rPr>
            <w:fldChar w:fldCharType="separate"/>
          </w:r>
          <w:r>
            <w:rPr>
              <w:sz w:val="24"/>
              <w:szCs w:val="24"/>
            </w:rPr>
            <w:t>11</w:t>
          </w:r>
          <w:r>
            <w:rPr>
              <w:sz w:val="24"/>
              <w:szCs w:val="24"/>
            </w:rPr>
            <w:fldChar w:fldCharType="end"/>
          </w:r>
          <w:r>
            <w:rPr>
              <w:rFonts w:ascii="方正小标宋简体" w:hAnsi="宋体" w:eastAsia="方正小标宋简体"/>
              <w:color w:val="000000"/>
              <w:sz w:val="24"/>
              <w:szCs w:val="24"/>
            </w:rPr>
            <w:fldChar w:fldCharType="end"/>
          </w:r>
        </w:p>
        <w:p>
          <w:pPr>
            <w:pStyle w:val="8"/>
            <w:keepNext w:val="0"/>
            <w:keepLines w:val="0"/>
            <w:pageBreakBefore w:val="0"/>
            <w:widowControl w:val="0"/>
            <w:tabs>
              <w:tab w:val="right" w:leader="dot" w:pos="8306"/>
              <w:tab w:val="clear" w:pos="8296"/>
            </w:tabs>
            <w:kinsoku/>
            <w:wordWrap/>
            <w:overflowPunct/>
            <w:topLinePunct w:val="0"/>
            <w:autoSpaceDE/>
            <w:autoSpaceDN/>
            <w:bidi w:val="0"/>
            <w:spacing w:line="370" w:lineRule="exact"/>
            <w:textAlignment w:val="auto"/>
            <w:rPr>
              <w:sz w:val="24"/>
              <w:szCs w:val="24"/>
            </w:rPr>
          </w:pPr>
          <w:r>
            <w:rPr>
              <w:rFonts w:ascii="方正小标宋简体" w:hAnsi="宋体" w:eastAsia="方正小标宋简体"/>
              <w:color w:val="000000"/>
              <w:sz w:val="24"/>
              <w:szCs w:val="24"/>
            </w:rPr>
            <w:fldChar w:fldCharType="begin"/>
          </w:r>
          <w:r>
            <w:rPr>
              <w:rFonts w:ascii="方正小标宋简体" w:hAnsi="宋体" w:eastAsia="方正小标宋简体"/>
              <w:sz w:val="24"/>
              <w:szCs w:val="24"/>
            </w:rPr>
            <w:instrText xml:space="preserve"> HYPERLINK \l _Toc24885 </w:instrText>
          </w:r>
          <w:r>
            <w:rPr>
              <w:rFonts w:ascii="方正小标宋简体" w:hAnsi="宋体" w:eastAsia="方正小标宋简体"/>
              <w:sz w:val="24"/>
              <w:szCs w:val="24"/>
            </w:rPr>
            <w:fldChar w:fldCharType="separate"/>
          </w:r>
          <w:r>
            <w:rPr>
              <w:rStyle w:val="11"/>
              <w:rFonts w:hint="eastAsia" w:ascii="Times New Roman" w:hAnsi="Times New Roman" w:eastAsia="宋体"/>
              <w:sz w:val="24"/>
              <w:szCs w:val="24"/>
            </w:rPr>
            <w:t>第三部分 名词解释</w:t>
          </w:r>
          <w:r>
            <w:rPr>
              <w:sz w:val="24"/>
              <w:szCs w:val="24"/>
            </w:rPr>
            <w:tab/>
          </w:r>
          <w:r>
            <w:rPr>
              <w:sz w:val="24"/>
              <w:szCs w:val="24"/>
            </w:rPr>
            <w:fldChar w:fldCharType="begin"/>
          </w:r>
          <w:r>
            <w:rPr>
              <w:sz w:val="24"/>
              <w:szCs w:val="24"/>
            </w:rPr>
            <w:instrText xml:space="preserve"> PAGEREF _Toc24885 </w:instrText>
          </w:r>
          <w:r>
            <w:rPr>
              <w:sz w:val="24"/>
              <w:szCs w:val="24"/>
            </w:rPr>
            <w:fldChar w:fldCharType="separate"/>
          </w:r>
          <w:r>
            <w:rPr>
              <w:sz w:val="24"/>
              <w:szCs w:val="24"/>
            </w:rPr>
            <w:t>15</w:t>
          </w:r>
          <w:r>
            <w:rPr>
              <w:sz w:val="24"/>
              <w:szCs w:val="24"/>
            </w:rPr>
            <w:fldChar w:fldCharType="end"/>
          </w:r>
          <w:r>
            <w:rPr>
              <w:rFonts w:ascii="方正小标宋简体" w:hAnsi="宋体" w:eastAsia="方正小标宋简体"/>
              <w:color w:val="000000"/>
              <w:sz w:val="24"/>
              <w:szCs w:val="24"/>
            </w:rPr>
            <w:fldChar w:fldCharType="end"/>
          </w:r>
        </w:p>
        <w:p>
          <w:pPr>
            <w:pStyle w:val="8"/>
            <w:keepNext w:val="0"/>
            <w:keepLines w:val="0"/>
            <w:pageBreakBefore w:val="0"/>
            <w:widowControl w:val="0"/>
            <w:tabs>
              <w:tab w:val="right" w:leader="dot" w:pos="8306"/>
              <w:tab w:val="clear" w:pos="8296"/>
            </w:tabs>
            <w:kinsoku/>
            <w:wordWrap/>
            <w:overflowPunct/>
            <w:topLinePunct w:val="0"/>
            <w:autoSpaceDE/>
            <w:autoSpaceDN/>
            <w:bidi w:val="0"/>
            <w:spacing w:line="370" w:lineRule="exact"/>
            <w:textAlignment w:val="auto"/>
            <w:rPr>
              <w:sz w:val="24"/>
              <w:szCs w:val="24"/>
            </w:rPr>
          </w:pPr>
          <w:r>
            <w:rPr>
              <w:rFonts w:ascii="方正小标宋简体" w:hAnsi="宋体" w:eastAsia="方正小标宋简体"/>
              <w:color w:val="000000"/>
              <w:sz w:val="24"/>
              <w:szCs w:val="24"/>
            </w:rPr>
            <w:fldChar w:fldCharType="begin"/>
          </w:r>
          <w:r>
            <w:rPr>
              <w:rFonts w:ascii="方正小标宋简体" w:hAnsi="宋体" w:eastAsia="方正小标宋简体"/>
              <w:sz w:val="24"/>
              <w:szCs w:val="24"/>
            </w:rPr>
            <w:instrText xml:space="preserve"> HYPERLINK \l _Toc14604 </w:instrText>
          </w:r>
          <w:r>
            <w:rPr>
              <w:rFonts w:ascii="方正小标宋简体" w:hAnsi="宋体" w:eastAsia="方正小标宋简体"/>
              <w:sz w:val="24"/>
              <w:szCs w:val="24"/>
            </w:rPr>
            <w:fldChar w:fldCharType="separate"/>
          </w:r>
          <w:r>
            <w:rPr>
              <w:rStyle w:val="11"/>
              <w:rFonts w:hint="eastAsia" w:ascii="Times New Roman" w:hAnsi="Times New Roman" w:eastAsia="宋体"/>
              <w:sz w:val="24"/>
              <w:szCs w:val="24"/>
            </w:rPr>
            <w:t>第四部分 附件</w:t>
          </w:r>
          <w:r>
            <w:rPr>
              <w:sz w:val="24"/>
              <w:szCs w:val="24"/>
            </w:rPr>
            <w:tab/>
          </w:r>
          <w:r>
            <w:rPr>
              <w:sz w:val="24"/>
              <w:szCs w:val="24"/>
            </w:rPr>
            <w:fldChar w:fldCharType="begin"/>
          </w:r>
          <w:r>
            <w:rPr>
              <w:sz w:val="24"/>
              <w:szCs w:val="24"/>
            </w:rPr>
            <w:instrText xml:space="preserve"> PAGEREF _Toc14604 </w:instrText>
          </w:r>
          <w:r>
            <w:rPr>
              <w:sz w:val="24"/>
              <w:szCs w:val="24"/>
            </w:rPr>
            <w:fldChar w:fldCharType="separate"/>
          </w:r>
          <w:r>
            <w:rPr>
              <w:sz w:val="24"/>
              <w:szCs w:val="24"/>
            </w:rPr>
            <w:t>18</w:t>
          </w:r>
          <w:r>
            <w:rPr>
              <w:sz w:val="24"/>
              <w:szCs w:val="24"/>
            </w:rPr>
            <w:fldChar w:fldCharType="end"/>
          </w:r>
          <w:r>
            <w:rPr>
              <w:rFonts w:ascii="方正小标宋简体" w:hAnsi="宋体" w:eastAsia="方正小标宋简体"/>
              <w:color w:val="000000"/>
              <w:sz w:val="24"/>
              <w:szCs w:val="24"/>
            </w:rPr>
            <w:fldChar w:fldCharType="end"/>
          </w:r>
        </w:p>
        <w:p>
          <w:pPr>
            <w:pStyle w:val="9"/>
            <w:keepNext w:val="0"/>
            <w:keepLines w:val="0"/>
            <w:pageBreakBefore w:val="0"/>
            <w:widowControl w:val="0"/>
            <w:kinsoku/>
            <w:wordWrap/>
            <w:overflowPunct/>
            <w:topLinePunct w:val="0"/>
            <w:autoSpaceDE/>
            <w:autoSpaceDN/>
            <w:bidi w:val="0"/>
            <w:adjustRightInd w:val="0"/>
            <w:snapToGrid w:val="0"/>
            <w:spacing w:line="370" w:lineRule="exact"/>
            <w:jc w:val="left"/>
            <w:textAlignment w:val="auto"/>
            <w:rPr>
              <w:sz w:val="24"/>
              <w:szCs w:val="24"/>
            </w:rPr>
          </w:pPr>
          <w:r>
            <w:rPr>
              <w:rFonts w:ascii="方正小标宋简体" w:hAnsi="宋体" w:eastAsia="方正小标宋简体"/>
              <w:color w:val="000000"/>
              <w:sz w:val="24"/>
              <w:szCs w:val="24"/>
            </w:rPr>
            <w:fldChar w:fldCharType="begin"/>
          </w:r>
          <w:r>
            <w:rPr>
              <w:rFonts w:ascii="方正小标宋简体" w:hAnsi="宋体" w:eastAsia="方正小标宋简体"/>
              <w:sz w:val="24"/>
              <w:szCs w:val="24"/>
            </w:rPr>
            <w:instrText xml:space="preserve"> HYPERLINK \l _Toc29494 </w:instrText>
          </w:r>
          <w:r>
            <w:rPr>
              <w:rFonts w:ascii="方正小标宋简体" w:hAnsi="宋体" w:eastAsia="方正小标宋简体"/>
              <w:sz w:val="24"/>
              <w:szCs w:val="24"/>
            </w:rPr>
            <w:fldChar w:fldCharType="separate"/>
          </w:r>
          <w:r>
            <w:rPr>
              <w:rStyle w:val="11"/>
              <w:rFonts w:hint="eastAsia" w:ascii="仿宋" w:hAnsi="仿宋" w:eastAsia="仿宋" w:cstheme="majorBidi"/>
              <w:bCs/>
              <w:kern w:val="2"/>
              <w:sz w:val="24"/>
              <w:szCs w:val="24"/>
              <w:lang w:val="en-US" w:eastAsia="zh-CN" w:bidi="ar-SA"/>
            </w:rPr>
            <w:t>附件1</w:t>
          </w:r>
          <w:r>
            <w:rPr>
              <w:sz w:val="24"/>
              <w:szCs w:val="24"/>
            </w:rPr>
            <w:tab/>
          </w:r>
          <w:r>
            <w:rPr>
              <w:sz w:val="24"/>
              <w:szCs w:val="24"/>
            </w:rPr>
            <w:fldChar w:fldCharType="begin"/>
          </w:r>
          <w:r>
            <w:rPr>
              <w:sz w:val="24"/>
              <w:szCs w:val="24"/>
            </w:rPr>
            <w:instrText xml:space="preserve"> PAGEREF _Toc29494 </w:instrText>
          </w:r>
          <w:r>
            <w:rPr>
              <w:sz w:val="24"/>
              <w:szCs w:val="24"/>
            </w:rPr>
            <w:fldChar w:fldCharType="separate"/>
          </w:r>
          <w:r>
            <w:rPr>
              <w:sz w:val="24"/>
              <w:szCs w:val="24"/>
            </w:rPr>
            <w:t>18</w:t>
          </w:r>
          <w:r>
            <w:rPr>
              <w:sz w:val="24"/>
              <w:szCs w:val="24"/>
            </w:rPr>
            <w:fldChar w:fldCharType="end"/>
          </w:r>
          <w:r>
            <w:rPr>
              <w:rFonts w:ascii="方正小标宋简体" w:hAnsi="宋体" w:eastAsia="方正小标宋简体"/>
              <w:color w:val="000000"/>
              <w:sz w:val="24"/>
              <w:szCs w:val="24"/>
            </w:rPr>
            <w:fldChar w:fldCharType="end"/>
          </w:r>
        </w:p>
        <w:p>
          <w:pPr>
            <w:pStyle w:val="8"/>
            <w:keepNext w:val="0"/>
            <w:keepLines w:val="0"/>
            <w:pageBreakBefore w:val="0"/>
            <w:widowControl w:val="0"/>
            <w:tabs>
              <w:tab w:val="right" w:leader="dot" w:pos="8306"/>
              <w:tab w:val="clear" w:pos="8296"/>
            </w:tabs>
            <w:kinsoku/>
            <w:wordWrap/>
            <w:overflowPunct/>
            <w:topLinePunct w:val="0"/>
            <w:autoSpaceDE/>
            <w:autoSpaceDN/>
            <w:bidi w:val="0"/>
            <w:spacing w:line="370" w:lineRule="exact"/>
            <w:textAlignment w:val="auto"/>
            <w:rPr>
              <w:sz w:val="24"/>
              <w:szCs w:val="24"/>
            </w:rPr>
          </w:pPr>
          <w:r>
            <w:rPr>
              <w:rFonts w:ascii="方正小标宋简体" w:hAnsi="宋体" w:eastAsia="方正小标宋简体"/>
              <w:color w:val="000000"/>
              <w:sz w:val="24"/>
              <w:szCs w:val="24"/>
            </w:rPr>
            <w:fldChar w:fldCharType="begin"/>
          </w:r>
          <w:r>
            <w:rPr>
              <w:rFonts w:ascii="方正小标宋简体" w:hAnsi="宋体" w:eastAsia="方正小标宋简体"/>
              <w:sz w:val="24"/>
              <w:szCs w:val="24"/>
            </w:rPr>
            <w:instrText xml:space="preserve"> HYPERLINK \l _Toc21654 </w:instrText>
          </w:r>
          <w:r>
            <w:rPr>
              <w:rFonts w:ascii="方正小标宋简体" w:hAnsi="宋体" w:eastAsia="方正小标宋简体"/>
              <w:sz w:val="24"/>
              <w:szCs w:val="24"/>
            </w:rPr>
            <w:fldChar w:fldCharType="separate"/>
          </w:r>
          <w:r>
            <w:rPr>
              <w:rStyle w:val="11"/>
              <w:rFonts w:hint="eastAsia" w:ascii="Times New Roman" w:hAnsi="Times New Roman" w:eastAsia="宋体"/>
              <w:sz w:val="24"/>
              <w:szCs w:val="24"/>
            </w:rPr>
            <w:t>第五部分 附表</w:t>
          </w:r>
          <w:r>
            <w:rPr>
              <w:sz w:val="24"/>
              <w:szCs w:val="24"/>
            </w:rPr>
            <w:tab/>
          </w:r>
          <w:r>
            <w:rPr>
              <w:sz w:val="24"/>
              <w:szCs w:val="24"/>
            </w:rPr>
            <w:fldChar w:fldCharType="begin"/>
          </w:r>
          <w:r>
            <w:rPr>
              <w:sz w:val="24"/>
              <w:szCs w:val="24"/>
            </w:rPr>
            <w:instrText xml:space="preserve"> PAGEREF _Toc21654 </w:instrText>
          </w:r>
          <w:r>
            <w:rPr>
              <w:sz w:val="24"/>
              <w:szCs w:val="24"/>
            </w:rPr>
            <w:fldChar w:fldCharType="separate"/>
          </w:r>
          <w:r>
            <w:rPr>
              <w:sz w:val="24"/>
              <w:szCs w:val="24"/>
            </w:rPr>
            <w:t>26</w:t>
          </w:r>
          <w:r>
            <w:rPr>
              <w:sz w:val="24"/>
              <w:szCs w:val="24"/>
            </w:rPr>
            <w:fldChar w:fldCharType="end"/>
          </w:r>
          <w:r>
            <w:rPr>
              <w:rFonts w:ascii="方正小标宋简体" w:hAnsi="宋体" w:eastAsia="方正小标宋简体"/>
              <w:color w:val="000000"/>
              <w:sz w:val="24"/>
              <w:szCs w:val="24"/>
            </w:rPr>
            <w:fldChar w:fldCharType="end"/>
          </w:r>
        </w:p>
        <w:p>
          <w:pPr>
            <w:pStyle w:val="9"/>
            <w:keepNext w:val="0"/>
            <w:keepLines w:val="0"/>
            <w:pageBreakBefore w:val="0"/>
            <w:widowControl w:val="0"/>
            <w:kinsoku/>
            <w:wordWrap/>
            <w:overflowPunct/>
            <w:topLinePunct w:val="0"/>
            <w:autoSpaceDE/>
            <w:autoSpaceDN/>
            <w:bidi w:val="0"/>
            <w:adjustRightInd w:val="0"/>
            <w:snapToGrid w:val="0"/>
            <w:spacing w:line="370" w:lineRule="exact"/>
            <w:jc w:val="left"/>
            <w:textAlignment w:val="auto"/>
            <w:rPr>
              <w:sz w:val="24"/>
              <w:szCs w:val="24"/>
            </w:rPr>
          </w:pPr>
          <w:r>
            <w:rPr>
              <w:rFonts w:ascii="方正小标宋简体" w:hAnsi="宋体" w:eastAsia="方正小标宋简体"/>
              <w:color w:val="000000"/>
              <w:sz w:val="24"/>
              <w:szCs w:val="24"/>
            </w:rPr>
            <w:fldChar w:fldCharType="begin"/>
          </w:r>
          <w:r>
            <w:rPr>
              <w:rFonts w:ascii="方正小标宋简体" w:hAnsi="宋体" w:eastAsia="方正小标宋简体"/>
              <w:sz w:val="24"/>
              <w:szCs w:val="24"/>
            </w:rPr>
            <w:instrText xml:space="preserve"> HYPERLINK \l _Toc16908 </w:instrText>
          </w:r>
          <w:r>
            <w:rPr>
              <w:rFonts w:ascii="方正小标宋简体" w:hAnsi="宋体" w:eastAsia="方正小标宋简体"/>
              <w:sz w:val="24"/>
              <w:szCs w:val="24"/>
            </w:rPr>
            <w:fldChar w:fldCharType="separate"/>
          </w:r>
          <w:r>
            <w:rPr>
              <w:rFonts w:hint="eastAsia" w:ascii="仿宋" w:hAnsi="仿宋" w:eastAsia="仿宋"/>
              <w:sz w:val="24"/>
              <w:szCs w:val="24"/>
            </w:rPr>
            <w:t>一、收</w:t>
          </w:r>
          <w:r>
            <w:rPr>
              <w:rFonts w:hint="eastAsia" w:ascii="仿宋" w:hAnsi="仿宋" w:eastAsia="仿宋"/>
              <w:bCs w:val="0"/>
              <w:sz w:val="24"/>
              <w:szCs w:val="24"/>
            </w:rPr>
            <w:t>入</w:t>
          </w:r>
          <w:r>
            <w:rPr>
              <w:rStyle w:val="11"/>
              <w:rFonts w:hint="eastAsia" w:ascii="仿宋" w:hAnsi="仿宋" w:eastAsia="仿宋" w:cstheme="majorBidi"/>
              <w:bCs/>
              <w:sz w:val="24"/>
              <w:szCs w:val="24"/>
            </w:rPr>
            <w:t>支出</w:t>
          </w:r>
          <w:r>
            <w:rPr>
              <w:rFonts w:hint="eastAsia" w:ascii="仿宋" w:hAnsi="仿宋" w:eastAsia="仿宋"/>
              <w:bCs w:val="0"/>
              <w:sz w:val="24"/>
              <w:szCs w:val="24"/>
            </w:rPr>
            <w:t>决算总表</w:t>
          </w:r>
          <w:r>
            <w:rPr>
              <w:sz w:val="24"/>
              <w:szCs w:val="24"/>
            </w:rPr>
            <w:tab/>
          </w:r>
          <w:r>
            <w:rPr>
              <w:sz w:val="24"/>
              <w:szCs w:val="24"/>
            </w:rPr>
            <w:fldChar w:fldCharType="begin"/>
          </w:r>
          <w:r>
            <w:rPr>
              <w:sz w:val="24"/>
              <w:szCs w:val="24"/>
            </w:rPr>
            <w:instrText xml:space="preserve"> PAGEREF _Toc16908 </w:instrText>
          </w:r>
          <w:r>
            <w:rPr>
              <w:sz w:val="24"/>
              <w:szCs w:val="24"/>
            </w:rPr>
            <w:fldChar w:fldCharType="separate"/>
          </w:r>
          <w:r>
            <w:rPr>
              <w:sz w:val="24"/>
              <w:szCs w:val="24"/>
            </w:rPr>
            <w:t>26</w:t>
          </w:r>
          <w:r>
            <w:rPr>
              <w:sz w:val="24"/>
              <w:szCs w:val="24"/>
            </w:rPr>
            <w:fldChar w:fldCharType="end"/>
          </w:r>
          <w:r>
            <w:rPr>
              <w:rFonts w:ascii="方正小标宋简体" w:hAnsi="宋体" w:eastAsia="方正小标宋简体"/>
              <w:color w:val="000000"/>
              <w:sz w:val="24"/>
              <w:szCs w:val="24"/>
            </w:rPr>
            <w:fldChar w:fldCharType="end"/>
          </w:r>
        </w:p>
        <w:p>
          <w:pPr>
            <w:pStyle w:val="9"/>
            <w:keepNext w:val="0"/>
            <w:keepLines w:val="0"/>
            <w:pageBreakBefore w:val="0"/>
            <w:widowControl w:val="0"/>
            <w:kinsoku/>
            <w:wordWrap/>
            <w:overflowPunct/>
            <w:topLinePunct w:val="0"/>
            <w:autoSpaceDE/>
            <w:autoSpaceDN/>
            <w:bidi w:val="0"/>
            <w:adjustRightInd w:val="0"/>
            <w:snapToGrid w:val="0"/>
            <w:spacing w:line="370" w:lineRule="exact"/>
            <w:jc w:val="left"/>
            <w:textAlignment w:val="auto"/>
            <w:rPr>
              <w:sz w:val="24"/>
              <w:szCs w:val="24"/>
            </w:rPr>
          </w:pPr>
          <w:r>
            <w:rPr>
              <w:rFonts w:ascii="方正小标宋简体" w:hAnsi="宋体" w:eastAsia="方正小标宋简体"/>
              <w:color w:val="000000"/>
              <w:sz w:val="24"/>
              <w:szCs w:val="24"/>
            </w:rPr>
            <w:fldChar w:fldCharType="begin"/>
          </w:r>
          <w:r>
            <w:rPr>
              <w:rFonts w:ascii="方正小标宋简体" w:hAnsi="宋体" w:eastAsia="方正小标宋简体"/>
              <w:sz w:val="24"/>
              <w:szCs w:val="24"/>
            </w:rPr>
            <w:instrText xml:space="preserve"> HYPERLINK \l _Toc16731 </w:instrText>
          </w:r>
          <w:r>
            <w:rPr>
              <w:rFonts w:ascii="方正小标宋简体" w:hAnsi="宋体" w:eastAsia="方正小标宋简体"/>
              <w:sz w:val="24"/>
              <w:szCs w:val="24"/>
            </w:rPr>
            <w:fldChar w:fldCharType="separate"/>
          </w:r>
          <w:r>
            <w:rPr>
              <w:rFonts w:hint="eastAsia" w:ascii="仿宋" w:hAnsi="仿宋" w:eastAsia="仿宋"/>
              <w:sz w:val="24"/>
              <w:szCs w:val="24"/>
            </w:rPr>
            <w:t>二、收</w:t>
          </w:r>
          <w:r>
            <w:rPr>
              <w:rFonts w:hint="eastAsia" w:ascii="仿宋" w:hAnsi="仿宋" w:eastAsia="仿宋"/>
              <w:bCs w:val="0"/>
              <w:sz w:val="24"/>
              <w:szCs w:val="24"/>
            </w:rPr>
            <w:t>入</w:t>
          </w:r>
          <w:r>
            <w:rPr>
              <w:rStyle w:val="11"/>
              <w:rFonts w:hint="eastAsia" w:ascii="仿宋" w:hAnsi="仿宋" w:eastAsia="仿宋" w:cstheme="majorBidi"/>
              <w:bCs/>
              <w:sz w:val="24"/>
              <w:szCs w:val="24"/>
            </w:rPr>
            <w:t>决算</w:t>
          </w:r>
          <w:r>
            <w:rPr>
              <w:rFonts w:hint="eastAsia" w:ascii="仿宋" w:hAnsi="仿宋" w:eastAsia="仿宋"/>
              <w:bCs w:val="0"/>
              <w:sz w:val="24"/>
              <w:szCs w:val="24"/>
            </w:rPr>
            <w:t>表</w:t>
          </w:r>
          <w:r>
            <w:rPr>
              <w:sz w:val="24"/>
              <w:szCs w:val="24"/>
            </w:rPr>
            <w:tab/>
          </w:r>
          <w:r>
            <w:rPr>
              <w:sz w:val="24"/>
              <w:szCs w:val="24"/>
            </w:rPr>
            <w:fldChar w:fldCharType="begin"/>
          </w:r>
          <w:r>
            <w:rPr>
              <w:sz w:val="24"/>
              <w:szCs w:val="24"/>
            </w:rPr>
            <w:instrText xml:space="preserve"> PAGEREF _Toc16731 </w:instrText>
          </w:r>
          <w:r>
            <w:rPr>
              <w:sz w:val="24"/>
              <w:szCs w:val="24"/>
            </w:rPr>
            <w:fldChar w:fldCharType="separate"/>
          </w:r>
          <w:r>
            <w:rPr>
              <w:sz w:val="24"/>
              <w:szCs w:val="24"/>
            </w:rPr>
            <w:t>26</w:t>
          </w:r>
          <w:r>
            <w:rPr>
              <w:sz w:val="24"/>
              <w:szCs w:val="24"/>
            </w:rPr>
            <w:fldChar w:fldCharType="end"/>
          </w:r>
          <w:r>
            <w:rPr>
              <w:rFonts w:ascii="方正小标宋简体" w:hAnsi="宋体" w:eastAsia="方正小标宋简体"/>
              <w:color w:val="000000"/>
              <w:sz w:val="24"/>
              <w:szCs w:val="24"/>
            </w:rPr>
            <w:fldChar w:fldCharType="end"/>
          </w:r>
        </w:p>
        <w:p>
          <w:pPr>
            <w:pStyle w:val="9"/>
            <w:keepNext w:val="0"/>
            <w:keepLines w:val="0"/>
            <w:pageBreakBefore w:val="0"/>
            <w:widowControl w:val="0"/>
            <w:kinsoku/>
            <w:wordWrap/>
            <w:overflowPunct/>
            <w:topLinePunct w:val="0"/>
            <w:autoSpaceDE/>
            <w:autoSpaceDN/>
            <w:bidi w:val="0"/>
            <w:adjustRightInd w:val="0"/>
            <w:snapToGrid w:val="0"/>
            <w:spacing w:line="370" w:lineRule="exact"/>
            <w:jc w:val="left"/>
            <w:textAlignment w:val="auto"/>
            <w:rPr>
              <w:sz w:val="24"/>
              <w:szCs w:val="24"/>
            </w:rPr>
          </w:pPr>
          <w:r>
            <w:rPr>
              <w:rFonts w:ascii="方正小标宋简体" w:hAnsi="宋体" w:eastAsia="方正小标宋简体"/>
              <w:color w:val="000000"/>
              <w:sz w:val="24"/>
              <w:szCs w:val="24"/>
            </w:rPr>
            <w:fldChar w:fldCharType="begin"/>
          </w:r>
          <w:r>
            <w:rPr>
              <w:rFonts w:ascii="方正小标宋简体" w:hAnsi="宋体" w:eastAsia="方正小标宋简体"/>
              <w:sz w:val="24"/>
              <w:szCs w:val="24"/>
            </w:rPr>
            <w:instrText xml:space="preserve"> HYPERLINK \l _Toc14085 </w:instrText>
          </w:r>
          <w:r>
            <w:rPr>
              <w:rFonts w:ascii="方正小标宋简体" w:hAnsi="宋体" w:eastAsia="方正小标宋简体"/>
              <w:sz w:val="24"/>
              <w:szCs w:val="24"/>
            </w:rPr>
            <w:fldChar w:fldCharType="separate"/>
          </w:r>
          <w:r>
            <w:rPr>
              <w:rFonts w:hint="eastAsia" w:ascii="仿宋" w:hAnsi="仿宋" w:eastAsia="仿宋"/>
              <w:bCs w:val="0"/>
              <w:sz w:val="24"/>
              <w:szCs w:val="24"/>
            </w:rPr>
            <w:t>三、</w:t>
          </w:r>
          <w:r>
            <w:rPr>
              <w:rFonts w:hint="eastAsia" w:ascii="仿宋" w:hAnsi="仿宋" w:eastAsia="仿宋"/>
              <w:sz w:val="24"/>
              <w:szCs w:val="24"/>
            </w:rPr>
            <w:t>支</w:t>
          </w:r>
          <w:r>
            <w:rPr>
              <w:rFonts w:hint="eastAsia" w:ascii="仿宋" w:hAnsi="仿宋" w:eastAsia="仿宋"/>
              <w:bCs w:val="0"/>
              <w:sz w:val="24"/>
              <w:szCs w:val="24"/>
            </w:rPr>
            <w:t>出决算表</w:t>
          </w:r>
          <w:r>
            <w:rPr>
              <w:sz w:val="24"/>
              <w:szCs w:val="24"/>
            </w:rPr>
            <w:tab/>
          </w:r>
          <w:r>
            <w:rPr>
              <w:sz w:val="24"/>
              <w:szCs w:val="24"/>
            </w:rPr>
            <w:fldChar w:fldCharType="begin"/>
          </w:r>
          <w:r>
            <w:rPr>
              <w:sz w:val="24"/>
              <w:szCs w:val="24"/>
            </w:rPr>
            <w:instrText xml:space="preserve"> PAGEREF _Toc14085 </w:instrText>
          </w:r>
          <w:r>
            <w:rPr>
              <w:sz w:val="24"/>
              <w:szCs w:val="24"/>
            </w:rPr>
            <w:fldChar w:fldCharType="separate"/>
          </w:r>
          <w:r>
            <w:rPr>
              <w:sz w:val="24"/>
              <w:szCs w:val="24"/>
            </w:rPr>
            <w:t>26</w:t>
          </w:r>
          <w:r>
            <w:rPr>
              <w:sz w:val="24"/>
              <w:szCs w:val="24"/>
            </w:rPr>
            <w:fldChar w:fldCharType="end"/>
          </w:r>
          <w:r>
            <w:rPr>
              <w:rFonts w:ascii="方正小标宋简体" w:hAnsi="宋体" w:eastAsia="方正小标宋简体"/>
              <w:color w:val="000000"/>
              <w:sz w:val="24"/>
              <w:szCs w:val="24"/>
            </w:rPr>
            <w:fldChar w:fldCharType="end"/>
          </w:r>
        </w:p>
        <w:p>
          <w:pPr>
            <w:pStyle w:val="9"/>
            <w:keepNext w:val="0"/>
            <w:keepLines w:val="0"/>
            <w:pageBreakBefore w:val="0"/>
            <w:widowControl w:val="0"/>
            <w:kinsoku/>
            <w:wordWrap/>
            <w:overflowPunct/>
            <w:topLinePunct w:val="0"/>
            <w:autoSpaceDE/>
            <w:autoSpaceDN/>
            <w:bidi w:val="0"/>
            <w:adjustRightInd w:val="0"/>
            <w:snapToGrid w:val="0"/>
            <w:spacing w:line="370" w:lineRule="exact"/>
            <w:jc w:val="left"/>
            <w:textAlignment w:val="auto"/>
            <w:rPr>
              <w:sz w:val="24"/>
              <w:szCs w:val="24"/>
            </w:rPr>
          </w:pPr>
          <w:r>
            <w:rPr>
              <w:rFonts w:ascii="方正小标宋简体" w:hAnsi="宋体" w:eastAsia="方正小标宋简体"/>
              <w:color w:val="000000"/>
              <w:sz w:val="24"/>
              <w:szCs w:val="24"/>
            </w:rPr>
            <w:fldChar w:fldCharType="begin"/>
          </w:r>
          <w:r>
            <w:rPr>
              <w:rFonts w:ascii="方正小标宋简体" w:hAnsi="宋体" w:eastAsia="方正小标宋简体"/>
              <w:sz w:val="24"/>
              <w:szCs w:val="24"/>
            </w:rPr>
            <w:instrText xml:space="preserve"> HYPERLINK \l _Toc23346 </w:instrText>
          </w:r>
          <w:r>
            <w:rPr>
              <w:rFonts w:ascii="方正小标宋简体" w:hAnsi="宋体" w:eastAsia="方正小标宋简体"/>
              <w:sz w:val="24"/>
              <w:szCs w:val="24"/>
            </w:rPr>
            <w:fldChar w:fldCharType="separate"/>
          </w:r>
          <w:r>
            <w:rPr>
              <w:rFonts w:hint="eastAsia" w:ascii="仿宋" w:hAnsi="仿宋" w:eastAsia="仿宋"/>
              <w:bCs w:val="0"/>
              <w:sz w:val="24"/>
              <w:szCs w:val="24"/>
            </w:rPr>
            <w:t>四、</w:t>
          </w:r>
          <w:r>
            <w:rPr>
              <w:rFonts w:hint="eastAsia" w:ascii="仿宋" w:hAnsi="仿宋" w:eastAsia="仿宋"/>
              <w:sz w:val="24"/>
              <w:szCs w:val="24"/>
            </w:rPr>
            <w:t>财</w:t>
          </w:r>
          <w:r>
            <w:rPr>
              <w:rFonts w:hint="eastAsia" w:ascii="仿宋" w:hAnsi="仿宋" w:eastAsia="仿宋"/>
              <w:bCs w:val="0"/>
              <w:sz w:val="24"/>
              <w:szCs w:val="24"/>
            </w:rPr>
            <w:t>政拨款收入支出决算总表</w:t>
          </w:r>
          <w:r>
            <w:rPr>
              <w:sz w:val="24"/>
              <w:szCs w:val="24"/>
            </w:rPr>
            <w:tab/>
          </w:r>
          <w:r>
            <w:rPr>
              <w:sz w:val="24"/>
              <w:szCs w:val="24"/>
            </w:rPr>
            <w:fldChar w:fldCharType="begin"/>
          </w:r>
          <w:r>
            <w:rPr>
              <w:sz w:val="24"/>
              <w:szCs w:val="24"/>
            </w:rPr>
            <w:instrText xml:space="preserve"> PAGEREF _Toc23346 </w:instrText>
          </w:r>
          <w:r>
            <w:rPr>
              <w:sz w:val="24"/>
              <w:szCs w:val="24"/>
            </w:rPr>
            <w:fldChar w:fldCharType="separate"/>
          </w:r>
          <w:r>
            <w:rPr>
              <w:sz w:val="24"/>
              <w:szCs w:val="24"/>
            </w:rPr>
            <w:t>26</w:t>
          </w:r>
          <w:r>
            <w:rPr>
              <w:sz w:val="24"/>
              <w:szCs w:val="24"/>
            </w:rPr>
            <w:fldChar w:fldCharType="end"/>
          </w:r>
          <w:r>
            <w:rPr>
              <w:rFonts w:ascii="方正小标宋简体" w:hAnsi="宋体" w:eastAsia="方正小标宋简体"/>
              <w:color w:val="000000"/>
              <w:sz w:val="24"/>
              <w:szCs w:val="24"/>
            </w:rPr>
            <w:fldChar w:fldCharType="end"/>
          </w:r>
        </w:p>
        <w:p>
          <w:pPr>
            <w:pStyle w:val="9"/>
            <w:keepNext w:val="0"/>
            <w:keepLines w:val="0"/>
            <w:pageBreakBefore w:val="0"/>
            <w:widowControl w:val="0"/>
            <w:kinsoku/>
            <w:wordWrap/>
            <w:overflowPunct/>
            <w:topLinePunct w:val="0"/>
            <w:autoSpaceDE/>
            <w:autoSpaceDN/>
            <w:bidi w:val="0"/>
            <w:adjustRightInd w:val="0"/>
            <w:snapToGrid w:val="0"/>
            <w:spacing w:line="370" w:lineRule="exact"/>
            <w:jc w:val="left"/>
            <w:textAlignment w:val="auto"/>
            <w:rPr>
              <w:sz w:val="24"/>
              <w:szCs w:val="24"/>
            </w:rPr>
          </w:pPr>
          <w:r>
            <w:rPr>
              <w:rFonts w:ascii="方正小标宋简体" w:hAnsi="宋体" w:eastAsia="方正小标宋简体"/>
              <w:color w:val="000000"/>
              <w:sz w:val="24"/>
              <w:szCs w:val="24"/>
            </w:rPr>
            <w:fldChar w:fldCharType="begin"/>
          </w:r>
          <w:r>
            <w:rPr>
              <w:rFonts w:ascii="方正小标宋简体" w:hAnsi="宋体" w:eastAsia="方正小标宋简体"/>
              <w:sz w:val="24"/>
              <w:szCs w:val="24"/>
            </w:rPr>
            <w:instrText xml:space="preserve"> HYPERLINK \l _Toc32605 </w:instrText>
          </w:r>
          <w:r>
            <w:rPr>
              <w:rFonts w:ascii="方正小标宋简体" w:hAnsi="宋体" w:eastAsia="方正小标宋简体"/>
              <w:sz w:val="24"/>
              <w:szCs w:val="24"/>
            </w:rPr>
            <w:fldChar w:fldCharType="separate"/>
          </w:r>
          <w:r>
            <w:rPr>
              <w:rFonts w:hint="eastAsia" w:ascii="仿宋" w:hAnsi="仿宋" w:eastAsia="仿宋"/>
              <w:bCs w:val="0"/>
              <w:sz w:val="24"/>
              <w:szCs w:val="24"/>
            </w:rPr>
            <w:t>五、</w:t>
          </w:r>
          <w:r>
            <w:rPr>
              <w:rFonts w:hint="eastAsia" w:ascii="仿宋" w:hAnsi="仿宋" w:eastAsia="仿宋"/>
              <w:sz w:val="24"/>
              <w:szCs w:val="24"/>
            </w:rPr>
            <w:t>财</w:t>
          </w:r>
          <w:r>
            <w:rPr>
              <w:rFonts w:hint="eastAsia" w:ascii="仿宋" w:hAnsi="仿宋" w:eastAsia="仿宋"/>
              <w:bCs w:val="0"/>
              <w:sz w:val="24"/>
              <w:szCs w:val="24"/>
            </w:rPr>
            <w:t>政拨款支出决算明细表</w:t>
          </w:r>
          <w:r>
            <w:rPr>
              <w:sz w:val="24"/>
              <w:szCs w:val="24"/>
            </w:rPr>
            <w:tab/>
          </w:r>
          <w:r>
            <w:rPr>
              <w:sz w:val="24"/>
              <w:szCs w:val="24"/>
            </w:rPr>
            <w:fldChar w:fldCharType="begin"/>
          </w:r>
          <w:r>
            <w:rPr>
              <w:sz w:val="24"/>
              <w:szCs w:val="24"/>
            </w:rPr>
            <w:instrText xml:space="preserve"> PAGEREF _Toc32605 </w:instrText>
          </w:r>
          <w:r>
            <w:rPr>
              <w:sz w:val="24"/>
              <w:szCs w:val="24"/>
            </w:rPr>
            <w:fldChar w:fldCharType="separate"/>
          </w:r>
          <w:r>
            <w:rPr>
              <w:sz w:val="24"/>
              <w:szCs w:val="24"/>
            </w:rPr>
            <w:t>26</w:t>
          </w:r>
          <w:r>
            <w:rPr>
              <w:sz w:val="24"/>
              <w:szCs w:val="24"/>
            </w:rPr>
            <w:fldChar w:fldCharType="end"/>
          </w:r>
          <w:r>
            <w:rPr>
              <w:rFonts w:ascii="方正小标宋简体" w:hAnsi="宋体" w:eastAsia="方正小标宋简体"/>
              <w:color w:val="000000"/>
              <w:sz w:val="24"/>
              <w:szCs w:val="24"/>
            </w:rPr>
            <w:fldChar w:fldCharType="end"/>
          </w:r>
        </w:p>
        <w:p>
          <w:pPr>
            <w:pStyle w:val="9"/>
            <w:keepNext w:val="0"/>
            <w:keepLines w:val="0"/>
            <w:pageBreakBefore w:val="0"/>
            <w:widowControl w:val="0"/>
            <w:kinsoku/>
            <w:wordWrap/>
            <w:overflowPunct/>
            <w:topLinePunct w:val="0"/>
            <w:autoSpaceDE/>
            <w:autoSpaceDN/>
            <w:bidi w:val="0"/>
            <w:adjustRightInd w:val="0"/>
            <w:snapToGrid w:val="0"/>
            <w:spacing w:line="370" w:lineRule="exact"/>
            <w:jc w:val="left"/>
            <w:textAlignment w:val="auto"/>
            <w:rPr>
              <w:sz w:val="24"/>
              <w:szCs w:val="24"/>
            </w:rPr>
          </w:pPr>
          <w:r>
            <w:rPr>
              <w:rFonts w:ascii="方正小标宋简体" w:hAnsi="宋体" w:eastAsia="方正小标宋简体"/>
              <w:color w:val="000000"/>
              <w:sz w:val="24"/>
              <w:szCs w:val="24"/>
            </w:rPr>
            <w:fldChar w:fldCharType="begin"/>
          </w:r>
          <w:r>
            <w:rPr>
              <w:rFonts w:ascii="方正小标宋简体" w:hAnsi="宋体" w:eastAsia="方正小标宋简体"/>
              <w:sz w:val="24"/>
              <w:szCs w:val="24"/>
            </w:rPr>
            <w:instrText xml:space="preserve"> HYPERLINK \l _Toc16442 </w:instrText>
          </w:r>
          <w:r>
            <w:rPr>
              <w:rFonts w:ascii="方正小标宋简体" w:hAnsi="宋体" w:eastAsia="方正小标宋简体"/>
              <w:sz w:val="24"/>
              <w:szCs w:val="24"/>
            </w:rPr>
            <w:fldChar w:fldCharType="separate"/>
          </w:r>
          <w:r>
            <w:rPr>
              <w:rFonts w:hint="eastAsia" w:ascii="仿宋" w:hAnsi="仿宋" w:eastAsia="仿宋"/>
              <w:bCs w:val="0"/>
              <w:sz w:val="24"/>
              <w:szCs w:val="24"/>
            </w:rPr>
            <w:t>六、</w:t>
          </w:r>
          <w:r>
            <w:rPr>
              <w:rFonts w:hint="eastAsia" w:ascii="仿宋" w:hAnsi="仿宋" w:eastAsia="仿宋"/>
              <w:sz w:val="24"/>
              <w:szCs w:val="24"/>
            </w:rPr>
            <w:t>一</w:t>
          </w:r>
          <w:r>
            <w:rPr>
              <w:rFonts w:hint="eastAsia" w:ascii="仿宋" w:hAnsi="仿宋" w:eastAsia="仿宋"/>
              <w:bCs w:val="0"/>
              <w:sz w:val="24"/>
              <w:szCs w:val="24"/>
            </w:rPr>
            <w:t>般公共预算财政拨款支出决算表</w:t>
          </w:r>
          <w:r>
            <w:rPr>
              <w:sz w:val="24"/>
              <w:szCs w:val="24"/>
            </w:rPr>
            <w:tab/>
          </w:r>
          <w:r>
            <w:rPr>
              <w:sz w:val="24"/>
              <w:szCs w:val="24"/>
            </w:rPr>
            <w:fldChar w:fldCharType="begin"/>
          </w:r>
          <w:r>
            <w:rPr>
              <w:sz w:val="24"/>
              <w:szCs w:val="24"/>
            </w:rPr>
            <w:instrText xml:space="preserve"> PAGEREF _Toc16442 </w:instrText>
          </w:r>
          <w:r>
            <w:rPr>
              <w:sz w:val="24"/>
              <w:szCs w:val="24"/>
            </w:rPr>
            <w:fldChar w:fldCharType="separate"/>
          </w:r>
          <w:r>
            <w:rPr>
              <w:sz w:val="24"/>
              <w:szCs w:val="24"/>
            </w:rPr>
            <w:t>26</w:t>
          </w:r>
          <w:r>
            <w:rPr>
              <w:sz w:val="24"/>
              <w:szCs w:val="24"/>
            </w:rPr>
            <w:fldChar w:fldCharType="end"/>
          </w:r>
          <w:r>
            <w:rPr>
              <w:rFonts w:ascii="方正小标宋简体" w:hAnsi="宋体" w:eastAsia="方正小标宋简体"/>
              <w:color w:val="000000"/>
              <w:sz w:val="24"/>
              <w:szCs w:val="24"/>
            </w:rPr>
            <w:fldChar w:fldCharType="end"/>
          </w:r>
        </w:p>
        <w:p>
          <w:pPr>
            <w:pStyle w:val="9"/>
            <w:keepNext w:val="0"/>
            <w:keepLines w:val="0"/>
            <w:pageBreakBefore w:val="0"/>
            <w:widowControl w:val="0"/>
            <w:kinsoku/>
            <w:wordWrap/>
            <w:overflowPunct/>
            <w:topLinePunct w:val="0"/>
            <w:autoSpaceDE/>
            <w:autoSpaceDN/>
            <w:bidi w:val="0"/>
            <w:adjustRightInd w:val="0"/>
            <w:snapToGrid w:val="0"/>
            <w:spacing w:line="370" w:lineRule="exact"/>
            <w:jc w:val="left"/>
            <w:textAlignment w:val="auto"/>
            <w:rPr>
              <w:sz w:val="24"/>
              <w:szCs w:val="24"/>
            </w:rPr>
          </w:pPr>
          <w:r>
            <w:rPr>
              <w:rFonts w:ascii="方正小标宋简体" w:hAnsi="宋体" w:eastAsia="方正小标宋简体"/>
              <w:color w:val="000000"/>
              <w:sz w:val="24"/>
              <w:szCs w:val="24"/>
            </w:rPr>
            <w:fldChar w:fldCharType="begin"/>
          </w:r>
          <w:r>
            <w:rPr>
              <w:rFonts w:ascii="方正小标宋简体" w:hAnsi="宋体" w:eastAsia="方正小标宋简体"/>
              <w:sz w:val="24"/>
              <w:szCs w:val="24"/>
            </w:rPr>
            <w:instrText xml:space="preserve"> HYPERLINK \l _Toc5948 </w:instrText>
          </w:r>
          <w:r>
            <w:rPr>
              <w:rFonts w:ascii="方正小标宋简体" w:hAnsi="宋体" w:eastAsia="方正小标宋简体"/>
              <w:sz w:val="24"/>
              <w:szCs w:val="24"/>
            </w:rPr>
            <w:fldChar w:fldCharType="separate"/>
          </w:r>
          <w:r>
            <w:rPr>
              <w:rFonts w:hint="eastAsia" w:ascii="仿宋" w:hAnsi="仿宋" w:eastAsia="仿宋"/>
              <w:bCs w:val="0"/>
              <w:sz w:val="24"/>
              <w:szCs w:val="24"/>
            </w:rPr>
            <w:t>七、</w:t>
          </w:r>
          <w:r>
            <w:rPr>
              <w:rFonts w:hint="eastAsia" w:ascii="仿宋" w:hAnsi="仿宋" w:eastAsia="仿宋"/>
              <w:sz w:val="24"/>
              <w:szCs w:val="24"/>
            </w:rPr>
            <w:t>一</w:t>
          </w:r>
          <w:r>
            <w:rPr>
              <w:rFonts w:hint="eastAsia" w:ascii="仿宋" w:hAnsi="仿宋" w:eastAsia="仿宋"/>
              <w:bCs w:val="0"/>
              <w:sz w:val="24"/>
              <w:szCs w:val="24"/>
            </w:rPr>
            <w:t>般公共预算财政拨款支出决算明细表</w:t>
          </w:r>
          <w:r>
            <w:rPr>
              <w:sz w:val="24"/>
              <w:szCs w:val="24"/>
            </w:rPr>
            <w:tab/>
          </w:r>
          <w:r>
            <w:rPr>
              <w:sz w:val="24"/>
              <w:szCs w:val="24"/>
            </w:rPr>
            <w:fldChar w:fldCharType="begin"/>
          </w:r>
          <w:r>
            <w:rPr>
              <w:sz w:val="24"/>
              <w:szCs w:val="24"/>
            </w:rPr>
            <w:instrText xml:space="preserve"> PAGEREF _Toc5948 </w:instrText>
          </w:r>
          <w:r>
            <w:rPr>
              <w:sz w:val="24"/>
              <w:szCs w:val="24"/>
            </w:rPr>
            <w:fldChar w:fldCharType="separate"/>
          </w:r>
          <w:r>
            <w:rPr>
              <w:sz w:val="24"/>
              <w:szCs w:val="24"/>
            </w:rPr>
            <w:t>26</w:t>
          </w:r>
          <w:r>
            <w:rPr>
              <w:sz w:val="24"/>
              <w:szCs w:val="24"/>
            </w:rPr>
            <w:fldChar w:fldCharType="end"/>
          </w:r>
          <w:r>
            <w:rPr>
              <w:rFonts w:ascii="方正小标宋简体" w:hAnsi="宋体" w:eastAsia="方正小标宋简体"/>
              <w:color w:val="000000"/>
              <w:sz w:val="24"/>
              <w:szCs w:val="24"/>
            </w:rPr>
            <w:fldChar w:fldCharType="end"/>
          </w:r>
        </w:p>
        <w:p>
          <w:pPr>
            <w:pStyle w:val="9"/>
            <w:keepNext w:val="0"/>
            <w:keepLines w:val="0"/>
            <w:pageBreakBefore w:val="0"/>
            <w:widowControl w:val="0"/>
            <w:kinsoku/>
            <w:wordWrap/>
            <w:overflowPunct/>
            <w:topLinePunct w:val="0"/>
            <w:autoSpaceDE/>
            <w:autoSpaceDN/>
            <w:bidi w:val="0"/>
            <w:adjustRightInd w:val="0"/>
            <w:snapToGrid w:val="0"/>
            <w:spacing w:line="370" w:lineRule="exact"/>
            <w:jc w:val="left"/>
            <w:textAlignment w:val="auto"/>
            <w:rPr>
              <w:sz w:val="24"/>
              <w:szCs w:val="24"/>
            </w:rPr>
          </w:pPr>
          <w:r>
            <w:rPr>
              <w:rFonts w:ascii="方正小标宋简体" w:hAnsi="宋体" w:eastAsia="方正小标宋简体"/>
              <w:color w:val="000000"/>
              <w:sz w:val="24"/>
              <w:szCs w:val="24"/>
            </w:rPr>
            <w:fldChar w:fldCharType="begin"/>
          </w:r>
          <w:r>
            <w:rPr>
              <w:rFonts w:ascii="方正小标宋简体" w:hAnsi="宋体" w:eastAsia="方正小标宋简体"/>
              <w:sz w:val="24"/>
              <w:szCs w:val="24"/>
            </w:rPr>
            <w:instrText xml:space="preserve"> HYPERLINK \l _Toc8280 </w:instrText>
          </w:r>
          <w:r>
            <w:rPr>
              <w:rFonts w:ascii="方正小标宋简体" w:hAnsi="宋体" w:eastAsia="方正小标宋简体"/>
              <w:sz w:val="24"/>
              <w:szCs w:val="24"/>
            </w:rPr>
            <w:fldChar w:fldCharType="separate"/>
          </w:r>
          <w:r>
            <w:rPr>
              <w:rFonts w:hint="eastAsia" w:ascii="仿宋" w:hAnsi="仿宋" w:eastAsia="仿宋"/>
              <w:bCs w:val="0"/>
              <w:sz w:val="24"/>
              <w:szCs w:val="24"/>
            </w:rPr>
            <w:t>八、</w:t>
          </w:r>
          <w:r>
            <w:rPr>
              <w:rFonts w:hint="eastAsia" w:ascii="仿宋" w:hAnsi="仿宋" w:eastAsia="仿宋"/>
              <w:sz w:val="24"/>
              <w:szCs w:val="24"/>
            </w:rPr>
            <w:t>一</w:t>
          </w:r>
          <w:r>
            <w:rPr>
              <w:rFonts w:hint="eastAsia" w:ascii="仿宋" w:hAnsi="仿宋" w:eastAsia="仿宋"/>
              <w:bCs w:val="0"/>
              <w:sz w:val="24"/>
              <w:szCs w:val="24"/>
            </w:rPr>
            <w:t>般公共预算财政拨款基本支出决算表</w:t>
          </w:r>
          <w:r>
            <w:rPr>
              <w:sz w:val="24"/>
              <w:szCs w:val="24"/>
            </w:rPr>
            <w:tab/>
          </w:r>
          <w:r>
            <w:rPr>
              <w:sz w:val="24"/>
              <w:szCs w:val="24"/>
            </w:rPr>
            <w:fldChar w:fldCharType="begin"/>
          </w:r>
          <w:r>
            <w:rPr>
              <w:sz w:val="24"/>
              <w:szCs w:val="24"/>
            </w:rPr>
            <w:instrText xml:space="preserve"> PAGEREF _Toc8280 </w:instrText>
          </w:r>
          <w:r>
            <w:rPr>
              <w:sz w:val="24"/>
              <w:szCs w:val="24"/>
            </w:rPr>
            <w:fldChar w:fldCharType="separate"/>
          </w:r>
          <w:r>
            <w:rPr>
              <w:sz w:val="24"/>
              <w:szCs w:val="24"/>
            </w:rPr>
            <w:t>26</w:t>
          </w:r>
          <w:r>
            <w:rPr>
              <w:sz w:val="24"/>
              <w:szCs w:val="24"/>
            </w:rPr>
            <w:fldChar w:fldCharType="end"/>
          </w:r>
          <w:r>
            <w:rPr>
              <w:rFonts w:ascii="方正小标宋简体" w:hAnsi="宋体" w:eastAsia="方正小标宋简体"/>
              <w:color w:val="000000"/>
              <w:sz w:val="24"/>
              <w:szCs w:val="24"/>
            </w:rPr>
            <w:fldChar w:fldCharType="end"/>
          </w:r>
        </w:p>
        <w:p>
          <w:pPr>
            <w:pStyle w:val="9"/>
            <w:keepNext w:val="0"/>
            <w:keepLines w:val="0"/>
            <w:pageBreakBefore w:val="0"/>
            <w:widowControl w:val="0"/>
            <w:kinsoku/>
            <w:wordWrap/>
            <w:overflowPunct/>
            <w:topLinePunct w:val="0"/>
            <w:autoSpaceDE/>
            <w:autoSpaceDN/>
            <w:bidi w:val="0"/>
            <w:adjustRightInd w:val="0"/>
            <w:snapToGrid w:val="0"/>
            <w:spacing w:line="370" w:lineRule="exact"/>
            <w:jc w:val="left"/>
            <w:textAlignment w:val="auto"/>
            <w:rPr>
              <w:sz w:val="24"/>
              <w:szCs w:val="24"/>
            </w:rPr>
          </w:pPr>
          <w:r>
            <w:rPr>
              <w:rFonts w:ascii="方正小标宋简体" w:hAnsi="宋体" w:eastAsia="方正小标宋简体"/>
              <w:color w:val="000000"/>
              <w:sz w:val="24"/>
              <w:szCs w:val="24"/>
            </w:rPr>
            <w:fldChar w:fldCharType="begin"/>
          </w:r>
          <w:r>
            <w:rPr>
              <w:rFonts w:ascii="方正小标宋简体" w:hAnsi="宋体" w:eastAsia="方正小标宋简体"/>
              <w:sz w:val="24"/>
              <w:szCs w:val="24"/>
            </w:rPr>
            <w:instrText xml:space="preserve"> HYPERLINK \l _Toc2511 </w:instrText>
          </w:r>
          <w:r>
            <w:rPr>
              <w:rFonts w:ascii="方正小标宋简体" w:hAnsi="宋体" w:eastAsia="方正小标宋简体"/>
              <w:sz w:val="24"/>
              <w:szCs w:val="24"/>
            </w:rPr>
            <w:fldChar w:fldCharType="separate"/>
          </w:r>
          <w:r>
            <w:rPr>
              <w:rFonts w:hint="eastAsia" w:ascii="仿宋" w:hAnsi="仿宋" w:eastAsia="仿宋"/>
              <w:bCs w:val="0"/>
              <w:sz w:val="24"/>
              <w:szCs w:val="24"/>
            </w:rPr>
            <w:t>九、</w:t>
          </w:r>
          <w:r>
            <w:rPr>
              <w:rFonts w:hint="eastAsia" w:ascii="仿宋" w:hAnsi="仿宋" w:eastAsia="仿宋"/>
              <w:sz w:val="24"/>
              <w:szCs w:val="24"/>
            </w:rPr>
            <w:t>一</w:t>
          </w:r>
          <w:r>
            <w:rPr>
              <w:rFonts w:hint="eastAsia" w:ascii="仿宋" w:hAnsi="仿宋" w:eastAsia="仿宋"/>
              <w:bCs w:val="0"/>
              <w:sz w:val="24"/>
              <w:szCs w:val="24"/>
            </w:rPr>
            <w:t>般公共</w:t>
          </w:r>
          <w:r>
            <w:rPr>
              <w:rStyle w:val="11"/>
              <w:rFonts w:hint="eastAsia" w:ascii="仿宋" w:hAnsi="仿宋" w:eastAsia="仿宋" w:cstheme="majorBidi"/>
              <w:bCs/>
              <w:sz w:val="24"/>
              <w:szCs w:val="24"/>
            </w:rPr>
            <w:t>预算财政</w:t>
          </w:r>
          <w:r>
            <w:rPr>
              <w:rFonts w:hint="eastAsia" w:ascii="仿宋" w:hAnsi="仿宋" w:eastAsia="仿宋"/>
              <w:bCs w:val="0"/>
              <w:sz w:val="24"/>
              <w:szCs w:val="24"/>
            </w:rPr>
            <w:t>拨款项目支出决算表</w:t>
          </w:r>
          <w:r>
            <w:rPr>
              <w:sz w:val="24"/>
              <w:szCs w:val="24"/>
            </w:rPr>
            <w:tab/>
          </w:r>
          <w:r>
            <w:rPr>
              <w:sz w:val="24"/>
              <w:szCs w:val="24"/>
            </w:rPr>
            <w:fldChar w:fldCharType="begin"/>
          </w:r>
          <w:r>
            <w:rPr>
              <w:sz w:val="24"/>
              <w:szCs w:val="24"/>
            </w:rPr>
            <w:instrText xml:space="preserve"> PAGEREF _Toc2511 </w:instrText>
          </w:r>
          <w:r>
            <w:rPr>
              <w:sz w:val="24"/>
              <w:szCs w:val="24"/>
            </w:rPr>
            <w:fldChar w:fldCharType="separate"/>
          </w:r>
          <w:r>
            <w:rPr>
              <w:sz w:val="24"/>
              <w:szCs w:val="24"/>
            </w:rPr>
            <w:t>26</w:t>
          </w:r>
          <w:r>
            <w:rPr>
              <w:sz w:val="24"/>
              <w:szCs w:val="24"/>
            </w:rPr>
            <w:fldChar w:fldCharType="end"/>
          </w:r>
          <w:r>
            <w:rPr>
              <w:rFonts w:ascii="方正小标宋简体" w:hAnsi="宋体" w:eastAsia="方正小标宋简体"/>
              <w:color w:val="000000"/>
              <w:sz w:val="24"/>
              <w:szCs w:val="24"/>
            </w:rPr>
            <w:fldChar w:fldCharType="end"/>
          </w:r>
        </w:p>
        <w:p>
          <w:pPr>
            <w:pStyle w:val="9"/>
            <w:keepNext w:val="0"/>
            <w:keepLines w:val="0"/>
            <w:pageBreakBefore w:val="0"/>
            <w:widowControl w:val="0"/>
            <w:kinsoku/>
            <w:wordWrap/>
            <w:overflowPunct/>
            <w:topLinePunct w:val="0"/>
            <w:autoSpaceDE/>
            <w:autoSpaceDN/>
            <w:bidi w:val="0"/>
            <w:adjustRightInd w:val="0"/>
            <w:snapToGrid w:val="0"/>
            <w:spacing w:line="370" w:lineRule="exact"/>
            <w:jc w:val="left"/>
            <w:textAlignment w:val="auto"/>
            <w:rPr>
              <w:sz w:val="24"/>
              <w:szCs w:val="24"/>
            </w:rPr>
          </w:pPr>
          <w:r>
            <w:rPr>
              <w:rFonts w:ascii="方正小标宋简体" w:hAnsi="宋体" w:eastAsia="方正小标宋简体"/>
              <w:color w:val="000000"/>
              <w:sz w:val="24"/>
              <w:szCs w:val="24"/>
            </w:rPr>
            <w:fldChar w:fldCharType="begin"/>
          </w:r>
          <w:r>
            <w:rPr>
              <w:rFonts w:ascii="方正小标宋简体" w:hAnsi="宋体" w:eastAsia="方正小标宋简体"/>
              <w:sz w:val="24"/>
              <w:szCs w:val="24"/>
            </w:rPr>
            <w:instrText xml:space="preserve"> HYPERLINK \l _Toc29052 </w:instrText>
          </w:r>
          <w:r>
            <w:rPr>
              <w:rFonts w:ascii="方正小标宋简体" w:hAnsi="宋体" w:eastAsia="方正小标宋简体"/>
              <w:sz w:val="24"/>
              <w:szCs w:val="24"/>
            </w:rPr>
            <w:fldChar w:fldCharType="separate"/>
          </w:r>
          <w:r>
            <w:rPr>
              <w:rFonts w:hint="eastAsia" w:ascii="仿宋" w:hAnsi="仿宋" w:eastAsia="仿宋"/>
              <w:bCs w:val="0"/>
              <w:sz w:val="24"/>
              <w:szCs w:val="24"/>
            </w:rPr>
            <w:t>十、</w:t>
          </w:r>
          <w:r>
            <w:rPr>
              <w:rFonts w:hint="eastAsia" w:ascii="仿宋" w:hAnsi="仿宋" w:eastAsia="仿宋"/>
              <w:sz w:val="24"/>
              <w:szCs w:val="24"/>
            </w:rPr>
            <w:t>一</w:t>
          </w:r>
          <w:r>
            <w:rPr>
              <w:rFonts w:hint="eastAsia" w:ascii="仿宋" w:hAnsi="仿宋" w:eastAsia="仿宋"/>
              <w:bCs w:val="0"/>
              <w:sz w:val="24"/>
              <w:szCs w:val="24"/>
            </w:rPr>
            <w:t>般公共</w:t>
          </w:r>
          <w:r>
            <w:rPr>
              <w:rStyle w:val="11"/>
              <w:rFonts w:hint="eastAsia" w:ascii="仿宋" w:hAnsi="仿宋" w:eastAsia="仿宋" w:cstheme="majorBidi"/>
              <w:bCs/>
              <w:sz w:val="24"/>
              <w:szCs w:val="24"/>
            </w:rPr>
            <w:t>预算</w:t>
          </w:r>
          <w:r>
            <w:rPr>
              <w:rFonts w:hint="eastAsia" w:ascii="仿宋" w:hAnsi="仿宋" w:eastAsia="仿宋"/>
              <w:bCs w:val="0"/>
              <w:sz w:val="24"/>
              <w:szCs w:val="24"/>
            </w:rPr>
            <w:t>财政拨款“三公”经费支出决算表</w:t>
          </w:r>
          <w:r>
            <w:rPr>
              <w:sz w:val="24"/>
              <w:szCs w:val="24"/>
            </w:rPr>
            <w:tab/>
          </w:r>
          <w:r>
            <w:rPr>
              <w:sz w:val="24"/>
              <w:szCs w:val="24"/>
            </w:rPr>
            <w:fldChar w:fldCharType="begin"/>
          </w:r>
          <w:r>
            <w:rPr>
              <w:sz w:val="24"/>
              <w:szCs w:val="24"/>
            </w:rPr>
            <w:instrText xml:space="preserve"> PAGEREF _Toc29052 </w:instrText>
          </w:r>
          <w:r>
            <w:rPr>
              <w:sz w:val="24"/>
              <w:szCs w:val="24"/>
            </w:rPr>
            <w:fldChar w:fldCharType="separate"/>
          </w:r>
          <w:r>
            <w:rPr>
              <w:sz w:val="24"/>
              <w:szCs w:val="24"/>
            </w:rPr>
            <w:t>26</w:t>
          </w:r>
          <w:r>
            <w:rPr>
              <w:sz w:val="24"/>
              <w:szCs w:val="24"/>
            </w:rPr>
            <w:fldChar w:fldCharType="end"/>
          </w:r>
          <w:r>
            <w:rPr>
              <w:rFonts w:ascii="方正小标宋简体" w:hAnsi="宋体" w:eastAsia="方正小标宋简体"/>
              <w:color w:val="000000"/>
              <w:sz w:val="24"/>
              <w:szCs w:val="24"/>
            </w:rPr>
            <w:fldChar w:fldCharType="end"/>
          </w:r>
        </w:p>
        <w:p>
          <w:pPr>
            <w:pStyle w:val="9"/>
            <w:keepNext w:val="0"/>
            <w:keepLines w:val="0"/>
            <w:pageBreakBefore w:val="0"/>
            <w:widowControl w:val="0"/>
            <w:kinsoku/>
            <w:wordWrap/>
            <w:overflowPunct/>
            <w:topLinePunct w:val="0"/>
            <w:autoSpaceDE/>
            <w:autoSpaceDN/>
            <w:bidi w:val="0"/>
            <w:adjustRightInd w:val="0"/>
            <w:snapToGrid w:val="0"/>
            <w:spacing w:line="370" w:lineRule="exact"/>
            <w:jc w:val="left"/>
            <w:textAlignment w:val="auto"/>
            <w:rPr>
              <w:sz w:val="24"/>
              <w:szCs w:val="24"/>
            </w:rPr>
          </w:pPr>
          <w:r>
            <w:rPr>
              <w:rFonts w:ascii="方正小标宋简体" w:hAnsi="宋体" w:eastAsia="方正小标宋简体"/>
              <w:color w:val="000000"/>
              <w:sz w:val="24"/>
              <w:szCs w:val="24"/>
            </w:rPr>
            <w:fldChar w:fldCharType="begin"/>
          </w:r>
          <w:r>
            <w:rPr>
              <w:rFonts w:ascii="方正小标宋简体" w:hAnsi="宋体" w:eastAsia="方正小标宋简体"/>
              <w:sz w:val="24"/>
              <w:szCs w:val="24"/>
            </w:rPr>
            <w:instrText xml:space="preserve"> HYPERLINK \l _Toc30446 </w:instrText>
          </w:r>
          <w:r>
            <w:rPr>
              <w:rFonts w:ascii="方正小标宋简体" w:hAnsi="宋体" w:eastAsia="方正小标宋简体"/>
              <w:sz w:val="24"/>
              <w:szCs w:val="24"/>
            </w:rPr>
            <w:fldChar w:fldCharType="separate"/>
          </w:r>
          <w:r>
            <w:rPr>
              <w:rFonts w:hint="eastAsia" w:ascii="仿宋" w:hAnsi="仿宋" w:eastAsia="仿宋"/>
              <w:bCs w:val="0"/>
              <w:sz w:val="24"/>
              <w:szCs w:val="24"/>
            </w:rPr>
            <w:t>十一、</w:t>
          </w:r>
          <w:r>
            <w:rPr>
              <w:rFonts w:hint="eastAsia" w:ascii="仿宋" w:hAnsi="仿宋" w:eastAsia="仿宋"/>
              <w:sz w:val="24"/>
              <w:szCs w:val="24"/>
            </w:rPr>
            <w:t>政</w:t>
          </w:r>
          <w:r>
            <w:rPr>
              <w:rFonts w:hint="eastAsia" w:ascii="仿宋" w:hAnsi="仿宋" w:eastAsia="仿宋"/>
              <w:bCs w:val="0"/>
              <w:sz w:val="24"/>
              <w:szCs w:val="24"/>
            </w:rPr>
            <w:t>府性</w:t>
          </w:r>
          <w:r>
            <w:rPr>
              <w:rStyle w:val="11"/>
              <w:rFonts w:hint="eastAsia" w:ascii="仿宋" w:hAnsi="仿宋" w:eastAsia="仿宋" w:cstheme="majorBidi"/>
              <w:bCs/>
              <w:sz w:val="24"/>
              <w:szCs w:val="24"/>
            </w:rPr>
            <w:t>基金</w:t>
          </w:r>
          <w:r>
            <w:rPr>
              <w:rFonts w:hint="eastAsia" w:ascii="仿宋" w:hAnsi="仿宋" w:eastAsia="仿宋"/>
              <w:bCs w:val="0"/>
              <w:sz w:val="24"/>
              <w:szCs w:val="24"/>
            </w:rPr>
            <w:t>预算财政拨款收入支出决算表</w:t>
          </w:r>
          <w:r>
            <w:rPr>
              <w:sz w:val="24"/>
              <w:szCs w:val="24"/>
            </w:rPr>
            <w:tab/>
          </w:r>
          <w:r>
            <w:rPr>
              <w:sz w:val="24"/>
              <w:szCs w:val="24"/>
            </w:rPr>
            <w:fldChar w:fldCharType="begin"/>
          </w:r>
          <w:r>
            <w:rPr>
              <w:sz w:val="24"/>
              <w:szCs w:val="24"/>
            </w:rPr>
            <w:instrText xml:space="preserve"> PAGEREF _Toc30446 </w:instrText>
          </w:r>
          <w:r>
            <w:rPr>
              <w:sz w:val="24"/>
              <w:szCs w:val="24"/>
            </w:rPr>
            <w:fldChar w:fldCharType="separate"/>
          </w:r>
          <w:r>
            <w:rPr>
              <w:sz w:val="24"/>
              <w:szCs w:val="24"/>
            </w:rPr>
            <w:t>26</w:t>
          </w:r>
          <w:r>
            <w:rPr>
              <w:sz w:val="24"/>
              <w:szCs w:val="24"/>
            </w:rPr>
            <w:fldChar w:fldCharType="end"/>
          </w:r>
          <w:r>
            <w:rPr>
              <w:rFonts w:ascii="方正小标宋简体" w:hAnsi="宋体" w:eastAsia="方正小标宋简体"/>
              <w:color w:val="000000"/>
              <w:sz w:val="24"/>
              <w:szCs w:val="24"/>
            </w:rPr>
            <w:fldChar w:fldCharType="end"/>
          </w:r>
        </w:p>
        <w:p>
          <w:pPr>
            <w:pStyle w:val="9"/>
            <w:keepNext w:val="0"/>
            <w:keepLines w:val="0"/>
            <w:pageBreakBefore w:val="0"/>
            <w:widowControl w:val="0"/>
            <w:kinsoku/>
            <w:wordWrap/>
            <w:overflowPunct/>
            <w:topLinePunct w:val="0"/>
            <w:autoSpaceDE/>
            <w:autoSpaceDN/>
            <w:bidi w:val="0"/>
            <w:adjustRightInd w:val="0"/>
            <w:snapToGrid w:val="0"/>
            <w:spacing w:line="370" w:lineRule="exact"/>
            <w:jc w:val="left"/>
            <w:textAlignment w:val="auto"/>
            <w:rPr>
              <w:sz w:val="24"/>
              <w:szCs w:val="24"/>
            </w:rPr>
          </w:pPr>
          <w:r>
            <w:rPr>
              <w:rFonts w:ascii="方正小标宋简体" w:hAnsi="宋体" w:eastAsia="方正小标宋简体"/>
              <w:color w:val="000000"/>
              <w:sz w:val="24"/>
              <w:szCs w:val="24"/>
            </w:rPr>
            <w:fldChar w:fldCharType="begin"/>
          </w:r>
          <w:r>
            <w:rPr>
              <w:rFonts w:ascii="方正小标宋简体" w:hAnsi="宋体" w:eastAsia="方正小标宋简体"/>
              <w:sz w:val="24"/>
              <w:szCs w:val="24"/>
            </w:rPr>
            <w:instrText xml:space="preserve"> HYPERLINK \l _Toc30494 </w:instrText>
          </w:r>
          <w:r>
            <w:rPr>
              <w:rFonts w:ascii="方正小标宋简体" w:hAnsi="宋体" w:eastAsia="方正小标宋简体"/>
              <w:sz w:val="24"/>
              <w:szCs w:val="24"/>
            </w:rPr>
            <w:fldChar w:fldCharType="separate"/>
          </w:r>
          <w:r>
            <w:rPr>
              <w:rFonts w:hint="eastAsia" w:ascii="仿宋" w:hAnsi="仿宋" w:eastAsia="仿宋"/>
              <w:bCs w:val="0"/>
              <w:sz w:val="24"/>
              <w:szCs w:val="24"/>
            </w:rPr>
            <w:t>十二、</w:t>
          </w:r>
          <w:r>
            <w:rPr>
              <w:rFonts w:hint="eastAsia" w:ascii="仿宋" w:hAnsi="仿宋" w:eastAsia="仿宋"/>
              <w:sz w:val="24"/>
              <w:szCs w:val="24"/>
            </w:rPr>
            <w:t>政</w:t>
          </w:r>
          <w:r>
            <w:rPr>
              <w:rFonts w:hint="eastAsia" w:ascii="仿宋" w:hAnsi="仿宋" w:eastAsia="仿宋"/>
              <w:bCs w:val="0"/>
              <w:sz w:val="24"/>
              <w:szCs w:val="24"/>
            </w:rPr>
            <w:t>府性基金预算财政拨款“三公”经费支出决算表</w:t>
          </w:r>
          <w:r>
            <w:rPr>
              <w:sz w:val="24"/>
              <w:szCs w:val="24"/>
            </w:rPr>
            <w:tab/>
          </w:r>
          <w:r>
            <w:rPr>
              <w:sz w:val="24"/>
              <w:szCs w:val="24"/>
            </w:rPr>
            <w:fldChar w:fldCharType="begin"/>
          </w:r>
          <w:r>
            <w:rPr>
              <w:sz w:val="24"/>
              <w:szCs w:val="24"/>
            </w:rPr>
            <w:instrText xml:space="preserve"> PAGEREF _Toc30494 </w:instrText>
          </w:r>
          <w:r>
            <w:rPr>
              <w:sz w:val="24"/>
              <w:szCs w:val="24"/>
            </w:rPr>
            <w:fldChar w:fldCharType="separate"/>
          </w:r>
          <w:r>
            <w:rPr>
              <w:sz w:val="24"/>
              <w:szCs w:val="24"/>
            </w:rPr>
            <w:t>26</w:t>
          </w:r>
          <w:r>
            <w:rPr>
              <w:sz w:val="24"/>
              <w:szCs w:val="24"/>
            </w:rPr>
            <w:fldChar w:fldCharType="end"/>
          </w:r>
          <w:r>
            <w:rPr>
              <w:rFonts w:ascii="方正小标宋简体" w:hAnsi="宋体" w:eastAsia="方正小标宋简体"/>
              <w:color w:val="000000"/>
              <w:sz w:val="24"/>
              <w:szCs w:val="24"/>
            </w:rPr>
            <w:fldChar w:fldCharType="end"/>
          </w:r>
        </w:p>
        <w:p>
          <w:pPr>
            <w:pStyle w:val="9"/>
            <w:keepNext w:val="0"/>
            <w:keepLines w:val="0"/>
            <w:pageBreakBefore w:val="0"/>
            <w:widowControl w:val="0"/>
            <w:kinsoku/>
            <w:wordWrap/>
            <w:overflowPunct/>
            <w:topLinePunct w:val="0"/>
            <w:autoSpaceDE/>
            <w:autoSpaceDN/>
            <w:bidi w:val="0"/>
            <w:adjustRightInd w:val="0"/>
            <w:snapToGrid w:val="0"/>
            <w:spacing w:line="370" w:lineRule="exact"/>
            <w:jc w:val="left"/>
            <w:textAlignment w:val="auto"/>
            <w:rPr>
              <w:rFonts w:ascii="方正小标宋简体" w:hAnsi="宋体" w:eastAsia="方正小标宋简体" w:cs="Times New Roman"/>
              <w:color w:val="000000"/>
              <w:kern w:val="2"/>
              <w:sz w:val="21"/>
              <w:szCs w:val="72"/>
              <w:lang w:val="en-US" w:eastAsia="zh-CN" w:bidi="ar-SA"/>
            </w:rPr>
          </w:pPr>
          <w:r>
            <w:rPr>
              <w:rFonts w:ascii="方正小标宋简体" w:hAnsi="宋体" w:eastAsia="方正小标宋简体"/>
              <w:color w:val="000000"/>
              <w:sz w:val="24"/>
              <w:szCs w:val="24"/>
            </w:rPr>
            <w:fldChar w:fldCharType="begin"/>
          </w:r>
          <w:r>
            <w:rPr>
              <w:rFonts w:ascii="方正小标宋简体" w:hAnsi="宋体" w:eastAsia="方正小标宋简体"/>
              <w:sz w:val="24"/>
              <w:szCs w:val="24"/>
            </w:rPr>
            <w:instrText xml:space="preserve"> HYPERLINK \l _Toc13100 </w:instrText>
          </w:r>
          <w:r>
            <w:rPr>
              <w:rFonts w:ascii="方正小标宋简体" w:hAnsi="宋体" w:eastAsia="方正小标宋简体"/>
              <w:sz w:val="24"/>
              <w:szCs w:val="24"/>
            </w:rPr>
            <w:fldChar w:fldCharType="separate"/>
          </w:r>
          <w:r>
            <w:rPr>
              <w:rFonts w:hint="eastAsia" w:ascii="仿宋" w:hAnsi="仿宋" w:eastAsia="仿宋"/>
              <w:bCs w:val="0"/>
              <w:sz w:val="24"/>
              <w:szCs w:val="24"/>
            </w:rPr>
            <w:t>十三、</w:t>
          </w:r>
          <w:r>
            <w:rPr>
              <w:rFonts w:hint="eastAsia" w:ascii="仿宋" w:hAnsi="仿宋" w:eastAsia="仿宋"/>
              <w:sz w:val="24"/>
              <w:szCs w:val="24"/>
            </w:rPr>
            <w:t>国</w:t>
          </w:r>
          <w:r>
            <w:rPr>
              <w:rFonts w:hint="eastAsia" w:ascii="仿宋" w:hAnsi="仿宋" w:eastAsia="仿宋"/>
              <w:bCs w:val="0"/>
              <w:sz w:val="24"/>
              <w:szCs w:val="24"/>
            </w:rPr>
            <w:t>有资本经营预算支出决算表</w:t>
          </w:r>
          <w:r>
            <w:rPr>
              <w:sz w:val="24"/>
              <w:szCs w:val="24"/>
            </w:rPr>
            <w:tab/>
          </w:r>
          <w:r>
            <w:rPr>
              <w:sz w:val="24"/>
              <w:szCs w:val="24"/>
            </w:rPr>
            <w:fldChar w:fldCharType="begin"/>
          </w:r>
          <w:r>
            <w:rPr>
              <w:sz w:val="24"/>
              <w:szCs w:val="24"/>
            </w:rPr>
            <w:instrText xml:space="preserve"> PAGEREF _Toc13100 </w:instrText>
          </w:r>
          <w:r>
            <w:rPr>
              <w:sz w:val="24"/>
              <w:szCs w:val="24"/>
            </w:rPr>
            <w:fldChar w:fldCharType="separate"/>
          </w:r>
          <w:r>
            <w:rPr>
              <w:sz w:val="24"/>
              <w:szCs w:val="24"/>
            </w:rPr>
            <w:t>26</w:t>
          </w:r>
          <w:r>
            <w:rPr>
              <w:sz w:val="24"/>
              <w:szCs w:val="24"/>
            </w:rPr>
            <w:fldChar w:fldCharType="end"/>
          </w:r>
          <w:r>
            <w:rPr>
              <w:rFonts w:ascii="方正小标宋简体" w:hAnsi="宋体" w:eastAsia="方正小标宋简体"/>
              <w:color w:val="000000"/>
              <w:sz w:val="24"/>
              <w:szCs w:val="24"/>
            </w:rPr>
            <w:fldChar w:fldCharType="end"/>
          </w:r>
          <w:r>
            <w:rPr>
              <w:rFonts w:ascii="方正小标宋简体" w:hAnsi="宋体" w:eastAsia="方正小标宋简体"/>
              <w:color w:val="000000"/>
              <w:szCs w:val="72"/>
            </w:rPr>
            <w:fldChar w:fldCharType="end"/>
          </w:r>
        </w:p>
      </w:sdtContent>
    </w:sdt>
    <w:p/>
    <w:p>
      <w:pPr>
        <w:pStyle w:val="2"/>
        <w:jc w:val="center"/>
        <w:rPr>
          <w:rFonts w:hint="eastAsia" w:ascii="黑体" w:hAnsi="黑体" w:eastAsia="黑体"/>
          <w:b w:val="0"/>
        </w:rPr>
        <w:sectPr>
          <w:footerReference r:id="rId7" w:type="first"/>
          <w:footerReference r:id="rId6" w:type="default"/>
          <w:pgSz w:w="11906" w:h="16838"/>
          <w:pgMar w:top="1440" w:right="1800" w:bottom="1440" w:left="1800" w:header="851" w:footer="992" w:gutter="0"/>
          <w:pgNumType w:start="1"/>
          <w:cols w:space="425" w:num="1"/>
          <w:titlePg/>
          <w:docGrid w:type="lines" w:linePitch="312" w:charSpace="0"/>
        </w:sectPr>
      </w:pPr>
      <w:bookmarkStart w:id="14" w:name="_Toc26323"/>
      <w:bookmarkStart w:id="15" w:name="_Toc15396599"/>
      <w:bookmarkStart w:id="16" w:name="_Toc15377196"/>
    </w:p>
    <w:p>
      <w:pPr>
        <w:pStyle w:val="2"/>
        <w:jc w:val="center"/>
        <w:rPr>
          <w:rStyle w:val="14"/>
          <w:rFonts w:ascii="黑体" w:hAnsi="黑体" w:eastAsia="黑体"/>
          <w:b/>
          <w:bCs w:val="0"/>
        </w:rPr>
      </w:pPr>
      <w:r>
        <w:rPr>
          <w:rFonts w:hint="eastAsia" w:ascii="黑体" w:hAnsi="黑体" w:eastAsia="黑体"/>
          <w:b w:val="0"/>
        </w:rPr>
        <w:t xml:space="preserve">第一部分 </w:t>
      </w:r>
      <w:r>
        <w:rPr>
          <w:rStyle w:val="14"/>
          <w:rFonts w:hint="eastAsia" w:ascii="黑体" w:hAnsi="黑体" w:eastAsia="黑体"/>
          <w:b w:val="0"/>
          <w:bCs w:val="0"/>
        </w:rPr>
        <w:t>部门概况</w:t>
      </w:r>
      <w:bookmarkEnd w:id="14"/>
      <w:bookmarkEnd w:id="15"/>
      <w:bookmarkEnd w:id="16"/>
    </w:p>
    <w:p>
      <w:pPr>
        <w:widowControl/>
        <w:jc w:val="left"/>
        <w:rPr>
          <w:rFonts w:ascii="黑体" w:eastAsia="黑体"/>
          <w:color w:val="000000"/>
          <w:sz w:val="32"/>
          <w:szCs w:val="32"/>
        </w:rPr>
      </w:pPr>
    </w:p>
    <w:p>
      <w:pPr>
        <w:pStyle w:val="3"/>
        <w:rPr>
          <w:rStyle w:val="15"/>
          <w:rFonts w:ascii="仿宋" w:hAnsi="仿宋" w:eastAsia="仿宋"/>
          <w:b w:val="0"/>
          <w:bCs w:val="0"/>
        </w:rPr>
      </w:pPr>
      <w:bookmarkStart w:id="17" w:name="_Toc15396600"/>
      <w:bookmarkStart w:id="18" w:name="_Toc9502"/>
      <w:bookmarkStart w:id="19" w:name="_Toc15377197"/>
      <w:r>
        <w:rPr>
          <w:rFonts w:hint="eastAsia" w:ascii="黑体" w:hAnsi="黑体" w:eastAsia="黑体"/>
          <w:b w:val="0"/>
          <w:color w:val="000000"/>
        </w:rPr>
        <w:t>一、基</w:t>
      </w:r>
      <w:r>
        <w:rPr>
          <w:rStyle w:val="15"/>
          <w:rFonts w:hint="eastAsia" w:ascii="黑体" w:hAnsi="黑体" w:eastAsia="黑体"/>
          <w:b w:val="0"/>
          <w:bCs w:val="0"/>
        </w:rPr>
        <w:t>本职能及主要工作</w:t>
      </w:r>
      <w:bookmarkEnd w:id="17"/>
      <w:bookmarkEnd w:id="18"/>
      <w:bookmarkEnd w:id="19"/>
    </w:p>
    <w:p>
      <w:pPr>
        <w:pStyle w:val="4"/>
        <w:keepNext w:val="0"/>
        <w:keepLines w:val="0"/>
        <w:pageBreakBefore w:val="0"/>
        <w:widowControl w:val="0"/>
        <w:kinsoku/>
        <w:wordWrap/>
        <w:overflowPunct/>
        <w:topLinePunct w:val="0"/>
        <w:autoSpaceDE/>
        <w:autoSpaceDN/>
        <w:bidi w:val="0"/>
        <w:adjustRightInd w:val="0"/>
        <w:snapToGrid w:val="0"/>
        <w:spacing w:before="93" w:line="600" w:lineRule="exact"/>
        <w:ind w:firstLine="672" w:firstLineChars="210"/>
        <w:textAlignment w:val="auto"/>
        <w:outlineLvl w:val="9"/>
        <w:rPr>
          <w:rFonts w:hint="eastAsia" w:ascii="仿宋" w:hAnsi="仿宋" w:eastAsia="仿宋"/>
          <w:bCs/>
          <w:color w:val="000000"/>
          <w:sz w:val="32"/>
          <w:szCs w:val="32"/>
        </w:rPr>
      </w:pPr>
      <w:bookmarkStart w:id="20" w:name="_Toc9305"/>
      <w:bookmarkStart w:id="21" w:name="_Toc15377198"/>
      <w:bookmarkStart w:id="22" w:name="_Toc15378445"/>
      <w:r>
        <w:rPr>
          <w:rFonts w:hint="eastAsia" w:ascii="仿宋" w:hAnsi="仿宋" w:eastAsia="仿宋"/>
          <w:bCs/>
          <w:color w:val="000000"/>
          <w:sz w:val="32"/>
          <w:szCs w:val="32"/>
        </w:rPr>
        <w:t>（一）主要职能。</w:t>
      </w:r>
      <w:bookmarkEnd w:id="20"/>
      <w:bookmarkEnd w:id="21"/>
      <w:bookmarkEnd w:id="22"/>
    </w:p>
    <w:p>
      <w:pPr>
        <w:pStyle w:val="4"/>
        <w:keepNext w:val="0"/>
        <w:keepLines w:val="0"/>
        <w:pageBreakBefore w:val="0"/>
        <w:widowControl w:val="0"/>
        <w:kinsoku/>
        <w:wordWrap/>
        <w:overflowPunct/>
        <w:topLinePunct w:val="0"/>
        <w:autoSpaceDE/>
        <w:autoSpaceDN/>
        <w:bidi w:val="0"/>
        <w:adjustRightInd w:val="0"/>
        <w:snapToGrid w:val="0"/>
        <w:spacing w:before="93" w:line="600" w:lineRule="exact"/>
        <w:ind w:firstLine="672" w:firstLineChars="210"/>
        <w:textAlignment w:val="auto"/>
        <w:outlineLvl w:val="9"/>
        <w:rPr>
          <w:rFonts w:hint="eastAsia" w:ascii="仿宋" w:hAnsi="仿宋" w:eastAsia="仿宋" w:cs="Times New Roman"/>
          <w:kern w:val="2"/>
          <w:sz w:val="32"/>
          <w:szCs w:val="32"/>
          <w:lang w:val="en-US" w:eastAsia="zh-CN" w:bidi="ar-SA"/>
        </w:rPr>
      </w:pPr>
      <w:bookmarkStart w:id="23" w:name="_Toc7358"/>
      <w:r>
        <w:rPr>
          <w:rFonts w:hint="eastAsia" w:ascii="仿宋" w:hAnsi="仿宋" w:eastAsia="仿宋" w:cs="Times New Roman"/>
          <w:kern w:val="2"/>
          <w:sz w:val="32"/>
          <w:szCs w:val="32"/>
          <w:lang w:val="en-US" w:eastAsia="zh-CN" w:bidi="ar-SA"/>
        </w:rPr>
        <w:t>我单位为四川省化工地质勘查院，根据国家《矿产资源法》和相关法律、法规、政策，按照国家西部发展规划和产业政策，为国民经济发展，地方社会经济建设需求及进一步开发西部的需要，提供和开展矿产资源地质调查、</w:t>
      </w:r>
      <w:r>
        <w:rPr>
          <w:rFonts w:hint="eastAsia" w:ascii="仿宋" w:hAnsi="仿宋" w:eastAsia="仿宋" w:cs="Times New Roman"/>
          <w:kern w:val="2"/>
          <w:sz w:val="32"/>
          <w:szCs w:val="32"/>
          <w:lang w:val="en-US" w:eastAsia="zh-CN" w:bidi="ar-SA"/>
        </w:rPr>
        <w:fldChar w:fldCharType="begin"/>
      </w:r>
      <w:r>
        <w:rPr>
          <w:rFonts w:hint="eastAsia" w:ascii="仿宋" w:hAnsi="仿宋" w:eastAsia="仿宋" w:cs="Times New Roman"/>
          <w:kern w:val="2"/>
          <w:sz w:val="32"/>
          <w:szCs w:val="32"/>
          <w:lang w:val="en-US" w:eastAsia="zh-CN" w:bidi="ar-SA"/>
        </w:rPr>
        <w:instrText xml:space="preserve"> HYPERLINK "http://baike.baidu.com/view/1519345.htm" \t "http://baike.baidu.com/_blank" </w:instrText>
      </w:r>
      <w:r>
        <w:rPr>
          <w:rFonts w:hint="eastAsia" w:ascii="仿宋" w:hAnsi="仿宋" w:eastAsia="仿宋" w:cs="Times New Roman"/>
          <w:kern w:val="2"/>
          <w:sz w:val="32"/>
          <w:szCs w:val="32"/>
          <w:lang w:val="en-US" w:eastAsia="zh-CN" w:bidi="ar-SA"/>
        </w:rPr>
        <w:fldChar w:fldCharType="separate"/>
      </w:r>
      <w:r>
        <w:rPr>
          <w:rFonts w:hint="eastAsia" w:ascii="仿宋" w:hAnsi="仿宋" w:eastAsia="仿宋" w:cs="Times New Roman"/>
          <w:kern w:val="2"/>
          <w:sz w:val="32"/>
          <w:szCs w:val="32"/>
          <w:lang w:val="en-US" w:eastAsia="zh-CN" w:bidi="ar-SA"/>
        </w:rPr>
        <w:t>勘查</w:t>
      </w:r>
      <w:r>
        <w:rPr>
          <w:rFonts w:hint="eastAsia" w:ascii="仿宋" w:hAnsi="仿宋" w:eastAsia="仿宋" w:cs="Times New Roman"/>
          <w:kern w:val="2"/>
          <w:sz w:val="32"/>
          <w:szCs w:val="32"/>
          <w:lang w:val="en-US" w:eastAsia="zh-CN" w:bidi="ar-SA"/>
        </w:rPr>
        <w:fldChar w:fldCharType="end"/>
      </w:r>
      <w:r>
        <w:rPr>
          <w:rFonts w:hint="eastAsia" w:ascii="仿宋" w:hAnsi="仿宋" w:eastAsia="仿宋" w:cs="Times New Roman"/>
          <w:kern w:val="2"/>
          <w:sz w:val="32"/>
          <w:szCs w:val="32"/>
          <w:lang w:val="en-US" w:eastAsia="zh-CN" w:bidi="ar-SA"/>
        </w:rPr>
        <w:t>、找矿、</w:t>
      </w:r>
      <w:r>
        <w:rPr>
          <w:rFonts w:hint="eastAsia" w:ascii="仿宋" w:hAnsi="仿宋" w:eastAsia="仿宋" w:cs="Times New Roman"/>
          <w:kern w:val="2"/>
          <w:sz w:val="32"/>
          <w:szCs w:val="32"/>
          <w:lang w:val="en-US" w:eastAsia="zh-CN" w:bidi="ar-SA"/>
        </w:rPr>
        <w:fldChar w:fldCharType="begin"/>
      </w:r>
      <w:r>
        <w:rPr>
          <w:rFonts w:hint="eastAsia" w:ascii="仿宋" w:hAnsi="仿宋" w:eastAsia="仿宋" w:cs="Times New Roman"/>
          <w:kern w:val="2"/>
          <w:sz w:val="32"/>
          <w:szCs w:val="32"/>
          <w:lang w:val="en-US" w:eastAsia="zh-CN" w:bidi="ar-SA"/>
        </w:rPr>
        <w:instrText xml:space="preserve"> HYPERLINK "http://baike.baidu.com/view/22189.htm" \t "http://baike.baidu.com/_blank" </w:instrText>
      </w:r>
      <w:r>
        <w:rPr>
          <w:rFonts w:hint="eastAsia" w:ascii="仿宋" w:hAnsi="仿宋" w:eastAsia="仿宋" w:cs="Times New Roman"/>
          <w:kern w:val="2"/>
          <w:sz w:val="32"/>
          <w:szCs w:val="32"/>
          <w:lang w:val="en-US" w:eastAsia="zh-CN" w:bidi="ar-SA"/>
        </w:rPr>
        <w:fldChar w:fldCharType="separate"/>
      </w:r>
      <w:r>
        <w:rPr>
          <w:rFonts w:hint="eastAsia" w:ascii="仿宋" w:hAnsi="仿宋" w:eastAsia="仿宋" w:cs="Times New Roman"/>
          <w:kern w:val="2"/>
          <w:sz w:val="32"/>
          <w:szCs w:val="32"/>
          <w:lang w:val="en-US" w:eastAsia="zh-CN" w:bidi="ar-SA"/>
        </w:rPr>
        <w:t>水文</w:t>
      </w:r>
      <w:r>
        <w:rPr>
          <w:rFonts w:hint="eastAsia" w:ascii="仿宋" w:hAnsi="仿宋" w:eastAsia="仿宋" w:cs="Times New Roman"/>
          <w:kern w:val="2"/>
          <w:sz w:val="32"/>
          <w:szCs w:val="32"/>
          <w:lang w:val="en-US" w:eastAsia="zh-CN" w:bidi="ar-SA"/>
        </w:rPr>
        <w:fldChar w:fldCharType="end"/>
      </w:r>
      <w:r>
        <w:rPr>
          <w:rFonts w:hint="eastAsia" w:ascii="仿宋" w:hAnsi="仿宋" w:eastAsia="仿宋" w:cs="Times New Roman"/>
          <w:kern w:val="2"/>
          <w:sz w:val="32"/>
          <w:szCs w:val="32"/>
          <w:lang w:val="en-US" w:eastAsia="zh-CN" w:bidi="ar-SA"/>
        </w:rPr>
        <w:t>地质勘察，地形地质测绘、</w:t>
      </w:r>
      <w:r>
        <w:rPr>
          <w:rFonts w:hint="eastAsia" w:ascii="仿宋" w:hAnsi="仿宋" w:eastAsia="仿宋" w:cs="Times New Roman"/>
          <w:kern w:val="2"/>
          <w:sz w:val="32"/>
          <w:szCs w:val="32"/>
          <w:lang w:val="en-US" w:eastAsia="zh-CN" w:bidi="ar-SA"/>
        </w:rPr>
        <w:fldChar w:fldCharType="begin"/>
      </w:r>
      <w:r>
        <w:rPr>
          <w:rFonts w:hint="eastAsia" w:ascii="仿宋" w:hAnsi="仿宋" w:eastAsia="仿宋" w:cs="Times New Roman"/>
          <w:kern w:val="2"/>
          <w:sz w:val="32"/>
          <w:szCs w:val="32"/>
          <w:lang w:val="en-US" w:eastAsia="zh-CN" w:bidi="ar-SA"/>
        </w:rPr>
        <w:instrText xml:space="preserve"> HYPERLINK "http://baike.baidu.com/view/48840.htm" \t "http://baike.baidu.com/_blank" </w:instrText>
      </w:r>
      <w:r>
        <w:rPr>
          <w:rFonts w:hint="eastAsia" w:ascii="仿宋" w:hAnsi="仿宋" w:eastAsia="仿宋" w:cs="Times New Roman"/>
          <w:kern w:val="2"/>
          <w:sz w:val="32"/>
          <w:szCs w:val="32"/>
          <w:lang w:val="en-US" w:eastAsia="zh-CN" w:bidi="ar-SA"/>
        </w:rPr>
        <w:fldChar w:fldCharType="separate"/>
      </w:r>
      <w:r>
        <w:rPr>
          <w:rFonts w:hint="eastAsia" w:ascii="仿宋" w:hAnsi="仿宋" w:eastAsia="仿宋" w:cs="Times New Roman"/>
          <w:kern w:val="2"/>
          <w:sz w:val="32"/>
          <w:szCs w:val="32"/>
          <w:lang w:val="en-US" w:eastAsia="zh-CN" w:bidi="ar-SA"/>
        </w:rPr>
        <w:t>工程</w:t>
      </w:r>
      <w:r>
        <w:rPr>
          <w:rFonts w:hint="eastAsia" w:ascii="仿宋" w:hAnsi="仿宋" w:eastAsia="仿宋" w:cs="Times New Roman"/>
          <w:kern w:val="2"/>
          <w:sz w:val="32"/>
          <w:szCs w:val="32"/>
          <w:lang w:val="en-US" w:eastAsia="zh-CN" w:bidi="ar-SA"/>
        </w:rPr>
        <w:fldChar w:fldCharType="end"/>
      </w:r>
      <w:r>
        <w:rPr>
          <w:rFonts w:hint="eastAsia" w:ascii="仿宋" w:hAnsi="仿宋" w:eastAsia="仿宋" w:cs="Times New Roman"/>
          <w:kern w:val="2"/>
          <w:sz w:val="32"/>
          <w:szCs w:val="32"/>
          <w:lang w:val="en-US" w:eastAsia="zh-CN" w:bidi="ar-SA"/>
        </w:rPr>
        <w:t>测量、地质灾害危险性评价，地质</w:t>
      </w:r>
      <w:r>
        <w:rPr>
          <w:rFonts w:hint="eastAsia" w:ascii="仿宋" w:hAnsi="仿宋" w:eastAsia="仿宋" w:cs="Times New Roman"/>
          <w:kern w:val="2"/>
          <w:sz w:val="32"/>
          <w:szCs w:val="32"/>
          <w:lang w:val="en-US" w:eastAsia="zh-CN" w:bidi="ar-SA"/>
        </w:rPr>
        <w:fldChar w:fldCharType="begin"/>
      </w:r>
      <w:r>
        <w:rPr>
          <w:rFonts w:hint="eastAsia" w:ascii="仿宋" w:hAnsi="仿宋" w:eastAsia="仿宋" w:cs="Times New Roman"/>
          <w:kern w:val="2"/>
          <w:sz w:val="32"/>
          <w:szCs w:val="32"/>
          <w:lang w:val="en-US" w:eastAsia="zh-CN" w:bidi="ar-SA"/>
        </w:rPr>
        <w:instrText xml:space="preserve"> HYPERLINK "http://baike.baidu.com/view/13655.htm" \t "http://baike.baidu.com/_blank" </w:instrText>
      </w:r>
      <w:r>
        <w:rPr>
          <w:rFonts w:hint="eastAsia" w:ascii="仿宋" w:hAnsi="仿宋" w:eastAsia="仿宋" w:cs="Times New Roman"/>
          <w:kern w:val="2"/>
          <w:sz w:val="32"/>
          <w:szCs w:val="32"/>
          <w:lang w:val="en-US" w:eastAsia="zh-CN" w:bidi="ar-SA"/>
        </w:rPr>
        <w:fldChar w:fldCharType="separate"/>
      </w:r>
      <w:r>
        <w:rPr>
          <w:rFonts w:hint="eastAsia" w:ascii="仿宋" w:hAnsi="仿宋" w:eastAsia="仿宋" w:cs="Times New Roman"/>
          <w:kern w:val="2"/>
          <w:sz w:val="32"/>
          <w:szCs w:val="32"/>
          <w:lang w:val="en-US" w:eastAsia="zh-CN" w:bidi="ar-SA"/>
        </w:rPr>
        <w:t>环境</w:t>
      </w:r>
      <w:r>
        <w:rPr>
          <w:rFonts w:hint="eastAsia" w:ascii="仿宋" w:hAnsi="仿宋" w:eastAsia="仿宋" w:cs="Times New Roman"/>
          <w:kern w:val="2"/>
          <w:sz w:val="32"/>
          <w:szCs w:val="32"/>
          <w:lang w:val="en-US" w:eastAsia="zh-CN" w:bidi="ar-SA"/>
        </w:rPr>
        <w:fldChar w:fldCharType="end"/>
      </w:r>
      <w:r>
        <w:rPr>
          <w:rFonts w:hint="eastAsia" w:ascii="仿宋" w:hAnsi="仿宋" w:eastAsia="仿宋" w:cs="Times New Roman"/>
          <w:kern w:val="2"/>
          <w:sz w:val="32"/>
          <w:szCs w:val="32"/>
          <w:lang w:val="en-US" w:eastAsia="zh-CN" w:bidi="ar-SA"/>
        </w:rPr>
        <w:t>影响评价等专业服务。</w:t>
      </w:r>
      <w:bookmarkEnd w:id="23"/>
    </w:p>
    <w:p>
      <w:pPr>
        <w:pStyle w:val="4"/>
        <w:keepNext w:val="0"/>
        <w:keepLines w:val="0"/>
        <w:pageBreakBefore w:val="0"/>
        <w:widowControl w:val="0"/>
        <w:kinsoku/>
        <w:wordWrap/>
        <w:overflowPunct/>
        <w:topLinePunct w:val="0"/>
        <w:autoSpaceDE/>
        <w:autoSpaceDN/>
        <w:bidi w:val="0"/>
        <w:adjustRightInd w:val="0"/>
        <w:snapToGrid w:val="0"/>
        <w:spacing w:before="93" w:line="600" w:lineRule="exact"/>
        <w:ind w:firstLine="672" w:firstLineChars="210"/>
        <w:textAlignment w:val="auto"/>
        <w:outlineLvl w:val="9"/>
        <w:rPr>
          <w:rFonts w:hint="eastAsia" w:ascii="仿宋" w:hAnsi="仿宋" w:eastAsia="仿宋"/>
          <w:bCs/>
          <w:color w:val="000000"/>
          <w:sz w:val="32"/>
          <w:szCs w:val="32"/>
        </w:rPr>
      </w:pPr>
      <w:bookmarkStart w:id="24" w:name="_Toc15377199"/>
      <w:bookmarkStart w:id="25" w:name="_Toc15378446"/>
      <w:bookmarkStart w:id="26" w:name="_Toc9217"/>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24"/>
      <w:bookmarkEnd w:id="25"/>
      <w:bookmarkEnd w:id="26"/>
    </w:p>
    <w:p>
      <w:pPr>
        <w:spacing w:line="560" w:lineRule="exact"/>
        <w:ind w:firstLine="576" w:firstLineChars="18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地质勘查是我院的主营业务，也是立院之本。2019年全年，我院总共起草并签订地质类合同协议41项，合同金额402.39万元。其中地质调查、矿产勘查类合同13项，合同金额78.51万；水工环调查、土地复垦类合同20项，合同金额194.7万元；岩土工程勘察类合同5项，合同金额117.5万元；样品检测技术服务类合同3项，合同金额11.68万元。起草并签订其他类合同20项，包括工程结算协议3项，技术工程服务及咨询类合同10项，物资采购类合同5项，租赁协议2项。</w:t>
      </w:r>
    </w:p>
    <w:p>
      <w:pPr>
        <w:pStyle w:val="4"/>
        <w:keepNext w:val="0"/>
        <w:keepLines w:val="0"/>
        <w:pageBreakBefore w:val="0"/>
        <w:widowControl w:val="0"/>
        <w:kinsoku/>
        <w:wordWrap/>
        <w:overflowPunct/>
        <w:topLinePunct w:val="0"/>
        <w:autoSpaceDE/>
        <w:autoSpaceDN/>
        <w:bidi w:val="0"/>
        <w:adjustRightInd w:val="0"/>
        <w:snapToGrid w:val="0"/>
        <w:spacing w:before="93" w:line="600" w:lineRule="exact"/>
        <w:ind w:firstLine="672" w:firstLineChars="210"/>
        <w:textAlignment w:val="auto"/>
        <w:outlineLvl w:val="9"/>
        <w:rPr>
          <w:rFonts w:hint="eastAsia" w:ascii="仿宋" w:hAnsi="仿宋" w:eastAsia="仿宋"/>
          <w:bCs/>
          <w:color w:val="000000"/>
          <w:sz w:val="32"/>
          <w:szCs w:val="32"/>
        </w:rPr>
      </w:pPr>
    </w:p>
    <w:p>
      <w:pPr>
        <w:pStyle w:val="3"/>
        <w:rPr>
          <w:rStyle w:val="15"/>
          <w:b w:val="0"/>
          <w:bCs w:val="0"/>
        </w:rPr>
      </w:pPr>
      <w:bookmarkStart w:id="27" w:name="_Toc15396601"/>
      <w:bookmarkStart w:id="28" w:name="_Toc15377200"/>
      <w:bookmarkStart w:id="29" w:name="_Toc1235"/>
      <w:r>
        <w:rPr>
          <w:rFonts w:hint="eastAsia" w:ascii="黑体" w:eastAsia="黑体"/>
          <w:b w:val="0"/>
          <w:color w:val="000000"/>
        </w:rPr>
        <w:t>二、</w:t>
      </w:r>
      <w:r>
        <w:rPr>
          <w:rFonts w:hint="eastAsia" w:ascii="黑体" w:hAnsi="黑体" w:eastAsia="黑体"/>
          <w:b w:val="0"/>
          <w:color w:val="000000"/>
        </w:rPr>
        <w:t>机</w:t>
      </w:r>
      <w:r>
        <w:rPr>
          <w:rStyle w:val="15"/>
          <w:rFonts w:hint="eastAsia" w:ascii="黑体" w:hAnsi="黑体" w:eastAsia="黑体"/>
          <w:b w:val="0"/>
          <w:bCs w:val="0"/>
        </w:rPr>
        <w:t>构设置</w:t>
      </w:r>
      <w:bookmarkEnd w:id="27"/>
      <w:bookmarkEnd w:id="28"/>
      <w:bookmarkEnd w:id="29"/>
    </w:p>
    <w:p>
      <w:pPr>
        <w:ind w:firstLine="800" w:firstLineChars="250"/>
        <w:rPr>
          <w:rFonts w:ascii="仿宋" w:hAnsi="仿宋" w:eastAsia="仿宋"/>
          <w:sz w:val="32"/>
          <w:szCs w:val="32"/>
        </w:rPr>
      </w:pPr>
      <w:r>
        <w:rPr>
          <w:rFonts w:hint="eastAsia" w:ascii="仿宋" w:hAnsi="仿宋" w:eastAsia="仿宋"/>
          <w:sz w:val="32"/>
          <w:szCs w:val="32"/>
        </w:rPr>
        <w:t>四川省化工地质勘查院属一级预算单位，无下属二级预算单位。</w:t>
      </w:r>
    </w:p>
    <w:p>
      <w:pPr>
        <w:pStyle w:val="4"/>
        <w:adjustRightInd w:val="0"/>
        <w:snapToGrid w:val="0"/>
        <w:spacing w:before="93" w:line="600" w:lineRule="exact"/>
        <w:ind w:firstLine="1120" w:firstLineChars="350"/>
        <w:rPr>
          <w:rFonts w:ascii="仿宋" w:hAnsi="仿宋" w:eastAsia="仿宋"/>
          <w:color w:val="000000"/>
          <w:sz w:val="32"/>
          <w:szCs w:val="32"/>
        </w:rPr>
      </w:pP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right"/>
        <w:rPr>
          <w:rStyle w:val="14"/>
          <w:rFonts w:ascii="黑体" w:hAnsi="黑体" w:eastAsia="黑体"/>
          <w:b w:val="0"/>
          <w:bCs w:val="0"/>
        </w:rPr>
      </w:pPr>
      <w:bookmarkStart w:id="30" w:name="_Toc26297"/>
      <w:bookmarkStart w:id="31" w:name="_Toc15377204"/>
      <w:bookmarkStart w:id="32" w:name="_Toc15396602"/>
      <w:r>
        <w:rPr>
          <w:rFonts w:hint="eastAsia" w:ascii="黑体" w:hAnsi="黑体" w:eastAsia="黑体"/>
          <w:b w:val="0"/>
          <w:color w:val="000000"/>
        </w:rPr>
        <w:t>第二部分</w:t>
      </w:r>
      <w:r>
        <w:rPr>
          <w:rFonts w:hint="eastAsia" w:ascii="黑体" w:hAnsi="黑体" w:eastAsia="黑体"/>
          <w:color w:val="000000"/>
        </w:rPr>
        <w:t xml:space="preserve"> </w:t>
      </w:r>
      <w:r>
        <w:rPr>
          <w:rStyle w:val="14"/>
          <w:rFonts w:hint="eastAsia" w:ascii="黑体" w:hAnsi="黑体" w:eastAsia="黑体"/>
          <w:b w:val="0"/>
          <w:bCs w:val="0"/>
        </w:rPr>
        <w:t>2019年度部门决算情况说明</w:t>
      </w:r>
      <w:bookmarkEnd w:id="30"/>
      <w:bookmarkEnd w:id="31"/>
      <w:bookmarkEnd w:id="32"/>
    </w:p>
    <w:p/>
    <w:p>
      <w:pPr>
        <w:pStyle w:val="16"/>
        <w:numPr>
          <w:ilvl w:val="0"/>
          <w:numId w:val="1"/>
        </w:numPr>
        <w:spacing w:line="600" w:lineRule="exact"/>
        <w:ind w:firstLineChars="0"/>
        <w:outlineLvl w:val="1"/>
        <w:rPr>
          <w:rStyle w:val="15"/>
          <w:rFonts w:ascii="黑体" w:hAnsi="黑体" w:eastAsia="黑体"/>
          <w:b w:val="0"/>
        </w:rPr>
      </w:pPr>
      <w:bookmarkStart w:id="33" w:name="_Toc15377205"/>
      <w:bookmarkStart w:id="34" w:name="_Toc15206"/>
      <w:bookmarkStart w:id="35" w:name="_Toc15396603"/>
      <w:r>
        <w:rPr>
          <w:rFonts w:hint="eastAsia" w:ascii="黑体" w:hAnsi="黑体" w:eastAsia="黑体"/>
          <w:color w:val="000000"/>
          <w:sz w:val="32"/>
          <w:szCs w:val="32"/>
        </w:rPr>
        <w:t>收</w:t>
      </w:r>
      <w:r>
        <w:rPr>
          <w:rStyle w:val="15"/>
          <w:rFonts w:hint="eastAsia" w:ascii="黑体" w:hAnsi="黑体" w:eastAsia="黑体"/>
          <w:b w:val="0"/>
        </w:rPr>
        <w:t>入支出决算总体情况说明</w:t>
      </w:r>
      <w:bookmarkEnd w:id="33"/>
      <w:bookmarkEnd w:id="34"/>
      <w:bookmarkEnd w:id="35"/>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w:t>
      </w:r>
      <w:r>
        <w:rPr>
          <w:rFonts w:hint="eastAsia" w:ascii="仿宋" w:hAnsi="仿宋" w:eastAsia="仿宋"/>
          <w:color w:val="000000"/>
          <w:sz w:val="32"/>
          <w:szCs w:val="32"/>
          <w:lang w:val="en-US" w:eastAsia="zh-CN"/>
        </w:rPr>
        <w:t>19</w:t>
      </w:r>
      <w:r>
        <w:rPr>
          <w:rFonts w:hint="eastAsia" w:ascii="仿宋" w:hAnsi="仿宋" w:eastAsia="仿宋"/>
          <w:color w:val="000000"/>
          <w:sz w:val="32"/>
          <w:szCs w:val="32"/>
        </w:rPr>
        <w:t>年度收入总计1</w:t>
      </w:r>
      <w:r>
        <w:rPr>
          <w:rFonts w:hint="eastAsia" w:ascii="仿宋" w:hAnsi="仿宋" w:eastAsia="仿宋"/>
          <w:color w:val="000000"/>
          <w:sz w:val="32"/>
          <w:szCs w:val="32"/>
          <w:lang w:val="en-US" w:eastAsia="zh-CN"/>
        </w:rPr>
        <w:t>447.34</w:t>
      </w:r>
      <w:r>
        <w:rPr>
          <w:rFonts w:hint="eastAsia" w:ascii="仿宋" w:hAnsi="仿宋" w:eastAsia="仿宋"/>
          <w:color w:val="000000"/>
          <w:sz w:val="32"/>
          <w:szCs w:val="32"/>
        </w:rPr>
        <w:t>万元，与201</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年相比，收入总计减少</w:t>
      </w:r>
      <w:r>
        <w:rPr>
          <w:rFonts w:hint="eastAsia" w:ascii="仿宋" w:hAnsi="仿宋" w:eastAsia="仿宋"/>
          <w:color w:val="000000"/>
          <w:sz w:val="32"/>
          <w:szCs w:val="32"/>
          <w:lang w:val="en-US" w:eastAsia="zh-CN"/>
        </w:rPr>
        <w:t>145.37</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9</w:t>
      </w:r>
      <w:r>
        <w:rPr>
          <w:rFonts w:ascii="仿宋" w:hAnsi="仿宋" w:eastAsia="仿宋"/>
          <w:color w:val="000000"/>
          <w:sz w:val="32"/>
          <w:szCs w:val="32"/>
        </w:rPr>
        <w:t>%</w:t>
      </w:r>
      <w:r>
        <w:rPr>
          <w:rFonts w:hint="eastAsia" w:ascii="仿宋" w:hAnsi="仿宋" w:eastAsia="仿宋"/>
          <w:color w:val="000000"/>
          <w:sz w:val="32"/>
          <w:szCs w:val="32"/>
        </w:rPr>
        <w:t>。主要变动原因是201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年度单位严格预算压缩日常公用经费。</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年度支出总计1</w:t>
      </w:r>
      <w:r>
        <w:rPr>
          <w:rFonts w:hint="eastAsia" w:ascii="仿宋" w:hAnsi="仿宋" w:eastAsia="仿宋"/>
          <w:color w:val="000000"/>
          <w:sz w:val="32"/>
          <w:szCs w:val="32"/>
          <w:lang w:val="en-US" w:eastAsia="zh-CN"/>
        </w:rPr>
        <w:t>447.34</w:t>
      </w:r>
      <w:r>
        <w:rPr>
          <w:rFonts w:hint="eastAsia" w:ascii="仿宋" w:hAnsi="仿宋" w:eastAsia="仿宋"/>
          <w:color w:val="000000"/>
          <w:sz w:val="32"/>
          <w:szCs w:val="32"/>
        </w:rPr>
        <w:t>万元，与201</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年相比，支出总计减少</w:t>
      </w:r>
      <w:r>
        <w:rPr>
          <w:rFonts w:hint="eastAsia" w:ascii="仿宋" w:hAnsi="仿宋" w:eastAsia="仿宋"/>
          <w:color w:val="000000"/>
          <w:sz w:val="32"/>
          <w:szCs w:val="32"/>
          <w:lang w:val="en-US" w:eastAsia="zh-CN"/>
        </w:rPr>
        <w:t>145.37</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%。主要变动原因是201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年度收入减少，支出相应减少。</w:t>
      </w:r>
    </w:p>
    <w:p>
      <w:pPr>
        <w:spacing w:line="600" w:lineRule="exact"/>
        <w:ind w:firstLine="560" w:firstLineChars="200"/>
        <w:rPr>
          <w:rFonts w:hint="eastAsia" w:ascii="仿宋" w:hAnsi="仿宋" w:eastAsia="仿宋"/>
          <w:color w:val="000000"/>
          <w:sz w:val="32"/>
          <w:szCs w:val="32"/>
        </w:rPr>
      </w:pPr>
      <w:r>
        <w:rPr>
          <w:rFonts w:ascii="仿宋_GB2312" w:hAnsi="仿宋" w:eastAsia="仿宋_GB2312" w:cs="仿宋"/>
          <w:color w:val="000000"/>
          <w:sz w:val="28"/>
          <w:szCs w:val="28"/>
        </w:rPr>
        <w:pict>
          <v:shape id="_x0000_s1026" o:spid="_x0000_s1026" o:spt="75" type="#_x0000_t75" style="position:absolute;left:0pt;margin-left:-50.2pt;margin-top:25.7pt;height:218.3pt;width:532.35pt;z-index:251660288;mso-width-relative:page;mso-height-relative:page;" o:ole="t" filled="f" o:preferrelative="t" stroked="f" coordsize="21600,21600">
            <v:path/>
            <v:fill on="f" focussize="0,0"/>
            <v:stroke on="f"/>
            <v:imagedata r:id="rId12" o:title=""/>
            <o:lock v:ext="edit" aspectratio="t"/>
          </v:shape>
          <o:OLEObject Type="Embed" ProgID="Excel.Sheet.8" ShapeID="_x0000_s1026" DrawAspect="Content" ObjectID="_1468075725" r:id="rId11">
            <o:LockedField>false</o:LockedField>
          </o:OLEObject>
        </w:pict>
      </w: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_GB2312" w:eastAsia="仿宋_GB2312"/>
          <w:color w:val="000000"/>
          <w:sz w:val="32"/>
          <w:szCs w:val="32"/>
        </w:rPr>
      </w:pPr>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：收、支决算总计变动情况图</w:t>
      </w:r>
      <w:r>
        <w:rPr>
          <w:rFonts w:hint="eastAsia" w:ascii="仿宋" w:hAnsi="仿宋" w:eastAsia="仿宋"/>
          <w:color w:val="000000" w:themeColor="text1"/>
          <w:sz w:val="32"/>
          <w:szCs w:val="32"/>
          <w:lang w:val="en-US" w:eastAsia="zh-CN"/>
          <w14:textFill>
            <w14:solidFill>
              <w14:schemeClr w14:val="tx1"/>
            </w14:solidFill>
          </w14:textFill>
        </w:rPr>
        <w:t xml:space="preserve">  金额：万元</w:t>
      </w:r>
      <w:r>
        <w:rPr>
          <w:rFonts w:hint="eastAsia" w:ascii="仿宋" w:hAnsi="仿宋" w:eastAsia="仿宋"/>
          <w:color w:val="000000" w:themeColor="text1"/>
          <w:sz w:val="32"/>
          <w:szCs w:val="32"/>
          <w14:textFill>
            <w14:solidFill>
              <w14:schemeClr w14:val="tx1"/>
            </w14:solidFill>
          </w14:textFill>
        </w:rPr>
        <w:t>）</w:t>
      </w:r>
    </w:p>
    <w:p>
      <w:pPr>
        <w:pStyle w:val="16"/>
        <w:numPr>
          <w:ilvl w:val="0"/>
          <w:numId w:val="1"/>
        </w:numPr>
        <w:spacing w:line="600" w:lineRule="exact"/>
        <w:ind w:firstLineChars="0"/>
        <w:outlineLvl w:val="1"/>
        <w:rPr>
          <w:rStyle w:val="15"/>
          <w:rFonts w:ascii="黑体" w:hAnsi="黑体" w:eastAsia="黑体"/>
          <w:b w:val="0"/>
        </w:rPr>
      </w:pPr>
      <w:bookmarkStart w:id="36" w:name="_Toc15396604"/>
      <w:bookmarkStart w:id="37" w:name="_Toc30706"/>
      <w:bookmarkStart w:id="38" w:name="_Toc15377206"/>
      <w:r>
        <w:rPr>
          <w:rFonts w:hint="eastAsia" w:ascii="黑体" w:hAnsi="黑体" w:eastAsia="黑体"/>
          <w:color w:val="000000"/>
          <w:sz w:val="32"/>
          <w:szCs w:val="32"/>
        </w:rPr>
        <w:t>收</w:t>
      </w:r>
      <w:r>
        <w:rPr>
          <w:rStyle w:val="15"/>
          <w:rFonts w:hint="eastAsia" w:ascii="黑体" w:hAnsi="黑体" w:eastAsia="黑体"/>
          <w:b w:val="0"/>
        </w:rPr>
        <w:t>入决算情况说明</w:t>
      </w:r>
      <w:bookmarkEnd w:id="36"/>
      <w:bookmarkEnd w:id="37"/>
      <w:bookmarkEnd w:id="38"/>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olor w:val="000000"/>
          <w:sz w:val="32"/>
          <w:szCs w:val="32"/>
          <w:lang w:val="en-US" w:eastAsia="zh-CN"/>
        </w:rPr>
      </w:pPr>
      <w:bookmarkStart w:id="39" w:name="_Toc21890"/>
      <w:r>
        <w:rPr>
          <w:rFonts w:ascii="仿宋" w:hAnsi="仿宋" w:eastAsia="仿宋"/>
          <w:color w:val="000000"/>
          <w:sz w:val="32"/>
          <w:szCs w:val="32"/>
        </w:rPr>
        <w:t>201</w:t>
      </w:r>
      <w:r>
        <w:rPr>
          <w:rFonts w:hint="eastAsia" w:ascii="仿宋" w:hAnsi="仿宋" w:eastAsia="仿宋"/>
          <w:color w:val="000000"/>
          <w:sz w:val="32"/>
          <w:szCs w:val="32"/>
        </w:rPr>
        <w:t>9年本年收入合计</w:t>
      </w:r>
      <w:r>
        <w:rPr>
          <w:rFonts w:hint="eastAsia" w:ascii="仿宋" w:hAnsi="仿宋" w:eastAsia="仿宋"/>
          <w:color w:val="000000"/>
          <w:sz w:val="32"/>
          <w:szCs w:val="32"/>
          <w:lang w:val="en-US" w:eastAsia="zh-CN"/>
        </w:rPr>
        <w:t>2991.43</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2480.36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82.92</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511.07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17.08</w:t>
      </w:r>
      <w:r>
        <w:rPr>
          <w:rFonts w:ascii="仿宋" w:hAnsi="仿宋" w:eastAsia="仿宋"/>
          <w:color w:val="000000"/>
          <w:sz w:val="32"/>
          <w:szCs w:val="32"/>
        </w:rPr>
        <w:t>%</w:t>
      </w:r>
      <w:r>
        <w:rPr>
          <w:rFonts w:hint="eastAsia" w:ascii="仿宋" w:hAnsi="仿宋" w:eastAsia="仿宋"/>
          <w:color w:val="000000"/>
          <w:sz w:val="32"/>
          <w:szCs w:val="32"/>
          <w:lang w:eastAsia="zh-CN"/>
        </w:rPr>
        <w:t>。</w:t>
      </w:r>
      <w:bookmarkEnd w:id="39"/>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仿宋" w:hAnsi="仿宋" w:eastAsia="仿宋"/>
          <w:color w:val="000000"/>
          <w:sz w:val="32"/>
          <w:szCs w:val="32"/>
        </w:rPr>
      </w:pPr>
      <w:r>
        <w:rPr>
          <w:rFonts w:hint="eastAsia" w:ascii="仿宋" w:hAnsi="仿宋" w:eastAsia="仿宋"/>
          <w:color w:val="000000"/>
          <w:sz w:val="32"/>
          <w:szCs w:val="32"/>
          <w:lang w:eastAsia="zh-CN"/>
        </w:rPr>
        <w:drawing>
          <wp:anchor distT="0" distB="0" distL="114300" distR="114300" simplePos="0" relativeHeight="251661312" behindDoc="0" locked="0" layoutInCell="1" allowOverlap="1">
            <wp:simplePos x="0" y="0"/>
            <wp:positionH relativeFrom="column">
              <wp:posOffset>135890</wp:posOffset>
            </wp:positionH>
            <wp:positionV relativeFrom="paragraph">
              <wp:posOffset>41275</wp:posOffset>
            </wp:positionV>
            <wp:extent cx="5113020" cy="3147695"/>
            <wp:effectExtent l="0" t="0" r="11430" b="14605"/>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color w:val="000000"/>
          <w:sz w:val="32"/>
          <w:szCs w:val="32"/>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960" w:firstLineChars="3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（图2：收入决算结构图  金额单位：万元）</w:t>
      </w:r>
    </w:p>
    <w:p>
      <w:pPr>
        <w:pStyle w:val="16"/>
        <w:numPr>
          <w:ilvl w:val="0"/>
          <w:numId w:val="1"/>
        </w:numPr>
        <w:spacing w:line="600" w:lineRule="exact"/>
        <w:ind w:firstLineChars="0"/>
        <w:outlineLvl w:val="1"/>
        <w:rPr>
          <w:rStyle w:val="15"/>
          <w:rFonts w:ascii="黑体" w:hAnsi="黑体" w:eastAsia="黑体"/>
          <w:b w:val="0"/>
        </w:rPr>
      </w:pPr>
      <w:bookmarkStart w:id="40" w:name="_Toc11626"/>
      <w:bookmarkStart w:id="41" w:name="_Toc15377207"/>
      <w:bookmarkStart w:id="42" w:name="_Toc15396605"/>
      <w:r>
        <w:rPr>
          <w:rFonts w:hint="eastAsia" w:ascii="黑体" w:hAnsi="黑体" w:eastAsia="黑体"/>
          <w:color w:val="000000"/>
          <w:sz w:val="32"/>
          <w:szCs w:val="32"/>
        </w:rPr>
        <w:t>支</w:t>
      </w:r>
      <w:r>
        <w:rPr>
          <w:rStyle w:val="15"/>
          <w:rFonts w:hint="eastAsia" w:ascii="黑体" w:hAnsi="黑体" w:eastAsia="黑体"/>
          <w:b w:val="0"/>
        </w:rPr>
        <w:t>出决算情况说明</w:t>
      </w:r>
      <w:bookmarkEnd w:id="40"/>
      <w:bookmarkEnd w:id="41"/>
      <w:bookmarkEnd w:id="42"/>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color w:val="000000"/>
          <w:sz w:val="32"/>
          <w:szCs w:val="32"/>
        </w:rPr>
      </w:pPr>
      <w:bookmarkStart w:id="43" w:name="_Toc24567"/>
      <w:r>
        <w:rPr>
          <w:rFonts w:ascii="仿宋" w:hAnsi="仿宋" w:eastAsia="仿宋"/>
          <w:color w:val="000000"/>
          <w:sz w:val="32"/>
          <w:szCs w:val="32"/>
        </w:rPr>
        <w:t>201</w:t>
      </w:r>
      <w:r>
        <w:rPr>
          <w:rFonts w:hint="eastAsia" w:ascii="仿宋" w:hAnsi="仿宋" w:eastAsia="仿宋"/>
          <w:color w:val="000000"/>
          <w:sz w:val="32"/>
          <w:szCs w:val="32"/>
        </w:rPr>
        <w:t>9年本年支出合计</w:t>
      </w:r>
      <w:r>
        <w:rPr>
          <w:rFonts w:hint="eastAsia" w:ascii="仿宋" w:hAnsi="仿宋" w:eastAsia="仿宋"/>
          <w:color w:val="000000"/>
          <w:sz w:val="32"/>
          <w:szCs w:val="32"/>
          <w:lang w:val="en-US" w:eastAsia="zh-CN"/>
        </w:rPr>
        <w:t>3088.18</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2417.36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78.28</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63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2.04</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607.82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19.68</w:t>
      </w:r>
      <w:r>
        <w:rPr>
          <w:rFonts w:ascii="仿宋" w:hAnsi="仿宋" w:eastAsia="仿宋"/>
          <w:color w:val="000000"/>
          <w:sz w:val="32"/>
          <w:szCs w:val="32"/>
        </w:rPr>
        <w:t>%</w:t>
      </w:r>
      <w:r>
        <w:rPr>
          <w:rFonts w:hint="eastAsia" w:ascii="仿宋" w:hAnsi="仿宋" w:eastAsia="仿宋"/>
          <w:color w:val="000000"/>
          <w:sz w:val="32"/>
          <w:szCs w:val="32"/>
        </w:rPr>
        <w:t>。</w:t>
      </w:r>
      <w:bookmarkEnd w:id="43"/>
    </w:p>
    <w:p>
      <w:pPr>
        <w:spacing w:line="600" w:lineRule="exact"/>
        <w:ind w:firstLine="640"/>
        <w:rPr>
          <w:rFonts w:ascii="仿宋" w:hAnsi="仿宋" w:eastAsia="仿宋"/>
          <w:color w:val="000000"/>
          <w:sz w:val="32"/>
          <w:szCs w:val="32"/>
          <w:shd w:val="pct10" w:color="auto" w:fill="FFFFFF"/>
        </w:rPr>
      </w:pPr>
      <w:r>
        <w:rPr>
          <w:rFonts w:hint="eastAsia" w:ascii="仿宋" w:hAnsi="仿宋" w:eastAsia="仿宋"/>
          <w:color w:val="000000"/>
          <w:sz w:val="32"/>
          <w:szCs w:val="32"/>
          <w:shd w:val="pct10" w:color="auto" w:fill="FFFFFF"/>
          <w:lang w:eastAsia="zh-CN"/>
        </w:rPr>
        <w:drawing>
          <wp:anchor distT="0" distB="0" distL="114300" distR="114300" simplePos="0" relativeHeight="251662336" behindDoc="0" locked="0" layoutInCell="1" allowOverlap="1">
            <wp:simplePos x="0" y="0"/>
            <wp:positionH relativeFrom="column">
              <wp:posOffset>57150</wp:posOffset>
            </wp:positionH>
            <wp:positionV relativeFrom="paragraph">
              <wp:posOffset>115570</wp:posOffset>
            </wp:positionV>
            <wp:extent cx="5312410" cy="3112135"/>
            <wp:effectExtent l="0" t="0" r="2540" b="12065"/>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spacing w:line="600" w:lineRule="exact"/>
        <w:ind w:firstLine="640"/>
        <w:rPr>
          <w:rFonts w:ascii="仿宋" w:hAnsi="仿宋" w:eastAsia="仿宋"/>
          <w:color w:val="000000"/>
          <w:sz w:val="32"/>
          <w:szCs w:val="32"/>
          <w:shd w:val="pct10" w:color="auto" w:fill="FFFFFF"/>
        </w:rPr>
      </w:pPr>
    </w:p>
    <w:p>
      <w:pPr>
        <w:spacing w:line="600" w:lineRule="exact"/>
        <w:ind w:firstLine="640"/>
        <w:rPr>
          <w:rFonts w:ascii="仿宋" w:hAnsi="仿宋" w:eastAsia="仿宋"/>
          <w:color w:val="000000"/>
          <w:sz w:val="32"/>
          <w:szCs w:val="32"/>
          <w:shd w:val="pct10" w:color="auto" w:fill="FFFFFF"/>
        </w:rPr>
      </w:pPr>
    </w:p>
    <w:p>
      <w:pPr>
        <w:spacing w:line="600" w:lineRule="exact"/>
        <w:ind w:firstLine="640"/>
        <w:rPr>
          <w:rFonts w:ascii="仿宋" w:hAnsi="仿宋" w:eastAsia="仿宋"/>
          <w:color w:val="000000"/>
          <w:sz w:val="32"/>
          <w:szCs w:val="32"/>
          <w:shd w:val="pct10" w:color="auto" w:fill="FFFFFF"/>
        </w:rPr>
      </w:pPr>
    </w:p>
    <w:p>
      <w:pPr>
        <w:spacing w:line="600" w:lineRule="exact"/>
        <w:ind w:firstLine="640"/>
        <w:rPr>
          <w:rFonts w:ascii="仿宋" w:hAnsi="仿宋" w:eastAsia="仿宋"/>
          <w:color w:val="000000"/>
          <w:sz w:val="32"/>
          <w:szCs w:val="32"/>
          <w:shd w:val="pct10" w:color="auto" w:fill="FFFFFF"/>
        </w:rPr>
      </w:pPr>
    </w:p>
    <w:p>
      <w:pPr>
        <w:spacing w:line="600" w:lineRule="exact"/>
        <w:ind w:firstLine="640"/>
        <w:rPr>
          <w:rFonts w:hint="eastAsia" w:ascii="仿宋" w:hAnsi="仿宋" w:eastAsia="仿宋"/>
          <w:color w:val="000000"/>
          <w:sz w:val="32"/>
          <w:szCs w:val="32"/>
          <w:shd w:val="pct10" w:color="auto" w:fill="FFFFFF"/>
          <w:lang w:eastAsia="zh-CN"/>
        </w:rPr>
      </w:pPr>
    </w:p>
    <w:p>
      <w:pPr>
        <w:spacing w:line="600" w:lineRule="exact"/>
        <w:ind w:firstLine="640"/>
        <w:rPr>
          <w:rFonts w:ascii="仿宋" w:hAnsi="仿宋" w:eastAsia="仿宋"/>
          <w:color w:val="000000"/>
          <w:sz w:val="32"/>
          <w:szCs w:val="32"/>
          <w:shd w:val="pct10" w:color="auto" w:fill="FFFFFF"/>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1280" w:firstLineChars="4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（图3：支出决算结构图</w:t>
      </w:r>
      <w:r>
        <w:rPr>
          <w:rFonts w:hint="eastAsia" w:ascii="仿宋" w:hAnsi="仿宋" w:eastAsia="仿宋"/>
          <w:color w:val="000000" w:themeColor="text1"/>
          <w:sz w:val="32"/>
          <w:szCs w:val="32"/>
          <w:lang w:val="en-US" w:eastAsia="zh-CN"/>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金额单位：万元）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olor w:val="000000"/>
          <w:sz w:val="32"/>
          <w:szCs w:val="32"/>
        </w:rPr>
      </w:pPr>
      <w:bookmarkStart w:id="44" w:name="_Toc15377208"/>
      <w:bookmarkStart w:id="45" w:name="_Toc15396606"/>
    </w:p>
    <w:p>
      <w:pPr>
        <w:spacing w:line="600" w:lineRule="exact"/>
        <w:ind w:firstLine="640" w:firstLineChars="200"/>
        <w:outlineLvl w:val="1"/>
        <w:rPr>
          <w:rStyle w:val="15"/>
          <w:rFonts w:ascii="黑体" w:hAnsi="黑体" w:eastAsia="黑体"/>
          <w:b w:val="0"/>
        </w:rPr>
      </w:pPr>
      <w:bookmarkStart w:id="46" w:name="_Toc5000"/>
      <w:r>
        <w:rPr>
          <w:rFonts w:hint="eastAsia" w:ascii="黑体" w:hAnsi="黑体" w:eastAsia="黑体"/>
          <w:color w:val="000000"/>
          <w:sz w:val="32"/>
          <w:szCs w:val="32"/>
        </w:rPr>
        <w:t>四、财</w:t>
      </w:r>
      <w:r>
        <w:rPr>
          <w:rStyle w:val="15"/>
          <w:rFonts w:hint="eastAsia" w:ascii="黑体" w:hAnsi="黑体" w:eastAsia="黑体"/>
          <w:b w:val="0"/>
        </w:rPr>
        <w:t>政拨款收入支出决算总体情况说明</w:t>
      </w:r>
      <w:bookmarkEnd w:id="44"/>
      <w:bookmarkEnd w:id="45"/>
      <w:bookmarkEnd w:id="46"/>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9年财政拨款收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总计</w:t>
      </w:r>
      <w:r>
        <w:rPr>
          <w:rFonts w:hint="eastAsia" w:ascii="仿宋" w:hAnsi="仿宋" w:eastAsia="仿宋"/>
          <w:color w:val="000000"/>
          <w:sz w:val="32"/>
          <w:szCs w:val="32"/>
          <w:lang w:val="en-US" w:eastAsia="zh-CN"/>
        </w:rPr>
        <w:t>2480.36</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8年相比，财政拨款收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总计减少</w:t>
      </w:r>
      <w:r>
        <w:rPr>
          <w:rFonts w:hint="eastAsia" w:ascii="仿宋" w:hAnsi="仿宋" w:eastAsia="仿宋"/>
          <w:color w:val="000000"/>
          <w:sz w:val="32"/>
          <w:szCs w:val="32"/>
          <w:lang w:val="en-US" w:eastAsia="zh-CN"/>
        </w:rPr>
        <w:t>17.22</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0.69</w:t>
      </w:r>
      <w:r>
        <w:rPr>
          <w:rFonts w:ascii="仿宋" w:hAnsi="仿宋" w:eastAsia="仿宋"/>
          <w:color w:val="000000"/>
          <w:sz w:val="32"/>
          <w:szCs w:val="32"/>
        </w:rPr>
        <w:t>%</w:t>
      </w:r>
      <w:r>
        <w:rPr>
          <w:rFonts w:hint="eastAsia" w:ascii="仿宋" w:hAnsi="仿宋" w:eastAsia="仿宋"/>
          <w:color w:val="000000"/>
          <w:sz w:val="32"/>
          <w:szCs w:val="32"/>
        </w:rPr>
        <w:t>。</w:t>
      </w:r>
      <w:r>
        <w:rPr>
          <w:rFonts w:ascii="仿宋" w:hAnsi="仿宋" w:eastAsia="仿宋"/>
          <w:color w:val="000000"/>
          <w:sz w:val="32"/>
          <w:szCs w:val="32"/>
        </w:rPr>
        <w:t>201</w:t>
      </w:r>
      <w:r>
        <w:rPr>
          <w:rFonts w:hint="eastAsia" w:ascii="仿宋" w:hAnsi="仿宋" w:eastAsia="仿宋"/>
          <w:color w:val="000000"/>
          <w:sz w:val="32"/>
          <w:szCs w:val="32"/>
        </w:rPr>
        <w:t>9年财政拨款</w:t>
      </w:r>
      <w:r>
        <w:rPr>
          <w:rFonts w:hint="eastAsia" w:ascii="仿宋" w:hAnsi="仿宋" w:eastAsia="仿宋"/>
          <w:color w:val="000000"/>
          <w:sz w:val="32"/>
          <w:szCs w:val="32"/>
          <w:lang w:eastAsia="zh-CN"/>
        </w:rPr>
        <w:t>支出</w:t>
      </w:r>
      <w:r>
        <w:rPr>
          <w:rFonts w:hint="eastAsia" w:ascii="仿宋" w:hAnsi="仿宋" w:eastAsia="仿宋"/>
          <w:color w:val="000000"/>
          <w:sz w:val="32"/>
          <w:szCs w:val="32"/>
        </w:rPr>
        <w:t>总计</w:t>
      </w:r>
      <w:r>
        <w:rPr>
          <w:rFonts w:hint="eastAsia" w:ascii="仿宋" w:hAnsi="仿宋" w:eastAsia="仿宋"/>
          <w:color w:val="000000"/>
          <w:sz w:val="32"/>
          <w:szCs w:val="32"/>
          <w:lang w:val="en-US" w:eastAsia="zh-CN"/>
        </w:rPr>
        <w:t>2480.36</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8年相比，财政拨款收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减少</w:t>
      </w:r>
      <w:r>
        <w:rPr>
          <w:rFonts w:hint="eastAsia" w:ascii="仿宋" w:hAnsi="仿宋" w:eastAsia="仿宋"/>
          <w:color w:val="000000"/>
          <w:sz w:val="32"/>
          <w:szCs w:val="32"/>
          <w:lang w:val="en-US" w:eastAsia="zh-CN"/>
        </w:rPr>
        <w:t>17.22</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0.69</w:t>
      </w:r>
      <w:r>
        <w:rPr>
          <w:rFonts w:ascii="仿宋" w:hAnsi="仿宋" w:eastAsia="仿宋"/>
          <w:color w:val="000000"/>
          <w:sz w:val="32"/>
          <w:szCs w:val="32"/>
        </w:rPr>
        <w:t>%</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主要变动原因是20</w:t>
      </w:r>
      <w:r>
        <w:rPr>
          <w:rFonts w:hint="eastAsia" w:ascii="仿宋" w:hAnsi="仿宋" w:eastAsia="仿宋"/>
          <w:color w:val="000000"/>
          <w:sz w:val="32"/>
          <w:szCs w:val="32"/>
          <w:lang w:val="en-US" w:eastAsia="zh-CN"/>
        </w:rPr>
        <w:t>19</w:t>
      </w:r>
      <w:r>
        <w:rPr>
          <w:rFonts w:hint="eastAsia" w:ascii="仿宋" w:hAnsi="仿宋" w:eastAsia="仿宋"/>
          <w:color w:val="000000"/>
          <w:sz w:val="32"/>
          <w:szCs w:val="32"/>
        </w:rPr>
        <w:t>年度</w:t>
      </w:r>
      <w:r>
        <w:rPr>
          <w:rFonts w:hint="eastAsia" w:ascii="仿宋" w:hAnsi="仿宋" w:eastAsia="仿宋"/>
          <w:color w:val="000000"/>
          <w:sz w:val="32"/>
          <w:szCs w:val="32"/>
          <w:lang w:eastAsia="zh-CN"/>
        </w:rPr>
        <w:t>按要求严格</w:t>
      </w:r>
      <w:r>
        <w:rPr>
          <w:rFonts w:hint="eastAsia" w:ascii="仿宋" w:hAnsi="仿宋" w:eastAsia="仿宋"/>
          <w:color w:val="000000"/>
          <w:sz w:val="32"/>
          <w:szCs w:val="32"/>
        </w:rPr>
        <w:t>压缩日常公用经费。如下图所示：</w:t>
      </w: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lang w:eastAsia="zh-CN"/>
        </w:rPr>
        <w:drawing>
          <wp:anchor distT="0" distB="0" distL="114300" distR="114300" simplePos="0" relativeHeight="251663360" behindDoc="0" locked="0" layoutInCell="1" allowOverlap="1">
            <wp:simplePos x="0" y="0"/>
            <wp:positionH relativeFrom="column">
              <wp:posOffset>125730</wp:posOffset>
            </wp:positionH>
            <wp:positionV relativeFrom="paragraph">
              <wp:posOffset>313055</wp:posOffset>
            </wp:positionV>
            <wp:extent cx="5080000" cy="3069590"/>
            <wp:effectExtent l="0" t="0" r="6350" b="16510"/>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pPr>
        <w:spacing w:line="600" w:lineRule="exact"/>
        <w:ind w:firstLine="0" w:firstLineChars="0"/>
        <w:rPr>
          <w:rFonts w:ascii="仿宋" w:hAnsi="仿宋" w:eastAsia="仿宋"/>
          <w:color w:val="000000"/>
          <w:sz w:val="32"/>
          <w:szCs w:val="32"/>
        </w:rPr>
      </w:pPr>
    </w:p>
    <w:p>
      <w:pPr>
        <w:spacing w:line="600" w:lineRule="exact"/>
        <w:ind w:firstLine="0" w:firstLineChars="0"/>
        <w:rPr>
          <w:rFonts w:ascii="仿宋" w:hAnsi="仿宋" w:eastAsia="仿宋"/>
          <w:color w:val="000000"/>
          <w:sz w:val="32"/>
          <w:szCs w:val="32"/>
        </w:rPr>
      </w:pPr>
    </w:p>
    <w:p>
      <w:pPr>
        <w:spacing w:line="600" w:lineRule="exact"/>
        <w:ind w:firstLine="0" w:firstLineChars="0"/>
        <w:rPr>
          <w:rFonts w:ascii="仿宋" w:hAnsi="仿宋" w:eastAsia="仿宋"/>
          <w:color w:val="000000"/>
          <w:sz w:val="32"/>
          <w:szCs w:val="32"/>
        </w:rPr>
      </w:pPr>
    </w:p>
    <w:p>
      <w:pPr>
        <w:spacing w:line="600" w:lineRule="exact"/>
        <w:ind w:firstLine="0" w:firstLineChars="0"/>
        <w:rPr>
          <w:rFonts w:ascii="仿宋" w:hAnsi="仿宋" w:eastAsia="仿宋"/>
          <w:color w:val="000000"/>
          <w:sz w:val="32"/>
          <w:szCs w:val="32"/>
        </w:rPr>
      </w:pPr>
    </w:p>
    <w:p>
      <w:pPr>
        <w:spacing w:line="600" w:lineRule="exact"/>
        <w:ind w:firstLine="0" w:firstLineChars="0"/>
        <w:rPr>
          <w:rFonts w:ascii="仿宋" w:hAnsi="仿宋" w:eastAsia="仿宋"/>
          <w:color w:val="000000"/>
          <w:sz w:val="32"/>
          <w:szCs w:val="32"/>
        </w:rPr>
      </w:pPr>
    </w:p>
    <w:p>
      <w:pPr>
        <w:spacing w:line="600" w:lineRule="exact"/>
        <w:ind w:firstLine="0" w:firstLineChars="0"/>
        <w:rPr>
          <w:rFonts w:ascii="仿宋" w:hAnsi="仿宋" w:eastAsia="仿宋"/>
          <w:color w:val="000000"/>
          <w:sz w:val="32"/>
          <w:szCs w:val="32"/>
        </w:rPr>
      </w:pPr>
    </w:p>
    <w:p>
      <w:pPr>
        <w:spacing w:line="600" w:lineRule="exact"/>
        <w:ind w:firstLine="0" w:firstLineChars="0"/>
        <w:rPr>
          <w:rFonts w:ascii="仿宋" w:hAnsi="仿宋" w:eastAsia="仿宋"/>
          <w:color w:val="000000"/>
          <w:sz w:val="32"/>
          <w:szCs w:val="32"/>
        </w:rPr>
      </w:pPr>
    </w:p>
    <w:p>
      <w:pPr>
        <w:spacing w:line="600" w:lineRule="exact"/>
        <w:ind w:firstLine="0" w:firstLineChars="0"/>
        <w:rPr>
          <w:rFonts w:hint="eastAsia" w:ascii="仿宋" w:hAnsi="仿宋" w:eastAsia="仿宋"/>
          <w:color w:val="000000"/>
          <w:sz w:val="32"/>
          <w:szCs w:val="32"/>
          <w:lang w:eastAsia="zh-CN"/>
        </w:rPr>
      </w:pPr>
    </w:p>
    <w:p>
      <w:pPr>
        <w:spacing w:line="600" w:lineRule="exac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（图4：财政拨款收、支决算总计变动情况</w:t>
      </w:r>
      <w:r>
        <w:rPr>
          <w:rFonts w:hint="eastAsia" w:ascii="仿宋" w:hAnsi="仿宋" w:eastAsia="仿宋"/>
          <w:color w:val="000000" w:themeColor="text1"/>
          <w:sz w:val="32"/>
          <w:szCs w:val="32"/>
          <w:lang w:val="en-US" w:eastAsia="zh-CN"/>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金额单位：万元）</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黑体" w:hAnsi="黑体" w:eastAsia="黑体"/>
          <w:color w:val="000000"/>
          <w:sz w:val="32"/>
          <w:szCs w:val="32"/>
        </w:rPr>
      </w:pPr>
      <w:bookmarkStart w:id="47" w:name="_Toc15396607"/>
      <w:bookmarkStart w:id="48" w:name="_Toc15377209"/>
    </w:p>
    <w:p>
      <w:pPr>
        <w:spacing w:line="600" w:lineRule="exact"/>
        <w:ind w:firstLine="640" w:firstLineChars="200"/>
        <w:outlineLvl w:val="1"/>
        <w:rPr>
          <w:rStyle w:val="15"/>
          <w:rFonts w:ascii="黑体" w:hAnsi="黑体" w:eastAsia="黑体"/>
          <w:b w:val="0"/>
        </w:rPr>
      </w:pPr>
      <w:bookmarkStart w:id="49" w:name="_Toc19805"/>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5"/>
          <w:rFonts w:hint="eastAsia" w:ascii="黑体" w:hAnsi="黑体" w:eastAsia="黑体"/>
          <w:b w:val="0"/>
        </w:rPr>
        <w:t>般公共预算财政拨款支出决算情况说明</w:t>
      </w:r>
      <w:bookmarkEnd w:id="47"/>
      <w:bookmarkEnd w:id="48"/>
      <w:bookmarkEnd w:id="49"/>
    </w:p>
    <w:p>
      <w:pPr>
        <w:spacing w:line="600" w:lineRule="exact"/>
        <w:ind w:firstLine="643" w:firstLineChars="200"/>
        <w:outlineLvl w:val="2"/>
        <w:rPr>
          <w:rFonts w:ascii="仿宋" w:hAnsi="仿宋" w:eastAsia="仿宋"/>
          <w:b/>
          <w:color w:val="000000"/>
          <w:sz w:val="32"/>
          <w:szCs w:val="32"/>
        </w:rPr>
      </w:pPr>
      <w:bookmarkStart w:id="50" w:name="_Toc16306"/>
      <w:bookmarkStart w:id="51" w:name="_Toc15377210"/>
      <w:r>
        <w:rPr>
          <w:rFonts w:hint="eastAsia" w:ascii="仿宋" w:hAnsi="仿宋" w:eastAsia="仿宋"/>
          <w:b/>
          <w:color w:val="000000"/>
          <w:sz w:val="32"/>
          <w:szCs w:val="32"/>
        </w:rPr>
        <w:t>（一）一般公共预算财政拨款支出决算总体情况</w:t>
      </w:r>
      <w:bookmarkEnd w:id="50"/>
      <w:bookmarkEnd w:id="51"/>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w:t>
      </w:r>
      <w:r>
        <w:rPr>
          <w:rFonts w:hint="eastAsia" w:ascii="仿宋" w:hAnsi="仿宋" w:eastAsia="仿宋"/>
          <w:color w:val="000000"/>
          <w:sz w:val="32"/>
          <w:szCs w:val="32"/>
          <w:lang w:val="en-US" w:eastAsia="zh-CN"/>
        </w:rPr>
        <w:t>2480.36</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80.32</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8年相比，一般公共预算财政拨款减少</w:t>
      </w:r>
      <w:r>
        <w:rPr>
          <w:rFonts w:hint="eastAsia" w:ascii="仿宋" w:hAnsi="仿宋" w:eastAsia="仿宋"/>
          <w:color w:val="000000"/>
          <w:sz w:val="32"/>
          <w:szCs w:val="32"/>
          <w:lang w:val="en-US" w:eastAsia="zh-CN"/>
        </w:rPr>
        <w:t>17.22</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0.69</w:t>
      </w:r>
      <w:r>
        <w:rPr>
          <w:rFonts w:ascii="仿宋" w:hAnsi="仿宋" w:eastAsia="仿宋"/>
          <w:color w:val="000000"/>
          <w:sz w:val="32"/>
          <w:szCs w:val="32"/>
        </w:rPr>
        <w:t>%</w:t>
      </w:r>
      <w:r>
        <w:rPr>
          <w:rFonts w:hint="eastAsia" w:ascii="仿宋" w:hAnsi="仿宋" w:eastAsia="仿宋"/>
          <w:color w:val="000000"/>
          <w:sz w:val="32"/>
          <w:szCs w:val="32"/>
        </w:rPr>
        <w:t>。主要变动原因是20</w:t>
      </w:r>
      <w:r>
        <w:rPr>
          <w:rFonts w:hint="eastAsia" w:ascii="仿宋" w:hAnsi="仿宋" w:eastAsia="仿宋"/>
          <w:color w:val="000000"/>
          <w:sz w:val="32"/>
          <w:szCs w:val="32"/>
          <w:lang w:val="en-US" w:eastAsia="zh-CN"/>
        </w:rPr>
        <w:t>19</w:t>
      </w:r>
      <w:r>
        <w:rPr>
          <w:rFonts w:hint="eastAsia" w:ascii="仿宋" w:hAnsi="仿宋" w:eastAsia="仿宋"/>
          <w:color w:val="000000"/>
          <w:sz w:val="32"/>
          <w:szCs w:val="32"/>
        </w:rPr>
        <w:t>年度</w:t>
      </w:r>
      <w:r>
        <w:rPr>
          <w:rFonts w:hint="eastAsia" w:ascii="仿宋" w:hAnsi="仿宋" w:eastAsia="仿宋"/>
          <w:color w:val="000000"/>
          <w:sz w:val="32"/>
          <w:szCs w:val="32"/>
          <w:lang w:eastAsia="zh-CN"/>
        </w:rPr>
        <w:t>按要求严格</w:t>
      </w:r>
      <w:r>
        <w:rPr>
          <w:rFonts w:hint="eastAsia" w:ascii="仿宋" w:hAnsi="仿宋" w:eastAsia="仿宋"/>
          <w:color w:val="000000"/>
          <w:sz w:val="32"/>
          <w:szCs w:val="32"/>
        </w:rPr>
        <w:t>压缩日常公用经费</w:t>
      </w:r>
      <w:r>
        <w:rPr>
          <w:rFonts w:hint="eastAsia" w:ascii="仿宋" w:hAnsi="仿宋" w:eastAsia="仿宋"/>
          <w:color w:val="000000"/>
          <w:sz w:val="32"/>
          <w:szCs w:val="32"/>
          <w:lang w:eastAsia="zh-CN"/>
        </w:rPr>
        <w:t>。</w:t>
      </w:r>
    </w:p>
    <w:p>
      <w:pPr>
        <w:spacing w:line="600" w:lineRule="exact"/>
        <w:ind w:firstLine="640" w:firstLineChars="200"/>
        <w:rPr>
          <w:rFonts w:hint="eastAsia" w:ascii="仿宋" w:hAnsi="仿宋" w:eastAsia="仿宋"/>
          <w:color w:val="000000"/>
          <w:sz w:val="32"/>
          <w:szCs w:val="32"/>
          <w:lang w:eastAsia="zh-CN"/>
        </w:rPr>
      </w:pPr>
    </w:p>
    <w:p>
      <w:pPr>
        <w:spacing w:line="60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anchor distT="0" distB="0" distL="114300" distR="114300" simplePos="0" relativeHeight="251664384" behindDoc="0" locked="0" layoutInCell="1" allowOverlap="1">
            <wp:simplePos x="0" y="0"/>
            <wp:positionH relativeFrom="column">
              <wp:posOffset>133985</wp:posOffset>
            </wp:positionH>
            <wp:positionV relativeFrom="paragraph">
              <wp:posOffset>26035</wp:posOffset>
            </wp:positionV>
            <wp:extent cx="5080000" cy="3467100"/>
            <wp:effectExtent l="0" t="0" r="6350" b="0"/>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pPr>
        <w:spacing w:line="600" w:lineRule="exact"/>
        <w:ind w:firstLine="640" w:firstLineChars="200"/>
        <w:rPr>
          <w:rFonts w:hint="eastAsia" w:ascii="仿宋" w:hAnsi="仿宋" w:eastAsia="仿宋"/>
          <w:color w:val="000000"/>
          <w:sz w:val="32"/>
          <w:szCs w:val="32"/>
          <w:lang w:eastAsia="zh-CN"/>
        </w:rPr>
      </w:pPr>
    </w:p>
    <w:p>
      <w:pPr>
        <w:spacing w:line="600" w:lineRule="exact"/>
        <w:ind w:firstLine="640" w:firstLineChars="200"/>
        <w:rPr>
          <w:rFonts w:hint="eastAsia" w:ascii="仿宋" w:hAnsi="仿宋" w:eastAsia="仿宋"/>
          <w:color w:val="000000"/>
          <w:sz w:val="32"/>
          <w:szCs w:val="32"/>
          <w:lang w:eastAsia="zh-CN"/>
        </w:rPr>
      </w:pPr>
    </w:p>
    <w:p>
      <w:pPr>
        <w:spacing w:line="600" w:lineRule="exact"/>
        <w:ind w:firstLine="640" w:firstLineChars="200"/>
        <w:rPr>
          <w:rFonts w:hint="eastAsia" w:ascii="仿宋" w:hAnsi="仿宋" w:eastAsia="仿宋"/>
          <w:color w:val="000000"/>
          <w:sz w:val="32"/>
          <w:szCs w:val="32"/>
          <w:lang w:eastAsia="zh-CN"/>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rPr>
          <w:rFonts w:hint="eastAsia" w:ascii="仿宋" w:hAnsi="仿宋" w:eastAsia="仿宋"/>
          <w:color w:val="000000" w:themeColor="text1"/>
          <w:sz w:val="32"/>
          <w:szCs w:val="32"/>
          <w14:textFill>
            <w14:solidFill>
              <w14:schemeClr w14:val="tx1"/>
            </w14:solidFill>
          </w14:textFill>
        </w:rPr>
      </w:pPr>
    </w:p>
    <w:p>
      <w:pPr>
        <w:spacing w:line="600" w:lineRule="exact"/>
        <w:ind w:firstLine="320" w:firstLineChars="100"/>
        <w:rPr>
          <w:rFonts w:hint="eastAsia" w:ascii="仿宋" w:hAnsi="仿宋" w:eastAsia="仿宋"/>
          <w:color w:val="000000" w:themeColor="text1"/>
          <w:sz w:val="32"/>
          <w:szCs w:val="32"/>
          <w14:textFill>
            <w14:solidFill>
              <w14:schemeClr w14:val="tx1"/>
            </w14:solidFill>
          </w14:textFill>
        </w:rPr>
      </w:pPr>
      <w:bookmarkStart w:id="52" w:name="_Toc15377211"/>
    </w:p>
    <w:p>
      <w:pPr>
        <w:spacing w:line="600" w:lineRule="exact"/>
        <w:ind w:firstLine="320" w:firstLineChars="1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w w:val="85"/>
          <w:sz w:val="32"/>
          <w:szCs w:val="32"/>
          <w14:textFill>
            <w14:solidFill>
              <w14:schemeClr w14:val="tx1"/>
            </w14:solidFill>
          </w14:textFill>
        </w:rPr>
        <w:t>图5：一般公共预算财政拨款支出决算变动情况</w:t>
      </w:r>
      <w:r>
        <w:rPr>
          <w:rFonts w:hint="eastAsia"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000000" w:themeColor="text1"/>
          <w:w w:val="85"/>
          <w:sz w:val="32"/>
          <w:szCs w:val="32"/>
          <w14:textFill>
            <w14:solidFill>
              <w14:schemeClr w14:val="tx1"/>
            </w14:solidFill>
          </w14:textFill>
        </w:rPr>
        <w:t>金额单位：万元）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53" w:name="_Toc28897"/>
      <w:r>
        <w:rPr>
          <w:rFonts w:hint="eastAsia" w:ascii="仿宋" w:hAnsi="仿宋" w:eastAsia="仿宋"/>
          <w:b/>
          <w:color w:val="000000"/>
          <w:sz w:val="32"/>
          <w:szCs w:val="32"/>
        </w:rPr>
        <w:t>（二）一般公共预算财政拨款支出决算结构情况</w:t>
      </w:r>
      <w:bookmarkEnd w:id="52"/>
      <w:bookmarkEnd w:id="53"/>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themeColor="text1"/>
          <w:sz w:val="32"/>
          <w:szCs w:val="32"/>
          <w:lang w:val="en-US" w:eastAsia="zh-CN"/>
          <w14:textFill>
            <w14:solidFill>
              <w14:schemeClr w14:val="tx1"/>
            </w14:solidFill>
          </w14:textFill>
        </w:rPr>
        <w:t>2480.36</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sz w:val="32"/>
          <w:szCs w:val="32"/>
        </w:rPr>
        <w:t>教育支出（类）</w:t>
      </w:r>
      <w:r>
        <w:rPr>
          <w:rFonts w:hint="eastAsia" w:ascii="仿宋" w:hAnsi="仿宋" w:eastAsia="仿宋"/>
          <w:color w:val="000000"/>
          <w:sz w:val="32"/>
          <w:szCs w:val="32"/>
          <w:lang w:val="en-US" w:eastAsia="zh-CN"/>
        </w:rPr>
        <w:t>10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0.4</w:t>
      </w:r>
      <w:r>
        <w:rPr>
          <w:rFonts w:hint="eastAsia" w:ascii="仿宋" w:hAnsi="仿宋" w:eastAsia="仿宋"/>
          <w:color w:val="000000"/>
          <w:sz w:val="32"/>
          <w:szCs w:val="32"/>
        </w:rPr>
        <w:t>%；社会保障和就业（类）支出</w:t>
      </w:r>
      <w:r>
        <w:rPr>
          <w:rFonts w:hint="eastAsia" w:ascii="仿宋" w:hAnsi="仿宋" w:eastAsia="仿宋"/>
          <w:color w:val="000000"/>
          <w:sz w:val="32"/>
          <w:szCs w:val="32"/>
          <w:lang w:val="en-US" w:eastAsia="zh-CN"/>
        </w:rPr>
        <w:t>682.11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27.5</w:t>
      </w:r>
      <w:r>
        <w:rPr>
          <w:rFonts w:hint="eastAsia" w:ascii="仿宋" w:hAnsi="仿宋" w:eastAsia="仿宋"/>
          <w:color w:val="000000"/>
          <w:sz w:val="32"/>
          <w:szCs w:val="32"/>
        </w:rPr>
        <w:t>%；</w:t>
      </w:r>
      <w:r>
        <w:rPr>
          <w:rFonts w:hint="eastAsia" w:ascii="仿宋" w:hAnsi="仿宋" w:eastAsia="仿宋"/>
          <w:color w:val="000000"/>
          <w:sz w:val="32"/>
          <w:szCs w:val="32"/>
          <w:lang w:eastAsia="zh-CN"/>
        </w:rPr>
        <w:t>医疗卫生与计划生育（类）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80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3.23</w:t>
      </w:r>
      <w:r>
        <w:rPr>
          <w:rFonts w:hint="eastAsia" w:ascii="仿宋" w:hAnsi="仿宋" w:eastAsia="仿宋"/>
          <w:color w:val="000000"/>
          <w:sz w:val="32"/>
          <w:szCs w:val="32"/>
        </w:rPr>
        <w:t>%；住房保障</w:t>
      </w:r>
      <w:r>
        <w:rPr>
          <w:rFonts w:hint="eastAsia" w:ascii="仿宋" w:hAnsi="仿宋" w:eastAsia="仿宋"/>
          <w:color w:val="000000"/>
          <w:sz w:val="32"/>
          <w:szCs w:val="32"/>
          <w:lang w:eastAsia="zh-CN"/>
        </w:rPr>
        <w:t>（类）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120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4.84</w:t>
      </w:r>
      <w:r>
        <w:rPr>
          <w:rFonts w:hint="eastAsia" w:ascii="仿宋" w:hAnsi="仿宋" w:eastAsia="仿宋"/>
          <w:color w:val="000000"/>
          <w:sz w:val="32"/>
          <w:szCs w:val="32"/>
        </w:rPr>
        <w:t>%；资源勘探信息</w:t>
      </w:r>
      <w:r>
        <w:rPr>
          <w:rFonts w:hint="eastAsia" w:ascii="仿宋" w:hAnsi="仿宋" w:eastAsia="仿宋"/>
          <w:color w:val="000000"/>
          <w:sz w:val="32"/>
          <w:szCs w:val="32"/>
          <w:lang w:eastAsia="zh-CN"/>
        </w:rPr>
        <w:t>（类）</w:t>
      </w:r>
      <w:r>
        <w:rPr>
          <w:rFonts w:hint="eastAsia" w:ascii="仿宋" w:hAnsi="仿宋" w:eastAsia="仿宋"/>
          <w:color w:val="000000"/>
          <w:sz w:val="32"/>
          <w:szCs w:val="32"/>
        </w:rPr>
        <w:t>等支出15</w:t>
      </w:r>
      <w:r>
        <w:rPr>
          <w:rFonts w:hint="eastAsia" w:ascii="仿宋" w:hAnsi="仿宋" w:eastAsia="仿宋"/>
          <w:color w:val="000000"/>
          <w:sz w:val="32"/>
          <w:szCs w:val="32"/>
          <w:lang w:val="en-US" w:eastAsia="zh-CN"/>
        </w:rPr>
        <w:t>88.25</w:t>
      </w:r>
      <w:r>
        <w:rPr>
          <w:rFonts w:hint="eastAsia" w:ascii="仿宋" w:hAnsi="仿宋" w:eastAsia="仿宋"/>
          <w:color w:val="000000"/>
          <w:sz w:val="32"/>
          <w:szCs w:val="32"/>
        </w:rPr>
        <w:t>万元，占6</w:t>
      </w:r>
      <w:r>
        <w:rPr>
          <w:rFonts w:hint="eastAsia" w:ascii="仿宋" w:hAnsi="仿宋" w:eastAsia="仿宋"/>
          <w:color w:val="000000"/>
          <w:sz w:val="32"/>
          <w:szCs w:val="32"/>
          <w:lang w:val="en-US" w:eastAsia="zh-CN"/>
        </w:rPr>
        <w:t>4.03</w:t>
      </w:r>
      <w:r>
        <w:rPr>
          <w:rFonts w:hint="eastAsia" w:ascii="仿宋" w:hAnsi="仿宋" w:eastAsia="仿宋"/>
          <w:color w:val="000000"/>
          <w:sz w:val="32"/>
          <w:szCs w:val="32"/>
        </w:rPr>
        <w:t>%。具体占比如下图：</w:t>
      </w: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drawing>
          <wp:anchor distT="0" distB="0" distL="114300" distR="114300" simplePos="0" relativeHeight="251665408" behindDoc="0" locked="0" layoutInCell="1" allowOverlap="1">
            <wp:simplePos x="0" y="0"/>
            <wp:positionH relativeFrom="column">
              <wp:posOffset>255905</wp:posOffset>
            </wp:positionH>
            <wp:positionV relativeFrom="paragraph">
              <wp:posOffset>187960</wp:posOffset>
            </wp:positionV>
            <wp:extent cx="5080000" cy="3533775"/>
            <wp:effectExtent l="0" t="0" r="6350" b="9525"/>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0"/>
        <w:rPr>
          <w:rFonts w:hint="eastAsia" w:ascii="仿宋" w:hAnsi="仿宋" w:eastAsia="仿宋"/>
          <w:color w:val="000000" w:themeColor="text1"/>
          <w:sz w:val="32"/>
          <w:szCs w:val="32"/>
          <w:lang w:eastAsia="zh-CN"/>
          <w14:textFill>
            <w14:solidFill>
              <w14:schemeClr w14:val="tx1"/>
            </w14:solidFill>
          </w14:textFill>
        </w:rPr>
      </w:pP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sz w:val="32"/>
          <w:szCs w:val="32"/>
        </w:rPr>
      </w:pPr>
    </w:p>
    <w:p>
      <w:pPr>
        <w:spacing w:line="600" w:lineRule="exact"/>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w:t>
      </w:r>
      <w:r>
        <w:rPr>
          <w:rFonts w:hint="eastAsia" w:ascii="仿宋" w:hAnsi="仿宋" w:eastAsia="仿宋"/>
          <w:color w:val="000000"/>
          <w:sz w:val="32"/>
          <w:szCs w:val="32"/>
          <w:lang w:val="en-US" w:eastAsia="zh-CN"/>
        </w:rPr>
        <w:t xml:space="preserve"> 金额：万元</w:t>
      </w:r>
      <w:r>
        <w:rPr>
          <w:rFonts w:hint="eastAsia" w:ascii="仿宋" w:hAnsi="仿宋" w:eastAsia="仿宋"/>
          <w:color w:val="000000"/>
          <w:sz w:val="32"/>
          <w:szCs w:val="32"/>
        </w:rPr>
        <w:t>）</w:t>
      </w:r>
    </w:p>
    <w:p>
      <w:pPr>
        <w:spacing w:line="600" w:lineRule="exact"/>
        <w:ind w:firstLine="643" w:firstLineChars="200"/>
        <w:outlineLvl w:val="2"/>
        <w:rPr>
          <w:rFonts w:ascii="仿宋" w:hAnsi="仿宋" w:eastAsia="仿宋"/>
          <w:b/>
          <w:color w:val="000000"/>
          <w:sz w:val="32"/>
          <w:szCs w:val="32"/>
        </w:rPr>
      </w:pPr>
      <w:bookmarkStart w:id="54" w:name="_Toc15377212"/>
      <w:bookmarkStart w:id="55" w:name="_Toc19900"/>
      <w:r>
        <w:rPr>
          <w:rFonts w:hint="eastAsia" w:ascii="仿宋" w:hAnsi="仿宋" w:eastAsia="仿宋"/>
          <w:b/>
          <w:color w:val="000000"/>
          <w:sz w:val="32"/>
          <w:szCs w:val="32"/>
        </w:rPr>
        <w:t>（三）一般公共预算财政拨款支出决算具体情况</w:t>
      </w:r>
      <w:bookmarkEnd w:id="54"/>
      <w:bookmarkEnd w:id="55"/>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ascii="仿宋" w:hAnsi="仿宋" w:eastAsia="仿宋"/>
          <w:b/>
          <w:color w:val="000000"/>
          <w:sz w:val="32"/>
          <w:szCs w:val="32"/>
        </w:rPr>
      </w:pPr>
      <w:bookmarkStart w:id="56" w:name="_Toc15377444"/>
      <w:bookmarkStart w:id="57" w:name="_Toc15378460"/>
      <w:bookmarkStart w:id="58" w:name="_Toc15377213"/>
      <w:bookmarkStart w:id="59" w:name="_Toc2853"/>
      <w:r>
        <w:rPr>
          <w:rFonts w:hint="eastAsia" w:ascii="仿宋" w:hAnsi="仿宋" w:eastAsia="仿宋"/>
          <w:b/>
          <w:color w:val="000000" w:themeColor="text1"/>
          <w:sz w:val="32"/>
          <w:szCs w:val="32"/>
          <w14:textFill>
            <w14:solidFill>
              <w14:schemeClr w14:val="tx1"/>
            </w14:solidFill>
          </w14:textFill>
        </w:rPr>
        <w:t>2019年般公共预算支出决算数为</w:t>
      </w:r>
      <w:r>
        <w:rPr>
          <w:rFonts w:hint="eastAsia" w:ascii="仿宋" w:hAnsi="仿宋" w:eastAsia="仿宋"/>
          <w:b/>
          <w:color w:val="000000" w:themeColor="text1"/>
          <w:sz w:val="32"/>
          <w:szCs w:val="32"/>
          <w:lang w:val="en-US" w:eastAsia="zh-CN"/>
          <w14:textFill>
            <w14:solidFill>
              <w14:schemeClr w14:val="tx1"/>
            </w14:solidFill>
          </w14:textFill>
        </w:rPr>
        <w:t>2480.36万元</w:t>
      </w:r>
      <w:r>
        <w:rPr>
          <w:rFonts w:hint="eastAsia" w:ascii="仿宋" w:hAnsi="仿宋" w:eastAsia="仿宋"/>
          <w:color w:val="000000" w:themeColor="text1"/>
          <w:sz w:val="32"/>
          <w:szCs w:val="32"/>
          <w14:textFill>
            <w14:solidFill>
              <w14:schemeClr w14:val="tx1"/>
            </w14:solidFill>
          </w14:textFill>
        </w:rPr>
        <w:t>，</w:t>
      </w:r>
      <w:r>
        <w:rPr>
          <w:rStyle w:val="12"/>
          <w:rFonts w:hint="eastAsia" w:ascii="仿宋" w:hAnsi="仿宋" w:eastAsia="仿宋"/>
          <w:bCs/>
          <w:color w:val="000000" w:themeColor="text1"/>
          <w:sz w:val="32"/>
          <w:szCs w:val="32"/>
          <w14:textFill>
            <w14:solidFill>
              <w14:schemeClr w14:val="tx1"/>
            </w14:solidFill>
          </w14:textFill>
        </w:rPr>
        <w:t>完成</w:t>
      </w:r>
      <w:r>
        <w:rPr>
          <w:rStyle w:val="12"/>
          <w:rFonts w:hint="eastAsia" w:ascii="仿宋" w:hAnsi="仿宋" w:eastAsia="仿宋"/>
          <w:bCs/>
          <w:color w:val="000000"/>
          <w:sz w:val="32"/>
          <w:szCs w:val="32"/>
        </w:rPr>
        <w:t>预算</w:t>
      </w:r>
      <w:r>
        <w:rPr>
          <w:rStyle w:val="12"/>
          <w:rFonts w:hint="eastAsia" w:ascii="仿宋" w:hAnsi="仿宋" w:eastAsia="仿宋"/>
          <w:bCs/>
          <w:color w:val="000000"/>
          <w:sz w:val="32"/>
          <w:szCs w:val="32"/>
          <w:lang w:val="en-US" w:eastAsia="zh-CN"/>
        </w:rPr>
        <w:t>100</w:t>
      </w:r>
      <w:r>
        <w:rPr>
          <w:rStyle w:val="12"/>
          <w:rFonts w:ascii="仿宋" w:hAnsi="仿宋" w:eastAsia="仿宋"/>
          <w:bCs/>
          <w:color w:val="000000"/>
          <w:sz w:val="32"/>
          <w:szCs w:val="32"/>
        </w:rPr>
        <w:t>%</w:t>
      </w:r>
      <w:r>
        <w:rPr>
          <w:rStyle w:val="12"/>
          <w:rFonts w:hint="eastAsia" w:ascii="仿宋" w:hAnsi="仿宋" w:eastAsia="仿宋"/>
          <w:bCs/>
          <w:color w:val="000000"/>
          <w:sz w:val="32"/>
          <w:szCs w:val="32"/>
        </w:rPr>
        <w:t>。其中：</w:t>
      </w:r>
      <w:bookmarkEnd w:id="56"/>
      <w:bookmarkEnd w:id="57"/>
      <w:bookmarkEnd w:id="58"/>
      <w:bookmarkEnd w:id="59"/>
    </w:p>
    <w:p>
      <w:pPr>
        <w:spacing w:line="600" w:lineRule="exact"/>
        <w:ind w:firstLine="643" w:firstLineChars="200"/>
        <w:rPr>
          <w:rFonts w:ascii="仿宋" w:hAnsi="仿宋" w:eastAsia="仿宋"/>
          <w:b/>
          <w:color w:val="000000"/>
          <w:sz w:val="32"/>
          <w:szCs w:val="32"/>
        </w:rPr>
      </w:pPr>
      <w:r>
        <w:rPr>
          <w:rStyle w:val="12"/>
          <w:rFonts w:hint="eastAsia" w:ascii="仿宋" w:hAnsi="仿宋" w:eastAsia="仿宋"/>
          <w:bCs/>
          <w:color w:val="000000"/>
          <w:sz w:val="32"/>
          <w:szCs w:val="32"/>
          <w:lang w:val="en-US" w:eastAsia="zh-CN"/>
        </w:rPr>
        <w:t>1</w:t>
      </w:r>
      <w:r>
        <w:rPr>
          <w:rStyle w:val="12"/>
          <w:rFonts w:ascii="仿宋" w:hAnsi="仿宋" w:eastAsia="仿宋"/>
          <w:bCs/>
          <w:color w:val="000000"/>
          <w:sz w:val="32"/>
          <w:szCs w:val="32"/>
        </w:rPr>
        <w:t>.</w:t>
      </w:r>
      <w:r>
        <w:rPr>
          <w:rStyle w:val="12"/>
          <w:rFonts w:hint="eastAsia" w:ascii="仿宋" w:hAnsi="仿宋" w:eastAsia="仿宋"/>
          <w:bCs/>
          <w:color w:val="000000"/>
          <w:sz w:val="32"/>
          <w:szCs w:val="32"/>
        </w:rPr>
        <w:t xml:space="preserve">教育支出（类）进修及培训（款）培训支出（项）: </w:t>
      </w:r>
      <w:r>
        <w:rPr>
          <w:rStyle w:val="12"/>
          <w:rFonts w:hint="eastAsia" w:ascii="仿宋" w:hAnsi="仿宋" w:eastAsia="仿宋"/>
          <w:b w:val="0"/>
          <w:bCs/>
          <w:color w:val="000000"/>
          <w:sz w:val="32"/>
          <w:szCs w:val="32"/>
        </w:rPr>
        <w:t>支出决算为1</w:t>
      </w:r>
      <w:r>
        <w:rPr>
          <w:rStyle w:val="12"/>
          <w:rFonts w:hint="eastAsia" w:ascii="仿宋" w:hAnsi="仿宋" w:eastAsia="仿宋"/>
          <w:b w:val="0"/>
          <w:bCs/>
          <w:color w:val="000000"/>
          <w:sz w:val="32"/>
          <w:szCs w:val="32"/>
          <w:lang w:val="en-US" w:eastAsia="zh-CN"/>
        </w:rPr>
        <w:t>0</w:t>
      </w:r>
      <w:r>
        <w:rPr>
          <w:rStyle w:val="12"/>
          <w:rFonts w:hint="eastAsia" w:ascii="仿宋" w:hAnsi="仿宋" w:eastAsia="仿宋"/>
          <w:b w:val="0"/>
          <w:bCs/>
          <w:color w:val="000000"/>
          <w:sz w:val="32"/>
          <w:szCs w:val="32"/>
        </w:rPr>
        <w:t>万元，完成预算100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，与预算数持平。</w:t>
      </w:r>
    </w:p>
    <w:p>
      <w:pPr>
        <w:spacing w:line="600" w:lineRule="exact"/>
        <w:ind w:firstLine="643" w:firstLineChars="200"/>
        <w:rPr>
          <w:rStyle w:val="12"/>
          <w:rFonts w:hint="eastAsia" w:ascii="仿宋" w:hAnsi="仿宋" w:eastAsia="仿宋"/>
          <w:b w:val="0"/>
          <w:bCs/>
          <w:color w:val="000000"/>
          <w:sz w:val="32"/>
          <w:szCs w:val="32"/>
        </w:rPr>
      </w:pPr>
      <w:r>
        <w:rPr>
          <w:rStyle w:val="12"/>
          <w:rFonts w:hint="eastAsia" w:ascii="仿宋" w:hAnsi="仿宋" w:eastAsia="仿宋"/>
          <w:bCs/>
          <w:color w:val="000000"/>
          <w:sz w:val="32"/>
          <w:szCs w:val="32"/>
          <w:lang w:val="en-US" w:eastAsia="zh-CN"/>
        </w:rPr>
        <w:t>2</w:t>
      </w:r>
      <w:r>
        <w:rPr>
          <w:rStyle w:val="12"/>
          <w:rFonts w:ascii="仿宋" w:hAnsi="仿宋" w:eastAsia="仿宋"/>
          <w:bCs/>
          <w:color w:val="000000"/>
          <w:sz w:val="32"/>
          <w:szCs w:val="32"/>
        </w:rPr>
        <w:t>.</w:t>
      </w:r>
      <w:r>
        <w:rPr>
          <w:rStyle w:val="12"/>
          <w:rFonts w:hint="eastAsia" w:ascii="仿宋" w:hAnsi="仿宋" w:eastAsia="仿宋"/>
          <w:bCs/>
          <w:color w:val="000000"/>
          <w:sz w:val="32"/>
          <w:szCs w:val="32"/>
        </w:rPr>
        <w:t>社会保障和就业支出（类）行政事业单位离退休（款）事业单位离退休（项）</w:t>
      </w:r>
      <w:r>
        <w:rPr>
          <w:rStyle w:val="12"/>
          <w:rFonts w:ascii="仿宋" w:hAnsi="仿宋" w:eastAsia="仿宋"/>
          <w:bCs/>
          <w:color w:val="000000"/>
          <w:sz w:val="32"/>
          <w:szCs w:val="32"/>
        </w:rPr>
        <w:t>:</w:t>
      </w:r>
      <w:r>
        <w:rPr>
          <w:rStyle w:val="12"/>
          <w:rFonts w:hint="eastAsia" w:ascii="仿宋" w:hAnsi="仿宋" w:eastAsia="仿宋"/>
          <w:b w:val="0"/>
          <w:bCs/>
          <w:color w:val="000000"/>
          <w:sz w:val="32"/>
          <w:szCs w:val="32"/>
        </w:rPr>
        <w:t>支出决算为</w:t>
      </w:r>
      <w:r>
        <w:rPr>
          <w:rStyle w:val="12"/>
          <w:rFonts w:hint="eastAsia" w:ascii="仿宋" w:hAnsi="仿宋" w:eastAsia="仿宋"/>
          <w:b w:val="0"/>
          <w:bCs/>
          <w:color w:val="000000"/>
          <w:sz w:val="32"/>
          <w:szCs w:val="32"/>
          <w:lang w:val="en-US" w:eastAsia="zh-CN"/>
        </w:rPr>
        <w:t>391.49</w:t>
      </w:r>
      <w:r>
        <w:rPr>
          <w:rStyle w:val="12"/>
          <w:rFonts w:hint="eastAsia" w:ascii="仿宋" w:hAnsi="仿宋" w:eastAsia="仿宋"/>
          <w:b w:val="0"/>
          <w:bCs/>
          <w:color w:val="000000"/>
          <w:sz w:val="32"/>
          <w:szCs w:val="32"/>
        </w:rPr>
        <w:t>万元，完成预算100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，与预算数持平。</w:t>
      </w:r>
    </w:p>
    <w:p>
      <w:pPr>
        <w:spacing w:line="600" w:lineRule="exact"/>
        <w:ind w:firstLine="643" w:firstLineChars="200"/>
        <w:rPr>
          <w:rStyle w:val="12"/>
          <w:rFonts w:hint="eastAsia" w:ascii="仿宋" w:hAnsi="仿宋" w:eastAsia="仿宋"/>
          <w:b w:val="0"/>
          <w:bCs/>
          <w:color w:val="000000"/>
          <w:sz w:val="32"/>
          <w:szCs w:val="32"/>
        </w:rPr>
      </w:pPr>
      <w:r>
        <w:rPr>
          <w:rStyle w:val="12"/>
          <w:rFonts w:hint="eastAsia" w:ascii="仿宋" w:hAnsi="仿宋" w:eastAsia="仿宋"/>
          <w:bCs/>
          <w:color w:val="000000"/>
          <w:sz w:val="32"/>
          <w:szCs w:val="32"/>
        </w:rPr>
        <w:t>3.社会保障和就业支出（类）行政事业单位离退休（款）机关事业单位基本养老保险缴费支出（项）：</w:t>
      </w:r>
      <w:r>
        <w:rPr>
          <w:rStyle w:val="12"/>
          <w:rFonts w:hint="eastAsia" w:ascii="仿宋" w:hAnsi="仿宋" w:eastAsia="仿宋"/>
          <w:b w:val="0"/>
          <w:bCs/>
          <w:color w:val="000000"/>
          <w:sz w:val="32"/>
          <w:szCs w:val="32"/>
        </w:rPr>
        <w:t>支出决算数为</w:t>
      </w:r>
      <w:r>
        <w:rPr>
          <w:rStyle w:val="12"/>
          <w:rFonts w:hint="eastAsia" w:ascii="仿宋" w:hAnsi="仿宋" w:eastAsia="仿宋"/>
          <w:b w:val="0"/>
          <w:bCs/>
          <w:color w:val="000000"/>
          <w:sz w:val="32"/>
          <w:szCs w:val="32"/>
          <w:lang w:val="en-US" w:eastAsia="zh-CN"/>
        </w:rPr>
        <w:t>200.88</w:t>
      </w:r>
      <w:r>
        <w:rPr>
          <w:rStyle w:val="12"/>
          <w:rFonts w:hint="eastAsia" w:ascii="仿宋" w:hAnsi="仿宋" w:eastAsia="仿宋"/>
          <w:b w:val="0"/>
          <w:bCs/>
          <w:color w:val="000000"/>
          <w:sz w:val="32"/>
          <w:szCs w:val="32"/>
        </w:rPr>
        <w:t>万元，完成预算100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，与预算数持平。</w:t>
      </w:r>
    </w:p>
    <w:p>
      <w:pPr>
        <w:spacing w:line="600" w:lineRule="exact"/>
        <w:ind w:firstLine="643" w:firstLineChars="200"/>
        <w:rPr>
          <w:rStyle w:val="12"/>
          <w:rFonts w:hint="eastAsia" w:ascii="仿宋" w:hAnsi="仿宋" w:eastAsia="仿宋"/>
          <w:b w:val="0"/>
          <w:bCs/>
          <w:color w:val="000000"/>
          <w:sz w:val="32"/>
          <w:szCs w:val="32"/>
        </w:rPr>
      </w:pPr>
      <w:r>
        <w:rPr>
          <w:rStyle w:val="12"/>
          <w:rFonts w:hint="eastAsia" w:ascii="仿宋" w:hAnsi="仿宋" w:eastAsia="仿宋"/>
          <w:bCs/>
          <w:color w:val="000000"/>
          <w:sz w:val="32"/>
          <w:szCs w:val="32"/>
          <w:lang w:val="en-US" w:eastAsia="zh-CN"/>
        </w:rPr>
        <w:t>4.</w:t>
      </w:r>
      <w:r>
        <w:rPr>
          <w:rStyle w:val="12"/>
          <w:rFonts w:hint="eastAsia" w:ascii="仿宋" w:hAnsi="仿宋" w:eastAsia="仿宋"/>
          <w:bCs/>
          <w:color w:val="000000"/>
          <w:sz w:val="32"/>
          <w:szCs w:val="32"/>
        </w:rPr>
        <w:t>社会保障和就业支出（类）行政事业单位离退休（款）机关事业单位</w:t>
      </w:r>
      <w:r>
        <w:rPr>
          <w:rStyle w:val="12"/>
          <w:rFonts w:hint="eastAsia" w:ascii="仿宋" w:hAnsi="仿宋" w:eastAsia="仿宋"/>
          <w:bCs/>
          <w:color w:val="000000"/>
          <w:sz w:val="32"/>
          <w:szCs w:val="32"/>
          <w:lang w:eastAsia="zh-CN"/>
        </w:rPr>
        <w:t>职业</w:t>
      </w:r>
      <w:r>
        <w:rPr>
          <w:rStyle w:val="12"/>
          <w:rFonts w:hint="eastAsia" w:ascii="仿宋" w:hAnsi="仿宋" w:eastAsia="仿宋"/>
          <w:bCs/>
          <w:color w:val="000000"/>
          <w:sz w:val="32"/>
          <w:szCs w:val="32"/>
        </w:rPr>
        <w:t>年金缴费支出（项）：</w:t>
      </w:r>
      <w:r>
        <w:rPr>
          <w:rStyle w:val="12"/>
          <w:rFonts w:hint="eastAsia" w:ascii="仿宋" w:hAnsi="仿宋" w:eastAsia="仿宋"/>
          <w:b w:val="0"/>
          <w:bCs/>
          <w:color w:val="000000"/>
          <w:sz w:val="32"/>
          <w:szCs w:val="32"/>
        </w:rPr>
        <w:t>支出决算数为8</w:t>
      </w:r>
      <w:r>
        <w:rPr>
          <w:rStyle w:val="12"/>
          <w:rFonts w:hint="eastAsia" w:ascii="仿宋" w:hAnsi="仿宋" w:eastAsia="仿宋"/>
          <w:b w:val="0"/>
          <w:bCs/>
          <w:color w:val="000000"/>
          <w:sz w:val="32"/>
          <w:szCs w:val="32"/>
          <w:lang w:val="en-US" w:eastAsia="zh-CN"/>
        </w:rPr>
        <w:t>0.72</w:t>
      </w:r>
      <w:r>
        <w:rPr>
          <w:rStyle w:val="12"/>
          <w:rFonts w:hint="eastAsia" w:ascii="仿宋" w:hAnsi="仿宋" w:eastAsia="仿宋"/>
          <w:b w:val="0"/>
          <w:bCs/>
          <w:color w:val="000000"/>
          <w:sz w:val="32"/>
          <w:szCs w:val="32"/>
        </w:rPr>
        <w:t>万元，完成预算100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，与预算数持平。</w:t>
      </w:r>
    </w:p>
    <w:p>
      <w:pPr>
        <w:spacing w:line="600" w:lineRule="exact"/>
        <w:ind w:firstLine="643" w:firstLineChars="200"/>
        <w:rPr>
          <w:rStyle w:val="12"/>
          <w:rFonts w:hint="eastAsia" w:ascii="仿宋" w:hAnsi="仿宋" w:eastAsia="仿宋"/>
          <w:b w:val="0"/>
          <w:bCs/>
          <w:color w:val="000000"/>
          <w:sz w:val="32"/>
          <w:szCs w:val="32"/>
        </w:rPr>
      </w:pPr>
      <w:r>
        <w:rPr>
          <w:rStyle w:val="12"/>
          <w:rFonts w:hint="eastAsia" w:ascii="仿宋" w:hAnsi="仿宋" w:eastAsia="仿宋"/>
          <w:bCs/>
          <w:color w:val="000000"/>
          <w:sz w:val="32"/>
          <w:szCs w:val="32"/>
        </w:rPr>
        <w:t>5.社会保障和就业支出（类）其他社会保障和就业支出（款）其他社会保障和就业支出（项）：</w:t>
      </w:r>
      <w:r>
        <w:rPr>
          <w:rStyle w:val="12"/>
          <w:rFonts w:hint="eastAsia" w:ascii="仿宋" w:hAnsi="仿宋" w:eastAsia="仿宋"/>
          <w:b w:val="0"/>
          <w:bCs/>
          <w:color w:val="000000"/>
          <w:sz w:val="32"/>
          <w:szCs w:val="32"/>
        </w:rPr>
        <w:t>支出决算数为</w:t>
      </w:r>
      <w:r>
        <w:rPr>
          <w:rStyle w:val="12"/>
          <w:rFonts w:hint="eastAsia" w:ascii="仿宋" w:hAnsi="仿宋" w:eastAsia="仿宋"/>
          <w:b w:val="0"/>
          <w:bCs/>
          <w:color w:val="000000"/>
          <w:sz w:val="32"/>
          <w:szCs w:val="32"/>
          <w:lang w:val="en-US" w:eastAsia="zh-CN"/>
        </w:rPr>
        <w:t>9.02</w:t>
      </w:r>
      <w:r>
        <w:rPr>
          <w:rStyle w:val="12"/>
          <w:rFonts w:hint="eastAsia" w:ascii="仿宋" w:hAnsi="仿宋" w:eastAsia="仿宋"/>
          <w:b w:val="0"/>
          <w:bCs/>
          <w:color w:val="000000"/>
          <w:sz w:val="32"/>
          <w:szCs w:val="32"/>
        </w:rPr>
        <w:t>万元，完成预算100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，与预算数持平。</w:t>
      </w:r>
    </w:p>
    <w:p>
      <w:pPr>
        <w:shd w:val="clear" w:color="auto" w:fill="FFFFFF"/>
        <w:spacing w:line="560" w:lineRule="atLeast"/>
        <w:ind w:firstLine="643"/>
        <w:rPr>
          <w:rStyle w:val="12"/>
          <w:rFonts w:hint="eastAsia" w:ascii="仿宋" w:hAnsi="仿宋" w:eastAsia="仿宋"/>
          <w:b w:val="0"/>
          <w:bCs/>
          <w:color w:val="000000"/>
          <w:sz w:val="32"/>
          <w:szCs w:val="32"/>
        </w:rPr>
      </w:pPr>
      <w:r>
        <w:rPr>
          <w:rStyle w:val="12"/>
          <w:rFonts w:ascii="仿宋" w:hAnsi="仿宋" w:eastAsia="仿宋"/>
          <w:bCs/>
          <w:color w:val="000000"/>
          <w:sz w:val="32"/>
          <w:szCs w:val="32"/>
        </w:rPr>
        <w:t>6.</w:t>
      </w:r>
      <w:r>
        <w:rPr>
          <w:rStyle w:val="12"/>
          <w:rFonts w:hint="eastAsia" w:ascii="仿宋" w:hAnsi="仿宋" w:eastAsia="仿宋"/>
          <w:bCs/>
          <w:color w:val="000000"/>
          <w:sz w:val="32"/>
          <w:szCs w:val="32"/>
        </w:rPr>
        <w:t>医疗卫生与计划生育支出（类）行政事业单位医疗（款）事业单位医疗（项）：</w:t>
      </w:r>
      <w:r>
        <w:rPr>
          <w:rStyle w:val="12"/>
          <w:rFonts w:hint="eastAsia" w:ascii="仿宋" w:hAnsi="仿宋" w:eastAsia="仿宋"/>
          <w:b w:val="0"/>
          <w:bCs/>
          <w:color w:val="000000"/>
          <w:sz w:val="32"/>
          <w:szCs w:val="32"/>
        </w:rPr>
        <w:t>支出决算为</w:t>
      </w:r>
      <w:r>
        <w:rPr>
          <w:rStyle w:val="12"/>
          <w:rFonts w:hint="eastAsia" w:ascii="仿宋" w:hAnsi="仿宋" w:eastAsia="仿宋"/>
          <w:b w:val="0"/>
          <w:bCs/>
          <w:color w:val="000000"/>
          <w:sz w:val="32"/>
          <w:szCs w:val="32"/>
          <w:lang w:val="en-US" w:eastAsia="zh-CN"/>
        </w:rPr>
        <w:t>8</w:t>
      </w:r>
      <w:r>
        <w:rPr>
          <w:rStyle w:val="12"/>
          <w:rFonts w:hint="eastAsia" w:ascii="仿宋" w:hAnsi="仿宋" w:eastAsia="仿宋"/>
          <w:b w:val="0"/>
          <w:bCs/>
          <w:color w:val="000000"/>
          <w:sz w:val="32"/>
          <w:szCs w:val="32"/>
        </w:rPr>
        <w:t>0万元，完成预算100%，与预算数持平。</w:t>
      </w:r>
    </w:p>
    <w:p>
      <w:pPr>
        <w:shd w:val="clear" w:color="auto" w:fill="FFFFFF"/>
        <w:spacing w:line="560" w:lineRule="atLeast"/>
        <w:ind w:firstLine="643"/>
        <w:rPr>
          <w:rStyle w:val="12"/>
          <w:rFonts w:ascii="仿宋" w:hAnsi="仿宋" w:eastAsia="仿宋"/>
          <w:b w:val="0"/>
          <w:bCs/>
          <w:color w:val="000000"/>
          <w:sz w:val="32"/>
          <w:szCs w:val="32"/>
        </w:rPr>
      </w:pPr>
      <w:r>
        <w:rPr>
          <w:rStyle w:val="12"/>
          <w:rFonts w:hint="eastAsia" w:ascii="仿宋" w:hAnsi="仿宋" w:eastAsia="仿宋"/>
          <w:bCs/>
          <w:color w:val="000000"/>
          <w:sz w:val="32"/>
          <w:szCs w:val="32"/>
        </w:rPr>
        <w:t>7.住房保障支出（类）住房改革支出（款）住房公积金（项）：</w:t>
      </w:r>
      <w:r>
        <w:rPr>
          <w:rStyle w:val="12"/>
          <w:rFonts w:hint="eastAsia" w:ascii="仿宋" w:hAnsi="仿宋" w:eastAsia="仿宋"/>
          <w:b w:val="0"/>
          <w:bCs/>
          <w:color w:val="000000"/>
          <w:sz w:val="32"/>
          <w:szCs w:val="32"/>
        </w:rPr>
        <w:t>支出决算为1</w:t>
      </w:r>
      <w:r>
        <w:rPr>
          <w:rStyle w:val="12"/>
          <w:rFonts w:hint="eastAsia" w:ascii="仿宋" w:hAnsi="仿宋" w:eastAsia="仿宋"/>
          <w:b w:val="0"/>
          <w:bCs/>
          <w:color w:val="000000"/>
          <w:sz w:val="32"/>
          <w:szCs w:val="32"/>
          <w:lang w:val="en-US" w:eastAsia="zh-CN"/>
        </w:rPr>
        <w:t>20</w:t>
      </w:r>
      <w:r>
        <w:rPr>
          <w:rStyle w:val="12"/>
          <w:rFonts w:hint="eastAsia" w:ascii="仿宋" w:hAnsi="仿宋" w:eastAsia="仿宋"/>
          <w:b w:val="0"/>
          <w:bCs/>
          <w:color w:val="000000"/>
          <w:sz w:val="32"/>
          <w:szCs w:val="32"/>
        </w:rPr>
        <w:t>万元，完成预算100%，与预算数持平。</w:t>
      </w:r>
    </w:p>
    <w:p>
      <w:pPr>
        <w:shd w:val="clear" w:color="auto" w:fill="FFFFFF"/>
        <w:spacing w:line="560" w:lineRule="atLeast"/>
        <w:ind w:firstLine="643"/>
        <w:rPr>
          <w:rFonts w:ascii="仿宋" w:hAnsi="仿宋" w:eastAsia="仿宋"/>
          <w:b/>
          <w:color w:val="000000"/>
          <w:sz w:val="32"/>
          <w:szCs w:val="32"/>
        </w:rPr>
      </w:pPr>
      <w:r>
        <w:rPr>
          <w:rStyle w:val="12"/>
          <w:rFonts w:hint="eastAsia" w:ascii="仿宋" w:hAnsi="仿宋" w:eastAsia="仿宋"/>
          <w:bCs/>
          <w:color w:val="000000"/>
          <w:sz w:val="32"/>
          <w:szCs w:val="32"/>
        </w:rPr>
        <w:t>8.资源勘探信息等支出（类）资源勘探开发（款）石油和天然气勘探开采（项）：</w:t>
      </w:r>
      <w:r>
        <w:rPr>
          <w:rStyle w:val="12"/>
          <w:rFonts w:hint="eastAsia" w:ascii="仿宋" w:hAnsi="仿宋" w:eastAsia="仿宋"/>
          <w:b w:val="0"/>
          <w:bCs/>
          <w:color w:val="000000"/>
          <w:sz w:val="32"/>
          <w:szCs w:val="32"/>
        </w:rPr>
        <w:t>支出决算为15</w:t>
      </w:r>
      <w:r>
        <w:rPr>
          <w:rStyle w:val="12"/>
          <w:rFonts w:hint="eastAsia" w:ascii="仿宋" w:hAnsi="仿宋" w:eastAsia="仿宋"/>
          <w:b w:val="0"/>
          <w:bCs/>
          <w:color w:val="000000"/>
          <w:sz w:val="32"/>
          <w:szCs w:val="32"/>
          <w:lang w:val="en-US" w:eastAsia="zh-CN"/>
        </w:rPr>
        <w:t>88.25</w:t>
      </w:r>
      <w:r>
        <w:rPr>
          <w:rStyle w:val="12"/>
          <w:rFonts w:hint="eastAsia" w:ascii="仿宋" w:hAnsi="仿宋" w:eastAsia="仿宋"/>
          <w:b w:val="0"/>
          <w:bCs/>
          <w:color w:val="000000"/>
          <w:sz w:val="32"/>
          <w:szCs w:val="32"/>
        </w:rPr>
        <w:t>万元，完成预算100%，与预算数持平。</w:t>
      </w:r>
    </w:p>
    <w:p>
      <w:pPr>
        <w:tabs>
          <w:tab w:val="right" w:pos="8306"/>
        </w:tabs>
        <w:spacing w:line="600" w:lineRule="exact"/>
        <w:ind w:firstLine="640"/>
        <w:outlineLvl w:val="1"/>
        <w:rPr>
          <w:rStyle w:val="15"/>
        </w:rPr>
      </w:pPr>
      <w:bookmarkStart w:id="60" w:name="_Toc15396608"/>
      <w:bookmarkStart w:id="61" w:name="_Toc15377214"/>
      <w:bookmarkStart w:id="62" w:name="_Toc10093"/>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5"/>
          <w:rFonts w:hint="eastAsia" w:ascii="黑体" w:hAnsi="黑体" w:eastAsia="黑体"/>
          <w:b w:val="0"/>
        </w:rPr>
        <w:t>般公共预算财政拨款基本支出决算情况说明</w:t>
      </w:r>
      <w:bookmarkEnd w:id="60"/>
      <w:bookmarkEnd w:id="61"/>
      <w:bookmarkEnd w:id="62"/>
      <w:r>
        <w:rPr>
          <w:rStyle w:val="1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w:t>
      </w:r>
      <w:r>
        <w:rPr>
          <w:rFonts w:hint="eastAsia" w:ascii="仿宋" w:hAnsi="仿宋" w:eastAsia="仿宋"/>
          <w:color w:val="000000"/>
          <w:sz w:val="32"/>
          <w:szCs w:val="32"/>
          <w:lang w:val="en-US" w:eastAsia="zh-CN"/>
        </w:rPr>
        <w:t>2417.36</w:t>
      </w:r>
      <w:r>
        <w:rPr>
          <w:rFonts w:hint="eastAsia" w:ascii="仿宋" w:hAnsi="仿宋" w:eastAsia="仿宋"/>
          <w:color w:val="000000"/>
          <w:sz w:val="32"/>
          <w:szCs w:val="32"/>
        </w:rPr>
        <w:t>万元，其中：</w:t>
      </w:r>
    </w:p>
    <w:p>
      <w:pPr>
        <w:spacing w:line="600" w:lineRule="exact"/>
        <w:ind w:firstLine="645"/>
        <w:rPr>
          <w:rFonts w:ascii="仿宋" w:hAnsi="仿宋" w:eastAsia="仿宋"/>
          <w:b/>
          <w:color w:val="FF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2057.52</w:t>
      </w:r>
      <w:r>
        <w:rPr>
          <w:rFonts w:hint="eastAsia" w:ascii="仿宋" w:hAnsi="仿宋" w:eastAsia="仿宋"/>
          <w:color w:val="000000"/>
          <w:sz w:val="32"/>
          <w:szCs w:val="32"/>
        </w:rPr>
        <w:t>万元，主要包括：基本工资、津贴补贴、绩效工资、机关事业单位基本养老保险缴费、职业年金缴费、其他社会保障缴费、离休费、生活补助、医疗费、奖励金、住房公积金、其他对个人和家庭的补助支出等。</w:t>
      </w:r>
      <w:r>
        <w:rPr>
          <w:rFonts w:ascii="仿宋" w:hAnsi="仿宋" w:eastAsia="仿宋"/>
          <w:color w:val="000000"/>
          <w:sz w:val="32"/>
          <w:szCs w:val="32"/>
        </w:rPr>
        <w:br w:type="textWrapping"/>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359.84</w:t>
      </w:r>
      <w:r>
        <w:rPr>
          <w:rFonts w:hint="eastAsia" w:ascii="仿宋" w:hAnsi="仿宋" w:eastAsia="仿宋"/>
          <w:color w:val="000000"/>
          <w:sz w:val="32"/>
          <w:szCs w:val="32"/>
        </w:rPr>
        <w:t>万元，主要包括：办公费、咨询费、手续费、水费、电费、邮电费、差旅费、维修（护）费、</w:t>
      </w:r>
      <w:r>
        <w:rPr>
          <w:rFonts w:hint="eastAsia" w:ascii="仿宋" w:hAnsi="仿宋" w:eastAsia="仿宋"/>
          <w:color w:val="000000"/>
          <w:sz w:val="32"/>
          <w:szCs w:val="32"/>
          <w:lang w:eastAsia="zh-CN"/>
        </w:rPr>
        <w:t>会议费、</w:t>
      </w:r>
      <w:r>
        <w:rPr>
          <w:rFonts w:hint="eastAsia" w:ascii="仿宋" w:hAnsi="仿宋" w:eastAsia="仿宋"/>
          <w:color w:val="000000"/>
          <w:sz w:val="32"/>
          <w:szCs w:val="32"/>
        </w:rPr>
        <w:t>培训费、劳务费、委托业务费、工会经费、福利费、其他商品和服务支出等。</w:t>
      </w:r>
    </w:p>
    <w:p>
      <w:pPr>
        <w:spacing w:line="600" w:lineRule="exact"/>
        <w:ind w:firstLine="640"/>
        <w:outlineLvl w:val="1"/>
        <w:rPr>
          <w:rStyle w:val="15"/>
          <w:rFonts w:ascii="黑体" w:hAnsi="黑体" w:eastAsia="黑体"/>
          <w:b w:val="0"/>
        </w:rPr>
      </w:pPr>
      <w:bookmarkStart w:id="63" w:name="_Toc15377215"/>
      <w:bookmarkStart w:id="64" w:name="_Toc15396609"/>
      <w:bookmarkStart w:id="65" w:name="_Toc9147"/>
      <w:r>
        <w:rPr>
          <w:rFonts w:hint="eastAsia" w:ascii="黑体" w:eastAsia="黑体"/>
          <w:color w:val="000000"/>
          <w:sz w:val="32"/>
          <w:szCs w:val="32"/>
        </w:rPr>
        <w:t>七、</w:t>
      </w:r>
      <w:r>
        <w:rPr>
          <w:rStyle w:val="15"/>
          <w:rFonts w:hint="eastAsia" w:ascii="黑体" w:hAnsi="黑体" w:eastAsia="黑体"/>
        </w:rPr>
        <w:t>“</w:t>
      </w:r>
      <w:r>
        <w:rPr>
          <w:rStyle w:val="15"/>
          <w:rFonts w:hint="eastAsia" w:ascii="黑体" w:hAnsi="黑体" w:eastAsia="黑体"/>
          <w:b w:val="0"/>
        </w:rPr>
        <w:t>三公”经费财政拨款支出决算情况说明</w:t>
      </w:r>
      <w:bookmarkEnd w:id="63"/>
      <w:bookmarkEnd w:id="64"/>
      <w:bookmarkEnd w:id="65"/>
    </w:p>
    <w:p>
      <w:pPr>
        <w:spacing w:line="600" w:lineRule="exact"/>
        <w:ind w:firstLine="640"/>
        <w:outlineLvl w:val="2"/>
        <w:rPr>
          <w:rFonts w:ascii="仿宋" w:hAnsi="仿宋" w:eastAsia="仿宋"/>
          <w:b/>
          <w:color w:val="000000"/>
          <w:sz w:val="32"/>
          <w:szCs w:val="32"/>
        </w:rPr>
      </w:pPr>
      <w:bookmarkStart w:id="66" w:name="_Toc15377216"/>
      <w:bookmarkStart w:id="67" w:name="_Toc3922"/>
      <w:r>
        <w:rPr>
          <w:rFonts w:hint="eastAsia" w:ascii="仿宋" w:hAnsi="仿宋" w:eastAsia="仿宋"/>
          <w:b/>
          <w:color w:val="000000"/>
          <w:sz w:val="32"/>
          <w:szCs w:val="32"/>
        </w:rPr>
        <w:t>（一）“三公”经费财政拨款支出决算总体情况说明</w:t>
      </w:r>
      <w:bookmarkEnd w:id="66"/>
      <w:bookmarkEnd w:id="67"/>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w:t>
      </w:r>
      <w:r>
        <w:rPr>
          <w:rFonts w:hint="eastAsia" w:ascii="仿宋" w:hAnsi="仿宋" w:eastAsia="仿宋"/>
          <w:color w:val="000000"/>
          <w:sz w:val="32"/>
          <w:szCs w:val="32"/>
          <w:lang w:val="en-US" w:eastAsia="zh-CN"/>
        </w:rPr>
        <w:t>47</w:t>
      </w:r>
      <w:r>
        <w:rPr>
          <w:rFonts w:hint="eastAsia" w:ascii="仿宋" w:hAnsi="仿宋" w:eastAsia="仿宋"/>
          <w:color w:val="000000"/>
          <w:sz w:val="32"/>
          <w:szCs w:val="32"/>
        </w:rPr>
        <w:t>万元，完成预算100</w:t>
      </w:r>
      <w:r>
        <w:rPr>
          <w:rFonts w:ascii="仿宋" w:hAnsi="仿宋" w:eastAsia="仿宋"/>
          <w:color w:val="000000"/>
          <w:sz w:val="32"/>
          <w:szCs w:val="32"/>
        </w:rPr>
        <w:t>%</w:t>
      </w:r>
      <w:r>
        <w:rPr>
          <w:rFonts w:hint="eastAsia" w:ascii="仿宋" w:hAnsi="仿宋" w:eastAsia="仿宋"/>
          <w:color w:val="000000"/>
          <w:sz w:val="32"/>
          <w:szCs w:val="32"/>
        </w:rPr>
        <w:t>，决算数与预算数持平。</w:t>
      </w:r>
    </w:p>
    <w:p>
      <w:pPr>
        <w:spacing w:line="600" w:lineRule="exact"/>
        <w:ind w:firstLine="640"/>
        <w:outlineLvl w:val="2"/>
        <w:rPr>
          <w:rFonts w:ascii="仿宋" w:hAnsi="仿宋" w:eastAsia="仿宋"/>
          <w:b/>
          <w:color w:val="000000"/>
          <w:sz w:val="32"/>
          <w:szCs w:val="32"/>
        </w:rPr>
      </w:pPr>
      <w:bookmarkStart w:id="68" w:name="_Toc15377217"/>
      <w:bookmarkStart w:id="69" w:name="_Toc28468"/>
      <w:r>
        <w:rPr>
          <w:rFonts w:hint="eastAsia" w:ascii="仿宋" w:hAnsi="仿宋" w:eastAsia="仿宋"/>
          <w:b/>
          <w:color w:val="000000"/>
          <w:sz w:val="32"/>
          <w:szCs w:val="32"/>
        </w:rPr>
        <w:t>（二）“三公”经费财政拨款支出决算具体情况说明</w:t>
      </w:r>
      <w:bookmarkEnd w:id="68"/>
      <w:bookmarkEnd w:id="69"/>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9年“三公”经费财政拨款支出决算中，无因公出国（境）费支出；公务用车购置及运行维护费支出决算</w:t>
      </w:r>
      <w:r>
        <w:rPr>
          <w:rFonts w:hint="eastAsia" w:ascii="仿宋" w:hAnsi="仿宋" w:eastAsia="仿宋"/>
          <w:color w:val="000000"/>
          <w:sz w:val="32"/>
          <w:szCs w:val="32"/>
          <w:lang w:val="en-US" w:eastAsia="zh-CN"/>
        </w:rPr>
        <w:t>40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85.11</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14.89</w:t>
      </w:r>
      <w:r>
        <w:rPr>
          <w:rFonts w:ascii="仿宋" w:hAnsi="仿宋" w:eastAsia="仿宋"/>
          <w:color w:val="000000"/>
          <w:sz w:val="32"/>
          <w:szCs w:val="32"/>
        </w:rPr>
        <w:t>%</w:t>
      </w:r>
      <w:r>
        <w:rPr>
          <w:rFonts w:hint="eastAsia" w:ascii="仿宋" w:hAnsi="仿宋" w:eastAsia="仿宋"/>
          <w:color w:val="000000"/>
          <w:sz w:val="32"/>
          <w:szCs w:val="32"/>
        </w:rPr>
        <w:t>。具体</w:t>
      </w:r>
      <w:r>
        <w:rPr>
          <w:rFonts w:hint="eastAsia" w:ascii="仿宋" w:hAnsi="仿宋" w:eastAsia="仿宋"/>
          <w:color w:val="000000"/>
          <w:sz w:val="32"/>
          <w:szCs w:val="32"/>
          <w:lang w:eastAsia="zh-CN"/>
        </w:rPr>
        <w:t>占比</w:t>
      </w:r>
      <w:r>
        <w:rPr>
          <w:rFonts w:hint="eastAsia" w:ascii="仿宋" w:hAnsi="仿宋" w:eastAsia="仿宋"/>
          <w:color w:val="000000"/>
          <w:sz w:val="32"/>
          <w:szCs w:val="32"/>
        </w:rPr>
        <w:t>如下</w:t>
      </w:r>
      <w:r>
        <w:rPr>
          <w:rFonts w:hint="eastAsia" w:ascii="仿宋" w:hAnsi="仿宋" w:eastAsia="仿宋"/>
          <w:color w:val="000000"/>
          <w:sz w:val="32"/>
          <w:szCs w:val="32"/>
          <w:lang w:eastAsia="zh-CN"/>
        </w:rPr>
        <w:t>图</w:t>
      </w:r>
      <w:r>
        <w:rPr>
          <w:rFonts w:hint="eastAsia" w:ascii="仿宋" w:hAnsi="仿宋" w:eastAsia="仿宋"/>
          <w:color w:val="000000"/>
          <w:sz w:val="32"/>
          <w:szCs w:val="32"/>
        </w:rPr>
        <w:t>：</w:t>
      </w: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anchor distT="0" distB="0" distL="114300" distR="114300" simplePos="0" relativeHeight="251666432" behindDoc="0" locked="0" layoutInCell="1" allowOverlap="1">
            <wp:simplePos x="0" y="0"/>
            <wp:positionH relativeFrom="column">
              <wp:posOffset>410845</wp:posOffset>
            </wp:positionH>
            <wp:positionV relativeFrom="paragraph">
              <wp:posOffset>-1729105</wp:posOffset>
            </wp:positionV>
            <wp:extent cx="4736465" cy="2901315"/>
            <wp:effectExtent l="0" t="0" r="6985" b="13335"/>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（图7：“三公”经费财政拨款支出结构</w:t>
      </w:r>
      <w:r>
        <w:rPr>
          <w:rFonts w:hint="eastAsia" w:ascii="仿宋" w:hAnsi="仿宋" w:eastAsia="仿宋"/>
          <w:color w:val="000000"/>
          <w:sz w:val="32"/>
          <w:szCs w:val="32"/>
          <w:lang w:val="en-US" w:eastAsia="zh-CN"/>
        </w:rPr>
        <w:t xml:space="preserve"> 金额：万元</w:t>
      </w:r>
      <w:r>
        <w:rPr>
          <w:rFonts w:hint="eastAsia" w:ascii="仿宋" w:hAnsi="仿宋" w:eastAsia="仿宋"/>
          <w:color w:val="000000"/>
          <w:sz w:val="32"/>
          <w:szCs w:val="32"/>
        </w:rPr>
        <w:t>）</w:t>
      </w:r>
    </w:p>
    <w:p>
      <w:pPr>
        <w:spacing w:line="600" w:lineRule="exact"/>
        <w:ind w:firstLine="640"/>
        <w:rPr>
          <w:rStyle w:val="12"/>
          <w:rFonts w:ascii="仿宋" w:hAnsi="仿宋" w:eastAsia="仿宋"/>
          <w:b w:val="0"/>
          <w:bCs/>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w:t>
      </w:r>
      <w:r>
        <w:rPr>
          <w:rStyle w:val="12"/>
          <w:rFonts w:hint="eastAsia" w:ascii="仿宋" w:hAnsi="仿宋" w:eastAsia="仿宋"/>
          <w:b w:val="0"/>
          <w:bCs/>
          <w:color w:val="000000"/>
          <w:sz w:val="32"/>
          <w:szCs w:val="32"/>
        </w:rPr>
        <w:t>201</w:t>
      </w:r>
      <w:r>
        <w:rPr>
          <w:rStyle w:val="12"/>
          <w:rFonts w:hint="eastAsia" w:ascii="仿宋" w:hAnsi="仿宋" w:eastAsia="仿宋"/>
          <w:b w:val="0"/>
          <w:bCs/>
          <w:color w:val="000000"/>
          <w:sz w:val="32"/>
          <w:szCs w:val="32"/>
          <w:lang w:val="en-US" w:eastAsia="zh-CN"/>
        </w:rPr>
        <w:t>9</w:t>
      </w:r>
      <w:r>
        <w:rPr>
          <w:rStyle w:val="12"/>
          <w:rFonts w:hint="eastAsia" w:ascii="仿宋" w:hAnsi="仿宋" w:eastAsia="仿宋"/>
          <w:b w:val="0"/>
          <w:bCs/>
          <w:color w:val="000000"/>
          <w:sz w:val="32"/>
          <w:szCs w:val="32"/>
        </w:rPr>
        <w:t>年度</w:t>
      </w:r>
      <w:r>
        <w:rPr>
          <w:rStyle w:val="12"/>
          <w:rFonts w:hint="eastAsia" w:ascii="仿宋" w:hAnsi="仿宋" w:eastAsia="仿宋"/>
          <w:b w:val="0"/>
          <w:bCs/>
          <w:color w:val="000000"/>
          <w:sz w:val="32"/>
          <w:szCs w:val="32"/>
          <w:lang w:eastAsia="zh-CN"/>
        </w:rPr>
        <w:t>我院</w:t>
      </w:r>
      <w:r>
        <w:rPr>
          <w:rStyle w:val="12"/>
          <w:rFonts w:hint="eastAsia" w:ascii="仿宋" w:hAnsi="仿宋" w:eastAsia="仿宋"/>
          <w:b w:val="0"/>
          <w:bCs/>
          <w:color w:val="000000"/>
          <w:sz w:val="32"/>
          <w:szCs w:val="32"/>
        </w:rPr>
        <w:t>因公出国（境）</w:t>
      </w:r>
      <w:r>
        <w:rPr>
          <w:rStyle w:val="12"/>
          <w:rFonts w:hint="eastAsia" w:ascii="仿宋" w:hAnsi="仿宋" w:eastAsia="仿宋"/>
          <w:b w:val="0"/>
          <w:bCs/>
          <w:color w:val="000000"/>
          <w:sz w:val="32"/>
          <w:szCs w:val="32"/>
          <w:lang w:eastAsia="zh-CN"/>
        </w:rPr>
        <w:t>经费支出</w:t>
      </w:r>
      <w:r>
        <w:rPr>
          <w:rStyle w:val="12"/>
          <w:rFonts w:hint="eastAsia" w:ascii="仿宋" w:hAnsi="仿宋" w:eastAsia="仿宋"/>
          <w:b w:val="0"/>
          <w:bCs/>
          <w:color w:val="000000"/>
          <w:sz w:val="32"/>
          <w:szCs w:val="32"/>
          <w:lang w:val="en-US" w:eastAsia="zh-CN"/>
        </w:rPr>
        <w:t>0万元</w:t>
      </w:r>
      <w:r>
        <w:rPr>
          <w:rStyle w:val="12"/>
          <w:rFonts w:hint="eastAsia" w:ascii="仿宋" w:hAnsi="仿宋" w:eastAsia="仿宋"/>
          <w:b w:val="0"/>
          <w:bCs/>
          <w:color w:val="000000"/>
          <w:sz w:val="32"/>
          <w:szCs w:val="32"/>
          <w:lang w:eastAsia="zh-CN"/>
        </w:rPr>
        <w:t>。年初预算未安排财政拨款因公出国（境）支出，年度实际未发生财政拨款因公出国（境）支出，完成预算</w:t>
      </w:r>
      <w:r>
        <w:rPr>
          <w:rStyle w:val="12"/>
          <w:rFonts w:hint="eastAsia" w:ascii="仿宋" w:hAnsi="仿宋" w:eastAsia="仿宋"/>
          <w:b w:val="0"/>
          <w:bCs/>
          <w:color w:val="000000"/>
          <w:sz w:val="32"/>
          <w:szCs w:val="32"/>
          <w:lang w:val="en-US" w:eastAsia="zh-CN"/>
        </w:rPr>
        <w:t>100%。全年安排因公出国（境）</w:t>
      </w:r>
      <w:bookmarkStart w:id="120" w:name="_GoBack"/>
      <w:bookmarkEnd w:id="120"/>
      <w:r>
        <w:rPr>
          <w:rStyle w:val="12"/>
          <w:rFonts w:hint="eastAsia" w:ascii="仿宋" w:hAnsi="仿宋" w:eastAsia="仿宋"/>
          <w:b w:val="0"/>
          <w:bCs/>
          <w:color w:val="000000"/>
          <w:sz w:val="32"/>
          <w:szCs w:val="32"/>
          <w:lang w:val="en-US" w:eastAsia="zh-CN"/>
        </w:rPr>
        <w:t>团组0次，出国（境）0人。因公出国（境）支出决算与2018年一致，同比无增减。</w:t>
      </w:r>
    </w:p>
    <w:p>
      <w:pPr>
        <w:spacing w:line="600" w:lineRule="exact"/>
        <w:ind w:firstLine="643" w:firstLineChars="20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40</w:t>
      </w:r>
      <w:r>
        <w:rPr>
          <w:rFonts w:hint="eastAsia" w:ascii="仿宋_GB2312" w:eastAsia="仿宋_GB2312"/>
          <w:color w:val="000000"/>
          <w:sz w:val="32"/>
          <w:szCs w:val="32"/>
        </w:rPr>
        <w:t>万元,</w:t>
      </w:r>
      <w:r>
        <w:rPr>
          <w:rStyle w:val="12"/>
          <w:rFonts w:hint="eastAsia" w:ascii="仿宋" w:hAnsi="仿宋" w:eastAsia="仿宋"/>
          <w:b w:val="0"/>
          <w:bCs/>
          <w:color w:val="000000"/>
          <w:sz w:val="32"/>
          <w:szCs w:val="32"/>
        </w:rPr>
        <w:t>完成预算</w:t>
      </w:r>
      <w:r>
        <w:rPr>
          <w:rStyle w:val="12"/>
          <w:rFonts w:hint="eastAsia" w:ascii="仿宋" w:hAnsi="仿宋" w:eastAsia="仿宋"/>
          <w:b w:val="0"/>
          <w:bCs/>
          <w:color w:val="000000"/>
          <w:sz w:val="32"/>
          <w:szCs w:val="32"/>
          <w:lang w:val="en-US" w:eastAsia="zh-CN"/>
        </w:rPr>
        <w:t>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8年减少</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11.11</w:t>
      </w:r>
      <w:r>
        <w:rPr>
          <w:rFonts w:ascii="仿宋_GB2312" w:eastAsia="仿宋_GB2312"/>
          <w:color w:val="000000"/>
          <w:sz w:val="32"/>
          <w:szCs w:val="32"/>
        </w:rPr>
        <w:t>%</w:t>
      </w:r>
      <w:r>
        <w:rPr>
          <w:rFonts w:hint="eastAsia" w:ascii="仿宋_GB2312" w:eastAsia="仿宋_GB2312"/>
          <w:color w:val="000000"/>
          <w:sz w:val="32"/>
          <w:szCs w:val="32"/>
        </w:rPr>
        <w:t>。主要原因</w:t>
      </w:r>
      <w:r>
        <w:rPr>
          <w:rFonts w:hint="eastAsia" w:ascii="仿宋_GB2312" w:eastAsia="仿宋_GB2312"/>
          <w:color w:val="000000"/>
          <w:sz w:val="32"/>
          <w:szCs w:val="32"/>
          <w:lang w:eastAsia="zh-CN"/>
        </w:rPr>
        <w:t>是</w:t>
      </w:r>
      <w:r>
        <w:rPr>
          <w:rFonts w:hint="eastAsia" w:ascii="仿宋_GB2312" w:eastAsia="仿宋_GB2312"/>
          <w:color w:val="000000"/>
          <w:sz w:val="32"/>
          <w:szCs w:val="32"/>
        </w:rPr>
        <w:t>我院严格执行公务用车制度管理，201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年度公务用车量减少。</w:t>
      </w:r>
    </w:p>
    <w:p>
      <w:pPr>
        <w:spacing w:line="600" w:lineRule="exact"/>
        <w:ind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b/>
          <w:color w:val="000000"/>
          <w:sz w:val="32"/>
          <w:szCs w:val="32"/>
          <w:lang w:eastAsia="zh-CN"/>
        </w:rPr>
        <w:t>，</w:t>
      </w: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年度我院无公务用车购置支出</w:t>
      </w:r>
      <w:r>
        <w:rPr>
          <w:rFonts w:hint="eastAsia" w:ascii="仿宋_GB2312" w:eastAsia="仿宋_GB2312"/>
          <w:color w:val="000000"/>
          <w:sz w:val="32"/>
          <w:szCs w:val="32"/>
          <w:lang w:eastAsia="zh-CN"/>
        </w:rPr>
        <w:t>。</w:t>
      </w: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辆，其中：</w:t>
      </w:r>
      <w:r>
        <w:rPr>
          <w:rFonts w:hint="eastAsia" w:ascii="仿宋_GB2312" w:eastAsia="仿宋_GB2312"/>
          <w:color w:val="000000"/>
          <w:sz w:val="32"/>
          <w:szCs w:val="32"/>
          <w:lang w:eastAsia="zh-CN"/>
        </w:rPr>
        <w:t>轿车</w:t>
      </w:r>
      <w:r>
        <w:rPr>
          <w:rFonts w:hint="eastAsia" w:ascii="仿宋_GB2312" w:eastAsia="仿宋_GB2312"/>
          <w:color w:val="000000"/>
          <w:sz w:val="32"/>
          <w:szCs w:val="32"/>
          <w:lang w:val="en-US" w:eastAsia="zh-CN"/>
        </w:rPr>
        <w:t>2辆、越野车2辆、小型载客汽车1辆、其他车型2辆。</w:t>
      </w:r>
    </w:p>
    <w:p>
      <w:pPr>
        <w:shd w:val="clear" w:color="auto" w:fill="FFFFFF"/>
        <w:spacing w:line="560" w:lineRule="atLeas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4</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万元。主要用于日常工作、地勘项目、地质环境影响评价、地质灾害危险性评估等工作开展所需的公务用车燃料费、维修费、过路过桥费、保险费等支出。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万元，</w:t>
      </w:r>
      <w:r>
        <w:rPr>
          <w:rStyle w:val="12"/>
          <w:rFonts w:hint="eastAsia" w:ascii="仿宋" w:hAnsi="仿宋" w:eastAsia="仿宋"/>
          <w:b w:val="0"/>
          <w:bCs/>
          <w:color w:val="000000"/>
          <w:sz w:val="32"/>
          <w:szCs w:val="32"/>
        </w:rPr>
        <w:t>完成预算</w:t>
      </w:r>
      <w:r>
        <w:rPr>
          <w:rStyle w:val="12"/>
          <w:rFonts w:hint="eastAsia" w:ascii="仿宋" w:hAnsi="仿宋" w:eastAsia="仿宋"/>
          <w:b w:val="0"/>
          <w:bCs/>
          <w:color w:val="000000"/>
          <w:sz w:val="32"/>
          <w:szCs w:val="32"/>
          <w:lang w:val="en-US" w:eastAsia="zh-CN"/>
        </w:rPr>
        <w:t>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8年减少</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12.5</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我院积极响应相关政策规定严格控制公务接待支出。</w:t>
      </w:r>
      <w:r>
        <w:rPr>
          <w:rFonts w:hint="eastAsia" w:ascii="仿宋_GB2312" w:eastAsia="仿宋_GB2312"/>
          <w:color w:val="000000"/>
          <w:sz w:val="32"/>
          <w:szCs w:val="32"/>
        </w:rPr>
        <w:t>其中：</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lang w:val="en-US" w:eastAsia="zh-CN"/>
        </w:rPr>
        <w:t>7</w:t>
      </w:r>
      <w:r>
        <w:rPr>
          <w:rFonts w:hint="eastAsia" w:ascii="仿宋_GB2312" w:eastAsia="仿宋_GB2312"/>
          <w:color w:val="000000"/>
          <w:sz w:val="32"/>
          <w:szCs w:val="32"/>
        </w:rPr>
        <w:t>万元，主要用于执行公务、开展业务活动开支的交通费、住宿费、用餐费等。国内公务接待</w:t>
      </w:r>
      <w:r>
        <w:rPr>
          <w:rFonts w:hint="eastAsia" w:ascii="仿宋_GB2312" w:eastAsia="仿宋_GB2312"/>
          <w:color w:val="000000"/>
          <w:sz w:val="32"/>
          <w:szCs w:val="32"/>
          <w:lang w:val="en-US" w:eastAsia="zh-CN"/>
        </w:rPr>
        <w:t>35</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320</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万元，具体内容包括：承揽工程业务接待支出3.</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万元；业务往来接待支出</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88</w:t>
      </w:r>
      <w:r>
        <w:rPr>
          <w:rFonts w:hint="eastAsia" w:ascii="仿宋_GB2312" w:eastAsia="仿宋_GB2312"/>
          <w:color w:val="000000"/>
          <w:sz w:val="32"/>
          <w:szCs w:val="32"/>
        </w:rPr>
        <w:t>万元；迎接各项检查支出：1.</w:t>
      </w:r>
      <w:r>
        <w:rPr>
          <w:rFonts w:hint="eastAsia" w:ascii="仿宋_GB2312" w:eastAsia="仿宋_GB2312"/>
          <w:color w:val="000000"/>
          <w:sz w:val="32"/>
          <w:szCs w:val="32"/>
          <w:lang w:val="en-US" w:eastAsia="zh-CN"/>
        </w:rPr>
        <w:t>04</w:t>
      </w:r>
      <w:r>
        <w:rPr>
          <w:rFonts w:hint="eastAsia" w:ascii="仿宋_GB2312" w:eastAsia="仿宋_GB2312"/>
          <w:color w:val="000000"/>
          <w:sz w:val="32"/>
          <w:szCs w:val="32"/>
        </w:rPr>
        <w:t>万元；社会往来支出：</w:t>
      </w:r>
      <w:r>
        <w:rPr>
          <w:rFonts w:hint="eastAsia" w:ascii="仿宋_GB2312" w:eastAsia="仿宋_GB2312"/>
          <w:color w:val="000000"/>
          <w:sz w:val="32"/>
          <w:szCs w:val="32"/>
          <w:lang w:val="en-US" w:eastAsia="zh-CN"/>
        </w:rPr>
        <w:t>0.78</w:t>
      </w:r>
      <w:r>
        <w:rPr>
          <w:rFonts w:hint="eastAsia" w:ascii="仿宋_GB2312" w:eastAsia="仿宋_GB2312"/>
          <w:color w:val="000000"/>
          <w:sz w:val="32"/>
          <w:szCs w:val="32"/>
        </w:rPr>
        <w:t>万元。</w:t>
      </w:r>
    </w:p>
    <w:p>
      <w:pPr>
        <w:spacing w:line="600" w:lineRule="exact"/>
        <w:ind w:firstLine="643" w:firstLineChars="200"/>
        <w:rPr>
          <w:rFonts w:hint="eastAsia" w:ascii="仿宋_GB2312" w:eastAsia="仿宋_GB2312"/>
          <w:color w:val="000000" w:themeColor="text1"/>
          <w:sz w:val="32"/>
          <w:szCs w:val="32"/>
          <w:lang w:eastAsia="zh-CN"/>
          <w14:textFill>
            <w14:solidFill>
              <w14:schemeClr w14:val="tx1"/>
            </w14:solidFill>
          </w14:textFill>
        </w:rPr>
      </w:pPr>
      <w:r>
        <w:rPr>
          <w:rFonts w:hint="eastAsia" w:ascii="仿宋" w:hAnsi="仿宋" w:eastAsia="仿宋"/>
          <w:b/>
          <w:color w:val="000000"/>
          <w:sz w:val="32"/>
          <w:szCs w:val="32"/>
          <w:lang w:val="en-US" w:eastAsia="zh-CN"/>
        </w:rPr>
        <w:t>2019年度我院无</w:t>
      </w:r>
      <w:r>
        <w:rPr>
          <w:rFonts w:hint="eastAsia" w:ascii="仿宋" w:hAnsi="仿宋" w:eastAsia="仿宋"/>
          <w:b/>
          <w:color w:val="000000"/>
          <w:sz w:val="32"/>
          <w:szCs w:val="32"/>
        </w:rPr>
        <w:t>外事接待支出</w:t>
      </w:r>
      <w:r>
        <w:rPr>
          <w:rFonts w:hint="eastAsia" w:ascii="仿宋_GB2312" w:eastAsia="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1"/>
        <w:textAlignment w:val="auto"/>
        <w:outlineLvl w:val="9"/>
        <w:rPr>
          <w:rFonts w:ascii="黑体" w:eastAsia="黑体"/>
          <w:color w:val="000000"/>
          <w:sz w:val="32"/>
          <w:szCs w:val="32"/>
        </w:rPr>
      </w:pPr>
      <w:bookmarkStart w:id="70" w:name="_Toc15396610"/>
      <w:bookmarkStart w:id="71" w:name="_Toc15377218"/>
    </w:p>
    <w:p>
      <w:pPr>
        <w:spacing w:line="600" w:lineRule="exact"/>
        <w:ind w:firstLine="640"/>
        <w:outlineLvl w:val="1"/>
        <w:rPr>
          <w:rStyle w:val="15"/>
          <w:rFonts w:ascii="黑体" w:hAnsi="黑体" w:eastAsia="黑体"/>
        </w:rPr>
      </w:pPr>
      <w:bookmarkStart w:id="72" w:name="_Toc23309"/>
      <w:r>
        <w:rPr>
          <w:rFonts w:hint="eastAsia" w:ascii="黑体" w:eastAsia="黑体"/>
          <w:color w:val="000000"/>
          <w:sz w:val="32"/>
          <w:szCs w:val="32"/>
        </w:rPr>
        <w:t>八、</w:t>
      </w:r>
      <w:r>
        <w:rPr>
          <w:rStyle w:val="15"/>
          <w:rFonts w:hint="eastAsia" w:ascii="黑体" w:hAnsi="黑体" w:eastAsia="黑体"/>
          <w:b w:val="0"/>
        </w:rPr>
        <w:t>政府性基金预算支出决算情况说明</w:t>
      </w:r>
      <w:bookmarkEnd w:id="70"/>
      <w:bookmarkEnd w:id="71"/>
      <w:bookmarkEnd w:id="72"/>
    </w:p>
    <w:p>
      <w:pPr>
        <w:shd w:val="clear" w:color="auto" w:fill="FFFFFF"/>
        <w:spacing w:line="560" w:lineRule="atLeast"/>
        <w:ind w:firstLine="640" w:firstLineChars="200"/>
        <w:rPr>
          <w:rFonts w:ascii="仿宋_GB2312" w:eastAsia="仿宋_GB2312"/>
          <w:color w:val="000000"/>
          <w:sz w:val="32"/>
          <w:szCs w:val="32"/>
        </w:rPr>
      </w:pPr>
      <w:r>
        <w:rPr>
          <w:rFonts w:hint="eastAsia" w:ascii="仿宋_GB2312" w:eastAsia="仿宋_GB2312"/>
          <w:color w:val="000000"/>
          <w:sz w:val="32"/>
          <w:szCs w:val="32"/>
        </w:rPr>
        <w:t>四川省化工地质勘查院201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年未使用政府性基金预算拨款支出。</w:t>
      </w:r>
    </w:p>
    <w:p>
      <w:pPr>
        <w:spacing w:line="600" w:lineRule="exact"/>
        <w:ind w:firstLine="640"/>
        <w:rPr>
          <w:rFonts w:ascii="仿宋_GB2312" w:eastAsia="仿宋_GB2312"/>
          <w:color w:val="000000"/>
          <w:sz w:val="32"/>
          <w:szCs w:val="32"/>
        </w:rPr>
      </w:pPr>
    </w:p>
    <w:p>
      <w:pPr>
        <w:numPr>
          <w:ilvl w:val="0"/>
          <w:numId w:val="2"/>
        </w:numPr>
        <w:spacing w:line="600" w:lineRule="exact"/>
        <w:ind w:firstLine="640"/>
        <w:outlineLvl w:val="1"/>
        <w:rPr>
          <w:rStyle w:val="15"/>
          <w:rFonts w:ascii="黑体" w:hAnsi="黑体" w:eastAsia="黑体"/>
          <w:b w:val="0"/>
        </w:rPr>
      </w:pPr>
      <w:bookmarkStart w:id="73" w:name="_Toc15377219"/>
      <w:bookmarkStart w:id="74" w:name="_Toc15396611"/>
      <w:bookmarkStart w:id="75" w:name="_Toc23225"/>
      <w:r>
        <w:rPr>
          <w:rStyle w:val="15"/>
          <w:rFonts w:hint="eastAsia" w:ascii="黑体" w:hAnsi="黑体" w:eastAsia="黑体"/>
          <w:b w:val="0"/>
        </w:rPr>
        <w:t>国有资本经营预算支出决算情况说明</w:t>
      </w:r>
      <w:bookmarkEnd w:id="73"/>
      <w:bookmarkEnd w:id="74"/>
      <w:bookmarkEnd w:id="75"/>
    </w:p>
    <w:p>
      <w:pPr>
        <w:spacing w:line="580" w:lineRule="exact"/>
        <w:ind w:firstLine="640" w:firstLineChars="200"/>
        <w:jc w:val="both"/>
        <w:rPr>
          <w:rFonts w:hint="eastAsia" w:ascii="方正小标宋简体" w:hAnsi="方正小标宋简体" w:eastAsia="仿宋_GB2312" w:cs="方正小标宋简体"/>
          <w:sz w:val="44"/>
          <w:szCs w:val="44"/>
          <w:lang w:eastAsia="zh-CN"/>
        </w:rPr>
      </w:pPr>
      <w:r>
        <w:rPr>
          <w:rFonts w:hint="eastAsia" w:ascii="仿宋_GB2312" w:eastAsia="仿宋_GB2312"/>
          <w:color w:val="000000"/>
          <w:sz w:val="32"/>
          <w:szCs w:val="32"/>
        </w:rPr>
        <w:t>四川省化工地质勘查院201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年无国有资本经营预算</w:t>
      </w:r>
      <w:r>
        <w:rPr>
          <w:rFonts w:hint="eastAsia" w:ascii="仿宋_GB2312" w:eastAsia="仿宋_GB2312"/>
          <w:color w:val="000000"/>
          <w:sz w:val="32"/>
          <w:szCs w:val="32"/>
          <w:lang w:eastAsia="zh-CN"/>
        </w:rPr>
        <w:t>拨款支出。</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50"/>
        <w:textAlignment w:val="auto"/>
        <w:outlineLvl w:val="9"/>
        <w:rPr>
          <w:rFonts w:hint="eastAsia" w:ascii="黑体" w:hAnsi="黑体" w:eastAsia="黑体"/>
          <w:color w:val="000000"/>
          <w:sz w:val="32"/>
          <w:szCs w:val="32"/>
        </w:rPr>
      </w:pPr>
      <w:bookmarkStart w:id="76" w:name="_Toc15377221"/>
      <w:bookmarkStart w:id="77" w:name="_Toc15396612"/>
    </w:p>
    <w:p>
      <w:pPr>
        <w:spacing w:line="600" w:lineRule="exact"/>
        <w:ind w:firstLine="800" w:firstLineChars="250"/>
        <w:outlineLvl w:val="1"/>
        <w:rPr>
          <w:rStyle w:val="15"/>
          <w:rFonts w:ascii="黑体" w:hAnsi="黑体" w:eastAsia="黑体"/>
        </w:rPr>
      </w:pPr>
      <w:bookmarkStart w:id="78" w:name="_Toc8448"/>
      <w:r>
        <w:rPr>
          <w:rFonts w:hint="eastAsia" w:ascii="黑体" w:hAnsi="黑体" w:eastAsia="黑体"/>
          <w:color w:val="000000"/>
          <w:sz w:val="32"/>
          <w:szCs w:val="32"/>
        </w:rPr>
        <w:t>十</w:t>
      </w:r>
      <w:r>
        <w:rPr>
          <w:rStyle w:val="15"/>
          <w:rFonts w:hint="eastAsia" w:ascii="黑体" w:hAnsi="黑体" w:eastAsia="黑体"/>
        </w:rPr>
        <w:t>、</w:t>
      </w:r>
      <w:r>
        <w:rPr>
          <w:rStyle w:val="15"/>
          <w:rFonts w:hint="eastAsia" w:ascii="黑体" w:hAnsi="黑体" w:eastAsia="黑体"/>
          <w:b w:val="0"/>
        </w:rPr>
        <w:t>其他重要事项的情况说明</w:t>
      </w:r>
      <w:bookmarkEnd w:id="76"/>
      <w:bookmarkEnd w:id="77"/>
      <w:bookmarkEnd w:id="78"/>
    </w:p>
    <w:p>
      <w:pPr>
        <w:spacing w:line="600" w:lineRule="exact"/>
        <w:ind w:firstLine="643" w:firstLineChars="200"/>
        <w:outlineLvl w:val="2"/>
        <w:rPr>
          <w:rFonts w:ascii="仿宋" w:hAnsi="仿宋" w:eastAsia="仿宋"/>
          <w:color w:val="000000"/>
          <w:sz w:val="32"/>
          <w:szCs w:val="32"/>
        </w:rPr>
      </w:pPr>
      <w:bookmarkStart w:id="79" w:name="_Toc15377222"/>
      <w:bookmarkStart w:id="80" w:name="_Toc4473"/>
      <w:r>
        <w:rPr>
          <w:rFonts w:hint="eastAsia" w:ascii="仿宋" w:hAnsi="仿宋" w:eastAsia="仿宋"/>
          <w:b/>
          <w:color w:val="000000"/>
          <w:sz w:val="32"/>
          <w:szCs w:val="32"/>
        </w:rPr>
        <w:t>（一）机关运行经费支出情况</w:t>
      </w:r>
      <w:bookmarkEnd w:id="79"/>
      <w:bookmarkEnd w:id="80"/>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年四川省化工地质勘查院不涉及机关运行经费支出。</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81" w:name="_Toc15377223"/>
      <w:bookmarkStart w:id="82" w:name="_Toc31890"/>
      <w:r>
        <w:rPr>
          <w:rFonts w:hint="eastAsia" w:ascii="仿宋" w:hAnsi="仿宋" w:eastAsia="仿宋"/>
          <w:b/>
          <w:color w:val="000000"/>
          <w:sz w:val="32"/>
          <w:szCs w:val="32"/>
        </w:rPr>
        <w:t>（二）政府采购支出情况</w:t>
      </w:r>
      <w:bookmarkEnd w:id="81"/>
      <w:bookmarkEnd w:id="82"/>
    </w:p>
    <w:p>
      <w:pPr>
        <w:spacing w:line="600" w:lineRule="exact"/>
        <w:ind w:firstLine="640" w:firstLineChars="200"/>
        <w:rPr>
          <w:rFonts w:hint="eastAsia" w:ascii="仿宋_GB2312" w:eastAsia="仿宋_GB2312"/>
          <w:color w:val="000000"/>
          <w:sz w:val="32"/>
          <w:szCs w:val="32"/>
          <w:lang w:val="en-US" w:eastAsia="zh-CN"/>
        </w:rPr>
      </w:pPr>
      <w:r>
        <w:rPr>
          <w:rFonts w:ascii="仿宋_GB2312" w:eastAsia="仿宋_GB2312"/>
          <w:color w:val="000000"/>
          <w:sz w:val="32"/>
          <w:szCs w:val="32"/>
        </w:rPr>
        <w:t>201</w:t>
      </w:r>
      <w:r>
        <w:rPr>
          <w:rFonts w:hint="eastAsia" w:ascii="仿宋_GB2312" w:eastAsia="仿宋_GB2312"/>
          <w:color w:val="000000"/>
          <w:sz w:val="32"/>
          <w:szCs w:val="32"/>
        </w:rPr>
        <w:t>9年，四川省化工地质勘查院政府采购支出总额</w:t>
      </w:r>
      <w:r>
        <w:rPr>
          <w:rFonts w:hint="eastAsia" w:ascii="仿宋_GB2312" w:eastAsia="仿宋_GB2312"/>
          <w:color w:val="000000"/>
          <w:sz w:val="32"/>
          <w:szCs w:val="32"/>
          <w:lang w:val="en-US" w:eastAsia="zh-CN"/>
        </w:rPr>
        <w:t>17</w:t>
      </w:r>
      <w:r>
        <w:rPr>
          <w:rFonts w:hint="eastAsia" w:ascii="仿宋_GB2312" w:eastAsia="仿宋_GB2312"/>
          <w:color w:val="000000"/>
          <w:sz w:val="32"/>
          <w:szCs w:val="32"/>
        </w:rPr>
        <w:t>万元，其中：政府采购服务支出</w:t>
      </w:r>
      <w:r>
        <w:rPr>
          <w:rFonts w:hint="eastAsia" w:ascii="仿宋_GB2312" w:eastAsia="仿宋_GB2312"/>
          <w:color w:val="000000"/>
          <w:sz w:val="32"/>
          <w:szCs w:val="32"/>
          <w:lang w:val="en-US" w:eastAsia="zh-CN"/>
        </w:rPr>
        <w:t>17</w:t>
      </w:r>
      <w:r>
        <w:rPr>
          <w:rFonts w:hint="eastAsia" w:ascii="仿宋_GB2312" w:eastAsia="仿宋_GB2312"/>
          <w:color w:val="000000"/>
          <w:sz w:val="32"/>
          <w:szCs w:val="32"/>
        </w:rPr>
        <w:t>万元</w:t>
      </w:r>
      <w:r>
        <w:rPr>
          <w:rFonts w:hint="eastAsia" w:ascii="仿宋_GB2312" w:eastAsia="仿宋_GB2312"/>
          <w:color w:val="000000"/>
          <w:sz w:val="32"/>
          <w:szCs w:val="32"/>
          <w:lang w:val="en-US" w:eastAsia="zh-CN"/>
        </w:rPr>
        <w:t>,</w:t>
      </w:r>
      <w:r>
        <w:rPr>
          <w:rFonts w:hint="eastAsia" w:ascii="仿宋" w:hAnsi="仿宋" w:eastAsia="仿宋"/>
          <w:sz w:val="32"/>
          <w:szCs w:val="32"/>
          <w:lang w:eastAsia="zh-CN"/>
        </w:rPr>
        <w:t>包括机动车保险服务</w:t>
      </w:r>
      <w:r>
        <w:rPr>
          <w:rFonts w:hint="eastAsia" w:ascii="仿宋" w:hAnsi="仿宋" w:eastAsia="仿宋"/>
          <w:sz w:val="32"/>
          <w:szCs w:val="32"/>
          <w:lang w:val="en-US" w:eastAsia="zh-CN"/>
        </w:rPr>
        <w:t>3</w:t>
      </w:r>
      <w:r>
        <w:rPr>
          <w:rFonts w:hint="eastAsia" w:ascii="仿宋" w:hAnsi="仿宋" w:eastAsia="仿宋"/>
          <w:sz w:val="32"/>
          <w:szCs w:val="32"/>
          <w:lang w:eastAsia="zh-CN"/>
        </w:rPr>
        <w:t>万元、车辆加油服务1</w:t>
      </w:r>
      <w:r>
        <w:rPr>
          <w:rFonts w:hint="eastAsia" w:ascii="仿宋" w:hAnsi="仿宋" w:eastAsia="仿宋"/>
          <w:sz w:val="32"/>
          <w:szCs w:val="32"/>
          <w:lang w:val="en-US" w:eastAsia="zh-CN"/>
        </w:rPr>
        <w:t>0</w:t>
      </w:r>
      <w:r>
        <w:rPr>
          <w:rFonts w:hint="eastAsia" w:ascii="仿宋" w:hAnsi="仿宋" w:eastAsia="仿宋"/>
          <w:sz w:val="32"/>
          <w:szCs w:val="32"/>
          <w:lang w:eastAsia="zh-CN"/>
        </w:rPr>
        <w:t>万元、车辆维修和保养服务</w:t>
      </w:r>
      <w:r>
        <w:rPr>
          <w:rFonts w:hint="eastAsia" w:ascii="仿宋" w:hAnsi="仿宋" w:eastAsia="仿宋"/>
          <w:sz w:val="32"/>
          <w:szCs w:val="32"/>
          <w:lang w:val="en-US" w:eastAsia="zh-CN"/>
        </w:rPr>
        <w:t>4</w:t>
      </w:r>
      <w:r>
        <w:rPr>
          <w:rFonts w:hint="eastAsia" w:ascii="仿宋" w:hAnsi="仿宋" w:eastAsia="仿宋"/>
          <w:sz w:val="32"/>
          <w:szCs w:val="32"/>
          <w:lang w:eastAsia="zh-CN"/>
        </w:rPr>
        <w:t>万元</w:t>
      </w:r>
      <w:r>
        <w:rPr>
          <w:rFonts w:hint="eastAsia" w:ascii="仿宋" w:hAnsi="仿宋" w:eastAsia="仿宋"/>
          <w:sz w:val="32"/>
          <w:szCs w:val="32"/>
          <w:lang w:val="en-US" w:eastAsia="zh-CN"/>
        </w:rPr>
        <w:t>,</w:t>
      </w:r>
      <w:r>
        <w:rPr>
          <w:rFonts w:hint="eastAsia" w:ascii="仿宋_GB2312" w:eastAsia="仿宋_GB2312"/>
          <w:color w:val="000000"/>
          <w:sz w:val="32"/>
          <w:szCs w:val="32"/>
        </w:rPr>
        <w:t>主要用于公务用车加油、维修及保险。授予中小企业合同金额</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23.53</w:t>
      </w:r>
      <w:r>
        <w:rPr>
          <w:rFonts w:ascii="仿宋_GB2312" w:eastAsia="仿宋_GB2312"/>
          <w:color w:val="000000"/>
          <w:sz w:val="32"/>
          <w:szCs w:val="32"/>
        </w:rPr>
        <w:t>%</w:t>
      </w:r>
      <w:r>
        <w:rPr>
          <w:rFonts w:hint="eastAsia" w:ascii="仿宋_GB2312" w:eastAsia="仿宋_GB2312"/>
          <w:color w:val="000000"/>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83" w:name="_Toc15377224"/>
      <w:bookmarkStart w:id="84" w:name="_Toc12907"/>
      <w:r>
        <w:rPr>
          <w:rFonts w:hint="eastAsia" w:ascii="仿宋" w:hAnsi="仿宋" w:eastAsia="仿宋"/>
          <w:b/>
          <w:color w:val="000000"/>
          <w:sz w:val="32"/>
          <w:szCs w:val="32"/>
        </w:rPr>
        <w:t>（三）国有资产占有使用情况</w:t>
      </w:r>
      <w:bookmarkEnd w:id="83"/>
      <w:bookmarkEnd w:id="84"/>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日，四川省化工地质勘查院共有车辆</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辆，其中：一般公务用车5辆、其他用车2辆，</w:t>
      </w:r>
      <w:r>
        <w:rPr>
          <w:rFonts w:hint="eastAsia" w:ascii="仿宋_GB2312" w:eastAsia="仿宋_GB2312"/>
          <w:color w:val="000000" w:themeColor="text1"/>
          <w:sz w:val="32"/>
          <w:szCs w:val="32"/>
          <w14:textFill>
            <w14:solidFill>
              <w14:schemeClr w14:val="tx1"/>
            </w14:solidFill>
          </w14:textFill>
        </w:rPr>
        <w:t>其他用车主要是用于野外物资及设备的运输等；单价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万元以上专用设备2台（套）。</w:t>
      </w:r>
    </w:p>
    <w:p>
      <w:pPr>
        <w:autoSpaceDE w:val="0"/>
        <w:autoSpaceDN w:val="0"/>
        <w:adjustRightInd w:val="0"/>
        <w:spacing w:line="600" w:lineRule="exact"/>
        <w:ind w:left="0" w:firstLine="643" w:firstLineChars="200"/>
        <w:jc w:val="left"/>
        <w:outlineLvl w:val="2"/>
        <w:rPr>
          <w:rFonts w:ascii="仿宋" w:hAnsi="仿宋" w:eastAsia="仿宋" w:cs="Times New Roman"/>
          <w:b/>
          <w:bCs w:val="0"/>
          <w:color w:val="000000"/>
          <w:sz w:val="32"/>
          <w:szCs w:val="32"/>
        </w:rPr>
      </w:pPr>
      <w:bookmarkStart w:id="85" w:name="_Toc25952"/>
      <w:r>
        <w:rPr>
          <w:rFonts w:hint="eastAsia" w:ascii="仿宋" w:hAnsi="仿宋" w:eastAsia="仿宋" w:cs="Times New Roman"/>
          <w:b/>
          <w:bCs w:val="0"/>
          <w:color w:val="000000"/>
          <w:sz w:val="32"/>
          <w:szCs w:val="32"/>
          <w:u w:val="none"/>
        </w:rPr>
        <w:t>（四）预算绩效管理情况。</w:t>
      </w:r>
      <w:bookmarkEnd w:id="85"/>
    </w:p>
    <w:p>
      <w:pPr>
        <w:numPr>
          <w:ilvl w:val="0"/>
          <w:numId w:val="3"/>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hd w:val="clear" w:color="auto" w:fill="FFFFFF"/>
        <w:spacing w:line="560" w:lineRule="atLeast"/>
        <w:ind w:firstLine="803"/>
        <w:rPr>
          <w:rFonts w:ascii="仿宋_GB2312" w:eastAsia="仿宋_GB2312"/>
          <w:color w:val="000000"/>
          <w:sz w:val="32"/>
          <w:szCs w:val="32"/>
        </w:rPr>
      </w:pPr>
      <w:r>
        <w:rPr>
          <w:rFonts w:hint="eastAsia" w:ascii="仿宋_GB2312" w:eastAsia="仿宋_GB2312"/>
          <w:color w:val="000000"/>
          <w:sz w:val="32"/>
          <w:szCs w:val="32"/>
        </w:rPr>
        <w:t>1.绩效目标管理情况。</w:t>
      </w:r>
    </w:p>
    <w:p>
      <w:pPr>
        <w:shd w:val="clear" w:color="auto" w:fill="FFFFFF"/>
        <w:spacing w:line="560" w:lineRule="atLeas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按照预算绩效管理要求，我院201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年一般公共预算项目支出未达编制部门预算</w:t>
      </w:r>
      <w:r>
        <w:rPr>
          <w:rFonts w:hint="eastAsia" w:ascii="仿宋_GB2312" w:eastAsia="仿宋_GB2312"/>
          <w:color w:val="000000"/>
          <w:sz w:val="32"/>
          <w:szCs w:val="32"/>
          <w:lang w:eastAsia="zh-CN"/>
        </w:rPr>
        <w:t>项目</w:t>
      </w:r>
      <w:r>
        <w:rPr>
          <w:rFonts w:hint="eastAsia" w:ascii="仿宋_GB2312" w:eastAsia="仿宋_GB2312"/>
          <w:color w:val="000000"/>
          <w:sz w:val="32"/>
          <w:szCs w:val="32"/>
        </w:rPr>
        <w:t>绩效目标的要求，因此未开展</w:t>
      </w:r>
      <w:r>
        <w:rPr>
          <w:rFonts w:hint="eastAsia" w:ascii="仿宋_GB2312" w:eastAsia="仿宋_GB2312"/>
          <w:color w:val="000000"/>
          <w:sz w:val="32"/>
          <w:szCs w:val="32"/>
          <w:lang w:eastAsia="zh-CN"/>
        </w:rPr>
        <w:t>项目</w:t>
      </w:r>
      <w:r>
        <w:rPr>
          <w:rFonts w:hint="eastAsia" w:ascii="仿宋_GB2312" w:eastAsia="仿宋_GB2312"/>
          <w:color w:val="000000"/>
          <w:sz w:val="32"/>
          <w:szCs w:val="32"/>
        </w:rPr>
        <w:t>绩效目标管理。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2.部门整体支出绩效自评开展情况。</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年部门整体支出开展绩效自评，自评得分</w:t>
      </w:r>
      <w:r>
        <w:rPr>
          <w:rFonts w:hint="eastAsia" w:ascii="仿宋_GB2312" w:hAnsi="仿宋_GB2312" w:eastAsia="仿宋_GB2312" w:cs="仿宋_GB2312"/>
          <w:sz w:val="32"/>
          <w:szCs w:val="32"/>
          <w:lang w:val="en-US" w:eastAsia="zh-CN"/>
        </w:rPr>
        <w:t>91</w:t>
      </w:r>
      <w:r>
        <w:rPr>
          <w:rFonts w:hint="eastAsia" w:ascii="仿宋_GB2312" w:hAnsi="仿宋_GB2312" w:eastAsia="仿宋_GB2312" w:cs="仿宋_GB2312"/>
          <w:sz w:val="32"/>
          <w:szCs w:val="32"/>
        </w:rPr>
        <w:t>分。从评价情况来看存在的问题：</w:t>
      </w:r>
      <w:r>
        <w:rPr>
          <w:rFonts w:hint="eastAsia" w:ascii="仿宋_GB2312" w:hAnsi="仿宋_GB2312" w:eastAsia="仿宋_GB2312" w:cs="仿宋_GB2312"/>
          <w:sz w:val="32"/>
          <w:szCs w:val="32"/>
          <w:lang w:val="zh-CN"/>
        </w:rPr>
        <w:t>部门预算绩效评价制度建设、资金管理方面有待加强，</w:t>
      </w:r>
      <w:r>
        <w:rPr>
          <w:rFonts w:hint="eastAsia" w:ascii="仿宋_GB2312" w:hAnsi="仿宋_GB2312" w:eastAsia="仿宋_GB2312" w:cs="仿宋_GB2312"/>
          <w:sz w:val="32"/>
          <w:szCs w:val="32"/>
        </w:rPr>
        <w:t>规章制度和内部控制机制不能完全满足单位的管理和发展需求。管理创新理念不足，在管理革新、制度改进和内控信息系统建设等方面亟待加强。</w:t>
      </w:r>
      <w:r>
        <w:rPr>
          <w:rFonts w:hint="eastAsia" w:ascii="仿宋_GB2312" w:hAnsi="仿宋_GB2312" w:eastAsia="仿宋_GB2312" w:cs="仿宋_GB2312"/>
          <w:sz w:val="32"/>
          <w:szCs w:val="32"/>
          <w:lang w:eastAsia="zh-CN"/>
        </w:rPr>
        <w:t>下一步将</w:t>
      </w:r>
      <w:r>
        <w:rPr>
          <w:rFonts w:hint="eastAsia" w:ascii="仿宋_GB2312" w:hAnsi="仿宋_GB2312" w:eastAsia="仿宋_GB2312" w:cs="仿宋_GB2312"/>
          <w:sz w:val="32"/>
          <w:szCs w:val="32"/>
        </w:rPr>
        <w:t>继续完善和改进规章制度和内部控制机制，继续细化财政预算项目，加强财政预算的执行，加强财务管理，统筹安排财政拨款和自有经营资金计划，力求均衡执行经费支出。积极发挥地质专业优势，为四川省经济建设发展的需要提供矿产资源保障，继续为国家地质勘查工作做出应有的贡献。</w:t>
      </w:r>
    </w:p>
    <w:p>
      <w:pPr>
        <w:spacing w:line="560" w:lineRule="exact"/>
        <w:ind w:firstLine="420" w:firstLineChars="200"/>
        <w:rPr>
          <w:rFonts w:ascii="Calibri" w:hAnsi="Calibri" w:cs="Calibri"/>
          <w:color w:val="000000"/>
          <w:kern w:val="0"/>
          <w:szCs w:val="32"/>
          <w:shd w:val="clear" w:color="auto" w:fill="FFFFFF"/>
        </w:rPr>
      </w:pPr>
    </w:p>
    <w:p>
      <w:pPr>
        <w:spacing w:line="560" w:lineRule="exact"/>
        <w:ind w:firstLine="420" w:firstLineChars="200"/>
        <w:rPr>
          <w:rFonts w:ascii="Calibri" w:hAnsi="Calibri" w:cs="Calibri"/>
          <w:color w:val="000000"/>
          <w:kern w:val="0"/>
          <w:szCs w:val="32"/>
          <w:shd w:val="clear" w:color="auto" w:fill="FFFFFF"/>
        </w:rPr>
      </w:pPr>
    </w:p>
    <w:p>
      <w:pPr>
        <w:shd w:val="clear" w:color="auto" w:fill="FFFFFF"/>
        <w:spacing w:line="560" w:lineRule="atLeast"/>
        <w:ind w:firstLine="640" w:firstLineChars="200"/>
        <w:rPr>
          <w:rFonts w:hint="eastAsia" w:ascii="仿宋_GB2312" w:eastAsia="仿宋_GB2312"/>
          <w:color w:val="000000"/>
          <w:sz w:val="32"/>
          <w:szCs w:val="32"/>
        </w:rPr>
      </w:pPr>
    </w:p>
    <w:tbl>
      <w:tblPr>
        <w:tblStyle w:val="10"/>
        <w:tblW w:w="5000" w:type="pct"/>
        <w:tblInd w:w="0" w:type="dxa"/>
        <w:tblLayout w:type="autofit"/>
        <w:tblCellMar>
          <w:top w:w="0" w:type="dxa"/>
          <w:left w:w="0" w:type="dxa"/>
          <w:bottom w:w="0" w:type="dxa"/>
          <w:right w:w="0" w:type="dxa"/>
        </w:tblCellMar>
      </w:tblPr>
      <w:tblGrid>
        <w:gridCol w:w="1394"/>
        <w:gridCol w:w="1279"/>
        <w:gridCol w:w="1135"/>
        <w:gridCol w:w="565"/>
        <w:gridCol w:w="655"/>
        <w:gridCol w:w="3308"/>
      </w:tblGrid>
      <w:tr>
        <w:tblPrEx>
          <w:tblCellMar>
            <w:top w:w="0" w:type="dxa"/>
            <w:left w:w="0" w:type="dxa"/>
            <w:bottom w:w="0" w:type="dxa"/>
            <w:right w:w="0" w:type="dxa"/>
          </w:tblCellMar>
        </w:tblPrEx>
        <w:trPr>
          <w:trHeight w:val="960" w:hRule="atLeast"/>
        </w:trPr>
        <w:tc>
          <w:tcPr>
            <w:tcW w:w="5000" w:type="pct"/>
            <w:gridSpan w:val="6"/>
            <w:tcBorders>
              <w:top w:val="nil"/>
              <w:left w:val="nil"/>
              <w:bottom w:val="single" w:color="000000" w:sz="4" w:space="0"/>
              <w:right w:val="nil"/>
            </w:tcBorders>
            <w:noWrap w:val="0"/>
            <w:tcMar>
              <w:top w:w="15" w:type="dxa"/>
              <w:left w:w="15" w:type="dxa"/>
              <w:right w:w="15" w:type="dxa"/>
            </w:tcMar>
            <w:vAlign w:val="center"/>
          </w:tcPr>
          <w:p>
            <w:pPr>
              <w:widowControl/>
              <w:textAlignment w:val="center"/>
              <w:rPr>
                <w:rFonts w:hint="eastAsia" w:ascii="仿宋" w:hAnsi="仿宋" w:eastAsia="仿宋" w:cs="仿宋"/>
                <w:bCs/>
                <w:color w:val="000000"/>
                <w:kern w:val="0"/>
                <w:szCs w:val="32"/>
                <w:lang w:bidi="ar"/>
              </w:rPr>
            </w:pPr>
            <w:r>
              <w:rPr>
                <w:rFonts w:hint="eastAsia" w:ascii="仿宋" w:hAnsi="仿宋" w:eastAsia="仿宋" w:cs="仿宋"/>
                <w:bCs/>
                <w:color w:val="000000"/>
                <w:kern w:val="0"/>
                <w:szCs w:val="32"/>
                <w:lang w:bidi="ar"/>
              </w:rPr>
              <w:t>附件</w:t>
            </w:r>
          </w:p>
          <w:p>
            <w:pPr>
              <w:widowControl/>
              <w:textAlignment w:val="center"/>
              <w:rPr>
                <w:rFonts w:hint="eastAsia" w:ascii="仿宋" w:hAnsi="仿宋" w:eastAsia="仿宋" w:cs="仿宋"/>
                <w:b/>
                <w:color w:val="000000"/>
                <w:kern w:val="0"/>
                <w:szCs w:val="32"/>
                <w:lang w:bidi="ar"/>
              </w:rPr>
            </w:pPr>
          </w:p>
          <w:p>
            <w:pPr>
              <w:widowControl/>
              <w:ind w:firstLine="1446" w:firstLineChars="600"/>
              <w:textAlignment w:val="center"/>
              <w:rPr>
                <w:rFonts w:hint="eastAsia" w:ascii="仿宋" w:hAnsi="仿宋" w:eastAsia="仿宋" w:cs="仿宋"/>
                <w:b/>
                <w:color w:val="000000"/>
                <w:szCs w:val="32"/>
              </w:rPr>
            </w:pPr>
            <w:r>
              <w:rPr>
                <w:rFonts w:hint="eastAsia" w:ascii="仿宋" w:hAnsi="仿宋" w:eastAsia="仿宋" w:cs="仿宋"/>
                <w:b/>
                <w:color w:val="000000"/>
                <w:kern w:val="0"/>
                <w:sz w:val="24"/>
                <w:szCs w:val="24"/>
                <w:lang w:bidi="ar"/>
              </w:rPr>
              <w:t>20</w:t>
            </w:r>
            <w:r>
              <w:rPr>
                <w:rFonts w:hint="eastAsia" w:ascii="仿宋" w:hAnsi="仿宋" w:eastAsia="仿宋" w:cs="仿宋"/>
                <w:b/>
                <w:color w:val="000000"/>
                <w:kern w:val="0"/>
                <w:sz w:val="24"/>
                <w:szCs w:val="24"/>
                <w:lang w:val="en-US" w:eastAsia="zh-CN" w:bidi="ar"/>
              </w:rPr>
              <w:t>19</w:t>
            </w:r>
            <w:r>
              <w:rPr>
                <w:rFonts w:hint="eastAsia" w:ascii="仿宋" w:hAnsi="仿宋" w:eastAsia="仿宋" w:cs="仿宋"/>
                <w:b/>
                <w:color w:val="000000"/>
                <w:kern w:val="0"/>
                <w:sz w:val="24"/>
                <w:szCs w:val="24"/>
                <w:lang w:bidi="ar"/>
              </w:rPr>
              <w:t>年度省级部门整体支出绩效评价指标体系</w:t>
            </w:r>
          </w:p>
        </w:tc>
      </w:tr>
      <w:tr>
        <w:tblPrEx>
          <w:tblCellMar>
            <w:top w:w="0" w:type="dxa"/>
            <w:left w:w="0" w:type="dxa"/>
            <w:bottom w:w="0" w:type="dxa"/>
            <w:right w:w="0" w:type="dxa"/>
          </w:tblCellMar>
        </w:tblPrEx>
        <w:trPr>
          <w:trHeight w:val="690" w:hRule="atLeast"/>
        </w:trPr>
        <w:tc>
          <w:tcPr>
            <w:tcW w:w="2284"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 w:val="24"/>
              </w:rPr>
            </w:pPr>
            <w:r>
              <w:rPr>
                <w:rFonts w:hint="eastAsia" w:ascii="仿宋" w:hAnsi="仿宋" w:eastAsia="仿宋" w:cs="仿宋"/>
                <w:b/>
                <w:color w:val="000000"/>
                <w:kern w:val="0"/>
                <w:sz w:val="24"/>
                <w:lang w:bidi="ar"/>
              </w:rPr>
              <w:t>绩效指标</w:t>
            </w:r>
          </w:p>
        </w:tc>
        <w:tc>
          <w:tcPr>
            <w:tcW w:w="339"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 w:val="24"/>
              </w:rPr>
            </w:pPr>
            <w:r>
              <w:rPr>
                <w:rFonts w:hint="eastAsia" w:ascii="仿宋" w:hAnsi="仿宋" w:eastAsia="仿宋" w:cs="仿宋"/>
                <w:b/>
                <w:color w:val="000000"/>
                <w:kern w:val="0"/>
                <w:sz w:val="24"/>
                <w:lang w:bidi="ar"/>
              </w:rPr>
              <w:t>指标分值</w:t>
            </w:r>
          </w:p>
        </w:tc>
        <w:tc>
          <w:tcPr>
            <w:tcW w:w="39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 w:val="24"/>
              </w:rPr>
            </w:pPr>
            <w:r>
              <w:rPr>
                <w:rFonts w:hint="eastAsia" w:ascii="仿宋" w:hAnsi="仿宋" w:eastAsia="仿宋" w:cs="仿宋"/>
                <w:b/>
                <w:color w:val="000000"/>
                <w:kern w:val="0"/>
                <w:sz w:val="24"/>
                <w:lang w:bidi="ar"/>
              </w:rPr>
              <w:t>得分</w:t>
            </w:r>
          </w:p>
        </w:tc>
        <w:tc>
          <w:tcPr>
            <w:tcW w:w="198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 w:val="24"/>
              </w:rPr>
            </w:pPr>
            <w:r>
              <w:rPr>
                <w:rFonts w:hint="eastAsia" w:ascii="仿宋" w:hAnsi="仿宋" w:eastAsia="仿宋" w:cs="仿宋"/>
                <w:b/>
                <w:color w:val="000000"/>
                <w:kern w:val="0"/>
                <w:sz w:val="24"/>
                <w:lang w:bidi="ar"/>
              </w:rPr>
              <w:t>备注</w:t>
            </w:r>
          </w:p>
        </w:tc>
      </w:tr>
      <w:tr>
        <w:tblPrEx>
          <w:tblCellMar>
            <w:top w:w="0" w:type="dxa"/>
            <w:left w:w="0" w:type="dxa"/>
            <w:bottom w:w="0" w:type="dxa"/>
            <w:right w:w="0" w:type="dxa"/>
          </w:tblCellMar>
        </w:tblPrEx>
        <w:trPr>
          <w:trHeight w:val="480" w:hRule="atLeast"/>
        </w:trPr>
        <w:tc>
          <w:tcPr>
            <w:tcW w:w="83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 w:val="24"/>
              </w:rPr>
            </w:pPr>
            <w:r>
              <w:rPr>
                <w:rFonts w:hint="eastAsia" w:ascii="仿宋" w:hAnsi="仿宋" w:eastAsia="仿宋" w:cs="仿宋"/>
                <w:b/>
                <w:color w:val="000000"/>
                <w:kern w:val="0"/>
                <w:sz w:val="24"/>
                <w:lang w:bidi="ar"/>
              </w:rPr>
              <w:t>一级指标</w:t>
            </w:r>
          </w:p>
        </w:tc>
        <w:tc>
          <w:tcPr>
            <w:tcW w:w="7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 w:val="24"/>
              </w:rPr>
            </w:pPr>
            <w:r>
              <w:rPr>
                <w:rFonts w:hint="eastAsia" w:ascii="仿宋" w:hAnsi="仿宋" w:eastAsia="仿宋" w:cs="仿宋"/>
                <w:b/>
                <w:color w:val="000000"/>
                <w:kern w:val="0"/>
                <w:sz w:val="24"/>
                <w:lang w:bidi="ar"/>
              </w:rPr>
              <w:t>二级指标</w:t>
            </w:r>
          </w:p>
        </w:tc>
        <w:tc>
          <w:tcPr>
            <w:tcW w:w="6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 w:val="24"/>
              </w:rPr>
            </w:pPr>
            <w:r>
              <w:rPr>
                <w:rFonts w:hint="eastAsia" w:ascii="仿宋" w:hAnsi="仿宋" w:eastAsia="仿宋" w:cs="仿宋"/>
                <w:b/>
                <w:color w:val="000000"/>
                <w:kern w:val="0"/>
                <w:sz w:val="24"/>
                <w:lang w:bidi="ar"/>
              </w:rPr>
              <w:t>三级指标</w:t>
            </w:r>
          </w:p>
        </w:tc>
        <w:tc>
          <w:tcPr>
            <w:tcW w:w="33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color w:val="000000"/>
                <w:sz w:val="24"/>
              </w:rPr>
            </w:pPr>
          </w:p>
        </w:tc>
        <w:tc>
          <w:tcPr>
            <w:tcW w:w="39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color w:val="000000"/>
                <w:sz w:val="24"/>
              </w:rPr>
            </w:pPr>
          </w:p>
        </w:tc>
        <w:tc>
          <w:tcPr>
            <w:tcW w:w="198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color w:val="000000"/>
                <w:sz w:val="24"/>
              </w:rPr>
            </w:pPr>
          </w:p>
        </w:tc>
      </w:tr>
      <w:tr>
        <w:tblPrEx>
          <w:tblCellMar>
            <w:top w:w="0" w:type="dxa"/>
            <w:left w:w="0" w:type="dxa"/>
            <w:bottom w:w="0" w:type="dxa"/>
            <w:right w:w="0" w:type="dxa"/>
          </w:tblCellMar>
        </w:tblPrEx>
        <w:trPr>
          <w:trHeight w:val="520" w:hRule="atLeast"/>
        </w:trPr>
        <w:tc>
          <w:tcPr>
            <w:tcW w:w="83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部门预算管理（60分）</w:t>
            </w:r>
          </w:p>
        </w:tc>
        <w:tc>
          <w:tcPr>
            <w:tcW w:w="76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预算编制（24分）</w:t>
            </w:r>
          </w:p>
        </w:tc>
        <w:tc>
          <w:tcPr>
            <w:tcW w:w="6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目标制定</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8</w:t>
            </w:r>
          </w:p>
        </w:tc>
        <w:tc>
          <w:tcPr>
            <w:tcW w:w="3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8</w:t>
            </w:r>
          </w:p>
        </w:tc>
        <w:tc>
          <w:tcPr>
            <w:tcW w:w="19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1320" w:hRule="atLeast"/>
        </w:trPr>
        <w:tc>
          <w:tcPr>
            <w:tcW w:w="83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4"/>
              </w:rPr>
            </w:pPr>
          </w:p>
        </w:tc>
        <w:tc>
          <w:tcPr>
            <w:tcW w:w="76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4"/>
              </w:rPr>
            </w:pPr>
          </w:p>
        </w:tc>
        <w:tc>
          <w:tcPr>
            <w:tcW w:w="6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目标实现</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8</w:t>
            </w:r>
          </w:p>
        </w:tc>
        <w:tc>
          <w:tcPr>
            <w:tcW w:w="3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kern w:val="0"/>
                <w:sz w:val="24"/>
                <w:lang w:val="en-US" w:eastAsia="zh-CN" w:bidi="ar"/>
              </w:rPr>
              <w:t>7</w:t>
            </w:r>
          </w:p>
        </w:tc>
        <w:tc>
          <w:tcPr>
            <w:tcW w:w="19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评价组评价范围为部门机关及至少2个下属单位的所有纳入绩效目标管理的部门预算项目，部门自评范围为部门所有纳入绩效目标管理的部门预算项目</w:t>
            </w:r>
          </w:p>
        </w:tc>
      </w:tr>
      <w:tr>
        <w:tblPrEx>
          <w:tblCellMar>
            <w:top w:w="0" w:type="dxa"/>
            <w:left w:w="0" w:type="dxa"/>
            <w:bottom w:w="0" w:type="dxa"/>
            <w:right w:w="0" w:type="dxa"/>
          </w:tblCellMar>
        </w:tblPrEx>
        <w:trPr>
          <w:trHeight w:val="500" w:hRule="atLeast"/>
        </w:trPr>
        <w:tc>
          <w:tcPr>
            <w:tcW w:w="83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4"/>
              </w:rPr>
            </w:pPr>
          </w:p>
        </w:tc>
        <w:tc>
          <w:tcPr>
            <w:tcW w:w="76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4"/>
              </w:rPr>
            </w:pPr>
          </w:p>
        </w:tc>
        <w:tc>
          <w:tcPr>
            <w:tcW w:w="6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编制准确</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8</w:t>
            </w:r>
          </w:p>
        </w:tc>
        <w:tc>
          <w:tcPr>
            <w:tcW w:w="3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kern w:val="0"/>
                <w:sz w:val="24"/>
                <w:lang w:val="en-US" w:eastAsia="zh-CN" w:bidi="ar"/>
              </w:rPr>
              <w:t>7</w:t>
            </w:r>
          </w:p>
        </w:tc>
        <w:tc>
          <w:tcPr>
            <w:tcW w:w="19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480" w:hRule="atLeast"/>
        </w:trPr>
        <w:tc>
          <w:tcPr>
            <w:tcW w:w="83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4"/>
              </w:rPr>
            </w:pPr>
          </w:p>
        </w:tc>
        <w:tc>
          <w:tcPr>
            <w:tcW w:w="76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 xml:space="preserve">                                                                             预算执行（20分）</w:t>
            </w:r>
          </w:p>
        </w:tc>
        <w:tc>
          <w:tcPr>
            <w:tcW w:w="6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支出控制</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6</w:t>
            </w:r>
          </w:p>
        </w:tc>
        <w:tc>
          <w:tcPr>
            <w:tcW w:w="3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6</w:t>
            </w:r>
          </w:p>
        </w:tc>
        <w:tc>
          <w:tcPr>
            <w:tcW w:w="19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440" w:hRule="atLeast"/>
        </w:trPr>
        <w:tc>
          <w:tcPr>
            <w:tcW w:w="83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4"/>
              </w:rPr>
            </w:pPr>
          </w:p>
        </w:tc>
        <w:tc>
          <w:tcPr>
            <w:tcW w:w="76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4"/>
              </w:rPr>
            </w:pPr>
          </w:p>
        </w:tc>
        <w:tc>
          <w:tcPr>
            <w:tcW w:w="6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动态调整</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8</w:t>
            </w:r>
          </w:p>
        </w:tc>
        <w:tc>
          <w:tcPr>
            <w:tcW w:w="3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8</w:t>
            </w:r>
          </w:p>
        </w:tc>
        <w:tc>
          <w:tcPr>
            <w:tcW w:w="19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480" w:hRule="atLeast"/>
        </w:trPr>
        <w:tc>
          <w:tcPr>
            <w:tcW w:w="83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4"/>
              </w:rPr>
            </w:pPr>
          </w:p>
        </w:tc>
        <w:tc>
          <w:tcPr>
            <w:tcW w:w="76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4"/>
              </w:rPr>
            </w:pPr>
          </w:p>
        </w:tc>
        <w:tc>
          <w:tcPr>
            <w:tcW w:w="6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执行进度</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6</w:t>
            </w:r>
          </w:p>
        </w:tc>
        <w:tc>
          <w:tcPr>
            <w:tcW w:w="3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6</w:t>
            </w:r>
          </w:p>
        </w:tc>
        <w:tc>
          <w:tcPr>
            <w:tcW w:w="19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460" w:hRule="atLeast"/>
        </w:trPr>
        <w:tc>
          <w:tcPr>
            <w:tcW w:w="83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4"/>
              </w:rPr>
            </w:pPr>
          </w:p>
        </w:tc>
        <w:tc>
          <w:tcPr>
            <w:tcW w:w="76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完成结果（16分）</w:t>
            </w:r>
          </w:p>
        </w:tc>
        <w:tc>
          <w:tcPr>
            <w:tcW w:w="6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预算完成</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8</w:t>
            </w:r>
          </w:p>
        </w:tc>
        <w:tc>
          <w:tcPr>
            <w:tcW w:w="3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8</w:t>
            </w:r>
          </w:p>
        </w:tc>
        <w:tc>
          <w:tcPr>
            <w:tcW w:w="19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480" w:hRule="atLeast"/>
        </w:trPr>
        <w:tc>
          <w:tcPr>
            <w:tcW w:w="83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4"/>
              </w:rPr>
            </w:pPr>
          </w:p>
        </w:tc>
        <w:tc>
          <w:tcPr>
            <w:tcW w:w="76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4"/>
              </w:rPr>
            </w:pPr>
          </w:p>
        </w:tc>
        <w:tc>
          <w:tcPr>
            <w:tcW w:w="6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违规记录</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8</w:t>
            </w:r>
          </w:p>
        </w:tc>
        <w:tc>
          <w:tcPr>
            <w:tcW w:w="3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8</w:t>
            </w:r>
          </w:p>
        </w:tc>
        <w:tc>
          <w:tcPr>
            <w:tcW w:w="19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1740" w:hRule="atLeast"/>
        </w:trPr>
        <w:tc>
          <w:tcPr>
            <w:tcW w:w="83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专项预算管理（20分）</w:t>
            </w:r>
          </w:p>
        </w:tc>
        <w:tc>
          <w:tcPr>
            <w:tcW w:w="4163"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15分(因我院无100万以上的专用项目，按照要求未实施部门项目预算绩效目标的评价工作)</w:t>
            </w:r>
          </w:p>
        </w:tc>
      </w:tr>
      <w:tr>
        <w:tblPrEx>
          <w:tblCellMar>
            <w:top w:w="0" w:type="dxa"/>
            <w:left w:w="0" w:type="dxa"/>
            <w:bottom w:w="0" w:type="dxa"/>
            <w:right w:w="0" w:type="dxa"/>
          </w:tblCellMar>
        </w:tblPrEx>
        <w:trPr>
          <w:trHeight w:val="600" w:hRule="atLeast"/>
        </w:trPr>
        <w:tc>
          <w:tcPr>
            <w:tcW w:w="83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绩效结果应用（10分）</w:t>
            </w:r>
          </w:p>
        </w:tc>
        <w:tc>
          <w:tcPr>
            <w:tcW w:w="767" w:type="pc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信息公开（2分）</w:t>
            </w:r>
          </w:p>
        </w:tc>
        <w:tc>
          <w:tcPr>
            <w:tcW w:w="6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自评公开</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2</w:t>
            </w:r>
          </w:p>
        </w:tc>
        <w:tc>
          <w:tcPr>
            <w:tcW w:w="3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2</w:t>
            </w:r>
          </w:p>
        </w:tc>
        <w:tc>
          <w:tcPr>
            <w:tcW w:w="19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460" w:hRule="atLeast"/>
        </w:trPr>
        <w:tc>
          <w:tcPr>
            <w:tcW w:w="83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4"/>
              </w:rPr>
            </w:pPr>
          </w:p>
        </w:tc>
        <w:tc>
          <w:tcPr>
            <w:tcW w:w="76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整改反馈（8分）</w:t>
            </w:r>
          </w:p>
        </w:tc>
        <w:tc>
          <w:tcPr>
            <w:tcW w:w="6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结果整改</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4</w:t>
            </w:r>
          </w:p>
        </w:tc>
        <w:tc>
          <w:tcPr>
            <w:tcW w:w="3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4</w:t>
            </w:r>
          </w:p>
        </w:tc>
        <w:tc>
          <w:tcPr>
            <w:tcW w:w="19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440" w:hRule="atLeast"/>
        </w:trPr>
        <w:tc>
          <w:tcPr>
            <w:tcW w:w="83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4"/>
              </w:rPr>
            </w:pPr>
          </w:p>
        </w:tc>
        <w:tc>
          <w:tcPr>
            <w:tcW w:w="76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4"/>
              </w:rPr>
            </w:pPr>
          </w:p>
        </w:tc>
        <w:tc>
          <w:tcPr>
            <w:tcW w:w="6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应用反馈</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4</w:t>
            </w:r>
          </w:p>
        </w:tc>
        <w:tc>
          <w:tcPr>
            <w:tcW w:w="3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4</w:t>
            </w:r>
          </w:p>
        </w:tc>
        <w:tc>
          <w:tcPr>
            <w:tcW w:w="19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660" w:hRule="atLeast"/>
        </w:trPr>
        <w:tc>
          <w:tcPr>
            <w:tcW w:w="83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自评质量（10分）</w:t>
            </w:r>
          </w:p>
        </w:tc>
        <w:tc>
          <w:tcPr>
            <w:tcW w:w="7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自评质量（10分）</w:t>
            </w:r>
          </w:p>
        </w:tc>
        <w:tc>
          <w:tcPr>
            <w:tcW w:w="6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自评准确</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10</w:t>
            </w:r>
          </w:p>
        </w:tc>
        <w:tc>
          <w:tcPr>
            <w:tcW w:w="3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8</w:t>
            </w:r>
          </w:p>
        </w:tc>
        <w:tc>
          <w:tcPr>
            <w:tcW w:w="19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540" w:hRule="atLeast"/>
        </w:trPr>
        <w:tc>
          <w:tcPr>
            <w:tcW w:w="83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合计</w:t>
            </w:r>
          </w:p>
        </w:tc>
        <w:tc>
          <w:tcPr>
            <w:tcW w:w="7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color w:val="000000"/>
                <w:sz w:val="24"/>
              </w:rPr>
            </w:pPr>
          </w:p>
        </w:tc>
        <w:tc>
          <w:tcPr>
            <w:tcW w:w="6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4"/>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100</w:t>
            </w:r>
          </w:p>
        </w:tc>
        <w:tc>
          <w:tcPr>
            <w:tcW w:w="3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kern w:val="0"/>
                <w:sz w:val="24"/>
                <w:lang w:bidi="ar"/>
              </w:rPr>
              <w:t>9</w:t>
            </w:r>
            <w:r>
              <w:rPr>
                <w:rFonts w:hint="eastAsia" w:ascii="仿宋" w:hAnsi="仿宋" w:eastAsia="仿宋" w:cs="仿宋"/>
                <w:color w:val="000000"/>
                <w:kern w:val="0"/>
                <w:sz w:val="24"/>
                <w:lang w:val="en-US" w:eastAsia="zh-CN" w:bidi="ar"/>
              </w:rPr>
              <w:t>1</w:t>
            </w:r>
          </w:p>
        </w:tc>
        <w:tc>
          <w:tcPr>
            <w:tcW w:w="19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color w:val="000000"/>
                <w:sz w:val="24"/>
              </w:rPr>
            </w:pPr>
          </w:p>
        </w:tc>
      </w:tr>
    </w:tbl>
    <w:p>
      <w:pPr>
        <w:shd w:val="clear" w:color="auto" w:fill="FFFFFF"/>
        <w:spacing w:line="560" w:lineRule="atLeast"/>
        <w:ind w:firstLine="640" w:firstLineChars="200"/>
        <w:rPr>
          <w:rFonts w:hint="eastAsia" w:ascii="仿宋_GB2312" w:eastAsia="仿宋_GB2312"/>
          <w:color w:val="000000"/>
          <w:sz w:val="32"/>
          <w:szCs w:val="32"/>
        </w:rPr>
      </w:pPr>
    </w:p>
    <w:p>
      <w:pPr>
        <w:shd w:val="clear" w:color="auto" w:fill="FFFFFF"/>
        <w:spacing w:line="560" w:lineRule="atLeast"/>
        <w:ind w:firstLine="640" w:firstLineChars="200"/>
        <w:rPr>
          <w:rFonts w:hint="eastAsia" w:ascii="仿宋_GB2312" w:eastAsia="仿宋_GB2312"/>
          <w:color w:val="000000"/>
          <w:sz w:val="32"/>
          <w:szCs w:val="32"/>
        </w:rPr>
      </w:pPr>
    </w:p>
    <w:p>
      <w:pPr>
        <w:shd w:val="clear" w:color="auto" w:fill="FFFFFF"/>
        <w:spacing w:line="560" w:lineRule="atLeast"/>
        <w:rPr>
          <w:rFonts w:hint="eastAsia" w:ascii="仿宋_GB2312" w:eastAsia="仿宋_GB2312"/>
          <w:color w:val="000000"/>
          <w:sz w:val="32"/>
          <w:szCs w:val="32"/>
        </w:rPr>
      </w:pPr>
    </w:p>
    <w:p>
      <w:pPr>
        <w:numPr>
          <w:ilvl w:val="0"/>
          <w:numId w:val="3"/>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年部门整体支出绩效评价情况开展自评，《四川省化工地质勘查院201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年部门整体支出绩效评价报告》见附件1。</w:t>
      </w:r>
    </w:p>
    <w:p>
      <w:pPr>
        <w:shd w:val="clear" w:color="auto" w:fill="FFFFFF"/>
        <w:spacing w:line="560" w:lineRule="atLeast"/>
        <w:ind w:firstLine="803"/>
        <w:rPr>
          <w:rFonts w:ascii="仿宋_GB2312" w:eastAsia="仿宋_GB2312"/>
          <w:color w:val="000000"/>
          <w:sz w:val="32"/>
          <w:szCs w:val="32"/>
        </w:rPr>
      </w:pPr>
      <w:r>
        <w:rPr>
          <w:rFonts w:hint="eastAsia" w:ascii="仿宋_GB2312" w:eastAsia="仿宋_GB2312"/>
          <w:color w:val="000000"/>
          <w:sz w:val="32"/>
          <w:szCs w:val="32"/>
        </w:rPr>
        <w:t>我院201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年一般公共预算项目支出未达编制部门预算绩效目标的要求，因此未开展项目绩效目标管理。</w:t>
      </w:r>
    </w:p>
    <w:p>
      <w:pPr>
        <w:spacing w:line="58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w:t>
      </w: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numPr>
          <w:ilvl w:val="0"/>
          <w:numId w:val="4"/>
        </w:numPr>
        <w:spacing w:line="600" w:lineRule="exact"/>
        <w:ind w:firstLine="660" w:firstLineChars="150"/>
        <w:jc w:val="center"/>
        <w:outlineLvl w:val="0"/>
        <w:rPr>
          <w:rStyle w:val="14"/>
          <w:rFonts w:ascii="黑体" w:hAnsi="黑体" w:eastAsia="黑体"/>
          <w:b w:val="0"/>
        </w:rPr>
      </w:pPr>
      <w:bookmarkStart w:id="86" w:name="_Toc15396613"/>
      <w:bookmarkStart w:id="87" w:name="_Toc15377225"/>
      <w:bookmarkStart w:id="88" w:name="_Toc24885"/>
      <w:r>
        <w:rPr>
          <w:rFonts w:hint="eastAsia" w:ascii="黑体" w:hAnsi="黑体" w:eastAsia="黑体"/>
          <w:b w:val="0"/>
          <w:color w:val="000000"/>
          <w:sz w:val="44"/>
          <w:szCs w:val="44"/>
          <w:u w:val="none"/>
        </w:rPr>
        <w:t>名</w:t>
      </w:r>
      <w:r>
        <w:rPr>
          <w:rStyle w:val="14"/>
          <w:rFonts w:hint="eastAsia" w:ascii="黑体" w:hAnsi="黑体" w:eastAsia="黑体"/>
          <w:b w:val="0"/>
        </w:rPr>
        <w:t>词解释</w:t>
      </w:r>
      <w:bookmarkEnd w:id="86"/>
      <w:bookmarkEnd w:id="87"/>
      <w:bookmarkEnd w:id="88"/>
    </w:p>
    <w:p>
      <w:pPr>
        <w:spacing w:line="600" w:lineRule="exact"/>
        <w:jc w:val="left"/>
        <w:rPr>
          <w:rFonts w:ascii="宋体"/>
          <w:b/>
          <w:color w:val="000000"/>
          <w:sz w:val="44"/>
          <w:szCs w:val="44"/>
        </w:rPr>
      </w:pPr>
    </w:p>
    <w:p>
      <w:pPr>
        <w:pStyle w:val="17"/>
        <w:spacing w:line="560" w:lineRule="exact"/>
        <w:ind w:firstLine="640" w:firstLineChars="200"/>
        <w:rPr>
          <w:rFonts w:ascii="仿宋_GB2312" w:eastAsia="仿宋_GB2312"/>
          <w:sz w:val="32"/>
          <w:szCs w:val="32"/>
        </w:rPr>
      </w:pPr>
      <w:bookmarkStart w:id="89" w:name="_Toc15377226"/>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17"/>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经营收入：指事业单位在专业业务活动及其辅助活动之外开展非独立核算经营活动取得的收入。</w:t>
      </w:r>
    </w:p>
    <w:p>
      <w:pPr>
        <w:pStyle w:val="17"/>
        <w:spacing w:line="560" w:lineRule="exact"/>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年初结转和结余：指以前年度尚未完成、结转到本年按有关规定继续使用的资金。</w:t>
      </w:r>
    </w:p>
    <w:p>
      <w:pPr>
        <w:shd w:val="clear" w:color="auto" w:fill="FFFFFF"/>
        <w:spacing w:line="560" w:lineRule="atLeast"/>
        <w:ind w:firstLine="64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4.社会保障和就业支出：指政府在社会保障与就业方面的支出。有关事项包括社会保障和就业管理事务、民政管理事务、财政对社会保险基金的补助、行政事业单位离退休、就业补助、抚恤等。</w:t>
      </w:r>
    </w:p>
    <w:p>
      <w:pPr>
        <w:shd w:val="clear" w:color="auto" w:fill="FFFFFF"/>
        <w:spacing w:line="560" w:lineRule="atLeast"/>
        <w:ind w:firstLine="64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5.行政事业单位离退休：指用于行政事业单位离退休方面的支出。</w:t>
      </w:r>
    </w:p>
    <w:p>
      <w:pPr>
        <w:shd w:val="clear" w:color="auto" w:fill="FFFFFF"/>
        <w:spacing w:line="560" w:lineRule="atLeast"/>
        <w:ind w:firstLine="64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6.事业单位离退休：指实行归口管理的事业单位开支的离退休经费。</w:t>
      </w:r>
    </w:p>
    <w:p>
      <w:pPr>
        <w:shd w:val="clear" w:color="auto" w:fill="FFFFFF"/>
        <w:spacing w:line="560" w:lineRule="atLeast"/>
        <w:ind w:firstLine="64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7.医疗卫生与计划生育支出：指用于医疗卫生、计划生育等管理事务方面的支出。</w:t>
      </w:r>
    </w:p>
    <w:p>
      <w:pPr>
        <w:shd w:val="clear" w:color="auto" w:fill="FFFFFF"/>
        <w:spacing w:line="560" w:lineRule="atLeast"/>
        <w:ind w:firstLine="64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8.医疗保障：指用于医疗保障方面的支出。</w:t>
      </w:r>
    </w:p>
    <w:p>
      <w:pPr>
        <w:shd w:val="clear" w:color="auto" w:fill="FFFFFF"/>
        <w:spacing w:line="560" w:lineRule="atLeast"/>
        <w:ind w:firstLine="64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9.事业单位医疗：指财政部门集中安排的事业单位基本医疗保险缴费经费，未参加医疗保险的事业单位的公费医疗经费，按国家规定享受离休人员待遇人员的医疗经费。</w:t>
      </w:r>
    </w:p>
    <w:p>
      <w:pPr>
        <w:shd w:val="clear" w:color="auto" w:fill="FFFFFF"/>
        <w:spacing w:line="560" w:lineRule="atLeast"/>
        <w:ind w:firstLine="64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10.资源勘探信息等支出：指煤炭、石油和天然气、黑色金属、有色金属、非金属矿等资源勘探开发和服务支出。</w:t>
      </w:r>
    </w:p>
    <w:p>
      <w:pPr>
        <w:shd w:val="clear" w:color="auto" w:fill="FFFFFF"/>
        <w:spacing w:line="560" w:lineRule="atLeast"/>
        <w:ind w:firstLine="64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11.住房保障支出：指政府用于住房方面的支出。</w:t>
      </w:r>
    </w:p>
    <w:p>
      <w:pPr>
        <w:shd w:val="clear" w:color="auto" w:fill="FFFFFF"/>
        <w:spacing w:line="560" w:lineRule="atLeast"/>
        <w:ind w:firstLine="64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12.住房改革支出：指行政事业单位用财政拨款资金和其他资金等安排的住房改革支出。</w:t>
      </w:r>
    </w:p>
    <w:p>
      <w:pPr>
        <w:shd w:val="clear" w:color="auto" w:fill="FFFFFF"/>
        <w:spacing w:line="560" w:lineRule="atLeast"/>
        <w:ind w:firstLine="64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13.住房公积金：指行政事业单位按人力资源和社会保障部、财政部规定的基本工资和津贴补贴以及规定比例为职工缴纳的住房公积金。</w:t>
      </w:r>
    </w:p>
    <w:p>
      <w:pPr>
        <w:shd w:val="clear" w:color="auto" w:fill="FFFFFF"/>
        <w:spacing w:line="560" w:lineRule="atLeast"/>
        <w:ind w:firstLine="64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14.年末结转和结余：指本年度或以前年度预算安排、因客观条件发生变化无法按原计划实施，需延迟到以后年度按有关规定继续使用的资金。</w:t>
      </w:r>
    </w:p>
    <w:p>
      <w:pPr>
        <w:shd w:val="clear" w:color="auto" w:fill="FFFFFF"/>
        <w:spacing w:line="560" w:lineRule="atLeast"/>
        <w:ind w:firstLine="64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15.基本支出：指为保障机构正常运转、完成日常工作任务而发生的人员支出和公用支出。</w:t>
      </w:r>
    </w:p>
    <w:p>
      <w:pPr>
        <w:shd w:val="clear" w:color="auto" w:fill="FFFFFF"/>
        <w:spacing w:line="560" w:lineRule="atLeast"/>
        <w:ind w:firstLine="64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16.项目支出：指在基本支出之外为完成特定行政任务和事业发展目标所发生的支出。</w:t>
      </w:r>
    </w:p>
    <w:p>
      <w:pPr>
        <w:shd w:val="clear" w:color="auto" w:fill="FFFFFF"/>
        <w:spacing w:line="560" w:lineRule="atLeast"/>
        <w:ind w:firstLine="64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17.经营支出：指事业单位在专业业务活动及其辅助活动之外开展非独立核算经营活动发生的支出。</w:t>
      </w:r>
    </w:p>
    <w:p>
      <w:pPr>
        <w:shd w:val="clear" w:color="auto" w:fill="FFFFFF"/>
        <w:spacing w:line="560" w:lineRule="atLeast"/>
        <w:ind w:firstLine="64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18.“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支出。</w:t>
      </w:r>
    </w:p>
    <w:p>
      <w:pPr>
        <w:shd w:val="clear" w:color="auto" w:fill="FFFFFF"/>
        <w:spacing w:line="560" w:lineRule="atLeast"/>
        <w:ind w:firstLine="640"/>
        <w:rPr>
          <w:rFonts w:ascii="仿宋_GB2312" w:hAnsi="Calibri" w:eastAsia="仿宋_GB2312" w:cs="仿宋"/>
          <w:color w:val="000000"/>
          <w:kern w:val="0"/>
          <w:sz w:val="32"/>
          <w:szCs w:val="32"/>
        </w:rPr>
      </w:pPr>
    </w:p>
    <w:p>
      <w:pPr>
        <w:spacing w:line="600" w:lineRule="exact"/>
        <w:jc w:val="center"/>
        <w:outlineLvl w:val="0"/>
        <w:rPr>
          <w:rStyle w:val="14"/>
          <w:rFonts w:ascii="黑体" w:hAnsi="黑体" w:eastAsia="黑体"/>
          <w:b w:val="0"/>
        </w:rPr>
      </w:pPr>
      <w:r>
        <w:rPr>
          <w:rFonts w:ascii="宋体"/>
          <w:b/>
          <w:color w:val="000000"/>
          <w:sz w:val="44"/>
          <w:szCs w:val="44"/>
        </w:rPr>
        <w:br w:type="page"/>
      </w:r>
      <w:bookmarkStart w:id="90" w:name="_Toc15396614"/>
      <w:bookmarkStart w:id="91" w:name="_Toc14604"/>
      <w:r>
        <w:rPr>
          <w:rFonts w:hint="eastAsia" w:ascii="黑体" w:hAnsi="黑体" w:eastAsia="黑体"/>
          <w:color w:val="000000"/>
          <w:sz w:val="44"/>
          <w:szCs w:val="44"/>
        </w:rPr>
        <w:t>第</w:t>
      </w:r>
      <w:r>
        <w:rPr>
          <w:rStyle w:val="14"/>
          <w:rFonts w:hint="eastAsia" w:ascii="黑体" w:hAnsi="黑体" w:eastAsia="黑体"/>
          <w:b w:val="0"/>
        </w:rPr>
        <w:t>四部分 附件</w:t>
      </w:r>
      <w:bookmarkEnd w:id="90"/>
      <w:bookmarkEnd w:id="91"/>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1"/>
        <w:rPr>
          <w:rFonts w:ascii="方正小标宋简体" w:hAnsi="方正小标宋简体" w:eastAsia="方正小标宋简体" w:cs="方正小标宋简体"/>
          <w:sz w:val="32"/>
          <w:szCs w:val="32"/>
        </w:rPr>
      </w:pPr>
      <w:bookmarkStart w:id="92" w:name="_Toc29494"/>
      <w:r>
        <w:rPr>
          <w:rFonts w:hint="eastAsia" w:ascii="黑体" w:hAnsi="黑体" w:eastAsia="黑体" w:cs="黑体"/>
          <w:sz w:val="32"/>
          <w:szCs w:val="32"/>
        </w:rPr>
        <w:t>附件1</w:t>
      </w:r>
      <w:bookmarkEnd w:id="92"/>
    </w:p>
    <w:p>
      <w:pPr>
        <w:spacing w:line="580" w:lineRule="exact"/>
        <w:jc w:val="center"/>
        <w:rPr>
          <w:rFonts w:hint="eastAsia" w:ascii="仿宋" w:hAnsi="仿宋" w:eastAsia="仿宋" w:cs="仿宋"/>
          <w:sz w:val="44"/>
          <w:szCs w:val="44"/>
        </w:rPr>
      </w:pPr>
    </w:p>
    <w:p>
      <w:pPr>
        <w:widowControl/>
        <w:spacing w:line="580" w:lineRule="exact"/>
        <w:ind w:firstLine="2168" w:firstLineChars="600"/>
        <w:contextualSpacing/>
        <w:rPr>
          <w:rFonts w:hint="eastAsia" w:ascii="仿宋" w:hAnsi="仿宋" w:eastAsia="仿宋" w:cs="仿宋"/>
          <w:b/>
          <w:sz w:val="36"/>
          <w:szCs w:val="36"/>
          <w:shd w:val="clear" w:color="auto" w:fill="FFFFFF"/>
        </w:rPr>
      </w:pPr>
      <w:r>
        <w:rPr>
          <w:rFonts w:hint="eastAsia" w:ascii="仿宋" w:hAnsi="仿宋" w:eastAsia="仿宋" w:cs="仿宋"/>
          <w:b/>
          <w:sz w:val="36"/>
          <w:szCs w:val="36"/>
          <w:shd w:val="clear" w:color="auto" w:fill="FFFFFF"/>
        </w:rPr>
        <w:t>四川省化工地质勘查院</w:t>
      </w:r>
    </w:p>
    <w:p>
      <w:pPr>
        <w:widowControl/>
        <w:spacing w:line="580" w:lineRule="exact"/>
        <w:contextualSpacing/>
        <w:jc w:val="center"/>
        <w:rPr>
          <w:rFonts w:hint="eastAsia" w:ascii="仿宋" w:hAnsi="仿宋" w:eastAsia="仿宋" w:cs="仿宋"/>
          <w:b/>
          <w:sz w:val="36"/>
          <w:szCs w:val="36"/>
          <w:shd w:val="clear" w:color="auto" w:fill="FFFFFF"/>
        </w:rPr>
      </w:pPr>
      <w:r>
        <w:rPr>
          <w:rFonts w:hint="eastAsia" w:ascii="仿宋" w:hAnsi="仿宋" w:eastAsia="仿宋" w:cs="仿宋"/>
          <w:b/>
          <w:sz w:val="36"/>
          <w:szCs w:val="36"/>
          <w:shd w:val="clear" w:color="auto" w:fill="FFFFFF"/>
        </w:rPr>
        <w:t>20</w:t>
      </w:r>
      <w:r>
        <w:rPr>
          <w:rFonts w:hint="eastAsia" w:ascii="仿宋" w:hAnsi="仿宋" w:eastAsia="仿宋" w:cs="仿宋"/>
          <w:b/>
          <w:sz w:val="36"/>
          <w:szCs w:val="36"/>
          <w:shd w:val="clear" w:color="auto" w:fill="FFFFFF"/>
          <w:lang w:val="en-US" w:eastAsia="zh-CN"/>
        </w:rPr>
        <w:t>19</w:t>
      </w:r>
      <w:r>
        <w:rPr>
          <w:rFonts w:hint="eastAsia" w:ascii="仿宋" w:hAnsi="仿宋" w:eastAsia="仿宋" w:cs="仿宋"/>
          <w:b/>
          <w:sz w:val="36"/>
          <w:szCs w:val="36"/>
          <w:shd w:val="clear" w:color="auto" w:fill="FFFFFF"/>
        </w:rPr>
        <w:t>年省级部门整体支出绩效评价自评报告</w:t>
      </w:r>
    </w:p>
    <w:p>
      <w:pPr>
        <w:widowControl/>
        <w:spacing w:line="580" w:lineRule="exact"/>
        <w:ind w:firstLine="420" w:firstLineChars="200"/>
        <w:contextualSpacing/>
        <w:jc w:val="center"/>
        <w:rPr>
          <w:rFonts w:hint="eastAsia" w:ascii="仿宋" w:hAnsi="仿宋" w:eastAsia="仿宋" w:cs="仿宋"/>
          <w:szCs w:val="32"/>
          <w:shd w:val="clear" w:color="auto" w:fill="FFFFFF"/>
        </w:rPr>
      </w:pPr>
    </w:p>
    <w:p>
      <w:pPr>
        <w:spacing w:line="560" w:lineRule="exact"/>
        <w:rPr>
          <w:rFonts w:hint="eastAsia" w:ascii="仿宋" w:hAnsi="仿宋" w:eastAsia="仿宋" w:cs="仿宋"/>
          <w:color w:val="000000"/>
          <w:kern w:val="0"/>
          <w:sz w:val="30"/>
          <w:szCs w:val="30"/>
          <w:shd w:val="clear" w:color="auto" w:fill="FFFFFF"/>
          <w:lang w:val="en-US" w:eastAsia="zh-CN"/>
        </w:rPr>
      </w:pPr>
      <w:r>
        <w:rPr>
          <w:rFonts w:hint="eastAsia" w:ascii="仿宋" w:hAnsi="仿宋" w:eastAsia="仿宋" w:cs="仿宋"/>
          <w:color w:val="000000"/>
          <w:kern w:val="0"/>
          <w:sz w:val="30"/>
          <w:szCs w:val="30"/>
          <w:shd w:val="clear" w:color="auto" w:fill="FFFFFF"/>
          <w:lang w:val="en-US" w:eastAsia="zh-CN"/>
        </w:rPr>
        <w:t>省财政厅：</w:t>
      </w:r>
    </w:p>
    <w:p>
      <w:pPr>
        <w:spacing w:line="560" w:lineRule="exact"/>
        <w:ind w:firstLine="600" w:firstLineChars="200"/>
        <w:rPr>
          <w:rFonts w:hint="eastAsia" w:ascii="仿宋" w:hAnsi="仿宋" w:eastAsia="仿宋" w:cs="仿宋"/>
          <w:color w:val="000000"/>
          <w:kern w:val="0"/>
          <w:sz w:val="32"/>
          <w:szCs w:val="32"/>
          <w:shd w:val="clear" w:color="auto" w:fill="FFFFFF"/>
          <w:lang w:val="en-US" w:eastAsia="zh-CN"/>
        </w:rPr>
      </w:pPr>
      <w:r>
        <w:rPr>
          <w:rFonts w:hint="eastAsia" w:ascii="仿宋" w:hAnsi="仿宋" w:eastAsia="仿宋" w:cs="仿宋"/>
          <w:color w:val="000000"/>
          <w:kern w:val="0"/>
          <w:sz w:val="30"/>
          <w:szCs w:val="30"/>
          <w:shd w:val="clear" w:color="auto" w:fill="FFFFFF"/>
          <w:lang w:val="en-US" w:eastAsia="zh-CN"/>
        </w:rPr>
        <w:t>根据《财政厅关于开展2020年度部门整体支出绩效评价工作的通知》（川财绩[2020]9号）的要求，我院对2019年整体支出绩效进行了自评工作，现将自评工作作如下报告。</w:t>
      </w:r>
    </w:p>
    <w:p>
      <w:pPr>
        <w:spacing w:line="560" w:lineRule="exact"/>
        <w:ind w:firstLine="602" w:firstLineChars="200"/>
        <w:rPr>
          <w:rFonts w:hint="eastAsia" w:ascii="仿宋" w:hAnsi="仿宋" w:eastAsia="仿宋" w:cs="仿宋"/>
          <w:b/>
          <w:bCs/>
          <w:color w:val="000000"/>
          <w:kern w:val="0"/>
          <w:sz w:val="30"/>
          <w:szCs w:val="30"/>
          <w:shd w:val="clear" w:color="auto" w:fill="FFFFFF"/>
          <w:lang w:val="zh-CN" w:eastAsia="zh-CN"/>
        </w:rPr>
      </w:pPr>
      <w:r>
        <w:rPr>
          <w:rFonts w:hint="eastAsia" w:ascii="仿宋" w:hAnsi="仿宋" w:eastAsia="仿宋" w:cs="仿宋"/>
          <w:b/>
          <w:bCs/>
          <w:color w:val="000000"/>
          <w:kern w:val="0"/>
          <w:sz w:val="30"/>
          <w:szCs w:val="30"/>
          <w:shd w:val="clear" w:color="auto" w:fill="FFFFFF"/>
          <w:lang w:val="en-US" w:eastAsia="zh-CN"/>
        </w:rPr>
        <w:t>一、</w:t>
      </w:r>
      <w:r>
        <w:rPr>
          <w:rFonts w:hint="eastAsia" w:ascii="仿宋" w:hAnsi="仿宋" w:eastAsia="仿宋" w:cs="仿宋"/>
          <w:b/>
          <w:bCs/>
          <w:color w:val="000000"/>
          <w:kern w:val="0"/>
          <w:sz w:val="30"/>
          <w:szCs w:val="30"/>
          <w:shd w:val="clear" w:color="auto" w:fill="FFFFFF"/>
          <w:lang w:val="zh-CN" w:eastAsia="zh-CN"/>
        </w:rPr>
        <w:t>部门（单位）概况</w:t>
      </w:r>
    </w:p>
    <w:p>
      <w:pPr>
        <w:spacing w:line="560" w:lineRule="exact"/>
        <w:ind w:firstLine="600" w:firstLineChars="200"/>
        <w:rPr>
          <w:rFonts w:hint="eastAsia" w:ascii="仿宋" w:hAnsi="仿宋" w:eastAsia="仿宋" w:cs="仿宋"/>
          <w:color w:val="000000"/>
          <w:kern w:val="0"/>
          <w:sz w:val="30"/>
          <w:szCs w:val="30"/>
          <w:shd w:val="clear" w:color="auto" w:fill="FFFFFF"/>
          <w:lang w:val="zh-CN" w:eastAsia="zh-CN"/>
        </w:rPr>
      </w:pPr>
      <w:r>
        <w:rPr>
          <w:rFonts w:hint="eastAsia" w:ascii="仿宋" w:hAnsi="仿宋" w:eastAsia="仿宋" w:cs="仿宋"/>
          <w:color w:val="000000"/>
          <w:kern w:val="0"/>
          <w:sz w:val="30"/>
          <w:szCs w:val="30"/>
          <w:shd w:val="clear" w:color="auto" w:fill="FFFFFF"/>
          <w:lang w:val="zh-CN" w:eastAsia="zh-CN"/>
        </w:rPr>
        <w:t>（一）机构组成。四川化工地质勘查院属省一级预算全额拨款地勘事业单位，预算单位代码670，主管部门为四川省经济和信息化厅。</w:t>
      </w:r>
    </w:p>
    <w:p>
      <w:pPr>
        <w:spacing w:line="560" w:lineRule="exact"/>
        <w:ind w:firstLine="600" w:firstLineChars="200"/>
        <w:rPr>
          <w:rFonts w:hint="eastAsia" w:ascii="仿宋" w:hAnsi="仿宋" w:eastAsia="仿宋" w:cs="仿宋"/>
          <w:color w:val="000000"/>
          <w:kern w:val="0"/>
          <w:sz w:val="30"/>
          <w:szCs w:val="30"/>
          <w:shd w:val="clear" w:color="auto" w:fill="FFFFFF"/>
          <w:lang w:val="zh-CN" w:eastAsia="zh-CN"/>
        </w:rPr>
      </w:pPr>
      <w:r>
        <w:rPr>
          <w:rFonts w:hint="eastAsia" w:ascii="仿宋" w:hAnsi="仿宋" w:eastAsia="仿宋" w:cs="仿宋"/>
          <w:color w:val="000000"/>
          <w:kern w:val="0"/>
          <w:sz w:val="30"/>
          <w:szCs w:val="30"/>
          <w:shd w:val="clear" w:color="auto" w:fill="FFFFFF"/>
          <w:lang w:val="zh-CN" w:eastAsia="zh-CN"/>
        </w:rPr>
        <w:t>（二）机构职能。我院主要职能是为国民经济建设，发展需要提供矿产资源保障和各项地质调查服务。承担矿产资源地质调查评价、勘查；水文地质、工程地质、地球地理勘查；地质环境影响评价；地质灾害危险性评估等。</w:t>
      </w:r>
    </w:p>
    <w:p>
      <w:pPr>
        <w:spacing w:line="560" w:lineRule="exact"/>
        <w:ind w:firstLine="600" w:firstLineChars="200"/>
        <w:rPr>
          <w:rFonts w:hint="eastAsia" w:ascii="仿宋" w:hAnsi="仿宋" w:eastAsia="仿宋" w:cs="仿宋"/>
          <w:color w:val="000000"/>
          <w:kern w:val="0"/>
          <w:sz w:val="30"/>
          <w:szCs w:val="30"/>
          <w:shd w:val="clear" w:color="auto" w:fill="FFFFFF"/>
          <w:lang w:val="zh-CN" w:eastAsia="zh-CN"/>
        </w:rPr>
      </w:pPr>
      <w:r>
        <w:rPr>
          <w:rFonts w:hint="eastAsia" w:ascii="仿宋" w:hAnsi="仿宋" w:eastAsia="仿宋" w:cs="仿宋"/>
          <w:color w:val="000000"/>
          <w:kern w:val="0"/>
          <w:sz w:val="30"/>
          <w:szCs w:val="30"/>
          <w:shd w:val="clear" w:color="auto" w:fill="FFFFFF"/>
          <w:lang w:val="zh-CN" w:eastAsia="zh-CN"/>
        </w:rPr>
        <w:t>（三）人员概况。截止201</w:t>
      </w:r>
      <w:r>
        <w:rPr>
          <w:rFonts w:hint="eastAsia" w:ascii="仿宋" w:hAnsi="仿宋" w:eastAsia="仿宋" w:cs="仿宋"/>
          <w:color w:val="000000"/>
          <w:kern w:val="0"/>
          <w:sz w:val="30"/>
          <w:szCs w:val="30"/>
          <w:shd w:val="clear" w:color="auto" w:fill="FFFFFF"/>
          <w:lang w:val="en-US" w:eastAsia="zh-CN"/>
        </w:rPr>
        <w:t>9</w:t>
      </w:r>
      <w:r>
        <w:rPr>
          <w:rFonts w:hint="eastAsia" w:ascii="仿宋" w:hAnsi="仿宋" w:eastAsia="仿宋" w:cs="仿宋"/>
          <w:color w:val="000000"/>
          <w:kern w:val="0"/>
          <w:sz w:val="30"/>
          <w:szCs w:val="30"/>
          <w:shd w:val="clear" w:color="auto" w:fill="FFFFFF"/>
          <w:lang w:val="zh-CN" w:eastAsia="zh-CN"/>
        </w:rPr>
        <w:t>年12月31日，单位现有职工7</w:t>
      </w:r>
      <w:r>
        <w:rPr>
          <w:rFonts w:hint="eastAsia" w:ascii="仿宋" w:hAnsi="仿宋" w:eastAsia="仿宋" w:cs="仿宋"/>
          <w:color w:val="000000"/>
          <w:kern w:val="0"/>
          <w:sz w:val="30"/>
          <w:szCs w:val="30"/>
          <w:shd w:val="clear" w:color="auto" w:fill="FFFFFF"/>
          <w:lang w:val="en-US" w:eastAsia="zh-CN"/>
        </w:rPr>
        <w:t>14</w:t>
      </w:r>
      <w:r>
        <w:rPr>
          <w:rFonts w:hint="eastAsia" w:ascii="仿宋" w:hAnsi="仿宋" w:eastAsia="仿宋" w:cs="仿宋"/>
          <w:color w:val="000000"/>
          <w:kern w:val="0"/>
          <w:sz w:val="30"/>
          <w:szCs w:val="30"/>
          <w:shd w:val="clear" w:color="auto" w:fill="FFFFFF"/>
          <w:lang w:val="zh-CN" w:eastAsia="zh-CN"/>
        </w:rPr>
        <w:t>人，其中：在职职工1</w:t>
      </w:r>
      <w:r>
        <w:rPr>
          <w:rFonts w:hint="eastAsia" w:ascii="仿宋" w:hAnsi="仿宋" w:eastAsia="仿宋" w:cs="仿宋"/>
          <w:color w:val="000000"/>
          <w:kern w:val="0"/>
          <w:sz w:val="30"/>
          <w:szCs w:val="30"/>
          <w:shd w:val="clear" w:color="auto" w:fill="FFFFFF"/>
          <w:lang w:val="en-US" w:eastAsia="zh-CN"/>
        </w:rPr>
        <w:t>64</w:t>
      </w:r>
      <w:r>
        <w:rPr>
          <w:rFonts w:hint="eastAsia" w:ascii="仿宋" w:hAnsi="仿宋" w:eastAsia="仿宋" w:cs="仿宋"/>
          <w:color w:val="000000"/>
          <w:kern w:val="0"/>
          <w:sz w:val="30"/>
          <w:szCs w:val="30"/>
          <w:shd w:val="clear" w:color="auto" w:fill="FFFFFF"/>
          <w:lang w:val="zh-CN" w:eastAsia="zh-CN"/>
        </w:rPr>
        <w:t>人，离休人员2人，退休人员54</w:t>
      </w:r>
      <w:r>
        <w:rPr>
          <w:rFonts w:hint="eastAsia" w:ascii="仿宋" w:hAnsi="仿宋" w:eastAsia="仿宋" w:cs="仿宋"/>
          <w:color w:val="000000"/>
          <w:kern w:val="0"/>
          <w:sz w:val="30"/>
          <w:szCs w:val="30"/>
          <w:shd w:val="clear" w:color="auto" w:fill="FFFFFF"/>
          <w:lang w:val="en-US" w:eastAsia="zh-CN"/>
        </w:rPr>
        <w:t>8</w:t>
      </w:r>
      <w:r>
        <w:rPr>
          <w:rFonts w:hint="eastAsia" w:ascii="仿宋" w:hAnsi="仿宋" w:eastAsia="仿宋" w:cs="仿宋"/>
          <w:color w:val="000000"/>
          <w:kern w:val="0"/>
          <w:sz w:val="30"/>
          <w:szCs w:val="30"/>
          <w:shd w:val="clear" w:color="auto" w:fill="FFFFFF"/>
          <w:lang w:val="zh-CN" w:eastAsia="zh-CN"/>
        </w:rPr>
        <w:t>人。</w:t>
      </w:r>
    </w:p>
    <w:p>
      <w:pPr>
        <w:spacing w:line="560" w:lineRule="exact"/>
        <w:ind w:firstLine="602" w:firstLineChars="200"/>
        <w:rPr>
          <w:rFonts w:hint="eastAsia" w:ascii="仿宋" w:hAnsi="仿宋" w:eastAsia="仿宋" w:cs="仿宋"/>
          <w:b/>
          <w:bCs/>
          <w:color w:val="000000"/>
          <w:kern w:val="0"/>
          <w:sz w:val="30"/>
          <w:szCs w:val="30"/>
          <w:shd w:val="clear" w:color="auto" w:fill="FFFFFF"/>
          <w:lang w:val="en-US" w:eastAsia="zh-CN"/>
        </w:rPr>
      </w:pPr>
      <w:r>
        <w:rPr>
          <w:rFonts w:hint="eastAsia" w:ascii="仿宋" w:hAnsi="仿宋" w:eastAsia="仿宋" w:cs="仿宋"/>
          <w:b/>
          <w:bCs/>
          <w:color w:val="000000"/>
          <w:kern w:val="0"/>
          <w:sz w:val="30"/>
          <w:szCs w:val="30"/>
          <w:shd w:val="clear" w:color="auto" w:fill="FFFFFF"/>
          <w:lang w:val="en-US" w:eastAsia="zh-CN"/>
        </w:rPr>
        <w:t>二、部门财政资金收支情况</w:t>
      </w:r>
    </w:p>
    <w:p>
      <w:pPr>
        <w:spacing w:line="560" w:lineRule="exact"/>
        <w:ind w:firstLine="600" w:firstLineChars="200"/>
        <w:rPr>
          <w:rFonts w:hint="eastAsia" w:ascii="仿宋" w:hAnsi="仿宋" w:eastAsia="仿宋" w:cs="仿宋"/>
          <w:color w:val="000000"/>
          <w:kern w:val="0"/>
          <w:sz w:val="30"/>
          <w:szCs w:val="30"/>
          <w:shd w:val="clear" w:color="auto" w:fill="FFFFFF"/>
          <w:lang w:val="zh-CN" w:eastAsia="zh-CN"/>
        </w:rPr>
      </w:pPr>
      <w:r>
        <w:rPr>
          <w:rFonts w:hint="eastAsia" w:ascii="仿宋" w:hAnsi="仿宋" w:eastAsia="仿宋" w:cs="仿宋"/>
          <w:color w:val="000000"/>
          <w:kern w:val="0"/>
          <w:sz w:val="30"/>
          <w:szCs w:val="30"/>
          <w:shd w:val="clear" w:color="auto" w:fill="FFFFFF"/>
          <w:lang w:val="zh-CN" w:eastAsia="zh-CN"/>
        </w:rPr>
        <w:t>（一）部门财政资金收入情况</w:t>
      </w:r>
    </w:p>
    <w:p>
      <w:pPr>
        <w:spacing w:line="560" w:lineRule="exact"/>
        <w:ind w:firstLine="600" w:firstLineChars="200"/>
        <w:rPr>
          <w:rFonts w:hint="eastAsia" w:ascii="仿宋" w:hAnsi="仿宋" w:eastAsia="仿宋" w:cs="仿宋"/>
          <w:color w:val="000000"/>
          <w:kern w:val="0"/>
          <w:sz w:val="30"/>
          <w:szCs w:val="30"/>
          <w:shd w:val="clear" w:color="auto" w:fill="FFFFFF"/>
          <w:lang w:val="zh-CN" w:eastAsia="zh-CN"/>
        </w:rPr>
      </w:pPr>
      <w:r>
        <w:rPr>
          <w:rFonts w:hint="eastAsia" w:ascii="仿宋" w:hAnsi="仿宋" w:eastAsia="仿宋" w:cs="仿宋"/>
          <w:color w:val="000000"/>
          <w:kern w:val="0"/>
          <w:sz w:val="30"/>
          <w:szCs w:val="30"/>
          <w:shd w:val="clear" w:color="auto" w:fill="FFFFFF"/>
          <w:lang w:val="zh-CN" w:eastAsia="zh-CN"/>
        </w:rPr>
        <w:t>201</w:t>
      </w:r>
      <w:r>
        <w:rPr>
          <w:rFonts w:hint="eastAsia" w:ascii="仿宋" w:hAnsi="仿宋" w:eastAsia="仿宋" w:cs="仿宋"/>
          <w:color w:val="000000"/>
          <w:kern w:val="0"/>
          <w:sz w:val="30"/>
          <w:szCs w:val="30"/>
          <w:shd w:val="clear" w:color="auto" w:fill="FFFFFF"/>
          <w:lang w:val="en-US" w:eastAsia="zh-CN"/>
        </w:rPr>
        <w:t>9</w:t>
      </w:r>
      <w:r>
        <w:rPr>
          <w:rFonts w:hint="eastAsia" w:ascii="仿宋" w:hAnsi="仿宋" w:eastAsia="仿宋" w:cs="仿宋"/>
          <w:color w:val="000000"/>
          <w:kern w:val="0"/>
          <w:sz w:val="30"/>
          <w:szCs w:val="30"/>
          <w:shd w:val="clear" w:color="auto" w:fill="FFFFFF"/>
          <w:lang w:val="zh-CN" w:eastAsia="zh-CN"/>
        </w:rPr>
        <w:t>年财政资金收入总额24</w:t>
      </w:r>
      <w:r>
        <w:rPr>
          <w:rFonts w:hint="eastAsia" w:ascii="仿宋" w:hAnsi="仿宋" w:eastAsia="仿宋" w:cs="仿宋"/>
          <w:color w:val="000000"/>
          <w:kern w:val="0"/>
          <w:sz w:val="30"/>
          <w:szCs w:val="30"/>
          <w:shd w:val="clear" w:color="auto" w:fill="FFFFFF"/>
          <w:lang w:val="en-US" w:eastAsia="zh-CN"/>
        </w:rPr>
        <w:t>80.36</w:t>
      </w:r>
      <w:r>
        <w:rPr>
          <w:rFonts w:hint="eastAsia" w:ascii="仿宋" w:hAnsi="仿宋" w:eastAsia="仿宋" w:cs="仿宋"/>
          <w:color w:val="000000"/>
          <w:kern w:val="0"/>
          <w:sz w:val="30"/>
          <w:szCs w:val="30"/>
          <w:shd w:val="clear" w:color="auto" w:fill="FFFFFF"/>
          <w:lang w:val="zh-CN" w:eastAsia="zh-CN"/>
        </w:rPr>
        <w:t>万元，其中：人员经费补助收入</w:t>
      </w:r>
      <w:r>
        <w:rPr>
          <w:rFonts w:hint="eastAsia" w:ascii="仿宋" w:hAnsi="仿宋" w:eastAsia="仿宋" w:cs="仿宋"/>
          <w:color w:val="000000"/>
          <w:kern w:val="0"/>
          <w:sz w:val="30"/>
          <w:szCs w:val="30"/>
          <w:shd w:val="clear" w:color="auto" w:fill="FFFFFF"/>
          <w:lang w:val="en-US" w:eastAsia="zh-CN"/>
        </w:rPr>
        <w:t>2057.52</w:t>
      </w:r>
      <w:r>
        <w:rPr>
          <w:rFonts w:hint="eastAsia" w:ascii="仿宋" w:hAnsi="仿宋" w:eastAsia="仿宋" w:cs="仿宋"/>
          <w:color w:val="000000"/>
          <w:kern w:val="0"/>
          <w:sz w:val="30"/>
          <w:szCs w:val="30"/>
          <w:shd w:val="clear" w:color="auto" w:fill="FFFFFF"/>
          <w:lang w:val="zh-CN" w:eastAsia="zh-CN"/>
        </w:rPr>
        <w:t>万元，日常公用经费补助收入</w:t>
      </w:r>
      <w:r>
        <w:rPr>
          <w:rFonts w:hint="eastAsia" w:ascii="仿宋" w:hAnsi="仿宋" w:eastAsia="仿宋" w:cs="仿宋"/>
          <w:color w:val="000000"/>
          <w:kern w:val="0"/>
          <w:sz w:val="30"/>
          <w:szCs w:val="30"/>
          <w:shd w:val="clear" w:color="auto" w:fill="FFFFFF"/>
          <w:lang w:val="en-US" w:eastAsia="zh-CN"/>
        </w:rPr>
        <w:t>359.84</w:t>
      </w:r>
      <w:r>
        <w:rPr>
          <w:rFonts w:hint="eastAsia" w:ascii="仿宋" w:hAnsi="仿宋" w:eastAsia="仿宋" w:cs="仿宋"/>
          <w:color w:val="000000"/>
          <w:kern w:val="0"/>
          <w:sz w:val="30"/>
          <w:szCs w:val="30"/>
          <w:shd w:val="clear" w:color="auto" w:fill="FFFFFF"/>
          <w:lang w:val="zh-CN" w:eastAsia="zh-CN"/>
        </w:rPr>
        <w:t>万元，专项经费补助收入</w:t>
      </w:r>
      <w:r>
        <w:rPr>
          <w:rFonts w:hint="eastAsia" w:ascii="仿宋" w:hAnsi="仿宋" w:eastAsia="仿宋" w:cs="仿宋"/>
          <w:color w:val="000000"/>
          <w:kern w:val="0"/>
          <w:sz w:val="30"/>
          <w:szCs w:val="30"/>
          <w:shd w:val="clear" w:color="auto" w:fill="FFFFFF"/>
          <w:lang w:val="en-US" w:eastAsia="zh-CN"/>
        </w:rPr>
        <w:t>63</w:t>
      </w:r>
      <w:r>
        <w:rPr>
          <w:rFonts w:hint="eastAsia" w:ascii="仿宋" w:hAnsi="仿宋" w:eastAsia="仿宋" w:cs="仿宋"/>
          <w:color w:val="000000"/>
          <w:kern w:val="0"/>
          <w:sz w:val="30"/>
          <w:szCs w:val="30"/>
          <w:shd w:val="clear" w:color="auto" w:fill="FFFFFF"/>
          <w:lang w:val="zh-CN" w:eastAsia="zh-CN"/>
        </w:rPr>
        <w:t>万元。</w:t>
      </w:r>
    </w:p>
    <w:p>
      <w:pPr>
        <w:spacing w:line="560" w:lineRule="exact"/>
        <w:ind w:firstLine="600" w:firstLineChars="200"/>
        <w:rPr>
          <w:rFonts w:hint="eastAsia" w:ascii="仿宋" w:hAnsi="仿宋" w:eastAsia="仿宋" w:cs="仿宋"/>
          <w:color w:val="000000"/>
          <w:kern w:val="0"/>
          <w:sz w:val="30"/>
          <w:szCs w:val="30"/>
          <w:shd w:val="clear" w:color="auto" w:fill="FFFFFF"/>
          <w:lang w:val="zh-CN" w:eastAsia="zh-CN"/>
        </w:rPr>
      </w:pPr>
      <w:r>
        <w:rPr>
          <w:rFonts w:hint="eastAsia" w:ascii="仿宋" w:hAnsi="仿宋" w:eastAsia="仿宋" w:cs="仿宋"/>
          <w:color w:val="000000"/>
          <w:kern w:val="0"/>
          <w:sz w:val="30"/>
          <w:szCs w:val="30"/>
          <w:shd w:val="clear" w:color="auto" w:fill="FFFFFF"/>
          <w:lang w:val="zh-CN" w:eastAsia="zh-CN"/>
        </w:rPr>
        <w:t>（二）部门财政资金支出情况</w:t>
      </w:r>
    </w:p>
    <w:p>
      <w:pPr>
        <w:spacing w:line="560" w:lineRule="exact"/>
        <w:ind w:firstLine="600" w:firstLineChars="200"/>
        <w:rPr>
          <w:rFonts w:hint="eastAsia" w:ascii="仿宋" w:hAnsi="仿宋" w:eastAsia="仿宋" w:cs="仿宋"/>
          <w:color w:val="000000"/>
          <w:kern w:val="0"/>
          <w:sz w:val="30"/>
          <w:szCs w:val="30"/>
          <w:shd w:val="clear" w:color="auto" w:fill="FFFFFF"/>
          <w:lang w:val="zh-CN" w:eastAsia="zh-CN"/>
        </w:rPr>
      </w:pPr>
      <w:r>
        <w:rPr>
          <w:rFonts w:hint="eastAsia" w:ascii="仿宋" w:hAnsi="仿宋" w:eastAsia="仿宋" w:cs="仿宋"/>
          <w:color w:val="000000"/>
          <w:kern w:val="0"/>
          <w:sz w:val="30"/>
          <w:szCs w:val="30"/>
          <w:shd w:val="clear" w:color="auto" w:fill="FFFFFF"/>
          <w:lang w:val="zh-CN" w:eastAsia="zh-CN"/>
        </w:rPr>
        <w:t>201</w:t>
      </w:r>
      <w:r>
        <w:rPr>
          <w:rFonts w:hint="eastAsia" w:ascii="仿宋" w:hAnsi="仿宋" w:eastAsia="仿宋" w:cs="仿宋"/>
          <w:color w:val="000000"/>
          <w:kern w:val="0"/>
          <w:sz w:val="30"/>
          <w:szCs w:val="30"/>
          <w:shd w:val="clear" w:color="auto" w:fill="FFFFFF"/>
          <w:lang w:val="en-US" w:eastAsia="zh-CN"/>
        </w:rPr>
        <w:t>9</w:t>
      </w:r>
      <w:r>
        <w:rPr>
          <w:rFonts w:hint="eastAsia" w:ascii="仿宋" w:hAnsi="仿宋" w:eastAsia="仿宋" w:cs="仿宋"/>
          <w:color w:val="000000"/>
          <w:kern w:val="0"/>
          <w:sz w:val="30"/>
          <w:szCs w:val="30"/>
          <w:shd w:val="clear" w:color="auto" w:fill="FFFFFF"/>
          <w:lang w:val="zh-CN" w:eastAsia="zh-CN"/>
        </w:rPr>
        <w:t>年财政资金支出总额24</w:t>
      </w:r>
      <w:r>
        <w:rPr>
          <w:rFonts w:hint="eastAsia" w:ascii="仿宋" w:hAnsi="仿宋" w:eastAsia="仿宋" w:cs="仿宋"/>
          <w:color w:val="000000"/>
          <w:kern w:val="0"/>
          <w:sz w:val="30"/>
          <w:szCs w:val="30"/>
          <w:shd w:val="clear" w:color="auto" w:fill="FFFFFF"/>
          <w:lang w:val="en-US" w:eastAsia="zh-CN"/>
        </w:rPr>
        <w:t>80.36</w:t>
      </w:r>
      <w:r>
        <w:rPr>
          <w:rFonts w:hint="eastAsia" w:ascii="仿宋" w:hAnsi="仿宋" w:eastAsia="仿宋" w:cs="仿宋"/>
          <w:color w:val="000000"/>
          <w:kern w:val="0"/>
          <w:sz w:val="30"/>
          <w:szCs w:val="30"/>
          <w:shd w:val="clear" w:color="auto" w:fill="FFFFFF"/>
          <w:lang w:val="zh-CN" w:eastAsia="zh-CN"/>
        </w:rPr>
        <w:t>万元，主要包括：</w:t>
      </w:r>
    </w:p>
    <w:p>
      <w:pPr>
        <w:spacing w:line="560" w:lineRule="exact"/>
        <w:ind w:firstLine="600" w:firstLineChars="200"/>
        <w:rPr>
          <w:rFonts w:hint="eastAsia" w:ascii="仿宋" w:hAnsi="仿宋" w:eastAsia="仿宋" w:cs="仿宋"/>
          <w:color w:val="000000"/>
          <w:kern w:val="0"/>
          <w:sz w:val="30"/>
          <w:szCs w:val="30"/>
          <w:shd w:val="clear" w:color="auto" w:fill="FFFFFF"/>
          <w:lang w:val="zh-CN" w:eastAsia="zh-CN"/>
        </w:rPr>
      </w:pPr>
      <w:r>
        <w:rPr>
          <w:rFonts w:hint="eastAsia" w:ascii="仿宋" w:hAnsi="仿宋" w:eastAsia="仿宋" w:cs="仿宋"/>
          <w:color w:val="000000"/>
          <w:kern w:val="0"/>
          <w:sz w:val="30"/>
          <w:szCs w:val="30"/>
          <w:shd w:val="clear" w:color="auto" w:fill="FFFFFF"/>
          <w:lang w:val="zh-CN" w:eastAsia="zh-CN"/>
        </w:rPr>
        <w:t>1.资源勘探信息等事项支出15</w:t>
      </w:r>
      <w:r>
        <w:rPr>
          <w:rFonts w:hint="eastAsia" w:ascii="仿宋" w:hAnsi="仿宋" w:eastAsia="仿宋" w:cs="仿宋"/>
          <w:color w:val="000000"/>
          <w:kern w:val="0"/>
          <w:sz w:val="30"/>
          <w:szCs w:val="30"/>
          <w:shd w:val="clear" w:color="auto" w:fill="FFFFFF"/>
          <w:lang w:val="en-US" w:eastAsia="zh-CN"/>
        </w:rPr>
        <w:t>98</w:t>
      </w:r>
      <w:r>
        <w:rPr>
          <w:rFonts w:hint="eastAsia" w:ascii="仿宋" w:hAnsi="仿宋" w:eastAsia="仿宋" w:cs="仿宋"/>
          <w:color w:val="000000"/>
          <w:kern w:val="0"/>
          <w:sz w:val="30"/>
          <w:szCs w:val="30"/>
          <w:shd w:val="clear" w:color="auto" w:fill="FFFFFF"/>
          <w:lang w:val="zh-CN" w:eastAsia="zh-CN"/>
        </w:rPr>
        <w:t>.</w:t>
      </w:r>
      <w:r>
        <w:rPr>
          <w:rFonts w:hint="eastAsia" w:ascii="仿宋" w:hAnsi="仿宋" w:eastAsia="仿宋" w:cs="仿宋"/>
          <w:color w:val="000000"/>
          <w:kern w:val="0"/>
          <w:sz w:val="30"/>
          <w:szCs w:val="30"/>
          <w:shd w:val="clear" w:color="auto" w:fill="FFFFFF"/>
          <w:lang w:val="en-US" w:eastAsia="zh-CN"/>
        </w:rPr>
        <w:t>25</w:t>
      </w:r>
      <w:r>
        <w:rPr>
          <w:rFonts w:hint="eastAsia" w:ascii="仿宋" w:hAnsi="仿宋" w:eastAsia="仿宋" w:cs="仿宋"/>
          <w:color w:val="000000"/>
          <w:kern w:val="0"/>
          <w:sz w:val="30"/>
          <w:szCs w:val="30"/>
          <w:shd w:val="clear" w:color="auto" w:fill="FFFFFF"/>
          <w:lang w:val="zh-CN" w:eastAsia="zh-CN"/>
        </w:rPr>
        <w:t>万元（含教育支出15.00万元）。主要用于事业单位人员工资、日常工作、以及多个四川省省级地勘基金项目、地质环境影响评价、地质灾害危险性评估等工作开展，确保单位正常运行。</w:t>
      </w:r>
    </w:p>
    <w:p>
      <w:pPr>
        <w:spacing w:line="560" w:lineRule="exact"/>
        <w:ind w:firstLine="600" w:firstLineChars="200"/>
        <w:rPr>
          <w:rFonts w:hint="eastAsia" w:ascii="仿宋" w:hAnsi="仿宋" w:eastAsia="仿宋" w:cs="仿宋"/>
          <w:color w:val="000000"/>
          <w:kern w:val="0"/>
          <w:sz w:val="30"/>
          <w:szCs w:val="30"/>
          <w:shd w:val="clear" w:color="auto" w:fill="FFFFFF"/>
          <w:lang w:val="zh-CN" w:eastAsia="zh-CN"/>
        </w:rPr>
      </w:pPr>
      <w:r>
        <w:rPr>
          <w:rFonts w:hint="eastAsia" w:ascii="仿宋" w:hAnsi="仿宋" w:eastAsia="仿宋" w:cs="仿宋"/>
          <w:color w:val="000000"/>
          <w:kern w:val="0"/>
          <w:sz w:val="30"/>
          <w:szCs w:val="30"/>
          <w:shd w:val="clear" w:color="auto" w:fill="FFFFFF"/>
          <w:lang w:val="zh-CN" w:eastAsia="zh-CN"/>
        </w:rPr>
        <w:t>2.社会保障和就业支出</w:t>
      </w:r>
      <w:r>
        <w:rPr>
          <w:rFonts w:hint="eastAsia" w:ascii="仿宋" w:hAnsi="仿宋" w:eastAsia="仿宋" w:cs="仿宋"/>
          <w:color w:val="000000"/>
          <w:kern w:val="0"/>
          <w:sz w:val="30"/>
          <w:szCs w:val="30"/>
          <w:shd w:val="clear" w:color="auto" w:fill="FFFFFF"/>
          <w:lang w:val="en-US" w:eastAsia="zh-CN"/>
        </w:rPr>
        <w:t>682.11</w:t>
      </w:r>
      <w:r>
        <w:rPr>
          <w:rFonts w:hint="eastAsia" w:ascii="仿宋" w:hAnsi="仿宋" w:eastAsia="仿宋" w:cs="仿宋"/>
          <w:color w:val="000000"/>
          <w:kern w:val="0"/>
          <w:sz w:val="30"/>
          <w:szCs w:val="30"/>
          <w:shd w:val="clear" w:color="auto" w:fill="FFFFFF"/>
          <w:lang w:val="zh-CN" w:eastAsia="zh-CN"/>
        </w:rPr>
        <w:t>万元。主要用于事业单位职工基本养老保险和职业年金缴费支出，离退休人员生活费补贴等支出。</w:t>
      </w:r>
    </w:p>
    <w:p>
      <w:pPr>
        <w:spacing w:line="560" w:lineRule="exact"/>
        <w:ind w:firstLine="600" w:firstLineChars="200"/>
        <w:rPr>
          <w:rFonts w:hint="eastAsia" w:ascii="仿宋" w:hAnsi="仿宋" w:eastAsia="仿宋" w:cs="仿宋"/>
          <w:color w:val="000000"/>
          <w:kern w:val="0"/>
          <w:sz w:val="30"/>
          <w:szCs w:val="30"/>
          <w:shd w:val="clear" w:color="auto" w:fill="FFFFFF"/>
          <w:lang w:val="zh-CN" w:eastAsia="zh-CN"/>
        </w:rPr>
      </w:pPr>
      <w:r>
        <w:rPr>
          <w:rFonts w:hint="eastAsia" w:ascii="仿宋" w:hAnsi="仿宋" w:eastAsia="仿宋" w:cs="仿宋"/>
          <w:color w:val="000000"/>
          <w:kern w:val="0"/>
          <w:sz w:val="30"/>
          <w:szCs w:val="30"/>
          <w:shd w:val="clear" w:color="auto" w:fill="FFFFFF"/>
          <w:lang w:val="zh-CN" w:eastAsia="zh-CN"/>
        </w:rPr>
        <w:t>3.医疗卫生支出</w:t>
      </w:r>
      <w:r>
        <w:rPr>
          <w:rFonts w:hint="eastAsia" w:ascii="仿宋" w:hAnsi="仿宋" w:eastAsia="仿宋" w:cs="仿宋"/>
          <w:color w:val="000000"/>
          <w:kern w:val="0"/>
          <w:sz w:val="30"/>
          <w:szCs w:val="30"/>
          <w:shd w:val="clear" w:color="auto" w:fill="FFFFFF"/>
          <w:lang w:val="en-US" w:eastAsia="zh-CN"/>
        </w:rPr>
        <w:t>8</w:t>
      </w:r>
      <w:r>
        <w:rPr>
          <w:rFonts w:hint="eastAsia" w:ascii="仿宋" w:hAnsi="仿宋" w:eastAsia="仿宋" w:cs="仿宋"/>
          <w:color w:val="000000"/>
          <w:kern w:val="0"/>
          <w:sz w:val="30"/>
          <w:szCs w:val="30"/>
          <w:shd w:val="clear" w:color="auto" w:fill="FFFFFF"/>
          <w:lang w:val="zh-CN" w:eastAsia="zh-CN"/>
        </w:rPr>
        <w:t>0.00万元。主要用于事业单位按照规定标准为职工缴纳的基本医疗保险等支出。</w:t>
      </w:r>
    </w:p>
    <w:p>
      <w:pPr>
        <w:spacing w:line="560" w:lineRule="exact"/>
        <w:ind w:firstLine="600" w:firstLineChars="200"/>
        <w:rPr>
          <w:rFonts w:hint="eastAsia" w:ascii="仿宋" w:hAnsi="仿宋" w:eastAsia="仿宋" w:cs="仿宋"/>
          <w:color w:val="000000"/>
          <w:kern w:val="0"/>
          <w:sz w:val="30"/>
          <w:szCs w:val="30"/>
          <w:shd w:val="clear" w:color="auto" w:fill="FFFFFF"/>
          <w:lang w:val="zh-CN" w:eastAsia="zh-CN"/>
        </w:rPr>
      </w:pPr>
      <w:r>
        <w:rPr>
          <w:rFonts w:hint="eastAsia" w:ascii="仿宋" w:hAnsi="仿宋" w:eastAsia="仿宋" w:cs="仿宋"/>
          <w:color w:val="000000"/>
          <w:kern w:val="0"/>
          <w:sz w:val="30"/>
          <w:szCs w:val="30"/>
          <w:shd w:val="clear" w:color="auto" w:fill="FFFFFF"/>
          <w:lang w:val="zh-CN" w:eastAsia="zh-CN"/>
        </w:rPr>
        <w:t>4.住房保障支出1</w:t>
      </w:r>
      <w:r>
        <w:rPr>
          <w:rFonts w:hint="eastAsia" w:ascii="仿宋" w:hAnsi="仿宋" w:eastAsia="仿宋" w:cs="仿宋"/>
          <w:color w:val="000000"/>
          <w:kern w:val="0"/>
          <w:sz w:val="30"/>
          <w:szCs w:val="30"/>
          <w:shd w:val="clear" w:color="auto" w:fill="FFFFFF"/>
          <w:lang w:val="en-US" w:eastAsia="zh-CN"/>
        </w:rPr>
        <w:t>2</w:t>
      </w:r>
      <w:r>
        <w:rPr>
          <w:rFonts w:hint="eastAsia" w:ascii="仿宋" w:hAnsi="仿宋" w:eastAsia="仿宋" w:cs="仿宋"/>
          <w:color w:val="000000"/>
          <w:kern w:val="0"/>
          <w:sz w:val="30"/>
          <w:szCs w:val="30"/>
          <w:shd w:val="clear" w:color="auto" w:fill="FFFFFF"/>
          <w:lang w:val="zh-CN" w:eastAsia="zh-CN"/>
        </w:rPr>
        <w:t>0.00万元。主要用于事业单位按照规定标准为职工缴纳住房公积金等支出。</w:t>
      </w:r>
    </w:p>
    <w:p>
      <w:pPr>
        <w:spacing w:line="560" w:lineRule="exact"/>
        <w:ind w:firstLine="602" w:firstLineChars="200"/>
        <w:rPr>
          <w:rFonts w:hint="eastAsia" w:ascii="仿宋" w:hAnsi="仿宋" w:eastAsia="仿宋" w:cs="仿宋"/>
          <w:b/>
          <w:bCs/>
          <w:color w:val="000000"/>
          <w:kern w:val="0"/>
          <w:sz w:val="30"/>
          <w:szCs w:val="30"/>
          <w:shd w:val="clear" w:color="auto" w:fill="FFFFFF"/>
          <w:lang w:val="en-US" w:eastAsia="zh-CN"/>
        </w:rPr>
      </w:pPr>
      <w:r>
        <w:rPr>
          <w:rFonts w:hint="eastAsia" w:ascii="仿宋" w:hAnsi="仿宋" w:eastAsia="仿宋" w:cs="仿宋"/>
          <w:b/>
          <w:bCs/>
          <w:color w:val="000000"/>
          <w:kern w:val="0"/>
          <w:sz w:val="30"/>
          <w:szCs w:val="30"/>
          <w:shd w:val="clear" w:color="auto" w:fill="FFFFFF"/>
          <w:lang w:val="en-US" w:eastAsia="zh-CN"/>
        </w:rPr>
        <w:t>三、部门整体预算绩效管理情况</w:t>
      </w:r>
    </w:p>
    <w:p>
      <w:pPr>
        <w:spacing w:line="560" w:lineRule="exact"/>
        <w:rPr>
          <w:rFonts w:hint="eastAsia" w:ascii="仿宋" w:hAnsi="仿宋" w:eastAsia="仿宋" w:cs="仿宋"/>
          <w:color w:val="000000"/>
          <w:kern w:val="0"/>
          <w:sz w:val="30"/>
          <w:szCs w:val="30"/>
          <w:shd w:val="clear" w:color="auto" w:fill="FFFFFF"/>
          <w:lang w:val="zh-CN" w:eastAsia="zh-CN"/>
        </w:rPr>
      </w:pPr>
      <w:r>
        <w:rPr>
          <w:rFonts w:hint="eastAsia" w:ascii="仿宋" w:hAnsi="仿宋" w:eastAsia="仿宋" w:cs="仿宋"/>
          <w:color w:val="000000"/>
          <w:kern w:val="0"/>
          <w:sz w:val="30"/>
          <w:szCs w:val="30"/>
          <w:shd w:val="clear" w:color="auto" w:fill="FFFFFF"/>
          <w:lang w:val="en-US" w:eastAsia="zh-CN"/>
        </w:rPr>
        <w:t xml:space="preserve">    </w:t>
      </w:r>
      <w:r>
        <w:rPr>
          <w:rFonts w:hint="eastAsia" w:ascii="仿宋" w:hAnsi="仿宋" w:eastAsia="仿宋" w:cs="仿宋"/>
          <w:color w:val="000000"/>
          <w:kern w:val="0"/>
          <w:sz w:val="30"/>
          <w:szCs w:val="30"/>
          <w:shd w:val="clear" w:color="auto" w:fill="FFFFFF"/>
          <w:lang w:val="zh-CN" w:eastAsia="zh-CN"/>
        </w:rPr>
        <w:t>1.绩效目标制定。我院为地勘事业单位，其目标任务制定符合国家产业政策、公益地勘职能定位及其中长期规划。目标任务制定明确，能全面反映部门目标任务完成和预期效益，制定的目标任务较合理，财政资源配置比较合理。</w:t>
      </w:r>
    </w:p>
    <w:p>
      <w:pPr>
        <w:spacing w:line="560" w:lineRule="exact"/>
        <w:ind w:firstLine="600" w:firstLineChars="200"/>
        <w:rPr>
          <w:rFonts w:hint="eastAsia" w:ascii="仿宋" w:hAnsi="仿宋" w:eastAsia="仿宋" w:cs="仿宋"/>
          <w:color w:val="000000"/>
          <w:kern w:val="0"/>
          <w:sz w:val="30"/>
          <w:szCs w:val="30"/>
          <w:shd w:val="clear" w:color="auto" w:fill="FFFFFF"/>
          <w:lang w:val="zh-CN" w:eastAsia="zh-CN"/>
        </w:rPr>
      </w:pPr>
      <w:r>
        <w:rPr>
          <w:rFonts w:hint="eastAsia" w:ascii="仿宋" w:hAnsi="仿宋" w:eastAsia="仿宋" w:cs="仿宋"/>
          <w:color w:val="000000"/>
          <w:kern w:val="0"/>
          <w:sz w:val="30"/>
          <w:szCs w:val="30"/>
          <w:shd w:val="clear" w:color="auto" w:fill="FFFFFF"/>
          <w:lang w:val="zh-CN" w:eastAsia="zh-CN"/>
        </w:rPr>
        <w:t>2.预算编制情况。</w:t>
      </w:r>
    </w:p>
    <w:p>
      <w:pPr>
        <w:spacing w:line="560" w:lineRule="exact"/>
        <w:ind w:firstLine="600" w:firstLineChars="200"/>
        <w:rPr>
          <w:rFonts w:hint="eastAsia" w:ascii="仿宋" w:hAnsi="仿宋" w:eastAsia="仿宋" w:cs="仿宋"/>
          <w:color w:val="000000"/>
          <w:kern w:val="0"/>
          <w:sz w:val="30"/>
          <w:szCs w:val="30"/>
          <w:shd w:val="clear" w:color="auto" w:fill="FFFFFF"/>
          <w:lang w:val="zh-CN" w:eastAsia="zh-CN"/>
        </w:rPr>
      </w:pPr>
      <w:r>
        <w:rPr>
          <w:rFonts w:hint="eastAsia" w:ascii="仿宋" w:hAnsi="仿宋" w:eastAsia="仿宋" w:cs="仿宋"/>
          <w:color w:val="000000"/>
          <w:kern w:val="0"/>
          <w:sz w:val="30"/>
          <w:szCs w:val="30"/>
          <w:shd w:val="clear" w:color="auto" w:fill="FFFFFF"/>
          <w:lang w:val="zh-CN" w:eastAsia="zh-CN"/>
        </w:rPr>
        <w:t>我院严格按照《中华人民共和国预算法》有关规定，根据部门工作任务及相关定额标准进行预算测算，重点内容优先保障安排，体现了部门工作内容的全面情况，预算依据较充分。严格按照四川省财政厅</w:t>
      </w:r>
      <w:r>
        <w:rPr>
          <w:rFonts w:hint="eastAsia" w:ascii="仿宋" w:hAnsi="仿宋" w:eastAsia="仿宋" w:cs="仿宋"/>
          <w:color w:val="000000"/>
          <w:kern w:val="0"/>
          <w:sz w:val="30"/>
          <w:szCs w:val="30"/>
          <w:shd w:val="clear" w:color="auto" w:fill="FFFFFF"/>
          <w:lang w:val="en-US" w:eastAsia="zh-CN"/>
        </w:rPr>
        <w:t>2019年</w:t>
      </w:r>
      <w:r>
        <w:rPr>
          <w:rFonts w:hint="eastAsia" w:ascii="仿宋" w:hAnsi="仿宋" w:eastAsia="仿宋" w:cs="仿宋"/>
          <w:color w:val="000000"/>
          <w:kern w:val="0"/>
          <w:sz w:val="30"/>
          <w:szCs w:val="30"/>
          <w:shd w:val="clear" w:color="auto" w:fill="FFFFFF"/>
          <w:lang w:val="zh-CN" w:eastAsia="zh-CN"/>
        </w:rPr>
        <w:t>省级部门预算编制通知和有关要求，及时完善了人员基础库、项目库等系统信息的维护和报送工作。按照省财政厅下达的预算控制数，结合本部门近年来的实际支出情况，编制并按时报送了本部门201</w:t>
      </w:r>
      <w:r>
        <w:rPr>
          <w:rFonts w:hint="eastAsia" w:ascii="仿宋" w:hAnsi="仿宋" w:eastAsia="仿宋" w:cs="仿宋"/>
          <w:color w:val="000000"/>
          <w:kern w:val="0"/>
          <w:sz w:val="30"/>
          <w:szCs w:val="30"/>
          <w:shd w:val="clear" w:color="auto" w:fill="FFFFFF"/>
          <w:lang w:val="en-US" w:eastAsia="zh-CN"/>
        </w:rPr>
        <w:t>9</w:t>
      </w:r>
      <w:r>
        <w:rPr>
          <w:rFonts w:hint="eastAsia" w:ascii="仿宋" w:hAnsi="仿宋" w:eastAsia="仿宋" w:cs="仿宋"/>
          <w:color w:val="000000"/>
          <w:kern w:val="0"/>
          <w:sz w:val="30"/>
          <w:szCs w:val="30"/>
          <w:shd w:val="clear" w:color="auto" w:fill="FFFFFF"/>
          <w:lang w:val="zh-CN" w:eastAsia="zh-CN"/>
        </w:rPr>
        <w:t>年财政预算。省人大预工委对我院2019年度预算草案审查未提出预审意见。</w:t>
      </w:r>
    </w:p>
    <w:p>
      <w:pPr>
        <w:spacing w:line="560" w:lineRule="exact"/>
        <w:ind w:firstLine="600" w:firstLineChars="200"/>
        <w:rPr>
          <w:rFonts w:hint="eastAsia" w:ascii="仿宋" w:hAnsi="仿宋" w:eastAsia="仿宋" w:cs="仿宋"/>
          <w:color w:val="000000"/>
          <w:kern w:val="0"/>
          <w:sz w:val="30"/>
          <w:szCs w:val="30"/>
          <w:shd w:val="clear" w:color="auto" w:fill="FFFFFF"/>
          <w:lang w:val="zh-CN" w:eastAsia="zh-CN"/>
        </w:rPr>
      </w:pPr>
      <w:r>
        <w:rPr>
          <w:rFonts w:hint="eastAsia" w:ascii="仿宋" w:hAnsi="仿宋" w:eastAsia="仿宋" w:cs="仿宋"/>
          <w:color w:val="000000"/>
          <w:kern w:val="0"/>
          <w:sz w:val="30"/>
          <w:szCs w:val="30"/>
          <w:shd w:val="clear" w:color="auto" w:fill="FFFFFF"/>
          <w:lang w:val="zh-CN" w:eastAsia="zh-CN"/>
        </w:rPr>
        <w:t>3. 预算执行情况。201</w:t>
      </w:r>
      <w:r>
        <w:rPr>
          <w:rFonts w:hint="eastAsia" w:ascii="仿宋" w:hAnsi="仿宋" w:eastAsia="仿宋" w:cs="仿宋"/>
          <w:color w:val="000000"/>
          <w:kern w:val="0"/>
          <w:sz w:val="30"/>
          <w:szCs w:val="30"/>
          <w:shd w:val="clear" w:color="auto" w:fill="FFFFFF"/>
          <w:lang w:val="en-US" w:eastAsia="zh-CN"/>
        </w:rPr>
        <w:t>9</w:t>
      </w:r>
      <w:r>
        <w:rPr>
          <w:rFonts w:hint="eastAsia" w:ascii="仿宋" w:hAnsi="仿宋" w:eastAsia="仿宋" w:cs="仿宋"/>
          <w:color w:val="000000"/>
          <w:kern w:val="0"/>
          <w:sz w:val="30"/>
          <w:szCs w:val="30"/>
          <w:shd w:val="clear" w:color="auto" w:fill="FFFFFF"/>
          <w:lang w:val="zh-CN" w:eastAsia="zh-CN"/>
        </w:rPr>
        <w:t>年部门公用经费及非定额公用支出控制在年初预算数以内，决算数与预算数一致。全年财政预算资金总来源未出现中期评估调整取消情况，以及年末预算结余注销情况。部门预算</w:t>
      </w:r>
      <w:r>
        <w:rPr>
          <w:rFonts w:hint="eastAsia" w:ascii="仿宋" w:hAnsi="仿宋" w:eastAsia="仿宋" w:cs="仿宋"/>
          <w:color w:val="000000"/>
          <w:kern w:val="0"/>
          <w:sz w:val="30"/>
          <w:szCs w:val="30"/>
          <w:shd w:val="clear" w:color="auto" w:fill="FFFFFF"/>
          <w:lang w:val="en-US" w:eastAsia="zh-CN"/>
        </w:rPr>
        <w:t>1-</w:t>
      </w:r>
      <w:r>
        <w:rPr>
          <w:rFonts w:hint="eastAsia" w:ascii="仿宋" w:hAnsi="仿宋" w:eastAsia="仿宋" w:cs="仿宋"/>
          <w:color w:val="000000"/>
          <w:kern w:val="0"/>
          <w:sz w:val="30"/>
          <w:szCs w:val="30"/>
          <w:shd w:val="clear" w:color="auto" w:fill="FFFFFF"/>
          <w:lang w:val="zh-CN" w:eastAsia="zh-CN"/>
        </w:rPr>
        <w:t>6月实际支出执行进度为</w:t>
      </w:r>
      <w:r>
        <w:rPr>
          <w:rFonts w:hint="eastAsia" w:ascii="仿宋" w:hAnsi="仿宋" w:eastAsia="仿宋" w:cs="仿宋"/>
          <w:color w:val="000000"/>
          <w:kern w:val="0"/>
          <w:sz w:val="30"/>
          <w:szCs w:val="30"/>
          <w:shd w:val="clear" w:color="auto" w:fill="FFFFFF"/>
          <w:lang w:val="en-US" w:eastAsia="zh-CN"/>
        </w:rPr>
        <w:t>46.4%，1-9月</w:t>
      </w:r>
      <w:r>
        <w:rPr>
          <w:rFonts w:hint="eastAsia" w:ascii="仿宋" w:hAnsi="仿宋" w:eastAsia="仿宋" w:cs="仿宋"/>
          <w:color w:val="000000"/>
          <w:kern w:val="0"/>
          <w:sz w:val="30"/>
          <w:szCs w:val="30"/>
          <w:shd w:val="clear" w:color="auto" w:fill="FFFFFF"/>
          <w:lang w:val="zh-CN" w:eastAsia="zh-CN"/>
        </w:rPr>
        <w:t>实际支出执行进度为</w:t>
      </w:r>
      <w:r>
        <w:rPr>
          <w:rFonts w:hint="eastAsia" w:ascii="仿宋" w:hAnsi="仿宋" w:eastAsia="仿宋" w:cs="仿宋"/>
          <w:color w:val="000000"/>
          <w:kern w:val="0"/>
          <w:sz w:val="30"/>
          <w:szCs w:val="30"/>
          <w:shd w:val="clear" w:color="auto" w:fill="FFFFFF"/>
          <w:lang w:val="en-US" w:eastAsia="zh-CN"/>
        </w:rPr>
        <w:t>71.94%，1-12月</w:t>
      </w:r>
      <w:r>
        <w:rPr>
          <w:rFonts w:hint="eastAsia" w:ascii="仿宋" w:hAnsi="仿宋" w:eastAsia="仿宋" w:cs="仿宋"/>
          <w:color w:val="000000"/>
          <w:kern w:val="0"/>
          <w:sz w:val="30"/>
          <w:szCs w:val="30"/>
          <w:shd w:val="clear" w:color="auto" w:fill="FFFFFF"/>
          <w:lang w:val="zh-CN" w:eastAsia="zh-CN"/>
        </w:rPr>
        <w:t>实际支出执行进度为</w:t>
      </w:r>
      <w:r>
        <w:rPr>
          <w:rFonts w:hint="eastAsia" w:ascii="仿宋" w:hAnsi="仿宋" w:eastAsia="仿宋" w:cs="仿宋"/>
          <w:color w:val="000000"/>
          <w:kern w:val="0"/>
          <w:sz w:val="30"/>
          <w:szCs w:val="30"/>
          <w:shd w:val="clear" w:color="auto" w:fill="FFFFFF"/>
          <w:lang w:val="en-US" w:eastAsia="zh-CN"/>
        </w:rPr>
        <w:t>100%，</w:t>
      </w:r>
      <w:r>
        <w:rPr>
          <w:rFonts w:hint="eastAsia" w:ascii="仿宋" w:hAnsi="仿宋" w:eastAsia="仿宋" w:cs="仿宋"/>
          <w:color w:val="000000"/>
          <w:kern w:val="0"/>
          <w:sz w:val="30"/>
          <w:szCs w:val="30"/>
          <w:shd w:val="clear" w:color="auto" w:fill="FFFFFF"/>
          <w:lang w:val="zh-CN" w:eastAsia="zh-CN"/>
        </w:rPr>
        <w:t>均到达目标完成进度。</w:t>
      </w:r>
    </w:p>
    <w:p>
      <w:pPr>
        <w:spacing w:line="560" w:lineRule="exact"/>
        <w:ind w:firstLine="600" w:firstLineChars="200"/>
        <w:rPr>
          <w:rFonts w:hint="eastAsia" w:ascii="仿宋" w:hAnsi="仿宋" w:eastAsia="仿宋" w:cs="仿宋"/>
          <w:color w:val="000000"/>
          <w:kern w:val="0"/>
          <w:sz w:val="30"/>
          <w:szCs w:val="30"/>
          <w:shd w:val="clear" w:color="auto" w:fill="FFFFFF"/>
          <w:lang w:val="zh-CN" w:eastAsia="zh-CN"/>
        </w:rPr>
      </w:pPr>
      <w:r>
        <w:rPr>
          <w:rFonts w:hint="eastAsia" w:ascii="仿宋" w:hAnsi="仿宋" w:eastAsia="仿宋" w:cs="仿宋"/>
          <w:color w:val="000000"/>
          <w:kern w:val="0"/>
          <w:sz w:val="30"/>
          <w:szCs w:val="30"/>
          <w:shd w:val="clear" w:color="auto" w:fill="FFFFFF"/>
          <w:lang w:val="zh-CN" w:eastAsia="zh-CN"/>
        </w:rPr>
        <w:t>4．完成结果。部门预算年终预算执行进度为100%。我院在201</w:t>
      </w:r>
      <w:r>
        <w:rPr>
          <w:rFonts w:hint="eastAsia" w:ascii="仿宋" w:hAnsi="仿宋" w:eastAsia="仿宋" w:cs="仿宋"/>
          <w:color w:val="000000"/>
          <w:kern w:val="0"/>
          <w:sz w:val="30"/>
          <w:szCs w:val="30"/>
          <w:shd w:val="clear" w:color="auto" w:fill="FFFFFF"/>
          <w:lang w:val="en-US" w:eastAsia="zh-CN"/>
        </w:rPr>
        <w:t>8</w:t>
      </w:r>
      <w:r>
        <w:rPr>
          <w:rFonts w:hint="eastAsia" w:ascii="仿宋" w:hAnsi="仿宋" w:eastAsia="仿宋" w:cs="仿宋"/>
          <w:color w:val="000000"/>
          <w:kern w:val="0"/>
          <w:sz w:val="30"/>
          <w:szCs w:val="30"/>
          <w:shd w:val="clear" w:color="auto" w:fill="FFFFFF"/>
          <w:lang w:val="zh-CN" w:eastAsia="zh-CN"/>
        </w:rPr>
        <w:t>年度预算执行及决算编制、往来款项结算管理、“三公”经费和会议费等支出事项无违规现象。</w:t>
      </w:r>
    </w:p>
    <w:p>
      <w:pPr>
        <w:spacing w:line="560" w:lineRule="exact"/>
        <w:ind w:firstLine="602" w:firstLineChars="200"/>
        <w:rPr>
          <w:rFonts w:hint="eastAsia" w:ascii="仿宋" w:hAnsi="仿宋" w:eastAsia="仿宋" w:cs="仿宋"/>
          <w:color w:val="000000"/>
          <w:kern w:val="0"/>
          <w:sz w:val="30"/>
          <w:szCs w:val="30"/>
          <w:shd w:val="clear" w:color="auto" w:fill="FFFFFF"/>
          <w:lang w:val="en-US" w:eastAsia="zh-CN"/>
        </w:rPr>
      </w:pPr>
      <w:r>
        <w:rPr>
          <w:rFonts w:hint="eastAsia" w:ascii="仿宋" w:hAnsi="仿宋" w:eastAsia="仿宋" w:cs="仿宋"/>
          <w:b/>
          <w:bCs/>
          <w:color w:val="000000"/>
          <w:kern w:val="0"/>
          <w:sz w:val="30"/>
          <w:szCs w:val="30"/>
          <w:shd w:val="clear" w:color="auto" w:fill="FFFFFF"/>
          <w:lang w:val="en-US" w:eastAsia="zh-CN"/>
        </w:rPr>
        <w:t>（二）专项预算管理</w:t>
      </w:r>
    </w:p>
    <w:p>
      <w:pPr>
        <w:spacing w:line="560" w:lineRule="exact"/>
        <w:ind w:firstLine="600" w:firstLineChars="200"/>
        <w:rPr>
          <w:rFonts w:hint="eastAsia" w:ascii="仿宋" w:hAnsi="仿宋" w:eastAsia="仿宋" w:cs="仿宋"/>
          <w:color w:val="000000"/>
          <w:kern w:val="0"/>
          <w:sz w:val="30"/>
          <w:szCs w:val="30"/>
          <w:shd w:val="clear" w:color="auto" w:fill="FFFFFF"/>
          <w:lang w:val="zh-CN" w:eastAsia="zh-CN"/>
        </w:rPr>
      </w:pPr>
      <w:r>
        <w:rPr>
          <w:rFonts w:hint="eastAsia" w:ascii="仿宋" w:hAnsi="仿宋" w:eastAsia="仿宋" w:cs="仿宋"/>
          <w:color w:val="000000"/>
          <w:kern w:val="0"/>
          <w:sz w:val="30"/>
          <w:szCs w:val="30"/>
          <w:shd w:val="clear" w:color="auto" w:fill="FFFFFF"/>
          <w:lang w:val="zh-CN" w:eastAsia="zh-CN"/>
        </w:rPr>
        <w:t>1、项目决策。我院无100万以上的专用项目，按照要求无需编制部门项目预算绩效目标。同时对专项项目的设立进行了评估论证。其专项项目规划符合省委、省政府重大决策部署，项目年度绩效目标与规划一致。项目实际完成任务和效果达到规划预期情况。</w:t>
      </w:r>
    </w:p>
    <w:p>
      <w:pPr>
        <w:spacing w:line="560" w:lineRule="exact"/>
        <w:ind w:firstLine="600" w:firstLineChars="200"/>
        <w:rPr>
          <w:rFonts w:hint="eastAsia" w:ascii="仿宋" w:hAnsi="仿宋" w:eastAsia="仿宋" w:cs="仿宋"/>
          <w:color w:val="000000"/>
          <w:kern w:val="0"/>
          <w:sz w:val="30"/>
          <w:szCs w:val="30"/>
          <w:shd w:val="clear" w:color="auto" w:fill="FFFFFF"/>
          <w:lang w:val="zh-CN" w:eastAsia="zh-CN"/>
        </w:rPr>
      </w:pPr>
      <w:r>
        <w:rPr>
          <w:rFonts w:hint="eastAsia" w:ascii="仿宋" w:hAnsi="仿宋" w:eastAsia="仿宋" w:cs="仿宋"/>
          <w:color w:val="000000"/>
          <w:kern w:val="0"/>
          <w:sz w:val="30"/>
          <w:szCs w:val="30"/>
          <w:shd w:val="clear" w:color="auto" w:fill="FFFFFF"/>
          <w:lang w:val="zh-CN" w:eastAsia="zh-CN"/>
        </w:rPr>
        <w:t>2.项目实施。我院无其他下属事业单位，不存在专项资金分配问题。</w:t>
      </w:r>
    </w:p>
    <w:p>
      <w:pPr>
        <w:spacing w:line="560" w:lineRule="exact"/>
        <w:ind w:firstLine="600" w:firstLineChars="200"/>
        <w:rPr>
          <w:rFonts w:hint="eastAsia" w:ascii="仿宋" w:hAnsi="仿宋" w:eastAsia="仿宋" w:cs="仿宋"/>
          <w:color w:val="000000"/>
          <w:kern w:val="0"/>
          <w:sz w:val="30"/>
          <w:szCs w:val="30"/>
          <w:shd w:val="clear" w:color="auto" w:fill="FFFFFF"/>
          <w:lang w:val="zh-CN" w:eastAsia="zh-CN"/>
        </w:rPr>
      </w:pPr>
      <w:r>
        <w:rPr>
          <w:rFonts w:hint="eastAsia" w:ascii="仿宋" w:hAnsi="仿宋" w:eastAsia="仿宋" w:cs="仿宋"/>
          <w:color w:val="000000"/>
          <w:kern w:val="0"/>
          <w:sz w:val="30"/>
          <w:szCs w:val="30"/>
          <w:shd w:val="clear" w:color="auto" w:fill="FFFFFF"/>
          <w:lang w:val="zh-CN" w:eastAsia="zh-CN"/>
        </w:rPr>
        <w:t>3.完成结果。我院</w:t>
      </w:r>
      <w:r>
        <w:rPr>
          <w:rFonts w:hint="eastAsia" w:ascii="仿宋" w:hAnsi="仿宋" w:eastAsia="仿宋" w:cs="仿宋"/>
          <w:color w:val="000000"/>
          <w:kern w:val="0"/>
          <w:sz w:val="30"/>
          <w:szCs w:val="30"/>
          <w:shd w:val="clear" w:color="auto" w:fill="FFFFFF"/>
          <w:lang w:val="en-US" w:eastAsia="zh-CN"/>
        </w:rPr>
        <w:t>2019年度8月份完成测绘用无人机及钻探设备的</w:t>
      </w:r>
      <w:r>
        <w:rPr>
          <w:rFonts w:hint="eastAsia" w:ascii="仿宋" w:hAnsi="仿宋" w:eastAsia="仿宋" w:cs="仿宋"/>
          <w:color w:val="000000"/>
          <w:kern w:val="0"/>
          <w:sz w:val="30"/>
          <w:szCs w:val="30"/>
          <w:shd w:val="clear" w:color="auto" w:fill="FFFFFF"/>
          <w:lang w:val="zh-CN" w:eastAsia="zh-CN"/>
        </w:rPr>
        <w:t>采购，主要用于地勘野外作业工作。因我院无100万以上的专用项目，按照要求未实施部门项目预算绩效目标的评价工作。</w:t>
      </w:r>
    </w:p>
    <w:p>
      <w:pPr>
        <w:spacing w:line="560" w:lineRule="exact"/>
        <w:ind w:firstLine="602" w:firstLineChars="200"/>
        <w:rPr>
          <w:rFonts w:hint="eastAsia" w:ascii="仿宋" w:hAnsi="仿宋" w:eastAsia="仿宋" w:cs="仿宋"/>
          <w:b/>
          <w:bCs/>
          <w:i w:val="0"/>
          <w:iCs w:val="0"/>
          <w:color w:val="000000"/>
          <w:kern w:val="0"/>
          <w:sz w:val="30"/>
          <w:szCs w:val="30"/>
          <w:shd w:val="clear" w:color="auto" w:fill="FFFFFF"/>
          <w:lang w:val="zh-CN" w:eastAsia="zh-CN"/>
        </w:rPr>
      </w:pPr>
      <w:r>
        <w:rPr>
          <w:rFonts w:hint="eastAsia" w:ascii="仿宋" w:hAnsi="仿宋" w:eastAsia="仿宋" w:cs="仿宋"/>
          <w:b/>
          <w:bCs/>
          <w:i w:val="0"/>
          <w:iCs w:val="0"/>
          <w:color w:val="000000"/>
          <w:kern w:val="0"/>
          <w:sz w:val="30"/>
          <w:szCs w:val="30"/>
          <w:shd w:val="clear" w:color="auto" w:fill="FFFFFF"/>
          <w:lang w:val="zh-CN" w:eastAsia="zh-CN"/>
        </w:rPr>
        <w:t>（三）结果应用情况</w:t>
      </w:r>
    </w:p>
    <w:p>
      <w:pPr>
        <w:spacing w:line="560" w:lineRule="exact"/>
        <w:ind w:firstLine="600" w:firstLineChars="200"/>
        <w:rPr>
          <w:rFonts w:hint="eastAsia" w:ascii="仿宋" w:hAnsi="仿宋" w:eastAsia="仿宋" w:cs="仿宋"/>
          <w:color w:val="000000"/>
          <w:kern w:val="0"/>
          <w:sz w:val="30"/>
          <w:szCs w:val="30"/>
          <w:shd w:val="clear" w:color="auto" w:fill="FFFFFF"/>
          <w:lang w:val="zh-CN" w:eastAsia="zh-CN"/>
        </w:rPr>
      </w:pPr>
      <w:r>
        <w:rPr>
          <w:rFonts w:hint="eastAsia" w:ascii="仿宋" w:hAnsi="仿宋" w:eastAsia="仿宋" w:cs="仿宋"/>
          <w:color w:val="000000"/>
          <w:kern w:val="0"/>
          <w:sz w:val="30"/>
          <w:szCs w:val="30"/>
          <w:shd w:val="clear" w:color="auto" w:fill="FFFFFF"/>
          <w:lang w:val="en-US" w:eastAsia="zh-CN"/>
        </w:rPr>
        <w:t>1、</w:t>
      </w:r>
      <w:r>
        <w:rPr>
          <w:rFonts w:hint="eastAsia" w:ascii="仿宋" w:hAnsi="仿宋" w:eastAsia="仿宋" w:cs="仿宋"/>
          <w:color w:val="000000"/>
          <w:kern w:val="0"/>
          <w:sz w:val="30"/>
          <w:szCs w:val="30"/>
          <w:shd w:val="clear" w:color="auto" w:fill="FFFFFF"/>
          <w:lang w:val="zh-CN" w:eastAsia="zh-CN"/>
        </w:rPr>
        <w:t>自评质量。按照要求对我院201</w:t>
      </w:r>
      <w:r>
        <w:rPr>
          <w:rFonts w:hint="eastAsia" w:ascii="仿宋" w:hAnsi="仿宋" w:eastAsia="仿宋" w:cs="仿宋"/>
          <w:color w:val="000000"/>
          <w:kern w:val="0"/>
          <w:sz w:val="30"/>
          <w:szCs w:val="30"/>
          <w:shd w:val="clear" w:color="auto" w:fill="FFFFFF"/>
          <w:lang w:val="en-US" w:eastAsia="zh-CN"/>
        </w:rPr>
        <w:t>9</w:t>
      </w:r>
      <w:r>
        <w:rPr>
          <w:rFonts w:hint="eastAsia" w:ascii="仿宋" w:hAnsi="仿宋" w:eastAsia="仿宋" w:cs="仿宋"/>
          <w:color w:val="000000"/>
          <w:kern w:val="0"/>
          <w:sz w:val="30"/>
          <w:szCs w:val="30"/>
          <w:shd w:val="clear" w:color="auto" w:fill="FFFFFF"/>
          <w:lang w:val="zh-CN" w:eastAsia="zh-CN"/>
        </w:rPr>
        <w:t>年部门整体支出目标进行了自评，基本完成年度目标。主要工作完成情况：</w:t>
      </w:r>
    </w:p>
    <w:p>
      <w:pPr>
        <w:spacing w:line="560" w:lineRule="exact"/>
        <w:ind w:firstLine="600" w:firstLineChars="200"/>
        <w:rPr>
          <w:rFonts w:hint="eastAsia" w:ascii="仿宋" w:hAnsi="仿宋" w:eastAsia="仿宋" w:cs="仿宋"/>
          <w:color w:val="000000"/>
          <w:kern w:val="0"/>
          <w:sz w:val="30"/>
          <w:szCs w:val="30"/>
          <w:shd w:val="clear" w:color="auto" w:fill="FFFFFF"/>
          <w:lang w:val="en-US" w:eastAsia="zh-CN"/>
        </w:rPr>
      </w:pPr>
      <w:r>
        <w:rPr>
          <w:rFonts w:hint="eastAsia" w:ascii="仿宋" w:hAnsi="仿宋" w:eastAsia="仿宋" w:cs="仿宋"/>
          <w:color w:val="000000"/>
          <w:kern w:val="0"/>
          <w:sz w:val="30"/>
          <w:szCs w:val="30"/>
          <w:shd w:val="clear" w:color="auto" w:fill="FFFFFF"/>
          <w:lang w:val="zh-CN" w:eastAsia="zh-CN"/>
        </w:rPr>
        <w:t>数量指标：①完成了大竹坝磷矿、华竹沟磷矿、土地复垦项目土壤和水质、141队安县磷矿、141队广安石灰矿、141队环境监测项目、135队石屏和叙永硫铁矿、彭州农业局土壤和农作物等样品测试共600余件</w:t>
      </w:r>
      <w:r>
        <w:rPr>
          <w:rFonts w:hint="eastAsia" w:ascii="仿宋" w:hAnsi="仿宋" w:eastAsia="仿宋" w:cs="仿宋"/>
          <w:color w:val="000000"/>
          <w:kern w:val="0"/>
          <w:sz w:val="30"/>
          <w:szCs w:val="30"/>
          <w:shd w:val="clear" w:color="auto" w:fill="FFFFFF"/>
          <w:lang w:val="en-US" w:eastAsia="zh-CN"/>
        </w:rPr>
        <w:t>;②完成不动产测绘项目2个；完成航测项目4个，生产数字正射影像图3副，三维模型4个；完成控制测量项目3个；完成地形图测绘项目7个；完成放样项目2个；完成土方量计算项目1个；③完成工程勘察报告4份，地灾评估等地质灾害危险性评估报告6个，土地复垦方案4个，矿山地质环境保护与土地复垦方案16个以及开发利用方案1个、坑道安全专篇1个、基本农田影响论证报告1个、矿泉水储量核实报告1个、地勘项目水文工作4项。地质勘查类报告：主要有矿资源储量核实报告3份，2019年度矿山储量年报10份，建设项目压覆矿产资源调查及保护区避让、退出项目7个，探矿权延续资料2份，开发利用方案报告1份，矿山地质环境保护与土地复垦方案3份。</w:t>
      </w:r>
    </w:p>
    <w:p>
      <w:pPr>
        <w:spacing w:line="560" w:lineRule="exact"/>
        <w:ind w:firstLine="600" w:firstLineChars="200"/>
        <w:rPr>
          <w:rFonts w:hint="eastAsia" w:ascii="仿宋" w:hAnsi="仿宋" w:eastAsia="仿宋" w:cs="仿宋"/>
          <w:color w:val="000000"/>
          <w:kern w:val="0"/>
          <w:sz w:val="30"/>
          <w:szCs w:val="30"/>
          <w:shd w:val="clear" w:color="auto" w:fill="FFFFFF"/>
          <w:lang w:val="en-US" w:eastAsia="zh-CN"/>
        </w:rPr>
      </w:pPr>
      <w:r>
        <w:rPr>
          <w:rFonts w:hint="eastAsia" w:ascii="仿宋" w:hAnsi="仿宋" w:eastAsia="仿宋" w:cs="仿宋"/>
          <w:color w:val="000000"/>
          <w:kern w:val="0"/>
          <w:sz w:val="30"/>
          <w:szCs w:val="30"/>
          <w:shd w:val="clear" w:color="auto" w:fill="FFFFFF"/>
          <w:lang w:val="en-US" w:eastAsia="zh-CN"/>
        </w:rPr>
        <w:t xml:space="preserve">质量指标：内检合格率达98%以上，外检合格率达100%，各类报告完成率98%以上。经济效益指标：由于地勘行业受大环境的影响，其收入总额及实现利润未完成年初预算的目标；在确保固定资产净值和实现职工人均年收入方面，均完成年初预算目标。        </w:t>
      </w:r>
    </w:p>
    <w:p>
      <w:pPr>
        <w:spacing w:line="560" w:lineRule="exact"/>
        <w:ind w:firstLine="600" w:firstLineChars="200"/>
        <w:rPr>
          <w:rFonts w:hint="eastAsia" w:ascii="仿宋" w:hAnsi="仿宋" w:eastAsia="仿宋" w:cs="仿宋"/>
          <w:color w:val="000000"/>
          <w:kern w:val="0"/>
          <w:sz w:val="30"/>
          <w:szCs w:val="30"/>
          <w:shd w:val="clear" w:color="auto" w:fill="FFFFFF"/>
          <w:lang w:val="en-US" w:eastAsia="zh-CN"/>
        </w:rPr>
      </w:pPr>
      <w:r>
        <w:rPr>
          <w:rFonts w:hint="eastAsia" w:ascii="仿宋" w:hAnsi="仿宋" w:eastAsia="仿宋" w:cs="仿宋"/>
          <w:color w:val="000000"/>
          <w:kern w:val="0"/>
          <w:sz w:val="30"/>
          <w:szCs w:val="30"/>
          <w:shd w:val="clear" w:color="auto" w:fill="FFFFFF"/>
          <w:lang w:val="en-US" w:eastAsia="zh-CN"/>
        </w:rPr>
        <w:t>社会效益指标：重视民生，坚持关心关爱，丰富职工生活。2019年，组织开展了三八节女职工慰问活动、六一儿童节慰问活动等重大节假日慰问活动和春秋游活动。重点开展了纪念五四运动100周系列活动，庆祝中华人民共和国成立70周年系列活动。做好离退休人员的服务管理工作，切实保障退休人员的稳定和谐；我院扎实开展院帮扶村开江县梅家乡小方城村各项扶贫工作，会同开江县公安局、村两委及驻村工作队，制定了2019年度帮扶计划；年间，多次前往小方村进行了扶贫调研慰问，并适时督查帮扶工作，了解并帮助解决当地扶贫问题。为切实巩固脱贫攻坚成果，轮换了1名驻村干部，重点协助小方城村发展特色种植业、养殖业和旅游业。</w:t>
      </w:r>
    </w:p>
    <w:p>
      <w:pPr>
        <w:spacing w:line="560" w:lineRule="exact"/>
        <w:ind w:firstLine="600" w:firstLineChars="200"/>
        <w:rPr>
          <w:rFonts w:hint="eastAsia" w:ascii="仿宋" w:hAnsi="仿宋" w:eastAsia="仿宋" w:cs="仿宋"/>
          <w:color w:val="000000"/>
          <w:kern w:val="0"/>
          <w:sz w:val="30"/>
          <w:szCs w:val="30"/>
          <w:shd w:val="clear" w:color="auto" w:fill="FFFFFF"/>
          <w:lang w:val="en-US" w:eastAsia="zh-CN"/>
        </w:rPr>
      </w:pPr>
      <w:r>
        <w:rPr>
          <w:rFonts w:hint="eastAsia" w:ascii="仿宋" w:hAnsi="仿宋" w:eastAsia="仿宋" w:cs="仿宋"/>
          <w:color w:val="000000"/>
          <w:kern w:val="0"/>
          <w:sz w:val="30"/>
          <w:szCs w:val="30"/>
          <w:shd w:val="clear" w:color="auto" w:fill="FFFFFF"/>
          <w:lang w:val="en-US" w:eastAsia="zh-CN"/>
        </w:rPr>
        <w:t>生态效益指标：环保施工，2019年在新川藏线铁路地质勘察（泸定至新都桥段）项目的钻探施工中，将环保理念贯穿到地质勘查项目实施全过程。</w:t>
      </w:r>
    </w:p>
    <w:p>
      <w:pPr>
        <w:spacing w:line="560" w:lineRule="exact"/>
        <w:ind w:firstLine="600" w:firstLineChars="200"/>
        <w:rPr>
          <w:rFonts w:hint="eastAsia" w:ascii="仿宋" w:hAnsi="仿宋" w:eastAsia="仿宋" w:cs="仿宋"/>
          <w:color w:val="000000"/>
          <w:kern w:val="0"/>
          <w:sz w:val="30"/>
          <w:szCs w:val="30"/>
          <w:shd w:val="clear" w:color="auto" w:fill="FFFFFF"/>
          <w:lang w:val="en-US" w:eastAsia="zh-CN"/>
        </w:rPr>
      </w:pPr>
      <w:r>
        <w:rPr>
          <w:rFonts w:hint="eastAsia" w:ascii="仿宋" w:hAnsi="仿宋" w:eastAsia="仿宋" w:cs="仿宋"/>
          <w:color w:val="000000"/>
          <w:kern w:val="0"/>
          <w:sz w:val="30"/>
          <w:szCs w:val="30"/>
          <w:shd w:val="clear" w:color="auto" w:fill="FFFFFF"/>
          <w:lang w:val="en-US" w:eastAsia="zh-CN"/>
        </w:rPr>
        <w:t>可持续影响指标：为适应地勘行业发展需求，拓宽现有业务范围，提高市场竞争力，提升化勘院整体盈利能力。我院2019年6月成立四川九峰地质工程勘察有限公司，主营业务为工程勘察所涉及勘查类专业技术工作。寻求合作伙伴，努力开拓市场，扩宽经营范围，寻求新的增长点，与四川省金钻地质矿产勘探工程有限公司、省地矿局106地质队等四家单位组建钻探同盟，实施钻探项目施工。</w:t>
      </w:r>
    </w:p>
    <w:p>
      <w:pPr>
        <w:spacing w:line="560" w:lineRule="exact"/>
        <w:ind w:firstLine="600" w:firstLineChars="200"/>
        <w:rPr>
          <w:rFonts w:hint="eastAsia" w:ascii="仿宋" w:hAnsi="仿宋" w:eastAsia="仿宋" w:cs="仿宋"/>
          <w:color w:val="000000"/>
          <w:kern w:val="0"/>
          <w:sz w:val="30"/>
          <w:szCs w:val="30"/>
          <w:shd w:val="clear" w:color="auto" w:fill="FFFFFF"/>
          <w:lang w:val="en-US" w:eastAsia="zh-CN"/>
        </w:rPr>
      </w:pPr>
      <w:r>
        <w:rPr>
          <w:rFonts w:hint="eastAsia" w:ascii="仿宋" w:hAnsi="仿宋" w:eastAsia="仿宋" w:cs="仿宋"/>
          <w:color w:val="000000"/>
          <w:kern w:val="0"/>
          <w:sz w:val="30"/>
          <w:szCs w:val="30"/>
          <w:shd w:val="clear" w:color="auto" w:fill="FFFFFF"/>
          <w:lang w:val="en-US" w:eastAsia="zh-CN"/>
        </w:rPr>
        <w:t>公众满意度指标：我院部门协作好，满意度高，客户满意度达到96.00%。</w:t>
      </w:r>
    </w:p>
    <w:p>
      <w:pPr>
        <w:spacing w:line="560" w:lineRule="exact"/>
        <w:ind w:firstLine="600" w:firstLineChars="200"/>
        <w:rPr>
          <w:rFonts w:hint="eastAsia" w:ascii="仿宋" w:hAnsi="仿宋" w:eastAsia="仿宋" w:cs="仿宋"/>
          <w:color w:val="000000"/>
          <w:kern w:val="0"/>
          <w:sz w:val="30"/>
          <w:szCs w:val="30"/>
          <w:shd w:val="clear" w:color="auto" w:fill="FFFFFF"/>
          <w:lang w:val="en-US" w:eastAsia="zh-CN"/>
        </w:rPr>
      </w:pPr>
      <w:r>
        <w:rPr>
          <w:rFonts w:hint="eastAsia" w:ascii="仿宋" w:hAnsi="仿宋" w:eastAsia="仿宋" w:cs="仿宋"/>
          <w:color w:val="000000"/>
          <w:kern w:val="0"/>
          <w:sz w:val="30"/>
          <w:szCs w:val="30"/>
          <w:shd w:val="clear" w:color="auto" w:fill="FFFFFF"/>
          <w:lang w:val="en-US" w:eastAsia="zh-CN"/>
        </w:rPr>
        <w:t>2、信息公开。按照要求，应将部门绩效目标、部门整体绩效自评情况和自行组织的评价情况面向社会公开。因单位无门户网站，故将部门绩效目标、部门整体绩效自评情况请财政厅代为公开。</w:t>
      </w:r>
    </w:p>
    <w:p>
      <w:pPr>
        <w:spacing w:line="560" w:lineRule="exact"/>
        <w:ind w:firstLine="600" w:firstLineChars="200"/>
        <w:rPr>
          <w:rFonts w:hint="eastAsia" w:ascii="仿宋" w:hAnsi="仿宋" w:eastAsia="仿宋" w:cs="仿宋"/>
          <w:color w:val="000000"/>
          <w:kern w:val="0"/>
          <w:sz w:val="30"/>
          <w:szCs w:val="30"/>
          <w:shd w:val="clear" w:color="auto" w:fill="FFFFFF"/>
          <w:lang w:val="en-US" w:eastAsia="zh-CN"/>
        </w:rPr>
      </w:pPr>
      <w:r>
        <w:rPr>
          <w:rFonts w:hint="eastAsia" w:ascii="仿宋" w:hAnsi="仿宋" w:eastAsia="仿宋" w:cs="仿宋"/>
          <w:color w:val="000000"/>
          <w:kern w:val="0"/>
          <w:sz w:val="30"/>
          <w:szCs w:val="30"/>
          <w:shd w:val="clear" w:color="auto" w:fill="FFFFFF"/>
          <w:lang w:val="en-US" w:eastAsia="zh-CN"/>
        </w:rPr>
        <w:t>3、整改反馈。2019年度我院绩效目标评价工作无整改问题。</w:t>
      </w:r>
    </w:p>
    <w:p>
      <w:pPr>
        <w:spacing w:line="560" w:lineRule="exact"/>
        <w:ind w:firstLine="602" w:firstLineChars="200"/>
        <w:rPr>
          <w:rFonts w:hint="eastAsia" w:ascii="仿宋" w:hAnsi="仿宋" w:eastAsia="仿宋" w:cs="仿宋"/>
          <w:b/>
          <w:bCs/>
          <w:color w:val="000000"/>
          <w:kern w:val="0"/>
          <w:sz w:val="30"/>
          <w:szCs w:val="30"/>
          <w:shd w:val="clear" w:color="auto" w:fill="FFFFFF"/>
          <w:lang w:val="zh-CN" w:eastAsia="zh-CN"/>
        </w:rPr>
      </w:pPr>
      <w:r>
        <w:rPr>
          <w:rFonts w:hint="eastAsia" w:ascii="仿宋" w:hAnsi="仿宋" w:eastAsia="仿宋" w:cs="仿宋"/>
          <w:b/>
          <w:bCs/>
          <w:color w:val="000000"/>
          <w:kern w:val="0"/>
          <w:sz w:val="30"/>
          <w:szCs w:val="30"/>
          <w:shd w:val="clear" w:color="auto" w:fill="FFFFFF"/>
          <w:lang w:val="en-US" w:eastAsia="zh-CN"/>
        </w:rPr>
        <w:t>四、评价结论及建议</w:t>
      </w:r>
    </w:p>
    <w:p>
      <w:pPr>
        <w:spacing w:line="560" w:lineRule="exact"/>
        <w:ind w:firstLine="600" w:firstLineChars="200"/>
        <w:rPr>
          <w:rFonts w:hint="eastAsia" w:ascii="仿宋" w:hAnsi="仿宋" w:eastAsia="仿宋" w:cs="仿宋"/>
          <w:color w:val="000000"/>
          <w:kern w:val="0"/>
          <w:sz w:val="30"/>
          <w:szCs w:val="30"/>
          <w:shd w:val="clear" w:color="auto" w:fill="FFFFFF"/>
          <w:lang w:val="zh-CN" w:eastAsia="zh-CN"/>
        </w:rPr>
      </w:pPr>
      <w:r>
        <w:rPr>
          <w:rFonts w:hint="eastAsia" w:ascii="仿宋" w:hAnsi="仿宋" w:eastAsia="仿宋" w:cs="仿宋"/>
          <w:color w:val="000000"/>
          <w:kern w:val="0"/>
          <w:sz w:val="30"/>
          <w:szCs w:val="30"/>
          <w:shd w:val="clear" w:color="auto" w:fill="FFFFFF"/>
          <w:lang w:val="zh-CN" w:eastAsia="zh-CN"/>
        </w:rPr>
        <w:t>（一）评价结论</w:t>
      </w:r>
    </w:p>
    <w:p>
      <w:pPr>
        <w:spacing w:line="560" w:lineRule="exact"/>
        <w:ind w:firstLine="600" w:firstLineChars="200"/>
        <w:rPr>
          <w:rFonts w:hint="eastAsia" w:ascii="仿宋" w:hAnsi="仿宋" w:eastAsia="仿宋" w:cs="仿宋"/>
          <w:color w:val="000000"/>
          <w:kern w:val="0"/>
          <w:sz w:val="30"/>
          <w:szCs w:val="30"/>
          <w:shd w:val="clear" w:color="auto" w:fill="FFFFFF"/>
          <w:lang w:val="en-US" w:eastAsia="zh-CN"/>
        </w:rPr>
      </w:pPr>
      <w:r>
        <w:rPr>
          <w:rFonts w:hint="eastAsia" w:ascii="仿宋" w:hAnsi="仿宋" w:eastAsia="仿宋" w:cs="仿宋"/>
          <w:color w:val="000000"/>
          <w:kern w:val="0"/>
          <w:sz w:val="30"/>
          <w:szCs w:val="30"/>
          <w:shd w:val="clear" w:color="auto" w:fill="FFFFFF"/>
          <w:lang w:val="en-US" w:eastAsia="zh-CN"/>
        </w:rPr>
        <w:t>按照《2019年省级部门整体支出绩效评价指标体系》进行自评，我院2019年部门整体支出绩效评价总分100分，自评得分91分。可见，我院能按照财政经费预算和执行等管理要求，开展相应专门工作，满足其工作时效性、准确性、合规性和合法性要求。确保职工队伍稳定、机构日常运转和事业发展目标全面完成，</w:t>
      </w:r>
      <w:r>
        <w:rPr>
          <w:rFonts w:hint="eastAsia" w:ascii="仿宋" w:hAnsi="仿宋" w:eastAsia="仿宋" w:cs="仿宋"/>
          <w:color w:val="000000"/>
          <w:kern w:val="0"/>
          <w:sz w:val="30"/>
          <w:szCs w:val="30"/>
          <w:shd w:val="clear" w:color="auto" w:fill="FFFFFF"/>
          <w:lang w:val="zh-CN" w:eastAsia="zh-CN"/>
        </w:rPr>
        <w:t>基本</w:t>
      </w:r>
      <w:r>
        <w:rPr>
          <w:rFonts w:hint="eastAsia" w:ascii="仿宋" w:hAnsi="仿宋" w:eastAsia="仿宋" w:cs="仿宋"/>
          <w:color w:val="000000"/>
          <w:kern w:val="0"/>
          <w:sz w:val="30"/>
          <w:szCs w:val="30"/>
          <w:shd w:val="clear" w:color="auto" w:fill="FFFFFF"/>
          <w:lang w:val="en-US" w:eastAsia="zh-CN"/>
        </w:rPr>
        <w:t>达到财政资金支出预算的预期绩效目标。</w:t>
      </w:r>
    </w:p>
    <w:p>
      <w:pPr>
        <w:spacing w:line="560" w:lineRule="exact"/>
        <w:ind w:firstLine="600" w:firstLineChars="200"/>
        <w:rPr>
          <w:rFonts w:hint="eastAsia" w:ascii="仿宋" w:hAnsi="仿宋" w:eastAsia="仿宋" w:cs="仿宋"/>
          <w:color w:val="000000"/>
          <w:kern w:val="0"/>
          <w:sz w:val="30"/>
          <w:szCs w:val="30"/>
          <w:shd w:val="clear" w:color="auto" w:fill="FFFFFF"/>
          <w:lang w:val="zh-CN" w:eastAsia="zh-CN"/>
        </w:rPr>
      </w:pPr>
      <w:r>
        <w:rPr>
          <w:rFonts w:hint="eastAsia" w:ascii="仿宋" w:hAnsi="仿宋" w:eastAsia="仿宋" w:cs="仿宋"/>
          <w:color w:val="000000"/>
          <w:kern w:val="0"/>
          <w:sz w:val="30"/>
          <w:szCs w:val="30"/>
          <w:shd w:val="clear" w:color="auto" w:fill="FFFFFF"/>
          <w:lang w:val="zh-CN" w:eastAsia="zh-CN"/>
        </w:rPr>
        <w:t>（二）存在问题</w:t>
      </w:r>
    </w:p>
    <w:p>
      <w:pPr>
        <w:spacing w:line="560" w:lineRule="exact"/>
        <w:ind w:firstLine="600" w:firstLineChars="200"/>
        <w:rPr>
          <w:rFonts w:hint="eastAsia" w:ascii="仿宋" w:hAnsi="仿宋" w:eastAsia="仿宋" w:cs="仿宋"/>
          <w:color w:val="000000"/>
          <w:kern w:val="0"/>
          <w:sz w:val="30"/>
          <w:szCs w:val="30"/>
          <w:shd w:val="clear" w:color="auto" w:fill="FFFFFF"/>
          <w:lang w:val="en-US" w:eastAsia="zh-CN"/>
        </w:rPr>
      </w:pPr>
      <w:r>
        <w:rPr>
          <w:rFonts w:hint="eastAsia" w:ascii="仿宋" w:hAnsi="仿宋" w:eastAsia="仿宋" w:cs="仿宋"/>
          <w:color w:val="000000"/>
          <w:kern w:val="0"/>
          <w:sz w:val="30"/>
          <w:szCs w:val="30"/>
          <w:shd w:val="clear" w:color="auto" w:fill="FFFFFF"/>
          <w:lang w:val="zh-CN" w:eastAsia="zh-CN"/>
        </w:rPr>
        <w:t>部门预算绩效评价制度建设、资金管理方面有待加强，</w:t>
      </w:r>
      <w:r>
        <w:rPr>
          <w:rFonts w:hint="eastAsia" w:ascii="仿宋" w:hAnsi="仿宋" w:eastAsia="仿宋" w:cs="仿宋"/>
          <w:color w:val="000000"/>
          <w:kern w:val="0"/>
          <w:sz w:val="30"/>
          <w:szCs w:val="30"/>
          <w:shd w:val="clear" w:color="auto" w:fill="FFFFFF"/>
          <w:lang w:val="en-US" w:eastAsia="zh-CN"/>
        </w:rPr>
        <w:t>规章制度和内部控制机制不能完全满足单位的管理和发展需求。管理创新理念不足，在管理革新、制度改进和内控信息系统建设等方面亟待加强。</w:t>
      </w:r>
    </w:p>
    <w:p>
      <w:pPr>
        <w:spacing w:line="560" w:lineRule="exact"/>
        <w:ind w:firstLine="600" w:firstLineChars="200"/>
        <w:rPr>
          <w:rFonts w:hint="eastAsia" w:ascii="仿宋" w:hAnsi="仿宋" w:eastAsia="仿宋" w:cs="仿宋"/>
          <w:color w:val="000000"/>
          <w:kern w:val="0"/>
          <w:sz w:val="30"/>
          <w:szCs w:val="30"/>
          <w:shd w:val="clear" w:color="auto" w:fill="FFFFFF"/>
          <w:lang w:val="en-US" w:eastAsia="zh-CN"/>
        </w:rPr>
      </w:pPr>
      <w:r>
        <w:rPr>
          <w:rFonts w:hint="eastAsia" w:ascii="仿宋" w:hAnsi="仿宋" w:eastAsia="仿宋" w:cs="仿宋"/>
          <w:color w:val="000000"/>
          <w:kern w:val="0"/>
          <w:sz w:val="30"/>
          <w:szCs w:val="30"/>
          <w:shd w:val="clear" w:color="auto" w:fill="FFFFFF"/>
          <w:lang w:val="zh-CN" w:eastAsia="zh-CN"/>
        </w:rPr>
        <w:t>（三）改进建议</w:t>
      </w:r>
    </w:p>
    <w:p>
      <w:pPr>
        <w:spacing w:line="560" w:lineRule="exact"/>
        <w:ind w:firstLine="600" w:firstLineChars="200"/>
        <w:rPr>
          <w:rFonts w:hint="eastAsia" w:ascii="仿宋" w:hAnsi="仿宋" w:eastAsia="仿宋" w:cs="仿宋"/>
          <w:color w:val="000000"/>
          <w:kern w:val="0"/>
          <w:sz w:val="30"/>
          <w:szCs w:val="30"/>
          <w:shd w:val="clear" w:color="auto" w:fill="FFFFFF"/>
          <w:lang w:val="en-US" w:eastAsia="zh-CN"/>
        </w:rPr>
      </w:pPr>
      <w:r>
        <w:rPr>
          <w:rFonts w:hint="eastAsia" w:ascii="仿宋" w:hAnsi="仿宋" w:eastAsia="仿宋" w:cs="仿宋"/>
          <w:color w:val="000000"/>
          <w:kern w:val="0"/>
          <w:sz w:val="30"/>
          <w:szCs w:val="30"/>
          <w:shd w:val="clear" w:color="auto" w:fill="FFFFFF"/>
          <w:lang w:val="en-US" w:eastAsia="zh-CN"/>
        </w:rPr>
        <w:t>继续完善和改进规章制度和内部控制机制，继续细化财政预算项目，加强财政预算的执行，加强财务管理，统筹安排财政拨款和自有经营资金计划，力求均衡执行经费支出。积极发挥地质专业优势，为四川省经济建设发展的需要提供矿产资源保障，继续为国家地质勘查工作做出应有的贡献。</w:t>
      </w:r>
    </w:p>
    <w:p>
      <w:pPr>
        <w:spacing w:line="560" w:lineRule="exact"/>
        <w:rPr>
          <w:rFonts w:hint="eastAsia" w:ascii="仿宋" w:hAnsi="仿宋" w:eastAsia="仿宋" w:cs="仿宋"/>
          <w:color w:val="000000"/>
          <w:kern w:val="0"/>
          <w:sz w:val="30"/>
          <w:szCs w:val="30"/>
          <w:shd w:val="clear" w:color="auto" w:fill="FFFFFF"/>
          <w:lang w:val="zh-CN" w:eastAsia="zh-CN"/>
        </w:rPr>
      </w:pPr>
    </w:p>
    <w:p>
      <w:pPr>
        <w:spacing w:line="560" w:lineRule="exact"/>
        <w:rPr>
          <w:rFonts w:hint="eastAsia" w:ascii="仿宋" w:hAnsi="仿宋" w:eastAsia="仿宋" w:cs="仿宋"/>
          <w:color w:val="000000"/>
          <w:kern w:val="0"/>
          <w:sz w:val="30"/>
          <w:szCs w:val="30"/>
          <w:shd w:val="clear" w:color="auto" w:fill="FFFFFF"/>
          <w:lang w:val="en-US" w:eastAsia="zh-CN"/>
        </w:rPr>
      </w:pPr>
      <w:r>
        <w:rPr>
          <w:rFonts w:hint="eastAsia" w:ascii="仿宋" w:hAnsi="仿宋" w:eastAsia="仿宋" w:cs="仿宋"/>
          <w:color w:val="000000"/>
          <w:kern w:val="0"/>
          <w:sz w:val="30"/>
          <w:szCs w:val="30"/>
          <w:shd w:val="clear" w:color="auto" w:fill="FFFFFF"/>
          <w:lang w:val="en-US" w:eastAsia="zh-CN"/>
        </w:rPr>
        <w:t>附件：2019年度省级部门整体支出绩效评价指标体系（适用于专项预算小于1亿的部门）</w:t>
      </w:r>
    </w:p>
    <w:p>
      <w:pPr>
        <w:spacing w:line="560" w:lineRule="exact"/>
        <w:rPr>
          <w:rFonts w:hint="eastAsia" w:ascii="仿宋" w:hAnsi="仿宋" w:eastAsia="仿宋" w:cs="仿宋"/>
          <w:color w:val="000000"/>
          <w:kern w:val="0"/>
          <w:sz w:val="30"/>
          <w:szCs w:val="30"/>
          <w:shd w:val="clear" w:color="auto" w:fill="FFFFFF"/>
          <w:lang w:val="en-US" w:eastAsia="zh-CN"/>
        </w:rPr>
      </w:pPr>
    </w:p>
    <w:p>
      <w:pPr>
        <w:spacing w:line="560" w:lineRule="exact"/>
        <w:rPr>
          <w:rFonts w:hint="eastAsia" w:ascii="仿宋" w:hAnsi="仿宋" w:eastAsia="仿宋" w:cs="仿宋"/>
          <w:color w:val="000000"/>
          <w:kern w:val="0"/>
          <w:sz w:val="30"/>
          <w:szCs w:val="30"/>
          <w:shd w:val="clear" w:color="auto" w:fill="FFFFFF"/>
          <w:lang w:val="en-US" w:eastAsia="zh-CN"/>
        </w:rPr>
      </w:pPr>
    </w:p>
    <w:p>
      <w:pPr>
        <w:spacing w:line="560" w:lineRule="exact"/>
        <w:rPr>
          <w:rFonts w:hint="eastAsia" w:ascii="仿宋" w:hAnsi="仿宋" w:eastAsia="仿宋" w:cs="仿宋"/>
          <w:color w:val="000000"/>
          <w:kern w:val="0"/>
          <w:sz w:val="30"/>
          <w:szCs w:val="30"/>
          <w:shd w:val="clear" w:color="auto" w:fill="FFFFFF"/>
          <w:lang w:val="en-US" w:eastAsia="zh-CN"/>
        </w:rPr>
      </w:pPr>
    </w:p>
    <w:p>
      <w:pPr>
        <w:spacing w:line="560" w:lineRule="exact"/>
        <w:jc w:val="right"/>
        <w:rPr>
          <w:rFonts w:hint="eastAsia" w:ascii="仿宋" w:hAnsi="仿宋" w:eastAsia="仿宋" w:cs="仿宋"/>
          <w:color w:val="000000"/>
          <w:kern w:val="0"/>
          <w:sz w:val="30"/>
          <w:szCs w:val="30"/>
          <w:shd w:val="clear" w:color="auto" w:fill="FFFFFF"/>
          <w:lang w:val="en-US" w:eastAsia="zh-CN"/>
        </w:rPr>
      </w:pPr>
      <w:r>
        <w:rPr>
          <w:rFonts w:hint="eastAsia" w:ascii="仿宋" w:hAnsi="仿宋" w:eastAsia="仿宋" w:cs="仿宋"/>
          <w:color w:val="000000"/>
          <w:kern w:val="0"/>
          <w:sz w:val="30"/>
          <w:szCs w:val="30"/>
          <w:shd w:val="clear" w:color="auto" w:fill="FFFFFF"/>
          <w:lang w:val="en-US" w:eastAsia="zh-CN"/>
        </w:rPr>
        <w:t xml:space="preserve">四川省化工地质勘查院 </w:t>
      </w:r>
    </w:p>
    <w:p>
      <w:pPr>
        <w:spacing w:line="560" w:lineRule="exact"/>
        <w:jc w:val="right"/>
        <w:rPr>
          <w:rFonts w:hint="eastAsia" w:ascii="仿宋_GB2312" w:hAnsi="宋体" w:cs="宋体"/>
          <w:color w:val="000000"/>
          <w:kern w:val="0"/>
          <w:sz w:val="30"/>
          <w:szCs w:val="30"/>
          <w:shd w:val="clear" w:color="auto" w:fill="FFFFFF"/>
          <w:lang w:val="en-US" w:eastAsia="zh-CN"/>
        </w:rPr>
      </w:pPr>
      <w:r>
        <w:rPr>
          <w:rFonts w:hint="eastAsia" w:ascii="仿宋" w:hAnsi="仿宋" w:eastAsia="仿宋" w:cs="仿宋"/>
          <w:color w:val="000000"/>
          <w:kern w:val="0"/>
          <w:sz w:val="30"/>
          <w:szCs w:val="30"/>
          <w:shd w:val="clear" w:color="auto" w:fill="FFFFFF"/>
          <w:lang w:val="en-US" w:eastAsia="zh-CN"/>
        </w:rPr>
        <w:t>2020年4月16日</w:t>
      </w:r>
      <w:r>
        <w:rPr>
          <w:rFonts w:hint="eastAsia" w:ascii="仿宋_GB2312" w:hAnsi="宋体" w:cs="宋体"/>
          <w:color w:val="000000"/>
          <w:kern w:val="0"/>
          <w:sz w:val="30"/>
          <w:szCs w:val="30"/>
          <w:shd w:val="clear" w:color="auto" w:fill="FFFFFF"/>
          <w:lang w:val="en-US" w:eastAsia="zh-CN"/>
        </w:rPr>
        <w:t xml:space="preserve">  </w:t>
      </w:r>
    </w:p>
    <w:p>
      <w:pPr>
        <w:widowControl/>
        <w:adjustRightInd w:val="0"/>
        <w:snapToGrid w:val="0"/>
        <w:spacing w:line="580" w:lineRule="exact"/>
        <w:ind w:firstLine="420" w:firstLineChars="200"/>
        <w:contextualSpacing/>
        <w:jc w:val="right"/>
        <w:rPr>
          <w:rFonts w:eastAsia="方正仿宋简体"/>
          <w:szCs w:val="32"/>
        </w:rPr>
      </w:pPr>
    </w:p>
    <w:p>
      <w:pPr>
        <w:widowControl/>
        <w:adjustRightInd w:val="0"/>
        <w:snapToGrid w:val="0"/>
        <w:spacing w:line="580" w:lineRule="exact"/>
        <w:contextualSpacing/>
        <w:jc w:val="both"/>
        <w:rPr>
          <w:rFonts w:eastAsia="方正仿宋简体"/>
          <w:szCs w:val="32"/>
        </w:rPr>
      </w:pPr>
    </w:p>
    <w:p>
      <w:pPr>
        <w:widowControl/>
        <w:adjustRightInd w:val="0"/>
        <w:snapToGrid w:val="0"/>
        <w:spacing w:line="580" w:lineRule="exact"/>
        <w:contextualSpacing/>
        <w:jc w:val="both"/>
        <w:rPr>
          <w:rFonts w:eastAsia="方正仿宋简体"/>
          <w:szCs w:val="32"/>
        </w:rPr>
      </w:pPr>
    </w:p>
    <w:p>
      <w:pPr>
        <w:widowControl/>
        <w:adjustRightInd w:val="0"/>
        <w:snapToGrid w:val="0"/>
        <w:spacing w:line="580" w:lineRule="exact"/>
        <w:contextualSpacing/>
        <w:jc w:val="both"/>
        <w:rPr>
          <w:rFonts w:eastAsia="方正仿宋简体"/>
          <w:szCs w:val="32"/>
        </w:rPr>
      </w:pPr>
    </w:p>
    <w:p>
      <w:pPr>
        <w:widowControl/>
        <w:adjustRightInd w:val="0"/>
        <w:snapToGrid w:val="0"/>
        <w:spacing w:line="580" w:lineRule="exact"/>
        <w:contextualSpacing/>
        <w:jc w:val="both"/>
        <w:rPr>
          <w:rFonts w:eastAsia="方正仿宋简体"/>
          <w:szCs w:val="32"/>
        </w:rPr>
      </w:pPr>
    </w:p>
    <w:p>
      <w:pPr>
        <w:widowControl/>
        <w:adjustRightInd w:val="0"/>
        <w:snapToGrid w:val="0"/>
        <w:spacing w:line="580" w:lineRule="exact"/>
        <w:contextualSpacing/>
        <w:jc w:val="both"/>
        <w:rPr>
          <w:rFonts w:eastAsia="方正仿宋简体"/>
          <w:szCs w:val="32"/>
        </w:rPr>
      </w:pPr>
    </w:p>
    <w:p>
      <w:pPr>
        <w:widowControl/>
        <w:adjustRightInd w:val="0"/>
        <w:snapToGrid w:val="0"/>
        <w:spacing w:line="580" w:lineRule="exact"/>
        <w:contextualSpacing/>
        <w:jc w:val="both"/>
        <w:rPr>
          <w:rFonts w:eastAsia="方正仿宋简体"/>
          <w:szCs w:val="32"/>
        </w:rPr>
      </w:pPr>
    </w:p>
    <w:p>
      <w:pPr>
        <w:widowControl/>
        <w:adjustRightInd w:val="0"/>
        <w:snapToGrid w:val="0"/>
        <w:spacing w:line="580" w:lineRule="exact"/>
        <w:contextualSpacing/>
        <w:jc w:val="both"/>
        <w:rPr>
          <w:rFonts w:eastAsia="方正仿宋简体"/>
          <w:szCs w:val="32"/>
        </w:rPr>
      </w:pPr>
    </w:p>
    <w:p>
      <w:pPr>
        <w:widowControl/>
        <w:adjustRightInd w:val="0"/>
        <w:snapToGrid w:val="0"/>
        <w:spacing w:line="580" w:lineRule="exact"/>
        <w:contextualSpacing/>
        <w:jc w:val="both"/>
        <w:rPr>
          <w:rFonts w:eastAsia="方正仿宋简体"/>
          <w:szCs w:val="32"/>
        </w:rPr>
      </w:pPr>
    </w:p>
    <w:p>
      <w:pPr>
        <w:widowControl/>
        <w:adjustRightInd w:val="0"/>
        <w:snapToGrid w:val="0"/>
        <w:spacing w:line="580" w:lineRule="exact"/>
        <w:contextualSpacing/>
        <w:jc w:val="both"/>
        <w:rPr>
          <w:rFonts w:eastAsia="方正仿宋简体"/>
          <w:szCs w:val="32"/>
        </w:rPr>
      </w:pPr>
    </w:p>
    <w:p>
      <w:pPr>
        <w:widowControl/>
        <w:adjustRightInd w:val="0"/>
        <w:snapToGrid w:val="0"/>
        <w:spacing w:line="580" w:lineRule="exact"/>
        <w:contextualSpacing/>
        <w:jc w:val="both"/>
        <w:rPr>
          <w:rFonts w:eastAsia="方正仿宋简体"/>
          <w:szCs w:val="32"/>
        </w:rPr>
      </w:pPr>
    </w:p>
    <w:p>
      <w:pPr>
        <w:widowControl/>
        <w:adjustRightInd w:val="0"/>
        <w:snapToGrid w:val="0"/>
        <w:spacing w:line="580" w:lineRule="exact"/>
        <w:contextualSpacing/>
        <w:jc w:val="both"/>
        <w:rPr>
          <w:rFonts w:eastAsia="方正仿宋简体"/>
          <w:szCs w:val="32"/>
        </w:rPr>
      </w:pPr>
    </w:p>
    <w:p>
      <w:pPr>
        <w:widowControl/>
        <w:adjustRightInd w:val="0"/>
        <w:snapToGrid w:val="0"/>
        <w:spacing w:line="580" w:lineRule="exact"/>
        <w:contextualSpacing/>
        <w:jc w:val="both"/>
        <w:rPr>
          <w:rFonts w:eastAsia="方正仿宋简体"/>
          <w:szCs w:val="32"/>
        </w:rPr>
      </w:pPr>
    </w:p>
    <w:p>
      <w:pPr>
        <w:widowControl/>
        <w:adjustRightInd w:val="0"/>
        <w:snapToGrid w:val="0"/>
        <w:spacing w:line="580" w:lineRule="exact"/>
        <w:contextualSpacing/>
        <w:jc w:val="both"/>
        <w:rPr>
          <w:rFonts w:eastAsia="方正仿宋简体"/>
          <w:szCs w:val="32"/>
        </w:rPr>
      </w:pPr>
    </w:p>
    <w:p>
      <w:pPr>
        <w:widowControl/>
        <w:adjustRightInd w:val="0"/>
        <w:snapToGrid w:val="0"/>
        <w:spacing w:line="580" w:lineRule="exact"/>
        <w:contextualSpacing/>
        <w:jc w:val="both"/>
        <w:rPr>
          <w:rFonts w:eastAsia="方正仿宋简体"/>
          <w:szCs w:val="32"/>
        </w:rPr>
      </w:pPr>
    </w:p>
    <w:p>
      <w:pPr>
        <w:widowControl/>
        <w:adjustRightInd w:val="0"/>
        <w:snapToGrid w:val="0"/>
        <w:spacing w:line="580" w:lineRule="exact"/>
        <w:contextualSpacing/>
        <w:jc w:val="both"/>
        <w:rPr>
          <w:rFonts w:eastAsia="方正仿宋简体"/>
          <w:szCs w:val="32"/>
        </w:rPr>
      </w:pPr>
    </w:p>
    <w:tbl>
      <w:tblPr>
        <w:tblStyle w:val="10"/>
        <w:tblW w:w="5000" w:type="pct"/>
        <w:tblInd w:w="0" w:type="dxa"/>
        <w:tblLayout w:type="autofit"/>
        <w:tblCellMar>
          <w:top w:w="0" w:type="dxa"/>
          <w:left w:w="0" w:type="dxa"/>
          <w:bottom w:w="0" w:type="dxa"/>
          <w:right w:w="0" w:type="dxa"/>
        </w:tblCellMar>
      </w:tblPr>
      <w:tblGrid>
        <w:gridCol w:w="1394"/>
        <w:gridCol w:w="1279"/>
        <w:gridCol w:w="1135"/>
        <w:gridCol w:w="565"/>
        <w:gridCol w:w="655"/>
        <w:gridCol w:w="3308"/>
      </w:tblGrid>
      <w:tr>
        <w:tblPrEx>
          <w:tblCellMar>
            <w:top w:w="0" w:type="dxa"/>
            <w:left w:w="0" w:type="dxa"/>
            <w:bottom w:w="0" w:type="dxa"/>
            <w:right w:w="0" w:type="dxa"/>
          </w:tblCellMar>
        </w:tblPrEx>
        <w:trPr>
          <w:trHeight w:val="960" w:hRule="atLeast"/>
        </w:trPr>
        <w:tc>
          <w:tcPr>
            <w:tcW w:w="5000" w:type="pct"/>
            <w:gridSpan w:val="6"/>
            <w:tcBorders>
              <w:top w:val="nil"/>
              <w:left w:val="nil"/>
              <w:bottom w:val="single" w:color="000000" w:sz="4" w:space="0"/>
              <w:right w:val="nil"/>
            </w:tcBorders>
            <w:noWrap w:val="0"/>
            <w:tcMar>
              <w:top w:w="15" w:type="dxa"/>
              <w:left w:w="15" w:type="dxa"/>
              <w:right w:w="15" w:type="dxa"/>
            </w:tcMar>
            <w:vAlign w:val="center"/>
          </w:tcPr>
          <w:p>
            <w:pPr>
              <w:widowControl/>
              <w:textAlignment w:val="center"/>
              <w:rPr>
                <w:rFonts w:hint="eastAsia" w:ascii="仿宋" w:hAnsi="仿宋" w:eastAsia="仿宋" w:cs="仿宋"/>
                <w:bCs/>
                <w:color w:val="000000"/>
                <w:kern w:val="0"/>
                <w:szCs w:val="32"/>
                <w:lang w:bidi="ar"/>
              </w:rPr>
            </w:pPr>
            <w:r>
              <w:rPr>
                <w:rFonts w:hint="eastAsia" w:ascii="仿宋" w:hAnsi="仿宋" w:eastAsia="仿宋" w:cs="仿宋"/>
                <w:bCs/>
                <w:color w:val="000000"/>
                <w:kern w:val="0"/>
                <w:szCs w:val="32"/>
                <w:lang w:bidi="ar"/>
              </w:rPr>
              <w:t>附件</w:t>
            </w:r>
          </w:p>
          <w:p>
            <w:pPr>
              <w:widowControl/>
              <w:textAlignment w:val="center"/>
              <w:rPr>
                <w:rFonts w:hint="eastAsia" w:ascii="仿宋" w:hAnsi="仿宋" w:eastAsia="仿宋" w:cs="仿宋"/>
                <w:b/>
                <w:color w:val="000000"/>
                <w:kern w:val="0"/>
                <w:szCs w:val="32"/>
                <w:lang w:bidi="ar"/>
              </w:rPr>
            </w:pPr>
          </w:p>
          <w:p>
            <w:pPr>
              <w:widowControl/>
              <w:textAlignment w:val="center"/>
              <w:rPr>
                <w:rFonts w:hint="eastAsia" w:ascii="仿宋" w:hAnsi="仿宋" w:eastAsia="仿宋" w:cs="仿宋"/>
                <w:b/>
                <w:color w:val="000000"/>
                <w:szCs w:val="32"/>
              </w:rPr>
            </w:pPr>
            <w:r>
              <w:rPr>
                <w:rFonts w:hint="eastAsia" w:ascii="仿宋" w:hAnsi="仿宋" w:eastAsia="仿宋" w:cs="仿宋"/>
                <w:b/>
                <w:color w:val="000000"/>
                <w:kern w:val="0"/>
                <w:szCs w:val="32"/>
                <w:lang w:val="en-US" w:eastAsia="zh-CN" w:bidi="ar"/>
              </w:rPr>
              <w:t>2019</w:t>
            </w:r>
            <w:r>
              <w:rPr>
                <w:rFonts w:hint="eastAsia" w:ascii="仿宋" w:hAnsi="仿宋" w:eastAsia="仿宋" w:cs="仿宋"/>
                <w:b/>
                <w:color w:val="000000"/>
                <w:kern w:val="0"/>
                <w:szCs w:val="32"/>
                <w:lang w:bidi="ar"/>
              </w:rPr>
              <w:t>年度省级部门整体支出绩效评价指标体系（适用于专项预算小于1亿的部门）</w:t>
            </w:r>
          </w:p>
        </w:tc>
      </w:tr>
      <w:tr>
        <w:tblPrEx>
          <w:tblCellMar>
            <w:top w:w="0" w:type="dxa"/>
            <w:left w:w="0" w:type="dxa"/>
            <w:bottom w:w="0" w:type="dxa"/>
            <w:right w:w="0" w:type="dxa"/>
          </w:tblCellMar>
        </w:tblPrEx>
        <w:trPr>
          <w:trHeight w:val="690" w:hRule="atLeast"/>
        </w:trPr>
        <w:tc>
          <w:tcPr>
            <w:tcW w:w="2284"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 w:val="24"/>
              </w:rPr>
            </w:pPr>
            <w:r>
              <w:rPr>
                <w:rFonts w:hint="eastAsia" w:ascii="仿宋" w:hAnsi="仿宋" w:eastAsia="仿宋" w:cs="仿宋"/>
                <w:b/>
                <w:color w:val="000000"/>
                <w:kern w:val="0"/>
                <w:sz w:val="24"/>
                <w:lang w:bidi="ar"/>
              </w:rPr>
              <w:t>绩效指标</w:t>
            </w:r>
          </w:p>
        </w:tc>
        <w:tc>
          <w:tcPr>
            <w:tcW w:w="339"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 w:val="24"/>
              </w:rPr>
            </w:pPr>
            <w:r>
              <w:rPr>
                <w:rFonts w:hint="eastAsia" w:ascii="仿宋" w:hAnsi="仿宋" w:eastAsia="仿宋" w:cs="仿宋"/>
                <w:b/>
                <w:color w:val="000000"/>
                <w:kern w:val="0"/>
                <w:sz w:val="24"/>
                <w:lang w:bidi="ar"/>
              </w:rPr>
              <w:t>指标分值</w:t>
            </w:r>
          </w:p>
        </w:tc>
        <w:tc>
          <w:tcPr>
            <w:tcW w:w="39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 w:val="24"/>
              </w:rPr>
            </w:pPr>
            <w:r>
              <w:rPr>
                <w:rFonts w:hint="eastAsia" w:ascii="仿宋" w:hAnsi="仿宋" w:eastAsia="仿宋" w:cs="仿宋"/>
                <w:b/>
                <w:color w:val="000000"/>
                <w:kern w:val="0"/>
                <w:sz w:val="24"/>
                <w:lang w:bidi="ar"/>
              </w:rPr>
              <w:t>得分</w:t>
            </w:r>
          </w:p>
        </w:tc>
        <w:tc>
          <w:tcPr>
            <w:tcW w:w="198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 w:val="24"/>
              </w:rPr>
            </w:pPr>
            <w:r>
              <w:rPr>
                <w:rFonts w:hint="eastAsia" w:ascii="仿宋" w:hAnsi="仿宋" w:eastAsia="仿宋" w:cs="仿宋"/>
                <w:b/>
                <w:color w:val="000000"/>
                <w:kern w:val="0"/>
                <w:sz w:val="24"/>
                <w:lang w:bidi="ar"/>
              </w:rPr>
              <w:t>备注</w:t>
            </w:r>
          </w:p>
        </w:tc>
      </w:tr>
      <w:tr>
        <w:tblPrEx>
          <w:tblCellMar>
            <w:top w:w="0" w:type="dxa"/>
            <w:left w:w="0" w:type="dxa"/>
            <w:bottom w:w="0" w:type="dxa"/>
            <w:right w:w="0" w:type="dxa"/>
          </w:tblCellMar>
        </w:tblPrEx>
        <w:trPr>
          <w:trHeight w:val="480" w:hRule="atLeast"/>
        </w:trPr>
        <w:tc>
          <w:tcPr>
            <w:tcW w:w="83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 w:val="24"/>
              </w:rPr>
            </w:pPr>
            <w:r>
              <w:rPr>
                <w:rFonts w:hint="eastAsia" w:ascii="仿宋" w:hAnsi="仿宋" w:eastAsia="仿宋" w:cs="仿宋"/>
                <w:b/>
                <w:color w:val="000000"/>
                <w:kern w:val="0"/>
                <w:sz w:val="24"/>
                <w:lang w:bidi="ar"/>
              </w:rPr>
              <w:t>一级指标</w:t>
            </w:r>
          </w:p>
        </w:tc>
        <w:tc>
          <w:tcPr>
            <w:tcW w:w="7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 w:val="24"/>
              </w:rPr>
            </w:pPr>
            <w:r>
              <w:rPr>
                <w:rFonts w:hint="eastAsia" w:ascii="仿宋" w:hAnsi="仿宋" w:eastAsia="仿宋" w:cs="仿宋"/>
                <w:b/>
                <w:color w:val="000000"/>
                <w:kern w:val="0"/>
                <w:sz w:val="24"/>
                <w:lang w:bidi="ar"/>
              </w:rPr>
              <w:t>二级指标</w:t>
            </w:r>
          </w:p>
        </w:tc>
        <w:tc>
          <w:tcPr>
            <w:tcW w:w="6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 w:val="24"/>
              </w:rPr>
            </w:pPr>
            <w:r>
              <w:rPr>
                <w:rFonts w:hint="eastAsia" w:ascii="仿宋" w:hAnsi="仿宋" w:eastAsia="仿宋" w:cs="仿宋"/>
                <w:b/>
                <w:color w:val="000000"/>
                <w:kern w:val="0"/>
                <w:sz w:val="24"/>
                <w:lang w:bidi="ar"/>
              </w:rPr>
              <w:t>三级指标</w:t>
            </w:r>
          </w:p>
        </w:tc>
        <w:tc>
          <w:tcPr>
            <w:tcW w:w="33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color w:val="000000"/>
                <w:sz w:val="24"/>
              </w:rPr>
            </w:pPr>
          </w:p>
        </w:tc>
        <w:tc>
          <w:tcPr>
            <w:tcW w:w="39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color w:val="000000"/>
                <w:sz w:val="24"/>
              </w:rPr>
            </w:pPr>
          </w:p>
        </w:tc>
        <w:tc>
          <w:tcPr>
            <w:tcW w:w="198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color w:val="000000"/>
                <w:sz w:val="24"/>
              </w:rPr>
            </w:pPr>
          </w:p>
        </w:tc>
      </w:tr>
      <w:tr>
        <w:tblPrEx>
          <w:tblCellMar>
            <w:top w:w="0" w:type="dxa"/>
            <w:left w:w="0" w:type="dxa"/>
            <w:bottom w:w="0" w:type="dxa"/>
            <w:right w:w="0" w:type="dxa"/>
          </w:tblCellMar>
        </w:tblPrEx>
        <w:trPr>
          <w:trHeight w:val="520" w:hRule="atLeast"/>
        </w:trPr>
        <w:tc>
          <w:tcPr>
            <w:tcW w:w="83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部门预算管理（60分）</w:t>
            </w:r>
          </w:p>
        </w:tc>
        <w:tc>
          <w:tcPr>
            <w:tcW w:w="76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预算编制（24分）</w:t>
            </w:r>
          </w:p>
        </w:tc>
        <w:tc>
          <w:tcPr>
            <w:tcW w:w="6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目标制定</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8</w:t>
            </w:r>
          </w:p>
        </w:tc>
        <w:tc>
          <w:tcPr>
            <w:tcW w:w="3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8</w:t>
            </w:r>
          </w:p>
        </w:tc>
        <w:tc>
          <w:tcPr>
            <w:tcW w:w="19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1320" w:hRule="atLeast"/>
        </w:trPr>
        <w:tc>
          <w:tcPr>
            <w:tcW w:w="83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4"/>
              </w:rPr>
            </w:pPr>
          </w:p>
        </w:tc>
        <w:tc>
          <w:tcPr>
            <w:tcW w:w="76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4"/>
              </w:rPr>
            </w:pPr>
          </w:p>
        </w:tc>
        <w:tc>
          <w:tcPr>
            <w:tcW w:w="6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目标实现</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8</w:t>
            </w:r>
          </w:p>
        </w:tc>
        <w:tc>
          <w:tcPr>
            <w:tcW w:w="3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kern w:val="0"/>
                <w:sz w:val="24"/>
                <w:lang w:val="en-US" w:eastAsia="zh-CN" w:bidi="ar"/>
              </w:rPr>
              <w:t>7</w:t>
            </w:r>
          </w:p>
        </w:tc>
        <w:tc>
          <w:tcPr>
            <w:tcW w:w="19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评价组评价范围为部门机关及至少2个下属单位的所有纳入绩效目标管理的部门预算项目，部门自评范围为部门所有纳入绩效目标管理的部门预算项目</w:t>
            </w:r>
          </w:p>
        </w:tc>
      </w:tr>
      <w:tr>
        <w:tblPrEx>
          <w:tblCellMar>
            <w:top w:w="0" w:type="dxa"/>
            <w:left w:w="0" w:type="dxa"/>
            <w:bottom w:w="0" w:type="dxa"/>
            <w:right w:w="0" w:type="dxa"/>
          </w:tblCellMar>
        </w:tblPrEx>
        <w:trPr>
          <w:trHeight w:val="500" w:hRule="atLeast"/>
        </w:trPr>
        <w:tc>
          <w:tcPr>
            <w:tcW w:w="83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4"/>
              </w:rPr>
            </w:pPr>
          </w:p>
        </w:tc>
        <w:tc>
          <w:tcPr>
            <w:tcW w:w="76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4"/>
              </w:rPr>
            </w:pPr>
          </w:p>
        </w:tc>
        <w:tc>
          <w:tcPr>
            <w:tcW w:w="6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编制准确</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8</w:t>
            </w:r>
          </w:p>
        </w:tc>
        <w:tc>
          <w:tcPr>
            <w:tcW w:w="3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kern w:val="0"/>
                <w:sz w:val="24"/>
                <w:lang w:val="en-US" w:eastAsia="zh-CN" w:bidi="ar"/>
              </w:rPr>
              <w:t>7</w:t>
            </w:r>
          </w:p>
        </w:tc>
        <w:tc>
          <w:tcPr>
            <w:tcW w:w="19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480" w:hRule="atLeast"/>
        </w:trPr>
        <w:tc>
          <w:tcPr>
            <w:tcW w:w="83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4"/>
              </w:rPr>
            </w:pPr>
          </w:p>
        </w:tc>
        <w:tc>
          <w:tcPr>
            <w:tcW w:w="76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 xml:space="preserve">                                                                             预算执行（20分）</w:t>
            </w:r>
          </w:p>
        </w:tc>
        <w:tc>
          <w:tcPr>
            <w:tcW w:w="6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支出控制</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6</w:t>
            </w:r>
          </w:p>
        </w:tc>
        <w:tc>
          <w:tcPr>
            <w:tcW w:w="3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6</w:t>
            </w:r>
          </w:p>
        </w:tc>
        <w:tc>
          <w:tcPr>
            <w:tcW w:w="19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440" w:hRule="atLeast"/>
        </w:trPr>
        <w:tc>
          <w:tcPr>
            <w:tcW w:w="83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4"/>
              </w:rPr>
            </w:pPr>
          </w:p>
        </w:tc>
        <w:tc>
          <w:tcPr>
            <w:tcW w:w="76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4"/>
              </w:rPr>
            </w:pPr>
          </w:p>
        </w:tc>
        <w:tc>
          <w:tcPr>
            <w:tcW w:w="6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动态调整</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8</w:t>
            </w:r>
          </w:p>
        </w:tc>
        <w:tc>
          <w:tcPr>
            <w:tcW w:w="3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8</w:t>
            </w:r>
          </w:p>
        </w:tc>
        <w:tc>
          <w:tcPr>
            <w:tcW w:w="19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480" w:hRule="atLeast"/>
        </w:trPr>
        <w:tc>
          <w:tcPr>
            <w:tcW w:w="83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4"/>
              </w:rPr>
            </w:pPr>
          </w:p>
        </w:tc>
        <w:tc>
          <w:tcPr>
            <w:tcW w:w="76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4"/>
              </w:rPr>
            </w:pPr>
          </w:p>
        </w:tc>
        <w:tc>
          <w:tcPr>
            <w:tcW w:w="6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执行进度</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6</w:t>
            </w:r>
          </w:p>
        </w:tc>
        <w:tc>
          <w:tcPr>
            <w:tcW w:w="3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6</w:t>
            </w:r>
          </w:p>
        </w:tc>
        <w:tc>
          <w:tcPr>
            <w:tcW w:w="19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460" w:hRule="atLeast"/>
        </w:trPr>
        <w:tc>
          <w:tcPr>
            <w:tcW w:w="83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4"/>
              </w:rPr>
            </w:pPr>
          </w:p>
        </w:tc>
        <w:tc>
          <w:tcPr>
            <w:tcW w:w="76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完成结果（16分）</w:t>
            </w:r>
          </w:p>
        </w:tc>
        <w:tc>
          <w:tcPr>
            <w:tcW w:w="6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预算完成</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8</w:t>
            </w:r>
          </w:p>
        </w:tc>
        <w:tc>
          <w:tcPr>
            <w:tcW w:w="3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8</w:t>
            </w:r>
          </w:p>
        </w:tc>
        <w:tc>
          <w:tcPr>
            <w:tcW w:w="19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480" w:hRule="atLeast"/>
        </w:trPr>
        <w:tc>
          <w:tcPr>
            <w:tcW w:w="83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4"/>
              </w:rPr>
            </w:pPr>
          </w:p>
        </w:tc>
        <w:tc>
          <w:tcPr>
            <w:tcW w:w="76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4"/>
              </w:rPr>
            </w:pPr>
          </w:p>
        </w:tc>
        <w:tc>
          <w:tcPr>
            <w:tcW w:w="6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违规记录</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8</w:t>
            </w:r>
          </w:p>
        </w:tc>
        <w:tc>
          <w:tcPr>
            <w:tcW w:w="3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8</w:t>
            </w:r>
          </w:p>
        </w:tc>
        <w:tc>
          <w:tcPr>
            <w:tcW w:w="19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1740" w:hRule="atLeast"/>
        </w:trPr>
        <w:tc>
          <w:tcPr>
            <w:tcW w:w="83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专项预算管理（20分）</w:t>
            </w:r>
          </w:p>
        </w:tc>
        <w:tc>
          <w:tcPr>
            <w:tcW w:w="4163"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15分(因我院无100万以上的专用项目，按照要求未实施部门项目预算绩效目标的评价工作)</w:t>
            </w:r>
          </w:p>
        </w:tc>
      </w:tr>
      <w:tr>
        <w:tblPrEx>
          <w:tblCellMar>
            <w:top w:w="0" w:type="dxa"/>
            <w:left w:w="0" w:type="dxa"/>
            <w:bottom w:w="0" w:type="dxa"/>
            <w:right w:w="0" w:type="dxa"/>
          </w:tblCellMar>
        </w:tblPrEx>
        <w:trPr>
          <w:trHeight w:val="600" w:hRule="atLeast"/>
        </w:trPr>
        <w:tc>
          <w:tcPr>
            <w:tcW w:w="83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绩效结果应用（10分）</w:t>
            </w:r>
          </w:p>
        </w:tc>
        <w:tc>
          <w:tcPr>
            <w:tcW w:w="767" w:type="pc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信息公开（2分）</w:t>
            </w:r>
          </w:p>
        </w:tc>
        <w:tc>
          <w:tcPr>
            <w:tcW w:w="6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自评公开</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2</w:t>
            </w:r>
          </w:p>
        </w:tc>
        <w:tc>
          <w:tcPr>
            <w:tcW w:w="3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2</w:t>
            </w:r>
          </w:p>
        </w:tc>
        <w:tc>
          <w:tcPr>
            <w:tcW w:w="19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460" w:hRule="atLeast"/>
        </w:trPr>
        <w:tc>
          <w:tcPr>
            <w:tcW w:w="83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4"/>
              </w:rPr>
            </w:pPr>
          </w:p>
        </w:tc>
        <w:tc>
          <w:tcPr>
            <w:tcW w:w="76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整改反馈（8分）</w:t>
            </w:r>
          </w:p>
        </w:tc>
        <w:tc>
          <w:tcPr>
            <w:tcW w:w="6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结果整改</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4</w:t>
            </w:r>
          </w:p>
        </w:tc>
        <w:tc>
          <w:tcPr>
            <w:tcW w:w="3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4</w:t>
            </w:r>
          </w:p>
        </w:tc>
        <w:tc>
          <w:tcPr>
            <w:tcW w:w="19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440" w:hRule="atLeast"/>
        </w:trPr>
        <w:tc>
          <w:tcPr>
            <w:tcW w:w="83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4"/>
              </w:rPr>
            </w:pPr>
          </w:p>
        </w:tc>
        <w:tc>
          <w:tcPr>
            <w:tcW w:w="76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4"/>
              </w:rPr>
            </w:pPr>
          </w:p>
        </w:tc>
        <w:tc>
          <w:tcPr>
            <w:tcW w:w="6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应用反馈</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4</w:t>
            </w:r>
          </w:p>
        </w:tc>
        <w:tc>
          <w:tcPr>
            <w:tcW w:w="3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4</w:t>
            </w:r>
          </w:p>
        </w:tc>
        <w:tc>
          <w:tcPr>
            <w:tcW w:w="19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660" w:hRule="atLeast"/>
        </w:trPr>
        <w:tc>
          <w:tcPr>
            <w:tcW w:w="83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自评质量（10分）</w:t>
            </w:r>
          </w:p>
        </w:tc>
        <w:tc>
          <w:tcPr>
            <w:tcW w:w="7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自评质量（10分）</w:t>
            </w:r>
          </w:p>
        </w:tc>
        <w:tc>
          <w:tcPr>
            <w:tcW w:w="6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自评准确</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10</w:t>
            </w:r>
          </w:p>
        </w:tc>
        <w:tc>
          <w:tcPr>
            <w:tcW w:w="3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8</w:t>
            </w:r>
          </w:p>
        </w:tc>
        <w:tc>
          <w:tcPr>
            <w:tcW w:w="19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color w:val="000000"/>
                <w:sz w:val="24"/>
              </w:rPr>
            </w:pPr>
          </w:p>
        </w:tc>
      </w:tr>
      <w:tr>
        <w:tblPrEx>
          <w:tblCellMar>
            <w:top w:w="0" w:type="dxa"/>
            <w:left w:w="0" w:type="dxa"/>
            <w:bottom w:w="0" w:type="dxa"/>
            <w:right w:w="0" w:type="dxa"/>
          </w:tblCellMar>
        </w:tblPrEx>
        <w:trPr>
          <w:trHeight w:val="540" w:hRule="atLeast"/>
        </w:trPr>
        <w:tc>
          <w:tcPr>
            <w:tcW w:w="83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合计</w:t>
            </w:r>
          </w:p>
        </w:tc>
        <w:tc>
          <w:tcPr>
            <w:tcW w:w="7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color w:val="000000"/>
                <w:sz w:val="24"/>
              </w:rPr>
            </w:pPr>
          </w:p>
        </w:tc>
        <w:tc>
          <w:tcPr>
            <w:tcW w:w="6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4"/>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100</w:t>
            </w:r>
          </w:p>
        </w:tc>
        <w:tc>
          <w:tcPr>
            <w:tcW w:w="3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kern w:val="0"/>
                <w:sz w:val="24"/>
                <w:lang w:bidi="ar"/>
              </w:rPr>
              <w:t>9</w:t>
            </w:r>
            <w:r>
              <w:rPr>
                <w:rFonts w:hint="eastAsia" w:ascii="仿宋" w:hAnsi="仿宋" w:eastAsia="仿宋" w:cs="仿宋"/>
                <w:color w:val="000000"/>
                <w:kern w:val="0"/>
                <w:sz w:val="24"/>
                <w:lang w:val="en-US" w:eastAsia="zh-CN" w:bidi="ar"/>
              </w:rPr>
              <w:t>1</w:t>
            </w:r>
          </w:p>
        </w:tc>
        <w:tc>
          <w:tcPr>
            <w:tcW w:w="19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color w:val="000000"/>
                <w:sz w:val="24"/>
              </w:rPr>
            </w:pPr>
          </w:p>
        </w:tc>
      </w:tr>
    </w:tbl>
    <w:p>
      <w:pPr>
        <w:widowControl/>
        <w:adjustRightInd w:val="0"/>
        <w:snapToGrid w:val="0"/>
        <w:spacing w:line="580" w:lineRule="exact"/>
        <w:contextualSpacing/>
        <w:rPr>
          <w:rFonts w:eastAsia="方正仿宋简体"/>
          <w:szCs w:val="32"/>
        </w:rPr>
      </w:pPr>
    </w:p>
    <w:p>
      <w:pPr>
        <w:spacing w:line="600" w:lineRule="exact"/>
        <w:jc w:val="center"/>
        <w:outlineLvl w:val="0"/>
        <w:rPr>
          <w:rStyle w:val="14"/>
          <w:rFonts w:ascii="黑体" w:hAnsi="黑体" w:eastAsia="黑体"/>
          <w:b w:val="0"/>
        </w:rPr>
      </w:pPr>
    </w:p>
    <w:p>
      <w:pPr>
        <w:spacing w:line="600" w:lineRule="exact"/>
        <w:jc w:val="center"/>
        <w:outlineLvl w:val="0"/>
        <w:rPr>
          <w:rFonts w:hint="eastAsia" w:ascii="黑体" w:hAnsi="黑体" w:eastAsia="黑体"/>
          <w:color w:val="000000"/>
          <w:sz w:val="44"/>
          <w:szCs w:val="44"/>
        </w:rPr>
      </w:pPr>
      <w:bookmarkStart w:id="93" w:name="_Toc15396618"/>
    </w:p>
    <w:p>
      <w:pPr>
        <w:spacing w:line="600" w:lineRule="exact"/>
        <w:jc w:val="center"/>
        <w:outlineLvl w:val="0"/>
        <w:rPr>
          <w:rStyle w:val="14"/>
          <w:rFonts w:ascii="黑体" w:hAnsi="黑体" w:eastAsia="黑体"/>
          <w:b w:val="0"/>
        </w:rPr>
      </w:pPr>
      <w:bookmarkStart w:id="94" w:name="_Toc21654"/>
      <w:r>
        <w:rPr>
          <w:rFonts w:hint="eastAsia" w:ascii="黑体" w:hAnsi="黑体" w:eastAsia="黑体"/>
          <w:color w:val="000000"/>
          <w:sz w:val="44"/>
          <w:szCs w:val="44"/>
        </w:rPr>
        <w:t>第</w:t>
      </w:r>
      <w:r>
        <w:rPr>
          <w:rStyle w:val="14"/>
          <w:rFonts w:hint="eastAsia" w:ascii="黑体" w:hAnsi="黑体" w:eastAsia="黑体"/>
          <w:b w:val="0"/>
        </w:rPr>
        <w:t>五部分 附表</w:t>
      </w:r>
      <w:bookmarkEnd w:id="89"/>
      <w:bookmarkEnd w:id="93"/>
      <w:bookmarkEnd w:id="94"/>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95" w:name="_Toc15396619"/>
      <w:bookmarkStart w:id="96" w:name="_Toc16908"/>
      <w:r>
        <w:rPr>
          <w:rFonts w:hint="eastAsia" w:ascii="仿宋" w:hAnsi="仿宋" w:eastAsia="仿宋"/>
          <w:b w:val="0"/>
          <w:color w:val="000000"/>
        </w:rPr>
        <w:t>一、收</w:t>
      </w:r>
      <w:r>
        <w:rPr>
          <w:rStyle w:val="15"/>
          <w:rFonts w:hint="eastAsia" w:ascii="仿宋" w:hAnsi="仿宋" w:eastAsia="仿宋"/>
          <w:b w:val="0"/>
          <w:bCs w:val="0"/>
        </w:rPr>
        <w:t>入支出决算总表</w:t>
      </w:r>
      <w:bookmarkEnd w:id="95"/>
      <w:bookmarkEnd w:id="96"/>
    </w:p>
    <w:p>
      <w:pPr>
        <w:pStyle w:val="3"/>
        <w:rPr>
          <w:rFonts w:ascii="仿宋" w:hAnsi="仿宋" w:eastAsia="仿宋"/>
          <w:color w:val="000000"/>
        </w:rPr>
      </w:pPr>
      <w:bookmarkStart w:id="97" w:name="_Toc15396620"/>
      <w:bookmarkStart w:id="98" w:name="_Toc16731"/>
      <w:r>
        <w:rPr>
          <w:rFonts w:hint="eastAsia" w:ascii="仿宋" w:hAnsi="仿宋" w:eastAsia="仿宋"/>
          <w:b w:val="0"/>
          <w:color w:val="000000"/>
        </w:rPr>
        <w:t>二、收</w:t>
      </w:r>
      <w:r>
        <w:rPr>
          <w:rStyle w:val="15"/>
          <w:rFonts w:hint="eastAsia" w:ascii="仿宋" w:hAnsi="仿宋" w:eastAsia="仿宋"/>
          <w:b w:val="0"/>
          <w:bCs w:val="0"/>
        </w:rPr>
        <w:t>入决算表</w:t>
      </w:r>
      <w:bookmarkEnd w:id="97"/>
      <w:bookmarkEnd w:id="98"/>
    </w:p>
    <w:p>
      <w:pPr>
        <w:pStyle w:val="3"/>
        <w:rPr>
          <w:rFonts w:ascii="仿宋" w:hAnsi="仿宋" w:eastAsia="仿宋"/>
          <w:color w:val="000000"/>
        </w:rPr>
      </w:pPr>
      <w:bookmarkStart w:id="99" w:name="_Toc15396621"/>
      <w:bookmarkStart w:id="100" w:name="_Toc14085"/>
      <w:r>
        <w:rPr>
          <w:rStyle w:val="15"/>
          <w:rFonts w:hint="eastAsia" w:ascii="仿宋" w:hAnsi="仿宋" w:eastAsia="仿宋"/>
          <w:b w:val="0"/>
          <w:bCs w:val="0"/>
        </w:rPr>
        <w:t>三、</w:t>
      </w:r>
      <w:r>
        <w:rPr>
          <w:rFonts w:hint="eastAsia" w:ascii="仿宋" w:hAnsi="仿宋" w:eastAsia="仿宋"/>
          <w:b w:val="0"/>
          <w:color w:val="000000"/>
        </w:rPr>
        <w:t>支</w:t>
      </w:r>
      <w:r>
        <w:rPr>
          <w:rStyle w:val="15"/>
          <w:rFonts w:hint="eastAsia" w:ascii="仿宋" w:hAnsi="仿宋" w:eastAsia="仿宋"/>
          <w:b w:val="0"/>
          <w:bCs w:val="0"/>
        </w:rPr>
        <w:t>出决算表</w:t>
      </w:r>
      <w:bookmarkEnd w:id="99"/>
      <w:bookmarkEnd w:id="100"/>
    </w:p>
    <w:p>
      <w:pPr>
        <w:pStyle w:val="3"/>
        <w:rPr>
          <w:rFonts w:ascii="仿宋" w:hAnsi="仿宋" w:eastAsia="仿宋"/>
          <w:b w:val="0"/>
          <w:color w:val="000000"/>
        </w:rPr>
      </w:pPr>
      <w:bookmarkStart w:id="101" w:name="_Toc23346"/>
      <w:bookmarkStart w:id="102" w:name="_Toc15396622"/>
      <w:r>
        <w:rPr>
          <w:rStyle w:val="15"/>
          <w:rFonts w:hint="eastAsia" w:ascii="仿宋" w:hAnsi="仿宋" w:eastAsia="仿宋"/>
          <w:b w:val="0"/>
          <w:bCs w:val="0"/>
        </w:rPr>
        <w:t>四、</w:t>
      </w:r>
      <w:r>
        <w:rPr>
          <w:rFonts w:hint="eastAsia" w:ascii="仿宋" w:hAnsi="仿宋" w:eastAsia="仿宋"/>
          <w:b w:val="0"/>
          <w:color w:val="000000"/>
        </w:rPr>
        <w:t>财</w:t>
      </w:r>
      <w:r>
        <w:rPr>
          <w:rStyle w:val="15"/>
          <w:rFonts w:hint="eastAsia" w:ascii="仿宋" w:hAnsi="仿宋" w:eastAsia="仿宋"/>
          <w:b w:val="0"/>
          <w:bCs w:val="0"/>
        </w:rPr>
        <w:t>政拨款收入支出决算总表</w:t>
      </w:r>
      <w:bookmarkEnd w:id="101"/>
      <w:bookmarkEnd w:id="102"/>
    </w:p>
    <w:p>
      <w:pPr>
        <w:pStyle w:val="3"/>
        <w:rPr>
          <w:rStyle w:val="15"/>
          <w:rFonts w:ascii="仿宋" w:hAnsi="仿宋" w:eastAsia="仿宋"/>
          <w:b w:val="0"/>
          <w:bCs w:val="0"/>
        </w:rPr>
      </w:pPr>
      <w:bookmarkStart w:id="103" w:name="_Toc32605"/>
      <w:r>
        <w:rPr>
          <w:rStyle w:val="15"/>
          <w:rFonts w:hint="eastAsia" w:ascii="仿宋" w:hAnsi="仿宋" w:eastAsia="仿宋"/>
          <w:b w:val="0"/>
          <w:bCs w:val="0"/>
        </w:rPr>
        <w:t>五、</w:t>
      </w:r>
      <w:r>
        <w:rPr>
          <w:rFonts w:hint="eastAsia" w:ascii="仿宋" w:hAnsi="仿宋" w:eastAsia="仿宋"/>
          <w:b w:val="0"/>
          <w:color w:val="000000"/>
        </w:rPr>
        <w:t>财</w:t>
      </w:r>
      <w:r>
        <w:rPr>
          <w:rStyle w:val="15"/>
          <w:rFonts w:hint="eastAsia" w:ascii="仿宋" w:hAnsi="仿宋" w:eastAsia="仿宋"/>
          <w:b w:val="0"/>
          <w:bCs w:val="0"/>
        </w:rPr>
        <w:t>政拨款支出决算明细表</w:t>
      </w:r>
      <w:bookmarkEnd w:id="103"/>
      <w:bookmarkStart w:id="104" w:name="_Toc15396624"/>
    </w:p>
    <w:p>
      <w:pPr>
        <w:pStyle w:val="3"/>
        <w:rPr>
          <w:rFonts w:ascii="仿宋" w:hAnsi="仿宋" w:eastAsia="仿宋"/>
          <w:color w:val="000000"/>
        </w:rPr>
      </w:pPr>
      <w:bookmarkStart w:id="105" w:name="_Toc16442"/>
      <w:r>
        <w:rPr>
          <w:rStyle w:val="15"/>
          <w:rFonts w:hint="eastAsia" w:ascii="仿宋" w:hAnsi="仿宋" w:eastAsia="仿宋"/>
          <w:b w:val="0"/>
          <w:bCs w:val="0"/>
        </w:rPr>
        <w:t>六、</w:t>
      </w:r>
      <w:r>
        <w:rPr>
          <w:rFonts w:hint="eastAsia" w:ascii="仿宋" w:hAnsi="仿宋" w:eastAsia="仿宋"/>
          <w:b w:val="0"/>
          <w:color w:val="000000"/>
        </w:rPr>
        <w:t>一</w:t>
      </w:r>
      <w:r>
        <w:rPr>
          <w:rStyle w:val="15"/>
          <w:rFonts w:hint="eastAsia" w:ascii="仿宋" w:hAnsi="仿宋" w:eastAsia="仿宋"/>
          <w:b w:val="0"/>
          <w:bCs w:val="0"/>
        </w:rPr>
        <w:t>般公共预算财政拨款支出决算表</w:t>
      </w:r>
      <w:bookmarkEnd w:id="104"/>
      <w:bookmarkEnd w:id="105"/>
    </w:p>
    <w:p>
      <w:pPr>
        <w:pStyle w:val="3"/>
        <w:rPr>
          <w:rFonts w:ascii="仿宋" w:hAnsi="仿宋" w:eastAsia="仿宋"/>
          <w:color w:val="000000"/>
        </w:rPr>
      </w:pPr>
      <w:bookmarkStart w:id="106" w:name="_Toc15396625"/>
      <w:bookmarkStart w:id="107" w:name="_Toc5948"/>
      <w:r>
        <w:rPr>
          <w:rStyle w:val="15"/>
          <w:rFonts w:hint="eastAsia" w:ascii="仿宋" w:hAnsi="仿宋" w:eastAsia="仿宋"/>
          <w:b w:val="0"/>
          <w:bCs w:val="0"/>
        </w:rPr>
        <w:t>七、</w:t>
      </w:r>
      <w:r>
        <w:rPr>
          <w:rFonts w:hint="eastAsia" w:ascii="仿宋" w:hAnsi="仿宋" w:eastAsia="仿宋"/>
          <w:b w:val="0"/>
          <w:color w:val="000000"/>
        </w:rPr>
        <w:t>一</w:t>
      </w:r>
      <w:r>
        <w:rPr>
          <w:rStyle w:val="15"/>
          <w:rFonts w:hint="eastAsia" w:ascii="仿宋" w:hAnsi="仿宋" w:eastAsia="仿宋"/>
          <w:b w:val="0"/>
          <w:bCs w:val="0"/>
        </w:rPr>
        <w:t>般公共预算财政拨款支出决算明细表</w:t>
      </w:r>
      <w:bookmarkEnd w:id="106"/>
      <w:bookmarkEnd w:id="107"/>
    </w:p>
    <w:p>
      <w:pPr>
        <w:pStyle w:val="3"/>
        <w:rPr>
          <w:rFonts w:ascii="仿宋" w:hAnsi="仿宋" w:eastAsia="仿宋"/>
          <w:color w:val="000000"/>
        </w:rPr>
      </w:pPr>
      <w:bookmarkStart w:id="108" w:name="_Toc15396626"/>
      <w:bookmarkStart w:id="109" w:name="_Toc8280"/>
      <w:r>
        <w:rPr>
          <w:rStyle w:val="15"/>
          <w:rFonts w:hint="eastAsia" w:ascii="仿宋" w:hAnsi="仿宋" w:eastAsia="仿宋"/>
          <w:b w:val="0"/>
          <w:bCs w:val="0"/>
        </w:rPr>
        <w:t>八、</w:t>
      </w:r>
      <w:r>
        <w:rPr>
          <w:rFonts w:hint="eastAsia" w:ascii="仿宋" w:hAnsi="仿宋" w:eastAsia="仿宋"/>
          <w:b w:val="0"/>
          <w:color w:val="000000"/>
        </w:rPr>
        <w:t>一</w:t>
      </w:r>
      <w:r>
        <w:rPr>
          <w:rStyle w:val="15"/>
          <w:rFonts w:hint="eastAsia" w:ascii="仿宋" w:hAnsi="仿宋" w:eastAsia="仿宋"/>
          <w:b w:val="0"/>
          <w:bCs w:val="0"/>
        </w:rPr>
        <w:t>般公共预算财政拨款基本支出决算表</w:t>
      </w:r>
      <w:bookmarkEnd w:id="108"/>
      <w:bookmarkEnd w:id="109"/>
    </w:p>
    <w:p>
      <w:pPr>
        <w:pStyle w:val="3"/>
        <w:rPr>
          <w:rFonts w:ascii="仿宋" w:hAnsi="仿宋" w:eastAsia="仿宋"/>
          <w:color w:val="000000"/>
        </w:rPr>
      </w:pPr>
      <w:bookmarkStart w:id="110" w:name="_Toc15396627"/>
      <w:bookmarkStart w:id="111" w:name="_Toc2511"/>
      <w:r>
        <w:rPr>
          <w:rStyle w:val="15"/>
          <w:rFonts w:hint="eastAsia" w:ascii="仿宋" w:hAnsi="仿宋" w:eastAsia="仿宋"/>
          <w:b w:val="0"/>
          <w:bCs w:val="0"/>
        </w:rPr>
        <w:t>九、</w:t>
      </w:r>
      <w:r>
        <w:rPr>
          <w:rFonts w:hint="eastAsia" w:ascii="仿宋" w:hAnsi="仿宋" w:eastAsia="仿宋"/>
          <w:b w:val="0"/>
          <w:color w:val="000000"/>
        </w:rPr>
        <w:t>一</w:t>
      </w:r>
      <w:r>
        <w:rPr>
          <w:rStyle w:val="15"/>
          <w:rFonts w:hint="eastAsia" w:ascii="仿宋" w:hAnsi="仿宋" w:eastAsia="仿宋"/>
          <w:b w:val="0"/>
          <w:bCs w:val="0"/>
        </w:rPr>
        <w:t>般公共预算财政拨款项目支出决算表</w:t>
      </w:r>
      <w:bookmarkEnd w:id="110"/>
      <w:bookmarkEnd w:id="111"/>
    </w:p>
    <w:p>
      <w:pPr>
        <w:pStyle w:val="3"/>
        <w:rPr>
          <w:rFonts w:ascii="仿宋" w:hAnsi="仿宋" w:eastAsia="仿宋"/>
          <w:color w:val="000000"/>
        </w:rPr>
      </w:pPr>
      <w:bookmarkStart w:id="112" w:name="_Toc15396628"/>
      <w:bookmarkStart w:id="113" w:name="_Toc29052"/>
      <w:r>
        <w:rPr>
          <w:rStyle w:val="15"/>
          <w:rFonts w:hint="eastAsia" w:ascii="仿宋" w:hAnsi="仿宋" w:eastAsia="仿宋"/>
          <w:b w:val="0"/>
          <w:bCs w:val="0"/>
        </w:rPr>
        <w:t>十、</w:t>
      </w:r>
      <w:r>
        <w:rPr>
          <w:rFonts w:hint="eastAsia" w:ascii="仿宋" w:hAnsi="仿宋" w:eastAsia="仿宋"/>
          <w:b w:val="0"/>
          <w:color w:val="000000"/>
        </w:rPr>
        <w:t>一</w:t>
      </w:r>
      <w:r>
        <w:rPr>
          <w:rStyle w:val="15"/>
          <w:rFonts w:hint="eastAsia" w:ascii="仿宋" w:hAnsi="仿宋" w:eastAsia="仿宋"/>
          <w:b w:val="0"/>
          <w:bCs w:val="0"/>
        </w:rPr>
        <w:t>般公共预算财政拨款“三公”经费支出决算表</w:t>
      </w:r>
      <w:bookmarkEnd w:id="112"/>
      <w:bookmarkEnd w:id="113"/>
    </w:p>
    <w:p>
      <w:pPr>
        <w:pStyle w:val="3"/>
        <w:rPr>
          <w:rFonts w:ascii="仿宋" w:hAnsi="仿宋" w:eastAsia="仿宋"/>
          <w:color w:val="000000"/>
        </w:rPr>
      </w:pPr>
      <w:bookmarkStart w:id="114" w:name="_Toc15396629"/>
      <w:bookmarkStart w:id="115" w:name="_Toc30446"/>
      <w:r>
        <w:rPr>
          <w:rStyle w:val="15"/>
          <w:rFonts w:hint="eastAsia" w:ascii="仿宋" w:hAnsi="仿宋" w:eastAsia="仿宋"/>
          <w:b w:val="0"/>
          <w:bCs w:val="0"/>
        </w:rPr>
        <w:t>十一、</w:t>
      </w:r>
      <w:r>
        <w:rPr>
          <w:rFonts w:hint="eastAsia" w:ascii="仿宋" w:hAnsi="仿宋" w:eastAsia="仿宋"/>
          <w:b w:val="0"/>
          <w:color w:val="000000"/>
        </w:rPr>
        <w:t>政</w:t>
      </w:r>
      <w:r>
        <w:rPr>
          <w:rStyle w:val="15"/>
          <w:rFonts w:hint="eastAsia" w:ascii="仿宋" w:hAnsi="仿宋" w:eastAsia="仿宋"/>
          <w:b w:val="0"/>
          <w:bCs w:val="0"/>
        </w:rPr>
        <w:t>府性基金预算财政拨款收入支出决算表</w:t>
      </w:r>
      <w:bookmarkEnd w:id="114"/>
      <w:bookmarkEnd w:id="115"/>
    </w:p>
    <w:p>
      <w:pPr>
        <w:pStyle w:val="3"/>
        <w:rPr>
          <w:rFonts w:ascii="仿宋" w:hAnsi="仿宋" w:eastAsia="仿宋"/>
          <w:color w:val="000000"/>
        </w:rPr>
      </w:pPr>
      <w:bookmarkStart w:id="116" w:name="_Toc15396630"/>
      <w:bookmarkStart w:id="117" w:name="_Toc30494"/>
      <w:r>
        <w:rPr>
          <w:rStyle w:val="15"/>
          <w:rFonts w:hint="eastAsia" w:ascii="仿宋" w:hAnsi="仿宋" w:eastAsia="仿宋"/>
          <w:b w:val="0"/>
          <w:bCs w:val="0"/>
        </w:rPr>
        <w:t>十二、</w:t>
      </w:r>
      <w:r>
        <w:rPr>
          <w:rFonts w:hint="eastAsia" w:ascii="仿宋" w:hAnsi="仿宋" w:eastAsia="仿宋"/>
          <w:b w:val="0"/>
          <w:color w:val="000000"/>
        </w:rPr>
        <w:t>政</w:t>
      </w:r>
      <w:r>
        <w:rPr>
          <w:rStyle w:val="15"/>
          <w:rFonts w:hint="eastAsia" w:ascii="仿宋" w:hAnsi="仿宋" w:eastAsia="仿宋"/>
          <w:b w:val="0"/>
          <w:bCs w:val="0"/>
        </w:rPr>
        <w:t>府性基金预算财政拨款“三公”经费支出决算表</w:t>
      </w:r>
      <w:bookmarkEnd w:id="116"/>
      <w:bookmarkEnd w:id="117"/>
    </w:p>
    <w:p>
      <w:pPr>
        <w:pStyle w:val="3"/>
        <w:rPr>
          <w:rFonts w:ascii="仿宋" w:hAnsi="仿宋" w:eastAsia="仿宋"/>
          <w:color w:val="000000" w:themeColor="text1"/>
          <w14:textFill>
            <w14:solidFill>
              <w14:schemeClr w14:val="tx1"/>
            </w14:solidFill>
          </w14:textFill>
        </w:rPr>
      </w:pPr>
      <w:bookmarkStart w:id="118" w:name="_Toc15396631"/>
      <w:bookmarkStart w:id="119" w:name="_Toc13100"/>
      <w:r>
        <w:rPr>
          <w:rStyle w:val="15"/>
          <w:rFonts w:hint="eastAsia" w:ascii="仿宋" w:hAnsi="仿宋" w:eastAsia="仿宋"/>
          <w:b w:val="0"/>
          <w:bCs w:val="0"/>
        </w:rPr>
        <w:t>十三、</w:t>
      </w:r>
      <w:r>
        <w:rPr>
          <w:rFonts w:hint="eastAsia" w:ascii="仿宋" w:hAnsi="仿宋" w:eastAsia="仿宋"/>
          <w:b w:val="0"/>
          <w:color w:val="000000"/>
        </w:rPr>
        <w:t>国</w:t>
      </w:r>
      <w:r>
        <w:rPr>
          <w:rStyle w:val="15"/>
          <w:rFonts w:hint="eastAsia" w:ascii="仿宋" w:hAnsi="仿宋" w:eastAsia="仿宋"/>
          <w:b w:val="0"/>
          <w:bCs w:val="0"/>
        </w:rPr>
        <w:t>有资本经营预算支出决算表</w:t>
      </w:r>
      <w:bookmarkEnd w:id="118"/>
      <w:bookmarkEnd w:id="119"/>
    </w:p>
    <w:p/>
    <w:sectPr>
      <w:footerReference r:id="rId9" w:type="first"/>
      <w:footerReference r:id="rId8" w:type="default"/>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6"/>
          <w:jc w:val="center"/>
        </w:pPr>
        <w:r>
          <w:fldChar w:fldCharType="begin"/>
        </w:r>
        <w:r>
          <w:instrText xml:space="preserve">PAGE   \* MERGEFORMAT</w:instrText>
        </w:r>
        <w:r>
          <w:fldChar w:fldCharType="separate"/>
        </w:r>
        <w:r>
          <w:rPr>
            <w:lang w:val="zh-CN"/>
          </w:rPr>
          <w:t>11</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6"/>
                                <w:jc w:val="center"/>
                              </w:pPr>
                              <w:r>
                                <w:fldChar w:fldCharType="begin"/>
                              </w:r>
                              <w:r>
                                <w:instrText xml:space="preserve">PAGE   \* MERGEFORMAT</w:instrText>
                              </w:r>
                              <w:r>
                                <w:fldChar w:fldCharType="separate"/>
                              </w:r>
                              <w:r>
                                <w:rPr>
                                  <w:lang w:val="zh-CN"/>
                                </w:rPr>
                                <w:t>11</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sdt>
                    <w:sdtPr>
                      <w:id w:val="-1994781956"/>
                    </w:sdtPr>
                    <w:sdtContent>
                      <w:p>
                        <w:pPr>
                          <w:pStyle w:val="6"/>
                          <w:jc w:val="center"/>
                        </w:pPr>
                        <w:r>
                          <w:fldChar w:fldCharType="begin"/>
                        </w:r>
                        <w:r>
                          <w:instrText xml:space="preserve">PAGE   \* MERGEFORMAT</w:instrText>
                        </w:r>
                        <w:r>
                          <w:fldChar w:fldCharType="separate"/>
                        </w:r>
                        <w:r>
                          <w:rPr>
                            <w:lang w:val="zh-CN"/>
                          </w:rPr>
                          <w:t>11</w:t>
                        </w:r>
                        <w:r>
                          <w:fldChar w:fldCharType="end"/>
                        </w:r>
                      </w:p>
                    </w:sdtContent>
                  </w:sdt>
                  <w:p/>
                </w:txbxContent>
              </v:textbox>
            </v:shape>
          </w:pict>
        </mc:Fallback>
      </mc:AlternateContent>
    </w:r>
  </w:p>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1"/>
        <w:right w:val="none" w:color="auto" w:sz="0" w:space="0"/>
        <w:between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418D1"/>
    <w:rsid w:val="00F75290"/>
    <w:rsid w:val="01E34B04"/>
    <w:rsid w:val="02426068"/>
    <w:rsid w:val="028D3AAE"/>
    <w:rsid w:val="03A41248"/>
    <w:rsid w:val="03B2740C"/>
    <w:rsid w:val="03F40961"/>
    <w:rsid w:val="05CC7827"/>
    <w:rsid w:val="060274B2"/>
    <w:rsid w:val="07005151"/>
    <w:rsid w:val="085A5A8F"/>
    <w:rsid w:val="089F505B"/>
    <w:rsid w:val="095E5D1E"/>
    <w:rsid w:val="09BF6E60"/>
    <w:rsid w:val="0AAB539F"/>
    <w:rsid w:val="0C337569"/>
    <w:rsid w:val="0D046F51"/>
    <w:rsid w:val="0DD067FC"/>
    <w:rsid w:val="0E7A64EE"/>
    <w:rsid w:val="100C2BB9"/>
    <w:rsid w:val="12347996"/>
    <w:rsid w:val="138C794F"/>
    <w:rsid w:val="13F167E2"/>
    <w:rsid w:val="17DF3A84"/>
    <w:rsid w:val="180C75D0"/>
    <w:rsid w:val="18FA3DD0"/>
    <w:rsid w:val="197412B2"/>
    <w:rsid w:val="197C6F76"/>
    <w:rsid w:val="19C53D7A"/>
    <w:rsid w:val="1B2C0E2C"/>
    <w:rsid w:val="1B8955F7"/>
    <w:rsid w:val="1C304B98"/>
    <w:rsid w:val="1C915662"/>
    <w:rsid w:val="1DE72D15"/>
    <w:rsid w:val="207A6E5F"/>
    <w:rsid w:val="209E5A31"/>
    <w:rsid w:val="213F18D3"/>
    <w:rsid w:val="21B61FC1"/>
    <w:rsid w:val="21FC3867"/>
    <w:rsid w:val="22991DEF"/>
    <w:rsid w:val="22BB6E28"/>
    <w:rsid w:val="22D4190A"/>
    <w:rsid w:val="232A68CD"/>
    <w:rsid w:val="26E93322"/>
    <w:rsid w:val="284E4C6A"/>
    <w:rsid w:val="28504EC9"/>
    <w:rsid w:val="28C45448"/>
    <w:rsid w:val="2AEF319A"/>
    <w:rsid w:val="2C7F5F14"/>
    <w:rsid w:val="2F707AB7"/>
    <w:rsid w:val="2F8C5CC7"/>
    <w:rsid w:val="30B17523"/>
    <w:rsid w:val="310B33C6"/>
    <w:rsid w:val="31612100"/>
    <w:rsid w:val="31CA4441"/>
    <w:rsid w:val="32111707"/>
    <w:rsid w:val="33EF772F"/>
    <w:rsid w:val="33F241CA"/>
    <w:rsid w:val="348C673A"/>
    <w:rsid w:val="34E22959"/>
    <w:rsid w:val="34F06C6F"/>
    <w:rsid w:val="34F75FBA"/>
    <w:rsid w:val="35FD03A8"/>
    <w:rsid w:val="36463DE8"/>
    <w:rsid w:val="37412D27"/>
    <w:rsid w:val="3788313B"/>
    <w:rsid w:val="39850B59"/>
    <w:rsid w:val="39937873"/>
    <w:rsid w:val="3ACA670E"/>
    <w:rsid w:val="3B672FD9"/>
    <w:rsid w:val="3CF34037"/>
    <w:rsid w:val="3D183D27"/>
    <w:rsid w:val="3E4613DD"/>
    <w:rsid w:val="3F52783D"/>
    <w:rsid w:val="3FE305FF"/>
    <w:rsid w:val="417D4DFB"/>
    <w:rsid w:val="434F429E"/>
    <w:rsid w:val="435F40B3"/>
    <w:rsid w:val="44704542"/>
    <w:rsid w:val="449219C1"/>
    <w:rsid w:val="45F506BA"/>
    <w:rsid w:val="468E2E0E"/>
    <w:rsid w:val="46ED616D"/>
    <w:rsid w:val="471E76FA"/>
    <w:rsid w:val="48944453"/>
    <w:rsid w:val="48E440F8"/>
    <w:rsid w:val="49372D18"/>
    <w:rsid w:val="496065F2"/>
    <w:rsid w:val="4E1E3F75"/>
    <w:rsid w:val="4EFB3298"/>
    <w:rsid w:val="4F525B53"/>
    <w:rsid w:val="4F7F44AD"/>
    <w:rsid w:val="50833616"/>
    <w:rsid w:val="50FD3EA0"/>
    <w:rsid w:val="54EA6798"/>
    <w:rsid w:val="56163A2F"/>
    <w:rsid w:val="57E12287"/>
    <w:rsid w:val="58BD1E6C"/>
    <w:rsid w:val="598053FB"/>
    <w:rsid w:val="5A54637F"/>
    <w:rsid w:val="5CF80888"/>
    <w:rsid w:val="5DD91799"/>
    <w:rsid w:val="5E885B8A"/>
    <w:rsid w:val="605966C2"/>
    <w:rsid w:val="6067147A"/>
    <w:rsid w:val="60A94FC3"/>
    <w:rsid w:val="61874949"/>
    <w:rsid w:val="631B5414"/>
    <w:rsid w:val="64453681"/>
    <w:rsid w:val="64B52DDF"/>
    <w:rsid w:val="65B51A7F"/>
    <w:rsid w:val="65C9710C"/>
    <w:rsid w:val="666E0167"/>
    <w:rsid w:val="6B000ED1"/>
    <w:rsid w:val="6BE40C0E"/>
    <w:rsid w:val="6D4B5044"/>
    <w:rsid w:val="6DD75846"/>
    <w:rsid w:val="6E362586"/>
    <w:rsid w:val="6EE947C0"/>
    <w:rsid w:val="6EEA6D24"/>
    <w:rsid w:val="714868B8"/>
    <w:rsid w:val="72A55E1F"/>
    <w:rsid w:val="730030D5"/>
    <w:rsid w:val="731F2C97"/>
    <w:rsid w:val="73564C8E"/>
    <w:rsid w:val="74A277D2"/>
    <w:rsid w:val="7B135F8A"/>
    <w:rsid w:val="7B2652E3"/>
    <w:rsid w:val="7CB543A0"/>
    <w:rsid w:val="7D8E3975"/>
    <w:rsid w:val="7E2F751B"/>
    <w:rsid w:val="7E91783B"/>
    <w:rsid w:val="7F077F8D"/>
    <w:rsid w:val="7F7A3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99"/>
    <w:pPr>
      <w:spacing w:beforeLines="30"/>
    </w:pPr>
    <w:rPr>
      <w:rFonts w:ascii="仿宋_GB2312" w:eastAsia="仿宋_GB2312"/>
      <w:kern w:val="0"/>
      <w:sz w:val="30"/>
    </w:rPr>
  </w:style>
  <w:style w:type="paragraph" w:styleId="5">
    <w:name w:val="toc 3"/>
    <w:basedOn w:val="1"/>
    <w:next w:val="1"/>
    <w:qFormat/>
    <w:uiPriority w:val="0"/>
    <w:pPr>
      <w:ind w:left="840" w:leftChars="400"/>
    </w:pPr>
  </w:style>
  <w:style w:type="paragraph" w:styleId="6">
    <w:name w:val="footer"/>
    <w:basedOn w:val="1"/>
    <w:qFormat/>
    <w:uiPriority w:val="99"/>
    <w:pPr>
      <w:tabs>
        <w:tab w:val="center" w:pos="4153"/>
        <w:tab w:val="right" w:pos="8306"/>
      </w:tabs>
      <w:snapToGrid w:val="0"/>
      <w:jc w:val="left"/>
    </w:pPr>
    <w:rPr>
      <w:rFonts w:ascii="Calibri" w:hAnsi="Calibri"/>
      <w:kern w:val="0"/>
      <w:sz w:val="18"/>
      <w:szCs w:val="18"/>
    </w:rPr>
  </w:style>
  <w:style w:type="paragraph" w:styleId="7">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8">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9">
    <w:name w:val="toc 2"/>
    <w:basedOn w:val="1"/>
    <w:next w:val="1"/>
    <w:unhideWhenUsed/>
    <w:qFormat/>
    <w:uiPriority w:val="39"/>
    <w:pPr>
      <w:tabs>
        <w:tab w:val="right" w:leader="dot" w:pos="8296"/>
      </w:tabs>
      <w:ind w:left="420" w:leftChars="200"/>
    </w:pPr>
  </w:style>
  <w:style w:type="character" w:styleId="12">
    <w:name w:val="Strong"/>
    <w:basedOn w:val="11"/>
    <w:qFormat/>
    <w:uiPriority w:val="99"/>
    <w:rPr>
      <w:b/>
    </w:rPr>
  </w:style>
  <w:style w:type="character" w:styleId="13">
    <w:name w:val="Hyperlink"/>
    <w:basedOn w:val="11"/>
    <w:unhideWhenUsed/>
    <w:qFormat/>
    <w:uiPriority w:val="99"/>
    <w:rPr>
      <w:color w:val="0563C1" w:themeColor="hyperlink"/>
      <w:u w:val="single"/>
      <w14:textFill>
        <w14:solidFill>
          <w14:schemeClr w14:val="hlink"/>
        </w14:solidFill>
      </w14:textFill>
    </w:rPr>
  </w:style>
  <w:style w:type="character" w:customStyle="1" w:styleId="14">
    <w:name w:val="标题 1 Char"/>
    <w:basedOn w:val="11"/>
    <w:link w:val="2"/>
    <w:qFormat/>
    <w:uiPriority w:val="9"/>
    <w:rPr>
      <w:b/>
      <w:bCs/>
      <w:kern w:val="44"/>
      <w:sz w:val="44"/>
      <w:szCs w:val="44"/>
    </w:rPr>
  </w:style>
  <w:style w:type="character" w:customStyle="1" w:styleId="15">
    <w:name w:val="标题 2 Char"/>
    <w:basedOn w:val="11"/>
    <w:link w:val="3"/>
    <w:qFormat/>
    <w:uiPriority w:val="9"/>
    <w:rPr>
      <w:rFonts w:asciiTheme="majorHAnsi" w:hAnsiTheme="majorHAnsi" w:eastAsiaTheme="majorEastAsia" w:cstheme="majorBidi"/>
      <w:b/>
      <w:bCs/>
      <w:sz w:val="32"/>
      <w:szCs w:val="32"/>
    </w:rPr>
  </w:style>
  <w:style w:type="paragraph" w:styleId="16">
    <w:name w:val="List Paragraph"/>
    <w:basedOn w:val="1"/>
    <w:qFormat/>
    <w:uiPriority w:val="34"/>
    <w:pPr>
      <w:ind w:firstLine="420" w:firstLineChars="200"/>
    </w:pPr>
  </w:style>
  <w:style w:type="paragraph" w:customStyle="1" w:styleId="1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chart" Target="charts/chart6.xml"/><Relationship Id="rId17" Type="http://schemas.openxmlformats.org/officeDocument/2006/relationships/chart" Target="charts/chart5.xml"/><Relationship Id="rId16" Type="http://schemas.openxmlformats.org/officeDocument/2006/relationships/chart" Target="charts/chart4.xml"/><Relationship Id="rId15" Type="http://schemas.openxmlformats.org/officeDocument/2006/relationships/chart" Target="charts/chart3.xml"/><Relationship Id="rId14" Type="http://schemas.openxmlformats.org/officeDocument/2006/relationships/chart" Target="charts/chart2.xml"/><Relationship Id="rId13" Type="http://schemas.openxmlformats.org/officeDocument/2006/relationships/chart" Target="charts/chart1.xml"/><Relationship Id="rId12" Type="http://schemas.openxmlformats.org/officeDocument/2006/relationships/image" Target="media/image1.e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r>
              <a:rPr sz="1200" u="none" strike="noStrike" cap="none" normalizeH="0">
                <a:solidFill>
                  <a:schemeClr val="tx1">
                    <a:lumMod val="65000"/>
                    <a:lumOff val="35000"/>
                  </a:schemeClr>
                </a:solidFill>
                <a:uFill>
                  <a:solidFill>
                    <a:schemeClr val="tx1">
                      <a:lumMod val="65000"/>
                      <a:lumOff val="35000"/>
                    </a:schemeClr>
                  </a:solidFill>
                </a:uFill>
              </a:rPr>
              <a:t>金额</a:t>
            </a:r>
            <a:endParaRPr sz="1200" u="none" strike="noStrike" cap="none" normalizeH="0">
              <a:solidFill>
                <a:schemeClr val="tx1">
                  <a:lumMod val="65000"/>
                  <a:lumOff val="35000"/>
                </a:schemeClr>
              </a:solidFill>
              <a:uFill>
                <a:solidFill>
                  <a:schemeClr val="tx1">
                    <a:lumMod val="65000"/>
                    <a:lumOff val="35000"/>
                  </a:schemeClr>
                </a:solidFill>
              </a:uFill>
            </a:endParaRPr>
          </a:p>
        </c:rich>
      </c:tx>
      <c:layout/>
      <c:overlay val="0"/>
      <c:spPr>
        <a:noFill/>
        <a:ln>
          <a:noFill/>
        </a:ln>
        <a:effectLst/>
      </c:spPr>
    </c:title>
    <c:autoTitleDeleted val="0"/>
    <c:plotArea>
      <c:layout/>
      <c:pieChart>
        <c:varyColors val="1"/>
        <c:ser>
          <c:idx val="0"/>
          <c:order val="0"/>
          <c:tx>
            <c:strRef>
              <c:f>Sheet1!$B$1</c:f>
              <c:strCache>
                <c:ptCount val="1"/>
                <c:pt idx="0">
                  <c:v>金额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dLblPos val="out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财政拨款收入</c:v>
                </c:pt>
                <c:pt idx="1">
                  <c:v>经营收入</c:v>
                </c:pt>
              </c:strCache>
            </c:strRef>
          </c:cat>
          <c:val>
            <c:numRef>
              <c:f>Sheet1!$B$2:$B$3</c:f>
              <c:numCache>
                <c:formatCode>General</c:formatCode>
                <c:ptCount val="2"/>
                <c:pt idx="0">
                  <c:v>2480.36</c:v>
                </c:pt>
                <c:pt idx="1">
                  <c:v>511.07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11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1"/>
        <c:txPr>
          <a:bodyPr rot="0" spcFirstLastPara="0" vertOverflow="ellipsis" vert="horz" wrap="square" anchor="ctr" anchorCtr="1"/>
          <a:lstStyle/>
          <a:p>
            <a:pPr>
              <a:defRPr lang="zh-CN" sz="11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11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金额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dLblPos val="out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基本支出</c:v>
                </c:pt>
                <c:pt idx="1">
                  <c:v>项目支出</c:v>
                </c:pt>
                <c:pt idx="2">
                  <c:v>经营支出</c:v>
                </c:pt>
              </c:strCache>
            </c:strRef>
          </c:cat>
          <c:val>
            <c:numRef>
              <c:f>Sheet1!$B$2:$B$4</c:f>
              <c:numCache>
                <c:formatCode>General</c:formatCode>
                <c:ptCount val="3"/>
                <c:pt idx="0">
                  <c:v>2417.36</c:v>
                </c:pt>
                <c:pt idx="1">
                  <c:v>63</c:v>
                </c:pt>
                <c:pt idx="2">
                  <c:v>607.82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1"/>
        <c:txPr>
          <a:bodyPr rot="0" spcFirstLastPara="0" vertOverflow="ellipsis" vert="horz" wrap="square" anchor="ctr" anchorCtr="1"/>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2"/>
        <c:txPr>
          <a:bodyPr rot="0" spcFirstLastPara="0" vertOverflow="ellipsis" vert="horz" wrap="square" anchor="ctr" anchorCtr="1"/>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22"/>
          <c:y val="0.0779892428630534"/>
          <c:w val="0.8938"/>
          <c:h val="0.744104261481175"/>
        </c:manualLayout>
      </c:layout>
      <c:barChart>
        <c:barDir val="col"/>
        <c:grouping val="clustered"/>
        <c:varyColors val="0"/>
        <c:ser>
          <c:idx val="0"/>
          <c:order val="0"/>
          <c:tx>
            <c:strRef>
              <c:f>Sheet1!$B$1</c:f>
              <c:strCache>
                <c:ptCount val="1"/>
                <c:pt idx="0">
                  <c:v>2018</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财政拨款收入</c:v>
                </c:pt>
                <c:pt idx="1">
                  <c:v>财政拨款支出</c:v>
                </c:pt>
              </c:strCache>
            </c:strRef>
          </c:cat>
          <c:val>
            <c:numRef>
              <c:f>Sheet1!$B$2:$B$3</c:f>
              <c:numCache>
                <c:formatCode>General</c:formatCode>
                <c:ptCount val="2"/>
                <c:pt idx="0">
                  <c:v>2497.58</c:v>
                </c:pt>
                <c:pt idx="1">
                  <c:v>2497.58</c:v>
                </c:pt>
              </c:numCache>
            </c:numRef>
          </c:val>
        </c:ser>
        <c:ser>
          <c:idx val="1"/>
          <c:order val="1"/>
          <c:tx>
            <c:strRef>
              <c:f>Sheet1!$C$1</c:f>
              <c:strCache>
                <c:ptCount val="1"/>
                <c:pt idx="0">
                  <c:v>2019</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财政拨款收入</c:v>
                </c:pt>
                <c:pt idx="1">
                  <c:v>财政拨款支出</c:v>
                </c:pt>
              </c:strCache>
            </c:strRef>
          </c:cat>
          <c:val>
            <c:numRef>
              <c:f>Sheet1!$C$2:$C$3</c:f>
              <c:numCache>
                <c:formatCode>General</c:formatCode>
                <c:ptCount val="2"/>
                <c:pt idx="0">
                  <c:v>2480.36</c:v>
                </c:pt>
                <c:pt idx="1">
                  <c:v>2480.36</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Sheet1!$A$2:$A$3</c:f>
              <c:strCache>
                <c:ptCount val="2"/>
                <c:pt idx="0">
                  <c:v>财政拨款收入</c:v>
                </c:pt>
                <c:pt idx="1">
                  <c:v>财政拨款支出</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244730645"/>
        <c:axId val="799779451"/>
      </c:barChart>
      <c:catAx>
        <c:axId val="24473064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crossAx val="799779451"/>
        <c:crosses val="autoZero"/>
        <c:auto val="1"/>
        <c:lblAlgn val="ctr"/>
        <c:lblOffset val="100"/>
        <c:noMultiLvlLbl val="0"/>
      </c:catAx>
      <c:valAx>
        <c:axId val="7997794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4730645"/>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1"/>
        <c:txPr>
          <a:bodyPr rot="0" spcFirstLastPara="0" vertOverflow="ellipsis" vert="horz" wrap="square" anchor="ctr" anchorCtr="1"/>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2"/>
        <c:delete val="1"/>
      </c:legendEntry>
      <c:layout>
        <c:manualLayout>
          <c:xMode val="edge"/>
          <c:yMode val="edge"/>
          <c:x val="0.410375"/>
          <c:y val="0.916632188663633"/>
        </c:manualLayout>
      </c:layout>
      <c:overlay val="0"/>
      <c:spPr>
        <a:noFill/>
        <a:ln>
          <a:noFill/>
        </a:ln>
        <a:effectLst/>
      </c:spPr>
      <c:txPr>
        <a:bodyPr rot="0" spcFirstLastPara="0" vertOverflow="ellipsis" vert="horz" wrap="square" anchor="ctr" anchorCtr="1"/>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2018</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一般公共预算财政拨款支出</c:v>
                </c:pt>
              </c:strCache>
            </c:strRef>
          </c:cat>
          <c:val>
            <c:numRef>
              <c:f>Sheet1!$B$2</c:f>
              <c:numCache>
                <c:formatCode>General</c:formatCode>
                <c:ptCount val="1"/>
                <c:pt idx="0">
                  <c:v>2497.58</c:v>
                </c:pt>
              </c:numCache>
            </c:numRef>
          </c:val>
        </c:ser>
        <c:ser>
          <c:idx val="1"/>
          <c:order val="1"/>
          <c:tx>
            <c:strRef>
              <c:f>Sheet1!$C$1</c:f>
              <c:strCache>
                <c:ptCount val="1"/>
                <c:pt idx="0">
                  <c:v>2019</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一般公共预算财政拨款支出</c:v>
                </c:pt>
              </c:strCache>
            </c:strRef>
          </c:cat>
          <c:val>
            <c:numRef>
              <c:f>Sheet1!$C$2</c:f>
              <c:numCache>
                <c:formatCode>General</c:formatCode>
                <c:ptCount val="1"/>
                <c:pt idx="0">
                  <c:v>2480.36</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c:f>
              <c:strCache>
                <c:ptCount val="1"/>
                <c:pt idx="0">
                  <c:v>一般公共预算财政拨款支出</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180971164"/>
        <c:axId val="453641970"/>
      </c:barChart>
      <c:catAx>
        <c:axId val="18097116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crossAx val="453641970"/>
        <c:crosses val="autoZero"/>
        <c:auto val="1"/>
        <c:lblAlgn val="ctr"/>
        <c:lblOffset val="100"/>
        <c:noMultiLvlLbl val="0"/>
      </c:catAx>
      <c:valAx>
        <c:axId val="45364197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0971164"/>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1"/>
        <c:txPr>
          <a:bodyPr rot="0" spcFirstLastPara="0" vertOverflow="ellipsis" vert="horz" wrap="square" anchor="ctr" anchorCtr="1"/>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2"/>
        <c:delete val="1"/>
      </c:legendEntry>
      <c:layout/>
      <c:overlay val="0"/>
      <c:spPr>
        <a:noFill/>
        <a:ln>
          <a:noFill/>
        </a:ln>
        <a:effectLst/>
      </c:spPr>
      <c:txPr>
        <a:bodyPr rot="0" spcFirstLastPara="0" vertOverflow="ellipsis" vert="horz" wrap="square" anchor="ctr" anchorCtr="1"/>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1"/>
              <c:layout/>
              <c:tx>
                <c:rich>
                  <a:bodyPr rot="0" spcFirstLastPara="0" vertOverflow="ellipsis" vert="horz" wrap="square" lIns="38100" tIns="19050" rIns="38100" bIns="19050" anchor="ctr" anchorCtr="1"/>
                  <a:lstStyle/>
                  <a:p>
                    <a:pPr defTabSz="914400">
                      <a:defRPr lang="zh-CN" sz="1000" b="0"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sz="1000" u="none" strike="noStrike" cap="none" normalizeH="0">
                        <a:solidFill>
                          <a:schemeClr val="tx1">
                            <a:lumMod val="75000"/>
                            <a:lumOff val="25000"/>
                          </a:schemeClr>
                        </a:solidFill>
                        <a:uFill>
                          <a:solidFill>
                            <a:schemeClr val="tx1">
                              <a:lumMod val="75000"/>
                              <a:lumOff val="25000"/>
                            </a:schemeClr>
                          </a:solidFill>
                        </a:uFill>
                      </a:rPr>
                      <a:t>682.11 </a:t>
                    </a:r>
                    <a:endParaRPr sz="1000" u="none" strike="noStrike" cap="none" normalizeH="0">
                      <a:solidFill>
                        <a:schemeClr val="tx1">
                          <a:lumMod val="75000"/>
                          <a:lumOff val="25000"/>
                        </a:schemeClr>
                      </a:solidFill>
                      <a:uFill>
                        <a:solidFill>
                          <a:schemeClr val="tx1">
                            <a:lumMod val="75000"/>
                            <a:lumOff val="25000"/>
                          </a:schemeClr>
                        </a:solidFill>
                      </a:uFill>
                    </a:endParaRPr>
                  </a:p>
                </c:rich>
              </c:tx>
              <c:numFmt formatCode="#,##0.00_);[Red]\(#,##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defTabSz="914400">
                      <a:defRPr lang="zh-CN" sz="1000" b="0"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sz="1000" u="none" strike="noStrike" cap="none" normalizeH="0">
                        <a:solidFill>
                          <a:schemeClr val="tx1">
                            <a:lumMod val="75000"/>
                            <a:lumOff val="25000"/>
                          </a:schemeClr>
                        </a:solidFill>
                        <a:uFill>
                          <a:solidFill>
                            <a:schemeClr val="tx1">
                              <a:lumMod val="75000"/>
                              <a:lumOff val="25000"/>
                            </a:schemeClr>
                          </a:solidFill>
                        </a:uFill>
                      </a:rPr>
                      <a:t>80</a:t>
                    </a:r>
                    <a:endParaRPr sz="1000" u="none" strike="noStrike" cap="none" normalizeH="0">
                      <a:solidFill>
                        <a:schemeClr val="tx1">
                          <a:lumMod val="75000"/>
                          <a:lumOff val="25000"/>
                        </a:schemeClr>
                      </a:solidFill>
                      <a:uFill>
                        <a:solidFill>
                          <a:schemeClr val="tx1">
                            <a:lumMod val="75000"/>
                            <a:lumOff val="25000"/>
                          </a:schemeClr>
                        </a:solidFill>
                      </a:uFill>
                    </a:endParaRPr>
                  </a:p>
                </c:rich>
              </c:tx>
              <c:dLblPos val="bestFit"/>
              <c:showLegendKey val="0"/>
              <c:showVal val="1"/>
              <c:showCatName val="0"/>
              <c:showSerName val="0"/>
              <c:showPercent val="0"/>
              <c:showBubbleSize val="0"/>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defTabSz="914400">
                      <a:defRPr lang="zh-CN" sz="1000" b="0"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sz="1000" u="none" strike="noStrike" cap="none" normalizeH="0">
                        <a:solidFill>
                          <a:schemeClr val="tx1">
                            <a:lumMod val="75000"/>
                            <a:lumOff val="25000"/>
                          </a:schemeClr>
                        </a:solidFill>
                        <a:uFill>
                          <a:solidFill>
                            <a:schemeClr val="tx1">
                              <a:lumMod val="75000"/>
                              <a:lumOff val="25000"/>
                            </a:schemeClr>
                          </a:solidFill>
                        </a:uFill>
                      </a:rPr>
                      <a:t>120</a:t>
                    </a:r>
                    <a:endParaRPr sz="1000" u="none" strike="noStrike" cap="none" normalizeH="0">
                      <a:solidFill>
                        <a:schemeClr val="tx1">
                          <a:lumMod val="75000"/>
                          <a:lumOff val="25000"/>
                        </a:schemeClr>
                      </a:solidFill>
                      <a:uFill>
                        <a:solidFill>
                          <a:schemeClr val="tx1">
                            <a:lumMod val="75000"/>
                            <a:lumOff val="25000"/>
                          </a:schemeClr>
                        </a:solidFill>
                      </a:uFill>
                    </a:endParaRPr>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教育支出类</c:v>
                </c:pt>
                <c:pt idx="1">
                  <c:v>社会保障和就业支出</c:v>
                </c:pt>
                <c:pt idx="2">
                  <c:v>医疗卫生与计划生育类</c:v>
                </c:pt>
                <c:pt idx="3">
                  <c:v>住房保障支出</c:v>
                </c:pt>
                <c:pt idx="4">
                  <c:v>资源勘探信息支出</c:v>
                </c:pt>
              </c:strCache>
            </c:strRef>
          </c:cat>
          <c:val>
            <c:numRef>
              <c:f>Sheet1!$B$2:$B$6</c:f>
              <c:numCache>
                <c:formatCode>General</c:formatCode>
                <c:ptCount val="5"/>
                <c:pt idx="0">
                  <c:v>10</c:v>
                </c:pt>
                <c:pt idx="1">
                  <c:v>682.11</c:v>
                </c:pt>
                <c:pt idx="2">
                  <c:v>80</c:v>
                </c:pt>
                <c:pt idx="3">
                  <c:v>120</c:v>
                </c:pt>
                <c:pt idx="4">
                  <c:v>1588.25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1"/>
        <c:txPr>
          <a:bodyPr rot="0" spcFirstLastPara="0" vertOverflow="ellipsis" vert="horz" wrap="square" anchor="ctr" anchorCtr="1"/>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2"/>
        <c:txPr>
          <a:bodyPr rot="0" spcFirstLastPara="0" vertOverflow="ellipsis" vert="horz" wrap="square" anchor="ctr" anchorCtr="1"/>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3"/>
        <c:txPr>
          <a:bodyPr rot="0" spcFirstLastPara="0" vertOverflow="ellipsis" vert="horz" wrap="square" anchor="ctr" anchorCtr="1"/>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4"/>
        <c:txPr>
          <a:bodyPr rot="0" spcFirstLastPara="0" vertOverflow="ellipsis" vert="horz" wrap="square" anchor="ctr" anchorCtr="1"/>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ayout>
        <c:manualLayout>
          <c:xMode val="edge"/>
          <c:yMode val="edge"/>
          <c:x val="0.05475"/>
          <c:y val="0.817969451931716"/>
          <c:w val="0.8565"/>
          <c:h val="0.176639712488769"/>
        </c:manualLayout>
      </c:layout>
      <c:overlay val="0"/>
      <c:spPr>
        <a:noFill/>
        <a:ln>
          <a:noFill/>
        </a:ln>
        <a:effectLst/>
      </c:spPr>
      <c:txPr>
        <a:bodyPr rot="0" spcFirstLastPara="0" vertOverflow="ellipsis" vert="horz" wrap="square" anchor="ctr" anchorCtr="1"/>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公务接待费</c:v>
                </c:pt>
                <c:pt idx="1">
                  <c:v>公务用车运行维护费</c:v>
                </c:pt>
              </c:strCache>
            </c:strRef>
          </c:cat>
          <c:val>
            <c:numRef>
              <c:f>Sheet1!$B$2:$B$3</c:f>
              <c:numCache>
                <c:formatCode>General</c:formatCode>
                <c:ptCount val="2"/>
                <c:pt idx="0">
                  <c:v>7</c:v>
                </c:pt>
                <c:pt idx="1">
                  <c:v>40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1"/>
        <c:txPr>
          <a:bodyPr rot="0" spcFirstLastPara="0" vertOverflow="ellipsis" vert="horz" wrap="square" anchor="ctr" anchorCtr="1"/>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10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~冰冰~</cp:lastModifiedBy>
  <dcterms:modified xsi:type="dcterms:W3CDTF">2021-06-15T02:19:22Z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BBEE3F1AFF554743AA603C7838007298</vt:lpwstr>
  </property>
</Properties>
</file>