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auto"/>
          <w:sz w:val="72"/>
          <w:szCs w:val="72"/>
        </w:rPr>
      </w:pPr>
      <w:bookmarkStart w:id="1" w:name="_Toc15396597"/>
      <w:bookmarkStart w:id="2" w:name="_Toc15378441"/>
      <w:bookmarkStart w:id="3" w:name="_Toc15396475"/>
      <w:bookmarkStart w:id="4" w:name="_Toc15377193"/>
      <w:bookmarkStart w:id="5" w:name="_Toc15377425"/>
      <w:r>
        <w:rPr>
          <w:rFonts w:ascii="黑体" w:hAnsi="黑体" w:eastAsia="黑体"/>
          <w:color w:val="auto"/>
          <w:sz w:val="72"/>
          <w:szCs w:val="72"/>
        </w:rPr>
        <w:t>20</w:t>
      </w:r>
      <w:r>
        <w:rPr>
          <w:rFonts w:hint="eastAsia" w:ascii="黑体" w:hAnsi="黑体" w:eastAsia="黑体"/>
          <w:color w:val="auto"/>
          <w:sz w:val="72"/>
          <w:szCs w:val="72"/>
          <w:lang w:val="en-US" w:eastAsia="zh-CN"/>
        </w:rPr>
        <w:t>20</w:t>
      </w:r>
      <w:r>
        <w:rPr>
          <w:rFonts w:hint="eastAsia" w:ascii="方正小标宋简体" w:hAnsi="宋体" w:eastAsia="方正小标宋简体"/>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auto"/>
          <w:sz w:val="72"/>
          <w:szCs w:val="72"/>
          <w:lang w:eastAsia="zh-CN"/>
        </w:rPr>
      </w:pPr>
      <w:bookmarkStart w:id="6" w:name="_Toc15377194"/>
      <w:bookmarkStart w:id="7" w:name="_Toc15377426"/>
      <w:bookmarkStart w:id="8" w:name="_Toc15378442"/>
      <w:bookmarkStart w:id="9" w:name="_Toc15396598"/>
      <w:bookmarkStart w:id="10" w:name="_Toc15396476"/>
      <w:r>
        <w:rPr>
          <w:rFonts w:hint="eastAsia" w:ascii="方正小标宋简体" w:hAnsi="宋体" w:eastAsia="方正小标宋简体"/>
          <w:color w:val="auto"/>
          <w:sz w:val="72"/>
          <w:szCs w:val="72"/>
        </w:rPr>
        <w:t>四川省</w:t>
      </w:r>
      <w:bookmarkEnd w:id="0"/>
      <w:bookmarkStart w:id="11" w:name="_Toc15306268"/>
      <w:r>
        <w:rPr>
          <w:rFonts w:hint="eastAsia" w:ascii="方正小标宋简体" w:hAnsi="宋体" w:eastAsia="方正小标宋简体"/>
          <w:color w:val="auto"/>
          <w:sz w:val="72"/>
          <w:szCs w:val="72"/>
          <w:lang w:eastAsia="zh-CN"/>
        </w:rPr>
        <w:t>省级机关老干部</w:t>
      </w:r>
    </w:p>
    <w:p>
      <w:pPr>
        <w:adjustRightInd w:val="0"/>
        <w:snapToGrid w:val="0"/>
        <w:spacing w:line="360" w:lineRule="auto"/>
        <w:jc w:val="center"/>
        <w:outlineLvl w:val="0"/>
        <w:rPr>
          <w:rFonts w:ascii="方正小标宋简体" w:hAnsi="宋体" w:eastAsia="方正小标宋简体"/>
          <w:color w:val="auto"/>
          <w:sz w:val="72"/>
          <w:szCs w:val="72"/>
        </w:rPr>
      </w:pPr>
      <w:r>
        <w:rPr>
          <w:rFonts w:hint="eastAsia" w:ascii="方正小标宋简体" w:hAnsi="宋体" w:eastAsia="方正小标宋简体"/>
          <w:color w:val="auto"/>
          <w:sz w:val="72"/>
          <w:szCs w:val="72"/>
          <w:lang w:eastAsia="zh-CN"/>
        </w:rPr>
        <w:t>休养一所</w:t>
      </w:r>
      <w:r>
        <w:rPr>
          <w:rFonts w:hint="eastAsia" w:ascii="方正小标宋简体" w:hAnsi="宋体" w:eastAsia="方正小标宋简体"/>
          <w:color w:val="auto"/>
          <w:sz w:val="72"/>
          <w:szCs w:val="72"/>
        </w:rPr>
        <w:t>部门决算</w:t>
      </w:r>
      <w:bookmarkEnd w:id="6"/>
      <w:bookmarkEnd w:id="7"/>
      <w:bookmarkEnd w:id="8"/>
      <w:bookmarkEnd w:id="9"/>
      <w:bookmarkEnd w:id="10"/>
      <w:bookmarkEnd w:id="11"/>
    </w:p>
    <w:p>
      <w:pPr>
        <w:widowControl/>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widowControl/>
        <w:jc w:val="center"/>
        <w:rPr>
          <w:rFonts w:ascii="黑体" w:hAnsi="黑体" w:eastAsia="黑体" w:cstheme="minorBidi"/>
          <w:color w:val="auto"/>
          <w:sz w:val="28"/>
          <w:szCs w:val="28"/>
        </w:rPr>
      </w:pPr>
    </w:p>
    <w:p>
      <w:pPr>
        <w:pStyle w:val="10"/>
        <w:rPr>
          <w:color w:val="auto"/>
        </w:rPr>
      </w:pPr>
      <w:r>
        <w:rPr>
          <w:rFonts w:hint="eastAsia"/>
          <w:color w:val="auto"/>
        </w:rPr>
        <w:t>公开时间：20</w:t>
      </w:r>
      <w:r>
        <w:rPr>
          <w:rFonts w:hint="eastAsia"/>
          <w:color w:val="auto"/>
          <w:lang w:val="en-US" w:eastAsia="zh-CN"/>
        </w:rPr>
        <w:t>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10</w:t>
      </w:r>
      <w:r>
        <w:rPr>
          <w:rFonts w:hint="eastAsia"/>
          <w:color w:val="auto"/>
        </w:rPr>
        <w:t>日</w:t>
      </w:r>
    </w:p>
    <w:p>
      <w:pPr>
        <w:rPr>
          <w:color w:val="auto"/>
        </w:rPr>
      </w:pPr>
    </w:p>
    <w:p>
      <w:pPr>
        <w:pStyle w:val="10"/>
        <w:adjustRightInd w:val="0"/>
        <w:snapToGrid w:val="0"/>
        <w:spacing w:before="0" w:line="440" w:lineRule="exact"/>
        <w:jc w:val="left"/>
        <w:rPr>
          <w:rFonts w:cstheme="minorBidi"/>
          <w:color w:val="auto"/>
          <w:sz w:val="24"/>
          <w:szCs w:val="24"/>
        </w:rPr>
      </w:pPr>
      <w:r>
        <w:rPr>
          <w:rFonts w:hint="eastAsia"/>
          <w:color w:val="auto"/>
          <w:sz w:val="24"/>
        </w:rPr>
        <w:t>第一部分</w:t>
      </w:r>
      <w:r>
        <w:rPr>
          <w:color w:val="auto"/>
          <w:sz w:val="24"/>
        </w:rPr>
        <w:t xml:space="preserve"> </w:t>
      </w:r>
      <w:r>
        <w:rPr>
          <w:rFonts w:hint="eastAsia"/>
          <w:color w:val="auto"/>
          <w:sz w:val="24"/>
          <w:lang w:eastAsia="zh-CN"/>
        </w:rPr>
        <w:t>单位</w:t>
      </w:r>
      <w:r>
        <w:rPr>
          <w:rFonts w:hint="eastAsia"/>
          <w:color w:val="auto"/>
          <w:sz w:val="24"/>
        </w:rPr>
        <w:t>概况</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----4</w:t>
      </w:r>
    </w:p>
    <w:p>
      <w:pPr>
        <w:pStyle w:val="10"/>
        <w:adjustRightInd w:val="0"/>
        <w:snapToGrid w:val="0"/>
        <w:spacing w:before="0" w:line="440" w:lineRule="exact"/>
        <w:jc w:val="left"/>
        <w:rPr>
          <w:rFonts w:hint="eastAsia" w:eastAsia="宋体"/>
          <w:color w:val="auto"/>
          <w:sz w:val="24"/>
          <w:lang w:eastAsia="zh-CN"/>
        </w:rPr>
      </w:pPr>
      <w:r>
        <w:rPr>
          <w:rFonts w:hint="eastAsia"/>
          <w:color w:val="auto"/>
          <w:sz w:val="24"/>
        </w:rPr>
        <w:t>一、职能</w:t>
      </w:r>
      <w:r>
        <w:rPr>
          <w:rFonts w:hint="eastAsia"/>
          <w:color w:val="auto"/>
          <w:sz w:val="24"/>
          <w:lang w:eastAsia="zh-CN"/>
        </w:rPr>
        <w:t>简介</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--4</w:t>
      </w:r>
    </w:p>
    <w:p>
      <w:pPr>
        <w:pStyle w:val="10"/>
        <w:adjustRightInd w:val="0"/>
        <w:snapToGrid w:val="0"/>
        <w:spacing w:before="0"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w:t>
      </w:r>
      <w:r>
        <w:rPr>
          <w:rFonts w:hint="eastAsia" w:asciiTheme="minorEastAsia" w:hAnsiTheme="minorEastAsia" w:eastAsiaTheme="minorEastAsia" w:cstheme="minorEastAsia"/>
          <w:color w:val="auto"/>
          <w:sz w:val="24"/>
          <w:lang w:val="en-US" w:eastAsia="zh-CN"/>
        </w:rPr>
        <w:t>2020年重点</w:t>
      </w:r>
      <w:r>
        <w:rPr>
          <w:rFonts w:hint="eastAsia" w:asciiTheme="minorEastAsia" w:hAnsiTheme="minorEastAsia" w:eastAsiaTheme="minorEastAsia" w:cstheme="minorEastAsia"/>
          <w:color w:val="auto"/>
          <w:sz w:val="24"/>
        </w:rPr>
        <w:t>工作</w:t>
      </w:r>
      <w:r>
        <w:rPr>
          <w:rFonts w:hint="eastAsia" w:asciiTheme="minorEastAsia" w:hAnsiTheme="minorEastAsia" w:eastAsiaTheme="minorEastAsia" w:cstheme="minorEastAsia"/>
          <w:color w:val="auto"/>
          <w:sz w:val="24"/>
          <w:lang w:eastAsia="zh-CN"/>
        </w:rPr>
        <w:t>完成情况</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-----4</w:t>
      </w:r>
    </w:p>
    <w:p>
      <w:pPr>
        <w:pStyle w:val="10"/>
        <w:adjustRightInd w:val="0"/>
        <w:snapToGrid w:val="0"/>
        <w:spacing w:before="0" w:line="440" w:lineRule="exact"/>
        <w:jc w:val="left"/>
        <w:rPr>
          <w:color w:val="auto"/>
          <w:sz w:val="24"/>
          <w:szCs w:val="24"/>
        </w:rPr>
      </w:pPr>
      <w:r>
        <w:rPr>
          <w:rFonts w:hint="eastAsia"/>
          <w:color w:val="auto"/>
          <w:sz w:val="24"/>
        </w:rPr>
        <w:t>第二部分</w:t>
      </w:r>
      <w:r>
        <w:rPr>
          <w:rFonts w:hint="eastAsia"/>
          <w:color w:val="auto"/>
          <w:sz w:val="24"/>
          <w:lang w:val="en-US" w:eastAsia="zh-CN"/>
        </w:rPr>
        <w:t xml:space="preserve"> 2020年度</w:t>
      </w:r>
      <w:r>
        <w:rPr>
          <w:rFonts w:hint="eastAsia"/>
          <w:color w:val="auto"/>
          <w:sz w:val="24"/>
        </w:rPr>
        <w:t>部门决算情况说明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7</w:t>
      </w:r>
    </w:p>
    <w:p>
      <w:pPr>
        <w:pStyle w:val="10"/>
        <w:adjustRightInd w:val="0"/>
        <w:snapToGrid w:val="0"/>
        <w:spacing w:before="0" w:line="440" w:lineRule="exact"/>
        <w:jc w:val="left"/>
        <w:rPr>
          <w:rFonts w:ascii="仿宋" w:hAnsi="仿宋" w:eastAsia="仿宋" w:cstheme="minorBidi"/>
          <w:color w:val="auto"/>
          <w:sz w:val="24"/>
        </w:rPr>
      </w:pPr>
      <w:r>
        <w:rPr>
          <w:rFonts w:hint="eastAsia"/>
          <w:color w:val="auto"/>
          <w:sz w:val="24"/>
        </w:rPr>
        <w:t>一、收入支出决算总体情况说明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7</w:t>
      </w:r>
    </w:p>
    <w:p>
      <w:pPr>
        <w:pStyle w:val="10"/>
        <w:adjustRightInd w:val="0"/>
        <w:snapToGrid w:val="0"/>
        <w:spacing w:before="0" w:line="440" w:lineRule="exact"/>
        <w:jc w:val="left"/>
        <w:rPr>
          <w:rFonts w:ascii="仿宋" w:hAnsi="仿宋" w:eastAsia="仿宋" w:cstheme="minorBidi"/>
          <w:color w:val="auto"/>
          <w:sz w:val="24"/>
        </w:rPr>
      </w:pPr>
      <w:r>
        <w:rPr>
          <w:rFonts w:hint="eastAsia"/>
          <w:color w:val="auto"/>
          <w:sz w:val="24"/>
        </w:rPr>
        <w:t>二、收入决算情况说明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7</w:t>
      </w:r>
    </w:p>
    <w:p>
      <w:pPr>
        <w:pStyle w:val="10"/>
        <w:adjustRightInd w:val="0"/>
        <w:snapToGrid w:val="0"/>
        <w:spacing w:before="0" w:line="440" w:lineRule="exact"/>
        <w:jc w:val="left"/>
        <w:rPr>
          <w:rFonts w:ascii="仿宋" w:hAnsi="仿宋" w:eastAsia="仿宋" w:cstheme="minorBidi"/>
          <w:color w:val="auto"/>
          <w:sz w:val="24"/>
        </w:rPr>
      </w:pPr>
      <w:r>
        <w:rPr>
          <w:rFonts w:hint="eastAsia"/>
          <w:color w:val="auto"/>
          <w:sz w:val="24"/>
        </w:rPr>
        <w:t>三、支出决算情况说明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8</w:t>
      </w:r>
    </w:p>
    <w:p>
      <w:pPr>
        <w:pStyle w:val="10"/>
        <w:adjustRightInd w:val="0"/>
        <w:snapToGrid w:val="0"/>
        <w:spacing w:before="0" w:line="440" w:lineRule="exact"/>
        <w:jc w:val="left"/>
        <w:rPr>
          <w:rFonts w:ascii="仿宋" w:hAnsi="仿宋" w:eastAsia="仿宋" w:cstheme="minorBidi"/>
          <w:color w:val="auto"/>
          <w:sz w:val="24"/>
        </w:rPr>
      </w:pPr>
      <w:r>
        <w:rPr>
          <w:rFonts w:hint="eastAsia"/>
          <w:color w:val="auto"/>
          <w:sz w:val="24"/>
        </w:rPr>
        <w:t>四、财政拨款收入支出决算总体情况说明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9</w:t>
      </w:r>
    </w:p>
    <w:p>
      <w:pPr>
        <w:pStyle w:val="10"/>
        <w:adjustRightInd w:val="0"/>
        <w:snapToGrid w:val="0"/>
        <w:spacing w:before="0" w:line="440" w:lineRule="exact"/>
        <w:jc w:val="left"/>
        <w:rPr>
          <w:rFonts w:hint="default" w:ascii="仿宋" w:hAnsi="仿宋" w:eastAsia="仿宋" w:cstheme="minorBidi"/>
          <w:color w:val="auto"/>
          <w:sz w:val="24"/>
          <w:lang w:val="en-US"/>
        </w:rPr>
      </w:pPr>
      <w:r>
        <w:rPr>
          <w:rFonts w:hint="eastAsia"/>
          <w:color w:val="auto"/>
          <w:sz w:val="24"/>
        </w:rPr>
        <w:t>五、一般公共预算财政拨款支出决算情况说明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10</w:t>
      </w:r>
    </w:p>
    <w:p>
      <w:pPr>
        <w:pStyle w:val="10"/>
        <w:adjustRightInd w:val="0"/>
        <w:snapToGrid w:val="0"/>
        <w:spacing w:before="0" w:line="440" w:lineRule="exact"/>
        <w:jc w:val="left"/>
        <w:rPr>
          <w:rFonts w:hint="default" w:ascii="仿宋" w:hAnsi="仿宋" w:eastAsia="仿宋" w:cstheme="minorBidi"/>
          <w:color w:val="auto"/>
          <w:sz w:val="24"/>
          <w:lang w:val="en-US"/>
        </w:rPr>
      </w:pPr>
      <w:r>
        <w:rPr>
          <w:rFonts w:hint="eastAsia"/>
          <w:color w:val="auto"/>
          <w:sz w:val="24"/>
        </w:rPr>
        <w:t>六、一般公共预算财政拨款基本支出决算情况说明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13</w:t>
      </w:r>
    </w:p>
    <w:p>
      <w:pPr>
        <w:pStyle w:val="10"/>
        <w:adjustRightInd w:val="0"/>
        <w:snapToGrid w:val="0"/>
        <w:spacing w:before="0" w:line="440" w:lineRule="exact"/>
        <w:jc w:val="left"/>
        <w:rPr>
          <w:rFonts w:ascii="仿宋" w:hAnsi="仿宋" w:eastAsia="仿宋" w:cstheme="minorBidi"/>
          <w:color w:val="auto"/>
          <w:sz w:val="24"/>
        </w:rPr>
      </w:pPr>
      <w:r>
        <w:rPr>
          <w:rFonts w:hint="eastAsia"/>
          <w:color w:val="auto"/>
          <w:sz w:val="24"/>
        </w:rPr>
        <w:t>七、</w:t>
      </w:r>
      <w:r>
        <w:rPr>
          <w:color w:val="auto"/>
          <w:sz w:val="24"/>
        </w:rPr>
        <w:t>“</w:t>
      </w:r>
      <w:r>
        <w:rPr>
          <w:rFonts w:hint="eastAsia"/>
          <w:color w:val="auto"/>
          <w:sz w:val="24"/>
        </w:rPr>
        <w:t>三公”经费财政拨款支出决算情况说明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1</w:t>
      </w:r>
      <w:r>
        <w:rPr>
          <w:rStyle w:val="13"/>
          <w:rFonts w:hint="eastAsia" w:ascii="仿宋" w:hAnsi="仿宋" w:eastAsia="仿宋"/>
          <w:sz w:val="24"/>
          <w:szCs w:val="28"/>
          <w:lang w:val="en-US" w:eastAsia="zh-CN"/>
        </w:rPr>
        <w:t>4</w:t>
      </w:r>
    </w:p>
    <w:p>
      <w:pPr>
        <w:pStyle w:val="10"/>
        <w:adjustRightInd w:val="0"/>
        <w:snapToGrid w:val="0"/>
        <w:spacing w:before="0" w:line="440" w:lineRule="exact"/>
        <w:jc w:val="left"/>
        <w:rPr>
          <w:rFonts w:hint="default" w:ascii="仿宋" w:hAnsi="仿宋" w:eastAsia="仿宋" w:cstheme="minorBidi"/>
          <w:color w:val="auto"/>
          <w:sz w:val="24"/>
          <w:lang w:val="en-US"/>
        </w:rPr>
      </w:pPr>
      <w:r>
        <w:rPr>
          <w:rFonts w:hint="eastAsia"/>
          <w:color w:val="auto"/>
          <w:sz w:val="24"/>
        </w:rPr>
        <w:t>八、政府性基金预算支出决算情况说明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15</w:t>
      </w:r>
    </w:p>
    <w:p>
      <w:pPr>
        <w:pStyle w:val="10"/>
        <w:adjustRightInd w:val="0"/>
        <w:snapToGrid w:val="0"/>
        <w:spacing w:before="0" w:line="440" w:lineRule="exact"/>
        <w:jc w:val="left"/>
        <w:rPr>
          <w:rFonts w:hint="default"/>
          <w:color w:val="auto"/>
          <w:sz w:val="24"/>
          <w:lang w:val="en-US"/>
        </w:rPr>
      </w:pPr>
      <w:r>
        <w:rPr>
          <w:rFonts w:hint="eastAsia"/>
          <w:color w:val="auto"/>
          <w:sz w:val="24"/>
        </w:rPr>
        <w:t>九、国有资本经营预算支出决算情况说明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15</w:t>
      </w:r>
    </w:p>
    <w:p>
      <w:pPr>
        <w:pStyle w:val="10"/>
        <w:adjustRightInd w:val="0"/>
        <w:snapToGrid w:val="0"/>
        <w:spacing w:before="0" w:line="440" w:lineRule="exact"/>
        <w:jc w:val="left"/>
        <w:rPr>
          <w:rFonts w:hint="default"/>
          <w:color w:val="auto"/>
          <w:sz w:val="24"/>
          <w:lang w:val="en-US" w:eastAsia="zh-CN"/>
        </w:rPr>
      </w:pPr>
      <w:r>
        <w:rPr>
          <w:rFonts w:hint="eastAsia"/>
          <w:color w:val="auto"/>
          <w:sz w:val="24"/>
        </w:rPr>
        <w:t>十、其他重要事项的情况说明</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15</w:t>
      </w:r>
    </w:p>
    <w:p>
      <w:pPr>
        <w:pStyle w:val="10"/>
        <w:adjustRightInd w:val="0"/>
        <w:snapToGrid w:val="0"/>
        <w:spacing w:before="0" w:line="440" w:lineRule="exact"/>
        <w:jc w:val="left"/>
        <w:rPr>
          <w:rFonts w:hint="default" w:cstheme="minorBidi"/>
          <w:color w:val="auto"/>
          <w:sz w:val="24"/>
          <w:szCs w:val="24"/>
          <w:lang w:val="en-US"/>
        </w:rPr>
      </w:pPr>
      <w:r>
        <w:rPr>
          <w:rFonts w:hint="eastAsia"/>
          <w:color w:val="auto"/>
          <w:sz w:val="24"/>
        </w:rPr>
        <w:t>第三部分</w:t>
      </w:r>
      <w:r>
        <w:rPr>
          <w:color w:val="auto"/>
          <w:sz w:val="24"/>
        </w:rPr>
        <w:t xml:space="preserve"> </w:t>
      </w:r>
      <w:r>
        <w:rPr>
          <w:rFonts w:hint="eastAsia"/>
          <w:color w:val="auto"/>
          <w:sz w:val="24"/>
        </w:rPr>
        <w:t>名词解释</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17</w:t>
      </w:r>
    </w:p>
    <w:p>
      <w:pPr>
        <w:pStyle w:val="10"/>
        <w:adjustRightInd w:val="0"/>
        <w:snapToGrid w:val="0"/>
        <w:spacing w:before="0" w:line="440" w:lineRule="exact"/>
        <w:jc w:val="left"/>
        <w:rPr>
          <w:rFonts w:hint="default" w:cstheme="minorBidi"/>
          <w:color w:val="auto"/>
          <w:sz w:val="24"/>
          <w:szCs w:val="24"/>
          <w:lang w:val="en-US"/>
        </w:rPr>
      </w:pPr>
      <w:r>
        <w:rPr>
          <w:rFonts w:hint="eastAsia"/>
          <w:color w:val="auto"/>
          <w:sz w:val="24"/>
        </w:rPr>
        <w:t>第四部分</w:t>
      </w:r>
      <w:r>
        <w:rPr>
          <w:color w:val="auto"/>
          <w:sz w:val="24"/>
        </w:rPr>
        <w:t xml:space="preserve"> </w:t>
      </w:r>
      <w:r>
        <w:rPr>
          <w:rFonts w:hint="eastAsia"/>
          <w:color w:val="auto"/>
          <w:sz w:val="24"/>
        </w:rPr>
        <w:t>附表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一、收入支出决算总表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二、收入决算表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三、支出决算表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四、财政拨款收入支出决算总表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五、财政拨款支出决算明细表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r>
        <w:rPr>
          <w:rFonts w:hint="eastAsia"/>
          <w:color w:val="auto"/>
          <w:sz w:val="24"/>
        </w:rPr>
        <w:t>六、一般公共预算财政拨款支出决算表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七、一般公共预算财政拨款支出决算明细表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八、一般公共预算财政拨款基本支出决算表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九、一般公共预算财政拨款项目支出决算表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eastAsia="宋体"/>
          <w:color w:val="auto"/>
          <w:sz w:val="24"/>
          <w:lang w:eastAsia="zh-CN"/>
        </w:rPr>
      </w:pPr>
      <w:r>
        <w:rPr>
          <w:rFonts w:hint="eastAsia"/>
          <w:color w:val="auto"/>
          <w:sz w:val="24"/>
        </w:rPr>
        <w:t>十、一般公共预算财政拨款“三公”经费支出决算表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1"/>
        <w:adjustRightInd w:val="0"/>
        <w:snapToGrid w:val="0"/>
        <w:spacing w:line="440" w:lineRule="exact"/>
        <w:jc w:val="left"/>
        <w:rPr>
          <w:rFonts w:hint="eastAsia"/>
          <w:color w:val="auto"/>
          <w:sz w:val="24"/>
        </w:rPr>
      </w:pPr>
    </w:p>
    <w:p>
      <w:pPr>
        <w:pStyle w:val="10"/>
        <w:adjustRightInd w:val="0"/>
        <w:snapToGrid w:val="0"/>
        <w:spacing w:before="0" w:line="440" w:lineRule="exact"/>
        <w:jc w:val="left"/>
        <w:rPr>
          <w:rFonts w:hint="eastAsia"/>
          <w:color w:val="auto"/>
          <w:sz w:val="24"/>
        </w:rPr>
      </w:pPr>
      <w:r>
        <w:rPr>
          <w:rFonts w:hint="eastAsia"/>
          <w:color w:val="auto"/>
          <w:sz w:val="24"/>
        </w:rPr>
        <w:t>十一、政府性基金预算财政拨款收入支出决算表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十二、政府性基金预算财政拨款“三公”经费支出决算表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color w:val="auto"/>
          <w:sz w:val="24"/>
        </w:rPr>
      </w:pPr>
      <w:r>
        <w:rPr>
          <w:rFonts w:hint="eastAsia"/>
          <w:color w:val="auto"/>
          <w:sz w:val="24"/>
        </w:rPr>
        <w:t>十三、国有资本经营预算</w:t>
      </w:r>
      <w:r>
        <w:rPr>
          <w:rFonts w:hint="eastAsia"/>
          <w:color w:val="auto"/>
          <w:sz w:val="24"/>
          <w:lang w:eastAsia="zh-CN"/>
        </w:rPr>
        <w:t>财政拨款收入</w:t>
      </w:r>
      <w:r>
        <w:rPr>
          <w:rFonts w:hint="eastAsia"/>
          <w:color w:val="auto"/>
          <w:sz w:val="24"/>
        </w:rPr>
        <w:t>支出决算表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0"/>
        <w:adjustRightInd w:val="0"/>
        <w:snapToGrid w:val="0"/>
        <w:spacing w:before="0" w:line="440" w:lineRule="exact"/>
        <w:jc w:val="left"/>
        <w:rPr>
          <w:rFonts w:hint="eastAsia" w:eastAsia="宋体"/>
          <w:color w:val="auto"/>
          <w:sz w:val="24"/>
          <w:lang w:eastAsia="zh-CN"/>
        </w:rPr>
      </w:pPr>
      <w:r>
        <w:rPr>
          <w:rFonts w:hint="eastAsia"/>
          <w:color w:val="auto"/>
          <w:sz w:val="24"/>
          <w:lang w:val="en-US" w:eastAsia="zh-CN"/>
        </w:rPr>
        <w:t>十四、国有资本经营预算财政拨款支出决算表</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w:t>
      </w:r>
      <w:r>
        <w:rPr>
          <w:rStyle w:val="13"/>
          <w:rFonts w:hint="eastAsia" w:ascii="仿宋" w:hAnsi="仿宋" w:eastAsia="仿宋"/>
          <w:sz w:val="24"/>
          <w:szCs w:val="28"/>
          <w:lang w:val="en-US" w:eastAsia="zh-CN"/>
        </w:rPr>
        <w:t>--</w:t>
      </w:r>
      <w:r>
        <w:rPr>
          <w:rStyle w:val="13"/>
          <w:rFonts w:hint="eastAsia"/>
          <w:sz w:val="24"/>
          <w:szCs w:val="28"/>
          <w:lang w:val="en-US" w:eastAsia="zh-CN"/>
        </w:rPr>
        <w:t>20</w:t>
      </w:r>
    </w:p>
    <w:p>
      <w:pPr>
        <w:pStyle w:val="11"/>
        <w:adjustRightInd w:val="0"/>
        <w:snapToGrid w:val="0"/>
        <w:spacing w:line="440" w:lineRule="exact"/>
        <w:jc w:val="left"/>
        <w:rPr>
          <w:rFonts w:hint="default"/>
          <w:color w:val="auto"/>
          <w:sz w:val="24"/>
          <w:lang w:val="en-US" w:eastAsia="zh-CN"/>
        </w:rPr>
      </w:pPr>
    </w:p>
    <w:p>
      <w:pPr>
        <w:widowControl/>
        <w:spacing w:line="440" w:lineRule="exact"/>
        <w:jc w:val="left"/>
        <w:rPr>
          <w:rFonts w:ascii="仿宋" w:hAnsi="仿宋" w:eastAsia="仿宋"/>
          <w:bCs/>
          <w:color w:val="auto"/>
          <w:kern w:val="44"/>
          <w:sz w:val="24"/>
        </w:rPr>
      </w:pPr>
      <w:bookmarkStart w:id="12" w:name="_Toc15396599"/>
      <w:bookmarkStart w:id="13" w:name="_Toc15377196"/>
      <w:r>
        <w:rPr>
          <w:rFonts w:ascii="仿宋" w:hAnsi="仿宋" w:eastAsia="仿宋"/>
          <w:b/>
          <w:color w:val="auto"/>
          <w:sz w:val="24"/>
        </w:rPr>
        <w:br w:type="page"/>
      </w:r>
    </w:p>
    <w:p>
      <w:pPr>
        <w:pStyle w:val="3"/>
        <w:jc w:val="center"/>
        <w:rPr>
          <w:rStyle w:val="24"/>
          <w:rFonts w:ascii="黑体" w:hAnsi="黑体" w:eastAsia="黑体"/>
          <w:b/>
          <w:bCs w:val="0"/>
          <w:color w:val="auto"/>
        </w:rPr>
      </w:pPr>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24"/>
          <w:rFonts w:hint="eastAsia" w:ascii="黑体" w:hAnsi="黑体" w:eastAsia="黑体"/>
          <w:b w:val="0"/>
          <w:bCs w:val="0"/>
          <w:color w:val="auto"/>
        </w:rPr>
        <w:t>概况</w:t>
      </w:r>
      <w:bookmarkEnd w:id="12"/>
      <w:bookmarkEnd w:id="13"/>
    </w:p>
    <w:p>
      <w:pPr>
        <w:widowControl/>
        <w:jc w:val="left"/>
        <w:rPr>
          <w:rFonts w:ascii="黑体" w:eastAsia="黑体"/>
          <w:color w:val="auto"/>
          <w:sz w:val="32"/>
          <w:szCs w:val="32"/>
        </w:rPr>
      </w:pPr>
    </w:p>
    <w:p>
      <w:pPr>
        <w:pStyle w:val="4"/>
        <w:numPr>
          <w:ilvl w:val="0"/>
          <w:numId w:val="1"/>
        </w:numPr>
        <w:rPr>
          <w:rFonts w:hint="eastAsia"/>
          <w:color w:val="auto"/>
        </w:rPr>
      </w:pPr>
      <w:bookmarkStart w:id="14" w:name="_Toc15396600"/>
      <w:bookmarkStart w:id="15" w:name="_Toc15377197"/>
      <w:r>
        <w:rPr>
          <w:rStyle w:val="25"/>
          <w:rFonts w:hint="eastAsia" w:ascii="黑体" w:hAnsi="黑体" w:eastAsia="黑体"/>
          <w:b w:val="0"/>
          <w:bCs w:val="0"/>
          <w:color w:val="auto"/>
        </w:rPr>
        <w:t>职能</w:t>
      </w:r>
      <w:r>
        <w:rPr>
          <w:rStyle w:val="25"/>
          <w:rFonts w:hint="eastAsia" w:ascii="黑体" w:hAnsi="黑体" w:eastAsia="黑体"/>
          <w:b w:val="0"/>
          <w:bCs w:val="0"/>
          <w:color w:val="auto"/>
          <w:lang w:eastAsia="zh-CN"/>
        </w:rPr>
        <w:t>简介</w:t>
      </w:r>
    </w:p>
    <w:p>
      <w:pPr>
        <w:numPr>
          <w:ilvl w:val="0"/>
          <w:numId w:val="0"/>
        </w:numPr>
        <w:snapToGrid w:val="0"/>
        <w:spacing w:line="540" w:lineRule="exact"/>
        <w:ind w:firstLine="640" w:firstLineChars="200"/>
        <w:rPr>
          <w:rFonts w:hint="eastAsia" w:eastAsia="仿宋"/>
          <w:lang w:eastAsia="zh-CN"/>
        </w:rPr>
      </w:pPr>
      <w:r>
        <w:rPr>
          <w:rFonts w:hint="eastAsia" w:ascii="仿宋" w:hAnsi="仿宋" w:eastAsia="仿宋"/>
          <w:sz w:val="32"/>
          <w:szCs w:val="32"/>
          <w:lang w:eastAsia="zh-CN"/>
        </w:rPr>
        <w:t>省干休一所</w:t>
      </w:r>
      <w:r>
        <w:rPr>
          <w:rFonts w:hint="eastAsia" w:ascii="仿宋" w:hAnsi="仿宋" w:eastAsia="仿宋"/>
          <w:sz w:val="32"/>
          <w:szCs w:val="32"/>
        </w:rPr>
        <w:t>主要承担省级机关副省级离休干部的休养、文化娱乐及生活保障等服务。落实好老干部政治生活待遇，开展好老同志的日常活动，做好老同志的保健工作，负责老干部住房的维修及家中水电气设备的维修，负责与驻所老干部原单位和家人的联系、协调工作，积极配合由省委老干部局组织的离退休干部健康疗养等相关工作，做好本单位退休干部职工工作</w:t>
      </w:r>
      <w:r>
        <w:rPr>
          <w:rFonts w:hint="eastAsia" w:ascii="仿宋" w:hAnsi="仿宋" w:eastAsia="仿宋"/>
          <w:sz w:val="32"/>
          <w:szCs w:val="32"/>
          <w:lang w:eastAsia="zh-CN"/>
        </w:rPr>
        <w:t>。</w:t>
      </w:r>
    </w:p>
    <w:p>
      <w:pPr>
        <w:pStyle w:val="4"/>
        <w:numPr>
          <w:ilvl w:val="0"/>
          <w:numId w:val="1"/>
        </w:numPr>
        <w:rPr>
          <w:rFonts w:hint="eastAsia" w:ascii="黑体" w:hAnsi="黑体" w:eastAsia="黑体"/>
          <w:b w:val="0"/>
          <w:color w:val="auto"/>
        </w:rPr>
      </w:pPr>
      <w:r>
        <w:rPr>
          <w:rFonts w:hint="eastAsia" w:ascii="黑体" w:hAnsi="黑体" w:eastAsia="黑体"/>
          <w:b w:val="0"/>
          <w:color w:val="auto"/>
          <w:lang w:val="en-US" w:eastAsia="zh-CN"/>
        </w:rPr>
        <w:t>2020年重点</w:t>
      </w:r>
      <w:r>
        <w:rPr>
          <w:rFonts w:hint="eastAsia" w:ascii="黑体" w:hAnsi="黑体" w:eastAsia="黑体"/>
          <w:b w:val="0"/>
          <w:color w:val="auto"/>
        </w:rPr>
        <w:t>工作</w:t>
      </w:r>
      <w:bookmarkEnd w:id="14"/>
      <w:bookmarkEnd w:id="15"/>
      <w:r>
        <w:rPr>
          <w:rFonts w:hint="eastAsia" w:ascii="黑体" w:hAnsi="黑体" w:eastAsia="黑体"/>
          <w:b w:val="0"/>
          <w:color w:val="auto"/>
          <w:lang w:eastAsia="zh-CN"/>
        </w:rPr>
        <w:t>完成情况</w:t>
      </w:r>
    </w:p>
    <w:p>
      <w:pPr>
        <w:keepNext w:val="0"/>
        <w:keepLines w:val="0"/>
        <w:pageBreakBefore w:val="0"/>
        <w:widowControl/>
        <w:tabs>
          <w:tab w:val="left" w:pos="4326"/>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2020年，</w:t>
      </w:r>
      <w:r>
        <w:rPr>
          <w:rFonts w:hint="eastAsia" w:ascii="仿宋" w:hAnsi="仿宋" w:eastAsia="仿宋" w:cs="仿宋"/>
          <w:kern w:val="0"/>
          <w:sz w:val="32"/>
          <w:szCs w:val="32"/>
          <w:lang w:eastAsia="zh-CN"/>
        </w:rPr>
        <w:t>省干休一所</w:t>
      </w:r>
      <w:r>
        <w:rPr>
          <w:rFonts w:hint="eastAsia" w:ascii="仿宋" w:hAnsi="仿宋" w:eastAsia="仿宋" w:cs="仿宋"/>
          <w:kern w:val="0"/>
          <w:sz w:val="32"/>
          <w:szCs w:val="32"/>
        </w:rPr>
        <w:t>在省委老干部局的坚强领导下，认真贯彻中央和省委决策部署，全面落实全国、全省老干部局长会议精神，统筹抓好疫情防控和驻所老干部服务管理工作，扎实有力推进各项工作，较好地完成了全年工作目标任务。</w:t>
      </w:r>
      <w:r>
        <w:rPr>
          <w:rFonts w:hint="eastAsia" w:ascii="仿宋_GB2312" w:hAnsi="仿宋" w:eastAsia="仿宋_GB2312"/>
          <w:sz w:val="32"/>
          <w:szCs w:val="32"/>
        </w:rPr>
        <w:t>主要表现在：</w:t>
      </w:r>
    </w:p>
    <w:p>
      <w:pPr>
        <w:keepNext w:val="0"/>
        <w:keepLines w:val="0"/>
        <w:pageBreakBefore w:val="0"/>
        <w:kinsoku/>
        <w:wordWrap/>
        <w:overflowPunct/>
        <w:topLinePunct w:val="0"/>
        <w:autoSpaceDE/>
        <w:autoSpaceDN/>
        <w:bidi w:val="0"/>
        <w:adjustRightInd/>
        <w:snapToGrid/>
        <w:spacing w:line="600" w:lineRule="exact"/>
        <w:ind w:firstLine="633" w:firstLineChars="197"/>
        <w:textAlignment w:val="auto"/>
        <w:rPr>
          <w:rFonts w:hint="eastAsia" w:ascii="仿宋" w:hAnsi="仿宋" w:eastAsia="仿宋" w:cs="仿宋"/>
          <w:kern w:val="0"/>
          <w:sz w:val="32"/>
          <w:szCs w:val="32"/>
        </w:rPr>
      </w:pPr>
      <w:r>
        <w:rPr>
          <w:rFonts w:hint="eastAsia" w:ascii="仿宋_GB2312" w:hAnsi="黑体" w:eastAsia="仿宋_GB2312" w:cs="黑体"/>
          <w:b/>
          <w:sz w:val="32"/>
          <w:szCs w:val="28"/>
        </w:rPr>
        <w:t>1.扎实做好疫情防控工作。</w:t>
      </w:r>
      <w:r>
        <w:rPr>
          <w:rFonts w:hint="eastAsia" w:ascii="仿宋" w:hAnsi="仿宋" w:eastAsia="仿宋" w:cs="仿宋"/>
          <w:kern w:val="0"/>
          <w:sz w:val="32"/>
          <w:szCs w:val="32"/>
        </w:rPr>
        <w:t>及时成立省干休一所防控新型冠状病毒感染肺炎疫情工作领导小组，逐一分解落实防控责任，明确具体工作要求；坚持公共区域消毒，对外来人员坚持测量体温、“绿码”通行；加强疫情防控知识宣传，通报我所疫情防控具体措施，提高驻所老同志自我保护意识，积极配合社区、派出所做好7名境外和外地返蓉住户的居家隔离工作，向社区报送疫情防控信息线索30余条。截至目前，干休一所机关及院落安全平稳，未发生一例疑似病例，未发生一例确诊病例。</w:t>
      </w:r>
    </w:p>
    <w:p>
      <w:pPr>
        <w:pStyle w:val="23"/>
        <w:keepNext w:val="0"/>
        <w:keepLines w:val="0"/>
        <w:pageBreakBefore w:val="0"/>
        <w:tabs>
          <w:tab w:val="left" w:pos="4326"/>
        </w:tabs>
        <w:kinsoku/>
        <w:wordWrap/>
        <w:overflowPunct/>
        <w:topLinePunct w:val="0"/>
        <w:autoSpaceDE/>
        <w:autoSpaceDN/>
        <w:bidi w:val="0"/>
        <w:adjustRightInd/>
        <w:snapToGrid/>
        <w:spacing w:line="600" w:lineRule="exact"/>
        <w:ind w:firstLine="630" w:firstLineChars="196"/>
        <w:textAlignment w:val="auto"/>
        <w:rPr>
          <w:rFonts w:hint="eastAsia" w:ascii="仿宋" w:hAnsi="仿宋" w:eastAsia="仿宋" w:cs="仿宋"/>
          <w:kern w:val="0"/>
          <w:sz w:val="32"/>
          <w:szCs w:val="32"/>
        </w:rPr>
      </w:pPr>
      <w:r>
        <w:rPr>
          <w:rFonts w:hint="eastAsia" w:ascii="仿宋" w:hAnsi="仿宋" w:eastAsia="仿宋" w:cs="仿宋"/>
          <w:b/>
          <w:kern w:val="0"/>
          <w:sz w:val="32"/>
          <w:szCs w:val="32"/>
        </w:rPr>
        <w:t>2.扎实做好服务驻所老同志工作。</w:t>
      </w:r>
      <w:r>
        <w:rPr>
          <w:rFonts w:hint="eastAsia" w:ascii="仿宋" w:hAnsi="仿宋" w:eastAsia="仿宋" w:cs="仿宋"/>
          <w:kern w:val="0"/>
          <w:sz w:val="32"/>
          <w:szCs w:val="32"/>
        </w:rPr>
        <w:t>坚持“心连心 一对一”服务制度，积极开展走访慰问、住院探视等，精准分析老同志家庭情况和生活状况，对高龄、独居、久病等有特殊困难的老同志给予特殊关注。建立后勤保障工作台账，按时间表定期开展大楼水箱清洗、化粪池清掏、园林管护等工作，为驻所老同志提供一个环境优美、鸟语花香、安全可靠的居住环境。坚持安全巡查制度，定期特别是重大节假日对院落电线线路、用水管道、电梯、暖气、消防设施、监控设备等进行全面排查，及时消除安全隐患，确保不发生安全事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3.扎实做好干部队伍管理工作。</w:t>
      </w:r>
      <w:r>
        <w:rPr>
          <w:rFonts w:hint="eastAsia" w:ascii="仿宋" w:hAnsi="仿宋" w:eastAsia="仿宋" w:cs="仿宋"/>
          <w:kern w:val="0"/>
          <w:sz w:val="32"/>
          <w:szCs w:val="32"/>
        </w:rPr>
        <w:t>认真开展学习培训。经常性组织政治理论、业务知识、综合知识的学习，推动形成人人崇尚学习，人人争相学习的浓厚氛围。派员参加了省直部门（单位）离退休干部党支部书记学习会、“星空讲坛”、廉政演讲比赛、全省机关公文写作大赛等，通过学习和业务比拼帮助党员干部打开思维、开拓眼界，提升综合素质。优化干部队伍结构。公开遴选2名财务人员充实到干部队伍，干部队伍平均年龄从42岁下降至38岁，队伍更加年轻化。6名干部中研究生学历1人，大学全日制本科学历3人，大专学历2人，学历水平大幅提升。按照职务职级并行相关规定，对符合晋升条件的6名干部进行了职务职级晋升，做到了让有为者有位、能干者能上、优秀的优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theme="majorBidi"/>
          <w:b w:val="0"/>
          <w:bCs/>
          <w:color w:val="auto"/>
          <w:kern w:val="2"/>
          <w:sz w:val="32"/>
          <w:szCs w:val="32"/>
          <w:lang w:val="en-US" w:eastAsia="zh-CN" w:bidi="ar-SA"/>
        </w:rPr>
      </w:pPr>
      <w:r>
        <w:rPr>
          <w:rFonts w:hint="eastAsia" w:ascii="黑体" w:hAnsi="黑体" w:eastAsia="黑体" w:cstheme="majorBidi"/>
          <w:b w:val="0"/>
          <w:bCs/>
          <w:color w:val="auto"/>
          <w:kern w:val="2"/>
          <w:sz w:val="32"/>
          <w:szCs w:val="32"/>
          <w:lang w:val="en-US" w:eastAsia="zh-CN" w:bidi="ar-SA"/>
        </w:rPr>
        <w:t>三、机构设置情况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kern w:val="0"/>
          <w:sz w:val="32"/>
          <w:szCs w:val="32"/>
        </w:rPr>
      </w:pPr>
      <w:r>
        <w:rPr>
          <w:rFonts w:hint="eastAsia" w:ascii="仿宋" w:hAnsi="仿宋" w:eastAsia="仿宋"/>
          <w:color w:val="auto"/>
          <w:sz w:val="32"/>
          <w:szCs w:val="32"/>
          <w:lang w:eastAsia="zh-CN"/>
        </w:rPr>
        <w:t>四川省省级机关老干部休养一所由</w:t>
      </w:r>
      <w:r>
        <w:rPr>
          <w:rFonts w:hint="eastAsia" w:ascii="仿宋" w:hAnsi="仿宋" w:eastAsia="仿宋"/>
          <w:color w:val="auto"/>
          <w:sz w:val="32"/>
          <w:szCs w:val="32"/>
          <w:lang w:val="en-US" w:eastAsia="zh-CN"/>
        </w:rPr>
        <w:t>2个内设科室组成，分别是：办公室、行政科。</w:t>
      </w:r>
      <w:bookmarkStart w:id="66" w:name="_GoBack"/>
      <w:bookmarkEnd w:id="66"/>
      <w:r>
        <w:rPr>
          <w:rFonts w:ascii="仿宋" w:hAnsi="仿宋" w:eastAsia="仿宋"/>
          <w:color w:val="auto"/>
          <w:sz w:val="32"/>
          <w:szCs w:val="32"/>
        </w:rPr>
        <w:br w:type="page"/>
      </w:r>
    </w:p>
    <w:p>
      <w:pPr>
        <w:pStyle w:val="3"/>
        <w:ind w:right="440"/>
        <w:jc w:val="center"/>
        <w:rPr>
          <w:rStyle w:val="24"/>
          <w:rFonts w:ascii="黑体" w:hAnsi="黑体" w:eastAsia="黑体"/>
          <w:b w:val="0"/>
          <w:bCs/>
          <w:color w:val="auto"/>
        </w:rPr>
      </w:pPr>
      <w:bookmarkStart w:id="16" w:name="_Toc15396602"/>
      <w:bookmarkStart w:id="17" w:name="_Toc15377204"/>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4"/>
          <w:rFonts w:hint="eastAsia" w:ascii="黑体" w:hAnsi="黑体" w:eastAsia="黑体"/>
          <w:b w:val="0"/>
          <w:bCs/>
          <w:color w:val="auto"/>
        </w:rPr>
        <w:t>部门决算情况说明</w:t>
      </w:r>
      <w:bookmarkEnd w:id="16"/>
      <w:bookmarkEnd w:id="17"/>
    </w:p>
    <w:p>
      <w:pPr>
        <w:rPr>
          <w:color w:val="auto"/>
        </w:rPr>
      </w:pPr>
    </w:p>
    <w:p>
      <w:pPr>
        <w:pStyle w:val="23"/>
        <w:numPr>
          <w:ilvl w:val="0"/>
          <w:numId w:val="2"/>
        </w:numPr>
        <w:spacing w:line="600" w:lineRule="exact"/>
        <w:ind w:firstLineChars="0"/>
        <w:outlineLvl w:val="1"/>
        <w:rPr>
          <w:rStyle w:val="25"/>
          <w:rFonts w:ascii="黑体" w:hAnsi="黑体" w:eastAsia="黑体"/>
          <w:b w:val="0"/>
          <w:color w:val="auto"/>
        </w:rPr>
      </w:pPr>
      <w:bookmarkStart w:id="18" w:name="_Toc15377205"/>
      <w:bookmarkStart w:id="19" w:name="_Toc15396603"/>
      <w:r>
        <w:rPr>
          <w:rFonts w:hint="eastAsia" w:ascii="黑体" w:hAnsi="黑体" w:eastAsia="黑体"/>
          <w:color w:val="auto"/>
          <w:sz w:val="32"/>
          <w:szCs w:val="32"/>
        </w:rPr>
        <w:t>收</w:t>
      </w:r>
      <w:r>
        <w:rPr>
          <w:rStyle w:val="25"/>
          <w:rFonts w:hint="eastAsia" w:ascii="黑体" w:hAnsi="黑体" w:eastAsia="黑体"/>
          <w:b w:val="0"/>
          <w:color w:val="auto"/>
        </w:rPr>
        <w:t>入支出决算总体情况说明</w:t>
      </w:r>
      <w:bookmarkEnd w:id="18"/>
      <w:bookmarkEnd w:id="19"/>
    </w:p>
    <w:p>
      <w:pPr>
        <w:spacing w:line="600" w:lineRule="exact"/>
        <w:ind w:firstLine="640" w:firstLineChars="200"/>
        <w:rPr>
          <w:rFonts w:hint="eastAsia" w:ascii="仿宋_GB2312" w:hAnsi="仿宋" w:eastAsia="仿宋_GB2312"/>
          <w:sz w:val="32"/>
          <w:szCs w:val="32"/>
          <w:lang w:eastAsia="zh-CN"/>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年度收、支总计</w:t>
      </w:r>
      <w:r>
        <w:rPr>
          <w:rFonts w:hint="eastAsia" w:ascii="仿宋_GB2312" w:hAnsi="仿宋" w:eastAsia="仿宋_GB2312"/>
          <w:sz w:val="32"/>
          <w:szCs w:val="32"/>
        </w:rPr>
        <w:t>196</w:t>
      </w:r>
      <w:r>
        <w:rPr>
          <w:rFonts w:hint="eastAsia" w:ascii="仿宋_GB2312" w:hAnsi="仿宋" w:eastAsia="仿宋_GB2312"/>
          <w:sz w:val="32"/>
          <w:szCs w:val="32"/>
          <w:lang w:val="en-US" w:eastAsia="zh-CN"/>
        </w:rPr>
        <w:t>.</w:t>
      </w:r>
      <w:r>
        <w:rPr>
          <w:rFonts w:hint="eastAsia" w:ascii="仿宋_GB2312" w:hAnsi="仿宋" w:eastAsia="仿宋_GB2312"/>
          <w:sz w:val="32"/>
          <w:szCs w:val="32"/>
        </w:rPr>
        <w:t>86</w:t>
      </w:r>
      <w:r>
        <w:rPr>
          <w:rFonts w:hint="eastAsia" w:ascii="仿宋" w:hAnsi="仿宋" w:eastAsia="仿宋"/>
          <w:color w:val="auto"/>
          <w:sz w:val="32"/>
          <w:szCs w:val="32"/>
        </w:rPr>
        <w:t>万元。与201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年相比，收、支总计各减少</w:t>
      </w:r>
      <w:r>
        <w:rPr>
          <w:rFonts w:hint="eastAsia" w:ascii="仿宋" w:hAnsi="仿宋" w:eastAsia="仿宋"/>
          <w:color w:val="auto"/>
          <w:sz w:val="32"/>
          <w:szCs w:val="32"/>
          <w:lang w:val="en-US" w:eastAsia="zh-CN"/>
        </w:rPr>
        <w:t>47.85</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19.55</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 w:eastAsia="仿宋_GB2312"/>
          <w:sz w:val="32"/>
          <w:szCs w:val="32"/>
        </w:rPr>
        <w:t>新冠疫情期间服务老同志相关活动未开展，项目收入减少</w:t>
      </w:r>
      <w:r>
        <w:rPr>
          <w:rFonts w:hint="eastAsia" w:ascii="仿宋_GB2312" w:hAnsi="仿宋" w:eastAsia="仿宋_GB2312"/>
          <w:sz w:val="32"/>
          <w:szCs w:val="32"/>
          <w:lang w:eastAsia="zh-CN"/>
        </w:rPr>
        <w:t>。</w:t>
      </w:r>
    </w:p>
    <w:p>
      <w:pPr>
        <w:pStyle w:val="2"/>
        <w:rPr>
          <w:rFonts w:hint="eastAsia"/>
          <w:lang w:val="en-US" w:eastAsia="zh-CN"/>
        </w:rPr>
      </w:pPr>
      <w:r>
        <w:rPr>
          <w:rFonts w:hint="eastAsia"/>
          <w:lang w:val="en-US"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pPr>
        <w:spacing w:line="600" w:lineRule="exact"/>
        <w:ind w:firstLine="640" w:firstLineChars="200"/>
        <w:jc w:val="left"/>
        <w:rPr>
          <w:rFonts w:ascii="仿宋_GB2312" w:eastAsia="仿宋_GB2312"/>
          <w:color w:val="auto"/>
          <w:sz w:val="32"/>
          <w:szCs w:val="32"/>
        </w:rPr>
      </w:pPr>
    </w:p>
    <w:p>
      <w:pPr>
        <w:pStyle w:val="23"/>
        <w:numPr>
          <w:ilvl w:val="0"/>
          <w:numId w:val="2"/>
        </w:numPr>
        <w:spacing w:line="600" w:lineRule="exact"/>
        <w:ind w:firstLineChars="0"/>
        <w:outlineLvl w:val="1"/>
        <w:rPr>
          <w:rStyle w:val="25"/>
          <w:rFonts w:ascii="黑体" w:hAnsi="黑体" w:eastAsia="黑体"/>
          <w:b w:val="0"/>
          <w:color w:val="auto"/>
        </w:rPr>
      </w:pPr>
      <w:bookmarkStart w:id="20" w:name="_Toc15377206"/>
      <w:bookmarkStart w:id="21" w:name="_Toc15396604"/>
      <w:r>
        <w:rPr>
          <w:rFonts w:hint="eastAsia" w:ascii="黑体" w:hAnsi="黑体" w:eastAsia="黑体"/>
          <w:color w:val="auto"/>
          <w:sz w:val="32"/>
          <w:szCs w:val="32"/>
        </w:rPr>
        <w:t>收</w:t>
      </w:r>
      <w:r>
        <w:rPr>
          <w:rStyle w:val="25"/>
          <w:rFonts w:hint="eastAsia" w:ascii="黑体" w:hAnsi="黑体" w:eastAsia="黑体"/>
          <w:b w:val="0"/>
          <w:color w:val="auto"/>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_GB2312" w:hAnsi="仿宋" w:eastAsia="仿宋_GB2312"/>
          <w:sz w:val="32"/>
          <w:szCs w:val="32"/>
        </w:rPr>
        <w:t>196</w:t>
      </w:r>
      <w:r>
        <w:rPr>
          <w:rFonts w:hint="eastAsia" w:ascii="仿宋_GB2312" w:hAnsi="仿宋" w:eastAsia="仿宋_GB2312"/>
          <w:sz w:val="32"/>
          <w:szCs w:val="32"/>
          <w:lang w:val="en-US" w:eastAsia="zh-CN"/>
        </w:rPr>
        <w:t>.</w:t>
      </w:r>
      <w:r>
        <w:rPr>
          <w:rFonts w:hint="eastAsia" w:ascii="仿宋_GB2312" w:hAnsi="仿宋" w:eastAsia="仿宋_GB2312"/>
          <w:sz w:val="32"/>
          <w:szCs w:val="32"/>
        </w:rPr>
        <w:t>86</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196.86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pStyle w:val="2"/>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inline distT="0" distB="0" distL="114300" distR="114300">
            <wp:extent cx="5080000" cy="3810000"/>
            <wp:effectExtent l="4445" t="4445" r="571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（图2：收入决算结构图）（饼状图）</w:t>
      </w:r>
    </w:p>
    <w:p>
      <w:pPr>
        <w:spacing w:line="600" w:lineRule="exact"/>
        <w:ind w:firstLine="640" w:firstLineChars="200"/>
        <w:rPr>
          <w:rFonts w:ascii="仿宋_GB2312" w:eastAsia="仿宋_GB2312"/>
          <w:color w:val="auto"/>
          <w:sz w:val="32"/>
          <w:szCs w:val="32"/>
        </w:rPr>
      </w:pPr>
    </w:p>
    <w:p>
      <w:pPr>
        <w:pStyle w:val="23"/>
        <w:numPr>
          <w:ilvl w:val="0"/>
          <w:numId w:val="2"/>
        </w:numPr>
        <w:spacing w:line="600" w:lineRule="exact"/>
        <w:ind w:firstLineChars="0"/>
        <w:outlineLvl w:val="1"/>
        <w:rPr>
          <w:rStyle w:val="25"/>
          <w:rFonts w:ascii="黑体" w:hAnsi="黑体" w:eastAsia="黑体"/>
          <w:b w:val="0"/>
          <w:color w:val="auto"/>
        </w:rPr>
      </w:pPr>
      <w:bookmarkStart w:id="22" w:name="_Toc15396605"/>
      <w:bookmarkStart w:id="23" w:name="_Toc15377207"/>
      <w:r>
        <w:rPr>
          <w:rFonts w:hint="eastAsia" w:ascii="黑体" w:hAnsi="黑体" w:eastAsia="黑体"/>
          <w:color w:val="auto"/>
          <w:sz w:val="32"/>
          <w:szCs w:val="32"/>
        </w:rPr>
        <w:t>支</w:t>
      </w:r>
      <w:r>
        <w:rPr>
          <w:rStyle w:val="25"/>
          <w:rFonts w:hint="eastAsia" w:ascii="黑体" w:hAnsi="黑体" w:eastAsia="黑体"/>
          <w:b w:val="0"/>
          <w:color w:val="auto"/>
        </w:rPr>
        <w:t>出决算情况说明</w:t>
      </w:r>
      <w:bookmarkEnd w:id="22"/>
      <w:bookmarkEnd w:id="23"/>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196.86</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164.87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83.75</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31.99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16.25</w:t>
      </w:r>
      <w:r>
        <w:rPr>
          <w:rFonts w:ascii="仿宋" w:hAnsi="仿宋" w:eastAsia="仿宋"/>
          <w:color w:val="auto"/>
          <w:sz w:val="32"/>
          <w:szCs w:val="32"/>
        </w:rPr>
        <w:t>%</w:t>
      </w:r>
      <w:r>
        <w:rPr>
          <w:rFonts w:hint="eastAsia" w:ascii="仿宋" w:hAnsi="仿宋" w:eastAsia="仿宋"/>
          <w:color w:val="auto"/>
          <w:sz w:val="32"/>
          <w:szCs w:val="32"/>
        </w:rPr>
        <w:t>；上缴上级支出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；对附属单位补助支出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outlineLvl w:val="1"/>
        <w:rPr>
          <w:rFonts w:hint="eastAsia" w:ascii="仿宋" w:hAnsi="仿宋" w:eastAsia="仿宋"/>
          <w:b/>
          <w:color w:val="auto"/>
          <w:sz w:val="32"/>
          <w:szCs w:val="32"/>
          <w:lang w:eastAsia="zh-CN"/>
        </w:rPr>
      </w:pPr>
    </w:p>
    <w:p>
      <w:pPr>
        <w:spacing w:line="600" w:lineRule="exact"/>
        <w:ind w:firstLine="643" w:firstLineChars="200"/>
        <w:outlineLvl w:val="1"/>
        <w:rPr>
          <w:rFonts w:hint="eastAsia" w:ascii="仿宋" w:hAnsi="仿宋" w:eastAsia="仿宋"/>
          <w:b/>
          <w:color w:val="auto"/>
          <w:sz w:val="32"/>
          <w:szCs w:val="32"/>
        </w:rPr>
      </w:pPr>
    </w:p>
    <w:p>
      <w:pPr>
        <w:pStyle w:val="2"/>
        <w:rPr>
          <w:rFonts w:hint="eastAsia" w:ascii="仿宋" w:hAnsi="仿宋" w:eastAsia="仿宋"/>
          <w:b/>
          <w:color w:val="auto"/>
          <w:sz w:val="32"/>
          <w:szCs w:val="32"/>
        </w:rPr>
      </w:pPr>
    </w:p>
    <w:p>
      <w:pPr>
        <w:pStyle w:val="2"/>
        <w:rPr>
          <w:rFonts w:hint="eastAsia" w:ascii="仿宋" w:hAnsi="仿宋" w:eastAsia="仿宋"/>
          <w:b/>
          <w:color w:val="auto"/>
          <w:sz w:val="32"/>
          <w:szCs w:val="32"/>
        </w:rPr>
      </w:pPr>
      <w:r>
        <w:rPr>
          <w:rFonts w:hint="eastAsia" w:ascii="仿宋" w:hAnsi="仿宋" w:eastAsia="仿宋"/>
          <w:b/>
          <w:color w:val="auto"/>
          <w:sz w:val="32"/>
          <w:szCs w:val="32"/>
          <w:lang w:eastAsia="zh-CN"/>
        </w:rPr>
        <w:drawing>
          <wp:anchor distT="0" distB="0" distL="114300" distR="114300" simplePos="0" relativeHeight="251659264" behindDoc="0" locked="0" layoutInCell="1" allowOverlap="1">
            <wp:simplePos x="0" y="0"/>
            <wp:positionH relativeFrom="column">
              <wp:posOffset>-61595</wp:posOffset>
            </wp:positionH>
            <wp:positionV relativeFrom="paragraph">
              <wp:posOffset>-537210</wp:posOffset>
            </wp:positionV>
            <wp:extent cx="5354320" cy="3475355"/>
            <wp:effectExtent l="4445" t="4445" r="5715" b="1016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（图3：支出决算结构图）（饼状图）</w:t>
      </w:r>
    </w:p>
    <w:p>
      <w:pPr>
        <w:spacing w:line="600" w:lineRule="exact"/>
        <w:ind w:firstLine="640" w:firstLineChars="200"/>
        <w:rPr>
          <w:rFonts w:ascii="仿宋_GB2312" w:eastAsia="仿宋_GB2312"/>
          <w:color w:val="auto"/>
          <w:sz w:val="32"/>
          <w:szCs w:val="32"/>
        </w:rPr>
      </w:pPr>
    </w:p>
    <w:p>
      <w:pPr>
        <w:spacing w:line="600" w:lineRule="exact"/>
        <w:ind w:firstLine="640" w:firstLineChars="200"/>
        <w:outlineLvl w:val="1"/>
        <w:rPr>
          <w:rStyle w:val="25"/>
          <w:rFonts w:ascii="黑体" w:hAnsi="黑体" w:eastAsia="黑体"/>
          <w:b w:val="0"/>
          <w:color w:val="auto"/>
        </w:rPr>
      </w:pPr>
      <w:bookmarkStart w:id="24" w:name="_Toc15377208"/>
      <w:bookmarkStart w:id="25" w:name="_Toc15396606"/>
      <w:r>
        <w:rPr>
          <w:rFonts w:hint="eastAsia" w:ascii="黑体" w:hAnsi="黑体" w:eastAsia="黑体"/>
          <w:color w:val="auto"/>
          <w:sz w:val="32"/>
          <w:szCs w:val="32"/>
        </w:rPr>
        <w:t>四、财</w:t>
      </w:r>
      <w:r>
        <w:rPr>
          <w:rStyle w:val="25"/>
          <w:rFonts w:hint="eastAsia" w:ascii="黑体" w:hAnsi="黑体" w:eastAsia="黑体"/>
          <w:b w:val="0"/>
          <w:color w:val="auto"/>
        </w:rPr>
        <w:t>政拨款收入支出决算总体情况说明</w:t>
      </w:r>
      <w:bookmarkEnd w:id="24"/>
      <w:bookmarkEnd w:id="25"/>
    </w:p>
    <w:p>
      <w:pPr>
        <w:spacing w:line="600" w:lineRule="exact"/>
        <w:ind w:firstLine="640"/>
        <w:rPr>
          <w:rFonts w:hint="eastAsia" w:ascii="仿宋_GB2312" w:hAnsi="仿宋" w:eastAsia="仿宋_GB2312"/>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196.86</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年相比，财政拨款收、支总计各减少</w:t>
      </w:r>
      <w:r>
        <w:rPr>
          <w:rFonts w:hint="eastAsia" w:ascii="仿宋" w:hAnsi="仿宋" w:eastAsia="仿宋"/>
          <w:color w:val="auto"/>
          <w:sz w:val="32"/>
          <w:szCs w:val="32"/>
          <w:lang w:val="en-US" w:eastAsia="zh-CN"/>
        </w:rPr>
        <w:t>47.85</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19.55</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 w:eastAsia="仿宋_GB2312"/>
          <w:sz w:val="32"/>
          <w:szCs w:val="32"/>
        </w:rPr>
        <w:t>新冠疫情期间服务老同志相关活动未开展，项目收入减少</w:t>
      </w:r>
      <w:r>
        <w:rPr>
          <w:rFonts w:hint="eastAsia" w:ascii="仿宋_GB2312" w:hAnsi="仿宋" w:eastAsia="仿宋_GB2312"/>
          <w:sz w:val="32"/>
          <w:szCs w:val="32"/>
          <w:lang w:eastAsia="zh-CN"/>
        </w:rPr>
        <w:t>。</w:t>
      </w:r>
    </w:p>
    <w:p>
      <w:pPr>
        <w:pStyle w:val="2"/>
        <w:rPr>
          <w:rFonts w:hint="eastAsia" w:ascii="仿宋_GB2312" w:hAnsi="仿宋" w:eastAsia="仿宋_GB2312"/>
          <w:sz w:val="32"/>
          <w:szCs w:val="32"/>
          <w:lang w:eastAsia="zh-CN"/>
        </w:rPr>
      </w:pPr>
      <w:r>
        <w:rPr>
          <w:rFonts w:hint="eastAsia"/>
          <w:lang w:val="en-US" w:eastAsia="zh-CN"/>
        </w:rPr>
        <w:drawing>
          <wp:inline distT="0" distB="0" distL="114300" distR="114300">
            <wp:extent cx="5080000" cy="3810000"/>
            <wp:effectExtent l="4445" t="4445" r="571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color w:val="auto"/>
          <w:sz w:val="32"/>
          <w:szCs w:val="32"/>
        </w:rPr>
      </w:pPr>
      <w:r>
        <w:rPr>
          <w:rFonts w:hint="eastAsia" w:ascii="仿宋" w:hAnsi="仿宋" w:eastAsia="仿宋"/>
          <w:color w:val="auto"/>
          <w:sz w:val="32"/>
          <w:szCs w:val="32"/>
        </w:rPr>
        <w:t>（图4：财政拨款收、支决算总计变动情况）（柱状图）</w:t>
      </w:r>
    </w:p>
    <w:p>
      <w:pPr>
        <w:spacing w:line="600" w:lineRule="exact"/>
        <w:ind w:firstLine="640" w:firstLineChars="200"/>
        <w:outlineLvl w:val="1"/>
        <w:rPr>
          <w:rStyle w:val="25"/>
          <w:rFonts w:ascii="黑体" w:hAnsi="黑体" w:eastAsia="黑体"/>
          <w:b w:val="0"/>
          <w:color w:val="auto"/>
        </w:rPr>
      </w:pPr>
      <w:bookmarkStart w:id="26" w:name="_Toc15377209"/>
      <w:bookmarkStart w:id="27" w:name="_Toc15396607"/>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pPr>
        <w:spacing w:line="600" w:lineRule="exact"/>
        <w:ind w:firstLine="640" w:firstLineChars="200"/>
        <w:rPr>
          <w:rFonts w:hint="eastAsia" w:ascii="仿宋" w:hAnsi="仿宋" w:eastAsia="仿宋_GB2312"/>
          <w:color w:val="auto"/>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196.86</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年相比，一般公共预算财政拨款减少</w:t>
      </w:r>
      <w:r>
        <w:rPr>
          <w:rFonts w:hint="eastAsia" w:ascii="仿宋" w:hAnsi="仿宋" w:eastAsia="仿宋"/>
          <w:color w:val="auto"/>
          <w:sz w:val="32"/>
          <w:szCs w:val="32"/>
          <w:lang w:val="en-US" w:eastAsia="zh-CN"/>
        </w:rPr>
        <w:t>47.85</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19.55</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 w:eastAsia="仿宋_GB2312"/>
          <w:sz w:val="32"/>
          <w:szCs w:val="32"/>
        </w:rPr>
        <w:t>新冠疫情期间服务老同志相关活动未开展，项目收入减少</w:t>
      </w:r>
      <w:r>
        <w:rPr>
          <w:rFonts w:hint="eastAsia" w:ascii="仿宋_GB2312" w:hAnsi="仿宋" w:eastAsia="仿宋_GB2312"/>
          <w:sz w:val="32"/>
          <w:szCs w:val="32"/>
          <w:lang w:eastAsia="zh-CN"/>
        </w:rPr>
        <w:t>。</w:t>
      </w:r>
    </w:p>
    <w:p>
      <w:pPr>
        <w:spacing w:line="600" w:lineRule="exact"/>
        <w:ind w:firstLine="420" w:firstLineChars="200"/>
        <w:rPr>
          <w:rFonts w:hint="eastAsia" w:ascii="仿宋" w:hAnsi="仿宋" w:eastAsia="仿宋"/>
          <w:color w:val="auto"/>
          <w:sz w:val="32"/>
          <w:szCs w:val="32"/>
        </w:rPr>
      </w:pPr>
      <w:r>
        <w:rPr>
          <w:rFonts w:hint="eastAsia"/>
          <w:lang w:val="en-US" w:eastAsia="zh-CN"/>
        </w:rPr>
        <w:drawing>
          <wp:anchor distT="0" distB="0" distL="114300" distR="114300" simplePos="0" relativeHeight="251660288" behindDoc="0" locked="0" layoutInCell="1" allowOverlap="1">
            <wp:simplePos x="0" y="0"/>
            <wp:positionH relativeFrom="column">
              <wp:posOffset>302260</wp:posOffset>
            </wp:positionH>
            <wp:positionV relativeFrom="paragraph">
              <wp:posOffset>285750</wp:posOffset>
            </wp:positionV>
            <wp:extent cx="5048885" cy="3071495"/>
            <wp:effectExtent l="4445" t="4445" r="6350" b="177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pPr>
      <w:r>
        <w:rPr>
          <w:rFonts w:hint="eastAsia" w:ascii="仿宋" w:hAnsi="仿宋" w:eastAsia="仿宋"/>
          <w:color w:val="auto"/>
          <w:sz w:val="32"/>
          <w:szCs w:val="32"/>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pPr>
        <w:spacing w:line="600" w:lineRule="exact"/>
        <w:ind w:firstLine="640"/>
        <w:rPr>
          <w:rFonts w:hint="eastAsia"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196.86</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3.35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1.7</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168.45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85.56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10.41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5.29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住房保障支出</w:t>
      </w:r>
      <w:r>
        <w:rPr>
          <w:rFonts w:hint="eastAsia" w:ascii="仿宋" w:hAnsi="仿宋" w:eastAsia="仿宋"/>
          <w:color w:val="auto"/>
          <w:sz w:val="32"/>
          <w:szCs w:val="32"/>
          <w:lang w:val="en-US" w:eastAsia="zh-CN"/>
        </w:rPr>
        <w:t>14.66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7.45</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r>
        <w:rPr>
          <w:rFonts w:hint="eastAsia" w:ascii="仿宋" w:hAnsi="仿宋" w:eastAsia="仿宋"/>
          <w:color w:val="auto"/>
          <w:sz w:val="32"/>
          <w:szCs w:val="32"/>
          <w:lang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rPr>
      </w:pPr>
      <w:bookmarkStart w:id="31" w:name="_Toc15377213"/>
      <w:bookmarkStart w:id="32" w:name="_Toc15378460"/>
      <w:bookmarkStart w:id="33" w:name="_Toc15377444"/>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b/>
          <w:color w:val="auto"/>
          <w:sz w:val="32"/>
          <w:szCs w:val="32"/>
          <w:lang w:val="en-US" w:eastAsia="zh-CN"/>
        </w:rPr>
        <w:t>196.86万元</w:t>
      </w:r>
      <w:r>
        <w:rPr>
          <w:rFonts w:hint="eastAsia" w:ascii="仿宋" w:hAnsi="仿宋" w:eastAsia="仿宋"/>
          <w:color w:val="auto"/>
          <w:sz w:val="32"/>
          <w:szCs w:val="32"/>
        </w:rPr>
        <w:t>，</w:t>
      </w:r>
      <w:r>
        <w:rPr>
          <w:rStyle w:val="14"/>
          <w:rFonts w:hint="eastAsia" w:ascii="仿宋" w:hAnsi="仿宋" w:eastAsia="仿宋"/>
          <w:bCs/>
          <w:color w:val="auto"/>
          <w:sz w:val="32"/>
          <w:szCs w:val="32"/>
        </w:rPr>
        <w:t>完成预算</w:t>
      </w:r>
      <w:r>
        <w:rPr>
          <w:rStyle w:val="14"/>
          <w:rFonts w:hint="eastAsia" w:ascii="仿宋" w:hAnsi="仿宋" w:eastAsia="仿宋"/>
          <w:bCs/>
          <w:color w:val="auto"/>
          <w:sz w:val="32"/>
          <w:szCs w:val="32"/>
          <w:lang w:val="en-US" w:eastAsia="zh-CN"/>
        </w:rPr>
        <w:t>100</w:t>
      </w:r>
      <w:r>
        <w:rPr>
          <w:rStyle w:val="14"/>
          <w:rFonts w:ascii="仿宋" w:hAnsi="仿宋" w:eastAsia="仿宋"/>
          <w:bCs/>
          <w:color w:val="auto"/>
          <w:sz w:val="32"/>
          <w:szCs w:val="32"/>
        </w:rPr>
        <w:t>%</w:t>
      </w:r>
      <w:r>
        <w:rPr>
          <w:rStyle w:val="14"/>
          <w:rFonts w:hint="eastAsia" w:ascii="仿宋" w:hAnsi="仿宋" w:eastAsia="仿宋"/>
          <w:bCs/>
          <w:color w:val="auto"/>
          <w:sz w:val="32"/>
          <w:szCs w:val="32"/>
        </w:rPr>
        <w:t>。其中：</w:t>
      </w:r>
      <w:bookmarkEnd w:id="31"/>
      <w:bookmarkEnd w:id="32"/>
      <w:bookmarkEnd w:id="33"/>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1.</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其他共产党事务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行政运行</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3.35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w:t>
      </w:r>
    </w:p>
    <w:p>
      <w:pPr>
        <w:spacing w:line="600" w:lineRule="exact"/>
        <w:ind w:firstLine="643" w:firstLineChars="200"/>
        <w:rPr>
          <w:rStyle w:val="14"/>
          <w:rFonts w:hint="eastAsia" w:ascii="仿宋" w:hAnsi="仿宋" w:eastAsia="仿宋"/>
          <w:b w:val="0"/>
          <w:bCs/>
          <w:color w:val="auto"/>
          <w:sz w:val="32"/>
          <w:szCs w:val="32"/>
          <w:lang w:eastAsia="zh-CN"/>
        </w:rPr>
      </w:pPr>
      <w:r>
        <w:rPr>
          <w:rStyle w:val="14"/>
          <w:rFonts w:ascii="仿宋" w:hAnsi="仿宋" w:eastAsia="仿宋"/>
          <w:bCs/>
          <w:color w:val="auto"/>
          <w:sz w:val="32"/>
          <w:szCs w:val="32"/>
        </w:rPr>
        <w:t>2.</w:t>
      </w: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eastAsia="zh-CN"/>
        </w:rPr>
        <w:t>行政事业单位养老</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行政单位离退休</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18.59</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w:t>
      </w:r>
      <w:r>
        <w:rPr>
          <w:rStyle w:val="14"/>
          <w:rFonts w:hint="eastAsia" w:ascii="仿宋" w:hAnsi="仿宋" w:eastAsia="仿宋"/>
          <w:b w:val="0"/>
          <w:bCs/>
          <w:color w:val="auto"/>
          <w:sz w:val="32"/>
          <w:szCs w:val="32"/>
          <w:lang w:eastAsia="zh-CN"/>
        </w:rPr>
        <w:t>。</w:t>
      </w:r>
    </w:p>
    <w:p>
      <w:pPr>
        <w:spacing w:line="600" w:lineRule="exact"/>
        <w:ind w:firstLine="643" w:firstLineChars="200"/>
        <w:rPr>
          <w:rStyle w:val="14"/>
          <w:rFonts w:hint="eastAsia" w:ascii="仿宋" w:hAnsi="仿宋" w:eastAsia="仿宋"/>
          <w:b w:val="0"/>
          <w:bCs/>
          <w:color w:val="auto"/>
          <w:sz w:val="32"/>
          <w:szCs w:val="32"/>
          <w:lang w:eastAsia="zh-CN"/>
        </w:rPr>
      </w:pPr>
      <w:r>
        <w:rPr>
          <w:rStyle w:val="14"/>
          <w:rFonts w:ascii="仿宋" w:hAnsi="仿宋" w:eastAsia="仿宋"/>
          <w:bCs/>
          <w:color w:val="auto"/>
          <w:sz w:val="32"/>
          <w:szCs w:val="32"/>
        </w:rPr>
        <w:t>3.</w:t>
      </w: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eastAsia="zh-CN"/>
        </w:rPr>
        <w:t>行政事业单位养老</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离退休人员管理机构</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136.83</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w:t>
      </w:r>
      <w:r>
        <w:rPr>
          <w:rStyle w:val="14"/>
          <w:rFonts w:hint="eastAsia" w:ascii="仿宋" w:hAnsi="仿宋" w:eastAsia="仿宋"/>
          <w:b w:val="0"/>
          <w:bCs/>
          <w:color w:val="auto"/>
          <w:sz w:val="32"/>
          <w:szCs w:val="32"/>
          <w:lang w:eastAsia="zh-CN"/>
        </w:rPr>
        <w:t>。</w:t>
      </w:r>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4.</w:t>
      </w: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eastAsia="zh-CN"/>
        </w:rPr>
        <w:t>行政事业单位养老</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机关事业单位基本养老保险缴费</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9.31</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w:t>
      </w:r>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5.</w:t>
      </w: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eastAsia="zh-CN"/>
        </w:rPr>
        <w:t>行政事业单位养老</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机关事业单位职业年金缴费</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3.72</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w:t>
      </w:r>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6.</w:t>
      </w:r>
      <w:r>
        <w:rPr>
          <w:rFonts w:hint="eastAsia" w:ascii="仿宋" w:hAnsi="仿宋" w:eastAsia="仿宋"/>
          <w:b/>
          <w:bCs/>
          <w:color w:val="auto"/>
          <w:sz w:val="32"/>
          <w:szCs w:val="32"/>
        </w:rPr>
        <w:t>卫生健康</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行政事业单位医疗</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事业单位医疗</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w:t>
      </w:r>
      <w:r>
        <w:rPr>
          <w:rStyle w:val="14"/>
          <w:rFonts w:hint="eastAsia" w:ascii="仿宋" w:hAnsi="仿宋" w:eastAsia="仿宋"/>
          <w:b w:val="0"/>
          <w:bCs/>
          <w:color w:val="auto"/>
          <w:sz w:val="32"/>
          <w:szCs w:val="32"/>
          <w:lang w:val="en-US" w:eastAsia="zh-CN"/>
        </w:rPr>
        <w:t>8.05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w:t>
      </w:r>
    </w:p>
    <w:p>
      <w:pPr>
        <w:spacing w:line="600" w:lineRule="exact"/>
        <w:ind w:firstLine="643" w:firstLineChars="200"/>
        <w:rPr>
          <w:rFonts w:ascii="仿宋" w:hAnsi="仿宋" w:eastAsia="仿宋"/>
          <w:b/>
          <w:color w:val="auto"/>
          <w:sz w:val="32"/>
          <w:szCs w:val="32"/>
        </w:rPr>
      </w:pPr>
      <w:r>
        <w:rPr>
          <w:rStyle w:val="14"/>
          <w:rFonts w:hint="eastAsia" w:ascii="仿宋" w:hAnsi="仿宋" w:eastAsia="仿宋"/>
          <w:bCs/>
          <w:color w:val="auto"/>
          <w:sz w:val="32"/>
          <w:szCs w:val="32"/>
          <w:lang w:val="en-US" w:eastAsia="zh-CN"/>
        </w:rPr>
        <w:t>7</w:t>
      </w:r>
      <w:r>
        <w:rPr>
          <w:rStyle w:val="14"/>
          <w:rFonts w:ascii="仿宋" w:hAnsi="仿宋" w:eastAsia="仿宋"/>
          <w:bCs/>
          <w:color w:val="auto"/>
          <w:sz w:val="32"/>
          <w:szCs w:val="32"/>
        </w:rPr>
        <w:t>.</w:t>
      </w:r>
      <w:r>
        <w:rPr>
          <w:rFonts w:hint="eastAsia" w:ascii="仿宋" w:hAnsi="仿宋" w:eastAsia="仿宋"/>
          <w:b/>
          <w:bCs/>
          <w:color w:val="auto"/>
          <w:sz w:val="32"/>
          <w:szCs w:val="32"/>
        </w:rPr>
        <w:t>卫生健康</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行政事业单位医疗</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公务员医疗补助</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w:t>
      </w:r>
      <w:r>
        <w:rPr>
          <w:rStyle w:val="14"/>
          <w:rFonts w:hint="eastAsia" w:ascii="仿宋" w:hAnsi="仿宋" w:eastAsia="仿宋"/>
          <w:b w:val="0"/>
          <w:bCs/>
          <w:color w:val="auto"/>
          <w:sz w:val="32"/>
          <w:szCs w:val="32"/>
          <w:lang w:val="en-US" w:eastAsia="zh-CN"/>
        </w:rPr>
        <w:t>2.36</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w:t>
      </w:r>
    </w:p>
    <w:p>
      <w:pPr>
        <w:spacing w:line="600" w:lineRule="exact"/>
        <w:ind w:firstLine="643" w:firstLineChars="200"/>
        <w:rPr>
          <w:rFonts w:ascii="仿宋" w:hAnsi="仿宋" w:eastAsia="仿宋"/>
          <w:b/>
          <w:color w:val="auto"/>
          <w:sz w:val="32"/>
          <w:szCs w:val="32"/>
        </w:rPr>
      </w:pPr>
      <w:r>
        <w:rPr>
          <w:rStyle w:val="14"/>
          <w:rFonts w:hint="eastAsia" w:ascii="仿宋" w:hAnsi="仿宋" w:eastAsia="仿宋"/>
          <w:bCs/>
          <w:color w:val="auto"/>
          <w:sz w:val="32"/>
          <w:szCs w:val="32"/>
          <w:lang w:val="en-US" w:eastAsia="zh-CN"/>
        </w:rPr>
        <w:t>8</w:t>
      </w:r>
      <w:r>
        <w:rPr>
          <w:rStyle w:val="14"/>
          <w:rFonts w:ascii="仿宋" w:hAnsi="仿宋" w:eastAsia="仿宋"/>
          <w:bCs/>
          <w:color w:val="auto"/>
          <w:sz w:val="32"/>
          <w:szCs w:val="32"/>
        </w:rPr>
        <w:t>.</w:t>
      </w:r>
      <w:r>
        <w:rPr>
          <w:rFonts w:hint="eastAsia" w:ascii="仿宋" w:hAnsi="仿宋" w:eastAsia="仿宋"/>
          <w:b/>
          <w:bCs/>
          <w:color w:val="auto"/>
          <w:sz w:val="32"/>
          <w:szCs w:val="32"/>
          <w:lang w:eastAsia="zh-CN"/>
        </w:rPr>
        <w:t>住房保障</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住房改革</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住房公积金</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w:t>
      </w:r>
      <w:r>
        <w:rPr>
          <w:rStyle w:val="14"/>
          <w:rFonts w:hint="eastAsia" w:ascii="仿宋" w:hAnsi="仿宋" w:eastAsia="仿宋"/>
          <w:b w:val="0"/>
          <w:bCs/>
          <w:color w:val="auto"/>
          <w:sz w:val="32"/>
          <w:szCs w:val="32"/>
          <w:lang w:val="en-US" w:eastAsia="zh-CN"/>
        </w:rPr>
        <w:t>7.95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w:t>
      </w:r>
    </w:p>
    <w:p>
      <w:pPr>
        <w:spacing w:line="600" w:lineRule="exact"/>
        <w:ind w:firstLine="643" w:firstLineChars="200"/>
        <w:rPr>
          <w:rFonts w:ascii="仿宋" w:hAnsi="仿宋" w:eastAsia="仿宋"/>
          <w:b/>
          <w:color w:val="auto"/>
          <w:sz w:val="32"/>
          <w:szCs w:val="32"/>
        </w:rPr>
      </w:pPr>
      <w:r>
        <w:rPr>
          <w:rStyle w:val="14"/>
          <w:rFonts w:hint="eastAsia" w:ascii="仿宋" w:hAnsi="仿宋" w:eastAsia="仿宋"/>
          <w:bCs/>
          <w:color w:val="auto"/>
          <w:sz w:val="32"/>
          <w:szCs w:val="32"/>
          <w:lang w:val="en-US" w:eastAsia="zh-CN"/>
        </w:rPr>
        <w:t>9</w:t>
      </w:r>
      <w:r>
        <w:rPr>
          <w:rStyle w:val="14"/>
          <w:rFonts w:ascii="仿宋" w:hAnsi="仿宋" w:eastAsia="仿宋"/>
          <w:bCs/>
          <w:color w:val="auto"/>
          <w:sz w:val="32"/>
          <w:szCs w:val="32"/>
        </w:rPr>
        <w:t>.</w:t>
      </w:r>
      <w:r>
        <w:rPr>
          <w:rFonts w:hint="eastAsia" w:ascii="仿宋" w:hAnsi="仿宋" w:eastAsia="仿宋"/>
          <w:b/>
          <w:bCs/>
          <w:color w:val="auto"/>
          <w:sz w:val="32"/>
          <w:szCs w:val="32"/>
          <w:lang w:eastAsia="zh-CN"/>
        </w:rPr>
        <w:t>住房保障</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住房改革</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购房补贴</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w:t>
      </w:r>
      <w:r>
        <w:rPr>
          <w:rStyle w:val="14"/>
          <w:rFonts w:hint="eastAsia" w:ascii="仿宋" w:hAnsi="仿宋" w:eastAsia="仿宋"/>
          <w:b w:val="0"/>
          <w:bCs/>
          <w:color w:val="auto"/>
          <w:sz w:val="32"/>
          <w:szCs w:val="32"/>
          <w:lang w:val="en-US" w:eastAsia="zh-CN"/>
        </w:rPr>
        <w:t>6.71</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w:t>
      </w:r>
    </w:p>
    <w:p>
      <w:pPr>
        <w:tabs>
          <w:tab w:val="right" w:pos="8306"/>
        </w:tabs>
        <w:spacing w:line="600" w:lineRule="exact"/>
        <w:ind w:firstLine="640"/>
        <w:outlineLvl w:val="1"/>
        <w:rPr>
          <w:rStyle w:val="25"/>
          <w:color w:val="auto"/>
        </w:rPr>
      </w:pPr>
      <w:bookmarkStart w:id="34" w:name="_Toc15377214"/>
      <w:bookmarkStart w:id="35"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般公共预算财政拨款基本支出决算情况说明</w:t>
      </w:r>
      <w:bookmarkEnd w:id="34"/>
      <w:bookmarkEnd w:id="35"/>
      <w:r>
        <w:rPr>
          <w:rStyle w:val="25"/>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196.86</w:t>
      </w:r>
      <w:r>
        <w:rPr>
          <w:rFonts w:hint="eastAsia" w:ascii="仿宋" w:hAnsi="仿宋" w:eastAsia="仿宋"/>
          <w:color w:val="auto"/>
          <w:sz w:val="32"/>
          <w:szCs w:val="32"/>
        </w:rPr>
        <w:t>万元，其中：</w:t>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123.41</w:t>
      </w:r>
      <w:r>
        <w:rPr>
          <w:rFonts w:hint="eastAsia" w:ascii="仿宋" w:hAnsi="仿宋" w:eastAsia="仿宋"/>
          <w:color w:val="auto"/>
          <w:sz w:val="32"/>
          <w:szCs w:val="32"/>
        </w:rPr>
        <w:t>万元，主要包括：基本工资、津贴补贴、奖金、绩效工资、机关事业单位基本养老保险缴费、职业年金缴费、其他社会保障缴费、其他工资福利支出、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22.86</w:t>
      </w:r>
      <w:r>
        <w:rPr>
          <w:rFonts w:hint="eastAsia" w:ascii="仿宋" w:hAnsi="仿宋" w:eastAsia="仿宋"/>
          <w:color w:val="auto"/>
          <w:sz w:val="32"/>
          <w:szCs w:val="32"/>
        </w:rPr>
        <w:t>万元，主要包括：办公费、水费、电费、邮电费、差旅费、维修（护）费、劳务费、工会经费、福利费、公务用车运行维护费、其他交通费、其他商品和服务支出、办公设备购置等。</w:t>
      </w:r>
    </w:p>
    <w:p>
      <w:pPr>
        <w:spacing w:line="600" w:lineRule="exact"/>
        <w:ind w:firstLine="640"/>
        <w:outlineLvl w:val="1"/>
        <w:rPr>
          <w:rStyle w:val="25"/>
          <w:rFonts w:ascii="黑体" w:hAnsi="黑体" w:eastAsia="黑体"/>
          <w:b w:val="0"/>
          <w:color w:val="auto"/>
        </w:rPr>
      </w:pPr>
      <w:bookmarkStart w:id="36" w:name="_Toc15377215"/>
      <w:bookmarkStart w:id="37" w:name="_Toc15396609"/>
      <w:r>
        <w:rPr>
          <w:rFonts w:hint="eastAsia" w:ascii="黑体" w:eastAsia="黑体"/>
          <w:color w:val="auto"/>
          <w:sz w:val="32"/>
          <w:szCs w:val="32"/>
        </w:rPr>
        <w:t>七、</w:t>
      </w:r>
      <w:r>
        <w:rPr>
          <w:rStyle w:val="25"/>
          <w:rFonts w:hint="eastAsia" w:ascii="黑体" w:hAnsi="黑体" w:eastAsia="黑体"/>
          <w:color w:val="auto"/>
        </w:rPr>
        <w:t>“</w:t>
      </w:r>
      <w:r>
        <w:rPr>
          <w:rStyle w:val="25"/>
          <w:rFonts w:hint="eastAsia" w:ascii="黑体" w:hAnsi="黑体" w:eastAsia="黑体"/>
          <w:b w:val="0"/>
          <w:color w:val="auto"/>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万元，决算数与预算数持平。</w:t>
      </w:r>
    </w:p>
    <w:p>
      <w:pPr>
        <w:spacing w:line="600" w:lineRule="exact"/>
        <w:ind w:firstLine="640"/>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万元；公务用车购置及运行维护费支出决算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万元。具体情况如下：</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次，出国（境）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人。因公出国（境）支出决算比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eastAsia="zh-CN"/>
        </w:rPr>
        <w:t>持平</w:t>
      </w:r>
      <w:r>
        <w:rPr>
          <w:rFonts w:hint="eastAsia" w:ascii="仿宋_GB2312" w:eastAsia="仿宋_GB2312"/>
          <w:color w:val="auto"/>
          <w:sz w:val="32"/>
          <w:szCs w:val="32"/>
        </w:rPr>
        <w:t>。</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w:t>
      </w:r>
      <w:r>
        <w:rPr>
          <w:rFonts w:hint="eastAsia" w:ascii="仿宋_GB2312" w:eastAsia="仿宋_GB2312"/>
          <w:color w:val="auto"/>
          <w:sz w:val="32"/>
          <w:szCs w:val="32"/>
          <w:lang w:eastAsia="zh-CN"/>
        </w:rPr>
        <w:t>与</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eastAsia="zh-CN"/>
        </w:rPr>
        <w:t>持平</w:t>
      </w:r>
      <w:r>
        <w:rPr>
          <w:rFonts w:hint="eastAsia" w:ascii="仿宋_GB2312" w:eastAsia="仿宋_GB2312"/>
          <w:color w:val="auto"/>
          <w:sz w:val="32"/>
          <w:szCs w:val="32"/>
        </w:rPr>
        <w:t>。</w:t>
      </w:r>
    </w:p>
    <w:p>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p>
    <w:p>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0</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公务接待费支出决算</w:t>
      </w:r>
      <w:r>
        <w:rPr>
          <w:rFonts w:hint="eastAsia" w:ascii="仿宋_GB2312" w:eastAsia="仿宋_GB2312"/>
          <w:color w:val="auto"/>
          <w:sz w:val="32"/>
          <w:szCs w:val="32"/>
          <w:lang w:eastAsia="zh-CN"/>
        </w:rPr>
        <w:t>与</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eastAsia="zh-CN"/>
        </w:rPr>
        <w:t>持平</w:t>
      </w:r>
      <w:r>
        <w:rPr>
          <w:rFonts w:hint="eastAsia" w:ascii="仿宋_GB2312" w:eastAsia="仿宋_GB2312"/>
          <w:color w:val="auto"/>
          <w:sz w:val="32"/>
          <w:szCs w:val="32"/>
        </w:rPr>
        <w:t>。其中：</w:t>
      </w:r>
    </w:p>
    <w:p>
      <w:pPr>
        <w:spacing w:line="600" w:lineRule="exact"/>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万元。国内公务接待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3" w:firstLineChars="200"/>
        <w:rPr>
          <w:rFonts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outlineLvl w:val="1"/>
        <w:rPr>
          <w:rFonts w:ascii="黑体" w:eastAsia="黑体"/>
          <w:color w:val="auto"/>
          <w:sz w:val="32"/>
          <w:szCs w:val="32"/>
        </w:rPr>
      </w:pPr>
      <w:bookmarkStart w:id="40" w:name="_Toc15396610"/>
      <w:bookmarkStart w:id="41" w:name="_Toc15377218"/>
    </w:p>
    <w:p>
      <w:pPr>
        <w:spacing w:line="600" w:lineRule="exact"/>
        <w:ind w:firstLine="640"/>
        <w:outlineLvl w:val="1"/>
        <w:rPr>
          <w:rStyle w:val="25"/>
          <w:rFonts w:ascii="黑体" w:hAnsi="黑体" w:eastAsia="黑体"/>
          <w:color w:val="auto"/>
        </w:rPr>
      </w:pPr>
      <w:r>
        <w:rPr>
          <w:rFonts w:hint="eastAsia" w:ascii="黑体" w:eastAsia="黑体"/>
          <w:color w:val="auto"/>
          <w:sz w:val="32"/>
          <w:szCs w:val="32"/>
        </w:rPr>
        <w:t>八、</w:t>
      </w:r>
      <w:r>
        <w:rPr>
          <w:rStyle w:val="25"/>
          <w:rFonts w:hint="eastAsia" w:ascii="黑体" w:hAnsi="黑体" w:eastAsia="黑体"/>
          <w:b w:val="0"/>
          <w:color w:val="auto"/>
        </w:rPr>
        <w:t>政府性基金预算支出决算情况说明</w:t>
      </w:r>
      <w:bookmarkEnd w:id="40"/>
      <w:bookmarkEnd w:id="41"/>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年政府性基金预算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rPr>
          <w:rFonts w:ascii="仿宋_GB2312" w:eastAsia="仿宋_GB2312"/>
          <w:color w:val="auto"/>
          <w:sz w:val="32"/>
          <w:szCs w:val="32"/>
        </w:rPr>
      </w:pPr>
    </w:p>
    <w:p>
      <w:pPr>
        <w:numPr>
          <w:ilvl w:val="0"/>
          <w:numId w:val="3"/>
        </w:numPr>
        <w:spacing w:line="600" w:lineRule="exact"/>
        <w:ind w:firstLine="640"/>
        <w:outlineLvl w:val="1"/>
        <w:rPr>
          <w:rStyle w:val="25"/>
          <w:rFonts w:ascii="黑体" w:hAnsi="黑体" w:eastAsia="黑体"/>
          <w:b w:val="0"/>
          <w:color w:val="auto"/>
        </w:rPr>
      </w:pPr>
      <w:bookmarkStart w:id="42" w:name="_Toc15377219"/>
      <w:bookmarkStart w:id="43" w:name="_Toc15396611"/>
      <w:r>
        <w:rPr>
          <w:rStyle w:val="25"/>
          <w:rFonts w:hint="eastAsia" w:ascii="黑体" w:hAnsi="黑体" w:eastAsia="黑体"/>
          <w:b w:val="0"/>
          <w:color w:val="auto"/>
        </w:rPr>
        <w:t>国有资本经营预算支出决算情况说明</w:t>
      </w:r>
      <w:bookmarkEnd w:id="42"/>
      <w:bookmarkEnd w:id="43"/>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580" w:lineRule="exact"/>
        <w:jc w:val="center"/>
        <w:rPr>
          <w:rFonts w:ascii="方正小标宋简体" w:hAnsi="方正小标宋简体" w:eastAsia="方正小标宋简体" w:cs="方正小标宋简体"/>
          <w:color w:val="auto"/>
          <w:sz w:val="44"/>
          <w:szCs w:val="44"/>
        </w:rPr>
      </w:pPr>
    </w:p>
    <w:p>
      <w:pPr>
        <w:numPr>
          <w:ilvl w:val="0"/>
          <w:numId w:val="3"/>
        </w:numPr>
        <w:spacing w:line="600" w:lineRule="exact"/>
        <w:ind w:firstLine="640"/>
        <w:outlineLvl w:val="1"/>
        <w:rPr>
          <w:rStyle w:val="25"/>
          <w:rFonts w:hint="eastAsia" w:ascii="黑体" w:hAnsi="黑体" w:eastAsia="黑体"/>
          <w:b w:val="0"/>
          <w:color w:val="auto"/>
        </w:rPr>
      </w:pPr>
      <w:bookmarkStart w:id="44" w:name="_Toc15396612"/>
      <w:bookmarkStart w:id="45" w:name="_Toc15377221"/>
      <w:r>
        <w:rPr>
          <w:rStyle w:val="25"/>
          <w:rFonts w:hint="eastAsia" w:ascii="黑体" w:hAnsi="黑体" w:eastAsia="黑体"/>
          <w:b w:val="0"/>
          <w:color w:val="auto"/>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pPr>
        <w:spacing w:line="60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省干休一所</w:t>
      </w:r>
      <w:r>
        <w:rPr>
          <w:rFonts w:hint="eastAsia" w:ascii="仿宋_GB2312" w:eastAsia="仿宋_GB2312"/>
          <w:color w:val="auto"/>
          <w:sz w:val="32"/>
          <w:szCs w:val="32"/>
        </w:rPr>
        <w:t>机关运行经费支出</w:t>
      </w:r>
      <w:r>
        <w:rPr>
          <w:rFonts w:hint="eastAsia" w:ascii="仿宋_GB2312" w:eastAsia="仿宋_GB2312"/>
          <w:color w:val="auto"/>
          <w:sz w:val="32"/>
          <w:szCs w:val="32"/>
          <w:lang w:val="en-US" w:eastAsia="zh-CN"/>
        </w:rPr>
        <w:t>22.86</w:t>
      </w:r>
      <w:r>
        <w:rPr>
          <w:rFonts w:hint="eastAsia" w:ascii="仿宋_GB2312" w:eastAsia="仿宋_GB2312"/>
          <w:color w:val="auto"/>
          <w:sz w:val="32"/>
          <w:szCs w:val="32"/>
        </w:rPr>
        <w:t>万元，比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年减少</w:t>
      </w:r>
      <w:r>
        <w:rPr>
          <w:rFonts w:hint="eastAsia" w:ascii="仿宋_GB2312" w:eastAsia="仿宋_GB2312"/>
          <w:color w:val="auto"/>
          <w:sz w:val="32"/>
          <w:szCs w:val="32"/>
          <w:lang w:val="en-US" w:eastAsia="zh-CN"/>
        </w:rPr>
        <w:t>1.69</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6.88</w:t>
      </w:r>
      <w:r>
        <w:rPr>
          <w:rFonts w:ascii="仿宋_GB2312" w:eastAsia="仿宋_GB2312"/>
          <w:color w:val="auto"/>
          <w:sz w:val="32"/>
          <w:szCs w:val="32"/>
        </w:rPr>
        <w:t>%</w:t>
      </w:r>
      <w:r>
        <w:rPr>
          <w:rFonts w:hint="eastAsia" w:ascii="仿宋_GB2312" w:eastAsia="仿宋_GB2312"/>
          <w:color w:val="auto"/>
          <w:sz w:val="32"/>
          <w:szCs w:val="32"/>
        </w:rPr>
        <w:t>（或与</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年决算数持平）。主要原因是</w:t>
      </w:r>
      <w:r>
        <w:rPr>
          <w:rFonts w:hint="eastAsia" w:ascii="仿宋_GB2312" w:eastAsia="仿宋_GB2312"/>
          <w:color w:val="auto"/>
          <w:sz w:val="32"/>
          <w:szCs w:val="32"/>
          <w:lang w:eastAsia="zh-CN"/>
        </w:rPr>
        <w:t>省干休一所厉行勤俭减少不必要的开支，机关运行经费相应降低</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7" w:name="_Toc15377223"/>
      <w:r>
        <w:rPr>
          <w:rFonts w:hint="eastAsia" w:ascii="仿宋" w:hAnsi="仿宋" w:eastAsia="仿宋"/>
          <w:b/>
          <w:color w:val="auto"/>
          <w:sz w:val="32"/>
          <w:szCs w:val="32"/>
        </w:rPr>
        <w:t>（二）政府采购支出情况</w:t>
      </w:r>
      <w:bookmarkEnd w:id="47"/>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干休一所</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购买办公台式电脑</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eastAsia="zh-CN"/>
        </w:rPr>
        <w:t>省干休一所</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其他用车主要是用于</w:t>
      </w:r>
      <w:r>
        <w:rPr>
          <w:rFonts w:hint="eastAsia" w:ascii="仿宋_GB2312" w:eastAsia="仿宋_GB2312"/>
          <w:color w:val="auto"/>
          <w:sz w:val="32"/>
          <w:szCs w:val="32"/>
          <w:lang w:eastAsia="zh-CN"/>
        </w:rPr>
        <w:t>单位退休厅级领导机动用车，</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r>
        <w:rPr>
          <w:rFonts w:hint="eastAsia" w:ascii="仿宋" w:hAnsi="仿宋" w:eastAsia="仿宋"/>
          <w:b/>
          <w:color w:val="auto"/>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2020年度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干休一所综合业务工作</w:t>
      </w:r>
      <w:r>
        <w:rPr>
          <w:rFonts w:hint="eastAsia" w:ascii="仿宋_GB2312" w:hAnsi="仿宋_GB2312" w:eastAsia="仿宋_GB2312" w:cs="仿宋_GB2312"/>
          <w:color w:val="auto"/>
          <w:sz w:val="32"/>
          <w:szCs w:val="32"/>
          <w:highlight w:val="none"/>
          <w:lang w:val="en-US" w:eastAsia="zh-CN"/>
        </w:rPr>
        <w:t>经费</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个项目开展了绩效目标完成情况自评。</w:t>
      </w:r>
    </w:p>
    <w:p>
      <w:pPr>
        <w:spacing w:line="600" w:lineRule="exact"/>
        <w:ind w:firstLine="640" w:firstLineChars="0"/>
        <w:jc w:val="left"/>
        <w:outlineLvl w:val="9"/>
        <w:rPr>
          <w:rFonts w:hint="eastAsia" w:ascii="仿宋" w:hAnsi="仿宋" w:eastAsia="仿宋" w:cs="Times New Roman"/>
          <w:color w:val="000000"/>
          <w:sz w:val="32"/>
          <w:szCs w:val="32"/>
        </w:rPr>
      </w:pPr>
      <w:r>
        <w:rPr>
          <w:rFonts w:hint="eastAsia" w:ascii="仿宋_GB2312" w:hAnsi="仿宋_GB2312" w:eastAsia="仿宋_GB2312" w:cs="仿宋_GB2312"/>
          <w:color w:val="auto"/>
          <w:sz w:val="32"/>
          <w:szCs w:val="32"/>
          <w:highlight w:val="none"/>
        </w:rPr>
        <w:t>本部门按要求对20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年部门整体支出开展绩效自评，从评价情况来看</w:t>
      </w:r>
      <w:r>
        <w:rPr>
          <w:rFonts w:hint="eastAsia" w:ascii="仿宋_GB2312" w:hAnsi="仿宋_GB2312" w:eastAsia="仿宋_GB2312" w:cs="仿宋_GB2312"/>
          <w:color w:val="auto"/>
          <w:sz w:val="32"/>
          <w:szCs w:val="32"/>
          <w:highlight w:val="none"/>
          <w:lang w:val="en-US" w:eastAsia="zh-CN"/>
        </w:rPr>
        <w:t>省干休一所</w:t>
      </w:r>
      <w:r>
        <w:rPr>
          <w:rFonts w:hint="eastAsia" w:ascii="仿宋" w:hAnsi="仿宋" w:eastAsia="仿宋" w:cs="Times New Roman"/>
          <w:color w:val="000000"/>
          <w:sz w:val="32"/>
          <w:szCs w:val="32"/>
          <w:lang w:val="en-US" w:eastAsia="zh-CN"/>
        </w:rPr>
        <w:t>2020年度</w:t>
      </w:r>
      <w:r>
        <w:rPr>
          <w:rFonts w:hint="eastAsia" w:ascii="仿宋" w:hAnsi="仿宋" w:eastAsia="仿宋" w:cs="Times New Roman"/>
          <w:color w:val="000000"/>
          <w:sz w:val="32"/>
          <w:szCs w:val="32"/>
          <w:lang w:eastAsia="zh-CN"/>
        </w:rPr>
        <w:t>预算编制</w:t>
      </w:r>
      <w:r>
        <w:rPr>
          <w:rFonts w:hint="eastAsia" w:ascii="仿宋" w:hAnsi="仿宋" w:eastAsia="仿宋"/>
          <w:color w:val="000000"/>
          <w:sz w:val="32"/>
          <w:szCs w:val="32"/>
        </w:rPr>
        <w:t>基本做到了预算编制科学，与实际工作结合紧密。并严格执行财政资金预算收支，厉行节约，加强了“三公”经费支出管理。加强项目管理，保证项目资金专款专用，落实专项项目绩效目标，圆满完成了省委、省政府下达的工作目标任务。</w:t>
      </w:r>
      <w:r>
        <w:rPr>
          <w:rFonts w:hint="eastAsia" w:ascii="仿宋" w:hAnsi="仿宋" w:eastAsia="仿宋" w:cs="Times New Roman"/>
          <w:color w:val="000000"/>
          <w:sz w:val="32"/>
          <w:szCs w:val="32"/>
        </w:rPr>
        <w:t>本</w:t>
      </w:r>
      <w:r>
        <w:rPr>
          <w:rFonts w:hint="eastAsia" w:ascii="仿宋" w:hAnsi="仿宋" w:eastAsia="仿宋" w:cs="Times New Roman"/>
          <w:color w:val="000000"/>
          <w:sz w:val="32"/>
          <w:szCs w:val="32"/>
          <w:lang w:eastAsia="zh-CN"/>
        </w:rPr>
        <w:t>单位</w:t>
      </w:r>
      <w:r>
        <w:rPr>
          <w:rFonts w:hint="eastAsia" w:ascii="仿宋" w:hAnsi="仿宋" w:eastAsia="仿宋" w:cs="Times New Roman"/>
          <w:color w:val="000000"/>
          <w:sz w:val="32"/>
          <w:szCs w:val="32"/>
        </w:rPr>
        <w:t>无专项预算项目，因此未组织开展项目支出绩效评价。</w:t>
      </w:r>
    </w:p>
    <w:p>
      <w:pPr>
        <w:spacing w:line="600" w:lineRule="exact"/>
        <w:ind w:firstLine="640" w:firstLineChars="0"/>
        <w:jc w:val="left"/>
        <w:outlineLvl w:val="9"/>
        <w:rPr>
          <w:rFonts w:hint="eastAsia" w:ascii="仿宋" w:hAnsi="仿宋" w:eastAsia="仿宋" w:cs="Times New Roman"/>
          <w:color w:val="000000"/>
          <w:sz w:val="32"/>
          <w:szCs w:val="32"/>
        </w:rPr>
      </w:pPr>
      <w:r>
        <w:rPr>
          <w:rFonts w:hint="eastAsia" w:ascii="楷体_GB2312" w:hAnsi="楷体_GB2312" w:eastAsia="楷体_GB2312" w:cs="楷体_GB2312"/>
          <w:color w:val="auto"/>
          <w:sz w:val="32"/>
          <w:szCs w:val="32"/>
          <w:highlight w:val="none"/>
        </w:rPr>
        <w:t>1.项目绩效目标完成情况</w:t>
      </w:r>
      <w:r>
        <w:rPr>
          <w:rFonts w:hint="eastAsia" w:ascii="楷体_GB2312" w:hAnsi="楷体_GB2312" w:eastAsia="楷体_GB2312" w:cs="楷体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本</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在20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年度部门决算中反映</w:t>
      </w:r>
      <w:r>
        <w:rPr>
          <w:rFonts w:hint="eastAsia" w:ascii="仿宋_GB2312" w:hAnsi="仿宋_GB2312" w:eastAsia="仿宋_GB2312" w:cs="仿宋_GB2312"/>
          <w:color w:val="auto"/>
          <w:sz w:val="32"/>
          <w:szCs w:val="32"/>
          <w:highlight w:val="none"/>
          <w:lang w:val="en-US" w:eastAsia="zh-CN"/>
        </w:rPr>
        <w:t>1个</w:t>
      </w:r>
      <w:r>
        <w:rPr>
          <w:rFonts w:hint="eastAsia" w:ascii="仿宋_GB2312" w:hAnsi="仿宋_GB2312" w:eastAsia="仿宋_GB2312" w:cs="仿宋_GB2312"/>
          <w:color w:val="auto"/>
          <w:sz w:val="32"/>
          <w:szCs w:val="32"/>
          <w:highlight w:val="none"/>
        </w:rPr>
        <w:t>项目绩效目标实际完成情况。因项目内容涉密（敏感），不予主动公开。</w:t>
      </w:r>
    </w:p>
    <w:p>
      <w:pPr>
        <w:spacing w:line="580" w:lineRule="exact"/>
        <w:ind w:left="630"/>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2.部门绩效评价结果</w:t>
      </w:r>
    </w:p>
    <w:p>
      <w:pPr>
        <w:spacing w:line="600" w:lineRule="exact"/>
        <w:ind w:firstLine="640" w:firstLineChars="0"/>
        <w:jc w:val="left"/>
        <w:outlineLvl w:val="9"/>
        <w:rPr>
          <w:rFonts w:hint="eastAsia" w:ascii="仿宋" w:hAnsi="仿宋" w:eastAsia="仿宋" w:cs="Times New Roman"/>
          <w:color w:val="000000"/>
          <w:sz w:val="32"/>
          <w:szCs w:val="32"/>
        </w:rPr>
      </w:pPr>
      <w:r>
        <w:rPr>
          <w:rFonts w:hint="eastAsia" w:ascii="仿宋_GB2312" w:hAnsi="仿宋_GB2312" w:eastAsia="仿宋_GB2312" w:cs="仿宋_GB2312"/>
          <w:color w:val="auto"/>
          <w:sz w:val="32"/>
          <w:szCs w:val="32"/>
        </w:rPr>
        <w:t>本单位自行组织对</w:t>
      </w: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项目开展了绩效评价，</w:t>
      </w:r>
      <w:r>
        <w:rPr>
          <w:rFonts w:hint="eastAsia" w:ascii="仿宋_GB2312" w:hAnsi="仿宋_GB2312" w:eastAsia="仿宋_GB2312" w:cs="仿宋_GB2312"/>
          <w:color w:val="auto"/>
          <w:sz w:val="32"/>
          <w:szCs w:val="32"/>
          <w:highlight w:val="none"/>
        </w:rPr>
        <w:t>因项目内容涉密（敏感），不予主动公开。</w:t>
      </w:r>
    </w:p>
    <w:p>
      <w:pPr>
        <w:spacing w:line="580" w:lineRule="exact"/>
        <w:ind w:left="630"/>
        <w:rPr>
          <w:rFonts w:ascii="仿宋_GB2312" w:hAnsi="仿宋_GB2312" w:eastAsia="仿宋_GB2312" w:cs="仿宋_GB2312"/>
          <w:color w:val="auto"/>
          <w:sz w:val="32"/>
          <w:szCs w:val="32"/>
        </w:rPr>
      </w:pPr>
    </w:p>
    <w:p>
      <w:pPr>
        <w:widowControl/>
        <w:jc w:val="left"/>
        <w:rPr>
          <w:rFonts w:ascii="仿宋_GB2312" w:eastAsia="仿宋_GB2312"/>
          <w:b/>
          <w:color w:val="auto"/>
          <w:sz w:val="32"/>
          <w:szCs w:val="32"/>
        </w:rPr>
      </w:pPr>
    </w:p>
    <w:p>
      <w:pPr>
        <w:numPr>
          <w:ilvl w:val="0"/>
          <w:numId w:val="4"/>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lang w:eastAsia="zh-CN"/>
        </w:rPr>
        <w:t>使用非财政拨款结余</w:t>
      </w:r>
      <w:r>
        <w:rPr>
          <w:rFonts w:hint="eastAsia" w:ascii="仿宋_GB2312" w:eastAsia="仿宋_GB2312"/>
          <w:sz w:val="32"/>
          <w:szCs w:val="32"/>
        </w:rPr>
        <w:t>：指事业单位</w:t>
      </w:r>
      <w:r>
        <w:rPr>
          <w:rFonts w:hint="eastAsia" w:ascii="仿宋_GB2312" w:eastAsia="仿宋_GB2312"/>
          <w:sz w:val="32"/>
          <w:szCs w:val="32"/>
          <w:lang w:eastAsia="zh-CN"/>
        </w:rPr>
        <w:t>使用以前年度积累的非财政拨款结余弥补当年收支差额的金额。</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w:t>
      </w:r>
      <w:r>
        <w:rPr>
          <w:rFonts w:hint="eastAsia" w:ascii="仿宋_GB2312" w:eastAsia="仿宋_GB2312"/>
          <w:sz w:val="32"/>
          <w:szCs w:val="32"/>
          <w:lang w:eastAsia="zh-CN"/>
        </w:rPr>
        <w:t>缴纳的所得税、提取的专用结余以及转入非财政拨款结余的金额</w:t>
      </w:r>
      <w:r>
        <w:rPr>
          <w:rFonts w:hint="eastAsia" w:ascii="仿宋_GB2312" w:eastAsia="仿宋_GB2312"/>
          <w:sz w:val="32"/>
          <w:szCs w:val="32"/>
        </w:rPr>
        <w:t>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eastAsia="zh-CN"/>
        </w:rPr>
        <w:t>.</w:t>
      </w:r>
      <w:r>
        <w:rPr>
          <w:rFonts w:hint="eastAsia" w:ascii="仿宋_GB2312" w:eastAsia="仿宋_GB2312"/>
          <w:sz w:val="32"/>
          <w:szCs w:val="32"/>
        </w:rPr>
        <w:t>年末结转和结余：指单位按有关规定结转到下年或以后年度继续使用的资金。</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9.一般公共服务（类）其他共产党事务（款）行政运行（项）指单位公务用车运行维护和办公设备购置。</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10.社会保障和就业（类）行政事业单位养老（款）行政单位离退休（项）指离退休干部工作经费。</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 社会保障和就业（类）行政事业单位养老（款）离退休人员管理机构（项）指干部职工工资福利支出和单位正常运行、开展日常工作经费。</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 社会保障和就业（类）行政事业单位养老（款）机关事业单位基本养老保险缴费（项）指干部职工基本养老保险单位缴费部分。</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13.卫生健康支出（类）行政事业单位医疗（款）行政单位医疗（项）指干部职工基本医疗保险单位缴费部分。</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14.卫生健康支出（类）行政事业单位医疗（款）公务员医疗补助（项）指干部职工公务员医疗补助部分。</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15.住房保障支出（类）住房改革支出（款）住房公积金（项）指干部职工住房公积金单位缴费部分。</w:t>
      </w:r>
    </w:p>
    <w:p>
      <w:p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 住房保障支出（类）住房改革支出（款）购房补贴（项）指干部职工住房补贴。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0.</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2</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邮电费、差旅费、、福利费、日常维修费、专用材料及一般设备购置费、办公用房水电费、公务用车运行维护费以及其他费用。</w:t>
      </w:r>
    </w:p>
    <w:p>
      <w:pPr>
        <w:adjustRightInd w:val="0"/>
        <w:snapToGrid w:val="0"/>
        <w:spacing w:line="600" w:lineRule="exact"/>
        <w:ind w:firstLine="883" w:firstLineChars="200"/>
        <w:rPr>
          <w:rFonts w:ascii="仿宋_GB2312" w:hAnsi="仿宋_GB2312" w:eastAsia="仿宋_GB2312" w:cs="仿宋_GB2312"/>
          <w:color w:val="FF0000"/>
          <w:sz w:val="32"/>
          <w:szCs w:val="32"/>
        </w:rPr>
      </w:pPr>
      <w:bookmarkStart w:id="51" w:name="_Toc15377226"/>
      <w:r>
        <w:rPr>
          <w:rFonts w:ascii="宋体"/>
          <w:b/>
          <w:color w:val="000000"/>
          <w:sz w:val="44"/>
          <w:szCs w:val="44"/>
        </w:rPr>
        <w:br w:type="page"/>
      </w:r>
    </w:p>
    <w:p>
      <w:pPr>
        <w:spacing w:line="600" w:lineRule="exact"/>
        <w:jc w:val="center"/>
        <w:outlineLvl w:val="0"/>
        <w:rPr>
          <w:rFonts w:hint="eastAsia" w:ascii="仿宋" w:hAnsi="仿宋" w:eastAsia="仿宋"/>
          <w:b w:val="0"/>
          <w:color w:val="000000"/>
        </w:rPr>
      </w:pPr>
      <w:bookmarkStart w:id="52" w:name="_Toc15396618"/>
      <w:r>
        <w:rPr>
          <w:rFonts w:hint="eastAsia" w:ascii="黑体" w:hAnsi="黑体" w:eastAsia="黑体"/>
          <w:color w:val="000000"/>
          <w:sz w:val="44"/>
          <w:szCs w:val="44"/>
        </w:rPr>
        <w:t>第</w:t>
      </w:r>
      <w:r>
        <w:rPr>
          <w:rFonts w:hint="eastAsia" w:ascii="黑体" w:hAnsi="黑体" w:eastAsia="黑体"/>
          <w:color w:val="000000"/>
          <w:sz w:val="44"/>
          <w:szCs w:val="44"/>
          <w:lang w:eastAsia="zh-CN"/>
        </w:rPr>
        <w:t>四</w:t>
      </w:r>
      <w:r>
        <w:rPr>
          <w:rStyle w:val="24"/>
          <w:rFonts w:hint="eastAsia" w:ascii="黑体" w:hAnsi="黑体" w:eastAsia="黑体"/>
          <w:b w:val="0"/>
        </w:rPr>
        <w:t>部分 附表</w:t>
      </w:r>
      <w:bookmarkEnd w:id="51"/>
      <w:bookmarkEnd w:id="52"/>
      <w:bookmarkStart w:id="53" w:name="_Toc15396619"/>
    </w:p>
    <w:p>
      <w:pPr>
        <w:pStyle w:val="4"/>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bookmarkEnd w:id="53"/>
    </w:p>
    <w:p>
      <w:pPr>
        <w:pStyle w:val="4"/>
        <w:rPr>
          <w:rFonts w:ascii="仿宋" w:hAnsi="仿宋" w:eastAsia="仿宋"/>
          <w:color w:val="000000"/>
        </w:rPr>
      </w:pPr>
      <w:bookmarkStart w:id="54"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4"/>
    </w:p>
    <w:p>
      <w:pPr>
        <w:pStyle w:val="4"/>
        <w:rPr>
          <w:rFonts w:ascii="仿宋" w:hAnsi="仿宋" w:eastAsia="仿宋"/>
          <w:color w:val="000000"/>
        </w:rPr>
      </w:pPr>
      <w:bookmarkStart w:id="5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55"/>
    </w:p>
    <w:p>
      <w:pPr>
        <w:pStyle w:val="4"/>
        <w:rPr>
          <w:rFonts w:ascii="仿宋" w:hAnsi="仿宋" w:eastAsia="仿宋"/>
          <w:b w:val="0"/>
          <w:color w:val="000000"/>
        </w:rPr>
      </w:pPr>
      <w:bookmarkStart w:id="5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6"/>
    </w:p>
    <w:p>
      <w:pPr>
        <w:pStyle w:val="4"/>
        <w:rPr>
          <w:rStyle w:val="25"/>
          <w:rFonts w:ascii="仿宋" w:hAnsi="仿宋" w:eastAsia="仿宋"/>
          <w:b w:val="0"/>
          <w:bCs w:val="0"/>
        </w:rPr>
      </w:pPr>
      <w:bookmarkStart w:id="5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57"/>
      <w:bookmarkStart w:id="58" w:name="_Toc15396624"/>
    </w:p>
    <w:p>
      <w:pPr>
        <w:pStyle w:val="4"/>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58"/>
    </w:p>
    <w:p>
      <w:pPr>
        <w:pStyle w:val="4"/>
        <w:rPr>
          <w:rFonts w:ascii="仿宋" w:hAnsi="仿宋" w:eastAsia="仿宋"/>
          <w:color w:val="000000"/>
        </w:rPr>
      </w:pPr>
      <w:bookmarkStart w:id="5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59"/>
    </w:p>
    <w:p>
      <w:pPr>
        <w:pStyle w:val="4"/>
        <w:rPr>
          <w:rFonts w:ascii="仿宋" w:hAnsi="仿宋" w:eastAsia="仿宋"/>
          <w:color w:val="000000"/>
        </w:rPr>
      </w:pPr>
      <w:bookmarkStart w:id="6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0"/>
    </w:p>
    <w:p>
      <w:pPr>
        <w:pStyle w:val="4"/>
        <w:rPr>
          <w:rFonts w:ascii="仿宋" w:hAnsi="仿宋" w:eastAsia="仿宋"/>
          <w:color w:val="000000"/>
        </w:rPr>
      </w:pPr>
      <w:bookmarkStart w:id="6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1"/>
    </w:p>
    <w:p>
      <w:pPr>
        <w:pStyle w:val="4"/>
        <w:rPr>
          <w:rFonts w:ascii="仿宋" w:hAnsi="仿宋" w:eastAsia="仿宋"/>
          <w:color w:val="000000"/>
        </w:rPr>
      </w:pPr>
      <w:bookmarkStart w:id="6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2"/>
    </w:p>
    <w:p>
      <w:pPr>
        <w:pStyle w:val="4"/>
        <w:rPr>
          <w:rFonts w:ascii="仿宋" w:hAnsi="仿宋" w:eastAsia="仿宋"/>
          <w:color w:val="000000"/>
        </w:rPr>
      </w:pPr>
      <w:bookmarkStart w:id="6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3"/>
    </w:p>
    <w:p>
      <w:pPr>
        <w:pStyle w:val="4"/>
        <w:rPr>
          <w:rFonts w:ascii="仿宋" w:hAnsi="仿宋" w:eastAsia="仿宋"/>
          <w:color w:val="000000"/>
        </w:rPr>
      </w:pPr>
      <w:bookmarkStart w:id="6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4"/>
    </w:p>
    <w:p>
      <w:pPr>
        <w:pStyle w:val="4"/>
        <w:rPr>
          <w:rStyle w:val="25"/>
          <w:rFonts w:hint="eastAsia" w:ascii="仿宋" w:hAnsi="仿宋" w:eastAsia="仿宋"/>
          <w:b w:val="0"/>
          <w:bCs w:val="0"/>
        </w:rPr>
      </w:pPr>
      <w:bookmarkStart w:id="6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w:t>
      </w:r>
      <w:r>
        <w:rPr>
          <w:rStyle w:val="25"/>
          <w:rFonts w:hint="eastAsia" w:ascii="仿宋" w:hAnsi="仿宋" w:eastAsia="仿宋"/>
          <w:b w:val="0"/>
          <w:bCs w:val="0"/>
          <w:lang w:eastAsia="zh-CN"/>
        </w:rPr>
        <w:t>财政拨款收入</w:t>
      </w:r>
      <w:r>
        <w:rPr>
          <w:rStyle w:val="25"/>
          <w:rFonts w:hint="eastAsia" w:ascii="仿宋" w:hAnsi="仿宋" w:eastAsia="仿宋"/>
          <w:b w:val="0"/>
          <w:bCs w:val="0"/>
        </w:rPr>
        <w:t>支出决算表</w:t>
      </w:r>
      <w:bookmarkEnd w:id="65"/>
    </w:p>
    <w:p>
      <w:pPr>
        <w:rPr>
          <w:rFonts w:hint="eastAsia" w:eastAsia="仿宋"/>
          <w:lang w:eastAsia="zh-CN"/>
        </w:rPr>
      </w:pPr>
      <w:r>
        <w:rPr>
          <w:rStyle w:val="25"/>
          <w:rFonts w:hint="eastAsia" w:ascii="仿宋" w:hAnsi="仿宋" w:eastAsia="仿宋"/>
          <w:b w:val="0"/>
          <w:bCs w:val="0"/>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mEyY2RjZDUzN2NkY2UzNGFhN2QwYTNhYzM1Y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4B6C66"/>
    <w:rsid w:val="04807E68"/>
    <w:rsid w:val="08765260"/>
    <w:rsid w:val="0A086B37"/>
    <w:rsid w:val="0A2032A3"/>
    <w:rsid w:val="0C6E0FD5"/>
    <w:rsid w:val="0C9808F1"/>
    <w:rsid w:val="0D157161"/>
    <w:rsid w:val="0E3F379E"/>
    <w:rsid w:val="10C055FF"/>
    <w:rsid w:val="118107EC"/>
    <w:rsid w:val="13C43011"/>
    <w:rsid w:val="16BB723D"/>
    <w:rsid w:val="16EE2054"/>
    <w:rsid w:val="18015F3F"/>
    <w:rsid w:val="18147417"/>
    <w:rsid w:val="196B2FF2"/>
    <w:rsid w:val="1A220945"/>
    <w:rsid w:val="1BA12A71"/>
    <w:rsid w:val="1BE8440E"/>
    <w:rsid w:val="1D155CEE"/>
    <w:rsid w:val="20F57F95"/>
    <w:rsid w:val="238F76A1"/>
    <w:rsid w:val="240371BF"/>
    <w:rsid w:val="273A712E"/>
    <w:rsid w:val="27842671"/>
    <w:rsid w:val="29B2150A"/>
    <w:rsid w:val="29FD04D3"/>
    <w:rsid w:val="2ABE7A3E"/>
    <w:rsid w:val="2EF23AEB"/>
    <w:rsid w:val="319F7F4E"/>
    <w:rsid w:val="35386E11"/>
    <w:rsid w:val="375F42D4"/>
    <w:rsid w:val="3C0C0783"/>
    <w:rsid w:val="42DA6957"/>
    <w:rsid w:val="493C27E9"/>
    <w:rsid w:val="496F39ED"/>
    <w:rsid w:val="49FF41D3"/>
    <w:rsid w:val="4BE068DB"/>
    <w:rsid w:val="4BF6002B"/>
    <w:rsid w:val="4CC748B2"/>
    <w:rsid w:val="4EAC0D4B"/>
    <w:rsid w:val="4ECE2238"/>
    <w:rsid w:val="64CA39A1"/>
    <w:rsid w:val="69424459"/>
    <w:rsid w:val="69F71C7A"/>
    <w:rsid w:val="6C4A05C8"/>
    <w:rsid w:val="72734D90"/>
    <w:rsid w:val="75BD0D6C"/>
    <w:rsid w:val="77844B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0075"/>
          <c:y val="0.1295"/>
          <c:w val="0.910925"/>
          <c:h val="0.716066666666667"/>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Sheet1!$A$2:$A$5</c15:sqref>
                  </c15:fullRef>
                </c:ext>
              </c:extLst>
              <c:f>Sheet1!$A$2:$A$3</c:f>
              <c:numCache>
                <c:formatCode>General</c:formatCode>
                <c:ptCount val="2"/>
                <c:pt idx="0">
                  <c:v>2019</c:v>
                </c:pt>
                <c:pt idx="1">
                  <c:v>2020</c:v>
                </c:pt>
              </c:numCache>
            </c:numRef>
          </c:cat>
          <c:val>
            <c:numRef>
              <c:extLst>
                <c:ext xmlns:c15="http://schemas.microsoft.com/office/drawing/2012/chart" uri="{02D57815-91ED-43cb-92C2-25804820EDAC}">
                  <c15:fullRef>
                    <c15:sqref>Sheet1!$B$2:$B$5</c15:sqref>
                  </c15:fullRef>
                </c:ext>
              </c:extLst>
              <c:f>Sheet1!$B$2:$B$3</c:f>
              <c:numCache>
                <c:formatCode>General</c:formatCode>
                <c:ptCount val="2"/>
                <c:pt idx="0">
                  <c:v>244.71</c:v>
                </c:pt>
                <c:pt idx="1">
                  <c:v>196.86</c:v>
                </c:pt>
              </c:numCache>
            </c:numRef>
          </c:val>
        </c:ser>
        <c:dLbls>
          <c:showLegendKey val="0"/>
          <c:showVal val="0"/>
          <c:showCatName val="0"/>
          <c:showSerName val="0"/>
          <c:showPercent val="0"/>
          <c:showBubbleSize val="0"/>
        </c:dLbls>
        <c:gapWidth val="219"/>
        <c:overlap val="-27"/>
        <c:axId val="237601123"/>
        <c:axId val="53745886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delete val="1"/>
                </c:dLbls>
                <c:cat>
                  <c:numRef>
                    <c:extLst>
                      <c:ext uri="{02D57815-91ED-43cb-92C2-25804820EDAC}">
                        <c15:fullRef>
                          <c15:sqref>Sheet1!$A$2:$A$5</c15:sqref>
                        </c15:fullRef>
                        <c15:formulaRef>
                          <c15:sqref>Sheet1!$A$2:$A$3</c15:sqref>
                        </c15:formulaRef>
                      </c:ext>
                    </c:extLst>
                    <c:numCache>
                      <c:formatCode>General</c:formatCode>
                      <c:ptCount val="2"/>
                      <c:pt idx="0">
                        <c:v>2019</c:v>
                      </c:pt>
                      <c:pt idx="1">
                        <c:v>2020</c:v>
                      </c:pt>
                    </c:numCache>
                  </c:numRef>
                </c:cat>
                <c:val>
                  <c:numRef>
                    <c:extLst>
                      <c:ext uri="{02D57815-91ED-43cb-92C2-25804820EDAC}">
                        <c15:fullRef>
                          <c15:sqref>Sheet1!$C$2:$C$5</c15:sqref>
                        </c15:fullRef>
                        <c15:formulaRef>
                          <c15:sqref>Sheet1!$C$2:$C$3</c15:sqref>
                        </c15:formulaRef>
                      </c:ext>
                    </c:extLst>
                    <c:numCache>
                      <c:formatCode>General</c:formatCode>
                      <c:ptCount val="2"/>
                      <c:pt idx="0">
                        <c:v>196.86</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numRef>
                    <c:extLst>
                      <c:ext uri="{02D57815-91ED-43cb-92C2-25804820EDAC}">
                        <c15:fullRef>
                          <c15:sqref>Sheet1!$A$2:$A$5</c15:sqref>
                        </c15:fullRef>
                        <c15:formulaRef>
                          <c15:sqref>Sheet1!$A$2:$A$3</c15:sqref>
                        </c15:formulaRef>
                      </c:ext>
                    </c:extLst>
                    <c:numCache>
                      <c:formatCode>General</c:formatCode>
                      <c:ptCount val="2"/>
                      <c:pt idx="0">
                        <c:v>2019</c:v>
                      </c:pt>
                      <c:pt idx="1">
                        <c:v>2020</c:v>
                      </c:pt>
                    </c:numCache>
                  </c:num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2376011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458862"/>
        <c:crosses val="autoZero"/>
        <c:auto val="1"/>
        <c:lblAlgn val="ctr"/>
        <c:lblOffset val="100"/>
        <c:noMultiLvlLbl val="0"/>
      </c:catAx>
      <c:valAx>
        <c:axId val="5374588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6011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196.86</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本年支出</a:t>
            </a:r>
          </a:p>
        </c:rich>
      </c:tx>
      <c:layout/>
      <c:overlay val="0"/>
      <c:spPr>
        <a:noFill/>
        <a:ln>
          <a:noFill/>
        </a:ln>
        <a:effectLst/>
      </c:spPr>
    </c:title>
    <c:autoTitleDeleted val="0"/>
    <c:plotArea>
      <c:layout/>
      <c:pieChart>
        <c:varyColors val="1"/>
        <c:ser>
          <c:idx val="0"/>
          <c:order val="0"/>
          <c:tx>
            <c:strRef>
              <c:f>Sheet1!$B$1</c:f>
              <c:strCache>
                <c:ptCount val="1"/>
                <c:pt idx="0">
                  <c:v>本来支出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164.87</c:v>
                </c:pt>
                <c:pt idx="1">
                  <c:v>31.99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0075"/>
          <c:y val="0.1295"/>
          <c:w val="0.910925"/>
          <c:h val="0.716066666666667"/>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Sheet1!$A$2:$A$5</c15:sqref>
                  </c15:fullRef>
                </c:ext>
              </c:extLst>
              <c:f>Sheet1!$A$2:$A$3</c:f>
              <c:numCache>
                <c:formatCode>General</c:formatCode>
                <c:ptCount val="2"/>
                <c:pt idx="0">
                  <c:v>2019</c:v>
                </c:pt>
                <c:pt idx="1">
                  <c:v>2020</c:v>
                </c:pt>
              </c:numCache>
            </c:numRef>
          </c:cat>
          <c:val>
            <c:numRef>
              <c:extLst>
                <c:ext xmlns:c15="http://schemas.microsoft.com/office/drawing/2012/chart" uri="{02D57815-91ED-43cb-92C2-25804820EDAC}">
                  <c15:fullRef>
                    <c15:sqref>Sheet1!$B$2:$B$5</c15:sqref>
                  </c15:fullRef>
                </c:ext>
              </c:extLst>
              <c:f>Sheet1!$B$2:$B$3</c:f>
              <c:numCache>
                <c:formatCode>General</c:formatCode>
                <c:ptCount val="2"/>
                <c:pt idx="0">
                  <c:v>244.71</c:v>
                </c:pt>
                <c:pt idx="1">
                  <c:v>196.86</c:v>
                </c:pt>
              </c:numCache>
            </c:numRef>
          </c:val>
        </c:ser>
        <c:dLbls>
          <c:showLegendKey val="0"/>
          <c:showVal val="0"/>
          <c:showCatName val="0"/>
          <c:showSerName val="0"/>
          <c:showPercent val="0"/>
          <c:showBubbleSize val="0"/>
        </c:dLbls>
        <c:gapWidth val="219"/>
        <c:overlap val="-27"/>
        <c:axId val="237601123"/>
        <c:axId val="53745886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delete val="1"/>
                </c:dLbls>
                <c:cat>
                  <c:numRef>
                    <c:extLst>
                      <c:ext uri="{02D57815-91ED-43cb-92C2-25804820EDAC}">
                        <c15:fullRef>
                          <c15:sqref>Sheet1!$A$2:$A$5</c15:sqref>
                        </c15:fullRef>
                        <c15:formulaRef>
                          <c15:sqref>Sheet1!$A$2:$A$3</c15:sqref>
                        </c15:formulaRef>
                      </c:ext>
                    </c:extLst>
                    <c:numCache>
                      <c:formatCode>General</c:formatCode>
                      <c:ptCount val="2"/>
                      <c:pt idx="0">
                        <c:v>2019</c:v>
                      </c:pt>
                      <c:pt idx="1">
                        <c:v>2020</c:v>
                      </c:pt>
                    </c:numCache>
                  </c:numRef>
                </c:cat>
                <c:val>
                  <c:numRef>
                    <c:extLst>
                      <c:ext uri="{02D57815-91ED-43cb-92C2-25804820EDAC}">
                        <c15:fullRef>
                          <c15:sqref>Sheet1!$C$2:$C$5</c15:sqref>
                        </c15:fullRef>
                        <c15:formulaRef>
                          <c15:sqref>Sheet1!$C$2:$C$3</c15:sqref>
                        </c15:formulaRef>
                      </c:ext>
                    </c:extLst>
                    <c:numCache>
                      <c:formatCode>General</c:formatCode>
                      <c:ptCount val="2"/>
                      <c:pt idx="0">
                        <c:v>196.86</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numRef>
                    <c:extLst>
                      <c:ext uri="{02D57815-91ED-43cb-92C2-25804820EDAC}">
                        <c15:fullRef>
                          <c15:sqref>Sheet1!$A$2:$A$5</c15:sqref>
                        </c15:fullRef>
                        <c15:formulaRef>
                          <c15:sqref>Sheet1!$A$2:$A$3</c15:sqref>
                        </c15:formulaRef>
                      </c:ext>
                    </c:extLst>
                    <c:numCache>
                      <c:formatCode>General</c:formatCode>
                      <c:ptCount val="2"/>
                      <c:pt idx="0">
                        <c:v>2019</c:v>
                      </c:pt>
                      <c:pt idx="1">
                        <c:v>2020</c:v>
                      </c:pt>
                    </c:numCache>
                  </c:num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2376011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458862"/>
        <c:crosses val="autoZero"/>
        <c:auto val="1"/>
        <c:lblAlgn val="ctr"/>
        <c:lblOffset val="100"/>
        <c:noMultiLvlLbl val="0"/>
      </c:catAx>
      <c:valAx>
        <c:axId val="5374588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6011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0575"/>
          <c:y val="0.215"/>
          <c:w val="0.910925"/>
          <c:h val="0.716066666666667"/>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Sheet1!$A$2:$A$5</c15:sqref>
                  </c15:fullRef>
                </c:ext>
              </c:extLst>
              <c:f>Sheet1!$A$2:$A$3</c:f>
              <c:numCache>
                <c:formatCode>General</c:formatCode>
                <c:ptCount val="2"/>
                <c:pt idx="0">
                  <c:v>2019</c:v>
                </c:pt>
                <c:pt idx="1">
                  <c:v>2020</c:v>
                </c:pt>
              </c:numCache>
            </c:numRef>
          </c:cat>
          <c:val>
            <c:numRef>
              <c:extLst>
                <c:ext xmlns:c15="http://schemas.microsoft.com/office/drawing/2012/chart" uri="{02D57815-91ED-43cb-92C2-25804820EDAC}">
                  <c15:fullRef>
                    <c15:sqref>Sheet1!$B$2:$B$5</c15:sqref>
                  </c15:fullRef>
                </c:ext>
              </c:extLst>
              <c:f>Sheet1!$B$2:$B$3</c:f>
              <c:numCache>
                <c:formatCode>General</c:formatCode>
                <c:ptCount val="2"/>
                <c:pt idx="0">
                  <c:v>244.71</c:v>
                </c:pt>
                <c:pt idx="1">
                  <c:v>196.86</c:v>
                </c:pt>
              </c:numCache>
            </c:numRef>
          </c:val>
        </c:ser>
        <c:dLbls>
          <c:showLegendKey val="0"/>
          <c:showVal val="0"/>
          <c:showCatName val="0"/>
          <c:showSerName val="0"/>
          <c:showPercent val="0"/>
          <c:showBubbleSize val="0"/>
        </c:dLbls>
        <c:gapWidth val="219"/>
        <c:overlap val="-27"/>
        <c:axId val="237601123"/>
        <c:axId val="53745886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delete val="1"/>
                </c:dLbls>
                <c:cat>
                  <c:numRef>
                    <c:extLst>
                      <c:ext uri="{02D57815-91ED-43cb-92C2-25804820EDAC}">
                        <c15:fullRef>
                          <c15:sqref>Sheet1!$A$2:$A$5</c15:sqref>
                        </c15:fullRef>
                        <c15:formulaRef>
                          <c15:sqref>Sheet1!$A$2:$A$3</c15:sqref>
                        </c15:formulaRef>
                      </c:ext>
                    </c:extLst>
                    <c:numCache>
                      <c:formatCode>General</c:formatCode>
                      <c:ptCount val="2"/>
                      <c:pt idx="0">
                        <c:v>2019</c:v>
                      </c:pt>
                      <c:pt idx="1">
                        <c:v>2020</c:v>
                      </c:pt>
                    </c:numCache>
                  </c:numRef>
                </c:cat>
                <c:val>
                  <c:numRef>
                    <c:extLst>
                      <c:ext uri="{02D57815-91ED-43cb-92C2-25804820EDAC}">
                        <c15:fullRef>
                          <c15:sqref>Sheet1!$C$2:$C$5</c15:sqref>
                        </c15:fullRef>
                        <c15:formulaRef>
                          <c15:sqref>Sheet1!$C$2:$C$3</c15:sqref>
                        </c15:formulaRef>
                      </c:ext>
                    </c:extLst>
                    <c:numCache>
                      <c:formatCode>General</c:formatCode>
                      <c:ptCount val="2"/>
                      <c:pt idx="0">
                        <c:v>196.86</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numRef>
                    <c:extLst>
                      <c:ext uri="{02D57815-91ED-43cb-92C2-25804820EDAC}">
                        <c15:fullRef>
                          <c15:sqref>Sheet1!$A$2:$A$5</c15:sqref>
                        </c15:fullRef>
                        <c15:formulaRef>
                          <c15:sqref>Sheet1!$A$2:$A$3</c15:sqref>
                        </c15:formulaRef>
                      </c:ext>
                    </c:extLst>
                    <c:numCache>
                      <c:formatCode>General</c:formatCode>
                      <c:ptCount val="2"/>
                      <c:pt idx="0">
                        <c:v>2019</c:v>
                      </c:pt>
                      <c:pt idx="1">
                        <c:v>2020</c:v>
                      </c:pt>
                    </c:numCache>
                  </c:num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2376011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458862"/>
        <c:crosses val="autoZero"/>
        <c:auto val="1"/>
        <c:lblAlgn val="ctr"/>
        <c:lblOffset val="100"/>
        <c:noMultiLvlLbl val="0"/>
      </c:catAx>
      <c:valAx>
        <c:axId val="5374588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6011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一般公共服务</c:v>
                </c:pt>
                <c:pt idx="1">
                  <c:v>社会保障和就业</c:v>
                </c:pt>
                <c:pt idx="2">
                  <c:v>卫生健康支出</c:v>
                </c:pt>
                <c:pt idx="3">
                  <c:v>住房保障支出</c:v>
                </c:pt>
              </c:strCache>
            </c:strRef>
          </c:cat>
          <c:val>
            <c:numRef>
              <c:f>Sheet1!$B$2:$B$5</c:f>
              <c:numCache>
                <c:formatCode>General</c:formatCode>
                <c:ptCount val="4"/>
                <c:pt idx="0">
                  <c:v>3.35</c:v>
                </c:pt>
                <c:pt idx="1">
                  <c:v>168.45</c:v>
                </c:pt>
                <c:pt idx="2">
                  <c:v>10.41</c:v>
                </c:pt>
                <c:pt idx="3">
                  <c:v>14.66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5759</Words>
  <Characters>7253</Characters>
  <Lines>61</Lines>
  <Paragraphs>17</Paragraphs>
  <TotalTime>18</TotalTime>
  <ScaleCrop>false</ScaleCrop>
  <LinksUpToDate>false</LinksUpToDate>
  <CharactersWithSpaces>7280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2021-09-07T07:59:00Z</cp:lastPrinted>
  <dcterms:modified xsi:type="dcterms:W3CDTF">2022-11-14T02:17:27Z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D865ADED62DD4F89BB5AD0778CD0CB12</vt:lpwstr>
  </property>
</Properties>
</file>