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黑体" w:hAnsi="黑体" w:eastAsia="黑体" w:cs="黑体"/>
          <w:color w:val="000000"/>
          <w:sz w:val="62"/>
          <w:szCs w:val="62"/>
        </w:rPr>
      </w:pPr>
      <w:bookmarkStart w:id="1" w:name="_Toc15377193"/>
      <w:bookmarkStart w:id="2" w:name="_Toc15378441"/>
      <w:bookmarkStart w:id="3" w:name="_Toc15396597"/>
      <w:bookmarkStart w:id="4" w:name="_Toc15396475"/>
      <w:bookmarkStart w:id="5" w:name="_Toc15377425"/>
      <w:bookmarkStart w:id="6" w:name="_Toc15396476"/>
      <w:bookmarkStart w:id="7" w:name="_Toc15378442"/>
      <w:bookmarkStart w:id="8" w:name="_Toc15396598"/>
      <w:bookmarkStart w:id="9" w:name="_Toc15377194"/>
      <w:bookmarkStart w:id="10" w:name="_Toc15377426"/>
      <w:r>
        <w:rPr>
          <w:rFonts w:hint="eastAsia" w:ascii="黑体" w:hAnsi="黑体" w:eastAsia="黑体" w:cs="黑体"/>
          <w:color w:val="000000"/>
          <w:sz w:val="62"/>
          <w:szCs w:val="62"/>
        </w:rPr>
        <w:t>2020年度</w:t>
      </w:r>
      <w:bookmarkEnd w:id="1"/>
      <w:bookmarkEnd w:id="2"/>
      <w:bookmarkEnd w:id="3"/>
      <w:bookmarkEnd w:id="4"/>
      <w:bookmarkEnd w:id="5"/>
    </w:p>
    <w:p>
      <w:pPr>
        <w:spacing w:before="240"/>
        <w:jc w:val="center"/>
        <w:rPr>
          <w:rFonts w:ascii="黑体" w:hAnsi="黑体" w:eastAsia="黑体" w:cs="黑体"/>
          <w:sz w:val="62"/>
          <w:szCs w:val="72"/>
        </w:rPr>
      </w:pPr>
      <w:r>
        <w:rPr>
          <w:rFonts w:hint="eastAsia" w:ascii="黑体" w:hAnsi="黑体" w:eastAsia="黑体" w:cs="黑体"/>
          <w:sz w:val="62"/>
          <w:szCs w:val="72"/>
        </w:rPr>
        <w:t>四川省</w:t>
      </w:r>
      <w:r>
        <w:rPr>
          <w:rFonts w:hint="eastAsia" w:ascii="黑体" w:hAnsi="黑体" w:eastAsia="黑体" w:cs="黑体"/>
          <w:color w:val="0C0C0C"/>
          <w:sz w:val="62"/>
          <w:szCs w:val="72"/>
        </w:rPr>
        <w:t>文化产业发展促进中心（四川省对外文化交流中心）</w:t>
      </w:r>
    </w:p>
    <w:p>
      <w:pPr>
        <w:pStyle w:val="2"/>
        <w:adjustRightInd w:val="0"/>
        <w:spacing w:before="93" w:line="580" w:lineRule="exact"/>
        <w:rPr>
          <w:rFonts w:ascii="黑体" w:hAnsi="黑体" w:eastAsia="黑体" w:cs="黑体"/>
          <w:b/>
          <w:sz w:val="32"/>
        </w:rPr>
      </w:pPr>
    </w:p>
    <w:bookmarkEnd w:id="0"/>
    <w:p>
      <w:pPr>
        <w:adjustRightInd w:val="0"/>
        <w:snapToGrid w:val="0"/>
        <w:spacing w:line="360" w:lineRule="auto"/>
        <w:jc w:val="center"/>
        <w:outlineLvl w:val="0"/>
        <w:rPr>
          <w:rFonts w:ascii="黑体" w:hAnsi="黑体" w:eastAsia="黑体" w:cs="黑体"/>
          <w:sz w:val="62"/>
          <w:szCs w:val="62"/>
          <w:highlight w:val="red"/>
        </w:rPr>
      </w:pPr>
      <w:bookmarkStart w:id="11" w:name="_Toc15306268"/>
      <w:r>
        <w:rPr>
          <w:rFonts w:hint="eastAsia" w:ascii="黑体" w:hAnsi="黑体" w:eastAsia="黑体" w:cs="黑体"/>
          <w:sz w:val="62"/>
          <w:szCs w:val="62"/>
        </w:rPr>
        <w:t>单位决算</w:t>
      </w:r>
      <w:bookmarkEnd w:id="6"/>
      <w:bookmarkEnd w:id="7"/>
      <w:bookmarkEnd w:id="8"/>
      <w:bookmarkEnd w:id="9"/>
      <w:bookmarkEnd w:id="10"/>
      <w:bookmarkEnd w:id="11"/>
    </w:p>
    <w:p>
      <w:pPr>
        <w:widowControl/>
        <w:jc w:val="center"/>
        <w:rPr>
          <w:rFonts w:ascii="方正小标宋简体" w:hAnsi="宋体" w:eastAsia="方正小标宋简体"/>
          <w:sz w:val="36"/>
          <w:szCs w:val="36"/>
        </w:rPr>
        <w:sectPr>
          <w:headerReference r:id="rId5" w:type="first"/>
          <w:footerReference r:id="rId8" w:type="first"/>
          <w:headerReference r:id="rId3" w:type="default"/>
          <w:footerReference r:id="rId6" w:type="default"/>
          <w:headerReference r:id="rId4" w:type="even"/>
          <w:footerReference r:id="rId7" w:type="even"/>
          <w:pgSz w:w="11907" w:h="16840"/>
          <w:pgMar w:top="1701" w:right="1588" w:bottom="1701" w:left="1588" w:header="851" w:footer="992" w:gutter="0"/>
          <w:pgNumType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  录</w:t>
      </w:r>
    </w:p>
    <w:p>
      <w:pPr>
        <w:widowControl/>
        <w:jc w:val="center"/>
        <w:rPr>
          <w:rFonts w:ascii="黑体" w:hAnsi="黑体" w:eastAsia="黑体" w:cstheme="minorBidi"/>
          <w:sz w:val="28"/>
          <w:szCs w:val="28"/>
        </w:rPr>
      </w:pPr>
    </w:p>
    <w:p>
      <w:pPr>
        <w:pStyle w:val="10"/>
        <w:rPr>
          <w:rFonts w:ascii="仿宋_GB2312" w:eastAsia="仿宋_GB2312"/>
          <w:sz w:val="32"/>
          <w:szCs w:val="32"/>
        </w:rPr>
      </w:pPr>
      <w:r>
        <w:rPr>
          <w:rFonts w:hint="eastAsia" w:ascii="仿宋_GB2312" w:eastAsia="仿宋_GB2312"/>
          <w:sz w:val="32"/>
          <w:szCs w:val="32"/>
        </w:rPr>
        <w:t>公开时间：2021年9月10日</w:t>
      </w:r>
    </w:p>
    <w:p>
      <w:pPr>
        <w:rPr>
          <w:rFonts w:ascii="仿宋_GB2312" w:eastAsia="仿宋_GB2312"/>
          <w:sz w:val="32"/>
          <w:szCs w:val="32"/>
        </w:rPr>
      </w:pPr>
    </w:p>
    <w:p>
      <w:pPr>
        <w:pStyle w:val="10"/>
        <w:adjustRightInd w:val="0"/>
        <w:snapToGrid w:val="0"/>
        <w:spacing w:before="0" w:line="440" w:lineRule="exact"/>
        <w:jc w:val="left"/>
        <w:rPr>
          <w:rFonts w:ascii="仿宋_GB2312" w:hAnsi="黑体" w:eastAsia="仿宋_GB2312" w:cstheme="minorBidi"/>
          <w:b/>
          <w:sz w:val="24"/>
          <w:szCs w:val="24"/>
        </w:rPr>
      </w:pPr>
      <w:r>
        <w:rPr>
          <w:rFonts w:hint="eastAsia" w:ascii="仿宋_GB2312" w:hAnsi="黑体" w:eastAsia="仿宋_GB2312"/>
          <w:b/>
          <w:sz w:val="24"/>
          <w:szCs w:val="24"/>
        </w:rPr>
        <w:t>第一部分单位概况</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一、职能简介</w:t>
      </w:r>
    </w:p>
    <w:p>
      <w:pPr>
        <w:pStyle w:val="11"/>
        <w:adjustRightInd w:val="0"/>
        <w:snapToGrid w:val="0"/>
        <w:spacing w:line="440" w:lineRule="exact"/>
        <w:ind w:left="1" w:leftChars="0" w:firstLine="530" w:firstLineChars="221"/>
        <w:jc w:val="left"/>
        <w:rPr>
          <w:rFonts w:ascii="仿宋_GB2312" w:eastAsia="仿宋_GB2312" w:hAnsiTheme="minorEastAsia" w:cstheme="minorEastAsia"/>
          <w:sz w:val="32"/>
          <w:szCs w:val="32"/>
        </w:rPr>
      </w:pPr>
      <w:r>
        <w:rPr>
          <w:rFonts w:hint="eastAsia" w:ascii="宋体" w:hAnsi="宋体" w:cstheme="minorEastAsia"/>
          <w:sz w:val="24"/>
        </w:rPr>
        <w:t>二、2020年重点工作完成情况</w:t>
      </w:r>
    </w:p>
    <w:p>
      <w:pPr>
        <w:pStyle w:val="10"/>
        <w:adjustRightInd w:val="0"/>
        <w:snapToGrid w:val="0"/>
        <w:spacing w:before="0" w:line="440" w:lineRule="exact"/>
        <w:jc w:val="left"/>
        <w:rPr>
          <w:rFonts w:ascii="仿宋_GB2312" w:hAnsi="黑体" w:eastAsia="仿宋_GB2312"/>
          <w:b/>
          <w:sz w:val="24"/>
          <w:szCs w:val="24"/>
        </w:rPr>
      </w:pPr>
      <w:r>
        <w:rPr>
          <w:rFonts w:hint="eastAsia" w:ascii="仿宋_GB2312" w:hAnsi="黑体" w:eastAsia="仿宋_GB2312"/>
          <w:b/>
          <w:sz w:val="24"/>
          <w:szCs w:val="24"/>
        </w:rPr>
        <w:t>第二部分 2020年度单位决算情况说明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一、收入支出决算总体情况说明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二、收入决算情况说明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三、支出决算情况说明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四、财政拨款收入支出决算总体情况说明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五、一般公共预算财政拨款支出决算情况说明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六、一般公共预算财政拨款基本支出决算情况说明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七、“三公”经费财政拨款支出决算情况说明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八、政府性基金预算支出决算情况说明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九、国有资本经营预算支出决算情况说明</w:t>
      </w:r>
    </w:p>
    <w:p>
      <w:pPr>
        <w:pStyle w:val="11"/>
        <w:adjustRightInd w:val="0"/>
        <w:snapToGrid w:val="0"/>
        <w:spacing w:line="440" w:lineRule="exact"/>
        <w:ind w:left="0" w:leftChars="0" w:firstLine="530" w:firstLineChars="221"/>
        <w:jc w:val="left"/>
        <w:rPr>
          <w:rFonts w:ascii="仿宋_GB2312" w:eastAsia="仿宋_GB2312"/>
          <w:sz w:val="32"/>
          <w:szCs w:val="32"/>
        </w:rPr>
      </w:pPr>
      <w:r>
        <w:rPr>
          <w:rFonts w:hint="eastAsia" w:ascii="宋体" w:hAnsi="宋体"/>
          <w:sz w:val="24"/>
        </w:rPr>
        <w:t>十、其他重要事项的情况说明</w:t>
      </w:r>
    </w:p>
    <w:p>
      <w:pPr>
        <w:pStyle w:val="10"/>
        <w:adjustRightInd w:val="0"/>
        <w:snapToGrid w:val="0"/>
        <w:spacing w:before="0" w:line="440" w:lineRule="exact"/>
        <w:jc w:val="left"/>
        <w:rPr>
          <w:rFonts w:ascii="仿宋_GB2312" w:hAnsi="黑体" w:eastAsia="仿宋_GB2312"/>
          <w:b/>
          <w:sz w:val="24"/>
          <w:szCs w:val="24"/>
        </w:rPr>
      </w:pPr>
      <w:r>
        <w:rPr>
          <w:rFonts w:hint="eastAsia" w:ascii="仿宋_GB2312" w:hAnsi="黑体" w:eastAsia="仿宋_GB2312"/>
          <w:b/>
          <w:sz w:val="24"/>
          <w:szCs w:val="24"/>
        </w:rPr>
        <w:t>第三部分 名词解释</w:t>
      </w:r>
    </w:p>
    <w:p>
      <w:pPr>
        <w:pStyle w:val="10"/>
        <w:adjustRightInd w:val="0"/>
        <w:snapToGrid w:val="0"/>
        <w:spacing w:before="0" w:line="440" w:lineRule="exact"/>
        <w:jc w:val="left"/>
        <w:rPr>
          <w:rFonts w:ascii="仿宋_GB2312" w:hAnsi="黑体" w:eastAsia="仿宋_GB2312"/>
          <w:b/>
          <w:sz w:val="24"/>
          <w:szCs w:val="24"/>
        </w:rPr>
      </w:pPr>
      <w:r>
        <w:rPr>
          <w:rFonts w:hint="eastAsia" w:ascii="仿宋_GB2312" w:hAnsi="黑体" w:eastAsia="仿宋_GB2312"/>
          <w:b/>
          <w:sz w:val="24"/>
          <w:szCs w:val="24"/>
        </w:rPr>
        <w:t>第四部分 附件</w:t>
      </w:r>
    </w:p>
    <w:p>
      <w:pPr>
        <w:pStyle w:val="10"/>
        <w:adjustRightInd w:val="0"/>
        <w:snapToGrid w:val="0"/>
        <w:spacing w:before="0" w:line="440" w:lineRule="exact"/>
        <w:jc w:val="left"/>
        <w:rPr>
          <w:rFonts w:ascii="黑体" w:hAnsi="黑体" w:eastAsia="黑体" w:cstheme="minorBidi"/>
          <w:b/>
          <w:sz w:val="32"/>
          <w:szCs w:val="32"/>
        </w:rPr>
      </w:pPr>
      <w:r>
        <w:rPr>
          <w:rFonts w:hint="eastAsia" w:ascii="仿宋_GB2312" w:hAnsi="黑体" w:eastAsia="仿宋_GB2312"/>
          <w:b/>
          <w:sz w:val="24"/>
          <w:szCs w:val="24"/>
        </w:rPr>
        <w:t>第五部分 附表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一、收入支出决算总表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二、收入决算表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三、支出决算表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四、财政拨款收入支出决算总表</w:t>
      </w:r>
    </w:p>
    <w:p>
      <w:pPr>
        <w:pStyle w:val="11"/>
        <w:adjustRightInd w:val="0"/>
        <w:snapToGrid w:val="0"/>
        <w:spacing w:line="440" w:lineRule="exact"/>
        <w:ind w:left="0" w:leftChars="0" w:firstLine="530" w:firstLineChars="221"/>
        <w:jc w:val="left"/>
        <w:rPr>
          <w:rFonts w:ascii="仿宋_GB2312" w:eastAsia="仿宋_GB2312"/>
          <w:sz w:val="32"/>
          <w:szCs w:val="32"/>
        </w:rPr>
      </w:pPr>
      <w:r>
        <w:rPr>
          <w:rFonts w:hint="eastAsia" w:ascii="宋体" w:hAnsi="宋体"/>
          <w:sz w:val="24"/>
        </w:rPr>
        <w:t>五、财政拨款支出决算明细表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六、一般公共预算财政拨款支出决算表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七、一般公共预算财政拨款支出决算明细表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八、一般公共预算财政拨款基本支出决算表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九、一般公共预算财政拨款项目支出决算表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十、一般公共预算财政拨款“三公”经费支出决算表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十一、政府性基金预算财政拨款收入支出决算表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十二、政府性基金预算财政拨款“三公”经费支出决算表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十三、国有资本经营预算财政拨款收入支出决算表</w:t>
      </w:r>
    </w:p>
    <w:p>
      <w:pPr>
        <w:pStyle w:val="11"/>
        <w:adjustRightInd w:val="0"/>
        <w:snapToGrid w:val="0"/>
        <w:spacing w:line="440" w:lineRule="exact"/>
        <w:ind w:left="0" w:leftChars="0" w:firstLine="530" w:firstLineChars="221"/>
        <w:jc w:val="left"/>
        <w:rPr>
          <w:rFonts w:ascii="仿宋_GB2312" w:eastAsia="仿宋_GB2312"/>
          <w:sz w:val="32"/>
          <w:szCs w:val="32"/>
        </w:rPr>
      </w:pPr>
      <w:r>
        <w:rPr>
          <w:rFonts w:hint="eastAsia" w:ascii="宋体" w:hAnsi="宋体"/>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ind w:firstLine="640" w:firstLineChars="200"/>
      </w:pPr>
      <w:bookmarkStart w:id="14" w:name="_Toc15377197"/>
      <w:bookmarkStart w:id="15" w:name="_Toc15396600"/>
      <w:r>
        <w:rPr>
          <w:rStyle w:val="26"/>
          <w:rFonts w:hint="eastAsia" w:ascii="黑体" w:hAnsi="黑体" w:eastAsia="黑体"/>
          <w:b w:val="0"/>
          <w:bCs w:val="0"/>
        </w:rPr>
        <w:t>一、职能简介</w:t>
      </w:r>
    </w:p>
    <w:p>
      <w:pPr>
        <w:snapToGrid w:val="0"/>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1.主要职能。</w:t>
      </w:r>
    </w:p>
    <w:p>
      <w:pPr>
        <w:spacing w:line="580" w:lineRule="exact"/>
        <w:ind w:firstLine="640" w:firstLineChars="200"/>
        <w:rPr>
          <w:rFonts w:ascii="仿宋" w:hAnsi="仿宋" w:eastAsia="仿宋"/>
          <w:sz w:val="32"/>
          <w:szCs w:val="32"/>
        </w:rPr>
      </w:pPr>
      <w:r>
        <w:rPr>
          <w:rFonts w:hint="eastAsia" w:ascii="仿宋_GB2312" w:hAnsi="仿宋" w:eastAsia="仿宋_GB2312"/>
          <w:sz w:val="32"/>
          <w:szCs w:val="32"/>
        </w:rPr>
        <w:t>宗旨和业务范围：围绕省委宣传部中心工作，负责策划、组织开展以及实施全省宣传综合性文化产业项目和文化交流工作。</w:t>
      </w:r>
    </w:p>
    <w:p>
      <w:pPr>
        <w:snapToGrid w:val="0"/>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2．机构情况。</w:t>
      </w:r>
    </w:p>
    <w:p>
      <w:pPr>
        <w:spacing w:line="580" w:lineRule="exact"/>
        <w:ind w:firstLine="640" w:firstLineChars="200"/>
        <w:rPr>
          <w:rFonts w:ascii="仿宋" w:hAnsi="仿宋" w:eastAsia="仿宋"/>
          <w:sz w:val="32"/>
          <w:szCs w:val="32"/>
        </w:rPr>
      </w:pPr>
      <w:r>
        <w:rPr>
          <w:rFonts w:hint="eastAsia" w:ascii="仿宋_GB2312" w:hAnsi="仿宋" w:eastAsia="仿宋_GB2312"/>
          <w:sz w:val="32"/>
          <w:szCs w:val="32"/>
        </w:rPr>
        <w:t>四川省对外文化交流中心成立于1984年12月，根椐《中共四川省委机构编制委员会关于省属国有文化资产监督管理委员会办公室机构设置有关事项的批复》（川编发〔2017〕44号）文件精神, 四川省对外文化交流中心调整为四川省文化产业发展促进中心（四川省对外文化交流中心），简称：省文产（交流）中心，属财政全额拨款预算的县团级公益一类事业单位，核定事业编制18人。年未实际在职2人，退休3人，长期聘用7人。二级预算单位，执行政府会计制度。</w:t>
      </w:r>
    </w:p>
    <w:p>
      <w:pPr>
        <w:pStyle w:val="4"/>
        <w:ind w:firstLine="640" w:firstLineChars="200"/>
        <w:rPr>
          <w:rFonts w:ascii="黑体" w:hAnsi="黑体" w:eastAsia="黑体"/>
          <w:b w:val="0"/>
        </w:rPr>
      </w:pPr>
      <w:r>
        <w:rPr>
          <w:rStyle w:val="26"/>
          <w:rFonts w:hint="eastAsia" w:ascii="黑体" w:hAnsi="黑体" w:eastAsia="黑体"/>
          <w:b w:val="0"/>
          <w:bCs w:val="0"/>
        </w:rPr>
        <w:t>二、 2020年重点工作</w:t>
      </w:r>
      <w:bookmarkEnd w:id="14"/>
      <w:bookmarkEnd w:id="15"/>
      <w:r>
        <w:rPr>
          <w:rStyle w:val="26"/>
          <w:rFonts w:hint="eastAsia" w:ascii="黑体" w:hAnsi="黑体" w:eastAsia="黑体"/>
          <w:b w:val="0"/>
          <w:bCs w:val="0"/>
        </w:rPr>
        <w:t>完成情况</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2020年，省文产（交流）中心一直把推动我省文化事业和文化产业繁荣发展作为中心核心工作，认真谋划，规范运作，努力为文化强省建设贡献力量。</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1、一年多来，中心配合产业发展处，开展全省文化产业和新闻出版数据统计工作。中心面对新任务和新挑战，克服经费、人员、设备等多方面困难，安排专职统计工作人员开展统计工作。通过主动学习、积极沟通，加强与各职能处室的联系，圆满完成2019年度文化产业和新闻出版数据统计共计两大板块、16大项的数据统计。该项工作获得中宣部中国新闻出版研究院领导的肯定。</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2、1月4日，为落实文化惠民、助力脱贫攻坚，由四川省对外文化交流中心、井研县委县人民政府主办，井研县委宣传部、井研县文化体育和旅游局协办的“2020年度省市文艺轻骑兵走进井研暨幸福井研文化惠民活动”在井研县举行。此次活动以“礼赞新时代，文化暖冬行”为主题，旨在助攻脱贫攻坚、助推乡村振兴、助力全面小康。该活动，汇集了国家级和省级知名艺术家，通过高水平文艺演出，将文化宣传服务活动作为脱贫攻坚的有效载体和重要内容，把歌舞戏曲送到基层，加强了区县精神文明建设，推动农村文化事业发展。</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1月10日，由四川省文化产业发展促进中心、四川省轻工业设计师联合会主办，天府文创设计培育工程组委会、成都浓园承办的首届天府文创设计论坛暨“双千”工程首批入库授牌仪式，在成都天艺村·浓园艺术博览园举行，全省文创设计企业代表、文创设计师代表、艺术家代表、投资商代表及媒体代表约200人参加了此次活动。通过这个工程的实施，聚集人才，培育项目，孵化产品，开拓市场，推动文化产业高质量发展。</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4、3月1日，为进一步推进“七五”普法教育，营造全民法制文化氛围，由省文产（交流）中心等单位指导，四川省法治文化研究会、四川省大数据创新应用学会主办，四川广播电视台科教频道《影响四川》栏目组等多家机构承办的“e法”益堂课大型公益直播活动在线上正式开展直播，浏览观众达50余万人次，这是省文产（交流）中心联合多家公益机构运用网络媒体，宣传学习习近平新时代中国特色社会主义思想、宣传国家政策法规、解读当前法律热点、传播优秀传统文化和宣传疫情防控知识的一次积极尝试和创新。</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5、7月9日-10日，为深入贯彻省委文化强省指示精神，激发文化创新创造活力，探索我省县域文旅产业发展路径，中心组织部分干部职工及中心特约研究员一行20人赴乐至县开展“红色文创”主题考察调研活动，并召开“乐至县文旅产业调研座谈会暨2020年中心专家年会”。中心专家们就乐至县域文化产业发展现状与规划，有针对性地对“陈毅故里•绿色乐至”文旅品牌打造、“红色基因，大美乐至”红色文创创意设计等话题展开讨论，并提出了良好的建议与意见。此次活动，积极开拓了县域文化产业市场，助推我省县域文化产业持续发展。</w:t>
      </w:r>
    </w:p>
    <w:p>
      <w:pPr>
        <w:shd w:val="clear" w:color="auto" w:fill="FFFFFF"/>
        <w:spacing w:line="360" w:lineRule="atLeast"/>
        <w:ind w:firstLine="709"/>
        <w:rPr>
          <w:rFonts w:ascii="仿宋_GB2312" w:hAnsi="仿宋" w:eastAsia="仿宋_GB2312"/>
          <w:sz w:val="32"/>
          <w:szCs w:val="32"/>
        </w:rPr>
      </w:pPr>
      <w:r>
        <w:rPr>
          <w:rFonts w:hint="eastAsia" w:ascii="仿宋_GB2312" w:hAnsi="仿宋" w:eastAsia="仿宋_GB2312"/>
          <w:sz w:val="32"/>
          <w:szCs w:val="32"/>
        </w:rPr>
        <w:t xml:space="preserve">6、9月29日，由省文产（交流）中心等多家单位协办，成都博物馆和美国印第安纳波利斯艺术博物馆等单位主办的“光影浮空：欧洲绘画五百年”画展在成都博物馆拉开帷幕，展出来自美国印第安纳波利斯艺术博物馆的60幅世界珍贵艺术典藏。本次画展展品囊括了14世纪至20世纪初欧洲艺术史上最具代表性流派的代表性画家作品。提香、鲁本斯、洛兰、伦勃朗、卡尔夫、莫奈等60位大师的60幅原作，在文博界掀起一场“艺术风暴”。 </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7、11月16日-20日，第十六届中国（深圳）国际文化产业博览交易在线上成功举办，中共中央政治局委员、中宣部部长黄坤明出席“云博会”开幕式并巡视部分省市及文化企业集团网上展馆，省委常委、宣传部长甘霖同志在成都出席开幕式，并巡视四川云展馆，四川展团圆满完成各项工作并获得省委宣传部领导的肯定批示。本届文博会四川展厅以“魅力天府·奋进四川”为展示主题，紧跟中央和四川省委省政府决策部署，精心搭建云展厅和展示网页，组织了37家优质文化企业参展，展示文化项目（产品）约500项（件），抒发我省文产战线心声，展示文化产业成就，展现四川文旅在扶贫攻坚和抗疫战争等战线上坚守阵地、攻克难关、创新创造的绚丽风采，全面展现我省文化产业在各领域发展的新成就、新亮点。本届文博会，有效促进了四川文化产业的交流、交易与合作，取得了良好的展陈、交易效果，参展团实现800余万的成交金额，更多意向签约项目正在积极推进中。</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8、9月26日，由四川省对外文化交流中心、成都锦江区委宣传部等单位指导，许燎源现代设计艺术博物馆主办的“红砂物语-成都公共艺术展”在许燎源当代艺术馆开幕。此次展览以“聚焦公共雕塑，探索未来维度”为主题，共汇集了71位艺术家的500余件作品，旨在为更多青年艺术家、设计师提供舞台，以群展的方式让不同的艺术作品在此交汇、碰撞，为本土乃至全国艺术力量提供生长土壤，为满足人民群众对美好生活的追求，提供更多更好的艺术作品。</w:t>
      </w:r>
    </w:p>
    <w:p>
      <w:pPr>
        <w:spacing w:line="360" w:lineRule="auto"/>
        <w:ind w:firstLine="707" w:firstLineChars="221"/>
        <w:rPr>
          <w:rFonts w:ascii="仿宋" w:hAnsi="仿宋" w:eastAsia="仿宋"/>
          <w:sz w:val="32"/>
          <w:szCs w:val="32"/>
        </w:rPr>
      </w:pPr>
      <w:r>
        <w:rPr>
          <w:rFonts w:hint="eastAsia" w:ascii="仿宋_GB2312" w:hAnsi="仿宋" w:eastAsia="仿宋_GB2312"/>
          <w:sz w:val="32"/>
          <w:szCs w:val="32"/>
        </w:rPr>
        <w:t>9、12月4日，由省文化产业发展促进中心支持的第四届天府文化论坛在天府新区举行，本届论坛的主题为“文化赋能  文创驱动——天府文化新场景”，同时发布了《天府文化·年度文化新消费新场景发展》报告。天府文化论坛已连续举办了四届，精准把握文化新方向，紧扣产业新热点，邀请到国内外专家学者、行业领袖，共商天府文化发展大计，促进文化产业高质量发展。</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pPr>
      <w:bookmarkStart w:id="16" w:name="_Toc15377204"/>
      <w:bookmarkStart w:id="17" w:name="_Toc15396602"/>
      <w:r>
        <w:rPr>
          <w:rFonts w:hint="eastAsia" w:ascii="黑体" w:hAnsi="黑体" w:eastAsia="黑体"/>
          <w:b w:val="0"/>
        </w:rPr>
        <w:t>第二部分 2020年度</w:t>
      </w:r>
      <w:r>
        <w:rPr>
          <w:rStyle w:val="25"/>
          <w:rFonts w:hint="eastAsia" w:ascii="黑体" w:hAnsi="黑体" w:eastAsia="黑体"/>
          <w:b w:val="0"/>
          <w:bCs/>
          <w:color w:val="000000" w:themeColor="text1"/>
        </w:rPr>
        <w:t>单位</w:t>
      </w:r>
      <w:r>
        <w:rPr>
          <w:rStyle w:val="25"/>
          <w:rFonts w:hint="eastAsia" w:ascii="黑体" w:hAnsi="黑体" w:eastAsia="黑体"/>
          <w:b w:val="0"/>
          <w:bCs/>
        </w:rPr>
        <w:t>决算情况说明</w:t>
      </w:r>
      <w:bookmarkEnd w:id="16"/>
      <w:bookmarkEnd w:id="17"/>
    </w:p>
    <w:p>
      <w:pPr>
        <w:pStyle w:val="24"/>
        <w:numPr>
          <w:ilvl w:val="0"/>
          <w:numId w:val="1"/>
        </w:numPr>
        <w:spacing w:line="600" w:lineRule="exact"/>
        <w:ind w:firstLineChars="0"/>
        <w:outlineLvl w:val="1"/>
        <w:rPr>
          <w:rStyle w:val="26"/>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2020年度收、支总计195.59万元。与2019年相比，收、支总计各减少4.56万元，下降2.28%。主要变动原因是人员调出。</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（图1：收、支决算总计变动情况图）（柱状图）</w:t>
      </w:r>
    </w:p>
    <w:p>
      <w:pPr>
        <w:pStyle w:val="2"/>
        <w:spacing w:before="93"/>
        <w:rPr>
          <w:sz w:val="32"/>
          <w:szCs w:val="32"/>
        </w:rPr>
      </w:pPr>
      <w:r>
        <w:rPr>
          <w:rFonts w:hint="eastAsia" w:eastAsia="仿宋"/>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sz w:val="32"/>
          <w:szCs w:val="32"/>
        </w:rPr>
        <w:t>2020年本年收入合计195.59万元，其中：一般公共预算财政拨款收入195.55万元，占99.98%；其他收入0.01万元，</w:t>
      </w:r>
      <w:r>
        <w:rPr>
          <w:rFonts w:hint="eastAsia" w:ascii="仿宋_GB2312" w:hAnsi="仿宋" w:eastAsia="仿宋_GB2312"/>
          <w:color w:val="000000" w:themeColor="text1"/>
          <w:sz w:val="32"/>
          <w:szCs w:val="32"/>
        </w:rPr>
        <w:t>占0.01%，使用非财政拨款结余0.03万元，占0.01%</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
        <w:spacing w:before="93"/>
      </w:pPr>
      <w:r>
        <w:rPr>
          <w:rFonts w:hint="eastAsia"/>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2020年本年支出合计195.59万元，其中：基本支出75.03万元，占38.36%；项目支出120.56万元，占61.64%。</w:t>
      </w:r>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（图3：支出决算结构图）（饼状图）</w:t>
      </w:r>
    </w:p>
    <w:p>
      <w:pPr>
        <w:pStyle w:val="2"/>
        <w:spacing w:before="93"/>
      </w:pPr>
      <w:r>
        <w:rPr>
          <w:rFonts w:hint="eastAsia"/>
          <w:sz w:val="32"/>
          <w:szCs w:val="32"/>
        </w:rPr>
        <w:drawing>
          <wp:anchor distT="0" distB="0" distL="114300" distR="114300" simplePos="0" relativeHeight="251659264" behindDoc="1" locked="0" layoutInCell="1" allowOverlap="1">
            <wp:simplePos x="0" y="0"/>
            <wp:positionH relativeFrom="column">
              <wp:posOffset>410845</wp:posOffset>
            </wp:positionH>
            <wp:positionV relativeFrom="paragraph">
              <wp:posOffset>-6089015</wp:posOffset>
            </wp:positionV>
            <wp:extent cx="5080000" cy="3810000"/>
            <wp:effectExtent l="4445" t="4445" r="20955" b="14605"/>
            <wp:wrapTight wrapText="bothSides">
              <wp:wrapPolygon>
                <wp:start x="-19" y="-25"/>
                <wp:lineTo x="-19" y="21575"/>
                <wp:lineTo x="21527" y="21575"/>
                <wp:lineTo x="21527" y="-25"/>
                <wp:lineTo x="-19" y="-25"/>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outlineLvl w:val="1"/>
        <w:rPr>
          <w:rFonts w:ascii="黑体" w:hAnsi="黑体" w:eastAsia="黑体"/>
          <w:sz w:val="32"/>
          <w:szCs w:val="32"/>
        </w:rPr>
      </w:pPr>
      <w:bookmarkStart w:id="24" w:name="_Toc15377208"/>
      <w:bookmarkStart w:id="25" w:name="_Toc15396606"/>
    </w:p>
    <w:p>
      <w:pPr>
        <w:spacing w:line="600" w:lineRule="exact"/>
        <w:ind w:firstLine="640" w:firstLineChars="200"/>
        <w:outlineLvl w:val="1"/>
        <w:rPr>
          <w:rStyle w:val="26"/>
          <w:rFonts w:ascii="黑体" w:hAnsi="黑体" w:eastAsia="黑体"/>
          <w:b w:val="0"/>
        </w:rPr>
      </w:pPr>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2020年财政拨款收、支总计195.55万元。与2019年相比，财政拨款收、支总计各减少4.53万元，下降2.26%。主要变动原因是人员调出。</w:t>
      </w:r>
    </w:p>
    <w:p>
      <w:pPr>
        <w:spacing w:line="600" w:lineRule="exact"/>
        <w:ind w:firstLine="640" w:firstLineChars="200"/>
        <w:outlineLvl w:val="1"/>
        <w:rPr>
          <w:rFonts w:ascii="黑体" w:hAnsi="黑体" w:eastAsia="黑体"/>
          <w:sz w:val="32"/>
          <w:szCs w:val="32"/>
        </w:rPr>
      </w:pPr>
      <w:r>
        <w:rPr>
          <w:rFonts w:hint="eastAsia" w:ascii="仿宋_GB2312" w:hAnsi="仿宋" w:eastAsia="仿宋_GB2312"/>
          <w:sz w:val="32"/>
          <w:szCs w:val="32"/>
        </w:rPr>
        <w:t>（图4：财政拨款收、支决算总计变动情况）（柱状图）</w:t>
      </w:r>
      <w:bookmarkStart w:id="26" w:name="_Toc15377209"/>
      <w:bookmarkStart w:id="27" w:name="_Toc15396607"/>
    </w:p>
    <w:p>
      <w:pPr>
        <w:spacing w:line="600" w:lineRule="exact"/>
        <w:ind w:firstLine="643" w:firstLineChars="200"/>
        <w:outlineLvl w:val="1"/>
        <w:rPr>
          <w:rStyle w:val="26"/>
          <w:rFonts w:ascii="黑体" w:hAnsi="黑体" w:eastAsia="黑体"/>
          <w:b w:val="0"/>
        </w:rPr>
      </w:pPr>
      <w:r>
        <w:rPr>
          <w:rFonts w:hint="eastAsia" w:ascii="仿宋" w:hAnsi="仿宋" w:eastAsia="仿宋"/>
          <w:b/>
          <w:sz w:val="32"/>
          <w:szCs w:val="32"/>
        </w:rPr>
        <w:drawing>
          <wp:anchor distT="0" distB="0" distL="114300" distR="114300" simplePos="0" relativeHeight="251660288" behindDoc="0" locked="0" layoutInCell="1" allowOverlap="1">
            <wp:simplePos x="0" y="0"/>
            <wp:positionH relativeFrom="column">
              <wp:posOffset>234950</wp:posOffset>
            </wp:positionH>
            <wp:positionV relativeFrom="paragraph">
              <wp:posOffset>212090</wp:posOffset>
            </wp:positionV>
            <wp:extent cx="5080000" cy="3810000"/>
            <wp:effectExtent l="4445" t="4445" r="2095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1"/>
        <w:rPr>
          <w:rFonts w:ascii="仿宋_GB2312" w:hAnsi="仿宋" w:eastAsia="仿宋_GB2312"/>
          <w:b/>
          <w:sz w:val="32"/>
          <w:szCs w:val="32"/>
        </w:rPr>
      </w:pPr>
      <w:bookmarkStart w:id="28" w:name="_Toc15377210"/>
      <w:r>
        <w:rPr>
          <w:rFonts w:hint="eastAsia" w:ascii="仿宋_GB2312" w:hAnsi="仿宋" w:eastAsia="仿宋_GB2312"/>
          <w:b/>
          <w:sz w:val="32"/>
          <w:szCs w:val="32"/>
        </w:rPr>
        <w:t>（一）一般公共预算财政拨款支出决算总体情况</w:t>
      </w:r>
      <w:bookmarkEnd w:id="28"/>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2020年一般公共预算财政拨款支出195.55万元，占本年支出合计的99.98%。与2019年相比，一般公共预算财政拨款减少4.53万元，下降2.26%。主要变动原因是人员调出。</w:t>
      </w:r>
    </w:p>
    <w:p>
      <w:pPr>
        <w:spacing w:line="600" w:lineRule="exact"/>
        <w:outlineLvl w:val="1"/>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499110</wp:posOffset>
            </wp:positionH>
            <wp:positionV relativeFrom="paragraph">
              <wp:posOffset>560705</wp:posOffset>
            </wp:positionV>
            <wp:extent cx="5080000" cy="3810000"/>
            <wp:effectExtent l="4445" t="4445" r="20955" b="1460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_GB2312" w:hAnsi="仿宋" w:eastAsia="仿宋_GB2312"/>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_GB2312" w:hAnsi="仿宋" w:eastAsia="仿宋_GB2312"/>
          <w:b/>
          <w:sz w:val="32"/>
          <w:szCs w:val="32"/>
        </w:rPr>
      </w:pPr>
      <w:bookmarkStart w:id="29" w:name="_Toc15377211"/>
      <w:r>
        <w:rPr>
          <w:rFonts w:hint="eastAsia" w:ascii="仿宋_GB2312" w:hAnsi="仿宋" w:eastAsia="仿宋_GB2312"/>
          <w:b/>
          <w:sz w:val="32"/>
          <w:szCs w:val="32"/>
        </w:rPr>
        <w:t>（二）一般公共预算财政拨款支出决算结构情况</w:t>
      </w:r>
      <w:bookmarkEnd w:id="29"/>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2020年一般公共预算财政拨款支出195.55万元，主要用于以下方面:一般公共服务（类）支出63.44万元，占32.44%；文化旅游体育与传媒（类）支出105万元，占53.70%；社会保障和就业（类）支出15.11万元，占7.72%；卫生健康支出4.2万元，占2.15%；住房保障支出7.8万元，占3.99%。</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600" w:lineRule="exact"/>
        <w:rPr>
          <w:rFonts w:ascii="仿宋" w:hAnsi="仿宋" w:eastAsia="仿宋"/>
          <w:sz w:val="32"/>
          <w:szCs w:val="32"/>
        </w:rPr>
      </w:pPr>
      <w:r>
        <w:rPr>
          <w:rFonts w:hint="eastAsia" w:ascii="仿宋_GB2312" w:hAnsi="仿宋" w:eastAsia="仿宋_GB2312"/>
          <w:sz w:val="32"/>
          <w:szCs w:val="32"/>
        </w:rPr>
        <w:t>（图6：一般公共预算财政拨款支出决算结构）（饼状图）</w:t>
      </w:r>
    </w:p>
    <w:p>
      <w:pPr>
        <w:pStyle w:val="2"/>
        <w:spacing w:before="93"/>
        <w:jc w:val="center"/>
      </w:pPr>
      <w:r>
        <w:rPr>
          <w:rFonts w:hint="eastAsia"/>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_GB2312" w:hAnsi="仿宋" w:eastAsia="仿宋_GB2312"/>
          <w:b/>
          <w:sz w:val="32"/>
          <w:szCs w:val="32"/>
        </w:rPr>
      </w:pPr>
      <w:bookmarkStart w:id="30" w:name="_Toc15377212"/>
      <w:r>
        <w:rPr>
          <w:rFonts w:hint="eastAsia" w:ascii="仿宋_GB2312" w:hAnsi="仿宋" w:eastAsia="仿宋_GB2312"/>
          <w:b/>
          <w:sz w:val="32"/>
          <w:szCs w:val="32"/>
        </w:rPr>
        <w:t>（三）一般公共预算财政拨款支出决算具体情况</w:t>
      </w:r>
      <w:bookmarkEnd w:id="30"/>
    </w:p>
    <w:p>
      <w:pPr>
        <w:spacing w:line="600" w:lineRule="exact"/>
        <w:ind w:firstLine="640" w:firstLineChars="200"/>
        <w:outlineLvl w:val="2"/>
        <w:rPr>
          <w:rFonts w:ascii="仿宋_GB2312" w:hAnsi="仿宋" w:eastAsia="仿宋_GB2312"/>
          <w:sz w:val="32"/>
          <w:szCs w:val="32"/>
        </w:rPr>
      </w:pPr>
      <w:bookmarkStart w:id="31" w:name="_Toc15377444"/>
      <w:bookmarkStart w:id="32" w:name="_Toc15377213"/>
      <w:bookmarkStart w:id="33" w:name="_Toc15378460"/>
      <w:r>
        <w:rPr>
          <w:rFonts w:hint="eastAsia" w:ascii="仿宋_GB2312" w:hAnsi="仿宋" w:eastAsia="仿宋_GB2312"/>
          <w:sz w:val="32"/>
          <w:szCs w:val="32"/>
        </w:rPr>
        <w:t>2020年一般公共预算支出决算元，完成预算93.35%。其中：</w:t>
      </w:r>
      <w:bookmarkEnd w:id="31"/>
      <w:bookmarkEnd w:id="32"/>
      <w:bookmarkEnd w:id="33"/>
    </w:p>
    <w:p>
      <w:pPr>
        <w:spacing w:line="600" w:lineRule="exact"/>
        <w:ind w:firstLine="643" w:firstLineChars="200"/>
        <w:rPr>
          <w:rStyle w:val="14"/>
          <w:rFonts w:ascii="仿宋_GB2312" w:hAnsi="仿宋" w:eastAsia="仿宋_GB2312"/>
          <w:b w:val="0"/>
          <w:bCs/>
          <w:sz w:val="32"/>
          <w:szCs w:val="32"/>
        </w:rPr>
      </w:pPr>
      <w:r>
        <w:rPr>
          <w:rStyle w:val="14"/>
          <w:rFonts w:hint="eastAsia" w:ascii="仿宋_GB2312" w:hAnsi="仿宋" w:eastAsia="仿宋_GB2312"/>
          <w:bCs/>
          <w:sz w:val="32"/>
          <w:szCs w:val="32"/>
        </w:rPr>
        <w:t>1.一般公共服务（类）宣传事务（款）一般行政管理事务（项）:</w:t>
      </w:r>
      <w:r>
        <w:rPr>
          <w:rFonts w:hint="eastAsia" w:ascii="仿宋_GB2312" w:eastAsia="仿宋_GB2312"/>
          <w:sz w:val="32"/>
          <w:szCs w:val="32"/>
        </w:rPr>
        <w:t>年初预算26.53万元，支出决算为26.31万元，完成预算99.17%。</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2.一般公共服务（类）宣传事务（款）事业运行（项）:</w:t>
      </w:r>
      <w:r>
        <w:rPr>
          <w:rFonts w:hint="eastAsia" w:ascii="仿宋_GB2312" w:eastAsia="仿宋_GB2312"/>
          <w:sz w:val="32"/>
          <w:szCs w:val="32"/>
        </w:rPr>
        <w:t>年初预算50.82万元，支出决算为37.12万元，完成预算73.04%，主要变动原因是人员调出。</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3.文化旅游体育与传媒（类）其他文化旅游体育与传媒（款）宣传文化发展专项支出（项）:</w:t>
      </w:r>
      <w:r>
        <w:rPr>
          <w:rFonts w:hint="eastAsia" w:ascii="仿宋_GB2312" w:eastAsia="仿宋_GB2312"/>
          <w:sz w:val="32"/>
          <w:szCs w:val="32"/>
        </w:rPr>
        <w:t>年初预算50万元，支出决算为50万元，完成预算100%。</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4.文化旅游体育与传媒（类）其他文化旅游体育与传媒（款）文化产业发展专项支出（项）:</w:t>
      </w:r>
      <w:r>
        <w:rPr>
          <w:rFonts w:hint="eastAsia" w:ascii="仿宋_GB2312" w:eastAsia="仿宋_GB2312"/>
          <w:sz w:val="32"/>
          <w:szCs w:val="32"/>
        </w:rPr>
        <w:t>年初预算55万元，支出决算为55万元，完成预算100%。</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5.社会保障和就业（类）行政事业单位养老支出（款）事业单位离退休（项）:</w:t>
      </w:r>
      <w:r>
        <w:rPr>
          <w:rFonts w:hint="eastAsia" w:ascii="仿宋_GB2312" w:eastAsia="仿宋_GB2312"/>
          <w:sz w:val="32"/>
          <w:szCs w:val="32"/>
        </w:rPr>
        <w:t>年初预算2.52万元，支出决算为2.52万元，完成预算100%。</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6.社会保障和就业（类）行政事业单位养老支出（款）机关事业单位基本养老保险缴费支出（项）:</w:t>
      </w:r>
      <w:r>
        <w:rPr>
          <w:rFonts w:hint="eastAsia" w:ascii="仿宋_GB2312" w:eastAsia="仿宋_GB2312"/>
          <w:sz w:val="32"/>
          <w:szCs w:val="32"/>
        </w:rPr>
        <w:t>年初预算9.39万元，支出决算为9.39万元，完成预算100%。</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7.社会保障和就业（类）行政事业单位养老支出（款）机关事业单位职业年金缴费支出（项）:</w:t>
      </w:r>
      <w:r>
        <w:rPr>
          <w:rFonts w:hint="eastAsia" w:ascii="仿宋_GB2312" w:eastAsia="仿宋_GB2312"/>
          <w:sz w:val="32"/>
          <w:szCs w:val="32"/>
        </w:rPr>
        <w:t>年初预算3.20万元，支出决算为3.20万元，完成预算100%。</w:t>
      </w:r>
    </w:p>
    <w:p>
      <w:pPr>
        <w:spacing w:line="600" w:lineRule="exact"/>
        <w:ind w:firstLine="643" w:firstLineChars="200"/>
        <w:rPr>
          <w:rFonts w:ascii="仿宋_GB2312" w:hAnsi="仿宋" w:eastAsia="仿宋_GB2312"/>
          <w:b/>
          <w:sz w:val="32"/>
          <w:szCs w:val="32"/>
        </w:rPr>
      </w:pPr>
      <w:r>
        <w:rPr>
          <w:rStyle w:val="14"/>
          <w:rFonts w:hint="eastAsia" w:ascii="仿宋_GB2312" w:hAnsi="仿宋" w:eastAsia="仿宋_GB2312"/>
          <w:bCs/>
          <w:sz w:val="32"/>
          <w:szCs w:val="32"/>
        </w:rPr>
        <w:t>8.</w:t>
      </w:r>
      <w:r>
        <w:rPr>
          <w:rFonts w:hint="eastAsia" w:ascii="仿宋_GB2312" w:hAnsi="仿宋" w:eastAsia="仿宋_GB2312"/>
          <w:b/>
          <w:bCs/>
          <w:sz w:val="32"/>
          <w:szCs w:val="32"/>
        </w:rPr>
        <w:t>卫生健康</w:t>
      </w:r>
      <w:r>
        <w:rPr>
          <w:rStyle w:val="14"/>
          <w:rFonts w:hint="eastAsia" w:ascii="仿宋_GB2312" w:hAnsi="仿宋" w:eastAsia="仿宋_GB2312"/>
          <w:bCs/>
          <w:sz w:val="32"/>
          <w:szCs w:val="32"/>
        </w:rPr>
        <w:t>（类）行政事业单位医疗（款）事业单位医疗（项）:</w:t>
      </w:r>
      <w:r>
        <w:rPr>
          <w:rFonts w:hint="eastAsia" w:ascii="仿宋_GB2312" w:eastAsia="仿宋_GB2312"/>
          <w:sz w:val="32"/>
          <w:szCs w:val="32"/>
        </w:rPr>
        <w:t>年初预算4.20万元，支出决算为4.20万元，完成预算100%。</w:t>
      </w:r>
    </w:p>
    <w:p>
      <w:pPr>
        <w:spacing w:line="600" w:lineRule="exact"/>
        <w:ind w:firstLine="643" w:firstLineChars="200"/>
        <w:rPr>
          <w:rFonts w:ascii="仿宋_GB2312" w:hAnsi="仿宋" w:eastAsia="仿宋_GB2312"/>
          <w:b/>
          <w:sz w:val="32"/>
          <w:szCs w:val="32"/>
          <w:highlight w:val="red"/>
        </w:rPr>
      </w:pPr>
      <w:r>
        <w:rPr>
          <w:rFonts w:hint="eastAsia" w:ascii="仿宋_GB2312" w:hAnsi="仿宋" w:eastAsia="仿宋_GB2312"/>
          <w:b/>
          <w:sz w:val="32"/>
          <w:szCs w:val="32"/>
        </w:rPr>
        <w:t>9.住房保障支</w:t>
      </w:r>
      <w:r>
        <w:rPr>
          <w:rStyle w:val="14"/>
          <w:rFonts w:hint="eastAsia" w:ascii="仿宋_GB2312" w:hAnsi="仿宋" w:eastAsia="仿宋_GB2312"/>
          <w:bCs/>
          <w:sz w:val="32"/>
          <w:szCs w:val="32"/>
        </w:rPr>
        <w:t>出（类）</w:t>
      </w:r>
      <w:r>
        <w:rPr>
          <w:rFonts w:hint="eastAsia" w:ascii="仿宋_GB2312" w:hAnsi="仿宋" w:eastAsia="仿宋_GB2312"/>
          <w:b/>
          <w:sz w:val="32"/>
          <w:szCs w:val="32"/>
        </w:rPr>
        <w:t>住房改革支出</w:t>
      </w:r>
      <w:r>
        <w:rPr>
          <w:rStyle w:val="14"/>
          <w:rFonts w:hint="eastAsia" w:ascii="仿宋_GB2312" w:hAnsi="仿宋" w:eastAsia="仿宋_GB2312"/>
          <w:bCs/>
          <w:sz w:val="32"/>
          <w:szCs w:val="32"/>
        </w:rPr>
        <w:t>（款）住房公积金（项）:</w:t>
      </w:r>
      <w:r>
        <w:rPr>
          <w:rFonts w:hint="eastAsia" w:ascii="仿宋_GB2312" w:eastAsia="仿宋_GB2312"/>
          <w:sz w:val="32"/>
          <w:szCs w:val="32"/>
        </w:rPr>
        <w:t>年初预算7.80万元，支出决算为7.80万元，完成预算100%。</w:t>
      </w:r>
    </w:p>
    <w:p>
      <w:pPr>
        <w:tabs>
          <w:tab w:val="right" w:pos="8306"/>
        </w:tabs>
        <w:spacing w:line="600" w:lineRule="exact"/>
        <w:ind w:firstLine="640"/>
        <w:outlineLvl w:val="1"/>
        <w:rPr>
          <w:rStyle w:val="26"/>
          <w:rFonts w:ascii="黑体" w:hAnsi="黑体" w:eastAsia="黑体"/>
          <w:b w:val="0"/>
        </w:rPr>
      </w:pPr>
      <w:bookmarkStart w:id="34" w:name="_Toc15396608"/>
      <w:bookmarkStart w:id="35" w:name="_Toc15377214"/>
      <w:r>
        <w:rPr>
          <w:rFonts w:hint="eastAsia" w:ascii="黑体" w:hAnsi="黑体" w:eastAsia="黑体"/>
          <w:sz w:val="32"/>
          <w:szCs w:val="32"/>
        </w:rPr>
        <w:t>六、</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hint="eastAsia" w:ascii="黑体" w:hAnsi="黑体" w:eastAsia="黑体"/>
          <w:b w:val="0"/>
        </w:rPr>
        <w:tab/>
      </w:r>
    </w:p>
    <w:p>
      <w:pPr>
        <w:spacing w:line="600" w:lineRule="exact"/>
        <w:ind w:firstLine="645"/>
        <w:rPr>
          <w:rFonts w:ascii="仿宋_GB2312" w:eastAsia="仿宋_GB2312"/>
          <w:sz w:val="32"/>
          <w:szCs w:val="32"/>
        </w:rPr>
      </w:pPr>
      <w:r>
        <w:rPr>
          <w:rFonts w:hint="eastAsia" w:ascii="仿宋_GB2312" w:eastAsia="仿宋_GB2312"/>
          <w:sz w:val="32"/>
          <w:szCs w:val="32"/>
        </w:rPr>
        <w:t>2020年一般公共预算财政拨款基本支出74.98万元，其中：</w:t>
      </w:r>
    </w:p>
    <w:p>
      <w:pPr>
        <w:spacing w:line="600" w:lineRule="exact"/>
        <w:ind w:firstLine="645"/>
        <w:rPr>
          <w:rFonts w:hint="eastAsia" w:ascii="仿宋_GB2312" w:eastAsia="仿宋_GB2312"/>
          <w:sz w:val="32"/>
          <w:szCs w:val="32"/>
          <w:lang w:eastAsia="zh-CN"/>
        </w:rPr>
      </w:pPr>
      <w:r>
        <w:rPr>
          <w:rFonts w:hint="eastAsia" w:ascii="仿宋_GB2312" w:eastAsia="仿宋_GB2312"/>
          <w:sz w:val="32"/>
          <w:szCs w:val="32"/>
        </w:rPr>
        <w:t>人员经费57.12万元，主要包括：基本工资、津贴补贴、绩效工资、机关事业单位基本养老保险缴费、职业年金缴费、职业基本医疗保险缴费、其他社会保障缴费、住房公积金、其他工资福利支出、对个人和家庭生活补助。</w:t>
      </w:r>
    </w:p>
    <w:p>
      <w:pPr>
        <w:spacing w:line="600" w:lineRule="exact"/>
        <w:ind w:firstLine="645"/>
        <w:rPr>
          <w:rFonts w:ascii="仿宋_GB2312" w:hAnsi="仿宋" w:eastAsia="仿宋_GB2312"/>
          <w:sz w:val="32"/>
          <w:szCs w:val="32"/>
        </w:rPr>
      </w:pPr>
      <w:r>
        <w:rPr>
          <w:rFonts w:hint="eastAsia" w:ascii="仿宋_GB2312" w:eastAsia="仿宋_GB2312"/>
          <w:sz w:val="32"/>
          <w:szCs w:val="32"/>
        </w:rPr>
        <w:t>　　公用经费17.86万元，主要包括：办公费、手续费、电费、邮电费、物业管理费、差旅费、维修（护）费、会议费、公务接待费、工会经费、福利费、公务用车运行维护费、其他商品和服务支出。</w:t>
      </w:r>
    </w:p>
    <w:p>
      <w:pPr>
        <w:spacing w:line="600" w:lineRule="exact"/>
        <w:ind w:firstLine="640"/>
        <w:outlineLvl w:val="1"/>
        <w:rPr>
          <w:rStyle w:val="26"/>
          <w:rFonts w:ascii="黑体" w:hAnsi="黑体" w:eastAsia="黑体"/>
          <w:b w:val="0"/>
        </w:rPr>
      </w:pPr>
      <w:bookmarkStart w:id="36" w:name="_Toc15377215"/>
      <w:bookmarkStart w:id="37" w:name="_Toc15396609"/>
      <w:r>
        <w:rPr>
          <w:rFonts w:hint="eastAsia" w:ascii="黑体" w:hAnsi="黑体" w:eastAsia="黑体"/>
          <w:sz w:val="32"/>
          <w:szCs w:val="32"/>
        </w:rPr>
        <w:t>七、</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_GB2312" w:hAnsi="仿宋" w:eastAsia="仿宋_GB2312"/>
          <w:b/>
          <w:sz w:val="32"/>
          <w:szCs w:val="32"/>
        </w:rPr>
      </w:pPr>
      <w:bookmarkStart w:id="38" w:name="_Toc15377216"/>
      <w:r>
        <w:rPr>
          <w:rFonts w:hint="eastAsia" w:ascii="仿宋_GB2312" w:hAnsi="仿宋" w:eastAsia="仿宋_GB2312"/>
          <w:b/>
          <w:sz w:val="32"/>
          <w:szCs w:val="32"/>
        </w:rPr>
        <w:t>（一）“三公”经费财政拨款支出决算总体情况说明</w:t>
      </w:r>
      <w:bookmarkEnd w:id="38"/>
    </w:p>
    <w:p>
      <w:pPr>
        <w:spacing w:line="600" w:lineRule="exact"/>
        <w:ind w:firstLine="645"/>
        <w:rPr>
          <w:rFonts w:ascii="仿宋_GB2312" w:hAnsi="仿宋" w:eastAsia="仿宋_GB2312"/>
          <w:sz w:val="32"/>
          <w:szCs w:val="32"/>
        </w:rPr>
      </w:pPr>
      <w:r>
        <w:rPr>
          <w:rFonts w:hint="eastAsia" w:ascii="仿宋_GB2312" w:eastAsia="仿宋_GB2312"/>
          <w:sz w:val="32"/>
          <w:szCs w:val="32"/>
        </w:rPr>
        <w:t>2020年“三公”经费财政拨款支出决算为0.97万元，完成预算100%，决算数与预算数持平。</w:t>
      </w:r>
    </w:p>
    <w:p>
      <w:pPr>
        <w:spacing w:line="600" w:lineRule="exact"/>
        <w:ind w:firstLine="640"/>
        <w:outlineLvl w:val="2"/>
        <w:rPr>
          <w:rFonts w:ascii="仿宋_GB2312" w:hAnsi="仿宋" w:eastAsia="仿宋_GB2312"/>
          <w:b/>
          <w:sz w:val="32"/>
          <w:szCs w:val="32"/>
        </w:rPr>
      </w:pPr>
      <w:bookmarkStart w:id="39" w:name="_Toc15377217"/>
      <w:r>
        <w:rPr>
          <w:rFonts w:hint="eastAsia" w:ascii="仿宋_GB2312" w:hAnsi="仿宋" w:eastAsia="仿宋_GB2312"/>
          <w:b/>
          <w:sz w:val="32"/>
          <w:szCs w:val="32"/>
        </w:rPr>
        <w:t>（二）“三公”经费财政拨款支出决算具体情况说明</w:t>
      </w:r>
      <w:bookmarkEnd w:id="39"/>
    </w:p>
    <w:p>
      <w:pPr>
        <w:spacing w:line="600" w:lineRule="exact"/>
        <w:ind w:firstLine="640"/>
        <w:rPr>
          <w:rFonts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020年“三公”经费财政拨款支出决算中，公务用车购置及运行维护费支出决算0.50万元，占51.55%；公务接待费支出决算0.47万元，占48.45%。具体情况如下：</w:t>
      </w: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ind w:firstLine="640"/>
        <w:rPr>
          <w:rFonts w:ascii="仿宋_GB2312" w:hAnsi="仿宋" w:eastAsia="仿宋_GB2312"/>
          <w:sz w:val="32"/>
          <w:szCs w:val="32"/>
        </w:rPr>
      </w:pPr>
      <w:r>
        <w:rPr>
          <w:rFonts w:hint="eastAsia" w:ascii="仿宋_GB2312" w:eastAsia="仿宋_GB2312"/>
          <w:sz w:val="32"/>
          <w:szCs w:val="32"/>
        </w:rPr>
        <w:t>（图7：“三公”经费财政拨款支出结构）（饼状图）</w:t>
      </w:r>
    </w:p>
    <w:p>
      <w:pPr>
        <w:pStyle w:val="2"/>
        <w:spacing w:before="93"/>
        <w:jc w:val="center"/>
      </w:pPr>
      <w:r>
        <w:rPr>
          <w:rFonts w:hint="eastAsia"/>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rPr>
          <w:rFonts w:ascii="仿宋_GB2312" w:eastAsia="仿宋_GB2312"/>
          <w:sz w:val="32"/>
          <w:szCs w:val="32"/>
        </w:rPr>
      </w:pPr>
      <w:r>
        <w:rPr>
          <w:rFonts w:hint="eastAsia" w:ascii="仿宋_GB2312" w:eastAsia="仿宋_GB2312"/>
          <w:b/>
          <w:sz w:val="32"/>
          <w:szCs w:val="32"/>
        </w:rPr>
        <w:t>1.公务用车购置及运行维护费支出</w:t>
      </w:r>
      <w:r>
        <w:rPr>
          <w:rFonts w:hint="eastAsia" w:ascii="仿宋_GB2312" w:eastAsia="仿宋_GB2312"/>
          <w:sz w:val="32"/>
          <w:szCs w:val="32"/>
        </w:rPr>
        <w:t>0.50万元,完成预算100%。公务用车购置及运行维护费支出决算与2019年持平。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0万元。截至2020年12月底，单位共有公务用车1辆，其中：轿车1辆。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0.50万元。主要用于保障单位文化交流宣传业务工作等所需的公务用车燃料费、维修费、过路过桥费、保险费等支出。</w:t>
      </w:r>
    </w:p>
    <w:p>
      <w:pPr>
        <w:spacing w:line="600" w:lineRule="exact"/>
        <w:ind w:firstLine="640"/>
        <w:rPr>
          <w:rFonts w:ascii="仿宋_GB2312" w:eastAsia="仿宋_GB2312"/>
          <w:sz w:val="32"/>
          <w:szCs w:val="32"/>
        </w:rPr>
      </w:pPr>
      <w:r>
        <w:rPr>
          <w:rFonts w:hint="eastAsia" w:ascii="仿宋_GB2312" w:eastAsia="仿宋_GB2312"/>
          <w:b/>
          <w:sz w:val="32"/>
          <w:szCs w:val="32"/>
        </w:rPr>
        <w:t>2.公务接待费支出</w:t>
      </w:r>
      <w:r>
        <w:rPr>
          <w:rFonts w:hint="eastAsia" w:ascii="仿宋_GB2312" w:eastAsia="仿宋_GB2312"/>
          <w:sz w:val="32"/>
          <w:szCs w:val="32"/>
        </w:rPr>
        <w:t>0.47万元，完成预算100%。公务接待费支出决算比2019年减少0.03万元，下降0.01%。主要原因是按要求压缩三公经费。其中：</w:t>
      </w:r>
    </w:p>
    <w:p>
      <w:pPr>
        <w:spacing w:line="600" w:lineRule="exact"/>
        <w:ind w:firstLine="640"/>
        <w:rPr>
          <w:rFonts w:hint="eastAsia" w:ascii="仿宋_GB2312" w:eastAsia="仿宋_GB2312"/>
          <w:sz w:val="32"/>
          <w:szCs w:val="32"/>
        </w:rPr>
      </w:pPr>
      <w:r>
        <w:rPr>
          <w:rFonts w:hint="eastAsia" w:ascii="仿宋_GB2312" w:hAnsi="仿宋" w:eastAsia="仿宋_GB2312"/>
          <w:b/>
          <w:sz w:val="32"/>
          <w:szCs w:val="32"/>
        </w:rPr>
        <w:t>国内公务接待支出</w:t>
      </w:r>
      <w:r>
        <w:rPr>
          <w:rFonts w:hint="eastAsia" w:ascii="仿宋_GB2312" w:eastAsia="仿宋_GB2312"/>
          <w:sz w:val="32"/>
          <w:szCs w:val="32"/>
        </w:rPr>
        <w:t>0.47万元，主要用于国内公务接待7批次，33人次（不包括陪同人员），共计支出0.47万元。</w:t>
      </w:r>
    </w:p>
    <w:p>
      <w:pPr>
        <w:pStyle w:val="2"/>
        <w:spacing w:before="93"/>
      </w:pPr>
      <w:bookmarkStart w:id="40" w:name="_Toc15396610"/>
      <w:bookmarkStart w:id="41" w:name="_Toc15377218"/>
      <w:r>
        <w:rPr>
          <w:rFonts w:hint="eastAsia"/>
        </w:rPr>
        <w:t xml:space="preserve"> </w:t>
      </w:r>
      <w:bookmarkStart w:id="52" w:name="_GoBack"/>
      <w:r>
        <w:rPr>
          <w:rFonts w:hint="eastAsia"/>
        </w:rPr>
        <w:t xml:space="preserve">  </w:t>
      </w:r>
      <w:r>
        <w:rPr>
          <w:rFonts w:hint="eastAsia" w:ascii="仿宋_GB2312" w:hAnsi="Times New Roman" w:eastAsia="仿宋_GB2312" w:cs="Times New Roman"/>
          <w:b/>
          <w:kern w:val="2"/>
          <w:sz w:val="32"/>
          <w:szCs w:val="32"/>
          <w:lang w:val="en-US" w:eastAsia="zh-CN" w:bidi="ar-SA"/>
        </w:rPr>
        <w:t xml:space="preserve"> 3. 因公出国（境）费</w:t>
      </w:r>
      <w:r>
        <w:rPr>
          <w:rFonts w:hint="eastAsia" w:ascii="仿宋" w:hAnsi="仿宋" w:eastAsia="仿宋"/>
          <w:color w:val="000000"/>
          <w:sz w:val="32"/>
          <w:szCs w:val="32"/>
        </w:rPr>
        <w:t>，无支出，与</w:t>
      </w:r>
      <w:r>
        <w:rPr>
          <w:rFonts w:hint="eastAsia" w:ascii="仿宋" w:hAnsi="仿宋" w:eastAsia="仿宋"/>
          <w:color w:val="000000"/>
          <w:sz w:val="32"/>
          <w:szCs w:val="32"/>
          <w:lang w:val="en-US" w:eastAsia="zh-CN"/>
        </w:rPr>
        <w:t>去</w:t>
      </w:r>
      <w:r>
        <w:rPr>
          <w:rFonts w:hint="eastAsia" w:ascii="仿宋" w:hAnsi="仿宋" w:eastAsia="仿宋"/>
          <w:color w:val="000000"/>
          <w:sz w:val="32"/>
          <w:szCs w:val="32"/>
        </w:rPr>
        <w:t>年相比无变化。</w:t>
      </w:r>
    </w:p>
    <w:bookmarkEnd w:id="52"/>
    <w:p>
      <w:pPr>
        <w:spacing w:line="600" w:lineRule="exact"/>
        <w:ind w:firstLine="640"/>
        <w:outlineLvl w:val="1"/>
        <w:rPr>
          <w:rStyle w:val="26"/>
          <w:rFonts w:ascii="黑体" w:hAnsi="黑体" w:eastAsia="黑体"/>
        </w:rPr>
      </w:pPr>
      <w:r>
        <w:rPr>
          <w:rFonts w:hint="eastAsia" w:ascii="黑体" w:hAns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hint="eastAsia" w:ascii="仿宋_GB2312" w:eastAsia="仿宋_GB2312"/>
          <w:sz w:val="32"/>
          <w:szCs w:val="32"/>
        </w:rPr>
        <w:t>2020年政府性基金预算财政拨款支出0万元。</w:t>
      </w:r>
    </w:p>
    <w:p>
      <w:pPr>
        <w:numPr>
          <w:ilvl w:val="0"/>
          <w:numId w:val="2"/>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hAnsi="方正小标宋简体" w:eastAsia="仿宋_GB2312" w:cs="方正小标宋简体"/>
          <w:sz w:val="44"/>
          <w:szCs w:val="44"/>
        </w:rPr>
      </w:pPr>
      <w:r>
        <w:rPr>
          <w:rFonts w:hint="eastAsia" w:ascii="仿宋_GB2312" w:eastAsia="仿宋_GB2312"/>
          <w:sz w:val="32"/>
          <w:szCs w:val="32"/>
        </w:rPr>
        <w:t>2020年国有资本经营预算财政拨款支出0万元。</w:t>
      </w:r>
    </w:p>
    <w:p>
      <w:pPr>
        <w:numPr>
          <w:ilvl w:val="0"/>
          <w:numId w:val="2"/>
        </w:numPr>
        <w:spacing w:line="600" w:lineRule="exact"/>
        <w:ind w:firstLine="640"/>
        <w:outlineLvl w:val="1"/>
        <w:rPr>
          <w:rStyle w:val="26"/>
          <w:rFonts w:ascii="黑体" w:hAnsi="黑体" w:eastAsia="黑体"/>
          <w:b w:val="0"/>
        </w:rPr>
      </w:pPr>
      <w:bookmarkStart w:id="44" w:name="_Toc15377221"/>
      <w:bookmarkStart w:id="45" w:name="_Toc15396612"/>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_GB2312" w:hAnsi="仿宋" w:eastAsia="仿宋_GB2312"/>
          <w:sz w:val="32"/>
          <w:szCs w:val="32"/>
        </w:rPr>
      </w:pPr>
      <w:bookmarkStart w:id="46" w:name="_Toc15377222"/>
      <w:r>
        <w:rPr>
          <w:rFonts w:hint="eastAsia" w:ascii="仿宋_GB2312" w:hAnsi="仿宋" w:eastAsia="仿宋_GB2312"/>
          <w:b/>
          <w:sz w:val="32"/>
          <w:szCs w:val="32"/>
        </w:rPr>
        <w:t>（一）机关运行经费支出情况</w:t>
      </w:r>
      <w:bookmarkEnd w:id="46"/>
    </w:p>
    <w:p>
      <w:pPr>
        <w:spacing w:line="600" w:lineRule="exact"/>
        <w:ind w:firstLine="1285" w:firstLineChars="400"/>
        <w:rPr>
          <w:rFonts w:ascii="仿宋_GB2312" w:hAnsi="仿宋" w:eastAsia="仿宋_GB2312"/>
          <w:b/>
          <w:sz w:val="32"/>
          <w:szCs w:val="32"/>
        </w:rPr>
      </w:pPr>
      <w:r>
        <w:rPr>
          <w:rFonts w:hint="eastAsia" w:ascii="仿宋_GB2312" w:hAnsi="仿宋" w:eastAsia="仿宋_GB2312"/>
          <w:b/>
          <w:sz w:val="32"/>
          <w:szCs w:val="32"/>
        </w:rPr>
        <w:t>无</w:t>
      </w:r>
    </w:p>
    <w:p>
      <w:pPr>
        <w:autoSpaceDE w:val="0"/>
        <w:autoSpaceDN w:val="0"/>
        <w:adjustRightInd w:val="0"/>
        <w:spacing w:line="600" w:lineRule="exact"/>
        <w:ind w:firstLine="643" w:firstLineChars="200"/>
        <w:jc w:val="left"/>
        <w:outlineLvl w:val="2"/>
        <w:rPr>
          <w:rFonts w:ascii="仿宋_GB2312" w:hAnsi="仿宋" w:eastAsia="仿宋_GB2312"/>
          <w:b/>
          <w:sz w:val="32"/>
          <w:szCs w:val="32"/>
        </w:rPr>
      </w:pPr>
      <w:bookmarkStart w:id="47" w:name="_Toc15377223"/>
      <w:r>
        <w:rPr>
          <w:rFonts w:hint="eastAsia" w:ascii="仿宋_GB2312" w:hAnsi="仿宋" w:eastAsia="仿宋_GB2312"/>
          <w:b/>
          <w:sz w:val="32"/>
          <w:szCs w:val="32"/>
        </w:rPr>
        <w:t>（二）政府采购支出情况</w:t>
      </w:r>
      <w:bookmarkEnd w:id="47"/>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2020年公务用车运行费政府采购支出总额0.50万元，其中：政府采购车辆加油服务支出0.50万元万元。主要用于保障单位开展综合业务工作需要，占政府采购支出总额的100%。</w:t>
      </w:r>
      <w:r>
        <w:rPr>
          <w:rFonts w:hint="eastAsia" w:ascii="仿宋_GB2312" w:eastAsia="仿宋_GB2312"/>
          <w:color w:val="000000"/>
          <w:sz w:val="32"/>
          <w:szCs w:val="32"/>
        </w:rPr>
        <w:t>授予中小企业合同金额0.5万元，占政府采购支出总额的100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，无授予小微企业合同金额。</w:t>
      </w:r>
    </w:p>
    <w:p>
      <w:pPr>
        <w:autoSpaceDE w:val="0"/>
        <w:autoSpaceDN w:val="0"/>
        <w:adjustRightInd w:val="0"/>
        <w:spacing w:line="600" w:lineRule="exact"/>
        <w:ind w:firstLine="643" w:firstLineChars="200"/>
        <w:jc w:val="left"/>
        <w:outlineLvl w:val="2"/>
        <w:rPr>
          <w:rFonts w:ascii="仿宋_GB2312" w:hAnsi="仿宋" w:eastAsia="仿宋_GB2312"/>
          <w:b/>
          <w:sz w:val="32"/>
          <w:szCs w:val="32"/>
        </w:rPr>
      </w:pPr>
      <w:bookmarkStart w:id="48" w:name="_Toc15377224"/>
      <w:r>
        <w:rPr>
          <w:rFonts w:hint="eastAsia" w:ascii="仿宋_GB2312" w:hAnsi="仿宋" w:eastAsia="仿宋_GB2312"/>
          <w:b/>
          <w:sz w:val="32"/>
          <w:szCs w:val="32"/>
        </w:rPr>
        <w:t>（三）国有资产占有使用情况</w:t>
      </w:r>
      <w:bookmarkEnd w:id="48"/>
    </w:p>
    <w:p>
      <w:pPr>
        <w:spacing w:line="580" w:lineRule="exact"/>
        <w:ind w:firstLine="640" w:firstLineChars="200"/>
        <w:rPr>
          <w:rFonts w:ascii="仿宋_GB2312" w:eastAsia="仿宋_GB2312"/>
          <w:sz w:val="32"/>
          <w:szCs w:val="32"/>
        </w:rPr>
      </w:pPr>
      <w:r>
        <w:rPr>
          <w:rFonts w:hint="eastAsia" w:ascii="仿宋_GB2312" w:eastAsia="仿宋_GB2312"/>
          <w:sz w:val="32"/>
          <w:szCs w:val="32"/>
        </w:rPr>
        <w:t>截至2020年12月31日，省文产（交流）中心共有车辆壹辆,其中：主要领导干部用车0辆、机要通信用车0辆、应急保障用车0辆、其他用车1辆，其他用车主要是用于保障单位综合业务工作等，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_GB2312" w:hAnsi="仿宋" w:eastAsia="仿宋_GB2312"/>
          <w:b/>
          <w:sz w:val="32"/>
          <w:szCs w:val="32"/>
        </w:rPr>
      </w:pPr>
      <w:r>
        <w:rPr>
          <w:rFonts w:hint="eastAsia" w:ascii="仿宋_GB2312" w:hAnsi="仿宋" w:eastAsia="仿宋_GB2312"/>
          <w:b/>
          <w:sz w:val="32"/>
          <w:szCs w:val="32"/>
        </w:rPr>
        <w:t>（四）预算绩效管理情况</w:t>
      </w:r>
    </w:p>
    <w:p>
      <w:pPr>
        <w:overflowPunct w:val="0"/>
        <w:adjustRightInd w:val="0"/>
        <w:snapToGrid w:val="0"/>
        <w:spacing w:line="576" w:lineRule="exact"/>
        <w:ind w:firstLine="640" w:firstLineChars="200"/>
        <w:rPr>
          <w:rFonts w:ascii="仿宋_GB2312" w:eastAsia="仿宋_GB2312"/>
          <w:sz w:val="32"/>
          <w:szCs w:val="32"/>
        </w:rPr>
      </w:pPr>
      <w:r>
        <w:rPr>
          <w:rFonts w:eastAsia="楷体_GB2312"/>
          <w:bCs/>
          <w:snapToGrid w:val="0"/>
          <w:kern w:val="0"/>
          <w:sz w:val="32"/>
          <w:szCs w:val="32"/>
        </w:rPr>
        <w:t>（</w:t>
      </w:r>
      <w:r>
        <w:rPr>
          <w:rFonts w:hint="eastAsia" w:eastAsia="楷体_GB2312"/>
          <w:bCs/>
          <w:snapToGrid w:val="0"/>
          <w:kern w:val="0"/>
          <w:sz w:val="32"/>
          <w:szCs w:val="32"/>
        </w:rPr>
        <w:t>1</w:t>
      </w:r>
      <w:r>
        <w:rPr>
          <w:rFonts w:eastAsia="楷体_GB2312"/>
          <w:bCs/>
          <w:snapToGrid w:val="0"/>
          <w:kern w:val="0"/>
          <w:sz w:val="32"/>
          <w:szCs w:val="32"/>
        </w:rPr>
        <w:t>）项目绩效目标完成情况。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根据预算绩效管理要求，本单位没有100万（含100万）以上的预算项目，没有开展项目事前绩效评估、绩效目标编制、绩效监控、绩效目标完成情况自评等工作。</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（2）单位绩效评价结果。</w:t>
      </w:r>
    </w:p>
    <w:p>
      <w:pPr>
        <w:pStyle w:val="2"/>
        <w:spacing w:before="93"/>
      </w:pPr>
      <w:r>
        <w:rPr>
          <w:rFonts w:hint="eastAsia"/>
        </w:rPr>
        <w:t xml:space="preserve">    本单位没有组织开展项目绩效评价。</w:t>
      </w:r>
    </w:p>
    <w:p>
      <w:pPr>
        <w:widowControl/>
        <w:jc w:val="left"/>
        <w:rPr>
          <w:rFonts w:ascii="楷体_GB2312" w:hAnsi="楷体_GB2312" w:eastAsia="楷体_GB2312" w:cs="楷体_GB2312"/>
          <w:sz w:val="32"/>
          <w:szCs w:val="32"/>
        </w:rPr>
      </w:pPr>
    </w:p>
    <w:p>
      <w:pPr>
        <w:pStyle w:val="2"/>
        <w:spacing w:before="93"/>
        <w:rPr>
          <w:rFonts w:ascii="黑体" w:hAnsi="黑体" w:eastAsia="黑体"/>
          <w:color w:val="000000"/>
          <w:sz w:val="44"/>
          <w:szCs w:val="44"/>
        </w:rPr>
      </w:pPr>
      <w:bookmarkStart w:id="49" w:name="_Toc15396613"/>
      <w:bookmarkStart w:id="50" w:name="_Toc15377225"/>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第三部分 名</w:t>
      </w:r>
      <w:r>
        <w:rPr>
          <w:rStyle w:val="25"/>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3"/>
        <w:spacing w:line="560" w:lineRule="exact"/>
        <w:ind w:firstLine="640" w:firstLineChars="200"/>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1.财政拨款收入：指单位从同级财政部门取得的财政预算资金。</w:t>
      </w:r>
    </w:p>
    <w:p>
      <w:pPr>
        <w:pStyle w:val="23"/>
        <w:spacing w:line="560" w:lineRule="exact"/>
        <w:ind w:firstLine="640" w:firstLineChars="200"/>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2.其他收入：指单位取得的除上述收入以外的各项收入。</w:t>
      </w:r>
    </w:p>
    <w:p>
      <w:pPr>
        <w:pStyle w:val="23"/>
        <w:spacing w:line="560" w:lineRule="exact"/>
        <w:ind w:firstLine="640" w:firstLineChars="200"/>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3.使用非财政拨款结余：指事业单位使用以前年度积累的非财政拨款结余弥补当年收支差额的金额。</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4．一般公共服务（类）宣传事务（款）事业运行（项）：指省文产(交流)中心用于保障机构正常运行、开展日常工作的基本支出。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5．文化体育与传媒支出（类）其他文化体育与传媒支出（款）宣传文化发展专项支出（项）：指省文产(交流)中心按照国家有关政策开展文化宣传发展工作的专项支出。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6．文化体育与传媒支出（类）其他文化体育与传媒支出（款）文化产业发展专项支出（项）：指省文产(交流)中心按照国家有关政策开展文化产业发展工作的专项支出。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7．社会保障和就业支出（类）行政事业单位离退休（款）事业单位离休费（项）：指事业单位开支的离退休经费。</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8．社会保障和就业支出（类）行政事业单位离退休（款）机关事业单位基本养老保险缴费支出（项）：指事业单位实施养老保险制度由单位缴纳的基本养老保险。</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9．社会保障和就业支出（类）行政事业单位离退休（款）机关事业单位职业年金缴费支出（项）：指事业单位实施养老保险制度由单位缴纳的职业年金支出。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10．卫生健康支出（类）行政事业单位医疗（款）事业单位医疗（项）：指用于事业单位医疗保险缴费经费。</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11．住房保障支出（类）住房改革支出（款）住房公积金（项）：指用于事业单位按人力资源和社会保障部、财政部规定的基本工资和津贴补贴以及规定比例为职工缴纳的住房公积金。</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12．基本支出：指为保障机构正常运转、完成日常工作任务而发生的人员支出和公用支出。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13．项目支出：指在基本支出之外为完成特定行政任务和事业发展目标所发生的支出。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14.“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hAnsi="Times New Roman" w:eastAsia="仿宋_GB2312" w:cs="Times New Roman"/>
          <w:color w:val="auto"/>
          <w:kern w:val="2"/>
          <w:sz w:val="32"/>
          <w:szCs w:val="32"/>
        </w:rPr>
      </w:pPr>
    </w:p>
    <w:p>
      <w:pPr>
        <w:jc w:val="center"/>
        <w:rPr>
          <w:rFonts w:ascii="黑体" w:eastAsia="黑体"/>
          <w:color w:val="000000"/>
          <w:sz w:val="44"/>
          <w:szCs w:val="44"/>
        </w:rPr>
      </w:pPr>
    </w:p>
    <w:p>
      <w:pPr>
        <w:jc w:val="center"/>
        <w:rPr>
          <w:rFonts w:ascii="黑体" w:eastAsia="黑体"/>
          <w:color w:val="000000"/>
          <w:sz w:val="44"/>
          <w:szCs w:val="44"/>
        </w:rPr>
      </w:pPr>
    </w:p>
    <w:p>
      <w:pPr>
        <w:jc w:val="center"/>
        <w:rPr>
          <w:rFonts w:ascii="黑体" w:eastAsia="黑体"/>
          <w:color w:val="000000"/>
          <w:sz w:val="44"/>
          <w:szCs w:val="44"/>
        </w:rPr>
      </w:pPr>
    </w:p>
    <w:p>
      <w:pPr>
        <w:jc w:val="center"/>
        <w:rPr>
          <w:rFonts w:ascii="黑体" w:eastAsia="黑体"/>
          <w:color w:val="000000"/>
          <w:sz w:val="44"/>
          <w:szCs w:val="44"/>
        </w:rPr>
      </w:pPr>
    </w:p>
    <w:p>
      <w:pPr>
        <w:jc w:val="center"/>
        <w:rPr>
          <w:rStyle w:val="31"/>
          <w:rFonts w:ascii="黑体" w:eastAsia="黑体"/>
          <w:b w:val="0"/>
        </w:rPr>
      </w:pPr>
      <w:r>
        <w:rPr>
          <w:rFonts w:hint="eastAsia" w:ascii="黑体" w:eastAsia="黑体"/>
          <w:color w:val="000000"/>
          <w:sz w:val="44"/>
          <w:szCs w:val="44"/>
        </w:rPr>
        <w:t>第</w:t>
      </w:r>
      <w:r>
        <w:rPr>
          <w:rStyle w:val="31"/>
          <w:rFonts w:hint="eastAsia" w:ascii="黑体" w:eastAsia="黑体"/>
          <w:b w:val="0"/>
        </w:rPr>
        <w:t>四部分 附件</w:t>
      </w:r>
    </w:p>
    <w:p>
      <w:pPr>
        <w:pStyle w:val="2"/>
        <w:spacing w:before="93"/>
        <w:jc w:val="center"/>
      </w:pPr>
      <w:r>
        <w:rPr>
          <w:rFonts w:hint="eastAsia"/>
          <w:kern w:val="2"/>
          <w:sz w:val="32"/>
          <w:szCs w:val="32"/>
        </w:rPr>
        <w:t>无。</w:t>
      </w: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spacing w:line="600" w:lineRule="exact"/>
        <w:jc w:val="center"/>
        <w:outlineLvl w:val="0"/>
        <w:rPr>
          <w:rFonts w:ascii="仿宋" w:hAnsi="仿宋" w:eastAsia="仿宋"/>
          <w:color w:val="000000"/>
        </w:rPr>
      </w:pPr>
      <w:bookmarkStart w:id="51" w:name="_Toc15377226"/>
      <w:r>
        <w:rPr>
          <w:rFonts w:hint="eastAsia" w:ascii="黑体" w:hAnsi="黑体" w:eastAsia="黑体"/>
          <w:color w:val="000000"/>
          <w:sz w:val="44"/>
          <w:szCs w:val="44"/>
        </w:rPr>
        <w:t>第</w:t>
      </w:r>
      <w:r>
        <w:rPr>
          <w:rStyle w:val="25"/>
          <w:rFonts w:hint="eastAsia" w:ascii="黑体" w:hAnsi="黑体" w:eastAsia="黑体"/>
          <w:b w:val="0"/>
        </w:rPr>
        <w:t>五部分 附表</w:t>
      </w:r>
    </w:p>
    <w:p>
      <w:pPr>
        <w:pStyle w:val="4"/>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p>
    <w:p>
      <w:pPr>
        <w:pStyle w:val="4"/>
        <w:rPr>
          <w:rFonts w:ascii="仿宋" w:hAnsi="仿宋" w:eastAsia="仿宋"/>
          <w:color w:val="000000"/>
        </w:rPr>
      </w:pPr>
      <w:r>
        <w:rPr>
          <w:rFonts w:hint="eastAsia" w:ascii="仿宋" w:hAnsi="仿宋" w:eastAsia="仿宋"/>
          <w:b w:val="0"/>
          <w:color w:val="000000"/>
        </w:rPr>
        <w:t>二、收</w:t>
      </w:r>
      <w:r>
        <w:rPr>
          <w:rStyle w:val="26"/>
          <w:rFonts w:hint="eastAsia" w:ascii="仿宋" w:hAnsi="仿宋" w:eastAsia="仿宋"/>
          <w:b w:val="0"/>
          <w:bCs w:val="0"/>
        </w:rPr>
        <w:t>入决算表</w:t>
      </w:r>
    </w:p>
    <w:p>
      <w:pPr>
        <w:pStyle w:val="4"/>
        <w:rPr>
          <w:rFonts w:ascii="仿宋" w:hAnsi="仿宋" w:eastAsia="仿宋"/>
          <w:color w:val="000000"/>
        </w:rPr>
      </w:pPr>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p>
    <w:p>
      <w:pPr>
        <w:pStyle w:val="4"/>
        <w:rPr>
          <w:rFonts w:ascii="仿宋" w:hAnsi="仿宋" w:eastAsia="仿宋"/>
          <w:b w:val="0"/>
          <w:color w:val="000000"/>
        </w:rPr>
      </w:pPr>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p>
    <w:p>
      <w:pPr>
        <w:pStyle w:val="4"/>
        <w:rPr>
          <w:rStyle w:val="26"/>
          <w:rFonts w:ascii="仿宋" w:hAnsi="仿宋" w:eastAsia="仿宋"/>
          <w:b w:val="0"/>
          <w:bCs w:val="0"/>
        </w:rPr>
      </w:pPr>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p>
    <w:p>
      <w:pPr>
        <w:pStyle w:val="4"/>
        <w:rPr>
          <w:rFonts w:ascii="仿宋" w:hAnsi="仿宋" w:eastAsia="仿宋"/>
          <w:color w:val="000000"/>
        </w:rPr>
      </w:pPr>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p>
    <w:p>
      <w:pPr>
        <w:pStyle w:val="4"/>
        <w:rPr>
          <w:rFonts w:ascii="仿宋" w:hAnsi="仿宋" w:eastAsia="仿宋"/>
          <w:color w:val="000000"/>
        </w:rPr>
      </w:pPr>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p>
    <w:p>
      <w:pPr>
        <w:pStyle w:val="4"/>
        <w:rPr>
          <w:rFonts w:ascii="仿宋" w:hAnsi="仿宋" w:eastAsia="仿宋"/>
          <w:color w:val="000000"/>
        </w:rPr>
      </w:pPr>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p>
    <w:p>
      <w:pPr>
        <w:pStyle w:val="4"/>
        <w:rPr>
          <w:rFonts w:ascii="仿宋" w:hAnsi="仿宋" w:eastAsia="仿宋"/>
          <w:color w:val="000000"/>
        </w:rPr>
      </w:pPr>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p>
    <w:p>
      <w:pPr>
        <w:pStyle w:val="4"/>
        <w:rPr>
          <w:rFonts w:ascii="仿宋" w:hAnsi="仿宋" w:eastAsia="仿宋"/>
          <w:color w:val="000000"/>
        </w:rPr>
      </w:pPr>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p>
    <w:p>
      <w:pPr>
        <w:pStyle w:val="4"/>
        <w:rPr>
          <w:rFonts w:ascii="仿宋" w:hAnsi="仿宋" w:eastAsia="仿宋"/>
          <w:color w:val="000000"/>
        </w:rPr>
      </w:pPr>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p>
    <w:p>
      <w:pPr>
        <w:pStyle w:val="4"/>
        <w:rPr>
          <w:rStyle w:val="26"/>
          <w:rFonts w:ascii="仿宋" w:hAnsi="仿宋" w:eastAsia="仿宋"/>
          <w:b w:val="0"/>
          <w:bCs w:val="0"/>
        </w:rPr>
      </w:pPr>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有资本经营预算财政拨款收入支出决算表</w:t>
      </w:r>
    </w:p>
    <w:p>
      <w:pPr>
        <w:rPr>
          <w:rFonts w:eastAsia="仿宋"/>
        </w:rPr>
      </w:pPr>
      <w:r>
        <w:rPr>
          <w:rStyle w:val="26"/>
          <w:rFonts w:hint="eastAsia" w:ascii="仿宋" w:hAnsi="仿宋" w:eastAsia="仿宋"/>
          <w:b w:val="0"/>
          <w:bCs w:val="0"/>
        </w:rPr>
        <w:t>十四、国有资本经营预算财政拨款支出决算表</w:t>
      </w:r>
      <w:bookmarkEnd w:id="51"/>
    </w:p>
    <w:sectPr>
      <w:pgSz w:w="11907" w:h="16840"/>
      <w:pgMar w:top="1701" w:right="1588" w:bottom="170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RiYTFmOTMyMmE1NmI5M2E1Y2UzM2Q3ZmUwODNhMWIifQ=="/>
  </w:docVars>
  <w:rsids>
    <w:rsidRoot w:val="00F1361C"/>
    <w:rsid w:val="00003193"/>
    <w:rsid w:val="00021A3E"/>
    <w:rsid w:val="000222C6"/>
    <w:rsid w:val="0002549F"/>
    <w:rsid w:val="000264BA"/>
    <w:rsid w:val="000468DB"/>
    <w:rsid w:val="000637F8"/>
    <w:rsid w:val="0006487A"/>
    <w:rsid w:val="00065F8F"/>
    <w:rsid w:val="00070A43"/>
    <w:rsid w:val="000768F2"/>
    <w:rsid w:val="0009184B"/>
    <w:rsid w:val="00094236"/>
    <w:rsid w:val="0009593C"/>
    <w:rsid w:val="00097322"/>
    <w:rsid w:val="000A6A92"/>
    <w:rsid w:val="000B047F"/>
    <w:rsid w:val="000B2ACF"/>
    <w:rsid w:val="000B5923"/>
    <w:rsid w:val="000B5A48"/>
    <w:rsid w:val="000B6FF3"/>
    <w:rsid w:val="000C3467"/>
    <w:rsid w:val="000C3CA6"/>
    <w:rsid w:val="000D1267"/>
    <w:rsid w:val="000D1D50"/>
    <w:rsid w:val="000D5782"/>
    <w:rsid w:val="000E6613"/>
    <w:rsid w:val="000E7119"/>
    <w:rsid w:val="00114E9B"/>
    <w:rsid w:val="00122260"/>
    <w:rsid w:val="00142216"/>
    <w:rsid w:val="00144D6A"/>
    <w:rsid w:val="0014729F"/>
    <w:rsid w:val="00157BAB"/>
    <w:rsid w:val="00160879"/>
    <w:rsid w:val="001654D1"/>
    <w:rsid w:val="00174518"/>
    <w:rsid w:val="0018106D"/>
    <w:rsid w:val="001877A7"/>
    <w:rsid w:val="00191536"/>
    <w:rsid w:val="00196687"/>
    <w:rsid w:val="001C0962"/>
    <w:rsid w:val="001D7531"/>
    <w:rsid w:val="001E6F3C"/>
    <w:rsid w:val="001E737D"/>
    <w:rsid w:val="001F0592"/>
    <w:rsid w:val="001F7506"/>
    <w:rsid w:val="002006CD"/>
    <w:rsid w:val="00202B36"/>
    <w:rsid w:val="00204B7A"/>
    <w:rsid w:val="00204CDE"/>
    <w:rsid w:val="0021101A"/>
    <w:rsid w:val="00220536"/>
    <w:rsid w:val="00235629"/>
    <w:rsid w:val="00260C38"/>
    <w:rsid w:val="002616C0"/>
    <w:rsid w:val="00262887"/>
    <w:rsid w:val="00265372"/>
    <w:rsid w:val="002662AA"/>
    <w:rsid w:val="00280496"/>
    <w:rsid w:val="00294DC9"/>
    <w:rsid w:val="00295495"/>
    <w:rsid w:val="0029718A"/>
    <w:rsid w:val="002A31DE"/>
    <w:rsid w:val="002B2613"/>
    <w:rsid w:val="002C3B1A"/>
    <w:rsid w:val="002D6D05"/>
    <w:rsid w:val="002F0564"/>
    <w:rsid w:val="002F1818"/>
    <w:rsid w:val="002F567B"/>
    <w:rsid w:val="003216A9"/>
    <w:rsid w:val="00326B6D"/>
    <w:rsid w:val="00335A74"/>
    <w:rsid w:val="0034154E"/>
    <w:rsid w:val="00362440"/>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7CD8"/>
    <w:rsid w:val="003F4B93"/>
    <w:rsid w:val="00406254"/>
    <w:rsid w:val="004223DE"/>
    <w:rsid w:val="00430AE5"/>
    <w:rsid w:val="00434489"/>
    <w:rsid w:val="00437085"/>
    <w:rsid w:val="00443880"/>
    <w:rsid w:val="004464F4"/>
    <w:rsid w:val="00471401"/>
    <w:rsid w:val="00473F31"/>
    <w:rsid w:val="0048263A"/>
    <w:rsid w:val="00487E5D"/>
    <w:rsid w:val="004A711F"/>
    <w:rsid w:val="004B199D"/>
    <w:rsid w:val="004B4690"/>
    <w:rsid w:val="004B696A"/>
    <w:rsid w:val="004C6AF2"/>
    <w:rsid w:val="004E0A2D"/>
    <w:rsid w:val="004E206B"/>
    <w:rsid w:val="004E6DF7"/>
    <w:rsid w:val="004F0FBD"/>
    <w:rsid w:val="00505A47"/>
    <w:rsid w:val="00512FDA"/>
    <w:rsid w:val="00520DA0"/>
    <w:rsid w:val="00560E05"/>
    <w:rsid w:val="005664BB"/>
    <w:rsid w:val="00566FFA"/>
    <w:rsid w:val="0057481D"/>
    <w:rsid w:val="005835D6"/>
    <w:rsid w:val="0058486E"/>
    <w:rsid w:val="00585B33"/>
    <w:rsid w:val="0059014D"/>
    <w:rsid w:val="005B5C64"/>
    <w:rsid w:val="005C1D89"/>
    <w:rsid w:val="005C5337"/>
    <w:rsid w:val="005C6BD0"/>
    <w:rsid w:val="005D1C8B"/>
    <w:rsid w:val="005D468D"/>
    <w:rsid w:val="005D5CED"/>
    <w:rsid w:val="005F1A4C"/>
    <w:rsid w:val="00605688"/>
    <w:rsid w:val="006070AF"/>
    <w:rsid w:val="00607E6C"/>
    <w:rsid w:val="006101B1"/>
    <w:rsid w:val="006110D8"/>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E45C5"/>
    <w:rsid w:val="006F020C"/>
    <w:rsid w:val="007127B7"/>
    <w:rsid w:val="0071798E"/>
    <w:rsid w:val="00724204"/>
    <w:rsid w:val="007416B6"/>
    <w:rsid w:val="00746F48"/>
    <w:rsid w:val="0075404D"/>
    <w:rsid w:val="0076182A"/>
    <w:rsid w:val="00767B7E"/>
    <w:rsid w:val="00776652"/>
    <w:rsid w:val="007770C3"/>
    <w:rsid w:val="00784D24"/>
    <w:rsid w:val="00785FBA"/>
    <w:rsid w:val="00786E4A"/>
    <w:rsid w:val="007875EB"/>
    <w:rsid w:val="0079426B"/>
    <w:rsid w:val="007D1682"/>
    <w:rsid w:val="007D312A"/>
    <w:rsid w:val="007D3F19"/>
    <w:rsid w:val="007E23B0"/>
    <w:rsid w:val="007E23E5"/>
    <w:rsid w:val="007F0781"/>
    <w:rsid w:val="007F1991"/>
    <w:rsid w:val="007F2C2F"/>
    <w:rsid w:val="007F55FC"/>
    <w:rsid w:val="007F5665"/>
    <w:rsid w:val="00800112"/>
    <w:rsid w:val="00803737"/>
    <w:rsid w:val="00806ACE"/>
    <w:rsid w:val="00813348"/>
    <w:rsid w:val="008253BB"/>
    <w:rsid w:val="0083706E"/>
    <w:rsid w:val="008408F6"/>
    <w:rsid w:val="008423A5"/>
    <w:rsid w:val="00844DFE"/>
    <w:rsid w:val="00850625"/>
    <w:rsid w:val="00853718"/>
    <w:rsid w:val="00853A94"/>
    <w:rsid w:val="00855221"/>
    <w:rsid w:val="00860645"/>
    <w:rsid w:val="00871F71"/>
    <w:rsid w:val="00872FD8"/>
    <w:rsid w:val="00885AF4"/>
    <w:rsid w:val="008939CD"/>
    <w:rsid w:val="008B768C"/>
    <w:rsid w:val="008C4DB1"/>
    <w:rsid w:val="008C4EAF"/>
    <w:rsid w:val="008C5176"/>
    <w:rsid w:val="008C7FD0"/>
    <w:rsid w:val="008E1DE7"/>
    <w:rsid w:val="008E65D8"/>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0EB6"/>
    <w:rsid w:val="00971997"/>
    <w:rsid w:val="00971FFC"/>
    <w:rsid w:val="0098660A"/>
    <w:rsid w:val="009931C3"/>
    <w:rsid w:val="009B2C43"/>
    <w:rsid w:val="009B4EAE"/>
    <w:rsid w:val="009B7573"/>
    <w:rsid w:val="009C22F4"/>
    <w:rsid w:val="009C2A4B"/>
    <w:rsid w:val="009C2E98"/>
    <w:rsid w:val="009D3447"/>
    <w:rsid w:val="009D4711"/>
    <w:rsid w:val="009E0D96"/>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09AB"/>
    <w:rsid w:val="00B81598"/>
    <w:rsid w:val="00B841F1"/>
    <w:rsid w:val="00B944D6"/>
    <w:rsid w:val="00BB3307"/>
    <w:rsid w:val="00BB4DF0"/>
    <w:rsid w:val="00BC289F"/>
    <w:rsid w:val="00BC2D50"/>
    <w:rsid w:val="00BC3E1E"/>
    <w:rsid w:val="00BC5361"/>
    <w:rsid w:val="00BC5460"/>
    <w:rsid w:val="00BC6B50"/>
    <w:rsid w:val="00BD0E25"/>
    <w:rsid w:val="00BD4529"/>
    <w:rsid w:val="00BF5BD6"/>
    <w:rsid w:val="00C03E31"/>
    <w:rsid w:val="00C33E72"/>
    <w:rsid w:val="00C354B2"/>
    <w:rsid w:val="00C35554"/>
    <w:rsid w:val="00C42709"/>
    <w:rsid w:val="00C533CC"/>
    <w:rsid w:val="00C53BA7"/>
    <w:rsid w:val="00C5751C"/>
    <w:rsid w:val="00C61BFC"/>
    <w:rsid w:val="00C62B85"/>
    <w:rsid w:val="00C65438"/>
    <w:rsid w:val="00C84A8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21D6"/>
    <w:rsid w:val="00D7035F"/>
    <w:rsid w:val="00DA02B5"/>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344C5"/>
    <w:rsid w:val="00E379EE"/>
    <w:rsid w:val="00E472B1"/>
    <w:rsid w:val="00E50624"/>
    <w:rsid w:val="00E568DF"/>
    <w:rsid w:val="00E64269"/>
    <w:rsid w:val="00E82267"/>
    <w:rsid w:val="00E853CE"/>
    <w:rsid w:val="00E867B6"/>
    <w:rsid w:val="00EA010F"/>
    <w:rsid w:val="00EA7BFB"/>
    <w:rsid w:val="00EB3EDA"/>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B2B"/>
    <w:rsid w:val="00F36D8F"/>
    <w:rsid w:val="00F417B1"/>
    <w:rsid w:val="00F45853"/>
    <w:rsid w:val="00F602DF"/>
    <w:rsid w:val="00F754A1"/>
    <w:rsid w:val="00F81FD9"/>
    <w:rsid w:val="00F8241B"/>
    <w:rsid w:val="00F841AA"/>
    <w:rsid w:val="00F84A94"/>
    <w:rsid w:val="00F87E96"/>
    <w:rsid w:val="00FA23E8"/>
    <w:rsid w:val="00FB59A8"/>
    <w:rsid w:val="00FB75D7"/>
    <w:rsid w:val="00FD3CC1"/>
    <w:rsid w:val="00FF1E02"/>
    <w:rsid w:val="00FF30B4"/>
    <w:rsid w:val="00FF387C"/>
    <w:rsid w:val="01DC18A1"/>
    <w:rsid w:val="02172863"/>
    <w:rsid w:val="03373E43"/>
    <w:rsid w:val="034B7981"/>
    <w:rsid w:val="035A6275"/>
    <w:rsid w:val="03A02C7E"/>
    <w:rsid w:val="04284705"/>
    <w:rsid w:val="04292655"/>
    <w:rsid w:val="049A66A3"/>
    <w:rsid w:val="051A3860"/>
    <w:rsid w:val="056416DB"/>
    <w:rsid w:val="065B6A4A"/>
    <w:rsid w:val="06AD13E7"/>
    <w:rsid w:val="07026A71"/>
    <w:rsid w:val="07130C2C"/>
    <w:rsid w:val="07E73059"/>
    <w:rsid w:val="08163ECE"/>
    <w:rsid w:val="081F296B"/>
    <w:rsid w:val="08275B2B"/>
    <w:rsid w:val="082A4962"/>
    <w:rsid w:val="08F318AB"/>
    <w:rsid w:val="09062244"/>
    <w:rsid w:val="0911664F"/>
    <w:rsid w:val="095933B8"/>
    <w:rsid w:val="0A2032A3"/>
    <w:rsid w:val="0AD0280B"/>
    <w:rsid w:val="0B452E18"/>
    <w:rsid w:val="0B597F69"/>
    <w:rsid w:val="0BCD0B9D"/>
    <w:rsid w:val="0C17728D"/>
    <w:rsid w:val="0C7D259E"/>
    <w:rsid w:val="0C8A4771"/>
    <w:rsid w:val="0DCF2AFA"/>
    <w:rsid w:val="0DD117A1"/>
    <w:rsid w:val="0E421358"/>
    <w:rsid w:val="0EF837CF"/>
    <w:rsid w:val="0F052FFB"/>
    <w:rsid w:val="0F270043"/>
    <w:rsid w:val="0FA56BBC"/>
    <w:rsid w:val="108C38BE"/>
    <w:rsid w:val="10C055FF"/>
    <w:rsid w:val="10E56065"/>
    <w:rsid w:val="118107EC"/>
    <w:rsid w:val="123B76A9"/>
    <w:rsid w:val="13496324"/>
    <w:rsid w:val="140E1DC7"/>
    <w:rsid w:val="14482E5A"/>
    <w:rsid w:val="14EB7EEF"/>
    <w:rsid w:val="14F27718"/>
    <w:rsid w:val="151876E2"/>
    <w:rsid w:val="15631CDC"/>
    <w:rsid w:val="1575196F"/>
    <w:rsid w:val="157F517E"/>
    <w:rsid w:val="15847708"/>
    <w:rsid w:val="15A2478E"/>
    <w:rsid w:val="15D023F1"/>
    <w:rsid w:val="16A244C4"/>
    <w:rsid w:val="16BB723D"/>
    <w:rsid w:val="174C4D4B"/>
    <w:rsid w:val="17DF794E"/>
    <w:rsid w:val="17FC23CC"/>
    <w:rsid w:val="18015F3F"/>
    <w:rsid w:val="18161B66"/>
    <w:rsid w:val="18163643"/>
    <w:rsid w:val="18CC7B04"/>
    <w:rsid w:val="195C3EDD"/>
    <w:rsid w:val="1A0B5D30"/>
    <w:rsid w:val="1A707CF9"/>
    <w:rsid w:val="1AC61F8B"/>
    <w:rsid w:val="1BBF4DF2"/>
    <w:rsid w:val="1BE8440E"/>
    <w:rsid w:val="1BF11407"/>
    <w:rsid w:val="1C1E2D15"/>
    <w:rsid w:val="1D155CEE"/>
    <w:rsid w:val="1E4A7B42"/>
    <w:rsid w:val="1E752640"/>
    <w:rsid w:val="1EF12DB3"/>
    <w:rsid w:val="1F7E1679"/>
    <w:rsid w:val="1F8F35F5"/>
    <w:rsid w:val="20B51676"/>
    <w:rsid w:val="20F57F95"/>
    <w:rsid w:val="22A17DAB"/>
    <w:rsid w:val="23426526"/>
    <w:rsid w:val="234D1CF7"/>
    <w:rsid w:val="240371BF"/>
    <w:rsid w:val="24A61607"/>
    <w:rsid w:val="24BC50EC"/>
    <w:rsid w:val="259D6F1E"/>
    <w:rsid w:val="25D162F4"/>
    <w:rsid w:val="260258CB"/>
    <w:rsid w:val="26163109"/>
    <w:rsid w:val="266B1476"/>
    <w:rsid w:val="26CD1653"/>
    <w:rsid w:val="27153F5B"/>
    <w:rsid w:val="27842671"/>
    <w:rsid w:val="28F6646F"/>
    <w:rsid w:val="29824E63"/>
    <w:rsid w:val="29CD5A79"/>
    <w:rsid w:val="29FD04D3"/>
    <w:rsid w:val="2A1D0B88"/>
    <w:rsid w:val="2A222DE9"/>
    <w:rsid w:val="2ABE7A3E"/>
    <w:rsid w:val="2B7413E7"/>
    <w:rsid w:val="2BBC5AF1"/>
    <w:rsid w:val="2BD2445D"/>
    <w:rsid w:val="2C0D48AC"/>
    <w:rsid w:val="2CC77535"/>
    <w:rsid w:val="2CDF4759"/>
    <w:rsid w:val="2CE80ED6"/>
    <w:rsid w:val="2D013BB9"/>
    <w:rsid w:val="2E511991"/>
    <w:rsid w:val="2E963D60"/>
    <w:rsid w:val="2E9A6219"/>
    <w:rsid w:val="2F136972"/>
    <w:rsid w:val="2F1F1E50"/>
    <w:rsid w:val="2F685F67"/>
    <w:rsid w:val="2FF13123"/>
    <w:rsid w:val="30912A90"/>
    <w:rsid w:val="30A47F27"/>
    <w:rsid w:val="30CC3029"/>
    <w:rsid w:val="319F7F4E"/>
    <w:rsid w:val="332A736A"/>
    <w:rsid w:val="339F43F5"/>
    <w:rsid w:val="33B32C65"/>
    <w:rsid w:val="33D46ADE"/>
    <w:rsid w:val="34663B20"/>
    <w:rsid w:val="351E7F42"/>
    <w:rsid w:val="36123ABD"/>
    <w:rsid w:val="36532728"/>
    <w:rsid w:val="371435DD"/>
    <w:rsid w:val="372607F7"/>
    <w:rsid w:val="374C6D73"/>
    <w:rsid w:val="37A86DCC"/>
    <w:rsid w:val="380E42D2"/>
    <w:rsid w:val="3814264A"/>
    <w:rsid w:val="38D36D55"/>
    <w:rsid w:val="39010300"/>
    <w:rsid w:val="39144743"/>
    <w:rsid w:val="39837CAE"/>
    <w:rsid w:val="399168E2"/>
    <w:rsid w:val="3A213AFF"/>
    <w:rsid w:val="3AAC079C"/>
    <w:rsid w:val="3C0C0783"/>
    <w:rsid w:val="3C3833B2"/>
    <w:rsid w:val="3D3670DB"/>
    <w:rsid w:val="3D374DC0"/>
    <w:rsid w:val="3D6E08D6"/>
    <w:rsid w:val="3DD24281"/>
    <w:rsid w:val="3E541CF4"/>
    <w:rsid w:val="3E546952"/>
    <w:rsid w:val="3EB304F7"/>
    <w:rsid w:val="3EE8688D"/>
    <w:rsid w:val="3F6C0EED"/>
    <w:rsid w:val="3FA650AB"/>
    <w:rsid w:val="403B3E2B"/>
    <w:rsid w:val="4043671D"/>
    <w:rsid w:val="40596E74"/>
    <w:rsid w:val="412D0CCF"/>
    <w:rsid w:val="424403C3"/>
    <w:rsid w:val="42634B77"/>
    <w:rsid w:val="42A663B1"/>
    <w:rsid w:val="42AF5E65"/>
    <w:rsid w:val="432F5279"/>
    <w:rsid w:val="439148A0"/>
    <w:rsid w:val="43F614E5"/>
    <w:rsid w:val="44A62CEA"/>
    <w:rsid w:val="457871C4"/>
    <w:rsid w:val="45B93440"/>
    <w:rsid w:val="45FB4FF7"/>
    <w:rsid w:val="476501B9"/>
    <w:rsid w:val="47B63521"/>
    <w:rsid w:val="48FB01DA"/>
    <w:rsid w:val="493C27E9"/>
    <w:rsid w:val="496F39ED"/>
    <w:rsid w:val="497420AF"/>
    <w:rsid w:val="49FF41D3"/>
    <w:rsid w:val="4A7B2B67"/>
    <w:rsid w:val="4AA848DA"/>
    <w:rsid w:val="4AB67D64"/>
    <w:rsid w:val="4BE068DB"/>
    <w:rsid w:val="4BF6002B"/>
    <w:rsid w:val="4CB23B46"/>
    <w:rsid w:val="4CD3342D"/>
    <w:rsid w:val="4D2F7049"/>
    <w:rsid w:val="4E4A4682"/>
    <w:rsid w:val="4E6B238F"/>
    <w:rsid w:val="4ECE2238"/>
    <w:rsid w:val="4F224930"/>
    <w:rsid w:val="4F4636DA"/>
    <w:rsid w:val="4F6001AA"/>
    <w:rsid w:val="50602D88"/>
    <w:rsid w:val="511F6273"/>
    <w:rsid w:val="513919C7"/>
    <w:rsid w:val="513E28E6"/>
    <w:rsid w:val="51F9066F"/>
    <w:rsid w:val="521D0C9C"/>
    <w:rsid w:val="52216398"/>
    <w:rsid w:val="525E6DB8"/>
    <w:rsid w:val="52754266"/>
    <w:rsid w:val="54093DE2"/>
    <w:rsid w:val="55193F49"/>
    <w:rsid w:val="55B96514"/>
    <w:rsid w:val="56446085"/>
    <w:rsid w:val="56551718"/>
    <w:rsid w:val="56BE674D"/>
    <w:rsid w:val="57325936"/>
    <w:rsid w:val="5798465D"/>
    <w:rsid w:val="57D64BB4"/>
    <w:rsid w:val="57F32CB2"/>
    <w:rsid w:val="58AC22CA"/>
    <w:rsid w:val="58C5433C"/>
    <w:rsid w:val="590151A2"/>
    <w:rsid w:val="591E6E16"/>
    <w:rsid w:val="59B96BE0"/>
    <w:rsid w:val="59F63525"/>
    <w:rsid w:val="5A585F59"/>
    <w:rsid w:val="5A892762"/>
    <w:rsid w:val="5A8E78FE"/>
    <w:rsid w:val="5C5136F5"/>
    <w:rsid w:val="5DB6134F"/>
    <w:rsid w:val="5E1B71FB"/>
    <w:rsid w:val="5F094AA8"/>
    <w:rsid w:val="5F342348"/>
    <w:rsid w:val="5F8500AC"/>
    <w:rsid w:val="5FBF00D1"/>
    <w:rsid w:val="5FC67F97"/>
    <w:rsid w:val="60231B48"/>
    <w:rsid w:val="60F81C10"/>
    <w:rsid w:val="61345B98"/>
    <w:rsid w:val="619D0009"/>
    <w:rsid w:val="61F64021"/>
    <w:rsid w:val="62A03177"/>
    <w:rsid w:val="62BC1543"/>
    <w:rsid w:val="637671C8"/>
    <w:rsid w:val="64416380"/>
    <w:rsid w:val="6464320D"/>
    <w:rsid w:val="64CA39A1"/>
    <w:rsid w:val="64FA584F"/>
    <w:rsid w:val="65012D4F"/>
    <w:rsid w:val="65093CCA"/>
    <w:rsid w:val="65523D2F"/>
    <w:rsid w:val="659E779C"/>
    <w:rsid w:val="65F65A85"/>
    <w:rsid w:val="6631323C"/>
    <w:rsid w:val="66CA4291"/>
    <w:rsid w:val="67177241"/>
    <w:rsid w:val="67EB7356"/>
    <w:rsid w:val="684C512A"/>
    <w:rsid w:val="68A2162E"/>
    <w:rsid w:val="692579AA"/>
    <w:rsid w:val="69A577B9"/>
    <w:rsid w:val="69C755F7"/>
    <w:rsid w:val="6A535ED7"/>
    <w:rsid w:val="6ABD4279"/>
    <w:rsid w:val="6AEF782B"/>
    <w:rsid w:val="6B292DC5"/>
    <w:rsid w:val="6B545B10"/>
    <w:rsid w:val="6B553AE6"/>
    <w:rsid w:val="6B6E7DF4"/>
    <w:rsid w:val="6B7C4906"/>
    <w:rsid w:val="6B837193"/>
    <w:rsid w:val="6C272008"/>
    <w:rsid w:val="6C4A05C8"/>
    <w:rsid w:val="6CAA6BF7"/>
    <w:rsid w:val="6CCF33CC"/>
    <w:rsid w:val="6D5A65D4"/>
    <w:rsid w:val="6E00186D"/>
    <w:rsid w:val="6E0E5D73"/>
    <w:rsid w:val="6F187BC2"/>
    <w:rsid w:val="6F204DAC"/>
    <w:rsid w:val="6F8B5290"/>
    <w:rsid w:val="70CD0F17"/>
    <w:rsid w:val="710866BE"/>
    <w:rsid w:val="71B843A9"/>
    <w:rsid w:val="721D5B80"/>
    <w:rsid w:val="723E20AD"/>
    <w:rsid w:val="72734D90"/>
    <w:rsid w:val="729B32A7"/>
    <w:rsid w:val="72DE5C1F"/>
    <w:rsid w:val="74895E1C"/>
    <w:rsid w:val="77737833"/>
    <w:rsid w:val="7883251A"/>
    <w:rsid w:val="7884306C"/>
    <w:rsid w:val="78843B02"/>
    <w:rsid w:val="78AB1DF2"/>
    <w:rsid w:val="793B04A1"/>
    <w:rsid w:val="79484BA1"/>
    <w:rsid w:val="7BE455E9"/>
    <w:rsid w:val="7C1D5E89"/>
    <w:rsid w:val="7CC302EB"/>
    <w:rsid w:val="7CDE6B67"/>
    <w:rsid w:val="7D1403D3"/>
    <w:rsid w:val="7DA05A6B"/>
    <w:rsid w:val="7DB35AE7"/>
    <w:rsid w:val="7DF03EB6"/>
    <w:rsid w:val="7EBF42F0"/>
    <w:rsid w:val="7EE27645"/>
    <w:rsid w:val="7F5654C3"/>
    <w:rsid w:val="7FDC7EB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page number"/>
    <w:basedOn w:val="13"/>
    <w:qFormat/>
    <w:uiPriority w:val="0"/>
  </w:style>
  <w:style w:type="character" w:styleId="16">
    <w:name w:val="Hyperlink"/>
    <w:basedOn w:val="13"/>
    <w:unhideWhenUsed/>
    <w:qFormat/>
    <w:uiPriority w:val="99"/>
    <w:rPr>
      <w:color w:val="0000FF" w:themeColor="hyperlink"/>
      <w:u w:val="single"/>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标题 1 Char1"/>
    <w:basedOn w:val="13"/>
    <w:link w:val="3"/>
    <w:qFormat/>
    <w:uiPriority w:val="0"/>
    <w:rPr>
      <w:rFonts w:ascii="Times New Roman" w:hAnsi="Times New Roman" w:eastAsia="宋体" w:cs="Times New Roman"/>
      <w:b/>
      <w:bCs/>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pitchFamily="3" charset="-122"/>
                <a:ea typeface="仿宋" panose="02010609060101010101" pitchFamily="3" charset="-122"/>
              </a:rPr>
              <a:t>图</a:t>
            </a:r>
            <a:r>
              <a:rPr lang="en-US" altLang="zh-CN">
                <a:latin typeface="仿宋" panose="02010609060101010101" pitchFamily="3" charset="-122"/>
                <a:ea typeface="仿宋" panose="02010609060101010101" pitchFamily="3" charset="-122"/>
              </a:rPr>
              <a:t>1</a:t>
            </a:r>
            <a:r>
              <a:rPr lang="zh-CN" altLang="en-US">
                <a:latin typeface="仿宋" panose="02010609060101010101" pitchFamily="3" charset="-122"/>
                <a:ea typeface="仿宋" panose="02010609060101010101" pitchFamily="3" charset="-122"/>
              </a:rPr>
              <a:t>：收、支决算总计变动情况图（单位：万元）</a:t>
            </a:r>
            <a:endParaRPr lang="zh-CN" altLang="en-US">
              <a:latin typeface="仿宋" panose="02010609060101010101" pitchFamily="3" charset="-122"/>
              <a:ea typeface="仿宋" panose="02010609060101010101" pitchFamily="3" charset="-122"/>
            </a:endParaRPr>
          </a:p>
        </c:rich>
      </c:tx>
      <c:layout/>
      <c:overlay val="0"/>
      <c:spPr>
        <a:noFill/>
        <a:ln>
          <a:noFill/>
        </a:ln>
        <a:effectLst/>
      </c:spPr>
    </c:title>
    <c:autoTitleDeleted val="0"/>
    <c:plotArea>
      <c:layout>
        <c:manualLayout>
          <c:layoutTarget val="inner"/>
          <c:xMode val="edge"/>
          <c:yMode val="edge"/>
          <c:x val="0.052825"/>
          <c:y val="0.132333333333333"/>
          <c:w val="0.927925"/>
          <c:h val="0.716566666666667"/>
        </c:manualLayout>
      </c:layout>
      <c:barChart>
        <c:barDir val="col"/>
        <c:grouping val="clustered"/>
        <c:varyColors val="0"/>
        <c:ser>
          <c:idx val="0"/>
          <c:order val="0"/>
          <c:tx>
            <c:strRef>
              <c:f>Sheet1!$B$1</c:f>
              <c:strCache>
                <c:ptCount val="1"/>
                <c:pt idx="0">
                  <c:v>2019年</c:v>
                </c:pt>
              </c:strCache>
            </c:strRef>
          </c:tx>
          <c:spPr>
            <a:solidFill>
              <a:schemeClr val="accent1">
                <a:shade val="76667"/>
              </a:schemeClr>
            </a:solidFill>
            <a:ln>
              <a:noFill/>
            </a:ln>
            <a:effectLst/>
          </c:spPr>
          <c:invertIfNegative val="0"/>
          <c:dPt>
            <c:idx val="1"/>
            <c:invertIfNegative val="0"/>
            <c:bubble3D val="0"/>
            <c:spPr>
              <a:solidFill>
                <a:schemeClr val="accent2"/>
              </a:solidFill>
              <a:ln>
                <a:noFill/>
              </a:ln>
              <a:effectLst/>
            </c:spPr>
          </c:dPt>
          <c:dLbls>
            <c:delete val="1"/>
          </c:dLbls>
          <c:cat>
            <c:strRef>
              <c:f>Sheet1!$A$2:$A$3</c:f>
              <c:strCache>
                <c:ptCount val="2"/>
                <c:pt idx="0">
                  <c:v>2019年</c:v>
                </c:pt>
                <c:pt idx="1">
                  <c:v>2020年</c:v>
                </c:pt>
              </c:strCache>
            </c:strRef>
          </c:cat>
          <c:val>
            <c:numRef>
              <c:f>Sheet1!$B$2:$B$3</c:f>
              <c:numCache>
                <c:formatCode>General</c:formatCode>
                <c:ptCount val="2"/>
                <c:pt idx="0">
                  <c:v>200.15</c:v>
                </c:pt>
                <c:pt idx="1">
                  <c:v>195.59</c:v>
                </c:pt>
              </c:numCache>
            </c:numRef>
          </c:val>
        </c:ser>
        <c:dLbls>
          <c:showLegendKey val="0"/>
          <c:showVal val="0"/>
          <c:showCatName val="0"/>
          <c:showSerName val="0"/>
          <c:showPercent val="0"/>
          <c:showBubbleSize val="0"/>
        </c:dLbls>
        <c:gapWidth val="219"/>
        <c:overlap val="-27"/>
        <c:axId val="146718720"/>
        <c:axId val="146720640"/>
      </c:barChart>
      <c:catAx>
        <c:axId val="146718720"/>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720640"/>
        <c:crosses val="autoZero"/>
        <c:auto val="1"/>
        <c:lblAlgn val="ctr"/>
        <c:lblOffset val="100"/>
        <c:noMultiLvlLbl val="0"/>
      </c:catAx>
      <c:valAx>
        <c:axId val="1467206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718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pitchFamily="3" charset="-122"/>
                <a:ea typeface="仿宋" panose="02010609060101010101" pitchFamily="3" charset="-122"/>
                <a:cs typeface="仿宋" panose="02010609060101010101" pitchFamily="3" charset="-122"/>
              </a:rPr>
              <a:t>图</a:t>
            </a:r>
            <a:r>
              <a:rPr lang="en-US" altLang="zh-CN">
                <a:latin typeface="仿宋" panose="02010609060101010101" pitchFamily="3" charset="-122"/>
                <a:ea typeface="仿宋" panose="02010609060101010101" pitchFamily="3" charset="-122"/>
                <a:cs typeface="仿宋" panose="02010609060101010101" pitchFamily="3" charset="-122"/>
              </a:rPr>
              <a:t>2</a:t>
            </a:r>
            <a:r>
              <a:rPr lang="zh-CN" altLang="en-US">
                <a:latin typeface="仿宋" panose="02010609060101010101" pitchFamily="3" charset="-122"/>
                <a:ea typeface="仿宋" panose="02010609060101010101" pitchFamily="3" charset="-122"/>
                <a:cs typeface="仿宋" panose="02010609060101010101" pitchFamily="3" charset="-122"/>
              </a:rPr>
              <a:t>：收入决算结构图（单位：万元）</a:t>
            </a:r>
            <a:endParaRPr lang="zh-CN" altLang="en-US">
              <a:latin typeface="仿宋" panose="02010609060101010101" pitchFamily="3" charset="-122"/>
              <a:ea typeface="仿宋" panose="02010609060101010101" pitchFamily="3" charset="-122"/>
              <a:cs typeface="仿宋" panose="02010609060101010101" pitchFamily="3" charset="-122"/>
            </a:endParaRPr>
          </a:p>
        </c:rich>
      </c:tx>
      <c:layout/>
      <c:overlay val="0"/>
      <c:spPr>
        <a:noFill/>
        <a:ln>
          <a:noFill/>
        </a:ln>
        <a:effectLst/>
      </c:spPr>
    </c:title>
    <c:autoTitleDeleted val="0"/>
    <c:plotArea>
      <c:layout/>
      <c:pieChart>
        <c:varyColors val="1"/>
        <c:ser>
          <c:idx val="0"/>
          <c:order val="0"/>
          <c:tx>
            <c:strRef>
              <c:f>Sheet1!$B$1</c:f>
              <c:strCache>
                <c:ptCount val="1"/>
                <c:pt idx="0">
                  <c:v>图2：收入决算结构图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一般公共预算财政拨款</c:v>
                </c:pt>
                <c:pt idx="1">
                  <c:v>其他收入</c:v>
                </c:pt>
                <c:pt idx="2">
                  <c:v>使用非财政拨款结余</c:v>
                </c:pt>
              </c:strCache>
            </c:strRef>
          </c:cat>
          <c:val>
            <c:numRef>
              <c:f>Sheet1!$B$2:$B$4</c:f>
              <c:numCache>
                <c:formatCode>General</c:formatCode>
                <c:ptCount val="3"/>
                <c:pt idx="0">
                  <c:v>195.55</c:v>
                </c:pt>
                <c:pt idx="1">
                  <c:v>0.01</c:v>
                </c:pt>
                <c:pt idx="2">
                  <c:v>0.03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pitchFamily="3" charset="-122"/>
                <a:ea typeface="仿宋" panose="02010609060101010101" pitchFamily="3" charset="-122"/>
                <a:cs typeface="仿宋" panose="02010609060101010101" pitchFamily="3" charset="-122"/>
              </a:rPr>
              <a:t>图</a:t>
            </a:r>
            <a:r>
              <a:rPr lang="en-US" altLang="zh-CN">
                <a:latin typeface="仿宋" panose="02010609060101010101" pitchFamily="3" charset="-122"/>
                <a:ea typeface="仿宋" panose="02010609060101010101" pitchFamily="3" charset="-122"/>
                <a:cs typeface="仿宋" panose="02010609060101010101" pitchFamily="3" charset="-122"/>
              </a:rPr>
              <a:t>3</a:t>
            </a:r>
            <a:r>
              <a:rPr lang="zh-CN" altLang="en-US">
                <a:latin typeface="仿宋" panose="02010609060101010101" pitchFamily="3" charset="-122"/>
                <a:ea typeface="仿宋" panose="02010609060101010101" pitchFamily="3" charset="-122"/>
                <a:cs typeface="仿宋" panose="02010609060101010101" pitchFamily="3" charset="-122"/>
              </a:rPr>
              <a:t>：支出决算结构图（单位：万元）</a:t>
            </a:r>
            <a:endParaRPr lang="zh-CN" altLang="en-US">
              <a:latin typeface="仿宋" panose="02010609060101010101" pitchFamily="3" charset="-122"/>
              <a:ea typeface="仿宋" panose="02010609060101010101" pitchFamily="3" charset="-122"/>
              <a:cs typeface="仿宋" panose="02010609060101010101" pitchFamily="3" charset="-122"/>
            </a:endParaRPr>
          </a:p>
        </c:rich>
      </c:tx>
      <c:layout/>
      <c:overlay val="0"/>
      <c:spPr>
        <a:noFill/>
        <a:ln>
          <a:noFill/>
        </a:ln>
        <a:effectLst/>
      </c:spPr>
    </c:title>
    <c:autoTitleDeleted val="0"/>
    <c:plotArea>
      <c:layout/>
      <c:pieChart>
        <c:varyColors val="1"/>
        <c:ser>
          <c:idx val="0"/>
          <c:order val="0"/>
          <c:tx>
            <c:strRef>
              <c:f>Sheet1!$B$1</c:f>
              <c:strCache>
                <c:ptCount val="1"/>
                <c:pt idx="0">
                  <c:v>图3：支出决算结构图（单位：万元）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75.03</c:v>
                </c:pt>
                <c:pt idx="1">
                  <c:v>120.56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804375"/>
          <c:y val="0.922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pitchFamily="3" charset="-122"/>
                <a:ea typeface="仿宋" panose="02010609060101010101" pitchFamily="3" charset="-122"/>
                <a:cs typeface="仿宋" panose="02010609060101010101" pitchFamily="3" charset="-122"/>
              </a:rPr>
              <a:t>图</a:t>
            </a:r>
            <a:r>
              <a:rPr lang="en-US" altLang="zh-CN">
                <a:latin typeface="仿宋" panose="02010609060101010101" pitchFamily="3" charset="-122"/>
                <a:ea typeface="仿宋" panose="02010609060101010101" pitchFamily="3" charset="-122"/>
                <a:cs typeface="仿宋" panose="02010609060101010101" pitchFamily="3" charset="-122"/>
              </a:rPr>
              <a:t>4</a:t>
            </a:r>
            <a:r>
              <a:rPr lang="zh-CN" altLang="en-US">
                <a:latin typeface="仿宋" panose="02010609060101010101" pitchFamily="3" charset="-122"/>
                <a:ea typeface="仿宋" panose="02010609060101010101" pitchFamily="3" charset="-122"/>
                <a:cs typeface="仿宋" panose="02010609060101010101" pitchFamily="3" charset="-122"/>
              </a:rPr>
              <a:t>：财政拨款收、支决算总计变动情况图（单位：万元）</a:t>
            </a:r>
            <a:endParaRPr lang="zh-CN" altLang="en-US">
              <a:latin typeface="仿宋" panose="02010609060101010101" pitchFamily="3" charset="-122"/>
              <a:ea typeface="仿宋" panose="02010609060101010101" pitchFamily="3" charset="-122"/>
              <a:cs typeface="仿宋" panose="02010609060101010101" pitchFamily="3" charset="-122"/>
            </a:endParaRPr>
          </a:p>
        </c:rich>
      </c:tx>
      <c:layout/>
      <c:overlay val="0"/>
      <c:spPr>
        <a:noFill/>
        <a:ln>
          <a:noFill/>
        </a:ln>
        <a:effectLst/>
      </c:spPr>
    </c:title>
    <c:autoTitleDeleted val="0"/>
    <c:plotArea>
      <c:layout>
        <c:manualLayout>
          <c:layoutTarget val="inner"/>
          <c:xMode val="edge"/>
          <c:yMode val="edge"/>
          <c:x val="0.04245"/>
          <c:y val="0.127"/>
          <c:w val="0.927925"/>
          <c:h val="0.716566666666667"/>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类别 1</c:v>
                </c:pt>
              </c:strCache>
            </c:strRef>
          </c:cat>
          <c:val>
            <c:numRef>
              <c:f>Sheet1!$B$2</c:f>
              <c:numCache>
                <c:formatCode>General</c:formatCode>
                <c:ptCount val="1"/>
                <c:pt idx="0">
                  <c:v>200.08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类别 1</c:v>
                </c:pt>
              </c:strCache>
            </c:strRef>
          </c:cat>
          <c:val>
            <c:numRef>
              <c:f>Sheet1!$C$2</c:f>
              <c:numCache>
                <c:formatCode>General</c:formatCode>
                <c:ptCount val="1"/>
                <c:pt idx="0">
                  <c:v>195.55</c:v>
                </c:pt>
              </c:numCache>
            </c:numRef>
          </c:val>
        </c:ser>
        <c:dLbls>
          <c:showLegendKey val="0"/>
          <c:showVal val="1"/>
          <c:showCatName val="0"/>
          <c:showSerName val="0"/>
          <c:showPercent val="0"/>
          <c:showBubbleSize val="0"/>
        </c:dLbls>
        <c:gapWidth val="219"/>
        <c:overlap val="-27"/>
        <c:axId val="126965248"/>
        <c:axId val="126966784"/>
      </c:barChart>
      <c:catAx>
        <c:axId val="126965248"/>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6966784"/>
        <c:crosses val="autoZero"/>
        <c:auto val="1"/>
        <c:lblAlgn val="ctr"/>
        <c:lblOffset val="100"/>
        <c:noMultiLvlLbl val="0"/>
      </c:catAx>
      <c:valAx>
        <c:axId val="126966784"/>
        <c:scaling>
          <c:orientation val="minMax"/>
          <c:max val="2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965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pitchFamily="3" charset="-122"/>
                <a:ea typeface="仿宋" panose="02010609060101010101" pitchFamily="3" charset="-122"/>
                <a:cs typeface="仿宋" panose="02010609060101010101" pitchFamily="3" charset="-122"/>
              </a:rPr>
              <a:t>图</a:t>
            </a:r>
            <a:r>
              <a:rPr lang="en-US" altLang="zh-CN">
                <a:latin typeface="仿宋" panose="02010609060101010101" pitchFamily="3" charset="-122"/>
                <a:ea typeface="仿宋" panose="02010609060101010101" pitchFamily="3" charset="-122"/>
                <a:cs typeface="仿宋" panose="02010609060101010101" pitchFamily="3" charset="-122"/>
              </a:rPr>
              <a:t>5</a:t>
            </a:r>
            <a:r>
              <a:rPr lang="zh-CN" altLang="en-US">
                <a:latin typeface="仿宋" panose="02010609060101010101" pitchFamily="3" charset="-122"/>
                <a:ea typeface="仿宋" panose="02010609060101010101" pitchFamily="3" charset="-122"/>
                <a:cs typeface="仿宋" panose="02010609060101010101" pitchFamily="3" charset="-122"/>
              </a:rPr>
              <a:t>：一般公共预算财政拨款支出决算变动情况（单位：万元）</a:t>
            </a:r>
            <a:endParaRPr lang="zh-CN" altLang="en-US">
              <a:latin typeface="仿宋" panose="02010609060101010101" pitchFamily="3" charset="-122"/>
              <a:ea typeface="仿宋" panose="02010609060101010101" pitchFamily="3" charset="-122"/>
              <a:cs typeface="仿宋" panose="02010609060101010101" pitchFamily="3" charset="-122"/>
            </a:endParaRPr>
          </a:p>
        </c:rich>
      </c:tx>
      <c:layout/>
      <c:overlay val="0"/>
      <c:spPr>
        <a:noFill/>
        <a:ln>
          <a:noFill/>
        </a:ln>
        <a:effectLst/>
      </c:spPr>
    </c:title>
    <c:autoTitleDeleted val="0"/>
    <c:plotArea>
      <c:layout>
        <c:manualLayout>
          <c:layoutTarget val="inner"/>
          <c:xMode val="edge"/>
          <c:yMode val="edge"/>
          <c:x val="0.048825"/>
          <c:y val="0.183"/>
          <c:w val="0.927925"/>
          <c:h val="0.660566666666667"/>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类别 1</c:v>
                </c:pt>
              </c:strCache>
            </c:strRef>
          </c:cat>
          <c:val>
            <c:numRef>
              <c:f>Sheet1!$B$2</c:f>
              <c:numCache>
                <c:formatCode>General</c:formatCode>
                <c:ptCount val="1"/>
                <c:pt idx="0">
                  <c:v>200.08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类别 1</c:v>
                </c:pt>
              </c:strCache>
            </c:strRef>
          </c:cat>
          <c:val>
            <c:numRef>
              <c:f>Sheet1!$C$2</c:f>
              <c:numCache>
                <c:formatCode>General</c:formatCode>
                <c:ptCount val="1"/>
                <c:pt idx="0">
                  <c:v>195.55</c:v>
                </c:pt>
              </c:numCache>
            </c:numRef>
          </c:val>
        </c:ser>
        <c:dLbls>
          <c:showLegendKey val="0"/>
          <c:showVal val="1"/>
          <c:showCatName val="0"/>
          <c:showSerName val="0"/>
          <c:showPercent val="0"/>
          <c:showBubbleSize val="0"/>
        </c:dLbls>
        <c:gapWidth val="219"/>
        <c:overlap val="-27"/>
        <c:axId val="146301312"/>
        <c:axId val="146302848"/>
      </c:barChart>
      <c:catAx>
        <c:axId val="146301312"/>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6302848"/>
        <c:crosses val="autoZero"/>
        <c:auto val="1"/>
        <c:lblAlgn val="ctr"/>
        <c:lblOffset val="100"/>
        <c:noMultiLvlLbl val="0"/>
      </c:catAx>
      <c:valAx>
        <c:axId val="146302848"/>
        <c:scaling>
          <c:orientation val="minMax"/>
          <c:max val="2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301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pitchFamily="3" charset="-122"/>
                <a:ea typeface="仿宋" panose="02010609060101010101" pitchFamily="3" charset="-122"/>
                <a:cs typeface="仿宋" panose="02010609060101010101" pitchFamily="3" charset="-122"/>
              </a:rPr>
              <a:t>图</a:t>
            </a:r>
            <a:r>
              <a:rPr lang="en-US" altLang="zh-CN">
                <a:latin typeface="仿宋" panose="02010609060101010101" pitchFamily="3" charset="-122"/>
                <a:ea typeface="仿宋" panose="02010609060101010101" pitchFamily="3" charset="-122"/>
                <a:cs typeface="仿宋" panose="02010609060101010101" pitchFamily="3" charset="-122"/>
              </a:rPr>
              <a:t>6</a:t>
            </a:r>
            <a:r>
              <a:rPr lang="zh-CN" altLang="en-US">
                <a:latin typeface="仿宋" panose="02010609060101010101" pitchFamily="3" charset="-122"/>
                <a:ea typeface="仿宋" panose="02010609060101010101" pitchFamily="3" charset="-122"/>
                <a:cs typeface="仿宋" panose="02010609060101010101" pitchFamily="3" charset="-122"/>
              </a:rPr>
              <a:t>：一般公共预算财政拨款支出决算结构图（单位：万元）</a:t>
            </a:r>
            <a:endParaRPr lang="zh-CN" altLang="en-US">
              <a:latin typeface="仿宋" panose="02010609060101010101" pitchFamily="3" charset="-122"/>
              <a:ea typeface="仿宋" panose="02010609060101010101" pitchFamily="3" charset="-122"/>
              <a:cs typeface="仿宋" panose="02010609060101010101" pitchFamily="3" charset="-122"/>
            </a:endParaRP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一般公共服务（类）支出</c:v>
                </c:pt>
                <c:pt idx="1">
                  <c:v>文化旅游体育与传媒（类）支出</c:v>
                </c:pt>
                <c:pt idx="2">
                  <c:v>社会保障和就业（类）支出</c:v>
                </c:pt>
                <c:pt idx="3">
                  <c:v>卫生健康支出</c:v>
                </c:pt>
              </c:strCache>
            </c:strRef>
          </c:cat>
          <c:val>
            <c:numRef>
              <c:f>Sheet1!$B$2:$B$5</c:f>
              <c:numCache>
                <c:formatCode>General</c:formatCode>
                <c:ptCount val="4"/>
                <c:pt idx="0">
                  <c:v>63.44</c:v>
                </c:pt>
                <c:pt idx="1">
                  <c:v>105</c:v>
                </c:pt>
                <c:pt idx="2">
                  <c:v>15.11</c:v>
                </c:pt>
                <c:pt idx="3">
                  <c:v>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7</a:t>
            </a:r>
            <a:r>
              <a:rPr lang="zh-CN" altLang="en-US"/>
              <a:t>：“三公”经费财政拨款支出结构（单位：万元）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公务用车购置及运行维护费支出决算</c:v>
                </c:pt>
                <c:pt idx="1">
                  <c:v>公务接待费支出决算</c:v>
                </c:pt>
              </c:strCache>
            </c:strRef>
          </c:cat>
          <c:val>
            <c:numRef>
              <c:f>Sheet1!$B$2:$B$3</c:f>
              <c:numCache>
                <c:formatCode>General</c:formatCode>
                <c:ptCount val="2"/>
                <c:pt idx="0">
                  <c:v>0.5</c:v>
                </c:pt>
                <c:pt idx="1">
                  <c:v>0.47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E42F-AB30-4C3E-9FCD-CCB00B180AE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23</Pages>
  <Words>6415</Words>
  <Characters>6873</Characters>
  <Lines>50</Lines>
  <Paragraphs>14</Paragraphs>
  <TotalTime>1</TotalTime>
  <ScaleCrop>false</ScaleCrop>
  <LinksUpToDate>false</LinksUpToDate>
  <CharactersWithSpaces>6901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2021-09-08T08:11:00Z</dcterms:created>
  <dc:creator>曹颖</dc:creator>
  <cp:lastModifiedBy>新华硅谷财务</cp:lastModifiedBy>
  <cp:lastPrinted>2021-09-08T07:35:00Z</cp:lastPrinted>
  <dcterms:modified xsi:type="dcterms:W3CDTF">2022-08-10T06:28:29Z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B878340D4BE944F48339153F39F02BD0</vt:lpwstr>
  </property>
  <property fmtid="{D5CDD505-2E9C-101B-9397-08002B2CF9AE}" pid="4" name="KSOSaveFontToCloudKey">
    <vt:lpwstr>771900086_btnclosed</vt:lpwstr>
  </property>
</Properties>
</file>