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eastAsia="方正小标宋简体"/>
          <w:sz w:val="72"/>
          <w:szCs w:val="72"/>
        </w:rPr>
      </w:pPr>
      <w:bookmarkStart w:id="0" w:name="_Toc15396597"/>
      <w:bookmarkStart w:id="1" w:name="_Toc15377193"/>
      <w:bookmarkStart w:id="2" w:name="_Toc15396475"/>
      <w:bookmarkStart w:id="3" w:name="_Toc15378441"/>
      <w:bookmarkStart w:id="4" w:name="_Toc15377425"/>
      <w:bookmarkStart w:id="5" w:name="_Toc15306267"/>
    </w:p>
    <w:p>
      <w:pPr>
        <w:spacing w:line="600" w:lineRule="exact"/>
        <w:jc w:val="center"/>
        <w:outlineLvl w:val="0"/>
        <w:rPr>
          <w:rFonts w:eastAsia="方正小标宋简体"/>
          <w:sz w:val="72"/>
          <w:szCs w:val="72"/>
        </w:rPr>
      </w:pPr>
    </w:p>
    <w:p>
      <w:pPr>
        <w:spacing w:line="600" w:lineRule="exact"/>
        <w:jc w:val="center"/>
        <w:outlineLvl w:val="0"/>
        <w:rPr>
          <w:rFonts w:eastAsia="方正小标宋简体"/>
          <w:sz w:val="72"/>
          <w:szCs w:val="72"/>
        </w:rPr>
      </w:pPr>
    </w:p>
    <w:p>
      <w:pPr>
        <w:spacing w:line="600" w:lineRule="exact"/>
        <w:jc w:val="center"/>
        <w:outlineLvl w:val="0"/>
        <w:rPr>
          <w:rFonts w:eastAsia="方正小标宋简体"/>
          <w:sz w:val="72"/>
          <w:szCs w:val="72"/>
        </w:rPr>
      </w:pPr>
    </w:p>
    <w:p>
      <w:pPr>
        <w:adjustRightInd w:val="0"/>
        <w:snapToGrid w:val="0"/>
        <w:spacing w:line="360" w:lineRule="auto"/>
        <w:jc w:val="center"/>
        <w:outlineLvl w:val="0"/>
        <w:rPr>
          <w:rFonts w:eastAsia="方正小标宋简体"/>
          <w:sz w:val="72"/>
          <w:szCs w:val="72"/>
        </w:rPr>
      </w:pPr>
      <w:bookmarkStart w:id="6" w:name="_Toc112342326"/>
      <w:bookmarkStart w:id="7" w:name="_Toc112341679"/>
      <w:bookmarkStart w:id="8" w:name="_Toc112342407"/>
      <w:bookmarkStart w:id="9" w:name="_Toc112397081"/>
      <w:bookmarkStart w:id="10" w:name="_Toc112396111"/>
      <w:r>
        <w:rPr>
          <w:rFonts w:eastAsia="方正小标宋简体"/>
          <w:b/>
          <w:bCs/>
          <w:sz w:val="72"/>
          <w:szCs w:val="72"/>
        </w:rPr>
        <w:t>2021</w:t>
      </w:r>
      <w:r>
        <w:rPr>
          <w:rFonts w:eastAsia="方正小标宋简体"/>
          <w:sz w:val="72"/>
          <w:szCs w:val="72"/>
        </w:rPr>
        <w:t>年度</w:t>
      </w:r>
      <w:bookmarkEnd w:id="0"/>
      <w:bookmarkEnd w:id="1"/>
      <w:bookmarkEnd w:id="2"/>
      <w:bookmarkEnd w:id="3"/>
      <w:bookmarkEnd w:id="4"/>
      <w:bookmarkEnd w:id="6"/>
      <w:bookmarkEnd w:id="7"/>
      <w:bookmarkEnd w:id="8"/>
      <w:bookmarkEnd w:id="9"/>
      <w:bookmarkEnd w:id="10"/>
    </w:p>
    <w:p>
      <w:pPr>
        <w:adjustRightInd w:val="0"/>
        <w:snapToGrid w:val="0"/>
        <w:spacing w:line="360" w:lineRule="auto"/>
        <w:jc w:val="center"/>
        <w:outlineLvl w:val="0"/>
        <w:rPr>
          <w:rFonts w:eastAsia="方正小标宋简体"/>
          <w:sz w:val="72"/>
          <w:szCs w:val="72"/>
        </w:rPr>
      </w:pPr>
      <w:bookmarkStart w:id="11" w:name="_Toc15378442"/>
      <w:bookmarkStart w:id="12" w:name="_Toc112341680"/>
      <w:bookmarkStart w:id="13" w:name="_Toc15377194"/>
      <w:bookmarkStart w:id="14" w:name="_Toc112342327"/>
      <w:bookmarkStart w:id="15" w:name="_Toc112396112"/>
      <w:bookmarkStart w:id="16" w:name="_Toc15377426"/>
      <w:bookmarkStart w:id="17" w:name="_Toc15396598"/>
      <w:bookmarkStart w:id="18" w:name="_Toc112397082"/>
      <w:bookmarkStart w:id="19" w:name="_Toc112342408"/>
      <w:bookmarkStart w:id="20" w:name="_Toc15396476"/>
      <w:r>
        <w:rPr>
          <w:rFonts w:eastAsia="方正小标宋简体"/>
          <w:sz w:val="72"/>
          <w:szCs w:val="72"/>
        </w:rPr>
        <w:t>四川省</w:t>
      </w:r>
      <w:bookmarkEnd w:id="5"/>
      <w:bookmarkStart w:id="21" w:name="_Toc15306268"/>
      <w:r>
        <w:rPr>
          <w:rFonts w:eastAsia="方正小标宋简体"/>
          <w:sz w:val="72"/>
          <w:szCs w:val="72"/>
        </w:rPr>
        <w:t>人民检察院部门决算</w:t>
      </w:r>
      <w:bookmarkEnd w:id="11"/>
      <w:bookmarkEnd w:id="12"/>
      <w:bookmarkEnd w:id="13"/>
      <w:bookmarkEnd w:id="14"/>
      <w:bookmarkEnd w:id="15"/>
      <w:bookmarkEnd w:id="16"/>
      <w:bookmarkEnd w:id="17"/>
      <w:bookmarkEnd w:id="18"/>
      <w:bookmarkEnd w:id="19"/>
      <w:bookmarkEnd w:id="20"/>
      <w:bookmarkEnd w:id="21"/>
    </w:p>
    <w:p>
      <w:pPr>
        <w:spacing w:line="600" w:lineRule="exact"/>
        <w:jc w:val="center"/>
        <w:rPr>
          <w:rFonts w:ascii="方正小标宋简体" w:hAnsi="方正小标宋简体" w:eastAsia="方正小标宋简体" w:cs="方正小标宋简体"/>
          <w:sz w:val="44"/>
          <w:szCs w:val="44"/>
        </w:rPr>
      </w:pPr>
      <w:r>
        <w:rPr>
          <w:rFonts w:eastAsia="方正小标宋简体"/>
          <w:sz w:val="36"/>
          <w:szCs w:val="36"/>
        </w:rPr>
        <w:br w:type="page"/>
      </w:r>
    </w:p>
    <w:sdt>
      <w:sdtPr>
        <w:rPr>
          <w:rFonts w:ascii="Times New Roman" w:hAnsi="Times New Roman" w:eastAsia="仿宋_GB2312" w:cs="Times New Roman"/>
          <w:b w:val="0"/>
          <w:bCs w:val="0"/>
          <w:color w:val="auto"/>
          <w:kern w:val="2"/>
          <w:sz w:val="32"/>
          <w:szCs w:val="24"/>
          <w:lang w:val="zh-CN"/>
        </w:rPr>
        <w:id w:val="-96484932"/>
        <w:docPartObj>
          <w:docPartGallery w:val="Table of Contents"/>
          <w:docPartUnique/>
        </w:docPartObj>
      </w:sdtPr>
      <w:sdtEndPr>
        <w:rPr>
          <w:rFonts w:ascii="Times New Roman" w:hAnsi="Times New Roman" w:eastAsia="仿宋_GB2312" w:cs="Times New Roman"/>
          <w:b w:val="0"/>
          <w:bCs w:val="0"/>
          <w:color w:val="auto"/>
          <w:kern w:val="2"/>
          <w:sz w:val="32"/>
          <w:szCs w:val="24"/>
          <w:lang w:val="zh-CN"/>
        </w:rPr>
      </w:sdtEndPr>
      <w:sdtContent>
        <w:p>
          <w:pPr>
            <w:pStyle w:val="41"/>
            <w:jc w:val="center"/>
            <w:rPr>
              <w:rFonts w:ascii="方正小标宋简体" w:eastAsia="方正小标宋简体"/>
              <w:sz w:val="44"/>
              <w:szCs w:val="44"/>
            </w:rPr>
          </w:pPr>
          <w:r>
            <w:rPr>
              <w:rFonts w:hint="eastAsia" w:ascii="方正小标宋简体" w:eastAsia="方正小标宋简体"/>
              <w:color w:val="auto"/>
              <w:sz w:val="44"/>
              <w:szCs w:val="44"/>
              <w:lang w:val="zh-CN"/>
            </w:rPr>
            <w:t>目录</w:t>
          </w:r>
        </w:p>
        <w:p>
          <w:pPr>
            <w:pStyle w:val="12"/>
            <w:spacing w:before="0" w:line="240" w:lineRule="atLeast"/>
            <w:rPr>
              <w:rFonts w:ascii="Times New Roman" w:hAnsi="Times New Roman" w:eastAsia="楷体_GB2312"/>
              <w:sz w:val="32"/>
              <w:szCs w:val="32"/>
            </w:rPr>
          </w:pPr>
          <w:r>
            <w:rPr>
              <w:rFonts w:ascii="Times New Roman" w:hAnsi="Times New Roman" w:eastAsia="楷体_GB2312"/>
              <w:sz w:val="32"/>
              <w:szCs w:val="32"/>
            </w:rPr>
            <w:t>公开时间：2022年8月29日</w:t>
          </w:r>
          <w:r>
            <w:fldChar w:fldCharType="begin"/>
          </w:r>
          <w:r>
            <w:instrText xml:space="preserve"> TOC \o "1-3" \h \z \u </w:instrText>
          </w:r>
          <w:r>
            <w:fldChar w:fldCharType="separate"/>
          </w:r>
        </w:p>
        <w:p>
          <w:pPr>
            <w:pStyle w:val="12"/>
            <w:spacing w:line="240" w:lineRule="atLeast"/>
            <w:jc w:val="both"/>
            <w:rPr>
              <w:rFonts w:asciiTheme="minorHAnsi" w:hAnsiTheme="minorHAnsi" w:eastAsiaTheme="minorEastAsia" w:cstheme="minorBidi"/>
              <w:sz w:val="21"/>
              <w:szCs w:val="22"/>
            </w:rPr>
          </w:pPr>
          <w:r>
            <w:fldChar w:fldCharType="begin"/>
          </w:r>
          <w:r>
            <w:instrText xml:space="preserve"> HYPERLINK \l "_Toc112397083" </w:instrText>
          </w:r>
          <w:r>
            <w:fldChar w:fldCharType="separate"/>
          </w:r>
          <w:r>
            <w:rPr>
              <w:rStyle w:val="18"/>
              <w:rFonts w:hint="eastAsia"/>
            </w:rPr>
            <w:t>第一部分部门概况</w:t>
          </w:r>
          <w:r>
            <w:rPr>
              <w:rFonts w:ascii="Times New Roman" w:hAnsi="Times New Roman" w:eastAsia="仿宋_GB2312"/>
              <w:sz w:val="32"/>
              <w:szCs w:val="24"/>
            </w:rPr>
            <w:tab/>
          </w:r>
          <w:r>
            <w:fldChar w:fldCharType="begin"/>
          </w:r>
          <w:r>
            <w:instrText xml:space="preserve"> PAGEREF _Toc112397083 \h </w:instrText>
          </w:r>
          <w:r>
            <w:fldChar w:fldCharType="separate"/>
          </w:r>
          <w:r>
            <w:t>1</w:t>
          </w:r>
          <w:r>
            <w:fldChar w:fldCharType="end"/>
          </w:r>
          <w:r>
            <w:fldChar w:fldCharType="end"/>
          </w:r>
        </w:p>
        <w:p>
          <w:pPr>
            <w:pStyle w:val="13"/>
            <w:spacing w:line="240" w:lineRule="atLeast"/>
            <w:ind w:leftChars="0"/>
            <w:rPr>
              <w:rFonts w:asciiTheme="minorHAnsi" w:hAnsiTheme="minorHAnsi" w:eastAsiaTheme="minorEastAsia" w:cstheme="minorBidi"/>
              <w:sz w:val="21"/>
              <w:szCs w:val="22"/>
            </w:rPr>
          </w:pPr>
          <w:r>
            <w:fldChar w:fldCharType="begin"/>
          </w:r>
          <w:r>
            <w:instrText xml:space="preserve"> HYPERLINK \l "_Toc112397084" </w:instrText>
          </w:r>
          <w:r>
            <w:fldChar w:fldCharType="separate"/>
          </w:r>
          <w:r>
            <w:rPr>
              <w:rStyle w:val="18"/>
              <w:rFonts w:hint="eastAsia" w:ascii="仿宋" w:hAnsi="仿宋" w:eastAsia="仿宋"/>
            </w:rPr>
            <w:t>一</w:t>
          </w:r>
          <w:r>
            <w:rPr>
              <w:rStyle w:val="18"/>
              <w:rFonts w:hint="eastAsia" w:ascii="仿宋" w:hAnsi="仿宋" w:eastAsia="仿宋"/>
              <w:sz w:val="28"/>
              <w:szCs w:val="28"/>
            </w:rPr>
            <w:t>、基本职能及主要工作</w:t>
          </w:r>
          <w:r>
            <w:tab/>
          </w:r>
          <w:r>
            <w:fldChar w:fldCharType="begin"/>
          </w:r>
          <w:r>
            <w:instrText xml:space="preserve"> PAGEREF _Toc112397084 \h </w:instrText>
          </w:r>
          <w:r>
            <w:fldChar w:fldCharType="separate"/>
          </w:r>
          <w:r>
            <w:rPr>
              <w:rFonts w:ascii="仿宋" w:hAnsi="仿宋" w:eastAsia="仿宋"/>
              <w:sz w:val="28"/>
              <w:szCs w:val="28"/>
            </w:rPr>
            <w:t>1</w:t>
          </w:r>
          <w:r>
            <w:fldChar w:fldCharType="end"/>
          </w:r>
          <w:r>
            <w:fldChar w:fldCharType="end"/>
          </w:r>
        </w:p>
        <w:p>
          <w:pPr>
            <w:pStyle w:val="13"/>
            <w:spacing w:line="240" w:lineRule="atLeast"/>
            <w:ind w:leftChars="0"/>
            <w:rPr>
              <w:rStyle w:val="18"/>
            </w:rPr>
          </w:pPr>
          <w:r>
            <w:fldChar w:fldCharType="begin"/>
          </w:r>
          <w:r>
            <w:instrText xml:space="preserve"> HYPERLINK \l "_Toc112397085" </w:instrText>
          </w:r>
          <w:r>
            <w:fldChar w:fldCharType="separate"/>
          </w:r>
          <w:r>
            <w:rPr>
              <w:rStyle w:val="18"/>
              <w:rFonts w:hint="eastAsia" w:ascii="仿宋" w:hAnsi="仿宋" w:eastAsia="仿宋"/>
            </w:rPr>
            <w:t>二、机构设置</w:t>
          </w:r>
          <w:r>
            <w:tab/>
          </w:r>
          <w:r>
            <w:fldChar w:fldCharType="begin"/>
          </w:r>
          <w:r>
            <w:instrText xml:space="preserve"> PAGEREF _Toc112397085 \h </w:instrText>
          </w:r>
          <w:r>
            <w:fldChar w:fldCharType="separate"/>
          </w:r>
          <w:r>
            <w:rPr>
              <w:rFonts w:hint="eastAsia" w:ascii="仿宋" w:hAnsi="仿宋" w:eastAsia="仿宋"/>
              <w:sz w:val="28"/>
              <w:szCs w:val="28"/>
            </w:rPr>
            <w:t>7</w:t>
          </w:r>
          <w:r>
            <w:fldChar w:fldCharType="end"/>
          </w:r>
          <w:r>
            <w:fldChar w:fldCharType="end"/>
          </w:r>
        </w:p>
        <w:p>
          <w:pPr>
            <w:pStyle w:val="13"/>
            <w:spacing w:line="240" w:lineRule="atLeast"/>
            <w:ind w:left="0" w:leftChars="0"/>
            <w:rPr>
              <w:rFonts w:asciiTheme="minorHAnsi" w:hAnsiTheme="minorHAnsi" w:eastAsiaTheme="minorEastAsia" w:cstheme="minorBidi"/>
              <w:sz w:val="21"/>
              <w:szCs w:val="22"/>
            </w:rPr>
          </w:pPr>
          <w:r>
            <w:fldChar w:fldCharType="begin"/>
          </w:r>
          <w:r>
            <w:instrText xml:space="preserve"> HYPERLINK \l "_Toc112397086" </w:instrText>
          </w:r>
          <w:r>
            <w:fldChar w:fldCharType="separate"/>
          </w:r>
          <w:r>
            <w:rPr>
              <w:rStyle w:val="18"/>
              <w:rFonts w:hint="eastAsia" w:ascii="仿宋"/>
              <w:sz w:val="28"/>
              <w:szCs w:val="28"/>
            </w:rPr>
            <w:t>第二部分</w:t>
          </w:r>
          <w:r>
            <w:rPr>
              <w:rStyle w:val="18"/>
              <w:rFonts w:ascii="仿宋" w:hAnsi="仿宋"/>
              <w:sz w:val="28"/>
              <w:szCs w:val="28"/>
            </w:rPr>
            <w:t>2021</w:t>
          </w:r>
          <w:r>
            <w:rPr>
              <w:rStyle w:val="18"/>
              <w:rFonts w:hint="eastAsia" w:ascii="仿宋"/>
              <w:sz w:val="28"/>
              <w:szCs w:val="28"/>
            </w:rPr>
            <w:t>年度部门决算情况说明</w:t>
          </w:r>
          <w:r>
            <w:tab/>
          </w:r>
          <w:r>
            <w:fldChar w:fldCharType="begin"/>
          </w:r>
          <w:r>
            <w:instrText xml:space="preserve"> PAGEREF _Toc112397086 \h </w:instrText>
          </w:r>
          <w:r>
            <w:fldChar w:fldCharType="separate"/>
          </w:r>
          <w:r>
            <w:rPr>
              <w:rFonts w:hint="eastAsia" w:ascii="仿宋" w:hAnsi="仿宋" w:eastAsia="仿宋"/>
              <w:sz w:val="28"/>
              <w:szCs w:val="28"/>
            </w:rPr>
            <w:t>8</w:t>
          </w:r>
          <w:r>
            <w:fldChar w:fldCharType="end"/>
          </w:r>
          <w:r>
            <w:fldChar w:fldCharType="end"/>
          </w:r>
        </w:p>
        <w:p>
          <w:pPr>
            <w:pStyle w:val="13"/>
            <w:ind w:left="420" w:leftChars="133"/>
            <w:rPr>
              <w:rStyle w:val="18"/>
              <w:rFonts w:ascii="仿宋" w:hAnsi="仿宋" w:eastAsia="仿宋"/>
            </w:rPr>
          </w:pPr>
          <w:r>
            <w:fldChar w:fldCharType="begin"/>
          </w:r>
          <w:r>
            <w:instrText xml:space="preserve"> HYPERLINK \l "_Toc112397087" </w:instrText>
          </w:r>
          <w:r>
            <w:fldChar w:fldCharType="separate"/>
          </w:r>
          <w:r>
            <w:rPr>
              <w:rStyle w:val="18"/>
              <w:rFonts w:hint="eastAsia" w:ascii="仿宋" w:hAnsi="仿宋" w:eastAsia="仿宋"/>
              <w:sz w:val="28"/>
              <w:szCs w:val="28"/>
            </w:rPr>
            <w:t>一、收入支出决算总体情况说明</w:t>
          </w:r>
          <w:r>
            <w:tab/>
          </w:r>
          <w:r>
            <w:fldChar w:fldCharType="begin"/>
          </w:r>
          <w:r>
            <w:instrText xml:space="preserve"> PAGEREF _Toc112397087 \h </w:instrText>
          </w:r>
          <w:r>
            <w:fldChar w:fldCharType="separate"/>
          </w:r>
          <w:r>
            <w:rPr>
              <w:rFonts w:hint="eastAsia" w:ascii="仿宋" w:hAnsi="仿宋" w:eastAsia="仿宋"/>
              <w:sz w:val="28"/>
              <w:szCs w:val="28"/>
            </w:rPr>
            <w:t>8</w:t>
          </w:r>
          <w:r>
            <w:fldChar w:fldCharType="end"/>
          </w:r>
          <w:r>
            <w:fldChar w:fldCharType="end"/>
          </w:r>
        </w:p>
        <w:p>
          <w:pPr>
            <w:pStyle w:val="13"/>
            <w:ind w:left="420" w:leftChars="133"/>
            <w:rPr>
              <w:rFonts w:asciiTheme="minorHAnsi" w:hAnsiTheme="minorHAnsi" w:eastAsiaTheme="minorEastAsia" w:cstheme="minorBidi"/>
              <w:sz w:val="28"/>
              <w:szCs w:val="28"/>
            </w:rPr>
          </w:pPr>
          <w:r>
            <w:fldChar w:fldCharType="begin"/>
          </w:r>
          <w:r>
            <w:instrText xml:space="preserve"> HYPERLINK \l "_Toc112397088" </w:instrText>
          </w:r>
          <w:r>
            <w:fldChar w:fldCharType="separate"/>
          </w:r>
          <w:r>
            <w:rPr>
              <w:rStyle w:val="18"/>
              <w:rFonts w:hint="eastAsia" w:ascii="仿宋" w:hAnsi="仿宋" w:eastAsia="仿宋"/>
              <w:sz w:val="28"/>
              <w:szCs w:val="28"/>
            </w:rPr>
            <w:t>二、收入决算情况说明</w:t>
          </w:r>
          <w:r>
            <w:rPr>
              <w:sz w:val="28"/>
              <w:szCs w:val="28"/>
            </w:rPr>
            <w:tab/>
          </w:r>
          <w:r>
            <w:rPr>
              <w:sz w:val="28"/>
              <w:szCs w:val="28"/>
            </w:rPr>
            <w:fldChar w:fldCharType="begin"/>
          </w:r>
          <w:r>
            <w:rPr>
              <w:sz w:val="28"/>
              <w:szCs w:val="28"/>
            </w:rPr>
            <w:instrText xml:space="preserve"> PAGEREF _Toc112397088 \h </w:instrText>
          </w:r>
          <w:r>
            <w:rPr>
              <w:sz w:val="28"/>
              <w:szCs w:val="28"/>
            </w:rPr>
            <w:fldChar w:fldCharType="separate"/>
          </w:r>
          <w:r>
            <w:rPr>
              <w:rFonts w:hint="eastAsia" w:ascii="仿宋" w:hAnsi="仿宋" w:eastAsia="仿宋"/>
              <w:sz w:val="28"/>
              <w:szCs w:val="28"/>
            </w:rPr>
            <w:t>9</w:t>
          </w:r>
          <w:r>
            <w:rPr>
              <w:sz w:val="28"/>
              <w:szCs w:val="28"/>
            </w:rPr>
            <w:fldChar w:fldCharType="end"/>
          </w:r>
          <w:r>
            <w:rPr>
              <w:sz w:val="28"/>
              <w:szCs w:val="28"/>
            </w:rPr>
            <w:fldChar w:fldCharType="end"/>
          </w:r>
        </w:p>
        <w:p>
          <w:pPr>
            <w:pStyle w:val="13"/>
            <w:ind w:left="420" w:leftChars="133"/>
            <w:rPr>
              <w:rFonts w:asciiTheme="minorHAnsi" w:hAnsiTheme="minorHAnsi" w:eastAsiaTheme="minorEastAsia" w:cstheme="minorBidi"/>
              <w:sz w:val="28"/>
              <w:szCs w:val="28"/>
            </w:rPr>
          </w:pPr>
          <w:r>
            <w:fldChar w:fldCharType="begin"/>
          </w:r>
          <w:r>
            <w:instrText xml:space="preserve"> HYPERLINK \l "_Toc112397089" </w:instrText>
          </w:r>
          <w:r>
            <w:fldChar w:fldCharType="separate"/>
          </w:r>
          <w:r>
            <w:rPr>
              <w:rStyle w:val="18"/>
              <w:rFonts w:hint="eastAsia" w:ascii="仿宋" w:hAnsi="仿宋" w:eastAsia="仿宋"/>
              <w:sz w:val="28"/>
              <w:szCs w:val="28"/>
            </w:rPr>
            <w:t>三、支出决算情况说明</w:t>
          </w:r>
          <w:r>
            <w:rPr>
              <w:sz w:val="28"/>
              <w:szCs w:val="28"/>
            </w:rPr>
            <w:tab/>
          </w:r>
          <w:r>
            <w:rPr>
              <w:sz w:val="28"/>
              <w:szCs w:val="28"/>
            </w:rPr>
            <w:fldChar w:fldCharType="begin"/>
          </w:r>
          <w:r>
            <w:rPr>
              <w:sz w:val="28"/>
              <w:szCs w:val="28"/>
            </w:rPr>
            <w:instrText xml:space="preserve"> PAGEREF _Toc112397089 \h </w:instrText>
          </w:r>
          <w:r>
            <w:rPr>
              <w:sz w:val="28"/>
              <w:szCs w:val="28"/>
            </w:rPr>
            <w:fldChar w:fldCharType="separate"/>
          </w:r>
          <w:r>
            <w:rPr>
              <w:rFonts w:hint="eastAsia" w:ascii="仿宋" w:hAnsi="仿宋" w:eastAsia="仿宋"/>
              <w:sz w:val="28"/>
              <w:szCs w:val="28"/>
            </w:rPr>
            <w:t>10</w:t>
          </w:r>
          <w:r>
            <w:rPr>
              <w:sz w:val="28"/>
              <w:szCs w:val="28"/>
            </w:rPr>
            <w:fldChar w:fldCharType="end"/>
          </w:r>
          <w:r>
            <w:rPr>
              <w:sz w:val="28"/>
              <w:szCs w:val="28"/>
            </w:rPr>
            <w:fldChar w:fldCharType="end"/>
          </w:r>
        </w:p>
        <w:p>
          <w:pPr>
            <w:pStyle w:val="13"/>
            <w:ind w:left="420" w:leftChars="133"/>
            <w:rPr>
              <w:rFonts w:asciiTheme="minorHAnsi" w:hAnsiTheme="minorHAnsi" w:eastAsiaTheme="minorEastAsia" w:cstheme="minorBidi"/>
              <w:sz w:val="21"/>
              <w:szCs w:val="22"/>
            </w:rPr>
          </w:pPr>
          <w:r>
            <w:fldChar w:fldCharType="begin"/>
          </w:r>
          <w:r>
            <w:instrText xml:space="preserve"> HYPERLINK \l "_Toc112397090" </w:instrText>
          </w:r>
          <w:r>
            <w:fldChar w:fldCharType="separate"/>
          </w:r>
          <w:r>
            <w:rPr>
              <w:rStyle w:val="18"/>
              <w:rFonts w:hint="eastAsia" w:ascii="仿宋" w:hAnsi="仿宋" w:eastAsia="仿宋"/>
              <w:sz w:val="28"/>
              <w:szCs w:val="28"/>
            </w:rPr>
            <w:t>四、财政拨款收入支出决算总体情况说明</w:t>
          </w:r>
          <w:r>
            <w:tab/>
          </w:r>
          <w:r>
            <w:fldChar w:fldCharType="begin"/>
          </w:r>
          <w:r>
            <w:instrText xml:space="preserve"> PAGEREF _Toc112397090 \h </w:instrText>
          </w:r>
          <w:r>
            <w:fldChar w:fldCharType="separate"/>
          </w:r>
          <w:r>
            <w:rPr>
              <w:rFonts w:hint="eastAsia" w:ascii="仿宋" w:hAnsi="仿宋" w:eastAsia="仿宋"/>
              <w:sz w:val="28"/>
              <w:szCs w:val="28"/>
            </w:rPr>
            <w:t>10</w:t>
          </w:r>
          <w:r>
            <w:fldChar w:fldCharType="end"/>
          </w:r>
          <w:r>
            <w:fldChar w:fldCharType="end"/>
          </w:r>
        </w:p>
        <w:p>
          <w:pPr>
            <w:pStyle w:val="13"/>
            <w:ind w:left="420" w:leftChars="133"/>
            <w:rPr>
              <w:rFonts w:asciiTheme="minorHAnsi" w:hAnsiTheme="minorHAnsi" w:eastAsiaTheme="minorEastAsia" w:cstheme="minorBidi"/>
              <w:sz w:val="21"/>
              <w:szCs w:val="22"/>
            </w:rPr>
          </w:pPr>
          <w:r>
            <w:fldChar w:fldCharType="begin"/>
          </w:r>
          <w:r>
            <w:instrText xml:space="preserve"> HYPERLINK \l "_Toc112397091" </w:instrText>
          </w:r>
          <w:r>
            <w:fldChar w:fldCharType="separate"/>
          </w:r>
          <w:r>
            <w:rPr>
              <w:rStyle w:val="18"/>
              <w:rFonts w:hint="eastAsia" w:ascii="仿宋" w:hAnsi="仿宋" w:eastAsia="仿宋"/>
              <w:sz w:val="28"/>
              <w:szCs w:val="28"/>
            </w:rPr>
            <w:t>五、一般公共预算财政拨款支出决算情况</w:t>
          </w:r>
          <w:r>
            <w:rPr>
              <w:rStyle w:val="18"/>
              <w:rFonts w:hint="eastAsia" w:ascii="仿宋" w:hAnsi="仿宋" w:eastAsia="仿宋"/>
              <w:bCs/>
              <w:sz w:val="28"/>
              <w:szCs w:val="28"/>
            </w:rPr>
            <w:t>说明</w:t>
          </w:r>
          <w:r>
            <w:tab/>
          </w:r>
          <w:r>
            <w:fldChar w:fldCharType="begin"/>
          </w:r>
          <w:r>
            <w:instrText xml:space="preserve"> PAGEREF _Toc112397091 \h </w:instrText>
          </w:r>
          <w:r>
            <w:fldChar w:fldCharType="separate"/>
          </w:r>
          <w:r>
            <w:rPr>
              <w:rFonts w:hint="eastAsia" w:ascii="仿宋" w:hAnsi="仿宋" w:eastAsia="仿宋"/>
              <w:sz w:val="28"/>
              <w:szCs w:val="28"/>
            </w:rPr>
            <w:t>10</w:t>
          </w:r>
          <w:r>
            <w:fldChar w:fldCharType="end"/>
          </w:r>
          <w:r>
            <w:fldChar w:fldCharType="end"/>
          </w:r>
        </w:p>
        <w:p>
          <w:pPr>
            <w:pStyle w:val="13"/>
            <w:ind w:left="420" w:leftChars="133"/>
            <w:rPr>
              <w:rFonts w:ascii="仿宋" w:hAnsi="仿宋" w:eastAsia="仿宋" w:cstheme="minorBidi"/>
              <w:sz w:val="21"/>
              <w:szCs w:val="22"/>
            </w:rPr>
          </w:pPr>
          <w:r>
            <w:fldChar w:fldCharType="begin"/>
          </w:r>
          <w:r>
            <w:instrText xml:space="preserve"> HYPERLINK \l "_Toc112397095" </w:instrText>
          </w:r>
          <w:r>
            <w:fldChar w:fldCharType="separate"/>
          </w:r>
          <w:r>
            <w:rPr>
              <w:rStyle w:val="18"/>
              <w:rFonts w:hint="eastAsia" w:ascii="仿宋" w:hAnsi="仿宋" w:eastAsia="仿宋"/>
              <w:sz w:val="28"/>
              <w:szCs w:val="28"/>
            </w:rPr>
            <w:t>六</w:t>
          </w:r>
          <w:r>
            <w:rPr>
              <w:rStyle w:val="18"/>
              <w:rFonts w:hint="eastAsia" w:ascii="仿宋" w:hAnsi="仿宋" w:eastAsia="仿宋"/>
              <w:bCs/>
              <w:sz w:val="28"/>
              <w:szCs w:val="28"/>
            </w:rPr>
            <w:t>、一般公共预算财政拨款基本支出决算情况说明</w:t>
          </w:r>
          <w:r>
            <w:tab/>
          </w:r>
          <w:r>
            <w:rPr>
              <w:rFonts w:ascii="仿宋" w:hAnsi="仿宋" w:eastAsia="仿宋"/>
            </w:rPr>
            <w:fldChar w:fldCharType="begin"/>
          </w:r>
          <w:r>
            <w:rPr>
              <w:rFonts w:ascii="仿宋" w:hAnsi="仿宋" w:eastAsia="仿宋"/>
            </w:rPr>
            <w:instrText xml:space="preserve"> PAGEREF _Toc112397095 \h </w:instrText>
          </w:r>
          <w:r>
            <w:rPr>
              <w:rFonts w:ascii="仿宋" w:hAnsi="仿宋" w:eastAsia="仿宋"/>
            </w:rPr>
            <w:fldChar w:fldCharType="separate"/>
          </w:r>
          <w:r>
            <w:rPr>
              <w:rFonts w:hint="eastAsia" w:ascii="仿宋" w:hAnsi="仿宋" w:eastAsia="仿宋"/>
              <w:sz w:val="28"/>
              <w:szCs w:val="28"/>
            </w:rPr>
            <w:t>17</w:t>
          </w:r>
          <w:r>
            <w:rPr>
              <w:rFonts w:ascii="仿宋" w:hAnsi="仿宋" w:eastAsia="仿宋"/>
            </w:rPr>
            <w:fldChar w:fldCharType="end"/>
          </w:r>
          <w:r>
            <w:rPr>
              <w:rFonts w:ascii="仿宋" w:hAnsi="仿宋" w:eastAsia="仿宋"/>
            </w:rPr>
            <w:fldChar w:fldCharType="end"/>
          </w:r>
        </w:p>
        <w:p>
          <w:pPr>
            <w:pStyle w:val="13"/>
            <w:ind w:left="420" w:leftChars="133"/>
            <w:rPr>
              <w:rFonts w:ascii="仿宋" w:hAnsi="仿宋" w:eastAsia="仿宋" w:cstheme="minorBidi"/>
              <w:sz w:val="21"/>
              <w:szCs w:val="22"/>
            </w:rPr>
          </w:pPr>
          <w:r>
            <w:fldChar w:fldCharType="begin"/>
          </w:r>
          <w:r>
            <w:instrText xml:space="preserve"> HYPERLINK \l "_Toc112397096" </w:instrText>
          </w:r>
          <w:r>
            <w:fldChar w:fldCharType="separate"/>
          </w:r>
          <w:r>
            <w:rPr>
              <w:rStyle w:val="18"/>
              <w:rFonts w:hint="eastAsia" w:ascii="仿宋" w:hAnsi="仿宋" w:eastAsia="仿宋"/>
              <w:sz w:val="28"/>
              <w:szCs w:val="28"/>
            </w:rPr>
            <w:t>七、</w:t>
          </w:r>
          <w:r>
            <w:rPr>
              <w:rStyle w:val="18"/>
              <w:rFonts w:ascii="仿宋" w:hAnsi="仿宋" w:eastAsia="仿宋"/>
              <w:sz w:val="28"/>
              <w:szCs w:val="28"/>
            </w:rPr>
            <w:t>“</w:t>
          </w:r>
          <w:r>
            <w:rPr>
              <w:rStyle w:val="18"/>
              <w:rFonts w:hint="eastAsia" w:ascii="仿宋" w:hAnsi="仿宋" w:eastAsia="仿宋"/>
              <w:bCs/>
              <w:sz w:val="28"/>
              <w:szCs w:val="28"/>
            </w:rPr>
            <w:t>三公</w:t>
          </w:r>
          <w:r>
            <w:rPr>
              <w:rStyle w:val="18"/>
              <w:rFonts w:ascii="仿宋" w:hAnsi="仿宋" w:eastAsia="仿宋"/>
              <w:bCs/>
              <w:sz w:val="28"/>
              <w:szCs w:val="28"/>
            </w:rPr>
            <w:t>”</w:t>
          </w:r>
          <w:r>
            <w:rPr>
              <w:rStyle w:val="18"/>
              <w:rFonts w:hint="eastAsia" w:ascii="仿宋" w:hAnsi="仿宋" w:eastAsia="仿宋"/>
              <w:bCs/>
              <w:sz w:val="28"/>
              <w:szCs w:val="28"/>
            </w:rPr>
            <w:t>经费财政拨款支出决算情况说明</w:t>
          </w:r>
          <w:r>
            <w:tab/>
          </w:r>
          <w:r>
            <w:rPr>
              <w:rFonts w:ascii="仿宋" w:hAnsi="仿宋" w:eastAsia="仿宋"/>
            </w:rPr>
            <w:fldChar w:fldCharType="begin"/>
          </w:r>
          <w:r>
            <w:rPr>
              <w:rFonts w:ascii="仿宋" w:hAnsi="仿宋" w:eastAsia="仿宋"/>
            </w:rPr>
            <w:instrText xml:space="preserve"> PAGEREF _Toc112397096 \h </w:instrText>
          </w:r>
          <w:r>
            <w:rPr>
              <w:rFonts w:ascii="仿宋" w:hAnsi="仿宋" w:eastAsia="仿宋"/>
            </w:rPr>
            <w:fldChar w:fldCharType="separate"/>
          </w:r>
          <w:r>
            <w:rPr>
              <w:rFonts w:hint="eastAsia" w:ascii="仿宋" w:hAnsi="仿宋" w:eastAsia="仿宋"/>
              <w:sz w:val="28"/>
              <w:szCs w:val="28"/>
            </w:rPr>
            <w:t>17</w:t>
          </w:r>
          <w:r>
            <w:rPr>
              <w:rFonts w:ascii="仿宋" w:hAnsi="仿宋" w:eastAsia="仿宋"/>
            </w:rPr>
            <w:fldChar w:fldCharType="end"/>
          </w:r>
          <w:r>
            <w:rPr>
              <w:rFonts w:ascii="仿宋" w:hAnsi="仿宋" w:eastAsia="仿宋"/>
            </w:rPr>
            <w:fldChar w:fldCharType="end"/>
          </w:r>
        </w:p>
        <w:p>
          <w:pPr>
            <w:pStyle w:val="13"/>
            <w:ind w:left="420" w:leftChars="133"/>
            <w:rPr>
              <w:rFonts w:ascii="仿宋" w:hAnsi="仿宋" w:eastAsia="仿宋" w:cstheme="minorBidi"/>
              <w:sz w:val="21"/>
              <w:szCs w:val="22"/>
            </w:rPr>
          </w:pPr>
          <w:r>
            <w:fldChar w:fldCharType="begin"/>
          </w:r>
          <w:r>
            <w:instrText xml:space="preserve"> HYPERLINK \l "_Toc112397099" </w:instrText>
          </w:r>
          <w:r>
            <w:fldChar w:fldCharType="separate"/>
          </w:r>
          <w:r>
            <w:rPr>
              <w:rStyle w:val="18"/>
              <w:rFonts w:hint="eastAsia" w:ascii="仿宋" w:hAnsi="仿宋" w:eastAsia="仿宋"/>
              <w:sz w:val="28"/>
              <w:szCs w:val="28"/>
            </w:rPr>
            <w:t>八、</w:t>
          </w:r>
          <w:r>
            <w:rPr>
              <w:rStyle w:val="18"/>
              <w:rFonts w:hint="eastAsia" w:ascii="仿宋" w:hAnsi="仿宋" w:eastAsia="仿宋"/>
              <w:bCs/>
              <w:sz w:val="28"/>
              <w:szCs w:val="28"/>
            </w:rPr>
            <w:t>政府性基金预算支出决算情况说明</w:t>
          </w:r>
          <w:r>
            <w:tab/>
          </w:r>
          <w:r>
            <w:rPr>
              <w:rFonts w:ascii="仿宋" w:hAnsi="仿宋" w:eastAsia="仿宋"/>
            </w:rPr>
            <w:fldChar w:fldCharType="begin"/>
          </w:r>
          <w:r>
            <w:rPr>
              <w:rFonts w:ascii="仿宋" w:hAnsi="仿宋" w:eastAsia="仿宋"/>
            </w:rPr>
            <w:instrText xml:space="preserve"> PAGEREF _Toc112397099 \h </w:instrText>
          </w:r>
          <w:r>
            <w:rPr>
              <w:rFonts w:ascii="仿宋" w:hAnsi="仿宋" w:eastAsia="仿宋"/>
            </w:rPr>
            <w:fldChar w:fldCharType="separate"/>
          </w:r>
          <w:r>
            <w:rPr>
              <w:rFonts w:hint="eastAsia" w:ascii="仿宋" w:hAnsi="仿宋" w:eastAsia="仿宋"/>
              <w:sz w:val="28"/>
              <w:szCs w:val="28"/>
            </w:rPr>
            <w:t>20</w:t>
          </w:r>
          <w:r>
            <w:rPr>
              <w:rFonts w:ascii="仿宋" w:hAnsi="仿宋" w:eastAsia="仿宋"/>
            </w:rPr>
            <w:fldChar w:fldCharType="end"/>
          </w:r>
          <w:r>
            <w:rPr>
              <w:rFonts w:ascii="仿宋" w:hAnsi="仿宋" w:eastAsia="仿宋"/>
            </w:rPr>
            <w:fldChar w:fldCharType="end"/>
          </w:r>
        </w:p>
        <w:p>
          <w:pPr>
            <w:pStyle w:val="13"/>
            <w:ind w:left="420" w:leftChars="133"/>
            <w:rPr>
              <w:rFonts w:ascii="仿宋" w:hAnsi="仿宋" w:eastAsia="仿宋" w:cstheme="minorBidi"/>
              <w:sz w:val="21"/>
              <w:szCs w:val="22"/>
            </w:rPr>
          </w:pPr>
          <w:r>
            <w:fldChar w:fldCharType="begin"/>
          </w:r>
          <w:r>
            <w:instrText xml:space="preserve"> HYPERLINK \l "_Toc112397100" </w:instrText>
          </w:r>
          <w:r>
            <w:fldChar w:fldCharType="separate"/>
          </w:r>
          <w:r>
            <w:rPr>
              <w:rStyle w:val="18"/>
              <w:rFonts w:hint="eastAsia" w:ascii="仿宋" w:hAnsi="仿宋" w:eastAsia="仿宋"/>
              <w:bCs/>
              <w:sz w:val="28"/>
              <w:szCs w:val="28"/>
            </w:rPr>
            <w:t>九、国有资本经营预算支出决算情况说明</w:t>
          </w:r>
          <w:r>
            <w:tab/>
          </w:r>
          <w:r>
            <w:rPr>
              <w:rFonts w:ascii="仿宋" w:hAnsi="仿宋" w:eastAsia="仿宋"/>
            </w:rPr>
            <w:fldChar w:fldCharType="begin"/>
          </w:r>
          <w:r>
            <w:rPr>
              <w:rFonts w:ascii="仿宋" w:hAnsi="仿宋" w:eastAsia="仿宋"/>
            </w:rPr>
            <w:instrText xml:space="preserve"> PAGEREF _Toc112397100 \h </w:instrText>
          </w:r>
          <w:r>
            <w:rPr>
              <w:rFonts w:ascii="仿宋" w:hAnsi="仿宋" w:eastAsia="仿宋"/>
            </w:rPr>
            <w:fldChar w:fldCharType="separate"/>
          </w:r>
          <w:r>
            <w:rPr>
              <w:rFonts w:hint="eastAsia" w:ascii="仿宋" w:hAnsi="仿宋" w:eastAsia="仿宋"/>
              <w:sz w:val="28"/>
              <w:szCs w:val="28"/>
            </w:rPr>
            <w:t>20</w:t>
          </w:r>
          <w:r>
            <w:rPr>
              <w:rFonts w:ascii="仿宋" w:hAnsi="仿宋" w:eastAsia="仿宋"/>
            </w:rPr>
            <w:fldChar w:fldCharType="end"/>
          </w:r>
          <w:r>
            <w:rPr>
              <w:rFonts w:ascii="仿宋" w:hAnsi="仿宋" w:eastAsia="仿宋"/>
            </w:rPr>
            <w:fldChar w:fldCharType="end"/>
          </w:r>
        </w:p>
        <w:p>
          <w:pPr>
            <w:pStyle w:val="13"/>
            <w:ind w:left="420" w:leftChars="133"/>
            <w:rPr>
              <w:rFonts w:ascii="仿宋" w:hAnsi="仿宋" w:eastAsia="仿宋" w:cstheme="minorBidi"/>
              <w:sz w:val="28"/>
              <w:szCs w:val="28"/>
            </w:rPr>
          </w:pPr>
          <w:r>
            <w:fldChar w:fldCharType="begin"/>
          </w:r>
          <w:r>
            <w:instrText xml:space="preserve"> HYPERLINK \l "_Toc112397101" </w:instrText>
          </w:r>
          <w:r>
            <w:fldChar w:fldCharType="separate"/>
          </w:r>
          <w:r>
            <w:rPr>
              <w:rStyle w:val="18"/>
              <w:rFonts w:hint="eastAsia" w:ascii="仿宋" w:hAnsi="仿宋" w:eastAsia="仿宋"/>
              <w:bCs/>
              <w:sz w:val="28"/>
              <w:szCs w:val="28"/>
            </w:rPr>
            <w:t>十、其他重要事项的情况说明</w:t>
          </w:r>
          <w:r>
            <w:tab/>
          </w:r>
          <w:r>
            <w:rPr>
              <w:rFonts w:ascii="仿宋" w:hAnsi="仿宋" w:eastAsia="仿宋"/>
              <w:sz w:val="28"/>
              <w:szCs w:val="28"/>
            </w:rPr>
            <w:fldChar w:fldCharType="begin"/>
          </w:r>
          <w:r>
            <w:rPr>
              <w:rFonts w:ascii="仿宋" w:hAnsi="仿宋" w:eastAsia="仿宋"/>
              <w:sz w:val="28"/>
              <w:szCs w:val="28"/>
            </w:rPr>
            <w:instrText xml:space="preserve"> PAGEREF _Toc112397101 \h </w:instrText>
          </w:r>
          <w:r>
            <w:rPr>
              <w:rFonts w:ascii="仿宋" w:hAnsi="仿宋" w:eastAsia="仿宋"/>
              <w:sz w:val="28"/>
              <w:szCs w:val="28"/>
            </w:rPr>
            <w:fldChar w:fldCharType="separate"/>
          </w:r>
          <w:r>
            <w:rPr>
              <w:rFonts w:hint="eastAsia" w:ascii="仿宋" w:hAnsi="仿宋" w:eastAsia="仿宋"/>
              <w:sz w:val="28"/>
              <w:szCs w:val="28"/>
            </w:rPr>
            <w:t>20</w:t>
          </w:r>
          <w:r>
            <w:rPr>
              <w:rFonts w:ascii="仿宋" w:hAnsi="仿宋" w:eastAsia="仿宋"/>
              <w:sz w:val="28"/>
              <w:szCs w:val="28"/>
            </w:rPr>
            <w:fldChar w:fldCharType="end"/>
          </w:r>
          <w:r>
            <w:rPr>
              <w:rFonts w:ascii="仿宋" w:hAnsi="仿宋" w:eastAsia="仿宋"/>
              <w:sz w:val="28"/>
              <w:szCs w:val="28"/>
            </w:rPr>
            <w:fldChar w:fldCharType="end"/>
          </w:r>
        </w:p>
        <w:p>
          <w:pPr>
            <w:pStyle w:val="13"/>
            <w:ind w:left="0" w:leftChars="0"/>
            <w:rPr>
              <w:rStyle w:val="18"/>
            </w:rPr>
          </w:pPr>
          <w:r>
            <w:fldChar w:fldCharType="begin"/>
          </w:r>
          <w:r>
            <w:instrText xml:space="preserve"> HYPERLINK \l "_Toc112397106" </w:instrText>
          </w:r>
          <w:r>
            <w:fldChar w:fldCharType="separate"/>
          </w:r>
          <w:r>
            <w:rPr>
              <w:rStyle w:val="18"/>
              <w:rFonts w:hint="eastAsia" w:ascii="仿宋" w:hAnsi="仿宋" w:eastAsia="仿宋" w:cs="方正小标宋简体"/>
              <w:sz w:val="28"/>
              <w:szCs w:val="28"/>
            </w:rPr>
            <w:t>第三部分名</w:t>
          </w:r>
          <w:r>
            <w:rPr>
              <w:rStyle w:val="18"/>
              <w:rFonts w:hint="eastAsia" w:ascii="仿宋" w:hAnsi="仿宋" w:eastAsia="仿宋" w:cs="方正小标宋简体"/>
              <w:bCs/>
              <w:kern w:val="44"/>
              <w:sz w:val="28"/>
              <w:szCs w:val="28"/>
            </w:rPr>
            <w:t>词解释</w:t>
          </w:r>
          <w:r>
            <w:tab/>
          </w:r>
          <w:r>
            <w:fldChar w:fldCharType="begin"/>
          </w:r>
          <w:r>
            <w:instrText xml:space="preserve"> PAGEREF _Toc112397106 \h </w:instrText>
          </w:r>
          <w:r>
            <w:fldChar w:fldCharType="separate"/>
          </w:r>
          <w:r>
            <w:rPr>
              <w:rFonts w:hint="eastAsia" w:ascii="仿宋" w:hAnsi="仿宋" w:eastAsia="仿宋"/>
              <w:sz w:val="28"/>
              <w:szCs w:val="28"/>
            </w:rPr>
            <w:t>22</w:t>
          </w:r>
          <w:r>
            <w:fldChar w:fldCharType="end"/>
          </w:r>
          <w:r>
            <w:fldChar w:fldCharType="end"/>
          </w:r>
        </w:p>
        <w:p>
          <w:pPr>
            <w:pStyle w:val="13"/>
            <w:ind w:left="0" w:leftChars="0"/>
            <w:rPr>
              <w:rStyle w:val="18"/>
            </w:rPr>
          </w:pPr>
          <w:r>
            <w:fldChar w:fldCharType="begin"/>
          </w:r>
          <w:r>
            <w:instrText xml:space="preserve"> HYPERLINK \l "_Toc112397107" </w:instrText>
          </w:r>
          <w:r>
            <w:fldChar w:fldCharType="separate"/>
          </w:r>
          <w:r>
            <w:rPr>
              <w:rStyle w:val="18"/>
              <w:rFonts w:hint="eastAsia" w:ascii="仿宋" w:hAnsi="仿宋" w:eastAsia="仿宋"/>
              <w:sz w:val="28"/>
              <w:szCs w:val="28"/>
            </w:rPr>
            <w:t>第</w:t>
          </w:r>
          <w:r>
            <w:rPr>
              <w:rStyle w:val="18"/>
              <w:rFonts w:hint="eastAsia" w:ascii="仿宋" w:hAnsi="仿宋" w:eastAsia="仿宋"/>
              <w:bCs/>
              <w:kern w:val="44"/>
              <w:sz w:val="28"/>
              <w:szCs w:val="28"/>
            </w:rPr>
            <w:t>四部分附件</w:t>
          </w:r>
          <w:r>
            <w:tab/>
          </w:r>
          <w:r>
            <w:fldChar w:fldCharType="begin"/>
          </w:r>
          <w:r>
            <w:instrText xml:space="preserve"> PAGEREF _Toc112397107 \h </w:instrText>
          </w:r>
          <w:r>
            <w:fldChar w:fldCharType="separate"/>
          </w:r>
          <w:r>
            <w:rPr>
              <w:rFonts w:ascii="仿宋" w:hAnsi="仿宋" w:eastAsia="仿宋"/>
              <w:sz w:val="28"/>
              <w:szCs w:val="28"/>
            </w:rPr>
            <w:t>2</w:t>
          </w:r>
          <w:r>
            <w:rPr>
              <w:rFonts w:hint="eastAsia" w:ascii="仿宋" w:hAnsi="仿宋" w:eastAsia="仿宋"/>
              <w:sz w:val="28"/>
              <w:szCs w:val="28"/>
            </w:rPr>
            <w:t>7</w:t>
          </w:r>
          <w:r>
            <w:fldChar w:fldCharType="end"/>
          </w:r>
          <w:r>
            <w:fldChar w:fldCharType="end"/>
          </w:r>
        </w:p>
        <w:p>
          <w:pPr>
            <w:pStyle w:val="13"/>
            <w:ind w:left="0" w:leftChars="0" w:firstLine="316" w:firstLineChars="100"/>
            <w:rPr>
              <w:rStyle w:val="18"/>
            </w:rPr>
          </w:pPr>
          <w:r>
            <w:fldChar w:fldCharType="begin"/>
          </w:r>
          <w:r>
            <w:instrText xml:space="preserve"> HYPERLINK \l "_Toc112397108" </w:instrText>
          </w:r>
          <w:r>
            <w:fldChar w:fldCharType="separate"/>
          </w:r>
          <w:r>
            <w:rPr>
              <w:rStyle w:val="18"/>
              <w:rFonts w:hint="eastAsia" w:ascii="仿宋" w:hAnsi="仿宋" w:eastAsia="仿宋"/>
              <w:sz w:val="28"/>
              <w:szCs w:val="28"/>
            </w:rPr>
            <w:t>附件</w:t>
          </w:r>
          <w:r>
            <w:rPr>
              <w:rStyle w:val="18"/>
              <w:rFonts w:ascii="仿宋" w:hAnsi="仿宋" w:eastAsia="仿宋"/>
              <w:sz w:val="28"/>
              <w:szCs w:val="28"/>
            </w:rPr>
            <w:t>1</w:t>
          </w:r>
          <w:r>
            <w:tab/>
          </w:r>
          <w:r>
            <w:fldChar w:fldCharType="begin"/>
          </w:r>
          <w:r>
            <w:instrText xml:space="preserve"> PAGEREF _Toc112397108 \h </w:instrText>
          </w:r>
          <w:r>
            <w:fldChar w:fldCharType="separate"/>
          </w:r>
          <w:r>
            <w:rPr>
              <w:rFonts w:ascii="仿宋" w:hAnsi="仿宋" w:eastAsia="仿宋"/>
              <w:sz w:val="28"/>
              <w:szCs w:val="28"/>
            </w:rPr>
            <w:t>2</w:t>
          </w:r>
          <w:r>
            <w:rPr>
              <w:rFonts w:hint="eastAsia" w:ascii="仿宋" w:hAnsi="仿宋" w:eastAsia="仿宋"/>
              <w:sz w:val="28"/>
              <w:szCs w:val="28"/>
            </w:rPr>
            <w:t>7</w:t>
          </w:r>
          <w:r>
            <w:fldChar w:fldCharType="end"/>
          </w:r>
          <w:r>
            <w:fldChar w:fldCharType="end"/>
          </w:r>
        </w:p>
        <w:p>
          <w:pPr>
            <w:pStyle w:val="13"/>
            <w:ind w:left="0" w:leftChars="0" w:firstLine="316" w:firstLineChars="100"/>
            <w:rPr>
              <w:rFonts w:ascii="仿宋" w:hAnsi="仿宋" w:eastAsia="仿宋" w:cstheme="minorBidi"/>
              <w:sz w:val="28"/>
              <w:szCs w:val="28"/>
            </w:rPr>
          </w:pPr>
          <w:r>
            <w:fldChar w:fldCharType="begin"/>
          </w:r>
          <w:r>
            <w:instrText xml:space="preserve"> HYPERLINK \l "_Toc112397109" </w:instrText>
          </w:r>
          <w:r>
            <w:fldChar w:fldCharType="separate"/>
          </w:r>
          <w:r>
            <w:rPr>
              <w:rStyle w:val="18"/>
              <w:rFonts w:hint="eastAsia" w:ascii="仿宋" w:hAnsi="仿宋" w:eastAsia="仿宋"/>
              <w:sz w:val="28"/>
              <w:szCs w:val="28"/>
            </w:rPr>
            <w:t>附件</w:t>
          </w:r>
          <w:r>
            <w:rPr>
              <w:rStyle w:val="18"/>
              <w:rFonts w:ascii="仿宋" w:hAnsi="仿宋" w:eastAsia="仿宋"/>
              <w:sz w:val="28"/>
              <w:szCs w:val="28"/>
            </w:rPr>
            <w:t>2</w:t>
          </w:r>
          <w:r>
            <w:tab/>
          </w:r>
          <w:r>
            <w:fldChar w:fldCharType="begin"/>
          </w:r>
          <w:r>
            <w:instrText xml:space="preserve"> PAGEREF _Toc112397109 \h </w:instrText>
          </w:r>
          <w:r>
            <w:fldChar w:fldCharType="separate"/>
          </w:r>
          <w:r>
            <w:rPr>
              <w:rFonts w:ascii="仿宋" w:hAnsi="仿宋" w:eastAsia="仿宋"/>
              <w:sz w:val="28"/>
              <w:szCs w:val="28"/>
            </w:rPr>
            <w:t>3</w:t>
          </w:r>
          <w:r>
            <w:rPr>
              <w:rFonts w:hint="eastAsia" w:ascii="仿宋" w:hAnsi="仿宋" w:eastAsia="仿宋"/>
              <w:sz w:val="28"/>
              <w:szCs w:val="28"/>
            </w:rPr>
            <w:t>9</w:t>
          </w:r>
          <w:r>
            <w:fldChar w:fldCharType="end"/>
          </w:r>
          <w:r>
            <w:fldChar w:fldCharType="end"/>
          </w:r>
        </w:p>
        <w:p>
          <w:pPr>
            <w:pStyle w:val="12"/>
            <w:ind w:firstLine="276" w:firstLineChars="100"/>
            <w:jc w:val="both"/>
            <w:rPr>
              <w:rFonts w:asciiTheme="minorHAnsi" w:hAnsiTheme="minorHAnsi" w:eastAsiaTheme="minorEastAsia" w:cstheme="minorBidi"/>
              <w:sz w:val="21"/>
              <w:szCs w:val="22"/>
            </w:rPr>
          </w:pPr>
          <w:r>
            <w:fldChar w:fldCharType="begin"/>
          </w:r>
          <w:r>
            <w:instrText xml:space="preserve"> HYPERLINK \l "_Toc112397110" </w:instrText>
          </w:r>
          <w:r>
            <w:fldChar w:fldCharType="separate"/>
          </w:r>
          <w:r>
            <w:rPr>
              <w:rStyle w:val="18"/>
              <w:rFonts w:hint="eastAsia" w:cs="黑体"/>
            </w:rPr>
            <w:t>附件</w:t>
          </w:r>
          <w:r>
            <w:rPr>
              <w:rStyle w:val="18"/>
              <w:rFonts w:cs="黑体"/>
            </w:rPr>
            <w:t>3</w:t>
          </w:r>
          <w:r>
            <w:rPr>
              <w:rFonts w:ascii="Times New Roman" w:hAnsi="Times New Roman" w:eastAsia="仿宋_GB2312"/>
              <w:sz w:val="32"/>
              <w:szCs w:val="24"/>
            </w:rPr>
            <w:tab/>
          </w:r>
          <w:r>
            <w:fldChar w:fldCharType="begin"/>
          </w:r>
          <w:r>
            <w:instrText xml:space="preserve"> PAGEREF _Toc112397110 \h </w:instrText>
          </w:r>
          <w:r>
            <w:fldChar w:fldCharType="separate"/>
          </w:r>
          <w:r>
            <w:t>4</w:t>
          </w:r>
          <w:r>
            <w:rPr>
              <w:rFonts w:hint="eastAsia"/>
            </w:rPr>
            <w:t>3</w:t>
          </w:r>
          <w:r>
            <w:fldChar w:fldCharType="end"/>
          </w:r>
          <w:r>
            <w:fldChar w:fldCharType="end"/>
          </w:r>
        </w:p>
        <w:p>
          <w:pPr>
            <w:pStyle w:val="12"/>
            <w:ind w:firstLine="276" w:firstLineChars="100"/>
            <w:jc w:val="both"/>
            <w:rPr>
              <w:rFonts w:asciiTheme="minorHAnsi" w:hAnsiTheme="minorHAnsi" w:eastAsiaTheme="minorEastAsia" w:cstheme="minorBidi"/>
              <w:sz w:val="21"/>
              <w:szCs w:val="22"/>
            </w:rPr>
          </w:pPr>
          <w:r>
            <w:fldChar w:fldCharType="begin"/>
          </w:r>
          <w:r>
            <w:instrText xml:space="preserve"> HYPERLINK \l "_Toc112397111" </w:instrText>
          </w:r>
          <w:r>
            <w:fldChar w:fldCharType="separate"/>
          </w:r>
          <w:r>
            <w:rPr>
              <w:rStyle w:val="18"/>
              <w:rFonts w:hint="eastAsia" w:cs="黑体"/>
            </w:rPr>
            <w:t>附</w:t>
          </w:r>
          <w:r>
            <w:rPr>
              <w:rFonts w:hint="eastAsia"/>
            </w:rPr>
            <w:t>件</w:t>
          </w:r>
          <w:r>
            <w:t>4</w:t>
          </w:r>
          <w:r>
            <w:rPr>
              <w:rFonts w:ascii="Times New Roman" w:hAnsi="Times New Roman" w:eastAsia="仿宋_GB2312"/>
              <w:sz w:val="32"/>
              <w:szCs w:val="24"/>
            </w:rPr>
            <w:tab/>
          </w:r>
          <w:r>
            <w:fldChar w:fldCharType="begin"/>
          </w:r>
          <w:r>
            <w:instrText xml:space="preserve"> PAGEREF _Toc112397111 \h </w:instrText>
          </w:r>
          <w:r>
            <w:fldChar w:fldCharType="separate"/>
          </w:r>
          <w:r>
            <w:rPr>
              <w:rFonts w:hint="eastAsia"/>
            </w:rPr>
            <w:t>53</w:t>
          </w:r>
          <w:r>
            <w:fldChar w:fldCharType="end"/>
          </w:r>
          <w:r>
            <w:fldChar w:fldCharType="end"/>
          </w:r>
        </w:p>
        <w:p>
          <w:pPr>
            <w:pStyle w:val="12"/>
            <w:jc w:val="both"/>
            <w:rPr>
              <w:rFonts w:asciiTheme="minorHAnsi" w:hAnsiTheme="minorHAnsi" w:eastAsiaTheme="minorEastAsia" w:cstheme="minorBidi"/>
              <w:sz w:val="21"/>
              <w:szCs w:val="22"/>
            </w:rPr>
          </w:pPr>
          <w:r>
            <w:fldChar w:fldCharType="begin"/>
          </w:r>
          <w:r>
            <w:instrText xml:space="preserve"> HYPERLINK \l "_Toc112397112" </w:instrText>
          </w:r>
          <w:r>
            <w:fldChar w:fldCharType="separate"/>
          </w:r>
          <w:r>
            <w:rPr>
              <w:rFonts w:hint="eastAsia"/>
            </w:rPr>
            <w:t>第五部分附表</w:t>
          </w:r>
          <w:r>
            <w:rPr>
              <w:rFonts w:ascii="Times New Roman" w:hAnsi="Times New Roman" w:eastAsia="仿宋_GB2312"/>
              <w:sz w:val="32"/>
              <w:szCs w:val="24"/>
            </w:rPr>
            <w:tab/>
          </w:r>
          <w:r>
            <w:fldChar w:fldCharType="begin"/>
          </w:r>
          <w:r>
            <w:instrText xml:space="preserve"> PAGEREF _Toc112397112 \h </w:instrText>
          </w:r>
          <w:r>
            <w:fldChar w:fldCharType="separate"/>
          </w:r>
          <w:r>
            <w:rPr>
              <w:rFonts w:hint="eastAsia"/>
            </w:rPr>
            <w:t>72</w:t>
          </w:r>
          <w:r>
            <w:fldChar w:fldCharType="end"/>
          </w:r>
          <w:r>
            <w:fldChar w:fldCharType="end"/>
          </w:r>
        </w:p>
        <w:p>
          <w:pPr>
            <w:pStyle w:val="13"/>
            <w:ind w:leftChars="0"/>
            <w:rPr>
              <w:rFonts w:ascii="仿宋" w:hAnsi="仿宋" w:eastAsia="仿宋"/>
              <w:sz w:val="28"/>
              <w:szCs w:val="28"/>
            </w:rPr>
          </w:pPr>
          <w:r>
            <w:rPr>
              <w:b/>
              <w:bCs/>
              <w:lang w:val="zh-CN"/>
            </w:rPr>
            <w:fldChar w:fldCharType="end"/>
          </w:r>
          <w:r>
            <w:rPr>
              <w:rFonts w:ascii="仿宋" w:hAnsi="仿宋" w:eastAsia="仿宋"/>
              <w:sz w:val="28"/>
              <w:szCs w:val="28"/>
            </w:rPr>
            <w:t>一、收入支出决算总表</w:t>
          </w:r>
          <w:r>
            <w:tab/>
          </w:r>
          <w:r>
            <w:rPr>
              <w:rFonts w:hint="eastAsia" w:ascii="仿宋" w:hAnsi="仿宋" w:eastAsia="仿宋"/>
              <w:sz w:val="28"/>
              <w:szCs w:val="28"/>
            </w:rPr>
            <w:t>Z01</w:t>
          </w:r>
        </w:p>
        <w:p>
          <w:pPr>
            <w:pStyle w:val="13"/>
            <w:ind w:leftChars="0"/>
            <w:rPr>
              <w:rFonts w:ascii="仿宋" w:hAnsi="仿宋" w:eastAsia="仿宋"/>
              <w:sz w:val="28"/>
              <w:szCs w:val="28"/>
            </w:rPr>
          </w:pPr>
          <w:r>
            <w:rPr>
              <w:rFonts w:ascii="仿宋" w:hAnsi="仿宋" w:eastAsia="仿宋"/>
              <w:sz w:val="28"/>
              <w:szCs w:val="28"/>
            </w:rPr>
            <w:t>二、收入决算表</w:t>
          </w:r>
          <w:r>
            <w:tab/>
          </w:r>
          <w:r>
            <w:rPr>
              <w:rFonts w:hint="eastAsia" w:ascii="仿宋" w:hAnsi="仿宋" w:eastAsia="仿宋"/>
              <w:sz w:val="28"/>
              <w:szCs w:val="28"/>
            </w:rPr>
            <w:t>Z02</w:t>
          </w:r>
        </w:p>
        <w:p>
          <w:pPr>
            <w:pStyle w:val="13"/>
            <w:ind w:leftChars="0"/>
            <w:rPr>
              <w:rFonts w:ascii="仿宋" w:hAnsi="仿宋" w:eastAsia="仿宋"/>
              <w:sz w:val="28"/>
              <w:szCs w:val="28"/>
            </w:rPr>
          </w:pPr>
          <w:r>
            <w:rPr>
              <w:rFonts w:ascii="仿宋" w:hAnsi="仿宋" w:eastAsia="仿宋"/>
              <w:sz w:val="28"/>
              <w:szCs w:val="28"/>
            </w:rPr>
            <w:t>三、支出决算表</w:t>
          </w:r>
          <w:r>
            <w:tab/>
          </w:r>
          <w:r>
            <w:rPr>
              <w:rFonts w:hint="eastAsia" w:ascii="仿宋" w:hAnsi="仿宋" w:eastAsia="仿宋"/>
              <w:sz w:val="28"/>
              <w:szCs w:val="28"/>
            </w:rPr>
            <w:t>Z03</w:t>
          </w:r>
        </w:p>
        <w:p>
          <w:pPr>
            <w:pStyle w:val="13"/>
            <w:ind w:leftChars="0"/>
            <w:rPr>
              <w:rFonts w:ascii="仿宋" w:hAnsi="仿宋" w:eastAsia="仿宋"/>
              <w:sz w:val="28"/>
              <w:szCs w:val="28"/>
            </w:rPr>
          </w:pPr>
          <w:r>
            <w:rPr>
              <w:rFonts w:ascii="仿宋" w:hAnsi="仿宋" w:eastAsia="仿宋"/>
              <w:sz w:val="28"/>
              <w:szCs w:val="28"/>
            </w:rPr>
            <w:t>四、财政拨款收入支出决算总表</w:t>
          </w:r>
          <w:r>
            <w:tab/>
          </w:r>
          <w:r>
            <w:rPr>
              <w:rFonts w:hint="eastAsia" w:ascii="仿宋" w:hAnsi="仿宋" w:eastAsia="仿宋"/>
              <w:sz w:val="28"/>
              <w:szCs w:val="28"/>
            </w:rPr>
            <w:t>Z04</w:t>
          </w:r>
        </w:p>
        <w:p>
          <w:pPr>
            <w:pStyle w:val="13"/>
            <w:tabs>
              <w:tab w:val="left" w:pos="5355"/>
            </w:tabs>
            <w:ind w:leftChars="0"/>
            <w:rPr>
              <w:rFonts w:ascii="仿宋" w:hAnsi="仿宋" w:eastAsia="仿宋"/>
              <w:sz w:val="28"/>
              <w:szCs w:val="28"/>
            </w:rPr>
          </w:pPr>
          <w:r>
            <w:rPr>
              <w:rFonts w:ascii="仿宋" w:hAnsi="仿宋" w:eastAsia="仿宋"/>
              <w:sz w:val="28"/>
              <w:szCs w:val="28"/>
            </w:rPr>
            <w:t>五、财政拨款支出决算明细表</w:t>
          </w:r>
          <w:r>
            <w:tab/>
          </w:r>
          <w:r>
            <w:tab/>
          </w:r>
          <w:r>
            <w:rPr>
              <w:rFonts w:hint="eastAsia" w:ascii="仿宋" w:hAnsi="仿宋" w:eastAsia="仿宋"/>
              <w:sz w:val="28"/>
              <w:szCs w:val="28"/>
            </w:rPr>
            <w:t>Z05</w:t>
          </w:r>
        </w:p>
        <w:p>
          <w:pPr>
            <w:pStyle w:val="13"/>
            <w:ind w:leftChars="0"/>
            <w:rPr>
              <w:rFonts w:ascii="仿宋" w:hAnsi="仿宋" w:eastAsia="仿宋"/>
              <w:sz w:val="28"/>
              <w:szCs w:val="28"/>
            </w:rPr>
          </w:pPr>
          <w:r>
            <w:rPr>
              <w:rFonts w:ascii="仿宋" w:hAnsi="仿宋" w:eastAsia="仿宋"/>
              <w:sz w:val="28"/>
              <w:szCs w:val="28"/>
            </w:rPr>
            <w:t>六、一般公共预算财政拨款支出决算表</w:t>
          </w:r>
          <w:r>
            <w:tab/>
          </w:r>
          <w:r>
            <w:rPr>
              <w:rFonts w:hint="eastAsia" w:ascii="仿宋" w:hAnsi="仿宋" w:eastAsia="仿宋"/>
              <w:sz w:val="28"/>
              <w:szCs w:val="28"/>
            </w:rPr>
            <w:t>Z06</w:t>
          </w:r>
        </w:p>
        <w:p>
          <w:pPr>
            <w:pStyle w:val="13"/>
            <w:ind w:leftChars="0"/>
            <w:rPr>
              <w:rFonts w:ascii="仿宋" w:hAnsi="仿宋" w:eastAsia="仿宋"/>
              <w:sz w:val="28"/>
              <w:szCs w:val="28"/>
            </w:rPr>
          </w:pPr>
          <w:r>
            <w:rPr>
              <w:rFonts w:ascii="仿宋" w:hAnsi="仿宋" w:eastAsia="仿宋"/>
              <w:sz w:val="28"/>
              <w:szCs w:val="28"/>
            </w:rPr>
            <w:t>七、一般公共预算财政拨款支出决算明细表</w:t>
          </w:r>
          <w:r>
            <w:tab/>
          </w:r>
          <w:r>
            <w:rPr>
              <w:rFonts w:hint="eastAsia" w:ascii="仿宋" w:hAnsi="仿宋" w:eastAsia="仿宋"/>
              <w:sz w:val="28"/>
              <w:szCs w:val="28"/>
            </w:rPr>
            <w:t>Z07</w:t>
          </w:r>
        </w:p>
        <w:p>
          <w:pPr>
            <w:pStyle w:val="13"/>
            <w:ind w:leftChars="0"/>
            <w:rPr>
              <w:rFonts w:ascii="仿宋" w:hAnsi="仿宋" w:eastAsia="仿宋"/>
              <w:sz w:val="28"/>
              <w:szCs w:val="28"/>
            </w:rPr>
          </w:pPr>
          <w:r>
            <w:rPr>
              <w:rFonts w:ascii="仿宋" w:hAnsi="仿宋" w:eastAsia="仿宋"/>
              <w:sz w:val="28"/>
              <w:szCs w:val="28"/>
            </w:rPr>
            <w:t>八、一般公共预算财政拨款基本支出决算表</w:t>
          </w:r>
          <w:r>
            <w:tab/>
          </w:r>
          <w:r>
            <w:rPr>
              <w:rFonts w:hint="eastAsia" w:ascii="仿宋" w:hAnsi="仿宋" w:eastAsia="仿宋"/>
              <w:sz w:val="28"/>
              <w:szCs w:val="28"/>
            </w:rPr>
            <w:t>Z08</w:t>
          </w:r>
        </w:p>
        <w:p>
          <w:pPr>
            <w:pStyle w:val="13"/>
            <w:ind w:leftChars="0"/>
            <w:rPr>
              <w:rFonts w:ascii="仿宋" w:hAnsi="仿宋" w:eastAsia="仿宋"/>
              <w:sz w:val="28"/>
              <w:szCs w:val="28"/>
            </w:rPr>
          </w:pPr>
          <w:r>
            <w:rPr>
              <w:rFonts w:ascii="仿宋" w:hAnsi="仿宋" w:eastAsia="仿宋"/>
              <w:sz w:val="28"/>
              <w:szCs w:val="28"/>
            </w:rPr>
            <w:t>九、一般公共预算财政拨款项目支出决算表</w:t>
          </w:r>
          <w:r>
            <w:tab/>
          </w:r>
          <w:r>
            <w:rPr>
              <w:rFonts w:hint="eastAsia" w:ascii="仿宋" w:hAnsi="仿宋" w:eastAsia="仿宋"/>
              <w:sz w:val="28"/>
              <w:szCs w:val="28"/>
            </w:rPr>
            <w:t>Z09</w:t>
          </w:r>
        </w:p>
        <w:p>
          <w:pPr>
            <w:pStyle w:val="13"/>
            <w:ind w:leftChars="0"/>
            <w:rPr>
              <w:rFonts w:ascii="仿宋" w:hAnsi="仿宋" w:eastAsia="仿宋"/>
              <w:sz w:val="28"/>
              <w:szCs w:val="28"/>
            </w:rPr>
          </w:pPr>
          <w:r>
            <w:rPr>
              <w:rFonts w:ascii="仿宋" w:hAnsi="仿宋" w:eastAsia="仿宋"/>
              <w:sz w:val="28"/>
              <w:szCs w:val="28"/>
            </w:rPr>
            <w:t>十、一般公共预算财政拨款</w:t>
          </w:r>
          <w:r>
            <w:rPr>
              <w:rFonts w:hint="eastAsia" w:ascii="仿宋" w:hAnsi="仿宋" w:eastAsia="仿宋"/>
              <w:sz w:val="28"/>
              <w:szCs w:val="28"/>
            </w:rPr>
            <w:t>“</w:t>
          </w:r>
          <w:r>
            <w:rPr>
              <w:rFonts w:ascii="仿宋" w:hAnsi="仿宋" w:eastAsia="仿宋"/>
              <w:sz w:val="28"/>
              <w:szCs w:val="28"/>
            </w:rPr>
            <w:t>三公</w:t>
          </w:r>
          <w:r>
            <w:rPr>
              <w:rFonts w:hint="eastAsia" w:ascii="仿宋" w:hAnsi="仿宋" w:eastAsia="仿宋"/>
              <w:sz w:val="28"/>
              <w:szCs w:val="28"/>
            </w:rPr>
            <w:t>”</w:t>
          </w:r>
          <w:r>
            <w:rPr>
              <w:rFonts w:ascii="仿宋" w:hAnsi="仿宋" w:eastAsia="仿宋"/>
              <w:sz w:val="28"/>
              <w:szCs w:val="28"/>
            </w:rPr>
            <w:t>经费支出决算表</w:t>
          </w:r>
          <w:r>
            <w:tab/>
          </w:r>
          <w:r>
            <w:rPr>
              <w:rFonts w:hint="eastAsia" w:ascii="仿宋" w:hAnsi="仿宋" w:eastAsia="仿宋"/>
              <w:sz w:val="28"/>
              <w:szCs w:val="28"/>
            </w:rPr>
            <w:t>Z10</w:t>
          </w:r>
        </w:p>
        <w:p>
          <w:pPr>
            <w:pStyle w:val="13"/>
            <w:ind w:leftChars="0"/>
            <w:rPr>
              <w:rFonts w:ascii="仿宋" w:hAnsi="仿宋" w:eastAsia="仿宋"/>
              <w:sz w:val="28"/>
              <w:szCs w:val="28"/>
            </w:rPr>
          </w:pPr>
          <w:r>
            <w:rPr>
              <w:rFonts w:ascii="仿宋" w:hAnsi="仿宋" w:eastAsia="仿宋"/>
              <w:sz w:val="28"/>
              <w:szCs w:val="28"/>
            </w:rPr>
            <w:t>十一、政府性基金预算财政拨款收入支出决算表</w:t>
          </w:r>
          <w:r>
            <w:tab/>
          </w:r>
          <w:r>
            <w:rPr>
              <w:rFonts w:hint="eastAsia" w:ascii="仿宋" w:hAnsi="仿宋" w:eastAsia="仿宋"/>
              <w:sz w:val="28"/>
              <w:szCs w:val="28"/>
            </w:rPr>
            <w:t>Z11</w:t>
          </w:r>
        </w:p>
        <w:p>
          <w:pPr>
            <w:pStyle w:val="13"/>
            <w:ind w:leftChars="0"/>
            <w:rPr>
              <w:rFonts w:ascii="仿宋" w:hAnsi="仿宋" w:eastAsia="仿宋"/>
              <w:sz w:val="28"/>
              <w:szCs w:val="28"/>
            </w:rPr>
          </w:pPr>
          <w:r>
            <w:rPr>
              <w:rFonts w:ascii="仿宋" w:hAnsi="仿宋" w:eastAsia="仿宋"/>
              <w:sz w:val="28"/>
              <w:szCs w:val="28"/>
            </w:rPr>
            <w:t>十二、政府性基金预算财政拨款</w:t>
          </w:r>
          <w:r>
            <w:rPr>
              <w:rFonts w:hint="eastAsia" w:ascii="仿宋" w:hAnsi="仿宋" w:eastAsia="仿宋"/>
              <w:sz w:val="28"/>
              <w:szCs w:val="28"/>
            </w:rPr>
            <w:t>“</w:t>
          </w:r>
          <w:r>
            <w:rPr>
              <w:rFonts w:ascii="仿宋" w:hAnsi="仿宋" w:eastAsia="仿宋"/>
              <w:sz w:val="28"/>
              <w:szCs w:val="28"/>
            </w:rPr>
            <w:t>三公</w:t>
          </w:r>
          <w:r>
            <w:rPr>
              <w:rFonts w:hint="eastAsia" w:ascii="仿宋" w:hAnsi="仿宋" w:eastAsia="仿宋"/>
              <w:sz w:val="28"/>
              <w:szCs w:val="28"/>
            </w:rPr>
            <w:t>”</w:t>
          </w:r>
          <w:r>
            <w:rPr>
              <w:rFonts w:ascii="仿宋" w:hAnsi="仿宋" w:eastAsia="仿宋"/>
              <w:sz w:val="28"/>
              <w:szCs w:val="28"/>
            </w:rPr>
            <w:t>经费支出决算表</w:t>
          </w:r>
          <w:r>
            <w:tab/>
          </w:r>
          <w:r>
            <w:rPr>
              <w:rFonts w:hint="eastAsia" w:ascii="仿宋" w:hAnsi="仿宋" w:eastAsia="仿宋"/>
              <w:sz w:val="28"/>
              <w:szCs w:val="28"/>
            </w:rPr>
            <w:t>Z12</w:t>
          </w:r>
        </w:p>
        <w:p>
          <w:pPr>
            <w:pStyle w:val="13"/>
            <w:ind w:leftChars="0"/>
            <w:rPr>
              <w:rFonts w:ascii="仿宋" w:hAnsi="仿宋" w:eastAsia="仿宋"/>
              <w:sz w:val="28"/>
              <w:szCs w:val="28"/>
            </w:rPr>
          </w:pPr>
          <w:r>
            <w:rPr>
              <w:rFonts w:ascii="仿宋" w:hAnsi="仿宋" w:eastAsia="仿宋"/>
              <w:sz w:val="28"/>
              <w:szCs w:val="28"/>
            </w:rPr>
            <w:t>十三、国有资本经营预算财政拨款收入支出决算表</w:t>
          </w:r>
          <w:r>
            <w:tab/>
          </w:r>
          <w:r>
            <w:rPr>
              <w:rFonts w:hint="eastAsia" w:ascii="仿宋" w:hAnsi="仿宋" w:eastAsia="仿宋"/>
              <w:sz w:val="28"/>
              <w:szCs w:val="28"/>
            </w:rPr>
            <w:t>Z13</w:t>
          </w:r>
        </w:p>
        <w:p>
          <w:pPr>
            <w:pStyle w:val="13"/>
            <w:ind w:leftChars="0"/>
            <w:rPr>
              <w:rFonts w:ascii="仿宋" w:hAnsi="仿宋" w:eastAsia="仿宋"/>
              <w:sz w:val="28"/>
              <w:szCs w:val="28"/>
            </w:rPr>
          </w:pPr>
          <w:r>
            <w:rPr>
              <w:rFonts w:ascii="仿宋" w:hAnsi="仿宋" w:eastAsia="仿宋"/>
              <w:sz w:val="28"/>
              <w:szCs w:val="28"/>
            </w:rPr>
            <w:t>十四、国有资本经营预算财政拨款支出决算表</w:t>
          </w:r>
          <w:r>
            <w:tab/>
          </w:r>
          <w:r>
            <w:rPr>
              <w:rFonts w:hint="eastAsia" w:ascii="仿宋" w:hAnsi="仿宋" w:eastAsia="仿宋"/>
              <w:sz w:val="28"/>
              <w:szCs w:val="28"/>
            </w:rPr>
            <w:t>Z14</w:t>
          </w:r>
        </w:p>
        <w:p>
          <w:pPr>
            <w:spacing w:line="500" w:lineRule="exact"/>
            <w:ind w:firstLine="276" w:firstLineChars="100"/>
            <w:rPr>
              <w:rStyle w:val="18"/>
              <w:rFonts w:eastAsia="仿宋"/>
              <w:sz w:val="28"/>
              <w:szCs w:val="28"/>
            </w:rPr>
          </w:pPr>
        </w:p>
        <w:p>
          <w:pPr>
            <w:pStyle w:val="13"/>
            <w:ind w:left="420" w:leftChars="133"/>
            <w:rPr>
              <w:rFonts w:ascii="仿宋" w:hAnsi="仿宋" w:eastAsia="仿宋"/>
              <w:sz w:val="28"/>
              <w:szCs w:val="28"/>
            </w:rPr>
          </w:pPr>
        </w:p>
      </w:sdtContent>
    </w:sdt>
    <w:p>
      <w:pPr>
        <w:spacing w:line="600" w:lineRule="exact"/>
        <w:jc w:val="center"/>
        <w:rPr>
          <w:rFonts w:ascii="方正小标宋简体" w:hAnsi="方正小标宋简体" w:eastAsia="方正小标宋简体" w:cs="方正小标宋简体"/>
          <w:sz w:val="44"/>
          <w:szCs w:val="44"/>
        </w:rPr>
      </w:pPr>
    </w:p>
    <w:p>
      <w:pPr>
        <w:pStyle w:val="3"/>
        <w:keepNext w:val="0"/>
        <w:keepLines w:val="0"/>
        <w:spacing w:before="0" w:after="0" w:line="600" w:lineRule="exact"/>
        <w:jc w:val="center"/>
        <w:rPr>
          <w:rFonts w:hAnsi="方正小标宋简体" w:eastAsia="方正小标宋简体"/>
          <w:b w:val="0"/>
        </w:rPr>
      </w:pPr>
      <w:bookmarkStart w:id="22" w:name="_Toc15377196"/>
      <w:bookmarkStart w:id="23" w:name="_Toc112397083"/>
      <w:bookmarkStart w:id="24" w:name="_Toc112342328"/>
      <w:bookmarkStart w:id="25" w:name="_Toc112342409"/>
      <w:bookmarkStart w:id="26" w:name="_Toc15396599"/>
    </w:p>
    <w:p>
      <w:pPr>
        <w:pStyle w:val="3"/>
        <w:keepNext w:val="0"/>
        <w:keepLines w:val="0"/>
        <w:spacing w:before="0" w:after="0" w:line="600" w:lineRule="exact"/>
        <w:jc w:val="center"/>
        <w:rPr>
          <w:rStyle w:val="27"/>
          <w:rFonts w:eastAsia="方正小标宋简体"/>
          <w:b/>
          <w:bCs w:val="0"/>
        </w:rPr>
      </w:pPr>
      <w:r>
        <w:rPr>
          <w:rFonts w:hAnsi="方正小标宋简体" w:eastAsia="方正小标宋简体"/>
          <w:b w:val="0"/>
        </w:rPr>
        <w:t>第一部分</w:t>
      </w:r>
      <w:r>
        <w:rPr>
          <w:rStyle w:val="27"/>
          <w:rFonts w:hAnsi="方正小标宋简体" w:eastAsia="方正小标宋简体"/>
          <w:b w:val="0"/>
          <w:bCs w:val="0"/>
        </w:rPr>
        <w:t>部门概况</w:t>
      </w:r>
      <w:bookmarkEnd w:id="22"/>
      <w:bookmarkEnd w:id="23"/>
      <w:bookmarkEnd w:id="24"/>
      <w:bookmarkEnd w:id="25"/>
      <w:bookmarkEnd w:id="26"/>
    </w:p>
    <w:p>
      <w:pPr>
        <w:pStyle w:val="4"/>
        <w:keepNext w:val="0"/>
        <w:keepLines w:val="0"/>
        <w:spacing w:before="0" w:after="0" w:line="240" w:lineRule="auto"/>
        <w:ind w:firstLine="632" w:firstLineChars="200"/>
        <w:rPr>
          <w:rFonts w:ascii="Times New Roman" w:hAnsi="黑体" w:eastAsia="黑体" w:cs="Times New Roman"/>
          <w:b w:val="0"/>
        </w:rPr>
      </w:pPr>
      <w:bookmarkStart w:id="27" w:name="_Toc15396600"/>
      <w:bookmarkStart w:id="28" w:name="_Toc15377197"/>
    </w:p>
    <w:p>
      <w:pPr>
        <w:pStyle w:val="4"/>
        <w:keepNext w:val="0"/>
        <w:keepLines w:val="0"/>
        <w:spacing w:before="0" w:after="0" w:line="240" w:lineRule="auto"/>
        <w:ind w:firstLine="632" w:firstLineChars="200"/>
        <w:rPr>
          <w:rStyle w:val="28"/>
          <w:rFonts w:ascii="Times New Roman" w:hAnsi="Times New Roman" w:eastAsia="仿宋" w:cs="Times New Roman"/>
          <w:b w:val="0"/>
          <w:bCs w:val="0"/>
        </w:rPr>
      </w:pPr>
      <w:bookmarkStart w:id="29" w:name="_Toc112342329"/>
      <w:bookmarkStart w:id="30" w:name="_Toc112397084"/>
      <w:r>
        <w:rPr>
          <w:rFonts w:ascii="Times New Roman" w:hAnsi="黑体" w:eastAsia="黑体" w:cs="Times New Roman"/>
          <w:b w:val="0"/>
        </w:rPr>
        <w:t>一、基</w:t>
      </w:r>
      <w:r>
        <w:rPr>
          <w:rStyle w:val="28"/>
          <w:rFonts w:ascii="Times New Roman" w:hAnsi="黑体" w:eastAsia="黑体" w:cs="Times New Roman"/>
          <w:b w:val="0"/>
          <w:bCs w:val="0"/>
        </w:rPr>
        <w:t>本职能及主要工作</w:t>
      </w:r>
      <w:bookmarkEnd w:id="27"/>
      <w:bookmarkEnd w:id="28"/>
      <w:bookmarkEnd w:id="29"/>
      <w:bookmarkEnd w:id="30"/>
    </w:p>
    <w:p>
      <w:pPr>
        <w:ind w:firstLine="632" w:firstLineChars="200"/>
        <w:rPr>
          <w:rFonts w:eastAsia="楷体_GB2312"/>
          <w:bCs/>
          <w:szCs w:val="32"/>
        </w:rPr>
      </w:pPr>
      <w:bookmarkStart w:id="31" w:name="_Toc15377198"/>
      <w:bookmarkStart w:id="32" w:name="_Toc15378445"/>
      <w:r>
        <w:rPr>
          <w:rFonts w:eastAsia="楷体_GB2312"/>
          <w:bCs/>
          <w:szCs w:val="32"/>
        </w:rPr>
        <w:t>（一）主要职能</w:t>
      </w:r>
      <w:bookmarkEnd w:id="31"/>
      <w:bookmarkEnd w:id="32"/>
    </w:p>
    <w:p>
      <w:pPr>
        <w:ind w:firstLine="632" w:firstLineChars="200"/>
        <w:rPr>
          <w:szCs w:val="32"/>
        </w:rPr>
      </w:pPr>
      <w:bookmarkStart w:id="33" w:name="_Toc15377199"/>
      <w:bookmarkStart w:id="34" w:name="_Toc15378446"/>
      <w:r>
        <w:rPr>
          <w:szCs w:val="32"/>
        </w:rPr>
        <w:t>四川省人民检察院是国家的法律监督机关，领导全省各级人民检察院的工作，依法向省人民代表大会及其常务委员会负责并报告工作。其主要职责是</w:t>
      </w:r>
      <w:r>
        <w:rPr>
          <w:rFonts w:hint="eastAsia"/>
          <w:szCs w:val="32"/>
        </w:rPr>
        <w:t>：</w:t>
      </w:r>
      <w:r>
        <w:rPr>
          <w:szCs w:val="32"/>
        </w:rPr>
        <w:t>依法向省人民代表大会及其常务委员会提出议案；领导全省各级人民检察院的工作；依照法律规定对由省检察院直接受理的刑事案件行使侦查权，领导全省各级检察院开展对依照法律规定由人民检察院直接受理的刑事案件的侦查工作；对全省性的重大刑事案件依法审查批准逮捕、决定逮捕、提起公诉，领导全省各级检察院开展对刑事犯罪案件的审查批准逮捕、决定逮捕、提起公诉；负责应由省检察院承办的刑事、民事、行政诉讼活动及刑事、民事、行政判决和裁定等生效法律文书执行的法律监督工作，领导全省各级检察院对刑事、民事、行政诉讼活动及判决和裁定等生效法律文书执行的法律监督工作；负责应由省检察院承办的提起公益诉讼工作，领导全省各级检察院开展提起公益诉讼工作；负责应由省检察院承办的对监狱、看守所等执法活动的法律监督工作，领导全省各级检察院开展对监狱、看守所等执法活动的法律监督工作；受理向省检察院的控告申诉，领导全省各级检察院的控告申诉检察工作；对下级检察院在行使检察权中作出的决定进行审查，纠正错误决定；指导全省检察机关的理论研究工作；负责全省检察机关队伍建设和思想政治工作，领导全省各级检察院依法管理检察官及其他检察人员的工作，组织指导全省检察机关教育培训工作；协同省委主管部门管理和考核市县两级检察院的检察长，协同市级党委管理和考核市县两级检察院除检察长外的其他领导班子成员；领导全省各级检察院的检务督察工作；规划和指导全省检察机关的财务装备工作、检察技术信息工作；组织全省检察机关的对外交流合作，开展有关国际司法协助工作；负责其它应由省检察院承办的事项。</w:t>
      </w:r>
    </w:p>
    <w:p>
      <w:pPr>
        <w:ind w:firstLine="632" w:firstLineChars="200"/>
        <w:rPr>
          <w:rFonts w:eastAsia="楷体_GB2312"/>
          <w:bCs/>
          <w:szCs w:val="32"/>
        </w:rPr>
      </w:pPr>
      <w:r>
        <w:rPr>
          <w:rFonts w:eastAsia="楷体_GB2312"/>
          <w:bCs/>
          <w:szCs w:val="32"/>
        </w:rPr>
        <w:t>（二）2021年重点工作完成情况</w:t>
      </w:r>
      <w:bookmarkEnd w:id="33"/>
      <w:bookmarkEnd w:id="34"/>
    </w:p>
    <w:p>
      <w:pPr>
        <w:ind w:firstLine="632" w:firstLineChars="200"/>
        <w:rPr>
          <w:szCs w:val="32"/>
        </w:rPr>
      </w:pPr>
      <w:r>
        <w:rPr>
          <w:szCs w:val="32"/>
        </w:rPr>
        <w:t>2021年，全省检察机关坚持以习近平新时代中国特色社会主义思想为指导，全面贯彻习近平法治思想，认真落实《中共中央关于加强新时代检察机关法律监督工作的意见》，在省委和最高人民检察院的坚强领导下，按照四川检察</w:t>
      </w:r>
      <w:r>
        <w:rPr>
          <w:rFonts w:hint="eastAsia"/>
          <w:szCs w:val="32"/>
        </w:rPr>
        <w:t>“</w:t>
      </w:r>
      <w:r>
        <w:rPr>
          <w:szCs w:val="32"/>
        </w:rPr>
        <w:t>三个坚持</w:t>
      </w:r>
      <w:r>
        <w:rPr>
          <w:rFonts w:hint="eastAsia"/>
          <w:szCs w:val="32"/>
        </w:rPr>
        <w:t>”“</w:t>
      </w:r>
      <w:r>
        <w:rPr>
          <w:szCs w:val="32"/>
        </w:rPr>
        <w:t>五个进一步</w:t>
      </w:r>
      <w:r>
        <w:rPr>
          <w:rFonts w:hint="eastAsia"/>
          <w:szCs w:val="32"/>
        </w:rPr>
        <w:t>”</w:t>
      </w:r>
      <w:r>
        <w:rPr>
          <w:szCs w:val="32"/>
        </w:rPr>
        <w:t>的</w:t>
      </w:r>
      <w:r>
        <w:rPr>
          <w:rFonts w:hint="eastAsia"/>
          <w:szCs w:val="32"/>
        </w:rPr>
        <w:t>“</w:t>
      </w:r>
      <w:r>
        <w:rPr>
          <w:szCs w:val="32"/>
        </w:rPr>
        <w:t>十四五</w:t>
      </w:r>
      <w:r>
        <w:rPr>
          <w:rFonts w:hint="eastAsia"/>
          <w:szCs w:val="32"/>
        </w:rPr>
        <w:t>”</w:t>
      </w:r>
      <w:r>
        <w:rPr>
          <w:szCs w:val="32"/>
        </w:rPr>
        <w:t>发展思路，全面履行刑事、民事、行政、公益诉讼检察职能。全年共办理各类案件22.79万件，同比上升21.9%，</w:t>
      </w:r>
      <w:r>
        <w:rPr>
          <w:rFonts w:hint="eastAsia"/>
          <w:szCs w:val="32"/>
        </w:rPr>
        <w:t>“</w:t>
      </w:r>
      <w:r>
        <w:rPr>
          <w:szCs w:val="32"/>
        </w:rPr>
        <w:t>四大检察</w:t>
      </w:r>
      <w:r>
        <w:rPr>
          <w:rFonts w:hint="eastAsia"/>
          <w:szCs w:val="32"/>
        </w:rPr>
        <w:t>”</w:t>
      </w:r>
      <w:r>
        <w:rPr>
          <w:szCs w:val="32"/>
        </w:rPr>
        <w:t>业务工作位居全国第一方阵，法律监督在</w:t>
      </w:r>
      <w:r>
        <w:rPr>
          <w:rFonts w:hint="eastAsia"/>
          <w:szCs w:val="32"/>
        </w:rPr>
        <w:t>“</w:t>
      </w:r>
      <w:r>
        <w:rPr>
          <w:szCs w:val="32"/>
        </w:rPr>
        <w:t>十四五</w:t>
      </w:r>
      <w:r>
        <w:rPr>
          <w:rFonts w:hint="eastAsia"/>
          <w:szCs w:val="32"/>
        </w:rPr>
        <w:t>”</w:t>
      </w:r>
      <w:r>
        <w:rPr>
          <w:szCs w:val="32"/>
        </w:rPr>
        <w:t>开局之年取得新成效。</w:t>
      </w:r>
    </w:p>
    <w:p>
      <w:pPr>
        <w:ind w:firstLine="632" w:firstLineChars="200"/>
        <w:rPr>
          <w:szCs w:val="32"/>
        </w:rPr>
      </w:pPr>
      <w:r>
        <w:rPr>
          <w:b/>
          <w:szCs w:val="32"/>
        </w:rPr>
        <w:t>1</w:t>
      </w:r>
      <w:r>
        <w:rPr>
          <w:rFonts w:hint="eastAsia" w:ascii="仿宋_GB2312" w:hAnsi="仿宋_GB2312" w:cs="仿宋_GB2312"/>
          <w:b/>
          <w:szCs w:val="32"/>
        </w:rPr>
        <w:t>.</w:t>
      </w:r>
      <w:r>
        <w:rPr>
          <w:b/>
          <w:szCs w:val="32"/>
        </w:rPr>
        <w:t>为大局服务，保障全省经济社会安全与发展。</w:t>
      </w:r>
      <w:r>
        <w:rPr>
          <w:szCs w:val="32"/>
        </w:rPr>
        <w:t>建立10项机制常态化推进扫黑除恶斗争，起诉涉黑恶犯罪1095人。四川省检察院与重庆市检察院建立跨区域公益诉讼管辖、鉴定资源共享等服务保障成渝地区双城经济圈建设5项协作机制，对5起跨区域重大案件挂牌督办，发布10件川渝检察协作典型案例。联合省公安厅对涉民营企业刑事</w:t>
      </w:r>
      <w:r>
        <w:rPr>
          <w:rFonts w:hint="eastAsia"/>
          <w:szCs w:val="32"/>
        </w:rPr>
        <w:t>“</w:t>
      </w:r>
      <w:r>
        <w:rPr>
          <w:szCs w:val="32"/>
        </w:rPr>
        <w:t>挂案</w:t>
      </w:r>
      <w:r>
        <w:rPr>
          <w:rFonts w:hint="eastAsia"/>
          <w:szCs w:val="32"/>
        </w:rPr>
        <w:t>”</w:t>
      </w:r>
      <w:r>
        <w:rPr>
          <w:szCs w:val="32"/>
        </w:rPr>
        <w:t>开展清理，办结316件，为企业</w:t>
      </w:r>
      <w:r>
        <w:rPr>
          <w:rFonts w:hint="eastAsia"/>
          <w:szCs w:val="32"/>
        </w:rPr>
        <w:t>“</w:t>
      </w:r>
      <w:r>
        <w:rPr>
          <w:szCs w:val="32"/>
        </w:rPr>
        <w:t>松绑减负</w:t>
      </w:r>
      <w:r>
        <w:rPr>
          <w:rFonts w:hint="eastAsia"/>
          <w:szCs w:val="32"/>
        </w:rPr>
        <w:t>”</w:t>
      </w:r>
      <w:r>
        <w:rPr>
          <w:szCs w:val="32"/>
        </w:rPr>
        <w:t>。开展司法工作人员相关职务犯罪侦查百日攻坚专项行动，全年立案侦查74人，比上年增长64.4%。联合省退役军人事务厅开展烈士纪念设施保护专项行动，办理案件123件。全年结合办案发出社会治理类检察建议1349份，采纳率94.9%，最高人民检察院评选出的13件全国社会治理类优秀检察建议，四川占2件。</w:t>
      </w:r>
    </w:p>
    <w:p>
      <w:pPr>
        <w:ind w:firstLine="632" w:firstLineChars="200"/>
        <w:rPr>
          <w:szCs w:val="32"/>
        </w:rPr>
      </w:pPr>
      <w:r>
        <w:rPr>
          <w:b/>
          <w:szCs w:val="32"/>
        </w:rPr>
        <w:t>2</w:t>
      </w:r>
      <w:r>
        <w:rPr>
          <w:rFonts w:hint="eastAsia" w:ascii="仿宋_GB2312" w:hAnsi="仿宋_GB2312" w:cs="仿宋_GB2312"/>
          <w:b/>
          <w:szCs w:val="32"/>
        </w:rPr>
        <w:t>.</w:t>
      </w:r>
      <w:r>
        <w:rPr>
          <w:b/>
          <w:szCs w:val="32"/>
        </w:rPr>
        <w:t>为人民司法，办好群众身边急难愁盼的案件。</w:t>
      </w:r>
      <w:r>
        <w:rPr>
          <w:szCs w:val="32"/>
        </w:rPr>
        <w:t>对1977件信仿积案和群众关注的民生民利案件公开听证，省、市、县三级检察长主持听证507次，占比居全国之首。起诉泄露、贩卖个人信息等犯罪364人，从严打击在酒店偷拍视频等严重侵犯人格权的犯罪。持续两年在全省开展</w:t>
      </w:r>
      <w:r>
        <w:rPr>
          <w:rFonts w:hint="eastAsia"/>
          <w:szCs w:val="32"/>
        </w:rPr>
        <w:t>“</w:t>
      </w:r>
      <w:r>
        <w:rPr>
          <w:szCs w:val="32"/>
        </w:rPr>
        <w:t>打击侵害未成年人犯罪专项行动</w:t>
      </w:r>
      <w:r>
        <w:rPr>
          <w:rFonts w:hint="eastAsia"/>
          <w:szCs w:val="32"/>
        </w:rPr>
        <w:t>”</w:t>
      </w:r>
      <w:r>
        <w:rPr>
          <w:szCs w:val="32"/>
        </w:rPr>
        <w:t>起诉侵害未成年人犯罪2680人。办理信访2.7万件，刑事申诉息诉率居全国第一。在检察环节促成和解息诉750件。常态化开展行政争议实质性化解工作，成功化解352件。</w:t>
      </w:r>
    </w:p>
    <w:p>
      <w:pPr>
        <w:ind w:firstLine="632" w:firstLineChars="200"/>
        <w:rPr>
          <w:szCs w:val="32"/>
        </w:rPr>
      </w:pPr>
      <w:r>
        <w:rPr>
          <w:b/>
          <w:szCs w:val="32"/>
        </w:rPr>
        <w:t>3</w:t>
      </w:r>
      <w:r>
        <w:rPr>
          <w:rFonts w:hint="eastAsia" w:ascii="仿宋_GB2312" w:hAnsi="仿宋_GB2312" w:cs="仿宋_GB2312"/>
          <w:b/>
          <w:szCs w:val="32"/>
        </w:rPr>
        <w:t>.</w:t>
      </w:r>
      <w:r>
        <w:rPr>
          <w:b/>
          <w:szCs w:val="32"/>
        </w:rPr>
        <w:t>公正担当，切实加强法律监督。</w:t>
      </w:r>
      <w:r>
        <w:rPr>
          <w:szCs w:val="32"/>
        </w:rPr>
        <w:t>成立204个市、县两级检察机关、公安机关侦查监督与协作配合办公室，加强双方在监督、办案中的衔接与配合。对刑事裁判提出抗诉384件，抗诉意见采纳率全国第一。全面倒查30年来全省69万件减刑、假释、暂予监外执行案件，维护刑罚执行权威。全力维护社会公共利益，通过诉前程序督促相关部门依法履职6780件，起诉814件。与省委依法治省办对接，将行政执法与刑事司法衔接工作纳入党委对下目标考核，建议行政机关移送涉嫌犯罪线索1092件，公安机关已立案816件，办案数量居全国第一。</w:t>
      </w:r>
    </w:p>
    <w:p>
      <w:pPr>
        <w:ind w:firstLine="632" w:firstLineChars="200"/>
        <w:rPr>
          <w:szCs w:val="32"/>
        </w:rPr>
      </w:pPr>
      <w:r>
        <w:rPr>
          <w:b/>
          <w:szCs w:val="32"/>
        </w:rPr>
        <w:t>4</w:t>
      </w:r>
      <w:r>
        <w:rPr>
          <w:rFonts w:hint="eastAsia" w:ascii="仿宋_GB2312" w:hAnsi="仿宋_GB2312" w:cs="仿宋_GB2312"/>
          <w:b/>
          <w:szCs w:val="32"/>
        </w:rPr>
        <w:t>.</w:t>
      </w:r>
      <w:r>
        <w:rPr>
          <w:b/>
          <w:szCs w:val="32"/>
        </w:rPr>
        <w:t>为党履职，建设过硬检察队伍。</w:t>
      </w:r>
      <w:r>
        <w:rPr>
          <w:szCs w:val="32"/>
        </w:rPr>
        <w:t>推进党史学习教育走深走实，旗帜鲜明把讲政治、筑牢政治忠诚作为检察机关的首要任务。扎实开展政法队伍教育整顿，依法依规处理违反</w:t>
      </w:r>
      <w:r>
        <w:rPr>
          <w:rFonts w:hint="eastAsia"/>
          <w:szCs w:val="32"/>
        </w:rPr>
        <w:t>“</w:t>
      </w:r>
      <w:r>
        <w:rPr>
          <w:szCs w:val="32"/>
        </w:rPr>
        <w:t>三个规定</w:t>
      </w:r>
      <w:r>
        <w:rPr>
          <w:rFonts w:hint="eastAsia"/>
          <w:szCs w:val="32"/>
        </w:rPr>
        <w:t>”</w:t>
      </w:r>
      <w:r>
        <w:rPr>
          <w:szCs w:val="32"/>
        </w:rPr>
        <w:t>等重大事项问题。加强班子队伍建设，成立省检察官遴选委员会，规范、有序开展初任检察官遴选工作。落实司法责任制，成立省检察官惩戒委员会。抓实基层检察院脱薄争先，确立基层检察院建设</w:t>
      </w:r>
      <w:r>
        <w:rPr>
          <w:rFonts w:hint="eastAsia"/>
          <w:szCs w:val="32"/>
        </w:rPr>
        <w:t>“</w:t>
      </w:r>
      <w:r>
        <w:rPr>
          <w:szCs w:val="32"/>
        </w:rPr>
        <w:t>五型目标</w:t>
      </w:r>
      <w:r>
        <w:rPr>
          <w:rFonts w:hint="eastAsia"/>
          <w:szCs w:val="32"/>
        </w:rPr>
        <w:t>”</w:t>
      </w:r>
      <w:r>
        <w:rPr>
          <w:szCs w:val="32"/>
        </w:rPr>
        <w:t>，部署开展</w:t>
      </w:r>
      <w:r>
        <w:rPr>
          <w:rFonts w:hint="eastAsia"/>
          <w:szCs w:val="32"/>
        </w:rPr>
        <w:t>“</w:t>
      </w:r>
      <w:r>
        <w:rPr>
          <w:szCs w:val="32"/>
        </w:rPr>
        <w:t>六大行动</w:t>
      </w:r>
      <w:r>
        <w:rPr>
          <w:rFonts w:hint="eastAsia"/>
          <w:szCs w:val="32"/>
        </w:rPr>
        <w:t>”</w:t>
      </w:r>
      <w:r>
        <w:rPr>
          <w:szCs w:val="32"/>
        </w:rPr>
        <w:t>，持续推进</w:t>
      </w:r>
      <w:r>
        <w:rPr>
          <w:rFonts w:hint="eastAsia"/>
          <w:szCs w:val="32"/>
        </w:rPr>
        <w:t>“</w:t>
      </w:r>
      <w:r>
        <w:rPr>
          <w:szCs w:val="32"/>
        </w:rPr>
        <w:t>三培育三引领</w:t>
      </w:r>
      <w:r>
        <w:rPr>
          <w:rFonts w:hint="eastAsia"/>
          <w:szCs w:val="32"/>
        </w:rPr>
        <w:t>”</w:t>
      </w:r>
      <w:r>
        <w:rPr>
          <w:szCs w:val="32"/>
        </w:rPr>
        <w:t>活动。自觉接受人大及其常委会和人大代表监督。自觉接受政协民主监督和社会监督。</w:t>
      </w:r>
    </w:p>
    <w:p>
      <w:pPr>
        <w:pStyle w:val="4"/>
        <w:keepNext w:val="0"/>
        <w:keepLines w:val="0"/>
        <w:spacing w:before="0" w:after="0" w:line="240" w:lineRule="auto"/>
        <w:ind w:firstLine="632" w:firstLineChars="200"/>
        <w:rPr>
          <w:rStyle w:val="28"/>
          <w:rFonts w:ascii="Times New Roman" w:hAnsi="黑体" w:eastAsia="黑体" w:cs="Times New Roman"/>
          <w:b w:val="0"/>
          <w:bCs w:val="0"/>
        </w:rPr>
      </w:pPr>
      <w:bookmarkStart w:id="35" w:name="_Toc15396601"/>
      <w:bookmarkStart w:id="36" w:name="_Toc15377200"/>
      <w:bookmarkStart w:id="37" w:name="_Toc112397085"/>
      <w:bookmarkStart w:id="38" w:name="_Toc112342330"/>
      <w:r>
        <w:rPr>
          <w:rStyle w:val="28"/>
          <w:rFonts w:ascii="Times New Roman" w:hAnsi="黑体" w:eastAsia="黑体" w:cs="Times New Roman"/>
          <w:b w:val="0"/>
          <w:bCs w:val="0"/>
        </w:rPr>
        <w:t>二、机构设置</w:t>
      </w:r>
      <w:bookmarkEnd w:id="35"/>
      <w:bookmarkEnd w:id="36"/>
      <w:bookmarkEnd w:id="37"/>
      <w:bookmarkEnd w:id="38"/>
    </w:p>
    <w:p>
      <w:pPr>
        <w:ind w:firstLine="632" w:firstLineChars="200"/>
        <w:rPr>
          <w:szCs w:val="32"/>
        </w:rPr>
      </w:pPr>
      <w:r>
        <w:rPr>
          <w:szCs w:val="32"/>
        </w:rPr>
        <w:t>四川省人民检察院属省一级预算单位，下属二级预算单位4个，其中</w:t>
      </w:r>
      <w:r>
        <w:rPr>
          <w:rFonts w:hint="eastAsia"/>
          <w:szCs w:val="32"/>
        </w:rPr>
        <w:t>：</w:t>
      </w:r>
      <w:r>
        <w:rPr>
          <w:szCs w:val="32"/>
        </w:rPr>
        <w:t>行政单位2个</w:t>
      </w:r>
      <w:r>
        <w:rPr>
          <w:rFonts w:hint="eastAsia"/>
          <w:szCs w:val="32"/>
        </w:rPr>
        <w:t>，</w:t>
      </w:r>
      <w:r>
        <w:rPr>
          <w:szCs w:val="32"/>
        </w:rPr>
        <w:t>事业单位2个。纳入省检察院2021年度部门决算编制范围的二级预算单位包括四川省人民检察院（本级）、四川省人民检察院成都铁路运输分院、四川省人民检察院机关服务中心和四川检察官学院。</w:t>
      </w:r>
    </w:p>
    <w:p>
      <w:pPr>
        <w:ind w:firstLine="632" w:firstLineChars="200"/>
        <w:rPr>
          <w:szCs w:val="32"/>
        </w:rPr>
      </w:pPr>
      <w:r>
        <w:rPr>
          <w:szCs w:val="32"/>
        </w:rPr>
        <w:t>四川省人民检察院成都铁路运输分院还下设3个基层预算单位，即：四川省人民检察院成都铁路运输分院（本级）、成都铁路运输检察院、西昌铁路运输检察院。</w:t>
      </w:r>
    </w:p>
    <w:p>
      <w:pPr>
        <w:ind w:firstLine="632" w:firstLineChars="200"/>
        <w:rPr>
          <w:kern w:val="0"/>
          <w:szCs w:val="32"/>
        </w:rPr>
      </w:pPr>
      <w:r>
        <w:rPr>
          <w:szCs w:val="32"/>
        </w:rPr>
        <w:br w:type="page"/>
      </w:r>
    </w:p>
    <w:p>
      <w:pPr>
        <w:pStyle w:val="3"/>
        <w:keepNext w:val="0"/>
        <w:keepLines w:val="0"/>
        <w:spacing w:before="0" w:after="0" w:line="600" w:lineRule="exact"/>
        <w:jc w:val="center"/>
        <w:rPr>
          <w:rStyle w:val="27"/>
          <w:rFonts w:eastAsia="黑体"/>
          <w:b w:val="0"/>
          <w:bCs/>
        </w:rPr>
      </w:pPr>
      <w:bookmarkStart w:id="39" w:name="_Toc112397086"/>
      <w:bookmarkStart w:id="40" w:name="_Toc15396602"/>
      <w:bookmarkStart w:id="41" w:name="_Toc15377204"/>
      <w:bookmarkStart w:id="42" w:name="_Toc112342331"/>
      <w:r>
        <w:rPr>
          <w:rFonts w:hAnsi="黑体" w:eastAsia="黑体"/>
          <w:b w:val="0"/>
        </w:rPr>
        <w:t>第二部分</w:t>
      </w:r>
      <w:r>
        <w:rPr>
          <w:rFonts w:eastAsia="黑体"/>
          <w:bCs w:val="0"/>
        </w:rPr>
        <w:t>2021</w:t>
      </w:r>
      <w:r>
        <w:rPr>
          <w:rFonts w:hAnsi="黑体" w:eastAsia="黑体"/>
          <w:b w:val="0"/>
        </w:rPr>
        <w:t>年度</w:t>
      </w:r>
      <w:r>
        <w:rPr>
          <w:rStyle w:val="27"/>
          <w:rFonts w:hAnsi="黑体" w:eastAsia="黑体"/>
          <w:b w:val="0"/>
          <w:bCs/>
        </w:rPr>
        <w:t>部门决算情况说明</w:t>
      </w:r>
      <w:bookmarkEnd w:id="39"/>
      <w:bookmarkEnd w:id="40"/>
      <w:bookmarkEnd w:id="41"/>
      <w:bookmarkEnd w:id="42"/>
    </w:p>
    <w:p>
      <w:pPr>
        <w:pStyle w:val="26"/>
        <w:ind w:firstLine="630"/>
        <w:outlineLvl w:val="1"/>
        <w:rPr>
          <w:rFonts w:eastAsia="黑体"/>
          <w:szCs w:val="32"/>
        </w:rPr>
      </w:pPr>
      <w:bookmarkStart w:id="43" w:name="_Toc15396603"/>
      <w:bookmarkStart w:id="44" w:name="_Toc15377205"/>
    </w:p>
    <w:p>
      <w:pPr>
        <w:pStyle w:val="26"/>
        <w:ind w:firstLine="630"/>
        <w:outlineLvl w:val="1"/>
        <w:rPr>
          <w:rStyle w:val="28"/>
          <w:rFonts w:ascii="Times New Roman" w:hAnsi="Times New Roman" w:eastAsia="黑体" w:cs="Times New Roman"/>
          <w:b w:val="0"/>
        </w:rPr>
      </w:pPr>
      <w:bookmarkStart w:id="45" w:name="_Toc112397087"/>
      <w:bookmarkStart w:id="46" w:name="_Toc112342332"/>
      <w:r>
        <w:rPr>
          <w:rFonts w:eastAsia="黑体"/>
          <w:szCs w:val="32"/>
        </w:rPr>
        <w:t>一、收</w:t>
      </w:r>
      <w:r>
        <w:rPr>
          <w:rStyle w:val="28"/>
          <w:rFonts w:ascii="Times New Roman" w:hAnsi="Times New Roman" w:eastAsia="黑体" w:cs="Times New Roman"/>
          <w:b w:val="0"/>
        </w:rPr>
        <w:t>入支出决算总体情况说明</w:t>
      </w:r>
      <w:bookmarkEnd w:id="43"/>
      <w:bookmarkEnd w:id="44"/>
      <w:bookmarkEnd w:id="45"/>
      <w:bookmarkEnd w:id="46"/>
    </w:p>
    <w:p>
      <w:pPr>
        <w:ind w:firstLine="632" w:firstLineChars="200"/>
        <w:rPr>
          <w:szCs w:val="32"/>
        </w:rPr>
      </w:pPr>
      <w:r>
        <w:rPr>
          <w:szCs w:val="32"/>
        </w:rPr>
        <w:t>2021年度收、支总计32,430.24万元</w:t>
      </w:r>
      <w:r>
        <w:rPr>
          <w:rFonts w:hint="eastAsia"/>
          <w:szCs w:val="32"/>
        </w:rPr>
        <w:t>。</w:t>
      </w:r>
      <w:r>
        <w:rPr>
          <w:szCs w:val="32"/>
        </w:rPr>
        <w:t>与2020年相比，收、支总计各增加</w:t>
      </w:r>
      <w:r>
        <w:rPr>
          <w:color w:val="000000"/>
          <w:kern w:val="0"/>
          <w:szCs w:val="32"/>
        </w:rPr>
        <w:t>2,866.77</w:t>
      </w:r>
      <w:r>
        <w:rPr>
          <w:szCs w:val="32"/>
        </w:rPr>
        <w:t>万</w:t>
      </w:r>
      <w:r>
        <w:rPr>
          <w:color w:val="000000"/>
          <w:kern w:val="0"/>
          <w:szCs w:val="32"/>
        </w:rPr>
        <w:t>元，增长9.70%。主</w:t>
      </w:r>
      <w:r>
        <w:rPr>
          <w:szCs w:val="32"/>
        </w:rPr>
        <w:t>要变动原因是增加了省级交办案件保障经费项目，导致项目预算收入、支出均有增加。</w:t>
      </w:r>
    </w:p>
    <w:p>
      <w:pPr>
        <w:pStyle w:val="2"/>
        <w:spacing w:before="173"/>
        <w:rPr>
          <w:rFonts w:ascii="Times New Roman"/>
        </w:rPr>
      </w:pPr>
      <w:r>
        <w:rPr>
          <w:rFonts w:ascii="Times New Roman"/>
        </w:rPr>
        <w:drawing>
          <wp:inline distT="0" distB="0" distL="0" distR="0">
            <wp:extent cx="5615940" cy="4869815"/>
            <wp:effectExtent l="19050" t="0" r="3810" b="0"/>
            <wp:docPr id="6" name="图片 4" descr="E:\转移\e盘\2021年工作\2021年决算\2021年决算公开\2021年决算图表\收入支出决算总计变动情况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转移\e盘\2021年工作\2021年决算\2021年决算公开\2021年决算图表\收入支出决算总计变动情况图.png"/>
                    <pic:cNvPicPr>
                      <a:picLocks noChangeAspect="1" noChangeArrowheads="1"/>
                    </pic:cNvPicPr>
                  </pic:nvPicPr>
                  <pic:blipFill>
                    <a:blip r:embed="rId6"/>
                    <a:srcRect/>
                    <a:stretch>
                      <a:fillRect/>
                    </a:stretch>
                  </pic:blipFill>
                  <pic:spPr>
                    <a:xfrm>
                      <a:off x="0" y="0"/>
                      <a:ext cx="5615940" cy="4869927"/>
                    </a:xfrm>
                    <a:prstGeom prst="rect">
                      <a:avLst/>
                    </a:prstGeom>
                    <a:noFill/>
                    <a:ln w="9525">
                      <a:noFill/>
                      <a:miter lim="800000"/>
                      <a:headEnd/>
                      <a:tailEnd/>
                    </a:ln>
                  </pic:spPr>
                </pic:pic>
              </a:graphicData>
            </a:graphic>
          </wp:inline>
        </w:drawing>
      </w:r>
    </w:p>
    <w:p>
      <w:pPr>
        <w:pStyle w:val="26"/>
        <w:ind w:firstLine="630"/>
        <w:outlineLvl w:val="1"/>
        <w:rPr>
          <w:rStyle w:val="28"/>
          <w:rFonts w:ascii="Times New Roman" w:hAnsi="Times New Roman" w:eastAsia="黑体" w:cs="Times New Roman"/>
          <w:b w:val="0"/>
        </w:rPr>
      </w:pPr>
      <w:bookmarkStart w:id="47" w:name="_Toc15396604"/>
      <w:bookmarkStart w:id="48" w:name="_Toc15377206"/>
      <w:bookmarkStart w:id="49" w:name="_Toc112342333"/>
      <w:bookmarkStart w:id="50" w:name="_Toc112397088"/>
      <w:r>
        <w:rPr>
          <w:rFonts w:eastAsia="黑体"/>
          <w:szCs w:val="32"/>
        </w:rPr>
        <w:t>二、收</w:t>
      </w:r>
      <w:r>
        <w:rPr>
          <w:rStyle w:val="28"/>
          <w:rFonts w:ascii="Times New Roman" w:hAnsi="Times New Roman" w:eastAsia="黑体" w:cs="Times New Roman"/>
          <w:b w:val="0"/>
        </w:rPr>
        <w:t>入决算情况说明</w:t>
      </w:r>
      <w:bookmarkEnd w:id="47"/>
      <w:bookmarkEnd w:id="48"/>
      <w:bookmarkEnd w:id="49"/>
      <w:bookmarkEnd w:id="50"/>
    </w:p>
    <w:p>
      <w:pPr>
        <w:ind w:firstLine="632" w:firstLineChars="200"/>
        <w:rPr>
          <w:szCs w:val="32"/>
        </w:rPr>
      </w:pPr>
      <w:r>
        <w:rPr>
          <w:szCs w:val="32"/>
        </w:rPr>
        <w:t>2021年本年收入合计31,727.48万元，其中：一般公共预算财政拨款收入30,570.17万元，占96.35%；事业收入638.55万元，占2.01%；经营收入511.80万元，占1.62%；其他收入6.96万元，占0.02%。</w:t>
      </w:r>
    </w:p>
    <w:p>
      <w:pPr>
        <w:pStyle w:val="2"/>
        <w:spacing w:before="173"/>
      </w:pPr>
      <w:r>
        <w:rPr>
          <w:rFonts w:hint="eastAsia"/>
        </w:rPr>
        <w:drawing>
          <wp:inline distT="0" distB="0" distL="0" distR="0">
            <wp:extent cx="5615940" cy="4931410"/>
            <wp:effectExtent l="1905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7"/>
                    <a:srcRect/>
                    <a:stretch>
                      <a:fillRect/>
                    </a:stretch>
                  </pic:blipFill>
                  <pic:spPr>
                    <a:xfrm>
                      <a:off x="0" y="0"/>
                      <a:ext cx="5615940" cy="4931586"/>
                    </a:xfrm>
                    <a:prstGeom prst="rect">
                      <a:avLst/>
                    </a:prstGeom>
                    <a:noFill/>
                    <a:ln w="9525">
                      <a:noFill/>
                      <a:miter lim="800000"/>
                      <a:headEnd/>
                      <a:tailEnd/>
                    </a:ln>
                  </pic:spPr>
                </pic:pic>
              </a:graphicData>
            </a:graphic>
          </wp:inline>
        </w:drawing>
      </w:r>
    </w:p>
    <w:p>
      <w:pPr>
        <w:pStyle w:val="2"/>
        <w:spacing w:before="173"/>
      </w:pPr>
    </w:p>
    <w:p>
      <w:pPr>
        <w:pStyle w:val="2"/>
        <w:spacing w:before="173"/>
        <w:rPr>
          <w:rFonts w:ascii="Times New Roman"/>
        </w:rPr>
      </w:pPr>
    </w:p>
    <w:p>
      <w:pPr>
        <w:pStyle w:val="26"/>
        <w:ind w:firstLine="630"/>
        <w:outlineLvl w:val="1"/>
        <w:rPr>
          <w:rStyle w:val="28"/>
          <w:rFonts w:ascii="Times New Roman" w:hAnsi="Times New Roman" w:eastAsia="黑体" w:cs="Times New Roman"/>
          <w:b w:val="0"/>
        </w:rPr>
      </w:pPr>
      <w:bookmarkStart w:id="51" w:name="_Toc15377207"/>
      <w:bookmarkStart w:id="52" w:name="_Toc15396605"/>
      <w:bookmarkStart w:id="53" w:name="_Toc112342334"/>
      <w:bookmarkStart w:id="54" w:name="_Toc112397089"/>
      <w:r>
        <w:rPr>
          <w:rFonts w:eastAsia="黑体"/>
          <w:szCs w:val="32"/>
        </w:rPr>
        <w:t>三、支</w:t>
      </w:r>
      <w:r>
        <w:rPr>
          <w:rStyle w:val="28"/>
          <w:rFonts w:ascii="Times New Roman" w:hAnsi="Times New Roman" w:eastAsia="黑体" w:cs="Times New Roman"/>
          <w:b w:val="0"/>
        </w:rPr>
        <w:t>出决算情况说明</w:t>
      </w:r>
      <w:bookmarkEnd w:id="51"/>
      <w:bookmarkEnd w:id="52"/>
      <w:bookmarkEnd w:id="53"/>
      <w:bookmarkEnd w:id="54"/>
    </w:p>
    <w:p>
      <w:pPr>
        <w:ind w:firstLine="632" w:firstLineChars="200"/>
        <w:rPr>
          <w:szCs w:val="32"/>
        </w:rPr>
      </w:pPr>
      <w:r>
        <w:rPr>
          <w:szCs w:val="32"/>
        </w:rPr>
        <w:t>2021年本年支出合计31,660.51万元，其中：基本支出21,141.78万元，占66.78%；项目支出10,039.47万元，占31.71%；经营支出479.26万元，占1.51%。</w:t>
      </w:r>
    </w:p>
    <w:p>
      <w:pPr>
        <w:pStyle w:val="2"/>
        <w:spacing w:before="173"/>
        <w:jc w:val="center"/>
        <w:rPr>
          <w:rFonts w:ascii="Times New Roman"/>
        </w:rPr>
      </w:pPr>
      <w:r>
        <w:rPr>
          <w:rFonts w:ascii="Times New Roman"/>
        </w:rPr>
        <w:drawing>
          <wp:inline distT="0" distB="0" distL="0" distR="0">
            <wp:extent cx="5615940" cy="4827270"/>
            <wp:effectExtent l="19050" t="0" r="3810" b="0"/>
            <wp:docPr id="7" name="图片 5" descr="E:\转移\e盘\2021年工作\2021年决算\2021年决算公开\2021年决算图表\支出决算结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转移\e盘\2021年工作\2021年决算\2021年决算公开\2021年决算图表\支出决算结构图.png"/>
                    <pic:cNvPicPr>
                      <a:picLocks noChangeAspect="1" noChangeArrowheads="1"/>
                    </pic:cNvPicPr>
                  </pic:nvPicPr>
                  <pic:blipFill>
                    <a:blip r:embed="rId8"/>
                    <a:srcRect/>
                    <a:stretch>
                      <a:fillRect/>
                    </a:stretch>
                  </pic:blipFill>
                  <pic:spPr>
                    <a:xfrm>
                      <a:off x="0" y="0"/>
                      <a:ext cx="5615940" cy="4827670"/>
                    </a:xfrm>
                    <a:prstGeom prst="rect">
                      <a:avLst/>
                    </a:prstGeom>
                    <a:noFill/>
                    <a:ln w="9525">
                      <a:noFill/>
                      <a:miter lim="800000"/>
                      <a:headEnd/>
                      <a:tailEnd/>
                    </a:ln>
                  </pic:spPr>
                </pic:pic>
              </a:graphicData>
            </a:graphic>
          </wp:inline>
        </w:drawing>
      </w:r>
    </w:p>
    <w:p>
      <w:pPr>
        <w:ind w:firstLine="632" w:firstLineChars="200"/>
        <w:outlineLvl w:val="1"/>
        <w:rPr>
          <w:rStyle w:val="28"/>
          <w:rFonts w:ascii="Times New Roman" w:hAnsi="Times New Roman" w:eastAsia="黑体" w:cs="Times New Roman"/>
          <w:b w:val="0"/>
        </w:rPr>
      </w:pPr>
      <w:bookmarkStart w:id="55" w:name="_Toc15377208"/>
      <w:bookmarkStart w:id="56" w:name="_Toc15396606"/>
      <w:bookmarkStart w:id="57" w:name="_Toc112342335"/>
      <w:bookmarkStart w:id="58" w:name="_Toc112397090"/>
      <w:r>
        <w:rPr>
          <w:rFonts w:eastAsia="黑体"/>
          <w:szCs w:val="32"/>
        </w:rPr>
        <w:t>四、财</w:t>
      </w:r>
      <w:r>
        <w:rPr>
          <w:rStyle w:val="28"/>
          <w:rFonts w:ascii="Times New Roman" w:hAnsi="Times New Roman" w:eastAsia="黑体" w:cs="Times New Roman"/>
          <w:b w:val="0"/>
        </w:rPr>
        <w:t>政拨款收入支出决算总体情况说明</w:t>
      </w:r>
      <w:bookmarkEnd w:id="55"/>
      <w:bookmarkEnd w:id="56"/>
      <w:bookmarkEnd w:id="57"/>
      <w:bookmarkEnd w:id="58"/>
    </w:p>
    <w:p>
      <w:pPr>
        <w:ind w:firstLine="632" w:firstLineChars="200"/>
        <w:rPr>
          <w:szCs w:val="32"/>
        </w:rPr>
      </w:pPr>
      <w:r>
        <w:rPr>
          <w:szCs w:val="32"/>
        </w:rPr>
        <w:t>2021年财政拨款收、支总计30,570.17万元。与2020年相比，财政拨款收、支总计各增加2937.40 万元，增长10.63%。主要变动原因是增加了省级交办案件保障经费项目，导致项目预算收入、支出均有增加。</w:t>
      </w:r>
    </w:p>
    <w:p>
      <w:pPr>
        <w:rPr>
          <w:rFonts w:eastAsia="仿宋"/>
          <w:szCs w:val="32"/>
        </w:rPr>
      </w:pPr>
      <w:r>
        <w:rPr>
          <w:rFonts w:eastAsia="仿宋"/>
          <w:szCs w:val="32"/>
        </w:rPr>
        <w:drawing>
          <wp:inline distT="0" distB="0" distL="0" distR="0">
            <wp:extent cx="5615940" cy="4822825"/>
            <wp:effectExtent l="19050" t="0" r="3810" b="0"/>
            <wp:docPr id="8" name="图片 6" descr="E:\转移\e盘\2021年工作\2021年决算\2021年决算公开\2021年决算图表\财政拨款收入支出决算总计变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转移\e盘\2021年工作\2021年决算\2021年决算公开\2021年决算图表\财政拨款收入支出决算总计变动图.png"/>
                    <pic:cNvPicPr>
                      <a:picLocks noChangeAspect="1" noChangeArrowheads="1"/>
                    </pic:cNvPicPr>
                  </pic:nvPicPr>
                  <pic:blipFill>
                    <a:blip r:embed="rId9"/>
                    <a:srcRect/>
                    <a:stretch>
                      <a:fillRect/>
                    </a:stretch>
                  </pic:blipFill>
                  <pic:spPr>
                    <a:xfrm>
                      <a:off x="0" y="0"/>
                      <a:ext cx="5615940" cy="4823329"/>
                    </a:xfrm>
                    <a:prstGeom prst="rect">
                      <a:avLst/>
                    </a:prstGeom>
                    <a:noFill/>
                    <a:ln w="9525">
                      <a:noFill/>
                      <a:miter lim="800000"/>
                      <a:headEnd/>
                      <a:tailEnd/>
                    </a:ln>
                  </pic:spPr>
                </pic:pic>
              </a:graphicData>
            </a:graphic>
          </wp:inline>
        </w:drawing>
      </w:r>
    </w:p>
    <w:p>
      <w:pPr>
        <w:ind w:firstLine="632" w:firstLineChars="200"/>
        <w:outlineLvl w:val="1"/>
        <w:rPr>
          <w:rStyle w:val="28"/>
          <w:rFonts w:ascii="Times New Roman" w:hAnsi="Times New Roman" w:eastAsia="黑体" w:cs="Times New Roman"/>
          <w:b w:val="0"/>
        </w:rPr>
      </w:pPr>
      <w:bookmarkStart w:id="59" w:name="_Toc15396607"/>
      <w:bookmarkStart w:id="60" w:name="_Toc15377209"/>
      <w:bookmarkStart w:id="61" w:name="_Toc112342336"/>
      <w:bookmarkStart w:id="62" w:name="_Toc112397091"/>
      <w:r>
        <w:rPr>
          <w:rFonts w:eastAsia="黑体"/>
          <w:szCs w:val="32"/>
        </w:rPr>
        <w:t>五、一</w:t>
      </w:r>
      <w:r>
        <w:rPr>
          <w:rStyle w:val="28"/>
          <w:rFonts w:ascii="Times New Roman" w:hAnsi="Times New Roman" w:eastAsia="黑体" w:cs="Times New Roman"/>
          <w:b w:val="0"/>
        </w:rPr>
        <w:t>般公共预算财政拨款支出决算情况说明</w:t>
      </w:r>
      <w:bookmarkEnd w:id="59"/>
      <w:bookmarkEnd w:id="60"/>
      <w:bookmarkEnd w:id="61"/>
      <w:bookmarkEnd w:id="62"/>
    </w:p>
    <w:p>
      <w:pPr>
        <w:ind w:firstLine="632" w:firstLineChars="200"/>
        <w:outlineLvl w:val="2"/>
        <w:rPr>
          <w:rFonts w:eastAsia="楷体_GB2312"/>
          <w:bCs/>
          <w:szCs w:val="32"/>
        </w:rPr>
      </w:pPr>
      <w:bookmarkStart w:id="63" w:name="_Toc15377210"/>
      <w:bookmarkStart w:id="64" w:name="_Toc112341690"/>
      <w:bookmarkStart w:id="65" w:name="_Toc112342337"/>
      <w:bookmarkStart w:id="66" w:name="_Toc112396122"/>
      <w:bookmarkStart w:id="67" w:name="_Toc112397092"/>
      <w:r>
        <w:rPr>
          <w:rFonts w:eastAsia="楷体_GB2312"/>
          <w:bCs/>
          <w:szCs w:val="32"/>
        </w:rPr>
        <w:t>（一）一般公共预算财政拨款支出决算总体情况</w:t>
      </w:r>
      <w:bookmarkEnd w:id="63"/>
      <w:bookmarkEnd w:id="64"/>
      <w:bookmarkEnd w:id="65"/>
      <w:bookmarkEnd w:id="66"/>
      <w:bookmarkEnd w:id="67"/>
    </w:p>
    <w:p>
      <w:pPr>
        <w:ind w:firstLine="632" w:firstLineChars="200"/>
        <w:rPr>
          <w:szCs w:val="32"/>
        </w:rPr>
      </w:pPr>
      <w:r>
        <w:rPr>
          <w:szCs w:val="32"/>
        </w:rPr>
        <w:t>2021年一般公共预算财政拨款支出30,570.17万元，占本年支出合计的96.56%。与2020年相比，一般公共预算财政拨款支出增加2940.49 万元，增长10.64%。主要变动原因是增加了省级交办案件保障经费项目，导致项目预算收入、支出均有增加。</w:t>
      </w:r>
    </w:p>
    <w:p>
      <w:pPr>
        <w:pStyle w:val="2"/>
        <w:spacing w:before="173"/>
        <w:rPr>
          <w:rFonts w:ascii="Times New Roman"/>
        </w:rPr>
      </w:pPr>
      <w:r>
        <w:rPr>
          <w:rFonts w:ascii="Times New Roman"/>
        </w:rPr>
        <w:drawing>
          <wp:inline distT="0" distB="0" distL="0" distR="0">
            <wp:extent cx="5615940" cy="4801870"/>
            <wp:effectExtent l="19050" t="0" r="3810" b="0"/>
            <wp:docPr id="11" name="图片 9" descr="E:\转移\e盘\2021年工作\2021年决算\2021年决算公开\2021年决算图表\一般公共预算财政拨款支出决算变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转移\e盘\2021年工作\2021年决算\2021年决算公开\2021年决算图表\一般公共预算财政拨款支出决算变动图.png"/>
                    <pic:cNvPicPr>
                      <a:picLocks noChangeAspect="1" noChangeArrowheads="1"/>
                    </pic:cNvPicPr>
                  </pic:nvPicPr>
                  <pic:blipFill>
                    <a:blip r:embed="rId10"/>
                    <a:srcRect/>
                    <a:stretch>
                      <a:fillRect/>
                    </a:stretch>
                  </pic:blipFill>
                  <pic:spPr>
                    <a:xfrm>
                      <a:off x="0" y="0"/>
                      <a:ext cx="5615940" cy="4802252"/>
                    </a:xfrm>
                    <a:prstGeom prst="rect">
                      <a:avLst/>
                    </a:prstGeom>
                    <a:noFill/>
                    <a:ln w="9525">
                      <a:noFill/>
                      <a:miter lim="800000"/>
                      <a:headEnd/>
                      <a:tailEnd/>
                    </a:ln>
                  </pic:spPr>
                </pic:pic>
              </a:graphicData>
            </a:graphic>
          </wp:inline>
        </w:drawing>
      </w:r>
    </w:p>
    <w:p>
      <w:pPr>
        <w:ind w:firstLine="632" w:firstLineChars="200"/>
        <w:outlineLvl w:val="2"/>
        <w:rPr>
          <w:rFonts w:eastAsia="楷体_GB2312"/>
          <w:bCs/>
          <w:szCs w:val="32"/>
        </w:rPr>
      </w:pPr>
      <w:bookmarkStart w:id="68" w:name="_Toc15377211"/>
      <w:bookmarkStart w:id="69" w:name="_Toc112341691"/>
      <w:bookmarkStart w:id="70" w:name="_Toc112342338"/>
      <w:bookmarkStart w:id="71" w:name="_Toc112396123"/>
      <w:bookmarkStart w:id="72" w:name="_Toc112397093"/>
      <w:r>
        <w:rPr>
          <w:rFonts w:eastAsia="楷体_GB2312"/>
          <w:bCs/>
          <w:szCs w:val="32"/>
        </w:rPr>
        <w:t>（二）一般公共预算财政拨款支出决算结构情况</w:t>
      </w:r>
      <w:bookmarkEnd w:id="68"/>
      <w:bookmarkEnd w:id="69"/>
      <w:bookmarkEnd w:id="70"/>
      <w:bookmarkEnd w:id="71"/>
      <w:bookmarkEnd w:id="72"/>
    </w:p>
    <w:p>
      <w:pPr>
        <w:ind w:firstLine="632" w:firstLineChars="200"/>
        <w:rPr>
          <w:szCs w:val="32"/>
        </w:rPr>
      </w:pPr>
      <w:r>
        <w:rPr>
          <w:szCs w:val="32"/>
        </w:rPr>
        <w:t>2021年一般公共预算财政拨款支出30,570.17万元，主要用于以下方面：公共安全支出23996.00万元，占78.</w:t>
      </w:r>
      <w:r>
        <w:rPr>
          <w:rFonts w:hint="eastAsia"/>
          <w:szCs w:val="32"/>
        </w:rPr>
        <w:t>5</w:t>
      </w:r>
      <w:r>
        <w:rPr>
          <w:szCs w:val="32"/>
        </w:rPr>
        <w:t>%；社会保障和就业支出2,706.55万元，占8.85%；住房保障支出2,709.64万元，占8.86%；卫生健康支出895.90万元，占2.93%；教育支出232.43万元，占0.76%；一般公共服务支出21.65万元，占0.07%；灾害防治及应急管理支出8.00万元</w:t>
      </w:r>
      <w:r>
        <w:rPr>
          <w:rFonts w:hint="eastAsia"/>
          <w:szCs w:val="32"/>
        </w:rPr>
        <w:t>，</w:t>
      </w:r>
      <w:r>
        <w:rPr>
          <w:szCs w:val="32"/>
        </w:rPr>
        <w:t>占0.03%。</w:t>
      </w:r>
      <w:r>
        <w:rPr>
          <w:szCs w:val="32"/>
        </w:rPr>
        <w:drawing>
          <wp:inline distT="0" distB="0" distL="0" distR="0">
            <wp:extent cx="5615940" cy="4779645"/>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srcRect/>
                    <a:stretch>
                      <a:fillRect/>
                    </a:stretch>
                  </pic:blipFill>
                  <pic:spPr>
                    <a:xfrm>
                      <a:off x="0" y="0"/>
                      <a:ext cx="5615940" cy="4779979"/>
                    </a:xfrm>
                    <a:prstGeom prst="rect">
                      <a:avLst/>
                    </a:prstGeom>
                    <a:noFill/>
                    <a:ln w="9525">
                      <a:noFill/>
                      <a:miter lim="800000"/>
                      <a:headEnd/>
                      <a:tailEnd/>
                    </a:ln>
                  </pic:spPr>
                </pic:pic>
              </a:graphicData>
            </a:graphic>
          </wp:inline>
        </w:drawing>
      </w:r>
    </w:p>
    <w:p>
      <w:pPr>
        <w:ind w:firstLine="632" w:firstLineChars="200"/>
        <w:outlineLvl w:val="2"/>
        <w:rPr>
          <w:rFonts w:eastAsia="楷体_GB2312"/>
          <w:bCs/>
          <w:szCs w:val="32"/>
        </w:rPr>
      </w:pPr>
      <w:bookmarkStart w:id="73" w:name="_Toc112397094"/>
      <w:bookmarkStart w:id="74" w:name="_Toc112396124"/>
      <w:bookmarkStart w:id="75" w:name="_Toc112342339"/>
      <w:bookmarkStart w:id="76" w:name="_Toc112341692"/>
      <w:bookmarkStart w:id="77" w:name="_Toc15377212"/>
      <w:r>
        <w:rPr>
          <w:rFonts w:eastAsia="楷体_GB2312"/>
          <w:bCs/>
          <w:szCs w:val="32"/>
        </w:rPr>
        <w:t>（三）一般公共预算财政拨款支出决算具体情况</w:t>
      </w:r>
      <w:bookmarkEnd w:id="73"/>
      <w:bookmarkEnd w:id="74"/>
      <w:bookmarkEnd w:id="75"/>
      <w:bookmarkEnd w:id="76"/>
      <w:bookmarkEnd w:id="77"/>
    </w:p>
    <w:p>
      <w:pPr>
        <w:ind w:firstLine="632" w:firstLineChars="200"/>
        <w:rPr>
          <w:kern w:val="32"/>
          <w:szCs w:val="32"/>
        </w:rPr>
      </w:pPr>
      <w:bookmarkStart w:id="78" w:name="_Toc15377213"/>
      <w:bookmarkStart w:id="79" w:name="_Toc15377444"/>
      <w:bookmarkStart w:id="80" w:name="_Toc15378460"/>
      <w:r>
        <w:rPr>
          <w:szCs w:val="32"/>
        </w:rPr>
        <w:t>2021年一般公共预算支出决算数为30,570.17万元</w:t>
      </w:r>
      <w:r>
        <w:rPr>
          <w:kern w:val="32"/>
          <w:szCs w:val="32"/>
        </w:rPr>
        <w:t>，完成预算91.77%。其中：</w:t>
      </w:r>
      <w:bookmarkEnd w:id="78"/>
      <w:bookmarkEnd w:id="79"/>
      <w:bookmarkEnd w:id="80"/>
    </w:p>
    <w:p>
      <w:pPr>
        <w:ind w:firstLine="632" w:firstLineChars="200"/>
        <w:rPr>
          <w:kern w:val="32"/>
          <w:szCs w:val="32"/>
        </w:rPr>
      </w:pPr>
      <w:r>
        <w:rPr>
          <w:b/>
          <w:szCs w:val="32"/>
        </w:rPr>
        <w:t>1</w:t>
      </w:r>
      <w:r>
        <w:rPr>
          <w:rFonts w:hint="eastAsia" w:ascii="仿宋_GB2312" w:hAnsi="仿宋_GB2312" w:cs="仿宋_GB2312"/>
          <w:b/>
          <w:szCs w:val="32"/>
        </w:rPr>
        <w:t>.</w:t>
      </w:r>
      <w:r>
        <w:rPr>
          <w:b/>
          <w:szCs w:val="32"/>
        </w:rPr>
        <w:t>公共安全支出（类）检察（款）行政运行（项）：</w:t>
      </w:r>
      <w:r>
        <w:rPr>
          <w:kern w:val="32"/>
          <w:szCs w:val="32"/>
        </w:rPr>
        <w:t>支出决算数为14075.</w:t>
      </w:r>
      <w:r>
        <w:rPr>
          <w:rFonts w:hint="eastAsia"/>
          <w:kern w:val="32"/>
          <w:szCs w:val="32"/>
        </w:rPr>
        <w:t>89</w:t>
      </w:r>
      <w:r>
        <w:rPr>
          <w:kern w:val="32"/>
          <w:szCs w:val="32"/>
        </w:rPr>
        <w:t>万元，完成预算97.69%，决算数小于预算数的主要原因是当年受新冠疫情影响，公务用车运行维护费、差旅费、会议费等基本支出预算未能实现全部支出。</w:t>
      </w:r>
    </w:p>
    <w:p>
      <w:pPr>
        <w:ind w:firstLine="632" w:firstLineChars="200"/>
        <w:rPr>
          <w:kern w:val="32"/>
          <w:szCs w:val="32"/>
        </w:rPr>
      </w:pPr>
      <w:r>
        <w:rPr>
          <w:b/>
          <w:szCs w:val="32"/>
        </w:rPr>
        <w:t>2</w:t>
      </w:r>
      <w:r>
        <w:rPr>
          <w:rFonts w:hint="eastAsia" w:ascii="仿宋_GB2312" w:hAnsi="仿宋_GB2312" w:cs="仿宋_GB2312"/>
          <w:b/>
          <w:szCs w:val="32"/>
        </w:rPr>
        <w:t>.</w:t>
      </w:r>
      <w:r>
        <w:rPr>
          <w:b/>
          <w:szCs w:val="32"/>
        </w:rPr>
        <w:t>公共安全支出（类）检察（款）一般行政管理事务（项）：</w:t>
      </w:r>
      <w:r>
        <w:rPr>
          <w:kern w:val="32"/>
          <w:szCs w:val="32"/>
        </w:rPr>
        <w:t>支出决算数为6,791.93万元，完成预算87.41%，决算数小于预算数的主要原因是省检察院人民中路工作区维修改造项目、政法委边界系统建设及智能辅助办案系统项目等项目建设未能达到计划进度，部分项目支出预算未能执行。</w:t>
      </w:r>
    </w:p>
    <w:p>
      <w:pPr>
        <w:ind w:firstLine="632" w:firstLineChars="200"/>
        <w:rPr>
          <w:kern w:val="32"/>
          <w:szCs w:val="32"/>
        </w:rPr>
      </w:pPr>
      <w:r>
        <w:rPr>
          <w:b/>
          <w:szCs w:val="32"/>
        </w:rPr>
        <w:t>3</w:t>
      </w:r>
      <w:r>
        <w:rPr>
          <w:rFonts w:hint="eastAsia" w:ascii="仿宋_GB2312" w:hAnsi="仿宋_GB2312" w:cs="仿宋_GB2312"/>
          <w:b/>
          <w:szCs w:val="32"/>
        </w:rPr>
        <w:t>.</w:t>
      </w:r>
      <w:r>
        <w:rPr>
          <w:b/>
          <w:szCs w:val="32"/>
        </w:rPr>
        <w:t>公共安全支出（类）检察（款）机关服务（项）：</w:t>
      </w:r>
      <w:r>
        <w:rPr>
          <w:kern w:val="32"/>
          <w:szCs w:val="32"/>
        </w:rPr>
        <w:t>支出决算数为308.61万元，完成预算95.3%，决算数小于预算数的主要原因是当年受新冠疫情影响，机关服务中心的公务用车运行维护费、差旅费等基本支出预算未能实现全部支出。</w:t>
      </w:r>
    </w:p>
    <w:p>
      <w:pPr>
        <w:ind w:firstLine="632" w:firstLineChars="200"/>
        <w:rPr>
          <w:kern w:val="32"/>
          <w:szCs w:val="32"/>
        </w:rPr>
      </w:pPr>
      <w:r>
        <w:rPr>
          <w:b/>
          <w:szCs w:val="32"/>
        </w:rPr>
        <w:t>4</w:t>
      </w:r>
      <w:r>
        <w:rPr>
          <w:rFonts w:hint="eastAsia" w:ascii="仿宋_GB2312" w:hAnsi="仿宋_GB2312" w:cs="仿宋_GB2312"/>
          <w:b/>
          <w:szCs w:val="32"/>
        </w:rPr>
        <w:t>.</w:t>
      </w:r>
      <w:r>
        <w:rPr>
          <w:b/>
          <w:szCs w:val="32"/>
        </w:rPr>
        <w:t>公共安全支出（类）检察（款）检察监督（项）：</w:t>
      </w:r>
      <w:r>
        <w:rPr>
          <w:kern w:val="32"/>
          <w:szCs w:val="32"/>
        </w:rPr>
        <w:t>支出决算数为378.71 万元，完成预算98.88%，决算数小于预算数的主要原因是当年受新冠疫情影响，检察业务经费预算未能实现全部支出。</w:t>
      </w:r>
    </w:p>
    <w:p>
      <w:pPr>
        <w:ind w:firstLine="632" w:firstLineChars="200"/>
        <w:rPr>
          <w:kern w:val="32"/>
          <w:szCs w:val="32"/>
        </w:rPr>
      </w:pPr>
      <w:r>
        <w:rPr>
          <w:b/>
          <w:szCs w:val="32"/>
        </w:rPr>
        <w:t>5</w:t>
      </w:r>
      <w:r>
        <w:rPr>
          <w:rFonts w:hint="eastAsia" w:ascii="仿宋_GB2312" w:hAnsi="仿宋_GB2312" w:cs="仿宋_GB2312"/>
          <w:b/>
          <w:szCs w:val="32"/>
        </w:rPr>
        <w:t>.</w:t>
      </w:r>
      <w:r>
        <w:rPr>
          <w:b/>
          <w:szCs w:val="32"/>
        </w:rPr>
        <w:t>公共安全支出（类）检察（款）事业运行（项）：</w:t>
      </w:r>
      <w:r>
        <w:rPr>
          <w:kern w:val="32"/>
          <w:szCs w:val="32"/>
        </w:rPr>
        <w:t>支出决算数为59.10 万元，完成预算90.55%，决算数小于预算数的主要原因是检察官学院受人员退休影响，部分人员经费预算未能实现支出。</w:t>
      </w:r>
    </w:p>
    <w:p>
      <w:pPr>
        <w:ind w:firstLine="632" w:firstLineChars="200"/>
        <w:rPr>
          <w:kern w:val="32"/>
          <w:szCs w:val="32"/>
        </w:rPr>
      </w:pPr>
      <w:r>
        <w:rPr>
          <w:b/>
          <w:szCs w:val="32"/>
        </w:rPr>
        <w:t>6</w:t>
      </w:r>
      <w:r>
        <w:rPr>
          <w:rFonts w:hint="eastAsia" w:ascii="仿宋_GB2312" w:hAnsi="仿宋_GB2312" w:cs="仿宋_GB2312"/>
          <w:b/>
          <w:szCs w:val="32"/>
        </w:rPr>
        <w:t>.</w:t>
      </w:r>
      <w:r>
        <w:rPr>
          <w:b/>
          <w:szCs w:val="32"/>
        </w:rPr>
        <w:t>公共安全支出（类）检察（款）其他检察支出（项）：</w:t>
      </w:r>
      <w:r>
        <w:rPr>
          <w:kern w:val="32"/>
          <w:szCs w:val="32"/>
        </w:rPr>
        <w:t>支出决算数为2253.26 万元，完成预算64.07%，决算数小于预算数的主要原因是受项目竣工决算、项目招投标等因素影响，铁路检察院业务用房、电子检务深化应用三个基本建设项目未达到建设计划进度，部分基本建设项目预算未能实现支出。</w:t>
      </w:r>
    </w:p>
    <w:p>
      <w:pPr>
        <w:ind w:firstLine="632" w:firstLineChars="200"/>
        <w:rPr>
          <w:kern w:val="32"/>
          <w:szCs w:val="32"/>
        </w:rPr>
      </w:pPr>
      <w:r>
        <w:rPr>
          <w:b/>
          <w:szCs w:val="32"/>
        </w:rPr>
        <w:t>7</w:t>
      </w:r>
      <w:r>
        <w:rPr>
          <w:rFonts w:hint="eastAsia" w:ascii="仿宋_GB2312" w:hAnsi="仿宋_GB2312" w:cs="仿宋_GB2312"/>
          <w:b/>
          <w:szCs w:val="32"/>
        </w:rPr>
        <w:t>.</w:t>
      </w:r>
      <w:r>
        <w:rPr>
          <w:b/>
          <w:szCs w:val="32"/>
        </w:rPr>
        <w:t>教育支出（类）进修及培训（款）培训支出（项）：</w:t>
      </w:r>
      <w:r>
        <w:rPr>
          <w:kern w:val="32"/>
          <w:szCs w:val="32"/>
        </w:rPr>
        <w:t>支出决算数为232.43 万元，完成预算81.84%，决算数小于预算数的主要原因是当年受新冠疫情影响，部分培训计划被调整取消，部分培训费预算未能实现全部支出。</w:t>
      </w:r>
    </w:p>
    <w:p>
      <w:pPr>
        <w:spacing w:line="550" w:lineRule="exact"/>
        <w:ind w:firstLine="632" w:firstLineChars="200"/>
        <w:rPr>
          <w:kern w:val="32"/>
          <w:szCs w:val="32"/>
        </w:rPr>
      </w:pPr>
      <w:r>
        <w:rPr>
          <w:b/>
          <w:szCs w:val="32"/>
        </w:rPr>
        <w:t>8</w:t>
      </w:r>
      <w:r>
        <w:rPr>
          <w:rFonts w:hint="eastAsia" w:ascii="仿宋_GB2312" w:hAnsi="仿宋_GB2312" w:cs="仿宋_GB2312"/>
          <w:b/>
          <w:szCs w:val="32"/>
        </w:rPr>
        <w:t>.</w:t>
      </w:r>
      <w:r>
        <w:rPr>
          <w:b/>
          <w:szCs w:val="32"/>
        </w:rPr>
        <w:t>社会保障和就业支出（类）行政事业单位养老支出（款）行政单位离退休（项）：</w:t>
      </w:r>
      <w:r>
        <w:rPr>
          <w:kern w:val="32"/>
          <w:szCs w:val="32"/>
        </w:rPr>
        <w:t>支出决算数为1471.07 万元，完成预算99.7%，决算数小于预算数的主要原因是离休人员自然减员后部分离休费预算未能实现支出。</w:t>
      </w:r>
    </w:p>
    <w:p>
      <w:pPr>
        <w:spacing w:line="550" w:lineRule="exact"/>
        <w:ind w:firstLine="632" w:firstLineChars="200"/>
        <w:rPr>
          <w:kern w:val="32"/>
          <w:szCs w:val="32"/>
        </w:rPr>
      </w:pPr>
      <w:r>
        <w:rPr>
          <w:b/>
          <w:szCs w:val="32"/>
        </w:rPr>
        <w:t>9</w:t>
      </w:r>
      <w:r>
        <w:rPr>
          <w:rFonts w:hint="eastAsia" w:ascii="仿宋_GB2312" w:hAnsi="仿宋_GB2312" w:cs="仿宋_GB2312"/>
          <w:b/>
          <w:szCs w:val="32"/>
        </w:rPr>
        <w:t>.</w:t>
      </w:r>
      <w:r>
        <w:rPr>
          <w:b/>
          <w:szCs w:val="32"/>
        </w:rPr>
        <w:t>社会保障和就业支出（类）行政事业单位养老支出（款）事业单位离退休（项）：</w:t>
      </w:r>
      <w:r>
        <w:rPr>
          <w:kern w:val="32"/>
          <w:szCs w:val="32"/>
        </w:rPr>
        <w:t>支出决算数为7.04万元，完成预算98.33%，决算数小于预算数的主要原因是退休人员自然减员后部分退休费预算未能实现支出。</w:t>
      </w:r>
    </w:p>
    <w:p>
      <w:pPr>
        <w:spacing w:line="550" w:lineRule="exact"/>
        <w:ind w:firstLine="632" w:firstLineChars="200"/>
        <w:rPr>
          <w:kern w:val="32"/>
          <w:szCs w:val="32"/>
        </w:rPr>
      </w:pPr>
      <w:r>
        <w:rPr>
          <w:b/>
          <w:szCs w:val="32"/>
        </w:rPr>
        <w:t>10</w:t>
      </w:r>
      <w:r>
        <w:rPr>
          <w:rFonts w:hint="eastAsia" w:ascii="仿宋_GB2312" w:hAnsi="仿宋_GB2312" w:cs="仿宋_GB2312"/>
          <w:b/>
          <w:szCs w:val="32"/>
        </w:rPr>
        <w:t>.</w:t>
      </w:r>
      <w:r>
        <w:rPr>
          <w:b/>
          <w:szCs w:val="32"/>
        </w:rPr>
        <w:t>社会保障和就业支出（类）行政事业单位养老支出（款）机关事业单位基本养老保险缴费支出（项）：</w:t>
      </w:r>
      <w:r>
        <w:rPr>
          <w:kern w:val="32"/>
          <w:szCs w:val="32"/>
        </w:rPr>
        <w:t>支出决算数为869.1</w:t>
      </w:r>
      <w:r>
        <w:rPr>
          <w:rFonts w:hint="eastAsia"/>
          <w:kern w:val="32"/>
          <w:szCs w:val="32"/>
        </w:rPr>
        <w:t>4</w:t>
      </w:r>
      <w:r>
        <w:rPr>
          <w:kern w:val="32"/>
          <w:szCs w:val="32"/>
        </w:rPr>
        <w:t>万元，完成预算94.18%，决算数小于预算数的主要原因是受在职人员退休、调出等因素影响，部分基本养老保险缴费预算未能实现支出。</w:t>
      </w:r>
    </w:p>
    <w:p>
      <w:pPr>
        <w:spacing w:line="550" w:lineRule="exact"/>
        <w:ind w:firstLine="632" w:firstLineChars="200"/>
        <w:rPr>
          <w:kern w:val="32"/>
          <w:szCs w:val="32"/>
        </w:rPr>
      </w:pPr>
      <w:r>
        <w:rPr>
          <w:b/>
          <w:szCs w:val="32"/>
        </w:rPr>
        <w:t>11</w:t>
      </w:r>
      <w:r>
        <w:rPr>
          <w:rFonts w:hint="eastAsia" w:ascii="仿宋_GB2312" w:hAnsi="仿宋_GB2312" w:cs="仿宋_GB2312"/>
          <w:b/>
          <w:szCs w:val="32"/>
        </w:rPr>
        <w:t>.</w:t>
      </w:r>
      <w:r>
        <w:rPr>
          <w:b/>
          <w:szCs w:val="32"/>
        </w:rPr>
        <w:t>社会保障和就业支出（类）行政事业单位离退休（款）机关事业单位职业年金缴费支出（项）：</w:t>
      </w:r>
      <w:r>
        <w:rPr>
          <w:kern w:val="32"/>
          <w:szCs w:val="32"/>
        </w:rPr>
        <w:t>支出决算数为204.65 万元，完成预算99.8%，决算数与预算数基本持平。</w:t>
      </w:r>
    </w:p>
    <w:p>
      <w:pPr>
        <w:spacing w:line="550" w:lineRule="exact"/>
        <w:ind w:firstLine="632" w:firstLineChars="200"/>
        <w:rPr>
          <w:kern w:val="32"/>
          <w:szCs w:val="32"/>
        </w:rPr>
      </w:pPr>
      <w:r>
        <w:rPr>
          <w:b/>
          <w:szCs w:val="32"/>
        </w:rPr>
        <w:t>12</w:t>
      </w:r>
      <w:r>
        <w:rPr>
          <w:rFonts w:hint="eastAsia" w:ascii="仿宋_GB2312" w:hAnsi="仿宋_GB2312" w:cs="仿宋_GB2312"/>
          <w:b/>
          <w:szCs w:val="32"/>
        </w:rPr>
        <w:t>.</w:t>
      </w:r>
      <w:r>
        <w:rPr>
          <w:b/>
          <w:szCs w:val="32"/>
        </w:rPr>
        <w:t>社会保障和就业支出（类）抚恤（款）死亡抚恤（项）：</w:t>
      </w:r>
      <w:r>
        <w:rPr>
          <w:kern w:val="32"/>
          <w:szCs w:val="32"/>
        </w:rPr>
        <w:t>支出决算数为154.65 万元，完成预算99.95%，决算数与预算数基本持平。</w:t>
      </w:r>
    </w:p>
    <w:p>
      <w:pPr>
        <w:spacing w:line="550" w:lineRule="exact"/>
        <w:ind w:firstLine="632" w:firstLineChars="200"/>
        <w:rPr>
          <w:kern w:val="32"/>
          <w:szCs w:val="32"/>
        </w:rPr>
      </w:pPr>
      <w:r>
        <w:rPr>
          <w:b/>
          <w:szCs w:val="32"/>
        </w:rPr>
        <w:t>13</w:t>
      </w:r>
      <w:r>
        <w:rPr>
          <w:rFonts w:hint="eastAsia" w:ascii="仿宋_GB2312" w:hAnsi="仿宋_GB2312" w:cs="仿宋_GB2312"/>
          <w:b/>
          <w:szCs w:val="32"/>
        </w:rPr>
        <w:t>.</w:t>
      </w:r>
      <w:r>
        <w:rPr>
          <w:b/>
          <w:szCs w:val="32"/>
        </w:rPr>
        <w:t>卫生健康支出（类）行政事业单位医疗（款）行政单位医疗（项）：</w:t>
      </w:r>
      <w:r>
        <w:rPr>
          <w:kern w:val="32"/>
          <w:szCs w:val="32"/>
        </w:rPr>
        <w:t>支出决算数为720.62 万元，完成预算99.81%，决算数与预算数基本持平。</w:t>
      </w:r>
    </w:p>
    <w:p>
      <w:pPr>
        <w:spacing w:line="550" w:lineRule="exact"/>
        <w:ind w:firstLine="632" w:firstLineChars="200"/>
        <w:rPr>
          <w:kern w:val="32"/>
          <w:szCs w:val="32"/>
        </w:rPr>
      </w:pPr>
      <w:r>
        <w:rPr>
          <w:b/>
          <w:szCs w:val="32"/>
        </w:rPr>
        <w:t>14</w:t>
      </w:r>
      <w:r>
        <w:rPr>
          <w:rFonts w:hint="eastAsia" w:ascii="仿宋_GB2312" w:hAnsi="仿宋_GB2312" w:cs="仿宋_GB2312"/>
          <w:b/>
          <w:szCs w:val="32"/>
        </w:rPr>
        <w:t>.</w:t>
      </w:r>
      <w:r>
        <w:rPr>
          <w:b/>
          <w:szCs w:val="32"/>
        </w:rPr>
        <w:t>卫生健康支出（类）行政事业单位医疗（款）事业单位医疗（项）：</w:t>
      </w:r>
      <w:r>
        <w:rPr>
          <w:kern w:val="32"/>
          <w:szCs w:val="32"/>
        </w:rPr>
        <w:t>支出决算数为24.94 万元，完成预算100%，决算数与预算数持平。</w:t>
      </w:r>
    </w:p>
    <w:p>
      <w:pPr>
        <w:spacing w:line="550" w:lineRule="exact"/>
        <w:ind w:firstLine="632" w:firstLineChars="200"/>
        <w:rPr>
          <w:kern w:val="32"/>
          <w:szCs w:val="32"/>
        </w:rPr>
      </w:pPr>
      <w:r>
        <w:rPr>
          <w:b/>
          <w:szCs w:val="32"/>
        </w:rPr>
        <w:t>15</w:t>
      </w:r>
      <w:r>
        <w:rPr>
          <w:rFonts w:hint="eastAsia" w:ascii="仿宋_GB2312" w:hAnsi="仿宋_GB2312" w:cs="仿宋_GB2312"/>
          <w:b/>
          <w:szCs w:val="32"/>
        </w:rPr>
        <w:t>.</w:t>
      </w:r>
      <w:r>
        <w:rPr>
          <w:b/>
          <w:szCs w:val="32"/>
        </w:rPr>
        <w:t>卫生健康支出（类）行政事业单位医疗（款）公务员医疗补助（项）：</w:t>
      </w:r>
      <w:r>
        <w:rPr>
          <w:kern w:val="32"/>
          <w:szCs w:val="32"/>
        </w:rPr>
        <w:t>支出决算数为150.34 万元，完成预算99.03%，决算数与预算数基本持平。</w:t>
      </w:r>
    </w:p>
    <w:p>
      <w:pPr>
        <w:spacing w:line="550" w:lineRule="exact"/>
        <w:ind w:firstLine="632" w:firstLineChars="200"/>
        <w:rPr>
          <w:kern w:val="32"/>
          <w:szCs w:val="32"/>
        </w:rPr>
      </w:pPr>
      <w:r>
        <w:rPr>
          <w:b/>
          <w:szCs w:val="32"/>
        </w:rPr>
        <w:t>16</w:t>
      </w:r>
      <w:r>
        <w:rPr>
          <w:rFonts w:hint="eastAsia" w:ascii="仿宋_GB2312" w:hAnsi="仿宋_GB2312" w:cs="仿宋_GB2312"/>
          <w:b/>
          <w:szCs w:val="32"/>
        </w:rPr>
        <w:t>.</w:t>
      </w:r>
      <w:r>
        <w:rPr>
          <w:b/>
          <w:szCs w:val="32"/>
        </w:rPr>
        <w:t>住房保障支出（类）住房改革支出（款）住房公积金（项）：</w:t>
      </w:r>
      <w:r>
        <w:rPr>
          <w:kern w:val="32"/>
          <w:szCs w:val="32"/>
        </w:rPr>
        <w:t>支出决算数为914.72 万元，完成预算97.29%，决算数小于预算数的主要原因是</w:t>
      </w:r>
      <w:r>
        <w:rPr>
          <w:rFonts w:hint="eastAsia"/>
          <w:kern w:val="32"/>
          <w:szCs w:val="32"/>
        </w:rPr>
        <w:t>退休人员自然减员后</w:t>
      </w:r>
      <w:r>
        <w:rPr>
          <w:kern w:val="32"/>
          <w:szCs w:val="32"/>
        </w:rPr>
        <w:t>部分住房公积金预算未能实现支出。</w:t>
      </w:r>
    </w:p>
    <w:p>
      <w:pPr>
        <w:spacing w:line="550" w:lineRule="exact"/>
        <w:ind w:firstLine="632" w:firstLineChars="200"/>
        <w:rPr>
          <w:kern w:val="32"/>
          <w:szCs w:val="32"/>
        </w:rPr>
      </w:pPr>
      <w:r>
        <w:rPr>
          <w:b/>
          <w:szCs w:val="32"/>
        </w:rPr>
        <w:t>17</w:t>
      </w:r>
      <w:r>
        <w:rPr>
          <w:rFonts w:hint="eastAsia" w:ascii="仿宋_GB2312" w:hAnsi="仿宋_GB2312" w:cs="仿宋_GB2312"/>
          <w:b/>
          <w:szCs w:val="32"/>
        </w:rPr>
        <w:t>.</w:t>
      </w:r>
      <w:r>
        <w:rPr>
          <w:b/>
          <w:szCs w:val="32"/>
        </w:rPr>
        <w:t>住房保障支出（类）住房改革支出（款）购房补贴（项）：</w:t>
      </w:r>
      <w:r>
        <w:rPr>
          <w:kern w:val="32"/>
          <w:szCs w:val="32"/>
        </w:rPr>
        <w:t>支出决算数为1794.92 万元，完成预算99.88%，决算数与预算数基本持平。</w:t>
      </w:r>
    </w:p>
    <w:p>
      <w:pPr>
        <w:spacing w:line="550" w:lineRule="exact"/>
        <w:ind w:firstLine="632" w:firstLineChars="200"/>
        <w:rPr>
          <w:kern w:val="32"/>
          <w:szCs w:val="32"/>
        </w:rPr>
      </w:pPr>
      <w:r>
        <w:rPr>
          <w:b/>
          <w:szCs w:val="32"/>
        </w:rPr>
        <w:t>18</w:t>
      </w:r>
      <w:r>
        <w:rPr>
          <w:rFonts w:hint="eastAsia" w:ascii="仿宋_GB2312" w:hAnsi="仿宋_GB2312" w:cs="仿宋_GB2312"/>
          <w:b/>
          <w:szCs w:val="32"/>
        </w:rPr>
        <w:t>.</w:t>
      </w:r>
      <w:r>
        <w:rPr>
          <w:b/>
          <w:szCs w:val="32"/>
        </w:rPr>
        <w:t>一般公共服务支出（类）其他一般公共服务支出（款）其他一般公共服务支出（项）：</w:t>
      </w:r>
      <w:r>
        <w:rPr>
          <w:kern w:val="32"/>
          <w:szCs w:val="32"/>
        </w:rPr>
        <w:t>支出决算数为21.65 万元，完成预算98.86%，决算数小于预算数的原因是受市场价格变动影响，四川省省直机关汽车大修专项资金预算未能全部实现支出。</w:t>
      </w:r>
    </w:p>
    <w:p>
      <w:pPr>
        <w:spacing w:line="550" w:lineRule="exact"/>
        <w:ind w:firstLine="632" w:firstLineChars="200"/>
        <w:rPr>
          <w:kern w:val="32"/>
          <w:szCs w:val="32"/>
        </w:rPr>
      </w:pPr>
      <w:r>
        <w:rPr>
          <w:b/>
          <w:szCs w:val="32"/>
        </w:rPr>
        <w:t>19</w:t>
      </w:r>
      <w:r>
        <w:rPr>
          <w:rFonts w:hint="eastAsia" w:ascii="仿宋_GB2312" w:hAnsi="仿宋_GB2312" w:cs="仿宋_GB2312"/>
          <w:b/>
          <w:szCs w:val="32"/>
        </w:rPr>
        <w:t>.</w:t>
      </w:r>
      <w:r>
        <w:rPr>
          <w:b/>
          <w:szCs w:val="32"/>
        </w:rPr>
        <w:t>公共安全支出（类）共他公共安全（款）国家司法救助支出（项）：</w:t>
      </w:r>
      <w:r>
        <w:rPr>
          <w:kern w:val="32"/>
          <w:szCs w:val="32"/>
        </w:rPr>
        <w:t>支出决算数为128.50 万元，完成预算98.5%，决算数与预算数基本持平。</w:t>
      </w:r>
    </w:p>
    <w:p>
      <w:pPr>
        <w:spacing w:line="550" w:lineRule="exact"/>
        <w:ind w:firstLine="632" w:firstLineChars="200"/>
        <w:rPr>
          <w:kern w:val="32"/>
          <w:szCs w:val="32"/>
        </w:rPr>
      </w:pPr>
      <w:r>
        <w:rPr>
          <w:b/>
          <w:szCs w:val="32"/>
        </w:rPr>
        <w:t>20</w:t>
      </w:r>
      <w:r>
        <w:rPr>
          <w:rFonts w:hint="eastAsia" w:ascii="仿宋_GB2312" w:hAnsi="仿宋_GB2312" w:cs="仿宋_GB2312"/>
          <w:b/>
          <w:szCs w:val="32"/>
        </w:rPr>
        <w:t>.</w:t>
      </w:r>
      <w:r>
        <w:rPr>
          <w:b/>
          <w:szCs w:val="32"/>
        </w:rPr>
        <w:t>灾害防治及应急管理支出（类）应急管理事务（款）其他应急管理支出（项）：</w:t>
      </w:r>
      <w:r>
        <w:rPr>
          <w:kern w:val="32"/>
          <w:szCs w:val="32"/>
        </w:rPr>
        <w:t>支出决算数为8.00 万元，完成预算100%，决算数与预算数持平。</w:t>
      </w:r>
    </w:p>
    <w:p>
      <w:pPr>
        <w:tabs>
          <w:tab w:val="right" w:pos="8306"/>
        </w:tabs>
        <w:spacing w:line="550" w:lineRule="exact"/>
        <w:ind w:firstLine="632" w:firstLineChars="200"/>
        <w:outlineLvl w:val="1"/>
        <w:rPr>
          <w:rStyle w:val="28"/>
          <w:rFonts w:ascii="Times New Roman" w:hAnsi="Times New Roman" w:cs="Times New Roman"/>
        </w:rPr>
      </w:pPr>
      <w:bookmarkStart w:id="81" w:name="_Toc15377214"/>
      <w:bookmarkStart w:id="82" w:name="_Toc15396608"/>
      <w:bookmarkStart w:id="83" w:name="_Toc112342340"/>
      <w:bookmarkStart w:id="84" w:name="_Toc112397095"/>
      <w:r>
        <w:rPr>
          <w:rFonts w:eastAsia="黑体"/>
          <w:szCs w:val="32"/>
        </w:rPr>
        <w:t>六</w:t>
      </w:r>
      <w:r>
        <w:rPr>
          <w:rFonts w:eastAsia="黑体"/>
          <w:bCs/>
          <w:szCs w:val="32"/>
        </w:rPr>
        <w:t>、一</w:t>
      </w:r>
      <w:r>
        <w:rPr>
          <w:rStyle w:val="28"/>
          <w:rFonts w:ascii="Times New Roman" w:hAnsi="Times New Roman" w:eastAsia="黑体" w:cs="Times New Roman"/>
          <w:b w:val="0"/>
        </w:rPr>
        <w:t>般公共预算财政拨款基本支出决算情况说明</w:t>
      </w:r>
      <w:bookmarkEnd w:id="81"/>
      <w:bookmarkEnd w:id="82"/>
      <w:bookmarkEnd w:id="83"/>
      <w:bookmarkEnd w:id="84"/>
    </w:p>
    <w:p>
      <w:pPr>
        <w:spacing w:line="550" w:lineRule="exact"/>
        <w:ind w:firstLine="632" w:firstLineChars="200"/>
        <w:rPr>
          <w:szCs w:val="32"/>
        </w:rPr>
      </w:pPr>
      <w:r>
        <w:rPr>
          <w:szCs w:val="32"/>
        </w:rPr>
        <w:t>2021年一般公共预算财政拨款基本支出21,067.</w:t>
      </w:r>
      <w:r>
        <w:rPr>
          <w:rFonts w:hint="eastAsia"/>
          <w:szCs w:val="32"/>
        </w:rPr>
        <w:t>59</w:t>
      </w:r>
      <w:r>
        <w:rPr>
          <w:szCs w:val="32"/>
        </w:rPr>
        <w:t>万元，其中：</w:t>
      </w:r>
    </w:p>
    <w:p>
      <w:pPr>
        <w:pStyle w:val="2"/>
        <w:spacing w:beforeLines="0" w:line="550" w:lineRule="exact"/>
        <w:ind w:firstLine="632" w:firstLineChars="200"/>
        <w:rPr>
          <w:rFonts w:ascii="Times New Roman"/>
          <w:sz w:val="32"/>
          <w:szCs w:val="32"/>
        </w:rPr>
      </w:pPr>
      <w:r>
        <w:rPr>
          <w:rFonts w:ascii="Times New Roman"/>
          <w:sz w:val="32"/>
          <w:szCs w:val="32"/>
        </w:rPr>
        <w:t>人员经费16,934.</w:t>
      </w:r>
      <w:r>
        <w:rPr>
          <w:rFonts w:hint="eastAsia" w:ascii="Times New Roman"/>
          <w:sz w:val="32"/>
          <w:szCs w:val="32"/>
        </w:rPr>
        <w:t>09</w:t>
      </w:r>
      <w:r>
        <w:rPr>
          <w:rFonts w:ascii="Times New Roman"/>
          <w:sz w:val="32"/>
          <w:szCs w:val="32"/>
        </w:rPr>
        <w:t>万元，主要包括：</w:t>
      </w:r>
      <w:r>
        <w:rPr>
          <w:rFonts w:ascii="Times New Roman"/>
          <w:kern w:val="2"/>
          <w:sz w:val="32"/>
          <w:szCs w:val="32"/>
        </w:rPr>
        <w:t>基本工资2,813.92万元、津贴补贴4,386.8</w:t>
      </w:r>
      <w:r>
        <w:rPr>
          <w:rFonts w:hint="eastAsia" w:ascii="Times New Roman"/>
          <w:kern w:val="2"/>
          <w:sz w:val="32"/>
          <w:szCs w:val="32"/>
        </w:rPr>
        <w:t>6</w:t>
      </w:r>
      <w:r>
        <w:rPr>
          <w:rFonts w:ascii="Times New Roman"/>
          <w:kern w:val="2"/>
          <w:sz w:val="32"/>
          <w:szCs w:val="32"/>
        </w:rPr>
        <w:t>万元、奖金230.27万元、绩效工资95.22万元、机关事业单位基本养老保险缴费869.14万元、职业年金缴费204.65万元、职工基本医疗保险缴费745.56万元、公务员医疗补助缴费150.34万元、其他社会保障缴费4.54万元、住房公积金918.79万元、其他工资福利支出4,898.8</w:t>
      </w:r>
      <w:r>
        <w:rPr>
          <w:rFonts w:hint="eastAsia" w:ascii="Times New Roman"/>
          <w:kern w:val="2"/>
          <w:sz w:val="32"/>
          <w:szCs w:val="32"/>
        </w:rPr>
        <w:t>7</w:t>
      </w:r>
      <w:r>
        <w:rPr>
          <w:rFonts w:ascii="Times New Roman"/>
          <w:kern w:val="2"/>
          <w:sz w:val="32"/>
          <w:szCs w:val="32"/>
        </w:rPr>
        <w:t>万元、离休费165.54万元、抚恤金154.65万元、奖励金0.7</w:t>
      </w:r>
      <w:r>
        <w:rPr>
          <w:rFonts w:hint="eastAsia" w:ascii="Times New Roman"/>
          <w:kern w:val="2"/>
          <w:sz w:val="32"/>
          <w:szCs w:val="32"/>
        </w:rPr>
        <w:t>3</w:t>
      </w:r>
      <w:r>
        <w:rPr>
          <w:rFonts w:ascii="Times New Roman"/>
          <w:kern w:val="2"/>
          <w:sz w:val="32"/>
          <w:szCs w:val="32"/>
        </w:rPr>
        <w:t>万元、其他对个人和家庭的补助1,295.01万元</w:t>
      </w:r>
      <w:r>
        <w:rPr>
          <w:rFonts w:ascii="Times New Roman"/>
          <w:sz w:val="32"/>
          <w:szCs w:val="32"/>
        </w:rPr>
        <w:t>。</w:t>
      </w:r>
    </w:p>
    <w:p>
      <w:pPr>
        <w:spacing w:line="550" w:lineRule="exact"/>
        <w:ind w:firstLine="632" w:firstLineChars="200"/>
        <w:rPr>
          <w:szCs w:val="32"/>
        </w:rPr>
      </w:pPr>
      <w:r>
        <w:rPr>
          <w:szCs w:val="32"/>
        </w:rPr>
        <w:t>公用经费4,133.50万元，主要包括：办公费208.</w:t>
      </w:r>
      <w:r>
        <w:rPr>
          <w:rFonts w:hint="eastAsia"/>
          <w:szCs w:val="32"/>
        </w:rPr>
        <w:t>90</w:t>
      </w:r>
      <w:r>
        <w:rPr>
          <w:szCs w:val="32"/>
        </w:rPr>
        <w:t>万元、印刷费4.7</w:t>
      </w:r>
      <w:r>
        <w:rPr>
          <w:rFonts w:hint="eastAsia"/>
          <w:szCs w:val="32"/>
        </w:rPr>
        <w:t>4</w:t>
      </w:r>
      <w:r>
        <w:rPr>
          <w:szCs w:val="32"/>
        </w:rPr>
        <w:t>万元、手续费0.14万元、水费23.5万元、电费252.22万元、邮电费56.3万元、取暖费21.08万元、物业管理费790.9万元、差旅费506.6万元、维修（护）费303.23万元、租赁费7.19万元、会议费26.12万元、培训费232.4</w:t>
      </w:r>
      <w:r>
        <w:rPr>
          <w:rFonts w:hint="eastAsia"/>
          <w:szCs w:val="32"/>
        </w:rPr>
        <w:t>3</w:t>
      </w:r>
      <w:r>
        <w:rPr>
          <w:szCs w:val="32"/>
        </w:rPr>
        <w:t>万元、公务接待费7.24万元、劳务费112.44万元、工会经费222.83万元、福利费15.3万元、公务用车运行维护费314.99万元、其他交通费用576.94万元、其他商品和服务支出440.6</w:t>
      </w:r>
      <w:r>
        <w:rPr>
          <w:rFonts w:hint="eastAsia"/>
          <w:szCs w:val="32"/>
        </w:rPr>
        <w:t>7</w:t>
      </w:r>
      <w:r>
        <w:rPr>
          <w:szCs w:val="32"/>
        </w:rPr>
        <w:t>万元、公务用车购置9.74万元。</w:t>
      </w:r>
    </w:p>
    <w:p>
      <w:pPr>
        <w:spacing w:line="550" w:lineRule="exact"/>
        <w:ind w:firstLine="632" w:firstLineChars="200"/>
        <w:outlineLvl w:val="1"/>
        <w:rPr>
          <w:rStyle w:val="28"/>
          <w:rFonts w:ascii="Times New Roman" w:hAnsi="Times New Roman" w:eastAsia="黑体" w:cs="Times New Roman"/>
          <w:b w:val="0"/>
        </w:rPr>
      </w:pPr>
      <w:bookmarkStart w:id="85" w:name="_Toc112342341"/>
      <w:bookmarkStart w:id="86" w:name="_Toc15377215"/>
      <w:bookmarkStart w:id="87" w:name="_Toc15396609"/>
      <w:bookmarkStart w:id="88" w:name="_Toc112397096"/>
      <w:r>
        <w:rPr>
          <w:rFonts w:eastAsia="黑体"/>
          <w:szCs w:val="32"/>
        </w:rPr>
        <w:t>七、</w:t>
      </w:r>
      <w:r>
        <w:rPr>
          <w:rStyle w:val="28"/>
          <w:rFonts w:hint="eastAsia" w:eastAsia="黑体" w:cs="Times New Roman"/>
          <w:b w:val="0"/>
          <w:bCs w:val="0"/>
        </w:rPr>
        <w:t>“</w:t>
      </w:r>
      <w:r>
        <w:rPr>
          <w:rStyle w:val="28"/>
          <w:rFonts w:ascii="Times New Roman" w:hAnsi="Times New Roman" w:eastAsia="黑体" w:cs="Times New Roman"/>
          <w:b w:val="0"/>
        </w:rPr>
        <w:t>三公</w:t>
      </w:r>
      <w:r>
        <w:rPr>
          <w:rStyle w:val="28"/>
          <w:rFonts w:hint="eastAsia" w:eastAsia="黑体" w:cs="Times New Roman"/>
          <w:b w:val="0"/>
        </w:rPr>
        <w:t>”</w:t>
      </w:r>
      <w:r>
        <w:rPr>
          <w:rStyle w:val="28"/>
          <w:rFonts w:ascii="Times New Roman" w:hAnsi="Times New Roman" w:eastAsia="黑体" w:cs="Times New Roman"/>
          <w:b w:val="0"/>
        </w:rPr>
        <w:t>经费财政拨款支出决算情况说明</w:t>
      </w:r>
      <w:bookmarkEnd w:id="85"/>
      <w:bookmarkEnd w:id="86"/>
      <w:bookmarkEnd w:id="87"/>
      <w:bookmarkEnd w:id="88"/>
    </w:p>
    <w:p>
      <w:pPr>
        <w:spacing w:line="550" w:lineRule="exact"/>
        <w:ind w:firstLine="632" w:firstLineChars="200"/>
        <w:outlineLvl w:val="2"/>
        <w:rPr>
          <w:rFonts w:eastAsia="楷体_GB2312"/>
          <w:bCs/>
          <w:szCs w:val="32"/>
        </w:rPr>
      </w:pPr>
      <w:bookmarkStart w:id="89" w:name="_Toc15377216"/>
      <w:bookmarkStart w:id="90" w:name="_Toc112341695"/>
      <w:bookmarkStart w:id="91" w:name="_Toc112342342"/>
      <w:bookmarkStart w:id="92" w:name="_Toc112397097"/>
      <w:r>
        <w:rPr>
          <w:rFonts w:eastAsia="楷体_GB2312"/>
          <w:bCs/>
          <w:szCs w:val="32"/>
        </w:rPr>
        <w:t>（一）</w:t>
      </w:r>
      <w:r>
        <w:rPr>
          <w:rFonts w:hint="eastAsia" w:eastAsia="楷体_GB2312"/>
          <w:bCs/>
          <w:szCs w:val="32"/>
        </w:rPr>
        <w:t>“</w:t>
      </w:r>
      <w:r>
        <w:rPr>
          <w:rFonts w:eastAsia="楷体_GB2312"/>
          <w:bCs/>
          <w:szCs w:val="32"/>
        </w:rPr>
        <w:t>三公</w:t>
      </w:r>
      <w:r>
        <w:rPr>
          <w:rFonts w:hint="eastAsia" w:eastAsia="楷体_GB2312"/>
          <w:bCs/>
          <w:szCs w:val="32"/>
        </w:rPr>
        <w:t>”</w:t>
      </w:r>
      <w:r>
        <w:rPr>
          <w:rFonts w:eastAsia="楷体_GB2312"/>
          <w:bCs/>
          <w:szCs w:val="32"/>
        </w:rPr>
        <w:t>经费财政拨款支出决算总体情况说明</w:t>
      </w:r>
      <w:bookmarkEnd w:id="89"/>
      <w:bookmarkEnd w:id="90"/>
      <w:bookmarkEnd w:id="91"/>
      <w:bookmarkEnd w:id="92"/>
    </w:p>
    <w:p>
      <w:pPr>
        <w:spacing w:line="550" w:lineRule="exact"/>
        <w:ind w:firstLine="632" w:firstLineChars="200"/>
        <w:rPr>
          <w:szCs w:val="32"/>
        </w:rPr>
      </w:pPr>
      <w:r>
        <w:rPr>
          <w:szCs w:val="32"/>
        </w:rPr>
        <w:t>2021年</w:t>
      </w:r>
      <w:r>
        <w:rPr>
          <w:rFonts w:hint="eastAsia"/>
          <w:szCs w:val="32"/>
        </w:rPr>
        <w:t>“</w:t>
      </w:r>
      <w:r>
        <w:rPr>
          <w:szCs w:val="32"/>
        </w:rPr>
        <w:t>三公</w:t>
      </w:r>
      <w:r>
        <w:rPr>
          <w:rFonts w:hint="eastAsia"/>
          <w:szCs w:val="32"/>
        </w:rPr>
        <w:t>”</w:t>
      </w:r>
      <w:r>
        <w:rPr>
          <w:szCs w:val="32"/>
        </w:rPr>
        <w:t>经费财政拨款支出决算为391.1</w:t>
      </w:r>
      <w:r>
        <w:rPr>
          <w:rFonts w:hint="eastAsia"/>
          <w:szCs w:val="32"/>
        </w:rPr>
        <w:t>2</w:t>
      </w:r>
      <w:bookmarkStart w:id="154" w:name="_GoBack"/>
      <w:bookmarkEnd w:id="154"/>
      <w:r>
        <w:rPr>
          <w:szCs w:val="32"/>
        </w:rPr>
        <w:t>万元，完成预算69.07%，决算数小于预算数的主要原因是2021年受新冠疫情影响公务出差频次减少，公务出国任务取消，导致公务用车运行维护费、因公出国（境）费减少，同时2021年公务用车更新数量减少导致公务用车购置费减少。</w:t>
      </w:r>
    </w:p>
    <w:p>
      <w:pPr>
        <w:spacing w:line="550" w:lineRule="exact"/>
        <w:ind w:firstLine="632" w:firstLineChars="200"/>
        <w:outlineLvl w:val="2"/>
        <w:rPr>
          <w:rFonts w:eastAsia="楷体_GB2312"/>
          <w:bCs/>
          <w:szCs w:val="32"/>
        </w:rPr>
      </w:pPr>
      <w:bookmarkStart w:id="93" w:name="_Toc15377217"/>
      <w:bookmarkStart w:id="94" w:name="_Toc112341696"/>
      <w:bookmarkStart w:id="95" w:name="_Toc112342343"/>
      <w:bookmarkStart w:id="96" w:name="_Toc112397098"/>
      <w:r>
        <w:rPr>
          <w:rFonts w:eastAsia="楷体_GB2312"/>
          <w:bCs/>
          <w:szCs w:val="32"/>
        </w:rPr>
        <w:t>（二）</w:t>
      </w:r>
      <w:r>
        <w:rPr>
          <w:rFonts w:hint="eastAsia" w:eastAsia="楷体_GB2312"/>
          <w:bCs/>
          <w:szCs w:val="32"/>
        </w:rPr>
        <w:t>“</w:t>
      </w:r>
      <w:r>
        <w:rPr>
          <w:rFonts w:eastAsia="楷体_GB2312"/>
          <w:bCs/>
          <w:szCs w:val="32"/>
        </w:rPr>
        <w:t>三公</w:t>
      </w:r>
      <w:r>
        <w:rPr>
          <w:rFonts w:hint="eastAsia" w:eastAsia="楷体_GB2312"/>
          <w:bCs/>
          <w:szCs w:val="32"/>
        </w:rPr>
        <w:t>”</w:t>
      </w:r>
      <w:r>
        <w:rPr>
          <w:rFonts w:eastAsia="楷体_GB2312"/>
          <w:bCs/>
          <w:szCs w:val="32"/>
        </w:rPr>
        <w:t>经费财政拨款支出决算具体情况说明</w:t>
      </w:r>
      <w:bookmarkEnd w:id="93"/>
      <w:bookmarkEnd w:id="94"/>
      <w:bookmarkEnd w:id="95"/>
      <w:bookmarkEnd w:id="96"/>
    </w:p>
    <w:p>
      <w:pPr>
        <w:spacing w:line="550" w:lineRule="exact"/>
        <w:ind w:firstLine="632" w:firstLineChars="200"/>
        <w:rPr>
          <w:szCs w:val="32"/>
        </w:rPr>
      </w:pPr>
      <w:r>
        <w:rPr>
          <w:szCs w:val="32"/>
        </w:rPr>
        <w:t>2021年</w:t>
      </w:r>
      <w:r>
        <w:rPr>
          <w:rFonts w:hint="eastAsia"/>
          <w:szCs w:val="32"/>
        </w:rPr>
        <w:t>“</w:t>
      </w:r>
      <w:r>
        <w:rPr>
          <w:szCs w:val="32"/>
        </w:rPr>
        <w:t>三公</w:t>
      </w:r>
      <w:r>
        <w:rPr>
          <w:rFonts w:hint="eastAsia"/>
          <w:szCs w:val="32"/>
        </w:rPr>
        <w:t>”</w:t>
      </w:r>
      <w:r>
        <w:rPr>
          <w:szCs w:val="32"/>
        </w:rPr>
        <w:t>经费财政拨款支出决算中，因公出国（境）费支出决算0万元，占0%；公务用车购置及运行维护费支出决算383.8</w:t>
      </w:r>
      <w:r>
        <w:rPr>
          <w:rFonts w:hint="eastAsia"/>
          <w:szCs w:val="32"/>
        </w:rPr>
        <w:t>8</w:t>
      </w:r>
      <w:r>
        <w:rPr>
          <w:szCs w:val="32"/>
        </w:rPr>
        <w:t>万元，占98.15%；公务接待费支出决算7.24 万元，占1.85%。具体情况如下：</w:t>
      </w:r>
    </w:p>
    <w:p>
      <w:pPr>
        <w:pStyle w:val="2"/>
        <w:spacing w:before="173"/>
        <w:jc w:val="center"/>
        <w:rPr>
          <w:rFonts w:ascii="Times New Roman"/>
        </w:rPr>
      </w:pPr>
      <w:r>
        <w:rPr>
          <w:rFonts w:ascii="Times New Roman"/>
        </w:rPr>
        <w:drawing>
          <wp:inline distT="0" distB="0" distL="0" distR="0">
            <wp:extent cx="5292090" cy="4286250"/>
            <wp:effectExtent l="19050" t="0" r="3810" b="0"/>
            <wp:docPr id="14" name="图片 12" descr="E:\转移\e盘\2021年工作\2021年决算\2021年决算公开\2021年决算图表\“三公”经费财政拨款支出构成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E:\转移\e盘\2021年工作\2021年决算\2021年决算公开\2021年决算图表\“三公”经费财政拨款支出构成图.png"/>
                    <pic:cNvPicPr>
                      <a:picLocks noChangeAspect="1" noChangeArrowheads="1"/>
                    </pic:cNvPicPr>
                  </pic:nvPicPr>
                  <pic:blipFill>
                    <a:blip r:embed="rId12"/>
                    <a:srcRect/>
                    <a:stretch>
                      <a:fillRect/>
                    </a:stretch>
                  </pic:blipFill>
                  <pic:spPr>
                    <a:xfrm>
                      <a:off x="0" y="0"/>
                      <a:ext cx="5292090" cy="4286250"/>
                    </a:xfrm>
                    <a:prstGeom prst="rect">
                      <a:avLst/>
                    </a:prstGeom>
                    <a:noFill/>
                    <a:ln w="9525">
                      <a:noFill/>
                      <a:miter lim="800000"/>
                      <a:headEnd/>
                      <a:tailEnd/>
                    </a:ln>
                  </pic:spPr>
                </pic:pic>
              </a:graphicData>
            </a:graphic>
          </wp:inline>
        </w:drawing>
      </w:r>
    </w:p>
    <w:p>
      <w:pPr>
        <w:ind w:firstLine="632" w:firstLineChars="200"/>
        <w:rPr>
          <w:szCs w:val="32"/>
        </w:rPr>
      </w:pPr>
      <w:r>
        <w:rPr>
          <w:b/>
          <w:szCs w:val="32"/>
        </w:rPr>
        <w:t>1</w:t>
      </w:r>
      <w:r>
        <w:rPr>
          <w:rFonts w:hint="eastAsia" w:ascii="仿宋_GB2312" w:hAnsi="仿宋_GB2312" w:cs="仿宋_GB2312"/>
          <w:b/>
          <w:szCs w:val="32"/>
        </w:rPr>
        <w:t>.</w:t>
      </w:r>
      <w:r>
        <w:rPr>
          <w:b/>
          <w:szCs w:val="32"/>
        </w:rPr>
        <w:t>因公出国（境）经费支出</w:t>
      </w:r>
      <w:r>
        <w:rPr>
          <w:szCs w:val="32"/>
        </w:rPr>
        <w:t>0万元，完成预算100%。主要原因是受新冠疫情影响，当年未安排预算，未产生因公出国（境）经费支出。</w:t>
      </w:r>
    </w:p>
    <w:p>
      <w:pPr>
        <w:ind w:firstLine="632" w:firstLineChars="200"/>
        <w:rPr>
          <w:szCs w:val="32"/>
        </w:rPr>
      </w:pPr>
      <w:r>
        <w:rPr>
          <w:b/>
          <w:szCs w:val="32"/>
        </w:rPr>
        <w:t>2</w:t>
      </w:r>
      <w:r>
        <w:rPr>
          <w:rFonts w:hint="eastAsia" w:ascii="仿宋_GB2312" w:hAnsi="仿宋_GB2312" w:cs="仿宋_GB2312"/>
          <w:b/>
          <w:szCs w:val="32"/>
        </w:rPr>
        <w:t>.</w:t>
      </w:r>
      <w:r>
        <w:rPr>
          <w:b/>
          <w:szCs w:val="32"/>
        </w:rPr>
        <w:t>公务用车购置及运行维护费支</w:t>
      </w:r>
      <w:r>
        <w:rPr>
          <w:rFonts w:hint="eastAsia"/>
          <w:b/>
          <w:szCs w:val="32"/>
        </w:rPr>
        <w:t>出</w:t>
      </w:r>
      <w:r>
        <w:rPr>
          <w:szCs w:val="32"/>
        </w:rPr>
        <w:t>383.8</w:t>
      </w:r>
      <w:r>
        <w:rPr>
          <w:rFonts w:hint="eastAsia"/>
          <w:szCs w:val="32"/>
        </w:rPr>
        <w:t>8</w:t>
      </w:r>
      <w:r>
        <w:rPr>
          <w:szCs w:val="32"/>
        </w:rPr>
        <w:t>万元</w:t>
      </w:r>
      <w:r>
        <w:rPr>
          <w:rFonts w:hint="eastAsia"/>
          <w:szCs w:val="32"/>
        </w:rPr>
        <w:t>，</w:t>
      </w:r>
      <w:r>
        <w:rPr>
          <w:rStyle w:val="17"/>
          <w:b w:val="0"/>
          <w:bCs/>
          <w:szCs w:val="32"/>
        </w:rPr>
        <w:t>完成预算71.17%。</w:t>
      </w:r>
      <w:r>
        <w:rPr>
          <w:szCs w:val="32"/>
        </w:rPr>
        <w:t>公务用车购置及运行维护费支出决算比2020年减少19.3</w:t>
      </w:r>
      <w:r>
        <w:rPr>
          <w:rFonts w:hint="eastAsia"/>
          <w:szCs w:val="32"/>
        </w:rPr>
        <w:t>1</w:t>
      </w:r>
      <w:r>
        <w:rPr>
          <w:szCs w:val="32"/>
        </w:rPr>
        <w:t>万元，下降4.79%。主要原因为2021年受新冠疫情影响公务用车使用频率降低，公务用车运行维护费支出减少，同时2021年公务用车购置费</w:t>
      </w:r>
      <w:r>
        <w:rPr>
          <w:rFonts w:hint="eastAsia"/>
          <w:szCs w:val="32"/>
        </w:rPr>
        <w:t>相应</w:t>
      </w:r>
      <w:r>
        <w:rPr>
          <w:szCs w:val="32"/>
        </w:rPr>
        <w:t>减少。</w:t>
      </w:r>
    </w:p>
    <w:p>
      <w:pPr>
        <w:ind w:firstLine="632" w:firstLineChars="200"/>
        <w:rPr>
          <w:szCs w:val="32"/>
        </w:rPr>
      </w:pPr>
      <w:r>
        <w:rPr>
          <w:szCs w:val="32"/>
        </w:rPr>
        <w:t>其中：公务用车购置支出65.99万元。全年按规定更新购置公务用车3辆，其中：越野车3辆、金额66.59万元，主要用于检察办案执法执勤使用。截至2021年12月底，单位共有公务用车130辆，其中：轿车97辆、越野车22辆、载客汽车11辆。</w:t>
      </w:r>
    </w:p>
    <w:p>
      <w:pPr>
        <w:ind w:firstLine="632" w:firstLineChars="200"/>
        <w:rPr>
          <w:szCs w:val="32"/>
        </w:rPr>
      </w:pPr>
      <w:r>
        <w:rPr>
          <w:szCs w:val="32"/>
        </w:rPr>
        <w:t>公务用车运行维护费支出317.89万元。主要用于检察办案等工作所需公务用车燃料费、维修费、过路过桥费、保险费等支出。</w:t>
      </w:r>
    </w:p>
    <w:p>
      <w:pPr>
        <w:ind w:firstLine="632" w:firstLineChars="200"/>
        <w:rPr>
          <w:szCs w:val="32"/>
        </w:rPr>
      </w:pPr>
      <w:r>
        <w:rPr>
          <w:szCs w:val="32"/>
        </w:rPr>
        <w:t>3</w:t>
      </w:r>
      <w:r>
        <w:rPr>
          <w:rFonts w:hint="eastAsia" w:ascii="仿宋_GB2312" w:hAnsi="仿宋_GB2312" w:cs="仿宋_GB2312"/>
          <w:szCs w:val="32"/>
        </w:rPr>
        <w:t>.</w:t>
      </w:r>
      <w:r>
        <w:rPr>
          <w:szCs w:val="32"/>
        </w:rPr>
        <w:t>公务接待费支出7.24万元，完成预算26.93%。公务接待费支出决算比2020年增加0.38万元，增长5.54%。主要原是接待检察系统人员考察调研、工作汇报及协助办案有所增加。其中：</w:t>
      </w:r>
    </w:p>
    <w:p>
      <w:pPr>
        <w:ind w:firstLine="632" w:firstLineChars="200"/>
        <w:rPr>
          <w:szCs w:val="32"/>
        </w:rPr>
      </w:pPr>
      <w:r>
        <w:rPr>
          <w:b/>
          <w:szCs w:val="32"/>
        </w:rPr>
        <w:t>国内公务接待支出</w:t>
      </w:r>
      <w:r>
        <w:rPr>
          <w:szCs w:val="32"/>
        </w:rPr>
        <w:t>7.05万元，主要用于异地检察机关办案、调研等公务活动开支的用餐费。国内公务接待66批次，360人次（不包括陪同人员），共计支出7.05万元，具体包括：接待全国检察系统人员考察、调研、检查、汇报及协助办案63批次351人次，接待检察系统外人员考察、调研、接洽工作2批次9人次。</w:t>
      </w:r>
    </w:p>
    <w:p>
      <w:pPr>
        <w:ind w:firstLine="632" w:firstLineChars="200"/>
        <w:rPr>
          <w:szCs w:val="32"/>
        </w:rPr>
      </w:pPr>
      <w:r>
        <w:rPr>
          <w:b/>
          <w:szCs w:val="32"/>
        </w:rPr>
        <w:t>外事接待支出</w:t>
      </w:r>
      <w:r>
        <w:rPr>
          <w:szCs w:val="32"/>
        </w:rPr>
        <w:t>0.19万元，外事接待1批次2人，共计支出0.19万元，主要用于接待韩国驻华使馆一行。</w:t>
      </w:r>
    </w:p>
    <w:p>
      <w:pPr>
        <w:ind w:firstLine="632" w:firstLineChars="200"/>
        <w:outlineLvl w:val="1"/>
        <w:rPr>
          <w:rStyle w:val="28"/>
          <w:rFonts w:ascii="Times New Roman" w:hAnsi="Times New Roman" w:eastAsia="黑体" w:cs="Times New Roman"/>
        </w:rPr>
      </w:pPr>
      <w:bookmarkStart w:id="97" w:name="_Toc15396610"/>
      <w:bookmarkStart w:id="98" w:name="_Toc15377218"/>
      <w:bookmarkStart w:id="99" w:name="_Toc112342344"/>
      <w:bookmarkStart w:id="100" w:name="_Toc112397099"/>
      <w:r>
        <w:rPr>
          <w:rFonts w:eastAsia="黑体"/>
          <w:szCs w:val="32"/>
        </w:rPr>
        <w:t>八、</w:t>
      </w:r>
      <w:r>
        <w:rPr>
          <w:rStyle w:val="28"/>
          <w:rFonts w:ascii="Times New Roman" w:hAnsi="Times New Roman" w:eastAsia="黑体" w:cs="Times New Roman"/>
          <w:b w:val="0"/>
        </w:rPr>
        <w:t>政府性基金预算支出决算情况说明</w:t>
      </w:r>
      <w:bookmarkEnd w:id="97"/>
      <w:bookmarkEnd w:id="98"/>
      <w:bookmarkEnd w:id="99"/>
      <w:bookmarkEnd w:id="100"/>
    </w:p>
    <w:p>
      <w:pPr>
        <w:ind w:firstLine="632" w:firstLineChars="200"/>
        <w:rPr>
          <w:szCs w:val="32"/>
        </w:rPr>
      </w:pPr>
      <w:r>
        <w:rPr>
          <w:szCs w:val="32"/>
        </w:rPr>
        <w:t>2021年四川省人民检察院无政府性基金预算拨款支出。</w:t>
      </w:r>
    </w:p>
    <w:p>
      <w:pPr>
        <w:ind w:firstLine="632" w:firstLineChars="200"/>
        <w:outlineLvl w:val="1"/>
        <w:rPr>
          <w:rStyle w:val="28"/>
          <w:rFonts w:ascii="Times New Roman" w:hAnsi="Times New Roman" w:eastAsia="黑体" w:cs="Times New Roman"/>
          <w:b w:val="0"/>
        </w:rPr>
      </w:pPr>
      <w:bookmarkStart w:id="101" w:name="_Toc15396611"/>
      <w:bookmarkStart w:id="102" w:name="_Toc15377219"/>
      <w:bookmarkStart w:id="103" w:name="_Toc112342345"/>
      <w:bookmarkStart w:id="104" w:name="_Toc112397100"/>
      <w:r>
        <w:rPr>
          <w:rStyle w:val="28"/>
          <w:rFonts w:hint="eastAsia" w:eastAsia="黑体" w:cs="Times New Roman"/>
          <w:b w:val="0"/>
        </w:rPr>
        <w:t>九、</w:t>
      </w:r>
      <w:r>
        <w:rPr>
          <w:rStyle w:val="28"/>
          <w:rFonts w:ascii="Times New Roman" w:hAnsi="Times New Roman" w:eastAsia="黑体" w:cs="Times New Roman"/>
          <w:b w:val="0"/>
        </w:rPr>
        <w:t>国有资本经营预算支出决算情况说明</w:t>
      </w:r>
      <w:bookmarkEnd w:id="101"/>
      <w:bookmarkEnd w:id="102"/>
      <w:bookmarkEnd w:id="103"/>
      <w:bookmarkEnd w:id="104"/>
    </w:p>
    <w:p>
      <w:pPr>
        <w:ind w:firstLine="632" w:firstLineChars="200"/>
        <w:rPr>
          <w:szCs w:val="32"/>
        </w:rPr>
      </w:pPr>
      <w:r>
        <w:rPr>
          <w:szCs w:val="32"/>
        </w:rPr>
        <w:t>2021</w:t>
      </w:r>
      <w:r>
        <w:rPr>
          <w:rFonts w:hint="eastAsia"/>
          <w:szCs w:val="32"/>
        </w:rPr>
        <w:t>年</w:t>
      </w:r>
      <w:r>
        <w:rPr>
          <w:szCs w:val="32"/>
        </w:rPr>
        <w:t>四川省人民检察院无国有资本经营预算拨款支出。</w:t>
      </w:r>
    </w:p>
    <w:p>
      <w:pPr>
        <w:ind w:firstLine="632" w:firstLineChars="200"/>
        <w:outlineLvl w:val="1"/>
        <w:rPr>
          <w:rStyle w:val="28"/>
          <w:rFonts w:ascii="Times New Roman" w:hAnsi="Times New Roman" w:eastAsia="黑体" w:cs="Times New Roman"/>
          <w:b w:val="0"/>
        </w:rPr>
      </w:pPr>
      <w:bookmarkStart w:id="105" w:name="_Toc15396612"/>
      <w:bookmarkStart w:id="106" w:name="_Toc15377221"/>
      <w:bookmarkStart w:id="107" w:name="_Toc112342346"/>
      <w:bookmarkStart w:id="108" w:name="_Toc112397101"/>
      <w:r>
        <w:rPr>
          <w:rStyle w:val="28"/>
          <w:rFonts w:hint="eastAsia" w:eastAsia="黑体" w:cs="Times New Roman"/>
          <w:b w:val="0"/>
        </w:rPr>
        <w:t>十、</w:t>
      </w:r>
      <w:r>
        <w:rPr>
          <w:rStyle w:val="28"/>
          <w:rFonts w:ascii="Times New Roman" w:hAnsi="Times New Roman" w:eastAsia="黑体" w:cs="Times New Roman"/>
          <w:b w:val="0"/>
        </w:rPr>
        <w:t>其他重要事项的情况说明</w:t>
      </w:r>
      <w:bookmarkEnd w:id="105"/>
      <w:bookmarkEnd w:id="106"/>
      <w:bookmarkEnd w:id="107"/>
      <w:bookmarkEnd w:id="108"/>
    </w:p>
    <w:p>
      <w:pPr>
        <w:ind w:firstLine="632" w:firstLineChars="200"/>
        <w:outlineLvl w:val="2"/>
        <w:rPr>
          <w:rFonts w:eastAsia="楷体_GB2312"/>
          <w:bCs/>
          <w:szCs w:val="32"/>
        </w:rPr>
      </w:pPr>
      <w:bookmarkStart w:id="109" w:name="_Toc15377222"/>
      <w:bookmarkStart w:id="110" w:name="_Toc112341700"/>
      <w:bookmarkStart w:id="111" w:name="_Toc112342347"/>
      <w:bookmarkStart w:id="112" w:name="_Toc112397102"/>
      <w:r>
        <w:rPr>
          <w:rFonts w:eastAsia="楷体_GB2312"/>
          <w:bCs/>
          <w:szCs w:val="32"/>
        </w:rPr>
        <w:t>（一）机关运行经费支出情况</w:t>
      </w:r>
      <w:bookmarkEnd w:id="109"/>
      <w:bookmarkEnd w:id="110"/>
      <w:bookmarkEnd w:id="111"/>
      <w:bookmarkEnd w:id="112"/>
    </w:p>
    <w:p>
      <w:pPr>
        <w:ind w:firstLine="632" w:firstLineChars="200"/>
        <w:rPr>
          <w:szCs w:val="32"/>
        </w:rPr>
      </w:pPr>
      <w:r>
        <w:rPr>
          <w:szCs w:val="32"/>
        </w:rPr>
        <w:t>2021年，四川省人民检察院机关运行经费支出4014.78万元，比2020年减少49.12万元，下降1.21%。主要原因是受新冠疫情及日常公用经费压缩影响，当年公务用车运行维护费、差旅费、培训费等机关运行经费支出减少。</w:t>
      </w:r>
    </w:p>
    <w:p>
      <w:pPr>
        <w:ind w:firstLine="632" w:firstLineChars="200"/>
        <w:outlineLvl w:val="2"/>
        <w:rPr>
          <w:rFonts w:eastAsia="楷体_GB2312"/>
          <w:bCs/>
          <w:szCs w:val="32"/>
        </w:rPr>
      </w:pPr>
      <w:bookmarkStart w:id="113" w:name="_Toc15377223"/>
      <w:bookmarkStart w:id="114" w:name="_Toc112341701"/>
      <w:bookmarkStart w:id="115" w:name="_Toc112342348"/>
      <w:bookmarkStart w:id="116" w:name="_Toc112397103"/>
      <w:r>
        <w:rPr>
          <w:rFonts w:eastAsia="楷体_GB2312"/>
          <w:bCs/>
          <w:szCs w:val="32"/>
        </w:rPr>
        <w:t>（二）政府采购支出情况</w:t>
      </w:r>
      <w:bookmarkEnd w:id="113"/>
      <w:bookmarkEnd w:id="114"/>
      <w:bookmarkEnd w:id="115"/>
      <w:bookmarkEnd w:id="116"/>
    </w:p>
    <w:p>
      <w:pPr>
        <w:ind w:firstLine="632" w:firstLineChars="200"/>
        <w:rPr>
          <w:szCs w:val="32"/>
        </w:rPr>
      </w:pPr>
      <w:r>
        <w:rPr>
          <w:szCs w:val="32"/>
        </w:rPr>
        <w:t>2021年，四川省人民检察院政府采购支出总额2,003.44万元，其中：政府采购货物支出529.89万元、政府采购工程支出0万元、政府采购服务支出1,473.55万元。主要用于物业服务、公车加油、维修养护及保险服务、信息化系统运行维护、办公家具设备购置、网络安全监管平台建设项目、电子检务深化应用项目建设、四川省青少年法治宣传教育实践基地项目等具体工作。授予中小企业合同金额488.94万元，占政府采购支出总额的24.41%，其中：授予小微企业合同金额478.04万元，占政府采购支出总额的23.86%。</w:t>
      </w:r>
    </w:p>
    <w:p>
      <w:pPr>
        <w:autoSpaceDE w:val="0"/>
        <w:autoSpaceDN w:val="0"/>
        <w:ind w:firstLine="632" w:firstLineChars="200"/>
        <w:outlineLvl w:val="2"/>
        <w:rPr>
          <w:rFonts w:eastAsia="楷体_GB2312"/>
          <w:bCs/>
          <w:szCs w:val="32"/>
        </w:rPr>
      </w:pPr>
      <w:bookmarkStart w:id="117" w:name="_Toc15377224"/>
      <w:bookmarkStart w:id="118" w:name="_Toc112341702"/>
      <w:bookmarkStart w:id="119" w:name="_Toc112342349"/>
      <w:bookmarkStart w:id="120" w:name="_Toc112397104"/>
      <w:r>
        <w:rPr>
          <w:rFonts w:eastAsia="楷体_GB2312"/>
          <w:bCs/>
          <w:szCs w:val="32"/>
        </w:rPr>
        <w:t>（三）国有资产占有使用情况</w:t>
      </w:r>
      <w:bookmarkEnd w:id="117"/>
      <w:bookmarkEnd w:id="118"/>
      <w:bookmarkEnd w:id="119"/>
      <w:bookmarkEnd w:id="120"/>
    </w:p>
    <w:p>
      <w:pPr>
        <w:ind w:firstLine="632" w:firstLineChars="200"/>
        <w:rPr>
          <w:szCs w:val="32"/>
        </w:rPr>
      </w:pPr>
      <w:r>
        <w:rPr>
          <w:szCs w:val="32"/>
        </w:rPr>
        <w:t>截至2021年12月31日，四川省人民检察院共有车辆130辆，其中：省部级领导干部用车2辆、厅级领导干部用车2辆、机要通信用车2辆、应急保障用车4辆、其他用车120辆，其他用车主要是用于执法办案和离退休人员用车。单价50万元以上通用设备56台（套），无单价100万元以上专用设备。</w:t>
      </w:r>
    </w:p>
    <w:p>
      <w:pPr>
        <w:ind w:firstLine="632" w:firstLineChars="200"/>
        <w:outlineLvl w:val="2"/>
        <w:rPr>
          <w:rFonts w:eastAsia="楷体_GB2312"/>
          <w:bCs/>
          <w:szCs w:val="32"/>
        </w:rPr>
      </w:pPr>
      <w:bookmarkStart w:id="121" w:name="_Toc112397105"/>
      <w:bookmarkStart w:id="122" w:name="_Toc112342350"/>
      <w:bookmarkStart w:id="123" w:name="_Toc112341703"/>
      <w:r>
        <w:rPr>
          <w:rFonts w:eastAsia="楷体_GB2312"/>
          <w:bCs/>
          <w:szCs w:val="32"/>
        </w:rPr>
        <w:t>（四）预算绩效管理情况</w:t>
      </w:r>
      <w:bookmarkEnd w:id="121"/>
      <w:bookmarkEnd w:id="122"/>
      <w:bookmarkEnd w:id="123"/>
    </w:p>
    <w:p>
      <w:pPr>
        <w:ind w:firstLine="632" w:firstLineChars="200"/>
        <w:rPr>
          <w:szCs w:val="32"/>
        </w:rPr>
      </w:pPr>
      <w:r>
        <w:rPr>
          <w:szCs w:val="32"/>
        </w:rPr>
        <w:t>根据预算绩效管理要求，本部门在2021年度预算编制阶段，组织对司法救助经费等4个项目开展了预算事前绩效评估，对20个项目编制了绩效目标，预算执行过程中，选取20个项目开展绩效监控，年终执行完毕后，对20个项目开展了绩效自评。同时，本部门对2021年部门整体开展绩效自评，《2021年四川省人民检察院部门整体绩效评价报告》见附件（第四部分）。</w:t>
      </w:r>
    </w:p>
    <w:p>
      <w:pPr>
        <w:spacing w:line="580" w:lineRule="exact"/>
        <w:ind w:firstLine="632" w:firstLineChars="200"/>
        <w:rPr>
          <w:szCs w:val="32"/>
        </w:rPr>
      </w:pPr>
      <w:r>
        <w:rPr>
          <w:szCs w:val="32"/>
        </w:rPr>
        <w:br w:type="page"/>
      </w:r>
    </w:p>
    <w:p>
      <w:pPr>
        <w:spacing w:line="600" w:lineRule="exact"/>
        <w:jc w:val="center"/>
        <w:outlineLvl w:val="0"/>
        <w:rPr>
          <w:rStyle w:val="27"/>
          <w:rFonts w:ascii="方正小标宋简体" w:hAnsi="方正小标宋简体" w:eastAsia="方正小标宋简体" w:cs="方正小标宋简体"/>
          <w:b w:val="0"/>
        </w:rPr>
      </w:pPr>
      <w:bookmarkStart w:id="124" w:name="_Toc112342351"/>
      <w:bookmarkStart w:id="125" w:name="_Toc15396613"/>
      <w:bookmarkStart w:id="126" w:name="_Toc15377225"/>
      <w:bookmarkStart w:id="127" w:name="_Toc112397106"/>
      <w:r>
        <w:rPr>
          <w:rFonts w:hint="eastAsia" w:ascii="方正小标宋简体" w:hAnsi="方正小标宋简体" w:eastAsia="方正小标宋简体" w:cs="方正小标宋简体"/>
          <w:sz w:val="44"/>
          <w:szCs w:val="44"/>
        </w:rPr>
        <w:t>第三部分名</w:t>
      </w:r>
      <w:r>
        <w:rPr>
          <w:rStyle w:val="27"/>
          <w:rFonts w:hint="eastAsia" w:ascii="方正小标宋简体" w:hAnsi="方正小标宋简体" w:eastAsia="方正小标宋简体" w:cs="方正小标宋简体"/>
          <w:b w:val="0"/>
        </w:rPr>
        <w:t>词解释</w:t>
      </w:r>
      <w:bookmarkEnd w:id="124"/>
      <w:bookmarkEnd w:id="125"/>
      <w:bookmarkEnd w:id="126"/>
      <w:bookmarkEnd w:id="127"/>
    </w:p>
    <w:p>
      <w:pPr>
        <w:jc w:val="left"/>
        <w:rPr>
          <w:b/>
          <w:sz w:val="44"/>
          <w:szCs w:val="44"/>
        </w:rPr>
      </w:pP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财政拨款收入：指单位从同级财政部门取得的财政预算资金。</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事业收入：指事业单位开展专业业务活动及辅助活动所取得的收入。如四川检察官学院开展全省检察人员业务培训所取得的培训收入等。</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经营收入：指事业单位在专业业务活动及其辅助活动之外开展非独立核算经营活动取得的收入。如四川检察官学院承办四川省税务局业务培训活动所取得的餐饮住宿及会议培训收入等。</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其他收入：指单位除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财政拨款收入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事业收入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经营收入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等以外的收入，包括非财政资金存款利息收入、现金盘盈收入等。</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使用非财政拨款结余：指事业单位使用以前年度积累的非财政拨款结余弥补当年收支差额的金额。</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年初结转和结余：指以前年度尚未完成、结转到本年按有关规定继续使用的资金。</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结余分配：指事业单位按照会计制度规定缴纳的所得税、提取的专用结余以及转入非财政拨款结余的金额等。</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年末结转和结余：指单位按有关规定结转到下年或以后年度继续使用的资金。</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公共安全支出（类）检察（款）行政运行（项）：反映检察机关的基本支出。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公共安全支出（类）检察（款）一般行政管理事务（项）：反映检察机关未单独设置项级科目的其他项目支出。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11</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公共安全支出（类）检察（款）机关服务（项）：反映为检察机关提供后勤服务的各类后勤服务中心、医务室等附属事业单位的支出。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12</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公共安全支出（类）检察（款）检察监督（项）：反映检察机关依法开展法律监督工作的支出，包括侦察监督、公诉、审判监督、执行监督、民事行政监督、公益诉讼、控告申诉等。</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13</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公共安全支出（类）检察（款）事业运行（项）：反映除后勤服务中心、医务室等附属事业单位之外的各类检察事业单位的基本支出。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14</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公共安全支出（类）检察（款）其他检察支出（项）：反映检察机关除上述项目以外其他用于检察方面的支出。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15</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教育支出（类）进修及培训（款）培训支出（项）：反映各部门安排的用于培训的支出。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16</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社会保障和就业支出（类）行政事业单位离退休（款）事业单位离退休（项）：反映实行归口管理的事业单位开支的离退休支出。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17</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社会保障和就业支出（类）行政事业单位离退休（款）未归口管理的行政单位离退休（项）：反映未实行归口管理的行政单位开支的离退休支出。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18</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社会保障和就业支出（类）行政事业单位离退休（款）机关事业单位基本养老保险缴费支出（项）：反映机关事业单位实施养老保险制度由单位缴纳的基本养老保险费支出。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19</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社会保障和就业支出（类）行政事业单位离退休（款）机关事业单位职业年金缴费支出（项）：反映机关事业单位实施养老保险制度由单位实际缴纳的职业年金支出。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20</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社会保障和就业支出（类）抚恤（款）死亡抚恤（项）：反映按规定用于烈士和牺牲、病故人员家属的一次性和定期抚恤金以及丧葬补助费。</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21</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社会保障和就业支出（类）其他社会保障和就业（款）其他社会保障和就业支出（项）：反映除上述项目以外其他用于社会保障和就业方面的支出。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22</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23</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卫生健康支出（类）行政事业单位医疗（款）事业单位医疗（项）：反映财政部门安排的事业单位基本医疗保险缴费经费，未参加医疗保险的事业单位的公费医疗经费，按国家规定享受离休人员待遇的医疗经费。</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24</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卫生健康支出（类）行政事业单位医疗（款）公务员医疗补助（项）：反映财政部门安排的公务员医疗补助经费。</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25</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住房保障支出（类）住房改革（款）住房公积金（项）：反映行政事业单位按人力资源和社会保障部门、财政部门规定的基本工资和津贴补贴以及规定比例为职工缴纳的住房公积金。</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26</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住房保障支出（类）住房改革（款）购房补贴（项）：反映按房改政策规定，行政事业单位向符合条件职工（含离退休人员）、军队（含武警）向转役复员离退休人员发放的用于购买住房的补贴。</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27</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基本支出：指为保障机构正常运转、完成日常工作任务而发生的人员支出和公用支出。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28</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项目支出：指在基本支出之外为完成特定行政任务和事业发展目标所发生的支出。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29</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经营支出：指事业单位在专业业务活动及其辅助活动之外开展非独立核算经营活动发生的支出。</w:t>
      </w:r>
    </w:p>
    <w:p>
      <w:pPr>
        <w:pStyle w:val="25"/>
        <w:adjustRightInd/>
        <w:ind w:firstLine="632"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30</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三公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5"/>
        <w:adjustRightInd/>
        <w:ind w:firstLine="632" w:firstLineChars="200"/>
        <w:jc w:val="both"/>
        <w:rPr>
          <w:rFonts w:ascii="Times New Roman" w:hAnsi="Times New Roman" w:eastAsia="方正小标宋简体" w:cs="Times New Roman"/>
          <w:sz w:val="52"/>
          <w:szCs w:val="52"/>
        </w:rPr>
      </w:pPr>
      <w:r>
        <w:rPr>
          <w:rFonts w:ascii="Times New Roman" w:hAnsi="Times New Roman" w:eastAsia="仿宋_GB2312" w:cs="Times New Roman"/>
          <w:sz w:val="32"/>
          <w:szCs w:val="32"/>
        </w:rPr>
        <w:t>31</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ascii="Times New Roman" w:hAnsi="Times New Roman" w:eastAsia="方正小标宋简体" w:cs="Times New Roman"/>
          <w:sz w:val="52"/>
          <w:szCs w:val="52"/>
        </w:rPr>
        <w:br w:type="page"/>
      </w:r>
    </w:p>
    <w:p>
      <w:pPr>
        <w:spacing w:line="600" w:lineRule="exact"/>
        <w:jc w:val="center"/>
        <w:outlineLvl w:val="0"/>
        <w:rPr>
          <w:rStyle w:val="27"/>
          <w:rFonts w:eastAsia="黑体"/>
          <w:b w:val="0"/>
        </w:rPr>
      </w:pPr>
      <w:bookmarkStart w:id="128" w:name="_Toc15396614"/>
      <w:bookmarkStart w:id="129" w:name="_Toc112342352"/>
      <w:bookmarkStart w:id="130" w:name="_Toc112397107"/>
      <w:bookmarkStart w:id="131" w:name="_Toc15377226"/>
      <w:r>
        <w:rPr>
          <w:rFonts w:hAnsi="黑体" w:eastAsia="黑体"/>
          <w:sz w:val="44"/>
          <w:szCs w:val="44"/>
        </w:rPr>
        <w:t>第</w:t>
      </w:r>
      <w:r>
        <w:rPr>
          <w:rStyle w:val="27"/>
          <w:rFonts w:hAnsi="黑体" w:eastAsia="黑体"/>
          <w:b w:val="0"/>
        </w:rPr>
        <w:t>四部分附件</w:t>
      </w:r>
      <w:bookmarkEnd w:id="128"/>
      <w:bookmarkEnd w:id="129"/>
      <w:bookmarkEnd w:id="130"/>
    </w:p>
    <w:p>
      <w:pPr>
        <w:jc w:val="left"/>
        <w:outlineLvl w:val="0"/>
        <w:rPr>
          <w:rFonts w:hAnsi="黑体" w:eastAsia="黑体"/>
          <w:szCs w:val="32"/>
        </w:rPr>
      </w:pPr>
    </w:p>
    <w:p>
      <w:pPr>
        <w:jc w:val="left"/>
        <w:outlineLvl w:val="0"/>
        <w:rPr>
          <w:rFonts w:eastAsia="方正小标宋简体"/>
          <w:szCs w:val="32"/>
        </w:rPr>
      </w:pPr>
      <w:bookmarkStart w:id="132" w:name="_Toc112342353"/>
      <w:bookmarkStart w:id="133" w:name="_Toc112397108"/>
      <w:r>
        <w:rPr>
          <w:rFonts w:hAnsi="黑体" w:eastAsia="黑体"/>
          <w:szCs w:val="32"/>
        </w:rPr>
        <w:t>附件</w:t>
      </w:r>
      <w:r>
        <w:rPr>
          <w:rFonts w:eastAsia="黑体"/>
          <w:szCs w:val="32"/>
        </w:rPr>
        <w:t>1</w:t>
      </w:r>
      <w:bookmarkEnd w:id="132"/>
      <w:bookmarkEnd w:id="133"/>
    </w:p>
    <w:p>
      <w:pPr>
        <w:jc w:val="center"/>
        <w:rPr>
          <w:rFonts w:eastAsia="方正小标宋简体"/>
          <w:szCs w:val="32"/>
          <w:shd w:val="clear" w:color="auto" w:fill="FFFFFF"/>
        </w:rPr>
      </w:pPr>
      <w:bookmarkStart w:id="134" w:name="_Toc15396618"/>
    </w:p>
    <w:p>
      <w:pPr>
        <w:spacing w:line="600" w:lineRule="exact"/>
        <w:jc w:val="center"/>
        <w:rPr>
          <w:rFonts w:eastAsia="方正小标宋简体"/>
          <w:sz w:val="44"/>
          <w:szCs w:val="44"/>
          <w:shd w:val="clear" w:color="auto" w:fill="FFFFFF"/>
        </w:rPr>
      </w:pPr>
      <w:r>
        <w:rPr>
          <w:rFonts w:eastAsia="方正小标宋简体"/>
          <w:b/>
          <w:bCs/>
          <w:sz w:val="44"/>
          <w:szCs w:val="44"/>
          <w:shd w:val="clear" w:color="auto" w:fill="FFFFFF"/>
        </w:rPr>
        <w:t>2021</w:t>
      </w:r>
      <w:r>
        <w:rPr>
          <w:rFonts w:eastAsia="方正小标宋简体"/>
          <w:sz w:val="44"/>
          <w:szCs w:val="44"/>
          <w:shd w:val="clear" w:color="auto" w:fill="FFFFFF"/>
        </w:rPr>
        <w:t>年四川省人民检察院部门</w:t>
      </w:r>
    </w:p>
    <w:p>
      <w:pPr>
        <w:spacing w:line="600" w:lineRule="exact"/>
        <w:jc w:val="center"/>
        <w:rPr>
          <w:rFonts w:eastAsia="方正小标宋简体"/>
          <w:sz w:val="44"/>
          <w:szCs w:val="44"/>
          <w:shd w:val="clear" w:color="auto" w:fill="FFFFFF"/>
        </w:rPr>
      </w:pPr>
      <w:r>
        <w:rPr>
          <w:rFonts w:eastAsia="方正小标宋简体"/>
          <w:sz w:val="44"/>
          <w:szCs w:val="44"/>
          <w:shd w:val="clear" w:color="auto" w:fill="FFFFFF"/>
        </w:rPr>
        <w:t>整体绩效评价报告</w:t>
      </w:r>
    </w:p>
    <w:p>
      <w:pPr>
        <w:pStyle w:val="2"/>
        <w:spacing w:beforeLines="0"/>
        <w:rPr>
          <w:rFonts w:ascii="Times New Roman"/>
          <w:sz w:val="32"/>
          <w:szCs w:val="32"/>
        </w:rPr>
      </w:pPr>
    </w:p>
    <w:p>
      <w:pPr>
        <w:ind w:firstLine="632" w:firstLineChars="200"/>
        <w:rPr>
          <w:rFonts w:eastAsia="黑体"/>
          <w:szCs w:val="32"/>
        </w:rPr>
      </w:pPr>
      <w:r>
        <w:rPr>
          <w:rFonts w:eastAsia="黑体"/>
          <w:szCs w:val="32"/>
        </w:rPr>
        <w:t>一、部门概况</w:t>
      </w:r>
    </w:p>
    <w:p>
      <w:pPr>
        <w:ind w:firstLine="632" w:firstLineChars="200"/>
        <w:rPr>
          <w:rFonts w:eastAsia="楷体_GB2312"/>
          <w:szCs w:val="32"/>
        </w:rPr>
      </w:pPr>
      <w:r>
        <w:rPr>
          <w:rFonts w:eastAsia="楷体_GB2312"/>
          <w:szCs w:val="32"/>
        </w:rPr>
        <w:t>（一）机构组成</w:t>
      </w:r>
    </w:p>
    <w:p>
      <w:pPr>
        <w:ind w:firstLine="632" w:firstLineChars="200"/>
        <w:rPr>
          <w:szCs w:val="32"/>
        </w:rPr>
      </w:pPr>
      <w:r>
        <w:rPr>
          <w:szCs w:val="32"/>
        </w:rPr>
        <w:t>四川省人民检察院为一级预算单位（预算代码202），包括4个独立核算的二级预算单位，即：四川省人民检察院机关，成都铁路运输检察分院（下辖成都铁路运输检察分院机关、成都铁路运输检察院和西昌铁路运输检察院3个三级预算单位），省检察院机关服务中心和四川检察官学院。</w:t>
      </w:r>
    </w:p>
    <w:p>
      <w:pPr>
        <w:ind w:firstLine="632" w:firstLineChars="200"/>
        <w:rPr>
          <w:rFonts w:eastAsia="楷体_GB2312"/>
          <w:szCs w:val="32"/>
        </w:rPr>
      </w:pPr>
      <w:r>
        <w:rPr>
          <w:rFonts w:eastAsia="楷体_GB2312"/>
          <w:szCs w:val="32"/>
        </w:rPr>
        <w:t>（二）机构职能</w:t>
      </w:r>
    </w:p>
    <w:p>
      <w:pPr>
        <w:ind w:firstLine="632" w:firstLineChars="200"/>
        <w:rPr>
          <w:szCs w:val="32"/>
        </w:rPr>
      </w:pPr>
      <w:r>
        <w:rPr>
          <w:szCs w:val="32"/>
        </w:rPr>
        <w:t>四川省人民检察院是国家的法律监督机关，领导全省各级人民检察院的工作，依法向省人民代表大会及其常务委员会负责并报告工作。其主要职责是：依法向省人民代表大会及其常务委员会提出议案；领导全省各级人民检察院的工作；依照法律规定对由省检察院直接受理的刑事案件行使侦查权，领导全省各级检察院开展对依照法律规定由人民检察院直接受理的刑事案件的侦查工作；对全省性的重大刑事案件依法审查批准逮捕、决定逮捕、提起公诉，领导全省各级检察院开展对刑事犯罪案件的审查批准逮捕、决定逮捕、提起公诉；负责应由省检察院承办的刑事、民事、行政诉讼活动及刑事、民事、行政判决和裁定等生效法律文书执行的法律监督工作，领导全省各级人民检察院对刑事、民事、行政诉讼活动及判决和裁定等生效法律文书执行的法律监督工作；负责应由省检察院承办的提起公益诉讼工作，领导全省各级检察院开展提起公益诉讼工作；负责应由省检察院承办的对监狱、看守所等执法活动的法律监督工作，领导全省各级检察院开展对监狱、看守所等执法活动的法律监督工作；受理向省检察院的控告申诉，领导全省各级检察院的控告申诉检察工作；对下级检察院在行使检察权中作出的决定进行审查，纠正错误决定；指导全省检察机关的理论研究工作；负责全省检察机关队伍建设和思想政治工作，领导全省各级检察院依法管理检察官及其他检察人员的工作，组织指导全省检察机关教育培训工作；协同省委主管部门管理和考核市县两级检察院的检察长，协同市级党委管理和考核市县两级人民检察院除检察长外的其他领导班子成员；领导全省各级人民检察院的检务督察工作；规划和指导全省检察机关的财务装备工作、检察技术信息工作；组织全省检察机关的对外交流合作，开展有关国际司法协助工作；负责其它应由省检察院承办的事项。</w:t>
      </w:r>
    </w:p>
    <w:p>
      <w:pPr>
        <w:ind w:firstLine="632" w:firstLineChars="200"/>
        <w:rPr>
          <w:rFonts w:eastAsia="楷体_GB2312"/>
          <w:szCs w:val="32"/>
        </w:rPr>
      </w:pPr>
      <w:r>
        <w:rPr>
          <w:rFonts w:eastAsia="楷体_GB2312"/>
          <w:szCs w:val="32"/>
        </w:rPr>
        <w:t>（三）人员概况</w:t>
      </w:r>
    </w:p>
    <w:p>
      <w:pPr>
        <w:ind w:firstLine="632" w:firstLineChars="200"/>
        <w:rPr>
          <w:color w:val="FF0000"/>
          <w:szCs w:val="32"/>
        </w:rPr>
      </w:pPr>
      <w:r>
        <w:rPr>
          <w:szCs w:val="32"/>
        </w:rPr>
        <w:t>2021年末实有财政供养人员650人，其中在编人员542人（行政编制515人，事业编制人员27人），聘用制书记员99人，离休人员9人。现有非财政供养人员（长聘人员）99人。</w:t>
      </w:r>
    </w:p>
    <w:p>
      <w:pPr>
        <w:ind w:firstLine="632" w:firstLineChars="200"/>
        <w:rPr>
          <w:rFonts w:eastAsia="黑体"/>
          <w:szCs w:val="32"/>
        </w:rPr>
      </w:pPr>
      <w:r>
        <w:rPr>
          <w:rFonts w:eastAsia="黑体"/>
          <w:szCs w:val="32"/>
        </w:rPr>
        <w:t>二、部门财政资金收支情况</w:t>
      </w:r>
    </w:p>
    <w:p>
      <w:pPr>
        <w:ind w:firstLine="632" w:firstLineChars="200"/>
        <w:rPr>
          <w:rFonts w:eastAsia="楷体_GB2312"/>
          <w:szCs w:val="32"/>
        </w:rPr>
      </w:pPr>
      <w:r>
        <w:rPr>
          <w:rFonts w:eastAsia="楷体_GB2312"/>
          <w:szCs w:val="32"/>
        </w:rPr>
        <w:t>（一）部门财政资金收入情况</w:t>
      </w:r>
    </w:p>
    <w:p>
      <w:pPr>
        <w:ind w:firstLine="632" w:firstLineChars="200"/>
        <w:rPr>
          <w:color w:val="FF0000"/>
          <w:szCs w:val="32"/>
        </w:rPr>
      </w:pPr>
      <w:r>
        <w:rPr>
          <w:szCs w:val="32"/>
        </w:rPr>
        <w:t>2021年，年初部门预算财政拨款收入28</w:t>
      </w:r>
      <w:r>
        <w:rPr>
          <w:rFonts w:hint="eastAsia"/>
          <w:szCs w:val="32"/>
        </w:rPr>
        <w:t>955</w:t>
      </w:r>
      <w:r>
        <w:rPr>
          <w:szCs w:val="32"/>
        </w:rPr>
        <w:t>.31万元，其中：当年安排28732.23万元，上年结转2</w:t>
      </w:r>
      <w:r>
        <w:rPr>
          <w:rFonts w:hint="eastAsia"/>
          <w:szCs w:val="32"/>
        </w:rPr>
        <w:t>23</w:t>
      </w:r>
      <w:r>
        <w:rPr>
          <w:szCs w:val="32"/>
        </w:rPr>
        <w:t>.08万元；当年财政拨款收入调整后预算额为33312.67万元。当财政资金决算总收入30570.17万元，其中：当年安排30</w:t>
      </w:r>
      <w:r>
        <w:rPr>
          <w:rFonts w:hint="eastAsia"/>
          <w:szCs w:val="32"/>
        </w:rPr>
        <w:t>337</w:t>
      </w:r>
      <w:r>
        <w:rPr>
          <w:szCs w:val="32"/>
        </w:rPr>
        <w:t>.09万元，上年结转2</w:t>
      </w:r>
      <w:r>
        <w:rPr>
          <w:rFonts w:hint="eastAsia"/>
          <w:szCs w:val="32"/>
        </w:rPr>
        <w:t>23</w:t>
      </w:r>
      <w:r>
        <w:rPr>
          <w:szCs w:val="32"/>
        </w:rPr>
        <w:t>.08万元。决算收入按单位分：省院机关24106.78万元，机关服务中心441.21万元，四川检察官学院74</w:t>
      </w:r>
      <w:r>
        <w:rPr>
          <w:rFonts w:hint="eastAsia"/>
          <w:szCs w:val="32"/>
        </w:rPr>
        <w:t>0</w:t>
      </w:r>
      <w:r>
        <w:rPr>
          <w:szCs w:val="32"/>
        </w:rPr>
        <w:t>.10万元，成铁检察分院5282.09万元。</w:t>
      </w:r>
    </w:p>
    <w:p>
      <w:pPr>
        <w:ind w:firstLine="632" w:firstLineChars="200"/>
        <w:rPr>
          <w:rFonts w:eastAsia="楷体_GB2312"/>
          <w:szCs w:val="32"/>
        </w:rPr>
      </w:pPr>
      <w:r>
        <w:rPr>
          <w:rFonts w:eastAsia="楷体_GB2312"/>
          <w:szCs w:val="32"/>
        </w:rPr>
        <w:t>（二）部门财政资金支出情况</w:t>
      </w:r>
    </w:p>
    <w:p>
      <w:pPr>
        <w:ind w:firstLine="632" w:firstLineChars="200"/>
        <w:rPr>
          <w:szCs w:val="32"/>
        </w:rPr>
      </w:pPr>
      <w:r>
        <w:rPr>
          <w:szCs w:val="32"/>
        </w:rPr>
        <w:t>2021年年初部门预算财政拨款支出28955.31万元，其中：基本支出</w:t>
      </w:r>
      <w:r>
        <w:rPr>
          <w:rFonts w:hint="eastAsia"/>
          <w:szCs w:val="32"/>
        </w:rPr>
        <w:t>15165.19</w:t>
      </w:r>
      <w:r>
        <w:rPr>
          <w:szCs w:val="32"/>
        </w:rPr>
        <w:t>万元（人员经费10689.71万元，日常公用经费4475.48万元），项目支出13790.12万元。2021年财政拨款决算支出30570.17万元，其中：基本支出21067.</w:t>
      </w:r>
      <w:r>
        <w:rPr>
          <w:rFonts w:hint="eastAsia"/>
          <w:szCs w:val="32"/>
        </w:rPr>
        <w:t>59</w:t>
      </w:r>
      <w:r>
        <w:rPr>
          <w:szCs w:val="32"/>
        </w:rPr>
        <w:t>万元（人员经费16934.10万元，日常公用经费4133.50万元），项目支出9502.5</w:t>
      </w:r>
      <w:r>
        <w:rPr>
          <w:rFonts w:hint="eastAsia"/>
          <w:szCs w:val="32"/>
        </w:rPr>
        <w:t>8</w:t>
      </w:r>
      <w:r>
        <w:rPr>
          <w:szCs w:val="32"/>
        </w:rPr>
        <w:t>万元。决算支出按单位分：省院机关24106.78万元，机关服务中心441.21万元，四川检察官学院740.10万元，成铁检察分院5282.09万元。</w:t>
      </w:r>
    </w:p>
    <w:p>
      <w:pPr>
        <w:ind w:firstLine="632" w:firstLineChars="200"/>
        <w:rPr>
          <w:rFonts w:eastAsia="黑体"/>
          <w:szCs w:val="32"/>
        </w:rPr>
      </w:pPr>
      <w:r>
        <w:rPr>
          <w:rFonts w:eastAsia="黑体"/>
          <w:szCs w:val="32"/>
        </w:rPr>
        <w:t>三、部门财政支出绩效管理情况</w:t>
      </w:r>
    </w:p>
    <w:p>
      <w:pPr>
        <w:ind w:firstLine="632" w:firstLineChars="200"/>
        <w:rPr>
          <w:szCs w:val="32"/>
        </w:rPr>
      </w:pPr>
      <w:r>
        <w:rPr>
          <w:szCs w:val="32"/>
        </w:rPr>
        <w:t>根据《省级部门整体支出绩效评价指标体系》（适用无专项预算的部门），省检察院自评得分79.26分，折合得分88.07分。</w:t>
      </w:r>
    </w:p>
    <w:p>
      <w:pPr>
        <w:ind w:firstLine="632" w:firstLineChars="200"/>
        <w:rPr>
          <w:rFonts w:eastAsia="楷体_GB2312"/>
          <w:szCs w:val="32"/>
        </w:rPr>
      </w:pPr>
      <w:r>
        <w:rPr>
          <w:rFonts w:eastAsia="楷体_GB2312"/>
          <w:szCs w:val="32"/>
        </w:rPr>
        <w:t>（一）部门预算管理</w:t>
      </w:r>
    </w:p>
    <w:p>
      <w:pPr>
        <w:ind w:firstLine="632" w:firstLineChars="200"/>
        <w:rPr>
          <w:szCs w:val="32"/>
        </w:rPr>
      </w:pPr>
      <w:r>
        <w:rPr>
          <w:b/>
          <w:bCs/>
          <w:szCs w:val="32"/>
        </w:rPr>
        <w:t>1</w:t>
      </w:r>
      <w:r>
        <w:rPr>
          <w:rFonts w:hint="eastAsia" w:ascii="仿宋_GB2312" w:hAnsi="仿宋_GB2312" w:cs="仿宋_GB2312"/>
          <w:b/>
          <w:bCs/>
          <w:szCs w:val="32"/>
        </w:rPr>
        <w:t>.</w:t>
      </w:r>
      <w:r>
        <w:rPr>
          <w:b/>
          <w:bCs/>
          <w:szCs w:val="32"/>
        </w:rPr>
        <w:t>绩效目标制定情况</w:t>
      </w:r>
      <w:r>
        <w:rPr>
          <w:szCs w:val="32"/>
        </w:rPr>
        <w:t>（自评得分15分）。我院坚持围绕中心充分履职，制定了相关、明确、合理的目标任务。全院制定了整体支出绩效目标，所有专项预算项目均设定年度绩效目标，填报项目概况、经费预算构成、具体绩效指标和指标值。100万元以上项目均填报预算项目立项审核表，从数量、质量、成本、时效以及</w:t>
      </w:r>
      <w:r>
        <w:rPr>
          <w:rFonts w:hint="eastAsia"/>
          <w:szCs w:val="32"/>
        </w:rPr>
        <w:t>经济</w:t>
      </w:r>
      <w:r>
        <w:rPr>
          <w:szCs w:val="32"/>
        </w:rPr>
        <w:t>效益、社会效益、可持续发展、满意度等方面进行细化、量化，较全面地反映单位目标任务完成和预期效益情况。绩效目标编制完成后随预算一同经院党组审议通过。</w:t>
      </w:r>
    </w:p>
    <w:p>
      <w:pPr>
        <w:ind w:firstLine="632" w:firstLineChars="200"/>
        <w:rPr>
          <w:szCs w:val="32"/>
        </w:rPr>
      </w:pPr>
      <w:r>
        <w:rPr>
          <w:b/>
          <w:szCs w:val="32"/>
        </w:rPr>
        <w:t>2</w:t>
      </w:r>
      <w:r>
        <w:rPr>
          <w:rFonts w:hint="eastAsia" w:ascii="仿宋_GB2312" w:hAnsi="仿宋_GB2312" w:cs="仿宋_GB2312"/>
          <w:b/>
          <w:szCs w:val="32"/>
        </w:rPr>
        <w:t>.</w:t>
      </w:r>
      <w:r>
        <w:rPr>
          <w:b/>
          <w:szCs w:val="32"/>
        </w:rPr>
        <w:t>绩效目标实现情况</w:t>
      </w:r>
      <w:r>
        <w:rPr>
          <w:szCs w:val="32"/>
        </w:rPr>
        <w:t>（自评得分12.47分）。在专用项目中，按财政厅规定将100万元以上的20个项目纳入绩效目标管理，共设定的项目完成数量指标个数77个，经过1年的组织实施，达到预期值的完成数量指标个数64个。</w:t>
      </w:r>
    </w:p>
    <w:tbl>
      <w:tblPr>
        <w:tblStyle w:val="14"/>
        <w:tblW w:w="95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676"/>
        <w:gridCol w:w="1597"/>
        <w:gridCol w:w="1319"/>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jc w:val="center"/>
        </w:trPr>
        <w:tc>
          <w:tcPr>
            <w:tcW w:w="724" w:type="dxa"/>
            <w:vAlign w:val="center"/>
          </w:tcPr>
          <w:p>
            <w:pPr>
              <w:spacing w:line="320" w:lineRule="exact"/>
              <w:jc w:val="center"/>
              <w:textAlignment w:val="center"/>
              <w:rPr>
                <w:b/>
                <w:bCs/>
                <w:kern w:val="0"/>
                <w:sz w:val="24"/>
              </w:rPr>
            </w:pPr>
            <w:r>
              <w:rPr>
                <w:b/>
                <w:color w:val="000000"/>
                <w:kern w:val="0"/>
                <w:sz w:val="24"/>
              </w:rPr>
              <w:t>序号</w:t>
            </w:r>
          </w:p>
        </w:tc>
        <w:tc>
          <w:tcPr>
            <w:tcW w:w="4676" w:type="dxa"/>
            <w:vAlign w:val="center"/>
          </w:tcPr>
          <w:p>
            <w:pPr>
              <w:spacing w:line="320" w:lineRule="exact"/>
              <w:jc w:val="center"/>
              <w:textAlignment w:val="center"/>
              <w:rPr>
                <w:b/>
                <w:bCs/>
                <w:kern w:val="0"/>
                <w:sz w:val="24"/>
              </w:rPr>
            </w:pPr>
            <w:r>
              <w:rPr>
                <w:b/>
                <w:color w:val="000000"/>
                <w:kern w:val="0"/>
                <w:sz w:val="24"/>
              </w:rPr>
              <w:t>项目名称</w:t>
            </w:r>
          </w:p>
        </w:tc>
        <w:tc>
          <w:tcPr>
            <w:tcW w:w="1597" w:type="dxa"/>
            <w:vAlign w:val="center"/>
          </w:tcPr>
          <w:p>
            <w:pPr>
              <w:spacing w:line="320" w:lineRule="exact"/>
              <w:jc w:val="center"/>
              <w:textAlignment w:val="center"/>
              <w:rPr>
                <w:b/>
                <w:bCs/>
                <w:kern w:val="0"/>
                <w:sz w:val="24"/>
              </w:rPr>
            </w:pPr>
            <w:r>
              <w:rPr>
                <w:b/>
                <w:color w:val="000000"/>
                <w:kern w:val="0"/>
                <w:sz w:val="24"/>
              </w:rPr>
              <w:t>部门（单位）</w:t>
            </w:r>
          </w:p>
        </w:tc>
        <w:tc>
          <w:tcPr>
            <w:tcW w:w="1319" w:type="dxa"/>
            <w:vAlign w:val="center"/>
          </w:tcPr>
          <w:p>
            <w:pPr>
              <w:spacing w:line="320" w:lineRule="exact"/>
              <w:jc w:val="center"/>
              <w:textAlignment w:val="center"/>
              <w:rPr>
                <w:b/>
                <w:bCs/>
                <w:kern w:val="0"/>
                <w:sz w:val="24"/>
              </w:rPr>
            </w:pPr>
            <w:r>
              <w:rPr>
                <w:b/>
                <w:color w:val="000000"/>
                <w:kern w:val="0"/>
                <w:sz w:val="24"/>
              </w:rPr>
              <w:t>设定的项目完成数量指标个数</w:t>
            </w:r>
          </w:p>
        </w:tc>
        <w:tc>
          <w:tcPr>
            <w:tcW w:w="1275" w:type="dxa"/>
            <w:vAlign w:val="center"/>
          </w:tcPr>
          <w:p>
            <w:pPr>
              <w:spacing w:line="320" w:lineRule="exact"/>
              <w:jc w:val="center"/>
              <w:textAlignment w:val="center"/>
              <w:rPr>
                <w:b/>
                <w:bCs/>
                <w:kern w:val="0"/>
                <w:sz w:val="24"/>
              </w:rPr>
            </w:pPr>
            <w:r>
              <w:rPr>
                <w:b/>
                <w:color w:val="000000"/>
                <w:kern w:val="0"/>
                <w:sz w:val="24"/>
              </w:rPr>
              <w:t>达到预期值的完成数量指标个数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w:t>
            </w:r>
          </w:p>
        </w:tc>
        <w:tc>
          <w:tcPr>
            <w:tcW w:w="4676" w:type="dxa"/>
            <w:vAlign w:val="center"/>
          </w:tcPr>
          <w:p>
            <w:pPr>
              <w:spacing w:line="320" w:lineRule="exact"/>
              <w:jc w:val="center"/>
              <w:textAlignment w:val="center"/>
              <w:rPr>
                <w:kern w:val="0"/>
                <w:sz w:val="22"/>
                <w:szCs w:val="22"/>
              </w:rPr>
            </w:pPr>
            <w:r>
              <w:rPr>
                <w:color w:val="000000"/>
                <w:kern w:val="0"/>
                <w:sz w:val="22"/>
                <w:szCs w:val="22"/>
              </w:rPr>
              <w:t>信息化建设及运行维护经费</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6</w:t>
            </w:r>
          </w:p>
        </w:tc>
        <w:tc>
          <w:tcPr>
            <w:tcW w:w="1275" w:type="dxa"/>
            <w:vAlign w:val="center"/>
          </w:tcPr>
          <w:p>
            <w:pPr>
              <w:spacing w:line="320" w:lineRule="exact"/>
              <w:jc w:val="center"/>
              <w:textAlignment w:val="center"/>
              <w:rPr>
                <w:kern w:val="0"/>
                <w:sz w:val="22"/>
                <w:szCs w:val="22"/>
              </w:rPr>
            </w:pPr>
            <w:r>
              <w:rPr>
                <w:color w:val="000000"/>
                <w:kern w:val="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2</w:t>
            </w:r>
          </w:p>
        </w:tc>
        <w:tc>
          <w:tcPr>
            <w:tcW w:w="4676" w:type="dxa"/>
            <w:vAlign w:val="center"/>
          </w:tcPr>
          <w:p>
            <w:pPr>
              <w:spacing w:line="320" w:lineRule="exact"/>
              <w:jc w:val="center"/>
              <w:textAlignment w:val="center"/>
              <w:rPr>
                <w:kern w:val="0"/>
                <w:sz w:val="22"/>
                <w:szCs w:val="22"/>
              </w:rPr>
            </w:pPr>
            <w:r>
              <w:rPr>
                <w:color w:val="000000"/>
                <w:kern w:val="0"/>
                <w:sz w:val="22"/>
                <w:szCs w:val="22"/>
              </w:rPr>
              <w:t>检察业务经费</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5</w:t>
            </w:r>
          </w:p>
        </w:tc>
        <w:tc>
          <w:tcPr>
            <w:tcW w:w="1275" w:type="dxa"/>
            <w:vAlign w:val="center"/>
          </w:tcPr>
          <w:p>
            <w:pPr>
              <w:spacing w:line="320" w:lineRule="exact"/>
              <w:jc w:val="center"/>
              <w:textAlignment w:val="center"/>
              <w:rPr>
                <w:kern w:val="0"/>
                <w:sz w:val="22"/>
                <w:szCs w:val="22"/>
              </w:rPr>
            </w:pPr>
            <w:r>
              <w:rPr>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3</w:t>
            </w:r>
          </w:p>
        </w:tc>
        <w:tc>
          <w:tcPr>
            <w:tcW w:w="4676" w:type="dxa"/>
            <w:vAlign w:val="center"/>
          </w:tcPr>
          <w:p>
            <w:pPr>
              <w:spacing w:line="320" w:lineRule="exact"/>
              <w:jc w:val="center"/>
              <w:textAlignment w:val="center"/>
              <w:rPr>
                <w:kern w:val="0"/>
                <w:sz w:val="22"/>
                <w:szCs w:val="22"/>
              </w:rPr>
            </w:pPr>
            <w:r>
              <w:rPr>
                <w:color w:val="000000"/>
                <w:kern w:val="0"/>
                <w:sz w:val="22"/>
                <w:szCs w:val="22"/>
              </w:rPr>
              <w:t>司法救助</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2</w:t>
            </w:r>
          </w:p>
        </w:tc>
        <w:tc>
          <w:tcPr>
            <w:tcW w:w="1275" w:type="dxa"/>
            <w:vAlign w:val="center"/>
          </w:tcPr>
          <w:p>
            <w:pPr>
              <w:spacing w:line="320" w:lineRule="exact"/>
              <w:jc w:val="center"/>
              <w:textAlignment w:val="center"/>
              <w:rPr>
                <w:kern w:val="0"/>
                <w:sz w:val="22"/>
                <w:szCs w:val="22"/>
              </w:rPr>
            </w:pP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4</w:t>
            </w:r>
          </w:p>
        </w:tc>
        <w:tc>
          <w:tcPr>
            <w:tcW w:w="4676" w:type="dxa"/>
            <w:vAlign w:val="center"/>
          </w:tcPr>
          <w:p>
            <w:pPr>
              <w:spacing w:line="320" w:lineRule="exact"/>
              <w:jc w:val="center"/>
              <w:textAlignment w:val="center"/>
              <w:rPr>
                <w:kern w:val="0"/>
                <w:sz w:val="22"/>
                <w:szCs w:val="22"/>
              </w:rPr>
            </w:pPr>
            <w:r>
              <w:rPr>
                <w:color w:val="000000"/>
                <w:kern w:val="0"/>
                <w:sz w:val="22"/>
                <w:szCs w:val="22"/>
              </w:rPr>
              <w:t>继续实施项目</w:t>
            </w:r>
            <w:r>
              <w:rPr>
                <w:rStyle w:val="35"/>
              </w:rPr>
              <w:t>_</w:t>
            </w:r>
            <w:r>
              <w:rPr>
                <w:rStyle w:val="36"/>
                <w:rFonts w:hint="default" w:ascii="Times New Roman" w:cs="Times New Roman"/>
              </w:rPr>
              <w:t>省检察院人民中路工作区维修改造项目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w:t>
            </w:r>
          </w:p>
        </w:tc>
        <w:tc>
          <w:tcPr>
            <w:tcW w:w="1275" w:type="dxa"/>
            <w:vAlign w:val="center"/>
          </w:tcPr>
          <w:p>
            <w:pPr>
              <w:spacing w:line="320" w:lineRule="exact"/>
              <w:jc w:val="center"/>
              <w:textAlignment w:val="center"/>
              <w:rPr>
                <w:kern w:val="0"/>
                <w:sz w:val="22"/>
                <w:szCs w:val="22"/>
              </w:rPr>
            </w:pPr>
            <w:r>
              <w:rPr>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5</w:t>
            </w:r>
          </w:p>
        </w:tc>
        <w:tc>
          <w:tcPr>
            <w:tcW w:w="4676" w:type="dxa"/>
            <w:vAlign w:val="center"/>
          </w:tcPr>
          <w:p>
            <w:pPr>
              <w:spacing w:line="320" w:lineRule="exact"/>
              <w:jc w:val="center"/>
              <w:textAlignment w:val="center"/>
              <w:rPr>
                <w:kern w:val="0"/>
                <w:sz w:val="22"/>
                <w:szCs w:val="22"/>
              </w:rPr>
            </w:pPr>
            <w:r>
              <w:rPr>
                <w:color w:val="000000"/>
                <w:kern w:val="0"/>
                <w:sz w:val="22"/>
                <w:szCs w:val="22"/>
              </w:rPr>
              <w:t>省检察院人民中路工作区维修改造项目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w:t>
            </w:r>
          </w:p>
        </w:tc>
        <w:tc>
          <w:tcPr>
            <w:tcW w:w="1275" w:type="dxa"/>
            <w:vAlign w:val="center"/>
          </w:tcPr>
          <w:p>
            <w:pPr>
              <w:spacing w:line="320" w:lineRule="exact"/>
              <w:jc w:val="center"/>
              <w:textAlignment w:val="center"/>
              <w:rPr>
                <w:kern w:val="0"/>
                <w:sz w:val="22"/>
                <w:szCs w:val="22"/>
              </w:rPr>
            </w:pPr>
            <w:r>
              <w:rPr>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6</w:t>
            </w:r>
          </w:p>
        </w:tc>
        <w:tc>
          <w:tcPr>
            <w:tcW w:w="4676" w:type="dxa"/>
            <w:vAlign w:val="center"/>
          </w:tcPr>
          <w:p>
            <w:pPr>
              <w:spacing w:line="320" w:lineRule="exact"/>
              <w:jc w:val="center"/>
              <w:textAlignment w:val="center"/>
              <w:rPr>
                <w:kern w:val="0"/>
                <w:sz w:val="22"/>
                <w:szCs w:val="22"/>
              </w:rPr>
            </w:pPr>
            <w:r>
              <w:rPr>
                <w:color w:val="000000"/>
                <w:kern w:val="0"/>
                <w:sz w:val="22"/>
                <w:szCs w:val="22"/>
              </w:rPr>
              <w:t>铁路检察院业务用房建设项目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2</w:t>
            </w:r>
          </w:p>
        </w:tc>
        <w:tc>
          <w:tcPr>
            <w:tcW w:w="1275" w:type="dxa"/>
            <w:vAlign w:val="center"/>
          </w:tcPr>
          <w:p>
            <w:pPr>
              <w:spacing w:line="320" w:lineRule="exact"/>
              <w:jc w:val="center"/>
              <w:textAlignment w:val="center"/>
              <w:rPr>
                <w:kern w:val="0"/>
                <w:sz w:val="22"/>
                <w:szCs w:val="22"/>
              </w:rPr>
            </w:pP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7</w:t>
            </w:r>
          </w:p>
        </w:tc>
        <w:tc>
          <w:tcPr>
            <w:tcW w:w="4676" w:type="dxa"/>
            <w:vAlign w:val="center"/>
          </w:tcPr>
          <w:p>
            <w:pPr>
              <w:spacing w:line="320" w:lineRule="exact"/>
              <w:jc w:val="center"/>
              <w:textAlignment w:val="center"/>
              <w:rPr>
                <w:kern w:val="0"/>
                <w:sz w:val="22"/>
                <w:szCs w:val="22"/>
              </w:rPr>
            </w:pPr>
            <w:r>
              <w:rPr>
                <w:color w:val="000000"/>
                <w:kern w:val="0"/>
                <w:sz w:val="22"/>
                <w:szCs w:val="22"/>
              </w:rPr>
              <w:t>继续实施项目_省级预算内基本建设资金</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3</w:t>
            </w:r>
          </w:p>
        </w:tc>
        <w:tc>
          <w:tcPr>
            <w:tcW w:w="1275" w:type="dxa"/>
            <w:vAlign w:val="center"/>
          </w:tcPr>
          <w:p>
            <w:pPr>
              <w:spacing w:line="320" w:lineRule="exact"/>
              <w:jc w:val="center"/>
              <w:textAlignment w:val="center"/>
              <w:rPr>
                <w:kern w:val="0"/>
                <w:sz w:val="22"/>
                <w:szCs w:val="22"/>
              </w:rPr>
            </w:pPr>
            <w:r>
              <w:rPr>
                <w:color w:val="000000"/>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8</w:t>
            </w:r>
          </w:p>
        </w:tc>
        <w:tc>
          <w:tcPr>
            <w:tcW w:w="4676" w:type="dxa"/>
            <w:vAlign w:val="center"/>
          </w:tcPr>
          <w:p>
            <w:pPr>
              <w:spacing w:line="320" w:lineRule="exact"/>
              <w:jc w:val="center"/>
              <w:textAlignment w:val="center"/>
              <w:rPr>
                <w:kern w:val="0"/>
                <w:sz w:val="22"/>
                <w:szCs w:val="22"/>
              </w:rPr>
            </w:pPr>
            <w:r>
              <w:rPr>
                <w:color w:val="000000"/>
                <w:kern w:val="0"/>
                <w:sz w:val="22"/>
                <w:szCs w:val="22"/>
              </w:rPr>
              <w:t>继续实施项目_铁路检察院业务用房建设项目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w:t>
            </w:r>
          </w:p>
        </w:tc>
        <w:tc>
          <w:tcPr>
            <w:tcW w:w="1275" w:type="dxa"/>
            <w:vAlign w:val="center"/>
          </w:tcPr>
          <w:p>
            <w:pPr>
              <w:spacing w:line="320" w:lineRule="exact"/>
              <w:jc w:val="center"/>
              <w:textAlignment w:val="center"/>
              <w:rPr>
                <w:kern w:val="0"/>
                <w:sz w:val="22"/>
                <w:szCs w:val="22"/>
              </w:rPr>
            </w:pPr>
            <w:r>
              <w:rPr>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9</w:t>
            </w:r>
          </w:p>
        </w:tc>
        <w:tc>
          <w:tcPr>
            <w:tcW w:w="4676" w:type="dxa"/>
            <w:vAlign w:val="center"/>
          </w:tcPr>
          <w:p>
            <w:pPr>
              <w:spacing w:line="320" w:lineRule="exact"/>
              <w:jc w:val="center"/>
              <w:textAlignment w:val="center"/>
              <w:rPr>
                <w:kern w:val="0"/>
                <w:sz w:val="22"/>
                <w:szCs w:val="22"/>
              </w:rPr>
            </w:pPr>
            <w:r>
              <w:rPr>
                <w:color w:val="000000"/>
                <w:kern w:val="0"/>
                <w:sz w:val="22"/>
                <w:szCs w:val="22"/>
              </w:rPr>
              <w:t>四川省人民检察院电子检务深化应用项目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14</w:t>
            </w:r>
          </w:p>
        </w:tc>
        <w:tc>
          <w:tcPr>
            <w:tcW w:w="1275" w:type="dxa"/>
            <w:vAlign w:val="center"/>
          </w:tcPr>
          <w:p>
            <w:pPr>
              <w:spacing w:line="320" w:lineRule="exact"/>
              <w:jc w:val="center"/>
              <w:textAlignment w:val="center"/>
              <w:rPr>
                <w:kern w:val="0"/>
                <w:sz w:val="22"/>
                <w:szCs w:val="22"/>
              </w:rPr>
            </w:pPr>
            <w:r>
              <w:rPr>
                <w:color w:val="000000"/>
                <w:kern w:val="0"/>
                <w:sz w:val="22"/>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10</w:t>
            </w:r>
          </w:p>
        </w:tc>
        <w:tc>
          <w:tcPr>
            <w:tcW w:w="4676" w:type="dxa"/>
            <w:vAlign w:val="center"/>
          </w:tcPr>
          <w:p>
            <w:pPr>
              <w:spacing w:line="320" w:lineRule="exact"/>
              <w:jc w:val="center"/>
              <w:textAlignment w:val="center"/>
              <w:rPr>
                <w:kern w:val="0"/>
                <w:sz w:val="22"/>
                <w:szCs w:val="22"/>
              </w:rPr>
            </w:pPr>
            <w:r>
              <w:rPr>
                <w:color w:val="000000"/>
                <w:kern w:val="0"/>
                <w:sz w:val="22"/>
                <w:szCs w:val="22"/>
              </w:rPr>
              <w:t>继续实施项目_四川省人民检察院电子检务深化应用项目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12</w:t>
            </w:r>
          </w:p>
        </w:tc>
        <w:tc>
          <w:tcPr>
            <w:tcW w:w="1275" w:type="dxa"/>
            <w:vAlign w:val="center"/>
          </w:tcPr>
          <w:p>
            <w:pPr>
              <w:spacing w:line="320" w:lineRule="exact"/>
              <w:jc w:val="center"/>
              <w:textAlignment w:val="center"/>
              <w:rPr>
                <w:kern w:val="0"/>
                <w:sz w:val="22"/>
                <w:szCs w:val="22"/>
              </w:rPr>
            </w:pPr>
            <w:r>
              <w:rPr>
                <w:color w:val="000000"/>
                <w:kern w:val="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11</w:t>
            </w:r>
          </w:p>
        </w:tc>
        <w:tc>
          <w:tcPr>
            <w:tcW w:w="4676" w:type="dxa"/>
            <w:vAlign w:val="center"/>
          </w:tcPr>
          <w:p>
            <w:pPr>
              <w:spacing w:line="320" w:lineRule="exact"/>
              <w:jc w:val="center"/>
              <w:textAlignment w:val="center"/>
              <w:rPr>
                <w:kern w:val="0"/>
                <w:sz w:val="22"/>
                <w:szCs w:val="22"/>
              </w:rPr>
            </w:pPr>
            <w:r>
              <w:rPr>
                <w:color w:val="000000"/>
                <w:kern w:val="0"/>
                <w:sz w:val="22"/>
                <w:szCs w:val="22"/>
              </w:rPr>
              <w:t>政法委边界系统建设及智能辅助办案系统项目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3</w:t>
            </w:r>
          </w:p>
        </w:tc>
        <w:tc>
          <w:tcPr>
            <w:tcW w:w="1275" w:type="dxa"/>
            <w:vAlign w:val="center"/>
          </w:tcPr>
          <w:p>
            <w:pPr>
              <w:spacing w:line="320" w:lineRule="exact"/>
              <w:jc w:val="center"/>
              <w:textAlignment w:val="center"/>
              <w:rPr>
                <w:kern w:val="0"/>
                <w:sz w:val="22"/>
                <w:szCs w:val="22"/>
              </w:rPr>
            </w:pPr>
            <w:r>
              <w:rPr>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12</w:t>
            </w:r>
          </w:p>
        </w:tc>
        <w:tc>
          <w:tcPr>
            <w:tcW w:w="4676" w:type="dxa"/>
            <w:vAlign w:val="center"/>
          </w:tcPr>
          <w:p>
            <w:pPr>
              <w:spacing w:line="320" w:lineRule="exact"/>
              <w:jc w:val="center"/>
              <w:textAlignment w:val="center"/>
              <w:rPr>
                <w:kern w:val="0"/>
                <w:sz w:val="22"/>
                <w:szCs w:val="22"/>
              </w:rPr>
            </w:pPr>
            <w:r>
              <w:rPr>
                <w:color w:val="000000"/>
                <w:kern w:val="0"/>
                <w:sz w:val="22"/>
                <w:szCs w:val="22"/>
              </w:rPr>
              <w:t>全省检察机关人工智能语音基础平台建设项目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3</w:t>
            </w:r>
          </w:p>
        </w:tc>
        <w:tc>
          <w:tcPr>
            <w:tcW w:w="1275" w:type="dxa"/>
            <w:vAlign w:val="center"/>
          </w:tcPr>
          <w:p>
            <w:pPr>
              <w:spacing w:line="320" w:lineRule="exact"/>
              <w:jc w:val="center"/>
              <w:textAlignment w:val="center"/>
              <w:rPr>
                <w:kern w:val="0"/>
                <w:sz w:val="22"/>
                <w:szCs w:val="22"/>
              </w:rPr>
            </w:pPr>
            <w:r>
              <w:rPr>
                <w:color w:val="000000"/>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13</w:t>
            </w:r>
          </w:p>
        </w:tc>
        <w:tc>
          <w:tcPr>
            <w:tcW w:w="4676" w:type="dxa"/>
            <w:vAlign w:val="center"/>
          </w:tcPr>
          <w:p>
            <w:pPr>
              <w:spacing w:line="320" w:lineRule="exact"/>
              <w:jc w:val="center"/>
              <w:textAlignment w:val="center"/>
              <w:rPr>
                <w:kern w:val="0"/>
                <w:sz w:val="22"/>
                <w:szCs w:val="22"/>
              </w:rPr>
            </w:pPr>
            <w:r>
              <w:rPr>
                <w:color w:val="000000"/>
                <w:kern w:val="0"/>
                <w:sz w:val="22"/>
                <w:szCs w:val="22"/>
              </w:rPr>
              <w:t>继续实施项目</w:t>
            </w:r>
            <w:r>
              <w:rPr>
                <w:rStyle w:val="35"/>
              </w:rPr>
              <w:t>_</w:t>
            </w:r>
            <w:r>
              <w:rPr>
                <w:rStyle w:val="36"/>
                <w:rFonts w:hint="default" w:ascii="Times New Roman" w:cs="Times New Roman"/>
              </w:rPr>
              <w:t>侦查指挥中心和办公区设施维修改造项目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w:t>
            </w:r>
          </w:p>
        </w:tc>
        <w:tc>
          <w:tcPr>
            <w:tcW w:w="1275" w:type="dxa"/>
            <w:vAlign w:val="center"/>
          </w:tcPr>
          <w:p>
            <w:pPr>
              <w:spacing w:line="320" w:lineRule="exact"/>
              <w:jc w:val="center"/>
              <w:textAlignment w:val="center"/>
              <w:rPr>
                <w:kern w:val="0"/>
                <w:sz w:val="22"/>
                <w:szCs w:val="22"/>
              </w:rPr>
            </w:pPr>
            <w:r>
              <w:rPr>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14</w:t>
            </w:r>
          </w:p>
        </w:tc>
        <w:tc>
          <w:tcPr>
            <w:tcW w:w="4676" w:type="dxa"/>
            <w:vAlign w:val="center"/>
          </w:tcPr>
          <w:p>
            <w:pPr>
              <w:spacing w:line="320" w:lineRule="exact"/>
              <w:jc w:val="center"/>
              <w:textAlignment w:val="center"/>
              <w:rPr>
                <w:kern w:val="0"/>
                <w:sz w:val="22"/>
                <w:szCs w:val="22"/>
              </w:rPr>
            </w:pPr>
            <w:r>
              <w:rPr>
                <w:color w:val="000000"/>
                <w:kern w:val="0"/>
                <w:sz w:val="22"/>
                <w:szCs w:val="22"/>
              </w:rPr>
              <w:t>侦查指挥中心和办公区设施维修改造项目</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1</w:t>
            </w:r>
          </w:p>
        </w:tc>
        <w:tc>
          <w:tcPr>
            <w:tcW w:w="1275" w:type="dxa"/>
            <w:vAlign w:val="center"/>
          </w:tcPr>
          <w:p>
            <w:pPr>
              <w:spacing w:line="320" w:lineRule="exact"/>
              <w:jc w:val="center"/>
              <w:textAlignment w:val="center"/>
              <w:rPr>
                <w:kern w:val="0"/>
                <w:sz w:val="22"/>
                <w:szCs w:val="22"/>
              </w:rPr>
            </w:pPr>
            <w:r>
              <w:rPr>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15</w:t>
            </w:r>
          </w:p>
        </w:tc>
        <w:tc>
          <w:tcPr>
            <w:tcW w:w="4676" w:type="dxa"/>
            <w:vAlign w:val="center"/>
          </w:tcPr>
          <w:p>
            <w:pPr>
              <w:spacing w:line="320" w:lineRule="exact"/>
              <w:jc w:val="center"/>
              <w:textAlignment w:val="center"/>
              <w:rPr>
                <w:kern w:val="0"/>
                <w:sz w:val="22"/>
                <w:szCs w:val="22"/>
              </w:rPr>
            </w:pPr>
            <w:r>
              <w:rPr>
                <w:color w:val="000000"/>
                <w:kern w:val="0"/>
                <w:sz w:val="22"/>
                <w:szCs w:val="22"/>
              </w:rPr>
              <w:t>聘用制书记员经费</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4</w:t>
            </w:r>
          </w:p>
        </w:tc>
        <w:tc>
          <w:tcPr>
            <w:tcW w:w="1275" w:type="dxa"/>
            <w:vAlign w:val="center"/>
          </w:tcPr>
          <w:p>
            <w:pPr>
              <w:spacing w:line="320" w:lineRule="exact"/>
              <w:jc w:val="center"/>
              <w:textAlignment w:val="center"/>
              <w:rPr>
                <w:kern w:val="0"/>
                <w:sz w:val="22"/>
                <w:szCs w:val="22"/>
              </w:rPr>
            </w:pPr>
            <w:r>
              <w:rPr>
                <w:color w:val="000000"/>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16</w:t>
            </w:r>
          </w:p>
        </w:tc>
        <w:tc>
          <w:tcPr>
            <w:tcW w:w="4676" w:type="dxa"/>
            <w:vAlign w:val="center"/>
          </w:tcPr>
          <w:p>
            <w:pPr>
              <w:spacing w:line="320" w:lineRule="exact"/>
              <w:jc w:val="center"/>
              <w:textAlignment w:val="center"/>
              <w:rPr>
                <w:kern w:val="0"/>
                <w:sz w:val="22"/>
                <w:szCs w:val="22"/>
              </w:rPr>
            </w:pPr>
            <w:r>
              <w:rPr>
                <w:color w:val="000000"/>
                <w:kern w:val="0"/>
                <w:sz w:val="22"/>
                <w:szCs w:val="22"/>
              </w:rPr>
              <w:t>检察队伍教育整顿经费</w:t>
            </w:r>
          </w:p>
        </w:tc>
        <w:tc>
          <w:tcPr>
            <w:tcW w:w="1597" w:type="dxa"/>
            <w:vAlign w:val="center"/>
          </w:tcPr>
          <w:p>
            <w:pPr>
              <w:spacing w:line="320" w:lineRule="exact"/>
              <w:jc w:val="center"/>
              <w:textAlignment w:val="center"/>
              <w:rPr>
                <w:kern w:val="0"/>
                <w:sz w:val="22"/>
                <w:szCs w:val="22"/>
              </w:rPr>
            </w:pPr>
            <w:r>
              <w:rPr>
                <w:color w:val="000000"/>
                <w:kern w:val="0"/>
                <w:sz w:val="22"/>
                <w:szCs w:val="22"/>
              </w:rPr>
              <w:t>省检察院机关</w:t>
            </w:r>
          </w:p>
        </w:tc>
        <w:tc>
          <w:tcPr>
            <w:tcW w:w="1319" w:type="dxa"/>
            <w:vAlign w:val="center"/>
          </w:tcPr>
          <w:p>
            <w:pPr>
              <w:spacing w:line="320" w:lineRule="exact"/>
              <w:jc w:val="center"/>
              <w:textAlignment w:val="center"/>
              <w:rPr>
                <w:kern w:val="0"/>
                <w:sz w:val="22"/>
                <w:szCs w:val="22"/>
              </w:rPr>
            </w:pPr>
            <w:r>
              <w:rPr>
                <w:color w:val="000000"/>
                <w:kern w:val="0"/>
                <w:sz w:val="22"/>
                <w:szCs w:val="22"/>
              </w:rPr>
              <w:t>8</w:t>
            </w:r>
          </w:p>
        </w:tc>
        <w:tc>
          <w:tcPr>
            <w:tcW w:w="1275" w:type="dxa"/>
            <w:vAlign w:val="center"/>
          </w:tcPr>
          <w:p>
            <w:pPr>
              <w:spacing w:line="320" w:lineRule="exact"/>
              <w:jc w:val="center"/>
              <w:textAlignment w:val="center"/>
              <w:rPr>
                <w:kern w:val="0"/>
                <w:sz w:val="22"/>
                <w:szCs w:val="22"/>
              </w:rPr>
            </w:pPr>
            <w:r>
              <w:rPr>
                <w:color w:val="000000"/>
                <w:kern w:val="0"/>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17</w:t>
            </w:r>
          </w:p>
        </w:tc>
        <w:tc>
          <w:tcPr>
            <w:tcW w:w="4676" w:type="dxa"/>
            <w:vAlign w:val="center"/>
          </w:tcPr>
          <w:p>
            <w:pPr>
              <w:spacing w:line="320" w:lineRule="exact"/>
              <w:jc w:val="center"/>
              <w:textAlignment w:val="center"/>
              <w:rPr>
                <w:kern w:val="0"/>
                <w:sz w:val="22"/>
                <w:szCs w:val="22"/>
              </w:rPr>
            </w:pPr>
            <w:r>
              <w:rPr>
                <w:color w:val="000000"/>
                <w:kern w:val="0"/>
                <w:sz w:val="22"/>
                <w:szCs w:val="22"/>
              </w:rPr>
              <w:t>聘用制书记员经费</w:t>
            </w:r>
          </w:p>
        </w:tc>
        <w:tc>
          <w:tcPr>
            <w:tcW w:w="1597" w:type="dxa"/>
            <w:vAlign w:val="center"/>
          </w:tcPr>
          <w:p>
            <w:pPr>
              <w:spacing w:line="320" w:lineRule="exact"/>
              <w:jc w:val="center"/>
              <w:textAlignment w:val="center"/>
              <w:rPr>
                <w:kern w:val="0"/>
                <w:sz w:val="22"/>
                <w:szCs w:val="22"/>
              </w:rPr>
            </w:pPr>
            <w:r>
              <w:rPr>
                <w:color w:val="000000"/>
                <w:kern w:val="0"/>
                <w:sz w:val="22"/>
                <w:szCs w:val="22"/>
              </w:rPr>
              <w:t>成都铁检院</w:t>
            </w:r>
          </w:p>
        </w:tc>
        <w:tc>
          <w:tcPr>
            <w:tcW w:w="1319" w:type="dxa"/>
            <w:vAlign w:val="center"/>
          </w:tcPr>
          <w:p>
            <w:pPr>
              <w:spacing w:line="320" w:lineRule="exact"/>
              <w:jc w:val="center"/>
              <w:textAlignment w:val="center"/>
              <w:rPr>
                <w:kern w:val="0"/>
                <w:sz w:val="22"/>
                <w:szCs w:val="22"/>
              </w:rPr>
            </w:pPr>
            <w:r>
              <w:rPr>
                <w:color w:val="000000"/>
                <w:kern w:val="0"/>
                <w:sz w:val="22"/>
                <w:szCs w:val="22"/>
              </w:rPr>
              <w:t>4</w:t>
            </w:r>
          </w:p>
        </w:tc>
        <w:tc>
          <w:tcPr>
            <w:tcW w:w="1275" w:type="dxa"/>
            <w:vAlign w:val="center"/>
          </w:tcPr>
          <w:p>
            <w:pPr>
              <w:spacing w:line="320" w:lineRule="exact"/>
              <w:jc w:val="center"/>
              <w:textAlignment w:val="center"/>
              <w:rPr>
                <w:kern w:val="0"/>
                <w:sz w:val="22"/>
                <w:szCs w:val="22"/>
              </w:rPr>
            </w:pP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18</w:t>
            </w:r>
          </w:p>
        </w:tc>
        <w:tc>
          <w:tcPr>
            <w:tcW w:w="4676" w:type="dxa"/>
            <w:vAlign w:val="center"/>
          </w:tcPr>
          <w:p>
            <w:pPr>
              <w:spacing w:line="320" w:lineRule="exact"/>
              <w:jc w:val="center"/>
              <w:textAlignment w:val="center"/>
              <w:rPr>
                <w:kern w:val="0"/>
                <w:sz w:val="22"/>
                <w:szCs w:val="22"/>
              </w:rPr>
            </w:pPr>
            <w:r>
              <w:rPr>
                <w:color w:val="000000"/>
                <w:kern w:val="0"/>
                <w:sz w:val="22"/>
                <w:szCs w:val="22"/>
              </w:rPr>
              <w:t>教学活动经费</w:t>
            </w:r>
          </w:p>
        </w:tc>
        <w:tc>
          <w:tcPr>
            <w:tcW w:w="1597" w:type="dxa"/>
            <w:vAlign w:val="center"/>
          </w:tcPr>
          <w:p>
            <w:pPr>
              <w:spacing w:line="320" w:lineRule="exact"/>
              <w:jc w:val="center"/>
              <w:textAlignment w:val="center"/>
              <w:rPr>
                <w:kern w:val="0"/>
                <w:sz w:val="22"/>
                <w:szCs w:val="22"/>
              </w:rPr>
            </w:pPr>
            <w:r>
              <w:rPr>
                <w:color w:val="000000"/>
                <w:kern w:val="0"/>
                <w:sz w:val="22"/>
                <w:szCs w:val="22"/>
              </w:rPr>
              <w:t>检察官学院</w:t>
            </w:r>
          </w:p>
        </w:tc>
        <w:tc>
          <w:tcPr>
            <w:tcW w:w="1319" w:type="dxa"/>
            <w:vAlign w:val="center"/>
          </w:tcPr>
          <w:p>
            <w:pPr>
              <w:spacing w:line="320" w:lineRule="exact"/>
              <w:jc w:val="center"/>
              <w:textAlignment w:val="center"/>
              <w:rPr>
                <w:kern w:val="0"/>
                <w:sz w:val="22"/>
                <w:szCs w:val="22"/>
              </w:rPr>
            </w:pPr>
            <w:r>
              <w:rPr>
                <w:color w:val="000000"/>
                <w:kern w:val="0"/>
                <w:sz w:val="22"/>
                <w:szCs w:val="22"/>
              </w:rPr>
              <w:t>2</w:t>
            </w:r>
          </w:p>
        </w:tc>
        <w:tc>
          <w:tcPr>
            <w:tcW w:w="1275" w:type="dxa"/>
            <w:vAlign w:val="center"/>
          </w:tcPr>
          <w:p>
            <w:pPr>
              <w:spacing w:line="320" w:lineRule="exact"/>
              <w:jc w:val="center"/>
              <w:textAlignment w:val="center"/>
              <w:rPr>
                <w:kern w:val="0"/>
                <w:sz w:val="22"/>
                <w:szCs w:val="22"/>
              </w:rPr>
            </w:pP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19</w:t>
            </w:r>
          </w:p>
        </w:tc>
        <w:tc>
          <w:tcPr>
            <w:tcW w:w="4676" w:type="dxa"/>
            <w:vAlign w:val="center"/>
          </w:tcPr>
          <w:p>
            <w:pPr>
              <w:spacing w:line="320" w:lineRule="exact"/>
              <w:jc w:val="center"/>
              <w:textAlignment w:val="center"/>
              <w:rPr>
                <w:kern w:val="0"/>
                <w:sz w:val="22"/>
                <w:szCs w:val="22"/>
              </w:rPr>
            </w:pPr>
            <w:r>
              <w:rPr>
                <w:color w:val="000000"/>
                <w:kern w:val="0"/>
                <w:sz w:val="22"/>
                <w:szCs w:val="22"/>
              </w:rPr>
              <w:t>检察官学院运转经费</w:t>
            </w:r>
          </w:p>
        </w:tc>
        <w:tc>
          <w:tcPr>
            <w:tcW w:w="1597" w:type="dxa"/>
            <w:vAlign w:val="center"/>
          </w:tcPr>
          <w:p>
            <w:pPr>
              <w:spacing w:line="320" w:lineRule="exact"/>
              <w:jc w:val="center"/>
              <w:textAlignment w:val="center"/>
              <w:rPr>
                <w:kern w:val="0"/>
                <w:sz w:val="22"/>
                <w:szCs w:val="22"/>
              </w:rPr>
            </w:pPr>
            <w:r>
              <w:rPr>
                <w:color w:val="000000"/>
                <w:kern w:val="0"/>
                <w:sz w:val="22"/>
                <w:szCs w:val="22"/>
              </w:rPr>
              <w:t>检察官学院</w:t>
            </w:r>
          </w:p>
        </w:tc>
        <w:tc>
          <w:tcPr>
            <w:tcW w:w="1319" w:type="dxa"/>
            <w:vAlign w:val="center"/>
          </w:tcPr>
          <w:p>
            <w:pPr>
              <w:spacing w:line="320" w:lineRule="exact"/>
              <w:jc w:val="center"/>
              <w:textAlignment w:val="center"/>
              <w:rPr>
                <w:sz w:val="22"/>
                <w:szCs w:val="22"/>
              </w:rPr>
            </w:pPr>
            <w:r>
              <w:rPr>
                <w:color w:val="000000"/>
                <w:kern w:val="0"/>
                <w:sz w:val="22"/>
                <w:szCs w:val="22"/>
              </w:rPr>
              <w:t>2</w:t>
            </w:r>
          </w:p>
        </w:tc>
        <w:tc>
          <w:tcPr>
            <w:tcW w:w="1275" w:type="dxa"/>
            <w:vAlign w:val="center"/>
          </w:tcPr>
          <w:p>
            <w:pPr>
              <w:spacing w:line="320" w:lineRule="exact"/>
              <w:jc w:val="center"/>
              <w:textAlignment w:val="center"/>
              <w:rPr>
                <w:sz w:val="22"/>
                <w:szCs w:val="22"/>
              </w:rPr>
            </w:pP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724" w:type="dxa"/>
            <w:vAlign w:val="center"/>
          </w:tcPr>
          <w:p>
            <w:pPr>
              <w:spacing w:line="320" w:lineRule="exact"/>
              <w:jc w:val="center"/>
              <w:textAlignment w:val="center"/>
              <w:rPr>
                <w:kern w:val="0"/>
                <w:sz w:val="22"/>
                <w:szCs w:val="22"/>
              </w:rPr>
            </w:pPr>
            <w:r>
              <w:rPr>
                <w:color w:val="000000"/>
                <w:kern w:val="0"/>
                <w:sz w:val="22"/>
                <w:szCs w:val="22"/>
              </w:rPr>
              <w:t>20</w:t>
            </w:r>
          </w:p>
        </w:tc>
        <w:tc>
          <w:tcPr>
            <w:tcW w:w="4676" w:type="dxa"/>
            <w:vAlign w:val="center"/>
          </w:tcPr>
          <w:p>
            <w:pPr>
              <w:spacing w:line="320" w:lineRule="exact"/>
              <w:jc w:val="center"/>
              <w:textAlignment w:val="center"/>
              <w:rPr>
                <w:kern w:val="0"/>
                <w:sz w:val="22"/>
                <w:szCs w:val="22"/>
              </w:rPr>
            </w:pPr>
            <w:r>
              <w:rPr>
                <w:color w:val="000000"/>
                <w:kern w:val="0"/>
                <w:sz w:val="22"/>
                <w:szCs w:val="22"/>
              </w:rPr>
              <w:t>四川检察官学院智慧检察教育项目</w:t>
            </w:r>
          </w:p>
        </w:tc>
        <w:tc>
          <w:tcPr>
            <w:tcW w:w="1597" w:type="dxa"/>
            <w:vAlign w:val="center"/>
          </w:tcPr>
          <w:p>
            <w:pPr>
              <w:spacing w:line="320" w:lineRule="exact"/>
              <w:jc w:val="center"/>
              <w:textAlignment w:val="center"/>
              <w:rPr>
                <w:kern w:val="0"/>
                <w:sz w:val="22"/>
                <w:szCs w:val="22"/>
              </w:rPr>
            </w:pPr>
            <w:r>
              <w:rPr>
                <w:color w:val="000000"/>
                <w:kern w:val="0"/>
                <w:sz w:val="22"/>
                <w:szCs w:val="22"/>
              </w:rPr>
              <w:t>检察官学院</w:t>
            </w:r>
          </w:p>
        </w:tc>
        <w:tc>
          <w:tcPr>
            <w:tcW w:w="1319" w:type="dxa"/>
            <w:vAlign w:val="center"/>
          </w:tcPr>
          <w:p>
            <w:pPr>
              <w:spacing w:line="320" w:lineRule="exact"/>
              <w:jc w:val="center"/>
              <w:textAlignment w:val="center"/>
              <w:rPr>
                <w:sz w:val="22"/>
                <w:szCs w:val="22"/>
              </w:rPr>
            </w:pPr>
            <w:r>
              <w:rPr>
                <w:color w:val="000000"/>
                <w:kern w:val="0"/>
                <w:sz w:val="22"/>
                <w:szCs w:val="22"/>
              </w:rPr>
              <w:t>2</w:t>
            </w:r>
          </w:p>
        </w:tc>
        <w:tc>
          <w:tcPr>
            <w:tcW w:w="1275" w:type="dxa"/>
            <w:vAlign w:val="center"/>
          </w:tcPr>
          <w:p>
            <w:pPr>
              <w:spacing w:line="320" w:lineRule="exact"/>
              <w:jc w:val="center"/>
              <w:textAlignment w:val="center"/>
              <w:rPr>
                <w:sz w:val="22"/>
                <w:szCs w:val="22"/>
              </w:rPr>
            </w:pPr>
            <w:r>
              <w:rPr>
                <w:color w:val="000000"/>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724" w:type="dxa"/>
            <w:vAlign w:val="center"/>
          </w:tcPr>
          <w:p>
            <w:pPr>
              <w:spacing w:line="320" w:lineRule="exact"/>
              <w:jc w:val="center"/>
              <w:rPr>
                <w:kern w:val="0"/>
                <w:sz w:val="22"/>
                <w:szCs w:val="22"/>
              </w:rPr>
            </w:pPr>
          </w:p>
        </w:tc>
        <w:tc>
          <w:tcPr>
            <w:tcW w:w="4676" w:type="dxa"/>
            <w:vAlign w:val="center"/>
          </w:tcPr>
          <w:p>
            <w:pPr>
              <w:spacing w:line="320" w:lineRule="exact"/>
              <w:jc w:val="center"/>
              <w:textAlignment w:val="center"/>
              <w:rPr>
                <w:kern w:val="0"/>
                <w:sz w:val="22"/>
                <w:szCs w:val="22"/>
              </w:rPr>
            </w:pPr>
            <w:r>
              <w:rPr>
                <w:color w:val="000000"/>
                <w:kern w:val="0"/>
                <w:sz w:val="22"/>
                <w:szCs w:val="22"/>
              </w:rPr>
              <w:t>合计</w:t>
            </w:r>
          </w:p>
        </w:tc>
        <w:tc>
          <w:tcPr>
            <w:tcW w:w="1597" w:type="dxa"/>
            <w:vAlign w:val="center"/>
          </w:tcPr>
          <w:p>
            <w:pPr>
              <w:spacing w:line="320" w:lineRule="exact"/>
              <w:jc w:val="center"/>
              <w:rPr>
                <w:kern w:val="0"/>
                <w:sz w:val="22"/>
                <w:szCs w:val="22"/>
              </w:rPr>
            </w:pPr>
          </w:p>
        </w:tc>
        <w:tc>
          <w:tcPr>
            <w:tcW w:w="1319" w:type="dxa"/>
            <w:vAlign w:val="center"/>
          </w:tcPr>
          <w:p>
            <w:pPr>
              <w:spacing w:line="320" w:lineRule="exact"/>
              <w:jc w:val="center"/>
              <w:textAlignment w:val="center"/>
              <w:rPr>
                <w:sz w:val="22"/>
                <w:szCs w:val="22"/>
              </w:rPr>
            </w:pPr>
            <w:r>
              <w:rPr>
                <w:color w:val="000000"/>
                <w:kern w:val="0"/>
                <w:sz w:val="22"/>
                <w:szCs w:val="22"/>
              </w:rPr>
              <w:t>77</w:t>
            </w:r>
          </w:p>
        </w:tc>
        <w:tc>
          <w:tcPr>
            <w:tcW w:w="1275" w:type="dxa"/>
            <w:vAlign w:val="center"/>
          </w:tcPr>
          <w:p>
            <w:pPr>
              <w:spacing w:line="320" w:lineRule="exact"/>
              <w:jc w:val="center"/>
              <w:textAlignment w:val="center"/>
              <w:rPr>
                <w:sz w:val="22"/>
                <w:szCs w:val="22"/>
              </w:rPr>
            </w:pPr>
            <w:r>
              <w:rPr>
                <w:color w:val="000000"/>
                <w:kern w:val="0"/>
                <w:sz w:val="22"/>
                <w:szCs w:val="22"/>
              </w:rPr>
              <w:t>64</w:t>
            </w:r>
          </w:p>
        </w:tc>
      </w:tr>
    </w:tbl>
    <w:p>
      <w:pPr>
        <w:ind w:firstLine="632" w:firstLineChars="200"/>
        <w:rPr>
          <w:szCs w:val="32"/>
        </w:rPr>
      </w:pPr>
      <w:r>
        <w:rPr>
          <w:b/>
          <w:bCs/>
          <w:szCs w:val="32"/>
        </w:rPr>
        <w:t>3</w:t>
      </w:r>
      <w:r>
        <w:rPr>
          <w:rFonts w:hint="eastAsia" w:ascii="仿宋_GB2312" w:hAnsi="仿宋_GB2312" w:cs="仿宋_GB2312"/>
          <w:b/>
          <w:bCs/>
          <w:szCs w:val="32"/>
        </w:rPr>
        <w:t>.</w:t>
      </w:r>
      <w:r>
        <w:rPr>
          <w:b/>
          <w:bCs/>
          <w:szCs w:val="32"/>
        </w:rPr>
        <w:t>日常支出控制情况</w:t>
      </w:r>
      <w:r>
        <w:rPr>
          <w:szCs w:val="32"/>
        </w:rPr>
        <w:t>（自评得分5分）。2021年日常公用经费、项目支出中</w:t>
      </w:r>
      <w:r>
        <w:rPr>
          <w:rFonts w:hint="eastAsia"/>
          <w:szCs w:val="32"/>
        </w:rPr>
        <w:t>“</w:t>
      </w:r>
      <w:r>
        <w:rPr>
          <w:szCs w:val="32"/>
        </w:rPr>
        <w:t>办公费、印刷费、水费、电费、物业管理费</w:t>
      </w:r>
      <w:r>
        <w:rPr>
          <w:rFonts w:hint="eastAsia"/>
          <w:szCs w:val="32"/>
        </w:rPr>
        <w:t>”</w:t>
      </w:r>
      <w:r>
        <w:rPr>
          <w:szCs w:val="32"/>
        </w:rPr>
        <w:t>等科目，年初预算1417.06万元，年终决算数为1485.89万元，预决算偏差程度为4.86%。</w:t>
      </w:r>
    </w:p>
    <w:tbl>
      <w:tblPr>
        <w:tblStyle w:val="14"/>
        <w:tblW w:w="94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1134"/>
        <w:gridCol w:w="908"/>
        <w:gridCol w:w="988"/>
        <w:gridCol w:w="108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Merge w:val="restart"/>
            <w:vAlign w:val="center"/>
          </w:tcPr>
          <w:p>
            <w:pPr>
              <w:spacing w:line="320" w:lineRule="exact"/>
              <w:jc w:val="center"/>
              <w:textAlignment w:val="center"/>
              <w:rPr>
                <w:b/>
                <w:bCs/>
                <w:color w:val="000000"/>
                <w:sz w:val="24"/>
              </w:rPr>
            </w:pPr>
            <w:r>
              <w:rPr>
                <w:b/>
                <w:bCs/>
                <w:color w:val="000000"/>
                <w:kern w:val="0"/>
                <w:sz w:val="24"/>
              </w:rPr>
              <w:t>项目</w:t>
            </w:r>
          </w:p>
        </w:tc>
        <w:tc>
          <w:tcPr>
            <w:tcW w:w="3034" w:type="dxa"/>
            <w:gridSpan w:val="3"/>
            <w:vAlign w:val="center"/>
          </w:tcPr>
          <w:p>
            <w:pPr>
              <w:spacing w:line="320" w:lineRule="exact"/>
              <w:jc w:val="center"/>
              <w:textAlignment w:val="center"/>
              <w:rPr>
                <w:b/>
                <w:bCs/>
                <w:color w:val="000000"/>
                <w:sz w:val="24"/>
              </w:rPr>
            </w:pPr>
            <w:r>
              <w:rPr>
                <w:b/>
                <w:bCs/>
                <w:color w:val="000000"/>
                <w:kern w:val="0"/>
                <w:sz w:val="24"/>
              </w:rPr>
              <w:t>年初预算数</w:t>
            </w:r>
          </w:p>
        </w:tc>
        <w:tc>
          <w:tcPr>
            <w:tcW w:w="3203" w:type="dxa"/>
            <w:gridSpan w:val="3"/>
            <w:vAlign w:val="center"/>
          </w:tcPr>
          <w:p>
            <w:pPr>
              <w:spacing w:line="320" w:lineRule="exact"/>
              <w:jc w:val="center"/>
              <w:textAlignment w:val="center"/>
              <w:rPr>
                <w:b/>
                <w:bCs/>
                <w:color w:val="000000"/>
                <w:sz w:val="24"/>
              </w:rPr>
            </w:pPr>
            <w:r>
              <w:rPr>
                <w:b/>
                <w:bCs/>
                <w:color w:val="000000"/>
                <w:kern w:val="0"/>
                <w:sz w:val="24"/>
              </w:rPr>
              <w:t>年终决算数</w:t>
            </w:r>
          </w:p>
        </w:tc>
        <w:tc>
          <w:tcPr>
            <w:tcW w:w="850" w:type="dxa"/>
            <w:vMerge w:val="restart"/>
            <w:vAlign w:val="center"/>
          </w:tcPr>
          <w:p>
            <w:pPr>
              <w:spacing w:line="320" w:lineRule="exact"/>
              <w:jc w:val="center"/>
              <w:textAlignment w:val="center"/>
              <w:rPr>
                <w:b/>
                <w:bCs/>
                <w:color w:val="000000"/>
                <w:sz w:val="24"/>
              </w:rPr>
            </w:pPr>
            <w:r>
              <w:rPr>
                <w:b/>
                <w:bCs/>
                <w:color w:val="000000"/>
                <w:kern w:val="0"/>
                <w:sz w:val="24"/>
              </w:rPr>
              <w:t>决算数与年初预算差额</w:t>
            </w:r>
          </w:p>
        </w:tc>
        <w:tc>
          <w:tcPr>
            <w:tcW w:w="1134" w:type="dxa"/>
            <w:vMerge w:val="restart"/>
            <w:vAlign w:val="center"/>
          </w:tcPr>
          <w:p>
            <w:pPr>
              <w:spacing w:line="320" w:lineRule="exact"/>
              <w:jc w:val="center"/>
              <w:textAlignment w:val="center"/>
              <w:rPr>
                <w:b/>
                <w:bCs/>
                <w:color w:val="000000"/>
                <w:sz w:val="24"/>
              </w:rPr>
            </w:pPr>
            <w:r>
              <w:rPr>
                <w:b/>
                <w:bCs/>
                <w:color w:val="000000"/>
                <w:kern w:val="0"/>
                <w:sz w:val="24"/>
              </w:rPr>
              <w:t>预决算偏差率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jc w:val="center"/>
        </w:trPr>
        <w:tc>
          <w:tcPr>
            <w:tcW w:w="1261" w:type="dxa"/>
            <w:vMerge w:val="continue"/>
            <w:vAlign w:val="center"/>
          </w:tcPr>
          <w:p>
            <w:pPr>
              <w:spacing w:line="320" w:lineRule="exact"/>
              <w:jc w:val="center"/>
              <w:rPr>
                <w:color w:val="000000"/>
                <w:sz w:val="24"/>
              </w:rPr>
            </w:pPr>
          </w:p>
        </w:tc>
        <w:tc>
          <w:tcPr>
            <w:tcW w:w="992" w:type="dxa"/>
            <w:vAlign w:val="center"/>
          </w:tcPr>
          <w:p>
            <w:pPr>
              <w:spacing w:line="320" w:lineRule="exact"/>
              <w:jc w:val="center"/>
              <w:textAlignment w:val="center"/>
              <w:rPr>
                <w:b/>
                <w:bCs/>
                <w:color w:val="000000"/>
                <w:sz w:val="24"/>
              </w:rPr>
            </w:pPr>
            <w:r>
              <w:rPr>
                <w:b/>
                <w:bCs/>
                <w:color w:val="000000"/>
                <w:kern w:val="0"/>
                <w:sz w:val="24"/>
              </w:rPr>
              <w:t>合计</w:t>
            </w:r>
          </w:p>
        </w:tc>
        <w:tc>
          <w:tcPr>
            <w:tcW w:w="1134" w:type="dxa"/>
            <w:vAlign w:val="center"/>
          </w:tcPr>
          <w:p>
            <w:pPr>
              <w:spacing w:line="320" w:lineRule="exact"/>
              <w:jc w:val="center"/>
              <w:textAlignment w:val="center"/>
              <w:rPr>
                <w:b/>
                <w:bCs/>
                <w:color w:val="000000"/>
                <w:sz w:val="24"/>
              </w:rPr>
            </w:pPr>
            <w:r>
              <w:rPr>
                <w:b/>
                <w:bCs/>
                <w:color w:val="000000"/>
                <w:kern w:val="0"/>
                <w:sz w:val="24"/>
              </w:rPr>
              <w:t>日常公用经费中</w:t>
            </w:r>
            <w:r>
              <w:rPr>
                <w:rFonts w:hint="eastAsia"/>
                <w:b/>
                <w:bCs/>
                <w:color w:val="000000"/>
                <w:kern w:val="0"/>
                <w:sz w:val="24"/>
              </w:rPr>
              <w:t>“</w:t>
            </w:r>
            <w:r>
              <w:rPr>
                <w:b/>
                <w:bCs/>
                <w:color w:val="000000"/>
                <w:kern w:val="0"/>
                <w:sz w:val="24"/>
              </w:rPr>
              <w:t>办公费、印刷费、水费、电费、物业管理费</w:t>
            </w:r>
            <w:r>
              <w:rPr>
                <w:rFonts w:hint="eastAsia"/>
                <w:b/>
                <w:bCs/>
                <w:color w:val="000000"/>
                <w:kern w:val="0"/>
                <w:sz w:val="24"/>
              </w:rPr>
              <w:t>”</w:t>
            </w:r>
          </w:p>
        </w:tc>
        <w:tc>
          <w:tcPr>
            <w:tcW w:w="908" w:type="dxa"/>
            <w:vAlign w:val="center"/>
          </w:tcPr>
          <w:p>
            <w:pPr>
              <w:spacing w:line="320" w:lineRule="exact"/>
              <w:jc w:val="center"/>
              <w:textAlignment w:val="center"/>
              <w:rPr>
                <w:b/>
                <w:bCs/>
                <w:color w:val="000000"/>
                <w:sz w:val="24"/>
              </w:rPr>
            </w:pPr>
            <w:r>
              <w:rPr>
                <w:b/>
                <w:bCs/>
                <w:color w:val="000000"/>
                <w:kern w:val="0"/>
                <w:sz w:val="24"/>
              </w:rPr>
              <w:t>项目支出中</w:t>
            </w:r>
            <w:r>
              <w:rPr>
                <w:rStyle w:val="37"/>
                <w:rFonts w:hint="eastAsia"/>
                <w:b/>
                <w:bCs/>
                <w:sz w:val="24"/>
                <w:szCs w:val="24"/>
              </w:rPr>
              <w:t>“</w:t>
            </w:r>
            <w:r>
              <w:rPr>
                <w:rStyle w:val="38"/>
                <w:rFonts w:hint="default" w:ascii="Times New Roman" w:cs="Times New Roman"/>
                <w:b/>
                <w:bCs/>
                <w:sz w:val="24"/>
                <w:szCs w:val="24"/>
              </w:rPr>
              <w:t>办公费、印刷费、水费、电费、物业管理费</w:t>
            </w:r>
            <w:r>
              <w:rPr>
                <w:rStyle w:val="37"/>
                <w:rFonts w:hint="eastAsia"/>
                <w:b/>
                <w:bCs/>
                <w:sz w:val="24"/>
                <w:szCs w:val="24"/>
              </w:rPr>
              <w:t>”</w:t>
            </w:r>
          </w:p>
        </w:tc>
        <w:tc>
          <w:tcPr>
            <w:tcW w:w="988" w:type="dxa"/>
            <w:vAlign w:val="center"/>
          </w:tcPr>
          <w:p>
            <w:pPr>
              <w:spacing w:line="320" w:lineRule="exact"/>
              <w:jc w:val="center"/>
              <w:textAlignment w:val="center"/>
              <w:rPr>
                <w:b/>
                <w:bCs/>
                <w:color w:val="000000"/>
                <w:sz w:val="24"/>
              </w:rPr>
            </w:pPr>
            <w:r>
              <w:rPr>
                <w:b/>
                <w:bCs/>
                <w:color w:val="000000"/>
                <w:kern w:val="0"/>
                <w:sz w:val="24"/>
              </w:rPr>
              <w:t>小计</w:t>
            </w:r>
          </w:p>
        </w:tc>
        <w:tc>
          <w:tcPr>
            <w:tcW w:w="1081" w:type="dxa"/>
            <w:vAlign w:val="center"/>
          </w:tcPr>
          <w:p>
            <w:pPr>
              <w:spacing w:line="320" w:lineRule="exact"/>
              <w:jc w:val="center"/>
              <w:textAlignment w:val="center"/>
              <w:rPr>
                <w:b/>
                <w:bCs/>
                <w:color w:val="000000"/>
                <w:sz w:val="24"/>
              </w:rPr>
            </w:pPr>
            <w:r>
              <w:rPr>
                <w:b/>
                <w:bCs/>
                <w:color w:val="000000"/>
                <w:kern w:val="0"/>
                <w:sz w:val="24"/>
              </w:rPr>
              <w:t>日常公用经费中</w:t>
            </w:r>
            <w:r>
              <w:rPr>
                <w:rFonts w:hint="eastAsia"/>
                <w:b/>
                <w:bCs/>
                <w:color w:val="000000"/>
                <w:kern w:val="0"/>
                <w:sz w:val="24"/>
              </w:rPr>
              <w:t>“</w:t>
            </w:r>
            <w:r>
              <w:rPr>
                <w:b/>
                <w:bCs/>
                <w:color w:val="000000"/>
                <w:kern w:val="0"/>
                <w:sz w:val="24"/>
              </w:rPr>
              <w:t>办公费、印刷费、水费、电费、物业管理费</w:t>
            </w:r>
            <w:r>
              <w:rPr>
                <w:rFonts w:hint="eastAsia"/>
                <w:b/>
                <w:bCs/>
                <w:color w:val="000000"/>
                <w:kern w:val="0"/>
                <w:sz w:val="24"/>
              </w:rPr>
              <w:t>”</w:t>
            </w:r>
          </w:p>
        </w:tc>
        <w:tc>
          <w:tcPr>
            <w:tcW w:w="1134" w:type="dxa"/>
            <w:vAlign w:val="center"/>
          </w:tcPr>
          <w:p>
            <w:pPr>
              <w:spacing w:line="320" w:lineRule="exact"/>
              <w:jc w:val="center"/>
              <w:textAlignment w:val="center"/>
              <w:rPr>
                <w:b/>
                <w:bCs/>
                <w:color w:val="000000"/>
                <w:sz w:val="24"/>
              </w:rPr>
            </w:pPr>
            <w:r>
              <w:rPr>
                <w:b/>
                <w:bCs/>
                <w:color w:val="000000"/>
                <w:kern w:val="0"/>
                <w:sz w:val="24"/>
              </w:rPr>
              <w:t>项目支出中</w:t>
            </w:r>
            <w:r>
              <w:rPr>
                <w:rFonts w:hint="eastAsia"/>
                <w:b/>
                <w:bCs/>
                <w:color w:val="000000"/>
                <w:kern w:val="0"/>
                <w:sz w:val="24"/>
              </w:rPr>
              <w:t>“</w:t>
            </w:r>
            <w:r>
              <w:rPr>
                <w:b/>
                <w:bCs/>
                <w:color w:val="000000"/>
                <w:kern w:val="0"/>
                <w:sz w:val="24"/>
              </w:rPr>
              <w:t>办公费、印刷费、水费、电费、物业管理费</w:t>
            </w:r>
            <w:r>
              <w:rPr>
                <w:rFonts w:hint="eastAsia"/>
                <w:b/>
                <w:bCs/>
                <w:color w:val="000000"/>
                <w:kern w:val="0"/>
                <w:sz w:val="24"/>
              </w:rPr>
              <w:t>”</w:t>
            </w:r>
          </w:p>
        </w:tc>
        <w:tc>
          <w:tcPr>
            <w:tcW w:w="850" w:type="dxa"/>
            <w:vMerge w:val="continue"/>
            <w:vAlign w:val="center"/>
          </w:tcPr>
          <w:p>
            <w:pPr>
              <w:spacing w:line="320" w:lineRule="exact"/>
              <w:jc w:val="center"/>
              <w:rPr>
                <w:color w:val="000000"/>
                <w:sz w:val="24"/>
              </w:rPr>
            </w:pPr>
          </w:p>
        </w:tc>
        <w:tc>
          <w:tcPr>
            <w:tcW w:w="1134" w:type="dxa"/>
            <w:vMerge w:val="continue"/>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Align w:val="center"/>
          </w:tcPr>
          <w:p>
            <w:pPr>
              <w:spacing w:line="320" w:lineRule="exact"/>
              <w:jc w:val="center"/>
              <w:textAlignment w:val="center"/>
              <w:rPr>
                <w:color w:val="000000"/>
                <w:sz w:val="24"/>
              </w:rPr>
            </w:pPr>
            <w:r>
              <w:rPr>
                <w:color w:val="000000"/>
                <w:kern w:val="0"/>
                <w:sz w:val="24"/>
              </w:rPr>
              <w:t>合计</w:t>
            </w:r>
          </w:p>
        </w:tc>
        <w:tc>
          <w:tcPr>
            <w:tcW w:w="992" w:type="dxa"/>
            <w:vAlign w:val="center"/>
          </w:tcPr>
          <w:p>
            <w:pPr>
              <w:spacing w:line="320" w:lineRule="exact"/>
              <w:jc w:val="center"/>
              <w:textAlignment w:val="center"/>
              <w:rPr>
                <w:color w:val="000000"/>
                <w:sz w:val="24"/>
              </w:rPr>
            </w:pPr>
            <w:r>
              <w:rPr>
                <w:color w:val="000000"/>
                <w:kern w:val="0"/>
                <w:sz w:val="24"/>
              </w:rPr>
              <w:t>1417.06</w:t>
            </w:r>
          </w:p>
        </w:tc>
        <w:tc>
          <w:tcPr>
            <w:tcW w:w="1134" w:type="dxa"/>
            <w:vAlign w:val="center"/>
          </w:tcPr>
          <w:p>
            <w:pPr>
              <w:spacing w:line="320" w:lineRule="exact"/>
              <w:jc w:val="center"/>
              <w:textAlignment w:val="center"/>
              <w:rPr>
                <w:color w:val="000000"/>
                <w:sz w:val="24"/>
              </w:rPr>
            </w:pPr>
            <w:r>
              <w:rPr>
                <w:color w:val="000000"/>
                <w:kern w:val="0"/>
                <w:sz w:val="24"/>
              </w:rPr>
              <w:t>1226.56</w:t>
            </w:r>
          </w:p>
        </w:tc>
        <w:tc>
          <w:tcPr>
            <w:tcW w:w="908" w:type="dxa"/>
            <w:vAlign w:val="center"/>
          </w:tcPr>
          <w:p>
            <w:pPr>
              <w:spacing w:line="320" w:lineRule="exact"/>
              <w:jc w:val="center"/>
              <w:textAlignment w:val="center"/>
              <w:rPr>
                <w:color w:val="000000"/>
                <w:sz w:val="24"/>
              </w:rPr>
            </w:pPr>
            <w:r>
              <w:rPr>
                <w:color w:val="000000"/>
                <w:kern w:val="0"/>
                <w:sz w:val="24"/>
              </w:rPr>
              <w:t>190.5</w:t>
            </w:r>
          </w:p>
        </w:tc>
        <w:tc>
          <w:tcPr>
            <w:tcW w:w="988" w:type="dxa"/>
            <w:vAlign w:val="center"/>
          </w:tcPr>
          <w:p>
            <w:pPr>
              <w:spacing w:line="320" w:lineRule="exact"/>
              <w:jc w:val="center"/>
              <w:textAlignment w:val="center"/>
              <w:rPr>
                <w:color w:val="000000"/>
                <w:sz w:val="24"/>
              </w:rPr>
            </w:pPr>
            <w:r>
              <w:rPr>
                <w:color w:val="000000"/>
                <w:kern w:val="0"/>
                <w:sz w:val="24"/>
              </w:rPr>
              <w:t>1485.89</w:t>
            </w:r>
          </w:p>
        </w:tc>
        <w:tc>
          <w:tcPr>
            <w:tcW w:w="1081" w:type="dxa"/>
            <w:vAlign w:val="center"/>
          </w:tcPr>
          <w:p>
            <w:pPr>
              <w:spacing w:line="320" w:lineRule="exact"/>
              <w:jc w:val="center"/>
              <w:textAlignment w:val="center"/>
              <w:rPr>
                <w:color w:val="000000"/>
                <w:sz w:val="24"/>
              </w:rPr>
            </w:pPr>
            <w:r>
              <w:rPr>
                <w:color w:val="000000"/>
                <w:kern w:val="0"/>
                <w:sz w:val="24"/>
              </w:rPr>
              <w:t>1286.72</w:t>
            </w:r>
          </w:p>
        </w:tc>
        <w:tc>
          <w:tcPr>
            <w:tcW w:w="1134" w:type="dxa"/>
            <w:vAlign w:val="center"/>
          </w:tcPr>
          <w:p>
            <w:pPr>
              <w:spacing w:line="320" w:lineRule="exact"/>
              <w:jc w:val="center"/>
              <w:textAlignment w:val="center"/>
              <w:rPr>
                <w:color w:val="000000"/>
                <w:sz w:val="24"/>
              </w:rPr>
            </w:pPr>
            <w:r>
              <w:rPr>
                <w:color w:val="000000"/>
                <w:kern w:val="0"/>
                <w:sz w:val="24"/>
              </w:rPr>
              <w:t>199.17</w:t>
            </w:r>
          </w:p>
        </w:tc>
        <w:tc>
          <w:tcPr>
            <w:tcW w:w="850" w:type="dxa"/>
            <w:vAlign w:val="center"/>
          </w:tcPr>
          <w:p>
            <w:pPr>
              <w:spacing w:line="320" w:lineRule="exact"/>
              <w:jc w:val="center"/>
              <w:textAlignment w:val="center"/>
              <w:rPr>
                <w:color w:val="000000"/>
                <w:sz w:val="24"/>
              </w:rPr>
            </w:pPr>
            <w:r>
              <w:rPr>
                <w:color w:val="000000"/>
                <w:kern w:val="0"/>
                <w:sz w:val="24"/>
              </w:rPr>
              <w:t>68.83</w:t>
            </w:r>
          </w:p>
        </w:tc>
        <w:tc>
          <w:tcPr>
            <w:tcW w:w="1134" w:type="dxa"/>
            <w:vAlign w:val="center"/>
          </w:tcPr>
          <w:p>
            <w:pPr>
              <w:spacing w:line="320" w:lineRule="exact"/>
              <w:jc w:val="center"/>
              <w:textAlignment w:val="center"/>
              <w:rPr>
                <w:color w:val="000000"/>
                <w:sz w:val="24"/>
              </w:rPr>
            </w:pPr>
            <w:r>
              <w:rPr>
                <w:color w:val="000000"/>
                <w:kern w:val="0"/>
                <w:sz w:val="24"/>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Align w:val="center"/>
          </w:tcPr>
          <w:p>
            <w:pPr>
              <w:spacing w:line="320" w:lineRule="exact"/>
              <w:jc w:val="center"/>
              <w:textAlignment w:val="center"/>
              <w:rPr>
                <w:color w:val="000000"/>
                <w:sz w:val="24"/>
              </w:rPr>
            </w:pPr>
            <w:r>
              <w:rPr>
                <w:color w:val="000000"/>
                <w:kern w:val="0"/>
                <w:sz w:val="24"/>
              </w:rPr>
              <w:t>院机关</w:t>
            </w:r>
          </w:p>
        </w:tc>
        <w:tc>
          <w:tcPr>
            <w:tcW w:w="992" w:type="dxa"/>
            <w:vAlign w:val="center"/>
          </w:tcPr>
          <w:p>
            <w:pPr>
              <w:spacing w:line="320" w:lineRule="exact"/>
              <w:jc w:val="center"/>
              <w:textAlignment w:val="center"/>
              <w:rPr>
                <w:color w:val="000000"/>
                <w:sz w:val="24"/>
              </w:rPr>
            </w:pPr>
            <w:r>
              <w:rPr>
                <w:color w:val="000000"/>
                <w:kern w:val="0"/>
                <w:sz w:val="24"/>
              </w:rPr>
              <w:t>1024</w:t>
            </w:r>
          </w:p>
        </w:tc>
        <w:tc>
          <w:tcPr>
            <w:tcW w:w="1134" w:type="dxa"/>
            <w:vAlign w:val="center"/>
          </w:tcPr>
          <w:p>
            <w:pPr>
              <w:spacing w:line="320" w:lineRule="exact"/>
              <w:jc w:val="center"/>
              <w:textAlignment w:val="center"/>
              <w:rPr>
                <w:color w:val="000000"/>
                <w:sz w:val="24"/>
              </w:rPr>
            </w:pPr>
            <w:r>
              <w:rPr>
                <w:color w:val="000000"/>
                <w:kern w:val="0"/>
                <w:sz w:val="24"/>
              </w:rPr>
              <w:t>984</w:t>
            </w:r>
          </w:p>
        </w:tc>
        <w:tc>
          <w:tcPr>
            <w:tcW w:w="908" w:type="dxa"/>
            <w:vAlign w:val="center"/>
          </w:tcPr>
          <w:p>
            <w:pPr>
              <w:spacing w:line="320" w:lineRule="exact"/>
              <w:jc w:val="center"/>
              <w:textAlignment w:val="center"/>
              <w:rPr>
                <w:color w:val="000000"/>
                <w:sz w:val="24"/>
              </w:rPr>
            </w:pPr>
            <w:r>
              <w:rPr>
                <w:color w:val="000000"/>
                <w:kern w:val="0"/>
                <w:sz w:val="24"/>
              </w:rPr>
              <w:t>40</w:t>
            </w:r>
          </w:p>
        </w:tc>
        <w:tc>
          <w:tcPr>
            <w:tcW w:w="988" w:type="dxa"/>
            <w:vAlign w:val="center"/>
          </w:tcPr>
          <w:p>
            <w:pPr>
              <w:spacing w:line="320" w:lineRule="exact"/>
              <w:jc w:val="center"/>
              <w:textAlignment w:val="center"/>
              <w:rPr>
                <w:color w:val="000000"/>
                <w:sz w:val="24"/>
              </w:rPr>
            </w:pPr>
            <w:r>
              <w:rPr>
                <w:color w:val="000000"/>
                <w:kern w:val="0"/>
                <w:sz w:val="24"/>
              </w:rPr>
              <w:t>1149.41</w:t>
            </w:r>
          </w:p>
        </w:tc>
        <w:tc>
          <w:tcPr>
            <w:tcW w:w="1081" w:type="dxa"/>
            <w:vAlign w:val="center"/>
          </w:tcPr>
          <w:p>
            <w:pPr>
              <w:spacing w:line="320" w:lineRule="exact"/>
              <w:jc w:val="center"/>
              <w:textAlignment w:val="center"/>
              <w:rPr>
                <w:color w:val="000000"/>
                <w:sz w:val="24"/>
              </w:rPr>
            </w:pPr>
            <w:r>
              <w:rPr>
                <w:color w:val="000000"/>
                <w:kern w:val="0"/>
                <w:sz w:val="24"/>
              </w:rPr>
              <w:t>1082.73</w:t>
            </w:r>
          </w:p>
        </w:tc>
        <w:tc>
          <w:tcPr>
            <w:tcW w:w="1134" w:type="dxa"/>
            <w:vAlign w:val="center"/>
          </w:tcPr>
          <w:p>
            <w:pPr>
              <w:spacing w:line="320" w:lineRule="exact"/>
              <w:jc w:val="center"/>
              <w:textAlignment w:val="center"/>
              <w:rPr>
                <w:color w:val="000000"/>
                <w:sz w:val="24"/>
              </w:rPr>
            </w:pPr>
            <w:r>
              <w:rPr>
                <w:color w:val="000000"/>
                <w:kern w:val="0"/>
                <w:sz w:val="24"/>
              </w:rPr>
              <w:t>66.68</w:t>
            </w:r>
          </w:p>
        </w:tc>
        <w:tc>
          <w:tcPr>
            <w:tcW w:w="850" w:type="dxa"/>
            <w:vAlign w:val="center"/>
          </w:tcPr>
          <w:p>
            <w:pPr>
              <w:spacing w:line="320" w:lineRule="exact"/>
              <w:jc w:val="center"/>
              <w:textAlignment w:val="center"/>
              <w:rPr>
                <w:color w:val="000000"/>
                <w:sz w:val="24"/>
              </w:rPr>
            </w:pPr>
            <w:r>
              <w:rPr>
                <w:color w:val="000000"/>
                <w:kern w:val="0"/>
                <w:sz w:val="24"/>
              </w:rPr>
              <w:t>125.41</w:t>
            </w:r>
          </w:p>
        </w:tc>
        <w:tc>
          <w:tcPr>
            <w:tcW w:w="1134" w:type="dxa"/>
            <w:vAlign w:val="center"/>
          </w:tcPr>
          <w:p>
            <w:pPr>
              <w:spacing w:line="320" w:lineRule="exact"/>
              <w:jc w:val="center"/>
              <w:textAlignment w:val="center"/>
              <w:rPr>
                <w:color w:val="000000"/>
                <w:sz w:val="24"/>
              </w:rPr>
            </w:pPr>
            <w:r>
              <w:rPr>
                <w:color w:val="000000"/>
                <w:kern w:val="0"/>
                <w:sz w:val="24"/>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Align w:val="center"/>
          </w:tcPr>
          <w:p>
            <w:pPr>
              <w:spacing w:line="320" w:lineRule="exact"/>
              <w:jc w:val="center"/>
              <w:textAlignment w:val="center"/>
              <w:rPr>
                <w:color w:val="000000"/>
                <w:sz w:val="24"/>
              </w:rPr>
            </w:pPr>
            <w:r>
              <w:rPr>
                <w:color w:val="000000"/>
                <w:kern w:val="0"/>
                <w:sz w:val="24"/>
              </w:rPr>
              <w:t>服务中心</w:t>
            </w:r>
          </w:p>
        </w:tc>
        <w:tc>
          <w:tcPr>
            <w:tcW w:w="992" w:type="dxa"/>
            <w:vAlign w:val="center"/>
          </w:tcPr>
          <w:p>
            <w:pPr>
              <w:spacing w:line="320" w:lineRule="exact"/>
              <w:jc w:val="center"/>
              <w:textAlignment w:val="center"/>
              <w:rPr>
                <w:color w:val="000000"/>
                <w:sz w:val="24"/>
              </w:rPr>
            </w:pPr>
            <w:r>
              <w:rPr>
                <w:color w:val="000000"/>
                <w:kern w:val="0"/>
                <w:sz w:val="24"/>
              </w:rPr>
              <w:t>8</w:t>
            </w:r>
          </w:p>
        </w:tc>
        <w:tc>
          <w:tcPr>
            <w:tcW w:w="1134" w:type="dxa"/>
            <w:vAlign w:val="center"/>
          </w:tcPr>
          <w:p>
            <w:pPr>
              <w:spacing w:line="320" w:lineRule="exact"/>
              <w:jc w:val="center"/>
              <w:textAlignment w:val="center"/>
              <w:rPr>
                <w:color w:val="000000"/>
                <w:sz w:val="24"/>
              </w:rPr>
            </w:pPr>
            <w:r>
              <w:rPr>
                <w:color w:val="000000"/>
                <w:kern w:val="0"/>
                <w:sz w:val="24"/>
              </w:rPr>
              <w:t>8</w:t>
            </w:r>
          </w:p>
        </w:tc>
        <w:tc>
          <w:tcPr>
            <w:tcW w:w="908" w:type="dxa"/>
            <w:vAlign w:val="center"/>
          </w:tcPr>
          <w:p>
            <w:pPr>
              <w:spacing w:line="320" w:lineRule="exact"/>
              <w:jc w:val="center"/>
              <w:rPr>
                <w:color w:val="000000"/>
                <w:sz w:val="24"/>
              </w:rPr>
            </w:pPr>
          </w:p>
        </w:tc>
        <w:tc>
          <w:tcPr>
            <w:tcW w:w="988" w:type="dxa"/>
            <w:vAlign w:val="center"/>
          </w:tcPr>
          <w:p>
            <w:pPr>
              <w:spacing w:line="320" w:lineRule="exact"/>
              <w:jc w:val="center"/>
              <w:textAlignment w:val="center"/>
              <w:rPr>
                <w:color w:val="000000"/>
                <w:sz w:val="24"/>
              </w:rPr>
            </w:pPr>
            <w:r>
              <w:rPr>
                <w:color w:val="000000"/>
                <w:kern w:val="0"/>
                <w:sz w:val="24"/>
              </w:rPr>
              <w:t>5.49</w:t>
            </w:r>
          </w:p>
        </w:tc>
        <w:tc>
          <w:tcPr>
            <w:tcW w:w="1081" w:type="dxa"/>
            <w:vAlign w:val="center"/>
          </w:tcPr>
          <w:p>
            <w:pPr>
              <w:spacing w:line="320" w:lineRule="exact"/>
              <w:jc w:val="center"/>
              <w:textAlignment w:val="center"/>
              <w:rPr>
                <w:color w:val="000000"/>
                <w:sz w:val="24"/>
              </w:rPr>
            </w:pPr>
            <w:r>
              <w:rPr>
                <w:color w:val="000000"/>
                <w:kern w:val="0"/>
                <w:sz w:val="24"/>
              </w:rPr>
              <w:t>5.49</w:t>
            </w:r>
          </w:p>
        </w:tc>
        <w:tc>
          <w:tcPr>
            <w:tcW w:w="1134" w:type="dxa"/>
            <w:vAlign w:val="center"/>
          </w:tcPr>
          <w:p>
            <w:pPr>
              <w:spacing w:line="320" w:lineRule="exact"/>
              <w:jc w:val="center"/>
              <w:rPr>
                <w:color w:val="000000"/>
                <w:sz w:val="24"/>
              </w:rPr>
            </w:pPr>
          </w:p>
        </w:tc>
        <w:tc>
          <w:tcPr>
            <w:tcW w:w="850" w:type="dxa"/>
            <w:vAlign w:val="center"/>
          </w:tcPr>
          <w:p>
            <w:pPr>
              <w:spacing w:line="320" w:lineRule="exact"/>
              <w:jc w:val="center"/>
              <w:textAlignment w:val="center"/>
              <w:rPr>
                <w:color w:val="000000"/>
                <w:sz w:val="24"/>
              </w:rPr>
            </w:pPr>
            <w:r>
              <w:rPr>
                <w:color w:val="000000"/>
                <w:kern w:val="0"/>
                <w:sz w:val="24"/>
              </w:rPr>
              <w:t>-2.51</w:t>
            </w:r>
          </w:p>
        </w:tc>
        <w:tc>
          <w:tcPr>
            <w:tcW w:w="1134" w:type="dxa"/>
            <w:vAlign w:val="center"/>
          </w:tcPr>
          <w:p>
            <w:pPr>
              <w:spacing w:line="320" w:lineRule="exact"/>
              <w:jc w:val="center"/>
              <w:textAlignment w:val="center"/>
              <w:rPr>
                <w:color w:val="000000"/>
                <w:sz w:val="24"/>
              </w:rPr>
            </w:pPr>
            <w:r>
              <w:rPr>
                <w:color w:val="000000"/>
                <w:kern w:val="0"/>
                <w:sz w:val="24"/>
              </w:rPr>
              <w:t>-31.38%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Align w:val="center"/>
          </w:tcPr>
          <w:p>
            <w:pPr>
              <w:spacing w:line="320" w:lineRule="exact"/>
              <w:jc w:val="center"/>
              <w:textAlignment w:val="center"/>
              <w:rPr>
                <w:color w:val="000000"/>
                <w:sz w:val="24"/>
              </w:rPr>
            </w:pPr>
            <w:r>
              <w:rPr>
                <w:color w:val="000000"/>
                <w:kern w:val="0"/>
                <w:sz w:val="24"/>
              </w:rPr>
              <w:t>成铁分院</w:t>
            </w:r>
          </w:p>
        </w:tc>
        <w:tc>
          <w:tcPr>
            <w:tcW w:w="992" w:type="dxa"/>
            <w:vAlign w:val="center"/>
          </w:tcPr>
          <w:p>
            <w:pPr>
              <w:spacing w:line="320" w:lineRule="exact"/>
              <w:jc w:val="center"/>
              <w:textAlignment w:val="center"/>
              <w:rPr>
                <w:color w:val="000000"/>
                <w:sz w:val="24"/>
              </w:rPr>
            </w:pPr>
            <w:r>
              <w:rPr>
                <w:color w:val="000000"/>
                <w:kern w:val="0"/>
                <w:sz w:val="24"/>
              </w:rPr>
              <w:t>233.13</w:t>
            </w:r>
          </w:p>
        </w:tc>
        <w:tc>
          <w:tcPr>
            <w:tcW w:w="1134" w:type="dxa"/>
            <w:vAlign w:val="center"/>
          </w:tcPr>
          <w:p>
            <w:pPr>
              <w:spacing w:line="320" w:lineRule="exact"/>
              <w:jc w:val="center"/>
              <w:textAlignment w:val="center"/>
              <w:rPr>
                <w:color w:val="000000"/>
                <w:sz w:val="24"/>
              </w:rPr>
            </w:pPr>
            <w:r>
              <w:rPr>
                <w:color w:val="000000"/>
                <w:kern w:val="0"/>
                <w:sz w:val="24"/>
              </w:rPr>
              <w:t>233.13</w:t>
            </w:r>
          </w:p>
        </w:tc>
        <w:tc>
          <w:tcPr>
            <w:tcW w:w="908" w:type="dxa"/>
            <w:vAlign w:val="center"/>
          </w:tcPr>
          <w:p>
            <w:pPr>
              <w:spacing w:line="320" w:lineRule="exact"/>
              <w:jc w:val="center"/>
              <w:rPr>
                <w:color w:val="000000"/>
                <w:sz w:val="24"/>
              </w:rPr>
            </w:pPr>
          </w:p>
        </w:tc>
        <w:tc>
          <w:tcPr>
            <w:tcW w:w="988" w:type="dxa"/>
            <w:vAlign w:val="center"/>
          </w:tcPr>
          <w:p>
            <w:pPr>
              <w:spacing w:line="320" w:lineRule="exact"/>
              <w:jc w:val="center"/>
              <w:textAlignment w:val="center"/>
              <w:rPr>
                <w:color w:val="000000"/>
                <w:sz w:val="24"/>
              </w:rPr>
            </w:pPr>
            <w:r>
              <w:rPr>
                <w:color w:val="000000"/>
                <w:kern w:val="0"/>
                <w:sz w:val="24"/>
              </w:rPr>
              <w:t>197.07</w:t>
            </w:r>
          </w:p>
        </w:tc>
        <w:tc>
          <w:tcPr>
            <w:tcW w:w="1081" w:type="dxa"/>
            <w:vAlign w:val="center"/>
          </w:tcPr>
          <w:p>
            <w:pPr>
              <w:spacing w:line="320" w:lineRule="exact"/>
              <w:jc w:val="center"/>
              <w:textAlignment w:val="center"/>
              <w:rPr>
                <w:color w:val="000000"/>
                <w:sz w:val="24"/>
              </w:rPr>
            </w:pPr>
            <w:r>
              <w:rPr>
                <w:color w:val="000000"/>
                <w:kern w:val="0"/>
                <w:sz w:val="24"/>
              </w:rPr>
              <w:t>197.07</w:t>
            </w:r>
          </w:p>
        </w:tc>
        <w:tc>
          <w:tcPr>
            <w:tcW w:w="1134" w:type="dxa"/>
            <w:vAlign w:val="center"/>
          </w:tcPr>
          <w:p>
            <w:pPr>
              <w:spacing w:line="320" w:lineRule="exact"/>
              <w:jc w:val="center"/>
              <w:rPr>
                <w:color w:val="000000"/>
                <w:sz w:val="24"/>
              </w:rPr>
            </w:pPr>
          </w:p>
        </w:tc>
        <w:tc>
          <w:tcPr>
            <w:tcW w:w="850" w:type="dxa"/>
            <w:vAlign w:val="center"/>
          </w:tcPr>
          <w:p>
            <w:pPr>
              <w:spacing w:line="320" w:lineRule="exact"/>
              <w:jc w:val="center"/>
              <w:textAlignment w:val="center"/>
              <w:rPr>
                <w:color w:val="000000"/>
                <w:sz w:val="24"/>
              </w:rPr>
            </w:pPr>
            <w:r>
              <w:rPr>
                <w:color w:val="000000"/>
                <w:kern w:val="0"/>
                <w:sz w:val="24"/>
              </w:rPr>
              <w:t>-36.06</w:t>
            </w:r>
          </w:p>
        </w:tc>
        <w:tc>
          <w:tcPr>
            <w:tcW w:w="1134" w:type="dxa"/>
            <w:vAlign w:val="center"/>
          </w:tcPr>
          <w:p>
            <w:pPr>
              <w:spacing w:line="320" w:lineRule="exact"/>
              <w:jc w:val="center"/>
              <w:textAlignment w:val="center"/>
              <w:rPr>
                <w:color w:val="000000"/>
                <w:sz w:val="24"/>
              </w:rPr>
            </w:pPr>
            <w:r>
              <w:rPr>
                <w:color w:val="000000"/>
                <w:kern w:val="0"/>
                <w:sz w:val="24"/>
              </w:rPr>
              <w:t>-15.47%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261" w:type="dxa"/>
            <w:vAlign w:val="center"/>
          </w:tcPr>
          <w:p>
            <w:pPr>
              <w:spacing w:line="320" w:lineRule="exact"/>
              <w:jc w:val="center"/>
              <w:textAlignment w:val="center"/>
              <w:rPr>
                <w:color w:val="000000"/>
                <w:sz w:val="24"/>
              </w:rPr>
            </w:pPr>
            <w:r>
              <w:rPr>
                <w:color w:val="000000"/>
                <w:kern w:val="0"/>
                <w:sz w:val="24"/>
              </w:rPr>
              <w:t>检察官学院</w:t>
            </w:r>
          </w:p>
        </w:tc>
        <w:tc>
          <w:tcPr>
            <w:tcW w:w="992" w:type="dxa"/>
            <w:vAlign w:val="center"/>
          </w:tcPr>
          <w:p>
            <w:pPr>
              <w:spacing w:line="320" w:lineRule="exact"/>
              <w:jc w:val="center"/>
              <w:textAlignment w:val="center"/>
              <w:rPr>
                <w:color w:val="000000"/>
                <w:sz w:val="24"/>
              </w:rPr>
            </w:pPr>
            <w:r>
              <w:rPr>
                <w:color w:val="000000"/>
                <w:kern w:val="0"/>
                <w:sz w:val="24"/>
              </w:rPr>
              <w:t>151.93</w:t>
            </w:r>
          </w:p>
        </w:tc>
        <w:tc>
          <w:tcPr>
            <w:tcW w:w="1134" w:type="dxa"/>
            <w:vAlign w:val="center"/>
          </w:tcPr>
          <w:p>
            <w:pPr>
              <w:spacing w:line="320" w:lineRule="exact"/>
              <w:jc w:val="center"/>
              <w:textAlignment w:val="center"/>
              <w:rPr>
                <w:color w:val="000000"/>
                <w:sz w:val="24"/>
              </w:rPr>
            </w:pPr>
            <w:r>
              <w:rPr>
                <w:color w:val="000000"/>
                <w:kern w:val="0"/>
                <w:sz w:val="24"/>
              </w:rPr>
              <w:t>1.43</w:t>
            </w:r>
          </w:p>
        </w:tc>
        <w:tc>
          <w:tcPr>
            <w:tcW w:w="908" w:type="dxa"/>
            <w:vAlign w:val="center"/>
          </w:tcPr>
          <w:p>
            <w:pPr>
              <w:spacing w:line="320" w:lineRule="exact"/>
              <w:jc w:val="center"/>
              <w:textAlignment w:val="center"/>
              <w:rPr>
                <w:color w:val="000000"/>
                <w:sz w:val="24"/>
              </w:rPr>
            </w:pPr>
            <w:r>
              <w:rPr>
                <w:color w:val="000000"/>
                <w:kern w:val="0"/>
                <w:sz w:val="24"/>
              </w:rPr>
              <w:t>150.5</w:t>
            </w:r>
          </w:p>
        </w:tc>
        <w:tc>
          <w:tcPr>
            <w:tcW w:w="988" w:type="dxa"/>
            <w:vAlign w:val="center"/>
          </w:tcPr>
          <w:p>
            <w:pPr>
              <w:spacing w:line="320" w:lineRule="exact"/>
              <w:jc w:val="center"/>
              <w:textAlignment w:val="center"/>
              <w:rPr>
                <w:color w:val="000000"/>
                <w:sz w:val="24"/>
              </w:rPr>
            </w:pPr>
            <w:r>
              <w:rPr>
                <w:color w:val="000000"/>
                <w:kern w:val="0"/>
                <w:sz w:val="24"/>
              </w:rPr>
              <w:t>133.92</w:t>
            </w:r>
          </w:p>
        </w:tc>
        <w:tc>
          <w:tcPr>
            <w:tcW w:w="1081" w:type="dxa"/>
            <w:vAlign w:val="center"/>
          </w:tcPr>
          <w:p>
            <w:pPr>
              <w:spacing w:line="320" w:lineRule="exact"/>
              <w:jc w:val="center"/>
              <w:textAlignment w:val="center"/>
              <w:rPr>
                <w:color w:val="000000"/>
                <w:sz w:val="24"/>
              </w:rPr>
            </w:pPr>
            <w:r>
              <w:rPr>
                <w:color w:val="000000"/>
                <w:kern w:val="0"/>
                <w:sz w:val="24"/>
              </w:rPr>
              <w:t>1.43</w:t>
            </w:r>
          </w:p>
        </w:tc>
        <w:tc>
          <w:tcPr>
            <w:tcW w:w="1134" w:type="dxa"/>
            <w:vAlign w:val="center"/>
          </w:tcPr>
          <w:p>
            <w:pPr>
              <w:spacing w:line="320" w:lineRule="exact"/>
              <w:jc w:val="center"/>
              <w:textAlignment w:val="center"/>
              <w:rPr>
                <w:color w:val="000000"/>
                <w:sz w:val="24"/>
              </w:rPr>
            </w:pPr>
            <w:r>
              <w:rPr>
                <w:color w:val="000000"/>
                <w:kern w:val="0"/>
                <w:sz w:val="24"/>
              </w:rPr>
              <w:t>132.49</w:t>
            </w:r>
          </w:p>
        </w:tc>
        <w:tc>
          <w:tcPr>
            <w:tcW w:w="850" w:type="dxa"/>
            <w:vAlign w:val="center"/>
          </w:tcPr>
          <w:p>
            <w:pPr>
              <w:spacing w:line="320" w:lineRule="exact"/>
              <w:jc w:val="center"/>
              <w:textAlignment w:val="center"/>
              <w:rPr>
                <w:color w:val="000000"/>
                <w:sz w:val="24"/>
              </w:rPr>
            </w:pPr>
            <w:r>
              <w:rPr>
                <w:color w:val="000000"/>
                <w:kern w:val="0"/>
                <w:sz w:val="24"/>
              </w:rPr>
              <w:t>-18.01</w:t>
            </w:r>
          </w:p>
        </w:tc>
        <w:tc>
          <w:tcPr>
            <w:tcW w:w="1134" w:type="dxa"/>
            <w:vAlign w:val="center"/>
          </w:tcPr>
          <w:p>
            <w:pPr>
              <w:spacing w:line="320" w:lineRule="exact"/>
              <w:jc w:val="center"/>
              <w:textAlignment w:val="center"/>
              <w:rPr>
                <w:color w:val="000000"/>
                <w:sz w:val="24"/>
              </w:rPr>
            </w:pPr>
            <w:r>
              <w:rPr>
                <w:color w:val="000000"/>
                <w:kern w:val="0"/>
                <w:sz w:val="24"/>
              </w:rPr>
              <w:t>-11.85%</w:t>
            </w:r>
          </w:p>
        </w:tc>
      </w:tr>
    </w:tbl>
    <w:p>
      <w:pPr>
        <w:ind w:firstLine="632" w:firstLineChars="200"/>
        <w:rPr>
          <w:szCs w:val="32"/>
        </w:rPr>
      </w:pPr>
      <w:r>
        <w:rPr>
          <w:b/>
          <w:bCs/>
          <w:szCs w:val="32"/>
        </w:rPr>
        <w:t>4</w:t>
      </w:r>
      <w:r>
        <w:rPr>
          <w:rFonts w:hint="eastAsia" w:ascii="仿宋_GB2312" w:hAnsi="仿宋_GB2312" w:cs="仿宋_GB2312"/>
          <w:b/>
          <w:bCs/>
          <w:szCs w:val="32"/>
        </w:rPr>
        <w:t>.</w:t>
      </w:r>
      <w:r>
        <w:rPr>
          <w:b/>
          <w:bCs/>
          <w:szCs w:val="32"/>
        </w:rPr>
        <w:t>及时处置情况</w:t>
      </w:r>
      <w:r>
        <w:rPr>
          <w:szCs w:val="32"/>
        </w:rPr>
        <w:t>（自评得分5.18分）。2021年开展绩效运行监控后，发现省院人民中路工作区维修改造项目因立项未通过，需调整预算及绩效目标；发现电子检务深化应用项目因合同约定需经国家审计后方能支付尾款，需调整预算；发现聘用制书记员经费因招聘计划推迟、人员流动大，相关人员及公用支出减少，需调整预算及绩效目标。经申请，全年分两次共追减预算2102.74万元。</w:t>
      </w:r>
    </w:p>
    <w:p>
      <w:pPr>
        <w:ind w:firstLine="632" w:firstLineChars="200"/>
        <w:rPr>
          <w:szCs w:val="32"/>
        </w:rPr>
      </w:pPr>
      <w:r>
        <w:rPr>
          <w:szCs w:val="32"/>
        </w:rPr>
        <w:t>2021年底，我院预算结余2439.14万元，财政予以结转3个项目479.22万元，结余注销资金为1959.92万元。</w:t>
      </w:r>
    </w:p>
    <w:p>
      <w:pPr>
        <w:ind w:firstLine="632" w:firstLineChars="200"/>
        <w:rPr>
          <w:szCs w:val="32"/>
        </w:rPr>
      </w:pPr>
      <w:r>
        <w:rPr>
          <w:b/>
          <w:bCs/>
          <w:szCs w:val="32"/>
        </w:rPr>
        <w:t>5.预算执行进度情况</w:t>
      </w:r>
      <w:r>
        <w:rPr>
          <w:szCs w:val="32"/>
        </w:rPr>
        <w:t>（自评得分4.10分）。2021年6、9、11月部门预算执行额分别是9202.47万元、18232.65万元、21223.47万元，该时点的部门预算总额分别是29121.68万元、31875.19万元、31878.5万元，实际支出进度分别达到31.6%、57.2%、66.5%。</w:t>
      </w:r>
    </w:p>
    <w:p>
      <w:pPr>
        <w:ind w:firstLine="632" w:firstLineChars="200"/>
        <w:rPr>
          <w:szCs w:val="32"/>
        </w:rPr>
      </w:pPr>
      <w:r>
        <w:rPr>
          <w:b/>
          <w:bCs/>
          <w:szCs w:val="32"/>
        </w:rPr>
        <w:t>6.年终预算完成情况</w:t>
      </w:r>
      <w:r>
        <w:rPr>
          <w:szCs w:val="32"/>
        </w:rPr>
        <w:t>（自评得分9.17分）。2021年12月底，全年部门预算总额33312.67万元，部门预算执行额30570.18万元，预算执行额占部门预算总额的91.77%。</w:t>
      </w:r>
    </w:p>
    <w:tbl>
      <w:tblPr>
        <w:tblStyle w:val="14"/>
        <w:tblW w:w="8848" w:type="dxa"/>
        <w:jc w:val="center"/>
        <w:tblInd w:w="0" w:type="dxa"/>
        <w:tblLayout w:type="fixed"/>
        <w:tblCellMar>
          <w:top w:w="0" w:type="dxa"/>
          <w:left w:w="108" w:type="dxa"/>
          <w:bottom w:w="0" w:type="dxa"/>
          <w:right w:w="108" w:type="dxa"/>
        </w:tblCellMar>
      </w:tblPr>
      <w:tblGrid>
        <w:gridCol w:w="2921"/>
        <w:gridCol w:w="1975"/>
        <w:gridCol w:w="1976"/>
        <w:gridCol w:w="1976"/>
      </w:tblGrid>
      <w:tr>
        <w:tblPrEx>
          <w:tblLayout w:type="fixed"/>
          <w:tblCellMar>
            <w:top w:w="0" w:type="dxa"/>
            <w:left w:w="108" w:type="dxa"/>
            <w:bottom w:w="0" w:type="dxa"/>
            <w:right w:w="108" w:type="dxa"/>
          </w:tblCellMar>
        </w:tblPrEx>
        <w:trPr>
          <w:trHeight w:val="525" w:hRule="atLeast"/>
          <w:jc w:val="center"/>
        </w:trPr>
        <w:tc>
          <w:tcPr>
            <w:tcW w:w="2921" w:type="dxa"/>
            <w:vMerge w:val="restart"/>
            <w:tcBorders>
              <w:top w:val="single" w:color="auto" w:sz="4" w:space="0"/>
              <w:left w:val="single" w:color="auto" w:sz="4" w:space="0"/>
              <w:right w:val="single" w:color="auto" w:sz="4" w:space="0"/>
            </w:tcBorders>
            <w:vAlign w:val="center"/>
          </w:tcPr>
          <w:p>
            <w:pPr>
              <w:spacing w:line="420" w:lineRule="exact"/>
              <w:jc w:val="center"/>
              <w:textAlignment w:val="center"/>
              <w:rPr>
                <w:b/>
                <w:bCs/>
                <w:kern w:val="0"/>
                <w:sz w:val="24"/>
                <w:szCs w:val="22"/>
              </w:rPr>
            </w:pPr>
            <w:r>
              <w:rPr>
                <w:b/>
                <w:bCs/>
                <w:color w:val="000000"/>
                <w:kern w:val="0"/>
                <w:sz w:val="24"/>
              </w:rPr>
              <w:t>项目</w:t>
            </w:r>
          </w:p>
        </w:tc>
        <w:tc>
          <w:tcPr>
            <w:tcW w:w="5927" w:type="dxa"/>
            <w:gridSpan w:val="3"/>
            <w:tcBorders>
              <w:top w:val="single" w:color="auto" w:sz="4" w:space="0"/>
              <w:left w:val="nil"/>
              <w:bottom w:val="single" w:color="auto" w:sz="4" w:space="0"/>
              <w:right w:val="single" w:color="auto" w:sz="4" w:space="0"/>
            </w:tcBorders>
            <w:vAlign w:val="center"/>
          </w:tcPr>
          <w:p>
            <w:pPr>
              <w:spacing w:line="420" w:lineRule="exact"/>
              <w:jc w:val="center"/>
              <w:textAlignment w:val="center"/>
              <w:rPr>
                <w:b/>
                <w:bCs/>
                <w:kern w:val="0"/>
                <w:sz w:val="24"/>
                <w:szCs w:val="22"/>
              </w:rPr>
            </w:pPr>
            <w:r>
              <w:rPr>
                <w:b/>
                <w:bCs/>
                <w:color w:val="000000"/>
                <w:kern w:val="0"/>
                <w:sz w:val="24"/>
              </w:rPr>
              <w:t>截至2020年12月底</w:t>
            </w:r>
          </w:p>
        </w:tc>
      </w:tr>
      <w:tr>
        <w:tblPrEx>
          <w:tblLayout w:type="fixed"/>
          <w:tblCellMar>
            <w:top w:w="0" w:type="dxa"/>
            <w:left w:w="108" w:type="dxa"/>
            <w:bottom w:w="0" w:type="dxa"/>
            <w:right w:w="108" w:type="dxa"/>
          </w:tblCellMar>
        </w:tblPrEx>
        <w:trPr>
          <w:trHeight w:val="527" w:hRule="atLeast"/>
          <w:jc w:val="center"/>
        </w:trPr>
        <w:tc>
          <w:tcPr>
            <w:tcW w:w="2921" w:type="dxa"/>
            <w:vMerge w:val="continue"/>
            <w:tcBorders>
              <w:left w:val="single" w:color="auto" w:sz="4" w:space="0"/>
              <w:bottom w:val="single" w:color="auto" w:sz="4" w:space="0"/>
              <w:right w:val="single" w:color="auto" w:sz="4" w:space="0"/>
            </w:tcBorders>
            <w:vAlign w:val="center"/>
          </w:tcPr>
          <w:p>
            <w:pPr>
              <w:spacing w:line="420" w:lineRule="exact"/>
              <w:jc w:val="center"/>
              <w:rPr>
                <w:b/>
                <w:bCs/>
                <w:kern w:val="0"/>
                <w:sz w:val="24"/>
                <w:szCs w:val="22"/>
              </w:rPr>
            </w:pP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b/>
                <w:bCs/>
                <w:kern w:val="0"/>
                <w:sz w:val="24"/>
                <w:szCs w:val="22"/>
              </w:rPr>
            </w:pPr>
            <w:r>
              <w:rPr>
                <w:b/>
                <w:bCs/>
                <w:color w:val="000000"/>
                <w:kern w:val="0"/>
                <w:sz w:val="24"/>
              </w:rPr>
              <w:t>预算数</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b/>
                <w:bCs/>
                <w:kern w:val="0"/>
                <w:sz w:val="24"/>
                <w:szCs w:val="22"/>
              </w:rPr>
            </w:pPr>
            <w:r>
              <w:rPr>
                <w:b/>
                <w:bCs/>
                <w:color w:val="000000"/>
                <w:kern w:val="0"/>
                <w:sz w:val="24"/>
              </w:rPr>
              <w:t>执行数</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b/>
                <w:bCs/>
                <w:kern w:val="0"/>
                <w:sz w:val="24"/>
                <w:szCs w:val="22"/>
              </w:rPr>
            </w:pPr>
            <w:r>
              <w:rPr>
                <w:b/>
                <w:bCs/>
                <w:color w:val="000000"/>
                <w:kern w:val="0"/>
                <w:sz w:val="24"/>
              </w:rPr>
              <w:t>执行进度</w:t>
            </w:r>
          </w:p>
        </w:tc>
      </w:tr>
      <w:tr>
        <w:tblPrEx>
          <w:tblLayout w:type="fixed"/>
          <w:tblCellMar>
            <w:top w:w="0" w:type="dxa"/>
            <w:left w:w="108" w:type="dxa"/>
            <w:bottom w:w="0" w:type="dxa"/>
            <w:right w:w="108" w:type="dxa"/>
          </w:tblCellMar>
        </w:tblPrEx>
        <w:trPr>
          <w:trHeight w:val="225" w:hRule="atLeast"/>
          <w:jc w:val="center"/>
        </w:trPr>
        <w:tc>
          <w:tcPr>
            <w:tcW w:w="2921" w:type="dxa"/>
            <w:tcBorders>
              <w:top w:val="nil"/>
              <w:left w:val="single" w:color="auto" w:sz="4" w:space="0"/>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合计</w:t>
            </w: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33312.67</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30570.18</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91.77%</w:t>
            </w:r>
          </w:p>
        </w:tc>
      </w:tr>
      <w:tr>
        <w:tblPrEx>
          <w:tblLayout w:type="fixed"/>
          <w:tblCellMar>
            <w:top w:w="0" w:type="dxa"/>
            <w:left w:w="108" w:type="dxa"/>
            <w:bottom w:w="0" w:type="dxa"/>
            <w:right w:w="108" w:type="dxa"/>
          </w:tblCellMar>
        </w:tblPrEx>
        <w:trPr>
          <w:trHeight w:val="225" w:hRule="atLeast"/>
          <w:jc w:val="center"/>
        </w:trPr>
        <w:tc>
          <w:tcPr>
            <w:tcW w:w="2921" w:type="dxa"/>
            <w:tcBorders>
              <w:top w:val="nil"/>
              <w:left w:val="single" w:color="auto" w:sz="4" w:space="0"/>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院机关</w:t>
            </w: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26545.96</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24106.78</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90.81%</w:t>
            </w:r>
          </w:p>
        </w:tc>
      </w:tr>
      <w:tr>
        <w:tblPrEx>
          <w:tblLayout w:type="fixed"/>
          <w:tblCellMar>
            <w:top w:w="0" w:type="dxa"/>
            <w:left w:w="108" w:type="dxa"/>
            <w:bottom w:w="0" w:type="dxa"/>
            <w:right w:w="108" w:type="dxa"/>
          </w:tblCellMar>
        </w:tblPrEx>
        <w:trPr>
          <w:trHeight w:val="225" w:hRule="atLeast"/>
          <w:jc w:val="center"/>
        </w:trPr>
        <w:tc>
          <w:tcPr>
            <w:tcW w:w="2921" w:type="dxa"/>
            <w:tcBorders>
              <w:top w:val="nil"/>
              <w:left w:val="single" w:color="auto" w:sz="4" w:space="0"/>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服务中心</w:t>
            </w: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456.66</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441.21</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96.62%</w:t>
            </w:r>
          </w:p>
        </w:tc>
      </w:tr>
      <w:tr>
        <w:tblPrEx>
          <w:tblLayout w:type="fixed"/>
          <w:tblCellMar>
            <w:top w:w="0" w:type="dxa"/>
            <w:left w:w="108" w:type="dxa"/>
            <w:bottom w:w="0" w:type="dxa"/>
            <w:right w:w="108" w:type="dxa"/>
          </w:tblCellMar>
        </w:tblPrEx>
        <w:trPr>
          <w:trHeight w:val="225" w:hRule="atLeast"/>
          <w:jc w:val="center"/>
        </w:trPr>
        <w:tc>
          <w:tcPr>
            <w:tcW w:w="2921" w:type="dxa"/>
            <w:tcBorders>
              <w:top w:val="nil"/>
              <w:left w:val="single" w:color="auto" w:sz="4" w:space="0"/>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成铁分院</w:t>
            </w: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5530.21</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5282.09</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95.51%</w:t>
            </w:r>
          </w:p>
        </w:tc>
      </w:tr>
      <w:tr>
        <w:tblPrEx>
          <w:tblLayout w:type="fixed"/>
          <w:tblCellMar>
            <w:top w:w="0" w:type="dxa"/>
            <w:left w:w="108" w:type="dxa"/>
            <w:bottom w:w="0" w:type="dxa"/>
            <w:right w:w="108" w:type="dxa"/>
          </w:tblCellMar>
        </w:tblPrEx>
        <w:trPr>
          <w:trHeight w:val="225" w:hRule="atLeast"/>
          <w:jc w:val="center"/>
        </w:trPr>
        <w:tc>
          <w:tcPr>
            <w:tcW w:w="2921" w:type="dxa"/>
            <w:tcBorders>
              <w:top w:val="nil"/>
              <w:left w:val="single" w:color="auto" w:sz="4" w:space="0"/>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检察官学院</w:t>
            </w:r>
          </w:p>
        </w:tc>
        <w:tc>
          <w:tcPr>
            <w:tcW w:w="1975"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779.84</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740.1</w:t>
            </w:r>
          </w:p>
        </w:tc>
        <w:tc>
          <w:tcPr>
            <w:tcW w:w="1976" w:type="dxa"/>
            <w:tcBorders>
              <w:top w:val="nil"/>
              <w:left w:val="nil"/>
              <w:bottom w:val="single" w:color="auto" w:sz="4" w:space="0"/>
              <w:right w:val="single" w:color="auto" w:sz="4" w:space="0"/>
            </w:tcBorders>
            <w:vAlign w:val="center"/>
          </w:tcPr>
          <w:p>
            <w:pPr>
              <w:spacing w:line="420" w:lineRule="exact"/>
              <w:jc w:val="center"/>
              <w:textAlignment w:val="center"/>
              <w:rPr>
                <w:kern w:val="0"/>
                <w:sz w:val="24"/>
                <w:szCs w:val="22"/>
              </w:rPr>
            </w:pPr>
            <w:r>
              <w:rPr>
                <w:color w:val="000000"/>
                <w:kern w:val="0"/>
                <w:sz w:val="24"/>
              </w:rPr>
              <w:t>94.90%</w:t>
            </w:r>
          </w:p>
        </w:tc>
      </w:tr>
    </w:tbl>
    <w:p>
      <w:pPr>
        <w:spacing w:line="550" w:lineRule="exact"/>
        <w:ind w:firstLine="632" w:firstLineChars="200"/>
        <w:rPr>
          <w:szCs w:val="32"/>
        </w:rPr>
      </w:pPr>
      <w:r>
        <w:rPr>
          <w:b/>
          <w:bCs/>
          <w:szCs w:val="32"/>
        </w:rPr>
        <w:t>7</w:t>
      </w:r>
      <w:r>
        <w:rPr>
          <w:rFonts w:hint="eastAsia" w:ascii="仿宋_GB2312" w:hAnsi="仿宋_GB2312" w:cs="仿宋_GB2312"/>
          <w:b/>
          <w:bCs/>
          <w:szCs w:val="32"/>
        </w:rPr>
        <w:t>.</w:t>
      </w:r>
      <w:r>
        <w:rPr>
          <w:b/>
          <w:bCs/>
          <w:szCs w:val="32"/>
        </w:rPr>
        <w:t>资金结余率情况</w:t>
      </w:r>
      <w:r>
        <w:rPr>
          <w:szCs w:val="32"/>
        </w:rPr>
        <w:t>（自评得分3.34分）。2021年省院项目总数48个，年底项目资金结余率小于10%的项目32个。</w:t>
      </w:r>
    </w:p>
    <w:p>
      <w:pPr>
        <w:spacing w:line="550" w:lineRule="exact"/>
        <w:ind w:firstLine="632" w:firstLineChars="200"/>
        <w:rPr>
          <w:szCs w:val="32"/>
        </w:rPr>
      </w:pPr>
      <w:r>
        <w:rPr>
          <w:b/>
          <w:bCs/>
          <w:szCs w:val="32"/>
        </w:rPr>
        <w:t>8</w:t>
      </w:r>
      <w:r>
        <w:rPr>
          <w:rFonts w:hint="eastAsia" w:ascii="仿宋_GB2312" w:hAnsi="仿宋_GB2312" w:cs="仿宋_GB2312"/>
          <w:b/>
          <w:bCs/>
          <w:szCs w:val="32"/>
        </w:rPr>
        <w:t>.</w:t>
      </w:r>
      <w:r>
        <w:rPr>
          <w:b/>
          <w:bCs/>
          <w:szCs w:val="32"/>
        </w:rPr>
        <w:t>违规记录情况</w:t>
      </w:r>
      <w:r>
        <w:rPr>
          <w:szCs w:val="32"/>
        </w:rPr>
        <w:t>（自评得分10分）。年度审计监督、财政检查结果，未出现部门预算管理方面违纪违规问题。</w:t>
      </w:r>
    </w:p>
    <w:p>
      <w:pPr>
        <w:spacing w:line="550" w:lineRule="exact"/>
        <w:ind w:firstLine="632" w:firstLineChars="200"/>
        <w:rPr>
          <w:rFonts w:eastAsia="楷体_GB2312"/>
          <w:szCs w:val="32"/>
        </w:rPr>
      </w:pPr>
      <w:r>
        <w:rPr>
          <w:rFonts w:eastAsia="楷体_GB2312"/>
          <w:szCs w:val="32"/>
        </w:rPr>
        <w:t>（二）结果应用情况</w:t>
      </w:r>
    </w:p>
    <w:p>
      <w:pPr>
        <w:spacing w:line="550" w:lineRule="exact"/>
        <w:ind w:firstLine="632" w:firstLineChars="200"/>
        <w:rPr>
          <w:szCs w:val="32"/>
        </w:rPr>
      </w:pPr>
      <w:r>
        <w:rPr>
          <w:b/>
          <w:bCs/>
          <w:szCs w:val="32"/>
        </w:rPr>
        <w:t>1</w:t>
      </w:r>
      <w:r>
        <w:rPr>
          <w:rFonts w:hint="eastAsia" w:ascii="仿宋_GB2312" w:hAnsi="仿宋_GB2312" w:cs="仿宋_GB2312"/>
          <w:b/>
          <w:bCs/>
          <w:szCs w:val="32"/>
        </w:rPr>
        <w:t>.</w:t>
      </w:r>
      <w:r>
        <w:rPr>
          <w:b/>
          <w:bCs/>
          <w:szCs w:val="32"/>
        </w:rPr>
        <w:t>预算挂钩情况</w:t>
      </w:r>
      <w:r>
        <w:rPr>
          <w:szCs w:val="32"/>
        </w:rPr>
        <w:t>（自评得分6分）。2021年4月，按照财政厅要求开展了2021年部门、政策和项目支出绩效自评工作，要求各内设机构和下属单位按照财政要求，认真开展对2020年预算项目和单位整体支出进行自评，并按照相关指标体系进行打分，对项目实施较慢，达不到项目绩效目标的，对预算执行不好的进行通报，并对相关机构和单位的2021年预算进行压减。</w:t>
      </w:r>
    </w:p>
    <w:p>
      <w:pPr>
        <w:spacing w:line="550" w:lineRule="exact"/>
        <w:ind w:firstLine="632" w:firstLineChars="200"/>
        <w:rPr>
          <w:szCs w:val="32"/>
        </w:rPr>
      </w:pPr>
      <w:r>
        <w:rPr>
          <w:b/>
          <w:bCs/>
          <w:szCs w:val="32"/>
        </w:rPr>
        <w:t>2</w:t>
      </w:r>
      <w:r>
        <w:rPr>
          <w:rFonts w:hint="eastAsia" w:ascii="仿宋_GB2312" w:hAnsi="仿宋_GB2312" w:cs="仿宋_GB2312"/>
          <w:b/>
          <w:bCs/>
          <w:szCs w:val="32"/>
        </w:rPr>
        <w:t>.</w:t>
      </w:r>
      <w:r>
        <w:rPr>
          <w:b/>
          <w:bCs/>
          <w:szCs w:val="32"/>
        </w:rPr>
        <w:t>自评公开情况</w:t>
      </w:r>
      <w:r>
        <w:rPr>
          <w:szCs w:val="32"/>
        </w:rPr>
        <w:t>（自评得分4分）。2021年3月19日，在省院门户网站公开2021年部门预算时一并公开了部门预算项目绩效目标。2021年9月10日，在门户网站上公开《四川省人民检察院2020年部门决算编制说明》，并将绩效目标完成情况、部门整体支出绩效评价自评报告等绩效信息随同部门年终决算公开。</w:t>
      </w:r>
    </w:p>
    <w:p>
      <w:pPr>
        <w:spacing w:line="550" w:lineRule="exact"/>
        <w:ind w:firstLine="632" w:firstLineChars="200"/>
        <w:rPr>
          <w:szCs w:val="32"/>
        </w:rPr>
      </w:pPr>
      <w:r>
        <w:rPr>
          <w:b/>
          <w:bCs/>
          <w:szCs w:val="32"/>
        </w:rPr>
        <w:t>3</w:t>
      </w:r>
      <w:r>
        <w:rPr>
          <w:rFonts w:hint="eastAsia" w:ascii="仿宋_GB2312" w:hAnsi="仿宋_GB2312" w:cs="仿宋_GB2312"/>
          <w:b/>
          <w:bCs/>
          <w:szCs w:val="32"/>
        </w:rPr>
        <w:t>.</w:t>
      </w:r>
      <w:r>
        <w:rPr>
          <w:b/>
          <w:bCs/>
          <w:szCs w:val="32"/>
          <w:lang w:val="zh-CN"/>
        </w:rPr>
        <w:t>问题整改</w:t>
      </w:r>
      <w:r>
        <w:rPr>
          <w:b/>
          <w:bCs/>
          <w:szCs w:val="32"/>
        </w:rPr>
        <w:t>情况</w:t>
      </w:r>
      <w:r>
        <w:rPr>
          <w:szCs w:val="32"/>
        </w:rPr>
        <w:t>（自评得分5分）。在编制绩效目标时，认真审核院机关及下属单位编制的绩效目标，对绩效目标设置不合理、绩效指标不够明确量化的均要求修改完善，重新填报绩效目标。2021年7、9月，开展了1－6月、1－8月项目预算绩效运行监控，对项目实施较慢，达不到项目绩效目标实施进度的予以通报，要求项目实施部门加快项目实施进度，确保年底全面实现项目绩效目标。同时要求下级预算单位加快预算执行进度，预算执行差的将压减次年项目预算。</w:t>
      </w:r>
    </w:p>
    <w:p>
      <w:pPr>
        <w:spacing w:line="550" w:lineRule="exact"/>
        <w:ind w:firstLine="632" w:firstLineChars="200"/>
        <w:rPr>
          <w:szCs w:val="32"/>
        </w:rPr>
      </w:pPr>
      <w:r>
        <w:rPr>
          <w:b/>
          <w:bCs/>
          <w:szCs w:val="32"/>
        </w:rPr>
        <w:t>4</w:t>
      </w:r>
      <w:r>
        <w:rPr>
          <w:rFonts w:hint="eastAsia" w:ascii="仿宋_GB2312" w:hAnsi="仿宋_GB2312" w:cs="仿宋_GB2312"/>
          <w:b/>
          <w:bCs/>
          <w:szCs w:val="32"/>
        </w:rPr>
        <w:t>.</w:t>
      </w:r>
      <w:r>
        <w:rPr>
          <w:b/>
          <w:bCs/>
          <w:szCs w:val="32"/>
        </w:rPr>
        <w:t>应用反馈情况</w:t>
      </w:r>
      <w:r>
        <w:rPr>
          <w:szCs w:val="32"/>
        </w:rPr>
        <w:t>（自评得分5分）。2021年10月，按照财政厅要求，及时报送《四川省人民检察院2020年度预算绩效结果应用情况表》，对部门整体支出、项目支出的问题整改、公开公示、通报考核、预算挂钩、监督问责等情况及时进行了反馈。同时，对绩效评价中发现的问题要求项目实施单位及时整改，加强部门预算及预算绩效管理工作。</w:t>
      </w:r>
    </w:p>
    <w:p>
      <w:pPr>
        <w:spacing w:line="550" w:lineRule="exact"/>
        <w:ind w:firstLine="632" w:firstLineChars="200"/>
        <w:rPr>
          <w:rFonts w:eastAsia="黑体"/>
          <w:kern w:val="0"/>
          <w:szCs w:val="32"/>
          <w:shd w:val="clear" w:color="auto" w:fill="FFFFFF"/>
        </w:rPr>
      </w:pPr>
      <w:r>
        <w:rPr>
          <w:rFonts w:eastAsia="黑体"/>
          <w:kern w:val="0"/>
          <w:szCs w:val="32"/>
          <w:shd w:val="clear" w:color="auto" w:fill="FFFFFF"/>
        </w:rPr>
        <w:t>四、评价结论及建议</w:t>
      </w:r>
    </w:p>
    <w:p>
      <w:pPr>
        <w:spacing w:line="550" w:lineRule="exact"/>
        <w:ind w:firstLine="632" w:firstLineChars="200"/>
        <w:rPr>
          <w:rFonts w:eastAsia="楷体_GB2312"/>
          <w:szCs w:val="32"/>
        </w:rPr>
      </w:pPr>
      <w:r>
        <w:rPr>
          <w:rFonts w:eastAsia="楷体_GB2312"/>
          <w:szCs w:val="32"/>
        </w:rPr>
        <w:t>（一）评价结论</w:t>
      </w:r>
    </w:p>
    <w:p>
      <w:pPr>
        <w:spacing w:line="550" w:lineRule="exact"/>
        <w:ind w:firstLine="632" w:firstLineChars="200"/>
        <w:rPr>
          <w:szCs w:val="32"/>
        </w:rPr>
      </w:pPr>
      <w:r>
        <w:rPr>
          <w:szCs w:val="32"/>
        </w:rPr>
        <w:t>2021年，省检察院及其下属行政事业单位，整体上完成了年初设定的绩效目标，有效地保障了各项检察工作的完成，充分发挥了财政资金的经济效益、社会效益。积极推动预算绩效管理工作深入开展，切实增强预算编制的科学性、合理性和可行性，提升了编制质量。绩效目标设置完整、明确、量化、合理，覆盖全部项目，能反映年度履行法律监督职能情况。在预算执行管理工作中，严格按照预算确定的资金类别和用途执行，实时监控预算执行进度。</w:t>
      </w:r>
    </w:p>
    <w:p>
      <w:pPr>
        <w:spacing w:line="550" w:lineRule="exact"/>
        <w:ind w:firstLine="632" w:firstLineChars="200"/>
        <w:rPr>
          <w:rFonts w:eastAsia="楷体_GB2312"/>
          <w:szCs w:val="32"/>
        </w:rPr>
      </w:pPr>
      <w:r>
        <w:rPr>
          <w:rFonts w:eastAsia="楷体_GB2312"/>
          <w:szCs w:val="32"/>
        </w:rPr>
        <w:t>（二）存在问题</w:t>
      </w:r>
    </w:p>
    <w:p>
      <w:pPr>
        <w:spacing w:line="550" w:lineRule="exact"/>
        <w:ind w:firstLine="632" w:firstLineChars="200"/>
        <w:rPr>
          <w:szCs w:val="32"/>
        </w:rPr>
      </w:pPr>
      <w:r>
        <w:rPr>
          <w:szCs w:val="32"/>
        </w:rPr>
        <w:t>从绩效评价看，部门支出预算和绩效评价工作还存在一些具体问题，一是个别项目责任处室对预算绩效管理工作不够重视，项目绩效目标设置不合理，绩效指标较粗，不够明确、量化。个别单位对预算支出结构把握不够准确，对预算需求调查不充分。二是项目支出影响整体进度，部分项目支出规划还不合理，2021年1－9预算执行进度不快，达不到序时进度要求。三是个别责任处室对项目情况把握不准，个别项目开展条件不具备，导致预算执行情况差，绩效目标不能完成的情况情况，特别是电子检务深化应用项目、人民中路工作区维修改造项目。</w:t>
      </w:r>
    </w:p>
    <w:p>
      <w:pPr>
        <w:spacing w:line="550" w:lineRule="exact"/>
        <w:ind w:firstLine="632" w:firstLineChars="200"/>
        <w:rPr>
          <w:rFonts w:eastAsia="楷体_GB2312"/>
          <w:szCs w:val="32"/>
        </w:rPr>
      </w:pPr>
      <w:r>
        <w:rPr>
          <w:rFonts w:eastAsia="楷体_GB2312"/>
          <w:szCs w:val="32"/>
        </w:rPr>
        <w:t>（三）改进建议</w:t>
      </w:r>
    </w:p>
    <w:p>
      <w:pPr>
        <w:spacing w:line="550" w:lineRule="exact"/>
        <w:ind w:firstLine="632" w:firstLineChars="200"/>
        <w:rPr>
          <w:szCs w:val="32"/>
        </w:rPr>
      </w:pPr>
      <w:r>
        <w:rPr>
          <w:szCs w:val="32"/>
        </w:rPr>
        <w:t>在今后的工作中，我院将严格执行预算法、预决算相关规定，加强预算编制的统筹管理，增强需求测算科学性，继续加强支出进度管理，加强支出绩效跟踪，提高预算执行绩效，落实绩效评价结果应用。同时，建议财政部门：将预算绩效考核时间适当延后，让部门有更多的时间组织实施；研究将预算绩效考核和整体支出绩效评价工作有机结合起来，避免工作重复；建立绩效目标指标库，加强对重点项目等内容考核，突出重点，不求面面俱到；多组织交流学习，针对预算绩效管理工作的难点、重点，多组织专业培训，全面提高预算绩效管理水平。</w:t>
      </w:r>
    </w:p>
    <w:p>
      <w:pPr>
        <w:spacing w:line="550" w:lineRule="exact"/>
        <w:ind w:firstLine="632" w:firstLineChars="200"/>
        <w:rPr>
          <w:szCs w:val="32"/>
        </w:rPr>
      </w:pPr>
    </w:p>
    <w:p>
      <w:pPr>
        <w:spacing w:line="550" w:lineRule="exact"/>
        <w:ind w:firstLine="632" w:firstLineChars="200"/>
        <w:rPr>
          <w:szCs w:val="32"/>
        </w:rPr>
      </w:pPr>
      <w:r>
        <w:rPr>
          <w:szCs w:val="32"/>
        </w:rPr>
        <w:t>附件：2021年度省级部门整体支出绩效评价指标体系</w:t>
      </w:r>
    </w:p>
    <w:p>
      <w:pPr>
        <w:spacing w:line="550" w:lineRule="exact"/>
        <w:ind w:firstLine="1580" w:firstLineChars="500"/>
        <w:rPr>
          <w:szCs w:val="32"/>
        </w:rPr>
      </w:pPr>
      <w:r>
        <w:rPr>
          <w:szCs w:val="32"/>
        </w:rPr>
        <w:t>（适用于无专项预算的部门）</w:t>
      </w:r>
    </w:p>
    <w:p>
      <w:pPr>
        <w:pStyle w:val="33"/>
        <w:adjustRightInd/>
        <w:spacing w:line="550" w:lineRule="exact"/>
        <w:rPr>
          <w:rFonts w:hAnsi="Times New Roman"/>
          <w:szCs w:val="32"/>
        </w:rPr>
        <w:sectPr>
          <w:footerReference r:id="rId4" w:type="first"/>
          <w:footerReference r:id="rId3" w:type="default"/>
          <w:pgSz w:w="11906" w:h="16838"/>
          <w:pgMar w:top="2098" w:right="1531" w:bottom="1984" w:left="1531" w:header="851" w:footer="1587" w:gutter="0"/>
          <w:pgNumType w:fmt="numberInDash" w:start="1"/>
          <w:cols w:space="0" w:num="1"/>
          <w:docGrid w:type="linesAndChars" w:linePitch="579" w:charSpace="-1024"/>
        </w:sectPr>
      </w:pPr>
    </w:p>
    <w:tbl>
      <w:tblPr>
        <w:tblStyle w:val="14"/>
        <w:tblW w:w="15609" w:type="dxa"/>
        <w:jc w:val="center"/>
        <w:tblInd w:w="0" w:type="dxa"/>
        <w:tblLayout w:type="fixed"/>
        <w:tblCellMar>
          <w:top w:w="0" w:type="dxa"/>
          <w:left w:w="108" w:type="dxa"/>
          <w:bottom w:w="0" w:type="dxa"/>
          <w:right w:w="108" w:type="dxa"/>
        </w:tblCellMar>
      </w:tblPr>
      <w:tblGrid>
        <w:gridCol w:w="1175"/>
        <w:gridCol w:w="1046"/>
        <w:gridCol w:w="1063"/>
        <w:gridCol w:w="693"/>
        <w:gridCol w:w="1608"/>
        <w:gridCol w:w="5505"/>
        <w:gridCol w:w="1560"/>
        <w:gridCol w:w="2959"/>
      </w:tblGrid>
      <w:tr>
        <w:tblPrEx>
          <w:tblLayout w:type="fixed"/>
          <w:tblCellMar>
            <w:top w:w="0" w:type="dxa"/>
            <w:left w:w="108" w:type="dxa"/>
            <w:bottom w:w="0" w:type="dxa"/>
            <w:right w:w="108" w:type="dxa"/>
          </w:tblCellMar>
        </w:tblPrEx>
        <w:trPr>
          <w:trHeight w:val="840" w:hRule="atLeast"/>
          <w:jc w:val="center"/>
        </w:trPr>
        <w:tc>
          <w:tcPr>
            <w:tcW w:w="15609" w:type="dxa"/>
            <w:gridSpan w:val="8"/>
            <w:tcBorders>
              <w:top w:val="nil"/>
              <w:left w:val="nil"/>
              <w:bottom w:val="single" w:color="auto" w:sz="4" w:space="0"/>
              <w:right w:val="nil"/>
            </w:tcBorders>
            <w:shd w:val="clear" w:color="auto" w:fill="auto"/>
            <w:vAlign w:val="center"/>
          </w:tcPr>
          <w:p>
            <w:pPr>
              <w:spacing w:line="550" w:lineRule="exact"/>
              <w:ind w:firstLine="1276" w:firstLineChars="400"/>
              <w:jc w:val="left"/>
              <w:rPr>
                <w:rFonts w:ascii="黑体" w:hAnsi="黑体" w:eastAsia="黑体" w:cs="黑体"/>
                <w:szCs w:val="32"/>
              </w:rPr>
            </w:pPr>
            <w:r>
              <w:rPr>
                <w:rFonts w:hint="eastAsia" w:ascii="黑体" w:hAnsi="黑体" w:eastAsia="黑体" w:cs="黑体"/>
                <w:szCs w:val="32"/>
              </w:rPr>
              <w:t>附件</w:t>
            </w:r>
          </w:p>
          <w:p>
            <w:pPr>
              <w:jc w:val="center"/>
              <w:rPr>
                <w:rFonts w:eastAsia="方正小标宋简体"/>
                <w:kern w:val="0"/>
                <w:sz w:val="40"/>
                <w:szCs w:val="40"/>
              </w:rPr>
            </w:pPr>
            <w:r>
              <w:rPr>
                <w:rFonts w:eastAsia="方正小标宋简体"/>
                <w:b/>
                <w:bCs/>
                <w:kern w:val="0"/>
                <w:sz w:val="44"/>
                <w:szCs w:val="44"/>
              </w:rPr>
              <w:t>2021</w:t>
            </w:r>
            <w:r>
              <w:rPr>
                <w:rFonts w:eastAsia="方正小标宋简体"/>
                <w:kern w:val="0"/>
                <w:sz w:val="44"/>
                <w:szCs w:val="44"/>
              </w:rPr>
              <w:t>年度省级部门整体支出绩效评价指标体系（适用于无专项预算的部门）</w:t>
            </w:r>
          </w:p>
        </w:tc>
      </w:tr>
      <w:tr>
        <w:tblPrEx>
          <w:tblLayout w:type="fixed"/>
          <w:tblCellMar>
            <w:top w:w="0" w:type="dxa"/>
            <w:left w:w="108" w:type="dxa"/>
            <w:bottom w:w="0" w:type="dxa"/>
            <w:right w:w="108" w:type="dxa"/>
          </w:tblCellMar>
        </w:tblPrEx>
        <w:trPr>
          <w:trHeight w:val="495" w:hRule="atLeast"/>
          <w:jc w:val="center"/>
        </w:trPr>
        <w:tc>
          <w:tcPr>
            <w:tcW w:w="328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绩效指标</w:t>
            </w:r>
          </w:p>
        </w:tc>
        <w:tc>
          <w:tcPr>
            <w:tcW w:w="6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指标分值</w:t>
            </w:r>
          </w:p>
        </w:tc>
        <w:tc>
          <w:tcPr>
            <w:tcW w:w="1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指标解释</w:t>
            </w:r>
          </w:p>
        </w:tc>
        <w:tc>
          <w:tcPr>
            <w:tcW w:w="5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计分标准</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自评</w:t>
            </w:r>
            <w:r>
              <w:rPr>
                <w:b/>
                <w:bCs/>
                <w:kern w:val="0"/>
                <w:sz w:val="21"/>
                <w:szCs w:val="21"/>
              </w:rPr>
              <w:br w:type="textWrapping"/>
            </w:r>
            <w:r>
              <w:rPr>
                <w:rFonts w:hAnsi="宋体"/>
                <w:b/>
                <w:bCs/>
                <w:kern w:val="0"/>
                <w:sz w:val="21"/>
                <w:szCs w:val="21"/>
              </w:rPr>
              <w:t>得分</w:t>
            </w:r>
          </w:p>
        </w:tc>
        <w:tc>
          <w:tcPr>
            <w:tcW w:w="29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备注</w:t>
            </w:r>
          </w:p>
        </w:tc>
      </w:tr>
      <w:tr>
        <w:tblPrEx>
          <w:tblLayout w:type="fixed"/>
          <w:tblCellMar>
            <w:top w:w="0" w:type="dxa"/>
            <w:left w:w="108" w:type="dxa"/>
            <w:bottom w:w="0" w:type="dxa"/>
            <w:right w:w="108" w:type="dxa"/>
          </w:tblCellMar>
        </w:tblPrEx>
        <w:trPr>
          <w:trHeight w:val="345" w:hRule="atLeast"/>
          <w:jc w:val="center"/>
        </w:trPr>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一级指标</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二级指标</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bCs/>
                <w:kern w:val="0"/>
                <w:sz w:val="21"/>
                <w:szCs w:val="21"/>
              </w:rPr>
            </w:pPr>
            <w:r>
              <w:rPr>
                <w:rFonts w:hAnsi="宋体"/>
                <w:b/>
                <w:bCs/>
                <w:kern w:val="0"/>
                <w:sz w:val="21"/>
                <w:szCs w:val="21"/>
              </w:rPr>
              <w:t>三级指标</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left"/>
              <w:rPr>
                <w:b/>
                <w:bCs/>
                <w:kern w:val="0"/>
                <w:sz w:val="21"/>
                <w:szCs w:val="21"/>
              </w:rPr>
            </w:pPr>
          </w:p>
        </w:tc>
        <w:tc>
          <w:tcPr>
            <w:tcW w:w="160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left"/>
              <w:rPr>
                <w:b/>
                <w:bCs/>
                <w:kern w:val="0"/>
                <w:sz w:val="24"/>
              </w:rPr>
            </w:pPr>
          </w:p>
        </w:tc>
        <w:tc>
          <w:tcPr>
            <w:tcW w:w="55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left"/>
              <w:rPr>
                <w:b/>
                <w:bCs/>
                <w:kern w:val="0"/>
                <w:sz w:val="24"/>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left"/>
              <w:rPr>
                <w:b/>
                <w:bCs/>
                <w:kern w:val="0"/>
                <w:sz w:val="24"/>
              </w:rPr>
            </w:pPr>
          </w:p>
        </w:tc>
        <w:tc>
          <w:tcPr>
            <w:tcW w:w="295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left"/>
              <w:rPr>
                <w:b/>
                <w:bCs/>
                <w:kern w:val="0"/>
                <w:sz w:val="24"/>
              </w:rPr>
            </w:pPr>
          </w:p>
        </w:tc>
      </w:tr>
      <w:tr>
        <w:tblPrEx>
          <w:tblLayout w:type="fixed"/>
          <w:tblCellMar>
            <w:top w:w="0" w:type="dxa"/>
            <w:left w:w="108" w:type="dxa"/>
            <w:bottom w:w="0" w:type="dxa"/>
            <w:right w:w="108" w:type="dxa"/>
          </w:tblCellMar>
        </w:tblPrEx>
        <w:trPr>
          <w:trHeight w:val="1860" w:hRule="atLeast"/>
          <w:jc w:val="center"/>
        </w:trPr>
        <w:tc>
          <w:tcPr>
            <w:tcW w:w="11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部门预算项目绩效管理（</w:t>
            </w:r>
            <w:r>
              <w:rPr>
                <w:kern w:val="0"/>
                <w:sz w:val="18"/>
                <w:szCs w:val="18"/>
              </w:rPr>
              <w:t>70</w:t>
            </w:r>
            <w:r>
              <w:rPr>
                <w:rFonts w:hAnsi="宋体"/>
                <w:kern w:val="0"/>
                <w:sz w:val="18"/>
                <w:szCs w:val="18"/>
              </w:rPr>
              <w:t>分）</w:t>
            </w: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目标管理（</w:t>
            </w:r>
            <w:r>
              <w:rPr>
                <w:kern w:val="0"/>
                <w:sz w:val="18"/>
                <w:szCs w:val="18"/>
              </w:rPr>
              <w:t>30</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目标制定</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15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评价部门绩效目标是否要素完整、细化量化并集体决策。</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1.</w:t>
            </w:r>
            <w:r>
              <w:rPr>
                <w:rFonts w:hAnsi="宋体"/>
                <w:kern w:val="0"/>
                <w:sz w:val="18"/>
                <w:szCs w:val="18"/>
              </w:rPr>
              <w:t>绩效目标编制要素完整的，得</w:t>
            </w:r>
            <w:r>
              <w:rPr>
                <w:kern w:val="0"/>
                <w:sz w:val="18"/>
                <w:szCs w:val="18"/>
              </w:rPr>
              <w:t>5</w:t>
            </w:r>
            <w:r>
              <w:rPr>
                <w:rFonts w:hAnsi="宋体"/>
                <w:kern w:val="0"/>
                <w:sz w:val="18"/>
                <w:szCs w:val="18"/>
              </w:rPr>
              <w:t>分，否则酌情扣分。</w:t>
            </w:r>
            <w:r>
              <w:rPr>
                <w:kern w:val="0"/>
                <w:sz w:val="18"/>
                <w:szCs w:val="18"/>
              </w:rPr>
              <w:t xml:space="preserve">                                                       2.</w:t>
            </w:r>
            <w:r>
              <w:rPr>
                <w:rFonts w:hAnsi="宋体"/>
                <w:kern w:val="0"/>
                <w:sz w:val="18"/>
                <w:szCs w:val="18"/>
              </w:rPr>
              <w:t>绩效指标细化量化的，得</w:t>
            </w:r>
            <w:r>
              <w:rPr>
                <w:kern w:val="0"/>
                <w:sz w:val="18"/>
                <w:szCs w:val="18"/>
              </w:rPr>
              <w:t>5</w:t>
            </w:r>
            <w:r>
              <w:rPr>
                <w:rFonts w:hAnsi="宋体"/>
                <w:kern w:val="0"/>
                <w:sz w:val="18"/>
                <w:szCs w:val="18"/>
              </w:rPr>
              <w:t>分，否则酌情扣分。</w:t>
            </w:r>
            <w:r>
              <w:rPr>
                <w:kern w:val="0"/>
                <w:sz w:val="18"/>
                <w:szCs w:val="18"/>
              </w:rPr>
              <w:t xml:space="preserve">                   3.</w:t>
            </w:r>
            <w:r>
              <w:rPr>
                <w:rFonts w:hAnsi="宋体"/>
                <w:kern w:val="0"/>
                <w:sz w:val="18"/>
                <w:szCs w:val="18"/>
              </w:rPr>
              <w:t>评价部门绩效目标纳入部门党组（委）会（办公会）集体决策范围的得</w:t>
            </w:r>
            <w:r>
              <w:rPr>
                <w:kern w:val="0"/>
                <w:sz w:val="18"/>
                <w:szCs w:val="18"/>
              </w:rPr>
              <w:t>5</w:t>
            </w:r>
            <w:r>
              <w:rPr>
                <w:rFonts w:hAnsi="宋体"/>
                <w:kern w:val="0"/>
                <w:sz w:val="18"/>
                <w:szCs w:val="18"/>
              </w:rPr>
              <w:t>分，否则不得分。有项目绩效目标的部门（单位），根据项目绩效目标编制质量打分，无项目绩效目标的部门，根据部门整体支出绩效目标打分。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15</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部门绩效目标要素完整、细化量化，部门绩效目标随部门预算经过党组集体决策。</w:t>
            </w:r>
          </w:p>
        </w:tc>
      </w:tr>
      <w:tr>
        <w:tblPrEx>
          <w:tblLayout w:type="fixed"/>
          <w:tblCellMar>
            <w:top w:w="0" w:type="dxa"/>
            <w:left w:w="108" w:type="dxa"/>
            <w:bottom w:w="0" w:type="dxa"/>
            <w:right w:w="108" w:type="dxa"/>
          </w:tblCellMar>
        </w:tblPrEx>
        <w:trPr>
          <w:trHeight w:val="1759"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目标实现</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15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评价部门绩效目标实际实现程度与预期目标的偏离度。</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color w:val="000000"/>
                <w:kern w:val="0"/>
                <w:sz w:val="18"/>
                <w:szCs w:val="18"/>
              </w:rPr>
            </w:pPr>
            <w:r>
              <w:rPr>
                <w:rFonts w:hAnsi="宋体"/>
                <w:color w:val="000000"/>
                <w:kern w:val="0"/>
                <w:sz w:val="18"/>
                <w:szCs w:val="18"/>
              </w:rPr>
              <w:t>以项目完成数量为核心，评价项目实际完成情况与预期绩效目标偏离度，单个数量指标实际完成未达到预期指标或超过预期指标</w:t>
            </w:r>
            <w:r>
              <w:rPr>
                <w:color w:val="000000"/>
                <w:kern w:val="0"/>
                <w:sz w:val="18"/>
                <w:szCs w:val="18"/>
              </w:rPr>
              <w:t>30%</w:t>
            </w:r>
            <w:r>
              <w:rPr>
                <w:rFonts w:hAnsi="宋体"/>
                <w:color w:val="000000"/>
                <w:kern w:val="0"/>
                <w:sz w:val="18"/>
                <w:szCs w:val="18"/>
              </w:rPr>
              <w:t>以上的，均不计分。该项指标得分</w:t>
            </w:r>
            <w:r>
              <w:rPr>
                <w:color w:val="000000"/>
                <w:kern w:val="0"/>
                <w:sz w:val="18"/>
                <w:szCs w:val="18"/>
              </w:rPr>
              <w:t>=</w:t>
            </w:r>
            <w:r>
              <w:rPr>
                <w:rFonts w:hAnsi="宋体"/>
                <w:color w:val="000000"/>
                <w:kern w:val="0"/>
                <w:sz w:val="18"/>
                <w:szCs w:val="18"/>
              </w:rPr>
              <w:t>达到预期值的数量指标个数</w:t>
            </w:r>
            <w:r>
              <w:rPr>
                <w:color w:val="000000"/>
                <w:kern w:val="0"/>
                <w:sz w:val="18"/>
                <w:szCs w:val="18"/>
              </w:rPr>
              <w:t>/</w:t>
            </w:r>
            <w:r>
              <w:rPr>
                <w:rFonts w:hAnsi="宋体"/>
                <w:color w:val="000000"/>
                <w:kern w:val="0"/>
                <w:sz w:val="18"/>
                <w:szCs w:val="18"/>
              </w:rPr>
              <w:t>全部数量指标个数（即评价选取的项目绩效目标包含的所有数量指标）</w:t>
            </w:r>
            <w:r>
              <w:rPr>
                <w:color w:val="000000"/>
                <w:kern w:val="0"/>
                <w:sz w:val="18"/>
                <w:szCs w:val="18"/>
              </w:rPr>
              <w:t>*15</w:t>
            </w:r>
            <w:r>
              <w:rPr>
                <w:rFonts w:hAnsi="宋体"/>
                <w:color w:val="000000"/>
                <w:kern w:val="0"/>
                <w:sz w:val="18"/>
                <w:szCs w:val="18"/>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12.47</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64/77*15</w:t>
            </w:r>
          </w:p>
        </w:tc>
      </w:tr>
      <w:tr>
        <w:tblPrEx>
          <w:tblLayout w:type="fixed"/>
          <w:tblCellMar>
            <w:top w:w="0" w:type="dxa"/>
            <w:left w:w="108" w:type="dxa"/>
            <w:bottom w:w="0" w:type="dxa"/>
            <w:right w:w="108" w:type="dxa"/>
          </w:tblCellMar>
        </w:tblPrEx>
        <w:trPr>
          <w:trHeight w:val="168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动态调整（</w:t>
            </w:r>
            <w:r>
              <w:rPr>
                <w:kern w:val="0"/>
                <w:sz w:val="18"/>
                <w:szCs w:val="18"/>
              </w:rPr>
              <w:t>20</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支出控制</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部门公用经费及非定额公用支出控制情况。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计算部门日常公用经费、项目支出中</w:t>
            </w:r>
            <w:r>
              <w:rPr>
                <w:rFonts w:hint="eastAsia"/>
                <w:kern w:val="0"/>
                <w:sz w:val="18"/>
                <w:szCs w:val="18"/>
              </w:rPr>
              <w:t>“</w:t>
            </w:r>
            <w:r>
              <w:rPr>
                <w:rFonts w:hAnsi="宋体"/>
                <w:kern w:val="0"/>
                <w:sz w:val="18"/>
                <w:szCs w:val="18"/>
              </w:rPr>
              <w:t>办公费、印刷费、水费、电费、物业管理费</w:t>
            </w:r>
            <w:r>
              <w:rPr>
                <w:rFonts w:hint="eastAsia"/>
                <w:kern w:val="0"/>
                <w:sz w:val="18"/>
                <w:szCs w:val="18"/>
              </w:rPr>
              <w:t>”</w:t>
            </w:r>
            <w:r>
              <w:rPr>
                <w:rFonts w:hAnsi="宋体"/>
                <w:kern w:val="0"/>
                <w:sz w:val="18"/>
                <w:szCs w:val="18"/>
              </w:rPr>
              <w:t>等科目年初预算数与决算数偏差程度。预决算偏差程度在</w:t>
            </w:r>
            <w:r>
              <w:rPr>
                <w:kern w:val="0"/>
                <w:sz w:val="18"/>
                <w:szCs w:val="18"/>
              </w:rPr>
              <w:t>10%</w:t>
            </w:r>
            <w:r>
              <w:rPr>
                <w:rFonts w:hAnsi="宋体"/>
                <w:kern w:val="0"/>
                <w:sz w:val="18"/>
                <w:szCs w:val="18"/>
              </w:rPr>
              <w:t>以内的，得</w:t>
            </w:r>
            <w:r>
              <w:rPr>
                <w:kern w:val="0"/>
                <w:sz w:val="18"/>
                <w:szCs w:val="18"/>
              </w:rPr>
              <w:t>5</w:t>
            </w:r>
            <w:r>
              <w:rPr>
                <w:rFonts w:hAnsi="宋体"/>
                <w:kern w:val="0"/>
                <w:sz w:val="18"/>
                <w:szCs w:val="18"/>
              </w:rPr>
              <w:t>分。偏差度在</w:t>
            </w:r>
            <w:r>
              <w:rPr>
                <w:kern w:val="0"/>
                <w:sz w:val="18"/>
                <w:szCs w:val="18"/>
              </w:rPr>
              <w:t>10%-20%</w:t>
            </w:r>
            <w:r>
              <w:rPr>
                <w:rFonts w:hAnsi="宋体"/>
                <w:kern w:val="0"/>
                <w:sz w:val="18"/>
                <w:szCs w:val="18"/>
              </w:rPr>
              <w:t>之间的，得</w:t>
            </w:r>
            <w:r>
              <w:rPr>
                <w:kern w:val="0"/>
                <w:sz w:val="18"/>
                <w:szCs w:val="18"/>
              </w:rPr>
              <w:t>2</w:t>
            </w:r>
            <w:r>
              <w:rPr>
                <w:rFonts w:hAnsi="宋体"/>
                <w:kern w:val="0"/>
                <w:sz w:val="18"/>
                <w:szCs w:val="18"/>
              </w:rPr>
              <w:t>分，偏差度超过</w:t>
            </w:r>
            <w:r>
              <w:rPr>
                <w:kern w:val="0"/>
                <w:sz w:val="18"/>
                <w:szCs w:val="18"/>
              </w:rPr>
              <w:t>20%</w:t>
            </w:r>
            <w:r>
              <w:rPr>
                <w:rFonts w:hAnsi="宋体"/>
                <w:kern w:val="0"/>
                <w:sz w:val="18"/>
                <w:szCs w:val="18"/>
              </w:rPr>
              <w:t>的，不得分。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(1239.57-1157.01</w:t>
            </w:r>
            <w:r>
              <w:rPr>
                <w:rFonts w:hAnsi="宋体"/>
                <w:kern w:val="0"/>
                <w:sz w:val="18"/>
                <w:szCs w:val="18"/>
              </w:rPr>
              <w:t>）</w:t>
            </w:r>
            <w:r>
              <w:rPr>
                <w:kern w:val="0"/>
                <w:sz w:val="18"/>
                <w:szCs w:val="18"/>
              </w:rPr>
              <w:t>/1239.57*100%=6.66%</w:t>
            </w:r>
          </w:p>
        </w:tc>
      </w:tr>
      <w:tr>
        <w:tblPrEx>
          <w:tblLayout w:type="fixed"/>
          <w:tblCellMar>
            <w:top w:w="0" w:type="dxa"/>
            <w:left w:w="108" w:type="dxa"/>
            <w:bottom w:w="0" w:type="dxa"/>
            <w:right w:w="108" w:type="dxa"/>
          </w:tblCellMar>
        </w:tblPrEx>
        <w:trPr>
          <w:trHeight w:val="240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rFonts w:hAnsi="宋体"/>
                <w:kern w:val="0"/>
                <w:sz w:val="18"/>
                <w:szCs w:val="18"/>
              </w:rPr>
              <w:t>及时处置</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10</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评价部门开展绩效运行监控后，将绩效监控结果应用到预算调整的情况。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kern w:val="0"/>
                <w:sz w:val="18"/>
                <w:szCs w:val="18"/>
              </w:rPr>
              <w:t>1.</w:t>
            </w:r>
            <w:r>
              <w:rPr>
                <w:rFonts w:hAnsi="宋体"/>
                <w:kern w:val="0"/>
                <w:sz w:val="18"/>
                <w:szCs w:val="18"/>
              </w:rPr>
              <w:t>当部门绩效监控调整取消额和结余注销额均不为零时，指标得分</w:t>
            </w:r>
            <w:r>
              <w:rPr>
                <w:kern w:val="0"/>
                <w:sz w:val="18"/>
                <w:szCs w:val="18"/>
              </w:rPr>
              <w:t>=</w:t>
            </w:r>
            <w:r>
              <w:rPr>
                <w:rFonts w:hAnsi="宋体"/>
                <w:kern w:val="0"/>
                <w:sz w:val="18"/>
                <w:szCs w:val="18"/>
              </w:rPr>
              <w:t>部门项目支出绩效监控调整取消额</w:t>
            </w:r>
            <w:r>
              <w:rPr>
                <w:kern w:val="0"/>
                <w:sz w:val="18"/>
                <w:szCs w:val="18"/>
              </w:rPr>
              <w:t>÷(</w:t>
            </w:r>
            <w:r>
              <w:rPr>
                <w:rFonts w:hAnsi="宋体"/>
                <w:kern w:val="0"/>
                <w:sz w:val="18"/>
                <w:szCs w:val="18"/>
              </w:rPr>
              <w:t>部门绩效监控调整取消额</w:t>
            </w:r>
            <w:r>
              <w:rPr>
                <w:kern w:val="0"/>
                <w:sz w:val="18"/>
                <w:szCs w:val="18"/>
              </w:rPr>
              <w:t>+</w:t>
            </w:r>
            <w:r>
              <w:rPr>
                <w:rFonts w:hAnsi="宋体"/>
                <w:kern w:val="0"/>
                <w:sz w:val="18"/>
                <w:szCs w:val="18"/>
              </w:rPr>
              <w:t>预算结余注销额）</w:t>
            </w:r>
            <w:r>
              <w:rPr>
                <w:kern w:val="0"/>
                <w:sz w:val="18"/>
                <w:szCs w:val="18"/>
              </w:rPr>
              <w:t>*10</w:t>
            </w:r>
            <w:r>
              <w:rPr>
                <w:rFonts w:hAnsi="宋体"/>
                <w:kern w:val="0"/>
                <w:sz w:val="18"/>
                <w:szCs w:val="18"/>
              </w:rPr>
              <w:t>。</w:t>
            </w:r>
            <w:r>
              <w:rPr>
                <w:kern w:val="0"/>
                <w:sz w:val="18"/>
                <w:szCs w:val="18"/>
              </w:rPr>
              <w:t xml:space="preserve">                                                   2.</w:t>
            </w:r>
            <w:r>
              <w:rPr>
                <w:rFonts w:hAnsi="宋体"/>
                <w:kern w:val="0"/>
                <w:sz w:val="18"/>
                <w:szCs w:val="18"/>
              </w:rPr>
              <w:t>当部门绩效监控调整取消额为零，结余注销额不为零时，指标得分</w:t>
            </w:r>
            <w:r>
              <w:rPr>
                <w:kern w:val="0"/>
                <w:sz w:val="18"/>
                <w:szCs w:val="18"/>
              </w:rPr>
              <w:t>=</w:t>
            </w:r>
            <w:r>
              <w:rPr>
                <w:rFonts w:hAnsi="宋体"/>
                <w:kern w:val="0"/>
                <w:sz w:val="18"/>
                <w:szCs w:val="18"/>
              </w:rPr>
              <w:t>（</w:t>
            </w:r>
            <w:r>
              <w:rPr>
                <w:kern w:val="0"/>
                <w:sz w:val="18"/>
                <w:szCs w:val="18"/>
              </w:rPr>
              <w:t>1-10*</w:t>
            </w:r>
            <w:r>
              <w:rPr>
                <w:rFonts w:hAnsi="宋体"/>
                <w:kern w:val="0"/>
                <w:sz w:val="18"/>
                <w:szCs w:val="18"/>
              </w:rPr>
              <w:t>结余注销额</w:t>
            </w:r>
            <w:r>
              <w:rPr>
                <w:kern w:val="0"/>
                <w:sz w:val="18"/>
                <w:szCs w:val="18"/>
              </w:rPr>
              <w:t>/</w:t>
            </w:r>
            <w:r>
              <w:rPr>
                <w:rFonts w:hAnsi="宋体"/>
                <w:kern w:val="0"/>
                <w:sz w:val="18"/>
                <w:szCs w:val="18"/>
              </w:rPr>
              <w:t>年度预算总额）</w:t>
            </w:r>
            <w:r>
              <w:rPr>
                <w:kern w:val="0"/>
                <w:sz w:val="18"/>
                <w:szCs w:val="18"/>
              </w:rPr>
              <w:t>*10</w:t>
            </w:r>
            <w:r>
              <w:rPr>
                <w:rFonts w:hAnsi="宋体"/>
                <w:kern w:val="0"/>
                <w:sz w:val="18"/>
                <w:szCs w:val="18"/>
              </w:rPr>
              <w:t>，结余注销额超过部门年度预算总额</w:t>
            </w:r>
            <w:r>
              <w:rPr>
                <w:kern w:val="0"/>
                <w:sz w:val="18"/>
                <w:szCs w:val="18"/>
              </w:rPr>
              <w:t>10%</w:t>
            </w:r>
            <w:r>
              <w:rPr>
                <w:rFonts w:hAnsi="宋体"/>
                <w:kern w:val="0"/>
                <w:sz w:val="18"/>
                <w:szCs w:val="18"/>
              </w:rPr>
              <w:t>的，指标不得分。</w:t>
            </w:r>
            <w:r>
              <w:rPr>
                <w:kern w:val="0"/>
                <w:sz w:val="18"/>
                <w:szCs w:val="18"/>
              </w:rPr>
              <w:t xml:space="preserve">                                       3.</w:t>
            </w:r>
            <w:r>
              <w:rPr>
                <w:rFonts w:hAnsi="宋体"/>
                <w:kern w:val="0"/>
                <w:sz w:val="18"/>
                <w:szCs w:val="18"/>
              </w:rPr>
              <w:t>当部门绩效监控调整取消额与结余注销额均为零时，得满分。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5.18</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(1530.72+572.02</w:t>
            </w:r>
            <w:r>
              <w:rPr>
                <w:rFonts w:hAnsi="宋体"/>
                <w:kern w:val="0"/>
                <w:sz w:val="18"/>
                <w:szCs w:val="18"/>
              </w:rPr>
              <w:t>）</w:t>
            </w:r>
            <w:r>
              <w:rPr>
                <w:kern w:val="0"/>
                <w:sz w:val="18"/>
                <w:szCs w:val="18"/>
              </w:rPr>
              <w:t>/(1530.72+572.02+2439.14-479.22</w:t>
            </w:r>
            <w:r>
              <w:rPr>
                <w:rFonts w:hAnsi="宋体"/>
                <w:kern w:val="0"/>
                <w:sz w:val="18"/>
                <w:szCs w:val="18"/>
              </w:rPr>
              <w:t>）</w:t>
            </w:r>
            <w:r>
              <w:rPr>
                <w:kern w:val="0"/>
                <w:sz w:val="18"/>
                <w:szCs w:val="18"/>
              </w:rPr>
              <w:t>*10</w:t>
            </w:r>
          </w:p>
        </w:tc>
      </w:tr>
      <w:tr>
        <w:tblPrEx>
          <w:tblLayout w:type="fixed"/>
          <w:tblCellMar>
            <w:top w:w="0" w:type="dxa"/>
            <w:left w:w="108" w:type="dxa"/>
            <w:bottom w:w="0" w:type="dxa"/>
            <w:right w:w="108" w:type="dxa"/>
          </w:tblCellMar>
        </w:tblPrEx>
        <w:trPr>
          <w:trHeight w:val="1305"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rFonts w:hAnsi="宋体"/>
                <w:kern w:val="0"/>
                <w:sz w:val="18"/>
                <w:szCs w:val="18"/>
              </w:rPr>
              <w:t>执行进度</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评价部门在</w:t>
            </w:r>
            <w:r>
              <w:rPr>
                <w:kern w:val="0"/>
                <w:sz w:val="18"/>
                <w:szCs w:val="18"/>
              </w:rPr>
              <w:t>6</w:t>
            </w:r>
            <w:r>
              <w:rPr>
                <w:rFonts w:hAnsi="宋体"/>
                <w:kern w:val="0"/>
                <w:sz w:val="18"/>
                <w:szCs w:val="18"/>
              </w:rPr>
              <w:t>、</w:t>
            </w:r>
            <w:r>
              <w:rPr>
                <w:kern w:val="0"/>
                <w:sz w:val="18"/>
                <w:szCs w:val="18"/>
              </w:rPr>
              <w:t>9</w:t>
            </w:r>
            <w:r>
              <w:rPr>
                <w:rFonts w:hAnsi="宋体"/>
                <w:kern w:val="0"/>
                <w:sz w:val="18"/>
                <w:szCs w:val="18"/>
              </w:rPr>
              <w:t>、</w:t>
            </w:r>
            <w:r>
              <w:rPr>
                <w:kern w:val="0"/>
                <w:sz w:val="18"/>
                <w:szCs w:val="18"/>
              </w:rPr>
              <w:t>11</w:t>
            </w:r>
            <w:r>
              <w:rPr>
                <w:rFonts w:hAnsi="宋体"/>
                <w:kern w:val="0"/>
                <w:sz w:val="18"/>
                <w:szCs w:val="18"/>
              </w:rPr>
              <w:t>月的预算执行情况。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部门预算执行进度在</w:t>
            </w:r>
            <w:r>
              <w:rPr>
                <w:kern w:val="0"/>
                <w:sz w:val="18"/>
                <w:szCs w:val="18"/>
              </w:rPr>
              <w:t>6</w:t>
            </w:r>
            <w:r>
              <w:rPr>
                <w:rFonts w:hAnsi="宋体"/>
                <w:kern w:val="0"/>
                <w:sz w:val="18"/>
                <w:szCs w:val="18"/>
              </w:rPr>
              <w:t>、</w:t>
            </w:r>
            <w:r>
              <w:rPr>
                <w:kern w:val="0"/>
                <w:sz w:val="18"/>
                <w:szCs w:val="18"/>
              </w:rPr>
              <w:t>9</w:t>
            </w:r>
            <w:r>
              <w:rPr>
                <w:rFonts w:hAnsi="宋体"/>
                <w:kern w:val="0"/>
                <w:sz w:val="18"/>
                <w:szCs w:val="18"/>
              </w:rPr>
              <w:t>、</w:t>
            </w:r>
            <w:r>
              <w:rPr>
                <w:kern w:val="0"/>
                <w:sz w:val="18"/>
                <w:szCs w:val="18"/>
              </w:rPr>
              <w:t>11</w:t>
            </w:r>
            <w:r>
              <w:rPr>
                <w:rFonts w:hAnsi="宋体"/>
                <w:kern w:val="0"/>
                <w:sz w:val="18"/>
                <w:szCs w:val="18"/>
              </w:rPr>
              <w:t>月应达到序时进度的</w:t>
            </w:r>
            <w:r>
              <w:rPr>
                <w:kern w:val="0"/>
                <w:sz w:val="18"/>
                <w:szCs w:val="18"/>
              </w:rPr>
              <w:t>80%</w:t>
            </w:r>
            <w:r>
              <w:rPr>
                <w:rFonts w:hAnsi="宋体"/>
                <w:kern w:val="0"/>
                <w:sz w:val="18"/>
                <w:szCs w:val="18"/>
              </w:rPr>
              <w:t>、</w:t>
            </w:r>
            <w:r>
              <w:rPr>
                <w:kern w:val="0"/>
                <w:sz w:val="18"/>
                <w:szCs w:val="18"/>
              </w:rPr>
              <w:t>90%</w:t>
            </w:r>
            <w:r>
              <w:rPr>
                <w:rFonts w:hAnsi="宋体"/>
                <w:kern w:val="0"/>
                <w:sz w:val="18"/>
                <w:szCs w:val="18"/>
              </w:rPr>
              <w:t>、</w:t>
            </w:r>
            <w:r>
              <w:rPr>
                <w:kern w:val="0"/>
                <w:sz w:val="18"/>
                <w:szCs w:val="18"/>
              </w:rPr>
              <w:t>90%</w:t>
            </w:r>
            <w:r>
              <w:rPr>
                <w:rFonts w:hAnsi="宋体"/>
                <w:kern w:val="0"/>
                <w:sz w:val="18"/>
                <w:szCs w:val="18"/>
              </w:rPr>
              <w:t>，即实际支出进度分别达到</w:t>
            </w:r>
            <w:r>
              <w:rPr>
                <w:kern w:val="0"/>
                <w:sz w:val="18"/>
                <w:szCs w:val="18"/>
              </w:rPr>
              <w:t>40%</w:t>
            </w:r>
            <w:r>
              <w:rPr>
                <w:rFonts w:hAnsi="宋体"/>
                <w:kern w:val="0"/>
                <w:sz w:val="18"/>
                <w:szCs w:val="18"/>
              </w:rPr>
              <w:t>、</w:t>
            </w:r>
            <w:r>
              <w:rPr>
                <w:kern w:val="0"/>
                <w:sz w:val="18"/>
                <w:szCs w:val="18"/>
              </w:rPr>
              <w:t>67.5%</w:t>
            </w:r>
            <w:r>
              <w:rPr>
                <w:rFonts w:hAnsi="宋体"/>
                <w:kern w:val="0"/>
                <w:sz w:val="18"/>
                <w:szCs w:val="18"/>
              </w:rPr>
              <w:t>、</w:t>
            </w:r>
            <w:r>
              <w:rPr>
                <w:kern w:val="0"/>
                <w:sz w:val="18"/>
                <w:szCs w:val="18"/>
              </w:rPr>
              <w:t>82.5%</w:t>
            </w:r>
            <w:r>
              <w:rPr>
                <w:rFonts w:hAnsi="宋体"/>
                <w:kern w:val="0"/>
                <w:sz w:val="18"/>
                <w:szCs w:val="18"/>
              </w:rPr>
              <w:t>。</w:t>
            </w:r>
            <w:r>
              <w:rPr>
                <w:kern w:val="0"/>
                <w:sz w:val="18"/>
                <w:szCs w:val="18"/>
              </w:rPr>
              <w:t xml:space="preserve">                                                     6</w:t>
            </w:r>
            <w:r>
              <w:rPr>
                <w:rFonts w:hAnsi="宋体"/>
                <w:kern w:val="0"/>
                <w:sz w:val="18"/>
                <w:szCs w:val="18"/>
              </w:rPr>
              <w:t>、</w:t>
            </w:r>
            <w:r>
              <w:rPr>
                <w:kern w:val="0"/>
                <w:sz w:val="18"/>
                <w:szCs w:val="18"/>
              </w:rPr>
              <w:t>9</w:t>
            </w:r>
            <w:r>
              <w:rPr>
                <w:rFonts w:hAnsi="宋体"/>
                <w:kern w:val="0"/>
                <w:sz w:val="18"/>
                <w:szCs w:val="18"/>
              </w:rPr>
              <w:t>、</w:t>
            </w:r>
            <w:r>
              <w:rPr>
                <w:kern w:val="0"/>
                <w:sz w:val="18"/>
                <w:szCs w:val="18"/>
              </w:rPr>
              <w:t>11</w:t>
            </w:r>
            <w:r>
              <w:rPr>
                <w:rFonts w:hAnsi="宋体"/>
                <w:kern w:val="0"/>
                <w:sz w:val="18"/>
                <w:szCs w:val="18"/>
              </w:rPr>
              <w:t>月部门预算执行进度达到量化指标的分别得</w:t>
            </w:r>
            <w:r>
              <w:rPr>
                <w:kern w:val="0"/>
                <w:sz w:val="18"/>
                <w:szCs w:val="18"/>
              </w:rPr>
              <w:t>1</w:t>
            </w:r>
            <w:r>
              <w:rPr>
                <w:rFonts w:hAnsi="宋体"/>
                <w:kern w:val="0"/>
                <w:sz w:val="18"/>
                <w:szCs w:val="18"/>
              </w:rPr>
              <w:t>、</w:t>
            </w:r>
            <w:r>
              <w:rPr>
                <w:kern w:val="0"/>
                <w:sz w:val="18"/>
                <w:szCs w:val="18"/>
              </w:rPr>
              <w:t>2</w:t>
            </w:r>
            <w:r>
              <w:rPr>
                <w:rFonts w:hAnsi="宋体"/>
                <w:kern w:val="0"/>
                <w:sz w:val="18"/>
                <w:szCs w:val="18"/>
              </w:rPr>
              <w:t>、</w:t>
            </w:r>
            <w:r>
              <w:rPr>
                <w:kern w:val="0"/>
                <w:sz w:val="18"/>
                <w:szCs w:val="18"/>
              </w:rPr>
              <w:t>2</w:t>
            </w:r>
            <w:r>
              <w:rPr>
                <w:rFonts w:hAnsi="宋体"/>
                <w:kern w:val="0"/>
                <w:sz w:val="18"/>
                <w:szCs w:val="18"/>
              </w:rPr>
              <w:t>分，未达到目标进度的的按其实际进度占目标进度的比重计算得分。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4.1</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6</w:t>
            </w:r>
            <w:r>
              <w:rPr>
                <w:rFonts w:hAnsi="宋体"/>
                <w:kern w:val="0"/>
                <w:sz w:val="18"/>
                <w:szCs w:val="18"/>
              </w:rPr>
              <w:t>、</w:t>
            </w:r>
            <w:r>
              <w:rPr>
                <w:kern w:val="0"/>
                <w:sz w:val="18"/>
                <w:szCs w:val="18"/>
              </w:rPr>
              <w:t>9</w:t>
            </w:r>
            <w:r>
              <w:rPr>
                <w:rFonts w:hAnsi="宋体"/>
                <w:kern w:val="0"/>
                <w:sz w:val="18"/>
                <w:szCs w:val="18"/>
              </w:rPr>
              <w:t>、</w:t>
            </w:r>
            <w:r>
              <w:rPr>
                <w:kern w:val="0"/>
                <w:sz w:val="18"/>
                <w:szCs w:val="18"/>
              </w:rPr>
              <w:t>11</w:t>
            </w:r>
            <w:r>
              <w:rPr>
                <w:rFonts w:hAnsi="宋体"/>
                <w:kern w:val="0"/>
                <w:sz w:val="18"/>
                <w:szCs w:val="18"/>
              </w:rPr>
              <w:t>月实际支出进度分别达到</w:t>
            </w:r>
            <w:r>
              <w:rPr>
                <w:kern w:val="0"/>
                <w:sz w:val="18"/>
                <w:szCs w:val="18"/>
              </w:rPr>
              <w:t>31.6%</w:t>
            </w:r>
            <w:r>
              <w:rPr>
                <w:rFonts w:hAnsi="宋体"/>
                <w:kern w:val="0"/>
                <w:sz w:val="18"/>
                <w:szCs w:val="18"/>
              </w:rPr>
              <w:t>、</w:t>
            </w:r>
            <w:r>
              <w:rPr>
                <w:kern w:val="0"/>
                <w:sz w:val="18"/>
                <w:szCs w:val="18"/>
              </w:rPr>
              <w:t>57.2%</w:t>
            </w:r>
            <w:r>
              <w:rPr>
                <w:rFonts w:hAnsi="宋体"/>
                <w:kern w:val="0"/>
                <w:sz w:val="18"/>
                <w:szCs w:val="18"/>
              </w:rPr>
              <w:t>、</w:t>
            </w:r>
            <w:r>
              <w:rPr>
                <w:kern w:val="0"/>
                <w:sz w:val="18"/>
                <w:szCs w:val="18"/>
              </w:rPr>
              <w:t>66.5%</w:t>
            </w:r>
          </w:p>
        </w:tc>
      </w:tr>
      <w:tr>
        <w:tblPrEx>
          <w:tblLayout w:type="fixed"/>
          <w:tblCellMar>
            <w:top w:w="0" w:type="dxa"/>
            <w:left w:w="108" w:type="dxa"/>
            <w:bottom w:w="0" w:type="dxa"/>
            <w:right w:w="108" w:type="dxa"/>
          </w:tblCellMar>
        </w:tblPrEx>
        <w:trPr>
          <w:trHeight w:val="72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完成结果（</w:t>
            </w:r>
            <w:r>
              <w:rPr>
                <w:kern w:val="0"/>
                <w:sz w:val="18"/>
                <w:szCs w:val="18"/>
              </w:rPr>
              <w:t>20</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rFonts w:hAnsi="宋体"/>
                <w:kern w:val="0"/>
                <w:sz w:val="18"/>
                <w:szCs w:val="18"/>
              </w:rPr>
              <w:t>预算完成</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10</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评价部门预算项目年终预算执行情况。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部门预算项目</w:t>
            </w:r>
            <w:r>
              <w:rPr>
                <w:kern w:val="0"/>
                <w:sz w:val="18"/>
                <w:szCs w:val="18"/>
              </w:rPr>
              <w:t>12</w:t>
            </w:r>
            <w:r>
              <w:rPr>
                <w:rFonts w:hAnsi="宋体"/>
                <w:kern w:val="0"/>
                <w:sz w:val="18"/>
                <w:szCs w:val="18"/>
              </w:rPr>
              <w:t>月预算执行进度达到</w:t>
            </w:r>
            <w:r>
              <w:rPr>
                <w:kern w:val="0"/>
                <w:sz w:val="18"/>
                <w:szCs w:val="18"/>
              </w:rPr>
              <w:t>100%</w:t>
            </w:r>
            <w:r>
              <w:rPr>
                <w:rFonts w:hAnsi="宋体"/>
                <w:kern w:val="0"/>
                <w:sz w:val="18"/>
                <w:szCs w:val="18"/>
              </w:rPr>
              <w:t>的，得</w:t>
            </w:r>
            <w:r>
              <w:rPr>
                <w:kern w:val="0"/>
                <w:sz w:val="18"/>
                <w:szCs w:val="18"/>
              </w:rPr>
              <w:t>10</w:t>
            </w:r>
            <w:r>
              <w:rPr>
                <w:rFonts w:hAnsi="宋体"/>
                <w:kern w:val="0"/>
                <w:sz w:val="18"/>
                <w:szCs w:val="18"/>
              </w:rPr>
              <w:t>分，未达</w:t>
            </w:r>
            <w:r>
              <w:rPr>
                <w:kern w:val="0"/>
                <w:sz w:val="18"/>
                <w:szCs w:val="18"/>
              </w:rPr>
              <w:t>100%</w:t>
            </w:r>
            <w:r>
              <w:rPr>
                <w:rFonts w:hAnsi="宋体"/>
                <w:kern w:val="0"/>
                <w:sz w:val="18"/>
                <w:szCs w:val="18"/>
              </w:rPr>
              <w:t>的，按照实际进度量化计算得分。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9.17</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12</w:t>
            </w:r>
            <w:r>
              <w:rPr>
                <w:rFonts w:hAnsi="宋体"/>
                <w:kern w:val="0"/>
                <w:sz w:val="18"/>
                <w:szCs w:val="18"/>
              </w:rPr>
              <w:t>月实际支出进度分别达到</w:t>
            </w:r>
            <w:r>
              <w:rPr>
                <w:kern w:val="0"/>
                <w:sz w:val="18"/>
                <w:szCs w:val="18"/>
              </w:rPr>
              <w:t>91.7%</w:t>
            </w:r>
          </w:p>
        </w:tc>
      </w:tr>
      <w:tr>
        <w:tblPrEx>
          <w:tblLayout w:type="fixed"/>
          <w:tblCellMar>
            <w:top w:w="0" w:type="dxa"/>
            <w:left w:w="108" w:type="dxa"/>
            <w:bottom w:w="0" w:type="dxa"/>
            <w:right w:w="108" w:type="dxa"/>
          </w:tblCellMar>
        </w:tblPrEx>
        <w:trPr>
          <w:trHeight w:val="72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rFonts w:hAnsi="宋体"/>
                <w:kern w:val="0"/>
                <w:sz w:val="18"/>
                <w:szCs w:val="18"/>
              </w:rPr>
              <w:t>资金结余率（低效无效率）</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评价部门预算项目年终资金结余情况。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部门预算项目资金结余率小于</w:t>
            </w:r>
            <w:r>
              <w:rPr>
                <w:kern w:val="0"/>
                <w:sz w:val="18"/>
                <w:szCs w:val="18"/>
              </w:rPr>
              <w:t>0.1</w:t>
            </w:r>
            <w:r>
              <w:rPr>
                <w:rFonts w:hAnsi="宋体"/>
                <w:kern w:val="0"/>
                <w:sz w:val="18"/>
                <w:szCs w:val="18"/>
              </w:rPr>
              <w:t>的项目数</w:t>
            </w:r>
            <w:r>
              <w:rPr>
                <w:kern w:val="0"/>
                <w:sz w:val="18"/>
                <w:szCs w:val="18"/>
              </w:rPr>
              <w:t>/</w:t>
            </w:r>
            <w:r>
              <w:rPr>
                <w:rFonts w:hAnsi="宋体"/>
                <w:kern w:val="0"/>
                <w:sz w:val="18"/>
                <w:szCs w:val="18"/>
              </w:rPr>
              <w:t>部门预算项目总数</w:t>
            </w:r>
            <w:r>
              <w:rPr>
                <w:kern w:val="0"/>
                <w:sz w:val="18"/>
                <w:szCs w:val="18"/>
              </w:rPr>
              <w:t>*5</w:t>
            </w:r>
            <w:r>
              <w:rPr>
                <w:rFonts w:hAnsi="宋体"/>
                <w:kern w:val="0"/>
                <w:sz w:val="18"/>
                <w:szCs w:val="18"/>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3.34</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32/48*5=3.34</w:t>
            </w:r>
          </w:p>
        </w:tc>
      </w:tr>
      <w:tr>
        <w:tblPrEx>
          <w:tblLayout w:type="fixed"/>
          <w:tblCellMar>
            <w:top w:w="0" w:type="dxa"/>
            <w:left w:w="108" w:type="dxa"/>
            <w:bottom w:w="0" w:type="dxa"/>
            <w:right w:w="108" w:type="dxa"/>
          </w:tblCellMar>
        </w:tblPrEx>
        <w:trPr>
          <w:trHeight w:val="705"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rFonts w:hAnsi="宋体"/>
                <w:kern w:val="0"/>
                <w:sz w:val="18"/>
                <w:szCs w:val="18"/>
              </w:rPr>
              <w:t>违规记录</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根据审计监督、财政检查结果反映部门上一年度部门预算管理是否合规。</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left"/>
              <w:rPr>
                <w:kern w:val="0"/>
                <w:sz w:val="18"/>
                <w:szCs w:val="18"/>
              </w:rPr>
            </w:pPr>
            <w:r>
              <w:rPr>
                <w:rFonts w:hAnsi="宋体"/>
                <w:kern w:val="0"/>
                <w:sz w:val="18"/>
                <w:szCs w:val="18"/>
              </w:rPr>
              <w:t>依据评价年度审计监督、财政检查结果，出现部门预算管理方面违纪违规问题的，每个问题扣</w:t>
            </w:r>
            <w:r>
              <w:rPr>
                <w:kern w:val="0"/>
                <w:sz w:val="18"/>
                <w:szCs w:val="18"/>
              </w:rPr>
              <w:t>0.5</w:t>
            </w:r>
            <w:r>
              <w:rPr>
                <w:rFonts w:hAnsi="宋体"/>
                <w:kern w:val="0"/>
                <w:sz w:val="18"/>
                <w:szCs w:val="18"/>
              </w:rPr>
              <w:t>分，直至扣完。</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18"/>
                <w:szCs w:val="18"/>
              </w:rPr>
            </w:pPr>
            <w:r>
              <w:rPr>
                <w:kern w:val="0"/>
                <w:sz w:val="18"/>
                <w:szCs w:val="18"/>
              </w:rPr>
              <w:t>5</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705" w:hRule="atLeast"/>
          <w:jc w:val="center"/>
        </w:trPr>
        <w:tc>
          <w:tcPr>
            <w:tcW w:w="11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18"/>
                <w:szCs w:val="18"/>
              </w:rPr>
            </w:pPr>
            <w:r>
              <w:rPr>
                <w:rFonts w:hAnsi="宋体"/>
                <w:color w:val="000000"/>
                <w:kern w:val="0"/>
                <w:sz w:val="18"/>
                <w:szCs w:val="18"/>
              </w:rPr>
              <w:t>绩效结果应用（</w:t>
            </w:r>
            <w:r>
              <w:rPr>
                <w:color w:val="000000"/>
                <w:kern w:val="0"/>
                <w:sz w:val="18"/>
                <w:szCs w:val="18"/>
              </w:rPr>
              <w:t>20</w:t>
            </w:r>
            <w:r>
              <w:rPr>
                <w:rFonts w:hAnsi="宋体"/>
                <w:color w:val="000000"/>
                <w:kern w:val="0"/>
                <w:sz w:val="18"/>
                <w:szCs w:val="18"/>
              </w:rPr>
              <w:t>分）</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内部应用（</w:t>
            </w:r>
            <w:r>
              <w:rPr>
                <w:kern w:val="0"/>
                <w:sz w:val="18"/>
                <w:szCs w:val="18"/>
              </w:rPr>
              <w:t>6</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预算挂钩</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6</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部门内部绩效结果与预算挂钩情况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将内设机构和下属单位绩效自评纳入考核体系，建立对内设机构和下属单位预算与绩效挂钩机制的，得</w:t>
            </w:r>
            <w:r>
              <w:rPr>
                <w:kern w:val="0"/>
                <w:sz w:val="18"/>
                <w:szCs w:val="18"/>
              </w:rPr>
              <w:t>6</w:t>
            </w:r>
            <w:r>
              <w:rPr>
                <w:rFonts w:hAnsi="宋体"/>
                <w:kern w:val="0"/>
                <w:sz w:val="18"/>
                <w:szCs w:val="18"/>
              </w:rPr>
              <w:t>分，否则酌情扣分。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6</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162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kern w:val="0"/>
                <w:sz w:val="18"/>
                <w:szCs w:val="18"/>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信息公开（</w:t>
            </w:r>
            <w:r>
              <w:rPr>
                <w:kern w:val="0"/>
                <w:sz w:val="18"/>
                <w:szCs w:val="18"/>
              </w:rPr>
              <w:t>4</w:t>
            </w:r>
            <w:r>
              <w:rPr>
                <w:rFonts w:hAnsi="宋体"/>
                <w:kern w:val="0"/>
                <w:sz w:val="18"/>
                <w:szCs w:val="18"/>
              </w:rPr>
              <w:t>分</w:t>
            </w:r>
            <w:r>
              <w:rPr>
                <w:kern w:val="0"/>
                <w:sz w:val="18"/>
                <w:szCs w:val="18"/>
              </w:rPr>
              <w:t>)</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自评公开</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4</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评价部门是否按要求将部门整体绩效自评情况和自行组织的评价情况向社会公开。</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按要求将相关绩效信息随同决算公开的，得</w:t>
            </w:r>
            <w:r>
              <w:rPr>
                <w:kern w:val="0"/>
                <w:sz w:val="18"/>
                <w:szCs w:val="18"/>
              </w:rPr>
              <w:t>4</w:t>
            </w:r>
            <w:r>
              <w:rPr>
                <w:rFonts w:hAnsi="宋体"/>
                <w:kern w:val="0"/>
                <w:sz w:val="18"/>
                <w:szCs w:val="18"/>
              </w:rPr>
              <w:t>分，否则不得分。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4</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将绩效目标完成情况、部门整体支出绩效评价自评报告等绩效信息随同部门年终决算在门户网站上公开</w:t>
            </w:r>
          </w:p>
        </w:tc>
      </w:tr>
      <w:tr>
        <w:tblPrEx>
          <w:tblLayout w:type="fixed"/>
          <w:tblCellMar>
            <w:top w:w="0" w:type="dxa"/>
            <w:left w:w="108" w:type="dxa"/>
            <w:bottom w:w="0" w:type="dxa"/>
            <w:right w:w="108" w:type="dxa"/>
          </w:tblCellMar>
        </w:tblPrEx>
        <w:trPr>
          <w:trHeight w:val="180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kern w:val="0"/>
                <w:sz w:val="18"/>
                <w:szCs w:val="18"/>
              </w:rPr>
            </w:pP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整改反馈（</w:t>
            </w:r>
            <w:r>
              <w:rPr>
                <w:kern w:val="0"/>
                <w:sz w:val="18"/>
                <w:szCs w:val="18"/>
              </w:rPr>
              <w:t>10</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问题整改</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评价部门根据绩效管理结果整改问题、完善政策、改进管理的情况。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针对绩效管理过程中（包括绩效目标核查、绩效监控核查和重点绩效评价）提出的问题进行整改，得</w:t>
            </w:r>
            <w:r>
              <w:rPr>
                <w:kern w:val="0"/>
                <w:sz w:val="18"/>
                <w:szCs w:val="18"/>
              </w:rPr>
              <w:t>5</w:t>
            </w:r>
            <w:r>
              <w:rPr>
                <w:rFonts w:hAnsi="宋体"/>
                <w:kern w:val="0"/>
                <w:sz w:val="18"/>
                <w:szCs w:val="18"/>
              </w:rPr>
              <w:t>分，否则酌情扣分。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开展预算绩效运行监控，通报达不到绩效目标的项目，并与次年项目预算挂钩。要求下级预算单位加快预算执行进度，预算执行差的将压减次年项目预算。加强预算管理。</w:t>
            </w:r>
          </w:p>
        </w:tc>
      </w:tr>
      <w:tr>
        <w:tblPrEx>
          <w:tblLayout w:type="fixed"/>
          <w:tblCellMar>
            <w:top w:w="0" w:type="dxa"/>
            <w:left w:w="108" w:type="dxa"/>
            <w:bottom w:w="0" w:type="dxa"/>
            <w:right w:w="108" w:type="dxa"/>
          </w:tblCellMar>
        </w:tblPrEx>
        <w:trPr>
          <w:trHeight w:val="1080"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kern w:val="0"/>
                <w:sz w:val="18"/>
                <w:szCs w:val="18"/>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kern w:val="0"/>
                <w:sz w:val="18"/>
                <w:szCs w:val="18"/>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应用反馈</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评价部门按要求及时向财政部门反馈结果应用情况。</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部门在规定时间内向财政部门反馈应用绩效结果报告的，得</w:t>
            </w:r>
            <w:r>
              <w:rPr>
                <w:kern w:val="0"/>
                <w:sz w:val="18"/>
                <w:szCs w:val="18"/>
              </w:rPr>
              <w:t>5</w:t>
            </w:r>
            <w:r>
              <w:rPr>
                <w:rFonts w:hAnsi="宋体"/>
                <w:kern w:val="0"/>
                <w:sz w:val="18"/>
                <w:szCs w:val="18"/>
              </w:rPr>
              <w:t>分，否则不得分。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5</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在规定时间内向财政部门反馈应用绩效结果报告</w:t>
            </w:r>
          </w:p>
        </w:tc>
      </w:tr>
      <w:tr>
        <w:tblPrEx>
          <w:tblLayout w:type="fixed"/>
          <w:tblCellMar>
            <w:top w:w="0" w:type="dxa"/>
            <w:left w:w="108" w:type="dxa"/>
            <w:bottom w:w="0" w:type="dxa"/>
            <w:right w:w="108" w:type="dxa"/>
          </w:tblCellMar>
        </w:tblPrEx>
        <w:trPr>
          <w:trHeight w:val="1560" w:hRule="atLeast"/>
          <w:jc w:val="center"/>
        </w:trPr>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自评质量（</w:t>
            </w:r>
            <w:r>
              <w:rPr>
                <w:kern w:val="0"/>
                <w:sz w:val="18"/>
                <w:szCs w:val="18"/>
              </w:rPr>
              <w:t>10</w:t>
            </w:r>
            <w:r>
              <w:rPr>
                <w:rFonts w:hAnsi="宋体"/>
                <w:kern w:val="0"/>
                <w:sz w:val="18"/>
                <w:szCs w:val="18"/>
              </w:rPr>
              <w:t>分）</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自评质量（</w:t>
            </w:r>
            <w:r>
              <w:rPr>
                <w:kern w:val="0"/>
                <w:sz w:val="18"/>
                <w:szCs w:val="18"/>
              </w:rPr>
              <w:t>10</w:t>
            </w:r>
            <w:r>
              <w:rPr>
                <w:rFonts w:hAnsi="宋体"/>
                <w:kern w:val="0"/>
                <w:sz w:val="18"/>
                <w:szCs w:val="18"/>
              </w:rPr>
              <w:t>分）</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自评质量</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10</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评价部门整体支出自评准确率。</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部门整体支出自评得分与评价组抽查得分差异在</w:t>
            </w:r>
            <w:r>
              <w:rPr>
                <w:kern w:val="0"/>
                <w:sz w:val="18"/>
                <w:szCs w:val="18"/>
              </w:rPr>
              <w:t>5%</w:t>
            </w:r>
            <w:r>
              <w:rPr>
                <w:rFonts w:hAnsi="宋体"/>
                <w:kern w:val="0"/>
                <w:sz w:val="18"/>
                <w:szCs w:val="18"/>
              </w:rPr>
              <w:t>以内的，不扣分；在</w:t>
            </w:r>
            <w:r>
              <w:rPr>
                <w:kern w:val="0"/>
                <w:sz w:val="18"/>
                <w:szCs w:val="18"/>
              </w:rPr>
              <w:t>5%-10%</w:t>
            </w:r>
            <w:r>
              <w:rPr>
                <w:rFonts w:hAnsi="宋体"/>
                <w:kern w:val="0"/>
                <w:sz w:val="18"/>
                <w:szCs w:val="18"/>
              </w:rPr>
              <w:t>之间的，扣</w:t>
            </w:r>
            <w:r>
              <w:rPr>
                <w:kern w:val="0"/>
                <w:sz w:val="18"/>
                <w:szCs w:val="18"/>
              </w:rPr>
              <w:t>4</w:t>
            </w:r>
            <w:r>
              <w:rPr>
                <w:rFonts w:hAnsi="宋体"/>
                <w:kern w:val="0"/>
                <w:sz w:val="18"/>
                <w:szCs w:val="18"/>
              </w:rPr>
              <w:t>分，在</w:t>
            </w:r>
            <w:r>
              <w:rPr>
                <w:kern w:val="0"/>
                <w:sz w:val="18"/>
                <w:szCs w:val="18"/>
              </w:rPr>
              <w:t>10%-20%</w:t>
            </w:r>
            <w:r>
              <w:rPr>
                <w:rFonts w:hAnsi="宋体"/>
                <w:kern w:val="0"/>
                <w:sz w:val="18"/>
                <w:szCs w:val="18"/>
              </w:rPr>
              <w:t>的，扣</w:t>
            </w:r>
            <w:r>
              <w:rPr>
                <w:kern w:val="0"/>
                <w:sz w:val="18"/>
                <w:szCs w:val="18"/>
              </w:rPr>
              <w:t>8</w:t>
            </w:r>
            <w:r>
              <w:rPr>
                <w:rFonts w:hAnsi="宋体"/>
                <w:kern w:val="0"/>
                <w:sz w:val="18"/>
                <w:szCs w:val="18"/>
              </w:rPr>
              <w:t>分，在</w:t>
            </w:r>
            <w:r>
              <w:rPr>
                <w:kern w:val="0"/>
                <w:sz w:val="18"/>
                <w:szCs w:val="18"/>
              </w:rPr>
              <w:t>20%</w:t>
            </w:r>
            <w:r>
              <w:rPr>
                <w:rFonts w:hAnsi="宋体"/>
                <w:kern w:val="0"/>
                <w:sz w:val="18"/>
                <w:szCs w:val="18"/>
              </w:rPr>
              <w:t>以上的，扣</w:t>
            </w:r>
            <w:r>
              <w:rPr>
                <w:kern w:val="0"/>
                <w:sz w:val="18"/>
                <w:szCs w:val="18"/>
              </w:rPr>
              <w:t>10</w:t>
            </w:r>
            <w:r>
              <w:rPr>
                <w:rFonts w:hAnsi="宋体"/>
                <w:kern w:val="0"/>
                <w:sz w:val="18"/>
                <w:szCs w:val="18"/>
              </w:rPr>
              <w:t>分（此为财政重点绩效评价计分标准，部门参照该标准对部门及下属单位抽查计分）。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　</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449" w:hRule="atLeast"/>
          <w:jc w:val="center"/>
        </w:trPr>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　</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合计</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rFonts w:hAnsi="宋体"/>
                <w:kern w:val="0"/>
                <w:sz w:val="18"/>
                <w:szCs w:val="18"/>
              </w:rPr>
              <w:t>　</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　</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rFonts w:hAnsi="宋体"/>
                <w:kern w:val="0"/>
                <w:sz w:val="18"/>
                <w:szCs w:val="18"/>
              </w:rPr>
              <w:t>　</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18"/>
                <w:szCs w:val="18"/>
              </w:rPr>
            </w:pPr>
            <w:r>
              <w:rPr>
                <w:kern w:val="0"/>
                <w:sz w:val="18"/>
                <w:szCs w:val="18"/>
              </w:rPr>
              <w:t>79.26</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342" w:hRule="atLeast"/>
          <w:jc w:val="center"/>
        </w:trPr>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22"/>
                <w:szCs w:val="22"/>
              </w:rPr>
            </w:pPr>
            <w:r>
              <w:rPr>
                <w:rFonts w:hAnsi="宋体"/>
                <w:kern w:val="0"/>
                <w:sz w:val="22"/>
                <w:szCs w:val="22"/>
              </w:rPr>
              <w:t>　</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22"/>
                <w:szCs w:val="22"/>
              </w:rPr>
            </w:pPr>
            <w:r>
              <w:rPr>
                <w:rFonts w:hAnsi="宋体"/>
                <w:kern w:val="0"/>
                <w:sz w:val="22"/>
                <w:szCs w:val="22"/>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Ansi="宋体"/>
                <w:kern w:val="0"/>
                <w:sz w:val="22"/>
                <w:szCs w:val="22"/>
              </w:rPr>
            </w:pPr>
            <w:r>
              <w:rPr>
                <w:rFonts w:hAnsi="宋体"/>
                <w:kern w:val="0"/>
                <w:sz w:val="22"/>
                <w:szCs w:val="22"/>
              </w:rPr>
              <w:t>折合</w:t>
            </w:r>
          </w:p>
          <w:p>
            <w:pPr>
              <w:spacing w:line="320" w:lineRule="exact"/>
              <w:jc w:val="center"/>
              <w:rPr>
                <w:kern w:val="0"/>
                <w:sz w:val="22"/>
                <w:szCs w:val="22"/>
              </w:rPr>
            </w:pPr>
            <w:r>
              <w:rPr>
                <w:rFonts w:hAnsi="宋体"/>
                <w:kern w:val="0"/>
                <w:sz w:val="22"/>
                <w:szCs w:val="22"/>
              </w:rPr>
              <w:t>得分</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2"/>
                <w:szCs w:val="22"/>
              </w:rPr>
            </w:pPr>
            <w:r>
              <w:rPr>
                <w:rFonts w:hAnsi="宋体"/>
                <w:kern w:val="0"/>
                <w:sz w:val="22"/>
                <w:szCs w:val="22"/>
              </w:rPr>
              <w:t>　</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22"/>
                <w:szCs w:val="22"/>
              </w:rPr>
            </w:pPr>
            <w:r>
              <w:rPr>
                <w:rFonts w:hAnsi="宋体"/>
                <w:kern w:val="0"/>
                <w:sz w:val="22"/>
                <w:szCs w:val="22"/>
              </w:rPr>
              <w:t>　</w:t>
            </w:r>
          </w:p>
        </w:tc>
        <w:tc>
          <w:tcPr>
            <w:tcW w:w="55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22"/>
                <w:szCs w:val="22"/>
              </w:rPr>
            </w:pPr>
            <w:r>
              <w:rPr>
                <w:rFonts w:hAnsi="宋体"/>
                <w:kern w:val="0"/>
                <w:sz w:val="22"/>
                <w:szCs w:val="22"/>
              </w:rPr>
              <w:t>　</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2"/>
                <w:szCs w:val="22"/>
              </w:rPr>
            </w:pPr>
            <w:r>
              <w:rPr>
                <w:kern w:val="0"/>
                <w:sz w:val="22"/>
                <w:szCs w:val="22"/>
              </w:rPr>
              <w:t xml:space="preserve">88.07 </w:t>
            </w:r>
          </w:p>
        </w:tc>
        <w:tc>
          <w:tcPr>
            <w:tcW w:w="29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kern w:val="0"/>
                <w:sz w:val="22"/>
                <w:szCs w:val="22"/>
              </w:rPr>
            </w:pPr>
            <w:r>
              <w:rPr>
                <w:rFonts w:hAnsi="宋体"/>
                <w:kern w:val="0"/>
                <w:sz w:val="22"/>
                <w:szCs w:val="22"/>
              </w:rPr>
              <w:t>　</w:t>
            </w:r>
          </w:p>
        </w:tc>
      </w:tr>
    </w:tbl>
    <w:p>
      <w:pPr>
        <w:pStyle w:val="33"/>
        <w:adjustRightInd/>
        <w:spacing w:afterLines="50" w:line="240" w:lineRule="auto"/>
        <w:rPr>
          <w:rFonts w:hAnsi="Times New Roman"/>
          <w:szCs w:val="32"/>
        </w:rPr>
        <w:sectPr>
          <w:pgSz w:w="16838" w:h="11906" w:orient="landscape"/>
          <w:pgMar w:top="1531" w:right="2098" w:bottom="1531" w:left="1984" w:header="851" w:footer="1587" w:gutter="0"/>
          <w:pgNumType w:fmt="numberInDash"/>
          <w:cols w:space="0" w:num="1"/>
          <w:docGrid w:type="linesAndChars" w:linePitch="589" w:charSpace="-409"/>
        </w:sectPr>
      </w:pPr>
    </w:p>
    <w:p>
      <w:pPr>
        <w:jc w:val="left"/>
        <w:outlineLvl w:val="0"/>
        <w:rPr>
          <w:rFonts w:hAnsi="黑体" w:eastAsia="黑体"/>
          <w:szCs w:val="32"/>
        </w:rPr>
      </w:pPr>
      <w:bookmarkStart w:id="135" w:name="_Toc112397109"/>
      <w:r>
        <w:rPr>
          <w:rFonts w:hAnsi="黑体" w:eastAsia="黑体"/>
          <w:szCs w:val="32"/>
        </w:rPr>
        <w:t>附件</w:t>
      </w:r>
      <w:r>
        <w:rPr>
          <w:rFonts w:hint="eastAsia" w:hAnsi="黑体" w:eastAsia="黑体"/>
          <w:szCs w:val="32"/>
        </w:rPr>
        <w:t>2</w:t>
      </w:r>
      <w:bookmarkEnd w:id="135"/>
    </w:p>
    <w:p>
      <w:pPr>
        <w:pStyle w:val="2"/>
        <w:spacing w:beforeLines="0"/>
        <w:rPr>
          <w:sz w:val="32"/>
          <w:szCs w:val="32"/>
        </w:rPr>
      </w:pPr>
    </w:p>
    <w:p>
      <w:pPr>
        <w:pStyle w:val="40"/>
        <w:spacing w:line="600" w:lineRule="exact"/>
        <w:jc w:val="center"/>
        <w:rPr>
          <w:rFonts w:ascii="Times New Roman" w:hAnsi="Times New Roman" w:eastAsia="方正小标宋简体"/>
          <w:sz w:val="44"/>
          <w:szCs w:val="44"/>
          <w:lang w:val="en-US"/>
        </w:rPr>
      </w:pPr>
      <w:r>
        <w:rPr>
          <w:rFonts w:ascii="Times New Roman" w:hAnsi="Times New Roman" w:eastAsia="方正小标宋简体"/>
          <w:sz w:val="44"/>
          <w:szCs w:val="44"/>
          <w:lang w:val="en-US"/>
        </w:rPr>
        <w:t>全省检察机关人工智能语音基础平台建设</w:t>
      </w:r>
    </w:p>
    <w:p>
      <w:pPr>
        <w:pStyle w:val="40"/>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lang w:val="en-US"/>
        </w:rPr>
        <w:t>项目</w:t>
      </w:r>
      <w:r>
        <w:rPr>
          <w:rFonts w:ascii="Times New Roman" w:hAnsi="Times New Roman" w:eastAsia="方正小标宋简体"/>
          <w:sz w:val="44"/>
          <w:szCs w:val="44"/>
        </w:rPr>
        <w:t>支出绩效自评报告</w:t>
      </w:r>
    </w:p>
    <w:p>
      <w:pPr>
        <w:pStyle w:val="40"/>
        <w:spacing w:line="560" w:lineRule="exact"/>
        <w:jc w:val="center"/>
        <w:rPr>
          <w:rFonts w:ascii="楷体_GB2312" w:hAnsi="楷体_GB2312" w:eastAsia="楷体_GB2312" w:cs="楷体_GB2312"/>
          <w:color w:val="auto"/>
          <w:kern w:val="2"/>
          <w:sz w:val="32"/>
          <w:szCs w:val="32"/>
        </w:rPr>
      </w:pPr>
      <w:r>
        <w:rPr>
          <w:rFonts w:hint="eastAsia" w:ascii="楷体_GB2312" w:hAnsi="楷体_GB2312" w:eastAsia="楷体_GB2312" w:cs="楷体_GB2312"/>
          <w:color w:val="auto"/>
          <w:kern w:val="2"/>
          <w:sz w:val="32"/>
          <w:szCs w:val="32"/>
        </w:rPr>
        <w:t>（政府采购）</w:t>
      </w:r>
    </w:p>
    <w:p>
      <w:pPr>
        <w:ind w:firstLine="720"/>
        <w:rPr>
          <w:rFonts w:eastAsia="黑体"/>
        </w:rPr>
      </w:pPr>
    </w:p>
    <w:p>
      <w:pPr>
        <w:ind w:firstLine="654" w:firstLineChars="200"/>
        <w:rPr>
          <w:rFonts w:eastAsia="黑体"/>
          <w:szCs w:val="32"/>
          <w:lang w:val="zh-CN"/>
        </w:rPr>
      </w:pPr>
      <w:r>
        <w:rPr>
          <w:rFonts w:eastAsia="黑体"/>
          <w:szCs w:val="32"/>
        </w:rPr>
        <w:t>一、</w:t>
      </w:r>
      <w:r>
        <w:rPr>
          <w:rFonts w:eastAsia="黑体"/>
          <w:szCs w:val="32"/>
          <w:lang w:val="zh-CN"/>
        </w:rPr>
        <w:t>项目概况</w:t>
      </w:r>
    </w:p>
    <w:p>
      <w:pPr>
        <w:ind w:firstLine="654" w:firstLineChars="200"/>
        <w:rPr>
          <w:szCs w:val="32"/>
        </w:rPr>
      </w:pPr>
      <w:r>
        <w:rPr>
          <w:szCs w:val="32"/>
        </w:rPr>
        <w:t>该项目为建设四川省人民检察院本级机关的检务语音云服务系统平台，平台支持四川省检察院智能语音输入系统、网络版智能会议系统应用、讯（询）问笔录系统的应用。</w:t>
      </w:r>
      <w:r>
        <w:rPr>
          <w:szCs w:val="32"/>
          <w:lang w:val="zh-CN"/>
        </w:rPr>
        <w:t>通过智能语音技术应用实现检察信息交互方式新的飞跃，把智能语音云平台作为跨领域、跨平台的连接枢纽，形成智能语音技术与电子检务工程</w:t>
      </w:r>
      <w:r>
        <w:rPr>
          <w:rFonts w:hint="eastAsia"/>
          <w:szCs w:val="32"/>
          <w:lang w:val="zh-CN"/>
        </w:rPr>
        <w:t>“</w:t>
      </w:r>
      <w:r>
        <w:rPr>
          <w:szCs w:val="32"/>
          <w:lang w:val="zh-CN"/>
        </w:rPr>
        <w:t>六大平台</w:t>
      </w:r>
      <w:r>
        <w:rPr>
          <w:rFonts w:hint="eastAsia"/>
          <w:szCs w:val="32"/>
          <w:lang w:val="zh-CN"/>
        </w:rPr>
        <w:t>”</w:t>
      </w:r>
      <w:r>
        <w:rPr>
          <w:szCs w:val="32"/>
          <w:lang w:val="zh-CN"/>
        </w:rPr>
        <w:t>的深度融合。</w:t>
      </w:r>
    </w:p>
    <w:p>
      <w:pPr>
        <w:ind w:firstLine="654" w:firstLineChars="200"/>
        <w:rPr>
          <w:szCs w:val="32"/>
          <w:lang w:val="zh-CN"/>
        </w:rPr>
      </w:pPr>
      <w:r>
        <w:rPr>
          <w:b/>
          <w:szCs w:val="32"/>
          <w:lang w:val="zh-CN"/>
        </w:rPr>
        <w:t>（一）项目资金申报及批复情况。</w:t>
      </w:r>
      <w:r>
        <w:rPr>
          <w:szCs w:val="32"/>
          <w:lang w:val="zh-CN"/>
        </w:rPr>
        <w:t>项目随</w:t>
      </w:r>
      <w:r>
        <w:rPr>
          <w:szCs w:val="32"/>
        </w:rPr>
        <w:t>2021年度省检察院部门预算一同上报省财政厅，经省人大审核通过后，省财政厅于2021年2月22日正式批复该预算，年度内未作调整，资金管理符合资金管理办法等相关规定要求</w:t>
      </w:r>
      <w:r>
        <w:rPr>
          <w:szCs w:val="32"/>
          <w:lang w:val="zh-CN"/>
        </w:rPr>
        <w:t>。</w:t>
      </w:r>
    </w:p>
    <w:p>
      <w:pPr>
        <w:ind w:firstLine="654" w:firstLineChars="200"/>
        <w:rPr>
          <w:b/>
          <w:szCs w:val="32"/>
          <w:lang w:val="zh-CN"/>
        </w:rPr>
      </w:pPr>
      <w:r>
        <w:rPr>
          <w:b/>
          <w:szCs w:val="32"/>
          <w:lang w:val="zh-CN"/>
        </w:rPr>
        <w:t>（二）项目绩效目标。</w:t>
      </w:r>
    </w:p>
    <w:p>
      <w:pPr>
        <w:pStyle w:val="33"/>
        <w:adjustRightInd/>
        <w:spacing w:line="240" w:lineRule="auto"/>
        <w:ind w:firstLine="654" w:firstLineChars="200"/>
        <w:rPr>
          <w:rFonts w:hAnsi="Times New Roman"/>
          <w:kern w:val="2"/>
          <w:szCs w:val="32"/>
        </w:rPr>
      </w:pPr>
      <w:r>
        <w:rPr>
          <w:rFonts w:hAnsi="Times New Roman"/>
          <w:kern w:val="2"/>
          <w:szCs w:val="32"/>
          <w:lang w:val="zh-CN"/>
        </w:rPr>
        <w:t>建成省院智能语音服务系统基础能力平台，为检察人员提供更加快捷高效、智能精准的信息服务</w:t>
      </w:r>
      <w:r>
        <w:rPr>
          <w:rFonts w:hint="eastAsia" w:hAnsi="Times New Roman"/>
          <w:kern w:val="2"/>
          <w:szCs w:val="32"/>
          <w:lang w:val="zh-CN"/>
        </w:rPr>
        <w:t>，</w:t>
      </w:r>
      <w:r>
        <w:rPr>
          <w:rFonts w:hAnsi="Times New Roman"/>
          <w:kern w:val="2"/>
          <w:szCs w:val="32"/>
          <w:lang w:val="zh-CN"/>
        </w:rPr>
        <w:t>促进检察工作提质增效；完成智能语音输入系统的建设，实现语音识别输入的文字转写功能；完成省院智能会议系统的建设，实现在会议场景下的实时音频或录音采集，并通过语音识别技术实时转化为文字；完成省院智能讯（询）问笔录系统的建设，实现讯（询）问时能将每个人的语音进行自动分段，更好地展现双方对话内容，并可对讯（询）问笔录进行按句回听、排版布局、快速编辑、快速出材，并提供讯（询）问笔录关联语音，快速检索，精准回溯。</w:t>
      </w:r>
    </w:p>
    <w:p>
      <w:pPr>
        <w:pStyle w:val="33"/>
        <w:adjustRightInd/>
        <w:spacing w:line="240" w:lineRule="auto"/>
        <w:ind w:firstLine="654" w:firstLineChars="200"/>
        <w:rPr>
          <w:rFonts w:hAnsi="Times New Roman"/>
          <w:kern w:val="2"/>
          <w:szCs w:val="32"/>
        </w:rPr>
      </w:pPr>
      <w:r>
        <w:rPr>
          <w:rFonts w:hAnsi="Times New Roman"/>
          <w:kern w:val="2"/>
          <w:szCs w:val="32"/>
          <w:lang w:val="zh-CN"/>
        </w:rPr>
        <w:t>预期目标为完成智能语音终端输入法</w:t>
      </w:r>
      <w:r>
        <w:rPr>
          <w:rFonts w:hAnsi="Times New Roman"/>
          <w:kern w:val="2"/>
          <w:szCs w:val="32"/>
        </w:rPr>
        <w:t>200个，完成审讯室智能语音审讯系统应用4套，完成会议室智能语音会议系统应用7套，软件验收合格率≥95%，工程验收合格率≥95%，项目建设及采购按期完成率≥98%，项目建设成本控制（2021年）≤105万元，工作人员办公效率提高≥20%，语音输入撰写效率提高≥20%，询（讯）问时间平均时长缩短≥28%，硬件使用年限≥8年，服务对象满意度≥95%。</w:t>
      </w:r>
    </w:p>
    <w:p>
      <w:pPr>
        <w:pStyle w:val="33"/>
        <w:adjustRightInd/>
        <w:spacing w:line="240" w:lineRule="auto"/>
        <w:ind w:firstLine="654" w:firstLineChars="200"/>
        <w:rPr>
          <w:rFonts w:hAnsi="Times New Roman"/>
          <w:kern w:val="2"/>
          <w:szCs w:val="32"/>
        </w:rPr>
      </w:pPr>
      <w:r>
        <w:rPr>
          <w:rFonts w:hAnsi="Times New Roman"/>
          <w:kern w:val="2"/>
          <w:szCs w:val="32"/>
          <w:lang w:val="zh-CN"/>
        </w:rPr>
        <w:t>项目实施进度计划为</w:t>
      </w:r>
      <w:r>
        <w:rPr>
          <w:rFonts w:hAnsi="Times New Roman"/>
          <w:kern w:val="2"/>
          <w:szCs w:val="32"/>
        </w:rPr>
        <w:t>2021年5月至8月开展本项目系统的推广工作，并开展针对本项目管理人员、技术人员及业务使用人员的培训工作；2021年9月开展对已采购硬件设备、系统软件的应用系统、标准规范以及信息资源等内容的验收工作。</w:t>
      </w:r>
    </w:p>
    <w:p>
      <w:pPr>
        <w:ind w:firstLine="654" w:firstLineChars="200"/>
        <w:rPr>
          <w:szCs w:val="32"/>
          <w:lang w:val="zh-CN"/>
        </w:rPr>
      </w:pPr>
      <w:r>
        <w:rPr>
          <w:b/>
          <w:szCs w:val="32"/>
          <w:lang w:val="zh-CN"/>
        </w:rPr>
        <w:t>（三）项目资金申报相符性。</w:t>
      </w:r>
      <w:r>
        <w:rPr>
          <w:szCs w:val="32"/>
          <w:lang w:val="zh-CN"/>
        </w:rPr>
        <w:t>项目资金申报内容与具体实施内容相符、申报目标合理可行。</w:t>
      </w:r>
    </w:p>
    <w:p>
      <w:pPr>
        <w:ind w:firstLine="654" w:firstLineChars="200"/>
        <w:rPr>
          <w:rFonts w:eastAsia="黑体"/>
          <w:szCs w:val="32"/>
        </w:rPr>
      </w:pPr>
      <w:r>
        <w:rPr>
          <w:rFonts w:eastAsia="黑体"/>
          <w:szCs w:val="32"/>
        </w:rPr>
        <w:t>二、项目实施及管理情况</w:t>
      </w:r>
    </w:p>
    <w:p>
      <w:pPr>
        <w:ind w:firstLine="654" w:firstLineChars="200"/>
        <w:rPr>
          <w:b/>
          <w:szCs w:val="32"/>
          <w:lang w:val="zh-CN"/>
        </w:rPr>
      </w:pPr>
      <w:r>
        <w:rPr>
          <w:b/>
          <w:szCs w:val="32"/>
          <w:lang w:val="zh-CN"/>
        </w:rPr>
        <w:t>（一）资金计划、到位及使用情况。</w:t>
      </w:r>
    </w:p>
    <w:p>
      <w:pPr>
        <w:ind w:firstLine="654" w:firstLineChars="200"/>
        <w:rPr>
          <w:szCs w:val="32"/>
          <w:lang w:val="zh-CN"/>
        </w:rPr>
      </w:pPr>
      <w:r>
        <w:rPr>
          <w:szCs w:val="32"/>
          <w:lang w:val="zh-CN"/>
        </w:rPr>
        <w:t>1</w:t>
      </w:r>
      <w:r>
        <w:rPr>
          <w:rFonts w:hint="eastAsia" w:ascii="仿宋_GB2312" w:hAnsi="仿宋_GB2312" w:cs="仿宋_GB2312"/>
          <w:szCs w:val="32"/>
          <w:lang w:val="zh-CN"/>
        </w:rPr>
        <w:t>.</w:t>
      </w:r>
      <w:r>
        <w:rPr>
          <w:szCs w:val="32"/>
          <w:lang w:val="zh-CN"/>
        </w:rPr>
        <w:t>资金计划及到位</w:t>
      </w:r>
      <w:r>
        <w:rPr>
          <w:rFonts w:hint="eastAsia"/>
          <w:szCs w:val="32"/>
          <w:lang w:val="zh-CN"/>
        </w:rPr>
        <w:t>情况</w:t>
      </w:r>
      <w:r>
        <w:rPr>
          <w:szCs w:val="32"/>
          <w:lang w:val="zh-CN"/>
        </w:rPr>
        <w:t>。项目资金计划</w:t>
      </w:r>
      <w:r>
        <w:rPr>
          <w:szCs w:val="32"/>
        </w:rPr>
        <w:t>105万元，资金到位率100%</w:t>
      </w:r>
      <w:r>
        <w:rPr>
          <w:szCs w:val="32"/>
          <w:lang w:val="zh-CN"/>
        </w:rPr>
        <w:t>。</w:t>
      </w:r>
    </w:p>
    <w:p>
      <w:pPr>
        <w:ind w:firstLine="654" w:firstLineChars="200"/>
        <w:rPr>
          <w:szCs w:val="32"/>
          <w:lang w:val="zh-CN"/>
        </w:rPr>
      </w:pPr>
      <w:r>
        <w:rPr>
          <w:szCs w:val="32"/>
          <w:lang w:val="zh-CN"/>
        </w:rPr>
        <w:t>2</w:t>
      </w:r>
      <w:r>
        <w:rPr>
          <w:rFonts w:hint="eastAsia" w:ascii="仿宋_GB2312" w:hAnsi="仿宋_GB2312" w:cs="仿宋_GB2312"/>
          <w:szCs w:val="32"/>
          <w:lang w:val="zh-CN"/>
        </w:rPr>
        <w:t>.</w:t>
      </w:r>
      <w:r>
        <w:rPr>
          <w:szCs w:val="32"/>
          <w:lang w:val="zh-CN"/>
        </w:rPr>
        <w:t>资金使用</w:t>
      </w:r>
      <w:r>
        <w:rPr>
          <w:rFonts w:hint="eastAsia"/>
          <w:szCs w:val="32"/>
          <w:lang w:val="zh-CN"/>
        </w:rPr>
        <w:t>情况</w:t>
      </w:r>
      <w:r>
        <w:rPr>
          <w:szCs w:val="32"/>
          <w:lang w:val="zh-CN"/>
        </w:rPr>
        <w:t>。截止评价时点项目资金的实际支出</w:t>
      </w:r>
      <w:r>
        <w:rPr>
          <w:szCs w:val="32"/>
        </w:rPr>
        <w:t>105万元</w:t>
      </w:r>
      <w:r>
        <w:rPr>
          <w:szCs w:val="32"/>
          <w:lang w:val="zh-CN"/>
        </w:rPr>
        <w:t>，支付依据合规合法，资金支付与预算相符。</w:t>
      </w:r>
    </w:p>
    <w:p>
      <w:pPr>
        <w:ind w:firstLine="654" w:firstLineChars="200"/>
        <w:rPr>
          <w:b/>
          <w:szCs w:val="32"/>
          <w:lang w:val="zh-CN"/>
        </w:rPr>
      </w:pPr>
      <w:r>
        <w:rPr>
          <w:b/>
          <w:szCs w:val="32"/>
          <w:lang w:val="zh-CN"/>
        </w:rPr>
        <w:t>（二）项目财务管理情况。</w:t>
      </w:r>
    </w:p>
    <w:p>
      <w:pPr>
        <w:ind w:firstLine="654" w:firstLineChars="200"/>
        <w:rPr>
          <w:szCs w:val="32"/>
          <w:lang w:val="zh-CN"/>
        </w:rPr>
      </w:pPr>
      <w:r>
        <w:rPr>
          <w:szCs w:val="32"/>
          <w:lang w:val="zh-CN"/>
        </w:rPr>
        <w:t>项目财务管理按照省检察院机关相关财务管理制度规定执行，财务处理及时、会计核算规范。</w:t>
      </w:r>
    </w:p>
    <w:p>
      <w:pPr>
        <w:ind w:firstLine="654" w:firstLineChars="200"/>
        <w:rPr>
          <w:b/>
          <w:szCs w:val="32"/>
          <w:lang w:val="zh-CN"/>
        </w:rPr>
      </w:pPr>
      <w:r>
        <w:rPr>
          <w:b/>
          <w:szCs w:val="32"/>
          <w:lang w:val="zh-CN"/>
        </w:rPr>
        <w:t>（三）项目组织实施情况。</w:t>
      </w:r>
    </w:p>
    <w:p>
      <w:pPr>
        <w:ind w:firstLine="654" w:firstLineChars="200"/>
        <w:rPr>
          <w:szCs w:val="32"/>
          <w:lang w:val="zh-CN"/>
        </w:rPr>
      </w:pPr>
      <w:r>
        <w:rPr>
          <w:szCs w:val="32"/>
          <w:lang w:val="zh-CN"/>
        </w:rPr>
        <w:t>项目按照政府采购相关规定和省检察院采购管理制度，组织实施招标采购。</w:t>
      </w:r>
    </w:p>
    <w:p>
      <w:pPr>
        <w:ind w:firstLine="654" w:firstLineChars="200"/>
        <w:rPr>
          <w:rFonts w:eastAsia="黑体"/>
          <w:szCs w:val="32"/>
          <w:lang w:val="zh-CN"/>
        </w:rPr>
      </w:pPr>
      <w:r>
        <w:rPr>
          <w:rFonts w:eastAsia="黑体"/>
          <w:szCs w:val="32"/>
        </w:rPr>
        <w:t>三、项目绩效情况</w:t>
      </w:r>
      <w:r>
        <w:rPr>
          <w:rFonts w:eastAsia="黑体"/>
          <w:szCs w:val="32"/>
          <w:lang w:val="zh-CN"/>
        </w:rPr>
        <w:tab/>
      </w:r>
    </w:p>
    <w:p>
      <w:pPr>
        <w:ind w:firstLine="654" w:firstLineChars="200"/>
        <w:rPr>
          <w:b/>
          <w:szCs w:val="32"/>
          <w:lang w:val="zh-CN"/>
        </w:rPr>
      </w:pPr>
      <w:r>
        <w:rPr>
          <w:b/>
          <w:szCs w:val="32"/>
          <w:lang w:val="zh-CN"/>
        </w:rPr>
        <w:t>（一）项目完成情况。</w:t>
      </w:r>
    </w:p>
    <w:p>
      <w:pPr>
        <w:ind w:firstLine="654" w:firstLineChars="200"/>
        <w:rPr>
          <w:szCs w:val="32"/>
          <w:lang w:val="zh-CN"/>
        </w:rPr>
      </w:pPr>
      <w:r>
        <w:rPr>
          <w:szCs w:val="32"/>
          <w:lang w:val="zh-CN"/>
        </w:rPr>
        <w:t>数量指标：完成智能语音终端输入法</w:t>
      </w:r>
      <w:r>
        <w:rPr>
          <w:szCs w:val="32"/>
        </w:rPr>
        <w:t>200个，完成审讯室智能语音审讯系统应用4套，完成会议室智能语音会议系统应用7套。质量指标：软件验收合格率≥95%，工程验收合格率≥95%。时效指标：项目建设及采购按期完成率≥98%。成本指标：项目建设成本控制（2021年）≤105万元。项目资金无结余，无违规记录</w:t>
      </w:r>
      <w:r>
        <w:rPr>
          <w:szCs w:val="32"/>
          <w:lang w:val="zh-CN"/>
        </w:rPr>
        <w:t>，并对照项目计划完成全部目标。</w:t>
      </w:r>
    </w:p>
    <w:p>
      <w:pPr>
        <w:ind w:firstLine="654" w:firstLineChars="200"/>
        <w:rPr>
          <w:b/>
          <w:szCs w:val="32"/>
          <w:lang w:val="zh-CN"/>
        </w:rPr>
      </w:pPr>
      <w:r>
        <w:rPr>
          <w:rFonts w:hint="eastAsia"/>
          <w:b/>
          <w:szCs w:val="32"/>
          <w:lang w:val="zh-CN"/>
        </w:rPr>
        <w:t>（二）</w:t>
      </w:r>
      <w:r>
        <w:rPr>
          <w:b/>
          <w:szCs w:val="32"/>
          <w:lang w:val="zh-CN"/>
        </w:rPr>
        <w:t>项目效益情况。</w:t>
      </w:r>
    </w:p>
    <w:p>
      <w:pPr>
        <w:ind w:firstLine="654" w:firstLineChars="200"/>
        <w:rPr>
          <w:szCs w:val="32"/>
          <w:lang w:val="zh-CN"/>
        </w:rPr>
      </w:pPr>
      <w:r>
        <w:rPr>
          <w:szCs w:val="32"/>
        </w:rPr>
        <w:t>社会效益指标：工作人员办公效率提高≥20%，语音输入撰写效率提高≥20%，询（讯）问时间平均时长缩短≥28%。可持续效益指标：硬件使用年限≥8年，软件使用年限长期。服务对象满意度指标：服务对象满意度≥95%。</w:t>
      </w:r>
    </w:p>
    <w:p>
      <w:pPr>
        <w:ind w:firstLine="654" w:firstLineChars="200"/>
        <w:rPr>
          <w:rFonts w:eastAsia="黑体"/>
          <w:szCs w:val="32"/>
        </w:rPr>
      </w:pPr>
      <w:r>
        <w:rPr>
          <w:rFonts w:eastAsia="黑体"/>
          <w:szCs w:val="32"/>
        </w:rPr>
        <w:t>四、问题及建议</w:t>
      </w:r>
    </w:p>
    <w:p>
      <w:pPr>
        <w:ind w:firstLine="654" w:firstLineChars="200"/>
        <w:rPr>
          <w:szCs w:val="32"/>
          <w:lang w:val="zh-CN"/>
        </w:rPr>
      </w:pPr>
      <w:r>
        <w:rPr>
          <w:b/>
          <w:szCs w:val="32"/>
          <w:lang w:val="zh-CN"/>
        </w:rPr>
        <w:t>（一）存在的问题。</w:t>
      </w:r>
      <w:r>
        <w:rPr>
          <w:szCs w:val="32"/>
          <w:lang w:val="zh-CN"/>
        </w:rPr>
        <w:t>无</w:t>
      </w:r>
    </w:p>
    <w:p>
      <w:pPr>
        <w:ind w:firstLine="654" w:firstLineChars="200"/>
        <w:rPr>
          <w:szCs w:val="32"/>
          <w:lang w:val="zh-CN"/>
        </w:rPr>
      </w:pPr>
      <w:r>
        <w:rPr>
          <w:b/>
          <w:szCs w:val="32"/>
          <w:lang w:val="zh-CN"/>
        </w:rPr>
        <w:t>（二）相关建议。</w:t>
      </w:r>
      <w:r>
        <w:rPr>
          <w:szCs w:val="32"/>
          <w:lang w:val="zh-CN"/>
        </w:rPr>
        <w:t>无</w:t>
      </w:r>
    </w:p>
    <w:p>
      <w:pPr>
        <w:adjustRightInd w:val="0"/>
        <w:snapToGrid w:val="0"/>
        <w:spacing w:line="580" w:lineRule="exact"/>
        <w:ind w:firstLine="720"/>
        <w:rPr>
          <w:szCs w:val="32"/>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pStyle w:val="2"/>
        <w:spacing w:before="176"/>
        <w:rPr>
          <w:rFonts w:ascii="Times New Roman"/>
          <w:lang w:val="zh-CN"/>
        </w:rPr>
      </w:pPr>
    </w:p>
    <w:p>
      <w:pPr>
        <w:jc w:val="left"/>
        <w:outlineLvl w:val="0"/>
        <w:rPr>
          <w:rFonts w:ascii="黑体" w:hAnsi="黑体" w:eastAsia="黑体" w:cs="黑体"/>
          <w:szCs w:val="32"/>
        </w:rPr>
      </w:pPr>
      <w:bookmarkStart w:id="136" w:name="_Toc112342354"/>
      <w:bookmarkStart w:id="137" w:name="_Toc112397110"/>
      <w:r>
        <w:rPr>
          <w:rFonts w:hint="eastAsia" w:ascii="黑体" w:hAnsi="黑体" w:eastAsia="黑体" w:cs="黑体"/>
          <w:szCs w:val="32"/>
        </w:rPr>
        <w:t>附件3</w:t>
      </w:r>
      <w:bookmarkEnd w:id="136"/>
      <w:bookmarkEnd w:id="137"/>
    </w:p>
    <w:p>
      <w:pPr>
        <w:spacing w:line="600" w:lineRule="exact"/>
        <w:contextualSpacing/>
        <w:jc w:val="center"/>
        <w:rPr>
          <w:rFonts w:eastAsia="方正小标宋简体"/>
          <w:sz w:val="44"/>
          <w:szCs w:val="44"/>
          <w:shd w:val="clear" w:color="auto" w:fill="FFFFFF"/>
        </w:rPr>
      </w:pPr>
      <w:r>
        <w:rPr>
          <w:rFonts w:eastAsia="方正小标宋简体"/>
          <w:sz w:val="44"/>
          <w:szCs w:val="44"/>
          <w:shd w:val="clear" w:color="auto" w:fill="FFFFFF"/>
        </w:rPr>
        <w:t>四川省人民检察院</w:t>
      </w:r>
    </w:p>
    <w:p>
      <w:pPr>
        <w:spacing w:line="600" w:lineRule="exact"/>
        <w:contextualSpacing/>
        <w:jc w:val="center"/>
        <w:rPr>
          <w:rFonts w:eastAsia="方正小标宋简体"/>
          <w:bCs/>
          <w:sz w:val="44"/>
          <w:szCs w:val="44"/>
          <w:shd w:val="clear" w:color="auto" w:fill="FFFFFF"/>
        </w:rPr>
      </w:pPr>
      <w:r>
        <w:rPr>
          <w:rFonts w:eastAsia="方正小标宋简体"/>
          <w:b/>
          <w:sz w:val="44"/>
          <w:szCs w:val="44"/>
          <w:shd w:val="clear" w:color="auto" w:fill="FFFFFF"/>
        </w:rPr>
        <w:t>2021</w:t>
      </w:r>
      <w:r>
        <w:rPr>
          <w:rFonts w:eastAsia="方正小标宋简体"/>
          <w:bCs/>
          <w:sz w:val="44"/>
          <w:szCs w:val="44"/>
          <w:shd w:val="clear" w:color="auto" w:fill="FFFFFF"/>
        </w:rPr>
        <w:t>年国有资产管理绩效评价报告</w:t>
      </w:r>
    </w:p>
    <w:p>
      <w:pPr>
        <w:tabs>
          <w:tab w:val="left" w:pos="1985"/>
        </w:tabs>
        <w:rPr>
          <w:szCs w:val="32"/>
        </w:rPr>
      </w:pPr>
    </w:p>
    <w:p>
      <w:pPr>
        <w:tabs>
          <w:tab w:val="left" w:pos="1985"/>
        </w:tabs>
        <w:ind w:firstLine="654" w:firstLineChars="200"/>
        <w:rPr>
          <w:szCs w:val="32"/>
        </w:rPr>
      </w:pPr>
      <w:r>
        <w:rPr>
          <w:szCs w:val="32"/>
        </w:rPr>
        <w:t>为进一步加强政府性资源统筹管理，推进资本、资产绩效管理工作，四川省人民检察院根据国有资产管理工作实际，设定2021年国有资产管理绩效评价体系，组织开展部门资本资产自评，自评情况如下。</w:t>
      </w:r>
    </w:p>
    <w:p>
      <w:pPr>
        <w:ind w:firstLine="654" w:firstLineChars="200"/>
        <w:contextualSpacing/>
        <w:rPr>
          <w:rFonts w:eastAsia="黑体"/>
          <w:color w:val="000000"/>
          <w:kern w:val="0"/>
          <w:szCs w:val="32"/>
          <w:shd w:val="clear" w:color="auto" w:fill="FFFFFF"/>
          <w:lang w:val="zh-CN"/>
        </w:rPr>
      </w:pPr>
      <w:r>
        <w:rPr>
          <w:rFonts w:eastAsia="黑体"/>
          <w:color w:val="000000"/>
          <w:kern w:val="0"/>
          <w:szCs w:val="32"/>
          <w:shd w:val="clear" w:color="auto" w:fill="FFFFFF"/>
        </w:rPr>
        <w:t>一、单位</w:t>
      </w:r>
      <w:r>
        <w:rPr>
          <w:rFonts w:eastAsia="黑体"/>
          <w:color w:val="000000"/>
          <w:kern w:val="0"/>
          <w:szCs w:val="32"/>
          <w:shd w:val="clear" w:color="auto" w:fill="FFFFFF"/>
          <w:lang w:val="zh-CN"/>
        </w:rPr>
        <w:t>概况</w:t>
      </w:r>
    </w:p>
    <w:p>
      <w:pPr>
        <w:tabs>
          <w:tab w:val="left" w:pos="1985"/>
        </w:tabs>
        <w:ind w:firstLine="654" w:firstLineChars="200"/>
        <w:rPr>
          <w:szCs w:val="32"/>
        </w:rPr>
      </w:pPr>
      <w:r>
        <w:rPr>
          <w:szCs w:val="32"/>
        </w:rPr>
        <w:t>四川省人民检察院是国家的法律监督机关，领导全省各级人民检察院的工作，依法向省人民代表大会及其常务委员会负责并报告工作。四川省人民检察院（以下简称省检察院）下属二级预算单位4个，其中，行政单位2个，事业单位2个。主要包括：</w:t>
      </w:r>
    </w:p>
    <w:tbl>
      <w:tblPr>
        <w:tblStyle w:val="15"/>
        <w:tblW w:w="8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7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593" w:type="dxa"/>
            <w:vAlign w:val="center"/>
          </w:tcPr>
          <w:p>
            <w:pPr>
              <w:pStyle w:val="2"/>
              <w:spacing w:beforeLines="0" w:line="560" w:lineRule="exact"/>
              <w:jc w:val="center"/>
              <w:rPr>
                <w:rFonts w:ascii="Times New Roman"/>
                <w:b/>
                <w:bCs/>
                <w:sz w:val="28"/>
                <w:szCs w:val="28"/>
              </w:rPr>
            </w:pPr>
            <w:r>
              <w:rPr>
                <w:rFonts w:ascii="Times New Roman"/>
                <w:b/>
                <w:bCs/>
                <w:sz w:val="28"/>
                <w:szCs w:val="28"/>
              </w:rPr>
              <w:t>序号</w:t>
            </w:r>
          </w:p>
        </w:tc>
        <w:tc>
          <w:tcPr>
            <w:tcW w:w="7007" w:type="dxa"/>
            <w:vAlign w:val="center"/>
          </w:tcPr>
          <w:p>
            <w:pPr>
              <w:pStyle w:val="2"/>
              <w:spacing w:beforeLines="0" w:line="560" w:lineRule="exact"/>
              <w:jc w:val="center"/>
              <w:rPr>
                <w:rFonts w:ascii="Times New Roman"/>
                <w:b/>
                <w:bCs/>
                <w:sz w:val="28"/>
                <w:szCs w:val="28"/>
              </w:rPr>
            </w:pPr>
            <w:r>
              <w:rPr>
                <w:rFonts w:ascii="Times New Roman"/>
                <w:b/>
                <w:bCs/>
                <w:sz w:val="28"/>
                <w:szCs w:val="28"/>
              </w:rPr>
              <w:t>预算单位名称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593" w:type="dxa"/>
            <w:vAlign w:val="center"/>
          </w:tcPr>
          <w:p>
            <w:pPr>
              <w:pStyle w:val="2"/>
              <w:spacing w:beforeLines="0" w:line="560" w:lineRule="exact"/>
              <w:jc w:val="center"/>
              <w:rPr>
                <w:rFonts w:ascii="Times New Roman"/>
                <w:sz w:val="28"/>
                <w:szCs w:val="28"/>
              </w:rPr>
            </w:pPr>
            <w:r>
              <w:rPr>
                <w:rFonts w:ascii="Times New Roman"/>
                <w:sz w:val="28"/>
                <w:szCs w:val="28"/>
              </w:rPr>
              <w:t>1</w:t>
            </w:r>
          </w:p>
        </w:tc>
        <w:tc>
          <w:tcPr>
            <w:tcW w:w="7007" w:type="dxa"/>
            <w:vAlign w:val="center"/>
          </w:tcPr>
          <w:p>
            <w:pPr>
              <w:pStyle w:val="2"/>
              <w:spacing w:beforeLines="0" w:line="560" w:lineRule="exact"/>
              <w:jc w:val="center"/>
              <w:rPr>
                <w:rFonts w:ascii="Times New Roman"/>
                <w:sz w:val="28"/>
                <w:szCs w:val="28"/>
              </w:rPr>
            </w:pPr>
            <w:r>
              <w:rPr>
                <w:rFonts w:ascii="Times New Roman"/>
                <w:sz w:val="28"/>
                <w:szCs w:val="28"/>
              </w:rPr>
              <w:t>四川省人民检察院机关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593" w:type="dxa"/>
            <w:vAlign w:val="center"/>
          </w:tcPr>
          <w:p>
            <w:pPr>
              <w:pStyle w:val="2"/>
              <w:spacing w:beforeLines="0" w:line="560" w:lineRule="exact"/>
              <w:jc w:val="center"/>
              <w:rPr>
                <w:rFonts w:ascii="Times New Roman"/>
                <w:sz w:val="28"/>
                <w:szCs w:val="28"/>
              </w:rPr>
            </w:pPr>
            <w:r>
              <w:rPr>
                <w:rFonts w:ascii="Times New Roman"/>
                <w:sz w:val="28"/>
                <w:szCs w:val="28"/>
              </w:rPr>
              <w:t>2</w:t>
            </w:r>
          </w:p>
        </w:tc>
        <w:tc>
          <w:tcPr>
            <w:tcW w:w="7007" w:type="dxa"/>
            <w:vAlign w:val="center"/>
          </w:tcPr>
          <w:p>
            <w:pPr>
              <w:pStyle w:val="2"/>
              <w:spacing w:beforeLines="0" w:line="560" w:lineRule="exact"/>
              <w:jc w:val="center"/>
              <w:rPr>
                <w:rFonts w:ascii="Times New Roman"/>
                <w:sz w:val="28"/>
                <w:szCs w:val="28"/>
              </w:rPr>
            </w:pPr>
            <w:r>
              <w:rPr>
                <w:rFonts w:ascii="Times New Roman"/>
                <w:sz w:val="28"/>
                <w:szCs w:val="28"/>
              </w:rPr>
              <w:t>四川省人民检察院成都铁路运输分院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593" w:type="dxa"/>
            <w:vAlign w:val="center"/>
          </w:tcPr>
          <w:p>
            <w:pPr>
              <w:pStyle w:val="2"/>
              <w:spacing w:beforeLines="0" w:line="560" w:lineRule="exact"/>
              <w:jc w:val="center"/>
              <w:rPr>
                <w:rFonts w:ascii="Times New Roman"/>
                <w:sz w:val="28"/>
                <w:szCs w:val="28"/>
              </w:rPr>
            </w:pPr>
            <w:r>
              <w:rPr>
                <w:rFonts w:ascii="Times New Roman"/>
                <w:sz w:val="28"/>
                <w:szCs w:val="28"/>
              </w:rPr>
              <w:t>3</w:t>
            </w:r>
          </w:p>
        </w:tc>
        <w:tc>
          <w:tcPr>
            <w:tcW w:w="7007" w:type="dxa"/>
            <w:vAlign w:val="center"/>
          </w:tcPr>
          <w:p>
            <w:pPr>
              <w:pStyle w:val="2"/>
              <w:spacing w:beforeLines="0" w:line="560" w:lineRule="exact"/>
              <w:jc w:val="center"/>
              <w:rPr>
                <w:rFonts w:ascii="Times New Roman"/>
                <w:sz w:val="28"/>
                <w:szCs w:val="28"/>
              </w:rPr>
            </w:pPr>
            <w:r>
              <w:rPr>
                <w:rFonts w:ascii="Times New Roman"/>
                <w:sz w:val="28"/>
                <w:szCs w:val="28"/>
              </w:rPr>
              <w:t>四川省人民检察院机关服务中心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1593" w:type="dxa"/>
            <w:vAlign w:val="center"/>
          </w:tcPr>
          <w:p>
            <w:pPr>
              <w:pStyle w:val="2"/>
              <w:spacing w:beforeLines="0" w:line="560" w:lineRule="exact"/>
              <w:jc w:val="center"/>
              <w:rPr>
                <w:rFonts w:ascii="Times New Roman"/>
                <w:sz w:val="28"/>
                <w:szCs w:val="28"/>
              </w:rPr>
            </w:pPr>
            <w:r>
              <w:rPr>
                <w:rFonts w:ascii="Times New Roman"/>
                <w:sz w:val="28"/>
                <w:szCs w:val="28"/>
              </w:rPr>
              <w:t>4</w:t>
            </w:r>
          </w:p>
        </w:tc>
        <w:tc>
          <w:tcPr>
            <w:tcW w:w="7007" w:type="dxa"/>
            <w:vAlign w:val="center"/>
          </w:tcPr>
          <w:p>
            <w:pPr>
              <w:pStyle w:val="2"/>
              <w:spacing w:beforeLines="0" w:line="560" w:lineRule="exact"/>
              <w:jc w:val="center"/>
              <w:rPr>
                <w:rFonts w:ascii="Times New Roman"/>
                <w:sz w:val="28"/>
                <w:szCs w:val="28"/>
              </w:rPr>
            </w:pPr>
            <w:r>
              <w:rPr>
                <w:rFonts w:ascii="Times New Roman"/>
                <w:sz w:val="28"/>
                <w:szCs w:val="28"/>
              </w:rPr>
              <w:t>四川省检察官学院</w:t>
            </w:r>
          </w:p>
        </w:tc>
      </w:tr>
    </w:tbl>
    <w:p>
      <w:pPr>
        <w:ind w:firstLine="654" w:firstLineChars="200"/>
        <w:contextualSpacing/>
        <w:rPr>
          <w:rFonts w:eastAsia="黑体"/>
          <w:color w:val="000000"/>
          <w:kern w:val="0"/>
          <w:szCs w:val="32"/>
          <w:shd w:val="clear" w:color="auto" w:fill="FFFFFF"/>
        </w:rPr>
      </w:pPr>
      <w:r>
        <w:rPr>
          <w:rFonts w:eastAsia="黑体"/>
          <w:color w:val="000000"/>
          <w:kern w:val="0"/>
          <w:szCs w:val="32"/>
          <w:shd w:val="clear" w:color="auto" w:fill="FFFFFF"/>
        </w:rPr>
        <w:t>二、部门国有资产基本情况</w:t>
      </w:r>
    </w:p>
    <w:p>
      <w:pPr>
        <w:tabs>
          <w:tab w:val="left" w:pos="1985"/>
        </w:tabs>
        <w:ind w:firstLine="654" w:firstLineChars="200"/>
        <w:rPr>
          <w:bCs/>
          <w:szCs w:val="32"/>
          <w:lang w:val="zh-CN"/>
        </w:rPr>
      </w:pPr>
      <w:r>
        <w:rPr>
          <w:bCs/>
          <w:szCs w:val="32"/>
          <w:lang w:val="zh-CN"/>
        </w:rPr>
        <w:t>截至2021年12月31日，省检察院资产总额（账面净值，下同）66,173.4万元，较上年减少1.07%。负债总额11,091.96万元</w:t>
      </w:r>
      <w:r>
        <w:rPr>
          <w:rFonts w:hint="eastAsia"/>
          <w:bCs/>
          <w:szCs w:val="32"/>
          <w:lang w:val="zh-CN"/>
        </w:rPr>
        <w:t>，</w:t>
      </w:r>
      <w:r>
        <w:rPr>
          <w:bCs/>
          <w:szCs w:val="32"/>
          <w:lang w:val="zh-CN"/>
        </w:rPr>
        <w:t>较上年减少0.13%。净资产55,081.43万元</w:t>
      </w:r>
      <w:r>
        <w:rPr>
          <w:rFonts w:hint="eastAsia"/>
          <w:bCs/>
          <w:szCs w:val="32"/>
          <w:lang w:val="zh-CN"/>
        </w:rPr>
        <w:t>，</w:t>
      </w:r>
      <w:r>
        <w:rPr>
          <w:bCs/>
          <w:szCs w:val="32"/>
          <w:lang w:val="zh-CN"/>
        </w:rPr>
        <w:t>较上年减少1.26%。</w:t>
      </w:r>
    </w:p>
    <w:p>
      <w:pPr>
        <w:tabs>
          <w:tab w:val="left" w:pos="1985"/>
        </w:tabs>
        <w:ind w:firstLine="654" w:firstLineChars="200"/>
        <w:rPr>
          <w:bCs/>
          <w:szCs w:val="32"/>
          <w:lang w:val="zh-CN"/>
        </w:rPr>
      </w:pPr>
      <w:r>
        <w:rPr>
          <w:bCs/>
          <w:szCs w:val="32"/>
          <w:lang w:val="zh-CN"/>
        </w:rPr>
        <w:t>1</w:t>
      </w:r>
      <w:r>
        <w:rPr>
          <w:rFonts w:hint="eastAsia" w:ascii="仿宋_GB2312" w:hAnsi="仿宋_GB2312" w:cs="仿宋_GB2312"/>
          <w:bCs/>
          <w:szCs w:val="32"/>
          <w:lang w:val="zh-CN"/>
        </w:rPr>
        <w:t>.</w:t>
      </w:r>
      <w:r>
        <w:rPr>
          <w:bCs/>
          <w:szCs w:val="32"/>
          <w:lang w:val="zh-CN"/>
        </w:rPr>
        <w:t>资产分布情况。</w:t>
      </w:r>
    </w:p>
    <w:p>
      <w:pPr>
        <w:tabs>
          <w:tab w:val="left" w:pos="1985"/>
        </w:tabs>
        <w:ind w:firstLine="654" w:firstLineChars="200"/>
        <w:rPr>
          <w:bCs/>
          <w:szCs w:val="32"/>
          <w:lang w:val="zh-CN"/>
        </w:rPr>
      </w:pPr>
      <w:r>
        <w:rPr>
          <w:bCs/>
          <w:szCs w:val="32"/>
          <w:lang w:val="zh-CN"/>
        </w:rPr>
        <w:t>行政单位国有资产48,328.93万元，占73.03%；事业单位国有资产17,844.46万元，占26.97%。</w:t>
      </w:r>
    </w:p>
    <w:p>
      <w:pPr>
        <w:tabs>
          <w:tab w:val="left" w:pos="1985"/>
        </w:tabs>
        <w:ind w:firstLine="654" w:firstLineChars="200"/>
        <w:rPr>
          <w:bCs/>
          <w:szCs w:val="32"/>
          <w:lang w:val="zh-CN"/>
        </w:rPr>
      </w:pPr>
      <w:r>
        <w:rPr>
          <w:bCs/>
          <w:szCs w:val="32"/>
          <w:lang w:val="zh-CN"/>
        </w:rPr>
        <w:t>2</w:t>
      </w:r>
      <w:r>
        <w:rPr>
          <w:rFonts w:hint="eastAsia" w:ascii="仿宋_GB2312" w:hAnsi="仿宋_GB2312" w:cs="仿宋_GB2312"/>
          <w:bCs/>
          <w:szCs w:val="32"/>
          <w:lang w:val="zh-CN"/>
        </w:rPr>
        <w:t>.</w:t>
      </w:r>
      <w:r>
        <w:rPr>
          <w:bCs/>
          <w:szCs w:val="32"/>
          <w:lang w:val="zh-CN"/>
        </w:rPr>
        <w:t>资产构成情况。</w:t>
      </w:r>
    </w:p>
    <w:p>
      <w:pPr>
        <w:tabs>
          <w:tab w:val="left" w:pos="1985"/>
        </w:tabs>
        <w:ind w:firstLine="654" w:firstLineChars="200"/>
        <w:rPr>
          <w:bCs/>
          <w:szCs w:val="32"/>
          <w:lang w:val="zh-CN"/>
        </w:rPr>
      </w:pPr>
      <w:r>
        <w:rPr>
          <w:bCs/>
          <w:szCs w:val="32"/>
          <w:lang w:val="zh-CN"/>
        </w:rPr>
        <w:t>流动资产9,216.25万元，较上年减少3.38%，占资产总额13.93%；固定资产44,295.73万元，较上年增长171.81%，占资产总额66.94%；在建工程3,863.28万元，较上年减少89.31%，占资产总额5.84%；无形资产5,834.87万元，较上年增长196.42%，占资产总额8.82%。</w:t>
      </w:r>
    </w:p>
    <w:p>
      <w:pPr>
        <w:tabs>
          <w:tab w:val="left" w:pos="1985"/>
        </w:tabs>
        <w:ind w:firstLine="654" w:firstLineChars="200"/>
        <w:rPr>
          <w:bCs/>
          <w:szCs w:val="32"/>
          <w:lang w:val="zh-CN"/>
        </w:rPr>
      </w:pPr>
      <w:r>
        <w:rPr>
          <w:bCs/>
          <w:szCs w:val="32"/>
          <w:lang w:val="zh-CN"/>
        </w:rPr>
        <w:t>3</w:t>
      </w:r>
      <w:r>
        <w:rPr>
          <w:rFonts w:hint="eastAsia" w:ascii="仿宋_GB2312" w:hAnsi="仿宋_GB2312" w:cs="仿宋_GB2312"/>
          <w:bCs/>
          <w:szCs w:val="32"/>
          <w:lang w:val="zh-CN"/>
        </w:rPr>
        <w:t>.</w:t>
      </w:r>
      <w:r>
        <w:rPr>
          <w:bCs/>
          <w:szCs w:val="32"/>
          <w:lang w:val="zh-CN"/>
        </w:rPr>
        <w:t>固定资产构成情况。</w:t>
      </w:r>
    </w:p>
    <w:p>
      <w:pPr>
        <w:tabs>
          <w:tab w:val="left" w:pos="1985"/>
        </w:tabs>
        <w:ind w:firstLine="654" w:firstLineChars="200"/>
        <w:rPr>
          <w:bCs/>
          <w:spacing w:val="8"/>
          <w:szCs w:val="32"/>
        </w:rPr>
      </w:pPr>
      <w:r>
        <w:rPr>
          <w:bCs/>
          <w:szCs w:val="32"/>
          <w:lang w:val="zh-CN"/>
        </w:rPr>
        <w:t>土地、房屋及构筑物38,203.67万元，占固定资产的86.25%（其中，房屋38,012.75万元，占固定资产的85.82%）；通用设备4,873.52万元，占11.00%（其中，车辆404.65万元，占0.91%，单价50万（含）以上（不含车辆）设备1,198.32万元，占2.71%）；专用设备157.82万元，占0.36%；图书档案17.</w:t>
      </w:r>
      <w:r>
        <w:rPr>
          <w:bCs/>
          <w:spacing w:val="8"/>
          <w:szCs w:val="32"/>
          <w:lang w:val="zh-CN"/>
        </w:rPr>
        <w:t>48万元，占0.04%；家具、用具、装具及动植物1,043.24万元，占2.36%。</w:t>
      </w:r>
    </w:p>
    <w:p>
      <w:pPr>
        <w:ind w:firstLine="654" w:firstLineChars="200"/>
        <w:contextualSpacing/>
        <w:rPr>
          <w:rFonts w:eastAsia="黑体"/>
          <w:color w:val="000000"/>
          <w:kern w:val="0"/>
          <w:szCs w:val="32"/>
          <w:shd w:val="clear" w:color="auto" w:fill="FFFFFF"/>
        </w:rPr>
      </w:pPr>
      <w:r>
        <w:rPr>
          <w:rFonts w:eastAsia="黑体"/>
          <w:color w:val="000000"/>
          <w:kern w:val="0"/>
          <w:szCs w:val="32"/>
          <w:shd w:val="clear" w:color="auto" w:fill="FFFFFF"/>
        </w:rPr>
        <w:t>三、部门国有资产管理绩效情况</w:t>
      </w:r>
    </w:p>
    <w:p>
      <w:pPr>
        <w:tabs>
          <w:tab w:val="left" w:pos="1985"/>
        </w:tabs>
        <w:ind w:firstLine="654" w:firstLineChars="200"/>
        <w:rPr>
          <w:bCs/>
          <w:szCs w:val="32"/>
        </w:rPr>
      </w:pPr>
      <w:r>
        <w:rPr>
          <w:bCs/>
          <w:szCs w:val="32"/>
        </w:rPr>
        <w:t>按照省检察院2021年国有资产管理绩效评价指标体系，省检察院自评得分93分。</w:t>
      </w:r>
    </w:p>
    <w:p>
      <w:pPr>
        <w:ind w:firstLine="654" w:firstLineChars="200"/>
        <w:contextualSpacing/>
        <w:rPr>
          <w:rFonts w:eastAsia="楷体_GB2312"/>
          <w:color w:val="000000"/>
          <w:kern w:val="0"/>
          <w:szCs w:val="32"/>
          <w:shd w:val="clear" w:color="auto" w:fill="FFFFFF"/>
        </w:rPr>
      </w:pPr>
      <w:r>
        <w:rPr>
          <w:rFonts w:eastAsia="楷体_GB2312"/>
          <w:color w:val="000000"/>
          <w:kern w:val="0"/>
          <w:szCs w:val="32"/>
          <w:shd w:val="clear" w:color="auto" w:fill="FFFFFF"/>
          <w:lang w:val="zh-CN"/>
        </w:rPr>
        <w:t>（一）资产管理基础</w:t>
      </w:r>
    </w:p>
    <w:p>
      <w:pPr>
        <w:tabs>
          <w:tab w:val="left" w:pos="1985"/>
        </w:tabs>
        <w:ind w:firstLine="654" w:firstLineChars="200"/>
        <w:rPr>
          <w:bCs/>
          <w:szCs w:val="32"/>
        </w:rPr>
      </w:pPr>
      <w:r>
        <w:rPr>
          <w:bCs/>
          <w:szCs w:val="32"/>
        </w:rPr>
        <w:t>1</w:t>
      </w:r>
      <w:r>
        <w:rPr>
          <w:rFonts w:hint="eastAsia" w:ascii="仿宋_GB2312" w:hAnsi="仿宋_GB2312" w:cs="仿宋_GB2312"/>
          <w:bCs/>
          <w:szCs w:val="32"/>
        </w:rPr>
        <w:t>.</w:t>
      </w:r>
      <w:r>
        <w:rPr>
          <w:bCs/>
          <w:szCs w:val="32"/>
        </w:rPr>
        <w:t>制度建设自评得分10分</w:t>
      </w:r>
    </w:p>
    <w:p>
      <w:pPr>
        <w:tabs>
          <w:tab w:val="left" w:pos="1985"/>
        </w:tabs>
        <w:ind w:firstLine="654" w:firstLineChars="200"/>
        <w:rPr>
          <w:szCs w:val="32"/>
        </w:rPr>
      </w:pPr>
      <w:r>
        <w:rPr>
          <w:szCs w:val="32"/>
        </w:rPr>
        <w:t>稳步推进资产管理制度建设。省检察院制定了固定资产管理办法并按规定组织实施。同时，根据新出台的国务院令第738号文件，结合行政事业性国有资产管理条例有关规定，对照现有省检察院机关资产管理办法，逐一梳理出需删减、补充或新增的相应条款，及时形成修改方案。目前，该办法修订稿正按流程呈报审定。</w:t>
      </w:r>
    </w:p>
    <w:p>
      <w:pPr>
        <w:tabs>
          <w:tab w:val="left" w:pos="1985"/>
        </w:tabs>
        <w:ind w:firstLine="654" w:firstLineChars="200"/>
        <w:rPr>
          <w:szCs w:val="32"/>
        </w:rPr>
      </w:pPr>
      <w:r>
        <w:rPr>
          <w:szCs w:val="32"/>
        </w:rPr>
        <w:t>建立资产使用责任机制。明确指定分管领导为国有资产负责人，明确资产主管部门、占有使用资产具体管理部门的具体责任，并落实资产使用人在资产管理中的责任，加强资产的使用和日常管理。</w:t>
      </w:r>
    </w:p>
    <w:p>
      <w:pPr>
        <w:tabs>
          <w:tab w:val="left" w:pos="1985"/>
        </w:tabs>
        <w:ind w:firstLine="654" w:firstLineChars="200"/>
        <w:rPr>
          <w:bCs/>
          <w:szCs w:val="32"/>
        </w:rPr>
      </w:pPr>
      <w:r>
        <w:rPr>
          <w:bCs/>
          <w:szCs w:val="32"/>
        </w:rPr>
        <w:t>2</w:t>
      </w:r>
      <w:r>
        <w:rPr>
          <w:rFonts w:hint="eastAsia" w:ascii="仿宋_GB2312" w:hAnsi="仿宋_GB2312" w:cs="仿宋_GB2312"/>
          <w:bCs/>
          <w:szCs w:val="32"/>
        </w:rPr>
        <w:t>.</w:t>
      </w:r>
      <w:r>
        <w:rPr>
          <w:bCs/>
          <w:szCs w:val="32"/>
        </w:rPr>
        <w:t>管理能力建设自评得分8分</w:t>
      </w:r>
    </w:p>
    <w:p>
      <w:pPr>
        <w:tabs>
          <w:tab w:val="left" w:pos="1985"/>
        </w:tabs>
        <w:ind w:firstLine="654" w:firstLineChars="200"/>
        <w:rPr>
          <w:szCs w:val="32"/>
        </w:rPr>
      </w:pPr>
      <w:r>
        <w:rPr>
          <w:szCs w:val="32"/>
        </w:rPr>
        <w:t>机构人员设置明确。明确省检察院计划财务装备部为全院国有资产管理主管部门，承担管理责任，机关各部门对本部门占有使用的固定资产负责具体管理。同时，配备国有资产专职管理人员，负责资产管理日常工作。</w:t>
      </w:r>
    </w:p>
    <w:p>
      <w:pPr>
        <w:tabs>
          <w:tab w:val="left" w:pos="1985"/>
        </w:tabs>
        <w:ind w:firstLine="654" w:firstLineChars="200"/>
        <w:rPr>
          <w:bCs/>
          <w:szCs w:val="32"/>
        </w:rPr>
      </w:pPr>
      <w:r>
        <w:rPr>
          <w:bCs/>
          <w:szCs w:val="32"/>
        </w:rPr>
        <w:t>积极开展业务培训。2021年多次召开资产管理工作会等相关会议，在对接处理资产管理有关问题提出相关应对措施的同时，加强资产管理业务的学习交流，以实现资产规范管理、促进机关工作有序进行、顺利开展，确保资产安全完整、不遗不漏。</w:t>
      </w:r>
    </w:p>
    <w:p>
      <w:pPr>
        <w:tabs>
          <w:tab w:val="left" w:pos="1985"/>
        </w:tabs>
        <w:ind w:firstLine="654" w:firstLineChars="200"/>
        <w:rPr>
          <w:bCs/>
          <w:szCs w:val="32"/>
        </w:rPr>
      </w:pPr>
      <w:r>
        <w:rPr>
          <w:bCs/>
          <w:szCs w:val="32"/>
        </w:rPr>
        <w:t>3</w:t>
      </w:r>
      <w:r>
        <w:rPr>
          <w:rFonts w:hint="eastAsia" w:ascii="仿宋_GB2312" w:hAnsi="仿宋_GB2312" w:cs="仿宋_GB2312"/>
          <w:bCs/>
          <w:szCs w:val="32"/>
        </w:rPr>
        <w:t>.</w:t>
      </w:r>
      <w:r>
        <w:rPr>
          <w:bCs/>
          <w:szCs w:val="32"/>
        </w:rPr>
        <w:t>工作落实自评得分17分</w:t>
      </w:r>
    </w:p>
    <w:p>
      <w:pPr>
        <w:tabs>
          <w:tab w:val="left" w:pos="1985"/>
        </w:tabs>
        <w:ind w:firstLine="654" w:firstLineChars="200"/>
        <w:rPr>
          <w:bCs/>
          <w:szCs w:val="32"/>
        </w:rPr>
      </w:pPr>
      <w:r>
        <w:rPr>
          <w:bCs/>
          <w:szCs w:val="32"/>
        </w:rPr>
        <w:t>做好国有资产报告报送工作。按时报送本部门国有资产年度报告等资料，做好资产编报说明和分析工作，确保资产报表、报告内容真实完整，说明客观、清晰。</w:t>
      </w:r>
    </w:p>
    <w:p>
      <w:pPr>
        <w:tabs>
          <w:tab w:val="left" w:pos="1985"/>
        </w:tabs>
        <w:ind w:firstLine="654" w:firstLineChars="200"/>
        <w:rPr>
          <w:bCs/>
          <w:szCs w:val="32"/>
        </w:rPr>
      </w:pPr>
      <w:r>
        <w:rPr>
          <w:bCs/>
          <w:szCs w:val="32"/>
        </w:rPr>
        <w:t>做好资产配置计划报送工作。加强资产配置计划编报，在预算编制时同步按时且全面报送机关本级和所属行政事业单位年度资产配置计划，确保部门资产配置有序开展。</w:t>
      </w:r>
    </w:p>
    <w:p>
      <w:pPr>
        <w:tabs>
          <w:tab w:val="left" w:pos="1985"/>
        </w:tabs>
        <w:ind w:firstLine="654" w:firstLineChars="200"/>
        <w:rPr>
          <w:bCs/>
          <w:szCs w:val="32"/>
        </w:rPr>
      </w:pPr>
      <w:r>
        <w:rPr>
          <w:bCs/>
          <w:szCs w:val="32"/>
        </w:rPr>
        <w:t>落实公务用车管理制度。进一步加强公务用车管理，建立车辆使用台账，做好信息统计，积极加强数据应用，定期报告用车和经费等情况。</w:t>
      </w:r>
    </w:p>
    <w:p>
      <w:pPr>
        <w:tabs>
          <w:tab w:val="left" w:pos="1985"/>
        </w:tabs>
        <w:ind w:firstLine="654" w:firstLineChars="200"/>
        <w:rPr>
          <w:bCs/>
          <w:szCs w:val="32"/>
        </w:rPr>
      </w:pPr>
      <w:r>
        <w:rPr>
          <w:bCs/>
          <w:szCs w:val="32"/>
        </w:rPr>
        <w:t>落实资产管理制度。2021年开展清查盘点和核实，统计完成机关各部门资产类别、数量，及时有序完成贴标等一系列工作。经清查盘点，资产账账、账实相符。</w:t>
      </w:r>
    </w:p>
    <w:p>
      <w:pPr>
        <w:tabs>
          <w:tab w:val="left" w:pos="1985"/>
        </w:tabs>
        <w:ind w:firstLine="654" w:firstLineChars="200"/>
        <w:rPr>
          <w:bCs/>
          <w:szCs w:val="32"/>
        </w:rPr>
      </w:pPr>
      <w:r>
        <w:rPr>
          <w:bCs/>
          <w:szCs w:val="32"/>
        </w:rPr>
        <w:t>4</w:t>
      </w:r>
      <w:r>
        <w:rPr>
          <w:rFonts w:hint="eastAsia" w:ascii="仿宋_GB2312" w:hAnsi="仿宋_GB2312" w:cs="仿宋_GB2312"/>
          <w:bCs/>
          <w:szCs w:val="32"/>
        </w:rPr>
        <w:t>.</w:t>
      </w:r>
      <w:r>
        <w:rPr>
          <w:bCs/>
          <w:szCs w:val="32"/>
        </w:rPr>
        <w:t>工作创新自评得分2分</w:t>
      </w:r>
    </w:p>
    <w:p>
      <w:pPr>
        <w:tabs>
          <w:tab w:val="left" w:pos="1985"/>
        </w:tabs>
        <w:ind w:firstLine="654" w:firstLineChars="200"/>
        <w:rPr>
          <w:bCs/>
          <w:szCs w:val="32"/>
        </w:rPr>
      </w:pPr>
      <w:r>
        <w:rPr>
          <w:bCs/>
          <w:szCs w:val="32"/>
        </w:rPr>
        <w:t>积极探索实践创新。初步建立资产绩效管理评价体系，首次在资产管理工作中开展绩效评价工作。</w:t>
      </w:r>
    </w:p>
    <w:p>
      <w:pPr>
        <w:ind w:firstLine="654" w:firstLineChars="200"/>
        <w:contextualSpacing/>
        <w:rPr>
          <w:rFonts w:eastAsia="楷体_GB2312"/>
          <w:color w:val="000000"/>
          <w:kern w:val="0"/>
          <w:szCs w:val="32"/>
          <w:shd w:val="clear" w:color="auto" w:fill="FFFFFF"/>
          <w:lang w:val="zh-CN"/>
        </w:rPr>
      </w:pPr>
      <w:r>
        <w:rPr>
          <w:rFonts w:eastAsia="楷体_GB2312"/>
          <w:color w:val="000000"/>
          <w:kern w:val="0"/>
          <w:szCs w:val="32"/>
          <w:shd w:val="clear" w:color="auto" w:fill="FFFFFF"/>
          <w:lang w:val="zh-CN"/>
        </w:rPr>
        <w:t>（二）资产管理规范</w:t>
      </w:r>
    </w:p>
    <w:p>
      <w:pPr>
        <w:tabs>
          <w:tab w:val="left" w:pos="1985"/>
        </w:tabs>
        <w:ind w:firstLine="654" w:firstLineChars="200"/>
        <w:rPr>
          <w:bCs/>
          <w:szCs w:val="32"/>
        </w:rPr>
      </w:pPr>
      <w:r>
        <w:rPr>
          <w:bCs/>
          <w:szCs w:val="32"/>
        </w:rPr>
        <w:t>1</w:t>
      </w:r>
      <w:r>
        <w:rPr>
          <w:rFonts w:hint="eastAsia" w:ascii="仿宋_GB2312" w:hAnsi="仿宋_GB2312" w:cs="仿宋_GB2312"/>
          <w:bCs/>
          <w:szCs w:val="32"/>
        </w:rPr>
        <w:t>.</w:t>
      </w:r>
      <w:r>
        <w:rPr>
          <w:bCs/>
          <w:szCs w:val="32"/>
        </w:rPr>
        <w:t>配置计划执行自评得分10分</w:t>
      </w:r>
    </w:p>
    <w:p>
      <w:pPr>
        <w:tabs>
          <w:tab w:val="left" w:pos="1985"/>
        </w:tabs>
        <w:ind w:firstLine="654" w:firstLineChars="200"/>
        <w:rPr>
          <w:bCs/>
          <w:szCs w:val="32"/>
        </w:rPr>
      </w:pPr>
      <w:r>
        <w:rPr>
          <w:bCs/>
          <w:szCs w:val="32"/>
        </w:rPr>
        <w:t>公车保留年限较长，充分利用现有公车保证公务使用需求。本部门当年达到最低使用年限更新的公务用车数量</w:t>
      </w:r>
      <w:r>
        <w:rPr>
          <w:rFonts w:hint="eastAsia"/>
          <w:bCs/>
          <w:szCs w:val="32"/>
        </w:rPr>
        <w:t>6</w:t>
      </w:r>
      <w:r>
        <w:rPr>
          <w:bCs/>
          <w:szCs w:val="32"/>
        </w:rPr>
        <w:t>辆，当年更新的公务用车总量6辆，公车更新年限执行率为</w:t>
      </w:r>
      <w:r>
        <w:rPr>
          <w:rFonts w:hint="eastAsia"/>
          <w:bCs/>
          <w:szCs w:val="32"/>
        </w:rPr>
        <w:t>100%</w:t>
      </w:r>
      <w:r>
        <w:rPr>
          <w:bCs/>
          <w:szCs w:val="32"/>
        </w:rPr>
        <w:t>。</w:t>
      </w:r>
    </w:p>
    <w:p>
      <w:pPr>
        <w:tabs>
          <w:tab w:val="left" w:pos="1985"/>
        </w:tabs>
        <w:ind w:firstLine="654" w:firstLineChars="200"/>
        <w:rPr>
          <w:bCs/>
          <w:szCs w:val="32"/>
        </w:rPr>
      </w:pPr>
      <w:r>
        <w:rPr>
          <w:bCs/>
          <w:szCs w:val="32"/>
        </w:rPr>
        <w:t>2</w:t>
      </w:r>
      <w:r>
        <w:rPr>
          <w:rFonts w:hint="eastAsia" w:ascii="仿宋_GB2312" w:hAnsi="仿宋_GB2312" w:cs="仿宋_GB2312"/>
          <w:bCs/>
          <w:szCs w:val="32"/>
        </w:rPr>
        <w:t>.</w:t>
      </w:r>
      <w:r>
        <w:rPr>
          <w:bCs/>
          <w:szCs w:val="32"/>
        </w:rPr>
        <w:t>政府集中采购自评得分10分</w:t>
      </w:r>
    </w:p>
    <w:p>
      <w:pPr>
        <w:tabs>
          <w:tab w:val="left" w:pos="1985"/>
        </w:tabs>
        <w:ind w:firstLine="654" w:firstLineChars="200"/>
        <w:rPr>
          <w:bCs/>
          <w:szCs w:val="32"/>
        </w:rPr>
      </w:pPr>
      <w:r>
        <w:rPr>
          <w:bCs/>
          <w:szCs w:val="32"/>
        </w:rPr>
        <w:t>严格执行政府集中采购规定，相关固定资产按要求落实集中采购。2021年固定资产购置总量为3211件，集中采购数量3211件，固资政府集中采购率为100%。</w:t>
      </w:r>
    </w:p>
    <w:p>
      <w:pPr>
        <w:tabs>
          <w:tab w:val="left" w:pos="1985"/>
        </w:tabs>
        <w:ind w:firstLine="654" w:firstLineChars="200"/>
        <w:rPr>
          <w:bCs/>
          <w:szCs w:val="32"/>
        </w:rPr>
      </w:pPr>
      <w:r>
        <w:rPr>
          <w:bCs/>
          <w:szCs w:val="32"/>
        </w:rPr>
        <w:t>3</w:t>
      </w:r>
      <w:r>
        <w:rPr>
          <w:rFonts w:hint="eastAsia" w:ascii="仿宋_GB2312" w:hAnsi="仿宋_GB2312" w:cs="仿宋_GB2312"/>
          <w:bCs/>
          <w:szCs w:val="32"/>
        </w:rPr>
        <w:t>.</w:t>
      </w:r>
      <w:r>
        <w:rPr>
          <w:bCs/>
          <w:szCs w:val="32"/>
        </w:rPr>
        <w:t>资产处置自评得分10分</w:t>
      </w:r>
    </w:p>
    <w:p>
      <w:pPr>
        <w:tabs>
          <w:tab w:val="left" w:pos="1985"/>
        </w:tabs>
        <w:ind w:firstLine="654" w:firstLineChars="200"/>
        <w:rPr>
          <w:bCs/>
          <w:szCs w:val="32"/>
        </w:rPr>
      </w:pPr>
      <w:r>
        <w:rPr>
          <w:bCs/>
          <w:szCs w:val="32"/>
        </w:rPr>
        <w:t>按要求落实资产处置规定。2021年履行审批手续并经财政部门批准处理的资产总额102.28万元，实际处置资产总额102.28万元，资产处置审批率为100%，未出现违规处置情况。</w:t>
      </w:r>
    </w:p>
    <w:p>
      <w:pPr>
        <w:ind w:firstLine="654" w:firstLineChars="200"/>
        <w:contextualSpacing/>
        <w:rPr>
          <w:rFonts w:eastAsia="楷体_GB2312"/>
          <w:color w:val="000000"/>
          <w:kern w:val="0"/>
          <w:szCs w:val="32"/>
          <w:shd w:val="clear" w:color="auto" w:fill="FFFFFF"/>
          <w:lang w:val="zh-CN"/>
        </w:rPr>
      </w:pPr>
      <w:r>
        <w:rPr>
          <w:rFonts w:eastAsia="楷体_GB2312"/>
          <w:color w:val="000000"/>
          <w:kern w:val="0"/>
          <w:szCs w:val="32"/>
          <w:shd w:val="clear" w:color="auto" w:fill="FFFFFF"/>
          <w:lang w:val="zh-CN"/>
        </w:rPr>
        <w:t>（三）资产管理效果</w:t>
      </w:r>
    </w:p>
    <w:p>
      <w:pPr>
        <w:tabs>
          <w:tab w:val="left" w:pos="1985"/>
        </w:tabs>
        <w:ind w:firstLine="654" w:firstLineChars="200"/>
        <w:rPr>
          <w:bCs/>
          <w:szCs w:val="32"/>
        </w:rPr>
      </w:pPr>
      <w:r>
        <w:rPr>
          <w:bCs/>
          <w:szCs w:val="32"/>
        </w:rPr>
        <w:t>1</w:t>
      </w:r>
      <w:r>
        <w:rPr>
          <w:rFonts w:hint="eastAsia" w:ascii="仿宋_GB2312" w:hAnsi="仿宋_GB2312" w:cs="仿宋_GB2312"/>
          <w:bCs/>
          <w:szCs w:val="32"/>
        </w:rPr>
        <w:t>.</w:t>
      </w:r>
      <w:r>
        <w:rPr>
          <w:bCs/>
          <w:szCs w:val="32"/>
        </w:rPr>
        <w:t>固定资产增长自评得分16分</w:t>
      </w:r>
    </w:p>
    <w:p>
      <w:pPr>
        <w:tabs>
          <w:tab w:val="left" w:pos="1985"/>
        </w:tabs>
        <w:ind w:firstLine="654" w:firstLineChars="200"/>
        <w:rPr>
          <w:bCs/>
          <w:szCs w:val="32"/>
        </w:rPr>
      </w:pPr>
      <w:r>
        <w:rPr>
          <w:bCs/>
          <w:szCs w:val="32"/>
        </w:rPr>
        <w:t>通用设备2021年增长率处于低位。其中，通用设备年末原值2414.44万元，年初原值2243.30万元，通用设备增长率为7.63%。</w:t>
      </w:r>
    </w:p>
    <w:p>
      <w:pPr>
        <w:tabs>
          <w:tab w:val="left" w:pos="1985"/>
        </w:tabs>
        <w:ind w:firstLine="654" w:firstLineChars="200"/>
        <w:rPr>
          <w:bCs/>
          <w:szCs w:val="32"/>
        </w:rPr>
      </w:pPr>
      <w:r>
        <w:rPr>
          <w:bCs/>
          <w:szCs w:val="32"/>
        </w:rPr>
        <w:t>专用设备2021年增长率较低。其中，专用设备年末原值1007.10万元，年初原值993.48万元，专用设备增长率为1.37%。</w:t>
      </w:r>
    </w:p>
    <w:p>
      <w:pPr>
        <w:tabs>
          <w:tab w:val="left" w:pos="1985"/>
        </w:tabs>
        <w:ind w:firstLine="654" w:firstLineChars="200"/>
        <w:rPr>
          <w:bCs/>
          <w:szCs w:val="32"/>
        </w:rPr>
      </w:pPr>
      <w:r>
        <w:rPr>
          <w:bCs/>
          <w:szCs w:val="32"/>
        </w:rPr>
        <w:t>2</w:t>
      </w:r>
      <w:r>
        <w:rPr>
          <w:rFonts w:hint="eastAsia" w:ascii="仿宋_GB2312" w:hAnsi="仿宋_GB2312" w:cs="仿宋_GB2312"/>
          <w:bCs/>
          <w:szCs w:val="32"/>
        </w:rPr>
        <w:t>.</w:t>
      </w:r>
      <w:r>
        <w:rPr>
          <w:bCs/>
          <w:szCs w:val="32"/>
        </w:rPr>
        <w:t>满意度自评得分10分</w:t>
      </w:r>
    </w:p>
    <w:p>
      <w:pPr>
        <w:tabs>
          <w:tab w:val="left" w:pos="1985"/>
        </w:tabs>
        <w:ind w:firstLine="654" w:firstLineChars="200"/>
        <w:rPr>
          <w:bCs/>
          <w:szCs w:val="32"/>
        </w:rPr>
      </w:pPr>
      <w:r>
        <w:rPr>
          <w:bCs/>
          <w:szCs w:val="32"/>
        </w:rPr>
        <w:t>内部满意度较好。部门国有资产管理工作坚持厉行节约</w:t>
      </w:r>
      <w:r>
        <w:rPr>
          <w:rFonts w:hint="eastAsia"/>
          <w:bCs/>
          <w:szCs w:val="32"/>
        </w:rPr>
        <w:t>、</w:t>
      </w:r>
      <w:r>
        <w:rPr>
          <w:bCs/>
          <w:szCs w:val="32"/>
        </w:rPr>
        <w:t>科学统筹</w:t>
      </w:r>
      <w:r>
        <w:rPr>
          <w:rFonts w:hint="eastAsia"/>
          <w:bCs/>
          <w:szCs w:val="32"/>
        </w:rPr>
        <w:t>、</w:t>
      </w:r>
      <w:r>
        <w:rPr>
          <w:bCs/>
          <w:szCs w:val="32"/>
        </w:rPr>
        <w:t>合理调配，确保资产保障工作科学有力。部门内部未出现干警投诉质疑情况，整体满意度较好。</w:t>
      </w:r>
    </w:p>
    <w:p>
      <w:pPr>
        <w:ind w:firstLine="654" w:firstLineChars="200"/>
        <w:contextualSpacing/>
        <w:rPr>
          <w:rFonts w:eastAsia="黑体"/>
          <w:color w:val="000000"/>
          <w:kern w:val="0"/>
          <w:szCs w:val="32"/>
          <w:shd w:val="clear" w:color="auto" w:fill="FFFFFF"/>
        </w:rPr>
      </w:pPr>
      <w:r>
        <w:rPr>
          <w:rFonts w:eastAsia="黑体"/>
          <w:color w:val="000000"/>
          <w:kern w:val="0"/>
          <w:szCs w:val="32"/>
          <w:shd w:val="clear" w:color="auto" w:fill="FFFFFF"/>
        </w:rPr>
        <w:t>四、评价结论</w:t>
      </w:r>
    </w:p>
    <w:p>
      <w:pPr>
        <w:tabs>
          <w:tab w:val="left" w:pos="1985"/>
        </w:tabs>
        <w:ind w:firstLine="654" w:firstLineChars="200"/>
        <w:rPr>
          <w:bCs/>
          <w:szCs w:val="32"/>
        </w:rPr>
      </w:pPr>
      <w:r>
        <w:rPr>
          <w:bCs/>
          <w:szCs w:val="32"/>
        </w:rPr>
        <w:t>省检察院国有资产管理绩效较好。2021年度，省检察院资产管理机制、制度建设不断完善，管理水平不断提升，同时资产效益也在逐渐显现。首先，资产是影响检察工作顺利开展的重要因素，成为干警履职中必不可少的工作基础。其次，资产为促进检察事业发展，干警高效履职提供了必要保障。三是随着省检察院智慧检务建设的不断深入，资产管理的时效性，灵活性，精准性得到了提高，同时也在远程提讯、</w:t>
      </w:r>
      <w:r>
        <w:rPr>
          <w:rFonts w:hint="eastAsia"/>
          <w:bCs/>
          <w:szCs w:val="32"/>
        </w:rPr>
        <w:t>“</w:t>
      </w:r>
      <w:r>
        <w:rPr>
          <w:bCs/>
          <w:szCs w:val="32"/>
        </w:rPr>
        <w:t>两法</w:t>
      </w:r>
      <w:r>
        <w:rPr>
          <w:rFonts w:hint="eastAsia"/>
          <w:bCs/>
          <w:szCs w:val="32"/>
        </w:rPr>
        <w:t>”</w:t>
      </w:r>
      <w:r>
        <w:rPr>
          <w:bCs/>
          <w:szCs w:val="32"/>
        </w:rPr>
        <w:t>衔接、办案信息流程信息化管理等工作中发挥了重要作用。</w:t>
      </w:r>
    </w:p>
    <w:p>
      <w:pPr>
        <w:tabs>
          <w:tab w:val="left" w:pos="1985"/>
        </w:tabs>
        <w:ind w:firstLine="654" w:firstLineChars="200"/>
        <w:rPr>
          <w:szCs w:val="32"/>
        </w:rPr>
      </w:pPr>
    </w:p>
    <w:p>
      <w:pPr>
        <w:tabs>
          <w:tab w:val="left" w:pos="1985"/>
        </w:tabs>
        <w:ind w:firstLine="654" w:firstLineChars="200"/>
        <w:rPr>
          <w:szCs w:val="32"/>
        </w:rPr>
      </w:pPr>
      <w:r>
        <w:rPr>
          <w:szCs w:val="32"/>
        </w:rPr>
        <w:t>附件：四川省人民检察院2021年国有资产管理绩效评价指</w:t>
      </w:r>
    </w:p>
    <w:p>
      <w:pPr>
        <w:tabs>
          <w:tab w:val="left" w:pos="1985"/>
        </w:tabs>
        <w:ind w:firstLine="1635" w:firstLineChars="500"/>
        <w:rPr>
          <w:szCs w:val="32"/>
        </w:rPr>
      </w:pPr>
      <w:r>
        <w:rPr>
          <w:szCs w:val="32"/>
        </w:rPr>
        <w:t>标体系</w:t>
      </w:r>
    </w:p>
    <w:p>
      <w:pPr>
        <w:pStyle w:val="2"/>
        <w:spacing w:before="176"/>
        <w:rPr>
          <w:rFonts w:ascii="Times New Roman"/>
          <w:sz w:val="32"/>
          <w:szCs w:val="32"/>
        </w:rPr>
      </w:pPr>
    </w:p>
    <w:p>
      <w:pPr>
        <w:pStyle w:val="2"/>
        <w:spacing w:before="176"/>
        <w:rPr>
          <w:rFonts w:ascii="Times New Roman"/>
          <w:sz w:val="32"/>
          <w:szCs w:val="32"/>
        </w:rPr>
      </w:pPr>
    </w:p>
    <w:p>
      <w:pPr>
        <w:pStyle w:val="2"/>
        <w:spacing w:before="176"/>
        <w:rPr>
          <w:rFonts w:ascii="Times New Roman"/>
          <w:sz w:val="32"/>
          <w:szCs w:val="32"/>
        </w:rPr>
      </w:pPr>
    </w:p>
    <w:p>
      <w:pPr>
        <w:pStyle w:val="2"/>
        <w:spacing w:before="176"/>
        <w:rPr>
          <w:rFonts w:ascii="Times New Roman"/>
          <w:sz w:val="32"/>
          <w:szCs w:val="32"/>
        </w:rPr>
      </w:pPr>
    </w:p>
    <w:p>
      <w:pPr>
        <w:pStyle w:val="2"/>
        <w:spacing w:before="176"/>
        <w:rPr>
          <w:rFonts w:ascii="Times New Roman"/>
          <w:sz w:val="32"/>
          <w:szCs w:val="32"/>
        </w:rPr>
      </w:pPr>
    </w:p>
    <w:p>
      <w:pPr>
        <w:pStyle w:val="2"/>
        <w:spacing w:before="176"/>
        <w:rPr>
          <w:rFonts w:ascii="Times New Roman"/>
          <w:sz w:val="32"/>
          <w:szCs w:val="32"/>
        </w:rPr>
      </w:pPr>
    </w:p>
    <w:p>
      <w:pPr>
        <w:pStyle w:val="2"/>
        <w:spacing w:before="176"/>
        <w:rPr>
          <w:rFonts w:ascii="Times New Roman"/>
          <w:sz w:val="32"/>
          <w:szCs w:val="32"/>
        </w:rPr>
        <w:sectPr>
          <w:pgSz w:w="11906" w:h="16838"/>
          <w:pgMar w:top="2098" w:right="1531" w:bottom="1984" w:left="1531" w:header="851" w:footer="1587" w:gutter="0"/>
          <w:pgNumType w:fmt="numberInDash"/>
          <w:cols w:space="0" w:num="1"/>
          <w:docGrid w:type="linesAndChars" w:linePitch="589" w:charSpace="1547"/>
        </w:sectPr>
      </w:pPr>
    </w:p>
    <w:p>
      <w:pPr>
        <w:pStyle w:val="2"/>
        <w:spacing w:beforeLines="0"/>
        <w:rPr>
          <w:rFonts w:ascii="黑体" w:hAnsi="黑体" w:eastAsia="黑体" w:cs="黑体"/>
          <w:sz w:val="32"/>
          <w:szCs w:val="32"/>
        </w:rPr>
      </w:pPr>
      <w:r>
        <w:rPr>
          <w:rFonts w:hint="eastAsia" w:ascii="黑体" w:hAnsi="黑体" w:eastAsia="黑体" w:cs="黑体"/>
          <w:sz w:val="32"/>
          <w:szCs w:val="32"/>
        </w:rPr>
        <w:t>附件</w:t>
      </w:r>
    </w:p>
    <w:tbl>
      <w:tblPr>
        <w:tblStyle w:val="14"/>
        <w:tblW w:w="13455" w:type="dxa"/>
        <w:tblInd w:w="-244" w:type="dxa"/>
        <w:tblLayout w:type="fixed"/>
        <w:tblCellMar>
          <w:top w:w="0" w:type="dxa"/>
          <w:left w:w="108" w:type="dxa"/>
          <w:bottom w:w="0" w:type="dxa"/>
          <w:right w:w="108" w:type="dxa"/>
        </w:tblCellMar>
      </w:tblPr>
      <w:tblGrid>
        <w:gridCol w:w="1695"/>
        <w:gridCol w:w="1440"/>
        <w:gridCol w:w="2265"/>
        <w:gridCol w:w="855"/>
        <w:gridCol w:w="4185"/>
        <w:gridCol w:w="1470"/>
        <w:gridCol w:w="1545"/>
      </w:tblGrid>
      <w:tr>
        <w:tblPrEx>
          <w:tblLayout w:type="fixed"/>
          <w:tblCellMar>
            <w:top w:w="0" w:type="dxa"/>
            <w:left w:w="108" w:type="dxa"/>
            <w:bottom w:w="0" w:type="dxa"/>
            <w:right w:w="108" w:type="dxa"/>
          </w:tblCellMar>
        </w:tblPrEx>
        <w:trPr>
          <w:trHeight w:val="769" w:hRule="atLeast"/>
        </w:trPr>
        <w:tc>
          <w:tcPr>
            <w:tcW w:w="13455" w:type="dxa"/>
            <w:gridSpan w:val="7"/>
            <w:tcBorders>
              <w:top w:val="nil"/>
              <w:left w:val="nil"/>
              <w:bottom w:val="single" w:color="auto" w:sz="4" w:space="0"/>
              <w:right w:val="nil"/>
            </w:tcBorders>
            <w:shd w:val="clear" w:color="auto" w:fill="auto"/>
            <w:noWrap/>
            <w:vAlign w:val="center"/>
          </w:tcPr>
          <w:p>
            <w:pPr>
              <w:spacing w:line="600" w:lineRule="exact"/>
              <w:jc w:val="center"/>
              <w:rPr>
                <w:rFonts w:eastAsia="方正小标宋简体"/>
                <w:color w:val="000000"/>
                <w:kern w:val="0"/>
                <w:sz w:val="36"/>
                <w:szCs w:val="36"/>
              </w:rPr>
            </w:pPr>
            <w:r>
              <w:rPr>
                <w:rFonts w:eastAsia="方正小标宋简体"/>
                <w:color w:val="000000"/>
                <w:kern w:val="0"/>
                <w:sz w:val="44"/>
                <w:szCs w:val="44"/>
              </w:rPr>
              <w:t>四川省人民检察院</w:t>
            </w:r>
            <w:r>
              <w:rPr>
                <w:rFonts w:eastAsia="方正小标宋简体"/>
                <w:b/>
                <w:bCs/>
                <w:color w:val="000000"/>
                <w:kern w:val="0"/>
                <w:sz w:val="44"/>
                <w:szCs w:val="44"/>
              </w:rPr>
              <w:t>2021</w:t>
            </w:r>
            <w:r>
              <w:rPr>
                <w:rFonts w:eastAsia="方正小标宋简体"/>
                <w:color w:val="000000"/>
                <w:kern w:val="0"/>
                <w:sz w:val="44"/>
                <w:szCs w:val="44"/>
              </w:rPr>
              <w:t>年国有资产管理绩效评价指标体系</w:t>
            </w:r>
          </w:p>
        </w:tc>
      </w:tr>
      <w:tr>
        <w:tblPrEx>
          <w:tblLayout w:type="fixed"/>
          <w:tblCellMar>
            <w:top w:w="0" w:type="dxa"/>
            <w:left w:w="108" w:type="dxa"/>
            <w:bottom w:w="0" w:type="dxa"/>
            <w:right w:w="108" w:type="dxa"/>
          </w:tblCellMar>
        </w:tblPrEx>
        <w:trPr>
          <w:trHeight w:val="545" w:hRule="atLeast"/>
        </w:trPr>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rFonts w:eastAsia="方正黑体简体"/>
                <w:kern w:val="0"/>
                <w:sz w:val="20"/>
                <w:szCs w:val="20"/>
              </w:rPr>
            </w:pPr>
            <w:r>
              <w:rPr>
                <w:rFonts w:eastAsia="方正黑体简体"/>
                <w:kern w:val="0"/>
                <w:sz w:val="20"/>
                <w:szCs w:val="20"/>
              </w:rPr>
              <w:t>一级指标</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rFonts w:eastAsia="方正黑体简体"/>
                <w:color w:val="000000"/>
                <w:kern w:val="0"/>
                <w:sz w:val="20"/>
                <w:szCs w:val="20"/>
              </w:rPr>
            </w:pPr>
            <w:r>
              <w:rPr>
                <w:rFonts w:eastAsia="方正黑体简体"/>
                <w:color w:val="000000"/>
                <w:kern w:val="0"/>
                <w:sz w:val="20"/>
                <w:szCs w:val="20"/>
              </w:rPr>
              <w:t>二级指标</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eastAsia="方正黑体简体"/>
                <w:color w:val="000000"/>
                <w:kern w:val="0"/>
                <w:sz w:val="20"/>
                <w:szCs w:val="20"/>
              </w:rPr>
            </w:pPr>
            <w:r>
              <w:rPr>
                <w:rFonts w:eastAsia="方正黑体简体"/>
                <w:color w:val="000000"/>
                <w:kern w:val="0"/>
                <w:sz w:val="20"/>
                <w:szCs w:val="20"/>
              </w:rPr>
              <w:t>三级指标</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rFonts w:eastAsia="方正黑体简体"/>
                <w:kern w:val="0"/>
                <w:sz w:val="20"/>
                <w:szCs w:val="20"/>
              </w:rPr>
            </w:pPr>
            <w:r>
              <w:rPr>
                <w:rFonts w:eastAsia="方正黑体简体"/>
                <w:kern w:val="0"/>
                <w:sz w:val="20"/>
                <w:szCs w:val="20"/>
              </w:rPr>
              <w:t>分值</w:t>
            </w:r>
          </w:p>
        </w:tc>
        <w:tc>
          <w:tcPr>
            <w:tcW w:w="418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rFonts w:eastAsia="方正黑体简体"/>
                <w:kern w:val="0"/>
                <w:sz w:val="20"/>
                <w:szCs w:val="20"/>
              </w:rPr>
            </w:pPr>
            <w:r>
              <w:rPr>
                <w:rFonts w:eastAsia="方正黑体简体"/>
                <w:kern w:val="0"/>
                <w:sz w:val="20"/>
                <w:szCs w:val="20"/>
              </w:rPr>
              <w:t>评分标准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rFonts w:eastAsia="方正黑体简体"/>
                <w:kern w:val="0"/>
                <w:sz w:val="20"/>
                <w:szCs w:val="20"/>
              </w:rPr>
            </w:pPr>
            <w:r>
              <w:rPr>
                <w:rFonts w:eastAsia="方正黑体简体"/>
                <w:kern w:val="0"/>
                <w:sz w:val="20"/>
                <w:szCs w:val="20"/>
              </w:rPr>
              <w:t>得分</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80" w:lineRule="exact"/>
              <w:jc w:val="center"/>
              <w:rPr>
                <w:kern w:val="0"/>
                <w:sz w:val="24"/>
              </w:rPr>
            </w:pPr>
            <w:r>
              <w:rPr>
                <w:rFonts w:hAnsi="宋体"/>
                <w:kern w:val="0"/>
                <w:sz w:val="24"/>
              </w:rPr>
              <w:t>备注</w:t>
            </w:r>
          </w:p>
        </w:tc>
      </w:tr>
      <w:tr>
        <w:tblPrEx>
          <w:tblLayout w:type="fixed"/>
          <w:tblCellMar>
            <w:top w:w="0" w:type="dxa"/>
            <w:left w:w="108" w:type="dxa"/>
            <w:bottom w:w="0" w:type="dxa"/>
            <w:right w:w="108" w:type="dxa"/>
          </w:tblCellMar>
        </w:tblPrEx>
        <w:trPr>
          <w:trHeight w:val="540"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资产管理基础</w:t>
            </w:r>
            <w:r>
              <w:rPr>
                <w:kern w:val="0"/>
                <w:sz w:val="20"/>
                <w:szCs w:val="20"/>
              </w:rPr>
              <w:t>(40</w:t>
            </w:r>
            <w:r>
              <w:rPr>
                <w:rFonts w:hAnsi="宋体"/>
                <w:kern w:val="0"/>
                <w:sz w:val="20"/>
                <w:szCs w:val="20"/>
              </w:rPr>
              <w:t>分</w:t>
            </w:r>
            <w:r>
              <w:rPr>
                <w:kern w:val="0"/>
                <w:sz w:val="20"/>
                <w:szCs w:val="20"/>
              </w:rPr>
              <w:t>)</w:t>
            </w:r>
          </w:p>
        </w:tc>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制度建设</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资产管理制度建设</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5</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制定了资产管理制度并组织实施，得</w:t>
            </w:r>
            <w:r>
              <w:rPr>
                <w:kern w:val="0"/>
                <w:sz w:val="20"/>
                <w:szCs w:val="20"/>
              </w:rPr>
              <w:t>5</w:t>
            </w:r>
            <w:r>
              <w:rPr>
                <w:rFonts w:hAnsi="宋体"/>
                <w:kern w:val="0"/>
                <w:sz w:val="20"/>
                <w:szCs w:val="20"/>
              </w:rPr>
              <w:t>分，否则酌情扣分。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资产使用责任机制建设</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5</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建立了资产使用责任机制，得</w:t>
            </w:r>
            <w:r>
              <w:rPr>
                <w:kern w:val="0"/>
                <w:sz w:val="20"/>
                <w:szCs w:val="20"/>
              </w:rPr>
              <w:t>3</w:t>
            </w:r>
            <w:r>
              <w:rPr>
                <w:rFonts w:hAnsi="宋体"/>
                <w:kern w:val="0"/>
                <w:sz w:val="20"/>
                <w:szCs w:val="20"/>
              </w:rPr>
              <w:t>分；明确指定相关领导为国有资产负责人，并落实资产使用人在资产管理中的责任，得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管理能力建设</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机构人员设置</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有明确的国有资产管理工作机构，得</w:t>
            </w:r>
            <w:r>
              <w:rPr>
                <w:kern w:val="0"/>
                <w:sz w:val="20"/>
                <w:szCs w:val="20"/>
              </w:rPr>
              <w:t>2</w:t>
            </w:r>
            <w:r>
              <w:rPr>
                <w:rFonts w:hAnsi="宋体"/>
                <w:kern w:val="0"/>
                <w:sz w:val="20"/>
                <w:szCs w:val="20"/>
              </w:rPr>
              <w:t>分；配备国有资产专职管理人员，得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业务培训</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年度内召开资产管理工作会、培训会、座谈会等，每次得</w:t>
            </w:r>
            <w:r>
              <w:rPr>
                <w:kern w:val="0"/>
                <w:sz w:val="20"/>
                <w:szCs w:val="20"/>
              </w:rPr>
              <w:t>1</w:t>
            </w:r>
            <w:r>
              <w:rPr>
                <w:rFonts w:hAnsi="宋体"/>
                <w:kern w:val="0"/>
                <w:sz w:val="20"/>
                <w:szCs w:val="20"/>
              </w:rPr>
              <w:t>分，该项总分不超过</w:t>
            </w:r>
            <w:r>
              <w:rPr>
                <w:kern w:val="0"/>
                <w:sz w:val="20"/>
                <w:szCs w:val="20"/>
              </w:rPr>
              <w:t>4</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工作落实</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国有资产报告报送</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按时报送本部门国有资产年度报告等资料，得</w:t>
            </w:r>
            <w:r>
              <w:rPr>
                <w:kern w:val="0"/>
                <w:sz w:val="20"/>
                <w:szCs w:val="20"/>
              </w:rPr>
              <w:t>2</w:t>
            </w:r>
            <w:r>
              <w:rPr>
                <w:rFonts w:hAnsi="宋体"/>
                <w:kern w:val="0"/>
                <w:sz w:val="20"/>
                <w:szCs w:val="20"/>
              </w:rPr>
              <w:t>分；资产报表、报告内容真实完整，说明客观、清晰，得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资产配置计划报送</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本部门按时报送配置计划，得</w:t>
            </w:r>
            <w:r>
              <w:rPr>
                <w:kern w:val="0"/>
                <w:sz w:val="20"/>
                <w:szCs w:val="20"/>
              </w:rPr>
              <w:t>2</w:t>
            </w:r>
            <w:r>
              <w:rPr>
                <w:rFonts w:hAnsi="宋体"/>
                <w:kern w:val="0"/>
                <w:sz w:val="20"/>
                <w:szCs w:val="20"/>
              </w:rPr>
              <w:t>分；全面报送机关本级和所属行政事业单位年度资产配置计划，得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公务用车管理制度落实</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4</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部门规范建立了车辆使用台账，得</w:t>
            </w:r>
            <w:r>
              <w:rPr>
                <w:kern w:val="0"/>
                <w:sz w:val="20"/>
                <w:szCs w:val="20"/>
              </w:rPr>
              <w:t>2</w:t>
            </w:r>
            <w:r>
              <w:rPr>
                <w:rFonts w:hAnsi="宋体"/>
                <w:kern w:val="0"/>
                <w:sz w:val="20"/>
                <w:szCs w:val="20"/>
              </w:rPr>
              <w:t>分；部门定期公示用车事项和费用，得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5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资产管理制度落实</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5</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本部门年度内开展清查盘点，得</w:t>
            </w:r>
            <w:r>
              <w:rPr>
                <w:kern w:val="0"/>
                <w:sz w:val="20"/>
                <w:szCs w:val="20"/>
              </w:rPr>
              <w:t>2</w:t>
            </w:r>
            <w:r>
              <w:rPr>
                <w:rFonts w:hAnsi="宋体"/>
                <w:kern w:val="0"/>
                <w:sz w:val="20"/>
                <w:szCs w:val="20"/>
              </w:rPr>
              <w:t>分；账账、账实相符，得</w:t>
            </w:r>
            <w:r>
              <w:rPr>
                <w:kern w:val="0"/>
                <w:sz w:val="20"/>
                <w:szCs w:val="20"/>
              </w:rPr>
              <w:t>3</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84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工作创新</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实践创新</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3</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在资产管理工作中开展绩效评价工作的，得</w:t>
            </w:r>
            <w:r>
              <w:rPr>
                <w:color w:val="000000"/>
                <w:kern w:val="0"/>
                <w:sz w:val="20"/>
                <w:szCs w:val="20"/>
              </w:rPr>
              <w:t>2</w:t>
            </w:r>
            <w:r>
              <w:rPr>
                <w:rFonts w:hAnsi="宋体"/>
                <w:color w:val="000000"/>
                <w:kern w:val="0"/>
                <w:sz w:val="20"/>
                <w:szCs w:val="20"/>
              </w:rPr>
              <w:t>分；有其他创新点的得</w:t>
            </w:r>
            <w:r>
              <w:rPr>
                <w:color w:val="000000"/>
                <w:kern w:val="0"/>
                <w:sz w:val="20"/>
                <w:szCs w:val="20"/>
              </w:rPr>
              <w:t>1</w:t>
            </w:r>
            <w:r>
              <w:rPr>
                <w:rFonts w:hAnsi="宋体"/>
                <w:color w:val="000000"/>
                <w:kern w:val="0"/>
                <w:sz w:val="20"/>
                <w:szCs w:val="20"/>
              </w:rPr>
              <w:t>分，该项总分不超过</w:t>
            </w:r>
            <w:r>
              <w:rPr>
                <w:color w:val="000000"/>
                <w:kern w:val="0"/>
                <w:sz w:val="20"/>
                <w:szCs w:val="20"/>
              </w:rPr>
              <w:t>3</w:t>
            </w:r>
            <w:r>
              <w:rPr>
                <w:rFonts w:hAnsi="宋体"/>
                <w:color w:val="000000"/>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2</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822"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理论创新</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color w:val="000000"/>
                <w:kern w:val="0"/>
                <w:sz w:val="20"/>
                <w:szCs w:val="20"/>
              </w:rPr>
              <w:t>2</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年度内通过报刊杂志或网络发表有关资产管理理论研究文章，每发表</w:t>
            </w:r>
            <w:r>
              <w:rPr>
                <w:color w:val="000000"/>
                <w:kern w:val="0"/>
                <w:sz w:val="20"/>
                <w:szCs w:val="20"/>
              </w:rPr>
              <w:t>1</w:t>
            </w:r>
            <w:r>
              <w:rPr>
                <w:rFonts w:hAnsi="宋体"/>
                <w:color w:val="000000"/>
                <w:kern w:val="0"/>
                <w:sz w:val="20"/>
                <w:szCs w:val="20"/>
              </w:rPr>
              <w:t>篇，得</w:t>
            </w:r>
            <w:r>
              <w:rPr>
                <w:color w:val="000000"/>
                <w:kern w:val="0"/>
                <w:sz w:val="20"/>
                <w:szCs w:val="20"/>
              </w:rPr>
              <w:t>1</w:t>
            </w:r>
            <w:r>
              <w:rPr>
                <w:rFonts w:hAnsi="宋体"/>
                <w:color w:val="000000"/>
                <w:kern w:val="0"/>
                <w:sz w:val="20"/>
                <w:szCs w:val="20"/>
              </w:rPr>
              <w:t>分。该项总分不超过</w:t>
            </w:r>
            <w:r>
              <w:rPr>
                <w:color w:val="000000"/>
                <w:kern w:val="0"/>
                <w:sz w:val="20"/>
                <w:szCs w:val="20"/>
              </w:rPr>
              <w:t>2</w:t>
            </w:r>
            <w:r>
              <w:rPr>
                <w:rFonts w:hAnsi="宋体"/>
                <w:color w:val="000000"/>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0</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1920" w:hRule="atLeast"/>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资产管理规范（</w:t>
            </w:r>
            <w:r>
              <w:rPr>
                <w:kern w:val="0"/>
                <w:sz w:val="20"/>
                <w:szCs w:val="20"/>
              </w:rPr>
              <w:t>30</w:t>
            </w:r>
            <w:r>
              <w:rPr>
                <w:rFonts w:hAnsi="宋体"/>
                <w:kern w:val="0"/>
                <w:sz w:val="20"/>
                <w:szCs w:val="20"/>
              </w:rPr>
              <w:t>分）</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配置计划执行</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公车更新年限执行率</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公车更新年限执行率</w:t>
            </w:r>
            <w:r>
              <w:rPr>
                <w:kern w:val="0"/>
                <w:sz w:val="20"/>
                <w:szCs w:val="20"/>
              </w:rPr>
              <w:t>=</w:t>
            </w:r>
            <w:r>
              <w:rPr>
                <w:rFonts w:hAnsi="宋体"/>
                <w:kern w:val="0"/>
                <w:sz w:val="20"/>
                <w:szCs w:val="20"/>
              </w:rPr>
              <w:t>当年达到最低使用年限更新的公务用车数量</w:t>
            </w:r>
            <w:r>
              <w:rPr>
                <w:kern w:val="0"/>
                <w:sz w:val="20"/>
                <w:szCs w:val="20"/>
              </w:rPr>
              <w:t>÷</w:t>
            </w:r>
            <w:r>
              <w:rPr>
                <w:rFonts w:hAnsi="宋体"/>
                <w:kern w:val="0"/>
                <w:sz w:val="20"/>
                <w:szCs w:val="20"/>
              </w:rPr>
              <w:t>本部门当年更新的公务用车总量</w:t>
            </w:r>
            <w:r>
              <w:rPr>
                <w:kern w:val="0"/>
                <w:sz w:val="20"/>
                <w:szCs w:val="20"/>
              </w:rPr>
              <w:t>×100%</w:t>
            </w:r>
            <w:r>
              <w:rPr>
                <w:rFonts w:hAnsi="宋体"/>
                <w:kern w:val="0"/>
                <w:sz w:val="20"/>
                <w:szCs w:val="20"/>
              </w:rPr>
              <w:t>。设公车更新年限执行率为</w:t>
            </w:r>
            <w:r>
              <w:rPr>
                <w:kern w:val="0"/>
                <w:sz w:val="20"/>
                <w:szCs w:val="20"/>
              </w:rPr>
              <w:t>X</w:t>
            </w:r>
            <w:r>
              <w:rPr>
                <w:rFonts w:hAnsi="宋体"/>
                <w:kern w:val="0"/>
                <w:sz w:val="20"/>
                <w:szCs w:val="20"/>
              </w:rPr>
              <w:t>，则：</w:t>
            </w:r>
            <w:r>
              <w:rPr>
                <w:kern w:val="0"/>
                <w:sz w:val="20"/>
                <w:szCs w:val="20"/>
              </w:rPr>
              <w:br w:type="textWrapping"/>
            </w:r>
            <w:r>
              <w:rPr>
                <w:rFonts w:hAnsi="宋体"/>
                <w:kern w:val="0"/>
                <w:sz w:val="20"/>
                <w:szCs w:val="20"/>
              </w:rPr>
              <w:t>①</w:t>
            </w:r>
            <w:r>
              <w:rPr>
                <w:kern w:val="0"/>
                <w:sz w:val="20"/>
                <w:szCs w:val="20"/>
              </w:rPr>
              <w:t>X≥100%</w:t>
            </w:r>
            <w:r>
              <w:rPr>
                <w:rFonts w:hAnsi="宋体"/>
                <w:kern w:val="0"/>
                <w:sz w:val="20"/>
                <w:szCs w:val="20"/>
              </w:rPr>
              <w:t>，或者当年未更新车辆的，得</w:t>
            </w:r>
            <w:r>
              <w:rPr>
                <w:kern w:val="0"/>
                <w:sz w:val="20"/>
                <w:szCs w:val="20"/>
              </w:rPr>
              <w:t>10</w:t>
            </w:r>
            <w:r>
              <w:rPr>
                <w:rFonts w:hAnsi="宋体"/>
                <w:kern w:val="0"/>
                <w:sz w:val="20"/>
                <w:szCs w:val="20"/>
              </w:rPr>
              <w:t>分。</w:t>
            </w:r>
            <w:r>
              <w:rPr>
                <w:kern w:val="0"/>
                <w:sz w:val="20"/>
                <w:szCs w:val="20"/>
              </w:rPr>
              <w:br w:type="textWrapping"/>
            </w:r>
            <w:r>
              <w:rPr>
                <w:rFonts w:hAnsi="宋体"/>
                <w:kern w:val="0"/>
                <w:sz w:val="20"/>
                <w:szCs w:val="20"/>
              </w:rPr>
              <w:t>②</w:t>
            </w:r>
            <w:r>
              <w:rPr>
                <w:kern w:val="0"/>
                <w:sz w:val="20"/>
                <w:szCs w:val="20"/>
              </w:rPr>
              <w:t>90%≤X</w:t>
            </w:r>
            <w:r>
              <w:rPr>
                <w:rFonts w:hAnsi="宋体"/>
                <w:kern w:val="0"/>
                <w:sz w:val="20"/>
                <w:szCs w:val="20"/>
              </w:rPr>
              <w:t>＜</w:t>
            </w:r>
            <w:r>
              <w:rPr>
                <w:kern w:val="0"/>
                <w:sz w:val="20"/>
                <w:szCs w:val="20"/>
              </w:rPr>
              <w:t>100%</w:t>
            </w:r>
            <w:r>
              <w:rPr>
                <w:rFonts w:hAnsi="宋体"/>
                <w:kern w:val="0"/>
                <w:sz w:val="20"/>
                <w:szCs w:val="20"/>
              </w:rPr>
              <w:t>，得</w:t>
            </w:r>
            <w:r>
              <w:rPr>
                <w:kern w:val="0"/>
                <w:sz w:val="20"/>
                <w:szCs w:val="20"/>
              </w:rPr>
              <w:t>8</w:t>
            </w:r>
            <w:r>
              <w:rPr>
                <w:rFonts w:hAnsi="宋体"/>
                <w:kern w:val="0"/>
                <w:sz w:val="20"/>
                <w:szCs w:val="20"/>
              </w:rPr>
              <w:t>分；</w:t>
            </w:r>
            <w:r>
              <w:rPr>
                <w:kern w:val="0"/>
                <w:sz w:val="20"/>
                <w:szCs w:val="20"/>
              </w:rPr>
              <w:br w:type="textWrapping"/>
            </w:r>
            <w:r>
              <w:rPr>
                <w:rFonts w:hAnsi="宋体"/>
                <w:kern w:val="0"/>
                <w:sz w:val="20"/>
                <w:szCs w:val="20"/>
              </w:rPr>
              <w:t>③</w:t>
            </w:r>
            <w:r>
              <w:rPr>
                <w:kern w:val="0"/>
                <w:sz w:val="20"/>
                <w:szCs w:val="20"/>
              </w:rPr>
              <w:t>80%≤X</w:t>
            </w:r>
            <w:r>
              <w:rPr>
                <w:rFonts w:hAnsi="宋体"/>
                <w:kern w:val="0"/>
                <w:sz w:val="20"/>
                <w:szCs w:val="20"/>
              </w:rPr>
              <w:t>＜</w:t>
            </w:r>
            <w:r>
              <w:rPr>
                <w:kern w:val="0"/>
                <w:sz w:val="20"/>
                <w:szCs w:val="20"/>
              </w:rPr>
              <w:t>90%</w:t>
            </w:r>
            <w:r>
              <w:rPr>
                <w:rFonts w:hAnsi="宋体"/>
                <w:kern w:val="0"/>
                <w:sz w:val="20"/>
                <w:szCs w:val="20"/>
              </w:rPr>
              <w:t>，得</w:t>
            </w:r>
            <w:r>
              <w:rPr>
                <w:kern w:val="0"/>
                <w:sz w:val="20"/>
                <w:szCs w:val="20"/>
              </w:rPr>
              <w:t>6</w:t>
            </w:r>
            <w:r>
              <w:rPr>
                <w:rFonts w:hAnsi="宋体"/>
                <w:kern w:val="0"/>
                <w:sz w:val="20"/>
                <w:szCs w:val="20"/>
              </w:rPr>
              <w:t>分；</w:t>
            </w:r>
            <w:r>
              <w:rPr>
                <w:kern w:val="0"/>
                <w:sz w:val="20"/>
                <w:szCs w:val="20"/>
              </w:rPr>
              <w:br w:type="textWrapping"/>
            </w:r>
            <w:r>
              <w:rPr>
                <w:rFonts w:hAnsi="宋体"/>
                <w:kern w:val="0"/>
                <w:sz w:val="20"/>
                <w:szCs w:val="20"/>
              </w:rPr>
              <w:t>④</w:t>
            </w:r>
            <w:r>
              <w:rPr>
                <w:kern w:val="0"/>
                <w:sz w:val="20"/>
                <w:szCs w:val="20"/>
              </w:rPr>
              <w:t>70%≤X</w:t>
            </w:r>
            <w:r>
              <w:rPr>
                <w:rFonts w:hAnsi="宋体"/>
                <w:kern w:val="0"/>
                <w:sz w:val="20"/>
                <w:szCs w:val="20"/>
              </w:rPr>
              <w:t>＜</w:t>
            </w:r>
            <w:r>
              <w:rPr>
                <w:kern w:val="0"/>
                <w:sz w:val="20"/>
                <w:szCs w:val="20"/>
              </w:rPr>
              <w:t>80%</w:t>
            </w:r>
            <w:r>
              <w:rPr>
                <w:rFonts w:hAnsi="宋体"/>
                <w:kern w:val="0"/>
                <w:sz w:val="20"/>
                <w:szCs w:val="20"/>
              </w:rPr>
              <w:t>，得</w:t>
            </w:r>
            <w:r>
              <w:rPr>
                <w:kern w:val="0"/>
                <w:sz w:val="20"/>
                <w:szCs w:val="20"/>
              </w:rPr>
              <w:t>4</w:t>
            </w:r>
            <w:r>
              <w:rPr>
                <w:rFonts w:hAnsi="宋体"/>
                <w:kern w:val="0"/>
                <w:sz w:val="20"/>
                <w:szCs w:val="20"/>
              </w:rPr>
              <w:t>分；</w:t>
            </w:r>
            <w:r>
              <w:rPr>
                <w:kern w:val="0"/>
                <w:sz w:val="20"/>
                <w:szCs w:val="20"/>
              </w:rPr>
              <w:br w:type="textWrapping"/>
            </w:r>
            <w:r>
              <w:rPr>
                <w:rFonts w:hAnsi="宋体"/>
                <w:kern w:val="0"/>
                <w:sz w:val="20"/>
                <w:szCs w:val="20"/>
              </w:rPr>
              <w:t>⑤</w:t>
            </w:r>
            <w:r>
              <w:rPr>
                <w:kern w:val="0"/>
                <w:sz w:val="20"/>
                <w:szCs w:val="20"/>
              </w:rPr>
              <w:t>X</w:t>
            </w:r>
            <w:r>
              <w:rPr>
                <w:rFonts w:hAnsi="宋体"/>
                <w:kern w:val="0"/>
                <w:sz w:val="20"/>
                <w:szCs w:val="20"/>
              </w:rPr>
              <w:t>＜</w:t>
            </w:r>
            <w:r>
              <w:rPr>
                <w:kern w:val="0"/>
                <w:sz w:val="20"/>
                <w:szCs w:val="20"/>
              </w:rPr>
              <w:t>70%</w:t>
            </w:r>
            <w:r>
              <w:rPr>
                <w:rFonts w:hAnsi="宋体"/>
                <w:kern w:val="0"/>
                <w:sz w:val="20"/>
                <w:szCs w:val="20"/>
              </w:rPr>
              <w:t>，不得分。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最低使用：</w:t>
            </w:r>
            <w:r>
              <w:rPr>
                <w:rFonts w:hint="eastAsia"/>
                <w:kern w:val="0"/>
                <w:sz w:val="20"/>
                <w:szCs w:val="20"/>
              </w:rPr>
              <w:t>6</w:t>
            </w:r>
            <w:r>
              <w:rPr>
                <w:kern w:val="0"/>
                <w:sz w:val="20"/>
                <w:szCs w:val="20"/>
              </w:rPr>
              <w:br w:type="textWrapping"/>
            </w:r>
            <w:r>
              <w:rPr>
                <w:rFonts w:hAnsi="宋体"/>
                <w:kern w:val="0"/>
                <w:sz w:val="20"/>
                <w:szCs w:val="20"/>
              </w:rPr>
              <w:t>当年更新：</w:t>
            </w:r>
            <w:r>
              <w:rPr>
                <w:kern w:val="0"/>
                <w:sz w:val="20"/>
                <w:szCs w:val="20"/>
              </w:rPr>
              <w:t>6</w:t>
            </w:r>
          </w:p>
        </w:tc>
      </w:tr>
      <w:tr>
        <w:tblPrEx>
          <w:tblLayout w:type="fixed"/>
          <w:tblCellMar>
            <w:top w:w="0" w:type="dxa"/>
            <w:left w:w="108" w:type="dxa"/>
            <w:bottom w:w="0" w:type="dxa"/>
            <w:right w:w="108" w:type="dxa"/>
          </w:tblCellMar>
        </w:tblPrEx>
        <w:trPr>
          <w:trHeight w:val="1920"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资产管理规范（</w:t>
            </w:r>
            <w:r>
              <w:rPr>
                <w:kern w:val="0"/>
                <w:sz w:val="20"/>
                <w:szCs w:val="20"/>
              </w:rPr>
              <w:t>30</w:t>
            </w:r>
            <w:r>
              <w:rPr>
                <w:rFonts w:hAnsi="宋体"/>
                <w:kern w:val="0"/>
                <w:sz w:val="20"/>
                <w:szCs w:val="20"/>
              </w:rPr>
              <w:t>分）</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政府集中采购</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固资政府集中采购率</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固资政府集中采购率</w:t>
            </w:r>
            <w:r>
              <w:rPr>
                <w:kern w:val="0"/>
                <w:sz w:val="20"/>
                <w:szCs w:val="20"/>
              </w:rPr>
              <w:t>=</w:t>
            </w:r>
            <w:r>
              <w:rPr>
                <w:rFonts w:hAnsi="宋体"/>
                <w:kern w:val="0"/>
                <w:sz w:val="20"/>
                <w:szCs w:val="20"/>
              </w:rPr>
              <w:t>固资集中采购数量</w:t>
            </w:r>
            <w:r>
              <w:rPr>
                <w:kern w:val="0"/>
                <w:sz w:val="20"/>
                <w:szCs w:val="20"/>
              </w:rPr>
              <w:t>÷</w:t>
            </w:r>
            <w:r>
              <w:rPr>
                <w:rFonts w:hAnsi="宋体"/>
                <w:kern w:val="0"/>
                <w:sz w:val="20"/>
                <w:szCs w:val="20"/>
              </w:rPr>
              <w:t>固资年度购置总量</w:t>
            </w:r>
            <w:r>
              <w:rPr>
                <w:kern w:val="0"/>
                <w:sz w:val="20"/>
                <w:szCs w:val="20"/>
              </w:rPr>
              <w:t>×100%</w:t>
            </w:r>
            <w:r>
              <w:rPr>
                <w:rFonts w:hAnsi="宋体"/>
                <w:kern w:val="0"/>
                <w:sz w:val="20"/>
                <w:szCs w:val="20"/>
              </w:rPr>
              <w:t>。固资集中采购率为</w:t>
            </w:r>
            <w:r>
              <w:rPr>
                <w:kern w:val="0"/>
                <w:sz w:val="20"/>
                <w:szCs w:val="20"/>
              </w:rPr>
              <w:t>X</w:t>
            </w:r>
            <w:r>
              <w:rPr>
                <w:rFonts w:hAnsi="宋体"/>
                <w:kern w:val="0"/>
                <w:sz w:val="20"/>
                <w:szCs w:val="20"/>
              </w:rPr>
              <w:t>，则：</w:t>
            </w:r>
            <w:r>
              <w:rPr>
                <w:kern w:val="0"/>
                <w:sz w:val="20"/>
                <w:szCs w:val="20"/>
              </w:rPr>
              <w:br w:type="textWrapping"/>
            </w:r>
            <w:r>
              <w:rPr>
                <w:rFonts w:hAnsi="宋体"/>
                <w:kern w:val="0"/>
                <w:sz w:val="20"/>
                <w:szCs w:val="20"/>
              </w:rPr>
              <w:t>①</w:t>
            </w:r>
            <w:r>
              <w:rPr>
                <w:kern w:val="0"/>
                <w:sz w:val="20"/>
                <w:szCs w:val="20"/>
              </w:rPr>
              <w:t>X=100%</w:t>
            </w:r>
            <w:r>
              <w:rPr>
                <w:rFonts w:hAnsi="宋体"/>
                <w:kern w:val="0"/>
                <w:sz w:val="20"/>
                <w:szCs w:val="20"/>
              </w:rPr>
              <w:t>，或当年未购置固资的，得</w:t>
            </w:r>
            <w:r>
              <w:rPr>
                <w:kern w:val="0"/>
                <w:sz w:val="20"/>
                <w:szCs w:val="20"/>
              </w:rPr>
              <w:t>10</w:t>
            </w:r>
            <w:r>
              <w:rPr>
                <w:rFonts w:hAnsi="宋体"/>
                <w:kern w:val="0"/>
                <w:sz w:val="20"/>
                <w:szCs w:val="20"/>
              </w:rPr>
              <w:t>分；</w:t>
            </w:r>
            <w:r>
              <w:rPr>
                <w:kern w:val="0"/>
                <w:sz w:val="20"/>
                <w:szCs w:val="20"/>
              </w:rPr>
              <w:br w:type="textWrapping"/>
            </w:r>
            <w:r>
              <w:rPr>
                <w:rFonts w:hAnsi="宋体"/>
                <w:kern w:val="0"/>
                <w:sz w:val="20"/>
                <w:szCs w:val="20"/>
              </w:rPr>
              <w:t>②</w:t>
            </w:r>
            <w:r>
              <w:rPr>
                <w:kern w:val="0"/>
                <w:sz w:val="20"/>
                <w:szCs w:val="20"/>
              </w:rPr>
              <w:t>90%≤X</w:t>
            </w:r>
            <w:r>
              <w:rPr>
                <w:rFonts w:hAnsi="宋体"/>
                <w:kern w:val="0"/>
                <w:sz w:val="20"/>
                <w:szCs w:val="20"/>
              </w:rPr>
              <w:t>＜</w:t>
            </w:r>
            <w:r>
              <w:rPr>
                <w:kern w:val="0"/>
                <w:sz w:val="20"/>
                <w:szCs w:val="20"/>
              </w:rPr>
              <w:t>100%</w:t>
            </w:r>
            <w:r>
              <w:rPr>
                <w:rFonts w:hAnsi="宋体"/>
                <w:kern w:val="0"/>
                <w:sz w:val="20"/>
                <w:szCs w:val="20"/>
              </w:rPr>
              <w:t>，得</w:t>
            </w:r>
            <w:r>
              <w:rPr>
                <w:kern w:val="0"/>
                <w:sz w:val="20"/>
                <w:szCs w:val="20"/>
              </w:rPr>
              <w:t>8</w:t>
            </w:r>
            <w:r>
              <w:rPr>
                <w:rFonts w:hAnsi="宋体"/>
                <w:kern w:val="0"/>
                <w:sz w:val="20"/>
                <w:szCs w:val="20"/>
              </w:rPr>
              <w:t>分；</w:t>
            </w:r>
            <w:r>
              <w:rPr>
                <w:kern w:val="0"/>
                <w:sz w:val="20"/>
                <w:szCs w:val="20"/>
              </w:rPr>
              <w:br w:type="textWrapping"/>
            </w:r>
            <w:r>
              <w:rPr>
                <w:rFonts w:hAnsi="宋体"/>
                <w:kern w:val="0"/>
                <w:sz w:val="20"/>
                <w:szCs w:val="20"/>
              </w:rPr>
              <w:t>③</w:t>
            </w:r>
            <w:r>
              <w:rPr>
                <w:kern w:val="0"/>
                <w:sz w:val="20"/>
                <w:szCs w:val="20"/>
              </w:rPr>
              <w:t>80%≤X</w:t>
            </w:r>
            <w:r>
              <w:rPr>
                <w:rFonts w:hAnsi="宋体"/>
                <w:kern w:val="0"/>
                <w:sz w:val="20"/>
                <w:szCs w:val="20"/>
              </w:rPr>
              <w:t>＜</w:t>
            </w:r>
            <w:r>
              <w:rPr>
                <w:kern w:val="0"/>
                <w:sz w:val="20"/>
                <w:szCs w:val="20"/>
              </w:rPr>
              <w:t>90%</w:t>
            </w:r>
            <w:r>
              <w:rPr>
                <w:rFonts w:hAnsi="宋体"/>
                <w:kern w:val="0"/>
                <w:sz w:val="20"/>
                <w:szCs w:val="20"/>
              </w:rPr>
              <w:t>，得</w:t>
            </w:r>
            <w:r>
              <w:rPr>
                <w:kern w:val="0"/>
                <w:sz w:val="20"/>
                <w:szCs w:val="20"/>
              </w:rPr>
              <w:t>6</w:t>
            </w:r>
            <w:r>
              <w:rPr>
                <w:rFonts w:hAnsi="宋体"/>
                <w:kern w:val="0"/>
                <w:sz w:val="20"/>
                <w:szCs w:val="20"/>
              </w:rPr>
              <w:t>分；</w:t>
            </w:r>
            <w:r>
              <w:rPr>
                <w:kern w:val="0"/>
                <w:sz w:val="20"/>
                <w:szCs w:val="20"/>
              </w:rPr>
              <w:br w:type="textWrapping"/>
            </w:r>
            <w:r>
              <w:rPr>
                <w:rFonts w:hAnsi="宋体"/>
                <w:kern w:val="0"/>
                <w:sz w:val="20"/>
                <w:szCs w:val="20"/>
              </w:rPr>
              <w:t>④</w:t>
            </w:r>
            <w:r>
              <w:rPr>
                <w:kern w:val="0"/>
                <w:sz w:val="20"/>
                <w:szCs w:val="20"/>
              </w:rPr>
              <w:t>70%≤X</w:t>
            </w:r>
            <w:r>
              <w:rPr>
                <w:rFonts w:hAnsi="宋体"/>
                <w:kern w:val="0"/>
                <w:sz w:val="20"/>
                <w:szCs w:val="20"/>
              </w:rPr>
              <w:t>＜</w:t>
            </w:r>
            <w:r>
              <w:rPr>
                <w:kern w:val="0"/>
                <w:sz w:val="20"/>
                <w:szCs w:val="20"/>
              </w:rPr>
              <w:t>80%</w:t>
            </w:r>
            <w:r>
              <w:rPr>
                <w:rFonts w:hAnsi="宋体"/>
                <w:kern w:val="0"/>
                <w:sz w:val="20"/>
                <w:szCs w:val="20"/>
              </w:rPr>
              <w:t>，得</w:t>
            </w:r>
            <w:r>
              <w:rPr>
                <w:kern w:val="0"/>
                <w:sz w:val="20"/>
                <w:szCs w:val="20"/>
              </w:rPr>
              <w:t>4</w:t>
            </w:r>
            <w:r>
              <w:rPr>
                <w:rFonts w:hAnsi="宋体"/>
                <w:kern w:val="0"/>
                <w:sz w:val="20"/>
                <w:szCs w:val="20"/>
              </w:rPr>
              <w:t>分；</w:t>
            </w:r>
            <w:r>
              <w:rPr>
                <w:kern w:val="0"/>
                <w:sz w:val="20"/>
                <w:szCs w:val="20"/>
              </w:rPr>
              <w:br w:type="textWrapping"/>
            </w:r>
            <w:r>
              <w:rPr>
                <w:rFonts w:hAnsi="宋体"/>
                <w:kern w:val="0"/>
                <w:sz w:val="20"/>
                <w:szCs w:val="20"/>
              </w:rPr>
              <w:t>⑤</w:t>
            </w:r>
            <w:r>
              <w:rPr>
                <w:kern w:val="0"/>
                <w:sz w:val="20"/>
                <w:szCs w:val="20"/>
              </w:rPr>
              <w:t>60%≤X</w:t>
            </w:r>
            <w:r>
              <w:rPr>
                <w:rFonts w:hAnsi="宋体"/>
                <w:kern w:val="0"/>
                <w:sz w:val="20"/>
                <w:szCs w:val="20"/>
              </w:rPr>
              <w:t>＜</w:t>
            </w:r>
            <w:r>
              <w:rPr>
                <w:kern w:val="0"/>
                <w:sz w:val="20"/>
                <w:szCs w:val="20"/>
              </w:rPr>
              <w:t>70%</w:t>
            </w:r>
            <w:r>
              <w:rPr>
                <w:rFonts w:hAnsi="宋体"/>
                <w:kern w:val="0"/>
                <w:sz w:val="20"/>
                <w:szCs w:val="20"/>
              </w:rPr>
              <w:t>，得</w:t>
            </w:r>
            <w:r>
              <w:rPr>
                <w:kern w:val="0"/>
                <w:sz w:val="20"/>
                <w:szCs w:val="20"/>
              </w:rPr>
              <w:t>2</w:t>
            </w:r>
            <w:r>
              <w:rPr>
                <w:rFonts w:hAnsi="宋体"/>
                <w:kern w:val="0"/>
                <w:sz w:val="20"/>
                <w:szCs w:val="20"/>
              </w:rPr>
              <w:t>分；</w:t>
            </w:r>
            <w:r>
              <w:rPr>
                <w:kern w:val="0"/>
                <w:sz w:val="20"/>
                <w:szCs w:val="20"/>
              </w:rPr>
              <w:br w:type="textWrapping"/>
            </w:r>
            <w:r>
              <w:rPr>
                <w:rFonts w:hAnsi="宋体"/>
                <w:kern w:val="0"/>
                <w:sz w:val="20"/>
                <w:szCs w:val="20"/>
              </w:rPr>
              <w:t>⑥</w:t>
            </w:r>
            <w:r>
              <w:rPr>
                <w:kern w:val="0"/>
                <w:sz w:val="20"/>
                <w:szCs w:val="20"/>
              </w:rPr>
              <w:t>X</w:t>
            </w:r>
            <w:r>
              <w:rPr>
                <w:rFonts w:hAnsi="宋体"/>
                <w:kern w:val="0"/>
                <w:sz w:val="20"/>
                <w:szCs w:val="20"/>
              </w:rPr>
              <w:t>＜</w:t>
            </w:r>
            <w:r>
              <w:rPr>
                <w:kern w:val="0"/>
                <w:sz w:val="20"/>
                <w:szCs w:val="20"/>
              </w:rPr>
              <w:t>60%</w:t>
            </w:r>
            <w:r>
              <w:rPr>
                <w:rFonts w:hAnsi="宋体"/>
                <w:kern w:val="0"/>
                <w:sz w:val="20"/>
                <w:szCs w:val="20"/>
              </w:rPr>
              <w:t>，不得分。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固资集中采购：</w:t>
            </w:r>
            <w:r>
              <w:rPr>
                <w:kern w:val="0"/>
                <w:sz w:val="20"/>
                <w:szCs w:val="20"/>
              </w:rPr>
              <w:t>3211</w:t>
            </w:r>
            <w:r>
              <w:rPr>
                <w:kern w:val="0"/>
                <w:sz w:val="20"/>
                <w:szCs w:val="20"/>
              </w:rPr>
              <w:br w:type="textWrapping"/>
            </w:r>
            <w:r>
              <w:rPr>
                <w:rFonts w:hAnsi="宋体"/>
                <w:kern w:val="0"/>
                <w:sz w:val="20"/>
                <w:szCs w:val="20"/>
              </w:rPr>
              <w:t>固资年度采购：</w:t>
            </w:r>
            <w:r>
              <w:rPr>
                <w:kern w:val="0"/>
                <w:sz w:val="20"/>
                <w:szCs w:val="20"/>
              </w:rPr>
              <w:t>3211</w:t>
            </w:r>
          </w:p>
        </w:tc>
      </w:tr>
      <w:tr>
        <w:tblPrEx>
          <w:tblLayout w:type="fixed"/>
          <w:tblCellMar>
            <w:top w:w="0" w:type="dxa"/>
            <w:left w:w="108" w:type="dxa"/>
            <w:bottom w:w="0" w:type="dxa"/>
            <w:right w:w="108" w:type="dxa"/>
          </w:tblCellMar>
        </w:tblPrEx>
        <w:trPr>
          <w:trHeight w:val="162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资产处置</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资产处置审批率</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kern w:val="0"/>
                <w:sz w:val="20"/>
                <w:szCs w:val="20"/>
              </w:rPr>
            </w:pPr>
            <w:r>
              <w:rPr>
                <w:rFonts w:hAnsi="宋体"/>
                <w:kern w:val="0"/>
                <w:sz w:val="20"/>
                <w:szCs w:val="20"/>
              </w:rPr>
              <w:t>履行审批手续并经财政部门或主管部门批准处理的资产总额与处置资产总额之比，比率为</w:t>
            </w:r>
            <w:r>
              <w:rPr>
                <w:kern w:val="0"/>
                <w:sz w:val="20"/>
                <w:szCs w:val="20"/>
              </w:rPr>
              <w:t>100%</w:t>
            </w:r>
            <w:r>
              <w:rPr>
                <w:rFonts w:hAnsi="宋体"/>
                <w:kern w:val="0"/>
                <w:sz w:val="20"/>
                <w:szCs w:val="20"/>
              </w:rPr>
              <w:t>，或者当年未处置资产的，得</w:t>
            </w:r>
            <w:r>
              <w:rPr>
                <w:kern w:val="0"/>
                <w:sz w:val="20"/>
                <w:szCs w:val="20"/>
              </w:rPr>
              <w:t>10</w:t>
            </w:r>
            <w:r>
              <w:rPr>
                <w:rFonts w:hAnsi="宋体"/>
                <w:kern w:val="0"/>
                <w:sz w:val="20"/>
                <w:szCs w:val="20"/>
              </w:rPr>
              <w:t>分；比率在</w:t>
            </w:r>
            <w:r>
              <w:rPr>
                <w:kern w:val="0"/>
                <w:sz w:val="20"/>
                <w:szCs w:val="20"/>
              </w:rPr>
              <w:t>90%</w:t>
            </w:r>
            <w:r>
              <w:rPr>
                <w:rFonts w:hAnsi="宋体"/>
                <w:kern w:val="0"/>
                <w:sz w:val="20"/>
                <w:szCs w:val="20"/>
              </w:rPr>
              <w:t>以上的，按比率计算得分；比率低于</w:t>
            </w:r>
            <w:r>
              <w:rPr>
                <w:kern w:val="0"/>
                <w:sz w:val="20"/>
                <w:szCs w:val="20"/>
              </w:rPr>
              <w:t>90%</w:t>
            </w:r>
            <w:r>
              <w:rPr>
                <w:rFonts w:hAnsi="宋体"/>
                <w:kern w:val="0"/>
                <w:sz w:val="20"/>
                <w:szCs w:val="20"/>
              </w:rPr>
              <w:t>的不得分。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申请处置：</w:t>
            </w:r>
            <w:r>
              <w:rPr>
                <w:kern w:val="0"/>
                <w:sz w:val="20"/>
                <w:szCs w:val="20"/>
              </w:rPr>
              <w:t>1022755.81</w:t>
            </w:r>
            <w:r>
              <w:rPr>
                <w:kern w:val="0"/>
                <w:sz w:val="20"/>
                <w:szCs w:val="20"/>
              </w:rPr>
              <w:br w:type="textWrapping"/>
            </w:r>
            <w:r>
              <w:rPr>
                <w:rFonts w:hAnsi="宋体"/>
                <w:kern w:val="0"/>
                <w:sz w:val="20"/>
                <w:szCs w:val="20"/>
              </w:rPr>
              <w:t>实际处置：</w:t>
            </w:r>
            <w:r>
              <w:rPr>
                <w:kern w:val="0"/>
                <w:sz w:val="20"/>
                <w:szCs w:val="20"/>
              </w:rPr>
              <w:t>1022755.81</w:t>
            </w:r>
          </w:p>
        </w:tc>
      </w:tr>
      <w:tr>
        <w:tblPrEx>
          <w:tblLayout w:type="fixed"/>
          <w:tblCellMar>
            <w:top w:w="0" w:type="dxa"/>
            <w:left w:w="108" w:type="dxa"/>
            <w:bottom w:w="0" w:type="dxa"/>
            <w:right w:w="108" w:type="dxa"/>
          </w:tblCellMar>
        </w:tblPrEx>
        <w:trPr>
          <w:trHeight w:val="2142"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资产管理效果</w:t>
            </w:r>
            <w:r>
              <w:rPr>
                <w:kern w:val="0"/>
                <w:sz w:val="20"/>
                <w:szCs w:val="20"/>
              </w:rPr>
              <w:br w:type="textWrapping"/>
            </w:r>
            <w:r>
              <w:rPr>
                <w:rFonts w:hAnsi="宋体"/>
                <w:kern w:val="0"/>
                <w:sz w:val="20"/>
                <w:szCs w:val="20"/>
              </w:rPr>
              <w:t>（</w:t>
            </w:r>
            <w:r>
              <w:rPr>
                <w:kern w:val="0"/>
                <w:sz w:val="20"/>
                <w:szCs w:val="20"/>
              </w:rPr>
              <w:t>30</w:t>
            </w:r>
            <w:r>
              <w:rPr>
                <w:rFonts w:hAnsi="宋体"/>
                <w:kern w:val="0"/>
                <w:sz w:val="20"/>
                <w:szCs w:val="20"/>
              </w:rPr>
              <w:t>分）</w:t>
            </w:r>
          </w:p>
        </w:tc>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固定资产增长</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通用设备增长率</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kern w:val="0"/>
                <w:sz w:val="20"/>
                <w:szCs w:val="20"/>
              </w:rPr>
            </w:pPr>
            <w:r>
              <w:rPr>
                <w:rFonts w:hAnsi="宋体"/>
                <w:kern w:val="0"/>
                <w:sz w:val="20"/>
                <w:szCs w:val="20"/>
              </w:rPr>
              <w:t>通用设备增长率</w:t>
            </w:r>
            <w:r>
              <w:rPr>
                <w:kern w:val="0"/>
                <w:sz w:val="20"/>
                <w:szCs w:val="20"/>
              </w:rPr>
              <w:t>=</w:t>
            </w:r>
            <w:r>
              <w:rPr>
                <w:rFonts w:hAnsi="宋体"/>
                <w:kern w:val="0"/>
                <w:sz w:val="20"/>
                <w:szCs w:val="20"/>
              </w:rPr>
              <w:t>（年末通用设备原值</w:t>
            </w:r>
            <w:r>
              <w:rPr>
                <w:kern w:val="0"/>
                <w:sz w:val="20"/>
                <w:szCs w:val="20"/>
              </w:rPr>
              <w:t>-</w:t>
            </w:r>
            <w:r>
              <w:rPr>
                <w:rFonts w:hAnsi="宋体"/>
                <w:kern w:val="0"/>
                <w:sz w:val="20"/>
                <w:szCs w:val="20"/>
              </w:rPr>
              <w:t>年初通用设备原值）</w:t>
            </w:r>
            <w:r>
              <w:rPr>
                <w:kern w:val="0"/>
                <w:sz w:val="20"/>
                <w:szCs w:val="20"/>
              </w:rPr>
              <w:t>÷</w:t>
            </w:r>
            <w:r>
              <w:rPr>
                <w:rFonts w:hAnsi="宋体"/>
                <w:kern w:val="0"/>
                <w:sz w:val="20"/>
                <w:szCs w:val="20"/>
              </w:rPr>
              <w:t>年初通用设备原值</w:t>
            </w:r>
            <w:r>
              <w:rPr>
                <w:kern w:val="0"/>
                <w:sz w:val="20"/>
                <w:szCs w:val="20"/>
              </w:rPr>
              <w:t>×100%</w:t>
            </w:r>
            <w:r>
              <w:rPr>
                <w:rFonts w:hAnsi="宋体"/>
                <w:kern w:val="0"/>
                <w:sz w:val="20"/>
                <w:szCs w:val="20"/>
              </w:rPr>
              <w:t>。部门通用设备增长率</w:t>
            </w:r>
            <w:r>
              <w:rPr>
                <w:kern w:val="0"/>
                <w:sz w:val="20"/>
                <w:szCs w:val="20"/>
              </w:rPr>
              <w:t>X</w:t>
            </w:r>
            <w:r>
              <w:rPr>
                <w:rFonts w:hAnsi="宋体"/>
                <w:kern w:val="0"/>
                <w:sz w:val="20"/>
                <w:szCs w:val="20"/>
              </w:rPr>
              <w:t>按以下标准评分：</w:t>
            </w:r>
            <w:r>
              <w:rPr>
                <w:kern w:val="0"/>
                <w:sz w:val="20"/>
                <w:szCs w:val="20"/>
              </w:rPr>
              <w:br w:type="textWrapping"/>
            </w:r>
            <w:r>
              <w:rPr>
                <w:rFonts w:hAnsi="宋体"/>
                <w:kern w:val="0"/>
                <w:sz w:val="20"/>
                <w:szCs w:val="20"/>
              </w:rPr>
              <w:t>①</w:t>
            </w:r>
            <w:r>
              <w:rPr>
                <w:kern w:val="0"/>
                <w:sz w:val="20"/>
                <w:szCs w:val="20"/>
              </w:rPr>
              <w:t>X≤0</w:t>
            </w:r>
            <w:r>
              <w:rPr>
                <w:rFonts w:hAnsi="宋体"/>
                <w:kern w:val="0"/>
                <w:sz w:val="20"/>
                <w:szCs w:val="20"/>
              </w:rPr>
              <w:t>，得</w:t>
            </w:r>
            <w:r>
              <w:rPr>
                <w:kern w:val="0"/>
                <w:sz w:val="20"/>
                <w:szCs w:val="20"/>
              </w:rPr>
              <w:t>10</w:t>
            </w:r>
            <w:r>
              <w:rPr>
                <w:rFonts w:hAnsi="宋体"/>
                <w:kern w:val="0"/>
                <w:sz w:val="20"/>
                <w:szCs w:val="20"/>
              </w:rPr>
              <w:t>分；</w:t>
            </w:r>
            <w:r>
              <w:rPr>
                <w:kern w:val="0"/>
                <w:sz w:val="20"/>
                <w:szCs w:val="20"/>
              </w:rPr>
              <w:br w:type="textWrapping"/>
            </w:r>
            <w:r>
              <w:rPr>
                <w:rFonts w:hAnsi="宋体"/>
                <w:kern w:val="0"/>
                <w:sz w:val="20"/>
                <w:szCs w:val="20"/>
              </w:rPr>
              <w:t>②</w:t>
            </w:r>
            <w:r>
              <w:rPr>
                <w:kern w:val="0"/>
                <w:sz w:val="20"/>
                <w:szCs w:val="20"/>
              </w:rPr>
              <w:t>0</w:t>
            </w:r>
            <w:r>
              <w:rPr>
                <w:rFonts w:hAnsi="宋体"/>
                <w:kern w:val="0"/>
                <w:sz w:val="20"/>
                <w:szCs w:val="20"/>
              </w:rPr>
              <w:t>＜</w:t>
            </w:r>
            <w:r>
              <w:rPr>
                <w:kern w:val="0"/>
                <w:sz w:val="20"/>
                <w:szCs w:val="20"/>
              </w:rPr>
              <w:t>X≤10</w:t>
            </w:r>
            <w:r>
              <w:rPr>
                <w:rFonts w:hAnsi="宋体"/>
                <w:kern w:val="0"/>
                <w:sz w:val="20"/>
                <w:szCs w:val="20"/>
              </w:rPr>
              <w:t>，得</w:t>
            </w:r>
            <w:r>
              <w:rPr>
                <w:kern w:val="0"/>
                <w:sz w:val="20"/>
                <w:szCs w:val="20"/>
              </w:rPr>
              <w:t>8</w:t>
            </w:r>
            <w:r>
              <w:rPr>
                <w:rFonts w:hAnsi="宋体"/>
                <w:kern w:val="0"/>
                <w:sz w:val="20"/>
                <w:szCs w:val="20"/>
              </w:rPr>
              <w:t>分；</w:t>
            </w:r>
            <w:r>
              <w:rPr>
                <w:kern w:val="0"/>
                <w:sz w:val="20"/>
                <w:szCs w:val="20"/>
              </w:rPr>
              <w:br w:type="textWrapping"/>
            </w:r>
            <w:r>
              <w:rPr>
                <w:rFonts w:hAnsi="宋体"/>
                <w:kern w:val="0"/>
                <w:sz w:val="20"/>
                <w:szCs w:val="20"/>
              </w:rPr>
              <w:t>③</w:t>
            </w:r>
            <w:r>
              <w:rPr>
                <w:kern w:val="0"/>
                <w:sz w:val="20"/>
                <w:szCs w:val="20"/>
              </w:rPr>
              <w:t>10</w:t>
            </w:r>
            <w:r>
              <w:rPr>
                <w:rFonts w:hAnsi="宋体"/>
                <w:kern w:val="0"/>
                <w:sz w:val="20"/>
                <w:szCs w:val="20"/>
              </w:rPr>
              <w:t>＜</w:t>
            </w:r>
            <w:r>
              <w:rPr>
                <w:kern w:val="0"/>
                <w:sz w:val="20"/>
                <w:szCs w:val="20"/>
              </w:rPr>
              <w:t>X≤20</w:t>
            </w:r>
            <w:r>
              <w:rPr>
                <w:rFonts w:hAnsi="宋体"/>
                <w:kern w:val="0"/>
                <w:sz w:val="20"/>
                <w:szCs w:val="20"/>
              </w:rPr>
              <w:t>，得</w:t>
            </w:r>
            <w:r>
              <w:rPr>
                <w:kern w:val="0"/>
                <w:sz w:val="20"/>
                <w:szCs w:val="20"/>
              </w:rPr>
              <w:t>6</w:t>
            </w:r>
            <w:r>
              <w:rPr>
                <w:rFonts w:hAnsi="宋体"/>
                <w:kern w:val="0"/>
                <w:sz w:val="20"/>
                <w:szCs w:val="20"/>
              </w:rPr>
              <w:t>分；</w:t>
            </w:r>
            <w:r>
              <w:rPr>
                <w:kern w:val="0"/>
                <w:sz w:val="20"/>
                <w:szCs w:val="20"/>
              </w:rPr>
              <w:br w:type="textWrapping"/>
            </w:r>
            <w:r>
              <w:rPr>
                <w:rFonts w:hAnsi="宋体"/>
                <w:kern w:val="0"/>
                <w:sz w:val="20"/>
                <w:szCs w:val="20"/>
              </w:rPr>
              <w:t>④</w:t>
            </w:r>
            <w:r>
              <w:rPr>
                <w:kern w:val="0"/>
                <w:sz w:val="20"/>
                <w:szCs w:val="20"/>
              </w:rPr>
              <w:t>20</w:t>
            </w:r>
            <w:r>
              <w:rPr>
                <w:rFonts w:hAnsi="宋体"/>
                <w:kern w:val="0"/>
                <w:sz w:val="20"/>
                <w:szCs w:val="20"/>
              </w:rPr>
              <w:t>＜</w:t>
            </w:r>
            <w:r>
              <w:rPr>
                <w:kern w:val="0"/>
                <w:sz w:val="20"/>
                <w:szCs w:val="20"/>
              </w:rPr>
              <w:t>X≤30</w:t>
            </w:r>
            <w:r>
              <w:rPr>
                <w:rFonts w:hAnsi="宋体"/>
                <w:kern w:val="0"/>
                <w:sz w:val="20"/>
                <w:szCs w:val="20"/>
              </w:rPr>
              <w:t>，得</w:t>
            </w:r>
            <w:r>
              <w:rPr>
                <w:kern w:val="0"/>
                <w:sz w:val="20"/>
                <w:szCs w:val="20"/>
              </w:rPr>
              <w:t>4</w:t>
            </w:r>
            <w:r>
              <w:rPr>
                <w:rFonts w:hAnsi="宋体"/>
                <w:kern w:val="0"/>
                <w:sz w:val="20"/>
                <w:szCs w:val="20"/>
              </w:rPr>
              <w:t>分；</w:t>
            </w:r>
            <w:r>
              <w:rPr>
                <w:kern w:val="0"/>
                <w:sz w:val="20"/>
                <w:szCs w:val="20"/>
              </w:rPr>
              <w:br w:type="textWrapping"/>
            </w:r>
            <w:r>
              <w:rPr>
                <w:rFonts w:hAnsi="宋体"/>
                <w:kern w:val="0"/>
                <w:sz w:val="20"/>
                <w:szCs w:val="20"/>
              </w:rPr>
              <w:t>⑤</w:t>
            </w:r>
            <w:r>
              <w:rPr>
                <w:kern w:val="0"/>
                <w:sz w:val="20"/>
                <w:szCs w:val="20"/>
              </w:rPr>
              <w:t>X</w:t>
            </w:r>
            <w:r>
              <w:rPr>
                <w:rFonts w:hAnsi="宋体"/>
                <w:kern w:val="0"/>
                <w:sz w:val="20"/>
                <w:szCs w:val="20"/>
              </w:rPr>
              <w:t>＞</w:t>
            </w:r>
            <w:r>
              <w:rPr>
                <w:kern w:val="0"/>
                <w:sz w:val="20"/>
                <w:szCs w:val="20"/>
              </w:rPr>
              <w:t>30</w:t>
            </w:r>
            <w:r>
              <w:rPr>
                <w:rFonts w:hAnsi="宋体"/>
                <w:kern w:val="0"/>
                <w:sz w:val="20"/>
                <w:szCs w:val="20"/>
              </w:rPr>
              <w:t>，得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8</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年初：</w:t>
            </w:r>
            <w:r>
              <w:rPr>
                <w:kern w:val="0"/>
                <w:sz w:val="20"/>
                <w:szCs w:val="20"/>
              </w:rPr>
              <w:t>224330121.37</w:t>
            </w:r>
            <w:r>
              <w:rPr>
                <w:kern w:val="0"/>
                <w:sz w:val="20"/>
                <w:szCs w:val="20"/>
              </w:rPr>
              <w:br w:type="textWrapping"/>
            </w:r>
            <w:r>
              <w:rPr>
                <w:rFonts w:hAnsi="宋体"/>
                <w:kern w:val="0"/>
                <w:sz w:val="20"/>
                <w:szCs w:val="20"/>
              </w:rPr>
              <w:t>年末：</w:t>
            </w:r>
            <w:r>
              <w:rPr>
                <w:kern w:val="0"/>
                <w:sz w:val="20"/>
                <w:szCs w:val="20"/>
              </w:rPr>
              <w:t>24144412.92</w:t>
            </w:r>
          </w:p>
        </w:tc>
      </w:tr>
      <w:tr>
        <w:tblPrEx>
          <w:tblLayout w:type="fixed"/>
          <w:tblCellMar>
            <w:top w:w="0" w:type="dxa"/>
            <w:left w:w="108" w:type="dxa"/>
            <w:bottom w:w="0" w:type="dxa"/>
            <w:right w:w="108" w:type="dxa"/>
          </w:tblCellMar>
        </w:tblPrEx>
        <w:trPr>
          <w:trHeight w:val="1980"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color w:val="000000"/>
                <w:kern w:val="0"/>
                <w:sz w:val="20"/>
                <w:szCs w:val="20"/>
              </w:rPr>
            </w:pPr>
            <w:r>
              <w:rPr>
                <w:rFonts w:hAnsi="宋体"/>
                <w:color w:val="000000"/>
                <w:kern w:val="0"/>
                <w:sz w:val="20"/>
                <w:szCs w:val="20"/>
              </w:rPr>
              <w:t>专用设备增长率</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kern w:val="0"/>
                <w:sz w:val="20"/>
                <w:szCs w:val="20"/>
              </w:rPr>
            </w:pPr>
            <w:r>
              <w:rPr>
                <w:rFonts w:hAnsi="宋体"/>
                <w:kern w:val="0"/>
                <w:sz w:val="20"/>
                <w:szCs w:val="20"/>
              </w:rPr>
              <w:t>专用设备增长率</w:t>
            </w:r>
            <w:r>
              <w:rPr>
                <w:kern w:val="0"/>
                <w:sz w:val="20"/>
                <w:szCs w:val="20"/>
              </w:rPr>
              <w:t>=</w:t>
            </w:r>
            <w:r>
              <w:rPr>
                <w:rFonts w:hAnsi="宋体"/>
                <w:kern w:val="0"/>
                <w:sz w:val="20"/>
                <w:szCs w:val="20"/>
              </w:rPr>
              <w:t>（年末专用设备原值</w:t>
            </w:r>
            <w:r>
              <w:rPr>
                <w:kern w:val="0"/>
                <w:sz w:val="20"/>
                <w:szCs w:val="20"/>
              </w:rPr>
              <w:t>-</w:t>
            </w:r>
            <w:r>
              <w:rPr>
                <w:rFonts w:hAnsi="宋体"/>
                <w:kern w:val="0"/>
                <w:sz w:val="20"/>
                <w:szCs w:val="20"/>
              </w:rPr>
              <w:t>年初专用设备原值）</w:t>
            </w:r>
            <w:r>
              <w:rPr>
                <w:kern w:val="0"/>
                <w:sz w:val="20"/>
                <w:szCs w:val="20"/>
              </w:rPr>
              <w:t>÷</w:t>
            </w:r>
            <w:r>
              <w:rPr>
                <w:rFonts w:hAnsi="宋体"/>
                <w:kern w:val="0"/>
                <w:sz w:val="20"/>
                <w:szCs w:val="20"/>
              </w:rPr>
              <w:t>年初专用设备原值</w:t>
            </w:r>
            <w:r>
              <w:rPr>
                <w:kern w:val="0"/>
                <w:sz w:val="20"/>
                <w:szCs w:val="20"/>
              </w:rPr>
              <w:t>×100%</w:t>
            </w:r>
            <w:r>
              <w:rPr>
                <w:rFonts w:hAnsi="宋体"/>
                <w:kern w:val="0"/>
                <w:sz w:val="20"/>
                <w:szCs w:val="20"/>
              </w:rPr>
              <w:t>。专用设备增长率</w:t>
            </w:r>
            <w:r>
              <w:rPr>
                <w:kern w:val="0"/>
                <w:sz w:val="20"/>
                <w:szCs w:val="20"/>
              </w:rPr>
              <w:t>X</w:t>
            </w:r>
            <w:r>
              <w:rPr>
                <w:rFonts w:hAnsi="宋体"/>
                <w:kern w:val="0"/>
                <w:sz w:val="20"/>
                <w:szCs w:val="20"/>
              </w:rPr>
              <w:t>按以下标准评分：</w:t>
            </w:r>
            <w:r>
              <w:rPr>
                <w:kern w:val="0"/>
                <w:sz w:val="20"/>
                <w:szCs w:val="20"/>
              </w:rPr>
              <w:br w:type="textWrapping"/>
            </w:r>
            <w:r>
              <w:rPr>
                <w:rFonts w:hAnsi="宋体"/>
                <w:kern w:val="0"/>
                <w:sz w:val="20"/>
                <w:szCs w:val="20"/>
              </w:rPr>
              <w:t>①</w:t>
            </w:r>
            <w:r>
              <w:rPr>
                <w:kern w:val="0"/>
                <w:sz w:val="20"/>
                <w:szCs w:val="20"/>
              </w:rPr>
              <w:t>X≤0</w:t>
            </w:r>
            <w:r>
              <w:rPr>
                <w:rFonts w:hAnsi="宋体"/>
                <w:kern w:val="0"/>
                <w:sz w:val="20"/>
                <w:szCs w:val="20"/>
              </w:rPr>
              <w:t>，得</w:t>
            </w:r>
            <w:r>
              <w:rPr>
                <w:kern w:val="0"/>
                <w:sz w:val="20"/>
                <w:szCs w:val="20"/>
              </w:rPr>
              <w:t>10</w:t>
            </w:r>
            <w:r>
              <w:rPr>
                <w:rFonts w:hAnsi="宋体"/>
                <w:kern w:val="0"/>
                <w:sz w:val="20"/>
                <w:szCs w:val="20"/>
              </w:rPr>
              <w:t>分；</w:t>
            </w:r>
            <w:r>
              <w:rPr>
                <w:kern w:val="0"/>
                <w:sz w:val="20"/>
                <w:szCs w:val="20"/>
              </w:rPr>
              <w:br w:type="textWrapping"/>
            </w:r>
            <w:r>
              <w:rPr>
                <w:rFonts w:hAnsi="宋体"/>
                <w:kern w:val="0"/>
                <w:sz w:val="20"/>
                <w:szCs w:val="20"/>
              </w:rPr>
              <w:t>②</w:t>
            </w:r>
            <w:r>
              <w:rPr>
                <w:kern w:val="0"/>
                <w:sz w:val="20"/>
                <w:szCs w:val="20"/>
              </w:rPr>
              <w:t>0</w:t>
            </w:r>
            <w:r>
              <w:rPr>
                <w:rFonts w:hAnsi="宋体"/>
                <w:kern w:val="0"/>
                <w:sz w:val="20"/>
                <w:szCs w:val="20"/>
              </w:rPr>
              <w:t>＜</w:t>
            </w:r>
            <w:r>
              <w:rPr>
                <w:kern w:val="0"/>
                <w:sz w:val="20"/>
                <w:szCs w:val="20"/>
              </w:rPr>
              <w:t>X≤10</w:t>
            </w:r>
            <w:r>
              <w:rPr>
                <w:rFonts w:hAnsi="宋体"/>
                <w:kern w:val="0"/>
                <w:sz w:val="20"/>
                <w:szCs w:val="20"/>
              </w:rPr>
              <w:t>，得</w:t>
            </w:r>
            <w:r>
              <w:rPr>
                <w:kern w:val="0"/>
                <w:sz w:val="20"/>
                <w:szCs w:val="20"/>
              </w:rPr>
              <w:t>8</w:t>
            </w:r>
            <w:r>
              <w:rPr>
                <w:rFonts w:hAnsi="宋体"/>
                <w:kern w:val="0"/>
                <w:sz w:val="20"/>
                <w:szCs w:val="20"/>
              </w:rPr>
              <w:t>分；</w:t>
            </w:r>
            <w:r>
              <w:rPr>
                <w:kern w:val="0"/>
                <w:sz w:val="20"/>
                <w:szCs w:val="20"/>
              </w:rPr>
              <w:br w:type="textWrapping"/>
            </w:r>
            <w:r>
              <w:rPr>
                <w:rFonts w:hAnsi="宋体"/>
                <w:kern w:val="0"/>
                <w:sz w:val="20"/>
                <w:szCs w:val="20"/>
              </w:rPr>
              <w:t>③</w:t>
            </w:r>
            <w:r>
              <w:rPr>
                <w:kern w:val="0"/>
                <w:sz w:val="20"/>
                <w:szCs w:val="20"/>
              </w:rPr>
              <w:t>10</w:t>
            </w:r>
            <w:r>
              <w:rPr>
                <w:rFonts w:hAnsi="宋体"/>
                <w:kern w:val="0"/>
                <w:sz w:val="20"/>
                <w:szCs w:val="20"/>
              </w:rPr>
              <w:t>＜</w:t>
            </w:r>
            <w:r>
              <w:rPr>
                <w:kern w:val="0"/>
                <w:sz w:val="20"/>
                <w:szCs w:val="20"/>
              </w:rPr>
              <w:t>X≤20</w:t>
            </w:r>
            <w:r>
              <w:rPr>
                <w:rFonts w:hAnsi="宋体"/>
                <w:kern w:val="0"/>
                <w:sz w:val="20"/>
                <w:szCs w:val="20"/>
              </w:rPr>
              <w:t>，得</w:t>
            </w:r>
            <w:r>
              <w:rPr>
                <w:kern w:val="0"/>
                <w:sz w:val="20"/>
                <w:szCs w:val="20"/>
              </w:rPr>
              <w:t>6</w:t>
            </w:r>
            <w:r>
              <w:rPr>
                <w:rFonts w:hAnsi="宋体"/>
                <w:kern w:val="0"/>
                <w:sz w:val="20"/>
                <w:szCs w:val="20"/>
              </w:rPr>
              <w:t>分；</w:t>
            </w:r>
            <w:r>
              <w:rPr>
                <w:kern w:val="0"/>
                <w:sz w:val="20"/>
                <w:szCs w:val="20"/>
              </w:rPr>
              <w:br w:type="textWrapping"/>
            </w:r>
            <w:r>
              <w:rPr>
                <w:rFonts w:hAnsi="宋体"/>
                <w:kern w:val="0"/>
                <w:sz w:val="20"/>
                <w:szCs w:val="20"/>
              </w:rPr>
              <w:t>④</w:t>
            </w:r>
            <w:r>
              <w:rPr>
                <w:kern w:val="0"/>
                <w:sz w:val="20"/>
                <w:szCs w:val="20"/>
              </w:rPr>
              <w:t>20</w:t>
            </w:r>
            <w:r>
              <w:rPr>
                <w:rFonts w:hAnsi="宋体"/>
                <w:kern w:val="0"/>
                <w:sz w:val="20"/>
                <w:szCs w:val="20"/>
              </w:rPr>
              <w:t>＜</w:t>
            </w:r>
            <w:r>
              <w:rPr>
                <w:kern w:val="0"/>
                <w:sz w:val="20"/>
                <w:szCs w:val="20"/>
              </w:rPr>
              <w:t>X≤30</w:t>
            </w:r>
            <w:r>
              <w:rPr>
                <w:rFonts w:hAnsi="宋体"/>
                <w:kern w:val="0"/>
                <w:sz w:val="20"/>
                <w:szCs w:val="20"/>
              </w:rPr>
              <w:t>，得</w:t>
            </w:r>
            <w:r>
              <w:rPr>
                <w:kern w:val="0"/>
                <w:sz w:val="20"/>
                <w:szCs w:val="20"/>
              </w:rPr>
              <w:t>4</w:t>
            </w:r>
            <w:r>
              <w:rPr>
                <w:rFonts w:hAnsi="宋体"/>
                <w:kern w:val="0"/>
                <w:sz w:val="20"/>
                <w:szCs w:val="20"/>
              </w:rPr>
              <w:t>分；</w:t>
            </w:r>
            <w:r>
              <w:rPr>
                <w:kern w:val="0"/>
                <w:sz w:val="20"/>
                <w:szCs w:val="20"/>
              </w:rPr>
              <w:br w:type="textWrapping"/>
            </w:r>
            <w:r>
              <w:rPr>
                <w:rFonts w:hAnsi="宋体"/>
                <w:kern w:val="0"/>
                <w:sz w:val="20"/>
                <w:szCs w:val="20"/>
              </w:rPr>
              <w:t>⑤</w:t>
            </w:r>
            <w:r>
              <w:rPr>
                <w:kern w:val="0"/>
                <w:sz w:val="20"/>
                <w:szCs w:val="20"/>
              </w:rPr>
              <w:t>X</w:t>
            </w:r>
            <w:r>
              <w:rPr>
                <w:rFonts w:hAnsi="宋体"/>
                <w:kern w:val="0"/>
                <w:sz w:val="20"/>
                <w:szCs w:val="20"/>
              </w:rPr>
              <w:t>＞</w:t>
            </w:r>
            <w:r>
              <w:rPr>
                <w:kern w:val="0"/>
                <w:sz w:val="20"/>
                <w:szCs w:val="20"/>
              </w:rPr>
              <w:t>30</w:t>
            </w:r>
            <w:r>
              <w:rPr>
                <w:rFonts w:hAnsi="宋体"/>
                <w:kern w:val="0"/>
                <w:sz w:val="20"/>
                <w:szCs w:val="20"/>
              </w:rPr>
              <w:t>，得</w:t>
            </w:r>
            <w:r>
              <w:rPr>
                <w:kern w:val="0"/>
                <w:sz w:val="20"/>
                <w:szCs w:val="20"/>
              </w:rPr>
              <w:t>2</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8</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年初：</w:t>
            </w:r>
            <w:r>
              <w:rPr>
                <w:kern w:val="0"/>
                <w:sz w:val="20"/>
                <w:szCs w:val="20"/>
              </w:rPr>
              <w:t>9934783.46</w:t>
            </w:r>
            <w:r>
              <w:rPr>
                <w:kern w:val="0"/>
                <w:sz w:val="20"/>
                <w:szCs w:val="20"/>
              </w:rPr>
              <w:br w:type="textWrapping"/>
            </w:r>
            <w:r>
              <w:rPr>
                <w:rFonts w:hAnsi="宋体"/>
                <w:kern w:val="0"/>
                <w:sz w:val="20"/>
                <w:szCs w:val="20"/>
              </w:rPr>
              <w:t>年末：</w:t>
            </w:r>
            <w:r>
              <w:rPr>
                <w:kern w:val="0"/>
                <w:sz w:val="20"/>
                <w:szCs w:val="20"/>
              </w:rPr>
              <w:t>10070966.46</w:t>
            </w:r>
          </w:p>
        </w:tc>
      </w:tr>
      <w:tr>
        <w:tblPrEx>
          <w:tblLayout w:type="fixed"/>
          <w:tblCellMar>
            <w:top w:w="0" w:type="dxa"/>
            <w:left w:w="108" w:type="dxa"/>
            <w:bottom w:w="0" w:type="dxa"/>
            <w:right w:w="108" w:type="dxa"/>
          </w:tblCellMar>
        </w:tblPrEx>
        <w:trPr>
          <w:trHeight w:val="679" w:hRule="atLeast"/>
        </w:trPr>
        <w:tc>
          <w:tcPr>
            <w:tcW w:w="169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kern w:val="0"/>
                <w:sz w:val="20"/>
                <w:szCs w:val="20"/>
              </w:rPr>
            </w:pP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rFonts w:hAnsi="宋体"/>
                <w:kern w:val="0"/>
                <w:sz w:val="20"/>
                <w:szCs w:val="20"/>
              </w:rPr>
              <w:t>满意度</w:t>
            </w: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内部满意度</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kern w:val="0"/>
                <w:sz w:val="20"/>
                <w:szCs w:val="20"/>
              </w:rPr>
            </w:pPr>
            <w:r>
              <w:rPr>
                <w:rFonts w:hAnsi="宋体"/>
                <w:kern w:val="0"/>
                <w:sz w:val="20"/>
                <w:szCs w:val="20"/>
              </w:rPr>
              <w:t>国有资产管理工作单位内部满意度</w:t>
            </w:r>
            <w:r>
              <w:rPr>
                <w:kern w:val="0"/>
                <w:sz w:val="20"/>
                <w:szCs w:val="20"/>
              </w:rPr>
              <w:t>95%</w:t>
            </w:r>
            <w:r>
              <w:rPr>
                <w:rFonts w:hAnsi="宋体"/>
                <w:kern w:val="0"/>
                <w:sz w:val="20"/>
                <w:szCs w:val="20"/>
              </w:rPr>
              <w:t>以上的得</w:t>
            </w:r>
            <w:r>
              <w:rPr>
                <w:kern w:val="0"/>
                <w:sz w:val="20"/>
                <w:szCs w:val="20"/>
              </w:rPr>
              <w:t>10</w:t>
            </w:r>
            <w:r>
              <w:rPr>
                <w:rFonts w:hAnsi="宋体"/>
                <w:kern w:val="0"/>
                <w:sz w:val="20"/>
                <w:szCs w:val="20"/>
              </w:rPr>
              <w:t>分，</w:t>
            </w:r>
            <w:r>
              <w:rPr>
                <w:kern w:val="0"/>
                <w:sz w:val="20"/>
                <w:szCs w:val="20"/>
              </w:rPr>
              <w:t>90-95%</w:t>
            </w:r>
            <w:r>
              <w:rPr>
                <w:rFonts w:hAnsi="宋体"/>
                <w:kern w:val="0"/>
                <w:sz w:val="20"/>
                <w:szCs w:val="20"/>
              </w:rPr>
              <w:t>得</w:t>
            </w:r>
            <w:r>
              <w:rPr>
                <w:kern w:val="0"/>
                <w:sz w:val="20"/>
                <w:szCs w:val="20"/>
              </w:rPr>
              <w:t>8</w:t>
            </w:r>
            <w:r>
              <w:rPr>
                <w:rFonts w:hAnsi="宋体"/>
                <w:kern w:val="0"/>
                <w:sz w:val="20"/>
                <w:szCs w:val="20"/>
              </w:rPr>
              <w:t>分，</w:t>
            </w:r>
            <w:r>
              <w:rPr>
                <w:kern w:val="0"/>
                <w:sz w:val="20"/>
                <w:szCs w:val="20"/>
              </w:rPr>
              <w:t>80-90%</w:t>
            </w:r>
            <w:r>
              <w:rPr>
                <w:rFonts w:hAnsi="宋体"/>
                <w:kern w:val="0"/>
                <w:sz w:val="20"/>
                <w:szCs w:val="20"/>
              </w:rPr>
              <w:t>得</w:t>
            </w:r>
            <w:r>
              <w:rPr>
                <w:kern w:val="0"/>
                <w:sz w:val="20"/>
                <w:szCs w:val="20"/>
              </w:rPr>
              <w:t>6</w:t>
            </w:r>
            <w:r>
              <w:rPr>
                <w:rFonts w:hAnsi="宋体"/>
                <w:kern w:val="0"/>
                <w:sz w:val="20"/>
                <w:szCs w:val="20"/>
              </w:rPr>
              <w:t>分，</w:t>
            </w:r>
            <w:r>
              <w:rPr>
                <w:kern w:val="0"/>
                <w:sz w:val="20"/>
                <w:szCs w:val="20"/>
              </w:rPr>
              <w:t>70-80%</w:t>
            </w:r>
            <w:r>
              <w:rPr>
                <w:rFonts w:hAnsi="宋体"/>
                <w:kern w:val="0"/>
                <w:sz w:val="20"/>
                <w:szCs w:val="20"/>
              </w:rPr>
              <w:t>得</w:t>
            </w:r>
            <w:r>
              <w:rPr>
                <w:kern w:val="0"/>
                <w:sz w:val="20"/>
                <w:szCs w:val="20"/>
              </w:rPr>
              <w:t>4</w:t>
            </w:r>
            <w:r>
              <w:rPr>
                <w:rFonts w:hAnsi="宋体"/>
                <w:kern w:val="0"/>
                <w:sz w:val="20"/>
                <w:szCs w:val="20"/>
              </w:rPr>
              <w:t>分，</w:t>
            </w:r>
            <w:r>
              <w:rPr>
                <w:kern w:val="0"/>
                <w:sz w:val="20"/>
                <w:szCs w:val="20"/>
              </w:rPr>
              <w:t>60-70%</w:t>
            </w:r>
            <w:r>
              <w:rPr>
                <w:rFonts w:hAnsi="宋体"/>
                <w:kern w:val="0"/>
                <w:sz w:val="20"/>
                <w:szCs w:val="20"/>
              </w:rPr>
              <w:t>得</w:t>
            </w:r>
            <w:r>
              <w:rPr>
                <w:kern w:val="0"/>
                <w:sz w:val="20"/>
                <w:szCs w:val="20"/>
              </w:rPr>
              <w:t>2</w:t>
            </w:r>
            <w:r>
              <w:rPr>
                <w:rFonts w:hAnsi="宋体"/>
                <w:kern w:val="0"/>
                <w:sz w:val="20"/>
                <w:szCs w:val="20"/>
              </w:rPr>
              <w:t>分，不足</w:t>
            </w:r>
            <w:r>
              <w:rPr>
                <w:kern w:val="0"/>
                <w:sz w:val="20"/>
                <w:szCs w:val="20"/>
              </w:rPr>
              <w:t>60%</w:t>
            </w:r>
            <w:r>
              <w:rPr>
                <w:rFonts w:hAnsi="宋体"/>
                <w:kern w:val="0"/>
                <w:sz w:val="20"/>
                <w:szCs w:val="20"/>
              </w:rPr>
              <w:t>得</w:t>
            </w:r>
            <w:r>
              <w:rPr>
                <w:kern w:val="0"/>
                <w:sz w:val="20"/>
                <w:szCs w:val="20"/>
              </w:rPr>
              <w:t>0</w:t>
            </w:r>
            <w:r>
              <w:rPr>
                <w:rFonts w:hAnsi="宋体"/>
                <w:kern w:val="0"/>
                <w:sz w:val="20"/>
                <w:szCs w:val="20"/>
              </w:rPr>
              <w:t>分。</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r>
        <w:tblPrEx>
          <w:tblLayout w:type="fixed"/>
          <w:tblCellMar>
            <w:top w:w="0" w:type="dxa"/>
            <w:left w:w="108" w:type="dxa"/>
            <w:bottom w:w="0" w:type="dxa"/>
            <w:right w:w="108" w:type="dxa"/>
          </w:tblCellMar>
        </w:tblPrEx>
        <w:trPr>
          <w:trHeight w:val="402" w:hRule="atLeast"/>
        </w:trPr>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kern w:val="0"/>
                <w:sz w:val="20"/>
                <w:szCs w:val="20"/>
              </w:rPr>
            </w:pPr>
            <w:r>
              <w:rPr>
                <w:rFonts w:hAnsi="宋体"/>
                <w:kern w:val="0"/>
                <w:sz w:val="20"/>
                <w:szCs w:val="20"/>
              </w:rPr>
              <w:t>合计</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100</w:t>
            </w:r>
          </w:p>
        </w:tc>
        <w:tc>
          <w:tcPr>
            <w:tcW w:w="418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r>
              <w:rPr>
                <w:kern w:val="0"/>
                <w:sz w:val="20"/>
                <w:szCs w:val="20"/>
              </w:rPr>
              <w:t>93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20" w:lineRule="exact"/>
              <w:jc w:val="center"/>
              <w:rPr>
                <w:kern w:val="0"/>
                <w:sz w:val="20"/>
                <w:szCs w:val="20"/>
              </w:rPr>
            </w:pPr>
          </w:p>
        </w:tc>
      </w:tr>
    </w:tbl>
    <w:p>
      <w:pPr>
        <w:spacing w:line="600" w:lineRule="exact"/>
        <w:jc w:val="center"/>
        <w:outlineLvl w:val="0"/>
        <w:rPr>
          <w:rFonts w:eastAsia="黑体"/>
          <w:sz w:val="44"/>
          <w:szCs w:val="44"/>
        </w:rPr>
        <w:sectPr>
          <w:pgSz w:w="16838" w:h="11906" w:orient="landscape"/>
          <w:pgMar w:top="1531" w:right="2098" w:bottom="1531" w:left="1984" w:header="851" w:footer="1587" w:gutter="0"/>
          <w:pgNumType w:fmt="numberInDash"/>
          <w:cols w:space="0" w:num="1"/>
          <w:docGrid w:type="linesAndChars" w:linePitch="589" w:charSpace="1547"/>
        </w:sectPr>
      </w:pPr>
    </w:p>
    <w:p>
      <w:pPr>
        <w:jc w:val="left"/>
        <w:outlineLvl w:val="0"/>
        <w:rPr>
          <w:rFonts w:ascii="黑体" w:hAnsi="黑体" w:eastAsia="黑体" w:cs="黑体"/>
          <w:szCs w:val="32"/>
        </w:rPr>
      </w:pPr>
      <w:bookmarkStart w:id="138" w:name="_Toc112397111"/>
      <w:r>
        <w:rPr>
          <w:rFonts w:hint="eastAsia" w:ascii="黑体" w:hAnsi="黑体" w:eastAsia="黑体" w:cs="黑体"/>
          <w:szCs w:val="32"/>
        </w:rPr>
        <w:t>附件4</w:t>
      </w:r>
      <w:bookmarkEnd w:id="138"/>
    </w:p>
    <w:p>
      <w:pPr>
        <w:pStyle w:val="2"/>
        <w:spacing w:beforeLines="0" w:line="400" w:lineRule="exact"/>
        <w:rPr>
          <w:rFonts w:ascii="Times New Roman"/>
        </w:rPr>
      </w:pPr>
    </w:p>
    <w:p>
      <w:pPr>
        <w:pStyle w:val="2"/>
        <w:spacing w:beforeLines="0" w:line="500" w:lineRule="exact"/>
        <w:jc w:val="center"/>
        <w:rPr>
          <w:rFonts w:ascii="Times New Roman" w:eastAsia="方正小标宋简体"/>
          <w:sz w:val="44"/>
          <w:szCs w:val="44"/>
        </w:rPr>
      </w:pPr>
      <w:r>
        <w:rPr>
          <w:rFonts w:ascii="Times New Roman" w:eastAsia="方正小标宋简体"/>
          <w:b/>
          <w:bCs/>
          <w:sz w:val="44"/>
          <w:szCs w:val="44"/>
        </w:rPr>
        <w:t>2021</w:t>
      </w:r>
      <w:r>
        <w:rPr>
          <w:rFonts w:ascii="Times New Roman" w:eastAsia="方正小标宋简体"/>
          <w:sz w:val="44"/>
          <w:szCs w:val="44"/>
        </w:rPr>
        <w:t>年</w:t>
      </w:r>
      <w:r>
        <w:rPr>
          <w:rFonts w:ascii="Times New Roman" w:eastAsia="方正小标宋简体"/>
          <w:b/>
          <w:bCs/>
          <w:sz w:val="44"/>
          <w:szCs w:val="44"/>
        </w:rPr>
        <w:t>100</w:t>
      </w:r>
      <w:r>
        <w:rPr>
          <w:rFonts w:ascii="Times New Roman" w:eastAsia="方正小标宋简体"/>
          <w:sz w:val="44"/>
          <w:szCs w:val="44"/>
        </w:rPr>
        <w:t>万元以上（含）特定目标类部门</w:t>
      </w:r>
    </w:p>
    <w:p>
      <w:pPr>
        <w:pStyle w:val="2"/>
        <w:spacing w:beforeLines="0" w:line="500" w:lineRule="exact"/>
        <w:jc w:val="center"/>
        <w:rPr>
          <w:rFonts w:ascii="Times New Roman" w:eastAsia="方正小标宋简体"/>
          <w:sz w:val="44"/>
          <w:szCs w:val="44"/>
        </w:rPr>
      </w:pPr>
      <w:r>
        <w:rPr>
          <w:rFonts w:ascii="Times New Roman" w:eastAsia="方正小标宋简体"/>
          <w:sz w:val="44"/>
          <w:szCs w:val="44"/>
        </w:rPr>
        <w:t>预算项目绩效目标自评</w:t>
      </w:r>
    </w:p>
    <w:p>
      <w:pPr>
        <w:pStyle w:val="2"/>
        <w:spacing w:beforeLines="0" w:line="420" w:lineRule="exact"/>
        <w:jc w:val="center"/>
        <w:rPr>
          <w:rFonts w:ascii="Times New Roman" w:eastAsia="仿宋"/>
          <w:sz w:val="10"/>
          <w:szCs w:val="10"/>
        </w:rPr>
      </w:pPr>
    </w:p>
    <w:p>
      <w:pPr>
        <w:pStyle w:val="2"/>
        <w:spacing w:beforeLines="0" w:afterLines="50" w:line="440" w:lineRule="exact"/>
        <w:jc w:val="center"/>
        <w:rPr>
          <w:rFonts w:ascii="Times New Roman" w:eastAsia="黑体"/>
          <w:sz w:val="32"/>
          <w:szCs w:val="32"/>
        </w:rPr>
      </w:pPr>
      <w:r>
        <w:rPr>
          <w:rFonts w:ascii="Times New Roman" w:hAnsi="黑体" w:eastAsia="黑体"/>
          <w:sz w:val="32"/>
          <w:szCs w:val="32"/>
        </w:rPr>
        <w:t>检察官学院运转经费项目</w:t>
      </w:r>
    </w:p>
    <w:p>
      <w:pPr>
        <w:spacing w:line="540" w:lineRule="exact"/>
        <w:ind w:firstLine="654" w:firstLineChars="200"/>
        <w:rPr>
          <w:szCs w:val="32"/>
        </w:rPr>
      </w:pPr>
      <w:r>
        <w:rPr>
          <w:szCs w:val="32"/>
        </w:rPr>
        <w:drawing>
          <wp:anchor distT="0" distB="0" distL="114300" distR="114300" simplePos="0" relativeHeight="251659264" behindDoc="0" locked="0" layoutInCell="1" allowOverlap="1">
            <wp:simplePos x="0" y="0"/>
            <wp:positionH relativeFrom="column">
              <wp:posOffset>313690</wp:posOffset>
            </wp:positionH>
            <wp:positionV relativeFrom="paragraph">
              <wp:posOffset>2281555</wp:posOffset>
            </wp:positionV>
            <wp:extent cx="5105400" cy="4010025"/>
            <wp:effectExtent l="19050" t="0" r="0" b="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3"/>
                    <a:srcRect/>
                    <a:stretch>
                      <a:fillRect/>
                    </a:stretch>
                  </pic:blipFill>
                  <pic:spPr>
                    <a:xfrm>
                      <a:off x="0" y="0"/>
                      <a:ext cx="5105400" cy="4010025"/>
                    </a:xfrm>
                    <a:prstGeom prst="rect">
                      <a:avLst/>
                    </a:prstGeom>
                    <a:noFill/>
                    <a:ln w="9525">
                      <a:noFill/>
                      <a:miter lim="800000"/>
                      <a:headEnd/>
                      <a:tailEnd/>
                    </a:ln>
                  </pic:spPr>
                </pic:pic>
              </a:graphicData>
            </a:graphic>
          </wp:anchor>
        </w:drawing>
      </w:r>
      <w:r>
        <w:rPr>
          <w:szCs w:val="32"/>
        </w:rPr>
        <w:t>项目绩效目标完成情况综述。项目全年预算数560万元，其中：财政拨款195万元、其他资金365万元。当年执行数为556.02万元，其中：财政资金188.49万元、其他资金367.53万元，完成预算的99.29%。通过项目实施，保障了四川检察官学院日常教学活动所需水电气及日常维修、环境维护、安全管理等消耗需求，确保学院各项业务正常运行。</w:t>
      </w:r>
    </w:p>
    <w:p>
      <w:pPr>
        <w:pStyle w:val="2"/>
        <w:spacing w:beforeLines="0" w:afterLines="50" w:line="540" w:lineRule="exact"/>
        <w:jc w:val="center"/>
        <w:rPr>
          <w:rFonts w:ascii="Times New Roman" w:eastAsia="黑体"/>
          <w:sz w:val="32"/>
          <w:szCs w:val="32"/>
        </w:rPr>
      </w:pPr>
      <w:r>
        <w:rPr>
          <w:rFonts w:ascii="Times New Roman" w:hAnsi="黑体" w:eastAsia="黑体"/>
          <w:sz w:val="32"/>
          <w:szCs w:val="32"/>
        </w:rPr>
        <w:t>教学活动经费项目</w:t>
      </w:r>
    </w:p>
    <w:p>
      <w:pPr>
        <w:pStyle w:val="2"/>
        <w:spacing w:beforeLines="0"/>
        <w:ind w:firstLine="654" w:firstLineChars="200"/>
        <w:rPr>
          <w:rFonts w:ascii="Times New Roman"/>
          <w:sz w:val="32"/>
          <w:szCs w:val="32"/>
        </w:rPr>
      </w:pPr>
      <w:r>
        <w:rPr>
          <w:rFonts w:ascii="Times New Roman"/>
          <w:sz w:val="32"/>
          <w:szCs w:val="32"/>
        </w:rPr>
        <w:t>项目完成情况综述。项目全年预算805.1万元，其中：财政资金270.6万元、其他资金534.5万元，当年实际执行836.51万元，其中：财政资金270.6万元、其他资金565.55万元，完成预算103.9%。通过项目实施，保障了四川检察官学院165期</w:t>
      </w:r>
      <w:r>
        <w:rPr>
          <w:rFonts w:hint="eastAsia" w:ascii="Times New Roman"/>
          <w:sz w:val="32"/>
          <w:szCs w:val="32"/>
        </w:rPr>
        <w:t>，共计</w:t>
      </w:r>
      <w:r>
        <w:rPr>
          <w:rFonts w:ascii="Times New Roman"/>
          <w:sz w:val="32"/>
          <w:szCs w:val="32"/>
        </w:rPr>
        <w:t>11985人次</w:t>
      </w:r>
      <w:r>
        <w:rPr>
          <w:rFonts w:hint="eastAsia" w:ascii="Times New Roman"/>
          <w:sz w:val="32"/>
          <w:szCs w:val="32"/>
        </w:rPr>
        <w:t>的</w:t>
      </w:r>
      <w:r>
        <w:rPr>
          <w:rFonts w:ascii="Times New Roman"/>
          <w:sz w:val="32"/>
          <w:szCs w:val="32"/>
        </w:rPr>
        <w:t>培训工作，按时兑现教学活动人员工资、社保等需求，确保各项教学活动正常开展。存在的问题：预算执行率超过年初预算。下一步措施：合理测算年度收入情况，科学编制单位预算。</w:t>
      </w:r>
    </w:p>
    <w:p>
      <w:pPr>
        <w:pStyle w:val="2"/>
        <w:spacing w:before="173"/>
        <w:jc w:val="center"/>
        <w:rPr>
          <w:rFonts w:ascii="Times New Roman"/>
          <w:b/>
          <w:sz w:val="32"/>
          <w:szCs w:val="32"/>
        </w:rPr>
      </w:pPr>
      <w:r>
        <w:rPr>
          <w:rFonts w:ascii="Times New Roman"/>
          <w:b/>
          <w:sz w:val="32"/>
          <w:szCs w:val="32"/>
        </w:rPr>
        <w:drawing>
          <wp:inline distT="0" distB="0" distL="0" distR="0">
            <wp:extent cx="6197600" cy="4151630"/>
            <wp:effectExtent l="0" t="0" r="12700" b="127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4"/>
                    <a:srcRect/>
                    <a:stretch>
                      <a:fillRect/>
                    </a:stretch>
                  </pic:blipFill>
                  <pic:spPr>
                    <a:xfrm>
                      <a:off x="0" y="0"/>
                      <a:ext cx="6197600" cy="4151630"/>
                    </a:xfrm>
                    <a:prstGeom prst="rect">
                      <a:avLst/>
                    </a:prstGeom>
                    <a:noFill/>
                    <a:ln w="9525">
                      <a:noFill/>
                      <a:miter lim="800000"/>
                      <a:headEnd/>
                      <a:tailEnd/>
                    </a:ln>
                  </pic:spPr>
                </pic:pic>
              </a:graphicData>
            </a:graphic>
          </wp:inline>
        </w:drawing>
      </w:r>
    </w:p>
    <w:p>
      <w:pPr>
        <w:pStyle w:val="2"/>
        <w:spacing w:beforeLines="0" w:afterLines="50" w:line="600" w:lineRule="exact"/>
        <w:ind w:firstLine="319" w:firstLineChars="98"/>
        <w:jc w:val="center"/>
        <w:rPr>
          <w:rFonts w:ascii="Times New Roman" w:eastAsia="黑体"/>
          <w:sz w:val="32"/>
          <w:szCs w:val="32"/>
        </w:rPr>
      </w:pPr>
      <w:r>
        <w:rPr>
          <w:rFonts w:ascii="Times New Roman" w:hAnsi="黑体" w:eastAsia="黑体"/>
          <w:sz w:val="32"/>
          <w:szCs w:val="32"/>
        </w:rPr>
        <w:t>四川检察官学院智慧检察教育项目</w:t>
      </w:r>
    </w:p>
    <w:p>
      <w:pPr>
        <w:pStyle w:val="2"/>
        <w:spacing w:beforeLines="0"/>
        <w:ind w:firstLine="654" w:firstLineChars="200"/>
        <w:rPr>
          <w:rFonts w:ascii="Times New Roman"/>
          <w:sz w:val="32"/>
          <w:szCs w:val="32"/>
        </w:rPr>
      </w:pPr>
      <w:r>
        <w:rPr>
          <w:rFonts w:ascii="Times New Roman"/>
          <w:sz w:val="32"/>
          <w:szCs w:val="32"/>
        </w:rPr>
        <w:t>项目完成情况综述。项目全年预算160万元，其中：财政资金0万元、其他资金160万元，当年实际执行53万元，其中：财政资金0万元、其他资金53万元，完成预算33.13%。通过项目实施，建设学员门户网站，开发学员学籍管理、教师管理等板块，进一步提高学员信息化的水平。存在的问题：受新冠疫情影响，四川检察官学院当年非财政拨款收入减少，预算执行率较低。下一步措施：合理测算年度收入情况，科学编制资金使用计划。</w:t>
      </w:r>
    </w:p>
    <w:p>
      <w:pPr>
        <w:pStyle w:val="2"/>
        <w:spacing w:before="173"/>
        <w:rPr>
          <w:rFonts w:ascii="Times New Roman"/>
          <w:b/>
          <w:sz w:val="32"/>
          <w:szCs w:val="32"/>
        </w:rPr>
      </w:pPr>
      <w:r>
        <w:rPr>
          <w:rFonts w:ascii="Times New Roman"/>
          <w:b/>
          <w:sz w:val="32"/>
          <w:szCs w:val="32"/>
        </w:rPr>
        <w:drawing>
          <wp:inline distT="0" distB="0" distL="0" distR="0">
            <wp:extent cx="5483225" cy="4328795"/>
            <wp:effectExtent l="0" t="0" r="317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srcRect/>
                    <a:stretch>
                      <a:fillRect/>
                    </a:stretch>
                  </pic:blipFill>
                  <pic:spPr>
                    <a:xfrm>
                      <a:off x="0" y="0"/>
                      <a:ext cx="5483225" cy="4328795"/>
                    </a:xfrm>
                    <a:prstGeom prst="rect">
                      <a:avLst/>
                    </a:prstGeom>
                    <a:noFill/>
                    <a:ln w="9525">
                      <a:noFill/>
                      <a:miter lim="800000"/>
                      <a:headEnd/>
                      <a:tailEnd/>
                    </a:ln>
                  </pic:spPr>
                </pic:pic>
              </a:graphicData>
            </a:graphic>
          </wp:inline>
        </w:drawing>
      </w:r>
    </w:p>
    <w:p>
      <w:pPr>
        <w:pStyle w:val="2"/>
        <w:spacing w:beforeLines="0" w:afterLines="30" w:line="600" w:lineRule="exact"/>
        <w:jc w:val="center"/>
        <w:rPr>
          <w:rFonts w:ascii="Times New Roman" w:eastAsia="黑体"/>
          <w:sz w:val="32"/>
          <w:szCs w:val="32"/>
        </w:rPr>
      </w:pPr>
      <w:r>
        <w:rPr>
          <w:rFonts w:ascii="Times New Roman" w:hAnsi="黑体" w:eastAsia="黑体"/>
          <w:sz w:val="32"/>
          <w:szCs w:val="32"/>
        </w:rPr>
        <w:t>信息化建设及运行维护经费</w:t>
      </w:r>
    </w:p>
    <w:p>
      <w:pPr>
        <w:pStyle w:val="2"/>
        <w:spacing w:beforeLines="0"/>
        <w:ind w:firstLine="654" w:firstLineChars="200"/>
        <w:rPr>
          <w:rFonts w:ascii="Times New Roman"/>
          <w:sz w:val="32"/>
          <w:szCs w:val="32"/>
        </w:rPr>
      </w:pPr>
      <w:r>
        <w:rPr>
          <w:rFonts w:ascii="Times New Roman"/>
          <w:sz w:val="32"/>
          <w:szCs w:val="32"/>
        </w:rPr>
        <w:t>项目完成情况综述。项目全年预算681万元，其中：财政资金681万元，当年实际执行678.51万元，其中：财政资金678.51万元，完成预算99.63%。通过项目实施，接入电信互联网专线2条，租用移动信息化接入专线7条，开展统一业务软件系统1.5、统一业务应用系统2.0、书生印章系统、视频会议应用系统等系统运维，以及资产管理系统、涉检舆情平台、诉讼档案即时归档运维，维护终端设备500余台（套），保障省检察院信息化系统的正常运行，保障办公办案工作正常开展。</w:t>
      </w:r>
    </w:p>
    <w:p>
      <w:pPr>
        <w:pStyle w:val="2"/>
        <w:spacing w:before="173"/>
        <w:jc w:val="center"/>
        <w:rPr>
          <w:rFonts w:ascii="Times New Roman"/>
          <w:b/>
          <w:sz w:val="32"/>
          <w:szCs w:val="32"/>
        </w:rPr>
      </w:pPr>
      <w:r>
        <w:rPr>
          <w:rFonts w:ascii="Times New Roman"/>
          <w:b/>
          <w:sz w:val="32"/>
          <w:szCs w:val="32"/>
        </w:rPr>
        <w:drawing>
          <wp:inline distT="0" distB="0" distL="0" distR="0">
            <wp:extent cx="5810250" cy="42100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srcRect/>
                    <a:stretch>
                      <a:fillRect/>
                    </a:stretch>
                  </pic:blipFill>
                  <pic:spPr>
                    <a:xfrm>
                      <a:off x="0" y="0"/>
                      <a:ext cx="5810250" cy="4210050"/>
                    </a:xfrm>
                    <a:prstGeom prst="rect">
                      <a:avLst/>
                    </a:prstGeom>
                    <a:noFill/>
                    <a:ln w="9525">
                      <a:noFill/>
                      <a:miter lim="800000"/>
                      <a:headEnd/>
                      <a:tailEnd/>
                    </a:ln>
                  </pic:spPr>
                </pic:pic>
              </a:graphicData>
            </a:graphic>
          </wp:inline>
        </w:drawing>
      </w:r>
    </w:p>
    <w:p>
      <w:pPr>
        <w:pStyle w:val="2"/>
        <w:spacing w:beforeLines="0" w:afterLines="50" w:line="600" w:lineRule="exact"/>
        <w:jc w:val="center"/>
        <w:rPr>
          <w:rFonts w:ascii="Times New Roman" w:eastAsia="黑体"/>
          <w:sz w:val="32"/>
          <w:szCs w:val="32"/>
        </w:rPr>
      </w:pPr>
      <w:r>
        <w:rPr>
          <w:rFonts w:ascii="Times New Roman" w:hAnsi="黑体" w:eastAsia="黑体"/>
          <w:sz w:val="32"/>
          <w:szCs w:val="32"/>
        </w:rPr>
        <w:t>聘用制书记员经费项目</w:t>
      </w:r>
    </w:p>
    <w:p>
      <w:pPr>
        <w:pStyle w:val="2"/>
        <w:spacing w:beforeLines="0"/>
        <w:ind w:firstLine="654" w:firstLineChars="200"/>
        <w:rPr>
          <w:rFonts w:ascii="Times New Roman"/>
          <w:sz w:val="32"/>
          <w:szCs w:val="32"/>
        </w:rPr>
      </w:pPr>
      <w:r>
        <w:rPr>
          <w:rFonts w:ascii="Times New Roman"/>
          <w:sz w:val="32"/>
          <w:szCs w:val="32"/>
        </w:rPr>
        <w:t>项目完成情况综述。项目全年预算604.68万元，其中：财政资金604.68万元，当年实际执行513.82万元，其中：财政资金513.82万元，完成预算84.97%。通过项目实施，为省院机关79名聘用制书记员发放工资，购买社保和住房公积金，为20名新聘书记员配备了统一着装，为书记员履职提供经费保障，辅助了员额检察官办案。</w:t>
      </w:r>
    </w:p>
    <w:p>
      <w:pPr>
        <w:pStyle w:val="2"/>
        <w:spacing w:beforeLines="0"/>
        <w:rPr>
          <w:rFonts w:ascii="Times New Roman"/>
          <w:sz w:val="32"/>
          <w:szCs w:val="32"/>
        </w:rPr>
      </w:pPr>
      <w:r>
        <w:rPr>
          <w:szCs w:val="32"/>
        </w:rPr>
        <w:drawing>
          <wp:inline distT="0" distB="0" distL="0" distR="0">
            <wp:extent cx="5467350" cy="4724400"/>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17"/>
                    <a:srcRect/>
                    <a:stretch>
                      <a:fillRect/>
                    </a:stretch>
                  </pic:blipFill>
                  <pic:spPr>
                    <a:xfrm>
                      <a:off x="0" y="0"/>
                      <a:ext cx="5467820" cy="4724806"/>
                    </a:xfrm>
                    <a:prstGeom prst="rect">
                      <a:avLst/>
                    </a:prstGeom>
                    <a:noFill/>
                    <a:ln w="9525">
                      <a:noFill/>
                      <a:miter lim="800000"/>
                      <a:headEnd/>
                      <a:tailEnd/>
                    </a:ln>
                  </pic:spPr>
                </pic:pic>
              </a:graphicData>
            </a:graphic>
          </wp:inline>
        </w:drawing>
      </w:r>
    </w:p>
    <w:p>
      <w:pPr>
        <w:pStyle w:val="2"/>
        <w:spacing w:beforeLines="0" w:afterLines="50"/>
        <w:jc w:val="center"/>
        <w:rPr>
          <w:rFonts w:ascii="黑体" w:hAnsi="黑体" w:eastAsia="黑体" w:cs="黑体"/>
          <w:sz w:val="32"/>
          <w:szCs w:val="32"/>
        </w:rPr>
      </w:pPr>
    </w:p>
    <w:p>
      <w:pPr>
        <w:pStyle w:val="2"/>
        <w:spacing w:beforeLines="0" w:afterLines="50"/>
        <w:jc w:val="center"/>
        <w:rPr>
          <w:rFonts w:ascii="黑体" w:hAnsi="黑体" w:eastAsia="黑体" w:cs="黑体"/>
          <w:sz w:val="32"/>
          <w:szCs w:val="32"/>
        </w:rPr>
      </w:pPr>
      <w:r>
        <w:rPr>
          <w:rFonts w:hint="eastAsia" w:ascii="黑体" w:hAnsi="黑体" w:eastAsia="黑体" w:cs="黑体"/>
          <w:sz w:val="32"/>
          <w:szCs w:val="32"/>
        </w:rPr>
        <w:t>检察业务经费项目</w:t>
      </w:r>
    </w:p>
    <w:p>
      <w:pPr>
        <w:ind w:firstLine="654" w:firstLineChars="200"/>
        <w:rPr>
          <w:szCs w:val="32"/>
        </w:rPr>
      </w:pPr>
      <w:r>
        <w:rPr>
          <w:szCs w:val="32"/>
        </w:rPr>
        <w:t>项目完成情况综述。项目年初预算数383万元，其中：财政资金383万元、当年执行378.71万元，其中</w:t>
      </w:r>
      <w:r>
        <w:rPr>
          <w:rFonts w:hint="eastAsia"/>
          <w:szCs w:val="32"/>
        </w:rPr>
        <w:t>：</w:t>
      </w:r>
      <w:r>
        <w:rPr>
          <w:szCs w:val="32"/>
        </w:rPr>
        <w:t>财政资金378.71万元，完成预算98.88%。通过本项目实施，主要保障深化检察改革，加强公诉审判监督、审查逮捕、民事行政案件监督、公益诉讼等检察案件办理，加强对全</w:t>
      </w:r>
      <w:r>
        <w:rPr>
          <w:rFonts w:hint="eastAsia"/>
          <w:szCs w:val="32"/>
        </w:rPr>
        <w:t>省</w:t>
      </w:r>
      <w:r>
        <w:rPr>
          <w:szCs w:val="32"/>
        </w:rPr>
        <w:t>检察机关办案指导所需经费。</w:t>
      </w:r>
    </w:p>
    <w:p>
      <w:pPr>
        <w:pStyle w:val="2"/>
        <w:spacing w:before="173"/>
        <w:jc w:val="center"/>
        <w:rPr>
          <w:rFonts w:ascii="Times New Roman"/>
          <w:b/>
          <w:sz w:val="32"/>
          <w:szCs w:val="32"/>
        </w:rPr>
      </w:pPr>
      <w:r>
        <w:rPr>
          <w:rFonts w:ascii="Times New Roman"/>
          <w:b/>
          <w:sz w:val="32"/>
          <w:szCs w:val="32"/>
        </w:rPr>
        <w:drawing>
          <wp:inline distT="0" distB="0" distL="0" distR="0">
            <wp:extent cx="5974715" cy="4899660"/>
            <wp:effectExtent l="0" t="0" r="6985"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a:srcRect/>
                    <a:stretch>
                      <a:fillRect/>
                    </a:stretch>
                  </pic:blipFill>
                  <pic:spPr>
                    <a:xfrm>
                      <a:off x="0" y="0"/>
                      <a:ext cx="5974715" cy="4899660"/>
                    </a:xfrm>
                    <a:prstGeom prst="rect">
                      <a:avLst/>
                    </a:prstGeom>
                    <a:noFill/>
                    <a:ln w="9525">
                      <a:noFill/>
                      <a:miter lim="800000"/>
                      <a:headEnd/>
                      <a:tailEnd/>
                    </a:ln>
                  </pic:spPr>
                </pic:pic>
              </a:graphicData>
            </a:graphic>
          </wp:inline>
        </w:drawing>
      </w:r>
    </w:p>
    <w:p>
      <w:pPr>
        <w:pStyle w:val="2"/>
        <w:spacing w:beforeLines="0" w:afterLines="50"/>
        <w:jc w:val="center"/>
        <w:rPr>
          <w:rFonts w:ascii="黑体" w:hAnsi="黑体" w:eastAsia="黑体" w:cs="黑体"/>
          <w:b/>
          <w:sz w:val="32"/>
          <w:szCs w:val="32"/>
        </w:rPr>
      </w:pPr>
      <w:r>
        <w:rPr>
          <w:rFonts w:hint="eastAsia" w:ascii="黑体" w:hAnsi="黑体" w:eastAsia="黑体" w:cs="黑体"/>
          <w:sz w:val="32"/>
          <w:szCs w:val="32"/>
        </w:rPr>
        <w:t>继续实施项目_省检察院人民中路工作区维修改造项目</w:t>
      </w:r>
    </w:p>
    <w:p>
      <w:pPr>
        <w:pStyle w:val="2"/>
        <w:spacing w:beforeLines="0"/>
        <w:ind w:firstLine="654" w:firstLineChars="200"/>
        <w:rPr>
          <w:rFonts w:ascii="Times New Roman"/>
          <w:b/>
          <w:sz w:val="32"/>
          <w:szCs w:val="32"/>
        </w:rPr>
      </w:pPr>
      <w:r>
        <w:rPr>
          <w:rFonts w:ascii="Times New Roman"/>
          <w:sz w:val="32"/>
          <w:szCs w:val="32"/>
        </w:rPr>
        <w:t>项目完成情况综述。项目年初预算数240万元，年中调减160万元，当年实有预算80万元，其中：财政资金80万元，当年执行0万元，完成预算0%。存在的问题：项目推进慢，预算执行率低，年初确定的项目绩效目标没有实现。下一步措施：科学编制单位预算，加快项目推进，确保实现项目绩效目标，完成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615940" cy="4860290"/>
            <wp:effectExtent l="0" t="0" r="381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srcRect/>
                    <a:stretch>
                      <a:fillRect/>
                    </a:stretch>
                  </pic:blipFill>
                  <pic:spPr>
                    <a:xfrm>
                      <a:off x="0" y="0"/>
                      <a:ext cx="5615940" cy="4860290"/>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hAnsi="黑体" w:eastAsia="黑体"/>
          <w:sz w:val="32"/>
          <w:szCs w:val="32"/>
        </w:rPr>
        <w:t>聘用制书记员经费项目</w:t>
      </w:r>
    </w:p>
    <w:p>
      <w:pPr>
        <w:pStyle w:val="2"/>
        <w:spacing w:beforeLines="0"/>
        <w:ind w:firstLine="654" w:firstLineChars="200"/>
        <w:rPr>
          <w:rFonts w:ascii="Times New Roman"/>
          <w:sz w:val="32"/>
          <w:szCs w:val="32"/>
        </w:rPr>
      </w:pPr>
      <w:r>
        <w:rPr>
          <w:rFonts w:ascii="Times New Roman"/>
          <w:sz w:val="32"/>
          <w:szCs w:val="32"/>
        </w:rPr>
        <w:t>项目完成情况综述。项目全年预算115.51万元，其中：财政资金115.51万元，当年执行70.9万元，其中：财政资金70.9万元，完成预算61.38%。通过项目实施，为成铁分院机关8名聘用制书记员发放工资，购买社保和住房公积金。存在的问题：原定要新招8个聘用制书记员，因项目推进慢，未招聘到位，导致预算执行率低，年底调减预算。下一步措施：科学编制单位预算，加快项目推进，确保实现项目绩效目标，完成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092065" cy="4300855"/>
            <wp:effectExtent l="0" t="0" r="1333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a:srcRect/>
                    <a:stretch>
                      <a:fillRect/>
                    </a:stretch>
                  </pic:blipFill>
                  <pic:spPr>
                    <a:xfrm>
                      <a:off x="0" y="0"/>
                      <a:ext cx="5092065" cy="4300855"/>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hAnsi="黑体" w:eastAsia="黑体"/>
          <w:sz w:val="32"/>
          <w:szCs w:val="32"/>
        </w:rPr>
        <w:t>全省检察机关人工智能语音基础平台建设项目</w:t>
      </w:r>
    </w:p>
    <w:p>
      <w:pPr>
        <w:pStyle w:val="2"/>
        <w:spacing w:beforeLines="0" w:line="520" w:lineRule="exact"/>
        <w:ind w:firstLine="654" w:firstLineChars="200"/>
        <w:rPr>
          <w:rFonts w:ascii="Times New Roman"/>
          <w:sz w:val="32"/>
          <w:szCs w:val="32"/>
        </w:rPr>
      </w:pPr>
      <w:r>
        <w:rPr>
          <w:rFonts w:ascii="Times New Roman"/>
          <w:sz w:val="32"/>
          <w:szCs w:val="32"/>
        </w:rPr>
        <w:t>项目完成情况综述。项目全年预算105万元，其中：财政资金105万元，当年执行105万元，其中：财政资金105万元，完成预算100%。通过项目实施，完成智能语音终端输入法200个、审讯室智能语音审讯系统应用</w:t>
      </w:r>
      <w:r>
        <w:rPr>
          <w:rFonts w:ascii="Times New Roman"/>
          <w:sz w:val="32"/>
          <w:szCs w:val="32"/>
        </w:rPr>
        <w:tab/>
      </w:r>
      <w:r>
        <w:rPr>
          <w:rFonts w:ascii="Times New Roman"/>
          <w:sz w:val="32"/>
          <w:szCs w:val="32"/>
        </w:rPr>
        <w:t>4个、会议室智能语音会议系统应用7个。建成的省院智能语音服务系统基础能力平台，为检察人员提供更加快捷高效、智能精准的信息服务；智能语音输入系统建设，实现语音识别输入的文字转写功能；智能会议系统建设，实现在会议场景下的实时音频或录音采集，并通过语音识别技术实时转化为文字</w:t>
      </w:r>
      <w:r>
        <w:rPr>
          <w:rFonts w:hint="eastAsia" w:ascii="Times New Roman"/>
          <w:sz w:val="32"/>
          <w:szCs w:val="32"/>
        </w:rPr>
        <w:t>。</w:t>
      </w:r>
    </w:p>
    <w:p>
      <w:pPr>
        <w:pStyle w:val="2"/>
        <w:spacing w:before="173"/>
        <w:jc w:val="center"/>
        <w:rPr>
          <w:rFonts w:ascii="Times New Roman"/>
          <w:b/>
          <w:sz w:val="32"/>
          <w:szCs w:val="32"/>
        </w:rPr>
      </w:pPr>
      <w:r>
        <w:rPr>
          <w:rFonts w:ascii="Times New Roman"/>
          <w:b/>
          <w:sz w:val="32"/>
          <w:szCs w:val="32"/>
        </w:rPr>
        <w:drawing>
          <wp:inline distT="0" distB="0" distL="0" distR="0">
            <wp:extent cx="5694680" cy="4210050"/>
            <wp:effectExtent l="19050" t="0" r="909" b="0"/>
            <wp:docPr id="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pic:cNvPicPr>
                      <a:picLocks noChangeAspect="1" noChangeArrowheads="1"/>
                    </pic:cNvPicPr>
                  </pic:nvPicPr>
                  <pic:blipFill>
                    <a:blip r:embed="rId21"/>
                    <a:srcRect/>
                    <a:stretch>
                      <a:fillRect/>
                    </a:stretch>
                  </pic:blipFill>
                  <pic:spPr>
                    <a:xfrm>
                      <a:off x="0" y="0"/>
                      <a:ext cx="5695949" cy="4210721"/>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hAnsi="黑体" w:eastAsia="黑体"/>
          <w:sz w:val="32"/>
          <w:szCs w:val="32"/>
        </w:rPr>
        <w:t>继续实施项目</w:t>
      </w:r>
      <w:r>
        <w:rPr>
          <w:rFonts w:ascii="Times New Roman" w:eastAsia="黑体"/>
          <w:sz w:val="32"/>
          <w:szCs w:val="32"/>
        </w:rPr>
        <w:t>_</w:t>
      </w:r>
      <w:r>
        <w:rPr>
          <w:rFonts w:ascii="Times New Roman" w:hAnsi="黑体" w:eastAsia="黑体"/>
          <w:sz w:val="32"/>
          <w:szCs w:val="32"/>
        </w:rPr>
        <w:t>省铁路检察院业务用房建设项目</w:t>
      </w:r>
    </w:p>
    <w:p>
      <w:pPr>
        <w:pStyle w:val="2"/>
        <w:spacing w:beforeLines="0"/>
        <w:ind w:firstLine="654" w:firstLineChars="200"/>
        <w:rPr>
          <w:rFonts w:ascii="Times New Roman"/>
          <w:sz w:val="32"/>
          <w:szCs w:val="32"/>
        </w:rPr>
      </w:pPr>
      <w:r>
        <w:rPr>
          <w:rFonts w:ascii="Times New Roman"/>
          <w:sz w:val="32"/>
          <w:szCs w:val="32"/>
        </w:rPr>
        <w:t>项目完成情况综述。项目全年预算100万元，其中：财政资金100万元，当年执行100万元，其中：财政资金100万元，完成预算100%。通过项目实施，2020年全面完成四川省铁路检察院业务用房建设项目竣工验收并投入使用，完成项目竣工结算工作，建成24280平方米业务用房，按合同约定支付工程进度款，保障省铁路检察院业务用房按期投入使用。</w:t>
      </w:r>
    </w:p>
    <w:p>
      <w:pPr>
        <w:pStyle w:val="2"/>
        <w:spacing w:before="173"/>
        <w:rPr>
          <w:rFonts w:ascii="Times New Roman"/>
          <w:b/>
          <w:sz w:val="32"/>
          <w:szCs w:val="32"/>
        </w:rPr>
      </w:pPr>
      <w:r>
        <w:rPr>
          <w:rFonts w:ascii="Times New Roman"/>
          <w:b/>
          <w:sz w:val="32"/>
          <w:szCs w:val="32"/>
        </w:rPr>
        <w:drawing>
          <wp:inline distT="0" distB="0" distL="0" distR="0">
            <wp:extent cx="5615940" cy="4734560"/>
            <wp:effectExtent l="0" t="0" r="381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2"/>
                    <a:srcRect/>
                    <a:stretch>
                      <a:fillRect/>
                    </a:stretch>
                  </pic:blipFill>
                  <pic:spPr>
                    <a:xfrm>
                      <a:off x="0" y="0"/>
                      <a:ext cx="5615940" cy="4734560"/>
                    </a:xfrm>
                    <a:prstGeom prst="rect">
                      <a:avLst/>
                    </a:prstGeom>
                    <a:noFill/>
                    <a:ln w="9525">
                      <a:noFill/>
                      <a:miter lim="800000"/>
                      <a:headEnd/>
                      <a:tailEnd/>
                    </a:ln>
                  </pic:spPr>
                </pic:pic>
              </a:graphicData>
            </a:graphic>
          </wp:inline>
        </w:drawing>
      </w:r>
    </w:p>
    <w:p>
      <w:pPr>
        <w:pStyle w:val="2"/>
        <w:spacing w:before="173"/>
        <w:rPr>
          <w:rFonts w:ascii="Times New Roman"/>
          <w:b/>
          <w:sz w:val="32"/>
          <w:szCs w:val="32"/>
        </w:rPr>
      </w:pPr>
    </w:p>
    <w:p>
      <w:pPr>
        <w:pStyle w:val="2"/>
        <w:spacing w:beforeLines="0" w:afterLines="50"/>
        <w:jc w:val="center"/>
        <w:rPr>
          <w:rFonts w:ascii="Times New Roman" w:eastAsia="黑体"/>
          <w:sz w:val="32"/>
          <w:szCs w:val="32"/>
        </w:rPr>
      </w:pPr>
      <w:r>
        <w:rPr>
          <w:rFonts w:ascii="Times New Roman" w:hAnsi="黑体" w:eastAsia="黑体"/>
          <w:sz w:val="32"/>
          <w:szCs w:val="32"/>
        </w:rPr>
        <w:t>司法救助经费项目</w:t>
      </w:r>
    </w:p>
    <w:p>
      <w:pPr>
        <w:pStyle w:val="2"/>
        <w:spacing w:beforeLines="0"/>
        <w:ind w:firstLine="654" w:firstLineChars="200"/>
        <w:rPr>
          <w:rFonts w:ascii="Times New Roman"/>
          <w:sz w:val="32"/>
          <w:szCs w:val="32"/>
        </w:rPr>
      </w:pPr>
      <w:r>
        <w:rPr>
          <w:rFonts w:ascii="Times New Roman"/>
          <w:sz w:val="32"/>
          <w:szCs w:val="32"/>
        </w:rPr>
        <w:t>项目完成情况综述。项目全年预算124万元，其中：财政资金124万元，当年执行124万元，其中：财政资金124万元，完成预算100%。通过项目实施，开展因司法原因导致的生活贫困人员调查，救助因司法原因导致的生活贫困人员31人。司法救助让被救助人尽快恢复正常的基本生活条件，体现了司法为民精神。</w:t>
      </w:r>
    </w:p>
    <w:p>
      <w:pPr>
        <w:pStyle w:val="2"/>
        <w:spacing w:before="173"/>
        <w:rPr>
          <w:rFonts w:ascii="Times New Roman"/>
          <w:b/>
          <w:sz w:val="32"/>
          <w:szCs w:val="32"/>
        </w:rPr>
      </w:pPr>
      <w:r>
        <w:rPr>
          <w:rFonts w:ascii="Times New Roman"/>
          <w:b/>
          <w:sz w:val="32"/>
          <w:szCs w:val="32"/>
        </w:rPr>
        <w:drawing>
          <wp:inline distT="0" distB="0" distL="0" distR="0">
            <wp:extent cx="5615940" cy="4727575"/>
            <wp:effectExtent l="1905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3"/>
                    <a:srcRect/>
                    <a:stretch>
                      <a:fillRect/>
                    </a:stretch>
                  </pic:blipFill>
                  <pic:spPr>
                    <a:xfrm>
                      <a:off x="0" y="0"/>
                      <a:ext cx="5615940" cy="4727688"/>
                    </a:xfrm>
                    <a:prstGeom prst="rect">
                      <a:avLst/>
                    </a:prstGeom>
                    <a:noFill/>
                    <a:ln w="9525">
                      <a:noFill/>
                      <a:miter lim="800000"/>
                      <a:headEnd/>
                      <a:tailEnd/>
                    </a:ln>
                  </pic:spPr>
                </pic:pic>
              </a:graphicData>
            </a:graphic>
          </wp:inline>
        </w:drawing>
      </w:r>
    </w:p>
    <w:p>
      <w:pPr>
        <w:pStyle w:val="2"/>
        <w:spacing w:before="173"/>
        <w:jc w:val="center"/>
        <w:rPr>
          <w:rFonts w:ascii="Times New Roman" w:eastAsia="黑体"/>
          <w:sz w:val="36"/>
          <w:szCs w:val="36"/>
        </w:rPr>
      </w:pPr>
    </w:p>
    <w:p>
      <w:pPr>
        <w:pStyle w:val="2"/>
        <w:spacing w:beforeLines="0" w:afterLines="50"/>
        <w:jc w:val="center"/>
        <w:rPr>
          <w:rFonts w:ascii="Times New Roman" w:eastAsia="黑体"/>
          <w:sz w:val="32"/>
          <w:szCs w:val="32"/>
        </w:rPr>
      </w:pPr>
      <w:r>
        <w:rPr>
          <w:rFonts w:ascii="Times New Roman" w:eastAsia="黑体"/>
          <w:sz w:val="32"/>
          <w:szCs w:val="32"/>
        </w:rPr>
        <w:t>政法委边界系统建设及智能辅助办案系统项目</w:t>
      </w:r>
    </w:p>
    <w:p>
      <w:pPr>
        <w:pStyle w:val="2"/>
        <w:spacing w:beforeLines="0"/>
        <w:ind w:firstLine="654" w:firstLineChars="200"/>
        <w:rPr>
          <w:rFonts w:ascii="Times New Roman"/>
          <w:b/>
          <w:sz w:val="32"/>
          <w:szCs w:val="32"/>
        </w:rPr>
      </w:pPr>
      <w:r>
        <w:rPr>
          <w:rFonts w:ascii="Times New Roman"/>
          <w:sz w:val="32"/>
          <w:szCs w:val="32"/>
        </w:rPr>
        <w:t>项目完成情况综述。项目年初预算数110万元，其中：财政资金110万元，当年执行0万元，完成预算0%。存在的问题：项目启动迟、推进慢，招标过程中出现流标，导致预算执行率为0，年初确定的项目绩效目标没有实现。下一步措施：科学编制单位预算，加快项目推进，确保实现项目绩效目标，完成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615940" cy="4774565"/>
            <wp:effectExtent l="19050" t="0" r="38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4"/>
                    <a:srcRect/>
                    <a:stretch>
                      <a:fillRect/>
                    </a:stretch>
                  </pic:blipFill>
                  <pic:spPr>
                    <a:xfrm>
                      <a:off x="0" y="0"/>
                      <a:ext cx="5615940" cy="4775007"/>
                    </a:xfrm>
                    <a:prstGeom prst="rect">
                      <a:avLst/>
                    </a:prstGeom>
                    <a:noFill/>
                    <a:ln w="9525">
                      <a:noFill/>
                      <a:miter lim="800000"/>
                      <a:headEnd/>
                      <a:tailEnd/>
                    </a:ln>
                  </pic:spPr>
                </pic:pic>
              </a:graphicData>
            </a:graphic>
          </wp:inline>
        </w:drawing>
      </w:r>
    </w:p>
    <w:p>
      <w:pPr>
        <w:pStyle w:val="2"/>
        <w:spacing w:beforeLines="0" w:afterLines="50"/>
        <w:jc w:val="center"/>
        <w:rPr>
          <w:rFonts w:ascii="黑体" w:hAnsi="黑体" w:eastAsia="黑体" w:cs="黑体"/>
          <w:sz w:val="32"/>
          <w:szCs w:val="32"/>
        </w:rPr>
      </w:pPr>
    </w:p>
    <w:p>
      <w:pPr>
        <w:pStyle w:val="2"/>
        <w:spacing w:beforeLines="0" w:afterLines="50"/>
        <w:jc w:val="center"/>
        <w:rPr>
          <w:rFonts w:ascii="黑体" w:hAnsi="黑体" w:eastAsia="黑体" w:cs="黑体"/>
          <w:sz w:val="32"/>
          <w:szCs w:val="32"/>
        </w:rPr>
      </w:pPr>
      <w:r>
        <w:rPr>
          <w:rFonts w:hint="eastAsia" w:ascii="黑体" w:hAnsi="黑体" w:eastAsia="黑体" w:cs="黑体"/>
          <w:sz w:val="32"/>
          <w:szCs w:val="32"/>
        </w:rPr>
        <w:t>继续实施项目_四川省人民检察院电子检务深化应用项目</w:t>
      </w:r>
    </w:p>
    <w:p>
      <w:pPr>
        <w:pStyle w:val="2"/>
        <w:spacing w:beforeLines="0"/>
        <w:ind w:firstLine="654" w:firstLineChars="200"/>
        <w:rPr>
          <w:rFonts w:ascii="Times New Roman"/>
          <w:sz w:val="32"/>
          <w:szCs w:val="32"/>
        </w:rPr>
      </w:pPr>
      <w:r>
        <w:rPr>
          <w:rFonts w:ascii="Times New Roman"/>
          <w:sz w:val="32"/>
          <w:szCs w:val="32"/>
        </w:rPr>
        <w:t>项目完成情况综述。项目年初预算数906.85万元，其中：财政资金906.85万元，年底调减324.77万元，当年实有预算582.08万元，当年执行207万元，其中：财政资金207万元，完成预算35.56%。该项目已完成项目建设和初步验收，完成了项目确定的绩效目标。存在的问题：项目因达不到合同约定的支付条件，部分预算未执行。下一步措施：科学合理编制项目预算，加快项目推进，提高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4737735" cy="466725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5"/>
                    <a:srcRect/>
                    <a:stretch>
                      <a:fillRect/>
                    </a:stretch>
                  </pic:blipFill>
                  <pic:spPr>
                    <a:xfrm>
                      <a:off x="0" y="0"/>
                      <a:ext cx="4737735" cy="4667250"/>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eastAsia="黑体"/>
          <w:sz w:val="32"/>
          <w:szCs w:val="32"/>
        </w:rPr>
        <w:t>省铁路检察院业务用房建设项目</w:t>
      </w:r>
    </w:p>
    <w:p>
      <w:pPr>
        <w:pStyle w:val="2"/>
        <w:spacing w:beforeLines="0"/>
        <w:ind w:firstLine="654" w:firstLineChars="200"/>
        <w:rPr>
          <w:rFonts w:ascii="Times New Roman"/>
          <w:sz w:val="32"/>
          <w:szCs w:val="32"/>
        </w:rPr>
      </w:pPr>
      <w:r>
        <w:rPr>
          <w:rFonts w:ascii="Times New Roman"/>
          <w:sz w:val="32"/>
          <w:szCs w:val="32"/>
        </w:rPr>
        <w:t>项目完成情况综述。项目全年预算1980.31万元，其中：财政资金1980.31万元，当年执行678.77万元，其中：财政资金678.77万元，完成预算34.28%。通过项目实施，2020年全面完成四川省铁路检察院业务用房建设项目竣工验收并投入使用，完成项目竣工结算工作，建成24280平方米业务用房，按合同约定支付了部分工程款，保障省铁路检察院业务用房按期投入使用。存在的问题：预算执行率低。下一步措施：科学编制项目预算，加快项目推进，完成预算执行进度。</w:t>
      </w:r>
    </w:p>
    <w:p>
      <w:pPr>
        <w:pStyle w:val="2"/>
        <w:spacing w:before="173"/>
        <w:rPr>
          <w:rFonts w:ascii="Times New Roman"/>
          <w:b/>
          <w:sz w:val="32"/>
          <w:szCs w:val="32"/>
        </w:rPr>
      </w:pPr>
      <w:r>
        <w:rPr>
          <w:rFonts w:ascii="Times New Roman"/>
          <w:b/>
          <w:sz w:val="32"/>
          <w:szCs w:val="32"/>
        </w:rPr>
        <w:drawing>
          <wp:inline distT="0" distB="0" distL="0" distR="0">
            <wp:extent cx="5615940" cy="3816985"/>
            <wp:effectExtent l="19050" t="0" r="381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6"/>
                    <a:srcRect/>
                    <a:stretch>
                      <a:fillRect/>
                    </a:stretch>
                  </pic:blipFill>
                  <pic:spPr>
                    <a:xfrm>
                      <a:off x="0" y="0"/>
                      <a:ext cx="5615940" cy="3817081"/>
                    </a:xfrm>
                    <a:prstGeom prst="rect">
                      <a:avLst/>
                    </a:prstGeom>
                    <a:noFill/>
                    <a:ln w="9525">
                      <a:noFill/>
                      <a:miter lim="800000"/>
                      <a:headEnd/>
                      <a:tailEnd/>
                    </a:ln>
                  </pic:spPr>
                </pic:pic>
              </a:graphicData>
            </a:graphic>
          </wp:inline>
        </w:drawing>
      </w:r>
    </w:p>
    <w:p>
      <w:pPr>
        <w:pStyle w:val="2"/>
        <w:spacing w:beforeLines="0" w:afterLines="50"/>
        <w:jc w:val="center"/>
        <w:rPr>
          <w:rFonts w:ascii="黑体" w:hAnsi="黑体" w:eastAsia="黑体" w:cs="黑体"/>
          <w:sz w:val="32"/>
          <w:szCs w:val="32"/>
        </w:rPr>
      </w:pPr>
    </w:p>
    <w:p>
      <w:pPr>
        <w:pStyle w:val="2"/>
        <w:spacing w:beforeLines="0" w:afterLines="50"/>
        <w:jc w:val="center"/>
        <w:rPr>
          <w:rFonts w:ascii="黑体" w:hAnsi="黑体" w:eastAsia="黑体" w:cs="黑体"/>
          <w:b/>
          <w:sz w:val="32"/>
          <w:szCs w:val="32"/>
        </w:rPr>
      </w:pPr>
      <w:r>
        <w:rPr>
          <w:rFonts w:hint="eastAsia" w:ascii="黑体" w:hAnsi="黑体" w:eastAsia="黑体" w:cs="黑体"/>
          <w:sz w:val="32"/>
          <w:szCs w:val="32"/>
        </w:rPr>
        <w:t>继续实施项目_省预算内基本建设投资项目</w:t>
      </w:r>
    </w:p>
    <w:p>
      <w:pPr>
        <w:pStyle w:val="2"/>
        <w:spacing w:beforeLines="0"/>
        <w:ind w:firstLine="654" w:firstLineChars="200"/>
        <w:rPr>
          <w:rFonts w:ascii="Times New Roman"/>
          <w:sz w:val="32"/>
          <w:szCs w:val="32"/>
        </w:rPr>
      </w:pPr>
      <w:r>
        <w:rPr>
          <w:rFonts w:ascii="Times New Roman"/>
          <w:sz w:val="32"/>
          <w:szCs w:val="32"/>
        </w:rPr>
        <w:t>项目完成情况综述。项目全年预算139.25万元，其中：财政资金139.25万元，当年执行139.25万元，其中：财政资金139.25万元，完成预算100%。通过项目实施，完成了12309检察服务中心及未成年人办案工作区项目建设。按合同约定支付了部分工程款，保障12309检察服务中心及未成年人办案工作区按期投入使用。</w:t>
      </w:r>
    </w:p>
    <w:p>
      <w:pPr>
        <w:pStyle w:val="2"/>
        <w:spacing w:before="173"/>
        <w:jc w:val="center"/>
        <w:rPr>
          <w:rFonts w:ascii="Times New Roman"/>
          <w:b/>
          <w:sz w:val="32"/>
          <w:szCs w:val="32"/>
        </w:rPr>
      </w:pPr>
      <w:r>
        <w:rPr>
          <w:rFonts w:ascii="Times New Roman"/>
          <w:b/>
          <w:sz w:val="32"/>
          <w:szCs w:val="32"/>
        </w:rPr>
        <w:drawing>
          <wp:inline distT="0" distB="0" distL="0" distR="0">
            <wp:extent cx="5615940" cy="4438015"/>
            <wp:effectExtent l="1905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a:srcRect/>
                    <a:stretch>
                      <a:fillRect/>
                    </a:stretch>
                  </pic:blipFill>
                  <pic:spPr>
                    <a:xfrm>
                      <a:off x="0" y="0"/>
                      <a:ext cx="5615940" cy="4438071"/>
                    </a:xfrm>
                    <a:prstGeom prst="rect">
                      <a:avLst/>
                    </a:prstGeom>
                    <a:noFill/>
                    <a:ln w="9525">
                      <a:noFill/>
                      <a:miter lim="800000"/>
                      <a:headEnd/>
                      <a:tailEnd/>
                    </a:ln>
                  </pic:spPr>
                </pic:pic>
              </a:graphicData>
            </a:graphic>
          </wp:inline>
        </w:drawing>
      </w:r>
    </w:p>
    <w:p>
      <w:pPr>
        <w:pStyle w:val="2"/>
        <w:spacing w:before="173"/>
        <w:rPr>
          <w:rFonts w:ascii="Times New Roman"/>
          <w:b/>
          <w:sz w:val="32"/>
          <w:szCs w:val="32"/>
        </w:rPr>
      </w:pPr>
    </w:p>
    <w:p>
      <w:pPr>
        <w:pStyle w:val="2"/>
        <w:spacing w:beforeLines="0" w:afterLines="50"/>
        <w:jc w:val="center"/>
        <w:rPr>
          <w:rFonts w:ascii="黑体" w:hAnsi="黑体" w:eastAsia="黑体" w:cs="黑体"/>
          <w:sz w:val="32"/>
          <w:szCs w:val="32"/>
        </w:rPr>
      </w:pPr>
      <w:r>
        <w:rPr>
          <w:rFonts w:hint="eastAsia" w:ascii="黑体" w:hAnsi="黑体" w:eastAsia="黑体" w:cs="黑体"/>
          <w:sz w:val="32"/>
          <w:szCs w:val="32"/>
        </w:rPr>
        <w:t>继续实施项目_侦查指挥中心和办公区设施维修改造项目</w:t>
      </w:r>
    </w:p>
    <w:p>
      <w:pPr>
        <w:pStyle w:val="2"/>
        <w:spacing w:beforeLines="0"/>
        <w:ind w:firstLine="654" w:firstLineChars="200"/>
        <w:rPr>
          <w:rFonts w:ascii="Times New Roman"/>
          <w:sz w:val="32"/>
          <w:szCs w:val="32"/>
        </w:rPr>
      </w:pPr>
      <w:r>
        <w:rPr>
          <w:rFonts w:ascii="Times New Roman"/>
          <w:sz w:val="32"/>
          <w:szCs w:val="32"/>
        </w:rPr>
        <w:t>项目完成情况综述。项目全年预算460.23万元，其中：财政资金460.23万元，当年执行460.23万元，其中：财政资金460.23万元，完成预算100%。通过项目实施，完成单位基础设施的整体建设，新建立体车库，新增车位44个，完成省院搬迁后，机关综合服务功能完善，优化了办公环境，为干警通勤提供了便利，为检察业务提供足够的服务支撑。</w:t>
      </w:r>
    </w:p>
    <w:p>
      <w:pPr>
        <w:pStyle w:val="2"/>
        <w:spacing w:before="173"/>
        <w:jc w:val="center"/>
        <w:rPr>
          <w:rFonts w:ascii="Times New Roman"/>
          <w:b/>
          <w:sz w:val="32"/>
          <w:szCs w:val="32"/>
        </w:rPr>
      </w:pPr>
      <w:r>
        <w:rPr>
          <w:rFonts w:ascii="Times New Roman"/>
          <w:b/>
          <w:sz w:val="32"/>
          <w:szCs w:val="32"/>
        </w:rPr>
        <w:drawing>
          <wp:inline distT="0" distB="0" distL="0" distR="0">
            <wp:extent cx="5615940" cy="5124450"/>
            <wp:effectExtent l="1905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8"/>
                    <a:srcRect/>
                    <a:stretch>
                      <a:fillRect/>
                    </a:stretch>
                  </pic:blipFill>
                  <pic:spPr>
                    <a:xfrm>
                      <a:off x="0" y="0"/>
                      <a:ext cx="5615940" cy="5125030"/>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b/>
          <w:sz w:val="32"/>
          <w:szCs w:val="32"/>
        </w:rPr>
      </w:pPr>
      <w:r>
        <w:rPr>
          <w:rFonts w:ascii="Times New Roman" w:eastAsia="黑体"/>
          <w:sz w:val="32"/>
          <w:szCs w:val="32"/>
        </w:rPr>
        <w:t>检察队伍教育整顿经费项目</w:t>
      </w:r>
    </w:p>
    <w:p>
      <w:pPr>
        <w:pStyle w:val="2"/>
        <w:spacing w:beforeLines="0" w:line="540" w:lineRule="exact"/>
        <w:ind w:firstLine="654" w:firstLineChars="200"/>
        <w:rPr>
          <w:rFonts w:ascii="Times New Roman"/>
          <w:sz w:val="32"/>
          <w:szCs w:val="32"/>
        </w:rPr>
      </w:pPr>
      <w:r>
        <w:rPr>
          <w:rFonts w:ascii="Times New Roman"/>
          <w:sz w:val="32"/>
          <w:szCs w:val="32"/>
        </w:rPr>
        <w:t>项目完成情况综述。项目全年预算599万元，其中：财政资金599万元，当年执行293.22万元，其中：财政资金293.22万元，完成预算48.95%。通过项目实施，开展为期6个月的对县级院整顿指导督促工作，6个月对市级院的指导督促工作，以及省院机关开展教育整顿工作。通过在检察系统开展教育整顿，打造一支党和人民信得过、靠得住、能放心的政法铁军。存在的问题：年初预算时预算了抽调人员差旅费，预算执行中按省委政法委的统一要求，抽调人员差旅费回原单位报销，预算执行率低。下一步措施：科学编制项目预算，完成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003800" cy="3933190"/>
            <wp:effectExtent l="0" t="0" r="635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9"/>
                    <a:srcRect/>
                    <a:stretch>
                      <a:fillRect/>
                    </a:stretch>
                  </pic:blipFill>
                  <pic:spPr>
                    <a:xfrm>
                      <a:off x="0" y="0"/>
                      <a:ext cx="5003800" cy="3933190"/>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eastAsia="黑体"/>
          <w:sz w:val="32"/>
          <w:szCs w:val="32"/>
        </w:rPr>
        <w:t>四川省人民检察院电子检务深化应用项目</w:t>
      </w:r>
    </w:p>
    <w:p>
      <w:pPr>
        <w:pStyle w:val="2"/>
        <w:spacing w:beforeLines="0"/>
        <w:ind w:firstLine="654" w:firstLineChars="200"/>
        <w:rPr>
          <w:rFonts w:ascii="Times New Roman"/>
          <w:b/>
          <w:sz w:val="32"/>
          <w:szCs w:val="32"/>
        </w:rPr>
      </w:pPr>
      <w:r>
        <w:rPr>
          <w:rFonts w:ascii="Times New Roman"/>
          <w:sz w:val="32"/>
          <w:szCs w:val="32"/>
        </w:rPr>
        <w:t>项目完成情况综述。项目年初预算数1096.87万元，其中：财政资金1096.87万元，年底调减1096.87万元，当年实有预算0万元，其中：财政资金0万元，当年执行0万元。该项目已完成项目建设和初步验收，完成了项目确定的绩效目标。存在的问题：项目因达不到合同约定的支付条件，预算未执行。下一步措施：科学合理编制项目预算，加快项目推进，提高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188585" cy="4652010"/>
            <wp:effectExtent l="0" t="0" r="12065" b="152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0"/>
                    <a:srcRect/>
                    <a:stretch>
                      <a:fillRect/>
                    </a:stretch>
                  </pic:blipFill>
                  <pic:spPr>
                    <a:xfrm>
                      <a:off x="0" y="0"/>
                      <a:ext cx="5188585" cy="4652010"/>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r>
        <w:rPr>
          <w:rFonts w:ascii="Times New Roman" w:eastAsia="黑体"/>
          <w:sz w:val="32"/>
          <w:szCs w:val="32"/>
        </w:rPr>
        <w:t>省检察院人民中路工作区维修改造项目</w:t>
      </w:r>
    </w:p>
    <w:p>
      <w:pPr>
        <w:pStyle w:val="2"/>
        <w:spacing w:beforeLines="0"/>
        <w:ind w:firstLine="654" w:firstLineChars="200"/>
        <w:rPr>
          <w:rFonts w:ascii="Times New Roman"/>
          <w:b/>
          <w:sz w:val="32"/>
          <w:szCs w:val="32"/>
        </w:rPr>
      </w:pPr>
      <w:r>
        <w:rPr>
          <w:rFonts w:ascii="Times New Roman"/>
          <w:sz w:val="32"/>
          <w:szCs w:val="32"/>
        </w:rPr>
        <w:t>项目完成情况综述。项目年初预算数610万元，年中调减390万元，当年实有预算220万元，其中：财政资金220万元，当年执行0万元，完成预算0%。存在的问题：项目推进慢，预算执行率低，年初确定的项目绩效目标没有实现。下一步措施：科学编制单位预算，加快项目推进，确保实现项目绩效目标，完成预算执行进度。</w:t>
      </w:r>
    </w:p>
    <w:p>
      <w:pPr>
        <w:pStyle w:val="2"/>
        <w:spacing w:before="173"/>
        <w:rPr>
          <w:rFonts w:ascii="Times New Roman"/>
          <w:b/>
          <w:sz w:val="32"/>
          <w:szCs w:val="32"/>
        </w:rPr>
      </w:pPr>
      <w:r>
        <w:rPr>
          <w:rFonts w:ascii="Times New Roman"/>
          <w:b/>
          <w:sz w:val="32"/>
          <w:szCs w:val="32"/>
        </w:rPr>
        <w:drawing>
          <wp:inline distT="0" distB="0" distL="0" distR="0">
            <wp:extent cx="5615940" cy="4593590"/>
            <wp:effectExtent l="1905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1"/>
                    <a:srcRect/>
                    <a:stretch>
                      <a:fillRect/>
                    </a:stretch>
                  </pic:blipFill>
                  <pic:spPr>
                    <a:xfrm>
                      <a:off x="0" y="0"/>
                      <a:ext cx="5615940" cy="4594015"/>
                    </a:xfrm>
                    <a:prstGeom prst="rect">
                      <a:avLst/>
                    </a:prstGeom>
                    <a:noFill/>
                    <a:ln w="9525">
                      <a:noFill/>
                      <a:miter lim="800000"/>
                      <a:headEnd/>
                      <a:tailEnd/>
                    </a:ln>
                  </pic:spPr>
                </pic:pic>
              </a:graphicData>
            </a:graphic>
          </wp:inline>
        </w:drawing>
      </w:r>
    </w:p>
    <w:p>
      <w:pPr>
        <w:pStyle w:val="2"/>
        <w:spacing w:beforeLines="0" w:afterLines="50"/>
        <w:jc w:val="center"/>
        <w:rPr>
          <w:rFonts w:ascii="Times New Roman" w:eastAsia="黑体"/>
          <w:sz w:val="32"/>
          <w:szCs w:val="32"/>
        </w:rPr>
      </w:pPr>
    </w:p>
    <w:p>
      <w:pPr>
        <w:pStyle w:val="2"/>
        <w:spacing w:beforeLines="0" w:afterLines="50"/>
        <w:jc w:val="center"/>
        <w:rPr>
          <w:rFonts w:ascii="Times New Roman" w:eastAsia="黑体"/>
          <w:sz w:val="32"/>
          <w:szCs w:val="32"/>
        </w:rPr>
      </w:pPr>
      <w:r>
        <w:rPr>
          <w:rFonts w:ascii="Times New Roman" w:eastAsia="黑体"/>
          <w:sz w:val="32"/>
          <w:szCs w:val="32"/>
        </w:rPr>
        <w:t>侦查指挥中心和办公区设施维修改造项目</w:t>
      </w:r>
    </w:p>
    <w:p>
      <w:pPr>
        <w:pStyle w:val="2"/>
        <w:spacing w:beforeLines="0"/>
        <w:ind w:firstLine="654" w:firstLineChars="200"/>
        <w:rPr>
          <w:rFonts w:ascii="Times New Roman"/>
          <w:b/>
          <w:sz w:val="32"/>
          <w:szCs w:val="32"/>
        </w:rPr>
      </w:pPr>
      <w:r>
        <w:rPr>
          <w:rFonts w:ascii="Times New Roman"/>
          <w:sz w:val="32"/>
          <w:szCs w:val="32"/>
        </w:rPr>
        <w:t>项目完成情况综述。项目全年预算118.67万元，其中：财政资金118.67万元，当年执行54.81万元，其中：财政资金54.81万元，完成预算46.19%。通过项目实施，完成单位基础设施的整体建设，完成省院搬迁后，机关综合服务功能完善，优化了办公环境，为干警通勤提供了便利，为检察业务提供足够的服务支撑。存在的问题：立体车库质保金、厨房改造质保金等达不到合同约定的支付条件，预算未执行。下一步措施：科学合理编制项目预算，加快项目推进，提高预算执行进度。</w:t>
      </w:r>
    </w:p>
    <w:p>
      <w:pPr>
        <w:pStyle w:val="2"/>
        <w:spacing w:before="173"/>
        <w:jc w:val="center"/>
        <w:rPr>
          <w:rFonts w:ascii="Times New Roman"/>
          <w:b/>
          <w:sz w:val="32"/>
          <w:szCs w:val="32"/>
        </w:rPr>
      </w:pPr>
      <w:r>
        <w:rPr>
          <w:rFonts w:ascii="Times New Roman"/>
          <w:b/>
          <w:sz w:val="32"/>
          <w:szCs w:val="32"/>
        </w:rPr>
        <w:drawing>
          <wp:inline distT="0" distB="0" distL="0" distR="0">
            <wp:extent cx="5149850" cy="4212590"/>
            <wp:effectExtent l="0" t="0" r="12700" b="165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2"/>
                    <a:srcRect/>
                    <a:stretch>
                      <a:fillRect/>
                    </a:stretch>
                  </pic:blipFill>
                  <pic:spPr>
                    <a:xfrm>
                      <a:off x="0" y="0"/>
                      <a:ext cx="5149850" cy="4212590"/>
                    </a:xfrm>
                    <a:prstGeom prst="rect">
                      <a:avLst/>
                    </a:prstGeom>
                    <a:noFill/>
                    <a:ln w="9525">
                      <a:noFill/>
                      <a:miter lim="800000"/>
                      <a:headEnd/>
                      <a:tailEnd/>
                    </a:ln>
                  </pic:spPr>
                </pic:pic>
              </a:graphicData>
            </a:graphic>
          </wp:inline>
        </w:drawing>
      </w:r>
      <w:bookmarkStart w:id="139" w:name="_Toc112397112"/>
      <w:bookmarkStart w:id="140" w:name="_Toc112342355"/>
    </w:p>
    <w:p>
      <w:pPr>
        <w:spacing w:line="6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w:t>
      </w:r>
      <w:r>
        <w:rPr>
          <w:rStyle w:val="27"/>
          <w:rFonts w:hint="eastAsia" w:ascii="方正小标宋简体" w:hAnsi="方正小标宋简体" w:eastAsia="方正小标宋简体" w:cs="方正小标宋简体"/>
          <w:b w:val="0"/>
        </w:rPr>
        <w:t>五部分 附表</w:t>
      </w:r>
      <w:bookmarkEnd w:id="131"/>
      <w:bookmarkEnd w:id="134"/>
      <w:bookmarkEnd w:id="139"/>
      <w:bookmarkEnd w:id="140"/>
      <w:bookmarkStart w:id="141" w:name="_Toc15396619"/>
    </w:p>
    <w:p>
      <w:pPr>
        <w:pStyle w:val="4"/>
        <w:keepNext w:val="0"/>
        <w:keepLines w:val="0"/>
        <w:spacing w:before="0" w:after="0" w:line="240" w:lineRule="auto"/>
        <w:rPr>
          <w:rFonts w:ascii="Times New Roman" w:hAnsi="Times New Roman" w:eastAsia="仿宋" w:cs="Times New Roman"/>
          <w:b w:val="0"/>
        </w:rPr>
      </w:pPr>
    </w:p>
    <w:p>
      <w:pPr>
        <w:ind w:firstLine="654" w:firstLineChars="200"/>
      </w:pPr>
      <w:r>
        <w:rPr>
          <w:rFonts w:hint="eastAsia"/>
        </w:rPr>
        <w:t>一、</w:t>
      </w:r>
      <w:r>
        <w:t>收入支出决算总表</w:t>
      </w:r>
      <w:bookmarkEnd w:id="141"/>
      <w:bookmarkStart w:id="142" w:name="_Toc15396620"/>
    </w:p>
    <w:p>
      <w:pPr>
        <w:ind w:firstLine="654" w:firstLineChars="200"/>
      </w:pPr>
      <w:r>
        <w:rPr>
          <w:rFonts w:hint="eastAsia"/>
        </w:rPr>
        <w:t>二、</w:t>
      </w:r>
      <w:r>
        <w:t>收入决算表</w:t>
      </w:r>
      <w:bookmarkEnd w:id="142"/>
      <w:bookmarkStart w:id="143" w:name="_Toc15396621"/>
    </w:p>
    <w:p>
      <w:pPr>
        <w:ind w:firstLine="654" w:firstLineChars="200"/>
      </w:pPr>
      <w:r>
        <w:t>三、支出决算表</w:t>
      </w:r>
      <w:bookmarkEnd w:id="143"/>
    </w:p>
    <w:p>
      <w:pPr>
        <w:ind w:firstLine="654" w:firstLineChars="200"/>
      </w:pPr>
      <w:bookmarkStart w:id="144" w:name="_Toc15396622"/>
      <w:r>
        <w:t>四、财政拨款收入支出决算总表</w:t>
      </w:r>
      <w:bookmarkEnd w:id="144"/>
    </w:p>
    <w:p>
      <w:pPr>
        <w:ind w:firstLine="654" w:firstLineChars="200"/>
      </w:pPr>
      <w:bookmarkStart w:id="145" w:name="_Toc15396623"/>
      <w:r>
        <w:t>五、财政拨款支出决算明细表</w:t>
      </w:r>
      <w:bookmarkEnd w:id="145"/>
      <w:bookmarkStart w:id="146" w:name="_Toc15396624"/>
    </w:p>
    <w:p>
      <w:pPr>
        <w:ind w:firstLine="654" w:firstLineChars="200"/>
      </w:pPr>
      <w:r>
        <w:t>六、一般公共预算财政拨款支出决算表</w:t>
      </w:r>
      <w:bookmarkEnd w:id="146"/>
    </w:p>
    <w:p>
      <w:pPr>
        <w:ind w:firstLine="654" w:firstLineChars="200"/>
      </w:pPr>
      <w:bookmarkStart w:id="147" w:name="_Toc15396625"/>
      <w:r>
        <w:t>七、一般公共预算财政拨款支出决算明细表</w:t>
      </w:r>
      <w:bookmarkEnd w:id="147"/>
    </w:p>
    <w:p>
      <w:pPr>
        <w:ind w:firstLine="654" w:firstLineChars="200"/>
      </w:pPr>
      <w:bookmarkStart w:id="148" w:name="_Toc15396626"/>
      <w:r>
        <w:t>八、一般公共预算财政拨款基本支出决算表</w:t>
      </w:r>
      <w:bookmarkEnd w:id="148"/>
    </w:p>
    <w:p>
      <w:pPr>
        <w:ind w:firstLine="654" w:firstLineChars="200"/>
      </w:pPr>
      <w:bookmarkStart w:id="149" w:name="_Toc15396627"/>
      <w:r>
        <w:t>九、一般公共预算财政拨款项目支出决算表</w:t>
      </w:r>
      <w:bookmarkEnd w:id="149"/>
    </w:p>
    <w:p>
      <w:pPr>
        <w:ind w:firstLine="654" w:firstLineChars="200"/>
      </w:pPr>
      <w:bookmarkStart w:id="150" w:name="_Toc15396628"/>
      <w:r>
        <w:t>十、一般公共预算财政拨款</w:t>
      </w:r>
      <w:r>
        <w:rPr>
          <w:rFonts w:hint="eastAsia"/>
        </w:rPr>
        <w:t>“</w:t>
      </w:r>
      <w:r>
        <w:t>三公</w:t>
      </w:r>
      <w:r>
        <w:rPr>
          <w:rFonts w:hint="eastAsia"/>
        </w:rPr>
        <w:t>”</w:t>
      </w:r>
      <w:r>
        <w:t>经费支出决算表</w:t>
      </w:r>
      <w:bookmarkEnd w:id="150"/>
    </w:p>
    <w:p>
      <w:pPr>
        <w:ind w:firstLine="654" w:firstLineChars="200"/>
      </w:pPr>
      <w:bookmarkStart w:id="151" w:name="_Toc15396629"/>
      <w:r>
        <w:t>十一、政府性基金预算财政拨款收入支出决算表</w:t>
      </w:r>
      <w:bookmarkEnd w:id="151"/>
    </w:p>
    <w:p>
      <w:pPr>
        <w:ind w:firstLine="654" w:firstLineChars="200"/>
      </w:pPr>
      <w:bookmarkStart w:id="152" w:name="_Toc15396630"/>
      <w:r>
        <w:t>十二、政府性基金预算财政拨款</w:t>
      </w:r>
      <w:r>
        <w:rPr>
          <w:rFonts w:hint="eastAsia"/>
        </w:rPr>
        <w:t>“</w:t>
      </w:r>
      <w:r>
        <w:t>三公</w:t>
      </w:r>
      <w:r>
        <w:rPr>
          <w:rFonts w:hint="eastAsia"/>
        </w:rPr>
        <w:t>”</w:t>
      </w:r>
      <w:r>
        <w:t>经费支出决算表</w:t>
      </w:r>
      <w:bookmarkEnd w:id="152"/>
    </w:p>
    <w:p>
      <w:pPr>
        <w:ind w:firstLine="654" w:firstLineChars="200"/>
      </w:pPr>
      <w:bookmarkStart w:id="153" w:name="_Toc15396631"/>
      <w:r>
        <w:t>十三、国有资本经营预算财政拨款收入支出决算表</w:t>
      </w:r>
      <w:bookmarkEnd w:id="153"/>
    </w:p>
    <w:p>
      <w:pPr>
        <w:ind w:firstLine="654" w:firstLineChars="200"/>
      </w:pPr>
      <w:r>
        <w:t>十四、国有资本经营预算财政拨款支出决算表</w:t>
      </w:r>
    </w:p>
    <w:sectPr>
      <w:pgSz w:w="11906" w:h="16838"/>
      <w:pgMar w:top="2098" w:right="1531" w:bottom="1984" w:left="1531" w:header="851" w:footer="1587" w:gutter="0"/>
      <w:pgNumType w:fmt="numberInDash"/>
      <w:cols w:space="0" w:num="1"/>
      <w:docGrid w:type="linesAndChars" w:linePitch="579" w:charSpace="15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BYAAABkcnMvUEsBAhQAFAAA&#10;AAgAh07iQLNJWO7QAAAABQEAAA8AAAAAAAAAAQAgAAAAOAAAAGRycy9kb3ducmV2LnhtbFBLAQIU&#10;ABQAAAAIAIdO4kAfuQZdyQIAAOwFAAAOAAAAAAAAAAEAIAAAADUBAABkcnMvZTJvRG9jLnhtbFBL&#10;BQYAAAAABgAGAFkBAABwBgAAAAA=&#10;">
          <v:path/>
          <v:fill on="f" focussize="0,0"/>
          <v:stroke on="f" weight="0.5pt" joinstyle="miter"/>
          <v:imagedata o:title=""/>
          <o:lock v:ext="edit"/>
          <v:textbox inset="0mm,0mm,0mm,0mm" style="mso-fit-shape-to-text:t;">
            <w:txbxContent>
              <w:p>
                <w:pPr>
                  <w:pStyle w:val="10"/>
                  <w:ind w:left="320" w:leftChars="100" w:right="320" w:rightChars="1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- 19 -</w:t>
                </w:r>
                <w:r>
                  <w:rPr>
                    <w:rFonts w:hint="eastAsia" w:asciiTheme="minorEastAsia" w:hAnsiTheme="minorEastAsia" w:eastAsiaTheme="minorEastAsia" w:cstheme="minorEastAsia"/>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BYAAABkcnMvUEsBAhQAFAAA&#10;AAgAh07iQLNJWO7QAAAABQEAAA8AAAAAAAAAAQAgAAAAOAAAAGRycy9kb3ducmV2LnhtbFBLAQIU&#10;ABQAAAAIAIdO4kDNW69xyQIAAOwFAAAOAAAAAAAAAAEAIAAAADUBAABkcnMvZTJvRG9jLnhtbFBL&#10;BQYAAAAABgAGAFkBAABwBg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- 11 -</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64"/>
  <w:drawingGridVerticalSpacing w:val="290"/>
  <w:displayHorizontalDrawingGridEvery w:val="2"/>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1361C"/>
    <w:rsid w:val="0001254E"/>
    <w:rsid w:val="00015543"/>
    <w:rsid w:val="000222C6"/>
    <w:rsid w:val="0002549F"/>
    <w:rsid w:val="000312AF"/>
    <w:rsid w:val="00036F82"/>
    <w:rsid w:val="00040547"/>
    <w:rsid w:val="00040CE3"/>
    <w:rsid w:val="000468DB"/>
    <w:rsid w:val="0005196F"/>
    <w:rsid w:val="0006487A"/>
    <w:rsid w:val="00065F8F"/>
    <w:rsid w:val="00070A43"/>
    <w:rsid w:val="000768F2"/>
    <w:rsid w:val="00086F50"/>
    <w:rsid w:val="0009184B"/>
    <w:rsid w:val="00094236"/>
    <w:rsid w:val="0009584B"/>
    <w:rsid w:val="0009593C"/>
    <w:rsid w:val="0009725E"/>
    <w:rsid w:val="00097322"/>
    <w:rsid w:val="000A4433"/>
    <w:rsid w:val="000A5CA4"/>
    <w:rsid w:val="000A6881"/>
    <w:rsid w:val="000A6A92"/>
    <w:rsid w:val="000B047F"/>
    <w:rsid w:val="000B0CA4"/>
    <w:rsid w:val="000B150E"/>
    <w:rsid w:val="000B351E"/>
    <w:rsid w:val="000B4E41"/>
    <w:rsid w:val="000B5923"/>
    <w:rsid w:val="000B5A48"/>
    <w:rsid w:val="000B6FF3"/>
    <w:rsid w:val="000C3467"/>
    <w:rsid w:val="000C375B"/>
    <w:rsid w:val="000C3CA6"/>
    <w:rsid w:val="000C5C28"/>
    <w:rsid w:val="000D1267"/>
    <w:rsid w:val="000D1BB5"/>
    <w:rsid w:val="000D1D50"/>
    <w:rsid w:val="000D3EC6"/>
    <w:rsid w:val="000D5782"/>
    <w:rsid w:val="000E657E"/>
    <w:rsid w:val="000E6613"/>
    <w:rsid w:val="000E7119"/>
    <w:rsid w:val="000E7C4B"/>
    <w:rsid w:val="00105437"/>
    <w:rsid w:val="00107538"/>
    <w:rsid w:val="00107F98"/>
    <w:rsid w:val="00114E9B"/>
    <w:rsid w:val="00133C32"/>
    <w:rsid w:val="00140680"/>
    <w:rsid w:val="00140F49"/>
    <w:rsid w:val="00142216"/>
    <w:rsid w:val="00144D6A"/>
    <w:rsid w:val="00146B72"/>
    <w:rsid w:val="0014729F"/>
    <w:rsid w:val="00156ACA"/>
    <w:rsid w:val="00157BAB"/>
    <w:rsid w:val="001654D1"/>
    <w:rsid w:val="00172F6F"/>
    <w:rsid w:val="001741F7"/>
    <w:rsid w:val="00174518"/>
    <w:rsid w:val="001745EB"/>
    <w:rsid w:val="00174C63"/>
    <w:rsid w:val="00176769"/>
    <w:rsid w:val="0017688E"/>
    <w:rsid w:val="0018106D"/>
    <w:rsid w:val="0018123C"/>
    <w:rsid w:val="001877A7"/>
    <w:rsid w:val="00191536"/>
    <w:rsid w:val="00192469"/>
    <w:rsid w:val="00194889"/>
    <w:rsid w:val="00196687"/>
    <w:rsid w:val="001A3888"/>
    <w:rsid w:val="001B2BC9"/>
    <w:rsid w:val="001C0962"/>
    <w:rsid w:val="001D129B"/>
    <w:rsid w:val="001D6EC9"/>
    <w:rsid w:val="001D7531"/>
    <w:rsid w:val="001E6616"/>
    <w:rsid w:val="001E7191"/>
    <w:rsid w:val="001E737D"/>
    <w:rsid w:val="001F0592"/>
    <w:rsid w:val="001F7506"/>
    <w:rsid w:val="002006CD"/>
    <w:rsid w:val="00202B36"/>
    <w:rsid w:val="00204B7A"/>
    <w:rsid w:val="00204CDE"/>
    <w:rsid w:val="00207FA3"/>
    <w:rsid w:val="0021101A"/>
    <w:rsid w:val="002126F6"/>
    <w:rsid w:val="00220536"/>
    <w:rsid w:val="00220866"/>
    <w:rsid w:val="00222819"/>
    <w:rsid w:val="00232D58"/>
    <w:rsid w:val="00235629"/>
    <w:rsid w:val="00235BBC"/>
    <w:rsid w:val="00235D1F"/>
    <w:rsid w:val="00241E81"/>
    <w:rsid w:val="0024397B"/>
    <w:rsid w:val="00245F9D"/>
    <w:rsid w:val="0025236E"/>
    <w:rsid w:val="00260C38"/>
    <w:rsid w:val="002616C0"/>
    <w:rsid w:val="00261FB1"/>
    <w:rsid w:val="00265372"/>
    <w:rsid w:val="002662AA"/>
    <w:rsid w:val="002706EC"/>
    <w:rsid w:val="00273C07"/>
    <w:rsid w:val="00280496"/>
    <w:rsid w:val="0028660A"/>
    <w:rsid w:val="00294DC9"/>
    <w:rsid w:val="00295495"/>
    <w:rsid w:val="00297916"/>
    <w:rsid w:val="00297C3D"/>
    <w:rsid w:val="002A2CB9"/>
    <w:rsid w:val="002A31DE"/>
    <w:rsid w:val="002A7ECE"/>
    <w:rsid w:val="002B2613"/>
    <w:rsid w:val="002D191E"/>
    <w:rsid w:val="002D2F72"/>
    <w:rsid w:val="002D3D9B"/>
    <w:rsid w:val="002D6D05"/>
    <w:rsid w:val="002E0D1C"/>
    <w:rsid w:val="002E1354"/>
    <w:rsid w:val="002E3512"/>
    <w:rsid w:val="002E3537"/>
    <w:rsid w:val="002F1818"/>
    <w:rsid w:val="002F464E"/>
    <w:rsid w:val="002F567B"/>
    <w:rsid w:val="00301A1F"/>
    <w:rsid w:val="003024BB"/>
    <w:rsid w:val="00305DCA"/>
    <w:rsid w:val="00315F7D"/>
    <w:rsid w:val="003216A9"/>
    <w:rsid w:val="003303C6"/>
    <w:rsid w:val="00335182"/>
    <w:rsid w:val="00335A74"/>
    <w:rsid w:val="00343AF4"/>
    <w:rsid w:val="0034644B"/>
    <w:rsid w:val="0035597C"/>
    <w:rsid w:val="00357DA9"/>
    <w:rsid w:val="00360BEA"/>
    <w:rsid w:val="0036561B"/>
    <w:rsid w:val="003678B9"/>
    <w:rsid w:val="0037013F"/>
    <w:rsid w:val="003721F9"/>
    <w:rsid w:val="003775E1"/>
    <w:rsid w:val="00380C92"/>
    <w:rsid w:val="00381F30"/>
    <w:rsid w:val="00394A57"/>
    <w:rsid w:val="003A2FA8"/>
    <w:rsid w:val="003A484F"/>
    <w:rsid w:val="003A4883"/>
    <w:rsid w:val="003B0BE0"/>
    <w:rsid w:val="003B0C1B"/>
    <w:rsid w:val="003B688C"/>
    <w:rsid w:val="003B7554"/>
    <w:rsid w:val="003C0291"/>
    <w:rsid w:val="003C0B3C"/>
    <w:rsid w:val="003C33AF"/>
    <w:rsid w:val="003C39AE"/>
    <w:rsid w:val="003C4308"/>
    <w:rsid w:val="003C7B60"/>
    <w:rsid w:val="003D0C0F"/>
    <w:rsid w:val="003D1439"/>
    <w:rsid w:val="003D1FB2"/>
    <w:rsid w:val="003D4D5D"/>
    <w:rsid w:val="003D66DA"/>
    <w:rsid w:val="003D79F8"/>
    <w:rsid w:val="003E1310"/>
    <w:rsid w:val="003E23A8"/>
    <w:rsid w:val="003E4FEE"/>
    <w:rsid w:val="003E6F55"/>
    <w:rsid w:val="003E7586"/>
    <w:rsid w:val="00406254"/>
    <w:rsid w:val="0041465E"/>
    <w:rsid w:val="00414DC6"/>
    <w:rsid w:val="004223DE"/>
    <w:rsid w:val="00434489"/>
    <w:rsid w:val="0043673F"/>
    <w:rsid w:val="00437085"/>
    <w:rsid w:val="00440542"/>
    <w:rsid w:val="00443880"/>
    <w:rsid w:val="004464F4"/>
    <w:rsid w:val="00455D69"/>
    <w:rsid w:val="0045785E"/>
    <w:rsid w:val="004707BB"/>
    <w:rsid w:val="00471401"/>
    <w:rsid w:val="00471DB1"/>
    <w:rsid w:val="004735D2"/>
    <w:rsid w:val="00473F31"/>
    <w:rsid w:val="00474326"/>
    <w:rsid w:val="00476214"/>
    <w:rsid w:val="0048263A"/>
    <w:rsid w:val="0048624A"/>
    <w:rsid w:val="00487E5D"/>
    <w:rsid w:val="004954B3"/>
    <w:rsid w:val="004A711F"/>
    <w:rsid w:val="004A7A0A"/>
    <w:rsid w:val="004B199D"/>
    <w:rsid w:val="004B4690"/>
    <w:rsid w:val="004D6AC3"/>
    <w:rsid w:val="004E0A2D"/>
    <w:rsid w:val="004E206B"/>
    <w:rsid w:val="004E670C"/>
    <w:rsid w:val="004E6DF7"/>
    <w:rsid w:val="004E7E00"/>
    <w:rsid w:val="004F0C99"/>
    <w:rsid w:val="004F0FBD"/>
    <w:rsid w:val="004F68AB"/>
    <w:rsid w:val="00505A47"/>
    <w:rsid w:val="00507AC6"/>
    <w:rsid w:val="00511735"/>
    <w:rsid w:val="00512FDA"/>
    <w:rsid w:val="00516F00"/>
    <w:rsid w:val="00520DA0"/>
    <w:rsid w:val="00533C6A"/>
    <w:rsid w:val="00535E7E"/>
    <w:rsid w:val="00535EA8"/>
    <w:rsid w:val="00544B88"/>
    <w:rsid w:val="00547D53"/>
    <w:rsid w:val="00553BC6"/>
    <w:rsid w:val="005664BB"/>
    <w:rsid w:val="00566F64"/>
    <w:rsid w:val="00566FFA"/>
    <w:rsid w:val="0057481D"/>
    <w:rsid w:val="005800F0"/>
    <w:rsid w:val="0058065B"/>
    <w:rsid w:val="0058486E"/>
    <w:rsid w:val="00585B33"/>
    <w:rsid w:val="0059014D"/>
    <w:rsid w:val="0059075B"/>
    <w:rsid w:val="00593DB7"/>
    <w:rsid w:val="00596E93"/>
    <w:rsid w:val="005B5C64"/>
    <w:rsid w:val="005B61EB"/>
    <w:rsid w:val="005C36A2"/>
    <w:rsid w:val="005C5337"/>
    <w:rsid w:val="005C6662"/>
    <w:rsid w:val="005C6BD0"/>
    <w:rsid w:val="005D1C8B"/>
    <w:rsid w:val="005D452E"/>
    <w:rsid w:val="005D468D"/>
    <w:rsid w:val="005D470C"/>
    <w:rsid w:val="005D5CED"/>
    <w:rsid w:val="005E4996"/>
    <w:rsid w:val="005F1A4C"/>
    <w:rsid w:val="005F202E"/>
    <w:rsid w:val="005F22AC"/>
    <w:rsid w:val="006035EA"/>
    <w:rsid w:val="00605688"/>
    <w:rsid w:val="006070AF"/>
    <w:rsid w:val="006071B7"/>
    <w:rsid w:val="00607E6C"/>
    <w:rsid w:val="006101B1"/>
    <w:rsid w:val="00614E44"/>
    <w:rsid w:val="00617E6E"/>
    <w:rsid w:val="0062270A"/>
    <w:rsid w:val="00622830"/>
    <w:rsid w:val="00623DA0"/>
    <w:rsid w:val="0062649C"/>
    <w:rsid w:val="00630AEF"/>
    <w:rsid w:val="0063132E"/>
    <w:rsid w:val="006325F8"/>
    <w:rsid w:val="00633463"/>
    <w:rsid w:val="00634C9A"/>
    <w:rsid w:val="006440E4"/>
    <w:rsid w:val="006478EE"/>
    <w:rsid w:val="006539B6"/>
    <w:rsid w:val="00657F3D"/>
    <w:rsid w:val="0066343B"/>
    <w:rsid w:val="00664777"/>
    <w:rsid w:val="00664B7A"/>
    <w:rsid w:val="006650CA"/>
    <w:rsid w:val="006748A4"/>
    <w:rsid w:val="00681A31"/>
    <w:rsid w:val="00683E73"/>
    <w:rsid w:val="00687DC9"/>
    <w:rsid w:val="006954DB"/>
    <w:rsid w:val="00695CAE"/>
    <w:rsid w:val="0069625D"/>
    <w:rsid w:val="006A3141"/>
    <w:rsid w:val="006A3FCF"/>
    <w:rsid w:val="006A4ECD"/>
    <w:rsid w:val="006A5E34"/>
    <w:rsid w:val="006B2422"/>
    <w:rsid w:val="006B2B9A"/>
    <w:rsid w:val="006B5E0D"/>
    <w:rsid w:val="006C0CB7"/>
    <w:rsid w:val="006C1352"/>
    <w:rsid w:val="006C1937"/>
    <w:rsid w:val="006C4D67"/>
    <w:rsid w:val="006C79CE"/>
    <w:rsid w:val="006F020C"/>
    <w:rsid w:val="006F1DA7"/>
    <w:rsid w:val="006F4202"/>
    <w:rsid w:val="00704E37"/>
    <w:rsid w:val="00707DDF"/>
    <w:rsid w:val="007127B7"/>
    <w:rsid w:val="00716DD7"/>
    <w:rsid w:val="0071798E"/>
    <w:rsid w:val="00725EBF"/>
    <w:rsid w:val="00726468"/>
    <w:rsid w:val="0072733A"/>
    <w:rsid w:val="007301D8"/>
    <w:rsid w:val="00734247"/>
    <w:rsid w:val="007416B6"/>
    <w:rsid w:val="00741BA1"/>
    <w:rsid w:val="00743144"/>
    <w:rsid w:val="0074440F"/>
    <w:rsid w:val="00746F48"/>
    <w:rsid w:val="0075404D"/>
    <w:rsid w:val="00754705"/>
    <w:rsid w:val="007558FE"/>
    <w:rsid w:val="00760BE6"/>
    <w:rsid w:val="007612B9"/>
    <w:rsid w:val="0076182A"/>
    <w:rsid w:val="007634C7"/>
    <w:rsid w:val="00767B7E"/>
    <w:rsid w:val="007770C3"/>
    <w:rsid w:val="00777B62"/>
    <w:rsid w:val="00784D24"/>
    <w:rsid w:val="00784DE9"/>
    <w:rsid w:val="00785FBA"/>
    <w:rsid w:val="00786E4A"/>
    <w:rsid w:val="007875EB"/>
    <w:rsid w:val="0079426B"/>
    <w:rsid w:val="00796D2D"/>
    <w:rsid w:val="007A2134"/>
    <w:rsid w:val="007A6B7C"/>
    <w:rsid w:val="007B4B33"/>
    <w:rsid w:val="007B5813"/>
    <w:rsid w:val="007B6AFB"/>
    <w:rsid w:val="007D1682"/>
    <w:rsid w:val="007D312A"/>
    <w:rsid w:val="007D3F19"/>
    <w:rsid w:val="007E0782"/>
    <w:rsid w:val="007E23B0"/>
    <w:rsid w:val="007E23E5"/>
    <w:rsid w:val="007F1991"/>
    <w:rsid w:val="007F2C2F"/>
    <w:rsid w:val="007F334D"/>
    <w:rsid w:val="007F55FC"/>
    <w:rsid w:val="007F5665"/>
    <w:rsid w:val="007F607D"/>
    <w:rsid w:val="00800112"/>
    <w:rsid w:val="00803ECE"/>
    <w:rsid w:val="00805B67"/>
    <w:rsid w:val="008076DA"/>
    <w:rsid w:val="00813348"/>
    <w:rsid w:val="008253BB"/>
    <w:rsid w:val="00834BE3"/>
    <w:rsid w:val="00835238"/>
    <w:rsid w:val="00835967"/>
    <w:rsid w:val="0083706E"/>
    <w:rsid w:val="008408F6"/>
    <w:rsid w:val="008423A5"/>
    <w:rsid w:val="00844A98"/>
    <w:rsid w:val="00846DE3"/>
    <w:rsid w:val="00850625"/>
    <w:rsid w:val="00851D28"/>
    <w:rsid w:val="00853718"/>
    <w:rsid w:val="00854BE1"/>
    <w:rsid w:val="00855221"/>
    <w:rsid w:val="00855E0B"/>
    <w:rsid w:val="00860645"/>
    <w:rsid w:val="00870E7F"/>
    <w:rsid w:val="00871F71"/>
    <w:rsid w:val="00872FD8"/>
    <w:rsid w:val="00885AF4"/>
    <w:rsid w:val="008939CD"/>
    <w:rsid w:val="008B768C"/>
    <w:rsid w:val="008C4DB1"/>
    <w:rsid w:val="008C4EAF"/>
    <w:rsid w:val="008C5176"/>
    <w:rsid w:val="008C7FD0"/>
    <w:rsid w:val="008E1DE7"/>
    <w:rsid w:val="008E2F5A"/>
    <w:rsid w:val="008E707C"/>
    <w:rsid w:val="008F1EF5"/>
    <w:rsid w:val="00900B08"/>
    <w:rsid w:val="00901297"/>
    <w:rsid w:val="00902155"/>
    <w:rsid w:val="00902FA3"/>
    <w:rsid w:val="00912756"/>
    <w:rsid w:val="00912E2B"/>
    <w:rsid w:val="009176E7"/>
    <w:rsid w:val="00923564"/>
    <w:rsid w:val="0092392E"/>
    <w:rsid w:val="009315F9"/>
    <w:rsid w:val="00933499"/>
    <w:rsid w:val="00935C98"/>
    <w:rsid w:val="00946945"/>
    <w:rsid w:val="00951248"/>
    <w:rsid w:val="0095152F"/>
    <w:rsid w:val="00954C49"/>
    <w:rsid w:val="00955E37"/>
    <w:rsid w:val="0095761E"/>
    <w:rsid w:val="0095772D"/>
    <w:rsid w:val="00963E56"/>
    <w:rsid w:val="0097099F"/>
    <w:rsid w:val="00971997"/>
    <w:rsid w:val="00971FFC"/>
    <w:rsid w:val="0097273A"/>
    <w:rsid w:val="0097719D"/>
    <w:rsid w:val="0098660A"/>
    <w:rsid w:val="00987D60"/>
    <w:rsid w:val="009914BB"/>
    <w:rsid w:val="009931C3"/>
    <w:rsid w:val="009A1C01"/>
    <w:rsid w:val="009A241B"/>
    <w:rsid w:val="009A5790"/>
    <w:rsid w:val="009A7D47"/>
    <w:rsid w:val="009B0E9D"/>
    <w:rsid w:val="009B2C43"/>
    <w:rsid w:val="009B4EAE"/>
    <w:rsid w:val="009B635D"/>
    <w:rsid w:val="009B7573"/>
    <w:rsid w:val="009C132D"/>
    <w:rsid w:val="009C22F4"/>
    <w:rsid w:val="009C2A4B"/>
    <w:rsid w:val="009C2E98"/>
    <w:rsid w:val="009D1181"/>
    <w:rsid w:val="009D3447"/>
    <w:rsid w:val="009D4711"/>
    <w:rsid w:val="009D72EB"/>
    <w:rsid w:val="009F1185"/>
    <w:rsid w:val="009F18CD"/>
    <w:rsid w:val="009F1CB6"/>
    <w:rsid w:val="009F2A13"/>
    <w:rsid w:val="009F34FE"/>
    <w:rsid w:val="009F3E44"/>
    <w:rsid w:val="009F7527"/>
    <w:rsid w:val="00A00AD2"/>
    <w:rsid w:val="00A04EB0"/>
    <w:rsid w:val="00A105AA"/>
    <w:rsid w:val="00A13CC1"/>
    <w:rsid w:val="00A16847"/>
    <w:rsid w:val="00A170DF"/>
    <w:rsid w:val="00A20588"/>
    <w:rsid w:val="00A237D8"/>
    <w:rsid w:val="00A268C4"/>
    <w:rsid w:val="00A307CD"/>
    <w:rsid w:val="00A331C8"/>
    <w:rsid w:val="00A369EA"/>
    <w:rsid w:val="00A36FC6"/>
    <w:rsid w:val="00A40A00"/>
    <w:rsid w:val="00A40F4A"/>
    <w:rsid w:val="00A4142F"/>
    <w:rsid w:val="00A422EB"/>
    <w:rsid w:val="00A42743"/>
    <w:rsid w:val="00A45BB7"/>
    <w:rsid w:val="00A56DF2"/>
    <w:rsid w:val="00A56E6E"/>
    <w:rsid w:val="00A63308"/>
    <w:rsid w:val="00A67841"/>
    <w:rsid w:val="00A67AB5"/>
    <w:rsid w:val="00A733B2"/>
    <w:rsid w:val="00A741C2"/>
    <w:rsid w:val="00A91760"/>
    <w:rsid w:val="00A92F75"/>
    <w:rsid w:val="00A93B00"/>
    <w:rsid w:val="00A93C21"/>
    <w:rsid w:val="00AA3D22"/>
    <w:rsid w:val="00AB64C9"/>
    <w:rsid w:val="00AC3C6A"/>
    <w:rsid w:val="00AD5620"/>
    <w:rsid w:val="00AD656B"/>
    <w:rsid w:val="00AD7C1B"/>
    <w:rsid w:val="00AE16BA"/>
    <w:rsid w:val="00AE1EBE"/>
    <w:rsid w:val="00AF76DC"/>
    <w:rsid w:val="00B01491"/>
    <w:rsid w:val="00B020C2"/>
    <w:rsid w:val="00B0276E"/>
    <w:rsid w:val="00B03C9D"/>
    <w:rsid w:val="00B060AE"/>
    <w:rsid w:val="00B07814"/>
    <w:rsid w:val="00B10517"/>
    <w:rsid w:val="00B12389"/>
    <w:rsid w:val="00B14E76"/>
    <w:rsid w:val="00B161B8"/>
    <w:rsid w:val="00B2048C"/>
    <w:rsid w:val="00B310B9"/>
    <w:rsid w:val="00B35F3F"/>
    <w:rsid w:val="00B36CBB"/>
    <w:rsid w:val="00B371C8"/>
    <w:rsid w:val="00B40928"/>
    <w:rsid w:val="00B425E0"/>
    <w:rsid w:val="00B440AA"/>
    <w:rsid w:val="00B44B70"/>
    <w:rsid w:val="00B51805"/>
    <w:rsid w:val="00B52344"/>
    <w:rsid w:val="00B53C56"/>
    <w:rsid w:val="00B57DAF"/>
    <w:rsid w:val="00B66FEB"/>
    <w:rsid w:val="00B746B2"/>
    <w:rsid w:val="00B77EA6"/>
    <w:rsid w:val="00B80E14"/>
    <w:rsid w:val="00B81598"/>
    <w:rsid w:val="00B841F1"/>
    <w:rsid w:val="00B944D6"/>
    <w:rsid w:val="00BA2743"/>
    <w:rsid w:val="00BB4DF0"/>
    <w:rsid w:val="00BC289F"/>
    <w:rsid w:val="00BC29E2"/>
    <w:rsid w:val="00BC2D50"/>
    <w:rsid w:val="00BC495A"/>
    <w:rsid w:val="00BC5361"/>
    <w:rsid w:val="00BC5460"/>
    <w:rsid w:val="00BC6B50"/>
    <w:rsid w:val="00BD0E25"/>
    <w:rsid w:val="00BF10E4"/>
    <w:rsid w:val="00BF209B"/>
    <w:rsid w:val="00BF3E6A"/>
    <w:rsid w:val="00BF5BD6"/>
    <w:rsid w:val="00C01375"/>
    <w:rsid w:val="00C03E31"/>
    <w:rsid w:val="00C04166"/>
    <w:rsid w:val="00C04A9D"/>
    <w:rsid w:val="00C06581"/>
    <w:rsid w:val="00C15D44"/>
    <w:rsid w:val="00C24668"/>
    <w:rsid w:val="00C24AB5"/>
    <w:rsid w:val="00C2696B"/>
    <w:rsid w:val="00C33E72"/>
    <w:rsid w:val="00C34D36"/>
    <w:rsid w:val="00C354B2"/>
    <w:rsid w:val="00C35554"/>
    <w:rsid w:val="00C42709"/>
    <w:rsid w:val="00C533CC"/>
    <w:rsid w:val="00C5751C"/>
    <w:rsid w:val="00C61BFC"/>
    <w:rsid w:val="00C62B85"/>
    <w:rsid w:val="00C62DB6"/>
    <w:rsid w:val="00C645E1"/>
    <w:rsid w:val="00C65438"/>
    <w:rsid w:val="00C753DE"/>
    <w:rsid w:val="00C769FB"/>
    <w:rsid w:val="00C83110"/>
    <w:rsid w:val="00C87FD8"/>
    <w:rsid w:val="00C91381"/>
    <w:rsid w:val="00C919D4"/>
    <w:rsid w:val="00C91CBB"/>
    <w:rsid w:val="00C92513"/>
    <w:rsid w:val="00CB223F"/>
    <w:rsid w:val="00CB4E70"/>
    <w:rsid w:val="00CC09B6"/>
    <w:rsid w:val="00CC666F"/>
    <w:rsid w:val="00CD0235"/>
    <w:rsid w:val="00CD1E3F"/>
    <w:rsid w:val="00CD22E2"/>
    <w:rsid w:val="00CE0CAD"/>
    <w:rsid w:val="00CE1588"/>
    <w:rsid w:val="00CE44F6"/>
    <w:rsid w:val="00CE49DA"/>
    <w:rsid w:val="00CE6067"/>
    <w:rsid w:val="00CE7B61"/>
    <w:rsid w:val="00CF2852"/>
    <w:rsid w:val="00CF66D1"/>
    <w:rsid w:val="00CF6FE2"/>
    <w:rsid w:val="00D00095"/>
    <w:rsid w:val="00D01055"/>
    <w:rsid w:val="00D0319E"/>
    <w:rsid w:val="00D10350"/>
    <w:rsid w:val="00D114F0"/>
    <w:rsid w:val="00D119ED"/>
    <w:rsid w:val="00D12ACF"/>
    <w:rsid w:val="00D12D3A"/>
    <w:rsid w:val="00D156FF"/>
    <w:rsid w:val="00D17FB7"/>
    <w:rsid w:val="00D20620"/>
    <w:rsid w:val="00D254F7"/>
    <w:rsid w:val="00D26091"/>
    <w:rsid w:val="00D2685C"/>
    <w:rsid w:val="00D27871"/>
    <w:rsid w:val="00D349C8"/>
    <w:rsid w:val="00D34E7C"/>
    <w:rsid w:val="00D35489"/>
    <w:rsid w:val="00D36AFE"/>
    <w:rsid w:val="00D36C72"/>
    <w:rsid w:val="00D47A56"/>
    <w:rsid w:val="00D47D92"/>
    <w:rsid w:val="00D51276"/>
    <w:rsid w:val="00D55D0B"/>
    <w:rsid w:val="00D55DE9"/>
    <w:rsid w:val="00D5771A"/>
    <w:rsid w:val="00D62A29"/>
    <w:rsid w:val="00D7035F"/>
    <w:rsid w:val="00D703CD"/>
    <w:rsid w:val="00D8580F"/>
    <w:rsid w:val="00D95320"/>
    <w:rsid w:val="00DA634F"/>
    <w:rsid w:val="00DA65AC"/>
    <w:rsid w:val="00DB0E55"/>
    <w:rsid w:val="00DB12AD"/>
    <w:rsid w:val="00DB1913"/>
    <w:rsid w:val="00DB31C2"/>
    <w:rsid w:val="00DC231C"/>
    <w:rsid w:val="00DC2DF1"/>
    <w:rsid w:val="00DC410D"/>
    <w:rsid w:val="00DC5A81"/>
    <w:rsid w:val="00DC68CA"/>
    <w:rsid w:val="00DC7CBA"/>
    <w:rsid w:val="00DD5133"/>
    <w:rsid w:val="00DD6487"/>
    <w:rsid w:val="00DD73B7"/>
    <w:rsid w:val="00DE3847"/>
    <w:rsid w:val="00DF28BC"/>
    <w:rsid w:val="00DF34B9"/>
    <w:rsid w:val="00DF5A48"/>
    <w:rsid w:val="00DF6B63"/>
    <w:rsid w:val="00E01053"/>
    <w:rsid w:val="00E07ACF"/>
    <w:rsid w:val="00E17485"/>
    <w:rsid w:val="00E331A1"/>
    <w:rsid w:val="00E33202"/>
    <w:rsid w:val="00E336A9"/>
    <w:rsid w:val="00E36E3A"/>
    <w:rsid w:val="00E472B1"/>
    <w:rsid w:val="00E50624"/>
    <w:rsid w:val="00E5563E"/>
    <w:rsid w:val="00E564D1"/>
    <w:rsid w:val="00E56785"/>
    <w:rsid w:val="00E568DF"/>
    <w:rsid w:val="00E62DCE"/>
    <w:rsid w:val="00E64269"/>
    <w:rsid w:val="00E82267"/>
    <w:rsid w:val="00E853CE"/>
    <w:rsid w:val="00E867B6"/>
    <w:rsid w:val="00E9331B"/>
    <w:rsid w:val="00E93903"/>
    <w:rsid w:val="00EA010F"/>
    <w:rsid w:val="00EA7EB1"/>
    <w:rsid w:val="00EB376B"/>
    <w:rsid w:val="00EB3DC5"/>
    <w:rsid w:val="00EC25A1"/>
    <w:rsid w:val="00EC36D7"/>
    <w:rsid w:val="00EC4440"/>
    <w:rsid w:val="00EC6DB2"/>
    <w:rsid w:val="00EC7151"/>
    <w:rsid w:val="00ED1B63"/>
    <w:rsid w:val="00ED3C1F"/>
    <w:rsid w:val="00ED4085"/>
    <w:rsid w:val="00ED420E"/>
    <w:rsid w:val="00ED5A96"/>
    <w:rsid w:val="00ED6FBE"/>
    <w:rsid w:val="00EE2F57"/>
    <w:rsid w:val="00EF4C34"/>
    <w:rsid w:val="00EF77C6"/>
    <w:rsid w:val="00F024A2"/>
    <w:rsid w:val="00F0444E"/>
    <w:rsid w:val="00F05438"/>
    <w:rsid w:val="00F06014"/>
    <w:rsid w:val="00F1361C"/>
    <w:rsid w:val="00F146B8"/>
    <w:rsid w:val="00F156F0"/>
    <w:rsid w:val="00F15FCE"/>
    <w:rsid w:val="00F160C7"/>
    <w:rsid w:val="00F17AD8"/>
    <w:rsid w:val="00F2408F"/>
    <w:rsid w:val="00F240E9"/>
    <w:rsid w:val="00F2597A"/>
    <w:rsid w:val="00F2707C"/>
    <w:rsid w:val="00F34FC4"/>
    <w:rsid w:val="00F36D8F"/>
    <w:rsid w:val="00F417B1"/>
    <w:rsid w:val="00F45073"/>
    <w:rsid w:val="00F45853"/>
    <w:rsid w:val="00F50143"/>
    <w:rsid w:val="00F602DF"/>
    <w:rsid w:val="00F634EE"/>
    <w:rsid w:val="00F7456D"/>
    <w:rsid w:val="00F754A1"/>
    <w:rsid w:val="00F81FD9"/>
    <w:rsid w:val="00F83227"/>
    <w:rsid w:val="00F841AA"/>
    <w:rsid w:val="00F84A94"/>
    <w:rsid w:val="00F87E96"/>
    <w:rsid w:val="00F9213D"/>
    <w:rsid w:val="00FA23E8"/>
    <w:rsid w:val="00FB0962"/>
    <w:rsid w:val="00FC37C6"/>
    <w:rsid w:val="00FD3CC1"/>
    <w:rsid w:val="00FE4E8A"/>
    <w:rsid w:val="00FF1E02"/>
    <w:rsid w:val="00FF30B4"/>
    <w:rsid w:val="00FF3683"/>
    <w:rsid w:val="066E0107"/>
    <w:rsid w:val="07996F6E"/>
    <w:rsid w:val="0A2032A3"/>
    <w:rsid w:val="101860EC"/>
    <w:rsid w:val="10C055FF"/>
    <w:rsid w:val="118107EC"/>
    <w:rsid w:val="11C11437"/>
    <w:rsid w:val="13D50BC4"/>
    <w:rsid w:val="16BB723D"/>
    <w:rsid w:val="1BE8440E"/>
    <w:rsid w:val="1CEF87AD"/>
    <w:rsid w:val="1D155CEE"/>
    <w:rsid w:val="23860B96"/>
    <w:rsid w:val="240371BF"/>
    <w:rsid w:val="252B0C4D"/>
    <w:rsid w:val="29FD04D3"/>
    <w:rsid w:val="2B7EE601"/>
    <w:rsid w:val="2C8A61B5"/>
    <w:rsid w:val="2DDBF346"/>
    <w:rsid w:val="2DF04E50"/>
    <w:rsid w:val="319F7F4E"/>
    <w:rsid w:val="33F1E530"/>
    <w:rsid w:val="34C843D9"/>
    <w:rsid w:val="36AA5135"/>
    <w:rsid w:val="37587D1D"/>
    <w:rsid w:val="37E16F03"/>
    <w:rsid w:val="39FDF00A"/>
    <w:rsid w:val="3BFD44B4"/>
    <w:rsid w:val="3C9C4248"/>
    <w:rsid w:val="3D98207C"/>
    <w:rsid w:val="3E7BF364"/>
    <w:rsid w:val="3FBF03E4"/>
    <w:rsid w:val="3FFD9BFC"/>
    <w:rsid w:val="44E268DA"/>
    <w:rsid w:val="4A627F82"/>
    <w:rsid w:val="4B4F25DA"/>
    <w:rsid w:val="4BE068DB"/>
    <w:rsid w:val="4D577224"/>
    <w:rsid w:val="4D9FF1F9"/>
    <w:rsid w:val="4EAB630A"/>
    <w:rsid w:val="4ECE2238"/>
    <w:rsid w:val="52F835A6"/>
    <w:rsid w:val="55EF0708"/>
    <w:rsid w:val="55FC8CEA"/>
    <w:rsid w:val="57BBD170"/>
    <w:rsid w:val="57CB2C90"/>
    <w:rsid w:val="57DFFE02"/>
    <w:rsid w:val="57FA889C"/>
    <w:rsid w:val="59DDE7CA"/>
    <w:rsid w:val="59FB31E8"/>
    <w:rsid w:val="5AF92295"/>
    <w:rsid w:val="5CD71FC4"/>
    <w:rsid w:val="5E7C2C7C"/>
    <w:rsid w:val="5EDE6817"/>
    <w:rsid w:val="5F3F0B94"/>
    <w:rsid w:val="5FB7E767"/>
    <w:rsid w:val="5FFD7A0E"/>
    <w:rsid w:val="65BCCA79"/>
    <w:rsid w:val="67DA2E42"/>
    <w:rsid w:val="68FCE649"/>
    <w:rsid w:val="6B7701B8"/>
    <w:rsid w:val="6C4A05C8"/>
    <w:rsid w:val="6C4C076C"/>
    <w:rsid w:val="6DECE750"/>
    <w:rsid w:val="6E7E3605"/>
    <w:rsid w:val="6F5B881B"/>
    <w:rsid w:val="6FF5CC65"/>
    <w:rsid w:val="6FF65FF2"/>
    <w:rsid w:val="715C0E4B"/>
    <w:rsid w:val="71DDB2A7"/>
    <w:rsid w:val="72734D90"/>
    <w:rsid w:val="72EDB43E"/>
    <w:rsid w:val="73AD73D5"/>
    <w:rsid w:val="73B6EB34"/>
    <w:rsid w:val="73DF9000"/>
    <w:rsid w:val="77BE52BE"/>
    <w:rsid w:val="77BEE097"/>
    <w:rsid w:val="77DD6144"/>
    <w:rsid w:val="77FFB8A4"/>
    <w:rsid w:val="77FFF196"/>
    <w:rsid w:val="79E7B191"/>
    <w:rsid w:val="79EE5BA4"/>
    <w:rsid w:val="7A894339"/>
    <w:rsid w:val="7ABA3A95"/>
    <w:rsid w:val="7B1F0AE8"/>
    <w:rsid w:val="7B775798"/>
    <w:rsid w:val="7BB702BE"/>
    <w:rsid w:val="7BE259A2"/>
    <w:rsid w:val="7BF7A4A8"/>
    <w:rsid w:val="7D278627"/>
    <w:rsid w:val="7DF75700"/>
    <w:rsid w:val="7EBF21F4"/>
    <w:rsid w:val="7EDB9F53"/>
    <w:rsid w:val="7EEF11D3"/>
    <w:rsid w:val="7EFEE88C"/>
    <w:rsid w:val="7EFF6050"/>
    <w:rsid w:val="7F37B614"/>
    <w:rsid w:val="7F77DA46"/>
    <w:rsid w:val="7F78E378"/>
    <w:rsid w:val="7F7EE7A5"/>
    <w:rsid w:val="7FA30C79"/>
    <w:rsid w:val="7FB79B7D"/>
    <w:rsid w:val="7FB9738F"/>
    <w:rsid w:val="7FC96657"/>
    <w:rsid w:val="7FD52364"/>
    <w:rsid w:val="7FFEE2CA"/>
    <w:rsid w:val="7FFF0D5F"/>
    <w:rsid w:val="8FB76694"/>
    <w:rsid w:val="90FE0FD9"/>
    <w:rsid w:val="957F3819"/>
    <w:rsid w:val="9FF51E9D"/>
    <w:rsid w:val="ABE2E108"/>
    <w:rsid w:val="ABEFC019"/>
    <w:rsid w:val="AF6DD4C3"/>
    <w:rsid w:val="AFECAA39"/>
    <w:rsid w:val="B2BDF917"/>
    <w:rsid w:val="B7AFC30E"/>
    <w:rsid w:val="B7B7062F"/>
    <w:rsid w:val="B7F95FD4"/>
    <w:rsid w:val="BBEB8D7E"/>
    <w:rsid w:val="BC7FAF59"/>
    <w:rsid w:val="BEFBF2C5"/>
    <w:rsid w:val="BF5B621E"/>
    <w:rsid w:val="BF6DE3BF"/>
    <w:rsid w:val="BFD956FA"/>
    <w:rsid w:val="BFEF1E06"/>
    <w:rsid w:val="C4FF7A17"/>
    <w:rsid w:val="CDBF8292"/>
    <w:rsid w:val="CEFD9058"/>
    <w:rsid w:val="D33F18F2"/>
    <w:rsid w:val="D3FD80AB"/>
    <w:rsid w:val="D6DD3A2C"/>
    <w:rsid w:val="D7B59CC1"/>
    <w:rsid w:val="D7C9CE6B"/>
    <w:rsid w:val="D8D6DB89"/>
    <w:rsid w:val="D9FCBFF8"/>
    <w:rsid w:val="DB6F4CAB"/>
    <w:rsid w:val="DCDE2C6B"/>
    <w:rsid w:val="DDC7FAE4"/>
    <w:rsid w:val="DEB4AC5E"/>
    <w:rsid w:val="DEFF1488"/>
    <w:rsid w:val="DF6F9789"/>
    <w:rsid w:val="E79F29D3"/>
    <w:rsid w:val="E7DF3BE7"/>
    <w:rsid w:val="E9BF8F83"/>
    <w:rsid w:val="EA7FD38F"/>
    <w:rsid w:val="ECC74F6D"/>
    <w:rsid w:val="EF8BE42A"/>
    <w:rsid w:val="EF9E3D54"/>
    <w:rsid w:val="EFF96418"/>
    <w:rsid w:val="F367D1B3"/>
    <w:rsid w:val="F5FE2DF9"/>
    <w:rsid w:val="F74DE99C"/>
    <w:rsid w:val="F7E9673B"/>
    <w:rsid w:val="F7F59FCD"/>
    <w:rsid w:val="F7FF9E40"/>
    <w:rsid w:val="F9FFDA39"/>
    <w:rsid w:val="FA9F4E00"/>
    <w:rsid w:val="FADE747C"/>
    <w:rsid w:val="FB3F8EE0"/>
    <w:rsid w:val="FB5F17E5"/>
    <w:rsid w:val="FB7A15F6"/>
    <w:rsid w:val="FCF6CEB4"/>
    <w:rsid w:val="FDF6D46A"/>
    <w:rsid w:val="FEDD74A9"/>
    <w:rsid w:val="FF74E5C7"/>
    <w:rsid w:val="FFDF2029"/>
    <w:rsid w:val="FFF1F144"/>
    <w:rsid w:val="FFF4BE10"/>
    <w:rsid w:val="FFFDAB08"/>
    <w:rsid w:val="FFFF2FF1"/>
    <w:rsid w:val="FFFFB69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5">
    <w:name w:val="heading 3"/>
    <w:basedOn w:val="1"/>
    <w:next w:val="1"/>
    <w:link w:val="31"/>
    <w:unhideWhenUsed/>
    <w:qFormat/>
    <w:uiPriority w:val="9"/>
    <w:pPr>
      <w:keepNext/>
      <w:keepLines/>
      <w:spacing w:before="260" w:after="260" w:line="416" w:lineRule="auto"/>
      <w:outlineLvl w:val="2"/>
    </w:pPr>
    <w:rPr>
      <w:b/>
      <w:bCs/>
      <w:szCs w:val="32"/>
    </w:rPr>
  </w:style>
  <w:style w:type="paragraph" w:styleId="6">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3"/>
    <w:unhideWhenUsed/>
    <w:qFormat/>
    <w:uiPriority w:val="9"/>
    <w:pPr>
      <w:keepNext/>
      <w:keepLines/>
      <w:spacing w:before="280" w:after="290" w:line="376" w:lineRule="auto"/>
      <w:outlineLvl w:val="4"/>
    </w:pPr>
    <w:rPr>
      <w:b/>
      <w:bCs/>
      <w:sz w:val="28"/>
      <w:szCs w:val="28"/>
    </w:rPr>
  </w:style>
  <w:style w:type="character" w:default="1" w:styleId="16">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kern w:val="0"/>
      <w:sz w:val="30"/>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7">
    <w:name w:val="Strong"/>
    <w:basedOn w:val="16"/>
    <w:qFormat/>
    <w:uiPriority w:val="22"/>
    <w:rPr>
      <w:b/>
    </w:rPr>
  </w:style>
  <w:style w:type="character" w:styleId="18">
    <w:name w:val="Hyperlink"/>
    <w:basedOn w:val="16"/>
    <w:unhideWhenUsed/>
    <w:qFormat/>
    <w:uiPriority w:val="99"/>
    <w:rPr>
      <w:color w:val="0000FF" w:themeColor="hyperlink"/>
      <w:u w:val="single"/>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Char"/>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Char"/>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Char"/>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6"/>
    <w:link w:val="3"/>
    <w:qFormat/>
    <w:uiPriority w:val="9"/>
    <w:rPr>
      <w:rFonts w:ascii="Times New Roman" w:hAnsi="Times New Roman"/>
      <w:b/>
      <w:bCs/>
      <w:kern w:val="44"/>
      <w:sz w:val="44"/>
      <w:szCs w:val="44"/>
    </w:rPr>
  </w:style>
  <w:style w:type="character" w:customStyle="1" w:styleId="28">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0">
    <w:name w:val="批注框文本 Char"/>
    <w:basedOn w:val="16"/>
    <w:link w:val="9"/>
    <w:semiHidden/>
    <w:qFormat/>
    <w:uiPriority w:val="99"/>
    <w:rPr>
      <w:rFonts w:ascii="Times New Roman" w:hAnsi="Times New Roman"/>
      <w:kern w:val="2"/>
      <w:sz w:val="18"/>
      <w:szCs w:val="18"/>
    </w:rPr>
  </w:style>
  <w:style w:type="character" w:customStyle="1" w:styleId="31">
    <w:name w:val="标题 3 Char"/>
    <w:basedOn w:val="16"/>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3">
    <w:name w:val="文档正文"/>
    <w:basedOn w:val="1"/>
    <w:qFormat/>
    <w:uiPriority w:val="0"/>
    <w:pPr>
      <w:adjustRightInd w:val="0"/>
      <w:spacing w:line="480" w:lineRule="atLeast"/>
      <w:textAlignment w:val="baseline"/>
    </w:pPr>
    <w:rPr>
      <w:rFonts w:hAnsi="Arial"/>
      <w:kern w:val="0"/>
    </w:rPr>
  </w:style>
  <w:style w:type="paragraph" w:customStyle="1" w:styleId="34">
    <w:name w:val="_Style 21"/>
    <w:basedOn w:val="1"/>
    <w:qFormat/>
    <w:uiPriority w:val="0"/>
  </w:style>
  <w:style w:type="character" w:customStyle="1" w:styleId="35">
    <w:name w:val="font41"/>
    <w:basedOn w:val="16"/>
    <w:qFormat/>
    <w:uiPriority w:val="0"/>
    <w:rPr>
      <w:rFonts w:hint="default" w:ascii="Times New Roman" w:hAnsi="Times New Roman" w:cs="Times New Roman"/>
      <w:color w:val="000000"/>
      <w:sz w:val="22"/>
      <w:szCs w:val="22"/>
      <w:u w:val="none"/>
    </w:rPr>
  </w:style>
  <w:style w:type="character" w:customStyle="1" w:styleId="36">
    <w:name w:val="font01"/>
    <w:basedOn w:val="16"/>
    <w:qFormat/>
    <w:uiPriority w:val="0"/>
    <w:rPr>
      <w:rFonts w:hint="eastAsia" w:ascii="仿宋_GB2312" w:eastAsia="仿宋_GB2312" w:cs="仿宋_GB2312"/>
      <w:color w:val="000000"/>
      <w:sz w:val="22"/>
      <w:szCs w:val="22"/>
      <w:u w:val="none"/>
    </w:rPr>
  </w:style>
  <w:style w:type="character" w:customStyle="1" w:styleId="37">
    <w:name w:val="font31"/>
    <w:basedOn w:val="16"/>
    <w:qFormat/>
    <w:uiPriority w:val="0"/>
    <w:rPr>
      <w:rFonts w:hint="default" w:ascii="Times New Roman" w:hAnsi="Times New Roman" w:cs="Times New Roman"/>
      <w:color w:val="000000"/>
      <w:sz w:val="18"/>
      <w:szCs w:val="18"/>
      <w:u w:val="none"/>
    </w:rPr>
  </w:style>
  <w:style w:type="character" w:customStyle="1" w:styleId="38">
    <w:name w:val="font11"/>
    <w:basedOn w:val="16"/>
    <w:qFormat/>
    <w:uiPriority w:val="0"/>
    <w:rPr>
      <w:rFonts w:hint="eastAsia" w:ascii="仿宋_GB2312" w:eastAsia="仿宋_GB2312" w:cs="仿宋_GB2312"/>
      <w:color w:val="000000"/>
      <w:sz w:val="18"/>
      <w:szCs w:val="18"/>
      <w:u w:val="none"/>
    </w:rPr>
  </w:style>
  <w:style w:type="paragraph" w:customStyle="1" w:styleId="39">
    <w:name w:val="普通(网站)1"/>
    <w:basedOn w:val="1"/>
    <w:qFormat/>
    <w:uiPriority w:val="0"/>
    <w:pPr>
      <w:widowControl/>
      <w:spacing w:before="100" w:beforeAutospacing="1" w:after="100" w:afterAutospacing="1"/>
      <w:jc w:val="left"/>
    </w:pPr>
    <w:rPr>
      <w:rFonts w:hint="eastAsia" w:ascii="宋体" w:hAnsi="宋体"/>
      <w:color w:val="000000"/>
      <w:kern w:val="0"/>
      <w:sz w:val="24"/>
    </w:rPr>
  </w:style>
  <w:style w:type="paragraph" w:customStyle="1" w:styleId="40">
    <w:name w:val="四号正文"/>
    <w:basedOn w:val="1"/>
    <w:qFormat/>
    <w:uiPriority w:val="0"/>
    <w:pPr>
      <w:spacing w:line="360" w:lineRule="auto"/>
    </w:pPr>
    <w:rPr>
      <w:rFonts w:ascii="??" w:hAnsi="??"/>
      <w:color w:val="000000"/>
      <w:kern w:val="0"/>
      <w:sz w:val="28"/>
      <w:szCs w:val="21"/>
      <w:lang w:val="zh-CN"/>
    </w:rPr>
  </w:style>
  <w:style w:type="paragraph" w:customStyle="1" w:styleId="41">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2">
    <w:name w:val="标题 4 Char"/>
    <w:basedOn w:val="16"/>
    <w:link w:val="6"/>
    <w:uiPriority w:val="9"/>
    <w:rPr>
      <w:rFonts w:asciiTheme="majorHAnsi" w:hAnsiTheme="majorHAnsi" w:eastAsiaTheme="majorEastAsia" w:cstheme="majorBidi"/>
      <w:b/>
      <w:bCs/>
      <w:kern w:val="2"/>
      <w:sz w:val="28"/>
      <w:szCs w:val="28"/>
    </w:rPr>
  </w:style>
  <w:style w:type="character" w:customStyle="1" w:styleId="43">
    <w:name w:val="标题 5 Char"/>
    <w:basedOn w:val="16"/>
    <w:link w:val="7"/>
    <w:uiPriority w:val="9"/>
    <w:rPr>
      <w:rFonts w:eastAsia="仿宋_GB2312"/>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26854-E7DA-4623-9BCA-FFA8B75F95EE}">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72</Pages>
  <Words>4412</Words>
  <Characters>25152</Characters>
  <Lines>209</Lines>
  <Paragraphs>59</Paragraphs>
  <TotalTime>21</TotalTime>
  <ScaleCrop>false</ScaleCrop>
  <LinksUpToDate>false</LinksUpToDate>
  <CharactersWithSpaces>29505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2022-08-26T08:56:00Z</dcterms:created>
  <dc:creator>曹颖</dc:creator>
  <cp:lastModifiedBy>Administrator</cp:lastModifiedBy>
  <cp:lastPrinted>2022-08-25T09:43:00Z</cp:lastPrinted>
  <dcterms:modified xsi:type="dcterms:W3CDTF">2022-08-29T00:34:23Z</dcterms:modified>
  <dc:title>四川省***</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