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000000" w:themeColor="text1"/>
          <w:sz w:val="72"/>
          <w:szCs w:val="72"/>
          <w:highlight w:val="none"/>
          <w:lang w:val="en-US" w:eastAsia="zh-CN"/>
          <w14:textFill>
            <w14:solidFill>
              <w14:schemeClr w14:val="tx1"/>
            </w14:solidFill>
          </w14:textFill>
        </w:rPr>
      </w:pPr>
      <w:bookmarkStart w:id="0" w:name="_Toc15306267"/>
    </w:p>
    <w:p>
      <w:pPr>
        <w:spacing w:line="600" w:lineRule="exact"/>
        <w:jc w:val="center"/>
        <w:outlineLvl w:val="0"/>
        <w:rPr>
          <w:rFonts w:ascii="方正小标宋简体" w:hAnsi="宋体" w:eastAsia="方正小标宋简体"/>
          <w:color w:val="000000" w:themeColor="text1"/>
          <w:sz w:val="72"/>
          <w:szCs w:val="72"/>
          <w:highlight w:val="none"/>
          <w14:textFill>
            <w14:solidFill>
              <w14:schemeClr w14:val="tx1"/>
            </w14:solidFill>
          </w14:textFill>
        </w:rPr>
      </w:pPr>
    </w:p>
    <w:p>
      <w:pPr>
        <w:spacing w:line="600" w:lineRule="exact"/>
        <w:jc w:val="center"/>
        <w:outlineLvl w:val="0"/>
        <w:rPr>
          <w:rFonts w:ascii="方正小标宋简体" w:hAnsi="宋体" w:eastAsia="方正小标宋简体"/>
          <w:color w:val="000000" w:themeColor="text1"/>
          <w:sz w:val="72"/>
          <w:szCs w:val="72"/>
          <w:highlight w:val="none"/>
          <w14:textFill>
            <w14:solidFill>
              <w14:schemeClr w14:val="tx1"/>
            </w14:solidFill>
          </w14:textFill>
        </w:rPr>
      </w:pPr>
    </w:p>
    <w:p>
      <w:pPr>
        <w:spacing w:line="600" w:lineRule="exact"/>
        <w:jc w:val="center"/>
        <w:outlineLvl w:val="0"/>
        <w:rPr>
          <w:rFonts w:ascii="方正小标宋简体" w:hAnsi="宋体" w:eastAsia="方正小标宋简体"/>
          <w:color w:val="000000" w:themeColor="text1"/>
          <w:sz w:val="72"/>
          <w:szCs w:val="72"/>
          <w:highlight w:val="none"/>
          <w14:textFill>
            <w14:solidFill>
              <w14:schemeClr w14:val="tx1"/>
            </w14:solidFill>
          </w14:textFill>
        </w:rPr>
      </w:pPr>
    </w:p>
    <w:p>
      <w:pPr>
        <w:adjustRightInd w:val="0"/>
        <w:snapToGrid w:val="0"/>
        <w:spacing w:line="360" w:lineRule="auto"/>
        <w:jc w:val="center"/>
        <w:outlineLvl w:val="0"/>
        <w:rPr>
          <w:rFonts w:hint="eastAsia" w:ascii="方正小标宋简体" w:hAnsi="方正小标宋简体" w:eastAsia="方正小标宋简体" w:cs="方正小标宋简体"/>
          <w:color w:val="000000" w:themeColor="text1"/>
          <w:sz w:val="72"/>
          <w:szCs w:val="72"/>
          <w:highlight w:val="none"/>
          <w14:textFill>
            <w14:solidFill>
              <w14:schemeClr w14:val="tx1"/>
            </w14:solidFill>
          </w14:textFill>
        </w:rPr>
      </w:pPr>
      <w:bookmarkStart w:id="1" w:name="_Toc15378441"/>
      <w:bookmarkStart w:id="2" w:name="_Toc15396475"/>
      <w:bookmarkStart w:id="3" w:name="_Toc15396597"/>
      <w:bookmarkStart w:id="4" w:name="_Toc15377425"/>
      <w:bookmarkStart w:id="5" w:name="_Toc15377193"/>
      <w:r>
        <w:rPr>
          <w:rFonts w:hint="eastAsia" w:ascii="方正小标宋简体" w:hAnsi="方正小标宋简体" w:eastAsia="方正小标宋简体" w:cs="方正小标宋简体"/>
          <w:color w:val="000000" w:themeColor="text1"/>
          <w:sz w:val="72"/>
          <w:szCs w:val="72"/>
          <w:highlight w:val="none"/>
          <w14:textFill>
            <w14:solidFill>
              <w14:schemeClr w14:val="tx1"/>
            </w14:solidFill>
          </w14:textFill>
        </w:rPr>
        <w:t>20</w:t>
      </w:r>
      <w:r>
        <w:rPr>
          <w:rFonts w:hint="eastAsia" w:ascii="方正小标宋简体" w:hAnsi="方正小标宋简体" w:eastAsia="方正小标宋简体" w:cs="方正小标宋简体"/>
          <w:color w:val="000000" w:themeColor="text1"/>
          <w:sz w:val="72"/>
          <w:szCs w:val="72"/>
          <w:highlight w:val="none"/>
          <w:lang w:val="en-US" w:eastAsia="zh-CN"/>
          <w14:textFill>
            <w14:solidFill>
              <w14:schemeClr w14:val="tx1"/>
            </w14:solidFill>
          </w14:textFill>
        </w:rPr>
        <w:t>21</w:t>
      </w:r>
      <w:r>
        <w:rPr>
          <w:rFonts w:hint="eastAsia" w:ascii="方正小标宋简体" w:hAnsi="方正小标宋简体" w:eastAsia="方正小标宋简体" w:cs="方正小标宋简体"/>
          <w:color w:val="000000" w:themeColor="text1"/>
          <w:sz w:val="72"/>
          <w:szCs w:val="72"/>
          <w:highlight w:val="none"/>
          <w14:textFill>
            <w14:solidFill>
              <w14:schemeClr w14:val="tx1"/>
            </w14:solidFill>
          </w14:textFill>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themeColor="text1"/>
          <w:sz w:val="72"/>
          <w:szCs w:val="72"/>
          <w14:textFill>
            <w14:solidFill>
              <w14:schemeClr w14:val="tx1"/>
            </w14:solidFill>
          </w14:textFill>
        </w:rPr>
      </w:pPr>
      <w:bookmarkStart w:id="6" w:name="_Toc15377194"/>
      <w:bookmarkStart w:id="7" w:name="_Toc15396598"/>
      <w:bookmarkStart w:id="8" w:name="_Toc15378442"/>
      <w:bookmarkStart w:id="9" w:name="_Toc15377426"/>
      <w:bookmarkStart w:id="10" w:name="_Toc15396476"/>
      <w:r>
        <w:rPr>
          <w:rFonts w:hint="eastAsia" w:ascii="方正小标宋简体" w:hAnsi="方正小标宋简体" w:eastAsia="方正小标宋简体" w:cs="方正小标宋简体"/>
          <w:color w:val="000000" w:themeColor="text1"/>
          <w:sz w:val="72"/>
          <w:szCs w:val="72"/>
          <w:highlight w:val="none"/>
          <w14:textFill>
            <w14:solidFill>
              <w14:schemeClr w14:val="tx1"/>
            </w14:solidFill>
          </w14:textFill>
        </w:rPr>
        <w:t>四川省</w:t>
      </w:r>
      <w:bookmarkEnd w:id="0"/>
      <w:bookmarkStart w:id="11" w:name="_Toc15306268"/>
      <w:r>
        <w:rPr>
          <w:rFonts w:hint="eastAsia" w:ascii="方正小标宋简体" w:hAnsi="宋体" w:eastAsia="方正小标宋简体"/>
          <w:color w:val="000000" w:themeColor="text1"/>
          <w:sz w:val="72"/>
          <w:szCs w:val="72"/>
          <w14:textFill>
            <w14:solidFill>
              <w14:schemeClr w14:val="tx1"/>
            </w14:solidFill>
          </w14:textFill>
        </w:rPr>
        <w:t>监狱管理局</w:t>
      </w:r>
    </w:p>
    <w:p>
      <w:pPr>
        <w:adjustRightInd w:val="0"/>
        <w:snapToGrid w:val="0"/>
        <w:spacing w:line="360" w:lineRule="auto"/>
        <w:jc w:val="center"/>
        <w:outlineLvl w:val="0"/>
        <w:rPr>
          <w:rFonts w:hint="eastAsia" w:ascii="方正小标宋简体" w:hAnsi="宋体" w:eastAsia="方正小标宋简体"/>
          <w:color w:val="000000" w:themeColor="text1"/>
          <w:sz w:val="72"/>
          <w:szCs w:val="72"/>
          <w14:textFill>
            <w14:solidFill>
              <w14:schemeClr w14:val="tx1"/>
            </w14:solidFill>
          </w14:textFill>
        </w:rPr>
      </w:pPr>
      <w:r>
        <w:rPr>
          <w:rFonts w:hint="eastAsia" w:ascii="方正小标宋简体" w:hAnsi="宋体" w:eastAsia="方正小标宋简体"/>
          <w:color w:val="000000" w:themeColor="text1"/>
          <w:sz w:val="72"/>
          <w:szCs w:val="72"/>
          <w14:textFill>
            <w14:solidFill>
              <w14:schemeClr w14:val="tx1"/>
            </w14:solidFill>
          </w14:textFill>
        </w:rPr>
        <w:t>乐山监狱管理科</w:t>
      </w:r>
    </w:p>
    <w:p>
      <w:pPr>
        <w:adjustRightInd w:val="0"/>
        <w:snapToGrid w:val="0"/>
        <w:spacing w:line="360" w:lineRule="auto"/>
        <w:jc w:val="center"/>
        <w:outlineLvl w:val="0"/>
        <w:rPr>
          <w:rFonts w:hint="eastAsia" w:ascii="方正小标宋简体" w:hAnsi="方正小标宋简体" w:eastAsia="方正小标宋简体" w:cs="方正小标宋简体"/>
          <w:color w:val="000000" w:themeColor="text1"/>
          <w:sz w:val="72"/>
          <w:szCs w:val="72"/>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72"/>
          <w:szCs w:val="72"/>
          <w:highlight w:val="none"/>
          <w:lang w:eastAsia="zh-CN"/>
          <w14:textFill>
            <w14:solidFill>
              <w14:schemeClr w14:val="tx1"/>
            </w14:solidFill>
          </w14:textFill>
        </w:rPr>
        <w:t>单位</w:t>
      </w:r>
      <w:r>
        <w:rPr>
          <w:rFonts w:hint="eastAsia" w:ascii="方正小标宋简体" w:hAnsi="方正小标宋简体" w:eastAsia="方正小标宋简体" w:cs="方正小标宋简体"/>
          <w:color w:val="000000" w:themeColor="text1"/>
          <w:sz w:val="72"/>
          <w:szCs w:val="72"/>
          <w:highlight w:val="none"/>
          <w14:textFill>
            <w14:solidFill>
              <w14:schemeClr w14:val="tx1"/>
            </w14:solidFill>
          </w14:textFill>
        </w:rPr>
        <w:t>决算</w:t>
      </w:r>
      <w:bookmarkEnd w:id="6"/>
      <w:bookmarkEnd w:id="7"/>
      <w:bookmarkEnd w:id="8"/>
      <w:bookmarkEnd w:id="9"/>
      <w:bookmarkEnd w:id="10"/>
      <w:bookmarkEnd w:id="11"/>
    </w:p>
    <w:p>
      <w:pPr>
        <w:widowControl/>
        <w:jc w:val="center"/>
        <w:rPr>
          <w:rFonts w:ascii="黑体" w:hAnsi="黑体" w:eastAsia="黑体"/>
          <w:color w:val="000000" w:themeColor="text1"/>
          <w:sz w:val="48"/>
          <w:szCs w:val="48"/>
          <w:highlight w:val="none"/>
          <w14:textFill>
            <w14:solidFill>
              <w14:schemeClr w14:val="tx1"/>
            </w14:solidFill>
          </w14:textFill>
        </w:rPr>
      </w:pPr>
      <w:r>
        <w:rPr>
          <w:rFonts w:ascii="方正小标宋简体" w:hAnsi="宋体" w:eastAsia="方正小标宋简体"/>
          <w:color w:val="000000" w:themeColor="text1"/>
          <w:sz w:val="36"/>
          <w:szCs w:val="36"/>
          <w:highlight w:val="none"/>
          <w14:textFill>
            <w14:solidFill>
              <w14:schemeClr w14:val="tx1"/>
            </w14:solidFill>
          </w14:textFill>
        </w:rPr>
        <w:br w:type="page"/>
      </w:r>
      <w:r>
        <w:rPr>
          <w:rFonts w:hint="eastAsia" w:ascii="黑体" w:hAnsi="黑体" w:eastAsia="黑体"/>
          <w:color w:val="000000" w:themeColor="text1"/>
          <w:sz w:val="48"/>
          <w:szCs w:val="48"/>
          <w:highlight w:val="none"/>
          <w14:textFill>
            <w14:solidFill>
              <w14:schemeClr w14:val="tx1"/>
            </w14:solidFill>
          </w14:textFill>
        </w:rPr>
        <w:t>目录</w:t>
      </w:r>
    </w:p>
    <w:p>
      <w:pPr>
        <w:widowControl/>
        <w:jc w:val="center"/>
        <w:rPr>
          <w:rFonts w:ascii="黑体" w:hAnsi="黑体" w:eastAsia="黑体" w:cstheme="minorBidi"/>
          <w:color w:val="000000" w:themeColor="text1"/>
          <w:sz w:val="28"/>
          <w:szCs w:val="28"/>
          <w:highlight w:val="none"/>
          <w14:textFill>
            <w14:solidFill>
              <w14:schemeClr w14:val="tx1"/>
            </w14:solidFill>
          </w14:textFill>
        </w:rPr>
      </w:pPr>
    </w:p>
    <w:p>
      <w:pPr>
        <w:pStyle w:val="1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公开时间：20</w:t>
      </w:r>
      <w:r>
        <w:rPr>
          <w:rFonts w:hint="eastAsia"/>
          <w:color w:val="000000" w:themeColor="text1"/>
          <w:highlight w:val="none"/>
          <w:lang w:val="en-US" w:eastAsia="zh-CN"/>
          <w14:textFill>
            <w14:solidFill>
              <w14:schemeClr w14:val="tx1"/>
            </w14:solidFill>
          </w14:textFill>
        </w:rPr>
        <w:t>22</w:t>
      </w:r>
      <w:r>
        <w:rPr>
          <w:rFonts w:hint="eastAsia"/>
          <w:color w:val="000000" w:themeColor="text1"/>
          <w:highlight w:val="none"/>
          <w14:textFill>
            <w14:solidFill>
              <w14:schemeClr w14:val="tx1"/>
            </w14:solidFill>
          </w14:textFill>
        </w:rPr>
        <w:t>年</w:t>
      </w:r>
      <w:r>
        <w:rPr>
          <w:rFonts w:hint="eastAsia"/>
          <w:color w:val="000000" w:themeColor="text1"/>
          <w:highlight w:val="none"/>
          <w:lang w:val="en-US" w:eastAsia="zh-CN"/>
          <w14:textFill>
            <w14:solidFill>
              <w14:schemeClr w14:val="tx1"/>
            </w14:solidFill>
          </w14:textFill>
        </w:rPr>
        <w:t>9</w:t>
      </w:r>
      <w:r>
        <w:rPr>
          <w:rFonts w:hint="eastAsia"/>
          <w:color w:val="000000" w:themeColor="text1"/>
          <w:highlight w:val="none"/>
          <w14:textFill>
            <w14:solidFill>
              <w14:schemeClr w14:val="tx1"/>
            </w14:solidFill>
          </w14:textFill>
        </w:rPr>
        <w:t>月</w:t>
      </w:r>
      <w:r>
        <w:rPr>
          <w:rFonts w:hint="eastAsia"/>
          <w:color w:val="000000" w:themeColor="text1"/>
          <w:highlight w:val="none"/>
          <w:lang w:val="en-US" w:eastAsia="zh-CN"/>
          <w14:textFill>
            <w14:solidFill>
              <w14:schemeClr w14:val="tx1"/>
            </w14:solidFill>
          </w14:textFill>
        </w:rPr>
        <w:t>9</w:t>
      </w:r>
      <w:r>
        <w:rPr>
          <w:rFonts w:hint="eastAsia"/>
          <w:color w:val="000000" w:themeColor="text1"/>
          <w:highlight w:val="none"/>
          <w14:textFill>
            <w14:solidFill>
              <w14:schemeClr w14:val="tx1"/>
            </w14:solidFill>
          </w14:textFill>
        </w:rPr>
        <w:t>日</w:t>
      </w:r>
    </w:p>
    <w:p>
      <w:pPr>
        <w:rPr>
          <w:color w:val="000000" w:themeColor="text1"/>
          <w:highlight w:val="none"/>
          <w14:textFill>
            <w14:solidFill>
              <w14:schemeClr w14:val="tx1"/>
            </w14:solidFill>
          </w14:textFill>
        </w:rPr>
      </w:pPr>
    </w:p>
    <w:p>
      <w:pPr>
        <w:pStyle w:val="10"/>
        <w:adjustRightInd w:val="0"/>
        <w:snapToGrid w:val="0"/>
        <w:spacing w:before="0" w:line="440" w:lineRule="exact"/>
        <w:jc w:val="left"/>
        <w:rPr>
          <w:rFonts w:hint="eastAsia" w:eastAsia="仿宋" w:cstheme="minorBidi"/>
          <w:color w:val="000000" w:themeColor="text1"/>
          <w:sz w:val="24"/>
          <w:szCs w:val="24"/>
          <w:highlight w:val="none"/>
          <w:lang w:val="en-US" w:eastAsia="zh-CN"/>
          <w14:textFill>
            <w14:solidFill>
              <w14:schemeClr w14:val="tx1"/>
            </w14:solidFill>
          </w14:textFill>
        </w:rPr>
      </w:pPr>
      <w:r>
        <w:rPr>
          <w:rFonts w:hint="eastAsia"/>
          <w:color w:val="000000" w:themeColor="text1"/>
          <w:sz w:val="24"/>
          <w:highlight w:val="none"/>
          <w14:textFill>
            <w14:solidFill>
              <w14:schemeClr w14:val="tx1"/>
            </w14:solidFill>
          </w14:textFill>
        </w:rPr>
        <w:t>第一部分</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lang w:eastAsia="zh-CN"/>
          <w14:textFill>
            <w14:solidFill>
              <w14:schemeClr w14:val="tx1"/>
            </w14:solidFill>
          </w14:textFill>
        </w:rPr>
        <w:t>单位</w:t>
      </w:r>
      <w:r>
        <w:rPr>
          <w:rFonts w:hint="eastAsia"/>
          <w:color w:val="000000" w:themeColor="text1"/>
          <w:sz w:val="24"/>
          <w:highlight w:val="none"/>
          <w14:textFill>
            <w14:solidFill>
              <w14:schemeClr w14:val="tx1"/>
            </w14:solidFill>
          </w14:textFill>
        </w:rPr>
        <w:t>概况</w:t>
      </w:r>
      <w:r>
        <w:rPr>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4</w:t>
      </w:r>
    </w:p>
    <w:p>
      <w:pPr>
        <w:pStyle w:val="11"/>
        <w:adjustRightInd w:val="0"/>
        <w:snapToGrid w:val="0"/>
        <w:spacing w:line="440" w:lineRule="exact"/>
        <w:jc w:val="left"/>
        <w:rPr>
          <w:rFonts w:hint="eastAsia" w:eastAsia="宋体"/>
          <w:color w:val="000000" w:themeColor="text1"/>
          <w:sz w:val="24"/>
          <w:highlight w:val="none"/>
          <w:lang w:val="en-US" w:eastAsia="zh-CN"/>
          <w14:textFill>
            <w14:solidFill>
              <w14:schemeClr w14:val="tx1"/>
            </w14:solidFill>
          </w14:textFill>
        </w:rPr>
      </w:pPr>
      <w:r>
        <w:rPr>
          <w:rFonts w:hint="eastAsia"/>
          <w:color w:val="000000" w:themeColor="text1"/>
          <w:sz w:val="24"/>
          <w:highlight w:val="none"/>
          <w14:textFill>
            <w14:solidFill>
              <w14:schemeClr w14:val="tx1"/>
            </w14:solidFill>
          </w14:textFill>
        </w:rPr>
        <w:t>一、职能</w:t>
      </w:r>
      <w:r>
        <w:rPr>
          <w:rFonts w:hint="eastAsia"/>
          <w:color w:val="000000" w:themeColor="text1"/>
          <w:sz w:val="24"/>
          <w:highlight w:val="none"/>
          <w:lang w:eastAsia="zh-CN"/>
          <w14:textFill>
            <w14:solidFill>
              <w14:schemeClr w14:val="tx1"/>
            </w14:solidFill>
          </w14:textFill>
        </w:rPr>
        <w:t>简介</w:t>
      </w:r>
      <w:r>
        <w:rPr>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4</w:t>
      </w:r>
    </w:p>
    <w:p>
      <w:pPr>
        <w:pStyle w:val="11"/>
        <w:adjustRightInd w:val="0"/>
        <w:snapToGrid w:val="0"/>
        <w:spacing w:line="440" w:lineRule="exact"/>
        <w:jc w:val="left"/>
        <w:rPr>
          <w:rFonts w:hint="default"/>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二、</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2021年重点</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工作</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完成情况</w:t>
      </w:r>
      <w:r>
        <w:rPr>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4</w:t>
      </w:r>
    </w:p>
    <w:p>
      <w:pPr>
        <w:ind w:firstLine="480" w:firstLineChars="200"/>
        <w:jc w:val="left"/>
        <w:rPr>
          <w:rFonts w:hint="eastAsia" w:eastAsia="宋体" w:asciiTheme="minorEastAsia" w:hAnsiTheme="minorEastAsia" w:cstheme="minorEastAsia"/>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三、机构设置情况</w:t>
      </w:r>
      <w:r>
        <w:rPr>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5</w:t>
      </w:r>
    </w:p>
    <w:p>
      <w:pPr>
        <w:pStyle w:val="10"/>
        <w:adjustRightInd w:val="0"/>
        <w:snapToGrid w:val="0"/>
        <w:spacing w:before="0" w:line="440" w:lineRule="exact"/>
        <w:jc w:val="left"/>
        <w:rPr>
          <w:rFonts w:hint="eastAsia" w:eastAsia="仿宋"/>
          <w:color w:val="000000" w:themeColor="text1"/>
          <w:sz w:val="24"/>
          <w:szCs w:val="24"/>
          <w:highlight w:val="none"/>
          <w:lang w:val="en-US" w:eastAsia="zh-CN"/>
          <w14:textFill>
            <w14:solidFill>
              <w14:schemeClr w14:val="tx1"/>
            </w14:solidFill>
          </w14:textFill>
        </w:rPr>
      </w:pPr>
      <w:r>
        <w:rPr>
          <w:rFonts w:hint="eastAsia"/>
          <w:color w:val="000000" w:themeColor="text1"/>
          <w:sz w:val="24"/>
          <w:highlight w:val="none"/>
          <w14:textFill>
            <w14:solidFill>
              <w14:schemeClr w14:val="tx1"/>
            </w14:solidFill>
          </w14:textFill>
        </w:rPr>
        <w:t>第二部分</w:t>
      </w:r>
      <w:r>
        <w:rPr>
          <w:rFonts w:hint="eastAsia"/>
          <w:color w:val="000000" w:themeColor="text1"/>
          <w:sz w:val="24"/>
          <w:highlight w:val="none"/>
          <w:lang w:val="en-US" w:eastAsia="zh-CN"/>
          <w14:textFill>
            <w14:solidFill>
              <w14:schemeClr w14:val="tx1"/>
            </w14:solidFill>
          </w14:textFill>
        </w:rPr>
        <w:t xml:space="preserve"> 2021年度</w:t>
      </w:r>
      <w:r>
        <w:rPr>
          <w:rFonts w:hint="eastAsia"/>
          <w:color w:val="000000" w:themeColor="text1"/>
          <w:sz w:val="24"/>
          <w:highlight w:val="none"/>
          <w:lang w:eastAsia="zh-CN"/>
          <w14:textFill>
            <w14:solidFill>
              <w14:schemeClr w14:val="tx1"/>
            </w14:solidFill>
          </w14:textFill>
        </w:rPr>
        <w:t>单位</w:t>
      </w:r>
      <w:r>
        <w:rPr>
          <w:rFonts w:hint="eastAsia"/>
          <w:color w:val="000000" w:themeColor="text1"/>
          <w:sz w:val="24"/>
          <w:highlight w:val="none"/>
          <w14:textFill>
            <w14:solidFill>
              <w14:schemeClr w14:val="tx1"/>
            </w14:solidFill>
          </w14:textFill>
        </w:rPr>
        <w:t>决算情况说明</w:t>
      </w:r>
      <w:r>
        <w:rPr>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 xml:space="preserve"> 6</w:t>
      </w:r>
    </w:p>
    <w:p>
      <w:pPr>
        <w:pStyle w:val="11"/>
        <w:adjustRightInd w:val="0"/>
        <w:snapToGrid w:val="0"/>
        <w:spacing w:line="440" w:lineRule="exact"/>
        <w:jc w:val="left"/>
        <w:rPr>
          <w:rFonts w:ascii="仿宋" w:hAnsi="仿宋" w:eastAsia="仿宋" w:cstheme="minorBidi"/>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一、收入支出决算总体情况说明</w:t>
      </w:r>
      <w:r>
        <w:rPr>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6</w:t>
      </w:r>
    </w:p>
    <w:p>
      <w:pPr>
        <w:pStyle w:val="11"/>
        <w:adjustRightInd w:val="0"/>
        <w:snapToGrid w:val="0"/>
        <w:spacing w:line="440" w:lineRule="exact"/>
        <w:jc w:val="left"/>
        <w:rPr>
          <w:rFonts w:ascii="仿宋" w:hAnsi="仿宋" w:eastAsia="仿宋" w:cstheme="minorBidi"/>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二、收入决算情况说明</w:t>
      </w:r>
      <w:r>
        <w:rPr>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6</w:t>
      </w:r>
    </w:p>
    <w:p>
      <w:pPr>
        <w:pStyle w:val="11"/>
        <w:adjustRightInd w:val="0"/>
        <w:snapToGrid w:val="0"/>
        <w:spacing w:line="440" w:lineRule="exact"/>
        <w:jc w:val="left"/>
        <w:rPr>
          <w:rFonts w:ascii="仿宋" w:hAnsi="仿宋" w:eastAsia="仿宋" w:cstheme="minorBidi"/>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三、支出决算情况说明</w:t>
      </w:r>
      <w:r>
        <w:rPr>
          <w:color w:val="000000" w:themeColor="text1"/>
          <w:sz w:val="24"/>
          <w:szCs w:val="24"/>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7</w:t>
      </w:r>
      <w:r>
        <w:rPr>
          <w:rFonts w:hint="eastAsia"/>
          <w:color w:val="000000" w:themeColor="text1"/>
          <w:sz w:val="24"/>
          <w:highlight w:val="none"/>
          <w14:textFill>
            <w14:solidFill>
              <w14:schemeClr w14:val="tx1"/>
            </w14:solidFill>
          </w14:textFill>
        </w:rPr>
        <w:t>四、财政拨款收入支出决算总体情况说明</w:t>
      </w:r>
      <w:r>
        <w:rPr>
          <w:color w:val="000000" w:themeColor="text1"/>
          <w:sz w:val="24"/>
          <w:szCs w:val="24"/>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7</w:t>
      </w:r>
    </w:p>
    <w:p>
      <w:pPr>
        <w:pStyle w:val="11"/>
        <w:adjustRightInd w:val="0"/>
        <w:snapToGrid w:val="0"/>
        <w:spacing w:line="440" w:lineRule="exact"/>
        <w:jc w:val="left"/>
        <w:rPr>
          <w:rFonts w:hint="eastAsia" w:ascii="仿宋" w:hAnsi="仿宋" w:eastAsia="宋体" w:cstheme="minorBidi"/>
          <w:color w:val="000000" w:themeColor="text1"/>
          <w:sz w:val="24"/>
          <w:highlight w:val="none"/>
          <w:lang w:val="en-US" w:eastAsia="zh-CN"/>
          <w14:textFill>
            <w14:solidFill>
              <w14:schemeClr w14:val="tx1"/>
            </w14:solidFill>
          </w14:textFill>
        </w:rPr>
      </w:pPr>
      <w:r>
        <w:rPr>
          <w:rFonts w:hint="eastAsia"/>
          <w:color w:val="000000" w:themeColor="text1"/>
          <w:sz w:val="24"/>
          <w:highlight w:val="none"/>
          <w14:textFill>
            <w14:solidFill>
              <w14:schemeClr w14:val="tx1"/>
            </w14:solidFill>
          </w14:textFill>
        </w:rPr>
        <w:t>五、一般公共预算财政拨款支出决算情况说明</w:t>
      </w:r>
      <w:r>
        <w:rPr>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8</w:t>
      </w:r>
    </w:p>
    <w:p>
      <w:pPr>
        <w:pStyle w:val="11"/>
        <w:adjustRightInd w:val="0"/>
        <w:snapToGrid w:val="0"/>
        <w:spacing w:line="440" w:lineRule="exact"/>
        <w:jc w:val="left"/>
        <w:rPr>
          <w:rFonts w:hint="default" w:ascii="仿宋" w:hAnsi="仿宋" w:eastAsia="宋体" w:cstheme="minorBidi"/>
          <w:color w:val="000000" w:themeColor="text1"/>
          <w:sz w:val="24"/>
          <w:highlight w:val="none"/>
          <w:lang w:val="en-US" w:eastAsia="zh-CN"/>
          <w14:textFill>
            <w14:solidFill>
              <w14:schemeClr w14:val="tx1"/>
            </w14:solidFill>
          </w14:textFill>
        </w:rPr>
      </w:pPr>
      <w:r>
        <w:rPr>
          <w:rFonts w:hint="eastAsia"/>
          <w:color w:val="000000" w:themeColor="text1"/>
          <w:sz w:val="24"/>
          <w:highlight w:val="none"/>
          <w14:textFill>
            <w14:solidFill>
              <w14:schemeClr w14:val="tx1"/>
            </w14:solidFill>
          </w14:textFill>
        </w:rPr>
        <w:t>六、一般公共预算财政拨款基本支出决算情况说明</w:t>
      </w:r>
      <w:r>
        <w:rPr>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10</w:t>
      </w:r>
    </w:p>
    <w:p>
      <w:pPr>
        <w:pStyle w:val="11"/>
        <w:adjustRightInd w:val="0"/>
        <w:snapToGrid w:val="0"/>
        <w:spacing w:line="440" w:lineRule="exact"/>
        <w:jc w:val="left"/>
        <w:rPr>
          <w:rFonts w:hint="default" w:ascii="仿宋" w:hAnsi="仿宋" w:eastAsia="宋体" w:cstheme="minorBidi"/>
          <w:color w:val="000000" w:themeColor="text1"/>
          <w:sz w:val="24"/>
          <w:highlight w:val="none"/>
          <w:lang w:val="en-US" w:eastAsia="zh-CN"/>
          <w14:textFill>
            <w14:solidFill>
              <w14:schemeClr w14:val="tx1"/>
            </w14:solidFill>
          </w14:textFill>
        </w:rPr>
      </w:pPr>
      <w:r>
        <w:rPr>
          <w:rFonts w:hint="eastAsia"/>
          <w:color w:val="000000" w:themeColor="text1"/>
          <w:sz w:val="24"/>
          <w:highlight w:val="none"/>
          <w14:textFill>
            <w14:solidFill>
              <w14:schemeClr w14:val="tx1"/>
            </w14:solidFill>
          </w14:textFill>
        </w:rPr>
        <w:t>七、</w:t>
      </w:r>
      <w:r>
        <w:rPr>
          <w:rFonts w:hint="eastAsia"/>
          <w:color w:val="000000" w:themeColor="text1"/>
          <w:sz w:val="24"/>
          <w:highlight w:val="none"/>
          <w:lang w:eastAsia="zh-CN"/>
          <w14:textFill>
            <w14:solidFill>
              <w14:schemeClr w14:val="tx1"/>
            </w14:solidFill>
          </w14:textFill>
        </w:rPr>
        <w:t>“</w:t>
      </w:r>
      <w:r>
        <w:rPr>
          <w:rFonts w:hint="eastAsia"/>
          <w:color w:val="000000" w:themeColor="text1"/>
          <w:sz w:val="24"/>
          <w:highlight w:val="none"/>
          <w14:textFill>
            <w14:solidFill>
              <w14:schemeClr w14:val="tx1"/>
            </w14:solidFill>
          </w14:textFill>
        </w:rPr>
        <w:t>三公”经费财政拨款支出决算情况说明</w:t>
      </w:r>
      <w:r>
        <w:rPr>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11</w:t>
      </w:r>
    </w:p>
    <w:p>
      <w:pPr>
        <w:pStyle w:val="11"/>
        <w:adjustRightInd w:val="0"/>
        <w:snapToGrid w:val="0"/>
        <w:spacing w:line="440" w:lineRule="exact"/>
        <w:jc w:val="left"/>
        <w:rPr>
          <w:rFonts w:hint="default" w:ascii="仿宋" w:hAnsi="仿宋" w:eastAsia="宋体" w:cstheme="minorBidi"/>
          <w:color w:val="000000" w:themeColor="text1"/>
          <w:sz w:val="24"/>
          <w:highlight w:val="none"/>
          <w:lang w:val="en-US" w:eastAsia="zh-CN"/>
          <w14:textFill>
            <w14:solidFill>
              <w14:schemeClr w14:val="tx1"/>
            </w14:solidFill>
          </w14:textFill>
        </w:rPr>
      </w:pPr>
      <w:r>
        <w:rPr>
          <w:rFonts w:hint="eastAsia"/>
          <w:color w:val="000000" w:themeColor="text1"/>
          <w:sz w:val="24"/>
          <w:highlight w:val="none"/>
          <w14:textFill>
            <w14:solidFill>
              <w14:schemeClr w14:val="tx1"/>
            </w14:solidFill>
          </w14:textFill>
        </w:rPr>
        <w:t>八、政府性基金预算支出决算情况说明</w:t>
      </w:r>
      <w:r>
        <w:rPr>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13</w:t>
      </w:r>
    </w:p>
    <w:p>
      <w:pPr>
        <w:pStyle w:val="11"/>
        <w:adjustRightInd w:val="0"/>
        <w:snapToGrid w:val="0"/>
        <w:spacing w:line="440" w:lineRule="exact"/>
        <w:jc w:val="left"/>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九、国有资本经营预算支出决算情况说明</w:t>
      </w:r>
      <w:r>
        <w:rPr>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13</w:t>
      </w:r>
    </w:p>
    <w:p>
      <w:pPr>
        <w:pStyle w:val="11"/>
        <w:adjustRightInd w:val="0"/>
        <w:snapToGrid w:val="0"/>
        <w:spacing w:line="440" w:lineRule="exact"/>
        <w:jc w:val="left"/>
        <w:rPr>
          <w:rFonts w:hint="default" w:eastAsia="宋体"/>
          <w:color w:val="000000" w:themeColor="text1"/>
          <w:sz w:val="24"/>
          <w:highlight w:val="none"/>
          <w:lang w:val="en-US" w:eastAsia="zh-CN"/>
          <w14:textFill>
            <w14:solidFill>
              <w14:schemeClr w14:val="tx1"/>
            </w14:solidFill>
          </w14:textFill>
        </w:rPr>
      </w:pPr>
      <w:r>
        <w:rPr>
          <w:rFonts w:hint="eastAsia"/>
          <w:color w:val="000000" w:themeColor="text1"/>
          <w:sz w:val="24"/>
          <w:highlight w:val="none"/>
          <w14:textFill>
            <w14:solidFill>
              <w14:schemeClr w14:val="tx1"/>
            </w14:solidFill>
          </w14:textFill>
        </w:rPr>
        <w:t>十、其他重要事项的情况说明</w:t>
      </w:r>
      <w:r>
        <w:rPr>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13</w:t>
      </w:r>
    </w:p>
    <w:p>
      <w:pPr>
        <w:pStyle w:val="10"/>
        <w:adjustRightInd w:val="0"/>
        <w:snapToGrid w:val="0"/>
        <w:spacing w:before="0" w:line="440" w:lineRule="exact"/>
        <w:jc w:val="left"/>
        <w:rPr>
          <w:rFonts w:hint="default" w:eastAsia="仿宋" w:cstheme="minorBidi"/>
          <w:color w:val="000000" w:themeColor="text1"/>
          <w:sz w:val="24"/>
          <w:szCs w:val="24"/>
          <w:highlight w:val="none"/>
          <w:lang w:val="en-US" w:eastAsia="zh-CN"/>
          <w14:textFill>
            <w14:solidFill>
              <w14:schemeClr w14:val="tx1"/>
            </w14:solidFill>
          </w14:textFill>
        </w:rPr>
      </w:pPr>
      <w:r>
        <w:rPr>
          <w:rFonts w:hint="eastAsia"/>
          <w:color w:val="000000" w:themeColor="text1"/>
          <w:sz w:val="24"/>
          <w:highlight w:val="none"/>
          <w14:textFill>
            <w14:solidFill>
              <w14:schemeClr w14:val="tx1"/>
            </w14:solidFill>
          </w14:textFill>
        </w:rPr>
        <w:t>第三部分</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名词解释</w:t>
      </w:r>
      <w:r>
        <w:rPr>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15</w:t>
      </w:r>
    </w:p>
    <w:p>
      <w:pPr>
        <w:pStyle w:val="10"/>
        <w:adjustRightInd w:val="0"/>
        <w:snapToGrid w:val="0"/>
        <w:spacing w:before="0" w:line="440" w:lineRule="exact"/>
        <w:jc w:val="left"/>
        <w:rPr>
          <w:rFonts w:hint="default" w:eastAsia="仿宋" w:cstheme="minorBidi"/>
          <w:color w:val="000000" w:themeColor="text1"/>
          <w:sz w:val="24"/>
          <w:szCs w:val="24"/>
          <w:highlight w:val="none"/>
          <w:lang w:val="en-US" w:eastAsia="zh-CN"/>
          <w14:textFill>
            <w14:solidFill>
              <w14:schemeClr w14:val="tx1"/>
            </w14:solidFill>
          </w14:textFill>
        </w:rPr>
      </w:pPr>
      <w:r>
        <w:rPr>
          <w:rFonts w:hint="eastAsia"/>
          <w:color w:val="000000" w:themeColor="text1"/>
          <w:sz w:val="24"/>
          <w:highlight w:val="none"/>
          <w14:textFill>
            <w14:solidFill>
              <w14:schemeClr w14:val="tx1"/>
            </w14:solidFill>
          </w14:textFill>
        </w:rPr>
        <w:t>第四部分</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附件</w:t>
      </w:r>
      <w:r>
        <w:rPr>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18</w:t>
      </w:r>
    </w:p>
    <w:p>
      <w:pPr>
        <w:pStyle w:val="10"/>
        <w:adjustRightInd w:val="0"/>
        <w:snapToGrid w:val="0"/>
        <w:spacing w:before="0" w:line="440" w:lineRule="exact"/>
        <w:jc w:val="left"/>
        <w:rPr>
          <w:rFonts w:hint="default" w:eastAsia="仿宋" w:cstheme="minorBidi"/>
          <w:color w:val="000000" w:themeColor="text1"/>
          <w:sz w:val="24"/>
          <w:szCs w:val="24"/>
          <w:highlight w:val="none"/>
          <w:lang w:val="en-US" w:eastAsia="zh-CN"/>
          <w14:textFill>
            <w14:solidFill>
              <w14:schemeClr w14:val="tx1"/>
            </w14:solidFill>
          </w14:textFill>
        </w:rPr>
      </w:pPr>
      <w:r>
        <w:rPr>
          <w:rFonts w:hint="eastAsia"/>
          <w:color w:val="000000" w:themeColor="text1"/>
          <w:sz w:val="24"/>
          <w:highlight w:val="none"/>
          <w14:textFill>
            <w14:solidFill>
              <w14:schemeClr w14:val="tx1"/>
            </w14:solidFill>
          </w14:textFill>
        </w:rPr>
        <w:t>第五部分</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附表</w:t>
      </w:r>
      <w:r>
        <w:rPr>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19</w:t>
      </w:r>
    </w:p>
    <w:p>
      <w:pPr>
        <w:pStyle w:val="11"/>
        <w:adjustRightInd w:val="0"/>
        <w:snapToGrid w:val="0"/>
        <w:spacing w:line="440" w:lineRule="exact"/>
        <w:jc w:val="left"/>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一、收入支出决算总表</w:t>
      </w:r>
    </w:p>
    <w:p>
      <w:pPr>
        <w:pStyle w:val="11"/>
        <w:adjustRightInd w:val="0"/>
        <w:snapToGrid w:val="0"/>
        <w:spacing w:line="440" w:lineRule="exact"/>
        <w:jc w:val="left"/>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二、收入决算表</w:t>
      </w:r>
    </w:p>
    <w:p>
      <w:pPr>
        <w:pStyle w:val="11"/>
        <w:adjustRightInd w:val="0"/>
        <w:snapToGrid w:val="0"/>
        <w:spacing w:line="440" w:lineRule="exact"/>
        <w:jc w:val="left"/>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三、支出决算表</w:t>
      </w:r>
    </w:p>
    <w:p>
      <w:pPr>
        <w:pStyle w:val="11"/>
        <w:adjustRightInd w:val="0"/>
        <w:snapToGrid w:val="0"/>
        <w:spacing w:line="440" w:lineRule="exact"/>
        <w:jc w:val="left"/>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四、财政拨款收入支出决算总表</w:t>
      </w:r>
    </w:p>
    <w:p>
      <w:pPr>
        <w:pStyle w:val="11"/>
        <w:adjustRightInd w:val="0"/>
        <w:snapToGrid w:val="0"/>
        <w:spacing w:line="440" w:lineRule="exact"/>
        <w:jc w:val="left"/>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五、财政拨款支出决算明细表</w:t>
      </w:r>
    </w:p>
    <w:p>
      <w:pPr>
        <w:pStyle w:val="11"/>
        <w:adjustRightInd w:val="0"/>
        <w:snapToGrid w:val="0"/>
        <w:spacing w:line="440" w:lineRule="exact"/>
        <w:jc w:val="left"/>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六、一般公共预算财政拨款支出决算表</w:t>
      </w:r>
    </w:p>
    <w:p>
      <w:pPr>
        <w:pStyle w:val="11"/>
        <w:adjustRightInd w:val="0"/>
        <w:snapToGrid w:val="0"/>
        <w:spacing w:line="440" w:lineRule="exact"/>
        <w:jc w:val="left"/>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七、一般公共预算财政拨款支出决算明细表</w:t>
      </w:r>
    </w:p>
    <w:p>
      <w:pPr>
        <w:pStyle w:val="11"/>
        <w:adjustRightInd w:val="0"/>
        <w:snapToGrid w:val="0"/>
        <w:spacing w:line="440" w:lineRule="exact"/>
        <w:jc w:val="left"/>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八、一般公共预算财政拨款基本支出决算表</w:t>
      </w:r>
    </w:p>
    <w:p>
      <w:pPr>
        <w:pStyle w:val="11"/>
        <w:adjustRightInd w:val="0"/>
        <w:snapToGrid w:val="0"/>
        <w:spacing w:line="440" w:lineRule="exact"/>
        <w:jc w:val="left"/>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九、一般公共预算财政拨款项目支出决算表</w:t>
      </w:r>
    </w:p>
    <w:p>
      <w:pPr>
        <w:pStyle w:val="11"/>
        <w:adjustRightInd w:val="0"/>
        <w:snapToGrid w:val="0"/>
        <w:spacing w:line="440" w:lineRule="exact"/>
        <w:jc w:val="left"/>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十、一般公共预算财政拨款“三公”经费支出决算表</w:t>
      </w:r>
    </w:p>
    <w:p>
      <w:pPr>
        <w:pStyle w:val="11"/>
        <w:adjustRightInd w:val="0"/>
        <w:snapToGrid w:val="0"/>
        <w:spacing w:line="440" w:lineRule="exact"/>
        <w:jc w:val="left"/>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十一、政府性基金预算财政拨款收入支出决算表</w:t>
      </w:r>
    </w:p>
    <w:p>
      <w:pPr>
        <w:pStyle w:val="11"/>
        <w:adjustRightInd w:val="0"/>
        <w:snapToGrid w:val="0"/>
        <w:spacing w:line="440" w:lineRule="exact"/>
        <w:jc w:val="left"/>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十二、政府性基金预算财政拨款“三公”经费支出决算表</w:t>
      </w:r>
    </w:p>
    <w:p>
      <w:pPr>
        <w:pStyle w:val="11"/>
        <w:adjustRightInd w:val="0"/>
        <w:snapToGrid w:val="0"/>
        <w:spacing w:line="440" w:lineRule="exact"/>
        <w:jc w:val="left"/>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十三、国有资本经营预算</w:t>
      </w:r>
      <w:r>
        <w:rPr>
          <w:rFonts w:hint="eastAsia"/>
          <w:color w:val="000000" w:themeColor="text1"/>
          <w:sz w:val="24"/>
          <w:highlight w:val="none"/>
          <w:lang w:eastAsia="zh-CN"/>
          <w14:textFill>
            <w14:solidFill>
              <w14:schemeClr w14:val="tx1"/>
            </w14:solidFill>
          </w14:textFill>
        </w:rPr>
        <w:t>财政拨款收入</w:t>
      </w:r>
      <w:r>
        <w:rPr>
          <w:rFonts w:hint="eastAsia"/>
          <w:color w:val="000000" w:themeColor="text1"/>
          <w:sz w:val="24"/>
          <w:highlight w:val="none"/>
          <w14:textFill>
            <w14:solidFill>
              <w14:schemeClr w14:val="tx1"/>
            </w14:solidFill>
          </w14:textFill>
        </w:rPr>
        <w:t>支出决算表</w:t>
      </w:r>
    </w:p>
    <w:p>
      <w:pPr>
        <w:pStyle w:val="11"/>
        <w:adjustRightInd w:val="0"/>
        <w:snapToGrid w:val="0"/>
        <w:spacing w:line="440" w:lineRule="exact"/>
        <w:jc w:val="left"/>
        <w:rPr>
          <w:rFonts w:hint="default"/>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十四、国有资本经营预算财政拨款支出决算表</w:t>
      </w:r>
    </w:p>
    <w:p>
      <w:pPr>
        <w:widowControl/>
        <w:adjustRightInd w:val="0"/>
        <w:snapToGrid w:val="0"/>
        <w:spacing w:line="440" w:lineRule="exact"/>
        <w:ind w:firstLine="1320" w:firstLineChars="550"/>
        <w:jc w:val="left"/>
        <w:rPr>
          <w:rFonts w:ascii="仿宋" w:hAnsi="仿宋" w:eastAsia="仿宋"/>
          <w:color w:val="000000" w:themeColor="text1"/>
          <w:sz w:val="24"/>
          <w:highlight w:val="none"/>
          <w14:textFill>
            <w14:solidFill>
              <w14:schemeClr w14:val="tx1"/>
            </w14:solidFill>
          </w14:textFill>
        </w:rPr>
      </w:pPr>
    </w:p>
    <w:p>
      <w:pPr>
        <w:widowControl/>
        <w:spacing w:line="440" w:lineRule="exact"/>
        <w:jc w:val="left"/>
        <w:rPr>
          <w:color w:val="000000" w:themeColor="text1"/>
          <w14:textFill>
            <w14:solidFill>
              <w14:schemeClr w14:val="tx1"/>
            </w14:solidFill>
          </w14:textFill>
        </w:rPr>
      </w:pPr>
      <w:bookmarkStart w:id="12" w:name="_Toc15377196"/>
      <w:bookmarkStart w:id="13" w:name="_Toc15396599"/>
      <w:r>
        <w:rPr>
          <w:rFonts w:ascii="仿宋" w:hAnsi="仿宋" w:eastAsia="仿宋"/>
          <w:b/>
          <w:color w:val="000000" w:themeColor="text1"/>
          <w:sz w:val="24"/>
          <w:highlight w:val="none"/>
          <w14:textFill>
            <w14:solidFill>
              <w14:schemeClr w14:val="tx1"/>
            </w14:solidFill>
          </w14:textFill>
        </w:rPr>
        <w:br w:type="page"/>
      </w:r>
    </w:p>
    <w:p>
      <w:pPr>
        <w:pStyle w:val="3"/>
        <w:jc w:val="center"/>
        <w:rPr>
          <w:rFonts w:ascii="黑体" w:eastAsia="黑体"/>
          <w:color w:val="000000" w:themeColor="text1"/>
          <w:sz w:val="32"/>
          <w:szCs w:val="32"/>
          <w:highlight w:val="none"/>
          <w14:textFill>
            <w14:solidFill>
              <w14:schemeClr w14:val="tx1"/>
            </w14:solidFill>
          </w14:textFill>
        </w:rPr>
      </w:pPr>
      <w:r>
        <w:rPr>
          <w:rFonts w:hint="eastAsia" w:ascii="黑体" w:hAnsi="黑体" w:eastAsia="黑体"/>
          <w:b w:val="0"/>
          <w:color w:val="000000" w:themeColor="text1"/>
          <w:highlight w:val="none"/>
          <w14:textFill>
            <w14:solidFill>
              <w14:schemeClr w14:val="tx1"/>
            </w14:solidFill>
          </w14:textFill>
        </w:rPr>
        <w:t xml:space="preserve">第一部分 </w:t>
      </w:r>
      <w:r>
        <w:rPr>
          <w:rFonts w:hint="eastAsia" w:ascii="黑体" w:hAnsi="黑体" w:eastAsia="黑体"/>
          <w:b w:val="0"/>
          <w:color w:val="000000" w:themeColor="text1"/>
          <w:highlight w:val="none"/>
          <w:lang w:eastAsia="zh-CN"/>
          <w14:textFill>
            <w14:solidFill>
              <w14:schemeClr w14:val="tx1"/>
            </w14:solidFill>
          </w14:textFill>
        </w:rPr>
        <w:t>单位</w:t>
      </w:r>
      <w:r>
        <w:rPr>
          <w:rStyle w:val="25"/>
          <w:rFonts w:hint="eastAsia" w:ascii="黑体" w:hAnsi="黑体" w:eastAsia="黑体"/>
          <w:b w:val="0"/>
          <w:bCs w:val="0"/>
          <w:color w:val="000000" w:themeColor="text1"/>
          <w:highlight w:val="none"/>
          <w14:textFill>
            <w14:solidFill>
              <w14:schemeClr w14:val="tx1"/>
            </w14:solidFill>
          </w14:textFill>
        </w:rPr>
        <w:t>概况</w:t>
      </w:r>
      <w:bookmarkEnd w:id="12"/>
      <w:bookmarkEnd w:id="13"/>
    </w:p>
    <w:p>
      <w:pPr>
        <w:pStyle w:val="4"/>
        <w:numPr>
          <w:ilvl w:val="0"/>
          <w:numId w:val="1"/>
        </w:numPr>
        <w:rPr>
          <w:rStyle w:val="26"/>
          <w:rFonts w:hint="eastAsia" w:ascii="黑体" w:hAnsi="黑体" w:eastAsia="黑体"/>
          <w:b w:val="0"/>
          <w:bCs w:val="0"/>
          <w:color w:val="000000" w:themeColor="text1"/>
          <w:highlight w:val="none"/>
          <w:lang w:eastAsia="zh-CN"/>
          <w14:textFill>
            <w14:solidFill>
              <w14:schemeClr w14:val="tx1"/>
            </w14:solidFill>
          </w14:textFill>
        </w:rPr>
      </w:pPr>
      <w:bookmarkStart w:id="14" w:name="_Toc15377197"/>
      <w:bookmarkStart w:id="15" w:name="_Toc15396600"/>
      <w:r>
        <w:rPr>
          <w:rStyle w:val="26"/>
          <w:rFonts w:hint="eastAsia" w:ascii="黑体" w:hAnsi="黑体" w:eastAsia="黑体"/>
          <w:b w:val="0"/>
          <w:bCs w:val="0"/>
          <w:color w:val="000000" w:themeColor="text1"/>
          <w:highlight w:val="none"/>
          <w14:textFill>
            <w14:solidFill>
              <w14:schemeClr w14:val="tx1"/>
            </w14:solidFill>
          </w14:textFill>
        </w:rPr>
        <w:t>职能</w:t>
      </w:r>
      <w:r>
        <w:rPr>
          <w:rStyle w:val="26"/>
          <w:rFonts w:hint="eastAsia" w:ascii="黑体" w:hAnsi="黑体" w:eastAsia="黑体"/>
          <w:b w:val="0"/>
          <w:bCs w:val="0"/>
          <w:color w:val="000000" w:themeColor="text1"/>
          <w:highlight w:val="none"/>
          <w:lang w:eastAsia="zh-CN"/>
          <w14:textFill>
            <w14:solidFill>
              <w14:schemeClr w14:val="tx1"/>
            </w14:solidFill>
          </w14:textFill>
        </w:rPr>
        <w:t>简介</w:t>
      </w:r>
    </w:p>
    <w:p>
      <w:pPr>
        <w:pStyle w:val="12"/>
        <w:widowControl/>
        <w:spacing w:before="76" w:beforeAutospacing="0" w:after="76" w:afterAutospacing="0" w:line="580" w:lineRule="atLeast"/>
        <w:ind w:firstLine="640" w:firstLineChars="200"/>
        <w:textAlignment w:val="baseline"/>
        <w:rPr>
          <w:rFonts w:hint="eastAsia"/>
          <w:color w:val="000000" w:themeColor="text1"/>
          <w14:textFill>
            <w14:solidFill>
              <w14:schemeClr w14:val="tx1"/>
            </w14:solidFill>
          </w14:textFill>
        </w:rPr>
      </w:pPr>
      <w:r>
        <w:rPr>
          <w:rFonts w:hint="eastAsia" w:ascii="宋体" w:hAnsi="宋体" w:eastAsia="仿宋_GB2312"/>
          <w:color w:val="000000" w:themeColor="text1"/>
          <w:kern w:val="2"/>
          <w:sz w:val="32"/>
          <w:szCs w:val="32"/>
          <w14:textFill>
            <w14:solidFill>
              <w14:schemeClr w14:val="tx1"/>
            </w14:solidFill>
          </w14:textFill>
        </w:rPr>
        <w:t>四川省监狱管理局乐山监狱管理科（以下简称乐山监狱管理科）是国家刑罚执行机关，具有惩罚改造罪犯，维护社会稳定的职能。监狱坚持以习近平新时代中国特色社会主义思想为指导，认真落实四川省《监狱管理规范》地方标准，深化内部管理，建立健全管理制度；深化精细化管理，确保民警恪尽职守，履职尽责；深化创新发展，确保监狱各项工作不断取得新的成绩。切实担负起时代重任，奋力新作为，实现新发展，力争把乐山监狱管理科早日建成法德兼治的新型现代文明监狱，为建设美丽繁荣和谐四川，推动治蜀兴川再上新台阶作出新的更大的贡献。</w:t>
      </w:r>
    </w:p>
    <w:p>
      <w:pPr>
        <w:pStyle w:val="4"/>
        <w:numPr>
          <w:ilvl w:val="0"/>
          <w:numId w:val="0"/>
        </w:numPr>
        <w:rPr>
          <w:rFonts w:hint="eastAsia" w:ascii="黑体" w:hAnsi="黑体" w:eastAsia="黑体"/>
          <w:b w:val="0"/>
          <w:color w:val="000000" w:themeColor="text1"/>
          <w:highlight w:val="yellow"/>
          <w:lang w:eastAsia="zh-CN"/>
          <w14:textFill>
            <w14:solidFill>
              <w14:schemeClr w14:val="tx1"/>
            </w14:solidFill>
          </w14:textFill>
        </w:rPr>
      </w:pPr>
      <w:r>
        <w:rPr>
          <w:rFonts w:hint="eastAsia" w:ascii="黑体" w:hAnsi="黑体" w:eastAsia="黑体"/>
          <w:b w:val="0"/>
          <w:color w:val="000000" w:themeColor="text1"/>
          <w:highlight w:val="none"/>
          <w:lang w:val="en-US" w:eastAsia="zh-CN"/>
          <w14:textFill>
            <w14:solidFill>
              <w14:schemeClr w14:val="tx1"/>
            </w14:solidFill>
          </w14:textFill>
        </w:rPr>
        <w:t>二、2021年重点</w:t>
      </w:r>
      <w:r>
        <w:rPr>
          <w:rFonts w:hint="eastAsia" w:ascii="黑体" w:hAnsi="黑体" w:eastAsia="黑体"/>
          <w:b w:val="0"/>
          <w:color w:val="000000" w:themeColor="text1"/>
          <w:highlight w:val="none"/>
          <w14:textFill>
            <w14:solidFill>
              <w14:schemeClr w14:val="tx1"/>
            </w14:solidFill>
          </w14:textFill>
        </w:rPr>
        <w:t>工作</w:t>
      </w:r>
      <w:bookmarkEnd w:id="14"/>
      <w:bookmarkEnd w:id="15"/>
      <w:r>
        <w:rPr>
          <w:rFonts w:hint="eastAsia" w:ascii="黑体" w:hAnsi="黑体" w:eastAsia="黑体"/>
          <w:b w:val="0"/>
          <w:color w:val="000000" w:themeColor="text1"/>
          <w:highlight w:val="none"/>
          <w:lang w:eastAsia="zh-CN"/>
          <w14:textFill>
            <w14:solidFill>
              <w14:schemeClr w14:val="tx1"/>
            </w14:solidFill>
          </w14:textFill>
        </w:rPr>
        <w:t>完成情况</w:t>
      </w:r>
    </w:p>
    <w:p>
      <w:pPr>
        <w:adjustRightInd w:val="0"/>
        <w:snapToGrid w:val="0"/>
        <w:spacing w:line="640" w:lineRule="exact"/>
        <w:ind w:firstLine="640" w:firstLineChars="200"/>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作为省监狱管理局的派出机构，在省监狱管理局的坚强领导下，乐山监狱管理科紧紧围绕年初制定的工作目标，认真履行职责，积极协调服务地方与监狱工作，全力配合片区内监狱开展狱地共建、应急处突、反恐防爆协调等工作；配合地方政府处理涉及监狱方面的多起信访、上访调解案件，积极参与监狱刑释人员安置帮教和社区矫治工作；配合地方部门协调监狱参与法纪教育工作。协助省监狱管理局及地方相关部门管理片区内监狱的安全监督、廉政监督；加强调查研究和信息反馈，沟通狱地信息交流；完成了省监狱管理局交办的其他工作。特别在2021年初，面对严峻的新型冠状病毒疫情形势，我单位积极协调地方党委和政府，多次陪同市党委、政府领导前往监狱开展调研检查，由我单位组织成立了乐山片区疫情联络小组，每日通报最新疫情，建立了地方与监狱疫情联防联控机制，制定了应急预案，并为片区内监狱单位争取到当时紧缺的防疫物资。</w:t>
      </w:r>
    </w:p>
    <w:p>
      <w:pPr>
        <w:pStyle w:val="4"/>
        <w:numPr>
          <w:ilvl w:val="0"/>
          <w:numId w:val="0"/>
        </w:numPr>
        <w:rPr>
          <w:rFonts w:hint="eastAsia" w:ascii="黑体" w:hAnsi="黑体" w:eastAsia="黑体"/>
          <w:b w:val="0"/>
          <w:color w:val="000000" w:themeColor="text1"/>
          <w:highlight w:val="none"/>
          <w:lang w:val="en-US" w:eastAsia="zh-CN"/>
          <w14:textFill>
            <w14:solidFill>
              <w14:schemeClr w14:val="tx1"/>
            </w14:solidFill>
          </w14:textFill>
        </w:rPr>
      </w:pPr>
      <w:r>
        <w:rPr>
          <w:rFonts w:hint="eastAsia" w:ascii="黑体" w:hAnsi="黑体" w:eastAsia="黑体"/>
          <w:b w:val="0"/>
          <w:color w:val="000000" w:themeColor="text1"/>
          <w:highlight w:val="none"/>
          <w:lang w:val="en-US" w:eastAsia="zh-CN"/>
          <w14:textFill>
            <w14:solidFill>
              <w14:schemeClr w14:val="tx1"/>
            </w14:solidFill>
          </w14:textFill>
        </w:rPr>
        <w:t>三、机构设置情况</w:t>
      </w:r>
    </w:p>
    <w:p>
      <w:pPr>
        <w:pStyle w:val="2"/>
        <w:numPr>
          <w:ilvl w:val="0"/>
          <w:numId w:val="0"/>
        </w:numPr>
        <w:ind w:leftChars="0" w:firstLine="640" w:firstLineChars="200"/>
        <w:rPr>
          <w:rFonts w:hint="eastAsia" w:ascii="仿宋" w:hAnsi="仿宋" w:eastAsia="仿宋"/>
          <w:b/>
          <w:bCs/>
          <w:color w:val="000000" w:themeColor="text1"/>
          <w:sz w:val="32"/>
          <w:szCs w:val="32"/>
          <w:highlight w:val="none"/>
          <w:lang w:val="en-US" w:eastAsia="zh-CN"/>
          <w14:textFill>
            <w14:solidFill>
              <w14:schemeClr w14:val="tx1"/>
            </w14:solidFill>
          </w14:textFill>
        </w:rPr>
      </w:pP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乐山监狱管理科由3个内设机构组成，分别是：财务室、办公室、政工室。</w:t>
      </w:r>
    </w:p>
    <w:p>
      <w:pPr>
        <w:rPr>
          <w:rFonts w:hint="eastAsia"/>
          <w:color w:val="000000" w:themeColor="text1"/>
          <w14:textFill>
            <w14:solidFill>
              <w14:schemeClr w14:val="tx1"/>
            </w14:solidFill>
          </w14:textFill>
        </w:rPr>
      </w:pPr>
    </w:p>
    <w:p>
      <w:pPr>
        <w:widowControl/>
        <w:jc w:val="left"/>
        <w:rPr>
          <w:rFonts w:ascii="仿宋" w:hAnsi="仿宋" w:eastAsia="仿宋"/>
          <w:color w:val="000000" w:themeColor="text1"/>
          <w:kern w:val="0"/>
          <w:sz w:val="32"/>
          <w:szCs w:val="32"/>
          <w:highlight w:val="none"/>
          <w14:textFill>
            <w14:solidFill>
              <w14:schemeClr w14:val="tx1"/>
            </w14:solidFill>
          </w14:textFill>
        </w:rPr>
      </w:pPr>
      <w:r>
        <w:rPr>
          <w:rFonts w:ascii="仿宋" w:hAnsi="仿宋" w:eastAsia="仿宋"/>
          <w:color w:val="000000" w:themeColor="text1"/>
          <w:sz w:val="32"/>
          <w:szCs w:val="32"/>
          <w:highlight w:val="none"/>
          <w14:textFill>
            <w14:solidFill>
              <w14:schemeClr w14:val="tx1"/>
            </w14:solidFill>
          </w14:textFill>
        </w:rPr>
        <w:br w:type="page"/>
      </w:r>
    </w:p>
    <w:p>
      <w:pPr>
        <w:pStyle w:val="3"/>
        <w:ind w:right="440"/>
        <w:jc w:val="center"/>
        <w:rPr>
          <w:rStyle w:val="25"/>
          <w:rFonts w:ascii="黑体" w:hAnsi="黑体" w:eastAsia="黑体"/>
          <w:b w:val="0"/>
          <w:bCs/>
          <w:color w:val="000000" w:themeColor="text1"/>
          <w:highlight w:val="none"/>
          <w14:textFill>
            <w14:solidFill>
              <w14:schemeClr w14:val="tx1"/>
            </w14:solidFill>
          </w14:textFill>
        </w:rPr>
      </w:pPr>
      <w:bookmarkStart w:id="16" w:name="_Toc15396602"/>
      <w:bookmarkStart w:id="17" w:name="_Toc15377204"/>
      <w:r>
        <w:rPr>
          <w:rFonts w:hint="eastAsia" w:ascii="黑体" w:hAnsi="黑体" w:eastAsia="黑体"/>
          <w:b w:val="0"/>
          <w:bCs/>
          <w:color w:val="000000" w:themeColor="text1"/>
          <w:highlight w:val="none"/>
          <w14:textFill>
            <w14:solidFill>
              <w14:schemeClr w14:val="tx1"/>
            </w14:solidFill>
          </w14:textFill>
        </w:rPr>
        <w:t xml:space="preserve">第二部分 </w:t>
      </w:r>
      <w:r>
        <w:rPr>
          <w:rFonts w:hint="eastAsia" w:ascii="黑体" w:hAnsi="黑体" w:eastAsia="黑体"/>
          <w:b w:val="0"/>
          <w:bCs/>
          <w:color w:val="000000" w:themeColor="text1"/>
          <w:highlight w:val="none"/>
          <w:lang w:val="en-US" w:eastAsia="zh-CN"/>
          <w14:textFill>
            <w14:solidFill>
              <w14:schemeClr w14:val="tx1"/>
            </w14:solidFill>
          </w14:textFill>
        </w:rPr>
        <w:t>2021年度</w:t>
      </w:r>
      <w:r>
        <w:rPr>
          <w:rStyle w:val="25"/>
          <w:rFonts w:hint="eastAsia" w:ascii="黑体" w:hAnsi="黑体" w:eastAsia="黑体"/>
          <w:b w:val="0"/>
          <w:bCs/>
          <w:color w:val="000000" w:themeColor="text1"/>
          <w:highlight w:val="none"/>
          <w:lang w:eastAsia="zh-CN"/>
          <w14:textFill>
            <w14:solidFill>
              <w14:schemeClr w14:val="tx1"/>
            </w14:solidFill>
          </w14:textFill>
        </w:rPr>
        <w:t>单位</w:t>
      </w:r>
      <w:r>
        <w:rPr>
          <w:rStyle w:val="25"/>
          <w:rFonts w:hint="eastAsia" w:ascii="黑体" w:hAnsi="黑体" w:eastAsia="黑体"/>
          <w:b w:val="0"/>
          <w:bCs/>
          <w:color w:val="000000" w:themeColor="text1"/>
          <w:highlight w:val="none"/>
          <w14:textFill>
            <w14:solidFill>
              <w14:schemeClr w14:val="tx1"/>
            </w14:solidFill>
          </w14:textFill>
        </w:rPr>
        <w:t>决算情况说明</w:t>
      </w:r>
      <w:bookmarkEnd w:id="16"/>
      <w:bookmarkEnd w:id="17"/>
    </w:p>
    <w:p>
      <w:pPr>
        <w:rPr>
          <w:color w:val="000000" w:themeColor="text1"/>
          <w:highlight w:val="none"/>
          <w14:textFill>
            <w14:solidFill>
              <w14:schemeClr w14:val="tx1"/>
            </w14:solidFill>
          </w14:textFill>
        </w:rPr>
      </w:pPr>
    </w:p>
    <w:p>
      <w:pPr>
        <w:pStyle w:val="24"/>
        <w:numPr>
          <w:ilvl w:val="0"/>
          <w:numId w:val="2"/>
        </w:numPr>
        <w:spacing w:line="600" w:lineRule="exact"/>
        <w:ind w:firstLineChars="0"/>
        <w:outlineLvl w:val="1"/>
        <w:rPr>
          <w:rStyle w:val="26"/>
          <w:rFonts w:ascii="黑体" w:hAnsi="黑体" w:eastAsia="黑体"/>
          <w:b w:val="0"/>
          <w:color w:val="000000" w:themeColor="text1"/>
          <w:highlight w:val="none"/>
          <w14:textFill>
            <w14:solidFill>
              <w14:schemeClr w14:val="tx1"/>
            </w14:solidFill>
          </w14:textFill>
        </w:rPr>
      </w:pPr>
      <w:bookmarkStart w:id="18" w:name="_Toc15396603"/>
      <w:bookmarkStart w:id="19" w:name="_Toc15377205"/>
      <w:r>
        <w:rPr>
          <w:rFonts w:hint="eastAsia" w:ascii="黑体" w:hAnsi="黑体" w:eastAsia="黑体"/>
          <w:color w:val="000000" w:themeColor="text1"/>
          <w:sz w:val="32"/>
          <w:szCs w:val="32"/>
          <w:highlight w:val="none"/>
          <w14:textFill>
            <w14:solidFill>
              <w14:schemeClr w14:val="tx1"/>
            </w14:solidFill>
          </w14:textFill>
        </w:rPr>
        <w:t>收</w:t>
      </w:r>
      <w:r>
        <w:rPr>
          <w:rStyle w:val="26"/>
          <w:rFonts w:hint="eastAsia" w:ascii="黑体" w:hAnsi="黑体" w:eastAsia="黑体"/>
          <w:b w:val="0"/>
          <w:color w:val="000000" w:themeColor="text1"/>
          <w:highlight w:val="none"/>
          <w14:textFill>
            <w14:solidFill>
              <w14:schemeClr w14:val="tx1"/>
            </w14:solidFill>
          </w14:textFill>
        </w:rPr>
        <w:t>入支出决算总体情况说明</w:t>
      </w:r>
      <w:bookmarkEnd w:id="18"/>
      <w:bookmarkEnd w:id="19"/>
    </w:p>
    <w:p>
      <w:pPr>
        <w:spacing w:line="600" w:lineRule="exact"/>
        <w:ind w:firstLine="640" w:firstLineChars="200"/>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2021年度收、支总计214.19万元。与2020年相比，收、支总计各增加32.7万元，增长18.02%。主要变动原因一是绩效管奖增资；二是退休民警死亡抚恤金增加。</w:t>
      </w:r>
    </w:p>
    <w:p>
      <w:pPr>
        <w:pStyle w:val="2"/>
        <w:ind w:firstLine="640" w:firstLineChars="200"/>
        <w:jc w:val="cente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图1：收、支决算总计变动情况图</w:t>
      </w:r>
    </w:p>
    <w:p>
      <w:pPr>
        <w:spacing w:line="240" w:lineRule="auto"/>
        <w:ind w:firstLine="0" w:firstLineChars="0"/>
        <w:jc w:val="left"/>
        <w:rPr>
          <w:rFonts w:ascii="仿宋_GB2312" w:eastAsia="仿宋_GB2312"/>
          <w:color w:val="000000" w:themeColor="text1"/>
          <w:sz w:val="32"/>
          <w:szCs w:val="32"/>
          <w:highlight w:val="none"/>
          <w14:textFill>
            <w14:solidFill>
              <w14:schemeClr w14:val="tx1"/>
            </w14:solidFill>
          </w14:textFill>
        </w:rPr>
      </w:pPr>
      <w:r>
        <w:rPr>
          <w:color w:val="000000" w:themeColor="text1"/>
          <w14:textFill>
            <w14:solidFill>
              <w14:schemeClr w14:val="tx1"/>
            </w14:solidFill>
          </w14:textFill>
        </w:rPr>
        <w:drawing>
          <wp:inline distT="0" distB="0" distL="114300" distR="114300">
            <wp:extent cx="5067300" cy="2466975"/>
            <wp:effectExtent l="4445" t="4445" r="14605" b="5080"/>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4"/>
        <w:numPr>
          <w:ilvl w:val="0"/>
          <w:numId w:val="2"/>
        </w:numPr>
        <w:spacing w:line="600" w:lineRule="exact"/>
        <w:ind w:firstLineChars="0"/>
        <w:outlineLvl w:val="1"/>
        <w:rPr>
          <w:rStyle w:val="26"/>
          <w:rFonts w:ascii="黑体" w:hAnsi="黑体" w:eastAsia="黑体"/>
          <w:b w:val="0"/>
          <w:color w:val="000000" w:themeColor="text1"/>
          <w:highlight w:val="none"/>
          <w14:textFill>
            <w14:solidFill>
              <w14:schemeClr w14:val="tx1"/>
            </w14:solidFill>
          </w14:textFill>
        </w:rPr>
      </w:pPr>
      <w:bookmarkStart w:id="20" w:name="_Toc15377206"/>
      <w:bookmarkStart w:id="21" w:name="_Toc15396604"/>
      <w:r>
        <w:rPr>
          <w:rFonts w:hint="eastAsia" w:ascii="黑体" w:hAnsi="黑体" w:eastAsia="黑体"/>
          <w:color w:val="000000" w:themeColor="text1"/>
          <w:sz w:val="32"/>
          <w:szCs w:val="32"/>
          <w:highlight w:val="none"/>
          <w14:textFill>
            <w14:solidFill>
              <w14:schemeClr w14:val="tx1"/>
            </w14:solidFill>
          </w14:textFill>
        </w:rPr>
        <w:t>收</w:t>
      </w:r>
      <w:r>
        <w:rPr>
          <w:rStyle w:val="26"/>
          <w:rFonts w:hint="eastAsia" w:ascii="黑体" w:hAnsi="黑体" w:eastAsia="黑体"/>
          <w:b w:val="0"/>
          <w:color w:val="000000" w:themeColor="text1"/>
          <w:highlight w:val="none"/>
          <w14:textFill>
            <w14:solidFill>
              <w14:schemeClr w14:val="tx1"/>
            </w14:solidFill>
          </w14:textFill>
        </w:rPr>
        <w:t>入决算情况说明</w:t>
      </w:r>
      <w:bookmarkEnd w:id="20"/>
      <w:bookmarkEnd w:id="21"/>
    </w:p>
    <w:p>
      <w:pPr>
        <w:spacing w:line="600" w:lineRule="exact"/>
        <w:ind w:firstLine="640" w:firstLineChars="200"/>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2021年本年收入合计214.19万元，其中：一般公共预算财政拨款收入214.19万元，占100%。</w:t>
      </w:r>
    </w:p>
    <w:p>
      <w:pPr>
        <w:spacing w:line="600" w:lineRule="exact"/>
        <w:ind w:firstLine="640" w:firstLineChars="200"/>
        <w:jc w:val="center"/>
        <w:rPr>
          <w:rFonts w:ascii="仿宋" w:hAnsi="仿宋" w:eastAsia="仿宋"/>
          <w:color w:val="000000" w:themeColor="text1"/>
          <w:sz w:val="32"/>
          <w:szCs w:val="32"/>
          <w:highlight w:val="none"/>
          <w14:textFill>
            <w14:solidFill>
              <w14:schemeClr w14:val="tx1"/>
            </w14:solidFill>
          </w14:textFill>
        </w:rPr>
      </w:pP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图2：收入决算结构图</w:t>
      </w:r>
    </w:p>
    <w:p>
      <w:pPr>
        <w:spacing w:line="240" w:lineRule="auto"/>
        <w:ind w:firstLine="0" w:firstLineChars="0"/>
        <w:rPr>
          <w:rFonts w:ascii="仿宋_GB2312" w:eastAsia="仿宋_GB2312"/>
          <w:color w:val="000000" w:themeColor="text1"/>
          <w:sz w:val="32"/>
          <w:szCs w:val="32"/>
          <w:highlight w:val="none"/>
          <w14:textFill>
            <w14:solidFill>
              <w14:schemeClr w14:val="tx1"/>
            </w14:solidFill>
          </w14:textFill>
        </w:rPr>
      </w:pPr>
      <w:r>
        <w:rPr>
          <w:color w:val="000000" w:themeColor="text1"/>
          <w14:textFill>
            <w14:solidFill>
              <w14:schemeClr w14:val="tx1"/>
            </w14:solidFill>
          </w14:textFill>
        </w:rPr>
        <w:drawing>
          <wp:inline distT="0" distB="0" distL="0" distR="0">
            <wp:extent cx="5069840" cy="1729105"/>
            <wp:effectExtent l="4445" t="4445" r="12065" b="1905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4"/>
        <w:numPr>
          <w:ilvl w:val="0"/>
          <w:numId w:val="2"/>
        </w:numPr>
        <w:spacing w:line="600" w:lineRule="exact"/>
        <w:ind w:firstLineChars="0"/>
        <w:outlineLvl w:val="1"/>
        <w:rPr>
          <w:rStyle w:val="26"/>
          <w:rFonts w:ascii="黑体" w:hAnsi="黑体" w:eastAsia="黑体"/>
          <w:b w:val="0"/>
          <w:color w:val="000000" w:themeColor="text1"/>
          <w:highlight w:val="none"/>
          <w14:textFill>
            <w14:solidFill>
              <w14:schemeClr w14:val="tx1"/>
            </w14:solidFill>
          </w14:textFill>
        </w:rPr>
      </w:pPr>
      <w:bookmarkStart w:id="22" w:name="_Toc15377207"/>
      <w:bookmarkStart w:id="23" w:name="_Toc15396605"/>
      <w:r>
        <w:rPr>
          <w:rFonts w:hint="eastAsia" w:ascii="黑体" w:hAnsi="黑体" w:eastAsia="黑体"/>
          <w:color w:val="000000" w:themeColor="text1"/>
          <w:sz w:val="32"/>
          <w:szCs w:val="32"/>
          <w:highlight w:val="none"/>
          <w14:textFill>
            <w14:solidFill>
              <w14:schemeClr w14:val="tx1"/>
            </w14:solidFill>
          </w14:textFill>
        </w:rPr>
        <w:t>支</w:t>
      </w:r>
      <w:r>
        <w:rPr>
          <w:rStyle w:val="26"/>
          <w:rFonts w:hint="eastAsia" w:ascii="黑体" w:hAnsi="黑体" w:eastAsia="黑体"/>
          <w:b w:val="0"/>
          <w:color w:val="000000" w:themeColor="text1"/>
          <w:highlight w:val="none"/>
          <w14:textFill>
            <w14:solidFill>
              <w14:schemeClr w14:val="tx1"/>
            </w14:solidFill>
          </w14:textFill>
        </w:rPr>
        <w:t>出决算情况说明</w:t>
      </w:r>
      <w:bookmarkEnd w:id="22"/>
      <w:bookmarkEnd w:id="23"/>
    </w:p>
    <w:p>
      <w:pPr>
        <w:spacing w:line="600" w:lineRule="exact"/>
        <w:ind w:firstLine="640" w:firstLineChars="200"/>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2021年本年支出合计214.19万元，其中：基本支出202.47万元，占94.53%；项目支出11.72万元，占5.47%。</w:t>
      </w:r>
    </w:p>
    <w:p>
      <w:pPr>
        <w:spacing w:line="600" w:lineRule="exact"/>
        <w:ind w:firstLine="640" w:firstLineChars="200"/>
        <w:jc w:val="cente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图3：支出决算结构图</w:t>
      </w:r>
    </w:p>
    <w:p>
      <w:pPr>
        <w:pStyle w:val="2"/>
        <w:rPr>
          <w:rFonts w:ascii="仿宋_GB2312" w:eastAsia="仿宋_GB2312"/>
          <w:color w:val="000000" w:themeColor="text1"/>
          <w:sz w:val="32"/>
          <w:szCs w:val="32"/>
          <w:highlight w:val="none"/>
          <w14:textFill>
            <w14:solidFill>
              <w14:schemeClr w14:val="tx1"/>
            </w14:solidFill>
          </w14:textFill>
        </w:rPr>
      </w:pPr>
      <w:r>
        <w:rPr>
          <w:color w:val="000000" w:themeColor="text1"/>
          <w14:textFill>
            <w14:solidFill>
              <w14:schemeClr w14:val="tx1"/>
            </w14:solidFill>
          </w14:textFill>
        </w:rPr>
        <w:drawing>
          <wp:inline distT="0" distB="0" distL="114300" distR="114300">
            <wp:extent cx="5028565" cy="1830705"/>
            <wp:effectExtent l="4445" t="4445" r="15240" b="1270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26"/>
          <w:rFonts w:ascii="黑体" w:hAnsi="黑体" w:eastAsia="黑体"/>
          <w:b w:val="0"/>
          <w:color w:val="000000" w:themeColor="text1"/>
          <w:highlight w:val="none"/>
          <w14:textFill>
            <w14:solidFill>
              <w14:schemeClr w14:val="tx1"/>
            </w14:solidFill>
          </w14:textFill>
        </w:rPr>
      </w:pPr>
      <w:bookmarkStart w:id="24" w:name="_Toc15377208"/>
      <w:bookmarkStart w:id="25" w:name="_Toc15396606"/>
      <w:r>
        <w:rPr>
          <w:rFonts w:hint="eastAsia" w:ascii="黑体" w:hAnsi="黑体" w:eastAsia="黑体"/>
          <w:color w:val="000000" w:themeColor="text1"/>
          <w:sz w:val="32"/>
          <w:szCs w:val="32"/>
          <w:highlight w:val="none"/>
          <w14:textFill>
            <w14:solidFill>
              <w14:schemeClr w14:val="tx1"/>
            </w14:solidFill>
          </w14:textFill>
        </w:rPr>
        <w:t>四、财</w:t>
      </w:r>
      <w:r>
        <w:rPr>
          <w:rStyle w:val="26"/>
          <w:rFonts w:hint="eastAsia" w:ascii="黑体" w:hAnsi="黑体" w:eastAsia="黑体"/>
          <w:b w:val="0"/>
          <w:color w:val="000000" w:themeColor="text1"/>
          <w:highlight w:val="none"/>
          <w14:textFill>
            <w14:solidFill>
              <w14:schemeClr w14:val="tx1"/>
            </w14:solidFill>
          </w14:textFill>
        </w:rPr>
        <w:t>政拨款收入支出决算总体情况说明</w:t>
      </w:r>
      <w:bookmarkEnd w:id="24"/>
      <w:bookmarkEnd w:id="25"/>
    </w:p>
    <w:p>
      <w:pPr>
        <w:spacing w:line="600" w:lineRule="exact"/>
        <w:ind w:firstLine="640" w:firstLineChars="200"/>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2021年财政拨款收、支总计214.19万元。与2020年相比，财政拨款收、支总计各增加32.7万元，增长18.02%。主要变动原因一是绩效管奖增资；二是退休民警死亡抚恤金增加。</w:t>
      </w:r>
    </w:p>
    <w:p>
      <w:pPr>
        <w:spacing w:line="600" w:lineRule="exact"/>
        <w:ind w:firstLine="640" w:firstLineChars="200"/>
        <w:jc w:val="center"/>
        <w:rPr>
          <w:rFonts w:ascii="仿宋" w:hAnsi="仿宋" w:eastAsia="仿宋"/>
          <w:color w:val="000000" w:themeColor="text1"/>
          <w:sz w:val="32"/>
          <w:szCs w:val="32"/>
          <w:highlight w:val="none"/>
          <w14:textFill>
            <w14:solidFill>
              <w14:schemeClr w14:val="tx1"/>
            </w14:solidFill>
          </w14:textFill>
        </w:rPr>
      </w:pP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图4：财政拨款收、支决算总计变动情况</w:t>
      </w:r>
    </w:p>
    <w:p>
      <w:pPr>
        <w:spacing w:line="240" w:lineRule="auto"/>
        <w:ind w:firstLine="0"/>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4991100" cy="2400935"/>
            <wp:effectExtent l="4445" t="4445" r="14605" b="13970"/>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
        <w:rPr>
          <w:color w:val="000000" w:themeColor="text1"/>
          <w14:textFill>
            <w14:solidFill>
              <w14:schemeClr w14:val="tx1"/>
            </w14:solidFill>
          </w14:textFill>
        </w:rPr>
      </w:pPr>
    </w:p>
    <w:p>
      <w:pPr>
        <w:spacing w:line="600" w:lineRule="exact"/>
        <w:ind w:firstLine="640" w:firstLineChars="200"/>
        <w:outlineLvl w:val="1"/>
        <w:rPr>
          <w:rStyle w:val="26"/>
          <w:rFonts w:ascii="黑体" w:hAnsi="黑体" w:eastAsia="黑体"/>
          <w:b w:val="0"/>
          <w:color w:val="000000" w:themeColor="text1"/>
          <w:highlight w:val="none"/>
          <w14:textFill>
            <w14:solidFill>
              <w14:schemeClr w14:val="tx1"/>
            </w14:solidFill>
          </w14:textFill>
        </w:rPr>
      </w:pPr>
      <w:bookmarkStart w:id="26" w:name="_Toc15377209"/>
      <w:bookmarkStart w:id="27" w:name="_Toc15396607"/>
      <w:r>
        <w:rPr>
          <w:rFonts w:hint="eastAsia" w:ascii="黑体" w:hAnsi="黑体" w:eastAsia="黑体"/>
          <w:color w:val="000000" w:themeColor="text1"/>
          <w:sz w:val="32"/>
          <w:szCs w:val="32"/>
          <w:highlight w:val="none"/>
          <w14:textFill>
            <w14:solidFill>
              <w14:schemeClr w14:val="tx1"/>
            </w14:solidFill>
          </w14:textFill>
        </w:rPr>
        <w:t>五、</w:t>
      </w:r>
      <w:r>
        <w:rPr>
          <w:rFonts w:hint="eastAsia" w:ascii="黑体" w:hAnsi="黑体" w:eastAsia="黑体"/>
          <w:b/>
          <w:color w:val="000000" w:themeColor="text1"/>
          <w:sz w:val="32"/>
          <w:szCs w:val="32"/>
          <w:highlight w:val="none"/>
          <w14:textFill>
            <w14:solidFill>
              <w14:schemeClr w14:val="tx1"/>
            </w14:solidFill>
          </w14:textFill>
        </w:rPr>
        <w:t>一</w:t>
      </w:r>
      <w:r>
        <w:rPr>
          <w:rStyle w:val="26"/>
          <w:rFonts w:hint="eastAsia" w:ascii="黑体" w:hAnsi="黑体" w:eastAsia="黑体"/>
          <w:b w:val="0"/>
          <w:color w:val="000000" w:themeColor="text1"/>
          <w:highlight w:val="none"/>
          <w14:textFill>
            <w14:solidFill>
              <w14:schemeClr w14:val="tx1"/>
            </w14:solidFill>
          </w14:textFill>
        </w:rPr>
        <w:t>般公共预算财政拨款支出决算情况说明</w:t>
      </w:r>
      <w:bookmarkEnd w:id="26"/>
      <w:bookmarkEnd w:id="27"/>
    </w:p>
    <w:p>
      <w:pPr>
        <w:spacing w:line="600" w:lineRule="exact"/>
        <w:ind w:firstLine="643" w:firstLineChars="200"/>
        <w:outlineLvl w:val="2"/>
        <w:rPr>
          <w:rFonts w:ascii="仿宋" w:hAnsi="仿宋" w:eastAsia="仿宋"/>
          <w:b/>
          <w:color w:val="000000" w:themeColor="text1"/>
          <w:sz w:val="32"/>
          <w:szCs w:val="32"/>
          <w:highlight w:val="none"/>
          <w14:textFill>
            <w14:solidFill>
              <w14:schemeClr w14:val="tx1"/>
            </w14:solidFill>
          </w14:textFill>
        </w:rPr>
      </w:pPr>
      <w:bookmarkStart w:id="28" w:name="_Toc15377210"/>
      <w:r>
        <w:rPr>
          <w:rFonts w:hint="eastAsia" w:ascii="仿宋" w:hAnsi="仿宋" w:eastAsia="仿宋"/>
          <w:b/>
          <w:color w:val="000000" w:themeColor="text1"/>
          <w:sz w:val="32"/>
          <w:szCs w:val="32"/>
          <w:highlight w:val="none"/>
          <w14:textFill>
            <w14:solidFill>
              <w14:schemeClr w14:val="tx1"/>
            </w14:solidFill>
          </w14:textFill>
        </w:rPr>
        <w:t>（一）一般公共预算财政拨款支出决算总体情况</w:t>
      </w:r>
      <w:bookmarkEnd w:id="28"/>
    </w:p>
    <w:p>
      <w:pPr>
        <w:spacing w:line="600" w:lineRule="exact"/>
        <w:ind w:firstLine="640" w:firstLineChars="200"/>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2021年一般公共预算财政拨款支出214.19万元，占本年支出合计的100%。与2020年相比，一般公共预算财政拨款支出增加32.7万元，增长18.02%。主要变动原因一是绩效管奖增资；二是退休民警死亡抚恤金增加。</w:t>
      </w:r>
    </w:p>
    <w:p>
      <w:pPr>
        <w:spacing w:line="600" w:lineRule="exact"/>
        <w:ind w:firstLine="640" w:firstLineChars="200"/>
        <w:jc w:val="center"/>
        <w:rPr>
          <w:rFonts w:ascii="仿宋" w:hAnsi="仿宋" w:eastAsia="仿宋"/>
          <w:color w:val="000000" w:themeColor="text1"/>
          <w:sz w:val="32"/>
          <w:szCs w:val="32"/>
          <w:highlight w:val="none"/>
          <w14:textFill>
            <w14:solidFill>
              <w14:schemeClr w14:val="tx1"/>
            </w14:solidFill>
          </w14:textFill>
        </w:rPr>
      </w:pP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图5：一般公共预算财政拨款支出决算变动情况</w:t>
      </w:r>
    </w:p>
    <w:p>
      <w:pPr>
        <w:spacing w:line="240" w:lineRule="auto"/>
        <w:ind w:firstLine="0" w:firstLineChars="0"/>
        <w:rPr>
          <w:rFonts w:ascii="仿宋" w:hAnsi="仿宋" w:eastAsia="仿宋"/>
          <w:color w:val="000000" w:themeColor="text1"/>
          <w:sz w:val="32"/>
          <w:szCs w:val="32"/>
          <w:highlight w:val="none"/>
          <w14:textFill>
            <w14:solidFill>
              <w14:schemeClr w14:val="tx1"/>
            </w14:solidFill>
          </w14:textFill>
        </w:rPr>
      </w:pPr>
      <w:r>
        <w:rPr>
          <w:color w:val="000000" w:themeColor="text1"/>
          <w14:textFill>
            <w14:solidFill>
              <w14:schemeClr w14:val="tx1"/>
            </w14:solidFill>
          </w14:textFill>
        </w:rPr>
        <w:drawing>
          <wp:inline distT="0" distB="0" distL="114300" distR="114300">
            <wp:extent cx="5220335" cy="1679575"/>
            <wp:effectExtent l="5080" t="4445" r="13335" b="11430"/>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ascii="仿宋" w:hAnsi="仿宋" w:eastAsia="仿宋"/>
          <w:b/>
          <w:color w:val="000000" w:themeColor="text1"/>
          <w:sz w:val="32"/>
          <w:szCs w:val="32"/>
          <w:highlight w:val="none"/>
          <w14:textFill>
            <w14:solidFill>
              <w14:schemeClr w14:val="tx1"/>
            </w14:solidFill>
          </w14:textFill>
        </w:rPr>
      </w:pPr>
      <w:bookmarkStart w:id="29" w:name="_Toc15377211"/>
      <w:r>
        <w:rPr>
          <w:rFonts w:hint="eastAsia" w:ascii="仿宋" w:hAnsi="仿宋" w:eastAsia="仿宋"/>
          <w:b/>
          <w:color w:val="000000" w:themeColor="text1"/>
          <w:sz w:val="32"/>
          <w:szCs w:val="32"/>
          <w:highlight w:val="none"/>
          <w14:textFill>
            <w14:solidFill>
              <w14:schemeClr w14:val="tx1"/>
            </w14:solidFill>
          </w14:textFill>
        </w:rPr>
        <w:t>（二）一般公共预算财政拨款支出决算结构情况</w:t>
      </w:r>
      <w:bookmarkEnd w:id="29"/>
    </w:p>
    <w:p>
      <w:pPr>
        <w:spacing w:line="600" w:lineRule="exact"/>
        <w:ind w:firstLine="640" w:firstLineChars="200"/>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2021年一般公共预算财政拨款支出214.19万元，主要用于以下方面:</w:t>
      </w:r>
      <w:r>
        <w:rPr>
          <w:rFonts w:hint="eastAsia" w:ascii="宋体" w:hAnsi="宋体" w:eastAsia="仿宋_GB2312" w:cs="Times New Roman"/>
          <w:b/>
          <w:bCs/>
          <w:color w:val="000000" w:themeColor="text1"/>
          <w:kern w:val="2"/>
          <w:sz w:val="32"/>
          <w:szCs w:val="32"/>
          <w:lang w:val="en-US" w:eastAsia="zh-CN" w:bidi="ar-SA"/>
          <w14:textFill>
            <w14:solidFill>
              <w14:schemeClr w14:val="tx1"/>
            </w14:solidFill>
          </w14:textFill>
        </w:rPr>
        <w:t>公共安全支出（类）117.62</w:t>
      </w: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万元，占54.91%；</w:t>
      </w:r>
      <w:r>
        <w:rPr>
          <w:rFonts w:hint="eastAsia" w:ascii="宋体" w:hAnsi="宋体" w:eastAsia="仿宋_GB2312" w:cs="Times New Roman"/>
          <w:b/>
          <w:bCs/>
          <w:color w:val="000000" w:themeColor="text1"/>
          <w:kern w:val="2"/>
          <w:sz w:val="32"/>
          <w:szCs w:val="32"/>
          <w:lang w:val="en-US" w:eastAsia="zh-CN" w:bidi="ar-SA"/>
          <w14:textFill>
            <w14:solidFill>
              <w14:schemeClr w14:val="tx1"/>
            </w14:solidFill>
          </w14:textFill>
        </w:rPr>
        <w:t>教育支出（类）1</w:t>
      </w: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万元，占0.47%；</w:t>
      </w:r>
      <w:r>
        <w:rPr>
          <w:rFonts w:hint="eastAsia" w:ascii="宋体" w:hAnsi="宋体" w:eastAsia="仿宋_GB2312" w:cs="Times New Roman"/>
          <w:b/>
          <w:bCs/>
          <w:color w:val="000000" w:themeColor="text1"/>
          <w:kern w:val="2"/>
          <w:sz w:val="32"/>
          <w:szCs w:val="32"/>
          <w:lang w:val="en-US" w:eastAsia="zh-CN" w:bidi="ar-SA"/>
          <w14:textFill>
            <w14:solidFill>
              <w14:schemeClr w14:val="tx1"/>
            </w14:solidFill>
          </w14:textFill>
        </w:rPr>
        <w:t>社会保障和就业支出（类）78.38</w:t>
      </w: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万元，占36.59%；</w:t>
      </w:r>
      <w:r>
        <w:rPr>
          <w:rFonts w:hint="eastAsia" w:ascii="宋体" w:hAnsi="宋体" w:eastAsia="仿宋_GB2312" w:cs="Times New Roman"/>
          <w:b/>
          <w:bCs/>
          <w:color w:val="000000" w:themeColor="text1"/>
          <w:kern w:val="2"/>
          <w:sz w:val="32"/>
          <w:szCs w:val="32"/>
          <w:lang w:val="en-US" w:eastAsia="zh-CN" w:bidi="ar-SA"/>
          <w14:textFill>
            <w14:solidFill>
              <w14:schemeClr w14:val="tx1"/>
            </w14:solidFill>
          </w14:textFill>
        </w:rPr>
        <w:t>卫生健康支出8.95</w:t>
      </w: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万元，占4.18%；</w:t>
      </w:r>
      <w:r>
        <w:rPr>
          <w:rFonts w:hint="eastAsia" w:ascii="宋体" w:hAnsi="宋体" w:eastAsia="仿宋_GB2312" w:cs="Times New Roman"/>
          <w:b/>
          <w:bCs/>
          <w:color w:val="000000" w:themeColor="text1"/>
          <w:kern w:val="2"/>
          <w:sz w:val="32"/>
          <w:szCs w:val="32"/>
          <w:lang w:val="en-US" w:eastAsia="zh-CN" w:bidi="ar-SA"/>
          <w14:textFill>
            <w14:solidFill>
              <w14:schemeClr w14:val="tx1"/>
            </w14:solidFill>
          </w14:textFill>
        </w:rPr>
        <w:t>住房保障支出8.24</w:t>
      </w: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万元，占3.85%。</w:t>
      </w:r>
    </w:p>
    <w:p>
      <w:pPr>
        <w:spacing w:line="600" w:lineRule="exact"/>
        <w:ind w:firstLine="640" w:firstLineChars="200"/>
        <w:jc w:val="cente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图6：一般公共预算财政拨款支出决算结构</w:t>
      </w:r>
    </w:p>
    <w:p>
      <w:pPr>
        <w:pStyle w:val="2"/>
        <w:rPr>
          <w:rFonts w:ascii="仿宋" w:hAnsi="仿宋" w:eastAsia="仿宋"/>
          <w:color w:val="000000" w:themeColor="text1"/>
          <w:sz w:val="32"/>
          <w:szCs w:val="32"/>
          <w:highlight w:val="none"/>
          <w14:textFill>
            <w14:solidFill>
              <w14:schemeClr w14:val="tx1"/>
            </w14:solidFill>
          </w14:textFill>
        </w:rPr>
      </w:pPr>
      <w:r>
        <w:rPr>
          <w:color w:val="000000" w:themeColor="text1"/>
          <w14:textFill>
            <w14:solidFill>
              <w14:schemeClr w14:val="tx1"/>
            </w14:solidFill>
          </w14:textFill>
        </w:rPr>
        <w:drawing>
          <wp:inline distT="0" distB="0" distL="114300" distR="114300">
            <wp:extent cx="5181600" cy="1565910"/>
            <wp:effectExtent l="5080" t="4445" r="13970" b="10795"/>
            <wp:docPr id="4"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rPr>
          <w:rFonts w:hint="eastAsia" w:ascii="宋体" w:hAnsi="宋体" w:eastAsia="仿宋_GB2312" w:cs="Times New Roman"/>
          <w:b/>
          <w:bCs/>
          <w:color w:val="000000" w:themeColor="text1"/>
          <w:kern w:val="2"/>
          <w:sz w:val="32"/>
          <w:szCs w:val="32"/>
          <w:lang w:val="en-US" w:eastAsia="zh-CN" w:bidi="ar-SA"/>
          <w14:textFill>
            <w14:solidFill>
              <w14:schemeClr w14:val="tx1"/>
            </w14:solidFill>
          </w14:textFill>
        </w:rPr>
      </w:pPr>
      <w:bookmarkStart w:id="30" w:name="_Toc15377212"/>
      <w:r>
        <w:rPr>
          <w:rFonts w:hint="eastAsia" w:ascii="宋体" w:hAnsi="宋体" w:eastAsia="仿宋_GB2312" w:cs="Times New Roman"/>
          <w:b/>
          <w:bCs/>
          <w:color w:val="000000" w:themeColor="text1"/>
          <w:kern w:val="2"/>
          <w:sz w:val="32"/>
          <w:szCs w:val="32"/>
          <w:lang w:val="en-US" w:eastAsia="zh-CN" w:bidi="ar-SA"/>
          <w14:textFill>
            <w14:solidFill>
              <w14:schemeClr w14:val="tx1"/>
            </w14:solidFill>
          </w14:textFill>
        </w:rPr>
        <w:t>（三）一般公共预算财政拨款支出决算具体情况</w:t>
      </w:r>
      <w:bookmarkEnd w:id="30"/>
    </w:p>
    <w:p>
      <w:pPr>
        <w:spacing w:line="600" w:lineRule="exact"/>
        <w:ind w:firstLine="643" w:firstLineChars="200"/>
        <w:rPr>
          <w:rFonts w:hint="eastAsia" w:ascii="宋体" w:hAnsi="宋体" w:eastAsia="仿宋_GB2312" w:cs="Times New Roman"/>
          <w:b/>
          <w:bCs/>
          <w:color w:val="000000" w:themeColor="text1"/>
          <w:kern w:val="2"/>
          <w:sz w:val="32"/>
          <w:szCs w:val="32"/>
          <w:lang w:val="en-US" w:eastAsia="zh-CN" w:bidi="ar-SA"/>
          <w14:textFill>
            <w14:solidFill>
              <w14:schemeClr w14:val="tx1"/>
            </w14:solidFill>
          </w14:textFill>
        </w:rPr>
      </w:pPr>
      <w:bookmarkStart w:id="31" w:name="_Toc15377444"/>
      <w:bookmarkStart w:id="32" w:name="_Toc15378460"/>
      <w:bookmarkStart w:id="33" w:name="_Toc15377213"/>
      <w:r>
        <w:rPr>
          <w:rFonts w:hint="eastAsia" w:ascii="宋体" w:hAnsi="宋体" w:eastAsia="仿宋_GB2312" w:cs="Times New Roman"/>
          <w:b/>
          <w:bCs/>
          <w:color w:val="000000" w:themeColor="text1"/>
          <w:kern w:val="2"/>
          <w:sz w:val="32"/>
          <w:szCs w:val="32"/>
          <w:lang w:val="en-US" w:eastAsia="zh-CN" w:bidi="ar-SA"/>
          <w14:textFill>
            <w14:solidFill>
              <w14:schemeClr w14:val="tx1"/>
            </w14:solidFill>
          </w14:textFill>
        </w:rPr>
        <w:t>2021年一般公共预算支出决算数为214.19，完成预算94.1%。其中：</w:t>
      </w:r>
      <w:bookmarkEnd w:id="31"/>
      <w:bookmarkEnd w:id="32"/>
      <w:bookmarkEnd w:id="33"/>
    </w:p>
    <w:p>
      <w:pPr>
        <w:spacing w:line="600" w:lineRule="exact"/>
        <w:ind w:firstLine="643" w:firstLineChars="200"/>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宋体" w:hAnsi="宋体" w:eastAsia="仿宋_GB2312" w:cs="Times New Roman"/>
          <w:b/>
          <w:bCs/>
          <w:color w:val="000000" w:themeColor="text1"/>
          <w:kern w:val="2"/>
          <w:sz w:val="32"/>
          <w:szCs w:val="32"/>
          <w:lang w:val="en-US" w:eastAsia="zh-CN" w:bidi="ar-SA"/>
          <w14:textFill>
            <w14:solidFill>
              <w14:schemeClr w14:val="tx1"/>
            </w14:solidFill>
          </w14:textFill>
        </w:rPr>
        <w:t>1.公共安全支出（类）监狱（款）行政运行（项）:</w:t>
      </w: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 xml:space="preserve"> 支出决算为112.49万元，完成预算93.54%，决算数小于预算数的主要原因是认真落实厉行节约举措，以及受疫情影响。</w:t>
      </w:r>
    </w:p>
    <w:p>
      <w:pPr>
        <w:spacing w:line="600" w:lineRule="exact"/>
        <w:ind w:firstLine="643" w:firstLineChars="200"/>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宋体" w:hAnsi="宋体" w:eastAsia="仿宋_GB2312" w:cs="Times New Roman"/>
          <w:b/>
          <w:bCs/>
          <w:color w:val="000000" w:themeColor="text1"/>
          <w:kern w:val="2"/>
          <w:sz w:val="32"/>
          <w:szCs w:val="32"/>
          <w:lang w:val="en-US" w:eastAsia="zh-CN" w:bidi="ar-SA"/>
          <w14:textFill>
            <w14:solidFill>
              <w14:schemeClr w14:val="tx1"/>
            </w14:solidFill>
          </w14:textFill>
        </w:rPr>
        <w:t xml:space="preserve">2.公共安全支出（类）监狱（款）一般行政管理事物（项）: </w:t>
      </w: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支出决算为0.65万元，完成预算100%，决算数等于预算数。</w:t>
      </w:r>
    </w:p>
    <w:p>
      <w:pPr>
        <w:spacing w:line="600" w:lineRule="exact"/>
        <w:ind w:firstLine="643" w:firstLineChars="200"/>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宋体" w:hAnsi="宋体" w:eastAsia="仿宋_GB2312" w:cs="Times New Roman"/>
          <w:b/>
          <w:bCs/>
          <w:color w:val="000000" w:themeColor="text1"/>
          <w:kern w:val="2"/>
          <w:sz w:val="32"/>
          <w:szCs w:val="32"/>
          <w:lang w:val="en-US" w:eastAsia="zh-CN" w:bidi="ar-SA"/>
          <w14:textFill>
            <w14:solidFill>
              <w14:schemeClr w14:val="tx1"/>
            </w14:solidFill>
          </w14:textFill>
        </w:rPr>
        <w:t>3.公共安全支出（类）监狱（款）其他监狱支出（项）</w:t>
      </w: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 支出决算为4.48万元，完成预算100%，决算数等于预算数。</w:t>
      </w:r>
    </w:p>
    <w:p>
      <w:pPr>
        <w:spacing w:line="600" w:lineRule="exact"/>
        <w:ind w:firstLine="643" w:firstLineChars="200"/>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宋体" w:hAnsi="宋体" w:eastAsia="仿宋_GB2312" w:cs="Times New Roman"/>
          <w:b/>
          <w:bCs/>
          <w:color w:val="000000" w:themeColor="text1"/>
          <w:kern w:val="2"/>
          <w:sz w:val="32"/>
          <w:szCs w:val="32"/>
          <w:lang w:val="en-US" w:eastAsia="zh-CN" w:bidi="ar-SA"/>
          <w14:textFill>
            <w14:solidFill>
              <w14:schemeClr w14:val="tx1"/>
            </w14:solidFill>
          </w14:textFill>
        </w:rPr>
        <w:t>4.教育支出（类）进修及培训（款）培训支出（项）:</w:t>
      </w: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 xml:space="preserve"> 支出决算为1万元，完成预算100%，决算数等于预算数。</w:t>
      </w:r>
    </w:p>
    <w:p>
      <w:pPr>
        <w:spacing w:line="600" w:lineRule="exact"/>
        <w:ind w:firstLine="643" w:firstLineChars="200"/>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宋体" w:hAnsi="宋体" w:eastAsia="仿宋_GB2312" w:cs="Times New Roman"/>
          <w:b/>
          <w:bCs/>
          <w:color w:val="000000" w:themeColor="text1"/>
          <w:kern w:val="2"/>
          <w:sz w:val="32"/>
          <w:szCs w:val="32"/>
          <w:lang w:val="en-US" w:eastAsia="zh-CN" w:bidi="ar-SA"/>
          <w14:textFill>
            <w14:solidFill>
              <w14:schemeClr w14:val="tx1"/>
            </w14:solidFill>
          </w14:textFill>
        </w:rPr>
        <w:t xml:space="preserve">5.社会保障和就业（类）行政事业单位养老支出（款）行政单位离退休（项）: </w:t>
      </w: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支出决算为46.67万元，完成预算99.85%，决算数小于预算数的主要原因是退休民警死亡，相应减少了人员支出。</w:t>
      </w:r>
    </w:p>
    <w:p>
      <w:pPr>
        <w:spacing w:line="600" w:lineRule="exact"/>
        <w:ind w:firstLine="643" w:firstLineChars="200"/>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宋体" w:hAnsi="宋体" w:eastAsia="仿宋_GB2312" w:cs="Times New Roman"/>
          <w:b/>
          <w:bCs/>
          <w:color w:val="000000" w:themeColor="text1"/>
          <w:kern w:val="2"/>
          <w:sz w:val="32"/>
          <w:szCs w:val="32"/>
          <w:lang w:val="en-US" w:eastAsia="zh-CN" w:bidi="ar-SA"/>
          <w14:textFill>
            <w14:solidFill>
              <w14:schemeClr w14:val="tx1"/>
            </w14:solidFill>
          </w14:textFill>
        </w:rPr>
        <w:t xml:space="preserve">6.社会保障和就业（类）行政事业单位养老支出（款）机关事业单位基本养老保险缴费支出（项）: </w:t>
      </w: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支出决算为7.08万元，完成预算78.75%，决算数小于预算数的主要原因是在职民警减少，相应减少了人员支出。</w:t>
      </w:r>
    </w:p>
    <w:p>
      <w:pPr>
        <w:spacing w:line="600" w:lineRule="exact"/>
        <w:ind w:firstLine="643" w:firstLineChars="200"/>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宋体" w:hAnsi="宋体" w:eastAsia="仿宋_GB2312" w:cs="Times New Roman"/>
          <w:b/>
          <w:bCs/>
          <w:color w:val="000000" w:themeColor="text1"/>
          <w:kern w:val="2"/>
          <w:sz w:val="32"/>
          <w:szCs w:val="32"/>
          <w:lang w:val="en-US" w:eastAsia="zh-CN" w:bidi="ar-SA"/>
          <w14:textFill>
            <w14:solidFill>
              <w14:schemeClr w14:val="tx1"/>
            </w14:solidFill>
          </w14:textFill>
        </w:rPr>
        <w:t>7.社会保障和就业（类）行政事业单位养老支出（款）机关事业单位职业年金缴费支出（项）:</w:t>
      </w: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 xml:space="preserve"> 支出决算为3.65万元，完成预算99.82%，决算数小于预算数的主要原因是在职民警减少，相应减少了人员支出。</w:t>
      </w:r>
    </w:p>
    <w:p>
      <w:pPr>
        <w:spacing w:line="600" w:lineRule="exact"/>
        <w:ind w:firstLine="643" w:firstLineChars="200"/>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宋体" w:hAnsi="宋体" w:eastAsia="仿宋_GB2312" w:cs="Times New Roman"/>
          <w:b/>
          <w:bCs/>
          <w:color w:val="000000" w:themeColor="text1"/>
          <w:kern w:val="2"/>
          <w:sz w:val="32"/>
          <w:szCs w:val="32"/>
          <w:lang w:val="en-US" w:eastAsia="zh-CN" w:bidi="ar-SA"/>
          <w14:textFill>
            <w14:solidFill>
              <w14:schemeClr w14:val="tx1"/>
            </w14:solidFill>
          </w14:textFill>
        </w:rPr>
        <w:t xml:space="preserve">8.社会保障和就业（类）抚恤（款）死亡抚恤（项）: </w:t>
      </w: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支出决算为20.01万元，完成预算100%，决算数等于预算数。</w:t>
      </w:r>
    </w:p>
    <w:p>
      <w:pPr>
        <w:spacing w:line="600" w:lineRule="exact"/>
        <w:ind w:firstLine="643" w:firstLineChars="200"/>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宋体" w:hAnsi="宋体" w:eastAsia="仿宋_GB2312" w:cs="Times New Roman"/>
          <w:b/>
          <w:bCs/>
          <w:color w:val="000000" w:themeColor="text1"/>
          <w:kern w:val="2"/>
          <w:sz w:val="32"/>
          <w:szCs w:val="32"/>
          <w:lang w:val="en-US" w:eastAsia="zh-CN" w:bidi="ar-SA"/>
          <w14:textFill>
            <w14:solidFill>
              <w14:schemeClr w14:val="tx1"/>
            </w14:solidFill>
          </w14:textFill>
        </w:rPr>
        <w:t>9.社会保障和就业（类）其他社会保障和就业支出（款）其他社会保障和就业支出（项）:</w:t>
      </w: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 xml:space="preserve"> 支出决算为0.97万元，完成预算96.72%，决算数小于预算数的主要原因是在职民警减少，相应减少了人员支出。</w:t>
      </w:r>
    </w:p>
    <w:p>
      <w:pPr>
        <w:spacing w:line="600" w:lineRule="exact"/>
        <w:ind w:firstLine="643" w:firstLineChars="200"/>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宋体" w:hAnsi="宋体" w:eastAsia="仿宋_GB2312" w:cs="Times New Roman"/>
          <w:b/>
          <w:bCs/>
          <w:color w:val="000000" w:themeColor="text1"/>
          <w:kern w:val="2"/>
          <w:sz w:val="32"/>
          <w:szCs w:val="32"/>
          <w:lang w:val="en-US" w:eastAsia="zh-CN" w:bidi="ar-SA"/>
          <w14:textFill>
            <w14:solidFill>
              <w14:schemeClr w14:val="tx1"/>
            </w14:solidFill>
          </w14:textFill>
        </w:rPr>
        <w:t>10.卫生健康（类）行政事业单位医疗（款）行政单位医疗（项）:</w:t>
      </w: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支出决算为5.8万元，完成预算69.24%，决算数小于预算数的主要原因是在职民警减少，相应减少了人员支出。</w:t>
      </w:r>
    </w:p>
    <w:p>
      <w:pPr>
        <w:spacing w:line="600" w:lineRule="exact"/>
        <w:ind w:firstLine="643" w:firstLineChars="200"/>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宋体" w:hAnsi="宋体" w:eastAsia="仿宋_GB2312" w:cs="Times New Roman"/>
          <w:b/>
          <w:bCs/>
          <w:color w:val="000000" w:themeColor="text1"/>
          <w:kern w:val="2"/>
          <w:sz w:val="32"/>
          <w:szCs w:val="32"/>
          <w:lang w:val="en-US" w:eastAsia="zh-CN" w:bidi="ar-SA"/>
          <w14:textFill>
            <w14:solidFill>
              <w14:schemeClr w14:val="tx1"/>
            </w14:solidFill>
          </w14:textFill>
        </w:rPr>
        <w:t>11.卫生健康（类）行政事业单位医疗（款）公务员医疗补助（项）:</w:t>
      </w: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支出决算为3.15万元，完成预算100%，决算数等于预算数。</w:t>
      </w:r>
    </w:p>
    <w:p>
      <w:pPr>
        <w:spacing w:line="600" w:lineRule="exact"/>
        <w:ind w:firstLine="643" w:firstLineChars="200"/>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宋体" w:hAnsi="宋体" w:eastAsia="仿宋_GB2312" w:cs="Times New Roman"/>
          <w:b/>
          <w:bCs/>
          <w:color w:val="000000" w:themeColor="text1"/>
          <w:kern w:val="2"/>
          <w:sz w:val="32"/>
          <w:szCs w:val="32"/>
          <w:lang w:val="en-US" w:eastAsia="zh-CN" w:bidi="ar-SA"/>
          <w14:textFill>
            <w14:solidFill>
              <w14:schemeClr w14:val="tx1"/>
            </w14:solidFill>
          </w14:textFill>
        </w:rPr>
        <w:t>12.住房保障支出（类）住房改革支出（款）住房公积金（项）：</w:t>
      </w: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支出决算为8.24万元，完成预算88.4%，决算数小于预算数的主要原因是在职民警减少，相应减少了人员支出。</w:t>
      </w:r>
      <w:bookmarkStart w:id="34" w:name="_Toc15396608"/>
      <w:bookmarkStart w:id="35" w:name="_Toc15377214"/>
    </w:p>
    <w:p>
      <w:pPr>
        <w:spacing w:line="600" w:lineRule="exact"/>
        <w:ind w:firstLine="643" w:firstLineChars="200"/>
        <w:rPr>
          <w:rFonts w:hint="eastAsia" w:ascii="宋体" w:hAnsi="宋体" w:eastAsia="仿宋_GB2312" w:cs="Times New Roman"/>
          <w:b/>
          <w:bCs/>
          <w:color w:val="000000" w:themeColor="text1"/>
          <w:kern w:val="2"/>
          <w:sz w:val="32"/>
          <w:szCs w:val="32"/>
          <w:lang w:val="en-US" w:eastAsia="zh-CN" w:bidi="ar-SA"/>
          <w14:textFill>
            <w14:solidFill>
              <w14:schemeClr w14:val="tx1"/>
            </w14:solidFill>
          </w14:textFill>
        </w:rPr>
      </w:pPr>
      <w:r>
        <w:rPr>
          <w:rFonts w:hint="eastAsia" w:ascii="宋体" w:hAnsi="宋体" w:eastAsia="仿宋_GB2312" w:cs="Times New Roman"/>
          <w:b/>
          <w:bCs/>
          <w:color w:val="000000" w:themeColor="text1"/>
          <w:kern w:val="2"/>
          <w:sz w:val="32"/>
          <w:szCs w:val="32"/>
          <w:lang w:val="en-US" w:eastAsia="zh-CN" w:bidi="ar-SA"/>
          <w14:textFill>
            <w14:solidFill>
              <w14:schemeClr w14:val="tx1"/>
            </w14:solidFill>
          </w14:textFill>
        </w:rPr>
        <w:t>六、一般公共预算财政拨款基本支出决算情况说明</w:t>
      </w:r>
      <w:bookmarkEnd w:id="34"/>
      <w:bookmarkEnd w:id="35"/>
      <w:r>
        <w:rPr>
          <w:rFonts w:hint="eastAsia" w:ascii="宋体" w:hAnsi="宋体" w:eastAsia="仿宋_GB2312" w:cs="Times New Roman"/>
          <w:b/>
          <w:bCs/>
          <w:color w:val="000000" w:themeColor="text1"/>
          <w:kern w:val="2"/>
          <w:sz w:val="32"/>
          <w:szCs w:val="32"/>
          <w:lang w:val="en-US" w:eastAsia="zh-CN" w:bidi="ar-SA"/>
          <w14:textFill>
            <w14:solidFill>
              <w14:schemeClr w14:val="tx1"/>
            </w14:solidFill>
          </w14:textFill>
        </w:rPr>
        <w:tab/>
      </w:r>
    </w:p>
    <w:p>
      <w:pPr>
        <w:spacing w:line="600" w:lineRule="exact"/>
        <w:ind w:firstLine="643" w:firstLineChars="200"/>
        <w:rPr>
          <w:rFonts w:hint="eastAsia" w:ascii="宋体" w:hAnsi="宋体" w:eastAsia="仿宋_GB2312" w:cs="Times New Roman"/>
          <w:b/>
          <w:bCs/>
          <w:color w:val="000000" w:themeColor="text1"/>
          <w:kern w:val="2"/>
          <w:sz w:val="32"/>
          <w:szCs w:val="32"/>
          <w:lang w:val="en-US" w:eastAsia="zh-CN" w:bidi="ar-SA"/>
          <w14:textFill>
            <w14:solidFill>
              <w14:schemeClr w14:val="tx1"/>
            </w14:solidFill>
          </w14:textFill>
        </w:rPr>
      </w:pPr>
      <w:r>
        <w:rPr>
          <w:rFonts w:hint="eastAsia" w:ascii="宋体" w:hAnsi="宋体" w:eastAsia="仿宋_GB2312" w:cs="Times New Roman"/>
          <w:b/>
          <w:bCs/>
          <w:color w:val="000000" w:themeColor="text1"/>
          <w:kern w:val="2"/>
          <w:sz w:val="32"/>
          <w:szCs w:val="32"/>
          <w:lang w:val="en-US" w:eastAsia="zh-CN" w:bidi="ar-SA"/>
          <w14:textFill>
            <w14:solidFill>
              <w14:schemeClr w14:val="tx1"/>
            </w14:solidFill>
          </w14:textFill>
        </w:rPr>
        <w:t>2021年一般公共预算财政拨款基本支出202.47万元，其中：</w:t>
      </w:r>
    </w:p>
    <w:p>
      <w:pPr>
        <w:spacing w:line="600" w:lineRule="exact"/>
        <w:ind w:firstLine="640" w:firstLineChars="200"/>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人员经费181.99万元，主要包括：基本工资、津贴补贴、奖金、机关事业单位基本养老保险缴费、职业年金缴费、职工基本医疗保险缴费、公务员医疗补助缴费、住房公积金、其他工资福利支出、抚恤金、生活补助、其他个人和家庭的补助支出等。</w:t>
      </w:r>
    </w:p>
    <w:p>
      <w:pPr>
        <w:spacing w:line="600" w:lineRule="exact"/>
        <w:ind w:firstLine="640" w:firstLineChars="200"/>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公用经费20.48万元，主要包括：办公费、邮电费、差旅费、培训费、工会经费、福利费、其他交通费、其他商品和服务支出等。</w:t>
      </w:r>
    </w:p>
    <w:p>
      <w:pPr>
        <w:spacing w:line="600" w:lineRule="exact"/>
        <w:ind w:firstLine="640"/>
        <w:outlineLvl w:val="1"/>
        <w:rPr>
          <w:rStyle w:val="26"/>
          <w:rFonts w:ascii="黑体" w:hAnsi="黑体" w:eastAsia="黑体"/>
          <w:b w:val="0"/>
          <w:color w:val="000000" w:themeColor="text1"/>
          <w:highlight w:val="none"/>
          <w14:textFill>
            <w14:solidFill>
              <w14:schemeClr w14:val="tx1"/>
            </w14:solidFill>
          </w14:textFill>
        </w:rPr>
      </w:pPr>
      <w:bookmarkStart w:id="36" w:name="_Toc15377215"/>
      <w:bookmarkStart w:id="37" w:name="_Toc15396609"/>
      <w:r>
        <w:rPr>
          <w:rFonts w:hint="eastAsia" w:ascii="黑体" w:eastAsia="黑体"/>
          <w:color w:val="000000" w:themeColor="text1"/>
          <w:sz w:val="32"/>
          <w:szCs w:val="32"/>
          <w:highlight w:val="none"/>
          <w14:textFill>
            <w14:solidFill>
              <w14:schemeClr w14:val="tx1"/>
            </w14:solidFill>
          </w14:textFill>
        </w:rPr>
        <w:t>七、</w:t>
      </w:r>
      <w:r>
        <w:rPr>
          <w:rStyle w:val="26"/>
          <w:rFonts w:hint="eastAsia" w:ascii="黑体" w:hAnsi="黑体" w:eastAsia="黑体"/>
          <w:color w:val="000000" w:themeColor="text1"/>
          <w:highlight w:val="none"/>
          <w14:textFill>
            <w14:solidFill>
              <w14:schemeClr w14:val="tx1"/>
            </w14:solidFill>
          </w14:textFill>
        </w:rPr>
        <w:t>“</w:t>
      </w:r>
      <w:r>
        <w:rPr>
          <w:rStyle w:val="26"/>
          <w:rFonts w:hint="eastAsia" w:ascii="黑体" w:hAnsi="黑体" w:eastAsia="黑体"/>
          <w:b w:val="0"/>
          <w:color w:val="000000" w:themeColor="text1"/>
          <w:highlight w:val="none"/>
          <w14:textFill>
            <w14:solidFill>
              <w14:schemeClr w14:val="tx1"/>
            </w14:solidFill>
          </w14:textFill>
        </w:rPr>
        <w:t>三公”经费财政拨款支出决算情况说明</w:t>
      </w:r>
      <w:bookmarkEnd w:id="36"/>
      <w:bookmarkEnd w:id="37"/>
    </w:p>
    <w:p>
      <w:pPr>
        <w:spacing w:line="600" w:lineRule="exact"/>
        <w:ind w:firstLine="640"/>
        <w:outlineLvl w:val="2"/>
        <w:rPr>
          <w:rFonts w:ascii="仿宋" w:hAnsi="仿宋" w:eastAsia="仿宋"/>
          <w:b/>
          <w:color w:val="000000" w:themeColor="text1"/>
          <w:sz w:val="32"/>
          <w:szCs w:val="32"/>
          <w:highlight w:val="none"/>
          <w14:textFill>
            <w14:solidFill>
              <w14:schemeClr w14:val="tx1"/>
            </w14:solidFill>
          </w14:textFill>
        </w:rPr>
      </w:pPr>
      <w:bookmarkStart w:id="38" w:name="_Toc15377216"/>
      <w:r>
        <w:rPr>
          <w:rFonts w:hint="eastAsia" w:ascii="仿宋" w:hAnsi="仿宋" w:eastAsia="仿宋"/>
          <w:b/>
          <w:color w:val="000000" w:themeColor="text1"/>
          <w:sz w:val="32"/>
          <w:szCs w:val="32"/>
          <w:highlight w:val="none"/>
          <w14:textFill>
            <w14:solidFill>
              <w14:schemeClr w14:val="tx1"/>
            </w14:solidFill>
          </w14:textFill>
        </w:rPr>
        <w:t>（一）“三公”经费财政拨款支出决算总体情况说明</w:t>
      </w:r>
      <w:bookmarkEnd w:id="38"/>
    </w:p>
    <w:p>
      <w:pPr>
        <w:pStyle w:val="2"/>
        <w:spacing w:before="93" w:line="600" w:lineRule="exact"/>
        <w:ind w:firstLine="640" w:firstLineChars="200"/>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2021年“三公”经费财政拨款支出决算为2.94万元，完成预算98%，决算数小于预算数的主要原因是严格控制公务接待费支出。</w:t>
      </w:r>
    </w:p>
    <w:p>
      <w:pPr>
        <w:spacing w:line="600" w:lineRule="exact"/>
        <w:ind w:firstLine="640"/>
        <w:outlineLvl w:val="2"/>
        <w:rPr>
          <w:rFonts w:ascii="仿宋" w:hAnsi="仿宋" w:eastAsia="仿宋"/>
          <w:b/>
          <w:color w:val="000000" w:themeColor="text1"/>
          <w:sz w:val="32"/>
          <w:szCs w:val="32"/>
          <w:highlight w:val="none"/>
          <w14:textFill>
            <w14:solidFill>
              <w14:schemeClr w14:val="tx1"/>
            </w14:solidFill>
          </w14:textFill>
        </w:rPr>
      </w:pPr>
      <w:bookmarkStart w:id="39" w:name="_Toc15377217"/>
      <w:r>
        <w:rPr>
          <w:rFonts w:hint="eastAsia" w:ascii="仿宋" w:hAnsi="仿宋" w:eastAsia="仿宋"/>
          <w:b/>
          <w:color w:val="000000" w:themeColor="text1"/>
          <w:sz w:val="32"/>
          <w:szCs w:val="32"/>
          <w:highlight w:val="none"/>
          <w14:textFill>
            <w14:solidFill>
              <w14:schemeClr w14:val="tx1"/>
            </w14:solidFill>
          </w14:textFill>
        </w:rPr>
        <w:t>（二）“三公”经费财政拨款支出决算具体情况说明</w:t>
      </w:r>
      <w:bookmarkEnd w:id="39"/>
    </w:p>
    <w:p>
      <w:pPr>
        <w:pStyle w:val="2"/>
        <w:spacing w:before="93" w:line="600" w:lineRule="exact"/>
        <w:ind w:firstLine="640" w:firstLineChars="200"/>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2021年“三公”经费财政拨款支出决算中，因公出国（境）费支出决算0万元，占0%；公务用车购置及运行维护费支出决算2万元，占68.03%；公务接待费支出决算0.94万元，占31.97%。具体情况如下：</w:t>
      </w:r>
    </w:p>
    <w:p>
      <w:pPr>
        <w:pStyle w:val="2"/>
        <w:rPr>
          <w:rFonts w:hint="eastAsia" w:ascii="仿宋" w:hAnsi="仿宋" w:eastAsia="仿宋"/>
          <w:color w:val="000000" w:themeColor="text1"/>
          <w:sz w:val="32"/>
          <w:szCs w:val="32"/>
          <w:highlight w:val="none"/>
          <w14:textFill>
            <w14:solidFill>
              <w14:schemeClr w14:val="tx1"/>
            </w14:solidFill>
          </w14:textFill>
        </w:rPr>
      </w:pPr>
    </w:p>
    <w:p>
      <w:pPr>
        <w:pStyle w:val="2"/>
        <w:rPr>
          <w:rFonts w:hint="eastAsia" w:ascii="仿宋" w:hAnsi="仿宋" w:eastAsia="仿宋"/>
          <w:color w:val="000000" w:themeColor="text1"/>
          <w:sz w:val="32"/>
          <w:szCs w:val="32"/>
          <w:highlight w:val="none"/>
          <w14:textFill>
            <w14:solidFill>
              <w14:schemeClr w14:val="tx1"/>
            </w14:solidFill>
          </w14:textFill>
        </w:rPr>
      </w:pPr>
    </w:p>
    <w:p>
      <w:pPr>
        <w:pStyle w:val="2"/>
        <w:rPr>
          <w:rFonts w:hint="eastAsia" w:ascii="仿宋" w:hAnsi="仿宋" w:eastAsia="仿宋"/>
          <w:color w:val="000000" w:themeColor="text1"/>
          <w:sz w:val="32"/>
          <w:szCs w:val="32"/>
          <w:highlight w:val="none"/>
          <w14:textFill>
            <w14:solidFill>
              <w14:schemeClr w14:val="tx1"/>
            </w14:solidFill>
          </w14:textFill>
        </w:rPr>
      </w:pPr>
    </w:p>
    <w:p>
      <w:pPr>
        <w:pStyle w:val="2"/>
        <w:rPr>
          <w:rFonts w:hint="eastAsia" w:ascii="仿宋" w:hAnsi="仿宋" w:eastAsia="仿宋"/>
          <w:color w:val="000000" w:themeColor="text1"/>
          <w:sz w:val="32"/>
          <w:szCs w:val="32"/>
          <w:highlight w:val="none"/>
          <w14:textFill>
            <w14:solidFill>
              <w14:schemeClr w14:val="tx1"/>
            </w14:solidFill>
          </w14:textFill>
        </w:rPr>
      </w:pPr>
    </w:p>
    <w:p>
      <w:pPr>
        <w:pStyle w:val="2"/>
        <w:rPr>
          <w:rFonts w:hint="eastAsia" w:ascii="仿宋" w:hAnsi="仿宋" w:eastAsia="仿宋"/>
          <w:color w:val="000000" w:themeColor="text1"/>
          <w:sz w:val="32"/>
          <w:szCs w:val="32"/>
          <w:highlight w:val="none"/>
          <w14:textFill>
            <w14:solidFill>
              <w14:schemeClr w14:val="tx1"/>
            </w14:solidFill>
          </w14:textFill>
        </w:rPr>
      </w:pPr>
    </w:p>
    <w:p>
      <w:pPr>
        <w:spacing w:line="600" w:lineRule="exact"/>
        <w:ind w:firstLine="640"/>
        <w:jc w:val="cente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（图7：“三公”经费财政拨款支出结构）</w:t>
      </w:r>
    </w:p>
    <w:p>
      <w:pPr>
        <w:spacing w:line="240" w:lineRule="auto"/>
        <w:ind w:firstLine="0"/>
        <w:rPr>
          <w:rFonts w:ascii="仿宋_GB2312" w:eastAsia="仿宋_GB2312"/>
          <w:b/>
          <w:color w:val="000000" w:themeColor="text1"/>
          <w:sz w:val="32"/>
          <w:szCs w:val="32"/>
          <w:highlight w:val="none"/>
          <w14:textFill>
            <w14:solidFill>
              <w14:schemeClr w14:val="tx1"/>
            </w14:solidFill>
          </w14:textFill>
        </w:rPr>
      </w:pPr>
      <w:r>
        <w:rPr>
          <w:color w:val="000000" w:themeColor="text1"/>
          <w14:textFill>
            <w14:solidFill>
              <w14:schemeClr w14:val="tx1"/>
            </w14:solidFill>
          </w14:textFill>
        </w:rPr>
        <w:drawing>
          <wp:inline distT="0" distB="0" distL="114300" distR="114300">
            <wp:extent cx="5200650" cy="2181225"/>
            <wp:effectExtent l="4445" t="4445" r="14605" b="5080"/>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color w:val="000000" w:themeColor="text1"/>
          <w:sz w:val="32"/>
          <w:szCs w:val="32"/>
          <w:lang w:val="en-US" w:eastAsia="zh-CN"/>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因公出国（境）经费支出</w:t>
      </w:r>
      <w:r>
        <w:rPr>
          <w:rFonts w:hint="eastAsia" w:ascii="仿宋_GB2312" w:eastAsia="仿宋_GB2312"/>
          <w:b w:val="0"/>
          <w:bCs/>
          <w:color w:val="000000" w:themeColor="text1"/>
          <w:sz w:val="32"/>
          <w:szCs w:val="32"/>
          <w:lang w:val="en-US" w:eastAsia="zh-CN"/>
          <w14:textFill>
            <w14:solidFill>
              <w14:schemeClr w14:val="tx1"/>
            </w14:solidFill>
          </w14:textFill>
        </w:rPr>
        <w:t>0万元，完成预算的100%</w:t>
      </w:r>
      <w:r>
        <w:rPr>
          <w:rFonts w:hint="eastAsia" w:ascii="仿宋_GB2312" w:eastAsia="仿宋_GB2312"/>
          <w:b w:val="0"/>
          <w:bCs/>
          <w:color w:val="000000" w:themeColor="text1"/>
          <w:sz w:val="32"/>
          <w:szCs w:val="32"/>
          <w14:textFill>
            <w14:solidFill>
              <w14:schemeClr w14:val="tx1"/>
            </w14:solidFill>
          </w14:textFill>
        </w:rPr>
        <w:t>。</w:t>
      </w:r>
      <w:r>
        <w:rPr>
          <w:rFonts w:hint="eastAsia" w:ascii="仿宋_GB2312" w:eastAsia="仿宋_GB2312"/>
          <w:b w:val="0"/>
          <w:bCs/>
          <w:color w:val="000000" w:themeColor="text1"/>
          <w:sz w:val="32"/>
          <w:szCs w:val="32"/>
          <w:lang w:eastAsia="zh-CN"/>
          <w14:textFill>
            <w14:solidFill>
              <w14:schemeClr w14:val="tx1"/>
            </w14:solidFill>
          </w14:textFill>
        </w:rPr>
        <w:t>全年安排因公出国（境）团组</w:t>
      </w:r>
      <w:r>
        <w:rPr>
          <w:rFonts w:hint="eastAsia" w:ascii="仿宋_GB2312" w:eastAsia="仿宋_GB2312"/>
          <w:b w:val="0"/>
          <w:bCs/>
          <w:color w:val="000000" w:themeColor="text1"/>
          <w:sz w:val="32"/>
          <w:szCs w:val="32"/>
          <w:lang w:val="en-US" w:eastAsia="zh-CN"/>
          <w14:textFill>
            <w14:solidFill>
              <w14:schemeClr w14:val="tx1"/>
            </w14:solidFill>
          </w14:textFill>
        </w:rPr>
        <w:t>0次，出国（境）0人，因公出国（境）支出决算与2020年持平。主要原因是厉行节约。</w:t>
      </w:r>
      <w:r>
        <w:rPr>
          <w:rFonts w:hint="eastAsia" w:ascii="仿宋_GB2312" w:eastAsia="仿宋_GB2312"/>
          <w:b/>
          <w:color w:val="000000" w:themeColor="text1"/>
          <w:sz w:val="32"/>
          <w:szCs w:val="32"/>
          <w:lang w:val="en-US" w:eastAsia="zh-CN"/>
          <w14:textFill>
            <w14:solidFill>
              <w14:schemeClr w14:val="tx1"/>
            </w14:solidFill>
          </w14:textFill>
        </w:rPr>
        <w:t xml:space="preserve">    </w:t>
      </w:r>
    </w:p>
    <w:p>
      <w:pPr>
        <w:spacing w:line="60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开支内容无。</w:t>
      </w:r>
    </w:p>
    <w:p>
      <w:pPr>
        <w:spacing w:line="600" w:lineRule="exact"/>
        <w:ind w:firstLine="640"/>
        <w:rPr>
          <w:rFonts w:hint="eastAsia" w:ascii="仿宋_GB2312" w:eastAsia="仿宋_GB2312"/>
          <w:b/>
          <w:color w:val="000000" w:themeColor="text1"/>
          <w:sz w:val="32"/>
          <w:szCs w:val="32"/>
          <w:highlight w:val="none"/>
          <w:lang w:eastAsia="zh-CN"/>
          <w14:textFill>
            <w14:solidFill>
              <w14:schemeClr w14:val="tx1"/>
            </w14:solidFill>
          </w14:textFill>
        </w:rPr>
      </w:pPr>
      <w:r>
        <w:rPr>
          <w:rFonts w:ascii="仿宋_GB2312" w:eastAsia="仿宋_GB2312"/>
          <w:b/>
          <w:color w:val="000000" w:themeColor="text1"/>
          <w:sz w:val="32"/>
          <w:szCs w:val="32"/>
          <w:highlight w:val="none"/>
          <w14:textFill>
            <w14:solidFill>
              <w14:schemeClr w14:val="tx1"/>
            </w14:solidFill>
          </w14:textFill>
        </w:rPr>
        <w:t>2.</w:t>
      </w:r>
      <w:r>
        <w:rPr>
          <w:rFonts w:hint="eastAsia" w:ascii="仿宋_GB2312" w:eastAsia="仿宋_GB2312"/>
          <w:b/>
          <w:color w:val="000000" w:themeColor="text1"/>
          <w:sz w:val="32"/>
          <w:szCs w:val="32"/>
          <w:highlight w:val="none"/>
          <w14:textFill>
            <w14:solidFill>
              <w14:schemeClr w14:val="tx1"/>
            </w14:solidFill>
          </w14:textFill>
        </w:rPr>
        <w:t>公务用车购置及运行维护费支出</w:t>
      </w:r>
      <w:r>
        <w:rPr>
          <w:rFonts w:hint="eastAsia" w:ascii="仿宋_GB2312" w:eastAsia="仿宋_GB2312"/>
          <w:color w:val="000000" w:themeColor="text1"/>
          <w:sz w:val="32"/>
          <w:szCs w:val="32"/>
          <w:highlight w:val="none"/>
          <w:lang w:val="en-US" w:eastAsia="zh-CN"/>
          <w14:textFill>
            <w14:solidFill>
              <w14:schemeClr w14:val="tx1"/>
            </w14:solidFill>
          </w14:textFill>
        </w:rPr>
        <w:t>2</w:t>
      </w:r>
      <w:r>
        <w:rPr>
          <w:rFonts w:hint="eastAsia" w:ascii="仿宋_GB2312" w:eastAsia="仿宋_GB2312"/>
          <w:color w:val="000000" w:themeColor="text1"/>
          <w:sz w:val="32"/>
          <w:szCs w:val="32"/>
          <w:highlight w:val="none"/>
          <w14:textFill>
            <w14:solidFill>
              <w14:schemeClr w14:val="tx1"/>
            </w14:solidFill>
          </w14:textFill>
        </w:rPr>
        <w:t>万元,</w:t>
      </w:r>
      <w:r>
        <w:rPr>
          <w:rStyle w:val="15"/>
          <w:rFonts w:hint="eastAsia" w:ascii="仿宋" w:hAnsi="仿宋" w:eastAsia="仿宋"/>
          <w:b w:val="0"/>
          <w:bCs/>
          <w:color w:val="000000" w:themeColor="text1"/>
          <w:sz w:val="32"/>
          <w:szCs w:val="32"/>
          <w:highlight w:val="none"/>
          <w14:textFill>
            <w14:solidFill>
              <w14:schemeClr w14:val="tx1"/>
            </w14:solidFill>
          </w14:textFill>
        </w:rPr>
        <w:t>完成预算</w:t>
      </w:r>
      <w:r>
        <w:rPr>
          <w:rStyle w:val="15"/>
          <w:rFonts w:hint="eastAsia" w:ascii="仿宋" w:hAnsi="仿宋" w:eastAsia="仿宋"/>
          <w:b w:val="0"/>
          <w:bCs/>
          <w:color w:val="000000" w:themeColor="text1"/>
          <w:sz w:val="32"/>
          <w:szCs w:val="32"/>
          <w:highlight w:val="none"/>
          <w:lang w:val="en-US" w:eastAsia="zh-CN"/>
          <w14:textFill>
            <w14:solidFill>
              <w14:schemeClr w14:val="tx1"/>
            </w14:solidFill>
          </w14:textFill>
        </w:rPr>
        <w:t>100</w:t>
      </w:r>
      <w:r>
        <w:rPr>
          <w:rStyle w:val="15"/>
          <w:rFonts w:ascii="仿宋" w:hAnsi="仿宋" w:eastAsia="仿宋"/>
          <w:b w:val="0"/>
          <w:bCs/>
          <w:color w:val="000000" w:themeColor="text1"/>
          <w:sz w:val="32"/>
          <w:szCs w:val="32"/>
          <w:highlight w:val="none"/>
          <w14:textFill>
            <w14:solidFill>
              <w14:schemeClr w14:val="tx1"/>
            </w14:solidFill>
          </w14:textFill>
        </w:rPr>
        <w:t>%</w:t>
      </w:r>
      <w:r>
        <w:rPr>
          <w:rStyle w:val="15"/>
          <w:rFonts w:hint="eastAsia" w:ascii="仿宋" w:hAnsi="仿宋" w:eastAsia="仿宋"/>
          <w:b w:val="0"/>
          <w:bCs/>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公务用车购置及运行维护费支出决算</w:t>
      </w:r>
      <w:r>
        <w:rPr>
          <w:rFonts w:hint="eastAsia" w:ascii="仿宋_GB2312" w:eastAsia="仿宋_GB2312"/>
          <w:color w:val="000000" w:themeColor="text1"/>
          <w:sz w:val="32"/>
          <w:szCs w:val="32"/>
          <w:highlight w:val="none"/>
          <w:lang w:eastAsia="zh-CN"/>
          <w14:textFill>
            <w14:solidFill>
              <w14:schemeClr w14:val="tx1"/>
            </w14:solidFill>
          </w14:textFill>
        </w:rPr>
        <w:t>与</w:t>
      </w:r>
      <w:r>
        <w:rPr>
          <w:rFonts w:ascii="仿宋_GB2312" w:eastAsia="仿宋_GB2312"/>
          <w:color w:val="000000" w:themeColor="text1"/>
          <w:sz w:val="32"/>
          <w:szCs w:val="32"/>
          <w:highlight w:val="none"/>
          <w14:textFill>
            <w14:solidFill>
              <w14:schemeClr w14:val="tx1"/>
            </w14:solidFill>
          </w14:textFill>
        </w:rPr>
        <w:t>20</w:t>
      </w:r>
      <w:r>
        <w:rPr>
          <w:rFonts w:hint="eastAsia" w:ascii="仿宋_GB2312" w:eastAsia="仿宋_GB2312"/>
          <w:color w:val="000000" w:themeColor="text1"/>
          <w:sz w:val="32"/>
          <w:szCs w:val="32"/>
          <w:highlight w:val="none"/>
          <w:lang w:val="en-US" w:eastAsia="zh-CN"/>
          <w14:textFill>
            <w14:solidFill>
              <w14:schemeClr w14:val="tx1"/>
            </w14:solidFill>
          </w14:textFill>
        </w:rPr>
        <w:t>20</w:t>
      </w:r>
      <w:r>
        <w:rPr>
          <w:rFonts w:hint="eastAsia" w:ascii="仿宋_GB2312" w:eastAsia="仿宋_GB2312"/>
          <w:color w:val="000000" w:themeColor="text1"/>
          <w:sz w:val="32"/>
          <w:szCs w:val="32"/>
          <w:highlight w:val="none"/>
          <w14:textFill>
            <w14:solidFill>
              <w14:schemeClr w14:val="tx1"/>
            </w14:solidFill>
          </w14:textFill>
        </w:rPr>
        <w:t>年</w:t>
      </w:r>
      <w:r>
        <w:rPr>
          <w:rFonts w:hint="eastAsia" w:ascii="仿宋_GB2312" w:eastAsia="仿宋_GB2312"/>
          <w:color w:val="000000" w:themeColor="text1"/>
          <w:sz w:val="32"/>
          <w:szCs w:val="32"/>
          <w:highlight w:val="none"/>
          <w:lang w:eastAsia="zh-CN"/>
          <w14:textFill>
            <w14:solidFill>
              <w14:schemeClr w14:val="tx1"/>
            </w14:solidFill>
          </w14:textFill>
        </w:rPr>
        <w:t>持平。</w:t>
      </w:r>
    </w:p>
    <w:p>
      <w:pPr>
        <w:spacing w:line="600" w:lineRule="exact"/>
        <w:ind w:firstLine="640" w:firstLineChars="200"/>
        <w:rPr>
          <w:rFonts w:ascii="仿宋_GB2312" w:eastAsia="仿宋_GB2312"/>
          <w:b/>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其中：</w:t>
      </w:r>
      <w:r>
        <w:rPr>
          <w:rFonts w:hint="eastAsia" w:ascii="仿宋_GB2312" w:eastAsia="仿宋_GB2312"/>
          <w:b/>
          <w:color w:val="000000" w:themeColor="text1"/>
          <w:sz w:val="32"/>
          <w:szCs w:val="32"/>
          <w:highlight w:val="none"/>
          <w14:textFill>
            <w14:solidFill>
              <w14:schemeClr w14:val="tx1"/>
            </w14:solidFill>
          </w14:textFill>
        </w:rPr>
        <w:t>公务用车购置支出</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万元。全年按规定更新购置公务用车</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辆。截至</w:t>
      </w:r>
      <w:r>
        <w:rPr>
          <w:rFonts w:ascii="仿宋_GB2312" w:eastAsia="仿宋_GB2312"/>
          <w:color w:val="000000" w:themeColor="text1"/>
          <w:sz w:val="32"/>
          <w:szCs w:val="32"/>
          <w:highlight w:val="none"/>
          <w14:textFill>
            <w14:solidFill>
              <w14:schemeClr w14:val="tx1"/>
            </w14:solidFill>
          </w14:textFill>
        </w:rPr>
        <w:t>20</w:t>
      </w:r>
      <w:r>
        <w:rPr>
          <w:rFonts w:hint="eastAsia" w:ascii="仿宋_GB2312" w:eastAsia="仿宋_GB2312"/>
          <w:color w:val="000000" w:themeColor="text1"/>
          <w:sz w:val="32"/>
          <w:szCs w:val="32"/>
          <w:highlight w:val="none"/>
          <w:lang w:val="en-US" w:eastAsia="zh-CN"/>
          <w14:textFill>
            <w14:solidFill>
              <w14:schemeClr w14:val="tx1"/>
            </w14:solidFill>
          </w14:textFill>
        </w:rPr>
        <w:t>21</w:t>
      </w:r>
      <w:r>
        <w:rPr>
          <w:rFonts w:hint="eastAsia" w:ascii="仿宋_GB2312" w:eastAsia="仿宋_GB2312"/>
          <w:color w:val="000000" w:themeColor="text1"/>
          <w:sz w:val="32"/>
          <w:szCs w:val="32"/>
          <w:highlight w:val="none"/>
          <w14:textFill>
            <w14:solidFill>
              <w14:schemeClr w14:val="tx1"/>
            </w14:solidFill>
          </w14:textFill>
        </w:rPr>
        <w:t>年</w:t>
      </w:r>
      <w:r>
        <w:rPr>
          <w:rFonts w:ascii="仿宋_GB2312" w:eastAsia="仿宋_GB2312"/>
          <w:color w:val="000000" w:themeColor="text1"/>
          <w:sz w:val="32"/>
          <w:szCs w:val="32"/>
          <w:highlight w:val="none"/>
          <w14:textFill>
            <w14:solidFill>
              <w14:schemeClr w14:val="tx1"/>
            </w14:solidFill>
          </w14:textFill>
        </w:rPr>
        <w:t>12</w:t>
      </w:r>
      <w:r>
        <w:rPr>
          <w:rFonts w:hint="eastAsia" w:ascii="仿宋_GB2312" w:eastAsia="仿宋_GB2312"/>
          <w:color w:val="000000" w:themeColor="text1"/>
          <w:sz w:val="32"/>
          <w:szCs w:val="32"/>
          <w:highlight w:val="none"/>
          <w14:textFill>
            <w14:solidFill>
              <w14:schemeClr w14:val="tx1"/>
            </w14:solidFill>
          </w14:textFill>
        </w:rPr>
        <w:t>月底，单位共有公务用车</w:t>
      </w:r>
      <w:r>
        <w:rPr>
          <w:rFonts w:hint="eastAsia" w:ascii="仿宋_GB2312" w:eastAsia="仿宋_GB2312"/>
          <w:color w:val="000000" w:themeColor="text1"/>
          <w:sz w:val="32"/>
          <w:szCs w:val="32"/>
          <w:highlight w:val="none"/>
          <w:lang w:val="en-US" w:eastAsia="zh-CN"/>
          <w14:textFill>
            <w14:solidFill>
              <w14:schemeClr w14:val="tx1"/>
            </w14:solidFill>
          </w14:textFill>
        </w:rPr>
        <w:t>1</w:t>
      </w:r>
      <w:r>
        <w:rPr>
          <w:rFonts w:hint="eastAsia" w:ascii="仿宋_GB2312" w:eastAsia="仿宋_GB2312"/>
          <w:color w:val="000000" w:themeColor="text1"/>
          <w:sz w:val="32"/>
          <w:szCs w:val="32"/>
          <w:highlight w:val="none"/>
          <w14:textFill>
            <w14:solidFill>
              <w14:schemeClr w14:val="tx1"/>
            </w14:solidFill>
          </w14:textFill>
        </w:rPr>
        <w:t>辆，其中：轿车</w:t>
      </w:r>
      <w:r>
        <w:rPr>
          <w:rFonts w:hint="eastAsia" w:ascii="仿宋_GB2312" w:eastAsia="仿宋_GB2312"/>
          <w:color w:val="000000" w:themeColor="text1"/>
          <w:sz w:val="32"/>
          <w:szCs w:val="32"/>
          <w:highlight w:val="none"/>
          <w:lang w:val="en-US" w:eastAsia="zh-CN"/>
          <w14:textFill>
            <w14:solidFill>
              <w14:schemeClr w14:val="tx1"/>
            </w14:solidFill>
          </w14:textFill>
        </w:rPr>
        <w:t>1</w:t>
      </w:r>
      <w:r>
        <w:rPr>
          <w:rFonts w:hint="eastAsia" w:ascii="仿宋_GB2312" w:eastAsia="仿宋_GB2312"/>
          <w:color w:val="000000" w:themeColor="text1"/>
          <w:sz w:val="32"/>
          <w:szCs w:val="32"/>
          <w:highlight w:val="none"/>
          <w14:textFill>
            <w14:solidFill>
              <w14:schemeClr w14:val="tx1"/>
            </w14:solidFill>
          </w14:textFill>
        </w:rPr>
        <w:t>辆、越野车</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辆、载客汽车</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辆。</w:t>
      </w:r>
    </w:p>
    <w:p>
      <w:pPr>
        <w:spacing w:line="60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highlight w:val="none"/>
          <w14:textFill>
            <w14:solidFill>
              <w14:schemeClr w14:val="tx1"/>
            </w14:solidFill>
          </w14:textFill>
        </w:rPr>
        <w:t>公务用车运行维护费支出</w:t>
      </w:r>
      <w:r>
        <w:rPr>
          <w:rFonts w:hint="eastAsia" w:ascii="仿宋_GB2312" w:eastAsia="仿宋_GB2312"/>
          <w:color w:val="000000" w:themeColor="text1"/>
          <w:sz w:val="32"/>
          <w:szCs w:val="32"/>
          <w:highlight w:val="none"/>
          <w:lang w:val="en-US" w:eastAsia="zh-CN"/>
          <w14:textFill>
            <w14:solidFill>
              <w14:schemeClr w14:val="tx1"/>
            </w14:solidFill>
          </w14:textFill>
        </w:rPr>
        <w:t>2</w:t>
      </w:r>
      <w:r>
        <w:rPr>
          <w:rFonts w:hint="eastAsia" w:ascii="仿宋_GB2312" w:eastAsia="仿宋_GB2312"/>
          <w:color w:val="000000" w:themeColor="text1"/>
          <w:sz w:val="32"/>
          <w:szCs w:val="32"/>
          <w:highlight w:val="none"/>
          <w14:textFill>
            <w14:solidFill>
              <w14:schemeClr w14:val="tx1"/>
            </w14:solidFill>
          </w14:textFill>
        </w:rPr>
        <w:t>万元。主要用于</w:t>
      </w:r>
      <w:r>
        <w:rPr>
          <w:rFonts w:hint="eastAsia" w:ascii="仿宋_GB2312" w:eastAsia="仿宋_GB2312"/>
          <w:color w:val="000000" w:themeColor="text1"/>
          <w:sz w:val="32"/>
          <w:szCs w:val="32"/>
          <w14:textFill>
            <w14:solidFill>
              <w14:schemeClr w14:val="tx1"/>
            </w14:solidFill>
          </w14:textFill>
        </w:rPr>
        <w:t>执行公务所需的公务用车燃料费、维修费、过路过桥费、保险费等支出。</w:t>
      </w:r>
    </w:p>
    <w:p>
      <w:pPr>
        <w:spacing w:line="600" w:lineRule="exact"/>
        <w:ind w:firstLine="64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b/>
          <w:bCs/>
          <w:color w:val="000000" w:themeColor="text1"/>
          <w:sz w:val="32"/>
          <w:szCs w:val="32"/>
          <w14:textFill>
            <w14:solidFill>
              <w14:schemeClr w14:val="tx1"/>
            </w14:solidFill>
          </w14:textFill>
        </w:rPr>
        <w:t>3.公务接待费支出</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0.94</w:t>
      </w:r>
      <w:r>
        <w:rPr>
          <w:rFonts w:hint="eastAsia" w:ascii="仿宋_GB2312" w:hAnsi="Times New Roman" w:eastAsia="仿宋_GB2312" w:cs="Times New Roman"/>
          <w:color w:val="000000" w:themeColor="text1"/>
          <w:sz w:val="32"/>
          <w:szCs w:val="32"/>
          <w14:textFill>
            <w14:solidFill>
              <w14:schemeClr w14:val="tx1"/>
            </w14:solidFill>
          </w14:textFill>
        </w:rPr>
        <w:t>万元，完成预算</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94</w:t>
      </w:r>
      <w:r>
        <w:rPr>
          <w:rFonts w:hint="eastAsia" w:ascii="仿宋_GB2312" w:hAnsi="Times New Roman" w:eastAsia="仿宋_GB2312" w:cs="Times New Roman"/>
          <w:color w:val="000000" w:themeColor="text1"/>
          <w:sz w:val="32"/>
          <w:szCs w:val="32"/>
          <w14:textFill>
            <w14:solidFill>
              <w14:schemeClr w14:val="tx1"/>
            </w14:solidFill>
          </w14:textFill>
        </w:rPr>
        <w:t>%。公务接待费支出决算比20</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20</w:t>
      </w:r>
      <w:r>
        <w:rPr>
          <w:rFonts w:hint="eastAsia" w:ascii="仿宋_GB2312" w:hAnsi="Times New Roman" w:eastAsia="仿宋_GB2312" w:cs="Times New Roman"/>
          <w:color w:val="000000" w:themeColor="text1"/>
          <w:sz w:val="32"/>
          <w:szCs w:val="32"/>
          <w14:textFill>
            <w14:solidFill>
              <w14:schemeClr w14:val="tx1"/>
            </w14:solidFill>
          </w14:textFill>
        </w:rPr>
        <w:t>年增加</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0.26</w:t>
      </w:r>
      <w:r>
        <w:rPr>
          <w:rFonts w:hint="eastAsia" w:ascii="仿宋_GB2312" w:hAnsi="Times New Roman" w:eastAsia="仿宋_GB2312" w:cs="Times New Roman"/>
          <w:color w:val="000000" w:themeColor="text1"/>
          <w:sz w:val="32"/>
          <w:szCs w:val="32"/>
          <w14:textFill>
            <w14:solidFill>
              <w14:schemeClr w14:val="tx1"/>
            </w14:solidFill>
          </w14:textFill>
        </w:rPr>
        <w:t>万元，增长</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38</w:t>
      </w:r>
      <w:r>
        <w:rPr>
          <w:rFonts w:hint="eastAsia" w:ascii="仿宋_GB2312" w:hAnsi="Times New Roman" w:eastAsia="仿宋_GB2312" w:cs="Times New Roman"/>
          <w:color w:val="000000" w:themeColor="text1"/>
          <w:sz w:val="32"/>
          <w:szCs w:val="32"/>
          <w14:textFill>
            <w14:solidFill>
              <w14:schemeClr w14:val="tx1"/>
            </w14:solidFill>
          </w14:textFill>
        </w:rPr>
        <w:t>%。主要原因是监狱与地方政法部门办理业务协作</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增加</w:t>
      </w:r>
      <w:r>
        <w:rPr>
          <w:rFonts w:hint="eastAsia" w:ascii="仿宋_GB2312" w:hAnsi="Times New Roman" w:eastAsia="仿宋_GB2312" w:cs="Times New Roman"/>
          <w:color w:val="000000" w:themeColor="text1"/>
          <w:sz w:val="32"/>
          <w:szCs w:val="32"/>
          <w14:textFill>
            <w14:solidFill>
              <w14:schemeClr w14:val="tx1"/>
            </w14:solidFill>
          </w14:textFill>
        </w:rPr>
        <w:t>。其中：</w:t>
      </w:r>
    </w:p>
    <w:p>
      <w:pPr>
        <w:spacing w:line="600" w:lineRule="exact"/>
        <w:ind w:firstLine="640"/>
        <w:rPr>
          <w:rFonts w:hint="eastAsia" w:ascii="仿宋_GB2312"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仿宋_GB2312" w:hAnsi="Times New Roman" w:eastAsia="仿宋_GB2312" w:cs="Times New Roman"/>
          <w:b/>
          <w:bCs/>
          <w:color w:val="000000" w:themeColor="text1"/>
          <w:sz w:val="32"/>
          <w:szCs w:val="32"/>
          <w14:textFill>
            <w14:solidFill>
              <w14:schemeClr w14:val="tx1"/>
            </w14:solidFill>
          </w14:textFill>
        </w:rPr>
        <w:t>国内公务接待支出</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0.94</w:t>
      </w:r>
      <w:r>
        <w:rPr>
          <w:rFonts w:hint="eastAsia" w:ascii="仿宋_GB2312" w:hAnsi="Times New Roman" w:eastAsia="仿宋_GB2312" w:cs="Times New Roman"/>
          <w:color w:val="000000" w:themeColor="text1"/>
          <w:sz w:val="32"/>
          <w:szCs w:val="32"/>
          <w14:textFill>
            <w14:solidFill>
              <w14:schemeClr w14:val="tx1"/>
            </w14:solidFill>
          </w14:textFill>
        </w:rPr>
        <w:t>万元，主要用于执行公务、开展业务活动开支的用餐费等。国内公务接待</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5</w:t>
      </w:r>
      <w:r>
        <w:rPr>
          <w:rFonts w:hint="eastAsia" w:ascii="仿宋_GB2312" w:hAnsi="Times New Roman" w:eastAsia="仿宋_GB2312" w:cs="Times New Roman"/>
          <w:color w:val="000000" w:themeColor="text1"/>
          <w:sz w:val="32"/>
          <w:szCs w:val="32"/>
          <w14:textFill>
            <w14:solidFill>
              <w14:schemeClr w14:val="tx1"/>
            </w14:solidFill>
          </w14:textFill>
        </w:rPr>
        <w:t>批次，</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114</w:t>
      </w:r>
      <w:r>
        <w:rPr>
          <w:rFonts w:hint="eastAsia" w:ascii="仿宋_GB2312" w:hAnsi="Times New Roman" w:eastAsia="仿宋_GB2312" w:cs="Times New Roman"/>
          <w:color w:val="000000" w:themeColor="text1"/>
          <w:sz w:val="32"/>
          <w:szCs w:val="32"/>
          <w14:textFill>
            <w14:solidFill>
              <w14:schemeClr w14:val="tx1"/>
            </w14:solidFill>
          </w14:textFill>
        </w:rPr>
        <w:t>人</w:t>
      </w:r>
      <w:r>
        <w:rPr>
          <w:rFonts w:hint="eastAsia" w:ascii="仿宋_GB2312" w:eastAsia="仿宋_GB2312"/>
          <w:color w:val="000000" w:themeColor="text1"/>
          <w:sz w:val="32"/>
          <w:szCs w:val="32"/>
          <w:highlight w:val="none"/>
          <w14:textFill>
            <w14:solidFill>
              <w14:schemeClr w14:val="tx1"/>
            </w14:solidFill>
          </w14:textFill>
        </w:rPr>
        <w:t>次（不包括陪同人员），共计支出</w:t>
      </w:r>
      <w:r>
        <w:rPr>
          <w:rFonts w:hint="eastAsia" w:ascii="仿宋_GB2312" w:eastAsia="仿宋_GB2312"/>
          <w:color w:val="000000" w:themeColor="text1"/>
          <w:sz w:val="32"/>
          <w:szCs w:val="32"/>
          <w:highlight w:val="none"/>
          <w:lang w:val="en-US" w:eastAsia="zh-CN"/>
          <w14:textFill>
            <w14:solidFill>
              <w14:schemeClr w14:val="tx1"/>
            </w14:solidFill>
          </w14:textFill>
        </w:rPr>
        <w:t>0.94</w:t>
      </w:r>
      <w:r>
        <w:rPr>
          <w:rFonts w:hint="eastAsia" w:ascii="仿宋_GB2312" w:eastAsia="仿宋_GB2312"/>
          <w:color w:val="000000" w:themeColor="text1"/>
          <w:sz w:val="32"/>
          <w:szCs w:val="32"/>
          <w:highlight w:val="none"/>
          <w14:textFill>
            <w14:solidFill>
              <w14:schemeClr w14:val="tx1"/>
            </w14:solidFill>
          </w14:textFill>
        </w:rPr>
        <w:t>万元，具体内容包括：</w:t>
      </w:r>
      <w:r>
        <w:rPr>
          <w:rFonts w:hint="eastAsia" w:ascii="仿宋_GB2312" w:hAnsi="Times New Roman" w:eastAsia="仿宋_GB2312" w:cs="Times New Roman"/>
          <w:color w:val="000000" w:themeColor="text1"/>
          <w:sz w:val="32"/>
          <w:szCs w:val="32"/>
          <w:highlight w:val="none"/>
          <w14:textFill>
            <w14:solidFill>
              <w14:schemeClr w14:val="tx1"/>
            </w14:solidFill>
          </w14:textFill>
        </w:rPr>
        <w:t>监狱与地方政法部门办理业务协作等</w:t>
      </w:r>
      <w:r>
        <w:rPr>
          <w:rFonts w:hint="eastAsia" w:ascii="仿宋_GB2312" w:hAnsi="Times New Roman" w:eastAsia="仿宋_GB2312" w:cs="Times New Roman"/>
          <w:color w:val="000000" w:themeColor="text1"/>
          <w:sz w:val="32"/>
          <w:szCs w:val="32"/>
          <w:highlight w:val="none"/>
          <w:lang w:eastAsia="zh-CN"/>
          <w14:textFill>
            <w14:solidFill>
              <w14:schemeClr w14:val="tx1"/>
            </w14:solidFill>
          </w14:textFill>
        </w:rPr>
        <w:t>。</w:t>
      </w:r>
    </w:p>
    <w:p>
      <w:pPr>
        <w:spacing w:line="600" w:lineRule="exact"/>
        <w:ind w:firstLine="640"/>
        <w:rPr>
          <w:rFonts w:ascii="黑体" w:eastAsia="黑体"/>
          <w:b w:val="0"/>
          <w:bCs/>
          <w:color w:val="000000" w:themeColor="text1"/>
          <w:sz w:val="32"/>
          <w:szCs w:val="32"/>
          <w:highlight w:val="none"/>
          <w14:textFill>
            <w14:solidFill>
              <w14:schemeClr w14:val="tx1"/>
            </w14:solidFill>
          </w14:textFill>
        </w:rPr>
      </w:pPr>
      <w:r>
        <w:rPr>
          <w:rFonts w:hint="eastAsia" w:ascii="仿宋_GB2312" w:hAnsi="Times New Roman" w:eastAsia="仿宋_GB2312" w:cs="Times New Roman"/>
          <w:b/>
          <w:bCs/>
          <w:color w:val="000000" w:themeColor="text1"/>
          <w:sz w:val="32"/>
          <w:szCs w:val="32"/>
          <w:highlight w:val="none"/>
          <w14:textFill>
            <w14:solidFill>
              <w14:schemeClr w14:val="tx1"/>
            </w14:solidFill>
          </w14:textFill>
        </w:rPr>
        <w:t>外事接待支出</w:t>
      </w:r>
      <w:r>
        <w:rPr>
          <w:rFonts w:hint="eastAsia" w:ascii="仿宋_GB2312" w:hAnsi="Times New Roman" w:eastAsia="仿宋_GB2312" w:cs="Times New Roman"/>
          <w:color w:val="000000" w:themeColor="text1"/>
          <w:sz w:val="32"/>
          <w:szCs w:val="32"/>
          <w:highlight w:val="none"/>
          <w:lang w:val="en-US" w:eastAsia="zh-CN"/>
          <w14:textFill>
            <w14:solidFill>
              <w14:schemeClr w14:val="tx1"/>
            </w14:solidFill>
          </w14:textFill>
        </w:rPr>
        <w:t>0万元，外事接待0批次，0人，共计支出0万元</w:t>
      </w:r>
      <w:r>
        <w:rPr>
          <w:rFonts w:hint="eastAsia" w:ascii="仿宋" w:hAnsi="仿宋" w:eastAsia="仿宋"/>
          <w:b w:val="0"/>
          <w:bCs/>
          <w:color w:val="000000" w:themeColor="text1"/>
          <w:sz w:val="32"/>
          <w:szCs w:val="32"/>
          <w:highlight w:val="none"/>
          <w:lang w:eastAsia="zh-CN"/>
          <w14:textFill>
            <w14:solidFill>
              <w14:schemeClr w14:val="tx1"/>
            </w14:solidFill>
          </w14:textFill>
        </w:rPr>
        <w:t>。</w:t>
      </w:r>
      <w:bookmarkStart w:id="40" w:name="_Toc15377218"/>
      <w:bookmarkStart w:id="41" w:name="_Toc15396610"/>
    </w:p>
    <w:p>
      <w:pPr>
        <w:spacing w:line="600" w:lineRule="exact"/>
        <w:ind w:firstLine="640"/>
        <w:outlineLvl w:val="1"/>
        <w:rPr>
          <w:rStyle w:val="26"/>
          <w:rFonts w:ascii="黑体" w:hAnsi="黑体" w:eastAsia="黑体"/>
          <w:color w:val="000000" w:themeColor="text1"/>
          <w:highlight w:val="none"/>
          <w14:textFill>
            <w14:solidFill>
              <w14:schemeClr w14:val="tx1"/>
            </w14:solidFill>
          </w14:textFill>
        </w:rPr>
      </w:pPr>
      <w:r>
        <w:rPr>
          <w:rFonts w:hint="eastAsia" w:ascii="黑体" w:eastAsia="黑体"/>
          <w:color w:val="000000" w:themeColor="text1"/>
          <w:sz w:val="32"/>
          <w:szCs w:val="32"/>
          <w:highlight w:val="none"/>
          <w14:textFill>
            <w14:solidFill>
              <w14:schemeClr w14:val="tx1"/>
            </w14:solidFill>
          </w14:textFill>
        </w:rPr>
        <w:t>八、</w:t>
      </w:r>
      <w:r>
        <w:rPr>
          <w:rStyle w:val="26"/>
          <w:rFonts w:hint="eastAsia" w:ascii="黑体" w:hAnsi="黑体" w:eastAsia="黑体"/>
          <w:b w:val="0"/>
          <w:color w:val="000000" w:themeColor="text1"/>
          <w:highlight w:val="none"/>
          <w14:textFill>
            <w14:solidFill>
              <w14:schemeClr w14:val="tx1"/>
            </w14:solidFill>
          </w14:textFill>
        </w:rPr>
        <w:t>政府性基金预算支出决算情况说明</w:t>
      </w:r>
      <w:bookmarkEnd w:id="40"/>
      <w:bookmarkEnd w:id="41"/>
    </w:p>
    <w:p>
      <w:pPr>
        <w:pStyle w:val="2"/>
        <w:spacing w:before="93" w:line="600" w:lineRule="exact"/>
        <w:ind w:firstLine="640" w:firstLineChars="200"/>
        <w:rPr>
          <w:rFonts w:hint="eastAsia" w:ascii="仿宋" w:hAnsi="仿宋" w:eastAsia="仿宋" w:cs="Times New Roman"/>
          <w:sz w:val="32"/>
          <w:szCs w:val="32"/>
        </w:rPr>
      </w:pPr>
      <w:r>
        <w:rPr>
          <w:rFonts w:hint="eastAsia" w:ascii="仿宋_GB2312" w:hAnsi="Times New Roman" w:eastAsia="仿宋_GB2312" w:cs="Times New Roman"/>
          <w:color w:val="000000" w:themeColor="text1"/>
          <w:kern w:val="2"/>
          <w:sz w:val="32"/>
          <w:szCs w:val="32"/>
          <w:highlight w:val="none"/>
          <w:lang w:val="en-US" w:eastAsia="zh-CN" w:bidi="ar-SA"/>
          <w14:textFill>
            <w14:solidFill>
              <w14:schemeClr w14:val="tx1"/>
            </w14:solidFill>
          </w14:textFill>
        </w:rPr>
        <w:t>2021年政府性基金预算财政拨款支出0万元。</w:t>
      </w:r>
    </w:p>
    <w:p>
      <w:pPr>
        <w:numPr>
          <w:ilvl w:val="0"/>
          <w:numId w:val="4"/>
        </w:numPr>
        <w:spacing w:line="600" w:lineRule="exact"/>
        <w:ind w:firstLine="640"/>
        <w:outlineLvl w:val="1"/>
        <w:rPr>
          <w:rStyle w:val="26"/>
          <w:rFonts w:ascii="黑体" w:hAnsi="黑体" w:eastAsia="黑体"/>
          <w:b w:val="0"/>
          <w:color w:val="000000" w:themeColor="text1"/>
          <w:highlight w:val="none"/>
          <w14:textFill>
            <w14:solidFill>
              <w14:schemeClr w14:val="tx1"/>
            </w14:solidFill>
          </w14:textFill>
        </w:rPr>
      </w:pPr>
      <w:bookmarkStart w:id="42" w:name="_Toc15377219"/>
      <w:bookmarkStart w:id="43" w:name="_Toc15396611"/>
      <w:r>
        <w:rPr>
          <w:rStyle w:val="26"/>
          <w:rFonts w:hint="eastAsia" w:ascii="黑体" w:hAnsi="黑体" w:eastAsia="黑体"/>
          <w:b w:val="0"/>
          <w:color w:val="000000" w:themeColor="text1"/>
          <w:highlight w:val="none"/>
          <w14:textFill>
            <w14:solidFill>
              <w14:schemeClr w14:val="tx1"/>
            </w14:solidFill>
          </w14:textFill>
        </w:rPr>
        <w:t>国有资本经营预算支出决算情况说明</w:t>
      </w:r>
      <w:bookmarkEnd w:id="42"/>
      <w:bookmarkEnd w:id="43"/>
    </w:p>
    <w:p>
      <w:pPr>
        <w:pStyle w:val="2"/>
        <w:spacing w:before="93" w:line="600" w:lineRule="exact"/>
        <w:ind w:firstLine="640" w:firstLineChars="200"/>
        <w:rPr>
          <w:rFonts w:hint="eastAsia" w:ascii="仿宋" w:hAnsi="仿宋" w:eastAsia="仿宋" w:cs="Times New Roman"/>
          <w:sz w:val="32"/>
          <w:szCs w:val="32"/>
        </w:rPr>
      </w:pPr>
      <w:r>
        <w:rPr>
          <w:rFonts w:hint="eastAsia" w:ascii="仿宋_GB2312" w:hAnsi="Times New Roman" w:eastAsia="仿宋_GB2312" w:cs="Times New Roman"/>
          <w:color w:val="000000" w:themeColor="text1"/>
          <w:kern w:val="2"/>
          <w:sz w:val="32"/>
          <w:szCs w:val="32"/>
          <w:highlight w:val="none"/>
          <w:lang w:val="en-US" w:eastAsia="zh-CN" w:bidi="ar-SA"/>
          <w14:textFill>
            <w14:solidFill>
              <w14:schemeClr w14:val="tx1"/>
            </w14:solidFill>
          </w14:textFill>
        </w:rPr>
        <w:t>2021年国有资本经营预算财政拨款支出0万元</w:t>
      </w:r>
      <w:r>
        <w:rPr>
          <w:rFonts w:hint="eastAsia" w:ascii="仿宋" w:hAnsi="仿宋" w:eastAsia="仿宋" w:cs="Times New Roman"/>
          <w:sz w:val="32"/>
          <w:szCs w:val="32"/>
        </w:rPr>
        <w:t>。</w:t>
      </w:r>
    </w:p>
    <w:p>
      <w:pPr>
        <w:numPr>
          <w:ilvl w:val="0"/>
          <w:numId w:val="4"/>
        </w:numPr>
        <w:spacing w:line="600" w:lineRule="exact"/>
        <w:ind w:firstLine="640"/>
        <w:outlineLvl w:val="1"/>
        <w:rPr>
          <w:rStyle w:val="26"/>
          <w:rFonts w:hint="eastAsia" w:ascii="黑体" w:hAnsi="黑体" w:eastAsia="黑体"/>
          <w:b w:val="0"/>
          <w:color w:val="000000" w:themeColor="text1"/>
          <w:highlight w:val="none"/>
          <w14:textFill>
            <w14:solidFill>
              <w14:schemeClr w14:val="tx1"/>
            </w14:solidFill>
          </w14:textFill>
        </w:rPr>
      </w:pPr>
      <w:bookmarkStart w:id="44" w:name="_Toc15396612"/>
      <w:bookmarkStart w:id="45" w:name="_Toc15377221"/>
      <w:r>
        <w:rPr>
          <w:rStyle w:val="26"/>
          <w:rFonts w:hint="eastAsia" w:ascii="黑体" w:hAnsi="黑体" w:eastAsia="黑体"/>
          <w:b w:val="0"/>
          <w:color w:val="000000" w:themeColor="text1"/>
          <w:highlight w:val="none"/>
          <w14:textFill>
            <w14:solidFill>
              <w14:schemeClr w14:val="tx1"/>
            </w14:solidFill>
          </w14:textFill>
        </w:rPr>
        <w:t>其他重要事项的情况说明</w:t>
      </w:r>
      <w:bookmarkEnd w:id="44"/>
      <w:bookmarkEnd w:id="45"/>
    </w:p>
    <w:p>
      <w:pPr>
        <w:spacing w:line="600" w:lineRule="exact"/>
        <w:ind w:firstLine="643" w:firstLineChars="200"/>
        <w:outlineLvl w:val="2"/>
        <w:rPr>
          <w:rFonts w:ascii="仿宋" w:hAnsi="仿宋" w:eastAsia="仿宋"/>
          <w:color w:val="000000" w:themeColor="text1"/>
          <w:sz w:val="32"/>
          <w:szCs w:val="32"/>
          <w:highlight w:val="none"/>
          <w14:textFill>
            <w14:solidFill>
              <w14:schemeClr w14:val="tx1"/>
            </w14:solidFill>
          </w14:textFill>
        </w:rPr>
      </w:pPr>
      <w:bookmarkStart w:id="46" w:name="_Toc15377222"/>
      <w:r>
        <w:rPr>
          <w:rFonts w:hint="eastAsia" w:ascii="仿宋" w:hAnsi="仿宋" w:eastAsia="仿宋"/>
          <w:b/>
          <w:color w:val="000000" w:themeColor="text1"/>
          <w:sz w:val="32"/>
          <w:szCs w:val="32"/>
          <w:highlight w:val="none"/>
          <w14:textFill>
            <w14:solidFill>
              <w14:schemeClr w14:val="tx1"/>
            </w14:solidFill>
          </w14:textFill>
        </w:rPr>
        <w:t>（一）机关运行经费支出情况</w:t>
      </w:r>
      <w:bookmarkEnd w:id="46"/>
    </w:p>
    <w:p>
      <w:pPr>
        <w:pStyle w:val="2"/>
        <w:spacing w:before="93" w:line="600" w:lineRule="exact"/>
        <w:ind w:firstLine="640" w:firstLineChars="200"/>
        <w:rPr>
          <w:rFonts w:hint="eastAsia" w:ascii="仿宋" w:hAnsi="仿宋" w:eastAsia="仿宋" w:cs="Times New Roman"/>
          <w:sz w:val="32"/>
          <w:szCs w:val="32"/>
          <w:lang w:eastAsia="zh-CN"/>
        </w:rPr>
      </w:pPr>
      <w:r>
        <w:rPr>
          <w:rFonts w:hint="eastAsia" w:ascii="仿宋_GB2312" w:hAnsi="Times New Roman" w:eastAsia="仿宋_GB2312" w:cs="Times New Roman"/>
          <w:color w:val="000000" w:themeColor="text1"/>
          <w:kern w:val="2"/>
          <w:sz w:val="32"/>
          <w:szCs w:val="32"/>
          <w:highlight w:val="none"/>
          <w:lang w:val="en-US" w:eastAsia="zh-CN" w:bidi="ar-SA"/>
          <w14:textFill>
            <w14:solidFill>
              <w14:schemeClr w14:val="tx1"/>
            </w14:solidFill>
          </w14:textFill>
        </w:rPr>
        <w:t>2021年，乐山监狱管理科机关运行经费支出20.48万元，比2020年减少0.07万元，下降0.34%。主要原因是人员减少，厉行节约。</w:t>
      </w:r>
    </w:p>
    <w:p>
      <w:pPr>
        <w:autoSpaceDE w:val="0"/>
        <w:autoSpaceDN w:val="0"/>
        <w:adjustRightInd w:val="0"/>
        <w:spacing w:line="600" w:lineRule="exact"/>
        <w:ind w:firstLine="643" w:firstLineChars="200"/>
        <w:jc w:val="left"/>
        <w:outlineLvl w:val="2"/>
        <w:rPr>
          <w:rFonts w:ascii="仿宋" w:hAnsi="仿宋" w:eastAsia="仿宋"/>
          <w:b/>
          <w:color w:val="000000" w:themeColor="text1"/>
          <w:sz w:val="32"/>
          <w:szCs w:val="32"/>
          <w:highlight w:val="none"/>
          <w14:textFill>
            <w14:solidFill>
              <w14:schemeClr w14:val="tx1"/>
            </w14:solidFill>
          </w14:textFill>
        </w:rPr>
      </w:pPr>
      <w:bookmarkStart w:id="47" w:name="_Toc15377223"/>
      <w:r>
        <w:rPr>
          <w:rFonts w:hint="eastAsia" w:ascii="仿宋" w:hAnsi="仿宋" w:eastAsia="仿宋"/>
          <w:b/>
          <w:color w:val="000000" w:themeColor="text1"/>
          <w:sz w:val="32"/>
          <w:szCs w:val="32"/>
          <w:highlight w:val="none"/>
          <w14:textFill>
            <w14:solidFill>
              <w14:schemeClr w14:val="tx1"/>
            </w14:solidFill>
          </w14:textFill>
        </w:rPr>
        <w:t>（二）政府采购支出情况</w:t>
      </w:r>
      <w:bookmarkEnd w:id="47"/>
    </w:p>
    <w:p>
      <w:pPr>
        <w:pStyle w:val="2"/>
        <w:spacing w:before="93" w:line="600" w:lineRule="exact"/>
        <w:ind w:firstLine="640" w:firstLineChars="200"/>
        <w:rPr>
          <w:rFonts w:hint="eastAsia" w:ascii="仿宋_GB2312"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highlight w:val="none"/>
          <w:lang w:val="en-US" w:eastAsia="zh-CN" w:bidi="ar-SA"/>
          <w14:textFill>
            <w14:solidFill>
              <w14:schemeClr w14:val="tx1"/>
            </w14:solidFill>
          </w14:textFill>
        </w:rPr>
        <w:t>2021年，乐山监狱管理科政府采购支出总额2.65万元，其中：政府采购货物支出0.65万元、政府采购工程支出0万元、政府采购服务支出2万元。主要用于监狱监控安防建设、办公设备购置。授予中小企业合同金额1万元，占政府采购支出总额的37.74%，其中：授予小微企业合同金额0.35万元，占政府采购支出总额的13.21%。</w:t>
      </w:r>
    </w:p>
    <w:p>
      <w:pPr>
        <w:autoSpaceDE w:val="0"/>
        <w:autoSpaceDN w:val="0"/>
        <w:adjustRightInd w:val="0"/>
        <w:spacing w:line="600" w:lineRule="exact"/>
        <w:ind w:firstLine="643" w:firstLineChars="200"/>
        <w:jc w:val="left"/>
        <w:outlineLvl w:val="2"/>
        <w:rPr>
          <w:rFonts w:ascii="仿宋" w:hAnsi="仿宋" w:eastAsia="仿宋"/>
          <w:b/>
          <w:color w:val="000000" w:themeColor="text1"/>
          <w:sz w:val="32"/>
          <w:szCs w:val="32"/>
          <w:highlight w:val="none"/>
          <w14:textFill>
            <w14:solidFill>
              <w14:schemeClr w14:val="tx1"/>
            </w14:solidFill>
          </w14:textFill>
        </w:rPr>
      </w:pPr>
      <w:bookmarkStart w:id="48" w:name="_Toc15377224"/>
      <w:r>
        <w:rPr>
          <w:rFonts w:hint="eastAsia" w:ascii="仿宋" w:hAnsi="仿宋" w:eastAsia="仿宋"/>
          <w:b/>
          <w:color w:val="000000" w:themeColor="text1"/>
          <w:sz w:val="32"/>
          <w:szCs w:val="32"/>
          <w:highlight w:val="none"/>
          <w14:textFill>
            <w14:solidFill>
              <w14:schemeClr w14:val="tx1"/>
            </w14:solidFill>
          </w14:textFill>
        </w:rPr>
        <w:t>（三）国有资产占有使用情况</w:t>
      </w:r>
      <w:bookmarkEnd w:id="48"/>
    </w:p>
    <w:p>
      <w:pPr>
        <w:pStyle w:val="2"/>
        <w:spacing w:before="93" w:line="600" w:lineRule="exact"/>
        <w:ind w:firstLine="640" w:firstLineChars="200"/>
        <w:rPr>
          <w:rFonts w:hint="eastAsia" w:ascii="仿宋" w:hAnsi="仿宋" w:eastAsia="仿宋" w:cs="Times New Roman"/>
          <w:sz w:val="32"/>
          <w:szCs w:val="32"/>
        </w:rPr>
      </w:pPr>
      <w:r>
        <w:rPr>
          <w:rFonts w:hint="eastAsia" w:ascii="仿宋_GB2312" w:hAnsi="Times New Roman" w:eastAsia="仿宋_GB2312" w:cs="Times New Roman"/>
          <w:color w:val="000000" w:themeColor="text1"/>
          <w:kern w:val="2"/>
          <w:sz w:val="32"/>
          <w:szCs w:val="32"/>
          <w:highlight w:val="none"/>
          <w:lang w:val="en-US" w:eastAsia="zh-CN" w:bidi="ar-SA"/>
          <w14:textFill>
            <w14:solidFill>
              <w14:schemeClr w14:val="tx1"/>
            </w14:solidFill>
          </w14:textFill>
        </w:rPr>
        <w:t>截至2021年12月31日，乐山监狱管理科共有车辆1辆，其中：执法执勤用车1辆。单价50万元以上通用设备0台（套），单价100万元以上专用设备0台（套）。</w:t>
      </w:r>
    </w:p>
    <w:p>
      <w:pPr>
        <w:autoSpaceDE w:val="0"/>
        <w:autoSpaceDN w:val="0"/>
        <w:adjustRightInd w:val="0"/>
        <w:spacing w:line="600" w:lineRule="exact"/>
        <w:ind w:firstLine="643" w:firstLineChars="200"/>
        <w:jc w:val="left"/>
        <w:outlineLvl w:val="2"/>
        <w:rPr>
          <w:rFonts w:hint="eastAsia" w:ascii="仿宋" w:hAnsi="仿宋" w:eastAsia="仿宋"/>
          <w:b/>
          <w:color w:val="000000" w:themeColor="text1"/>
          <w:sz w:val="32"/>
          <w:szCs w:val="32"/>
          <w:highlight w:val="none"/>
          <w:lang w:eastAsia="zh-CN"/>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t>（四）预算绩效管理情况</w:t>
      </w:r>
    </w:p>
    <w:p>
      <w:pPr>
        <w:pStyle w:val="2"/>
        <w:spacing w:before="93" w:line="600" w:lineRule="exact"/>
        <w:ind w:firstLine="640" w:firstLineChars="200"/>
        <w:rPr>
          <w:rFonts w:hint="eastAsia" w:ascii="仿宋" w:hAnsi="仿宋" w:eastAsia="仿宋" w:cs="Times New Roman"/>
          <w:sz w:val="32"/>
          <w:szCs w:val="32"/>
          <w:lang w:eastAsia="zh-CN"/>
        </w:rPr>
      </w:pPr>
      <w:r>
        <w:rPr>
          <w:rFonts w:hint="eastAsia" w:ascii="仿宋_GB2312" w:hAnsi="Times New Roman" w:eastAsia="仿宋_GB2312" w:cs="Times New Roman"/>
          <w:color w:val="000000" w:themeColor="text1"/>
          <w:kern w:val="2"/>
          <w:sz w:val="32"/>
          <w:szCs w:val="32"/>
          <w:highlight w:val="none"/>
          <w:lang w:val="en-US" w:eastAsia="zh-CN" w:bidi="ar-SA"/>
          <w14:textFill>
            <w14:solidFill>
              <w14:schemeClr w14:val="tx1"/>
            </w14:solidFill>
          </w14:textFill>
        </w:rPr>
        <w:t>根据预算绩效管理要求，本单位在2021年度预算编制阶段，无100万以上（含）特定目标类部门预算项目，根据预算绩效管理要求，因此未开展事前绩效评估、编制绩效目标、开展绩效监控等绩效管理工作。2021年特定目标类部门预算项目绩效目标自评表见附件（第四部分）</w:t>
      </w:r>
      <w:r>
        <w:rPr>
          <w:rFonts w:hint="eastAsia" w:ascii="仿宋" w:hAnsi="仿宋" w:eastAsia="仿宋" w:cs="Times New Roman"/>
          <w:sz w:val="32"/>
          <w:szCs w:val="32"/>
        </w:rPr>
        <w:t>。</w:t>
      </w:r>
      <w:bookmarkStart w:id="49" w:name="_Toc15396613"/>
      <w:bookmarkStart w:id="50" w:name="_Toc15377225"/>
    </w:p>
    <w:p>
      <w:pPr>
        <w:numPr>
          <w:ilvl w:val="0"/>
          <w:numId w:val="0"/>
        </w:numPr>
        <w:spacing w:line="600" w:lineRule="exact"/>
        <w:ind w:firstLine="880" w:firstLineChars="200"/>
        <w:jc w:val="both"/>
        <w:outlineLvl w:val="0"/>
        <w:rPr>
          <w:rFonts w:hint="eastAsia" w:ascii="黑体" w:hAnsi="黑体" w:eastAsia="仿宋_GB2312"/>
          <w:color w:val="000000" w:themeColor="text1"/>
          <w:sz w:val="44"/>
          <w:szCs w:val="44"/>
          <w:highlight w:val="none"/>
          <w:lang w:eastAsia="zh-CN"/>
          <w14:textFill>
            <w14:solidFill>
              <w14:schemeClr w14:val="tx1"/>
            </w14:solidFill>
          </w14:textFill>
        </w:rPr>
      </w:pPr>
    </w:p>
    <w:p>
      <w:pPr>
        <w:numPr>
          <w:ilvl w:val="0"/>
          <w:numId w:val="0"/>
        </w:numPr>
        <w:spacing w:line="600" w:lineRule="exact"/>
        <w:jc w:val="both"/>
        <w:outlineLvl w:val="0"/>
        <w:rPr>
          <w:rFonts w:hint="eastAsia" w:ascii="黑体" w:hAnsi="黑体" w:eastAsia="黑体"/>
          <w:color w:val="000000" w:themeColor="text1"/>
          <w:sz w:val="44"/>
          <w:szCs w:val="44"/>
          <w:highlight w:val="none"/>
          <w:lang w:eastAsia="zh-CN"/>
          <w14:textFill>
            <w14:solidFill>
              <w14:schemeClr w14:val="tx1"/>
            </w14:solidFill>
          </w14:textFill>
        </w:rPr>
      </w:pPr>
    </w:p>
    <w:p>
      <w:pPr>
        <w:numPr>
          <w:ilvl w:val="0"/>
          <w:numId w:val="0"/>
        </w:numPr>
        <w:spacing w:line="600" w:lineRule="exact"/>
        <w:jc w:val="both"/>
        <w:outlineLvl w:val="0"/>
        <w:rPr>
          <w:rFonts w:hint="eastAsia" w:ascii="黑体" w:hAnsi="黑体" w:eastAsia="黑体"/>
          <w:color w:val="000000" w:themeColor="text1"/>
          <w:sz w:val="44"/>
          <w:szCs w:val="44"/>
          <w:highlight w:val="none"/>
          <w:lang w:eastAsia="zh-CN"/>
          <w14:textFill>
            <w14:solidFill>
              <w14:schemeClr w14:val="tx1"/>
            </w14:solidFill>
          </w14:textFill>
        </w:rPr>
      </w:pPr>
    </w:p>
    <w:p>
      <w:pPr>
        <w:numPr>
          <w:ilvl w:val="0"/>
          <w:numId w:val="0"/>
        </w:numPr>
        <w:spacing w:line="600" w:lineRule="exact"/>
        <w:jc w:val="both"/>
        <w:outlineLvl w:val="0"/>
        <w:rPr>
          <w:rFonts w:hint="eastAsia" w:ascii="黑体" w:hAnsi="黑体" w:eastAsia="黑体"/>
          <w:color w:val="000000" w:themeColor="text1"/>
          <w:sz w:val="44"/>
          <w:szCs w:val="44"/>
          <w:highlight w:val="none"/>
          <w:lang w:eastAsia="zh-CN"/>
          <w14:textFill>
            <w14:solidFill>
              <w14:schemeClr w14:val="tx1"/>
            </w14:solidFill>
          </w14:textFill>
        </w:rPr>
      </w:pPr>
    </w:p>
    <w:p>
      <w:pPr>
        <w:pStyle w:val="2"/>
        <w:rPr>
          <w:rFonts w:hint="eastAsia" w:ascii="黑体" w:hAnsi="黑体" w:eastAsia="黑体"/>
          <w:color w:val="000000" w:themeColor="text1"/>
          <w:sz w:val="44"/>
          <w:szCs w:val="44"/>
          <w:highlight w:val="none"/>
          <w:lang w:eastAsia="zh-CN"/>
          <w14:textFill>
            <w14:solidFill>
              <w14:schemeClr w14:val="tx1"/>
            </w14:solidFill>
          </w14:textFill>
        </w:rPr>
      </w:pPr>
    </w:p>
    <w:p>
      <w:pPr>
        <w:pStyle w:val="2"/>
        <w:rPr>
          <w:rFonts w:hint="eastAsia" w:ascii="黑体" w:hAnsi="黑体" w:eastAsia="黑体"/>
          <w:color w:val="000000" w:themeColor="text1"/>
          <w:sz w:val="44"/>
          <w:szCs w:val="44"/>
          <w:highlight w:val="none"/>
          <w:lang w:eastAsia="zh-CN"/>
          <w14:textFill>
            <w14:solidFill>
              <w14:schemeClr w14:val="tx1"/>
            </w14:solidFill>
          </w14:textFill>
        </w:rPr>
      </w:pPr>
    </w:p>
    <w:p>
      <w:pPr>
        <w:pStyle w:val="2"/>
        <w:rPr>
          <w:rFonts w:hint="eastAsia" w:ascii="黑体" w:hAnsi="黑体" w:eastAsia="黑体"/>
          <w:color w:val="000000" w:themeColor="text1"/>
          <w:sz w:val="44"/>
          <w:szCs w:val="44"/>
          <w:highlight w:val="none"/>
          <w:lang w:eastAsia="zh-CN"/>
          <w14:textFill>
            <w14:solidFill>
              <w14:schemeClr w14:val="tx1"/>
            </w14:solidFill>
          </w14:textFill>
        </w:rPr>
      </w:pPr>
    </w:p>
    <w:p>
      <w:pPr>
        <w:pStyle w:val="2"/>
        <w:rPr>
          <w:rFonts w:hint="eastAsia" w:ascii="黑体" w:hAnsi="黑体" w:eastAsia="黑体"/>
          <w:color w:val="000000" w:themeColor="text1"/>
          <w:sz w:val="44"/>
          <w:szCs w:val="44"/>
          <w:highlight w:val="none"/>
          <w:lang w:eastAsia="zh-CN"/>
          <w14:textFill>
            <w14:solidFill>
              <w14:schemeClr w14:val="tx1"/>
            </w14:solidFill>
          </w14:textFill>
        </w:rPr>
      </w:pPr>
    </w:p>
    <w:p>
      <w:pPr>
        <w:pStyle w:val="2"/>
        <w:rPr>
          <w:rFonts w:hint="eastAsia" w:ascii="黑体" w:hAnsi="黑体" w:eastAsia="黑体"/>
          <w:color w:val="000000" w:themeColor="text1"/>
          <w:sz w:val="44"/>
          <w:szCs w:val="44"/>
          <w:highlight w:val="none"/>
          <w:lang w:eastAsia="zh-CN"/>
          <w14:textFill>
            <w14:solidFill>
              <w14:schemeClr w14:val="tx1"/>
            </w14:solidFill>
          </w14:textFill>
        </w:rPr>
      </w:pPr>
    </w:p>
    <w:p>
      <w:pPr>
        <w:pStyle w:val="2"/>
        <w:rPr>
          <w:rFonts w:hint="eastAsia" w:ascii="黑体" w:hAnsi="黑体" w:eastAsia="黑体"/>
          <w:color w:val="000000" w:themeColor="text1"/>
          <w:sz w:val="44"/>
          <w:szCs w:val="44"/>
          <w:highlight w:val="none"/>
          <w:lang w:eastAsia="zh-CN"/>
          <w14:textFill>
            <w14:solidFill>
              <w14:schemeClr w14:val="tx1"/>
            </w14:solidFill>
          </w14:textFill>
        </w:rPr>
      </w:pPr>
    </w:p>
    <w:p>
      <w:pPr>
        <w:pStyle w:val="2"/>
        <w:rPr>
          <w:rFonts w:hint="eastAsia" w:ascii="黑体" w:hAnsi="黑体" w:eastAsia="黑体"/>
          <w:color w:val="000000" w:themeColor="text1"/>
          <w:sz w:val="44"/>
          <w:szCs w:val="44"/>
          <w:highlight w:val="none"/>
          <w:lang w:eastAsia="zh-CN"/>
          <w14:textFill>
            <w14:solidFill>
              <w14:schemeClr w14:val="tx1"/>
            </w14:solidFill>
          </w14:textFill>
        </w:rPr>
      </w:pPr>
    </w:p>
    <w:p>
      <w:pPr>
        <w:pStyle w:val="2"/>
        <w:rPr>
          <w:rFonts w:hint="eastAsia" w:ascii="黑体" w:hAnsi="黑体" w:eastAsia="黑体"/>
          <w:color w:val="000000" w:themeColor="text1"/>
          <w:sz w:val="44"/>
          <w:szCs w:val="44"/>
          <w:highlight w:val="none"/>
          <w:lang w:eastAsia="zh-CN"/>
          <w14:textFill>
            <w14:solidFill>
              <w14:schemeClr w14:val="tx1"/>
            </w14:solidFill>
          </w14:textFill>
        </w:rPr>
      </w:pPr>
    </w:p>
    <w:p>
      <w:pPr>
        <w:numPr>
          <w:ilvl w:val="0"/>
          <w:numId w:val="0"/>
        </w:numPr>
        <w:spacing w:line="600" w:lineRule="exact"/>
        <w:jc w:val="both"/>
        <w:outlineLvl w:val="0"/>
        <w:rPr>
          <w:rFonts w:hint="eastAsia" w:ascii="黑体" w:hAnsi="黑体" w:eastAsia="黑体"/>
          <w:color w:val="000000" w:themeColor="text1"/>
          <w:sz w:val="44"/>
          <w:szCs w:val="44"/>
          <w:highlight w:val="none"/>
          <w:lang w:eastAsia="zh-CN"/>
          <w14:textFill>
            <w14:solidFill>
              <w14:schemeClr w14:val="tx1"/>
            </w14:solidFill>
          </w14:textFill>
        </w:rPr>
      </w:pPr>
    </w:p>
    <w:p>
      <w:pPr>
        <w:numPr>
          <w:ilvl w:val="0"/>
          <w:numId w:val="0"/>
        </w:numPr>
        <w:spacing w:line="600" w:lineRule="exact"/>
        <w:jc w:val="both"/>
        <w:outlineLvl w:val="0"/>
        <w:rPr>
          <w:rFonts w:hint="eastAsia" w:ascii="黑体" w:hAnsi="黑体" w:eastAsia="黑体"/>
          <w:color w:val="000000" w:themeColor="text1"/>
          <w:sz w:val="44"/>
          <w:szCs w:val="44"/>
          <w:highlight w:val="none"/>
          <w:lang w:eastAsia="zh-CN"/>
          <w14:textFill>
            <w14:solidFill>
              <w14:schemeClr w14:val="tx1"/>
            </w14:solidFill>
          </w14:textFill>
        </w:rPr>
      </w:pPr>
    </w:p>
    <w:p>
      <w:pPr>
        <w:numPr>
          <w:ilvl w:val="0"/>
          <w:numId w:val="0"/>
        </w:numPr>
        <w:spacing w:line="600" w:lineRule="exact"/>
        <w:jc w:val="center"/>
        <w:outlineLvl w:val="0"/>
        <w:rPr>
          <w:rStyle w:val="25"/>
          <w:rFonts w:ascii="黑体" w:hAnsi="黑体" w:eastAsia="黑体"/>
          <w:b w:val="0"/>
          <w:color w:val="000000" w:themeColor="text1"/>
          <w:highlight w:val="none"/>
          <w14:textFill>
            <w14:solidFill>
              <w14:schemeClr w14:val="tx1"/>
            </w14:solidFill>
          </w14:textFill>
        </w:rPr>
      </w:pPr>
      <w:r>
        <w:rPr>
          <w:rFonts w:hint="eastAsia" w:ascii="黑体" w:hAnsi="黑体" w:eastAsia="黑体"/>
          <w:color w:val="000000" w:themeColor="text1"/>
          <w:sz w:val="44"/>
          <w:szCs w:val="44"/>
          <w:highlight w:val="none"/>
          <w:lang w:eastAsia="zh-CN"/>
          <w14:textFill>
            <w14:solidFill>
              <w14:schemeClr w14:val="tx1"/>
            </w14:solidFill>
          </w14:textFill>
        </w:rPr>
        <w:t>第三部分</w:t>
      </w:r>
      <w:r>
        <w:rPr>
          <w:rFonts w:hint="eastAsia" w:ascii="黑体" w:hAnsi="黑体" w:eastAsia="黑体"/>
          <w:color w:val="000000" w:themeColor="text1"/>
          <w:sz w:val="44"/>
          <w:szCs w:val="44"/>
          <w:highlight w:val="none"/>
          <w:lang w:val="en-US" w:eastAsia="zh-CN"/>
          <w14:textFill>
            <w14:solidFill>
              <w14:schemeClr w14:val="tx1"/>
            </w14:solidFill>
          </w14:textFill>
        </w:rPr>
        <w:t xml:space="preserve"> </w:t>
      </w:r>
      <w:r>
        <w:rPr>
          <w:rFonts w:hint="eastAsia" w:ascii="黑体" w:hAnsi="黑体" w:eastAsia="黑体"/>
          <w:color w:val="000000" w:themeColor="text1"/>
          <w:sz w:val="44"/>
          <w:szCs w:val="44"/>
          <w:highlight w:val="none"/>
          <w14:textFill>
            <w14:solidFill>
              <w14:schemeClr w14:val="tx1"/>
            </w14:solidFill>
          </w14:textFill>
        </w:rPr>
        <w:t>名</w:t>
      </w:r>
      <w:r>
        <w:rPr>
          <w:rStyle w:val="25"/>
          <w:rFonts w:hint="eastAsia" w:ascii="黑体" w:hAnsi="黑体" w:eastAsia="黑体"/>
          <w:b w:val="0"/>
          <w:color w:val="000000" w:themeColor="text1"/>
          <w:highlight w:val="none"/>
          <w14:textFill>
            <w14:solidFill>
              <w14:schemeClr w14:val="tx1"/>
            </w14:solidFill>
          </w14:textFill>
        </w:rPr>
        <w:t>词解释</w:t>
      </w:r>
      <w:bookmarkEnd w:id="49"/>
      <w:bookmarkEnd w:id="50"/>
    </w:p>
    <w:p>
      <w:pPr>
        <w:spacing w:line="600" w:lineRule="exact"/>
        <w:jc w:val="left"/>
        <w:rPr>
          <w:rFonts w:ascii="宋体"/>
          <w:b/>
          <w:color w:val="000000" w:themeColor="text1"/>
          <w:sz w:val="44"/>
          <w:szCs w:val="44"/>
          <w:highlight w:val="none"/>
          <w14:textFill>
            <w14:solidFill>
              <w14:schemeClr w14:val="tx1"/>
            </w14:solidFill>
          </w14:textFill>
        </w:rPr>
      </w:pPr>
      <w:bookmarkStart w:id="54" w:name="_GoBack"/>
      <w:bookmarkEnd w:id="54"/>
    </w:p>
    <w:p>
      <w:pPr>
        <w:pStyle w:val="23"/>
        <w:numPr>
          <w:ilvl w:val="0"/>
          <w:numId w:val="5"/>
        </w:numPr>
        <w:spacing w:line="560" w:lineRule="exact"/>
        <w:ind w:firstLine="640" w:firstLineChars="200"/>
        <w:rPr>
          <w:rFonts w:hint="eastAsia" w:ascii="仿宋_GB2312" w:eastAsia="仿宋_GB2312"/>
          <w:color w:val="auto"/>
          <w:sz w:val="32"/>
          <w:szCs w:val="32"/>
          <w:lang w:eastAsia="zh-CN"/>
        </w:rPr>
      </w:pPr>
      <w:bookmarkStart w:id="51" w:name="_Toc15396614"/>
      <w:bookmarkStart w:id="52" w:name="_Toc15377226"/>
      <w:r>
        <w:rPr>
          <w:rFonts w:hint="eastAsia" w:ascii="仿宋_GB2312" w:eastAsia="仿宋_GB2312"/>
          <w:color w:val="auto"/>
          <w:sz w:val="32"/>
          <w:szCs w:val="32"/>
          <w:highlight w:val="none"/>
        </w:rPr>
        <w:t>财政拨款收入</w:t>
      </w:r>
      <w:r>
        <w:rPr>
          <w:rFonts w:hint="eastAsia" w:ascii="仿宋_GB2312" w:eastAsia="仿宋_GB2312"/>
          <w:color w:val="auto"/>
          <w:sz w:val="32"/>
          <w:szCs w:val="32"/>
          <w:lang w:eastAsia="zh-CN"/>
        </w:rPr>
        <w:t>：指省级财政当年拨付的资金。</w:t>
      </w:r>
    </w:p>
    <w:p>
      <w:pPr>
        <w:pStyle w:val="23"/>
        <w:numPr>
          <w:ilvl w:val="0"/>
          <w:numId w:val="0"/>
        </w:numPr>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 xml:space="preserve">2. </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、年末结转和结余：指</w:t>
      </w:r>
      <w:r>
        <w:rPr>
          <w:rFonts w:hint="eastAsia" w:ascii="仿宋_GB2312" w:eastAsia="仿宋_GB2312"/>
          <w:color w:val="auto"/>
          <w:sz w:val="32"/>
          <w:szCs w:val="32"/>
          <w:highlight w:val="none"/>
          <w:lang w:eastAsia="zh-CN"/>
        </w:rPr>
        <w:t>本年度或以前年度预算安排、因客观条件发生变化无法按原计划实施，需延迟到以后年度按有关规定继续使用的资金</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eastAsia="仿宋_GB2312"/>
          <w:sz w:val="32"/>
          <w:szCs w:val="32"/>
        </w:rPr>
        <w:t>公共安全支出（类）监狱（款）行政运行（项）</w:t>
      </w:r>
      <w:r>
        <w:rPr>
          <w:rFonts w:ascii="仿宋_GB2312" w:eastAsia="仿宋_GB2312"/>
          <w:sz w:val="32"/>
          <w:szCs w:val="32"/>
        </w:rPr>
        <w:t>:</w:t>
      </w:r>
      <w:r>
        <w:rPr>
          <w:rFonts w:hint="eastAsia" w:ascii="仿宋_GB2312" w:eastAsia="仿宋_GB2312"/>
          <w:sz w:val="32"/>
          <w:szCs w:val="32"/>
        </w:rPr>
        <w:t>指</w:t>
      </w:r>
      <w:r>
        <w:rPr>
          <w:rFonts w:hint="eastAsia" w:ascii="仿宋_GB2312" w:hAnsi="仿宋_GB2312" w:eastAsia="仿宋_GB2312" w:cs="仿宋_GB2312"/>
          <w:sz w:val="32"/>
          <w:szCs w:val="32"/>
        </w:rPr>
        <w:t>行政单位(包括实行公务员管理的事业单位）的基本支出。</w:t>
      </w:r>
    </w:p>
    <w:p>
      <w:pPr>
        <w:pStyle w:val="23"/>
        <w:spacing w:line="560" w:lineRule="exact"/>
        <w:ind w:firstLine="640" w:firstLineChars="200"/>
        <w:rPr>
          <w:rFonts w:ascii="仿宋_GB2312" w:eastAsia="仿宋_GB2312"/>
          <w:color w:val="auto"/>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eastAsia="仿宋_GB2312"/>
          <w:sz w:val="32"/>
          <w:szCs w:val="32"/>
        </w:rPr>
        <w:t>教育支出（类）进修及培训（款）培训支出（项）</w:t>
      </w:r>
      <w:r>
        <w:rPr>
          <w:rFonts w:ascii="仿宋_GB2312" w:eastAsia="仿宋_GB2312"/>
          <w:sz w:val="32"/>
          <w:szCs w:val="32"/>
        </w:rPr>
        <w:t>:</w:t>
      </w:r>
      <w:r>
        <w:rPr>
          <w:rFonts w:hint="eastAsia" w:ascii="仿宋_GB2312" w:eastAsia="仿宋_GB2312"/>
          <w:sz w:val="32"/>
          <w:szCs w:val="32"/>
        </w:rPr>
        <w:t>指</w:t>
      </w:r>
      <w:r>
        <w:rPr>
          <w:rFonts w:hint="eastAsia" w:ascii="仿宋_GB2312" w:hAnsi="仿宋_GB2312" w:eastAsia="仿宋_GB2312" w:cs="仿宋_GB2312"/>
          <w:sz w:val="32"/>
          <w:szCs w:val="32"/>
        </w:rPr>
        <w:t>各部门安排的用于培训的支出。</w:t>
      </w:r>
    </w:p>
    <w:p>
      <w:pPr>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eastAsia="仿宋_GB2312"/>
          <w:sz w:val="30"/>
          <w:szCs w:val="30"/>
        </w:rPr>
        <w:t>社会保障和就业支出（类）行政事业单位养老支出（款）行政单位离退休（项）</w:t>
      </w:r>
      <w:r>
        <w:rPr>
          <w:rFonts w:ascii="仿宋_GB2312" w:eastAsia="仿宋_GB2312"/>
          <w:sz w:val="30"/>
          <w:szCs w:val="30"/>
        </w:rPr>
        <w:t>:</w:t>
      </w:r>
      <w:r>
        <w:rPr>
          <w:rFonts w:hint="eastAsia" w:ascii="仿宋_GB2312" w:eastAsia="仿宋_GB2312"/>
          <w:sz w:val="30"/>
          <w:szCs w:val="30"/>
        </w:rPr>
        <w:t>指</w:t>
      </w:r>
      <w:r>
        <w:rPr>
          <w:rFonts w:hint="eastAsia" w:ascii="仿宋_GB2312" w:hAnsi="仿宋_GB2312" w:eastAsia="仿宋_GB2312" w:cs="仿宋_GB2312"/>
          <w:sz w:val="30"/>
          <w:szCs w:val="30"/>
        </w:rPr>
        <w:t>行政单位开支的离退休经费。</w:t>
      </w:r>
    </w:p>
    <w:p>
      <w:pPr>
        <w:ind w:firstLine="600" w:firstLineChars="200"/>
        <w:rPr>
          <w:rFonts w:ascii="仿宋_GB2312" w:eastAsia="仿宋_GB2312"/>
          <w:sz w:val="30"/>
          <w:szCs w:val="30"/>
        </w:rPr>
      </w:pPr>
      <w:r>
        <w:rPr>
          <w:rFonts w:hint="eastAsia" w:ascii="仿宋_GB2312" w:eastAsia="仿宋_GB2312"/>
          <w:sz w:val="30"/>
          <w:szCs w:val="30"/>
          <w:lang w:val="en-US" w:eastAsia="zh-CN"/>
        </w:rPr>
        <w:t>7</w:t>
      </w:r>
      <w:r>
        <w:rPr>
          <w:rFonts w:hint="eastAsia" w:ascii="仿宋_GB2312" w:eastAsia="仿宋_GB2312"/>
          <w:sz w:val="30"/>
          <w:szCs w:val="30"/>
        </w:rPr>
        <w:t>.社会保障和就业支出（类）行政事业单位养老支出（款）机关事业单位基本养老保险缴费支出（项）</w:t>
      </w:r>
      <w:r>
        <w:rPr>
          <w:rFonts w:ascii="仿宋_GB2312" w:eastAsia="仿宋_GB2312"/>
          <w:sz w:val="30"/>
          <w:szCs w:val="30"/>
        </w:rPr>
        <w:t>:</w:t>
      </w:r>
      <w:r>
        <w:rPr>
          <w:rFonts w:hint="eastAsia" w:ascii="仿宋_GB2312" w:eastAsia="仿宋_GB2312"/>
          <w:sz w:val="30"/>
          <w:szCs w:val="30"/>
        </w:rPr>
        <w:t>指</w:t>
      </w:r>
      <w:r>
        <w:rPr>
          <w:rFonts w:hint="eastAsia" w:ascii="仿宋_GB2312" w:hAnsi="仿宋_GB2312" w:eastAsia="仿宋_GB2312" w:cs="仿宋_GB2312"/>
          <w:sz w:val="30"/>
          <w:szCs w:val="30"/>
        </w:rPr>
        <w:t>机关事业单位实施养老保险制度由单位缴纳的基本养老保险费支出。</w:t>
      </w:r>
    </w:p>
    <w:p>
      <w:pPr>
        <w:ind w:firstLine="600" w:firstLineChars="200"/>
        <w:rPr>
          <w:rFonts w:ascii="仿宋_GB2312" w:eastAsia="仿宋_GB2312"/>
          <w:sz w:val="30"/>
          <w:szCs w:val="30"/>
        </w:rPr>
      </w:pPr>
      <w:r>
        <w:rPr>
          <w:rFonts w:hint="eastAsia" w:ascii="仿宋_GB2312" w:eastAsia="仿宋_GB2312"/>
          <w:sz w:val="30"/>
          <w:szCs w:val="30"/>
          <w:lang w:val="en-US" w:eastAsia="zh-CN"/>
        </w:rPr>
        <w:t>8</w:t>
      </w:r>
      <w:r>
        <w:rPr>
          <w:rFonts w:hint="eastAsia" w:ascii="仿宋_GB2312" w:eastAsia="仿宋_GB2312"/>
          <w:sz w:val="30"/>
          <w:szCs w:val="30"/>
        </w:rPr>
        <w:t>.社会保障和就业支出（类）行政事业单位养老支出（款）机关事业单位职业年金缴费支出（项）</w:t>
      </w:r>
      <w:r>
        <w:rPr>
          <w:rFonts w:ascii="仿宋_GB2312" w:eastAsia="仿宋_GB2312"/>
          <w:sz w:val="30"/>
          <w:szCs w:val="30"/>
        </w:rPr>
        <w:t>:</w:t>
      </w:r>
      <w:r>
        <w:rPr>
          <w:rFonts w:hint="eastAsia" w:ascii="仿宋_GB2312" w:eastAsia="仿宋_GB2312"/>
          <w:sz w:val="30"/>
          <w:szCs w:val="30"/>
        </w:rPr>
        <w:t>指</w:t>
      </w:r>
      <w:r>
        <w:rPr>
          <w:rFonts w:hint="eastAsia" w:ascii="仿宋_GB2312" w:hAnsi="仿宋_GB2312" w:eastAsia="仿宋_GB2312" w:cs="仿宋_GB2312"/>
          <w:sz w:val="30"/>
          <w:szCs w:val="30"/>
        </w:rPr>
        <w:t>机关事业单位实施养老保险制度由单位实际缴纳的职业年金支出。</w:t>
      </w:r>
    </w:p>
    <w:p>
      <w:pPr>
        <w:ind w:firstLine="600" w:firstLineChars="200"/>
        <w:rPr>
          <w:rFonts w:ascii="仿宋_GB2312" w:eastAsia="仿宋_GB2312"/>
          <w:sz w:val="30"/>
          <w:szCs w:val="30"/>
        </w:rPr>
      </w:pPr>
      <w:r>
        <w:rPr>
          <w:rFonts w:hint="eastAsia" w:ascii="仿宋_GB2312" w:eastAsia="仿宋_GB2312"/>
          <w:sz w:val="30"/>
          <w:szCs w:val="30"/>
          <w:lang w:val="en-US" w:eastAsia="zh-CN"/>
        </w:rPr>
        <w:t>9</w:t>
      </w:r>
      <w:r>
        <w:rPr>
          <w:rFonts w:hint="eastAsia" w:ascii="仿宋_GB2312" w:eastAsia="仿宋_GB2312"/>
          <w:sz w:val="30"/>
          <w:szCs w:val="30"/>
        </w:rPr>
        <w:t>.社会保障和就业支出（类）抚恤（款）死亡抚恤（项）</w:t>
      </w:r>
      <w:r>
        <w:rPr>
          <w:rFonts w:ascii="仿宋_GB2312" w:eastAsia="仿宋_GB2312"/>
          <w:sz w:val="30"/>
          <w:szCs w:val="30"/>
        </w:rPr>
        <w:t>:</w:t>
      </w:r>
      <w:r>
        <w:rPr>
          <w:rFonts w:hint="eastAsia" w:ascii="仿宋_GB2312" w:eastAsia="仿宋_GB2312"/>
          <w:sz w:val="30"/>
          <w:szCs w:val="30"/>
        </w:rPr>
        <w:t>指</w:t>
      </w:r>
      <w:r>
        <w:rPr>
          <w:rFonts w:hint="eastAsia" w:ascii="仿宋_GB2312" w:hAnsi="仿宋_GB2312" w:eastAsia="仿宋_GB2312" w:cs="仿宋_GB2312"/>
          <w:sz w:val="30"/>
          <w:szCs w:val="30"/>
        </w:rPr>
        <w:t>按规定用于烈士和牺牲、病故人员家属的一次性定期抚恤金以及丧葬补助费。</w:t>
      </w:r>
    </w:p>
    <w:p>
      <w:pPr>
        <w:pStyle w:val="2"/>
        <w:ind w:firstLine="640" w:firstLineChars="200"/>
      </w:pPr>
      <w:r>
        <w:rPr>
          <w:rFonts w:hint="eastAsia" w:ascii="仿宋_GB2312" w:eastAsia="仿宋_GB2312"/>
          <w:sz w:val="32"/>
          <w:szCs w:val="32"/>
          <w:lang w:val="en-US" w:eastAsia="zh-CN"/>
        </w:rPr>
        <w:t>10</w:t>
      </w:r>
      <w:r>
        <w:rPr>
          <w:rFonts w:hint="eastAsia" w:ascii="仿宋_GB2312" w:eastAsia="仿宋_GB2312"/>
          <w:sz w:val="32"/>
          <w:szCs w:val="32"/>
        </w:rPr>
        <w:t>.社会保障和就业支出（类）其他社会保障和就业支出（款）其他社会保障和就业支出（项）</w:t>
      </w:r>
      <w:r>
        <w:rPr>
          <w:rFonts w:ascii="仿宋_GB2312" w:eastAsia="仿宋_GB2312"/>
          <w:sz w:val="32"/>
          <w:szCs w:val="32"/>
        </w:rPr>
        <w:t>:</w:t>
      </w:r>
      <w:r>
        <w:rPr>
          <w:rFonts w:hint="eastAsia" w:ascii="仿宋_GB2312" w:eastAsia="仿宋_GB2312"/>
          <w:sz w:val="32"/>
          <w:szCs w:val="32"/>
        </w:rPr>
        <w:t>指</w:t>
      </w:r>
      <w:r>
        <w:rPr>
          <w:rFonts w:hint="eastAsia" w:ascii="仿宋_GB2312" w:hAnsi="仿宋_GB2312" w:eastAsia="仿宋_GB2312" w:cs="仿宋_GB2312"/>
          <w:sz w:val="32"/>
          <w:szCs w:val="32"/>
        </w:rPr>
        <w:t>其他用于社会保障和就业方面的支出。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11.</w:t>
      </w:r>
      <w:r>
        <w:rPr>
          <w:rFonts w:hint="eastAsia" w:ascii="仿宋_GB2312" w:eastAsia="仿宋_GB2312"/>
          <w:sz w:val="32"/>
          <w:szCs w:val="32"/>
        </w:rPr>
        <w:t>卫生健康支出（类）行政事业单位医疗（款）行政单位医疗（项）</w:t>
      </w:r>
      <w:r>
        <w:rPr>
          <w:rFonts w:ascii="仿宋_GB2312" w:eastAsia="仿宋_GB2312"/>
          <w:sz w:val="32"/>
          <w:szCs w:val="32"/>
        </w:rPr>
        <w:t>:</w:t>
      </w:r>
      <w:r>
        <w:rPr>
          <w:rFonts w:hint="eastAsia" w:ascii="仿宋_GB2312" w:eastAsia="仿宋_GB2312"/>
          <w:sz w:val="32"/>
          <w:szCs w:val="32"/>
        </w:rPr>
        <w:t>指</w:t>
      </w:r>
      <w:r>
        <w:rPr>
          <w:rFonts w:hint="eastAsia" w:ascii="仿宋_GB2312" w:hAnsi="仿宋_GB2312" w:eastAsia="仿宋_GB2312" w:cs="仿宋_GB2312"/>
          <w:sz w:val="32"/>
          <w:szCs w:val="32"/>
        </w:rPr>
        <w:t>财政部门安排的行政单位基本医疗保险缴费经费，未参加医疗保险的行政单位的公费医疗经费，按国家规定享受离休人员、红军老战士待遇人员的医疗经费。</w:t>
      </w:r>
    </w:p>
    <w:p>
      <w:pPr>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2</w:t>
      </w:r>
      <w:r>
        <w:rPr>
          <w:rFonts w:hint="eastAsia" w:ascii="仿宋_GB2312" w:eastAsia="仿宋_GB2312"/>
          <w:sz w:val="32"/>
          <w:szCs w:val="32"/>
        </w:rPr>
        <w:t>.卫生健康支出（类）行政事业单位医疗（款）公务员医疗补助（项）</w:t>
      </w:r>
      <w:r>
        <w:rPr>
          <w:rFonts w:ascii="仿宋_GB2312" w:eastAsia="仿宋_GB2312"/>
          <w:sz w:val="32"/>
          <w:szCs w:val="32"/>
        </w:rPr>
        <w:t>:</w:t>
      </w:r>
      <w:r>
        <w:rPr>
          <w:rFonts w:hint="eastAsia" w:ascii="仿宋_GB2312" w:eastAsia="仿宋_GB2312"/>
          <w:sz w:val="32"/>
          <w:szCs w:val="32"/>
        </w:rPr>
        <w:t>指</w:t>
      </w:r>
      <w:r>
        <w:rPr>
          <w:rFonts w:hint="eastAsia" w:ascii="仿宋_GB2312" w:hAnsi="仿宋_GB2312" w:eastAsia="仿宋_GB2312" w:cs="仿宋_GB2312"/>
          <w:sz w:val="32"/>
          <w:szCs w:val="32"/>
        </w:rPr>
        <w:t>财政部门安排的公务员医疗补助经费。</w:t>
      </w:r>
    </w:p>
    <w:p>
      <w:pPr>
        <w:ind w:firstLine="640" w:firstLineChars="200"/>
        <w:rPr>
          <w:rFonts w:hint="eastAsia" w:ascii="仿宋_GB2312" w:hAnsi="仿宋_GB2312" w:eastAsia="仿宋_GB2312" w:cs="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3</w:t>
      </w:r>
      <w:r>
        <w:rPr>
          <w:rFonts w:hint="eastAsia" w:ascii="仿宋_GB2312" w:eastAsia="仿宋_GB2312"/>
          <w:sz w:val="32"/>
          <w:szCs w:val="32"/>
        </w:rPr>
        <w:t>.住房保障支出（类）住房改革支出（款）住房公积金（项）：指</w:t>
      </w:r>
      <w:r>
        <w:rPr>
          <w:rFonts w:hint="eastAsia" w:ascii="仿宋_GB2312" w:hAnsi="仿宋_GB2312" w:eastAsia="仿宋_GB2312" w:cs="仿宋_GB2312"/>
          <w:sz w:val="32"/>
          <w:szCs w:val="32"/>
        </w:rPr>
        <w:t>行政事业单位按人力资源和社会保障部、财政部规定的基本工资和津补贴以及规定比例为职工缴纳的住房公积金。</w:t>
      </w:r>
    </w:p>
    <w:p>
      <w:pPr>
        <w:ind w:firstLine="640" w:firstLineChars="200"/>
        <w:rPr>
          <w:rFonts w:ascii="仿宋_GB2312" w:eastAsia="仿宋_GB2312"/>
          <w:sz w:val="32"/>
          <w:szCs w:val="32"/>
        </w:rPr>
      </w:pPr>
      <w:r>
        <w:rPr>
          <w:rFonts w:hint="eastAsia" w:ascii="仿宋_GB2312" w:eastAsia="仿宋_GB2312"/>
          <w:sz w:val="32"/>
          <w:szCs w:val="32"/>
          <w:lang w:val="en-US" w:eastAsia="zh-CN"/>
        </w:rPr>
        <w:t>14</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5</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keepNext w:val="0"/>
        <w:keepLines w:val="0"/>
        <w:pageBreakBefore w:val="0"/>
        <w:numPr>
          <w:ilvl w:val="0"/>
          <w:numId w:val="0"/>
        </w:numPr>
        <w:kinsoku/>
        <w:wordWrap/>
        <w:overflowPunct/>
        <w:topLinePunct w:val="0"/>
        <w:autoSpaceDE/>
        <w:autoSpaceDN/>
        <w:bidi w:val="0"/>
        <w:snapToGrid/>
        <w:spacing w:line="580" w:lineRule="atLeast"/>
        <w:ind w:right="-218" w:rightChars="-104" w:firstLine="640" w:firstLineChars="200"/>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6</w:t>
      </w:r>
      <w:r>
        <w:rPr>
          <w:rFonts w:ascii="仿宋_GB2312" w:eastAsia="仿宋_GB2312"/>
          <w:color w:val="auto"/>
          <w:sz w:val="32"/>
          <w:szCs w:val="32"/>
        </w:rPr>
        <w:t>.</w:t>
      </w:r>
      <w:r>
        <w:rPr>
          <w:rFonts w:hint="eastAsia" w:ascii="仿宋_GB2312" w:hAnsi="仿宋_GB2312" w:eastAsia="仿宋_GB2312" w:cs="仿宋_GB2312"/>
          <w:color w:val="auto"/>
          <w:sz w:val="32"/>
          <w:szCs w:val="32"/>
          <w:lang w:eastAsia="zh-CN"/>
        </w:rPr>
        <w:t>“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3"/>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7</w:t>
      </w:r>
      <w:r>
        <w:rPr>
          <w:rFonts w:ascii="仿宋_GB2312" w:eastAsia="仿宋_GB2312"/>
          <w:color w:val="auto"/>
          <w:sz w:val="32"/>
          <w:szCs w:val="32"/>
        </w:rPr>
        <w:t>.</w:t>
      </w:r>
      <w:r>
        <w:rPr>
          <w:rFonts w:hint="eastAsia" w:ascii="仿宋_GB2312" w:hAnsi="仿宋_GB2312" w:eastAsia="仿宋_GB2312" w:cs="仿宋_GB2312"/>
          <w:color w:val="auto"/>
          <w:sz w:val="32"/>
          <w:szCs w:val="32"/>
          <w:lang w:eastAsia="zh-CN"/>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000000" w:themeColor="text1"/>
          <w:sz w:val="44"/>
          <w:szCs w:val="44"/>
          <w:highlight w:val="none"/>
          <w14:textFill>
            <w14:solidFill>
              <w14:schemeClr w14:val="tx1"/>
            </w14:solidFill>
          </w14:textFill>
        </w:rPr>
      </w:pPr>
    </w:p>
    <w:p>
      <w:pPr>
        <w:pStyle w:val="2"/>
        <w:rPr>
          <w:rFonts w:hint="eastAsia" w:ascii="黑体" w:hAnsi="黑体" w:eastAsia="黑体"/>
          <w:color w:val="000000" w:themeColor="text1"/>
          <w:sz w:val="44"/>
          <w:szCs w:val="44"/>
          <w:highlight w:val="none"/>
          <w14:textFill>
            <w14:solidFill>
              <w14:schemeClr w14:val="tx1"/>
            </w14:solidFill>
          </w14:textFill>
        </w:rPr>
      </w:pPr>
    </w:p>
    <w:p>
      <w:pPr>
        <w:pStyle w:val="2"/>
        <w:rPr>
          <w:rFonts w:hint="eastAsia" w:ascii="黑体" w:hAnsi="黑体" w:eastAsia="黑体"/>
          <w:color w:val="000000" w:themeColor="text1"/>
          <w:sz w:val="44"/>
          <w:szCs w:val="44"/>
          <w:highlight w:val="none"/>
          <w14:textFill>
            <w14:solidFill>
              <w14:schemeClr w14:val="tx1"/>
            </w14:solidFill>
          </w14:textFill>
        </w:rPr>
      </w:pPr>
    </w:p>
    <w:p>
      <w:pPr>
        <w:pStyle w:val="2"/>
        <w:rPr>
          <w:rFonts w:hint="eastAsia" w:ascii="黑体" w:hAnsi="黑体" w:eastAsia="黑体"/>
          <w:color w:val="000000" w:themeColor="text1"/>
          <w:sz w:val="44"/>
          <w:szCs w:val="44"/>
          <w:highlight w:val="none"/>
          <w14:textFill>
            <w14:solidFill>
              <w14:schemeClr w14:val="tx1"/>
            </w14:solidFill>
          </w14:textFill>
        </w:rPr>
      </w:pPr>
    </w:p>
    <w:p>
      <w:pPr>
        <w:spacing w:line="600" w:lineRule="exact"/>
        <w:jc w:val="center"/>
        <w:outlineLvl w:val="0"/>
        <w:rPr>
          <w:rFonts w:hint="eastAsia" w:ascii="黑体" w:hAnsi="黑体" w:eastAsia="黑体"/>
          <w:color w:val="000000" w:themeColor="text1"/>
          <w:sz w:val="44"/>
          <w:szCs w:val="44"/>
          <w:highlight w:val="none"/>
          <w14:textFill>
            <w14:solidFill>
              <w14:schemeClr w14:val="tx1"/>
            </w14:solidFill>
          </w14:textFill>
        </w:rPr>
      </w:pPr>
    </w:p>
    <w:p>
      <w:pPr>
        <w:spacing w:line="600" w:lineRule="exact"/>
        <w:jc w:val="center"/>
        <w:outlineLvl w:val="0"/>
        <w:rPr>
          <w:rStyle w:val="25"/>
          <w:rFonts w:ascii="黑体" w:hAnsi="黑体" w:eastAsia="黑体"/>
          <w:b w:val="0"/>
          <w:color w:val="000000" w:themeColor="text1"/>
          <w:highlight w:val="none"/>
          <w14:textFill>
            <w14:solidFill>
              <w14:schemeClr w14:val="tx1"/>
            </w14:solidFill>
          </w14:textFill>
        </w:rPr>
      </w:pPr>
      <w:r>
        <w:rPr>
          <w:rFonts w:hint="eastAsia" w:ascii="黑体" w:hAnsi="黑体" w:eastAsia="黑体"/>
          <w:color w:val="000000" w:themeColor="text1"/>
          <w:sz w:val="44"/>
          <w:szCs w:val="44"/>
          <w:highlight w:val="none"/>
          <w14:textFill>
            <w14:solidFill>
              <w14:schemeClr w14:val="tx1"/>
            </w14:solidFill>
          </w14:textFill>
        </w:rPr>
        <w:t>第</w:t>
      </w:r>
      <w:r>
        <w:rPr>
          <w:rStyle w:val="25"/>
          <w:rFonts w:hint="eastAsia" w:ascii="黑体" w:hAnsi="黑体" w:eastAsia="黑体"/>
          <w:b w:val="0"/>
          <w:color w:val="000000" w:themeColor="text1"/>
          <w:highlight w:val="none"/>
          <w14:textFill>
            <w14:solidFill>
              <w14:schemeClr w14:val="tx1"/>
            </w14:solidFill>
          </w14:textFill>
        </w:rPr>
        <w:t>四部分 附件</w:t>
      </w:r>
      <w:bookmarkEnd w:id="51"/>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附件</w:t>
      </w:r>
    </w:p>
    <w:tbl>
      <w:tblPr>
        <w:tblStyle w:val="13"/>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000000" w:themeColor="text1"/>
                <w:sz w:val="32"/>
                <w:szCs w:val="32"/>
                <w:u w:val="none"/>
                <w14:textFill>
                  <w14:solidFill>
                    <w14:schemeClr w14:val="tx1"/>
                  </w14:solidFill>
                </w14:textFill>
              </w:rPr>
            </w:pPr>
            <w:bookmarkStart w:id="53" w:name="_Toc15396618"/>
            <w:r>
              <w:rPr>
                <w:rFonts w:hint="eastAsia" w:ascii="宋体" w:hAnsi="宋体" w:eastAsia="宋体" w:cs="宋体"/>
                <w:b/>
                <w:i w:val="0"/>
                <w:color w:val="000000" w:themeColor="text1"/>
                <w:sz w:val="32"/>
                <w:szCs w:val="32"/>
                <w:u w:val="none"/>
                <w:lang w:val="en-US" w:eastAsia="zh-CN"/>
                <w14:textFill>
                  <w14:solidFill>
                    <w14:schemeClr w14:val="tx1"/>
                  </w14:solidFill>
                </w14:textFill>
              </w:rPr>
              <w:t>2021年100万元以上（含）特定目标类部门预算项目绩效目标自评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kern w:val="0"/>
                <w:sz w:val="32"/>
                <w:szCs w:val="32"/>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000000" w:themeColor="text1"/>
                <w:sz w:val="24"/>
                <w:szCs w:val="24"/>
                <w:u w:val="none"/>
                <w14:textFill>
                  <w14:solidFill>
                    <w14:schemeClr w14:val="tx1"/>
                  </w14:solidFill>
                </w14:textFill>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000000" w:themeColor="text1"/>
                <w:sz w:val="28"/>
                <w:szCs w:val="28"/>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r>
    </w:tbl>
    <w:p>
      <w:pPr>
        <w:spacing w:line="600" w:lineRule="exact"/>
        <w:jc w:val="both"/>
        <w:rPr>
          <w:rFonts w:ascii="仿宋_GB2312" w:hAnsi="宋体" w:eastAsia="仿宋_GB2312"/>
          <w:color w:val="000000" w:themeColor="text1"/>
          <w:sz w:val="32"/>
          <w:szCs w:val="32"/>
          <w:lang w:val="zh-CN"/>
          <w14:textFill>
            <w14:solidFill>
              <w14:schemeClr w14:val="tx1"/>
            </w14:solidFill>
          </w14:textFill>
        </w:rPr>
      </w:pPr>
    </w:p>
    <w:p>
      <w:pPr>
        <w:widowControl/>
        <w:adjustRightInd w:val="0"/>
        <w:snapToGrid w:val="0"/>
        <w:spacing w:line="580" w:lineRule="exact"/>
        <w:jc w:val="left"/>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宋体" w:eastAsia="仿宋_GB2312" w:cs="宋体"/>
          <w:color w:val="000000"/>
          <w:kern w:val="0"/>
          <w:sz w:val="32"/>
          <w:szCs w:val="32"/>
          <w:shd w:val="clear" w:color="auto" w:fill="FFFFFF"/>
        </w:rPr>
        <w:t>（注：2021年四川省乐山监狱</w:t>
      </w:r>
      <w:r>
        <w:rPr>
          <w:rFonts w:hint="eastAsia" w:ascii="仿宋_GB2312" w:hAnsi="宋体" w:eastAsia="仿宋_GB2312" w:cs="宋体"/>
          <w:color w:val="000000"/>
          <w:kern w:val="0"/>
          <w:sz w:val="32"/>
          <w:szCs w:val="32"/>
          <w:shd w:val="clear" w:color="auto" w:fill="FFFFFF"/>
          <w:lang w:eastAsia="zh-CN"/>
        </w:rPr>
        <w:t>管理科无</w:t>
      </w:r>
      <w:r>
        <w:rPr>
          <w:rFonts w:hint="eastAsia" w:ascii="仿宋_GB2312" w:hAnsi="宋体" w:eastAsia="仿宋_GB2312" w:cs="宋体"/>
          <w:color w:val="000000"/>
          <w:kern w:val="0"/>
          <w:sz w:val="32"/>
          <w:szCs w:val="32"/>
          <w:shd w:val="clear" w:color="auto" w:fill="FFFFFF"/>
        </w:rPr>
        <w:t>100万元以上（含）特定目标类部门预算项目</w:t>
      </w:r>
      <w:r>
        <w:rPr>
          <w:rFonts w:hint="eastAsia" w:ascii="仿宋_GB2312" w:hAnsi="宋体" w:eastAsia="仿宋_GB2312" w:cs="宋体"/>
          <w:color w:val="000000"/>
          <w:kern w:val="0"/>
          <w:sz w:val="32"/>
          <w:szCs w:val="32"/>
          <w:shd w:val="clear" w:color="auto" w:fill="FFFFFF"/>
          <w:lang w:eastAsia="zh-CN"/>
        </w:rPr>
        <w:t>，因此未</w:t>
      </w:r>
      <w:r>
        <w:rPr>
          <w:rFonts w:hint="eastAsia" w:ascii="仿宋_GB2312" w:hAnsi="宋体" w:eastAsia="仿宋_GB2312" w:cs="宋体"/>
          <w:color w:val="000000"/>
          <w:kern w:val="0"/>
          <w:sz w:val="32"/>
          <w:szCs w:val="32"/>
          <w:shd w:val="clear" w:color="auto" w:fill="FFFFFF"/>
        </w:rPr>
        <w:t>进行绩效目标自评）</w:t>
      </w:r>
    </w:p>
    <w:p>
      <w:pPr>
        <w:spacing w:line="600" w:lineRule="exact"/>
        <w:jc w:val="left"/>
        <w:outlineLvl w:val="0"/>
        <w:rPr>
          <w:rFonts w:hint="eastAsia" w:ascii="黑体" w:hAnsi="黑体" w:eastAsia="仿宋_GB2312"/>
          <w:color w:val="000000" w:themeColor="text1"/>
          <w:sz w:val="44"/>
          <w:szCs w:val="44"/>
          <w:highlight w:val="none"/>
          <w:lang w:eastAsia="zh-CN"/>
          <w14:textFill>
            <w14:solidFill>
              <w14:schemeClr w14:val="tx1"/>
            </w14:solidFill>
          </w14:textFill>
        </w:rPr>
      </w:pPr>
    </w:p>
    <w:p>
      <w:pPr>
        <w:spacing w:line="600" w:lineRule="exact"/>
        <w:jc w:val="both"/>
        <w:outlineLvl w:val="0"/>
        <w:rPr>
          <w:rFonts w:hint="eastAsia" w:ascii="黑体" w:hAnsi="黑体" w:eastAsia="黑体"/>
          <w:color w:val="000000" w:themeColor="text1"/>
          <w:sz w:val="44"/>
          <w:szCs w:val="44"/>
          <w:highlight w:val="none"/>
          <w14:textFill>
            <w14:solidFill>
              <w14:schemeClr w14:val="tx1"/>
            </w14:solidFill>
          </w14:textFill>
        </w:rPr>
      </w:pPr>
    </w:p>
    <w:p>
      <w:pPr>
        <w:spacing w:line="600" w:lineRule="exact"/>
        <w:jc w:val="center"/>
        <w:outlineLvl w:val="0"/>
        <w:rPr>
          <w:rFonts w:hint="eastAsia" w:ascii="仿宋" w:hAnsi="仿宋" w:eastAsia="仿宋"/>
          <w:b w:val="0"/>
          <w:color w:val="000000" w:themeColor="text1"/>
          <w:highlight w:val="none"/>
          <w14:textFill>
            <w14:solidFill>
              <w14:schemeClr w14:val="tx1"/>
            </w14:solidFill>
          </w14:textFill>
        </w:rPr>
      </w:pPr>
      <w:r>
        <w:rPr>
          <w:rFonts w:hint="eastAsia" w:ascii="黑体" w:hAnsi="黑体" w:eastAsia="黑体"/>
          <w:color w:val="000000" w:themeColor="text1"/>
          <w:sz w:val="44"/>
          <w:szCs w:val="44"/>
          <w:highlight w:val="none"/>
          <w14:textFill>
            <w14:solidFill>
              <w14:schemeClr w14:val="tx1"/>
            </w14:solidFill>
          </w14:textFill>
        </w:rPr>
        <w:t>第</w:t>
      </w:r>
      <w:r>
        <w:rPr>
          <w:rStyle w:val="25"/>
          <w:rFonts w:hint="eastAsia" w:ascii="黑体" w:hAnsi="黑体" w:eastAsia="黑体"/>
          <w:b w:val="0"/>
          <w:color w:val="000000" w:themeColor="text1"/>
          <w:highlight w:val="none"/>
          <w14:textFill>
            <w14:solidFill>
              <w14:schemeClr w14:val="tx1"/>
            </w14:solidFill>
          </w14:textFill>
        </w:rPr>
        <w:t>五部分 附表</w:t>
      </w:r>
    </w:p>
    <w:p>
      <w:pPr>
        <w:pStyle w:val="4"/>
        <w:rPr>
          <w:rFonts w:ascii="仿宋" w:hAnsi="仿宋" w:eastAsia="仿宋"/>
          <w:color w:val="000000" w:themeColor="text1"/>
          <w:highlight w:val="none"/>
          <w14:textFill>
            <w14:solidFill>
              <w14:schemeClr w14:val="tx1"/>
            </w14:solidFill>
          </w14:textFill>
        </w:rPr>
      </w:pPr>
      <w:r>
        <w:rPr>
          <w:rFonts w:hint="eastAsia" w:ascii="仿宋" w:hAnsi="仿宋" w:eastAsia="仿宋"/>
          <w:b w:val="0"/>
          <w:color w:val="000000" w:themeColor="text1"/>
          <w:highlight w:val="none"/>
          <w14:textFill>
            <w14:solidFill>
              <w14:schemeClr w14:val="tx1"/>
            </w14:solidFill>
          </w14:textFill>
        </w:rPr>
        <w:t>一、收</w:t>
      </w:r>
      <w:r>
        <w:rPr>
          <w:rStyle w:val="26"/>
          <w:rFonts w:hint="eastAsia" w:ascii="仿宋" w:hAnsi="仿宋" w:eastAsia="仿宋"/>
          <w:b w:val="0"/>
          <w:bCs w:val="0"/>
          <w:color w:val="000000" w:themeColor="text1"/>
          <w:highlight w:val="none"/>
          <w14:textFill>
            <w14:solidFill>
              <w14:schemeClr w14:val="tx1"/>
            </w14:solidFill>
          </w14:textFill>
        </w:rPr>
        <w:t>入支出决算总表</w:t>
      </w:r>
    </w:p>
    <w:p>
      <w:pPr>
        <w:pStyle w:val="4"/>
        <w:rPr>
          <w:rFonts w:ascii="仿宋" w:hAnsi="仿宋" w:eastAsia="仿宋"/>
          <w:color w:val="000000" w:themeColor="text1"/>
          <w:highlight w:val="none"/>
          <w14:textFill>
            <w14:solidFill>
              <w14:schemeClr w14:val="tx1"/>
            </w14:solidFill>
          </w14:textFill>
        </w:rPr>
      </w:pPr>
      <w:r>
        <w:rPr>
          <w:rFonts w:hint="eastAsia" w:ascii="仿宋" w:hAnsi="仿宋" w:eastAsia="仿宋"/>
          <w:b w:val="0"/>
          <w:color w:val="000000" w:themeColor="text1"/>
          <w:highlight w:val="none"/>
          <w14:textFill>
            <w14:solidFill>
              <w14:schemeClr w14:val="tx1"/>
            </w14:solidFill>
          </w14:textFill>
        </w:rPr>
        <w:t>二、收</w:t>
      </w:r>
      <w:r>
        <w:rPr>
          <w:rStyle w:val="26"/>
          <w:rFonts w:hint="eastAsia" w:ascii="仿宋" w:hAnsi="仿宋" w:eastAsia="仿宋"/>
          <w:b w:val="0"/>
          <w:bCs w:val="0"/>
          <w:color w:val="000000" w:themeColor="text1"/>
          <w:highlight w:val="none"/>
          <w14:textFill>
            <w14:solidFill>
              <w14:schemeClr w14:val="tx1"/>
            </w14:solidFill>
          </w14:textFill>
        </w:rPr>
        <w:t>入决算表</w:t>
      </w:r>
    </w:p>
    <w:p>
      <w:pPr>
        <w:pStyle w:val="4"/>
        <w:rPr>
          <w:rFonts w:ascii="仿宋" w:hAnsi="仿宋" w:eastAsia="仿宋"/>
          <w:color w:val="000000" w:themeColor="text1"/>
          <w:highlight w:val="none"/>
          <w14:textFill>
            <w14:solidFill>
              <w14:schemeClr w14:val="tx1"/>
            </w14:solidFill>
          </w14:textFill>
        </w:rPr>
      </w:pPr>
      <w:r>
        <w:rPr>
          <w:rStyle w:val="26"/>
          <w:rFonts w:hint="eastAsia" w:ascii="仿宋" w:hAnsi="仿宋" w:eastAsia="仿宋"/>
          <w:b w:val="0"/>
          <w:bCs w:val="0"/>
          <w:color w:val="000000" w:themeColor="text1"/>
          <w:highlight w:val="none"/>
          <w14:textFill>
            <w14:solidFill>
              <w14:schemeClr w14:val="tx1"/>
            </w14:solidFill>
          </w14:textFill>
        </w:rPr>
        <w:t>三、</w:t>
      </w:r>
      <w:r>
        <w:rPr>
          <w:rFonts w:hint="eastAsia" w:ascii="仿宋" w:hAnsi="仿宋" w:eastAsia="仿宋"/>
          <w:b w:val="0"/>
          <w:color w:val="000000" w:themeColor="text1"/>
          <w:highlight w:val="none"/>
          <w14:textFill>
            <w14:solidFill>
              <w14:schemeClr w14:val="tx1"/>
            </w14:solidFill>
          </w14:textFill>
        </w:rPr>
        <w:t>支</w:t>
      </w:r>
      <w:r>
        <w:rPr>
          <w:rStyle w:val="26"/>
          <w:rFonts w:hint="eastAsia" w:ascii="仿宋" w:hAnsi="仿宋" w:eastAsia="仿宋"/>
          <w:b w:val="0"/>
          <w:bCs w:val="0"/>
          <w:color w:val="000000" w:themeColor="text1"/>
          <w:highlight w:val="none"/>
          <w14:textFill>
            <w14:solidFill>
              <w14:schemeClr w14:val="tx1"/>
            </w14:solidFill>
          </w14:textFill>
        </w:rPr>
        <w:t>出决算表</w:t>
      </w:r>
    </w:p>
    <w:p>
      <w:pPr>
        <w:pStyle w:val="4"/>
        <w:rPr>
          <w:rFonts w:ascii="仿宋" w:hAnsi="仿宋" w:eastAsia="仿宋"/>
          <w:b w:val="0"/>
          <w:color w:val="000000" w:themeColor="text1"/>
          <w:highlight w:val="none"/>
          <w14:textFill>
            <w14:solidFill>
              <w14:schemeClr w14:val="tx1"/>
            </w14:solidFill>
          </w14:textFill>
        </w:rPr>
      </w:pPr>
      <w:r>
        <w:rPr>
          <w:rStyle w:val="26"/>
          <w:rFonts w:hint="eastAsia" w:ascii="仿宋" w:hAnsi="仿宋" w:eastAsia="仿宋"/>
          <w:b w:val="0"/>
          <w:bCs w:val="0"/>
          <w:color w:val="000000" w:themeColor="text1"/>
          <w:highlight w:val="none"/>
          <w14:textFill>
            <w14:solidFill>
              <w14:schemeClr w14:val="tx1"/>
            </w14:solidFill>
          </w14:textFill>
        </w:rPr>
        <w:t>四、</w:t>
      </w:r>
      <w:r>
        <w:rPr>
          <w:rFonts w:hint="eastAsia" w:ascii="仿宋" w:hAnsi="仿宋" w:eastAsia="仿宋"/>
          <w:b w:val="0"/>
          <w:color w:val="000000" w:themeColor="text1"/>
          <w:highlight w:val="none"/>
          <w14:textFill>
            <w14:solidFill>
              <w14:schemeClr w14:val="tx1"/>
            </w14:solidFill>
          </w14:textFill>
        </w:rPr>
        <w:t>财</w:t>
      </w:r>
      <w:r>
        <w:rPr>
          <w:rStyle w:val="26"/>
          <w:rFonts w:hint="eastAsia" w:ascii="仿宋" w:hAnsi="仿宋" w:eastAsia="仿宋"/>
          <w:b w:val="0"/>
          <w:bCs w:val="0"/>
          <w:color w:val="000000" w:themeColor="text1"/>
          <w:highlight w:val="none"/>
          <w14:textFill>
            <w14:solidFill>
              <w14:schemeClr w14:val="tx1"/>
            </w14:solidFill>
          </w14:textFill>
        </w:rPr>
        <w:t>政拨款收入支出决算总表</w:t>
      </w:r>
    </w:p>
    <w:p>
      <w:pPr>
        <w:pStyle w:val="4"/>
        <w:rPr>
          <w:rStyle w:val="26"/>
          <w:rFonts w:ascii="仿宋" w:hAnsi="仿宋" w:eastAsia="仿宋"/>
          <w:b w:val="0"/>
          <w:bCs w:val="0"/>
          <w:color w:val="000000" w:themeColor="text1"/>
          <w:highlight w:val="none"/>
          <w14:textFill>
            <w14:solidFill>
              <w14:schemeClr w14:val="tx1"/>
            </w14:solidFill>
          </w14:textFill>
        </w:rPr>
      </w:pPr>
      <w:r>
        <w:rPr>
          <w:rStyle w:val="26"/>
          <w:rFonts w:hint="eastAsia" w:ascii="仿宋" w:hAnsi="仿宋" w:eastAsia="仿宋"/>
          <w:b w:val="0"/>
          <w:bCs w:val="0"/>
          <w:color w:val="000000" w:themeColor="text1"/>
          <w:highlight w:val="none"/>
          <w14:textFill>
            <w14:solidFill>
              <w14:schemeClr w14:val="tx1"/>
            </w14:solidFill>
          </w14:textFill>
        </w:rPr>
        <w:t>五、</w:t>
      </w:r>
      <w:r>
        <w:rPr>
          <w:rFonts w:hint="eastAsia" w:ascii="仿宋" w:hAnsi="仿宋" w:eastAsia="仿宋"/>
          <w:b w:val="0"/>
          <w:color w:val="000000" w:themeColor="text1"/>
          <w:highlight w:val="none"/>
          <w14:textFill>
            <w14:solidFill>
              <w14:schemeClr w14:val="tx1"/>
            </w14:solidFill>
          </w14:textFill>
        </w:rPr>
        <w:t>财</w:t>
      </w:r>
      <w:r>
        <w:rPr>
          <w:rStyle w:val="26"/>
          <w:rFonts w:hint="eastAsia" w:ascii="仿宋" w:hAnsi="仿宋" w:eastAsia="仿宋"/>
          <w:b w:val="0"/>
          <w:bCs w:val="0"/>
          <w:color w:val="000000" w:themeColor="text1"/>
          <w:highlight w:val="none"/>
          <w14:textFill>
            <w14:solidFill>
              <w14:schemeClr w14:val="tx1"/>
            </w14:solidFill>
          </w14:textFill>
        </w:rPr>
        <w:t>政拨款支出决算明细表</w:t>
      </w:r>
    </w:p>
    <w:p>
      <w:pPr>
        <w:pStyle w:val="4"/>
        <w:rPr>
          <w:rFonts w:ascii="仿宋" w:hAnsi="仿宋" w:eastAsia="仿宋"/>
          <w:color w:val="000000" w:themeColor="text1"/>
          <w:highlight w:val="none"/>
          <w14:textFill>
            <w14:solidFill>
              <w14:schemeClr w14:val="tx1"/>
            </w14:solidFill>
          </w14:textFill>
        </w:rPr>
      </w:pPr>
      <w:r>
        <w:rPr>
          <w:rStyle w:val="26"/>
          <w:rFonts w:hint="eastAsia" w:ascii="仿宋" w:hAnsi="仿宋" w:eastAsia="仿宋"/>
          <w:b w:val="0"/>
          <w:bCs w:val="0"/>
          <w:color w:val="000000" w:themeColor="text1"/>
          <w:highlight w:val="none"/>
          <w14:textFill>
            <w14:solidFill>
              <w14:schemeClr w14:val="tx1"/>
            </w14:solidFill>
          </w14:textFill>
        </w:rPr>
        <w:t>六、</w:t>
      </w:r>
      <w:r>
        <w:rPr>
          <w:rFonts w:hint="eastAsia" w:ascii="仿宋" w:hAnsi="仿宋" w:eastAsia="仿宋"/>
          <w:b w:val="0"/>
          <w:color w:val="000000" w:themeColor="text1"/>
          <w:highlight w:val="none"/>
          <w14:textFill>
            <w14:solidFill>
              <w14:schemeClr w14:val="tx1"/>
            </w14:solidFill>
          </w14:textFill>
        </w:rPr>
        <w:t>一</w:t>
      </w:r>
      <w:r>
        <w:rPr>
          <w:rStyle w:val="26"/>
          <w:rFonts w:hint="eastAsia" w:ascii="仿宋" w:hAnsi="仿宋" w:eastAsia="仿宋"/>
          <w:b w:val="0"/>
          <w:bCs w:val="0"/>
          <w:color w:val="000000" w:themeColor="text1"/>
          <w:highlight w:val="none"/>
          <w14:textFill>
            <w14:solidFill>
              <w14:schemeClr w14:val="tx1"/>
            </w14:solidFill>
          </w14:textFill>
        </w:rPr>
        <w:t>般公共预算财政拨款支出决算表</w:t>
      </w:r>
    </w:p>
    <w:p>
      <w:pPr>
        <w:pStyle w:val="4"/>
        <w:rPr>
          <w:rFonts w:ascii="仿宋" w:hAnsi="仿宋" w:eastAsia="仿宋"/>
          <w:color w:val="000000" w:themeColor="text1"/>
          <w:highlight w:val="none"/>
          <w14:textFill>
            <w14:solidFill>
              <w14:schemeClr w14:val="tx1"/>
            </w14:solidFill>
          </w14:textFill>
        </w:rPr>
      </w:pPr>
      <w:r>
        <w:rPr>
          <w:rStyle w:val="26"/>
          <w:rFonts w:hint="eastAsia" w:ascii="仿宋" w:hAnsi="仿宋" w:eastAsia="仿宋"/>
          <w:b w:val="0"/>
          <w:bCs w:val="0"/>
          <w:color w:val="000000" w:themeColor="text1"/>
          <w:highlight w:val="none"/>
          <w14:textFill>
            <w14:solidFill>
              <w14:schemeClr w14:val="tx1"/>
            </w14:solidFill>
          </w14:textFill>
        </w:rPr>
        <w:t>七、</w:t>
      </w:r>
      <w:r>
        <w:rPr>
          <w:rFonts w:hint="eastAsia" w:ascii="仿宋" w:hAnsi="仿宋" w:eastAsia="仿宋"/>
          <w:b w:val="0"/>
          <w:color w:val="000000" w:themeColor="text1"/>
          <w:highlight w:val="none"/>
          <w14:textFill>
            <w14:solidFill>
              <w14:schemeClr w14:val="tx1"/>
            </w14:solidFill>
          </w14:textFill>
        </w:rPr>
        <w:t>一</w:t>
      </w:r>
      <w:r>
        <w:rPr>
          <w:rStyle w:val="26"/>
          <w:rFonts w:hint="eastAsia" w:ascii="仿宋" w:hAnsi="仿宋" w:eastAsia="仿宋"/>
          <w:b w:val="0"/>
          <w:bCs w:val="0"/>
          <w:color w:val="000000" w:themeColor="text1"/>
          <w:highlight w:val="none"/>
          <w14:textFill>
            <w14:solidFill>
              <w14:schemeClr w14:val="tx1"/>
            </w14:solidFill>
          </w14:textFill>
        </w:rPr>
        <w:t>般公共预算财政拨款支出决算明细表</w:t>
      </w:r>
    </w:p>
    <w:p>
      <w:pPr>
        <w:pStyle w:val="4"/>
        <w:rPr>
          <w:rFonts w:ascii="仿宋" w:hAnsi="仿宋" w:eastAsia="仿宋"/>
          <w:color w:val="000000" w:themeColor="text1"/>
          <w:highlight w:val="none"/>
          <w14:textFill>
            <w14:solidFill>
              <w14:schemeClr w14:val="tx1"/>
            </w14:solidFill>
          </w14:textFill>
        </w:rPr>
      </w:pPr>
      <w:r>
        <w:rPr>
          <w:rStyle w:val="26"/>
          <w:rFonts w:hint="eastAsia" w:ascii="仿宋" w:hAnsi="仿宋" w:eastAsia="仿宋"/>
          <w:b w:val="0"/>
          <w:bCs w:val="0"/>
          <w:color w:val="000000" w:themeColor="text1"/>
          <w:highlight w:val="none"/>
          <w14:textFill>
            <w14:solidFill>
              <w14:schemeClr w14:val="tx1"/>
            </w14:solidFill>
          </w14:textFill>
        </w:rPr>
        <w:t>八、</w:t>
      </w:r>
      <w:r>
        <w:rPr>
          <w:rFonts w:hint="eastAsia" w:ascii="仿宋" w:hAnsi="仿宋" w:eastAsia="仿宋"/>
          <w:b w:val="0"/>
          <w:color w:val="000000" w:themeColor="text1"/>
          <w:highlight w:val="none"/>
          <w14:textFill>
            <w14:solidFill>
              <w14:schemeClr w14:val="tx1"/>
            </w14:solidFill>
          </w14:textFill>
        </w:rPr>
        <w:t>一</w:t>
      </w:r>
      <w:r>
        <w:rPr>
          <w:rStyle w:val="26"/>
          <w:rFonts w:hint="eastAsia" w:ascii="仿宋" w:hAnsi="仿宋" w:eastAsia="仿宋"/>
          <w:b w:val="0"/>
          <w:bCs w:val="0"/>
          <w:color w:val="000000" w:themeColor="text1"/>
          <w:highlight w:val="none"/>
          <w14:textFill>
            <w14:solidFill>
              <w14:schemeClr w14:val="tx1"/>
            </w14:solidFill>
          </w14:textFill>
        </w:rPr>
        <w:t>般公共预算财政拨款基本支出决算表</w:t>
      </w:r>
    </w:p>
    <w:p>
      <w:pPr>
        <w:pStyle w:val="4"/>
        <w:rPr>
          <w:rFonts w:ascii="仿宋" w:hAnsi="仿宋" w:eastAsia="仿宋"/>
          <w:color w:val="000000" w:themeColor="text1"/>
          <w:highlight w:val="none"/>
          <w14:textFill>
            <w14:solidFill>
              <w14:schemeClr w14:val="tx1"/>
            </w14:solidFill>
          </w14:textFill>
        </w:rPr>
      </w:pPr>
      <w:r>
        <w:rPr>
          <w:rStyle w:val="26"/>
          <w:rFonts w:hint="eastAsia" w:ascii="仿宋" w:hAnsi="仿宋" w:eastAsia="仿宋"/>
          <w:b w:val="0"/>
          <w:bCs w:val="0"/>
          <w:color w:val="000000" w:themeColor="text1"/>
          <w:highlight w:val="none"/>
          <w14:textFill>
            <w14:solidFill>
              <w14:schemeClr w14:val="tx1"/>
            </w14:solidFill>
          </w14:textFill>
        </w:rPr>
        <w:t>九、</w:t>
      </w:r>
      <w:r>
        <w:rPr>
          <w:rFonts w:hint="eastAsia" w:ascii="仿宋" w:hAnsi="仿宋" w:eastAsia="仿宋"/>
          <w:b w:val="0"/>
          <w:color w:val="000000" w:themeColor="text1"/>
          <w:highlight w:val="none"/>
          <w14:textFill>
            <w14:solidFill>
              <w14:schemeClr w14:val="tx1"/>
            </w14:solidFill>
          </w14:textFill>
        </w:rPr>
        <w:t>一</w:t>
      </w:r>
      <w:r>
        <w:rPr>
          <w:rStyle w:val="26"/>
          <w:rFonts w:hint="eastAsia" w:ascii="仿宋" w:hAnsi="仿宋" w:eastAsia="仿宋"/>
          <w:b w:val="0"/>
          <w:bCs w:val="0"/>
          <w:color w:val="000000" w:themeColor="text1"/>
          <w:highlight w:val="none"/>
          <w14:textFill>
            <w14:solidFill>
              <w14:schemeClr w14:val="tx1"/>
            </w14:solidFill>
          </w14:textFill>
        </w:rPr>
        <w:t>般公共预算财政拨款项目支出决算表</w:t>
      </w:r>
    </w:p>
    <w:p>
      <w:pPr>
        <w:pStyle w:val="4"/>
        <w:rPr>
          <w:rFonts w:ascii="仿宋" w:hAnsi="仿宋" w:eastAsia="仿宋"/>
          <w:color w:val="000000" w:themeColor="text1"/>
          <w:highlight w:val="none"/>
          <w14:textFill>
            <w14:solidFill>
              <w14:schemeClr w14:val="tx1"/>
            </w14:solidFill>
          </w14:textFill>
        </w:rPr>
      </w:pPr>
      <w:r>
        <w:rPr>
          <w:rStyle w:val="26"/>
          <w:rFonts w:hint="eastAsia" w:ascii="仿宋" w:hAnsi="仿宋" w:eastAsia="仿宋"/>
          <w:b w:val="0"/>
          <w:bCs w:val="0"/>
          <w:color w:val="000000" w:themeColor="text1"/>
          <w:highlight w:val="none"/>
          <w14:textFill>
            <w14:solidFill>
              <w14:schemeClr w14:val="tx1"/>
            </w14:solidFill>
          </w14:textFill>
        </w:rPr>
        <w:t>十、</w:t>
      </w:r>
      <w:r>
        <w:rPr>
          <w:rFonts w:hint="eastAsia" w:ascii="仿宋" w:hAnsi="仿宋" w:eastAsia="仿宋"/>
          <w:b w:val="0"/>
          <w:color w:val="000000" w:themeColor="text1"/>
          <w:highlight w:val="none"/>
          <w14:textFill>
            <w14:solidFill>
              <w14:schemeClr w14:val="tx1"/>
            </w14:solidFill>
          </w14:textFill>
        </w:rPr>
        <w:t>一</w:t>
      </w:r>
      <w:r>
        <w:rPr>
          <w:rStyle w:val="26"/>
          <w:rFonts w:hint="eastAsia" w:ascii="仿宋" w:hAnsi="仿宋" w:eastAsia="仿宋"/>
          <w:b w:val="0"/>
          <w:bCs w:val="0"/>
          <w:color w:val="000000" w:themeColor="text1"/>
          <w:highlight w:val="none"/>
          <w14:textFill>
            <w14:solidFill>
              <w14:schemeClr w14:val="tx1"/>
            </w14:solidFill>
          </w14:textFill>
        </w:rPr>
        <w:t>般公共预算财政拨款“三公”经费支出决算表</w:t>
      </w:r>
    </w:p>
    <w:p>
      <w:pPr>
        <w:pStyle w:val="4"/>
        <w:rPr>
          <w:rFonts w:ascii="仿宋" w:hAnsi="仿宋" w:eastAsia="仿宋"/>
          <w:color w:val="000000" w:themeColor="text1"/>
          <w:highlight w:val="none"/>
          <w14:textFill>
            <w14:solidFill>
              <w14:schemeClr w14:val="tx1"/>
            </w14:solidFill>
          </w14:textFill>
        </w:rPr>
      </w:pPr>
      <w:r>
        <w:rPr>
          <w:rStyle w:val="26"/>
          <w:rFonts w:hint="eastAsia" w:ascii="仿宋" w:hAnsi="仿宋" w:eastAsia="仿宋"/>
          <w:b w:val="0"/>
          <w:bCs w:val="0"/>
          <w:color w:val="000000" w:themeColor="text1"/>
          <w:highlight w:val="none"/>
          <w14:textFill>
            <w14:solidFill>
              <w14:schemeClr w14:val="tx1"/>
            </w14:solidFill>
          </w14:textFill>
        </w:rPr>
        <w:t>十一、</w:t>
      </w:r>
      <w:r>
        <w:rPr>
          <w:rFonts w:hint="eastAsia" w:ascii="仿宋" w:hAnsi="仿宋" w:eastAsia="仿宋"/>
          <w:b w:val="0"/>
          <w:color w:val="000000" w:themeColor="text1"/>
          <w:highlight w:val="none"/>
          <w14:textFill>
            <w14:solidFill>
              <w14:schemeClr w14:val="tx1"/>
            </w14:solidFill>
          </w14:textFill>
        </w:rPr>
        <w:t>政</w:t>
      </w:r>
      <w:r>
        <w:rPr>
          <w:rStyle w:val="26"/>
          <w:rFonts w:hint="eastAsia" w:ascii="仿宋" w:hAnsi="仿宋" w:eastAsia="仿宋"/>
          <w:b w:val="0"/>
          <w:bCs w:val="0"/>
          <w:color w:val="000000" w:themeColor="text1"/>
          <w:highlight w:val="none"/>
          <w14:textFill>
            <w14:solidFill>
              <w14:schemeClr w14:val="tx1"/>
            </w14:solidFill>
          </w14:textFill>
        </w:rPr>
        <w:t>府性基金预算财政拨款收入支出决算表</w:t>
      </w:r>
    </w:p>
    <w:p>
      <w:pPr>
        <w:pStyle w:val="4"/>
        <w:rPr>
          <w:rFonts w:ascii="仿宋" w:hAnsi="仿宋" w:eastAsia="仿宋"/>
          <w:color w:val="000000" w:themeColor="text1"/>
          <w:highlight w:val="none"/>
          <w14:textFill>
            <w14:solidFill>
              <w14:schemeClr w14:val="tx1"/>
            </w14:solidFill>
          </w14:textFill>
        </w:rPr>
      </w:pPr>
      <w:r>
        <w:rPr>
          <w:rStyle w:val="26"/>
          <w:rFonts w:hint="eastAsia" w:ascii="仿宋" w:hAnsi="仿宋" w:eastAsia="仿宋"/>
          <w:b w:val="0"/>
          <w:bCs w:val="0"/>
          <w:color w:val="000000" w:themeColor="text1"/>
          <w:highlight w:val="none"/>
          <w14:textFill>
            <w14:solidFill>
              <w14:schemeClr w14:val="tx1"/>
            </w14:solidFill>
          </w14:textFill>
        </w:rPr>
        <w:t>十二、</w:t>
      </w:r>
      <w:r>
        <w:rPr>
          <w:rFonts w:hint="eastAsia" w:ascii="仿宋" w:hAnsi="仿宋" w:eastAsia="仿宋"/>
          <w:b w:val="0"/>
          <w:color w:val="000000" w:themeColor="text1"/>
          <w:highlight w:val="none"/>
          <w14:textFill>
            <w14:solidFill>
              <w14:schemeClr w14:val="tx1"/>
            </w14:solidFill>
          </w14:textFill>
        </w:rPr>
        <w:t>政</w:t>
      </w:r>
      <w:r>
        <w:rPr>
          <w:rStyle w:val="26"/>
          <w:rFonts w:hint="eastAsia" w:ascii="仿宋" w:hAnsi="仿宋" w:eastAsia="仿宋"/>
          <w:b w:val="0"/>
          <w:bCs w:val="0"/>
          <w:color w:val="000000" w:themeColor="text1"/>
          <w:highlight w:val="none"/>
          <w14:textFill>
            <w14:solidFill>
              <w14:schemeClr w14:val="tx1"/>
            </w14:solidFill>
          </w14:textFill>
        </w:rPr>
        <w:t>府性基金预算财政拨款“三公”经费支出决算表</w:t>
      </w:r>
    </w:p>
    <w:p>
      <w:pPr>
        <w:pStyle w:val="4"/>
        <w:rPr>
          <w:rStyle w:val="26"/>
          <w:rFonts w:hint="eastAsia" w:ascii="仿宋" w:hAnsi="仿宋" w:eastAsia="仿宋"/>
          <w:b w:val="0"/>
          <w:bCs w:val="0"/>
          <w:color w:val="000000" w:themeColor="text1"/>
          <w:highlight w:val="none"/>
          <w14:textFill>
            <w14:solidFill>
              <w14:schemeClr w14:val="tx1"/>
            </w14:solidFill>
          </w14:textFill>
        </w:rPr>
      </w:pPr>
      <w:r>
        <w:rPr>
          <w:rStyle w:val="26"/>
          <w:rFonts w:hint="eastAsia" w:ascii="仿宋" w:hAnsi="仿宋" w:eastAsia="仿宋"/>
          <w:b w:val="0"/>
          <w:bCs w:val="0"/>
          <w:color w:val="000000" w:themeColor="text1"/>
          <w:highlight w:val="none"/>
          <w14:textFill>
            <w14:solidFill>
              <w14:schemeClr w14:val="tx1"/>
            </w14:solidFill>
          </w14:textFill>
        </w:rPr>
        <w:t>十三、</w:t>
      </w:r>
      <w:r>
        <w:rPr>
          <w:rFonts w:hint="eastAsia" w:ascii="仿宋" w:hAnsi="仿宋" w:eastAsia="仿宋"/>
          <w:b w:val="0"/>
          <w:color w:val="000000" w:themeColor="text1"/>
          <w:highlight w:val="none"/>
          <w14:textFill>
            <w14:solidFill>
              <w14:schemeClr w14:val="tx1"/>
            </w14:solidFill>
          </w14:textFill>
        </w:rPr>
        <w:t>国</w:t>
      </w:r>
      <w:r>
        <w:rPr>
          <w:rStyle w:val="26"/>
          <w:rFonts w:hint="eastAsia" w:ascii="仿宋" w:hAnsi="仿宋" w:eastAsia="仿宋"/>
          <w:b w:val="0"/>
          <w:bCs w:val="0"/>
          <w:color w:val="000000" w:themeColor="text1"/>
          <w:highlight w:val="none"/>
          <w14:textFill>
            <w14:solidFill>
              <w14:schemeClr w14:val="tx1"/>
            </w14:solidFill>
          </w14:textFill>
        </w:rPr>
        <w:t>有资本经营预算</w:t>
      </w:r>
      <w:r>
        <w:rPr>
          <w:rStyle w:val="26"/>
          <w:rFonts w:hint="eastAsia" w:ascii="仿宋" w:hAnsi="仿宋" w:eastAsia="仿宋"/>
          <w:b w:val="0"/>
          <w:bCs w:val="0"/>
          <w:color w:val="000000" w:themeColor="text1"/>
          <w:highlight w:val="none"/>
          <w:lang w:eastAsia="zh-CN"/>
          <w14:textFill>
            <w14:solidFill>
              <w14:schemeClr w14:val="tx1"/>
            </w14:solidFill>
          </w14:textFill>
        </w:rPr>
        <w:t>财政拨款收入</w:t>
      </w:r>
      <w:r>
        <w:rPr>
          <w:rStyle w:val="26"/>
          <w:rFonts w:hint="eastAsia" w:ascii="仿宋" w:hAnsi="仿宋" w:eastAsia="仿宋"/>
          <w:b w:val="0"/>
          <w:bCs w:val="0"/>
          <w:color w:val="000000" w:themeColor="text1"/>
          <w:highlight w:val="none"/>
          <w14:textFill>
            <w14:solidFill>
              <w14:schemeClr w14:val="tx1"/>
            </w14:solidFill>
          </w14:textFill>
        </w:rPr>
        <w:t>支出决算表</w:t>
      </w:r>
    </w:p>
    <w:p>
      <w:pPr>
        <w:rPr>
          <w:rFonts w:hint="eastAsia" w:ascii="黑体" w:hAnsi="黑体" w:eastAsia="黑体"/>
          <w:color w:val="000000" w:themeColor="text1"/>
          <w:sz w:val="44"/>
          <w:szCs w:val="44"/>
          <w:highlight w:val="none"/>
          <w:lang w:eastAsia="zh-CN"/>
          <w14:textFill>
            <w14:solidFill>
              <w14:schemeClr w14:val="tx1"/>
            </w14:solidFill>
          </w14:textFill>
        </w:rPr>
      </w:pPr>
      <w:r>
        <w:rPr>
          <w:rStyle w:val="26"/>
          <w:rFonts w:hint="eastAsia" w:ascii="仿宋" w:hAnsi="仿宋" w:eastAsia="仿宋"/>
          <w:b w:val="0"/>
          <w:bCs w:val="0"/>
          <w:color w:val="000000" w:themeColor="text1"/>
          <w:highlight w:val="none"/>
          <w:lang w:eastAsia="zh-CN"/>
          <w14:textFill>
            <w14:solidFill>
              <w14:schemeClr w14:val="tx1"/>
            </w14:solidFill>
          </w14:textFill>
        </w:rPr>
        <w:t>十四、国有资本经营预算财政拨款支出决算表</w:t>
      </w:r>
      <w:bookmarkEnd w:id="52"/>
      <w:bookmarkEnd w:id="53"/>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840D1E"/>
    <w:multiLevelType w:val="singleLevel"/>
    <w:tmpl w:val="8E840D1E"/>
    <w:lvl w:ilvl="0" w:tentative="0">
      <w:start w:val="1"/>
      <w:numFmt w:val="decimal"/>
      <w:lvlText w:val="%1."/>
      <w:lvlJc w:val="left"/>
      <w:pPr>
        <w:tabs>
          <w:tab w:val="left" w:pos="312"/>
        </w:tabs>
      </w:pPr>
    </w:lvl>
  </w:abstractNum>
  <w:abstractNum w:abstractNumId="1">
    <w:nsid w:val="91DA3373"/>
    <w:multiLevelType w:val="singleLevel"/>
    <w:tmpl w:val="91DA3373"/>
    <w:lvl w:ilvl="0" w:tentative="0">
      <w:start w:val="1"/>
      <w:numFmt w:val="decimal"/>
      <w:lvlText w:val="%1."/>
      <w:lvlJc w:val="left"/>
      <w:pPr>
        <w:tabs>
          <w:tab w:val="left" w:pos="312"/>
        </w:tabs>
      </w:p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4DD1D576"/>
    <w:multiLevelType w:val="singleLevel"/>
    <w:tmpl w:val="4DD1D576"/>
    <w:lvl w:ilvl="0" w:tentative="0">
      <w:start w:val="1"/>
      <w:numFmt w:val="chineseCounting"/>
      <w:suff w:val="nothing"/>
      <w:lvlText w:val="%1、"/>
      <w:lvlJc w:val="left"/>
      <w:rPr>
        <w:rFonts w:hint="eastAsia"/>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iN2U3NjZiZmVhYmVmMmY5ODA2NDFiNDM1ZjcyYj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0DAE"/>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B93F87"/>
    <w:rsid w:val="0485312C"/>
    <w:rsid w:val="04B00EFC"/>
    <w:rsid w:val="079D3764"/>
    <w:rsid w:val="09A56E82"/>
    <w:rsid w:val="0A2032A3"/>
    <w:rsid w:val="0B587C26"/>
    <w:rsid w:val="0B8A37D8"/>
    <w:rsid w:val="0C185A65"/>
    <w:rsid w:val="0CE41F03"/>
    <w:rsid w:val="0E634DAF"/>
    <w:rsid w:val="0EB024E6"/>
    <w:rsid w:val="10C055FF"/>
    <w:rsid w:val="118107EC"/>
    <w:rsid w:val="118827EE"/>
    <w:rsid w:val="11DD6519"/>
    <w:rsid w:val="12C20E26"/>
    <w:rsid w:val="12D35076"/>
    <w:rsid w:val="12EC30DD"/>
    <w:rsid w:val="16BB723D"/>
    <w:rsid w:val="18015F3F"/>
    <w:rsid w:val="1969116F"/>
    <w:rsid w:val="1AA323D3"/>
    <w:rsid w:val="1BBB6FF6"/>
    <w:rsid w:val="1BE8440E"/>
    <w:rsid w:val="1D155CEE"/>
    <w:rsid w:val="1D8273AC"/>
    <w:rsid w:val="1DDA285A"/>
    <w:rsid w:val="1E360295"/>
    <w:rsid w:val="1E434F00"/>
    <w:rsid w:val="20F57F95"/>
    <w:rsid w:val="21771B36"/>
    <w:rsid w:val="2196486A"/>
    <w:rsid w:val="22221B59"/>
    <w:rsid w:val="224F37D9"/>
    <w:rsid w:val="240371BF"/>
    <w:rsid w:val="245E2587"/>
    <w:rsid w:val="24B76776"/>
    <w:rsid w:val="250642CA"/>
    <w:rsid w:val="25B86B4A"/>
    <w:rsid w:val="25C741E6"/>
    <w:rsid w:val="26123699"/>
    <w:rsid w:val="27842671"/>
    <w:rsid w:val="27B5628D"/>
    <w:rsid w:val="288B31B1"/>
    <w:rsid w:val="29FD04D3"/>
    <w:rsid w:val="2A58346C"/>
    <w:rsid w:val="2A8B337D"/>
    <w:rsid w:val="2ABE7A3E"/>
    <w:rsid w:val="2BF11AFD"/>
    <w:rsid w:val="2C594622"/>
    <w:rsid w:val="2D2071AB"/>
    <w:rsid w:val="2EFA178C"/>
    <w:rsid w:val="2FC91CC8"/>
    <w:rsid w:val="30680640"/>
    <w:rsid w:val="30B46D73"/>
    <w:rsid w:val="30D478FB"/>
    <w:rsid w:val="319263AB"/>
    <w:rsid w:val="319F7F4E"/>
    <w:rsid w:val="33231270"/>
    <w:rsid w:val="332D4FA4"/>
    <w:rsid w:val="34A26CA0"/>
    <w:rsid w:val="35014938"/>
    <w:rsid w:val="35F32B52"/>
    <w:rsid w:val="38D65C4A"/>
    <w:rsid w:val="39477677"/>
    <w:rsid w:val="39AE70AB"/>
    <w:rsid w:val="3ADE3F87"/>
    <w:rsid w:val="3C0C0783"/>
    <w:rsid w:val="3C21277A"/>
    <w:rsid w:val="3CE57367"/>
    <w:rsid w:val="3F3255D3"/>
    <w:rsid w:val="3F5A4CA7"/>
    <w:rsid w:val="3F9F3A96"/>
    <w:rsid w:val="3FEF7F36"/>
    <w:rsid w:val="40747F85"/>
    <w:rsid w:val="40991DB3"/>
    <w:rsid w:val="43FC63B6"/>
    <w:rsid w:val="44291336"/>
    <w:rsid w:val="44645A21"/>
    <w:rsid w:val="44F70090"/>
    <w:rsid w:val="45616A21"/>
    <w:rsid w:val="45DF12C7"/>
    <w:rsid w:val="45EC23B8"/>
    <w:rsid w:val="491F12C8"/>
    <w:rsid w:val="493C27E9"/>
    <w:rsid w:val="496F39ED"/>
    <w:rsid w:val="499C724D"/>
    <w:rsid w:val="49FF41D3"/>
    <w:rsid w:val="4A385160"/>
    <w:rsid w:val="4B455688"/>
    <w:rsid w:val="4BD9560E"/>
    <w:rsid w:val="4BE068DB"/>
    <w:rsid w:val="4BF6002B"/>
    <w:rsid w:val="4CFD13FA"/>
    <w:rsid w:val="4D1330BF"/>
    <w:rsid w:val="4D744FB0"/>
    <w:rsid w:val="4DF7526D"/>
    <w:rsid w:val="4E870CA4"/>
    <w:rsid w:val="4ECE2238"/>
    <w:rsid w:val="51DB4B86"/>
    <w:rsid w:val="53936FDA"/>
    <w:rsid w:val="53DE2D6A"/>
    <w:rsid w:val="55333C3E"/>
    <w:rsid w:val="55C44136"/>
    <w:rsid w:val="5615245D"/>
    <w:rsid w:val="583911D6"/>
    <w:rsid w:val="5A1D65B1"/>
    <w:rsid w:val="5C695447"/>
    <w:rsid w:val="5E0645B4"/>
    <w:rsid w:val="5F6D19B9"/>
    <w:rsid w:val="5F8E053B"/>
    <w:rsid w:val="60042ABF"/>
    <w:rsid w:val="64CA39A1"/>
    <w:rsid w:val="665504E6"/>
    <w:rsid w:val="66561479"/>
    <w:rsid w:val="686413A4"/>
    <w:rsid w:val="68D36A53"/>
    <w:rsid w:val="69385903"/>
    <w:rsid w:val="6A58192A"/>
    <w:rsid w:val="6AE83E14"/>
    <w:rsid w:val="6C4A05C8"/>
    <w:rsid w:val="6CF6101F"/>
    <w:rsid w:val="6DC4575A"/>
    <w:rsid w:val="6DD1542D"/>
    <w:rsid w:val="6E0A58DF"/>
    <w:rsid w:val="6EB71731"/>
    <w:rsid w:val="6EBA0487"/>
    <w:rsid w:val="719B0965"/>
    <w:rsid w:val="723C0BC0"/>
    <w:rsid w:val="72734D90"/>
    <w:rsid w:val="7296113E"/>
    <w:rsid w:val="733E3873"/>
    <w:rsid w:val="75835BBF"/>
    <w:rsid w:val="772C3715"/>
    <w:rsid w:val="788079D9"/>
    <w:rsid w:val="79E7B28D"/>
    <w:rsid w:val="7A364CEE"/>
    <w:rsid w:val="7A6431D0"/>
    <w:rsid w:val="7AFF1138"/>
    <w:rsid w:val="7C2318B5"/>
    <w:rsid w:val="7C7C6895"/>
    <w:rsid w:val="7D326E29"/>
    <w:rsid w:val="7D610A4C"/>
    <w:rsid w:val="7DFC6646"/>
    <w:rsid w:val="7E417820"/>
    <w:rsid w:val="7EC47FDB"/>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spacing w:beforeAutospacing="1" w:afterAutospacing="1"/>
      <w:jc w:val="left"/>
    </w:pPr>
    <w:rPr>
      <w:kern w:val="0"/>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30011;&#2227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021&#24180;&#20915;&#31639;&#20844;&#24320;\&#30011;&#2227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30011;&#2227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021&#24180;&#20915;&#31639;&#20844;&#24320;\&#30011;&#2227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021&#24180;&#20915;&#31639;&#20844;&#24320;\&#30011;&#2227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021&#24180;&#20915;&#31639;&#20844;&#24320;\&#30011;&#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[画图.xlsx]Sheet1!$B$41</c:f>
              <c:strCache>
                <c:ptCount val="1"/>
                <c:pt idx="0">
                  <c:v>收支总计</c:v>
                </c:pt>
              </c:strCache>
            </c:strRef>
          </c:tx>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181.49万元</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214.19万元</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[画图.xlsx]Sheet1!$C$40:$D$40</c:f>
              <c:numCache>
                <c:formatCode>General</c:formatCode>
                <c:ptCount val="2"/>
                <c:pt idx="0">
                  <c:v>2020</c:v>
                </c:pt>
                <c:pt idx="1">
                  <c:v>2021</c:v>
                </c:pt>
              </c:numCache>
            </c:numRef>
          </c:cat>
          <c:val>
            <c:numRef>
              <c:f>[画图.xlsx]Sheet1!$C$41:$D$41</c:f>
              <c:numCache>
                <c:formatCode>General</c:formatCode>
                <c:ptCount val="2"/>
                <c:pt idx="0">
                  <c:v>181.49</c:v>
                </c:pt>
                <c:pt idx="1">
                  <c:v>214.19</c:v>
                </c:pt>
              </c:numCache>
            </c:numRef>
          </c:val>
        </c:ser>
        <c:dLbls>
          <c:showLegendKey val="0"/>
          <c:showVal val="1"/>
          <c:showCatName val="0"/>
          <c:showSerName val="0"/>
          <c:showPercent val="0"/>
          <c:showBubbleSize val="0"/>
        </c:dLbls>
        <c:gapWidth val="219"/>
        <c:overlap val="-27"/>
        <c:axId val="877918729"/>
        <c:axId val="908893832"/>
      </c:barChart>
      <c:catAx>
        <c:axId val="87791872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8893832"/>
        <c:crosses val="autoZero"/>
        <c:auto val="1"/>
        <c:lblAlgn val="ctr"/>
        <c:lblOffset val="100"/>
        <c:noMultiLvlLbl val="0"/>
      </c:catAx>
      <c:valAx>
        <c:axId val="908893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791872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Sheet2!$B$5</c:f>
              <c:strCache>
                <c:ptCount val="1"/>
                <c:pt idx="0">
                  <c:v>收入决算 </c:v>
                </c:pt>
              </c:strCache>
            </c:strRef>
          </c:tx>
          <c:explosion val="0"/>
          <c:dPt>
            <c:idx val="0"/>
            <c:bubble3D val="0"/>
          </c:dPt>
          <c:dPt>
            <c:idx val="1"/>
            <c:bubble3D val="0"/>
          </c:dPt>
          <c:dPt>
            <c:idx val="2"/>
            <c:bubble3D val="0"/>
          </c:dPt>
          <c:dPt>
            <c:idx val="3"/>
            <c:bubble3D val="0"/>
          </c:dPt>
          <c:dLbls>
            <c:dLbl>
              <c:idx val="0"/>
              <c:layout>
                <c:manualLayout>
                  <c:x val="0.0751497718016491"/>
                  <c:y val="-0.280268130814908"/>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rPr lang="en-US" altLang="zh-CN"/>
                      <a:t>214.19</a:t>
                    </a:r>
                    <a:r>
                      <a:rPr altLang="en-US"/>
                      <a:t>万元</a:t>
                    </a:r>
                    <a:endParaRPr altLang="en-US"/>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delete val="1"/>
            </c:dLbl>
            <c:dLbl>
              <c:idx val="2"/>
              <c:delete val="1"/>
            </c:dLbl>
            <c:dLbl>
              <c:idx val="3"/>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Sheet2!$A$6:$A$9</c:f>
              <c:strCache>
                <c:ptCount val="4"/>
                <c:pt idx="0">
                  <c:v>一般公共预算财政拨款收入</c:v>
                </c:pt>
                <c:pt idx="1">
                  <c:v>国有资本经营预算财政拨款收入</c:v>
                </c:pt>
                <c:pt idx="2">
                  <c:v>经营收入</c:v>
                </c:pt>
                <c:pt idx="3">
                  <c:v>其他收入</c:v>
                </c:pt>
              </c:strCache>
            </c:strRef>
          </c:cat>
          <c:val>
            <c:numRef>
              <c:f>Sheet2!$B$6:$B$9</c:f>
              <c:numCache>
                <c:formatCode>General</c:formatCode>
                <c:ptCount val="4"/>
                <c:pt idx="0">
                  <c:v>181.49</c:v>
                </c:pt>
                <c:pt idx="1">
                  <c:v>0</c:v>
                </c:pt>
                <c:pt idx="2">
                  <c:v>0</c:v>
                </c:pt>
                <c:pt idx="3">
                  <c:v>0</c:v>
                </c:pt>
              </c:numCache>
            </c:numRef>
          </c:val>
        </c:ser>
        <c:dLbls>
          <c:showLegendKey val="0"/>
          <c:showVal val="1"/>
          <c:showCatName val="0"/>
          <c:showSerName val="0"/>
          <c:showPercent val="0"/>
          <c:showBubbleSize val="0"/>
          <c:showLeaderLines val="1"/>
        </c:dLbls>
        <c:firstSliceAng val="0"/>
      </c:pieChart>
    </c:plotArea>
    <c:legend>
      <c:legendPos val="r"/>
      <c:legendEntry>
        <c:idx val="1"/>
        <c:delete val="1"/>
      </c:legendEntry>
      <c:legendEntry>
        <c:idx val="2"/>
        <c:delete val="1"/>
      </c:legendEntry>
      <c:legendEntry>
        <c:idx val="3"/>
        <c:delete val="1"/>
      </c:legendEntry>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795743651996047"/>
                  <c:y val="-0.203038472995638"/>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202.47万元</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11.72万元</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[画图.xlsx]Sheet1!$A$19:$A$20</c:f>
              <c:strCache>
                <c:ptCount val="2"/>
                <c:pt idx="0">
                  <c:v>基本支出</c:v>
                </c:pt>
                <c:pt idx="1">
                  <c:v>项目支出</c:v>
                </c:pt>
              </c:strCache>
            </c:strRef>
          </c:cat>
          <c:val>
            <c:numRef>
              <c:f>[画图.xlsx]Sheet1!$B$19:$B$20</c:f>
              <c:numCache>
                <c:formatCode>General</c:formatCode>
                <c:ptCount val="2"/>
                <c:pt idx="0">
                  <c:v>202.47</c:v>
                </c:pt>
                <c:pt idx="1">
                  <c:v>11.72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[画图.xlsx]Sheet1!$B$41</c:f>
              <c:strCache>
                <c:ptCount val="1"/>
                <c:pt idx="0">
                  <c:v>收支总计</c:v>
                </c:pt>
              </c:strCache>
            </c:strRef>
          </c:tx>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181.49万元</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214.19万元</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[画图.xlsx]Sheet1!$C$40:$D$40</c:f>
              <c:numCache>
                <c:formatCode>General</c:formatCode>
                <c:ptCount val="2"/>
                <c:pt idx="0">
                  <c:v>2020</c:v>
                </c:pt>
                <c:pt idx="1">
                  <c:v>2021</c:v>
                </c:pt>
              </c:numCache>
            </c:numRef>
          </c:cat>
          <c:val>
            <c:numRef>
              <c:f>[画图.xlsx]Sheet1!$C$41:$D$41</c:f>
              <c:numCache>
                <c:formatCode>General</c:formatCode>
                <c:ptCount val="2"/>
                <c:pt idx="0">
                  <c:v>181.49</c:v>
                </c:pt>
                <c:pt idx="1">
                  <c:v>214.19</c:v>
                </c:pt>
              </c:numCache>
            </c:numRef>
          </c:val>
        </c:ser>
        <c:dLbls>
          <c:showLegendKey val="0"/>
          <c:showVal val="1"/>
          <c:showCatName val="0"/>
          <c:showSerName val="0"/>
          <c:showPercent val="0"/>
          <c:showBubbleSize val="0"/>
        </c:dLbls>
        <c:gapWidth val="219"/>
        <c:overlap val="-27"/>
        <c:axId val="877918729"/>
        <c:axId val="908893832"/>
      </c:barChart>
      <c:catAx>
        <c:axId val="87791872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8893832"/>
        <c:crosses val="autoZero"/>
        <c:auto val="1"/>
        <c:lblAlgn val="ctr"/>
        <c:lblOffset val="100"/>
        <c:noMultiLvlLbl val="0"/>
      </c:catAx>
      <c:valAx>
        <c:axId val="908893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791872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[画图.xlsx]Sheet1!$B$36</c:f>
              <c:strCache>
                <c:ptCount val="1"/>
                <c:pt idx="0">
                  <c:v>一般公共预算财政拨款支出</c:v>
                </c:pt>
              </c:strCache>
            </c:strRef>
          </c:tx>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181.49万元</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214.19万元</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[画图.xlsx]Sheet1!$A$37:$A$38</c:f>
              <c:strCache>
                <c:ptCount val="2"/>
                <c:pt idx="0">
                  <c:v>2020年</c:v>
                </c:pt>
                <c:pt idx="1">
                  <c:v>2021年</c:v>
                </c:pt>
              </c:strCache>
            </c:strRef>
          </c:cat>
          <c:val>
            <c:numRef>
              <c:f>[画图.xlsx]Sheet1!$B$37:$B$38</c:f>
              <c:numCache>
                <c:formatCode>General</c:formatCode>
                <c:ptCount val="2"/>
                <c:pt idx="0">
                  <c:v>181.49</c:v>
                </c:pt>
                <c:pt idx="1">
                  <c:v>214.19</c:v>
                </c:pt>
              </c:numCache>
            </c:numRef>
          </c:val>
        </c:ser>
        <c:dLbls>
          <c:showLegendKey val="0"/>
          <c:showVal val="1"/>
          <c:showCatName val="0"/>
          <c:showSerName val="0"/>
          <c:showPercent val="0"/>
          <c:showBubbleSize val="0"/>
        </c:dLbls>
        <c:gapWidth val="219"/>
        <c:overlap val="-27"/>
        <c:axId val="24425882"/>
        <c:axId val="767264314"/>
      </c:barChart>
      <c:catAx>
        <c:axId val="2442588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7264314"/>
        <c:crosses val="autoZero"/>
        <c:auto val="1"/>
        <c:lblAlgn val="ctr"/>
        <c:lblOffset val="100"/>
        <c:noMultiLvlLbl val="0"/>
      </c:catAx>
      <c:valAx>
        <c:axId val="76726431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42588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6122549019608"/>
          <c:y val="0.13242497972425"/>
          <c:w val="0.218490196078431"/>
          <c:h val="0.722984590429846"/>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0.0238970588235294"/>
                  <c:y val="0"/>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117.62万元</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1万元</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00367647058823529"/>
                  <c:y val="0"/>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78.38万元</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94117647058824"/>
                  <c:y val="0.0121654501216545"/>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8.95万元</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38970588235294"/>
                  <c:y val="0.00408338891274644"/>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8.24万元</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[画图.xlsx]Sheet1!$A$53:$A$57</c:f>
              <c:strCache>
                <c:ptCount val="5"/>
                <c:pt idx="0">
                  <c:v>公共安全支出</c:v>
                </c:pt>
                <c:pt idx="1">
                  <c:v>教育支出</c:v>
                </c:pt>
                <c:pt idx="2">
                  <c:v>社会保障和就业支出</c:v>
                </c:pt>
                <c:pt idx="3">
                  <c:v>卫生健康支出</c:v>
                </c:pt>
                <c:pt idx="4">
                  <c:v>住房保障支出</c:v>
                </c:pt>
              </c:strCache>
            </c:strRef>
          </c:cat>
          <c:val>
            <c:numRef>
              <c:f>[画图.xlsx]Sheet1!$B$53:$B$57</c:f>
              <c:numCache>
                <c:formatCode>General</c:formatCode>
                <c:ptCount val="5"/>
                <c:pt idx="0">
                  <c:v>117.62</c:v>
                </c:pt>
                <c:pt idx="1">
                  <c:v>1</c:v>
                </c:pt>
                <c:pt idx="2">
                  <c:v>78.38</c:v>
                </c:pt>
                <c:pt idx="3">
                  <c:v>8.95</c:v>
                </c:pt>
                <c:pt idx="4">
                  <c:v>8.24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a:t>
            </a:r>
            <a:r>
              <a:rPr altLang="en-US"/>
              <a:t>三公</a:t>
            </a:r>
            <a:r>
              <a:rPr lang="en-US" altLang="zh-CN"/>
              <a:t>”</a:t>
            </a:r>
            <a:r>
              <a:rPr altLang="en-US"/>
              <a:t>经费财政拨款支出</a:t>
            </a:r>
            <a:endParaRPr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2万元</a:t>
                    </a:r>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0.94万元</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[画图.xlsx]Sheet1!$A$70:$A$71</c:f>
              <c:strCache>
                <c:ptCount val="2"/>
                <c:pt idx="0">
                  <c:v>公务车运行经费支出</c:v>
                </c:pt>
                <c:pt idx="1">
                  <c:v>公务接待费支出</c:v>
                </c:pt>
              </c:strCache>
            </c:strRef>
          </c:cat>
          <c:val>
            <c:numRef>
              <c:f>[画图.xlsx]Sheet1!$B$70:$B$71</c:f>
              <c:numCache>
                <c:formatCode>General</c:formatCode>
                <c:ptCount val="2"/>
                <c:pt idx="0">
                  <c:v>2</c:v>
                </c:pt>
                <c:pt idx="1">
                  <c:v>0.94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19</Pages>
  <Words>5711</Words>
  <Characters>7397</Characters>
  <Lines>61</Lines>
  <Paragraphs>17</Paragraphs>
  <TotalTime>9</TotalTime>
  <ScaleCrop>false</ScaleCrop>
  <LinksUpToDate>false</LinksUpToDate>
  <CharactersWithSpaces>7439</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2022-08-06T02:23:00Z</cp:lastPrinted>
  <dcterms:modified xsi:type="dcterms:W3CDTF">2023-09-13T07:33:38Z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9398CD1AA0C249A9AED484B03810FE13</vt:lpwstr>
  </property>
</Properties>
</file>