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F5" w:rsidRDefault="002738F5">
      <w:pPr>
        <w:spacing w:line="600" w:lineRule="exact"/>
        <w:jc w:val="center"/>
        <w:outlineLvl w:val="0"/>
        <w:rPr>
          <w:rFonts w:ascii="方正小标宋简体" w:eastAsia="方正小标宋简体" w:hAnsi="宋体"/>
          <w:sz w:val="72"/>
          <w:szCs w:val="72"/>
        </w:rPr>
      </w:pPr>
      <w:bookmarkStart w:id="0" w:name="_Toc15306267"/>
    </w:p>
    <w:p w:rsidR="002738F5" w:rsidRDefault="002738F5">
      <w:pPr>
        <w:spacing w:line="600" w:lineRule="exact"/>
        <w:jc w:val="center"/>
        <w:outlineLvl w:val="0"/>
        <w:rPr>
          <w:rFonts w:ascii="方正小标宋简体" w:eastAsia="方正小标宋简体" w:hAnsi="宋体"/>
          <w:sz w:val="72"/>
          <w:szCs w:val="72"/>
        </w:rPr>
      </w:pPr>
    </w:p>
    <w:p w:rsidR="002738F5" w:rsidRDefault="002738F5">
      <w:pPr>
        <w:spacing w:line="600" w:lineRule="exact"/>
        <w:jc w:val="center"/>
        <w:outlineLvl w:val="0"/>
        <w:rPr>
          <w:rFonts w:ascii="方正小标宋简体" w:eastAsia="方正小标宋简体" w:hAnsi="宋体"/>
          <w:sz w:val="72"/>
          <w:szCs w:val="72"/>
        </w:rPr>
      </w:pPr>
    </w:p>
    <w:p w:rsidR="002738F5" w:rsidRDefault="002738F5">
      <w:pPr>
        <w:spacing w:line="600" w:lineRule="exact"/>
        <w:jc w:val="center"/>
        <w:outlineLvl w:val="0"/>
        <w:rPr>
          <w:rFonts w:ascii="方正小标宋简体" w:eastAsia="方正小标宋简体" w:hAnsi="宋体"/>
          <w:sz w:val="72"/>
          <w:szCs w:val="72"/>
        </w:rPr>
      </w:pPr>
    </w:p>
    <w:p w:rsidR="002738F5" w:rsidRDefault="00FA2CBF">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96475"/>
      <w:bookmarkStart w:id="2" w:name="_Toc15377425"/>
      <w:bookmarkStart w:id="3" w:name="_Toc15377193"/>
      <w:bookmarkStart w:id="4" w:name="_Toc15378441"/>
      <w:bookmarkStart w:id="5" w:name="_Toc15396597"/>
      <w:r>
        <w:rPr>
          <w:rFonts w:ascii="方正小标宋简体" w:eastAsia="方正小标宋简体" w:hAnsi="方正小标宋简体" w:cs="方正小标宋简体"/>
          <w:sz w:val="72"/>
          <w:szCs w:val="72"/>
        </w:rPr>
        <w:t>2021</w:t>
      </w:r>
      <w:r>
        <w:rPr>
          <w:rFonts w:ascii="方正小标宋简体" w:eastAsia="方正小标宋简体" w:hAnsi="方正小标宋简体" w:cs="方正小标宋简体" w:hint="eastAsia"/>
          <w:sz w:val="72"/>
          <w:szCs w:val="72"/>
        </w:rPr>
        <w:t>年度</w:t>
      </w:r>
      <w:bookmarkEnd w:id="1"/>
      <w:bookmarkEnd w:id="2"/>
      <w:bookmarkEnd w:id="3"/>
      <w:bookmarkEnd w:id="4"/>
      <w:bookmarkEnd w:id="5"/>
    </w:p>
    <w:p w:rsidR="002738F5" w:rsidRDefault="00FA2CBF">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96598"/>
      <w:bookmarkStart w:id="7" w:name="_Toc15378442"/>
      <w:bookmarkStart w:id="8" w:name="_Toc15396476"/>
      <w:bookmarkStart w:id="9" w:name="_Toc15377426"/>
      <w:bookmarkStart w:id="10" w:name="_Toc15377194"/>
      <w:r>
        <w:rPr>
          <w:rFonts w:ascii="方正小标宋简体" w:eastAsia="方正小标宋简体" w:hAnsi="方正小标宋简体" w:cs="方正小标宋简体" w:hint="eastAsia"/>
          <w:sz w:val="72"/>
          <w:szCs w:val="72"/>
        </w:rPr>
        <w:t>四川省</w:t>
      </w:r>
      <w:bookmarkStart w:id="11" w:name="_Toc15306268"/>
      <w:bookmarkEnd w:id="0"/>
      <w:r>
        <w:rPr>
          <w:rFonts w:ascii="方正小标宋简体" w:eastAsia="方正小标宋简体" w:hAnsi="方正小标宋简体" w:cs="方正小标宋简体" w:hint="eastAsia"/>
          <w:sz w:val="72"/>
          <w:szCs w:val="72"/>
        </w:rPr>
        <w:t>成都女子监狱</w:t>
      </w:r>
    </w:p>
    <w:p w:rsidR="002738F5" w:rsidRDefault="00FA2CBF">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单位决算</w:t>
      </w:r>
      <w:bookmarkEnd w:id="6"/>
      <w:bookmarkEnd w:id="7"/>
      <w:bookmarkEnd w:id="8"/>
      <w:bookmarkEnd w:id="9"/>
      <w:bookmarkEnd w:id="10"/>
      <w:bookmarkEnd w:id="11"/>
    </w:p>
    <w:p w:rsidR="002738F5" w:rsidRDefault="00FA2CBF">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2738F5" w:rsidRDefault="002738F5">
      <w:pPr>
        <w:widowControl/>
        <w:jc w:val="center"/>
        <w:rPr>
          <w:rFonts w:ascii="黑体" w:eastAsia="黑体" w:hAnsi="黑体"/>
          <w:sz w:val="28"/>
          <w:szCs w:val="28"/>
        </w:rPr>
      </w:pPr>
    </w:p>
    <w:p w:rsidR="002738F5" w:rsidRPr="00FE18F6" w:rsidRDefault="00FA2CBF">
      <w:pPr>
        <w:pStyle w:val="10"/>
      </w:pPr>
      <w:r w:rsidRPr="00FE18F6">
        <w:rPr>
          <w:rFonts w:hint="eastAsia"/>
        </w:rPr>
        <w:t>公开时间：</w:t>
      </w:r>
      <w:r w:rsidRPr="00FE18F6">
        <w:t>2022</w:t>
      </w:r>
      <w:r w:rsidRPr="00FE18F6">
        <w:rPr>
          <w:rFonts w:hint="eastAsia"/>
        </w:rPr>
        <w:t>年</w:t>
      </w:r>
      <w:r w:rsidRPr="00FE18F6">
        <w:t>9</w:t>
      </w:r>
      <w:r w:rsidRPr="00FE18F6">
        <w:rPr>
          <w:rFonts w:hint="eastAsia"/>
        </w:rPr>
        <w:t>月</w:t>
      </w:r>
      <w:r w:rsidR="00E85CBE">
        <w:rPr>
          <w:rFonts w:hint="eastAsia"/>
        </w:rPr>
        <w:t>9</w:t>
      </w:r>
      <w:r w:rsidRPr="00FE18F6">
        <w:rPr>
          <w:rFonts w:hint="eastAsia"/>
        </w:rPr>
        <w:t>日</w:t>
      </w:r>
    </w:p>
    <w:p w:rsidR="002738F5" w:rsidRPr="00FE18F6" w:rsidRDefault="002738F5"/>
    <w:p w:rsidR="002738F5" w:rsidRPr="00FE18F6" w:rsidRDefault="00FA2CBF">
      <w:pPr>
        <w:pStyle w:val="10"/>
        <w:adjustRightInd w:val="0"/>
        <w:snapToGrid w:val="0"/>
        <w:spacing w:before="0" w:line="440" w:lineRule="exact"/>
        <w:jc w:val="left"/>
        <w:rPr>
          <w:sz w:val="24"/>
          <w:szCs w:val="24"/>
        </w:rPr>
      </w:pPr>
      <w:r w:rsidRPr="00FE18F6">
        <w:rPr>
          <w:rFonts w:hint="eastAsia"/>
          <w:sz w:val="24"/>
        </w:rPr>
        <w:t>第一部分单位概况</w:t>
      </w:r>
    </w:p>
    <w:p w:rsidR="002738F5" w:rsidRPr="00FE18F6" w:rsidRDefault="00FA2CBF">
      <w:pPr>
        <w:pStyle w:val="20"/>
        <w:adjustRightInd w:val="0"/>
        <w:snapToGrid w:val="0"/>
        <w:spacing w:line="440" w:lineRule="exact"/>
        <w:jc w:val="left"/>
        <w:rPr>
          <w:rFonts w:ascii="宋体" w:cs="宋体"/>
          <w:sz w:val="24"/>
        </w:rPr>
      </w:pPr>
      <w:r w:rsidRPr="00FE18F6">
        <w:rPr>
          <w:rFonts w:ascii="宋体" w:hAnsi="宋体" w:cs="宋体" w:hint="eastAsia"/>
          <w:sz w:val="24"/>
        </w:rPr>
        <w:t>一、职能简介</w:t>
      </w:r>
      <w:r w:rsidRPr="00FE18F6">
        <w:rPr>
          <w:rFonts w:ascii="宋体" w:hAnsi="宋体" w:cs="宋体" w:hint="eastAsia"/>
          <w:kern w:val="0"/>
          <w:sz w:val="24"/>
          <w:shd w:val="clear" w:color="auto" w:fill="FFFFFF"/>
        </w:rPr>
        <w:t>……</w:t>
      </w:r>
      <w:proofErr w:type="gramStart"/>
      <w:r w:rsidRPr="00FE18F6">
        <w:rPr>
          <w:rFonts w:ascii="宋体" w:hAnsi="宋体" w:cs="宋体" w:hint="eastAsia"/>
          <w:kern w:val="0"/>
          <w:sz w:val="24"/>
          <w:shd w:val="clear" w:color="auto" w:fill="FFFFFF"/>
        </w:rPr>
        <w:t>……………………</w:t>
      </w:r>
      <w:r w:rsidRPr="00FE18F6">
        <w:rPr>
          <w:rFonts w:ascii="宋体" w:hAnsi="宋体" w:cs="宋体" w:hint="eastAsia"/>
          <w:kern w:val="0"/>
          <w:sz w:val="24"/>
        </w:rPr>
        <w:t>……………</w:t>
      </w:r>
      <w:r w:rsidRPr="00FE18F6">
        <w:rPr>
          <w:rFonts w:ascii="宋体" w:hAnsi="宋体" w:cs="宋体" w:hint="eastAsia"/>
          <w:kern w:val="0"/>
          <w:sz w:val="24"/>
          <w:shd w:val="clear" w:color="auto" w:fill="FFFFFF"/>
        </w:rPr>
        <w:t>……………………………</w:t>
      </w:r>
      <w:proofErr w:type="gramEnd"/>
      <w:r w:rsidRPr="00FE18F6">
        <w:rPr>
          <w:rFonts w:ascii="宋体" w:hAnsi="宋体" w:cs="宋体"/>
          <w:kern w:val="0"/>
          <w:sz w:val="24"/>
          <w:shd w:val="clear" w:color="auto" w:fill="FFFFFF"/>
        </w:rPr>
        <w:t>4</w:t>
      </w:r>
    </w:p>
    <w:p w:rsidR="002738F5" w:rsidRPr="00FE18F6" w:rsidRDefault="00FA2CBF">
      <w:pPr>
        <w:pStyle w:val="20"/>
        <w:adjustRightInd w:val="0"/>
        <w:snapToGrid w:val="0"/>
        <w:spacing w:line="440" w:lineRule="exact"/>
        <w:jc w:val="left"/>
        <w:rPr>
          <w:rFonts w:ascii="宋体" w:hAnsi="宋体" w:cs="宋体"/>
          <w:kern w:val="0"/>
          <w:sz w:val="24"/>
          <w:shd w:val="clear" w:color="auto" w:fill="FFFFFF"/>
        </w:rPr>
      </w:pPr>
      <w:r w:rsidRPr="00FE18F6">
        <w:rPr>
          <w:rFonts w:ascii="宋体" w:hAnsi="宋体" w:cs="宋体" w:hint="eastAsia"/>
          <w:sz w:val="24"/>
        </w:rPr>
        <w:t>二、</w:t>
      </w:r>
      <w:r w:rsidRPr="00FE18F6">
        <w:rPr>
          <w:rFonts w:ascii="宋体" w:hAnsi="宋体" w:cs="宋体"/>
          <w:sz w:val="24"/>
        </w:rPr>
        <w:t>2021</w:t>
      </w:r>
      <w:r w:rsidRPr="00FE18F6">
        <w:rPr>
          <w:rFonts w:ascii="宋体" w:hAnsi="宋体" w:cs="宋体" w:hint="eastAsia"/>
          <w:sz w:val="24"/>
        </w:rPr>
        <w:t>年重点工作完成情况</w:t>
      </w:r>
      <w:r w:rsidRPr="00FE18F6">
        <w:rPr>
          <w:rFonts w:ascii="宋体" w:hAnsi="宋体" w:cs="宋体" w:hint="eastAsia"/>
          <w:kern w:val="0"/>
          <w:sz w:val="24"/>
          <w:shd w:val="clear" w:color="auto" w:fill="FFFFFF"/>
        </w:rPr>
        <w:t>…………………………</w:t>
      </w:r>
      <w:r w:rsidRPr="00FE18F6">
        <w:rPr>
          <w:rFonts w:ascii="宋体" w:hAnsi="宋体" w:cs="宋体" w:hint="eastAsia"/>
          <w:kern w:val="0"/>
          <w:sz w:val="24"/>
        </w:rPr>
        <w:t>………………</w:t>
      </w:r>
      <w:r w:rsidRPr="00FE18F6">
        <w:rPr>
          <w:rFonts w:ascii="宋体" w:hAnsi="宋体" w:cs="宋体" w:hint="eastAsia"/>
          <w:kern w:val="0"/>
          <w:sz w:val="24"/>
          <w:shd w:val="clear" w:color="auto" w:fill="FFFFFF"/>
        </w:rPr>
        <w:t>………</w:t>
      </w:r>
      <w:r w:rsidRPr="00FE18F6">
        <w:rPr>
          <w:rFonts w:ascii="宋体" w:hAnsi="宋体" w:cs="宋体"/>
          <w:kern w:val="0"/>
          <w:sz w:val="24"/>
          <w:shd w:val="clear" w:color="auto" w:fill="FFFFFF"/>
        </w:rPr>
        <w:t>4</w:t>
      </w:r>
    </w:p>
    <w:p w:rsidR="00FA2CBF" w:rsidRPr="00FE18F6" w:rsidRDefault="00FA2CBF" w:rsidP="00FA2CBF">
      <w:pPr>
        <w:pStyle w:val="20"/>
        <w:adjustRightInd w:val="0"/>
        <w:snapToGrid w:val="0"/>
        <w:spacing w:line="440" w:lineRule="exact"/>
        <w:jc w:val="left"/>
        <w:rPr>
          <w:rFonts w:ascii="宋体" w:cs="宋体"/>
          <w:sz w:val="24"/>
        </w:rPr>
      </w:pPr>
      <w:r w:rsidRPr="00FE18F6">
        <w:rPr>
          <w:rFonts w:ascii="宋体" w:hAnsi="宋体" w:cs="宋体" w:hint="eastAsia"/>
          <w:sz w:val="24"/>
        </w:rPr>
        <w:t xml:space="preserve">三、机构设置情况 </w:t>
      </w:r>
      <w:r w:rsidRPr="00FE18F6">
        <w:rPr>
          <w:rFonts w:ascii="宋体" w:hAnsi="宋体" w:cs="宋体" w:hint="eastAsia"/>
          <w:kern w:val="0"/>
          <w:sz w:val="24"/>
          <w:shd w:val="clear" w:color="auto" w:fill="FFFFFF"/>
        </w:rPr>
        <w:t>…………………………</w:t>
      </w:r>
      <w:r w:rsidRPr="00FE18F6">
        <w:rPr>
          <w:rFonts w:ascii="宋体" w:hAnsi="宋体" w:cs="宋体" w:hint="eastAsia"/>
          <w:kern w:val="0"/>
          <w:sz w:val="24"/>
        </w:rPr>
        <w:t>………………</w:t>
      </w:r>
      <w:r w:rsidRPr="00FE18F6">
        <w:rPr>
          <w:rFonts w:ascii="宋体" w:hAnsi="宋体" w:cs="宋体" w:hint="eastAsia"/>
          <w:kern w:val="0"/>
          <w:sz w:val="24"/>
          <w:shd w:val="clear" w:color="auto" w:fill="FFFFFF"/>
        </w:rPr>
        <w:t>………</w:t>
      </w:r>
      <w:r w:rsidRPr="00FE18F6">
        <w:rPr>
          <w:rFonts w:ascii="宋体" w:hAnsi="宋体" w:cs="宋体" w:hint="eastAsia"/>
          <w:kern w:val="0"/>
          <w:sz w:val="24"/>
        </w:rPr>
        <w:t>……</w:t>
      </w:r>
      <w:r w:rsidRPr="00FE18F6">
        <w:rPr>
          <w:rFonts w:ascii="宋体" w:hAnsi="宋体" w:cs="宋体" w:hint="eastAsia"/>
          <w:kern w:val="0"/>
          <w:sz w:val="24"/>
          <w:shd w:val="clear" w:color="auto" w:fill="FFFFFF"/>
        </w:rPr>
        <w:t>………</w:t>
      </w:r>
      <w:r w:rsidR="00F67018" w:rsidRPr="00F67018">
        <w:rPr>
          <w:rFonts w:ascii="宋体" w:hAnsi="宋体" w:cs="宋体" w:hint="eastAsia"/>
          <w:kern w:val="0"/>
          <w:sz w:val="24"/>
          <w:shd w:val="clear" w:color="auto" w:fill="FFFFFF"/>
        </w:rPr>
        <w:t>5</w:t>
      </w:r>
    </w:p>
    <w:p w:rsidR="002738F5" w:rsidRPr="00FE18F6" w:rsidRDefault="00FA2CBF">
      <w:pPr>
        <w:pStyle w:val="10"/>
        <w:adjustRightInd w:val="0"/>
        <w:snapToGrid w:val="0"/>
        <w:spacing w:before="0" w:line="440" w:lineRule="exact"/>
        <w:jc w:val="left"/>
        <w:rPr>
          <w:sz w:val="24"/>
          <w:szCs w:val="24"/>
        </w:rPr>
      </w:pPr>
      <w:r w:rsidRPr="00FE18F6">
        <w:rPr>
          <w:rFonts w:hint="eastAsia"/>
          <w:sz w:val="24"/>
        </w:rPr>
        <w:t>第二部分</w:t>
      </w:r>
      <w:r w:rsidRPr="00FE18F6">
        <w:rPr>
          <w:sz w:val="24"/>
        </w:rPr>
        <w:t xml:space="preserve"> 2021</w:t>
      </w:r>
      <w:r w:rsidRPr="00FE18F6">
        <w:rPr>
          <w:rFonts w:hint="eastAsia"/>
          <w:sz w:val="24"/>
        </w:rPr>
        <w:t>年度单位决算情况说明</w:t>
      </w:r>
    </w:p>
    <w:p w:rsidR="002738F5" w:rsidRPr="00FE18F6" w:rsidRDefault="00FA2CBF">
      <w:pPr>
        <w:pStyle w:val="20"/>
        <w:adjustRightInd w:val="0"/>
        <w:snapToGrid w:val="0"/>
        <w:spacing w:line="440" w:lineRule="exact"/>
        <w:jc w:val="left"/>
        <w:rPr>
          <w:rFonts w:ascii="宋体" w:cs="宋体"/>
          <w:sz w:val="24"/>
        </w:rPr>
      </w:pPr>
      <w:r w:rsidRPr="00FE18F6">
        <w:rPr>
          <w:rFonts w:ascii="宋体" w:hAnsi="宋体" w:cs="宋体" w:hint="eastAsia"/>
          <w:sz w:val="24"/>
        </w:rPr>
        <w:t>一、收入支出决算总体情况说明</w:t>
      </w:r>
      <w:r w:rsidRPr="00FE18F6">
        <w:rPr>
          <w:rFonts w:ascii="宋体" w:hAnsi="宋体" w:cs="宋体" w:hint="eastAsia"/>
          <w:kern w:val="0"/>
          <w:sz w:val="24"/>
          <w:shd w:val="clear" w:color="auto" w:fill="FFFFFF"/>
        </w:rPr>
        <w:t>…………………………</w:t>
      </w:r>
      <w:r w:rsidRPr="00FE18F6">
        <w:rPr>
          <w:rFonts w:ascii="宋体" w:hAnsi="宋体" w:cs="宋体" w:hint="eastAsia"/>
          <w:kern w:val="0"/>
          <w:sz w:val="24"/>
        </w:rPr>
        <w:t>……………</w:t>
      </w:r>
      <w:r w:rsidRPr="00FE18F6">
        <w:rPr>
          <w:rFonts w:ascii="宋体" w:hAnsi="宋体" w:cs="宋体" w:hint="eastAsia"/>
          <w:kern w:val="0"/>
          <w:sz w:val="24"/>
          <w:shd w:val="clear" w:color="auto" w:fill="FFFFFF"/>
        </w:rPr>
        <w:t>………</w:t>
      </w:r>
      <w:r w:rsidRPr="00FE18F6">
        <w:rPr>
          <w:rFonts w:ascii="宋体" w:hAnsi="宋体" w:cs="宋体"/>
          <w:sz w:val="24"/>
        </w:rPr>
        <w:t>6</w:t>
      </w:r>
      <w:r w:rsidRPr="00FE18F6">
        <w:rPr>
          <w:rFonts w:ascii="宋体" w:hAnsi="宋体" w:cs="宋体" w:hint="eastAsia"/>
          <w:sz w:val="24"/>
        </w:rPr>
        <w:t>二、收入决算情况说明</w:t>
      </w:r>
      <w:r w:rsidRPr="00FE18F6">
        <w:rPr>
          <w:rFonts w:ascii="宋体" w:hAnsi="宋体" w:cs="宋体" w:hint="eastAsia"/>
          <w:kern w:val="0"/>
          <w:sz w:val="24"/>
          <w:shd w:val="clear" w:color="auto" w:fill="FFFFFF"/>
        </w:rPr>
        <w:t>…………………</w:t>
      </w:r>
      <w:r w:rsidRPr="00FE18F6">
        <w:rPr>
          <w:rFonts w:ascii="宋体" w:hAnsi="宋体" w:cs="宋体" w:hint="eastAsia"/>
          <w:kern w:val="0"/>
          <w:sz w:val="24"/>
        </w:rPr>
        <w:t>…………………</w:t>
      </w:r>
      <w:r w:rsidRPr="00FE18F6">
        <w:rPr>
          <w:rFonts w:ascii="宋体" w:hAnsi="宋体" w:cs="宋体" w:hint="eastAsia"/>
          <w:kern w:val="0"/>
          <w:sz w:val="24"/>
          <w:shd w:val="clear" w:color="auto" w:fill="FFFFFF"/>
        </w:rPr>
        <w:t>……………………</w:t>
      </w:r>
      <w:r w:rsidRPr="00FE18F6">
        <w:rPr>
          <w:rFonts w:ascii="宋体" w:hAnsi="宋体" w:cs="宋体"/>
          <w:kern w:val="0"/>
          <w:sz w:val="24"/>
          <w:shd w:val="clear" w:color="auto" w:fill="FFFFFF"/>
        </w:rPr>
        <w:t xml:space="preserve">6  </w:t>
      </w:r>
    </w:p>
    <w:p w:rsidR="002738F5" w:rsidRPr="00FE18F6" w:rsidRDefault="00FA2CBF">
      <w:pPr>
        <w:pStyle w:val="20"/>
        <w:adjustRightInd w:val="0"/>
        <w:snapToGrid w:val="0"/>
        <w:spacing w:line="440" w:lineRule="exact"/>
        <w:jc w:val="left"/>
        <w:rPr>
          <w:rFonts w:ascii="宋体" w:cs="宋体"/>
          <w:sz w:val="24"/>
        </w:rPr>
      </w:pPr>
      <w:r w:rsidRPr="00FE18F6">
        <w:rPr>
          <w:rFonts w:ascii="宋体" w:hAnsi="宋体" w:cs="宋体" w:hint="eastAsia"/>
          <w:sz w:val="24"/>
        </w:rPr>
        <w:t>三、支出决算情况说明</w:t>
      </w:r>
      <w:r w:rsidRPr="00FE18F6">
        <w:rPr>
          <w:rFonts w:ascii="宋体" w:hAnsi="宋体" w:cs="宋体" w:hint="eastAsia"/>
          <w:kern w:val="0"/>
          <w:sz w:val="24"/>
          <w:shd w:val="clear" w:color="auto" w:fill="FFFFFF"/>
        </w:rPr>
        <w:t>……………</w:t>
      </w:r>
      <w:r w:rsidRPr="00FE18F6">
        <w:rPr>
          <w:rFonts w:ascii="宋体" w:hAnsi="宋体" w:cs="宋体" w:hint="eastAsia"/>
          <w:kern w:val="0"/>
          <w:sz w:val="24"/>
        </w:rPr>
        <w:t>………………………</w:t>
      </w:r>
      <w:r w:rsidRPr="00FE18F6">
        <w:rPr>
          <w:rFonts w:ascii="宋体" w:hAnsi="宋体" w:cs="宋体" w:hint="eastAsia"/>
          <w:kern w:val="0"/>
          <w:sz w:val="24"/>
          <w:shd w:val="clear" w:color="auto" w:fill="FFFFFF"/>
        </w:rPr>
        <w:t>……………………</w:t>
      </w:r>
      <w:r w:rsidRPr="00FE18F6">
        <w:rPr>
          <w:rFonts w:ascii="宋体" w:hAnsi="宋体" w:cs="宋体"/>
          <w:kern w:val="0"/>
          <w:sz w:val="24"/>
          <w:shd w:val="clear" w:color="auto" w:fill="FFFFFF"/>
        </w:rPr>
        <w:t>7</w:t>
      </w:r>
    </w:p>
    <w:p w:rsidR="002738F5" w:rsidRDefault="00FA2CBF">
      <w:pPr>
        <w:pStyle w:val="20"/>
        <w:adjustRightInd w:val="0"/>
        <w:snapToGrid w:val="0"/>
        <w:spacing w:line="440" w:lineRule="exact"/>
        <w:jc w:val="left"/>
        <w:rPr>
          <w:rFonts w:ascii="宋体" w:cs="宋体"/>
          <w:sz w:val="24"/>
        </w:rPr>
      </w:pPr>
      <w:r>
        <w:rPr>
          <w:rFonts w:ascii="宋体" w:hAnsi="宋体" w:cs="宋体" w:hint="eastAsia"/>
          <w:sz w:val="24"/>
        </w:rPr>
        <w:t>四、财政拨款收入支出决算总体情况说明</w:t>
      </w:r>
      <w:r>
        <w:rPr>
          <w:rFonts w:ascii="宋体" w:hAnsi="宋体" w:cs="宋体" w:hint="eastAsia"/>
          <w:color w:val="444444"/>
          <w:kern w:val="0"/>
          <w:sz w:val="24"/>
        </w:rPr>
        <w:t>……………………</w:t>
      </w:r>
      <w:r>
        <w:rPr>
          <w:rFonts w:ascii="宋体" w:hAnsi="宋体" w:cs="宋体" w:hint="eastAsia"/>
          <w:color w:val="000000"/>
          <w:kern w:val="0"/>
          <w:sz w:val="24"/>
          <w:shd w:val="clear" w:color="auto" w:fill="FFFFFF"/>
        </w:rPr>
        <w:t>………………</w:t>
      </w:r>
      <w:r>
        <w:rPr>
          <w:rFonts w:ascii="宋体" w:hAnsi="宋体" w:cs="宋体"/>
          <w:color w:val="000000"/>
          <w:kern w:val="0"/>
          <w:sz w:val="24"/>
          <w:shd w:val="clear" w:color="auto" w:fill="FFFFFF"/>
        </w:rPr>
        <w:t>8</w:t>
      </w:r>
    </w:p>
    <w:p w:rsidR="002738F5" w:rsidRDefault="00FA2CBF">
      <w:pPr>
        <w:pStyle w:val="20"/>
        <w:adjustRightInd w:val="0"/>
        <w:snapToGrid w:val="0"/>
        <w:spacing w:line="440" w:lineRule="exact"/>
        <w:jc w:val="left"/>
        <w:rPr>
          <w:rFonts w:ascii="宋体" w:cs="宋体"/>
          <w:sz w:val="24"/>
        </w:rPr>
      </w:pPr>
      <w:r>
        <w:rPr>
          <w:rFonts w:ascii="宋体" w:hAnsi="宋体" w:cs="宋体" w:hint="eastAsia"/>
          <w:sz w:val="24"/>
        </w:rPr>
        <w:t>五、一般公共预算财政拨款支出决算情况说明</w:t>
      </w:r>
      <w:r>
        <w:rPr>
          <w:rFonts w:ascii="宋体" w:hAnsi="宋体" w:cs="宋体" w:hint="eastAsia"/>
          <w:color w:val="444444"/>
          <w:kern w:val="0"/>
          <w:sz w:val="24"/>
        </w:rPr>
        <w:t>………………………</w:t>
      </w:r>
      <w:r>
        <w:rPr>
          <w:rFonts w:ascii="宋体" w:hAnsi="宋体" w:cs="宋体" w:hint="eastAsia"/>
          <w:color w:val="000000"/>
          <w:kern w:val="0"/>
          <w:sz w:val="24"/>
          <w:shd w:val="clear" w:color="auto" w:fill="FFFFFF"/>
        </w:rPr>
        <w:t>………</w:t>
      </w:r>
      <w:r>
        <w:rPr>
          <w:rFonts w:ascii="宋体" w:hAnsi="宋体" w:cs="宋体"/>
          <w:color w:val="000000"/>
          <w:kern w:val="0"/>
          <w:sz w:val="24"/>
          <w:shd w:val="clear" w:color="auto" w:fill="FFFFFF"/>
        </w:rPr>
        <w:t xml:space="preserve"> 8</w:t>
      </w:r>
    </w:p>
    <w:p w:rsidR="002738F5" w:rsidRDefault="00FA2CBF">
      <w:pPr>
        <w:pStyle w:val="20"/>
        <w:adjustRightInd w:val="0"/>
        <w:snapToGrid w:val="0"/>
        <w:spacing w:line="440" w:lineRule="exact"/>
        <w:jc w:val="left"/>
        <w:rPr>
          <w:rFonts w:ascii="宋体" w:cs="宋体"/>
          <w:sz w:val="24"/>
        </w:rPr>
      </w:pPr>
      <w:r>
        <w:rPr>
          <w:rFonts w:ascii="宋体" w:hAnsi="宋体" w:cs="宋体" w:hint="eastAsia"/>
          <w:sz w:val="24"/>
        </w:rPr>
        <w:t>六、一般公共预算财政拨款基本支出决算情况说明</w:t>
      </w:r>
      <w:r>
        <w:rPr>
          <w:rFonts w:ascii="宋体" w:hAnsi="宋体" w:cs="宋体" w:hint="eastAsia"/>
          <w:color w:val="444444"/>
          <w:kern w:val="0"/>
          <w:sz w:val="24"/>
        </w:rPr>
        <w:t>……………………</w:t>
      </w:r>
      <w:r>
        <w:rPr>
          <w:rFonts w:ascii="宋体" w:hAnsi="宋体" w:cs="宋体" w:hint="eastAsia"/>
          <w:color w:val="000000"/>
          <w:kern w:val="0"/>
          <w:sz w:val="24"/>
          <w:shd w:val="clear" w:color="auto" w:fill="FFFFFF"/>
        </w:rPr>
        <w:t>……</w:t>
      </w:r>
      <w:r>
        <w:rPr>
          <w:rFonts w:ascii="宋体" w:hAnsi="宋体" w:cs="宋体"/>
          <w:color w:val="000000"/>
          <w:kern w:val="0"/>
          <w:sz w:val="24"/>
          <w:shd w:val="clear" w:color="auto" w:fill="FFFFFF"/>
        </w:rPr>
        <w:t>12</w:t>
      </w:r>
    </w:p>
    <w:p w:rsidR="002738F5" w:rsidRDefault="00FA2CBF">
      <w:pPr>
        <w:pStyle w:val="20"/>
        <w:adjustRightInd w:val="0"/>
        <w:snapToGrid w:val="0"/>
        <w:spacing w:line="440" w:lineRule="exact"/>
        <w:jc w:val="left"/>
        <w:rPr>
          <w:rFonts w:ascii="宋体" w:cs="宋体"/>
          <w:sz w:val="24"/>
        </w:rPr>
      </w:pPr>
      <w:r>
        <w:rPr>
          <w:rFonts w:ascii="宋体" w:hAnsi="宋体" w:cs="宋体" w:hint="eastAsia"/>
          <w:sz w:val="24"/>
        </w:rPr>
        <w:t>七、“三公”经费财政拨款支出决算情况说明</w:t>
      </w:r>
      <w:r>
        <w:rPr>
          <w:rFonts w:ascii="宋体" w:hAnsi="宋体" w:cs="宋体" w:hint="eastAsia"/>
          <w:color w:val="444444"/>
          <w:kern w:val="0"/>
          <w:sz w:val="24"/>
        </w:rPr>
        <w:t>…………………………</w:t>
      </w:r>
      <w:r>
        <w:rPr>
          <w:rFonts w:ascii="宋体" w:hAnsi="宋体" w:cs="宋体" w:hint="eastAsia"/>
          <w:color w:val="000000"/>
          <w:kern w:val="0"/>
          <w:sz w:val="24"/>
          <w:shd w:val="clear" w:color="auto" w:fill="FFFFFF"/>
        </w:rPr>
        <w:t>……</w:t>
      </w:r>
      <w:r>
        <w:rPr>
          <w:rFonts w:ascii="宋体" w:hAnsi="宋体" w:cs="宋体"/>
          <w:color w:val="000000"/>
          <w:kern w:val="0"/>
          <w:sz w:val="24"/>
          <w:shd w:val="clear" w:color="auto" w:fill="FFFFFF"/>
        </w:rPr>
        <w:t>12</w:t>
      </w:r>
    </w:p>
    <w:p w:rsidR="002738F5" w:rsidRDefault="00FA2CBF">
      <w:pPr>
        <w:pStyle w:val="20"/>
        <w:adjustRightInd w:val="0"/>
        <w:snapToGrid w:val="0"/>
        <w:spacing w:line="440" w:lineRule="exact"/>
        <w:jc w:val="left"/>
        <w:rPr>
          <w:rFonts w:ascii="宋体" w:cs="宋体"/>
          <w:sz w:val="24"/>
        </w:rPr>
      </w:pPr>
      <w:r>
        <w:rPr>
          <w:rFonts w:ascii="宋体" w:hAnsi="宋体" w:cs="宋体" w:hint="eastAsia"/>
          <w:sz w:val="24"/>
        </w:rPr>
        <w:t>八、政府性基金预算支出决算情况说明</w:t>
      </w:r>
      <w:r>
        <w:rPr>
          <w:rFonts w:ascii="宋体" w:hAnsi="宋体" w:cs="宋体" w:hint="eastAsia"/>
          <w:color w:val="444444"/>
          <w:kern w:val="0"/>
          <w:sz w:val="24"/>
        </w:rPr>
        <w:t>……………………</w:t>
      </w:r>
      <w:r>
        <w:rPr>
          <w:rFonts w:ascii="宋体" w:hAnsi="宋体" w:cs="宋体" w:hint="eastAsia"/>
          <w:color w:val="000000"/>
          <w:kern w:val="0"/>
          <w:sz w:val="24"/>
          <w:shd w:val="clear" w:color="auto" w:fill="FFFFFF"/>
        </w:rPr>
        <w:t>…………………</w:t>
      </w:r>
      <w:r>
        <w:rPr>
          <w:rFonts w:ascii="宋体" w:hAnsi="宋体" w:cs="宋体"/>
          <w:color w:val="000000"/>
          <w:kern w:val="0"/>
          <w:sz w:val="24"/>
          <w:shd w:val="clear" w:color="auto" w:fill="FFFFFF"/>
        </w:rPr>
        <w:t>14</w:t>
      </w:r>
    </w:p>
    <w:p w:rsidR="002738F5" w:rsidRDefault="00FA2CBF">
      <w:pPr>
        <w:pStyle w:val="20"/>
        <w:adjustRightInd w:val="0"/>
        <w:snapToGrid w:val="0"/>
        <w:spacing w:line="440" w:lineRule="exact"/>
        <w:jc w:val="left"/>
        <w:rPr>
          <w:rFonts w:ascii="宋体" w:cs="宋体"/>
          <w:sz w:val="24"/>
        </w:rPr>
      </w:pPr>
      <w:r>
        <w:rPr>
          <w:rFonts w:ascii="宋体" w:hAnsi="宋体" w:cs="宋体" w:hint="eastAsia"/>
          <w:sz w:val="24"/>
        </w:rPr>
        <w:t>九、国有资本经营预算支出决算情况说明</w:t>
      </w:r>
      <w:r>
        <w:rPr>
          <w:rFonts w:ascii="宋体" w:hAnsi="宋体" w:cs="宋体" w:hint="eastAsia"/>
          <w:color w:val="444444"/>
          <w:kern w:val="0"/>
          <w:sz w:val="24"/>
        </w:rPr>
        <w:t>………………</w:t>
      </w:r>
      <w:r>
        <w:rPr>
          <w:rFonts w:ascii="宋体" w:hAnsi="宋体" w:cs="宋体" w:hint="eastAsia"/>
          <w:color w:val="000000"/>
          <w:kern w:val="0"/>
          <w:sz w:val="24"/>
          <w:shd w:val="clear" w:color="auto" w:fill="FFFFFF"/>
        </w:rPr>
        <w:t>……………………</w:t>
      </w:r>
      <w:r>
        <w:rPr>
          <w:rFonts w:ascii="宋体" w:hAnsi="宋体" w:cs="宋体"/>
          <w:color w:val="000000"/>
          <w:kern w:val="0"/>
          <w:sz w:val="24"/>
          <w:shd w:val="clear" w:color="auto" w:fill="FFFFFF"/>
        </w:rPr>
        <w:t>14</w:t>
      </w:r>
    </w:p>
    <w:p w:rsidR="002738F5" w:rsidRDefault="00FA2CBF">
      <w:pPr>
        <w:pStyle w:val="20"/>
        <w:adjustRightInd w:val="0"/>
        <w:snapToGrid w:val="0"/>
        <w:spacing w:line="440" w:lineRule="exact"/>
        <w:jc w:val="left"/>
        <w:rPr>
          <w:rFonts w:ascii="宋体" w:cs="宋体"/>
          <w:sz w:val="24"/>
        </w:rPr>
      </w:pPr>
      <w:r>
        <w:rPr>
          <w:rFonts w:ascii="宋体" w:hAnsi="宋体" w:cs="宋体" w:hint="eastAsia"/>
          <w:sz w:val="24"/>
        </w:rPr>
        <w:t>十、其他重要事项的情况说明</w:t>
      </w:r>
      <w:r>
        <w:rPr>
          <w:rFonts w:ascii="宋体" w:hAnsi="宋体" w:cs="宋体" w:hint="eastAsia"/>
          <w:color w:val="444444"/>
          <w:kern w:val="0"/>
          <w:sz w:val="24"/>
        </w:rPr>
        <w:t>……………………………</w:t>
      </w:r>
      <w:r>
        <w:rPr>
          <w:rFonts w:ascii="宋体" w:hAnsi="宋体" w:cs="宋体" w:hint="eastAsia"/>
          <w:color w:val="000000"/>
          <w:kern w:val="0"/>
          <w:sz w:val="24"/>
          <w:shd w:val="clear" w:color="auto" w:fill="FFFFFF"/>
        </w:rPr>
        <w:t>……………………</w:t>
      </w:r>
      <w:r>
        <w:rPr>
          <w:rFonts w:ascii="宋体" w:hAnsi="宋体" w:cs="宋体"/>
          <w:color w:val="000000"/>
          <w:kern w:val="0"/>
          <w:sz w:val="24"/>
          <w:shd w:val="clear" w:color="auto" w:fill="FFFFFF"/>
        </w:rPr>
        <w:t>14</w:t>
      </w:r>
    </w:p>
    <w:p w:rsidR="002738F5" w:rsidRDefault="00FA2CBF">
      <w:pPr>
        <w:pStyle w:val="10"/>
        <w:adjustRightInd w:val="0"/>
        <w:snapToGrid w:val="0"/>
        <w:spacing w:before="0" w:line="440" w:lineRule="exact"/>
        <w:jc w:val="left"/>
        <w:rPr>
          <w:rFonts w:eastAsia="宋体"/>
          <w:sz w:val="24"/>
          <w:szCs w:val="24"/>
        </w:rPr>
      </w:pPr>
      <w:r>
        <w:rPr>
          <w:rFonts w:hint="eastAsia"/>
          <w:sz w:val="24"/>
        </w:rPr>
        <w:t>第三部分名词解释</w:t>
      </w:r>
      <w:r>
        <w:rPr>
          <w:rFonts w:ascii="宋体" w:eastAsia="宋体" w:hAnsi="宋体" w:cs="宋体" w:hint="eastAsia"/>
          <w:color w:val="000000"/>
          <w:kern w:val="0"/>
          <w:sz w:val="24"/>
          <w:szCs w:val="24"/>
          <w:shd w:val="clear" w:color="auto" w:fill="FFFFFF"/>
        </w:rPr>
        <w:t>……………………</w:t>
      </w:r>
      <w:r>
        <w:rPr>
          <w:rFonts w:ascii="宋体" w:eastAsia="宋体" w:hAnsi="宋体" w:cs="宋体" w:hint="eastAsia"/>
          <w:color w:val="444444"/>
          <w:kern w:val="0"/>
          <w:sz w:val="24"/>
          <w:szCs w:val="24"/>
        </w:rPr>
        <w:t>………………………</w:t>
      </w:r>
      <w:r>
        <w:rPr>
          <w:rFonts w:ascii="宋体" w:eastAsia="宋体" w:hAnsi="宋体" w:cs="宋体" w:hint="eastAsia"/>
          <w:color w:val="000000"/>
          <w:kern w:val="0"/>
          <w:sz w:val="24"/>
          <w:szCs w:val="24"/>
          <w:shd w:val="clear" w:color="auto" w:fill="FFFFFF"/>
        </w:rPr>
        <w:t>……………………</w:t>
      </w:r>
      <w:r>
        <w:rPr>
          <w:rFonts w:ascii="宋体" w:eastAsia="宋体" w:hAnsi="宋体" w:cs="宋体"/>
          <w:color w:val="000000"/>
          <w:kern w:val="0"/>
          <w:sz w:val="24"/>
          <w:szCs w:val="24"/>
          <w:shd w:val="clear" w:color="auto" w:fill="FFFFFF"/>
        </w:rPr>
        <w:t>16</w:t>
      </w:r>
    </w:p>
    <w:p w:rsidR="002738F5" w:rsidRDefault="00FA2CBF">
      <w:pPr>
        <w:pStyle w:val="10"/>
        <w:adjustRightInd w:val="0"/>
        <w:snapToGrid w:val="0"/>
        <w:spacing w:before="0" w:line="440" w:lineRule="exact"/>
        <w:jc w:val="left"/>
        <w:rPr>
          <w:rFonts w:eastAsia="宋体"/>
          <w:sz w:val="24"/>
          <w:szCs w:val="24"/>
        </w:rPr>
      </w:pPr>
      <w:r>
        <w:rPr>
          <w:rFonts w:hint="eastAsia"/>
          <w:sz w:val="24"/>
        </w:rPr>
        <w:t>第四部分附件</w:t>
      </w:r>
      <w:r>
        <w:rPr>
          <w:rFonts w:ascii="宋体" w:eastAsia="宋体" w:hAnsi="宋体" w:cs="宋体" w:hint="eastAsia"/>
          <w:color w:val="000000"/>
          <w:kern w:val="0"/>
          <w:sz w:val="24"/>
          <w:szCs w:val="24"/>
          <w:shd w:val="clear" w:color="auto" w:fill="FFFFFF"/>
        </w:rPr>
        <w:t>…………………………</w:t>
      </w:r>
      <w:r>
        <w:rPr>
          <w:rFonts w:ascii="宋体" w:eastAsia="宋体" w:hAnsi="宋体" w:cs="宋体" w:hint="eastAsia"/>
          <w:color w:val="444444"/>
          <w:kern w:val="0"/>
          <w:sz w:val="24"/>
          <w:szCs w:val="24"/>
        </w:rPr>
        <w:t>………………………</w:t>
      </w:r>
      <w:r>
        <w:rPr>
          <w:rFonts w:ascii="宋体" w:eastAsia="宋体" w:hAnsi="宋体" w:cs="宋体" w:hint="eastAsia"/>
          <w:color w:val="000000"/>
          <w:kern w:val="0"/>
          <w:sz w:val="24"/>
          <w:szCs w:val="24"/>
          <w:shd w:val="clear" w:color="auto" w:fill="FFFFFF"/>
        </w:rPr>
        <w:t>……………………</w:t>
      </w:r>
      <w:r>
        <w:rPr>
          <w:rFonts w:ascii="宋体" w:eastAsia="宋体" w:hAnsi="宋体" w:cs="宋体"/>
          <w:color w:val="000000"/>
          <w:kern w:val="0"/>
          <w:sz w:val="24"/>
          <w:szCs w:val="24"/>
          <w:shd w:val="clear" w:color="auto" w:fill="FFFFFF"/>
        </w:rPr>
        <w:t>19</w:t>
      </w:r>
    </w:p>
    <w:p w:rsidR="002738F5" w:rsidRDefault="00FA2CBF">
      <w:pPr>
        <w:pStyle w:val="10"/>
        <w:adjustRightInd w:val="0"/>
        <w:snapToGrid w:val="0"/>
        <w:spacing w:before="0" w:line="440" w:lineRule="exact"/>
        <w:jc w:val="left"/>
        <w:rPr>
          <w:rFonts w:eastAsia="宋体"/>
          <w:sz w:val="24"/>
          <w:szCs w:val="24"/>
        </w:rPr>
      </w:pPr>
      <w:r>
        <w:rPr>
          <w:rFonts w:hint="eastAsia"/>
          <w:sz w:val="24"/>
        </w:rPr>
        <w:t>第五部分附表</w:t>
      </w:r>
    </w:p>
    <w:p w:rsidR="002738F5" w:rsidRDefault="00FA2CBF">
      <w:pPr>
        <w:pStyle w:val="10"/>
        <w:adjustRightInd w:val="0"/>
        <w:snapToGrid w:val="0"/>
        <w:spacing w:before="0" w:line="440" w:lineRule="exact"/>
        <w:ind w:firstLineChars="200" w:firstLine="480"/>
        <w:jc w:val="left"/>
        <w:rPr>
          <w:rFonts w:ascii="宋体" w:eastAsia="宋体" w:hAnsi="宋体"/>
          <w:sz w:val="24"/>
          <w:szCs w:val="24"/>
        </w:rPr>
      </w:pPr>
      <w:r>
        <w:rPr>
          <w:rFonts w:ascii="宋体" w:eastAsia="宋体" w:hAnsi="宋体" w:hint="eastAsia"/>
          <w:sz w:val="24"/>
        </w:rPr>
        <w:t>一、收入支出决算总表</w:t>
      </w:r>
      <w:r>
        <w:rPr>
          <w:rFonts w:ascii="宋体" w:eastAsia="宋体" w:hAnsi="宋体" w:cs="宋体" w:hint="eastAsia"/>
          <w:color w:val="000000"/>
          <w:kern w:val="0"/>
          <w:sz w:val="24"/>
          <w:szCs w:val="24"/>
          <w:shd w:val="clear" w:color="auto" w:fill="FFFFFF"/>
        </w:rPr>
        <w:t>…………………</w:t>
      </w:r>
      <w:r>
        <w:rPr>
          <w:rFonts w:ascii="宋体" w:eastAsia="宋体" w:hAnsi="宋体" w:cs="宋体" w:hint="eastAsia"/>
          <w:color w:val="444444"/>
          <w:kern w:val="0"/>
          <w:sz w:val="24"/>
          <w:szCs w:val="24"/>
        </w:rPr>
        <w:t>…………………</w:t>
      </w:r>
      <w:r>
        <w:rPr>
          <w:rFonts w:ascii="宋体" w:eastAsia="宋体" w:hAnsi="宋体" w:cs="宋体" w:hint="eastAsia"/>
          <w:color w:val="000000"/>
          <w:kern w:val="0"/>
          <w:sz w:val="24"/>
          <w:szCs w:val="24"/>
          <w:shd w:val="clear" w:color="auto" w:fill="FFFFFF"/>
        </w:rPr>
        <w:t>……………………</w:t>
      </w:r>
      <w:r>
        <w:rPr>
          <w:rFonts w:ascii="宋体" w:eastAsia="宋体" w:hAnsi="宋体" w:cs="宋体"/>
          <w:color w:val="000000"/>
          <w:kern w:val="0"/>
          <w:sz w:val="24"/>
          <w:szCs w:val="24"/>
          <w:shd w:val="clear" w:color="auto" w:fill="FFFFFF"/>
        </w:rPr>
        <w:t>20</w:t>
      </w:r>
    </w:p>
    <w:p w:rsidR="002738F5" w:rsidRDefault="00FA2CBF">
      <w:pPr>
        <w:pStyle w:val="10"/>
        <w:adjustRightInd w:val="0"/>
        <w:snapToGrid w:val="0"/>
        <w:spacing w:before="0" w:line="440" w:lineRule="exact"/>
        <w:ind w:firstLineChars="200" w:firstLine="480"/>
        <w:jc w:val="left"/>
        <w:rPr>
          <w:rFonts w:ascii="宋体" w:eastAsia="宋体" w:hAnsi="宋体"/>
          <w:sz w:val="24"/>
          <w:szCs w:val="24"/>
        </w:rPr>
      </w:pPr>
      <w:r>
        <w:rPr>
          <w:rFonts w:ascii="宋体" w:eastAsia="宋体" w:hAnsi="宋体" w:hint="eastAsia"/>
          <w:sz w:val="24"/>
        </w:rPr>
        <w:t>二、收入决算表</w:t>
      </w:r>
      <w:r>
        <w:rPr>
          <w:rFonts w:ascii="宋体" w:eastAsia="宋体" w:hAnsi="宋体" w:cs="宋体" w:hint="eastAsia"/>
          <w:color w:val="000000"/>
          <w:kern w:val="0"/>
          <w:sz w:val="24"/>
          <w:szCs w:val="24"/>
          <w:shd w:val="clear" w:color="auto" w:fill="FFFFFF"/>
        </w:rPr>
        <w:t>……………………</w:t>
      </w:r>
      <w:r>
        <w:rPr>
          <w:rFonts w:ascii="宋体" w:eastAsia="宋体" w:hAnsi="宋体" w:cs="宋体" w:hint="eastAsia"/>
          <w:color w:val="444444"/>
          <w:kern w:val="0"/>
          <w:sz w:val="24"/>
          <w:szCs w:val="24"/>
        </w:rPr>
        <w:t>………………………</w:t>
      </w:r>
      <w:r>
        <w:rPr>
          <w:rFonts w:ascii="宋体" w:eastAsia="宋体" w:hAnsi="宋体" w:cs="宋体" w:hint="eastAsia"/>
          <w:color w:val="000000"/>
          <w:kern w:val="0"/>
          <w:sz w:val="24"/>
          <w:szCs w:val="24"/>
          <w:shd w:val="clear" w:color="auto" w:fill="FFFFFF"/>
        </w:rPr>
        <w:t>……………………</w:t>
      </w:r>
      <w:r>
        <w:rPr>
          <w:rFonts w:ascii="宋体" w:eastAsia="宋体" w:hAnsi="宋体" w:cs="宋体"/>
          <w:color w:val="000000"/>
          <w:kern w:val="0"/>
          <w:sz w:val="24"/>
          <w:szCs w:val="24"/>
          <w:shd w:val="clear" w:color="auto" w:fill="FFFFFF"/>
        </w:rPr>
        <w:t>20</w:t>
      </w:r>
    </w:p>
    <w:p w:rsidR="002738F5" w:rsidRDefault="00FA2CBF">
      <w:pPr>
        <w:pStyle w:val="10"/>
        <w:adjustRightInd w:val="0"/>
        <w:snapToGrid w:val="0"/>
        <w:spacing w:before="0" w:line="440" w:lineRule="exact"/>
        <w:ind w:firstLineChars="200" w:firstLine="480"/>
        <w:jc w:val="left"/>
        <w:rPr>
          <w:rFonts w:ascii="宋体" w:eastAsia="宋体" w:hAnsi="宋体"/>
          <w:sz w:val="24"/>
          <w:szCs w:val="24"/>
        </w:rPr>
      </w:pPr>
      <w:r>
        <w:rPr>
          <w:rFonts w:ascii="宋体" w:eastAsia="宋体" w:hAnsi="宋体" w:hint="eastAsia"/>
          <w:sz w:val="24"/>
        </w:rPr>
        <w:t>三、支出决算表</w:t>
      </w:r>
      <w:r>
        <w:rPr>
          <w:rFonts w:ascii="宋体" w:eastAsia="宋体" w:hAnsi="宋体" w:cs="宋体" w:hint="eastAsia"/>
          <w:color w:val="000000"/>
          <w:kern w:val="0"/>
          <w:sz w:val="24"/>
          <w:szCs w:val="24"/>
          <w:shd w:val="clear" w:color="auto" w:fill="FFFFFF"/>
        </w:rPr>
        <w:t>…………</w:t>
      </w:r>
      <w:r>
        <w:rPr>
          <w:rFonts w:ascii="宋体" w:eastAsia="宋体" w:hAnsi="宋体" w:cs="宋体" w:hint="eastAsia"/>
          <w:color w:val="444444"/>
          <w:kern w:val="0"/>
          <w:sz w:val="24"/>
          <w:szCs w:val="24"/>
        </w:rPr>
        <w:t>……</w:t>
      </w:r>
      <w:r>
        <w:rPr>
          <w:rFonts w:ascii="宋体" w:eastAsia="宋体" w:hAnsi="宋体" w:cs="宋体" w:hint="eastAsia"/>
          <w:color w:val="000000"/>
          <w:kern w:val="0"/>
          <w:sz w:val="24"/>
          <w:szCs w:val="24"/>
          <w:shd w:val="clear" w:color="auto" w:fill="FFFFFF"/>
        </w:rPr>
        <w:t>…………</w:t>
      </w:r>
      <w:r>
        <w:rPr>
          <w:rFonts w:ascii="宋体" w:eastAsia="宋体" w:hAnsi="宋体" w:cs="宋体" w:hint="eastAsia"/>
          <w:color w:val="444444"/>
          <w:kern w:val="0"/>
          <w:sz w:val="24"/>
          <w:szCs w:val="24"/>
        </w:rPr>
        <w:t>…………………</w:t>
      </w:r>
      <w:r>
        <w:rPr>
          <w:rFonts w:ascii="宋体" w:eastAsia="宋体" w:hAnsi="宋体" w:cs="宋体" w:hint="eastAsia"/>
          <w:color w:val="000000"/>
          <w:kern w:val="0"/>
          <w:sz w:val="24"/>
          <w:szCs w:val="24"/>
          <w:shd w:val="clear" w:color="auto" w:fill="FFFFFF"/>
        </w:rPr>
        <w:t>……………………</w:t>
      </w:r>
      <w:r>
        <w:rPr>
          <w:rFonts w:ascii="宋体" w:eastAsia="宋体" w:hAnsi="宋体" w:cs="宋体"/>
          <w:color w:val="000000"/>
          <w:kern w:val="0"/>
          <w:sz w:val="24"/>
          <w:szCs w:val="24"/>
          <w:shd w:val="clear" w:color="auto" w:fill="FFFFFF"/>
        </w:rPr>
        <w:t>20</w:t>
      </w:r>
    </w:p>
    <w:p w:rsidR="002738F5" w:rsidRDefault="00FA2CBF">
      <w:pPr>
        <w:pStyle w:val="10"/>
        <w:adjustRightInd w:val="0"/>
        <w:snapToGrid w:val="0"/>
        <w:spacing w:before="0" w:line="440" w:lineRule="exact"/>
        <w:ind w:firstLineChars="200" w:firstLine="480"/>
        <w:jc w:val="left"/>
        <w:rPr>
          <w:rFonts w:ascii="宋体" w:eastAsia="宋体" w:hAnsi="宋体"/>
          <w:sz w:val="24"/>
          <w:szCs w:val="24"/>
        </w:rPr>
      </w:pPr>
      <w:r>
        <w:rPr>
          <w:rFonts w:ascii="宋体" w:eastAsia="宋体" w:hAnsi="宋体" w:hint="eastAsia"/>
          <w:sz w:val="24"/>
        </w:rPr>
        <w:t>四、财政拨款收入支出决算总表</w:t>
      </w:r>
      <w:r>
        <w:rPr>
          <w:rFonts w:ascii="宋体" w:eastAsia="宋体" w:hAnsi="宋体" w:cs="宋体" w:hint="eastAsia"/>
          <w:color w:val="000000"/>
          <w:kern w:val="0"/>
          <w:sz w:val="24"/>
          <w:szCs w:val="24"/>
          <w:shd w:val="clear" w:color="auto" w:fill="FFFFFF"/>
        </w:rPr>
        <w:t>…………</w:t>
      </w:r>
      <w:r>
        <w:rPr>
          <w:rFonts w:ascii="宋体" w:eastAsia="宋体" w:hAnsi="宋体" w:cs="宋体" w:hint="eastAsia"/>
          <w:color w:val="444444"/>
          <w:kern w:val="0"/>
          <w:sz w:val="24"/>
          <w:szCs w:val="24"/>
        </w:rPr>
        <w:t>……………………</w:t>
      </w:r>
      <w:r>
        <w:rPr>
          <w:rFonts w:ascii="宋体" w:eastAsia="宋体" w:hAnsi="宋体" w:cs="宋体" w:hint="eastAsia"/>
          <w:color w:val="000000"/>
          <w:kern w:val="0"/>
          <w:sz w:val="24"/>
          <w:szCs w:val="24"/>
          <w:shd w:val="clear" w:color="auto" w:fill="FFFFFF"/>
        </w:rPr>
        <w:t>………………</w:t>
      </w:r>
      <w:r>
        <w:rPr>
          <w:rFonts w:ascii="宋体" w:eastAsia="宋体" w:hAnsi="宋体" w:cs="宋体"/>
          <w:color w:val="000000"/>
          <w:kern w:val="0"/>
          <w:sz w:val="24"/>
          <w:szCs w:val="24"/>
          <w:shd w:val="clear" w:color="auto" w:fill="FFFFFF"/>
        </w:rPr>
        <w:t>20</w:t>
      </w:r>
    </w:p>
    <w:p w:rsidR="002738F5" w:rsidRDefault="00FA2CBF">
      <w:pPr>
        <w:pStyle w:val="10"/>
        <w:adjustRightInd w:val="0"/>
        <w:snapToGrid w:val="0"/>
        <w:spacing w:before="0" w:line="440" w:lineRule="exact"/>
        <w:ind w:firstLineChars="200" w:firstLine="480"/>
        <w:jc w:val="left"/>
        <w:rPr>
          <w:rFonts w:ascii="宋体" w:eastAsia="宋体" w:hAnsi="宋体"/>
          <w:sz w:val="24"/>
          <w:szCs w:val="24"/>
        </w:rPr>
      </w:pPr>
      <w:r>
        <w:rPr>
          <w:rFonts w:ascii="宋体" w:eastAsia="宋体" w:hAnsi="宋体" w:hint="eastAsia"/>
          <w:sz w:val="24"/>
        </w:rPr>
        <w:t>五、财政拨款支出决算明细表</w:t>
      </w:r>
      <w:r>
        <w:rPr>
          <w:rFonts w:ascii="宋体" w:eastAsia="宋体" w:hAnsi="宋体" w:cs="宋体" w:hint="eastAsia"/>
          <w:color w:val="000000"/>
          <w:kern w:val="0"/>
          <w:sz w:val="24"/>
          <w:szCs w:val="24"/>
          <w:shd w:val="clear" w:color="auto" w:fill="FFFFFF"/>
        </w:rPr>
        <w:t>……………………</w:t>
      </w:r>
      <w:r>
        <w:rPr>
          <w:rFonts w:ascii="宋体" w:eastAsia="宋体" w:hAnsi="宋体" w:cs="宋体" w:hint="eastAsia"/>
          <w:color w:val="444444"/>
          <w:kern w:val="0"/>
          <w:sz w:val="24"/>
          <w:szCs w:val="24"/>
        </w:rPr>
        <w:t>……………</w:t>
      </w:r>
      <w:r>
        <w:rPr>
          <w:rFonts w:ascii="宋体" w:eastAsia="宋体" w:hAnsi="宋体" w:cs="宋体" w:hint="eastAsia"/>
          <w:color w:val="000000"/>
          <w:kern w:val="0"/>
          <w:sz w:val="24"/>
          <w:szCs w:val="24"/>
          <w:shd w:val="clear" w:color="auto" w:fill="FFFFFF"/>
        </w:rPr>
        <w:t>………………</w:t>
      </w:r>
      <w:r>
        <w:rPr>
          <w:rFonts w:ascii="宋体" w:eastAsia="宋体" w:hAnsi="宋体" w:cs="宋体"/>
          <w:color w:val="000000"/>
          <w:kern w:val="0"/>
          <w:sz w:val="24"/>
          <w:szCs w:val="24"/>
          <w:shd w:val="clear" w:color="auto" w:fill="FFFFFF"/>
        </w:rPr>
        <w:t>20</w:t>
      </w:r>
    </w:p>
    <w:p w:rsidR="002738F5" w:rsidRDefault="00FA2CBF">
      <w:pPr>
        <w:pStyle w:val="10"/>
        <w:adjustRightInd w:val="0"/>
        <w:snapToGrid w:val="0"/>
        <w:spacing w:before="0" w:line="440" w:lineRule="exact"/>
        <w:ind w:firstLineChars="200" w:firstLine="480"/>
        <w:jc w:val="left"/>
        <w:rPr>
          <w:rFonts w:ascii="宋体" w:eastAsia="宋体" w:hAnsi="宋体"/>
          <w:sz w:val="24"/>
          <w:szCs w:val="24"/>
        </w:rPr>
      </w:pPr>
      <w:r>
        <w:rPr>
          <w:rFonts w:ascii="宋体" w:eastAsia="宋体" w:hAnsi="宋体" w:hint="eastAsia"/>
          <w:sz w:val="24"/>
        </w:rPr>
        <w:t>六、一般公共预算财政拨款支出决算表</w:t>
      </w:r>
      <w:r>
        <w:rPr>
          <w:rFonts w:ascii="宋体" w:eastAsia="宋体" w:hAnsi="宋体" w:cs="宋体" w:hint="eastAsia"/>
          <w:color w:val="000000"/>
          <w:kern w:val="0"/>
          <w:sz w:val="24"/>
          <w:szCs w:val="24"/>
          <w:shd w:val="clear" w:color="auto" w:fill="FFFFFF"/>
        </w:rPr>
        <w:t>……</w:t>
      </w:r>
      <w:r>
        <w:rPr>
          <w:rFonts w:ascii="宋体" w:eastAsia="宋体" w:hAnsi="宋体" w:cs="宋体" w:hint="eastAsia"/>
          <w:color w:val="444444"/>
          <w:kern w:val="0"/>
          <w:sz w:val="24"/>
          <w:szCs w:val="24"/>
        </w:rPr>
        <w:t>…………………</w:t>
      </w:r>
      <w:r>
        <w:rPr>
          <w:rFonts w:ascii="宋体" w:eastAsia="宋体" w:hAnsi="宋体" w:cs="宋体" w:hint="eastAsia"/>
          <w:color w:val="000000"/>
          <w:kern w:val="0"/>
          <w:sz w:val="24"/>
          <w:szCs w:val="24"/>
          <w:shd w:val="clear" w:color="auto" w:fill="FFFFFF"/>
        </w:rPr>
        <w:t>………………</w:t>
      </w:r>
      <w:r>
        <w:rPr>
          <w:rFonts w:ascii="宋体" w:eastAsia="宋体" w:hAnsi="宋体" w:cs="宋体"/>
          <w:color w:val="000000"/>
          <w:kern w:val="0"/>
          <w:sz w:val="24"/>
          <w:szCs w:val="24"/>
          <w:shd w:val="clear" w:color="auto" w:fill="FFFFFF"/>
        </w:rPr>
        <w:t>20</w:t>
      </w:r>
    </w:p>
    <w:p w:rsidR="002738F5" w:rsidRDefault="00FA2CBF">
      <w:pPr>
        <w:pStyle w:val="10"/>
        <w:adjustRightInd w:val="0"/>
        <w:snapToGrid w:val="0"/>
        <w:spacing w:before="0" w:line="440" w:lineRule="exact"/>
        <w:ind w:firstLineChars="200" w:firstLine="480"/>
        <w:jc w:val="left"/>
        <w:rPr>
          <w:rFonts w:ascii="宋体" w:eastAsia="宋体" w:hAnsi="宋体"/>
          <w:sz w:val="24"/>
          <w:szCs w:val="24"/>
        </w:rPr>
      </w:pPr>
      <w:r>
        <w:rPr>
          <w:rFonts w:ascii="宋体" w:eastAsia="宋体" w:hAnsi="宋体" w:hint="eastAsia"/>
          <w:sz w:val="24"/>
        </w:rPr>
        <w:t>七、一般公共预算财政拨款支出决算明细表</w:t>
      </w:r>
      <w:r>
        <w:rPr>
          <w:rFonts w:ascii="宋体" w:eastAsia="宋体" w:hAnsi="宋体" w:cs="宋体" w:hint="eastAsia"/>
          <w:color w:val="000000"/>
          <w:kern w:val="0"/>
          <w:sz w:val="24"/>
          <w:szCs w:val="24"/>
          <w:shd w:val="clear" w:color="auto" w:fill="FFFFFF"/>
        </w:rPr>
        <w:t>……</w:t>
      </w:r>
      <w:r>
        <w:rPr>
          <w:rFonts w:ascii="宋体" w:eastAsia="宋体" w:hAnsi="宋体" w:cs="宋体" w:hint="eastAsia"/>
          <w:color w:val="444444"/>
          <w:kern w:val="0"/>
          <w:sz w:val="24"/>
          <w:szCs w:val="24"/>
        </w:rPr>
        <w:t>……………</w:t>
      </w:r>
      <w:r>
        <w:rPr>
          <w:rFonts w:ascii="宋体" w:eastAsia="宋体" w:hAnsi="宋体" w:cs="宋体" w:hint="eastAsia"/>
          <w:color w:val="000000"/>
          <w:kern w:val="0"/>
          <w:sz w:val="24"/>
          <w:szCs w:val="24"/>
          <w:shd w:val="clear" w:color="auto" w:fill="FFFFFF"/>
        </w:rPr>
        <w:t>………………</w:t>
      </w:r>
      <w:r>
        <w:rPr>
          <w:rFonts w:ascii="宋体" w:eastAsia="宋体" w:hAnsi="宋体" w:cs="宋体"/>
          <w:color w:val="000000"/>
          <w:kern w:val="0"/>
          <w:sz w:val="24"/>
          <w:szCs w:val="24"/>
          <w:shd w:val="clear" w:color="auto" w:fill="FFFFFF"/>
        </w:rPr>
        <w:t>20</w:t>
      </w:r>
    </w:p>
    <w:p w:rsidR="002738F5" w:rsidRDefault="00FA2CBF">
      <w:pPr>
        <w:pStyle w:val="10"/>
        <w:adjustRightInd w:val="0"/>
        <w:snapToGrid w:val="0"/>
        <w:spacing w:before="0" w:line="440" w:lineRule="exact"/>
        <w:ind w:firstLineChars="200" w:firstLine="480"/>
        <w:jc w:val="left"/>
        <w:rPr>
          <w:rFonts w:ascii="宋体" w:eastAsia="宋体" w:hAnsi="宋体"/>
          <w:sz w:val="24"/>
          <w:szCs w:val="24"/>
        </w:rPr>
      </w:pPr>
      <w:r>
        <w:rPr>
          <w:rFonts w:ascii="宋体" w:eastAsia="宋体" w:hAnsi="宋体" w:hint="eastAsia"/>
          <w:sz w:val="24"/>
        </w:rPr>
        <w:t>八、一般公共预算财政拨款基本支出决算表</w:t>
      </w:r>
      <w:r>
        <w:rPr>
          <w:rFonts w:ascii="宋体" w:eastAsia="宋体" w:hAnsi="宋体" w:cs="宋体" w:hint="eastAsia"/>
          <w:color w:val="000000"/>
          <w:kern w:val="0"/>
          <w:sz w:val="24"/>
          <w:szCs w:val="24"/>
          <w:shd w:val="clear" w:color="auto" w:fill="FFFFFF"/>
        </w:rPr>
        <w:t>……</w:t>
      </w:r>
      <w:r>
        <w:rPr>
          <w:rFonts w:ascii="宋体" w:eastAsia="宋体" w:hAnsi="宋体" w:cs="宋体" w:hint="eastAsia"/>
          <w:color w:val="444444"/>
          <w:kern w:val="0"/>
          <w:sz w:val="24"/>
          <w:szCs w:val="24"/>
        </w:rPr>
        <w:t>……………</w:t>
      </w:r>
      <w:r>
        <w:rPr>
          <w:rFonts w:ascii="宋体" w:eastAsia="宋体" w:hAnsi="宋体" w:cs="宋体" w:hint="eastAsia"/>
          <w:color w:val="000000"/>
          <w:kern w:val="0"/>
          <w:sz w:val="24"/>
          <w:szCs w:val="24"/>
          <w:shd w:val="clear" w:color="auto" w:fill="FFFFFF"/>
        </w:rPr>
        <w:t>………………</w:t>
      </w:r>
      <w:r>
        <w:rPr>
          <w:rFonts w:ascii="宋体" w:eastAsia="宋体" w:hAnsi="宋体" w:cs="宋体"/>
          <w:color w:val="000000"/>
          <w:kern w:val="0"/>
          <w:sz w:val="24"/>
          <w:szCs w:val="24"/>
          <w:shd w:val="clear" w:color="auto" w:fill="FFFFFF"/>
        </w:rPr>
        <w:t>20</w:t>
      </w:r>
    </w:p>
    <w:p w:rsidR="002738F5" w:rsidRDefault="00FA2CBF">
      <w:pPr>
        <w:pStyle w:val="10"/>
        <w:adjustRightInd w:val="0"/>
        <w:snapToGrid w:val="0"/>
        <w:spacing w:before="0" w:line="440" w:lineRule="exact"/>
        <w:ind w:firstLineChars="200" w:firstLine="480"/>
        <w:jc w:val="left"/>
        <w:rPr>
          <w:rFonts w:ascii="宋体" w:eastAsia="宋体" w:hAnsi="宋体"/>
          <w:sz w:val="24"/>
          <w:szCs w:val="24"/>
        </w:rPr>
      </w:pPr>
      <w:r>
        <w:rPr>
          <w:rFonts w:ascii="宋体" w:eastAsia="宋体" w:hAnsi="宋体" w:hint="eastAsia"/>
          <w:sz w:val="24"/>
        </w:rPr>
        <w:lastRenderedPageBreak/>
        <w:t>九、一般公共预算财政拨款项目支出决算表</w:t>
      </w:r>
      <w:r>
        <w:rPr>
          <w:rFonts w:ascii="宋体" w:eastAsia="宋体" w:hAnsi="宋体" w:cs="宋体" w:hint="eastAsia"/>
          <w:color w:val="000000"/>
          <w:kern w:val="0"/>
          <w:sz w:val="24"/>
          <w:szCs w:val="24"/>
          <w:shd w:val="clear" w:color="auto" w:fill="FFFFFF"/>
        </w:rPr>
        <w:t>…………………………………</w:t>
      </w:r>
      <w:r>
        <w:rPr>
          <w:rFonts w:ascii="宋体" w:eastAsia="宋体" w:hAnsi="宋体" w:cs="宋体"/>
          <w:color w:val="000000"/>
          <w:kern w:val="0"/>
          <w:sz w:val="24"/>
          <w:szCs w:val="24"/>
          <w:shd w:val="clear" w:color="auto" w:fill="FFFFFF"/>
        </w:rPr>
        <w:t>20</w:t>
      </w:r>
    </w:p>
    <w:p w:rsidR="002738F5" w:rsidRDefault="00FA2CBF">
      <w:pPr>
        <w:pStyle w:val="10"/>
        <w:adjustRightInd w:val="0"/>
        <w:snapToGrid w:val="0"/>
        <w:spacing w:before="0" w:line="440" w:lineRule="exact"/>
        <w:ind w:firstLineChars="200" w:firstLine="480"/>
        <w:jc w:val="left"/>
        <w:rPr>
          <w:rFonts w:ascii="宋体" w:eastAsia="宋体" w:hAnsi="宋体"/>
          <w:sz w:val="24"/>
          <w:szCs w:val="24"/>
        </w:rPr>
      </w:pPr>
      <w:r>
        <w:rPr>
          <w:rFonts w:ascii="宋体" w:eastAsia="宋体" w:hAnsi="宋体" w:hint="eastAsia"/>
          <w:sz w:val="24"/>
        </w:rPr>
        <w:t>十、一般公共预算财政拨款“三公”经费支出决算表</w:t>
      </w:r>
      <w:r>
        <w:rPr>
          <w:rFonts w:ascii="宋体" w:eastAsia="宋体" w:hAnsi="宋体" w:cs="宋体" w:hint="eastAsia"/>
          <w:color w:val="000000"/>
          <w:kern w:val="0"/>
          <w:sz w:val="24"/>
          <w:szCs w:val="24"/>
          <w:shd w:val="clear" w:color="auto" w:fill="FFFFFF"/>
        </w:rPr>
        <w:t>…</w:t>
      </w:r>
      <w:r>
        <w:rPr>
          <w:rFonts w:ascii="宋体" w:eastAsia="宋体" w:hAnsi="宋体" w:cs="宋体" w:hint="eastAsia"/>
          <w:color w:val="444444"/>
          <w:kern w:val="0"/>
          <w:sz w:val="24"/>
          <w:szCs w:val="24"/>
        </w:rPr>
        <w:t>……</w:t>
      </w:r>
      <w:r>
        <w:rPr>
          <w:rFonts w:ascii="宋体" w:eastAsia="宋体" w:hAnsi="宋体" w:cs="宋体" w:hint="eastAsia"/>
          <w:color w:val="000000"/>
          <w:kern w:val="0"/>
          <w:sz w:val="24"/>
          <w:szCs w:val="24"/>
          <w:shd w:val="clear" w:color="auto" w:fill="FFFFFF"/>
        </w:rPr>
        <w:t>………………</w:t>
      </w:r>
      <w:r>
        <w:rPr>
          <w:rFonts w:ascii="宋体" w:eastAsia="宋体" w:hAnsi="宋体" w:cs="宋体"/>
          <w:color w:val="000000"/>
          <w:kern w:val="0"/>
          <w:sz w:val="24"/>
          <w:szCs w:val="24"/>
          <w:shd w:val="clear" w:color="auto" w:fill="FFFFFF"/>
        </w:rPr>
        <w:t>20</w:t>
      </w:r>
    </w:p>
    <w:p w:rsidR="002738F5" w:rsidRDefault="00FA2CBF">
      <w:pPr>
        <w:pStyle w:val="10"/>
        <w:adjustRightInd w:val="0"/>
        <w:snapToGrid w:val="0"/>
        <w:spacing w:before="0" w:line="440" w:lineRule="exact"/>
        <w:ind w:firstLineChars="200" w:firstLine="480"/>
        <w:jc w:val="left"/>
        <w:rPr>
          <w:rFonts w:ascii="宋体" w:eastAsia="宋体" w:hAnsi="宋体"/>
          <w:sz w:val="24"/>
          <w:szCs w:val="24"/>
        </w:rPr>
      </w:pPr>
      <w:r>
        <w:rPr>
          <w:rFonts w:ascii="宋体" w:eastAsia="宋体" w:hAnsi="宋体" w:hint="eastAsia"/>
          <w:sz w:val="24"/>
        </w:rPr>
        <w:t>十一、政府性基金预算财政拨款收入支出决算表</w:t>
      </w:r>
      <w:r>
        <w:rPr>
          <w:rFonts w:ascii="宋体" w:eastAsia="宋体" w:hAnsi="宋体" w:cs="宋体" w:hint="eastAsia"/>
          <w:color w:val="000000"/>
          <w:kern w:val="0"/>
          <w:sz w:val="24"/>
          <w:szCs w:val="24"/>
          <w:shd w:val="clear" w:color="auto" w:fill="FFFFFF"/>
        </w:rPr>
        <w:t>……………………………</w:t>
      </w:r>
      <w:r>
        <w:rPr>
          <w:rFonts w:ascii="宋体" w:eastAsia="宋体" w:hAnsi="宋体" w:cs="宋体"/>
          <w:color w:val="000000"/>
          <w:kern w:val="0"/>
          <w:sz w:val="24"/>
          <w:szCs w:val="24"/>
          <w:shd w:val="clear" w:color="auto" w:fill="FFFFFF"/>
        </w:rPr>
        <w:t>20</w:t>
      </w:r>
    </w:p>
    <w:p w:rsidR="002738F5" w:rsidRDefault="00FA2CBF">
      <w:pPr>
        <w:pStyle w:val="10"/>
        <w:adjustRightInd w:val="0"/>
        <w:snapToGrid w:val="0"/>
        <w:spacing w:before="0" w:line="440" w:lineRule="exact"/>
        <w:ind w:firstLineChars="200" w:firstLine="480"/>
        <w:jc w:val="left"/>
        <w:rPr>
          <w:rFonts w:ascii="宋体" w:eastAsia="宋体" w:hAnsi="宋体"/>
          <w:sz w:val="24"/>
          <w:szCs w:val="24"/>
        </w:rPr>
      </w:pPr>
      <w:r>
        <w:rPr>
          <w:rFonts w:ascii="宋体" w:eastAsia="宋体" w:hAnsi="宋体" w:hint="eastAsia"/>
          <w:sz w:val="24"/>
        </w:rPr>
        <w:t>十二、政府性基金预算财政拨款“三公”经费支出决算表</w:t>
      </w:r>
      <w:r>
        <w:rPr>
          <w:rFonts w:ascii="宋体" w:eastAsia="宋体" w:hAnsi="宋体" w:cs="宋体" w:hint="eastAsia"/>
          <w:color w:val="444444"/>
          <w:kern w:val="0"/>
          <w:sz w:val="24"/>
          <w:szCs w:val="24"/>
        </w:rPr>
        <w:t>……</w:t>
      </w:r>
      <w:r>
        <w:rPr>
          <w:rFonts w:ascii="宋体" w:eastAsia="宋体" w:hAnsi="宋体" w:cs="宋体" w:hint="eastAsia"/>
          <w:color w:val="000000"/>
          <w:kern w:val="0"/>
          <w:sz w:val="24"/>
          <w:szCs w:val="24"/>
          <w:shd w:val="clear" w:color="auto" w:fill="FFFFFF"/>
        </w:rPr>
        <w:t>……………</w:t>
      </w:r>
      <w:r>
        <w:rPr>
          <w:rFonts w:ascii="宋体" w:eastAsia="宋体" w:hAnsi="宋体" w:cs="宋体"/>
          <w:color w:val="000000"/>
          <w:kern w:val="0"/>
          <w:sz w:val="24"/>
          <w:szCs w:val="24"/>
          <w:shd w:val="clear" w:color="auto" w:fill="FFFFFF"/>
        </w:rPr>
        <w:t>20</w:t>
      </w:r>
    </w:p>
    <w:p w:rsidR="002738F5" w:rsidRDefault="00FA2CBF">
      <w:pPr>
        <w:pStyle w:val="10"/>
        <w:adjustRightInd w:val="0"/>
        <w:snapToGrid w:val="0"/>
        <w:spacing w:before="0" w:line="440" w:lineRule="exact"/>
        <w:ind w:firstLineChars="200" w:firstLine="480"/>
        <w:jc w:val="left"/>
        <w:rPr>
          <w:rFonts w:ascii="宋体" w:eastAsia="宋体" w:hAnsi="宋体"/>
          <w:sz w:val="24"/>
          <w:szCs w:val="24"/>
        </w:rPr>
      </w:pPr>
      <w:r>
        <w:rPr>
          <w:rFonts w:ascii="宋体" w:eastAsia="宋体" w:hAnsi="宋体" w:hint="eastAsia"/>
          <w:sz w:val="24"/>
        </w:rPr>
        <w:t>十三、国有资本经营预算财政拨款收入支出决算表</w:t>
      </w:r>
      <w:r>
        <w:rPr>
          <w:rFonts w:ascii="宋体" w:eastAsia="宋体" w:hAnsi="宋体" w:cs="宋体" w:hint="eastAsia"/>
          <w:color w:val="000000"/>
          <w:kern w:val="0"/>
          <w:sz w:val="24"/>
          <w:szCs w:val="24"/>
          <w:shd w:val="clear" w:color="auto" w:fill="FFFFFF"/>
        </w:rPr>
        <w:t>…………………………</w:t>
      </w:r>
      <w:r>
        <w:rPr>
          <w:rFonts w:ascii="宋体" w:eastAsia="宋体" w:hAnsi="宋体" w:cs="宋体"/>
          <w:color w:val="000000"/>
          <w:kern w:val="0"/>
          <w:sz w:val="24"/>
          <w:szCs w:val="24"/>
          <w:shd w:val="clear" w:color="auto" w:fill="FFFFFF"/>
        </w:rPr>
        <w:t>20</w:t>
      </w:r>
    </w:p>
    <w:p w:rsidR="002738F5" w:rsidRDefault="00FA2CBF">
      <w:pPr>
        <w:pStyle w:val="10"/>
        <w:adjustRightInd w:val="0"/>
        <w:snapToGrid w:val="0"/>
        <w:spacing w:before="0" w:line="440" w:lineRule="exact"/>
        <w:ind w:firstLineChars="200" w:firstLine="480"/>
        <w:jc w:val="left"/>
        <w:rPr>
          <w:rFonts w:ascii="宋体" w:eastAsia="宋体" w:hAnsi="宋体"/>
          <w:sz w:val="24"/>
          <w:szCs w:val="24"/>
        </w:rPr>
      </w:pPr>
      <w:r>
        <w:rPr>
          <w:rFonts w:ascii="宋体" w:eastAsia="宋体" w:hAnsi="宋体" w:hint="eastAsia"/>
          <w:sz w:val="24"/>
        </w:rPr>
        <w:t>十四、国有资本经营预算财政拨款支出决算表</w:t>
      </w:r>
      <w:bookmarkStart w:id="12" w:name="_Toc15377196"/>
      <w:bookmarkStart w:id="13" w:name="_Toc15396599"/>
      <w:r>
        <w:rPr>
          <w:rFonts w:ascii="宋体" w:eastAsia="宋体" w:hAnsi="宋体" w:cs="宋体" w:hint="eastAsia"/>
          <w:color w:val="000000"/>
          <w:kern w:val="0"/>
          <w:sz w:val="24"/>
          <w:szCs w:val="24"/>
          <w:shd w:val="clear" w:color="auto" w:fill="FFFFFF"/>
        </w:rPr>
        <w:t>………………………………</w:t>
      </w:r>
      <w:r>
        <w:rPr>
          <w:rFonts w:ascii="宋体" w:eastAsia="宋体" w:hAnsi="宋体" w:cs="宋体"/>
          <w:color w:val="000000"/>
          <w:kern w:val="0"/>
          <w:sz w:val="24"/>
          <w:szCs w:val="24"/>
          <w:shd w:val="clear" w:color="auto" w:fill="FFFFFF"/>
        </w:rPr>
        <w:t>20</w:t>
      </w:r>
    </w:p>
    <w:p w:rsidR="002738F5" w:rsidRDefault="00FA2CBF">
      <w:pPr>
        <w:pStyle w:val="20"/>
        <w:adjustRightInd w:val="0"/>
        <w:snapToGrid w:val="0"/>
        <w:spacing w:line="440" w:lineRule="exact"/>
        <w:jc w:val="left"/>
        <w:rPr>
          <w:sz w:val="24"/>
        </w:rPr>
      </w:pPr>
      <w:r>
        <w:rPr>
          <w:rFonts w:ascii="仿宋" w:eastAsia="仿宋" w:hAnsi="仿宋"/>
          <w:b/>
          <w:sz w:val="24"/>
        </w:rPr>
        <w:br w:type="page"/>
      </w:r>
    </w:p>
    <w:p w:rsidR="002738F5" w:rsidRDefault="00FA2CBF">
      <w:pPr>
        <w:pStyle w:val="1"/>
        <w:jc w:val="center"/>
        <w:rPr>
          <w:rStyle w:val="1Char"/>
          <w:rFonts w:ascii="黑体" w:eastAsia="黑体" w:hAnsi="黑体"/>
          <w:b/>
        </w:rPr>
      </w:pPr>
      <w:r>
        <w:rPr>
          <w:rFonts w:ascii="黑体" w:eastAsia="黑体" w:hAnsi="黑体" w:hint="eastAsia"/>
          <w:b w:val="0"/>
        </w:rPr>
        <w:lastRenderedPageBreak/>
        <w:t>第一部分单位</w:t>
      </w:r>
      <w:r>
        <w:rPr>
          <w:rStyle w:val="1Char"/>
          <w:rFonts w:ascii="黑体" w:eastAsia="黑体" w:hAnsi="黑体" w:hint="eastAsia"/>
        </w:rPr>
        <w:t>概况</w:t>
      </w:r>
      <w:bookmarkEnd w:id="12"/>
      <w:bookmarkEnd w:id="13"/>
    </w:p>
    <w:p w:rsidR="002738F5" w:rsidRDefault="002738F5">
      <w:pPr>
        <w:widowControl/>
        <w:jc w:val="left"/>
        <w:rPr>
          <w:rFonts w:ascii="黑体" w:eastAsia="黑体"/>
          <w:sz w:val="32"/>
          <w:szCs w:val="32"/>
        </w:rPr>
      </w:pPr>
    </w:p>
    <w:p w:rsidR="002738F5" w:rsidRDefault="00FA2CBF" w:rsidP="00FA2CBF">
      <w:pPr>
        <w:pStyle w:val="2"/>
        <w:numPr>
          <w:ilvl w:val="0"/>
          <w:numId w:val="5"/>
        </w:numPr>
        <w:spacing w:before="0" w:after="0" w:line="415" w:lineRule="auto"/>
        <w:rPr>
          <w:rStyle w:val="2Char"/>
          <w:rFonts w:ascii="黑体" w:eastAsia="黑体" w:hAnsi="黑体"/>
        </w:rPr>
      </w:pPr>
      <w:bookmarkStart w:id="14" w:name="_Toc15396600"/>
      <w:bookmarkStart w:id="15" w:name="_Toc15377197"/>
      <w:r>
        <w:rPr>
          <w:rStyle w:val="2Char"/>
          <w:rFonts w:ascii="黑体" w:eastAsia="黑体" w:hAnsi="黑体" w:hint="eastAsia"/>
        </w:rPr>
        <w:t>职能简介</w:t>
      </w:r>
    </w:p>
    <w:p w:rsidR="002738F5" w:rsidRDefault="00FA2CBF">
      <w:pPr>
        <w:pStyle w:val="a7"/>
        <w:widowControl/>
        <w:spacing w:beforeAutospacing="0" w:afterAutospacing="0" w:line="580" w:lineRule="atLeast"/>
        <w:ind w:firstLineChars="200" w:firstLine="640"/>
        <w:textAlignment w:val="baseline"/>
        <w:rPr>
          <w:rFonts w:ascii="仿宋_GB2312" w:hAnsi="仿宋_GB2312" w:cs="仿宋_GB2312"/>
          <w:kern w:val="2"/>
          <w:sz w:val="32"/>
        </w:rPr>
      </w:pPr>
      <w:r>
        <w:rPr>
          <w:rFonts w:ascii="仿宋_GB2312" w:hAnsi="仿宋_GB2312" w:cs="仿宋_GB2312" w:hint="eastAsia"/>
          <w:kern w:val="2"/>
          <w:sz w:val="32"/>
        </w:rPr>
        <w:t>四川省成都女子监狱是国家刑罚执行机关，具有惩罚改造罪犯，维护社会稳定的职能。监狱坚持以习近平新时代中国特色社会主义思想为指导，认真落实四川省《监狱管理规范》地方标准，深化内部管理，建立健全管理制度；深化精细化管理，确保民警恪尽职守，履职尽责；深化创新发展，确保监狱各项工作不断取得新的成绩。切实担负起时代重任，奋力新作为，实现新发展，力争把成都女子监狱早日建成法德兼治的新型现代文明监狱，为建设美丽繁荣和谐四川，推动治蜀兴川再上新台阶作出新的更大的贡献。</w:t>
      </w:r>
    </w:p>
    <w:p w:rsidR="00A01E06" w:rsidRDefault="00A01E06">
      <w:pPr>
        <w:pStyle w:val="a7"/>
        <w:widowControl/>
        <w:spacing w:beforeAutospacing="0" w:afterAutospacing="0" w:line="580" w:lineRule="atLeast"/>
        <w:ind w:firstLineChars="200" w:firstLine="640"/>
        <w:textAlignment w:val="baseline"/>
        <w:rPr>
          <w:rFonts w:ascii="仿宋_GB2312" w:hAnsi="仿宋_GB2312" w:cs="仿宋_GB2312"/>
          <w:kern w:val="2"/>
          <w:sz w:val="32"/>
        </w:rPr>
      </w:pPr>
    </w:p>
    <w:p w:rsidR="002738F5" w:rsidRDefault="00FA2CBF" w:rsidP="00FA2CBF">
      <w:pPr>
        <w:pStyle w:val="2"/>
        <w:spacing w:before="0" w:after="0" w:line="415" w:lineRule="auto"/>
        <w:ind w:firstLineChars="200" w:firstLine="640"/>
        <w:rPr>
          <w:rFonts w:ascii="黑体" w:eastAsia="黑体" w:hAnsi="黑体"/>
          <w:b w:val="0"/>
        </w:rPr>
      </w:pPr>
      <w:r w:rsidRPr="00FA2CBF">
        <w:rPr>
          <w:rFonts w:ascii="黑体" w:eastAsia="黑体" w:hAnsi="黑体" w:hint="eastAsia"/>
          <w:b w:val="0"/>
        </w:rPr>
        <w:t>二、</w:t>
      </w:r>
      <w:r>
        <w:rPr>
          <w:rFonts w:ascii="黑体" w:eastAsia="黑体" w:hAnsi="黑体"/>
          <w:b w:val="0"/>
        </w:rPr>
        <w:t>2021</w:t>
      </w:r>
      <w:r>
        <w:rPr>
          <w:rFonts w:ascii="黑体" w:eastAsia="黑体" w:hAnsi="黑体" w:hint="eastAsia"/>
          <w:b w:val="0"/>
        </w:rPr>
        <w:t>年重点工作</w:t>
      </w:r>
      <w:bookmarkEnd w:id="14"/>
      <w:bookmarkEnd w:id="15"/>
      <w:r>
        <w:rPr>
          <w:rFonts w:ascii="黑体" w:eastAsia="黑体" w:hAnsi="黑体" w:hint="eastAsia"/>
          <w:b w:val="0"/>
        </w:rPr>
        <w:t>完成情况</w:t>
      </w:r>
    </w:p>
    <w:p w:rsidR="00A01E06" w:rsidRPr="00A01E06" w:rsidRDefault="00A14280" w:rsidP="00A142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成都女子监狱</w:t>
      </w:r>
      <w:r w:rsidR="00A01E06" w:rsidRPr="00A01E06">
        <w:rPr>
          <w:rFonts w:ascii="仿宋_GB2312" w:eastAsia="仿宋_GB2312" w:hAnsi="仿宋_GB2312" w:cs="仿宋_GB2312" w:hint="eastAsia"/>
          <w:sz w:val="32"/>
          <w:szCs w:val="32"/>
        </w:rPr>
        <w:t>始终把保安全作为首要责任和最大的政治任务，抓关键抓重点抓根本，统筹兼顾、全面推进，夯基固本、严防死守，顺利实现了“十零”安全目标，确保了监狱绝对安全稳定</w:t>
      </w:r>
      <w:r>
        <w:rPr>
          <w:rFonts w:ascii="仿宋_GB2312" w:eastAsia="仿宋_GB2312" w:hAnsi="仿宋_GB2312" w:cs="仿宋_GB2312" w:hint="eastAsia"/>
          <w:sz w:val="32"/>
          <w:szCs w:val="32"/>
        </w:rPr>
        <w:t>；</w:t>
      </w:r>
      <w:r w:rsidR="00A01E06" w:rsidRPr="00A01E06">
        <w:rPr>
          <w:rFonts w:ascii="仿宋_GB2312" w:eastAsia="仿宋_GB2312" w:hAnsi="仿宋_GB2312" w:cs="仿宋_GB2312" w:hint="eastAsia"/>
          <w:sz w:val="32"/>
          <w:szCs w:val="32"/>
        </w:rPr>
        <w:t>始终以法治思维和法治方式强化监狱内部管理，不遗余力锻造过硬执法队伍，执法主体职能深入践行</w:t>
      </w:r>
      <w:r>
        <w:rPr>
          <w:rFonts w:ascii="仿宋_GB2312" w:eastAsia="仿宋_GB2312" w:hAnsi="仿宋_GB2312" w:cs="仿宋_GB2312" w:hint="eastAsia"/>
          <w:sz w:val="32"/>
          <w:szCs w:val="32"/>
        </w:rPr>
        <w:t>；</w:t>
      </w:r>
      <w:r w:rsidR="00A01E06" w:rsidRPr="00A01E06">
        <w:rPr>
          <w:rFonts w:ascii="仿宋_GB2312" w:eastAsia="仿宋_GB2312" w:hAnsi="仿宋_GB2312" w:cs="仿宋_GB2312" w:hint="eastAsia"/>
          <w:bCs/>
          <w:sz w:val="32"/>
          <w:szCs w:val="32"/>
        </w:rPr>
        <w:t>坚持稳中求进、发展破难的工作基调，不断提升监狱综合</w:t>
      </w:r>
      <w:r w:rsidR="00A01E06" w:rsidRPr="00A01E06">
        <w:rPr>
          <w:rFonts w:ascii="仿宋_GB2312" w:eastAsia="仿宋_GB2312" w:hAnsi="仿宋_GB2312" w:cs="仿宋_GB2312" w:hint="eastAsia"/>
          <w:sz w:val="32"/>
          <w:szCs w:val="32"/>
        </w:rPr>
        <w:t>保障水平，为监狱持续发展</w:t>
      </w:r>
      <w:r>
        <w:rPr>
          <w:rFonts w:ascii="仿宋_GB2312" w:eastAsia="仿宋_GB2312" w:hAnsi="仿宋_GB2312" w:cs="仿宋_GB2312" w:hint="eastAsia"/>
          <w:sz w:val="32"/>
          <w:szCs w:val="32"/>
        </w:rPr>
        <w:t>提供更加坚强的保障支撑</w:t>
      </w:r>
      <w:r w:rsidRPr="00A14280">
        <w:rPr>
          <w:rFonts w:ascii="仿宋_GB2312" w:eastAsia="仿宋_GB2312" w:hAnsi="仿宋_GB2312" w:cs="仿宋_GB2312" w:hint="eastAsia"/>
          <w:sz w:val="32"/>
          <w:szCs w:val="32"/>
        </w:rPr>
        <w:t>；</w:t>
      </w:r>
      <w:r w:rsidR="00A01E06" w:rsidRPr="00A01E06">
        <w:rPr>
          <w:rFonts w:ascii="仿宋_GB2312" w:eastAsia="仿宋_GB2312" w:hAnsi="仿宋_GB2312" w:cs="仿宋_GB2312" w:hint="eastAsia"/>
          <w:sz w:val="32"/>
          <w:szCs w:val="32"/>
        </w:rPr>
        <w:t>牢牢把</w:t>
      </w:r>
      <w:r w:rsidR="00A01E06" w:rsidRPr="00A01E06">
        <w:rPr>
          <w:rFonts w:ascii="仿宋_GB2312" w:eastAsia="仿宋_GB2312" w:hAnsi="仿宋_GB2312" w:cs="仿宋_GB2312" w:hint="eastAsia"/>
          <w:sz w:val="32"/>
          <w:szCs w:val="32"/>
        </w:rPr>
        <w:lastRenderedPageBreak/>
        <w:t>握标准深化“三年行动”之“对标升位”年，贯彻落实中央“两办意见”及四川“实施方案”深入推进年这两大机遇，全面推进“对标升位”，为监狱的快速发展铺好大道。</w:t>
      </w:r>
    </w:p>
    <w:p w:rsidR="00FA2CBF" w:rsidRDefault="00FA2CBF" w:rsidP="00FA2CBF">
      <w:pPr>
        <w:pStyle w:val="a0"/>
        <w:spacing w:before="93"/>
      </w:pPr>
    </w:p>
    <w:p w:rsidR="00FA2CBF" w:rsidRPr="005575A0" w:rsidRDefault="00FA2CBF" w:rsidP="00FA2CBF">
      <w:pPr>
        <w:pStyle w:val="2"/>
        <w:spacing w:before="0" w:after="0"/>
        <w:ind w:firstLineChars="200" w:firstLine="640"/>
        <w:rPr>
          <w:rFonts w:ascii="黑体" w:eastAsia="黑体" w:hAnsi="黑体"/>
          <w:b w:val="0"/>
        </w:rPr>
      </w:pPr>
      <w:r w:rsidRPr="005575A0">
        <w:rPr>
          <w:rFonts w:ascii="黑体" w:eastAsia="黑体" w:hAnsi="黑体" w:hint="eastAsia"/>
          <w:b w:val="0"/>
        </w:rPr>
        <w:t>三、机构设置情况</w:t>
      </w:r>
    </w:p>
    <w:p w:rsidR="002738F5" w:rsidRPr="005575A0" w:rsidRDefault="00FA2CBF" w:rsidP="005575A0">
      <w:pPr>
        <w:widowControl/>
        <w:ind w:firstLineChars="200" w:firstLine="640"/>
        <w:jc w:val="left"/>
        <w:rPr>
          <w:rFonts w:ascii="仿宋" w:eastAsia="仿宋" w:hAnsi="仿宋"/>
          <w:color w:val="FF0000"/>
          <w:sz w:val="32"/>
          <w:szCs w:val="32"/>
        </w:rPr>
      </w:pPr>
      <w:r w:rsidRPr="00565924">
        <w:rPr>
          <w:rFonts w:ascii="仿宋_GB2312" w:eastAsia="仿宋_GB2312" w:hAnsi="仿宋_GB2312" w:cs="仿宋_GB2312" w:hint="eastAsia"/>
          <w:sz w:val="32"/>
          <w:szCs w:val="32"/>
        </w:rPr>
        <w:t>四川省成都女子监狱由</w:t>
      </w:r>
      <w:r w:rsidR="00CA3863" w:rsidRPr="00565924">
        <w:rPr>
          <w:rFonts w:ascii="仿宋_GB2312" w:eastAsia="仿宋_GB2312" w:hAnsi="仿宋_GB2312" w:cs="仿宋_GB2312" w:hint="eastAsia"/>
          <w:sz w:val="32"/>
          <w:szCs w:val="32"/>
        </w:rPr>
        <w:t>17</w:t>
      </w:r>
      <w:r w:rsidRPr="00565924">
        <w:rPr>
          <w:rFonts w:ascii="仿宋_GB2312" w:eastAsia="仿宋_GB2312" w:hAnsi="仿宋_GB2312" w:cs="仿宋_GB2312" w:hint="eastAsia"/>
          <w:sz w:val="32"/>
          <w:szCs w:val="32"/>
        </w:rPr>
        <w:t>个内设机构组成，分别是</w:t>
      </w:r>
      <w:r w:rsidR="00A14280" w:rsidRPr="00565924">
        <w:rPr>
          <w:rFonts w:ascii="仿宋_GB2312" w:eastAsia="仿宋_GB2312" w:hAnsi="仿宋_GB2312" w:cs="仿宋_GB2312" w:hint="eastAsia"/>
          <w:sz w:val="32"/>
          <w:szCs w:val="32"/>
        </w:rPr>
        <w:t>：</w:t>
      </w:r>
      <w:r w:rsidR="005575A0" w:rsidRPr="00565924">
        <w:rPr>
          <w:rFonts w:ascii="仿宋_GB2312" w:eastAsia="仿宋_GB2312" w:hAnsi="仿宋_GB2312" w:cs="仿宋_GB2312" w:hint="eastAsia"/>
          <w:sz w:val="32"/>
          <w:szCs w:val="32"/>
        </w:rPr>
        <w:t>办公室、生产经营科、生活卫生科、警务督察科、离退休人员管理科、机关党总支、勤务大队、财务与工资福利科、审计科、环境保护与安全生产科、狱政管理科、狱内侦查科、监狱工会委员会、刑罚执行科、教育改造科、政治处、政策法规科等。</w:t>
      </w:r>
      <w:r>
        <w:rPr>
          <w:rFonts w:ascii="仿宋" w:eastAsia="仿宋" w:hAnsi="仿宋" w:cs="仿宋"/>
          <w:sz w:val="32"/>
          <w:szCs w:val="32"/>
        </w:rPr>
        <w:br w:type="page"/>
      </w:r>
    </w:p>
    <w:p w:rsidR="002738F5" w:rsidRDefault="00FA2CBF">
      <w:pPr>
        <w:pStyle w:val="1"/>
        <w:ind w:right="440"/>
        <w:jc w:val="center"/>
        <w:rPr>
          <w:rStyle w:val="1Char"/>
          <w:rFonts w:ascii="黑体" w:eastAsia="黑体" w:hAnsi="黑体"/>
          <w:bCs/>
        </w:rPr>
      </w:pPr>
      <w:bookmarkStart w:id="16" w:name="_Toc15396602"/>
      <w:bookmarkStart w:id="17" w:name="_Toc15377204"/>
      <w:r>
        <w:rPr>
          <w:rFonts w:ascii="黑体" w:eastAsia="黑体" w:hAnsi="黑体" w:hint="eastAsia"/>
          <w:b w:val="0"/>
        </w:rPr>
        <w:lastRenderedPageBreak/>
        <w:t>第二部分</w:t>
      </w:r>
      <w:r>
        <w:rPr>
          <w:rFonts w:ascii="黑体" w:eastAsia="黑体" w:hAnsi="黑体"/>
          <w:b w:val="0"/>
        </w:rPr>
        <w:t xml:space="preserve"> 2021</w:t>
      </w:r>
      <w:r>
        <w:rPr>
          <w:rFonts w:ascii="黑体" w:eastAsia="黑体" w:hAnsi="黑体" w:hint="eastAsia"/>
          <w:b w:val="0"/>
        </w:rPr>
        <w:t>年度</w:t>
      </w:r>
      <w:r>
        <w:rPr>
          <w:rStyle w:val="1Char"/>
          <w:rFonts w:ascii="黑体" w:eastAsia="黑体" w:hAnsi="黑体" w:hint="eastAsia"/>
          <w:bCs/>
        </w:rPr>
        <w:t>单位决算情况说明</w:t>
      </w:r>
      <w:bookmarkEnd w:id="16"/>
      <w:bookmarkEnd w:id="17"/>
    </w:p>
    <w:p w:rsidR="002738F5" w:rsidRDefault="002738F5"/>
    <w:p w:rsidR="002738F5" w:rsidRDefault="00FA2CBF">
      <w:pPr>
        <w:pStyle w:val="aa"/>
        <w:numPr>
          <w:ilvl w:val="0"/>
          <w:numId w:val="2"/>
        </w:numPr>
        <w:spacing w:line="600" w:lineRule="exact"/>
        <w:ind w:firstLineChars="0"/>
        <w:outlineLvl w:val="1"/>
        <w:rPr>
          <w:rStyle w:val="2Char"/>
          <w:rFonts w:ascii="黑体" w:eastAsia="黑体" w:hAnsi="黑体"/>
          <w:b w:val="0"/>
        </w:rPr>
      </w:pPr>
      <w:bookmarkStart w:id="18" w:name="_Toc15396603"/>
      <w:bookmarkStart w:id="19"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8"/>
      <w:bookmarkEnd w:id="19"/>
    </w:p>
    <w:p w:rsidR="002738F5" w:rsidRDefault="00FA2CB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2021年度收、支总计15,910.23万元（总收入含年初结转结余，总支出含年末结转结余）。与2020年相比，收、支总计各增加1,749.78万元，增长12.35%。主要变动原因是2021年</w:t>
      </w:r>
      <w:r>
        <w:rPr>
          <w:rFonts w:ascii="仿宋_GB2312" w:eastAsia="仿宋_GB2312" w:hAnsi="仿宋_GB2312" w:cs="仿宋_GB2312" w:hint="eastAsia"/>
          <w:color w:val="444444"/>
          <w:kern w:val="0"/>
          <w:sz w:val="32"/>
          <w:szCs w:val="32"/>
        </w:rPr>
        <w:t>绩效管理奖增资</w:t>
      </w:r>
      <w:r>
        <w:rPr>
          <w:rFonts w:ascii="仿宋_GB2312" w:eastAsia="仿宋_GB2312" w:hAnsi="仿宋_GB2312" w:cs="仿宋_GB2312" w:hint="eastAsia"/>
          <w:sz w:val="32"/>
          <w:szCs w:val="32"/>
        </w:rPr>
        <w:t>。</w:t>
      </w:r>
    </w:p>
    <w:p w:rsidR="002738F5" w:rsidRDefault="00FA2CBF">
      <w:pPr>
        <w:spacing w:line="60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（图1：收、支决算总计变动情况图）</w:t>
      </w:r>
    </w:p>
    <w:p w:rsidR="002738F5" w:rsidRDefault="00FA2CBF">
      <w:pPr>
        <w:pStyle w:val="a0"/>
        <w:spacing w:before="93"/>
      </w:pPr>
      <w:r>
        <w:rPr>
          <w:noProof/>
        </w:rPr>
        <w:drawing>
          <wp:inline distT="0" distB="0" distL="114300" distR="114300">
            <wp:extent cx="4800600" cy="2863850"/>
            <wp:effectExtent l="0" t="0" r="0" b="6350"/>
            <wp:docPr id="1" name="图表 1"/>
            <wp:cNvGraphicFramePr/>
            <a:graphic xmlns:a="http://schemas.openxmlformats.org/drawingml/2006/main">
              <a:graphicData uri="http://schemas.openxmlformats.org/drawingml/2006/picture">
                <pic:pic xmlns:pic="http://schemas.openxmlformats.org/drawingml/2006/picture">
                  <pic:nvPicPr>
                    <pic:cNvPr id="1" name="图表 1"/>
                    <pic:cNvPicPr/>
                  </pic:nvPicPr>
                  <pic:blipFill>
                    <a:blip r:embed="rId10"/>
                    <a:stretch>
                      <a:fillRect/>
                    </a:stretch>
                  </pic:blipFill>
                  <pic:spPr>
                    <a:xfrm>
                      <a:off x="0" y="0"/>
                      <a:ext cx="4800600" cy="2863850"/>
                    </a:xfrm>
                    <a:prstGeom prst="rect">
                      <a:avLst/>
                    </a:prstGeom>
                    <a:noFill/>
                    <a:ln>
                      <a:noFill/>
                    </a:ln>
                  </pic:spPr>
                </pic:pic>
              </a:graphicData>
            </a:graphic>
          </wp:inline>
        </w:drawing>
      </w:r>
    </w:p>
    <w:p w:rsidR="002738F5" w:rsidRDefault="002738F5">
      <w:pPr>
        <w:spacing w:line="600" w:lineRule="exact"/>
        <w:ind w:firstLineChars="200" w:firstLine="640"/>
        <w:jc w:val="left"/>
        <w:rPr>
          <w:rFonts w:ascii="仿宋_GB2312" w:eastAsia="仿宋_GB2312"/>
          <w:sz w:val="32"/>
          <w:szCs w:val="32"/>
        </w:rPr>
      </w:pPr>
    </w:p>
    <w:p w:rsidR="002738F5" w:rsidRDefault="00FA2CBF">
      <w:pPr>
        <w:pStyle w:val="aa"/>
        <w:numPr>
          <w:ilvl w:val="0"/>
          <w:numId w:val="2"/>
        </w:numPr>
        <w:spacing w:line="600" w:lineRule="exact"/>
        <w:ind w:firstLineChars="0"/>
        <w:outlineLvl w:val="1"/>
        <w:rPr>
          <w:rStyle w:val="2Char"/>
          <w:rFonts w:ascii="黑体" w:eastAsia="黑体" w:hAnsi="黑体"/>
          <w:b w:val="0"/>
        </w:rPr>
      </w:pPr>
      <w:bookmarkStart w:id="20" w:name="_Toc15377206"/>
      <w:bookmarkStart w:id="21" w:name="_Toc15396604"/>
      <w:r>
        <w:rPr>
          <w:rFonts w:ascii="黑体" w:eastAsia="黑体" w:hAnsi="黑体" w:hint="eastAsia"/>
          <w:sz w:val="32"/>
          <w:szCs w:val="32"/>
        </w:rPr>
        <w:t>收</w:t>
      </w:r>
      <w:r>
        <w:rPr>
          <w:rStyle w:val="2Char"/>
          <w:rFonts w:ascii="黑体" w:eastAsia="黑体" w:hAnsi="黑体" w:hint="eastAsia"/>
          <w:b w:val="0"/>
        </w:rPr>
        <w:t>入决算情况说明</w:t>
      </w:r>
      <w:bookmarkEnd w:id="20"/>
      <w:bookmarkEnd w:id="21"/>
    </w:p>
    <w:p w:rsidR="002738F5" w:rsidRDefault="00FA2CBF">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2021年本年收入合计15,883.86万元，其中：一般公共预算财政拨款收入15,785.33万元，占99.38%；其他收入98.53万元，占0.62%。</w:t>
      </w:r>
    </w:p>
    <w:p w:rsidR="002738F5" w:rsidRDefault="00FA2CBF">
      <w:pPr>
        <w:spacing w:line="600" w:lineRule="exact"/>
        <w:ind w:firstLineChars="600" w:firstLine="192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（图2：收入决算结构图）</w:t>
      </w:r>
    </w:p>
    <w:p w:rsidR="002738F5" w:rsidRDefault="00525CBB">
      <w:pPr>
        <w:pStyle w:val="a0"/>
        <w:spacing w:before="93"/>
      </w:pPr>
      <w:r>
        <w:rPr>
          <w:noProof/>
        </w:rPr>
        <w:lastRenderedPageBreak/>
        <w:drawing>
          <wp:inline distT="0" distB="0" distL="0" distR="0">
            <wp:extent cx="4803775" cy="2835910"/>
            <wp:effectExtent l="0" t="0" r="0" b="0"/>
            <wp:docPr id="7" name="对象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38F5" w:rsidRDefault="002738F5">
      <w:pPr>
        <w:spacing w:line="600" w:lineRule="exact"/>
        <w:ind w:firstLineChars="200" w:firstLine="640"/>
        <w:rPr>
          <w:rFonts w:ascii="仿宋_GB2312" w:eastAsia="仿宋_GB2312"/>
          <w:sz w:val="32"/>
          <w:szCs w:val="32"/>
        </w:rPr>
      </w:pPr>
    </w:p>
    <w:p w:rsidR="002738F5" w:rsidRDefault="00FA2CBF">
      <w:pPr>
        <w:pStyle w:val="aa"/>
        <w:numPr>
          <w:ilvl w:val="0"/>
          <w:numId w:val="2"/>
        </w:numPr>
        <w:spacing w:line="600" w:lineRule="exact"/>
        <w:ind w:firstLineChars="0"/>
        <w:outlineLvl w:val="1"/>
        <w:rPr>
          <w:rStyle w:val="2Char"/>
          <w:rFonts w:ascii="黑体" w:eastAsia="黑体" w:hAnsi="黑体"/>
          <w:b w:val="0"/>
        </w:rPr>
      </w:pPr>
      <w:bookmarkStart w:id="22" w:name="_Toc15396605"/>
      <w:bookmarkStart w:id="23"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22"/>
      <w:bookmarkEnd w:id="23"/>
    </w:p>
    <w:p w:rsidR="002738F5" w:rsidRDefault="00FA2CBF">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2021年本年支出合计15,874.99万元，其中：基本支出14,219.61万元，占89.57%；项目支出1,655.38万元，占10.43%。</w:t>
      </w:r>
    </w:p>
    <w:p w:rsidR="002738F5" w:rsidRDefault="00FA2CBF">
      <w:pPr>
        <w:spacing w:line="600" w:lineRule="exact"/>
        <w:ind w:firstLineChars="600" w:firstLine="192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（图3：支出决算结构图）</w:t>
      </w:r>
    </w:p>
    <w:p w:rsidR="002738F5" w:rsidRDefault="00525CBB">
      <w:pPr>
        <w:pStyle w:val="a0"/>
        <w:spacing w:before="93"/>
      </w:pPr>
      <w:r>
        <w:rPr>
          <w:noProof/>
        </w:rPr>
        <w:drawing>
          <wp:inline distT="0" distB="0" distL="0" distR="0">
            <wp:extent cx="4791710" cy="2876550"/>
            <wp:effectExtent l="0" t="0" r="0" b="0"/>
            <wp:docPr id="6" name="对象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38F5" w:rsidRDefault="002738F5">
      <w:pPr>
        <w:pStyle w:val="a0"/>
        <w:spacing w:before="93"/>
      </w:pPr>
    </w:p>
    <w:p w:rsidR="002738F5" w:rsidRDefault="00FA2CBF">
      <w:pPr>
        <w:spacing w:line="600" w:lineRule="exact"/>
        <w:ind w:firstLineChars="200" w:firstLine="640"/>
        <w:outlineLvl w:val="1"/>
        <w:rPr>
          <w:rStyle w:val="2Char"/>
          <w:rFonts w:ascii="黑体" w:eastAsia="黑体" w:hAnsi="黑体"/>
          <w:b w:val="0"/>
        </w:rPr>
      </w:pPr>
      <w:bookmarkStart w:id="24" w:name="_Toc15396606"/>
      <w:bookmarkStart w:id="25" w:name="_Toc15377208"/>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24"/>
      <w:bookmarkEnd w:id="25"/>
    </w:p>
    <w:p w:rsidR="002738F5" w:rsidRDefault="00FA2CB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2021年财政拨款收、支总计15,785.33万元。与2020年相比，财政拨款收、支总计各增加1,750.78万元，增长12.47%。主要变动原因是2021年绩效管理奖增资。</w:t>
      </w:r>
    </w:p>
    <w:p w:rsidR="002738F5" w:rsidRDefault="00FA2CB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（图4：财政拨款收、支决算总计变动情况）</w:t>
      </w:r>
    </w:p>
    <w:p w:rsidR="002738F5" w:rsidRDefault="00FA2CBF">
      <w:pPr>
        <w:pStyle w:val="a0"/>
        <w:spacing w:before="93"/>
      </w:pPr>
      <w:r>
        <w:rPr>
          <w:noProof/>
        </w:rPr>
        <w:drawing>
          <wp:inline distT="0" distB="0" distL="114300" distR="114300">
            <wp:extent cx="4800600" cy="2743200"/>
            <wp:effectExtent l="0" t="0" r="0" b="0"/>
            <wp:docPr id="2" name="图表 8"/>
            <wp:cNvGraphicFramePr/>
            <a:graphic xmlns:a="http://schemas.openxmlformats.org/drawingml/2006/main">
              <a:graphicData uri="http://schemas.openxmlformats.org/drawingml/2006/picture">
                <pic:pic xmlns:pic="http://schemas.openxmlformats.org/drawingml/2006/picture">
                  <pic:nvPicPr>
                    <pic:cNvPr id="2" name="图表 8"/>
                    <pic:cNvPicPr/>
                  </pic:nvPicPr>
                  <pic:blipFill>
                    <a:blip r:embed="rId13"/>
                    <a:stretch>
                      <a:fillRect/>
                    </a:stretch>
                  </pic:blipFill>
                  <pic:spPr>
                    <a:xfrm>
                      <a:off x="0" y="0"/>
                      <a:ext cx="4800600" cy="2743200"/>
                    </a:xfrm>
                    <a:prstGeom prst="rect">
                      <a:avLst/>
                    </a:prstGeom>
                    <a:noFill/>
                    <a:ln>
                      <a:noFill/>
                    </a:ln>
                  </pic:spPr>
                </pic:pic>
              </a:graphicData>
            </a:graphic>
          </wp:inline>
        </w:drawing>
      </w:r>
    </w:p>
    <w:p w:rsidR="002738F5" w:rsidRDefault="002738F5">
      <w:pPr>
        <w:spacing w:line="600" w:lineRule="exact"/>
        <w:ind w:firstLine="640"/>
        <w:rPr>
          <w:rFonts w:ascii="仿宋" w:eastAsia="仿宋" w:hAnsi="仿宋"/>
          <w:b/>
          <w:sz w:val="32"/>
          <w:szCs w:val="32"/>
        </w:rPr>
      </w:pPr>
    </w:p>
    <w:p w:rsidR="002738F5" w:rsidRDefault="00FA2CBF">
      <w:pPr>
        <w:spacing w:line="600" w:lineRule="exact"/>
        <w:ind w:firstLineChars="200" w:firstLine="640"/>
        <w:outlineLvl w:val="1"/>
        <w:rPr>
          <w:rStyle w:val="2Char"/>
          <w:rFonts w:ascii="黑体" w:eastAsia="黑体" w:hAnsi="黑体"/>
          <w:b w:val="0"/>
        </w:rPr>
      </w:pPr>
      <w:bookmarkStart w:id="26" w:name="_Toc15396607"/>
      <w:bookmarkStart w:id="27"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6"/>
      <w:bookmarkEnd w:id="27"/>
    </w:p>
    <w:p w:rsidR="002738F5" w:rsidRDefault="00FA2CBF">
      <w:pPr>
        <w:spacing w:line="600" w:lineRule="exact"/>
        <w:ind w:firstLineChars="200" w:firstLine="643"/>
        <w:outlineLvl w:val="2"/>
        <w:rPr>
          <w:rFonts w:ascii="仿宋_GB2312" w:eastAsia="仿宋_GB2312" w:hAnsi="仿宋_GB2312" w:cs="仿宋_GB2312"/>
          <w:b/>
          <w:sz w:val="32"/>
          <w:szCs w:val="32"/>
        </w:rPr>
      </w:pPr>
      <w:bookmarkStart w:id="28" w:name="_Toc15377210"/>
      <w:r>
        <w:rPr>
          <w:rFonts w:ascii="仿宋_GB2312" w:eastAsia="仿宋_GB2312" w:hAnsi="仿宋_GB2312" w:cs="仿宋_GB2312" w:hint="eastAsia"/>
          <w:b/>
          <w:sz w:val="32"/>
          <w:szCs w:val="32"/>
        </w:rPr>
        <w:t>（一）一般公共预算财政拨款支出决算总体情况</w:t>
      </w:r>
      <w:bookmarkEnd w:id="28"/>
    </w:p>
    <w:p w:rsidR="002738F5" w:rsidRDefault="00FA2CB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2021年一般公共预算财政拨款支出15,785.33万元，占本年支出合计的99.44%。与2020年相比，一般公共预算财政拨款支出增加1,756.53万元，增长12.52%。主要变动原因是2021年绩效管理奖增资。</w:t>
      </w:r>
    </w:p>
    <w:p w:rsidR="002738F5" w:rsidRDefault="00FA2CBF">
      <w:pPr>
        <w:spacing w:line="600" w:lineRule="exact"/>
        <w:ind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（图5：一般公共预算财政拨款支出决算变动情况）</w:t>
      </w:r>
    </w:p>
    <w:p w:rsidR="002738F5" w:rsidRDefault="00FA2CBF">
      <w:pPr>
        <w:pStyle w:val="a0"/>
        <w:spacing w:before="93"/>
        <w:rPr>
          <w:rFonts w:hAnsi="仿宋_GB2312" w:cs="仿宋_GB2312"/>
        </w:rPr>
      </w:pPr>
      <w:r>
        <w:rPr>
          <w:rFonts w:hAnsi="仿宋_GB2312" w:cs="仿宋_GB2312" w:hint="eastAsia"/>
          <w:noProof/>
        </w:rPr>
        <w:lastRenderedPageBreak/>
        <w:drawing>
          <wp:inline distT="0" distB="0" distL="114300" distR="114300">
            <wp:extent cx="4813300" cy="2565400"/>
            <wp:effectExtent l="0" t="0" r="0" b="0"/>
            <wp:docPr id="3" name="图表 9"/>
            <wp:cNvGraphicFramePr/>
            <a:graphic xmlns:a="http://schemas.openxmlformats.org/drawingml/2006/main">
              <a:graphicData uri="http://schemas.openxmlformats.org/drawingml/2006/picture">
                <pic:pic xmlns:pic="http://schemas.openxmlformats.org/drawingml/2006/picture">
                  <pic:nvPicPr>
                    <pic:cNvPr id="3" name="图表 9"/>
                    <pic:cNvPicPr/>
                  </pic:nvPicPr>
                  <pic:blipFill>
                    <a:blip r:embed="rId14"/>
                    <a:stretch>
                      <a:fillRect/>
                    </a:stretch>
                  </pic:blipFill>
                  <pic:spPr>
                    <a:xfrm>
                      <a:off x="0" y="0"/>
                      <a:ext cx="4813300" cy="2565400"/>
                    </a:xfrm>
                    <a:prstGeom prst="rect">
                      <a:avLst/>
                    </a:prstGeom>
                    <a:noFill/>
                    <a:ln>
                      <a:noFill/>
                    </a:ln>
                  </pic:spPr>
                </pic:pic>
              </a:graphicData>
            </a:graphic>
          </wp:inline>
        </w:drawing>
      </w:r>
    </w:p>
    <w:p w:rsidR="002738F5" w:rsidRDefault="002738F5">
      <w:pPr>
        <w:spacing w:line="600" w:lineRule="exact"/>
        <w:rPr>
          <w:rFonts w:ascii="仿宋_GB2312" w:eastAsia="仿宋_GB2312" w:hAnsi="仿宋_GB2312" w:cs="仿宋_GB2312"/>
          <w:sz w:val="32"/>
          <w:szCs w:val="32"/>
        </w:rPr>
      </w:pPr>
    </w:p>
    <w:p w:rsidR="002738F5" w:rsidRDefault="00FA2CBF">
      <w:pPr>
        <w:spacing w:line="600" w:lineRule="exact"/>
        <w:ind w:firstLineChars="200" w:firstLine="643"/>
        <w:outlineLvl w:val="2"/>
        <w:rPr>
          <w:rFonts w:ascii="仿宋_GB2312" w:eastAsia="仿宋_GB2312" w:hAnsi="仿宋_GB2312" w:cs="仿宋_GB2312"/>
          <w:b/>
          <w:sz w:val="32"/>
          <w:szCs w:val="32"/>
        </w:rPr>
      </w:pPr>
      <w:bookmarkStart w:id="29" w:name="_Toc15377211"/>
      <w:r>
        <w:rPr>
          <w:rFonts w:ascii="仿宋_GB2312" w:eastAsia="仿宋_GB2312" w:hAnsi="仿宋_GB2312" w:cs="仿宋_GB2312" w:hint="eastAsia"/>
          <w:b/>
          <w:sz w:val="32"/>
          <w:szCs w:val="32"/>
        </w:rPr>
        <w:t>（二）一般公共预算财政拨款支出决算结构情况</w:t>
      </w:r>
      <w:bookmarkEnd w:id="29"/>
    </w:p>
    <w:p w:rsidR="002738F5" w:rsidRDefault="00FA2CBF">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2021年一般公共预算财政拨款支出15,785.33万元，主要用于以下方面:</w:t>
      </w:r>
      <w:r>
        <w:rPr>
          <w:rFonts w:ascii="仿宋_GB2312" w:eastAsia="仿宋_GB2312" w:hAnsi="仿宋_GB2312" w:cs="仿宋_GB2312" w:hint="eastAsia"/>
          <w:b/>
          <w:sz w:val="32"/>
          <w:szCs w:val="32"/>
        </w:rPr>
        <w:t xml:space="preserve"> 公共安全</w:t>
      </w:r>
      <w:r>
        <w:rPr>
          <w:rFonts w:ascii="仿宋_GB2312" w:eastAsia="仿宋_GB2312" w:hAnsi="仿宋_GB2312" w:cs="仿宋_GB2312" w:hint="eastAsia"/>
          <w:b/>
          <w:bCs/>
          <w:sz w:val="32"/>
          <w:szCs w:val="32"/>
        </w:rPr>
        <w:t>支出</w:t>
      </w:r>
      <w:r>
        <w:rPr>
          <w:rFonts w:ascii="仿宋_GB2312" w:eastAsia="仿宋_GB2312" w:hAnsi="仿宋_GB2312" w:cs="仿宋_GB2312" w:hint="eastAsia"/>
          <w:b/>
          <w:sz w:val="32"/>
          <w:szCs w:val="32"/>
        </w:rPr>
        <w:t>（类）</w:t>
      </w:r>
      <w:r>
        <w:rPr>
          <w:rFonts w:ascii="仿宋_GB2312" w:eastAsia="仿宋_GB2312" w:hAnsi="仿宋_GB2312" w:cs="仿宋_GB2312" w:hint="eastAsia"/>
          <w:sz w:val="32"/>
          <w:szCs w:val="32"/>
        </w:rPr>
        <w:t>11,250.68万元，占71.27%；</w:t>
      </w:r>
      <w:r>
        <w:rPr>
          <w:rFonts w:ascii="仿宋_GB2312" w:eastAsia="仿宋_GB2312" w:hAnsi="仿宋_GB2312" w:cs="仿宋_GB2312" w:hint="eastAsia"/>
          <w:b/>
          <w:sz w:val="32"/>
          <w:szCs w:val="32"/>
        </w:rPr>
        <w:t>教育支出（类）</w:t>
      </w:r>
      <w:r>
        <w:rPr>
          <w:rFonts w:ascii="仿宋_GB2312" w:eastAsia="仿宋_GB2312" w:hAnsi="仿宋_GB2312" w:cs="仿宋_GB2312" w:hint="eastAsia"/>
          <w:sz w:val="32"/>
          <w:szCs w:val="32"/>
        </w:rPr>
        <w:t>45.47万元，占0.29%；</w:t>
      </w:r>
      <w:r>
        <w:rPr>
          <w:rFonts w:ascii="仿宋_GB2312" w:eastAsia="仿宋_GB2312" w:hAnsi="仿宋_GB2312" w:cs="仿宋_GB2312" w:hint="eastAsia"/>
          <w:b/>
          <w:sz w:val="32"/>
          <w:szCs w:val="32"/>
        </w:rPr>
        <w:t>社会保障和就业支出（类）</w:t>
      </w:r>
      <w:r>
        <w:rPr>
          <w:rFonts w:ascii="仿宋_GB2312" w:eastAsia="仿宋_GB2312" w:hAnsi="仿宋_GB2312" w:cs="仿宋_GB2312" w:hint="eastAsia"/>
          <w:sz w:val="32"/>
          <w:szCs w:val="32"/>
        </w:rPr>
        <w:t>1,770.01万元，占11.21%；</w:t>
      </w:r>
      <w:r>
        <w:rPr>
          <w:rFonts w:ascii="仿宋_GB2312" w:eastAsia="仿宋_GB2312" w:hAnsi="仿宋_GB2312" w:cs="仿宋_GB2312" w:hint="eastAsia"/>
          <w:b/>
          <w:bCs/>
          <w:sz w:val="32"/>
          <w:szCs w:val="32"/>
        </w:rPr>
        <w:t>卫生健康支出</w:t>
      </w:r>
      <w:r>
        <w:rPr>
          <w:rFonts w:ascii="仿宋_GB2312" w:eastAsia="仿宋_GB2312" w:hAnsi="仿宋_GB2312" w:cs="仿宋_GB2312" w:hint="eastAsia"/>
          <w:sz w:val="32"/>
          <w:szCs w:val="32"/>
        </w:rPr>
        <w:t>808.96万元，占5.13%；</w:t>
      </w:r>
      <w:r>
        <w:rPr>
          <w:rFonts w:ascii="仿宋_GB2312" w:eastAsia="仿宋_GB2312" w:hAnsi="仿宋_GB2312" w:cs="仿宋_GB2312" w:hint="eastAsia"/>
          <w:b/>
          <w:bCs/>
          <w:sz w:val="32"/>
          <w:szCs w:val="32"/>
        </w:rPr>
        <w:t>住房保障支出</w:t>
      </w:r>
      <w:r>
        <w:rPr>
          <w:rFonts w:ascii="仿宋_GB2312" w:eastAsia="仿宋_GB2312" w:hAnsi="仿宋_GB2312" w:cs="仿宋_GB2312" w:hint="eastAsia"/>
          <w:sz w:val="32"/>
          <w:szCs w:val="32"/>
        </w:rPr>
        <w:t>1,910.2</w:t>
      </w:r>
      <w:r w:rsidR="00031EC5">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w:t>
      </w:r>
      <w:bookmarkStart w:id="30" w:name="_GoBack"/>
      <w:bookmarkEnd w:id="30"/>
      <w:r>
        <w:rPr>
          <w:rFonts w:ascii="仿宋_GB2312" w:eastAsia="仿宋_GB2312" w:hAnsi="仿宋_GB2312" w:cs="仿宋_GB2312" w:hint="eastAsia"/>
          <w:sz w:val="32"/>
          <w:szCs w:val="32"/>
        </w:rPr>
        <w:t>占12.10%。</w:t>
      </w:r>
    </w:p>
    <w:p w:rsidR="002738F5" w:rsidRDefault="00FA2CBF">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（图6：一般公共预算财政拨款支出决算结构）</w:t>
      </w:r>
    </w:p>
    <w:p w:rsidR="002738F5" w:rsidRDefault="00FA2CBF">
      <w:pPr>
        <w:pStyle w:val="a0"/>
        <w:spacing w:before="93"/>
        <w:rPr>
          <w:rFonts w:hAnsi="仿宋_GB2312" w:cs="仿宋_GB2312"/>
        </w:rPr>
      </w:pPr>
      <w:r>
        <w:rPr>
          <w:rFonts w:hAnsi="仿宋_GB2312" w:cs="仿宋_GB2312" w:hint="eastAsia"/>
          <w:noProof/>
        </w:rPr>
        <w:drawing>
          <wp:inline distT="0" distB="0" distL="114300" distR="114300">
            <wp:extent cx="4800600" cy="2654300"/>
            <wp:effectExtent l="0" t="0" r="0" b="0"/>
            <wp:docPr id="4" name="图表 10"/>
            <wp:cNvGraphicFramePr/>
            <a:graphic xmlns:a="http://schemas.openxmlformats.org/drawingml/2006/main">
              <a:graphicData uri="http://schemas.openxmlformats.org/drawingml/2006/picture">
                <pic:pic xmlns:pic="http://schemas.openxmlformats.org/drawingml/2006/picture">
                  <pic:nvPicPr>
                    <pic:cNvPr id="4" name="图表 10"/>
                    <pic:cNvPicPr/>
                  </pic:nvPicPr>
                  <pic:blipFill>
                    <a:blip r:embed="rId15"/>
                    <a:srcRect b="-96"/>
                    <a:stretch>
                      <a:fillRect/>
                    </a:stretch>
                  </pic:blipFill>
                  <pic:spPr>
                    <a:xfrm>
                      <a:off x="0" y="0"/>
                      <a:ext cx="4800600" cy="2654300"/>
                    </a:xfrm>
                    <a:prstGeom prst="rect">
                      <a:avLst/>
                    </a:prstGeom>
                    <a:noFill/>
                    <a:ln>
                      <a:noFill/>
                    </a:ln>
                  </pic:spPr>
                </pic:pic>
              </a:graphicData>
            </a:graphic>
          </wp:inline>
        </w:drawing>
      </w:r>
    </w:p>
    <w:p w:rsidR="002738F5" w:rsidRDefault="00FA2CBF">
      <w:pPr>
        <w:spacing w:line="600" w:lineRule="exact"/>
        <w:ind w:firstLineChars="200" w:firstLine="643"/>
        <w:outlineLvl w:val="2"/>
        <w:rPr>
          <w:rFonts w:ascii="仿宋_GB2312" w:eastAsia="仿宋_GB2312" w:hAnsi="仿宋_GB2312" w:cs="仿宋_GB2312"/>
          <w:b/>
          <w:sz w:val="32"/>
          <w:szCs w:val="32"/>
        </w:rPr>
      </w:pPr>
      <w:bookmarkStart w:id="31" w:name="_Toc15377212"/>
      <w:r>
        <w:rPr>
          <w:rFonts w:ascii="仿宋_GB2312" w:eastAsia="仿宋_GB2312" w:hAnsi="仿宋_GB2312" w:cs="仿宋_GB2312" w:hint="eastAsia"/>
          <w:b/>
          <w:sz w:val="32"/>
          <w:szCs w:val="32"/>
        </w:rPr>
        <w:lastRenderedPageBreak/>
        <w:t>（三）一般公共预算财政拨款支出决算具体情况</w:t>
      </w:r>
      <w:bookmarkEnd w:id="31"/>
    </w:p>
    <w:p w:rsidR="002738F5" w:rsidRDefault="00FA2CBF">
      <w:pPr>
        <w:spacing w:line="600" w:lineRule="exact"/>
        <w:ind w:firstLineChars="200" w:firstLine="643"/>
        <w:outlineLvl w:val="2"/>
        <w:rPr>
          <w:rFonts w:ascii="仿宋_GB2312" w:eastAsia="仿宋_GB2312" w:hAnsi="仿宋_GB2312" w:cs="仿宋_GB2312"/>
          <w:sz w:val="32"/>
          <w:szCs w:val="32"/>
        </w:rPr>
      </w:pPr>
      <w:bookmarkStart w:id="32" w:name="_Toc15378460"/>
      <w:bookmarkStart w:id="33" w:name="_Toc15377444"/>
      <w:bookmarkStart w:id="34" w:name="_Toc15377213"/>
      <w:r>
        <w:rPr>
          <w:rFonts w:ascii="仿宋_GB2312" w:eastAsia="仿宋_GB2312" w:hAnsi="仿宋_GB2312" w:cs="仿宋_GB2312" w:hint="eastAsia"/>
          <w:b/>
          <w:sz w:val="32"/>
          <w:szCs w:val="32"/>
        </w:rPr>
        <w:t>2021年一般公共预算支出决算数为15,785.33万元</w:t>
      </w:r>
      <w:r>
        <w:rPr>
          <w:rFonts w:ascii="仿宋_GB2312" w:eastAsia="仿宋_GB2312" w:hAnsi="仿宋_GB2312" w:cs="仿宋_GB2312" w:hint="eastAsia"/>
          <w:sz w:val="32"/>
          <w:szCs w:val="32"/>
        </w:rPr>
        <w:t>，</w:t>
      </w:r>
      <w:r>
        <w:rPr>
          <w:rStyle w:val="a8"/>
          <w:rFonts w:ascii="仿宋_GB2312" w:eastAsia="仿宋_GB2312" w:hAnsi="仿宋_GB2312" w:cs="仿宋_GB2312" w:hint="eastAsia"/>
          <w:bCs/>
          <w:sz w:val="32"/>
          <w:szCs w:val="32"/>
        </w:rPr>
        <w:t>完成预算98.85%。其中：</w:t>
      </w:r>
      <w:bookmarkEnd w:id="32"/>
      <w:bookmarkEnd w:id="33"/>
      <w:bookmarkEnd w:id="34"/>
    </w:p>
    <w:p w:rsidR="002738F5" w:rsidRDefault="00FA2CBF">
      <w:pPr>
        <w:spacing w:line="580" w:lineRule="exact"/>
        <w:ind w:firstLineChars="200" w:firstLine="643"/>
        <w:rPr>
          <w:rFonts w:ascii="仿宋_GB2312" w:eastAsia="仿宋_GB2312" w:hAnsi="仿宋_GB2312" w:cs="仿宋_GB2312"/>
          <w:sz w:val="32"/>
          <w:szCs w:val="32"/>
        </w:rPr>
      </w:pPr>
      <w:r>
        <w:rPr>
          <w:rStyle w:val="a8"/>
          <w:rFonts w:ascii="仿宋_GB2312" w:eastAsia="仿宋_GB2312" w:hAnsi="仿宋_GB2312" w:cs="仿宋_GB2312" w:hint="eastAsia"/>
          <w:bCs/>
          <w:sz w:val="32"/>
          <w:szCs w:val="32"/>
        </w:rPr>
        <w:t>1.</w:t>
      </w:r>
      <w:r>
        <w:rPr>
          <w:rStyle w:val="a8"/>
          <w:rFonts w:ascii="仿宋_GB2312" w:eastAsia="仿宋_GB2312" w:hAnsi="仿宋_GB2312" w:cs="仿宋_GB2312" w:hint="eastAsia"/>
          <w:color w:val="000000"/>
          <w:sz w:val="32"/>
          <w:szCs w:val="32"/>
        </w:rPr>
        <w:t>公共安全支出（类）监狱（款）行政运行（项）</w:t>
      </w:r>
      <w:r>
        <w:rPr>
          <w:rStyle w:val="a8"/>
          <w:rFonts w:ascii="仿宋_GB2312" w:eastAsia="仿宋_GB2312" w:hAnsi="仿宋_GB2312" w:cs="仿宋_GB2312" w:hint="eastAsia"/>
          <w:bCs/>
          <w:sz w:val="32"/>
          <w:szCs w:val="32"/>
        </w:rPr>
        <w:t xml:space="preserve">: </w:t>
      </w:r>
      <w:r>
        <w:rPr>
          <w:rStyle w:val="a8"/>
          <w:rFonts w:ascii="仿宋_GB2312" w:eastAsia="仿宋_GB2312" w:hAnsi="仿宋_GB2312" w:cs="仿宋_GB2312" w:hint="eastAsia"/>
          <w:b w:val="0"/>
          <w:sz w:val="32"/>
          <w:szCs w:val="32"/>
        </w:rPr>
        <w:t>支出决算为9,783.62万元，完成预算99.21%，决算数小于预算数的主要原因</w:t>
      </w:r>
      <w:r>
        <w:rPr>
          <w:rFonts w:ascii="仿宋_GB2312" w:eastAsia="仿宋_GB2312" w:hAnsi="仿宋_GB2312" w:cs="仿宋_GB2312" w:hint="eastAsia"/>
          <w:sz w:val="32"/>
          <w:szCs w:val="32"/>
        </w:rPr>
        <w:t>一是受疫情影响，2021年成</w:t>
      </w:r>
      <w:proofErr w:type="gramStart"/>
      <w:r>
        <w:rPr>
          <w:rFonts w:ascii="仿宋_GB2312" w:eastAsia="仿宋_GB2312" w:hAnsi="仿宋_GB2312" w:cs="仿宋_GB2312" w:hint="eastAsia"/>
          <w:sz w:val="32"/>
          <w:szCs w:val="32"/>
        </w:rPr>
        <w:t>都女子</w:t>
      </w:r>
      <w:proofErr w:type="gramEnd"/>
      <w:r>
        <w:rPr>
          <w:rFonts w:ascii="仿宋_GB2312" w:eastAsia="仿宋_GB2312" w:hAnsi="仿宋_GB2312" w:cs="仿宋_GB2312" w:hint="eastAsia"/>
          <w:sz w:val="32"/>
          <w:szCs w:val="32"/>
        </w:rPr>
        <w:t>监狱公务车辆出车率大幅下降；二是受疫情影响和厉行节约政策，2021年成</w:t>
      </w:r>
      <w:proofErr w:type="gramStart"/>
      <w:r>
        <w:rPr>
          <w:rFonts w:ascii="仿宋_GB2312" w:eastAsia="仿宋_GB2312" w:hAnsi="仿宋_GB2312" w:cs="仿宋_GB2312" w:hint="eastAsia"/>
          <w:sz w:val="32"/>
          <w:szCs w:val="32"/>
        </w:rPr>
        <w:t>都女子</w:t>
      </w:r>
      <w:proofErr w:type="gramEnd"/>
      <w:r>
        <w:rPr>
          <w:rFonts w:ascii="仿宋_GB2312" w:eastAsia="仿宋_GB2312" w:hAnsi="仿宋_GB2312" w:cs="仿宋_GB2312" w:hint="eastAsia"/>
          <w:sz w:val="32"/>
          <w:szCs w:val="32"/>
        </w:rPr>
        <w:t>监狱未发生公务接待。</w:t>
      </w:r>
    </w:p>
    <w:p w:rsidR="002738F5" w:rsidRDefault="00FA2CBF">
      <w:pPr>
        <w:spacing w:line="580" w:lineRule="exact"/>
        <w:ind w:firstLineChars="200" w:firstLine="643"/>
        <w:rPr>
          <w:rFonts w:ascii="仿宋_GB2312" w:eastAsia="仿宋_GB2312" w:hAnsi="仿宋_GB2312" w:cs="仿宋_GB2312"/>
          <w:sz w:val="32"/>
          <w:szCs w:val="32"/>
        </w:rPr>
      </w:pPr>
      <w:r>
        <w:rPr>
          <w:rStyle w:val="a8"/>
          <w:rFonts w:ascii="仿宋_GB2312" w:eastAsia="仿宋_GB2312" w:hAnsi="仿宋_GB2312" w:cs="仿宋_GB2312" w:hint="eastAsia"/>
          <w:bCs/>
          <w:sz w:val="32"/>
          <w:szCs w:val="32"/>
        </w:rPr>
        <w:t>2.</w:t>
      </w:r>
      <w:r>
        <w:rPr>
          <w:rFonts w:ascii="仿宋_GB2312" w:eastAsia="仿宋_GB2312" w:hAnsi="仿宋_GB2312" w:cs="仿宋_GB2312" w:hint="eastAsia"/>
          <w:b/>
          <w:bCs/>
          <w:color w:val="000000"/>
          <w:sz w:val="32"/>
          <w:szCs w:val="32"/>
        </w:rPr>
        <w:t>公</w:t>
      </w:r>
      <w:r>
        <w:rPr>
          <w:rStyle w:val="a8"/>
          <w:rFonts w:ascii="仿宋_GB2312" w:eastAsia="仿宋_GB2312" w:hAnsi="仿宋_GB2312" w:cs="仿宋_GB2312" w:hint="eastAsia"/>
          <w:color w:val="000000"/>
          <w:sz w:val="32"/>
          <w:szCs w:val="32"/>
        </w:rPr>
        <w:t>共安全支出（类）监狱（款）一般行政管理事务（项）</w:t>
      </w:r>
      <w:r>
        <w:rPr>
          <w:rStyle w:val="a8"/>
          <w:rFonts w:ascii="仿宋_GB2312" w:eastAsia="仿宋_GB2312" w:hAnsi="仿宋_GB2312" w:cs="仿宋_GB2312" w:hint="eastAsia"/>
          <w:bCs/>
          <w:sz w:val="32"/>
          <w:szCs w:val="32"/>
        </w:rPr>
        <w:t xml:space="preserve">: </w:t>
      </w:r>
      <w:r>
        <w:rPr>
          <w:rStyle w:val="a8"/>
          <w:rFonts w:ascii="仿宋_GB2312" w:eastAsia="仿宋_GB2312" w:hAnsi="仿宋_GB2312" w:cs="仿宋_GB2312" w:hint="eastAsia"/>
          <w:b w:val="0"/>
          <w:sz w:val="32"/>
          <w:szCs w:val="32"/>
        </w:rPr>
        <w:t>支出决算为36.99万元，完成预算100%。</w:t>
      </w:r>
    </w:p>
    <w:p w:rsidR="002738F5" w:rsidRDefault="00FA2CBF">
      <w:pPr>
        <w:spacing w:line="580" w:lineRule="exact"/>
        <w:ind w:firstLineChars="200" w:firstLine="643"/>
        <w:rPr>
          <w:rFonts w:ascii="仿宋_GB2312" w:eastAsia="仿宋_GB2312" w:hAnsi="仿宋_GB2312" w:cs="仿宋_GB2312"/>
          <w:b/>
          <w:sz w:val="32"/>
          <w:szCs w:val="32"/>
        </w:rPr>
      </w:pPr>
      <w:r>
        <w:rPr>
          <w:rStyle w:val="a8"/>
          <w:rFonts w:ascii="仿宋_GB2312" w:eastAsia="仿宋_GB2312" w:hAnsi="仿宋_GB2312" w:cs="仿宋_GB2312" w:hint="eastAsia"/>
          <w:bCs/>
          <w:sz w:val="32"/>
          <w:szCs w:val="32"/>
        </w:rPr>
        <w:t>3.</w:t>
      </w:r>
      <w:r>
        <w:rPr>
          <w:rStyle w:val="a8"/>
          <w:rFonts w:ascii="仿宋_GB2312" w:eastAsia="仿宋_GB2312" w:hAnsi="仿宋_GB2312" w:cs="仿宋_GB2312" w:hint="eastAsia"/>
          <w:sz w:val="32"/>
          <w:szCs w:val="32"/>
        </w:rPr>
        <w:t>教育支出（类）进修及培训（款）</w:t>
      </w:r>
      <w:r>
        <w:rPr>
          <w:rStyle w:val="a8"/>
          <w:rFonts w:ascii="仿宋_GB2312" w:eastAsia="仿宋_GB2312" w:hAnsi="仿宋_GB2312" w:cs="仿宋_GB2312" w:hint="eastAsia"/>
          <w:color w:val="000000"/>
          <w:sz w:val="32"/>
          <w:szCs w:val="32"/>
        </w:rPr>
        <w:t>培训支出（项）：</w:t>
      </w:r>
      <w:r>
        <w:rPr>
          <w:rStyle w:val="a8"/>
          <w:rFonts w:ascii="仿宋_GB2312" w:eastAsia="仿宋_GB2312" w:hAnsi="仿宋_GB2312" w:cs="仿宋_GB2312" w:hint="eastAsia"/>
          <w:b w:val="0"/>
          <w:sz w:val="32"/>
          <w:szCs w:val="32"/>
        </w:rPr>
        <w:t>支出决算为45.47万元，完成预算79.77%，决算数小于预算数的主要原因是受疫情影响，2021年成</w:t>
      </w:r>
      <w:proofErr w:type="gramStart"/>
      <w:r>
        <w:rPr>
          <w:rStyle w:val="a8"/>
          <w:rFonts w:ascii="仿宋_GB2312" w:eastAsia="仿宋_GB2312" w:hAnsi="仿宋_GB2312" w:cs="仿宋_GB2312" w:hint="eastAsia"/>
          <w:b w:val="0"/>
          <w:sz w:val="32"/>
          <w:szCs w:val="32"/>
        </w:rPr>
        <w:t>都女子</w:t>
      </w:r>
      <w:proofErr w:type="gramEnd"/>
      <w:r>
        <w:rPr>
          <w:rStyle w:val="a8"/>
          <w:rFonts w:ascii="仿宋_GB2312" w:eastAsia="仿宋_GB2312" w:hAnsi="仿宋_GB2312" w:cs="仿宋_GB2312" w:hint="eastAsia"/>
          <w:b w:val="0"/>
          <w:sz w:val="32"/>
          <w:szCs w:val="32"/>
        </w:rPr>
        <w:t>监狱部分培训任务未开展。</w:t>
      </w:r>
    </w:p>
    <w:p w:rsidR="002738F5" w:rsidRDefault="00FA2CBF">
      <w:pPr>
        <w:spacing w:line="580" w:lineRule="exact"/>
        <w:ind w:firstLineChars="200" w:firstLine="643"/>
        <w:rPr>
          <w:rStyle w:val="a8"/>
          <w:rFonts w:ascii="仿宋_GB2312" w:eastAsia="仿宋_GB2312" w:hAnsi="仿宋_GB2312" w:cs="仿宋_GB2312"/>
          <w:b w:val="0"/>
          <w:bCs/>
          <w:sz w:val="32"/>
          <w:szCs w:val="32"/>
        </w:rPr>
      </w:pPr>
      <w:r>
        <w:rPr>
          <w:rStyle w:val="a8"/>
          <w:rFonts w:ascii="仿宋_GB2312" w:eastAsia="仿宋_GB2312" w:hAnsi="仿宋_GB2312" w:cs="仿宋_GB2312" w:hint="eastAsia"/>
          <w:bCs/>
          <w:sz w:val="32"/>
          <w:szCs w:val="32"/>
        </w:rPr>
        <w:t>4.</w:t>
      </w:r>
      <w:r>
        <w:rPr>
          <w:rStyle w:val="a8"/>
          <w:rFonts w:ascii="仿宋_GB2312" w:eastAsia="仿宋_GB2312" w:hAnsi="仿宋_GB2312" w:cs="仿宋_GB2312" w:hint="eastAsia"/>
          <w:color w:val="000000"/>
          <w:sz w:val="32"/>
          <w:szCs w:val="32"/>
        </w:rPr>
        <w:t>社会保障和就业支出（类）行政事业单位养老支出（款）行政单位离退休（项）：</w:t>
      </w:r>
      <w:r>
        <w:rPr>
          <w:rStyle w:val="a8"/>
          <w:rFonts w:ascii="仿宋_GB2312" w:eastAsia="仿宋_GB2312" w:hAnsi="仿宋_GB2312" w:cs="仿宋_GB2312" w:hint="eastAsia"/>
          <w:b w:val="0"/>
          <w:sz w:val="32"/>
          <w:szCs w:val="32"/>
        </w:rPr>
        <w:t>支出决算为573.97万元，完成预算95.59%，决算数小于预算数的主要原因是2021年成</w:t>
      </w:r>
      <w:proofErr w:type="gramStart"/>
      <w:r>
        <w:rPr>
          <w:rStyle w:val="a8"/>
          <w:rFonts w:ascii="仿宋_GB2312" w:eastAsia="仿宋_GB2312" w:hAnsi="仿宋_GB2312" w:cs="仿宋_GB2312" w:hint="eastAsia"/>
          <w:b w:val="0"/>
          <w:sz w:val="32"/>
          <w:szCs w:val="32"/>
        </w:rPr>
        <w:t>都女子</w:t>
      </w:r>
      <w:proofErr w:type="gramEnd"/>
      <w:r>
        <w:rPr>
          <w:rStyle w:val="a8"/>
          <w:rFonts w:ascii="仿宋_GB2312" w:eastAsia="仿宋_GB2312" w:hAnsi="仿宋_GB2312" w:cs="仿宋_GB2312" w:hint="eastAsia"/>
          <w:b w:val="0"/>
          <w:sz w:val="32"/>
          <w:szCs w:val="32"/>
        </w:rPr>
        <w:t>监狱离休人员死亡1人导致离休费和离休人员生活困难补助未使用完被收回。</w:t>
      </w:r>
    </w:p>
    <w:p w:rsidR="002738F5" w:rsidRDefault="00FA2CBF">
      <w:pPr>
        <w:spacing w:line="580" w:lineRule="exact"/>
        <w:ind w:firstLineChars="200" w:firstLine="643"/>
        <w:rPr>
          <w:rStyle w:val="a8"/>
          <w:rFonts w:ascii="仿宋_GB2312" w:eastAsia="仿宋_GB2312" w:hAnsi="仿宋_GB2312" w:cs="仿宋_GB2312"/>
          <w:b w:val="0"/>
          <w:bCs/>
          <w:sz w:val="32"/>
          <w:szCs w:val="32"/>
        </w:rPr>
      </w:pPr>
      <w:r>
        <w:rPr>
          <w:rStyle w:val="a8"/>
          <w:rFonts w:ascii="仿宋_GB2312" w:eastAsia="仿宋_GB2312" w:hAnsi="仿宋_GB2312" w:cs="仿宋_GB2312" w:hint="eastAsia"/>
          <w:color w:val="000000"/>
          <w:sz w:val="32"/>
          <w:szCs w:val="32"/>
        </w:rPr>
        <w:t>5.社会保障和就业支出（类）行政事业单位养老支出（款）机关事业单位基本养老保险缴费支出（项）：</w:t>
      </w:r>
      <w:r>
        <w:rPr>
          <w:rStyle w:val="a8"/>
          <w:rFonts w:ascii="仿宋_GB2312" w:eastAsia="仿宋_GB2312" w:hAnsi="仿宋_GB2312" w:cs="仿宋_GB2312" w:hint="eastAsia"/>
          <w:b w:val="0"/>
          <w:sz w:val="32"/>
          <w:szCs w:val="32"/>
        </w:rPr>
        <w:t>支出决算为757.87万元，完成预算97.92%，决算数小于预算数的主要原因是按规定2021年缴纳基本养老保险后资金结余。</w:t>
      </w:r>
    </w:p>
    <w:p w:rsidR="002738F5" w:rsidRDefault="00FA2CBF">
      <w:pPr>
        <w:spacing w:line="580" w:lineRule="exact"/>
        <w:ind w:firstLineChars="200" w:firstLine="643"/>
        <w:rPr>
          <w:rStyle w:val="a8"/>
          <w:rFonts w:ascii="仿宋_GB2312" w:eastAsia="仿宋_GB2312" w:hAnsi="仿宋_GB2312" w:cs="仿宋_GB2312"/>
          <w:b w:val="0"/>
          <w:sz w:val="32"/>
          <w:szCs w:val="32"/>
        </w:rPr>
      </w:pPr>
      <w:r>
        <w:rPr>
          <w:rStyle w:val="a8"/>
          <w:rFonts w:ascii="仿宋_GB2312" w:eastAsia="仿宋_GB2312" w:hAnsi="仿宋_GB2312" w:cs="仿宋_GB2312" w:hint="eastAsia"/>
          <w:color w:val="000000"/>
          <w:sz w:val="32"/>
          <w:szCs w:val="32"/>
        </w:rPr>
        <w:lastRenderedPageBreak/>
        <w:t>6. 社会保障和就业支出（类）行政事业单位养老支出（款）</w:t>
      </w:r>
      <w:r>
        <w:rPr>
          <w:rStyle w:val="a8"/>
          <w:rFonts w:ascii="仿宋_GB2312" w:eastAsia="仿宋_GB2312" w:hAnsi="仿宋_GB2312" w:cs="仿宋_GB2312" w:hint="eastAsia"/>
          <w:bCs/>
          <w:color w:val="000000"/>
          <w:sz w:val="32"/>
          <w:szCs w:val="32"/>
        </w:rPr>
        <w:t>机关事业单位职业年金缴费支出（项）:</w:t>
      </w:r>
      <w:r>
        <w:rPr>
          <w:rStyle w:val="a8"/>
          <w:rFonts w:ascii="仿宋_GB2312" w:eastAsia="仿宋_GB2312" w:hAnsi="仿宋_GB2312" w:cs="仿宋_GB2312" w:hint="eastAsia"/>
          <w:b w:val="0"/>
          <w:sz w:val="32"/>
          <w:szCs w:val="32"/>
        </w:rPr>
        <w:t>支出决算为135.98万元，完成预算100%。</w:t>
      </w:r>
    </w:p>
    <w:p w:rsidR="002738F5" w:rsidRDefault="00FA2CBF">
      <w:pPr>
        <w:spacing w:line="580" w:lineRule="exact"/>
        <w:ind w:firstLineChars="200" w:firstLine="643"/>
        <w:rPr>
          <w:rStyle w:val="a8"/>
          <w:rFonts w:ascii="仿宋_GB2312" w:eastAsia="仿宋_GB2312" w:hAnsi="仿宋_GB2312" w:cs="仿宋_GB2312"/>
          <w:bCs/>
          <w:sz w:val="32"/>
          <w:szCs w:val="32"/>
        </w:rPr>
      </w:pPr>
      <w:r>
        <w:rPr>
          <w:rStyle w:val="a8"/>
          <w:rFonts w:ascii="仿宋_GB2312" w:eastAsia="仿宋_GB2312" w:hAnsi="仿宋_GB2312" w:cs="仿宋_GB2312" w:hint="eastAsia"/>
          <w:color w:val="000000"/>
          <w:sz w:val="32"/>
          <w:szCs w:val="32"/>
        </w:rPr>
        <w:t>7.社会保障和就业支出（类）抚恤（款）死亡抚恤（项）：</w:t>
      </w:r>
      <w:r>
        <w:rPr>
          <w:rStyle w:val="a8"/>
          <w:rFonts w:ascii="仿宋_GB2312" w:eastAsia="仿宋_GB2312" w:hAnsi="仿宋_GB2312" w:cs="仿宋_GB2312" w:hint="eastAsia"/>
          <w:b w:val="0"/>
          <w:sz w:val="32"/>
          <w:szCs w:val="32"/>
        </w:rPr>
        <w:t>支出决算为299.11万元，完成预算100%。</w:t>
      </w:r>
    </w:p>
    <w:p w:rsidR="002738F5" w:rsidRDefault="00FA2CBF">
      <w:pPr>
        <w:spacing w:line="580" w:lineRule="exact"/>
        <w:ind w:firstLineChars="200" w:firstLine="643"/>
        <w:rPr>
          <w:rFonts w:ascii="仿宋_GB2312" w:eastAsia="仿宋_GB2312" w:hAnsi="仿宋_GB2312" w:cs="仿宋_GB2312"/>
          <w:b/>
          <w:bCs/>
          <w:sz w:val="32"/>
          <w:szCs w:val="32"/>
        </w:rPr>
      </w:pPr>
      <w:r>
        <w:rPr>
          <w:rStyle w:val="a8"/>
          <w:rFonts w:ascii="仿宋_GB2312" w:eastAsia="仿宋_GB2312" w:hAnsi="仿宋_GB2312" w:cs="仿宋_GB2312" w:hint="eastAsia"/>
          <w:color w:val="000000"/>
          <w:sz w:val="32"/>
          <w:szCs w:val="32"/>
        </w:rPr>
        <w:t>8.社会保障和就业支出（类）抚恤（款）伤残抚恤（项）：</w:t>
      </w:r>
      <w:r>
        <w:rPr>
          <w:rStyle w:val="a8"/>
          <w:rFonts w:ascii="仿宋_GB2312" w:eastAsia="仿宋_GB2312" w:hAnsi="仿宋_GB2312" w:cs="仿宋_GB2312" w:hint="eastAsia"/>
          <w:b w:val="0"/>
          <w:sz w:val="32"/>
          <w:szCs w:val="32"/>
        </w:rPr>
        <w:t>支出决算为0.3万元，完成预算100%。</w:t>
      </w:r>
    </w:p>
    <w:p w:rsidR="002738F5" w:rsidRDefault="00FA2CBF">
      <w:pPr>
        <w:spacing w:line="580" w:lineRule="exact"/>
        <w:ind w:firstLineChars="200" w:firstLine="643"/>
        <w:rPr>
          <w:rStyle w:val="a8"/>
          <w:rFonts w:ascii="仿宋_GB2312" w:eastAsia="仿宋_GB2312" w:hAnsi="仿宋_GB2312" w:cs="仿宋_GB2312"/>
          <w:b w:val="0"/>
          <w:bCs/>
          <w:sz w:val="32"/>
          <w:szCs w:val="32"/>
        </w:rPr>
      </w:pPr>
      <w:r>
        <w:rPr>
          <w:rStyle w:val="a8"/>
          <w:rFonts w:ascii="仿宋_GB2312" w:eastAsia="仿宋_GB2312" w:hAnsi="仿宋_GB2312" w:cs="仿宋_GB2312" w:hint="eastAsia"/>
          <w:color w:val="000000"/>
          <w:sz w:val="32"/>
          <w:szCs w:val="32"/>
        </w:rPr>
        <w:t>9.社会保障和就业支出（类）其他社会保障和就业支出（款）其他社会保障和就业支出（项）：</w:t>
      </w:r>
      <w:r>
        <w:rPr>
          <w:rStyle w:val="a8"/>
          <w:rFonts w:ascii="仿宋_GB2312" w:eastAsia="仿宋_GB2312" w:hAnsi="仿宋_GB2312" w:cs="仿宋_GB2312" w:hint="eastAsia"/>
          <w:b w:val="0"/>
          <w:sz w:val="32"/>
          <w:szCs w:val="32"/>
        </w:rPr>
        <w:t>支出决算为2.78万元，完成预算100%。</w:t>
      </w:r>
    </w:p>
    <w:p w:rsidR="002738F5" w:rsidRDefault="00FA2CBF">
      <w:pPr>
        <w:spacing w:line="580" w:lineRule="exact"/>
        <w:ind w:firstLineChars="200" w:firstLine="643"/>
        <w:rPr>
          <w:rStyle w:val="a8"/>
          <w:rFonts w:ascii="仿宋_GB2312" w:eastAsia="仿宋_GB2312" w:hAnsi="仿宋_GB2312" w:cs="仿宋_GB2312"/>
          <w:b w:val="0"/>
          <w:sz w:val="32"/>
          <w:szCs w:val="32"/>
        </w:rPr>
      </w:pPr>
      <w:r>
        <w:rPr>
          <w:rStyle w:val="a8"/>
          <w:rFonts w:ascii="仿宋_GB2312" w:eastAsia="仿宋_GB2312" w:hAnsi="仿宋_GB2312" w:cs="仿宋_GB2312" w:hint="eastAsia"/>
          <w:color w:val="000000"/>
          <w:sz w:val="32"/>
          <w:szCs w:val="32"/>
        </w:rPr>
        <w:t>10.卫生健康支出（类）行政事业单位医疗（款）行政单位医疗（项）：</w:t>
      </w:r>
      <w:r>
        <w:rPr>
          <w:rStyle w:val="a8"/>
          <w:rFonts w:ascii="仿宋_GB2312" w:eastAsia="仿宋_GB2312" w:hAnsi="仿宋_GB2312" w:cs="仿宋_GB2312" w:hint="eastAsia"/>
          <w:b w:val="0"/>
          <w:sz w:val="32"/>
          <w:szCs w:val="32"/>
        </w:rPr>
        <w:t>支出决算为685.31万元，完成预算99.51%，决算数小于预算数的主要原因是按规定缴纳2021年基本医疗保险后资金结余。</w:t>
      </w:r>
    </w:p>
    <w:p w:rsidR="002738F5" w:rsidRDefault="00FA2CBF">
      <w:pPr>
        <w:spacing w:line="580" w:lineRule="exact"/>
        <w:ind w:firstLineChars="200" w:firstLine="643"/>
        <w:rPr>
          <w:rStyle w:val="a8"/>
          <w:rFonts w:ascii="仿宋_GB2312" w:eastAsia="仿宋_GB2312" w:hAnsi="仿宋_GB2312" w:cs="仿宋_GB2312"/>
          <w:b w:val="0"/>
          <w:bCs/>
          <w:sz w:val="32"/>
          <w:szCs w:val="32"/>
        </w:rPr>
      </w:pPr>
      <w:r>
        <w:rPr>
          <w:rStyle w:val="a8"/>
          <w:rFonts w:ascii="仿宋_GB2312" w:eastAsia="仿宋_GB2312" w:hAnsi="仿宋_GB2312" w:cs="仿宋_GB2312" w:hint="eastAsia"/>
          <w:color w:val="000000"/>
          <w:sz w:val="32"/>
          <w:szCs w:val="32"/>
        </w:rPr>
        <w:t>11.卫生健康支出（类）行政事业单位医疗（款）公务员医疗补助（项）：</w:t>
      </w:r>
      <w:r>
        <w:rPr>
          <w:rStyle w:val="a8"/>
          <w:rFonts w:ascii="仿宋_GB2312" w:eastAsia="仿宋_GB2312" w:hAnsi="仿宋_GB2312" w:cs="仿宋_GB2312" w:hint="eastAsia"/>
          <w:b w:val="0"/>
          <w:sz w:val="32"/>
          <w:szCs w:val="32"/>
        </w:rPr>
        <w:t>支出决算为123.6</w:t>
      </w:r>
      <w:r w:rsidR="00766E67">
        <w:rPr>
          <w:rStyle w:val="a8"/>
          <w:rFonts w:ascii="仿宋_GB2312" w:eastAsia="仿宋_GB2312" w:hAnsi="仿宋_GB2312" w:cs="仿宋_GB2312" w:hint="eastAsia"/>
          <w:b w:val="0"/>
          <w:sz w:val="32"/>
          <w:szCs w:val="32"/>
        </w:rPr>
        <w:t>5</w:t>
      </w:r>
      <w:r>
        <w:rPr>
          <w:rStyle w:val="a8"/>
          <w:rFonts w:ascii="仿宋_GB2312" w:eastAsia="仿宋_GB2312" w:hAnsi="仿宋_GB2312" w:cs="仿宋_GB2312" w:hint="eastAsia"/>
          <w:b w:val="0"/>
          <w:sz w:val="32"/>
          <w:szCs w:val="32"/>
        </w:rPr>
        <w:t>万元，完成预算99.56%，决算数小于预算数的主要原因是按规定缴纳2021年公务员医疗补助后资金结余。</w:t>
      </w:r>
    </w:p>
    <w:p w:rsidR="002738F5" w:rsidRDefault="00FA2CBF">
      <w:pPr>
        <w:spacing w:line="580" w:lineRule="exact"/>
        <w:ind w:firstLineChars="200" w:firstLine="643"/>
        <w:rPr>
          <w:rStyle w:val="a8"/>
          <w:rFonts w:ascii="仿宋_GB2312" w:eastAsia="仿宋_GB2312" w:hAnsi="仿宋_GB2312" w:cs="仿宋_GB2312"/>
          <w:b w:val="0"/>
          <w:bCs/>
          <w:sz w:val="32"/>
          <w:szCs w:val="32"/>
        </w:rPr>
      </w:pPr>
      <w:r>
        <w:rPr>
          <w:rStyle w:val="a8"/>
          <w:rFonts w:ascii="仿宋_GB2312" w:eastAsia="仿宋_GB2312" w:hAnsi="仿宋_GB2312" w:cs="仿宋_GB2312" w:hint="eastAsia"/>
          <w:color w:val="000000"/>
          <w:sz w:val="32"/>
          <w:szCs w:val="32"/>
        </w:rPr>
        <w:t>12.住房保障支出（类）住房改革支出（款）住房公积金（项）：</w:t>
      </w:r>
      <w:r>
        <w:rPr>
          <w:rStyle w:val="a8"/>
          <w:rFonts w:ascii="仿宋_GB2312" w:eastAsia="仿宋_GB2312" w:hAnsi="仿宋_GB2312" w:cs="仿宋_GB2312" w:hint="eastAsia"/>
          <w:b w:val="0"/>
          <w:sz w:val="32"/>
          <w:szCs w:val="32"/>
        </w:rPr>
        <w:t>支出决算为744.14万元，完成预算99.13%，决算数小于预算数的主要原因是按规定缴纳2021年住房公积金后资金结余。</w:t>
      </w:r>
    </w:p>
    <w:p w:rsidR="002738F5" w:rsidRDefault="00FA2CBF">
      <w:pPr>
        <w:spacing w:line="580" w:lineRule="exact"/>
        <w:ind w:firstLineChars="200" w:firstLine="643"/>
        <w:rPr>
          <w:rStyle w:val="a8"/>
          <w:rFonts w:ascii="仿宋_GB2312" w:eastAsia="仿宋_GB2312" w:hAnsi="仿宋_GB2312" w:cs="仿宋_GB2312"/>
          <w:b w:val="0"/>
          <w:sz w:val="32"/>
          <w:szCs w:val="32"/>
        </w:rPr>
      </w:pPr>
      <w:r>
        <w:rPr>
          <w:rStyle w:val="a8"/>
          <w:rFonts w:ascii="仿宋_GB2312" w:eastAsia="仿宋_GB2312" w:hAnsi="仿宋_GB2312" w:cs="仿宋_GB2312" w:hint="eastAsia"/>
          <w:color w:val="000000"/>
          <w:sz w:val="32"/>
          <w:szCs w:val="32"/>
        </w:rPr>
        <w:t>13.住房保障支出（类）住房改革支出（款）购房补贴（项）：</w:t>
      </w:r>
      <w:r>
        <w:rPr>
          <w:rStyle w:val="a8"/>
          <w:rFonts w:ascii="仿宋_GB2312" w:eastAsia="仿宋_GB2312" w:hAnsi="仿宋_GB2312" w:cs="仿宋_GB2312" w:hint="eastAsia"/>
          <w:b w:val="0"/>
          <w:sz w:val="32"/>
          <w:szCs w:val="32"/>
        </w:rPr>
        <w:t>支出决算为1,166.08万元，完成预算99.54%，决算</w:t>
      </w:r>
      <w:r>
        <w:rPr>
          <w:rStyle w:val="a8"/>
          <w:rFonts w:ascii="仿宋_GB2312" w:eastAsia="仿宋_GB2312" w:hAnsi="仿宋_GB2312" w:cs="仿宋_GB2312" w:hint="eastAsia"/>
          <w:b w:val="0"/>
          <w:sz w:val="32"/>
          <w:szCs w:val="32"/>
        </w:rPr>
        <w:lastRenderedPageBreak/>
        <w:t>数小于预算数的主要原因是按规定发放2021年购房补贴后资金结余。</w:t>
      </w:r>
    </w:p>
    <w:p w:rsidR="002738F5" w:rsidRDefault="002738F5">
      <w:pPr>
        <w:spacing w:line="600" w:lineRule="exact"/>
        <w:ind w:firstLine="640"/>
        <w:rPr>
          <w:rFonts w:ascii="仿宋" w:eastAsia="仿宋" w:hAnsi="仿宋"/>
          <w:b/>
          <w:sz w:val="32"/>
          <w:szCs w:val="32"/>
        </w:rPr>
      </w:pPr>
    </w:p>
    <w:p w:rsidR="002738F5" w:rsidRDefault="00FA2CBF">
      <w:pPr>
        <w:tabs>
          <w:tab w:val="right" w:pos="8306"/>
        </w:tabs>
        <w:spacing w:line="600" w:lineRule="exact"/>
        <w:ind w:firstLine="640"/>
        <w:outlineLvl w:val="1"/>
        <w:rPr>
          <w:rStyle w:val="2Char"/>
        </w:rPr>
      </w:pPr>
      <w:bookmarkStart w:id="35" w:name="_Toc15377214"/>
      <w:bookmarkStart w:id="36"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5"/>
      <w:bookmarkEnd w:id="36"/>
      <w:r>
        <w:rPr>
          <w:rStyle w:val="2Char"/>
          <w:rFonts w:ascii="黑体" w:eastAsia="黑体" w:hAnsi="黑体"/>
          <w:b w:val="0"/>
        </w:rPr>
        <w:tab/>
      </w:r>
    </w:p>
    <w:p w:rsidR="002738F5" w:rsidRDefault="00FA2CBF">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2021年一般公共预算财政拨款基本支出14,175.01万元，其中：</w:t>
      </w:r>
    </w:p>
    <w:p w:rsidR="002738F5" w:rsidRDefault="00FA2CBF">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人员经费13,095.02万元，主要包括：基本工资、津贴补贴、奖金、机关事业单位基本养老保险缴费、职业年金缴费、职工基本医疗保险缴费、公务员医疗补助缴费、住房公积金、其他工资福利支出、离休费、抚恤金、生活补助、奖励金、其他对个人和家庭的补助支出等。</w:t>
      </w:r>
      <w:r>
        <w:rPr>
          <w:rFonts w:ascii="仿宋_GB2312" w:eastAsia="仿宋_GB2312" w:hAnsi="仿宋_GB2312" w:cs="仿宋_GB2312" w:hint="eastAsia"/>
          <w:sz w:val="32"/>
          <w:szCs w:val="32"/>
        </w:rPr>
        <w:br/>
        <w:t xml:space="preserve">　　公用经费1,079.99万元，主要包括：办公费、印刷费、水费、电费、邮电费、差旅费、租赁费、培训费、劳务费、工会经费、福利费、其他交通费、其他商品和服务支出等。</w:t>
      </w:r>
    </w:p>
    <w:p w:rsidR="002738F5" w:rsidRDefault="002738F5">
      <w:pPr>
        <w:spacing w:line="600" w:lineRule="exact"/>
        <w:ind w:firstLine="640"/>
        <w:rPr>
          <w:rFonts w:ascii="仿宋" w:eastAsia="仿宋" w:hAnsi="仿宋"/>
          <w:b/>
          <w:sz w:val="32"/>
          <w:szCs w:val="32"/>
        </w:rPr>
      </w:pPr>
    </w:p>
    <w:p w:rsidR="002738F5" w:rsidRDefault="00FA2CBF">
      <w:pPr>
        <w:spacing w:line="600" w:lineRule="exact"/>
        <w:ind w:firstLine="640"/>
        <w:outlineLvl w:val="1"/>
        <w:rPr>
          <w:rStyle w:val="2Char"/>
          <w:rFonts w:ascii="黑体" w:eastAsia="黑体" w:hAnsi="黑体"/>
          <w:b w:val="0"/>
        </w:rPr>
      </w:pPr>
      <w:bookmarkStart w:id="37" w:name="_Toc15377215"/>
      <w:bookmarkStart w:id="38" w:name="_Toc1539660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7"/>
      <w:bookmarkEnd w:id="38"/>
    </w:p>
    <w:p w:rsidR="002738F5" w:rsidRDefault="00FA2CBF">
      <w:pPr>
        <w:spacing w:line="600" w:lineRule="exact"/>
        <w:ind w:firstLine="640"/>
        <w:outlineLvl w:val="2"/>
        <w:rPr>
          <w:rFonts w:ascii="仿宋_GB2312" w:eastAsia="仿宋_GB2312" w:hAnsi="仿宋_GB2312" w:cs="仿宋_GB2312"/>
          <w:b/>
          <w:sz w:val="32"/>
          <w:szCs w:val="32"/>
        </w:rPr>
      </w:pPr>
      <w:bookmarkStart w:id="39" w:name="_Toc15377216"/>
      <w:r>
        <w:rPr>
          <w:rFonts w:ascii="仿宋_GB2312" w:eastAsia="仿宋_GB2312" w:hAnsi="仿宋_GB2312" w:cs="仿宋_GB2312" w:hint="eastAsia"/>
          <w:b/>
          <w:sz w:val="32"/>
          <w:szCs w:val="32"/>
        </w:rPr>
        <w:t>（一）“三公”经费财政拨款支出决算总体情况说明</w:t>
      </w:r>
      <w:bookmarkEnd w:id="39"/>
    </w:p>
    <w:p w:rsidR="002738F5" w:rsidRDefault="00FA2C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2021年“三公”经费财政拨款支出决算为76.56万元，完成预算65.66%，决算数小于预算数的主要原因一是受疫情影响，2021年成</w:t>
      </w:r>
      <w:proofErr w:type="gramStart"/>
      <w:r>
        <w:rPr>
          <w:rFonts w:ascii="仿宋_GB2312" w:eastAsia="仿宋_GB2312" w:hAnsi="仿宋_GB2312" w:cs="仿宋_GB2312" w:hint="eastAsia"/>
          <w:sz w:val="32"/>
          <w:szCs w:val="32"/>
        </w:rPr>
        <w:t>都女子</w:t>
      </w:r>
      <w:proofErr w:type="gramEnd"/>
      <w:r>
        <w:rPr>
          <w:rFonts w:ascii="仿宋_GB2312" w:eastAsia="仿宋_GB2312" w:hAnsi="仿宋_GB2312" w:cs="仿宋_GB2312" w:hint="eastAsia"/>
          <w:sz w:val="32"/>
          <w:szCs w:val="32"/>
        </w:rPr>
        <w:t>监狱公务车辆出车率大幅下降；二是受疫情影响和厉行节约政策，2021年成</w:t>
      </w:r>
      <w:proofErr w:type="gramStart"/>
      <w:r>
        <w:rPr>
          <w:rFonts w:ascii="仿宋_GB2312" w:eastAsia="仿宋_GB2312" w:hAnsi="仿宋_GB2312" w:cs="仿宋_GB2312" w:hint="eastAsia"/>
          <w:sz w:val="32"/>
          <w:szCs w:val="32"/>
        </w:rPr>
        <w:t>都女子</w:t>
      </w:r>
      <w:proofErr w:type="gramEnd"/>
      <w:r>
        <w:rPr>
          <w:rFonts w:ascii="仿宋_GB2312" w:eastAsia="仿宋_GB2312" w:hAnsi="仿宋_GB2312" w:cs="仿宋_GB2312" w:hint="eastAsia"/>
          <w:sz w:val="32"/>
          <w:szCs w:val="32"/>
        </w:rPr>
        <w:t>监狱未发生公务接待。</w:t>
      </w:r>
    </w:p>
    <w:p w:rsidR="002738F5" w:rsidRDefault="00FA2CBF">
      <w:pPr>
        <w:spacing w:line="600" w:lineRule="exact"/>
        <w:ind w:firstLine="640"/>
        <w:outlineLvl w:val="2"/>
        <w:rPr>
          <w:rFonts w:ascii="仿宋_GB2312" w:eastAsia="仿宋_GB2312" w:hAnsi="仿宋_GB2312" w:cs="仿宋_GB2312"/>
          <w:b/>
          <w:sz w:val="32"/>
          <w:szCs w:val="32"/>
        </w:rPr>
      </w:pPr>
      <w:bookmarkStart w:id="40" w:name="_Toc15377217"/>
      <w:r>
        <w:rPr>
          <w:rFonts w:ascii="仿宋_GB2312" w:eastAsia="仿宋_GB2312" w:hAnsi="仿宋_GB2312" w:cs="仿宋_GB2312" w:hint="eastAsia"/>
          <w:b/>
          <w:sz w:val="32"/>
          <w:szCs w:val="32"/>
        </w:rPr>
        <w:t>（二）“三公”经费财政拨款支出决算具体情况说明</w:t>
      </w:r>
      <w:bookmarkEnd w:id="40"/>
    </w:p>
    <w:p w:rsidR="002738F5" w:rsidRDefault="00FA2CB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2021年“三公”经费财政拨款支出决算中，因公出国（境）费支出决算无；公务用车购置及运行维护费支出决算76.56万元，占100%；公务接待费支出决算无。具体情况如下：</w:t>
      </w:r>
    </w:p>
    <w:p w:rsidR="002738F5" w:rsidRDefault="00FA2CB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（图7：“三公”经费财政拨款支出结构）</w:t>
      </w:r>
    </w:p>
    <w:p w:rsidR="002738F5" w:rsidRDefault="00525CBB">
      <w:pPr>
        <w:pStyle w:val="a0"/>
        <w:spacing w:before="93"/>
      </w:pPr>
      <w:r>
        <w:rPr>
          <w:noProof/>
        </w:rPr>
        <w:drawing>
          <wp:inline distT="0" distB="0" distL="0" distR="0">
            <wp:extent cx="4838065" cy="2800985"/>
            <wp:effectExtent l="0" t="0" r="0" b="0"/>
            <wp:docPr id="5" name="对象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738F5" w:rsidRDefault="00FA2CBF">
      <w:pPr>
        <w:spacing w:line="600" w:lineRule="exact"/>
        <w:ind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1.因公出国（境）经费支出</w:t>
      </w:r>
      <w:r>
        <w:rPr>
          <w:rFonts w:ascii="仿宋_GB2312" w:eastAsia="仿宋_GB2312" w:hAnsi="仿宋_GB2312" w:cs="仿宋_GB2312" w:hint="eastAsia"/>
          <w:sz w:val="32"/>
          <w:szCs w:val="32"/>
        </w:rPr>
        <w:t>0万元，</w:t>
      </w:r>
      <w:r>
        <w:rPr>
          <w:rStyle w:val="a8"/>
          <w:rFonts w:ascii="仿宋_GB2312" w:eastAsia="仿宋_GB2312" w:hAnsi="仿宋_GB2312" w:cs="仿宋_GB2312" w:hint="eastAsia"/>
          <w:b w:val="0"/>
          <w:bCs/>
          <w:sz w:val="32"/>
          <w:szCs w:val="32"/>
        </w:rPr>
        <w:t>预算安排0万元。</w:t>
      </w:r>
      <w:r>
        <w:rPr>
          <w:rFonts w:ascii="仿宋_GB2312" w:eastAsia="仿宋_GB2312" w:hAnsi="仿宋_GB2312" w:cs="仿宋_GB2312" w:hint="eastAsia"/>
          <w:sz w:val="32"/>
          <w:szCs w:val="32"/>
        </w:rPr>
        <w:t>全年安排因公出国（境）团组0次，出国（境）0人。因公出国（境）支出决算与2020年持平。主要原因是厉行节约。</w:t>
      </w:r>
    </w:p>
    <w:p w:rsidR="002738F5" w:rsidRDefault="00FA2CB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开支内容无。</w:t>
      </w:r>
    </w:p>
    <w:p w:rsidR="002738F5" w:rsidRDefault="00FA2CB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2.公务用车购置及运行维护费支出</w:t>
      </w:r>
      <w:r>
        <w:rPr>
          <w:rFonts w:ascii="仿宋_GB2312" w:eastAsia="仿宋_GB2312" w:hAnsi="仿宋_GB2312" w:cs="仿宋_GB2312" w:hint="eastAsia"/>
          <w:sz w:val="32"/>
          <w:szCs w:val="32"/>
        </w:rPr>
        <w:t>76.56万元,</w:t>
      </w:r>
      <w:r>
        <w:rPr>
          <w:rStyle w:val="a8"/>
          <w:rFonts w:ascii="仿宋_GB2312" w:eastAsia="仿宋_GB2312" w:hAnsi="仿宋_GB2312" w:cs="仿宋_GB2312" w:hint="eastAsia"/>
          <w:b w:val="0"/>
          <w:bCs/>
          <w:sz w:val="32"/>
          <w:szCs w:val="32"/>
        </w:rPr>
        <w:t>完成预算67.99%。</w:t>
      </w:r>
      <w:r>
        <w:rPr>
          <w:rFonts w:ascii="仿宋_GB2312" w:eastAsia="仿宋_GB2312" w:hAnsi="仿宋_GB2312" w:cs="仿宋_GB2312" w:hint="eastAsia"/>
          <w:sz w:val="32"/>
          <w:szCs w:val="32"/>
        </w:rPr>
        <w:t>公务用车购置及运行维护费支出决算比2020年增加20.25万元，增长35.96%。主要原因是2020年末结转车辆购置经费至2021年使用。</w:t>
      </w:r>
    </w:p>
    <w:p w:rsidR="002738F5" w:rsidRDefault="00FA2CBF">
      <w:pPr>
        <w:spacing w:line="60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其中：</w:t>
      </w:r>
      <w:r>
        <w:rPr>
          <w:rFonts w:ascii="仿宋_GB2312" w:eastAsia="仿宋_GB2312" w:hAnsi="仿宋_GB2312" w:cs="仿宋_GB2312" w:hint="eastAsia"/>
          <w:b/>
          <w:sz w:val="32"/>
          <w:szCs w:val="32"/>
        </w:rPr>
        <w:t>公务用车购置支出</w:t>
      </w:r>
      <w:r>
        <w:rPr>
          <w:rFonts w:ascii="仿宋_GB2312" w:eastAsia="仿宋_GB2312" w:hAnsi="仿宋_GB2312" w:cs="仿宋_GB2312" w:hint="eastAsia"/>
          <w:sz w:val="32"/>
          <w:szCs w:val="32"/>
        </w:rPr>
        <w:t>37.60万元。全年按规定更新购置公务用车1辆，主要用于执行公务。截至2021年12月底，单位共有公务用车19辆，其中：轿车13辆、越野车1</w:t>
      </w:r>
      <w:r>
        <w:rPr>
          <w:rFonts w:ascii="仿宋_GB2312" w:eastAsia="仿宋_GB2312" w:hAnsi="仿宋_GB2312" w:cs="仿宋_GB2312" w:hint="eastAsia"/>
          <w:sz w:val="32"/>
          <w:szCs w:val="32"/>
        </w:rPr>
        <w:lastRenderedPageBreak/>
        <w:t>辆、载客汽车2辆。</w:t>
      </w:r>
    </w:p>
    <w:p w:rsidR="002738F5" w:rsidRDefault="00FA2CB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公务用车运行维护费支出</w:t>
      </w:r>
      <w:r>
        <w:rPr>
          <w:rFonts w:ascii="仿宋_GB2312" w:eastAsia="仿宋_GB2312" w:hAnsi="仿宋_GB2312" w:cs="仿宋_GB2312" w:hint="eastAsia"/>
          <w:sz w:val="32"/>
          <w:szCs w:val="32"/>
        </w:rPr>
        <w:t>38.96万元。主要用于执行公务所需的公务用车燃料费、维修费、过路过桥费、保险费等支出。</w:t>
      </w:r>
    </w:p>
    <w:p w:rsidR="002738F5" w:rsidRDefault="00FA2CB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3.公务接待费支出</w:t>
      </w:r>
      <w:r>
        <w:rPr>
          <w:rFonts w:ascii="仿宋_GB2312" w:eastAsia="仿宋_GB2312" w:hAnsi="仿宋_GB2312" w:cs="仿宋_GB2312" w:hint="eastAsia"/>
          <w:sz w:val="32"/>
          <w:szCs w:val="32"/>
        </w:rPr>
        <w:t>0万元，</w:t>
      </w:r>
      <w:r>
        <w:rPr>
          <w:rStyle w:val="a8"/>
          <w:rFonts w:ascii="仿宋_GB2312" w:eastAsia="仿宋_GB2312" w:hAnsi="仿宋_GB2312" w:cs="仿宋_GB2312" w:hint="eastAsia"/>
          <w:b w:val="0"/>
          <w:bCs/>
          <w:sz w:val="32"/>
          <w:szCs w:val="32"/>
        </w:rPr>
        <w:t>完成预算0%。</w:t>
      </w:r>
      <w:r>
        <w:rPr>
          <w:rFonts w:ascii="仿宋_GB2312" w:eastAsia="仿宋_GB2312" w:hAnsi="仿宋_GB2312" w:cs="仿宋_GB2312" w:hint="eastAsia"/>
          <w:sz w:val="32"/>
          <w:szCs w:val="32"/>
        </w:rPr>
        <w:t>公务接待费支出决算比2020年减少0.08万元，下降100%。主要原因是受疫情影响和厉行节约政策，2021年成</w:t>
      </w:r>
      <w:proofErr w:type="gramStart"/>
      <w:r>
        <w:rPr>
          <w:rFonts w:ascii="仿宋_GB2312" w:eastAsia="仿宋_GB2312" w:hAnsi="仿宋_GB2312" w:cs="仿宋_GB2312" w:hint="eastAsia"/>
          <w:sz w:val="32"/>
          <w:szCs w:val="32"/>
        </w:rPr>
        <w:t>都女子</w:t>
      </w:r>
      <w:proofErr w:type="gramEnd"/>
      <w:r>
        <w:rPr>
          <w:rFonts w:ascii="仿宋_GB2312" w:eastAsia="仿宋_GB2312" w:hAnsi="仿宋_GB2312" w:cs="仿宋_GB2312" w:hint="eastAsia"/>
          <w:sz w:val="32"/>
          <w:szCs w:val="32"/>
        </w:rPr>
        <w:t>监狱未发生公务接待。其中：</w:t>
      </w:r>
    </w:p>
    <w:p w:rsidR="002738F5" w:rsidRDefault="00FA2CB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国内公务接待支出</w:t>
      </w:r>
      <w:r>
        <w:rPr>
          <w:rFonts w:ascii="仿宋_GB2312" w:eastAsia="仿宋_GB2312" w:hAnsi="仿宋_GB2312" w:cs="仿宋_GB2312" w:hint="eastAsia"/>
          <w:sz w:val="32"/>
          <w:szCs w:val="32"/>
        </w:rPr>
        <w:t>0万元，开支内容无。</w:t>
      </w:r>
    </w:p>
    <w:p w:rsidR="002738F5" w:rsidRDefault="00FA2CBF">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外事接待支出</w:t>
      </w:r>
      <w:r>
        <w:rPr>
          <w:rFonts w:ascii="仿宋_GB2312" w:eastAsia="仿宋_GB2312" w:hAnsi="仿宋_GB2312" w:cs="仿宋_GB2312" w:hint="eastAsia"/>
          <w:sz w:val="32"/>
          <w:szCs w:val="32"/>
        </w:rPr>
        <w:t>0万元，开支内容无。</w:t>
      </w:r>
    </w:p>
    <w:p w:rsidR="002738F5" w:rsidRDefault="002738F5">
      <w:pPr>
        <w:spacing w:line="600" w:lineRule="exact"/>
        <w:ind w:firstLine="640"/>
        <w:outlineLvl w:val="1"/>
        <w:rPr>
          <w:rFonts w:ascii="黑体" w:eastAsia="黑体"/>
          <w:sz w:val="32"/>
          <w:szCs w:val="32"/>
        </w:rPr>
      </w:pPr>
      <w:bookmarkStart w:id="41" w:name="_Toc15377218"/>
      <w:bookmarkStart w:id="42" w:name="_Toc15396610"/>
    </w:p>
    <w:p w:rsidR="002738F5" w:rsidRDefault="00FA2CBF">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1"/>
      <w:bookmarkEnd w:id="42"/>
    </w:p>
    <w:p w:rsidR="002738F5" w:rsidRDefault="00FA2CBF">
      <w:pPr>
        <w:spacing w:line="600" w:lineRule="exact"/>
        <w:ind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年无政府性基金预算财政拨款支出。</w:t>
      </w:r>
    </w:p>
    <w:p w:rsidR="002738F5" w:rsidRDefault="002738F5">
      <w:pPr>
        <w:spacing w:line="600" w:lineRule="exact"/>
        <w:ind w:firstLine="640"/>
        <w:rPr>
          <w:rFonts w:ascii="仿宋_GB2312" w:eastAsia="仿宋_GB2312"/>
          <w:sz w:val="32"/>
          <w:szCs w:val="32"/>
        </w:rPr>
      </w:pPr>
    </w:p>
    <w:p w:rsidR="002738F5" w:rsidRDefault="00FA2CBF">
      <w:pPr>
        <w:numPr>
          <w:ilvl w:val="0"/>
          <w:numId w:val="3"/>
        </w:numPr>
        <w:spacing w:line="600" w:lineRule="exact"/>
        <w:ind w:firstLine="640"/>
        <w:outlineLvl w:val="1"/>
        <w:rPr>
          <w:rStyle w:val="2Char"/>
          <w:rFonts w:ascii="黑体" w:eastAsia="黑体" w:hAnsi="黑体"/>
          <w:b w:val="0"/>
        </w:rPr>
      </w:pPr>
      <w:bookmarkStart w:id="43" w:name="_Toc15396611"/>
      <w:bookmarkStart w:id="44" w:name="_Toc15377219"/>
      <w:r>
        <w:rPr>
          <w:rStyle w:val="2Char"/>
          <w:rFonts w:ascii="黑体" w:eastAsia="黑体" w:hAnsi="黑体" w:hint="eastAsia"/>
          <w:b w:val="0"/>
        </w:rPr>
        <w:t>国有资本经营预算支出决算情况说明</w:t>
      </w:r>
      <w:bookmarkEnd w:id="43"/>
      <w:bookmarkEnd w:id="44"/>
    </w:p>
    <w:p w:rsidR="002738F5" w:rsidRDefault="00FA2CBF">
      <w:pPr>
        <w:spacing w:line="600" w:lineRule="exact"/>
        <w:ind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年无国有资本经营预算财政拨款支出。</w:t>
      </w:r>
    </w:p>
    <w:p w:rsidR="002738F5" w:rsidRDefault="002738F5">
      <w:pPr>
        <w:spacing w:line="580" w:lineRule="exact"/>
        <w:jc w:val="center"/>
        <w:rPr>
          <w:rFonts w:ascii="方正小标宋简体" w:eastAsia="方正小标宋简体" w:hAnsi="方正小标宋简体" w:cs="方正小标宋简体"/>
          <w:sz w:val="44"/>
          <w:szCs w:val="44"/>
        </w:rPr>
      </w:pPr>
    </w:p>
    <w:p w:rsidR="002738F5" w:rsidRDefault="00FA2CBF">
      <w:pPr>
        <w:numPr>
          <w:ilvl w:val="0"/>
          <w:numId w:val="3"/>
        </w:numPr>
        <w:spacing w:line="600" w:lineRule="exact"/>
        <w:ind w:firstLine="640"/>
        <w:outlineLvl w:val="1"/>
        <w:rPr>
          <w:rStyle w:val="2Char"/>
          <w:rFonts w:ascii="黑体" w:eastAsia="黑体" w:hAnsi="黑体"/>
          <w:b w:val="0"/>
        </w:rPr>
      </w:pPr>
      <w:bookmarkStart w:id="45" w:name="_Toc15396612"/>
      <w:bookmarkStart w:id="46" w:name="_Toc15377221"/>
      <w:r>
        <w:rPr>
          <w:rStyle w:val="2Char"/>
          <w:rFonts w:ascii="黑体" w:eastAsia="黑体" w:hAnsi="黑体" w:hint="eastAsia"/>
          <w:b w:val="0"/>
        </w:rPr>
        <w:t>其他重要事项的情况说明</w:t>
      </w:r>
      <w:bookmarkEnd w:id="45"/>
      <w:bookmarkEnd w:id="46"/>
    </w:p>
    <w:p w:rsidR="002738F5" w:rsidRDefault="00FA2CBF">
      <w:pPr>
        <w:spacing w:line="600" w:lineRule="exact"/>
        <w:ind w:firstLineChars="200" w:firstLine="643"/>
        <w:outlineLvl w:val="2"/>
        <w:rPr>
          <w:rFonts w:ascii="仿宋_GB2312" w:eastAsia="仿宋_GB2312" w:hAnsi="仿宋_GB2312" w:cs="仿宋_GB2312"/>
          <w:sz w:val="32"/>
          <w:szCs w:val="32"/>
        </w:rPr>
      </w:pPr>
      <w:bookmarkStart w:id="47" w:name="_Toc15377222"/>
      <w:r>
        <w:rPr>
          <w:rFonts w:ascii="仿宋_GB2312" w:eastAsia="仿宋_GB2312" w:hAnsi="仿宋_GB2312" w:cs="仿宋_GB2312" w:hint="eastAsia"/>
          <w:b/>
          <w:sz w:val="32"/>
          <w:szCs w:val="32"/>
        </w:rPr>
        <w:t>（一）机关运行经费支出情况</w:t>
      </w:r>
      <w:bookmarkEnd w:id="47"/>
    </w:p>
    <w:p w:rsidR="002738F5" w:rsidRDefault="00FA2C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2021年，成都女子监狱机关运行经费支出1,079.99万元，比2020年增加52.05万元，增长5.06%。主要原因是2021年成</w:t>
      </w:r>
      <w:proofErr w:type="gramStart"/>
      <w:r>
        <w:rPr>
          <w:rFonts w:ascii="仿宋_GB2312" w:eastAsia="仿宋_GB2312" w:hAnsi="仿宋_GB2312" w:cs="仿宋_GB2312" w:hint="eastAsia"/>
          <w:sz w:val="32"/>
          <w:szCs w:val="32"/>
        </w:rPr>
        <w:t>都女子</w:t>
      </w:r>
      <w:proofErr w:type="gramEnd"/>
      <w:r>
        <w:rPr>
          <w:rFonts w:ascii="仿宋_GB2312" w:eastAsia="仿宋_GB2312" w:hAnsi="仿宋_GB2312" w:cs="仿宋_GB2312" w:hint="eastAsia"/>
          <w:sz w:val="32"/>
          <w:szCs w:val="32"/>
        </w:rPr>
        <w:t>监狱人数增加导致变化。</w:t>
      </w:r>
    </w:p>
    <w:p w:rsidR="002738F5" w:rsidRDefault="00FA2CBF">
      <w:pPr>
        <w:autoSpaceDE w:val="0"/>
        <w:autoSpaceDN w:val="0"/>
        <w:adjustRightInd w:val="0"/>
        <w:spacing w:line="600" w:lineRule="exact"/>
        <w:ind w:firstLineChars="200" w:firstLine="643"/>
        <w:jc w:val="left"/>
        <w:outlineLvl w:val="2"/>
        <w:rPr>
          <w:rFonts w:ascii="仿宋_GB2312" w:eastAsia="仿宋_GB2312" w:hAnsi="仿宋_GB2312" w:cs="仿宋_GB2312"/>
          <w:b/>
          <w:sz w:val="32"/>
          <w:szCs w:val="32"/>
        </w:rPr>
      </w:pPr>
      <w:bookmarkStart w:id="48" w:name="_Toc15377223"/>
      <w:r>
        <w:rPr>
          <w:rFonts w:ascii="仿宋_GB2312" w:eastAsia="仿宋_GB2312" w:hAnsi="仿宋_GB2312" w:cs="仿宋_GB2312" w:hint="eastAsia"/>
          <w:b/>
          <w:sz w:val="32"/>
          <w:szCs w:val="32"/>
        </w:rPr>
        <w:t>（二）政府采购支出情况</w:t>
      </w:r>
      <w:bookmarkEnd w:id="48"/>
    </w:p>
    <w:p w:rsidR="002738F5" w:rsidRPr="00A14280" w:rsidRDefault="00FA2CBF">
      <w:pPr>
        <w:spacing w:line="600" w:lineRule="exact"/>
        <w:ind w:firstLineChars="200" w:firstLine="640"/>
        <w:rPr>
          <w:rFonts w:ascii="仿宋_GB2312" w:eastAsia="仿宋_GB2312" w:hAnsi="仿宋_GB2312" w:cs="仿宋_GB2312"/>
          <w:sz w:val="32"/>
          <w:szCs w:val="32"/>
        </w:rPr>
      </w:pPr>
      <w:r w:rsidRPr="00A14280">
        <w:rPr>
          <w:rFonts w:ascii="仿宋_GB2312" w:eastAsia="仿宋_GB2312" w:hAnsi="仿宋_GB2312" w:cs="仿宋_GB2312" w:hint="eastAsia"/>
          <w:sz w:val="32"/>
          <w:szCs w:val="32"/>
        </w:rPr>
        <w:lastRenderedPageBreak/>
        <w:t>2021年，成都女子监狱政府采购支出总额462.28万元，其中：政府采购货物支出423.32万元、政府采购工程支出0万元、政府采购服务支出38.96万元。主要用于监狱监控安防建设和购置办公设施设备等。授予中小企业合同金额174万元，占政府采购支出总额的37.64%，其中：授予小</w:t>
      </w:r>
      <w:proofErr w:type="gramStart"/>
      <w:r w:rsidRPr="00A14280">
        <w:rPr>
          <w:rFonts w:ascii="仿宋_GB2312" w:eastAsia="仿宋_GB2312" w:hAnsi="仿宋_GB2312" w:cs="仿宋_GB2312" w:hint="eastAsia"/>
          <w:sz w:val="32"/>
          <w:szCs w:val="32"/>
        </w:rPr>
        <w:t>微企业</w:t>
      </w:r>
      <w:proofErr w:type="gramEnd"/>
      <w:r w:rsidRPr="00A14280">
        <w:rPr>
          <w:rFonts w:ascii="仿宋_GB2312" w:eastAsia="仿宋_GB2312" w:hAnsi="仿宋_GB2312" w:cs="仿宋_GB2312" w:hint="eastAsia"/>
          <w:sz w:val="32"/>
          <w:szCs w:val="32"/>
        </w:rPr>
        <w:t>合同金额174万元，占政府采购支出总额的37.64%。</w:t>
      </w:r>
    </w:p>
    <w:p w:rsidR="002738F5" w:rsidRDefault="00FA2CBF">
      <w:pPr>
        <w:autoSpaceDE w:val="0"/>
        <w:autoSpaceDN w:val="0"/>
        <w:adjustRightInd w:val="0"/>
        <w:spacing w:line="600" w:lineRule="exact"/>
        <w:ind w:firstLineChars="200" w:firstLine="643"/>
        <w:jc w:val="left"/>
        <w:outlineLvl w:val="2"/>
        <w:rPr>
          <w:rFonts w:ascii="仿宋_GB2312" w:eastAsia="仿宋_GB2312" w:hAnsi="仿宋_GB2312" w:cs="仿宋_GB2312"/>
          <w:b/>
          <w:sz w:val="32"/>
          <w:szCs w:val="32"/>
        </w:rPr>
      </w:pPr>
      <w:bookmarkStart w:id="49" w:name="_Toc15377224"/>
      <w:r>
        <w:rPr>
          <w:rFonts w:ascii="仿宋_GB2312" w:eastAsia="仿宋_GB2312" w:hAnsi="仿宋_GB2312" w:cs="仿宋_GB2312" w:hint="eastAsia"/>
          <w:b/>
          <w:sz w:val="32"/>
          <w:szCs w:val="32"/>
        </w:rPr>
        <w:t>（三）国有资产占有使用情况</w:t>
      </w:r>
      <w:bookmarkEnd w:id="49"/>
    </w:p>
    <w:p w:rsidR="002738F5" w:rsidRDefault="00FA2CBF">
      <w:pPr>
        <w:autoSpaceDE w:val="0"/>
        <w:autoSpaceDN w:val="0"/>
        <w:adjustRightIn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截至2021年12月31日，成都女子监狱共有车辆19辆，其中：应急保障用车1辆、执法执勤用车7辆、特种专业技术用车4辆、离退休干部用车7辆。无单价50万元以上通用设备，无单价100万元以上专用设备。</w:t>
      </w:r>
    </w:p>
    <w:p w:rsidR="002738F5" w:rsidRDefault="00FA2CBF">
      <w:pPr>
        <w:autoSpaceDE w:val="0"/>
        <w:autoSpaceDN w:val="0"/>
        <w:adjustRightInd w:val="0"/>
        <w:spacing w:line="600" w:lineRule="exact"/>
        <w:ind w:firstLineChars="200" w:firstLine="643"/>
        <w:jc w:val="left"/>
        <w:outlineLvl w:val="2"/>
        <w:rPr>
          <w:rFonts w:ascii="仿宋_GB2312" w:eastAsia="仿宋_GB2312" w:hAnsi="仿宋_GB2312" w:cs="仿宋_GB2312"/>
          <w:b/>
          <w:sz w:val="32"/>
          <w:szCs w:val="32"/>
        </w:rPr>
      </w:pPr>
      <w:r>
        <w:rPr>
          <w:rFonts w:ascii="仿宋_GB2312" w:eastAsia="仿宋_GB2312" w:hAnsi="仿宋_GB2312" w:cs="仿宋_GB2312" w:hint="eastAsia"/>
          <w:b/>
          <w:sz w:val="32"/>
          <w:szCs w:val="32"/>
        </w:rPr>
        <w:t>（四）预算绩效管理情况</w:t>
      </w:r>
    </w:p>
    <w:p w:rsidR="002738F5" w:rsidRDefault="00FA2CBF" w:rsidP="00A92935">
      <w:pPr>
        <w:pStyle w:val="a0"/>
        <w:spacing w:before="93"/>
        <w:ind w:firstLineChars="200" w:firstLine="640"/>
        <w:rPr>
          <w:rFonts w:hAnsi="仿宋_GB2312" w:cs="仿宋_GB2312"/>
          <w:sz w:val="32"/>
          <w:szCs w:val="32"/>
        </w:rPr>
      </w:pPr>
      <w:r>
        <w:rPr>
          <w:rFonts w:hAnsi="仿宋_GB2312" w:cs="仿宋_GB2312" w:hint="eastAsia"/>
          <w:sz w:val="32"/>
          <w:szCs w:val="32"/>
        </w:rPr>
        <w:t>根据预算绩效管理要求，成都女子监狱在2021年度预算编制阶段，组织对0个项目开展了预算事前绩效评估，对2个项目编制了绩效目标，预算执行过程中，选取2个项目开展绩效监控，年终执行完毕后，对2个项目开展了绩效自评。2021年特定目标类部门预算项目绩效目标自评表见附件（第四部分）。</w:t>
      </w:r>
    </w:p>
    <w:p w:rsidR="002738F5" w:rsidRDefault="00FA2CBF">
      <w:pPr>
        <w:widowControl/>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br w:type="page"/>
      </w:r>
    </w:p>
    <w:p w:rsidR="002738F5" w:rsidRDefault="00FA2CBF">
      <w:pPr>
        <w:numPr>
          <w:ilvl w:val="0"/>
          <w:numId w:val="4"/>
        </w:numPr>
        <w:spacing w:line="600" w:lineRule="exact"/>
        <w:ind w:firstLineChars="150" w:firstLine="660"/>
        <w:jc w:val="center"/>
        <w:outlineLvl w:val="0"/>
        <w:rPr>
          <w:rStyle w:val="1Char"/>
          <w:rFonts w:ascii="黑体" w:eastAsia="黑体" w:hAnsi="黑体"/>
          <w:b w:val="0"/>
        </w:rPr>
      </w:pPr>
      <w:bookmarkStart w:id="50" w:name="_Toc15396613"/>
      <w:bookmarkStart w:id="51"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50"/>
      <w:bookmarkEnd w:id="51"/>
    </w:p>
    <w:p w:rsidR="002738F5" w:rsidRDefault="002738F5">
      <w:pPr>
        <w:spacing w:line="600" w:lineRule="exact"/>
        <w:jc w:val="left"/>
        <w:rPr>
          <w:rFonts w:ascii="仿宋_GB2312" w:eastAsia="仿宋_GB2312" w:hAnsi="仿宋_GB2312" w:cs="仿宋_GB2312"/>
          <w:b/>
          <w:sz w:val="44"/>
          <w:szCs w:val="44"/>
        </w:rPr>
      </w:pPr>
    </w:p>
    <w:p w:rsidR="00CD550A" w:rsidRDefault="00CD550A" w:rsidP="00CD550A">
      <w:pPr>
        <w:pStyle w:val="Default"/>
        <w:spacing w:line="56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1.财政拨款收入：指单位从同级财政部门取得的财政预算资金。</w:t>
      </w:r>
    </w:p>
    <w:p w:rsidR="00CD550A" w:rsidRDefault="00CD550A" w:rsidP="00CD550A">
      <w:pPr>
        <w:pStyle w:val="Default"/>
        <w:spacing w:line="56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2.其他收入：指单位取得的除上述收入以外的各项收入。主要是离休人员医疗费等。</w:t>
      </w:r>
    </w:p>
    <w:p w:rsidR="00CD550A" w:rsidRDefault="00CD550A" w:rsidP="00CD550A">
      <w:pPr>
        <w:pStyle w:val="Default"/>
        <w:spacing w:line="56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3.年初结转和结余：指以前年度尚未完成、结转到本年按有关规定继续使用的资金。</w:t>
      </w:r>
    </w:p>
    <w:p w:rsidR="00CD550A" w:rsidRDefault="00CD550A" w:rsidP="00CD550A">
      <w:pPr>
        <w:pStyle w:val="Default"/>
        <w:spacing w:line="56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4.年末结转和结余：指单位按有关规定结转到下年或以后年度继续使用的资金。</w:t>
      </w:r>
    </w:p>
    <w:p w:rsidR="00CD550A" w:rsidRPr="00733C2D" w:rsidRDefault="00CD550A" w:rsidP="00CD550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w:t>
      </w:r>
      <w:r w:rsidRPr="00733C2D">
        <w:rPr>
          <w:rFonts w:ascii="仿宋_GB2312" w:eastAsia="仿宋_GB2312" w:hAnsi="仿宋_GB2312" w:cs="仿宋_GB2312" w:hint="eastAsia"/>
          <w:color w:val="000000"/>
          <w:kern w:val="0"/>
          <w:sz w:val="32"/>
          <w:szCs w:val="32"/>
        </w:rPr>
        <w:t>.公共安全支出（类）监狱（款）行政运行（项）</w:t>
      </w:r>
      <w:r w:rsidRPr="00733C2D">
        <w:rPr>
          <w:rFonts w:ascii="仿宋_GB2312" w:eastAsia="仿宋_GB2312" w:hAnsi="仿宋_GB2312" w:cs="仿宋_GB2312"/>
          <w:color w:val="000000"/>
          <w:kern w:val="0"/>
          <w:sz w:val="32"/>
          <w:szCs w:val="32"/>
        </w:rPr>
        <w:t>:</w:t>
      </w:r>
      <w:r w:rsidRPr="00733C2D">
        <w:rPr>
          <w:rFonts w:ascii="仿宋_GB2312" w:eastAsia="仿宋_GB2312" w:hAnsi="仿宋_GB2312" w:cs="仿宋_GB2312" w:hint="eastAsia"/>
          <w:color w:val="000000"/>
          <w:kern w:val="0"/>
          <w:sz w:val="32"/>
          <w:szCs w:val="32"/>
        </w:rPr>
        <w:t>指行政单位(包括实行公务员管理的事业单位）的基本支出。</w:t>
      </w:r>
    </w:p>
    <w:p w:rsidR="00CD550A" w:rsidRDefault="00CD550A" w:rsidP="00CD550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w:t>
      </w:r>
      <w:r w:rsidRPr="00733C2D">
        <w:rPr>
          <w:rFonts w:ascii="仿宋_GB2312" w:eastAsia="仿宋_GB2312" w:hAnsi="仿宋_GB2312" w:cs="仿宋_GB2312" w:hint="eastAsia"/>
          <w:color w:val="000000"/>
          <w:kern w:val="0"/>
          <w:sz w:val="32"/>
          <w:szCs w:val="32"/>
        </w:rPr>
        <w:t>公共安全支出（类）监狱（款）</w:t>
      </w:r>
      <w:r>
        <w:rPr>
          <w:rFonts w:ascii="仿宋_GB2312" w:eastAsia="仿宋_GB2312" w:hAnsi="仿宋_GB2312" w:cs="仿宋_GB2312" w:hint="eastAsia"/>
          <w:color w:val="000000"/>
          <w:kern w:val="0"/>
          <w:sz w:val="32"/>
          <w:szCs w:val="32"/>
        </w:rPr>
        <w:t>一般行政管理事务</w:t>
      </w:r>
      <w:r w:rsidRPr="00733C2D">
        <w:rPr>
          <w:rFonts w:ascii="仿宋_GB2312" w:eastAsia="仿宋_GB2312" w:hAnsi="仿宋_GB2312" w:cs="仿宋_GB2312" w:hint="eastAsia"/>
          <w:color w:val="000000"/>
          <w:kern w:val="0"/>
          <w:sz w:val="32"/>
          <w:szCs w:val="32"/>
        </w:rPr>
        <w:t>（项）</w:t>
      </w:r>
      <w:r>
        <w:rPr>
          <w:rFonts w:ascii="仿宋_GB2312" w:eastAsia="仿宋_GB2312" w:hAnsi="仿宋_GB2312" w:cs="仿宋_GB2312" w:hint="eastAsia"/>
          <w:color w:val="000000"/>
          <w:kern w:val="0"/>
          <w:sz w:val="32"/>
          <w:szCs w:val="32"/>
        </w:rPr>
        <w:t>：反映行政单位未单独设置项级科目的其他项目支出。</w:t>
      </w:r>
    </w:p>
    <w:p w:rsidR="00CD550A" w:rsidRPr="00733C2D" w:rsidRDefault="00CD550A" w:rsidP="00CD550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w:t>
      </w:r>
      <w:r w:rsidRPr="00733C2D">
        <w:rPr>
          <w:rFonts w:ascii="仿宋_GB2312" w:eastAsia="仿宋_GB2312" w:hAnsi="仿宋_GB2312" w:cs="仿宋_GB2312" w:hint="eastAsia"/>
          <w:color w:val="000000"/>
          <w:kern w:val="0"/>
          <w:sz w:val="32"/>
          <w:szCs w:val="32"/>
        </w:rPr>
        <w:t>教育支出（类）进修及培训（款）培训支出（项）</w:t>
      </w:r>
      <w:r w:rsidRPr="00733C2D">
        <w:rPr>
          <w:rFonts w:ascii="仿宋_GB2312" w:eastAsia="仿宋_GB2312" w:hAnsi="仿宋_GB2312" w:cs="仿宋_GB2312"/>
          <w:color w:val="000000"/>
          <w:kern w:val="0"/>
          <w:sz w:val="32"/>
          <w:szCs w:val="32"/>
        </w:rPr>
        <w:t>:</w:t>
      </w:r>
      <w:r w:rsidRPr="00733C2D">
        <w:rPr>
          <w:rFonts w:ascii="仿宋_GB2312" w:eastAsia="仿宋_GB2312" w:hAnsi="仿宋_GB2312" w:cs="仿宋_GB2312" w:hint="eastAsia"/>
          <w:color w:val="000000"/>
          <w:kern w:val="0"/>
          <w:sz w:val="32"/>
          <w:szCs w:val="32"/>
        </w:rPr>
        <w:t>指各部门安排的用于培训的支出。</w:t>
      </w:r>
    </w:p>
    <w:p w:rsidR="00CD550A" w:rsidRPr="00733C2D" w:rsidRDefault="00CD550A" w:rsidP="00CD550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8.</w:t>
      </w:r>
      <w:r w:rsidRPr="00733C2D">
        <w:rPr>
          <w:rFonts w:ascii="仿宋_GB2312" w:eastAsia="仿宋_GB2312" w:hAnsi="仿宋_GB2312" w:cs="仿宋_GB2312" w:hint="eastAsia"/>
          <w:color w:val="000000"/>
          <w:kern w:val="0"/>
          <w:sz w:val="32"/>
          <w:szCs w:val="32"/>
        </w:rPr>
        <w:t>社会保障和就业支出（类）行政事业单位养老支出（款）行政单位离退休（项）</w:t>
      </w:r>
      <w:r w:rsidRPr="00733C2D">
        <w:rPr>
          <w:rFonts w:ascii="仿宋_GB2312" w:eastAsia="仿宋_GB2312" w:hAnsi="仿宋_GB2312" w:cs="仿宋_GB2312"/>
          <w:color w:val="000000"/>
          <w:kern w:val="0"/>
          <w:sz w:val="32"/>
          <w:szCs w:val="32"/>
        </w:rPr>
        <w:t>:</w:t>
      </w:r>
      <w:r w:rsidRPr="00733C2D">
        <w:rPr>
          <w:rFonts w:ascii="仿宋_GB2312" w:eastAsia="仿宋_GB2312" w:hAnsi="仿宋_GB2312" w:cs="仿宋_GB2312" w:hint="eastAsia"/>
          <w:color w:val="000000"/>
          <w:kern w:val="0"/>
          <w:sz w:val="32"/>
          <w:szCs w:val="32"/>
        </w:rPr>
        <w:t>指行政单位开支的离退休经费。</w:t>
      </w:r>
    </w:p>
    <w:p w:rsidR="00CD550A" w:rsidRDefault="00CD550A" w:rsidP="00CD550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9.</w:t>
      </w:r>
      <w:r w:rsidRPr="00733C2D">
        <w:rPr>
          <w:rFonts w:ascii="仿宋_GB2312" w:eastAsia="仿宋_GB2312" w:hAnsi="仿宋_GB2312" w:cs="仿宋_GB2312" w:hint="eastAsia"/>
          <w:color w:val="000000"/>
          <w:kern w:val="0"/>
          <w:sz w:val="32"/>
          <w:szCs w:val="32"/>
        </w:rPr>
        <w:t>社会保障和就业支出（类）行政事业单位养老支出（款）机关事业单位基本养老保险缴费支出（项）</w:t>
      </w:r>
      <w:r w:rsidRPr="00733C2D">
        <w:rPr>
          <w:rFonts w:ascii="仿宋_GB2312" w:eastAsia="仿宋_GB2312" w:hAnsi="仿宋_GB2312" w:cs="仿宋_GB2312"/>
          <w:color w:val="000000"/>
          <w:kern w:val="0"/>
          <w:sz w:val="32"/>
          <w:szCs w:val="32"/>
        </w:rPr>
        <w:t>:</w:t>
      </w:r>
      <w:r w:rsidRPr="00733C2D">
        <w:rPr>
          <w:rFonts w:ascii="仿宋_GB2312" w:eastAsia="仿宋_GB2312" w:hAnsi="仿宋_GB2312" w:cs="仿宋_GB2312" w:hint="eastAsia"/>
          <w:color w:val="000000"/>
          <w:kern w:val="0"/>
          <w:sz w:val="32"/>
          <w:szCs w:val="32"/>
        </w:rPr>
        <w:t>指机关事业单位实施养老保险制度由单位缴纳的基本养老保险费支出。</w:t>
      </w:r>
    </w:p>
    <w:p w:rsidR="00CD550A" w:rsidRPr="0075107B" w:rsidRDefault="00CD550A" w:rsidP="00CD550A">
      <w:pPr>
        <w:ind w:firstLineChars="200" w:firstLine="640"/>
        <w:rPr>
          <w:rFonts w:ascii="仿宋_GB2312" w:eastAsia="仿宋_GB2312" w:hAnsi="仿宋_GB2312" w:cs="仿宋_GB2312"/>
          <w:color w:val="000000"/>
          <w:kern w:val="0"/>
          <w:sz w:val="32"/>
          <w:szCs w:val="32"/>
        </w:rPr>
      </w:pPr>
      <w:r w:rsidRPr="0075107B">
        <w:rPr>
          <w:rFonts w:ascii="仿宋_GB2312" w:eastAsia="仿宋_GB2312" w:hAnsi="仿宋_GB2312" w:cs="仿宋_GB2312" w:hint="eastAsia"/>
          <w:color w:val="000000"/>
          <w:kern w:val="0"/>
          <w:sz w:val="32"/>
          <w:szCs w:val="32"/>
        </w:rPr>
        <w:t>10.</w:t>
      </w:r>
      <w:r w:rsidR="00565924" w:rsidRPr="00733C2D">
        <w:rPr>
          <w:rFonts w:ascii="仿宋_GB2312" w:eastAsia="仿宋_GB2312" w:hAnsi="仿宋_GB2312" w:cs="仿宋_GB2312" w:hint="eastAsia"/>
          <w:color w:val="000000"/>
          <w:kern w:val="0"/>
          <w:sz w:val="32"/>
          <w:szCs w:val="32"/>
        </w:rPr>
        <w:t>社会保障</w:t>
      </w:r>
      <w:r w:rsidRPr="0075107B">
        <w:rPr>
          <w:rFonts w:ascii="仿宋_GB2312" w:eastAsia="仿宋_GB2312" w:hAnsi="仿宋_GB2312" w:cs="仿宋_GB2312" w:hint="eastAsia"/>
          <w:color w:val="000000"/>
          <w:kern w:val="0"/>
          <w:sz w:val="32"/>
          <w:szCs w:val="32"/>
        </w:rPr>
        <w:t>和就业支出（类）行政事业单位养老支出（款）机关事业单位职业年金缴费支出（项）</w:t>
      </w:r>
      <w:r w:rsidRPr="0075107B">
        <w:rPr>
          <w:rFonts w:ascii="仿宋_GB2312" w:eastAsia="仿宋_GB2312" w:hAnsi="仿宋_GB2312" w:cs="仿宋_GB2312"/>
          <w:color w:val="000000"/>
          <w:kern w:val="0"/>
          <w:sz w:val="32"/>
          <w:szCs w:val="32"/>
        </w:rPr>
        <w:t>:</w:t>
      </w:r>
      <w:r w:rsidRPr="0075107B">
        <w:rPr>
          <w:rFonts w:ascii="仿宋_GB2312" w:eastAsia="仿宋_GB2312" w:hAnsi="仿宋_GB2312" w:cs="仿宋_GB2312" w:hint="eastAsia"/>
          <w:color w:val="000000"/>
          <w:kern w:val="0"/>
          <w:sz w:val="32"/>
          <w:szCs w:val="32"/>
        </w:rPr>
        <w:t>指机关事业</w:t>
      </w:r>
      <w:r w:rsidRPr="0075107B">
        <w:rPr>
          <w:rFonts w:ascii="仿宋_GB2312" w:eastAsia="仿宋_GB2312" w:hAnsi="仿宋_GB2312" w:cs="仿宋_GB2312" w:hint="eastAsia"/>
          <w:color w:val="000000"/>
          <w:kern w:val="0"/>
          <w:sz w:val="32"/>
          <w:szCs w:val="32"/>
        </w:rPr>
        <w:lastRenderedPageBreak/>
        <w:t>单位实施养老保险制度由单位实际缴纳的职业年金支出。</w:t>
      </w:r>
    </w:p>
    <w:p w:rsidR="00CD550A" w:rsidRDefault="00CD550A" w:rsidP="00CD550A">
      <w:pPr>
        <w:pStyle w:val="a0"/>
        <w:spacing w:before="93"/>
        <w:ind w:firstLineChars="200" w:firstLine="640"/>
        <w:rPr>
          <w:rFonts w:hAnsi="仿宋_GB2312" w:cs="仿宋_GB2312"/>
          <w:color w:val="000000"/>
          <w:sz w:val="32"/>
          <w:szCs w:val="32"/>
        </w:rPr>
      </w:pPr>
      <w:r w:rsidRPr="00972EFD">
        <w:rPr>
          <w:rFonts w:hAnsi="仿宋_GB2312" w:cs="仿宋_GB2312" w:hint="eastAsia"/>
          <w:color w:val="000000"/>
          <w:sz w:val="32"/>
          <w:szCs w:val="32"/>
        </w:rPr>
        <w:t>11.</w:t>
      </w:r>
      <w:r w:rsidRPr="00733C2D">
        <w:rPr>
          <w:rFonts w:hAnsi="仿宋_GB2312" w:cs="仿宋_GB2312" w:hint="eastAsia"/>
          <w:color w:val="000000"/>
          <w:sz w:val="32"/>
          <w:szCs w:val="32"/>
        </w:rPr>
        <w:t>社会保障和就业支出（类）</w:t>
      </w:r>
      <w:r>
        <w:rPr>
          <w:rFonts w:hAnsi="仿宋_GB2312" w:cs="仿宋_GB2312" w:hint="eastAsia"/>
          <w:color w:val="000000"/>
          <w:sz w:val="32"/>
          <w:szCs w:val="32"/>
        </w:rPr>
        <w:t>抚恤（款）死亡抚恤（项）：指按规定用于烈士和牺牲、病故人员家属的一次性和定期抚恤金、丧葬补助费以及烈士褒扬金。</w:t>
      </w:r>
    </w:p>
    <w:p w:rsidR="00CD550A" w:rsidRPr="00972EFD" w:rsidRDefault="00CD550A" w:rsidP="00CD550A">
      <w:pPr>
        <w:pStyle w:val="a0"/>
        <w:spacing w:before="93"/>
        <w:ind w:firstLineChars="200" w:firstLine="640"/>
        <w:rPr>
          <w:rFonts w:hAnsi="仿宋_GB2312" w:cs="仿宋_GB2312"/>
          <w:color w:val="000000"/>
          <w:sz w:val="32"/>
          <w:szCs w:val="32"/>
        </w:rPr>
      </w:pPr>
      <w:r>
        <w:rPr>
          <w:rFonts w:hAnsi="仿宋_GB2312" w:cs="仿宋_GB2312" w:hint="eastAsia"/>
          <w:color w:val="000000"/>
          <w:sz w:val="32"/>
          <w:szCs w:val="32"/>
        </w:rPr>
        <w:t>12.</w:t>
      </w:r>
      <w:r w:rsidRPr="00733C2D">
        <w:rPr>
          <w:rFonts w:hAnsi="仿宋_GB2312" w:cs="仿宋_GB2312" w:hint="eastAsia"/>
          <w:color w:val="000000"/>
          <w:sz w:val="32"/>
          <w:szCs w:val="32"/>
        </w:rPr>
        <w:t>社会保障和就业支出（类）</w:t>
      </w:r>
      <w:r>
        <w:rPr>
          <w:rFonts w:hAnsi="仿宋_GB2312" w:cs="仿宋_GB2312" w:hint="eastAsia"/>
          <w:color w:val="000000"/>
          <w:sz w:val="32"/>
          <w:szCs w:val="32"/>
        </w:rPr>
        <w:t>抚恤（款）伤残抚恤（项）：指按规定用于伤残人员的抚恤金和按规定开支的各种伤残补助费。</w:t>
      </w:r>
    </w:p>
    <w:p w:rsidR="00CD550A" w:rsidRPr="00733C2D" w:rsidRDefault="00CD550A" w:rsidP="00CD550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13.社</w:t>
      </w:r>
      <w:r w:rsidRPr="00733C2D">
        <w:rPr>
          <w:rFonts w:ascii="仿宋_GB2312" w:eastAsia="仿宋_GB2312" w:hAnsi="仿宋_GB2312" w:cs="仿宋_GB2312" w:hint="eastAsia"/>
          <w:color w:val="000000"/>
          <w:kern w:val="0"/>
          <w:sz w:val="32"/>
          <w:szCs w:val="32"/>
        </w:rPr>
        <w:t>会保障和就业支出（类）其他社会保障和就业支出（款）其他社会保障和就业支出（项）</w:t>
      </w:r>
      <w:r w:rsidRPr="00733C2D">
        <w:rPr>
          <w:rFonts w:ascii="仿宋_GB2312" w:eastAsia="仿宋_GB2312" w:hAnsi="仿宋_GB2312" w:cs="仿宋_GB2312"/>
          <w:color w:val="000000"/>
          <w:kern w:val="0"/>
          <w:sz w:val="32"/>
          <w:szCs w:val="32"/>
        </w:rPr>
        <w:t>:</w:t>
      </w:r>
      <w:r w:rsidRPr="00733C2D">
        <w:rPr>
          <w:rFonts w:ascii="仿宋_GB2312" w:eastAsia="仿宋_GB2312" w:hAnsi="仿宋_GB2312" w:cs="仿宋_GB2312" w:hint="eastAsia"/>
          <w:color w:val="000000"/>
          <w:kern w:val="0"/>
          <w:sz w:val="32"/>
          <w:szCs w:val="32"/>
        </w:rPr>
        <w:t>指其他用于社会保障和就业方面的支出。</w:t>
      </w:r>
    </w:p>
    <w:p w:rsidR="00CD550A" w:rsidRPr="00733C2D" w:rsidRDefault="00CD550A" w:rsidP="00CD550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14.卫生</w:t>
      </w:r>
      <w:r w:rsidRPr="00733C2D">
        <w:rPr>
          <w:rFonts w:ascii="仿宋_GB2312" w:eastAsia="仿宋_GB2312" w:hAnsi="仿宋_GB2312" w:cs="仿宋_GB2312" w:hint="eastAsia"/>
          <w:color w:val="000000"/>
          <w:kern w:val="0"/>
          <w:sz w:val="32"/>
          <w:szCs w:val="32"/>
        </w:rPr>
        <w:t>健康支出（类）行政事业单位医疗（款）行政单位医疗（项）</w:t>
      </w:r>
      <w:r w:rsidRPr="00733C2D">
        <w:rPr>
          <w:rFonts w:ascii="仿宋_GB2312" w:eastAsia="仿宋_GB2312" w:hAnsi="仿宋_GB2312" w:cs="仿宋_GB2312"/>
          <w:color w:val="000000"/>
          <w:kern w:val="0"/>
          <w:sz w:val="32"/>
          <w:szCs w:val="32"/>
        </w:rPr>
        <w:t>:</w:t>
      </w:r>
      <w:r w:rsidRPr="00733C2D">
        <w:rPr>
          <w:rFonts w:ascii="仿宋_GB2312" w:eastAsia="仿宋_GB2312" w:hAnsi="仿宋_GB2312" w:cs="仿宋_GB2312" w:hint="eastAsia"/>
          <w:color w:val="000000"/>
          <w:kern w:val="0"/>
          <w:sz w:val="32"/>
          <w:szCs w:val="32"/>
        </w:rPr>
        <w:t>指财政部门安排的行政单位基本医疗保险缴费经费，未参加医疗保险的行政单位的公费医疗经费，按国家规定享受离休人员、红军老战士待遇人员的医疗经费。</w:t>
      </w:r>
    </w:p>
    <w:p w:rsidR="00CD550A" w:rsidRPr="00733C2D" w:rsidRDefault="00CD550A" w:rsidP="00CD550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15</w:t>
      </w:r>
      <w:r w:rsidRPr="00733C2D">
        <w:rPr>
          <w:rFonts w:ascii="仿宋_GB2312" w:eastAsia="仿宋_GB2312" w:hAnsi="仿宋_GB2312" w:cs="仿宋_GB2312" w:hint="eastAsia"/>
          <w:color w:val="000000"/>
          <w:kern w:val="0"/>
          <w:sz w:val="32"/>
          <w:szCs w:val="32"/>
        </w:rPr>
        <w:t>.卫生健康支出（类）行政事业单位医疗（款）公务员医疗补助（项）</w:t>
      </w:r>
      <w:r w:rsidRPr="00733C2D">
        <w:rPr>
          <w:rFonts w:ascii="仿宋_GB2312" w:eastAsia="仿宋_GB2312" w:hAnsi="仿宋_GB2312" w:cs="仿宋_GB2312"/>
          <w:color w:val="000000"/>
          <w:kern w:val="0"/>
          <w:sz w:val="32"/>
          <w:szCs w:val="32"/>
        </w:rPr>
        <w:t>:</w:t>
      </w:r>
      <w:r w:rsidRPr="00733C2D">
        <w:rPr>
          <w:rFonts w:ascii="仿宋_GB2312" w:eastAsia="仿宋_GB2312" w:hAnsi="仿宋_GB2312" w:cs="仿宋_GB2312" w:hint="eastAsia"/>
          <w:color w:val="000000"/>
          <w:kern w:val="0"/>
          <w:sz w:val="32"/>
          <w:szCs w:val="32"/>
        </w:rPr>
        <w:t>指财政部门安排的公务员医疗补助经费。</w:t>
      </w:r>
    </w:p>
    <w:p w:rsidR="00CD550A" w:rsidRPr="00733C2D" w:rsidRDefault="00CD550A" w:rsidP="00CD550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16</w:t>
      </w:r>
      <w:r w:rsidRPr="00733C2D">
        <w:rPr>
          <w:rFonts w:ascii="仿宋_GB2312" w:eastAsia="仿宋_GB2312" w:hAnsi="仿宋_GB2312" w:cs="仿宋_GB2312" w:hint="eastAsia"/>
          <w:color w:val="000000"/>
          <w:kern w:val="0"/>
          <w:sz w:val="32"/>
          <w:szCs w:val="32"/>
        </w:rPr>
        <w:t>.住房保障支出（类）住房改革支出（款）住房公积金（项）：指行政事业单位按人力资源和社会保障部、财政部规定的基本工资和津补贴以及规定比例为职工缴纳的住房公积金。</w:t>
      </w:r>
    </w:p>
    <w:p w:rsidR="00CD550A" w:rsidRPr="00733C2D" w:rsidRDefault="00CD550A" w:rsidP="00CD550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17</w:t>
      </w:r>
      <w:r w:rsidRPr="00733C2D">
        <w:rPr>
          <w:rFonts w:ascii="仿宋_GB2312" w:eastAsia="仿宋_GB2312" w:hAnsi="仿宋_GB2312" w:cs="仿宋_GB2312" w:hint="eastAsia"/>
          <w:color w:val="000000"/>
          <w:kern w:val="0"/>
          <w:sz w:val="32"/>
          <w:szCs w:val="32"/>
        </w:rPr>
        <w:t>.住房保障支出（类）住房改革支出（款）购房补贴（项）：按房改政策规定，行政事业单位向符合条件职工（含</w:t>
      </w:r>
      <w:r w:rsidRPr="00733C2D">
        <w:rPr>
          <w:rFonts w:ascii="仿宋_GB2312" w:eastAsia="仿宋_GB2312" w:hAnsi="仿宋_GB2312" w:cs="仿宋_GB2312" w:hint="eastAsia"/>
          <w:color w:val="000000"/>
          <w:kern w:val="0"/>
          <w:sz w:val="32"/>
          <w:szCs w:val="32"/>
        </w:rPr>
        <w:lastRenderedPageBreak/>
        <w:t>离退休人员）发放的用于购买住房的补贴。</w:t>
      </w:r>
    </w:p>
    <w:p w:rsidR="00CD550A" w:rsidRDefault="00CD550A" w:rsidP="00CD550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18.基本支出：指为保障机构正常运转、完成日常工作任务而发生的人员支出和公用支出。</w:t>
      </w:r>
    </w:p>
    <w:p w:rsidR="00CD550A" w:rsidRDefault="00CD550A" w:rsidP="00CD550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19.项目支出：指在基本支出之外为完成特定行政任务和事业发展目标所发生的支出。</w:t>
      </w:r>
    </w:p>
    <w:p w:rsidR="00CD550A" w:rsidRDefault="00CD550A" w:rsidP="00CD550A">
      <w:pPr>
        <w:pStyle w:val="Default"/>
        <w:spacing w:line="56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20.“三公”经费：指单位用财政拨款安排的因公出国（境）费、公务用车购置及运行费和公务接待费。其中，因公出国（境）</w:t>
      </w:r>
      <w:proofErr w:type="gramStart"/>
      <w:r>
        <w:rPr>
          <w:rFonts w:ascii="仿宋_GB2312" w:eastAsia="仿宋_GB2312" w:hAnsi="仿宋_GB2312" w:cs="仿宋_GB2312" w:hint="eastAsia"/>
          <w:color w:val="auto"/>
          <w:sz w:val="32"/>
          <w:szCs w:val="32"/>
        </w:rPr>
        <w:t>费反映</w:t>
      </w:r>
      <w:proofErr w:type="gramEnd"/>
      <w:r>
        <w:rPr>
          <w:rFonts w:ascii="仿宋_GB2312" w:eastAsia="仿宋_GB2312" w:hAnsi="仿宋_GB2312" w:cs="仿宋_GB2312" w:hint="eastAsia"/>
          <w:color w:val="auto"/>
          <w:sz w:val="32"/>
          <w:szCs w:val="32"/>
        </w:rPr>
        <w:t>单位公务出国（境）的国际旅费、国外城市间交通费、住宿费、伙食费、培训费、公杂费等支出；公务用车购置及运行</w:t>
      </w:r>
      <w:proofErr w:type="gramStart"/>
      <w:r>
        <w:rPr>
          <w:rFonts w:ascii="仿宋_GB2312" w:eastAsia="仿宋_GB2312" w:hAnsi="仿宋_GB2312" w:cs="仿宋_GB2312" w:hint="eastAsia"/>
          <w:color w:val="auto"/>
          <w:sz w:val="32"/>
          <w:szCs w:val="32"/>
        </w:rPr>
        <w:t>费反映</w:t>
      </w:r>
      <w:proofErr w:type="gramEnd"/>
      <w:r>
        <w:rPr>
          <w:rFonts w:ascii="仿宋_GB2312" w:eastAsia="仿宋_GB2312" w:hAnsi="仿宋_GB2312" w:cs="仿宋_GB2312" w:hint="eastAsia"/>
          <w:color w:val="auto"/>
          <w:sz w:val="32"/>
          <w:szCs w:val="32"/>
        </w:rPr>
        <w:t>单位公务用车车辆购置支出（</w:t>
      </w:r>
      <w:proofErr w:type="gramStart"/>
      <w:r>
        <w:rPr>
          <w:rFonts w:ascii="仿宋_GB2312" w:eastAsia="仿宋_GB2312" w:hAnsi="仿宋_GB2312" w:cs="仿宋_GB2312" w:hint="eastAsia"/>
          <w:color w:val="auto"/>
          <w:sz w:val="32"/>
          <w:szCs w:val="32"/>
        </w:rPr>
        <w:t>含车辆</w:t>
      </w:r>
      <w:proofErr w:type="gramEnd"/>
      <w:r>
        <w:rPr>
          <w:rFonts w:ascii="仿宋_GB2312" w:eastAsia="仿宋_GB2312" w:hAnsi="仿宋_GB2312" w:cs="仿宋_GB2312" w:hint="eastAsia"/>
          <w:color w:val="auto"/>
          <w:sz w:val="32"/>
          <w:szCs w:val="32"/>
        </w:rPr>
        <w:t>购置税）及租用费、燃料费、维修费、过路过桥费、保险费等支出；公务接待</w:t>
      </w:r>
      <w:proofErr w:type="gramStart"/>
      <w:r>
        <w:rPr>
          <w:rFonts w:ascii="仿宋_GB2312" w:eastAsia="仿宋_GB2312" w:hAnsi="仿宋_GB2312" w:cs="仿宋_GB2312" w:hint="eastAsia"/>
          <w:color w:val="auto"/>
          <w:sz w:val="32"/>
          <w:szCs w:val="32"/>
        </w:rPr>
        <w:t>费反映</w:t>
      </w:r>
      <w:proofErr w:type="gramEnd"/>
      <w:r>
        <w:rPr>
          <w:rFonts w:ascii="仿宋_GB2312" w:eastAsia="仿宋_GB2312" w:hAnsi="仿宋_GB2312" w:cs="仿宋_GB2312" w:hint="eastAsia"/>
          <w:color w:val="auto"/>
          <w:sz w:val="32"/>
          <w:szCs w:val="32"/>
        </w:rPr>
        <w:t>单位按规定开支的各类公务接待（含外宾接待）支出。</w:t>
      </w:r>
    </w:p>
    <w:p w:rsidR="002738F5" w:rsidRDefault="00CD550A" w:rsidP="00CD550A">
      <w:pPr>
        <w:pStyle w:val="Default"/>
        <w:spacing w:line="56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21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738F5" w:rsidRDefault="00FA2CBF">
      <w:pPr>
        <w:spacing w:line="600" w:lineRule="exact"/>
        <w:jc w:val="center"/>
        <w:outlineLvl w:val="0"/>
        <w:rPr>
          <w:rStyle w:val="1Char"/>
          <w:rFonts w:ascii="黑体" w:eastAsia="黑体" w:hAnsi="黑体"/>
          <w:b w:val="0"/>
        </w:rPr>
      </w:pPr>
      <w:bookmarkStart w:id="52" w:name="_Toc15377226"/>
      <w:r>
        <w:rPr>
          <w:rFonts w:ascii="宋体"/>
          <w:b/>
          <w:sz w:val="44"/>
          <w:szCs w:val="44"/>
        </w:rPr>
        <w:br w:type="page"/>
      </w:r>
      <w:bookmarkStart w:id="53" w:name="_Toc15396614"/>
      <w:r w:rsidRPr="00FA2CBF">
        <w:rPr>
          <w:rFonts w:ascii="黑体" w:eastAsia="黑体" w:hAnsi="黑体" w:hint="eastAsia"/>
          <w:sz w:val="44"/>
          <w:szCs w:val="44"/>
        </w:rPr>
        <w:lastRenderedPageBreak/>
        <w:t>第</w:t>
      </w:r>
      <w:r w:rsidRPr="00FA2CBF">
        <w:rPr>
          <w:rStyle w:val="1Char"/>
          <w:rFonts w:ascii="黑体" w:eastAsia="黑体" w:hAnsi="黑体" w:hint="eastAsia"/>
          <w:b w:val="0"/>
        </w:rPr>
        <w:t>四部分附件</w:t>
      </w:r>
      <w:bookmarkEnd w:id="53"/>
    </w:p>
    <w:p w:rsidR="002738F5" w:rsidRDefault="00FA2CBF">
      <w:pPr>
        <w:spacing w:line="572" w:lineRule="exact"/>
        <w:jc w:val="left"/>
        <w:outlineLvl w:val="0"/>
        <w:rPr>
          <w:rFonts w:ascii="仿宋_GB2312" w:eastAsia="仿宋_GB2312" w:hAnsi="仿宋_GB2312" w:cs="仿宋_GB2312"/>
          <w:sz w:val="32"/>
          <w:szCs w:val="32"/>
        </w:rPr>
      </w:pPr>
      <w:r>
        <w:rPr>
          <w:rFonts w:ascii="黑体" w:eastAsia="黑体" w:hAnsi="黑体" w:cs="黑体" w:hint="eastAsia"/>
          <w:sz w:val="32"/>
          <w:szCs w:val="32"/>
        </w:rPr>
        <w:t>附件</w:t>
      </w: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976"/>
        <w:gridCol w:w="1142"/>
        <w:gridCol w:w="1635"/>
        <w:gridCol w:w="1189"/>
        <w:gridCol w:w="1224"/>
        <w:gridCol w:w="2409"/>
        <w:gridCol w:w="236"/>
      </w:tblGrid>
      <w:tr w:rsidR="002738F5">
        <w:trPr>
          <w:trHeight w:val="675"/>
        </w:trPr>
        <w:tc>
          <w:tcPr>
            <w:tcW w:w="9577" w:type="dxa"/>
            <w:gridSpan w:val="6"/>
            <w:tcBorders>
              <w:top w:val="nil"/>
              <w:left w:val="nil"/>
              <w:bottom w:val="nil"/>
              <w:right w:val="nil"/>
            </w:tcBorders>
            <w:vAlign w:val="center"/>
          </w:tcPr>
          <w:p w:rsidR="002738F5" w:rsidRDefault="00FA2CBF">
            <w:pPr>
              <w:widowControl/>
              <w:textAlignment w:val="center"/>
              <w:rPr>
                <w:rFonts w:ascii="宋体" w:cs="宋体"/>
                <w:b/>
                <w:sz w:val="32"/>
                <w:szCs w:val="32"/>
              </w:rPr>
            </w:pPr>
            <w:bookmarkStart w:id="54" w:name="_Toc15396618"/>
            <w:r>
              <w:rPr>
                <w:rFonts w:ascii="宋体" w:hAnsi="宋体" w:cs="宋体"/>
                <w:b/>
                <w:sz w:val="32"/>
                <w:szCs w:val="32"/>
              </w:rPr>
              <w:t>2021</w:t>
            </w:r>
            <w:r>
              <w:rPr>
                <w:rFonts w:ascii="宋体" w:hAnsi="宋体" w:cs="宋体" w:hint="eastAsia"/>
                <w:b/>
                <w:sz w:val="32"/>
                <w:szCs w:val="32"/>
              </w:rPr>
              <w:t>年</w:t>
            </w:r>
            <w:r>
              <w:rPr>
                <w:rFonts w:ascii="宋体" w:hAnsi="宋体" w:cs="宋体"/>
                <w:b/>
                <w:sz w:val="32"/>
                <w:szCs w:val="32"/>
              </w:rPr>
              <w:t>100</w:t>
            </w:r>
            <w:r>
              <w:rPr>
                <w:rFonts w:ascii="宋体" w:hAnsi="宋体" w:cs="宋体" w:hint="eastAsia"/>
                <w:b/>
                <w:sz w:val="32"/>
                <w:szCs w:val="32"/>
              </w:rPr>
              <w:t>万元以上（含）特定目标类部门预算项目绩效目标自评</w:t>
            </w:r>
          </w:p>
        </w:tc>
        <w:tc>
          <w:tcPr>
            <w:tcW w:w="234" w:type="dxa"/>
            <w:tcBorders>
              <w:top w:val="nil"/>
              <w:left w:val="nil"/>
              <w:bottom w:val="nil"/>
              <w:right w:val="nil"/>
            </w:tcBorders>
            <w:vAlign w:val="center"/>
          </w:tcPr>
          <w:p w:rsidR="002738F5" w:rsidRDefault="002738F5">
            <w:pPr>
              <w:widowControl/>
              <w:jc w:val="center"/>
              <w:textAlignment w:val="center"/>
              <w:rPr>
                <w:rFonts w:ascii="宋体" w:cs="宋体"/>
                <w:b/>
                <w:kern w:val="0"/>
                <w:sz w:val="32"/>
                <w:szCs w:val="32"/>
              </w:rPr>
            </w:pPr>
          </w:p>
        </w:tc>
      </w:tr>
      <w:tr w:rsidR="002738F5">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2738F5" w:rsidRDefault="00FA2CBF">
            <w:pPr>
              <w:widowControl/>
              <w:spacing w:line="320" w:lineRule="exact"/>
              <w:jc w:val="center"/>
              <w:textAlignment w:val="center"/>
              <w:rPr>
                <w:rFonts w:asci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vAlign w:val="center"/>
          </w:tcPr>
          <w:p w:rsidR="002738F5" w:rsidRDefault="002738F5">
            <w:pPr>
              <w:widowControl/>
              <w:spacing w:line="320" w:lineRule="exact"/>
              <w:textAlignment w:val="center"/>
              <w:rPr>
                <w:rFonts w:ascii="宋体" w:cs="宋体"/>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2738F5" w:rsidRDefault="00FA2CBF">
            <w:pPr>
              <w:widowControl/>
              <w:spacing w:line="320" w:lineRule="exact"/>
              <w:jc w:val="center"/>
              <w:textAlignment w:val="center"/>
              <w:rPr>
                <w:rFonts w:ascii="宋体" w:cs="宋体"/>
                <w:sz w:val="24"/>
              </w:rPr>
            </w:pPr>
            <w:r>
              <w:rPr>
                <w:rFonts w:ascii="宋体" w:hAns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vAlign w:val="center"/>
          </w:tcPr>
          <w:p w:rsidR="002738F5" w:rsidRDefault="002738F5">
            <w:pPr>
              <w:widowControl/>
              <w:spacing w:line="320" w:lineRule="exact"/>
              <w:jc w:val="center"/>
              <w:textAlignment w:val="center"/>
              <w:rPr>
                <w:rFonts w:ascii="宋体" w:cs="宋体"/>
                <w:sz w:val="24"/>
              </w:rPr>
            </w:pPr>
          </w:p>
        </w:tc>
      </w:tr>
      <w:tr w:rsidR="002738F5">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vAlign w:val="center"/>
          </w:tcPr>
          <w:p w:rsidR="002738F5" w:rsidRDefault="00FA2CBF">
            <w:pPr>
              <w:widowControl/>
              <w:spacing w:line="320" w:lineRule="exact"/>
              <w:jc w:val="center"/>
              <w:textAlignment w:val="center"/>
              <w:rPr>
                <w:rFonts w:ascii="宋体" w:cs="宋体"/>
                <w:sz w:val="24"/>
              </w:rPr>
            </w:pPr>
            <w:r>
              <w:rPr>
                <w:rFonts w:ascii="宋体" w:hAnsi="宋体" w:cs="宋体" w:hint="eastAsia"/>
                <w:kern w:val="0"/>
                <w:sz w:val="24"/>
              </w:rPr>
              <w:t>项目预算</w:t>
            </w:r>
            <w:r>
              <w:rPr>
                <w:rFonts w:ascii="宋体" w:cs="宋体"/>
                <w:kern w:val="0"/>
                <w:sz w:val="24"/>
              </w:rPr>
              <w:br/>
            </w:r>
            <w:r>
              <w:rPr>
                <w:rFonts w:ascii="宋体" w:hAnsi="宋体" w:cs="宋体" w:hint="eastAsia"/>
                <w:kern w:val="0"/>
                <w:sz w:val="24"/>
              </w:rPr>
              <w:t>执行情况</w:t>
            </w:r>
            <w:r>
              <w:rPr>
                <w:rFonts w:ascii="宋体" w:cs="宋体"/>
                <w:kern w:val="0"/>
                <w:sz w:val="24"/>
              </w:rPr>
              <w:br/>
            </w: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vAlign w:val="center"/>
          </w:tcPr>
          <w:p w:rsidR="002738F5" w:rsidRDefault="00FA2CBF">
            <w:pPr>
              <w:widowControl/>
              <w:spacing w:line="320" w:lineRule="exact"/>
              <w:jc w:val="left"/>
              <w:textAlignment w:val="center"/>
              <w:rPr>
                <w:rFonts w:ascii="宋体" w:cs="宋体"/>
                <w:sz w:val="24"/>
              </w:rPr>
            </w:pPr>
            <w:r>
              <w:rPr>
                <w:rFonts w:ascii="宋体" w:hAnsi="宋体" w:cs="宋体"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vAlign w:val="center"/>
          </w:tcPr>
          <w:p w:rsidR="002738F5" w:rsidRDefault="002738F5">
            <w:pPr>
              <w:widowControl/>
              <w:spacing w:line="320" w:lineRule="exact"/>
              <w:jc w:val="left"/>
              <w:textAlignment w:val="center"/>
              <w:rPr>
                <w:rFonts w:ascii="宋体" w:cs="宋体"/>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2738F5" w:rsidRDefault="00FA2CBF">
            <w:pPr>
              <w:widowControl/>
              <w:spacing w:line="320" w:lineRule="exact"/>
              <w:jc w:val="left"/>
              <w:textAlignment w:val="center"/>
              <w:rPr>
                <w:rFonts w:ascii="宋体" w:cs="宋体"/>
                <w:sz w:val="24"/>
              </w:rPr>
            </w:pPr>
            <w:r>
              <w:rPr>
                <w:rFonts w:ascii="宋体" w:hAnsi="宋体" w:cs="宋体" w:hint="eastAsia"/>
                <w:kern w:val="0"/>
                <w:sz w:val="24"/>
              </w:rPr>
              <w:t>执行数：</w:t>
            </w:r>
          </w:p>
        </w:tc>
        <w:tc>
          <w:tcPr>
            <w:tcW w:w="2410" w:type="dxa"/>
            <w:tcBorders>
              <w:top w:val="single" w:sz="4" w:space="0" w:color="000000"/>
              <w:left w:val="single" w:sz="4" w:space="0" w:color="000000"/>
              <w:bottom w:val="single" w:sz="4" w:space="0" w:color="000000"/>
              <w:right w:val="single" w:sz="4" w:space="0" w:color="000000"/>
            </w:tcBorders>
            <w:vAlign w:val="center"/>
          </w:tcPr>
          <w:p w:rsidR="002738F5" w:rsidRDefault="002738F5">
            <w:pPr>
              <w:widowControl/>
              <w:spacing w:line="320" w:lineRule="exact"/>
              <w:jc w:val="right"/>
              <w:textAlignment w:val="center"/>
              <w:rPr>
                <w:rFonts w:ascii="宋体" w:cs="宋体"/>
                <w:sz w:val="24"/>
              </w:rPr>
            </w:pPr>
          </w:p>
        </w:tc>
      </w:tr>
      <w:tr w:rsidR="002738F5">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vAlign w:val="center"/>
          </w:tcPr>
          <w:p w:rsidR="002738F5" w:rsidRDefault="002738F5">
            <w:pPr>
              <w:spacing w:line="320" w:lineRule="exact"/>
              <w:jc w:val="center"/>
              <w:rPr>
                <w:rFonts w:ascii="宋体" w:cs="宋体"/>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2738F5" w:rsidRDefault="00FA2CBF">
            <w:pPr>
              <w:widowControl/>
              <w:spacing w:line="320" w:lineRule="exact"/>
              <w:jc w:val="left"/>
              <w:textAlignment w:val="center"/>
              <w:rPr>
                <w:rFonts w:ascii="宋体" w:cs="宋体"/>
                <w:kern w:val="0"/>
                <w:sz w:val="24"/>
              </w:rPr>
            </w:pPr>
            <w:r>
              <w:rPr>
                <w:rFonts w:ascii="宋体" w:hAnsi="宋体" w:cs="宋体" w:hint="eastAsia"/>
                <w:kern w:val="0"/>
                <w:sz w:val="24"/>
              </w:rPr>
              <w:t>其中：</w:t>
            </w:r>
          </w:p>
          <w:p w:rsidR="002738F5" w:rsidRDefault="00FA2CBF">
            <w:pPr>
              <w:widowControl/>
              <w:spacing w:line="320" w:lineRule="exact"/>
              <w:jc w:val="left"/>
              <w:textAlignment w:val="center"/>
              <w:rPr>
                <w:rFonts w:asci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vAlign w:val="center"/>
          </w:tcPr>
          <w:p w:rsidR="002738F5" w:rsidRDefault="002738F5">
            <w:pPr>
              <w:widowControl/>
              <w:spacing w:line="320" w:lineRule="exact"/>
              <w:jc w:val="left"/>
              <w:textAlignment w:val="center"/>
              <w:rPr>
                <w:rFonts w:ascii="宋体" w:cs="宋体"/>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2738F5" w:rsidRDefault="00FA2CBF">
            <w:pPr>
              <w:widowControl/>
              <w:spacing w:line="320" w:lineRule="exact"/>
              <w:jc w:val="left"/>
              <w:textAlignment w:val="center"/>
              <w:rPr>
                <w:rFonts w:ascii="宋体" w:cs="宋体"/>
                <w:kern w:val="0"/>
                <w:sz w:val="24"/>
              </w:rPr>
            </w:pPr>
            <w:r>
              <w:rPr>
                <w:rFonts w:ascii="宋体" w:hAnsi="宋体" w:cs="宋体" w:hint="eastAsia"/>
                <w:kern w:val="0"/>
                <w:sz w:val="24"/>
              </w:rPr>
              <w:t>其中：</w:t>
            </w:r>
          </w:p>
          <w:p w:rsidR="002738F5" w:rsidRDefault="00FA2CBF">
            <w:pPr>
              <w:widowControl/>
              <w:spacing w:line="320" w:lineRule="exact"/>
              <w:jc w:val="left"/>
              <w:textAlignment w:val="center"/>
              <w:rPr>
                <w:rFonts w:ascii="宋体" w:cs="宋体"/>
                <w:sz w:val="24"/>
              </w:rPr>
            </w:pPr>
            <w:r>
              <w:rPr>
                <w:rFonts w:ascii="宋体" w:hAns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vAlign w:val="center"/>
          </w:tcPr>
          <w:p w:rsidR="002738F5" w:rsidRDefault="002738F5">
            <w:pPr>
              <w:widowControl/>
              <w:spacing w:line="320" w:lineRule="exact"/>
              <w:textAlignment w:val="center"/>
              <w:rPr>
                <w:rFonts w:ascii="宋体" w:cs="宋体"/>
                <w:sz w:val="24"/>
              </w:rPr>
            </w:pPr>
          </w:p>
        </w:tc>
      </w:tr>
      <w:tr w:rsidR="002738F5">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vAlign w:val="center"/>
          </w:tcPr>
          <w:p w:rsidR="002738F5" w:rsidRDefault="002738F5">
            <w:pPr>
              <w:spacing w:line="320" w:lineRule="exact"/>
              <w:jc w:val="center"/>
              <w:rPr>
                <w:rFonts w:ascii="宋体" w:cs="宋体"/>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2738F5" w:rsidRDefault="00FA2CBF">
            <w:pPr>
              <w:widowControl/>
              <w:spacing w:line="320" w:lineRule="exact"/>
              <w:jc w:val="left"/>
              <w:textAlignment w:val="center"/>
              <w:rPr>
                <w:rFonts w:asci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vAlign w:val="center"/>
          </w:tcPr>
          <w:p w:rsidR="002738F5" w:rsidRDefault="002738F5">
            <w:pPr>
              <w:widowControl/>
              <w:spacing w:line="320" w:lineRule="exact"/>
              <w:jc w:val="left"/>
              <w:textAlignment w:val="center"/>
              <w:rPr>
                <w:rFonts w:ascii="宋体" w:cs="宋体"/>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2738F5" w:rsidRDefault="00FA2CBF">
            <w:pPr>
              <w:widowControl/>
              <w:spacing w:line="320" w:lineRule="exact"/>
              <w:jc w:val="left"/>
              <w:textAlignment w:val="center"/>
              <w:rPr>
                <w:rFonts w:ascii="宋体" w:cs="宋体"/>
                <w:sz w:val="24"/>
              </w:rPr>
            </w:pPr>
            <w:r>
              <w:rPr>
                <w:rFonts w:ascii="宋体" w:hAns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vAlign w:val="center"/>
          </w:tcPr>
          <w:p w:rsidR="002738F5" w:rsidRDefault="002738F5">
            <w:pPr>
              <w:widowControl/>
              <w:spacing w:line="320" w:lineRule="exact"/>
              <w:jc w:val="center"/>
              <w:textAlignment w:val="center"/>
              <w:rPr>
                <w:rFonts w:ascii="宋体" w:cs="宋体"/>
                <w:sz w:val="24"/>
              </w:rPr>
            </w:pPr>
          </w:p>
        </w:tc>
      </w:tr>
      <w:tr w:rsidR="002738F5">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vAlign w:val="center"/>
          </w:tcPr>
          <w:p w:rsidR="002738F5" w:rsidRDefault="00FA2CBF">
            <w:pPr>
              <w:widowControl/>
              <w:spacing w:line="320" w:lineRule="exact"/>
              <w:jc w:val="center"/>
              <w:textAlignment w:val="center"/>
              <w:rPr>
                <w:rFonts w:ascii="宋体" w:cs="宋体"/>
                <w:kern w:val="0"/>
                <w:sz w:val="24"/>
              </w:rPr>
            </w:pPr>
            <w:r>
              <w:rPr>
                <w:rFonts w:ascii="宋体" w:hAnsi="宋体" w:cs="宋体" w:hint="eastAsia"/>
                <w:kern w:val="0"/>
                <w:sz w:val="24"/>
              </w:rPr>
              <w:t>年度总体目标</w:t>
            </w:r>
          </w:p>
          <w:p w:rsidR="002738F5" w:rsidRDefault="00FA2CBF">
            <w:pPr>
              <w:widowControl/>
              <w:spacing w:line="320" w:lineRule="exact"/>
              <w:jc w:val="center"/>
              <w:textAlignment w:val="center"/>
              <w:rPr>
                <w:rFonts w:asci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vAlign w:val="center"/>
          </w:tcPr>
          <w:p w:rsidR="002738F5" w:rsidRDefault="00FA2CBF">
            <w:pPr>
              <w:widowControl/>
              <w:spacing w:line="320" w:lineRule="exact"/>
              <w:jc w:val="center"/>
              <w:textAlignment w:val="center"/>
              <w:rPr>
                <w:rFonts w:ascii="宋体" w:cs="宋体"/>
                <w:sz w:val="24"/>
              </w:rPr>
            </w:pPr>
            <w:r>
              <w:rPr>
                <w:rFonts w:ascii="宋体" w:hAnsi="宋体" w:cs="宋体"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vAlign w:val="center"/>
          </w:tcPr>
          <w:p w:rsidR="002738F5" w:rsidRDefault="00FA2CBF">
            <w:pPr>
              <w:widowControl/>
              <w:spacing w:line="320" w:lineRule="exact"/>
              <w:jc w:val="center"/>
              <w:textAlignment w:val="center"/>
              <w:rPr>
                <w:rFonts w:ascii="宋体" w:cs="宋体"/>
                <w:sz w:val="24"/>
              </w:rPr>
            </w:pPr>
            <w:r>
              <w:rPr>
                <w:rFonts w:ascii="宋体" w:hAnsi="宋体" w:cs="宋体" w:hint="eastAsia"/>
                <w:kern w:val="0"/>
                <w:sz w:val="24"/>
              </w:rPr>
              <w:t>目标实际完成情况</w:t>
            </w:r>
          </w:p>
        </w:tc>
      </w:tr>
      <w:tr w:rsidR="002738F5">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vAlign w:val="center"/>
          </w:tcPr>
          <w:p w:rsidR="002738F5" w:rsidRDefault="002738F5">
            <w:pPr>
              <w:spacing w:line="320" w:lineRule="exact"/>
              <w:jc w:val="center"/>
              <w:rPr>
                <w:rFonts w:asci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tcPr>
          <w:p w:rsidR="002738F5" w:rsidRDefault="002738F5">
            <w:pPr>
              <w:widowControl/>
              <w:spacing w:line="320" w:lineRule="exact"/>
              <w:jc w:val="left"/>
              <w:textAlignment w:val="top"/>
              <w:rPr>
                <w:rFonts w:ascii="宋体" w:cs="宋体"/>
                <w:sz w:val="24"/>
              </w:rPr>
            </w:pPr>
          </w:p>
        </w:tc>
        <w:tc>
          <w:tcPr>
            <w:tcW w:w="3634" w:type="dxa"/>
            <w:gridSpan w:val="2"/>
            <w:tcBorders>
              <w:top w:val="single" w:sz="4" w:space="0" w:color="000000"/>
              <w:left w:val="single" w:sz="4" w:space="0" w:color="000000"/>
              <w:bottom w:val="single" w:sz="4" w:space="0" w:color="000000"/>
              <w:right w:val="single" w:sz="4" w:space="0" w:color="000000"/>
            </w:tcBorders>
          </w:tcPr>
          <w:p w:rsidR="002738F5" w:rsidRDefault="002738F5">
            <w:pPr>
              <w:widowControl/>
              <w:spacing w:line="320" w:lineRule="exact"/>
              <w:jc w:val="left"/>
              <w:textAlignment w:val="top"/>
              <w:rPr>
                <w:rFonts w:ascii="宋体" w:cs="宋体"/>
                <w:sz w:val="24"/>
              </w:rPr>
            </w:pPr>
          </w:p>
        </w:tc>
      </w:tr>
      <w:tr w:rsidR="002738F5">
        <w:trPr>
          <w:gridAfter w:val="1"/>
          <w:wAfter w:w="234" w:type="dxa"/>
          <w:trHeight w:val="693"/>
        </w:trPr>
        <w:tc>
          <w:tcPr>
            <w:tcW w:w="1977" w:type="dxa"/>
            <w:vMerge w:val="restart"/>
            <w:tcBorders>
              <w:top w:val="single" w:sz="4" w:space="0" w:color="000000"/>
              <w:left w:val="single" w:sz="4" w:space="0" w:color="000000"/>
              <w:right w:val="single" w:sz="4" w:space="0" w:color="000000"/>
            </w:tcBorders>
            <w:vAlign w:val="center"/>
          </w:tcPr>
          <w:p w:rsidR="002738F5" w:rsidRDefault="00FA2CBF">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vAlign w:val="center"/>
          </w:tcPr>
          <w:p w:rsidR="002738F5" w:rsidRDefault="00FA2CBF">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2738F5" w:rsidRDefault="00FA2CBF">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vAlign w:val="center"/>
          </w:tcPr>
          <w:p w:rsidR="002738F5" w:rsidRDefault="00FA2CBF">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2738F5" w:rsidRDefault="00FA2CBF">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2738F5" w:rsidRDefault="00FA2CBF">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2738F5" w:rsidRDefault="00FA2CBF">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vAlign w:val="center"/>
          </w:tcPr>
          <w:p w:rsidR="002738F5" w:rsidRDefault="00FA2CBF">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vAlign w:val="center"/>
          </w:tcPr>
          <w:p w:rsidR="002738F5" w:rsidRDefault="00FA2CBF">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2738F5">
        <w:trPr>
          <w:gridAfter w:val="1"/>
          <w:wAfter w:w="234" w:type="dxa"/>
          <w:trHeight w:val="415"/>
        </w:trPr>
        <w:tc>
          <w:tcPr>
            <w:tcW w:w="1977" w:type="dxa"/>
            <w:vMerge/>
            <w:tcBorders>
              <w:left w:val="single" w:sz="4" w:space="0" w:color="000000"/>
              <w:right w:val="single" w:sz="4" w:space="0" w:color="000000"/>
            </w:tcBorders>
            <w:vAlign w:val="center"/>
          </w:tcPr>
          <w:p w:rsidR="002738F5" w:rsidRDefault="002738F5">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vAlign w:val="center"/>
          </w:tcPr>
          <w:p w:rsidR="002738F5" w:rsidRDefault="00FA2CBF">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2738F5" w:rsidRDefault="00FA2CBF">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2738F5" w:rsidRDefault="00FA2CBF">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r>
      <w:tr w:rsidR="002738F5">
        <w:trPr>
          <w:gridAfter w:val="1"/>
          <w:wAfter w:w="234" w:type="dxa"/>
          <w:trHeight w:val="415"/>
        </w:trPr>
        <w:tc>
          <w:tcPr>
            <w:tcW w:w="1977" w:type="dxa"/>
            <w:vMerge/>
            <w:tcBorders>
              <w:left w:val="single" w:sz="4" w:space="0" w:color="000000"/>
              <w:right w:val="single" w:sz="4" w:space="0" w:color="000000"/>
            </w:tcBorders>
            <w:vAlign w:val="center"/>
          </w:tcPr>
          <w:p w:rsidR="002738F5" w:rsidRDefault="002738F5">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2738F5" w:rsidRDefault="002738F5">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2738F5" w:rsidRDefault="00FA2CBF">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r>
      <w:tr w:rsidR="002738F5">
        <w:trPr>
          <w:gridAfter w:val="1"/>
          <w:wAfter w:w="234" w:type="dxa"/>
          <w:trHeight w:val="415"/>
        </w:trPr>
        <w:tc>
          <w:tcPr>
            <w:tcW w:w="1977" w:type="dxa"/>
            <w:vMerge/>
            <w:tcBorders>
              <w:left w:val="single" w:sz="4" w:space="0" w:color="000000"/>
              <w:right w:val="single" w:sz="4" w:space="0" w:color="000000"/>
            </w:tcBorders>
            <w:vAlign w:val="center"/>
          </w:tcPr>
          <w:p w:rsidR="002738F5" w:rsidRDefault="002738F5">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2738F5" w:rsidRDefault="002738F5">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2738F5" w:rsidRDefault="00FA2CBF">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r>
      <w:tr w:rsidR="002738F5">
        <w:trPr>
          <w:gridAfter w:val="1"/>
          <w:wAfter w:w="234" w:type="dxa"/>
          <w:trHeight w:val="480"/>
        </w:trPr>
        <w:tc>
          <w:tcPr>
            <w:tcW w:w="1977" w:type="dxa"/>
            <w:vMerge/>
            <w:tcBorders>
              <w:left w:val="single" w:sz="4" w:space="0" w:color="000000"/>
              <w:right w:val="single" w:sz="4" w:space="0" w:color="000000"/>
            </w:tcBorders>
            <w:vAlign w:val="center"/>
          </w:tcPr>
          <w:p w:rsidR="002738F5" w:rsidRDefault="002738F5">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2738F5" w:rsidRDefault="002738F5">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2738F5" w:rsidRDefault="00FA2CBF">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r>
      <w:tr w:rsidR="002738F5">
        <w:trPr>
          <w:gridAfter w:val="1"/>
          <w:wAfter w:w="234" w:type="dxa"/>
          <w:trHeight w:val="480"/>
        </w:trPr>
        <w:tc>
          <w:tcPr>
            <w:tcW w:w="1977" w:type="dxa"/>
            <w:vMerge/>
            <w:tcBorders>
              <w:left w:val="single" w:sz="4" w:space="0" w:color="000000"/>
              <w:right w:val="single" w:sz="4" w:space="0" w:color="000000"/>
            </w:tcBorders>
            <w:vAlign w:val="center"/>
          </w:tcPr>
          <w:p w:rsidR="002738F5" w:rsidRDefault="002738F5">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vAlign w:val="center"/>
          </w:tcPr>
          <w:p w:rsidR="002738F5" w:rsidRDefault="00FA2CBF">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kern w:val="0"/>
                <w:sz w:val="28"/>
                <w:szCs w:val="28"/>
              </w:rPr>
              <w:br/>
            </w: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2738F5" w:rsidRDefault="00FA2CBF">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r>
      <w:tr w:rsidR="002738F5">
        <w:trPr>
          <w:gridAfter w:val="1"/>
          <w:wAfter w:w="234" w:type="dxa"/>
          <w:trHeight w:val="480"/>
        </w:trPr>
        <w:tc>
          <w:tcPr>
            <w:tcW w:w="1977" w:type="dxa"/>
            <w:vMerge/>
            <w:tcBorders>
              <w:left w:val="single" w:sz="4" w:space="0" w:color="000000"/>
              <w:right w:val="single" w:sz="4" w:space="0" w:color="000000"/>
            </w:tcBorders>
            <w:vAlign w:val="center"/>
          </w:tcPr>
          <w:p w:rsidR="002738F5" w:rsidRDefault="002738F5">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2738F5" w:rsidRDefault="002738F5">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2738F5" w:rsidRDefault="00FA2CBF">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r>
      <w:tr w:rsidR="002738F5">
        <w:trPr>
          <w:gridAfter w:val="1"/>
          <w:wAfter w:w="234" w:type="dxa"/>
          <w:trHeight w:val="577"/>
        </w:trPr>
        <w:tc>
          <w:tcPr>
            <w:tcW w:w="1977" w:type="dxa"/>
            <w:vMerge/>
            <w:tcBorders>
              <w:left w:val="single" w:sz="4" w:space="0" w:color="000000"/>
              <w:right w:val="single" w:sz="4" w:space="0" w:color="000000"/>
            </w:tcBorders>
            <w:vAlign w:val="center"/>
          </w:tcPr>
          <w:p w:rsidR="002738F5" w:rsidRDefault="002738F5">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2738F5" w:rsidRDefault="002738F5">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2738F5" w:rsidRDefault="00FA2CBF">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r>
      <w:tr w:rsidR="002738F5">
        <w:trPr>
          <w:gridAfter w:val="1"/>
          <w:wAfter w:w="234" w:type="dxa"/>
          <w:trHeight w:val="480"/>
        </w:trPr>
        <w:tc>
          <w:tcPr>
            <w:tcW w:w="1977" w:type="dxa"/>
            <w:vMerge/>
            <w:tcBorders>
              <w:left w:val="single" w:sz="4" w:space="0" w:color="000000"/>
              <w:right w:val="single" w:sz="4" w:space="0" w:color="000000"/>
            </w:tcBorders>
            <w:vAlign w:val="center"/>
          </w:tcPr>
          <w:p w:rsidR="002738F5" w:rsidRDefault="002738F5">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2738F5" w:rsidRDefault="002738F5">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2738F5" w:rsidRDefault="00FA2CBF">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r>
      <w:tr w:rsidR="002738F5">
        <w:trPr>
          <w:gridAfter w:val="1"/>
          <w:wAfter w:w="234" w:type="dxa"/>
          <w:trHeight w:val="530"/>
        </w:trPr>
        <w:tc>
          <w:tcPr>
            <w:tcW w:w="1977" w:type="dxa"/>
            <w:vMerge/>
            <w:tcBorders>
              <w:left w:val="single" w:sz="4" w:space="0" w:color="000000"/>
              <w:bottom w:val="single" w:sz="4" w:space="0" w:color="000000"/>
              <w:right w:val="single" w:sz="4" w:space="0" w:color="000000"/>
            </w:tcBorders>
            <w:vAlign w:val="center"/>
          </w:tcPr>
          <w:p w:rsidR="002738F5" w:rsidRDefault="002738F5">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vAlign w:val="bottom"/>
          </w:tcPr>
          <w:p w:rsidR="002738F5" w:rsidRDefault="00FA2CBF">
            <w:pPr>
              <w:widowControl/>
              <w:spacing w:line="320" w:lineRule="exact"/>
              <w:jc w:val="center"/>
              <w:textAlignment w:val="bottom"/>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rPr>
              <w:t>满意</w:t>
            </w:r>
            <w:proofErr w:type="gramEnd"/>
            <w:r>
              <w:rPr>
                <w:rFonts w:ascii="仿宋_GB2312" w:eastAsia="仿宋_GB2312" w:hAnsi="仿宋_GB2312" w:cs="仿宋_GB2312"/>
                <w:kern w:val="0"/>
                <w:sz w:val="28"/>
                <w:szCs w:val="28"/>
              </w:rPr>
              <w:br/>
            </w: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2738F5" w:rsidRDefault="00FA2CBF">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2738F5" w:rsidRDefault="00FA2CBF">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2738F5" w:rsidRDefault="002738F5">
            <w:pPr>
              <w:widowControl/>
              <w:spacing w:line="320" w:lineRule="exact"/>
              <w:jc w:val="center"/>
              <w:textAlignment w:val="bottom"/>
              <w:rPr>
                <w:rFonts w:ascii="仿宋_GB2312" w:eastAsia="仿宋_GB2312" w:hAnsi="仿宋_GB2312" w:cs="仿宋_GB2312"/>
                <w:sz w:val="28"/>
                <w:szCs w:val="28"/>
              </w:rPr>
            </w:pPr>
          </w:p>
        </w:tc>
      </w:tr>
    </w:tbl>
    <w:p w:rsidR="002738F5" w:rsidRDefault="002738F5">
      <w:pPr>
        <w:spacing w:line="600" w:lineRule="exact"/>
        <w:jc w:val="center"/>
        <w:outlineLvl w:val="0"/>
        <w:rPr>
          <w:rFonts w:ascii="黑体" w:eastAsia="黑体" w:hAnsi="黑体"/>
          <w:sz w:val="44"/>
          <w:szCs w:val="44"/>
        </w:rPr>
      </w:pPr>
    </w:p>
    <w:p w:rsidR="00A92935" w:rsidRDefault="00A92935" w:rsidP="00A14280">
      <w:pPr>
        <w:spacing w:line="600" w:lineRule="exact"/>
        <w:outlineLvl w:val="0"/>
        <w:rPr>
          <w:rFonts w:ascii="仿宋_GB2312" w:eastAsia="仿宋_GB2312" w:hAnsi="宋体" w:cs="宋体"/>
          <w:color w:val="000000"/>
          <w:kern w:val="0"/>
          <w:sz w:val="32"/>
          <w:szCs w:val="32"/>
          <w:shd w:val="clear" w:color="auto" w:fill="FFFFFF"/>
        </w:rPr>
      </w:pPr>
    </w:p>
    <w:p w:rsidR="002738F5" w:rsidRDefault="00B72132" w:rsidP="00A14280">
      <w:pPr>
        <w:spacing w:line="600" w:lineRule="exact"/>
        <w:outlineLvl w:val="0"/>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w:t>
      </w:r>
      <w:r w:rsidR="00A92935" w:rsidRPr="00A92935">
        <w:rPr>
          <w:rFonts w:ascii="仿宋_GB2312" w:eastAsia="仿宋_GB2312" w:hAnsi="宋体" w:cs="宋体" w:hint="eastAsia"/>
          <w:color w:val="000000"/>
          <w:kern w:val="0"/>
          <w:sz w:val="32"/>
          <w:szCs w:val="32"/>
          <w:shd w:val="clear" w:color="auto" w:fill="FFFFFF"/>
        </w:rPr>
        <w:t>注： 2021年成</w:t>
      </w:r>
      <w:proofErr w:type="gramStart"/>
      <w:r w:rsidR="00A92935" w:rsidRPr="00A92935">
        <w:rPr>
          <w:rFonts w:ascii="仿宋_GB2312" w:eastAsia="仿宋_GB2312" w:hAnsi="宋体" w:cs="宋体" w:hint="eastAsia"/>
          <w:color w:val="000000"/>
          <w:kern w:val="0"/>
          <w:sz w:val="32"/>
          <w:szCs w:val="32"/>
          <w:shd w:val="clear" w:color="auto" w:fill="FFFFFF"/>
        </w:rPr>
        <w:t>都女子</w:t>
      </w:r>
      <w:proofErr w:type="gramEnd"/>
      <w:r w:rsidR="00A92935" w:rsidRPr="00A92935">
        <w:rPr>
          <w:rFonts w:ascii="仿宋_GB2312" w:eastAsia="仿宋_GB2312" w:hAnsi="宋体" w:cs="宋体" w:hint="eastAsia"/>
          <w:color w:val="000000"/>
          <w:kern w:val="0"/>
          <w:sz w:val="32"/>
          <w:szCs w:val="32"/>
          <w:shd w:val="clear" w:color="auto" w:fill="FFFFFF"/>
        </w:rPr>
        <w:t>监狱所有100万元以上（含）特定目标类部门预算项目均按要求完成了绩效目标自评。因项目内容涉密（敏感），不予主动公开。</w:t>
      </w:r>
      <w:r>
        <w:rPr>
          <w:rFonts w:ascii="仿宋_GB2312" w:eastAsia="仿宋_GB2312" w:hAnsi="宋体" w:cs="宋体" w:hint="eastAsia"/>
          <w:color w:val="000000"/>
          <w:kern w:val="0"/>
          <w:sz w:val="32"/>
          <w:szCs w:val="32"/>
          <w:shd w:val="clear" w:color="auto" w:fill="FFFFFF"/>
        </w:rPr>
        <w:t>)</w:t>
      </w:r>
    </w:p>
    <w:p w:rsidR="00A92935" w:rsidRPr="00A92935" w:rsidRDefault="00A92935" w:rsidP="00A92935">
      <w:pPr>
        <w:pStyle w:val="a0"/>
        <w:spacing w:before="93"/>
      </w:pPr>
    </w:p>
    <w:p w:rsidR="002738F5" w:rsidRDefault="00FA2CBF">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五部分附表</w:t>
      </w:r>
      <w:bookmarkStart w:id="55" w:name="_Toc15396619"/>
      <w:bookmarkEnd w:id="52"/>
      <w:bookmarkEnd w:id="54"/>
    </w:p>
    <w:p w:rsidR="002738F5" w:rsidRDefault="00FA2CBF">
      <w:pPr>
        <w:pStyle w:val="2"/>
        <w:rPr>
          <w:rFonts w:ascii="仿宋_GB2312" w:eastAsia="仿宋_GB2312" w:hAnsi="仿宋_GB2312" w:cs="仿宋_GB2312"/>
        </w:rPr>
      </w:pPr>
      <w:r>
        <w:rPr>
          <w:rFonts w:ascii="仿宋_GB2312" w:eastAsia="仿宋_GB2312" w:hAnsi="仿宋_GB2312" w:cs="仿宋_GB2312" w:hint="eastAsia"/>
          <w:b w:val="0"/>
        </w:rPr>
        <w:t>一、收</w:t>
      </w:r>
      <w:r>
        <w:rPr>
          <w:rStyle w:val="2Char"/>
          <w:rFonts w:ascii="仿宋_GB2312" w:eastAsia="仿宋_GB2312" w:hAnsi="仿宋_GB2312" w:cs="仿宋_GB2312" w:hint="eastAsia"/>
        </w:rPr>
        <w:t>入支出决算总表</w:t>
      </w:r>
      <w:bookmarkEnd w:id="55"/>
    </w:p>
    <w:p w:rsidR="002738F5" w:rsidRDefault="00FA2CBF">
      <w:pPr>
        <w:pStyle w:val="2"/>
        <w:rPr>
          <w:rFonts w:ascii="仿宋_GB2312" w:eastAsia="仿宋_GB2312" w:hAnsi="仿宋_GB2312" w:cs="仿宋_GB2312"/>
        </w:rPr>
      </w:pPr>
      <w:bookmarkStart w:id="56" w:name="_Toc15396620"/>
      <w:r>
        <w:rPr>
          <w:rFonts w:ascii="仿宋_GB2312" w:eastAsia="仿宋_GB2312" w:hAnsi="仿宋_GB2312" w:cs="仿宋_GB2312" w:hint="eastAsia"/>
          <w:b w:val="0"/>
        </w:rPr>
        <w:t>二、收</w:t>
      </w:r>
      <w:r>
        <w:rPr>
          <w:rStyle w:val="2Char"/>
          <w:rFonts w:ascii="仿宋_GB2312" w:eastAsia="仿宋_GB2312" w:hAnsi="仿宋_GB2312" w:cs="仿宋_GB2312" w:hint="eastAsia"/>
        </w:rPr>
        <w:t>入决算表</w:t>
      </w:r>
      <w:bookmarkEnd w:id="56"/>
    </w:p>
    <w:p w:rsidR="002738F5" w:rsidRDefault="00FA2CBF">
      <w:pPr>
        <w:pStyle w:val="2"/>
        <w:rPr>
          <w:rFonts w:ascii="仿宋_GB2312" w:eastAsia="仿宋_GB2312" w:hAnsi="仿宋_GB2312" w:cs="仿宋_GB2312"/>
        </w:rPr>
      </w:pPr>
      <w:bookmarkStart w:id="57" w:name="_Toc15396621"/>
      <w:r>
        <w:rPr>
          <w:rStyle w:val="2Char"/>
          <w:rFonts w:ascii="仿宋_GB2312" w:eastAsia="仿宋_GB2312" w:hAnsi="仿宋_GB2312" w:cs="仿宋_GB2312" w:hint="eastAsia"/>
        </w:rPr>
        <w:t>三、</w:t>
      </w:r>
      <w:r>
        <w:rPr>
          <w:rFonts w:ascii="仿宋_GB2312" w:eastAsia="仿宋_GB2312" w:hAnsi="仿宋_GB2312" w:cs="仿宋_GB2312" w:hint="eastAsia"/>
          <w:b w:val="0"/>
        </w:rPr>
        <w:t>支</w:t>
      </w:r>
      <w:r>
        <w:rPr>
          <w:rStyle w:val="2Char"/>
          <w:rFonts w:ascii="仿宋_GB2312" w:eastAsia="仿宋_GB2312" w:hAnsi="仿宋_GB2312" w:cs="仿宋_GB2312" w:hint="eastAsia"/>
        </w:rPr>
        <w:t>出决算表</w:t>
      </w:r>
      <w:bookmarkEnd w:id="57"/>
    </w:p>
    <w:p w:rsidR="002738F5" w:rsidRDefault="00FA2CBF">
      <w:pPr>
        <w:pStyle w:val="2"/>
        <w:rPr>
          <w:rFonts w:ascii="仿宋_GB2312" w:eastAsia="仿宋_GB2312" w:hAnsi="仿宋_GB2312" w:cs="仿宋_GB2312"/>
          <w:b w:val="0"/>
        </w:rPr>
      </w:pPr>
      <w:bookmarkStart w:id="58" w:name="_Toc15396622"/>
      <w:r>
        <w:rPr>
          <w:rStyle w:val="2Char"/>
          <w:rFonts w:ascii="仿宋_GB2312" w:eastAsia="仿宋_GB2312" w:hAnsi="仿宋_GB2312" w:cs="仿宋_GB2312" w:hint="eastAsia"/>
        </w:rPr>
        <w:t>四、</w:t>
      </w:r>
      <w:r>
        <w:rPr>
          <w:rFonts w:ascii="仿宋_GB2312" w:eastAsia="仿宋_GB2312" w:hAnsi="仿宋_GB2312" w:cs="仿宋_GB2312" w:hint="eastAsia"/>
          <w:b w:val="0"/>
        </w:rPr>
        <w:t>财</w:t>
      </w:r>
      <w:r>
        <w:rPr>
          <w:rStyle w:val="2Char"/>
          <w:rFonts w:ascii="仿宋_GB2312" w:eastAsia="仿宋_GB2312" w:hAnsi="仿宋_GB2312" w:cs="仿宋_GB2312" w:hint="eastAsia"/>
        </w:rPr>
        <w:t>政拨款收入支出决算总表</w:t>
      </w:r>
      <w:bookmarkEnd w:id="58"/>
    </w:p>
    <w:p w:rsidR="002738F5" w:rsidRDefault="00FA2CBF">
      <w:pPr>
        <w:pStyle w:val="2"/>
        <w:rPr>
          <w:rStyle w:val="2Char"/>
          <w:rFonts w:ascii="仿宋_GB2312" w:eastAsia="仿宋_GB2312" w:hAnsi="仿宋_GB2312" w:cs="仿宋_GB2312"/>
        </w:rPr>
      </w:pPr>
      <w:bookmarkStart w:id="59" w:name="_Toc15396623"/>
      <w:r>
        <w:rPr>
          <w:rStyle w:val="2Char"/>
          <w:rFonts w:ascii="仿宋_GB2312" w:eastAsia="仿宋_GB2312" w:hAnsi="仿宋_GB2312" w:cs="仿宋_GB2312" w:hint="eastAsia"/>
        </w:rPr>
        <w:t>五、</w:t>
      </w:r>
      <w:r>
        <w:rPr>
          <w:rFonts w:ascii="仿宋_GB2312" w:eastAsia="仿宋_GB2312" w:hAnsi="仿宋_GB2312" w:cs="仿宋_GB2312" w:hint="eastAsia"/>
          <w:b w:val="0"/>
        </w:rPr>
        <w:t>财</w:t>
      </w:r>
      <w:r>
        <w:rPr>
          <w:rStyle w:val="2Char"/>
          <w:rFonts w:ascii="仿宋_GB2312" w:eastAsia="仿宋_GB2312" w:hAnsi="仿宋_GB2312" w:cs="仿宋_GB2312" w:hint="eastAsia"/>
        </w:rPr>
        <w:t>政拨款支出决算明细表</w:t>
      </w:r>
      <w:bookmarkStart w:id="60" w:name="_Toc15396624"/>
      <w:bookmarkEnd w:id="59"/>
    </w:p>
    <w:p w:rsidR="002738F5" w:rsidRDefault="00FA2CBF">
      <w:pPr>
        <w:pStyle w:val="2"/>
        <w:rPr>
          <w:rFonts w:ascii="仿宋_GB2312" w:eastAsia="仿宋_GB2312" w:hAnsi="仿宋_GB2312" w:cs="仿宋_GB2312"/>
        </w:rPr>
      </w:pPr>
      <w:r>
        <w:rPr>
          <w:rStyle w:val="2Char"/>
          <w:rFonts w:ascii="仿宋_GB2312" w:eastAsia="仿宋_GB2312" w:hAnsi="仿宋_GB2312" w:cs="仿宋_GB2312" w:hint="eastAsia"/>
        </w:rPr>
        <w:t>六、</w:t>
      </w:r>
      <w:r>
        <w:rPr>
          <w:rFonts w:ascii="仿宋_GB2312" w:eastAsia="仿宋_GB2312" w:hAnsi="仿宋_GB2312" w:cs="仿宋_GB2312" w:hint="eastAsia"/>
          <w:b w:val="0"/>
        </w:rPr>
        <w:t>一</w:t>
      </w:r>
      <w:r>
        <w:rPr>
          <w:rStyle w:val="2Char"/>
          <w:rFonts w:ascii="仿宋_GB2312" w:eastAsia="仿宋_GB2312" w:hAnsi="仿宋_GB2312" w:cs="仿宋_GB2312" w:hint="eastAsia"/>
        </w:rPr>
        <w:t>般公共预算财政拨款支出决算表</w:t>
      </w:r>
      <w:bookmarkEnd w:id="60"/>
    </w:p>
    <w:p w:rsidR="002738F5" w:rsidRDefault="00FA2CBF">
      <w:pPr>
        <w:pStyle w:val="2"/>
        <w:rPr>
          <w:rFonts w:ascii="仿宋_GB2312" w:eastAsia="仿宋_GB2312" w:hAnsi="仿宋_GB2312" w:cs="仿宋_GB2312"/>
        </w:rPr>
      </w:pPr>
      <w:bookmarkStart w:id="61" w:name="_Toc15396625"/>
      <w:r>
        <w:rPr>
          <w:rStyle w:val="2Char"/>
          <w:rFonts w:ascii="仿宋_GB2312" w:eastAsia="仿宋_GB2312" w:hAnsi="仿宋_GB2312" w:cs="仿宋_GB2312" w:hint="eastAsia"/>
        </w:rPr>
        <w:t>七、</w:t>
      </w:r>
      <w:r>
        <w:rPr>
          <w:rFonts w:ascii="仿宋_GB2312" w:eastAsia="仿宋_GB2312" w:hAnsi="仿宋_GB2312" w:cs="仿宋_GB2312" w:hint="eastAsia"/>
          <w:b w:val="0"/>
        </w:rPr>
        <w:t>一</w:t>
      </w:r>
      <w:r>
        <w:rPr>
          <w:rStyle w:val="2Char"/>
          <w:rFonts w:ascii="仿宋_GB2312" w:eastAsia="仿宋_GB2312" w:hAnsi="仿宋_GB2312" w:cs="仿宋_GB2312" w:hint="eastAsia"/>
        </w:rPr>
        <w:t>般公共预算财政拨款支出决算明细表</w:t>
      </w:r>
      <w:bookmarkEnd w:id="61"/>
    </w:p>
    <w:p w:rsidR="002738F5" w:rsidRDefault="00FA2CBF">
      <w:pPr>
        <w:pStyle w:val="2"/>
        <w:rPr>
          <w:rFonts w:ascii="仿宋_GB2312" w:eastAsia="仿宋_GB2312" w:hAnsi="仿宋_GB2312" w:cs="仿宋_GB2312"/>
        </w:rPr>
      </w:pPr>
      <w:bookmarkStart w:id="62" w:name="_Toc15396626"/>
      <w:r>
        <w:rPr>
          <w:rStyle w:val="2Char"/>
          <w:rFonts w:ascii="仿宋_GB2312" w:eastAsia="仿宋_GB2312" w:hAnsi="仿宋_GB2312" w:cs="仿宋_GB2312" w:hint="eastAsia"/>
        </w:rPr>
        <w:t>八、</w:t>
      </w:r>
      <w:r>
        <w:rPr>
          <w:rFonts w:ascii="仿宋_GB2312" w:eastAsia="仿宋_GB2312" w:hAnsi="仿宋_GB2312" w:cs="仿宋_GB2312" w:hint="eastAsia"/>
          <w:b w:val="0"/>
        </w:rPr>
        <w:t>一</w:t>
      </w:r>
      <w:r>
        <w:rPr>
          <w:rStyle w:val="2Char"/>
          <w:rFonts w:ascii="仿宋_GB2312" w:eastAsia="仿宋_GB2312" w:hAnsi="仿宋_GB2312" w:cs="仿宋_GB2312" w:hint="eastAsia"/>
        </w:rPr>
        <w:t>般公共预算财政拨款基本支出决算表</w:t>
      </w:r>
      <w:bookmarkEnd w:id="62"/>
    </w:p>
    <w:p w:rsidR="002738F5" w:rsidRDefault="00FA2CBF">
      <w:pPr>
        <w:pStyle w:val="2"/>
        <w:rPr>
          <w:rFonts w:ascii="仿宋_GB2312" w:eastAsia="仿宋_GB2312" w:hAnsi="仿宋_GB2312" w:cs="仿宋_GB2312"/>
        </w:rPr>
      </w:pPr>
      <w:bookmarkStart w:id="63" w:name="_Toc15396627"/>
      <w:r>
        <w:rPr>
          <w:rStyle w:val="2Char"/>
          <w:rFonts w:ascii="仿宋_GB2312" w:eastAsia="仿宋_GB2312" w:hAnsi="仿宋_GB2312" w:cs="仿宋_GB2312" w:hint="eastAsia"/>
        </w:rPr>
        <w:t>九、</w:t>
      </w:r>
      <w:r>
        <w:rPr>
          <w:rFonts w:ascii="仿宋_GB2312" w:eastAsia="仿宋_GB2312" w:hAnsi="仿宋_GB2312" w:cs="仿宋_GB2312" w:hint="eastAsia"/>
          <w:b w:val="0"/>
        </w:rPr>
        <w:t>一</w:t>
      </w:r>
      <w:r>
        <w:rPr>
          <w:rStyle w:val="2Char"/>
          <w:rFonts w:ascii="仿宋_GB2312" w:eastAsia="仿宋_GB2312" w:hAnsi="仿宋_GB2312" w:cs="仿宋_GB2312" w:hint="eastAsia"/>
        </w:rPr>
        <w:t>般公共预算财政拨款项目支出决算表</w:t>
      </w:r>
      <w:bookmarkEnd w:id="63"/>
    </w:p>
    <w:p w:rsidR="002738F5" w:rsidRDefault="00FA2CBF">
      <w:pPr>
        <w:pStyle w:val="2"/>
        <w:rPr>
          <w:rFonts w:ascii="仿宋_GB2312" w:eastAsia="仿宋_GB2312" w:hAnsi="仿宋_GB2312" w:cs="仿宋_GB2312"/>
        </w:rPr>
      </w:pPr>
      <w:bookmarkStart w:id="64" w:name="_Toc15396628"/>
      <w:r>
        <w:rPr>
          <w:rStyle w:val="2Char"/>
          <w:rFonts w:ascii="仿宋_GB2312" w:eastAsia="仿宋_GB2312" w:hAnsi="仿宋_GB2312" w:cs="仿宋_GB2312" w:hint="eastAsia"/>
        </w:rPr>
        <w:t>十、</w:t>
      </w:r>
      <w:r>
        <w:rPr>
          <w:rFonts w:ascii="仿宋_GB2312" w:eastAsia="仿宋_GB2312" w:hAnsi="仿宋_GB2312" w:cs="仿宋_GB2312" w:hint="eastAsia"/>
          <w:b w:val="0"/>
        </w:rPr>
        <w:t>一</w:t>
      </w:r>
      <w:r>
        <w:rPr>
          <w:rStyle w:val="2Char"/>
          <w:rFonts w:ascii="仿宋_GB2312" w:eastAsia="仿宋_GB2312" w:hAnsi="仿宋_GB2312" w:cs="仿宋_GB2312" w:hint="eastAsia"/>
        </w:rPr>
        <w:t>般公共预算财政拨款“三公”经费支出决算表</w:t>
      </w:r>
      <w:bookmarkEnd w:id="64"/>
    </w:p>
    <w:p w:rsidR="002738F5" w:rsidRDefault="00FA2CBF">
      <w:pPr>
        <w:pStyle w:val="2"/>
        <w:rPr>
          <w:rFonts w:ascii="仿宋_GB2312" w:eastAsia="仿宋_GB2312" w:hAnsi="仿宋_GB2312" w:cs="仿宋_GB2312"/>
        </w:rPr>
      </w:pPr>
      <w:bookmarkStart w:id="65" w:name="_Toc15396629"/>
      <w:r>
        <w:rPr>
          <w:rStyle w:val="2Char"/>
          <w:rFonts w:ascii="仿宋_GB2312" w:eastAsia="仿宋_GB2312" w:hAnsi="仿宋_GB2312" w:cs="仿宋_GB2312" w:hint="eastAsia"/>
        </w:rPr>
        <w:t>十一、</w:t>
      </w:r>
      <w:r>
        <w:rPr>
          <w:rFonts w:ascii="仿宋_GB2312" w:eastAsia="仿宋_GB2312" w:hAnsi="仿宋_GB2312" w:cs="仿宋_GB2312" w:hint="eastAsia"/>
          <w:b w:val="0"/>
        </w:rPr>
        <w:t>政</w:t>
      </w:r>
      <w:r>
        <w:rPr>
          <w:rStyle w:val="2Char"/>
          <w:rFonts w:ascii="仿宋_GB2312" w:eastAsia="仿宋_GB2312" w:hAnsi="仿宋_GB2312" w:cs="仿宋_GB2312" w:hint="eastAsia"/>
        </w:rPr>
        <w:t>府性基金预算财政拨款收入支出决算表</w:t>
      </w:r>
      <w:bookmarkEnd w:id="65"/>
    </w:p>
    <w:p w:rsidR="002738F5" w:rsidRDefault="00FA2CBF">
      <w:pPr>
        <w:pStyle w:val="2"/>
        <w:rPr>
          <w:rFonts w:ascii="仿宋_GB2312" w:eastAsia="仿宋_GB2312" w:hAnsi="仿宋_GB2312" w:cs="仿宋_GB2312"/>
        </w:rPr>
      </w:pPr>
      <w:bookmarkStart w:id="66" w:name="_Toc15396630"/>
      <w:r>
        <w:rPr>
          <w:rStyle w:val="2Char"/>
          <w:rFonts w:ascii="仿宋_GB2312" w:eastAsia="仿宋_GB2312" w:hAnsi="仿宋_GB2312" w:cs="仿宋_GB2312" w:hint="eastAsia"/>
        </w:rPr>
        <w:t>十二、</w:t>
      </w:r>
      <w:r>
        <w:rPr>
          <w:rFonts w:ascii="仿宋_GB2312" w:eastAsia="仿宋_GB2312" w:hAnsi="仿宋_GB2312" w:cs="仿宋_GB2312" w:hint="eastAsia"/>
          <w:b w:val="0"/>
        </w:rPr>
        <w:t>政</w:t>
      </w:r>
      <w:r>
        <w:rPr>
          <w:rStyle w:val="2Char"/>
          <w:rFonts w:ascii="仿宋_GB2312" w:eastAsia="仿宋_GB2312" w:hAnsi="仿宋_GB2312" w:cs="仿宋_GB2312" w:hint="eastAsia"/>
        </w:rPr>
        <w:t>府性基金预算财政拨款“三公”经费支出决算表</w:t>
      </w:r>
      <w:bookmarkEnd w:id="66"/>
    </w:p>
    <w:p w:rsidR="002738F5" w:rsidRDefault="00FA2CBF">
      <w:pPr>
        <w:pStyle w:val="2"/>
        <w:rPr>
          <w:rStyle w:val="2Char"/>
          <w:rFonts w:ascii="仿宋_GB2312" w:eastAsia="仿宋_GB2312" w:hAnsi="仿宋_GB2312" w:cs="仿宋_GB2312"/>
        </w:rPr>
      </w:pPr>
      <w:bookmarkStart w:id="67" w:name="_Toc15396631"/>
      <w:r>
        <w:rPr>
          <w:rStyle w:val="2Char"/>
          <w:rFonts w:ascii="仿宋_GB2312" w:eastAsia="仿宋_GB2312" w:hAnsi="仿宋_GB2312" w:cs="仿宋_GB2312" w:hint="eastAsia"/>
        </w:rPr>
        <w:t>十三、</w:t>
      </w:r>
      <w:r>
        <w:rPr>
          <w:rFonts w:ascii="仿宋_GB2312" w:eastAsia="仿宋_GB2312" w:hAnsi="仿宋_GB2312" w:cs="仿宋_GB2312" w:hint="eastAsia"/>
          <w:b w:val="0"/>
        </w:rPr>
        <w:t>国</w:t>
      </w:r>
      <w:r>
        <w:rPr>
          <w:rStyle w:val="2Char"/>
          <w:rFonts w:ascii="仿宋_GB2312" w:eastAsia="仿宋_GB2312" w:hAnsi="仿宋_GB2312" w:cs="仿宋_GB2312" w:hint="eastAsia"/>
        </w:rPr>
        <w:t>有资本经营预算财政拨款收入支出决算表</w:t>
      </w:r>
      <w:bookmarkEnd w:id="67"/>
    </w:p>
    <w:p w:rsidR="002738F5" w:rsidRDefault="00FA2CBF">
      <w:pPr>
        <w:rPr>
          <w:rFonts w:ascii="仿宋_GB2312" w:eastAsia="仿宋_GB2312" w:hAnsi="仿宋_GB2312" w:cs="仿宋_GB2312"/>
        </w:rPr>
      </w:pPr>
      <w:r>
        <w:rPr>
          <w:rStyle w:val="2Char"/>
          <w:rFonts w:ascii="仿宋_GB2312" w:eastAsia="仿宋_GB2312" w:hAnsi="仿宋_GB2312" w:cs="仿宋_GB2312" w:hint="eastAsia"/>
          <w:b w:val="0"/>
          <w:bCs w:val="0"/>
        </w:rPr>
        <w:t>十四、国有资本经营预算财政拨款支出决算表</w:t>
      </w:r>
    </w:p>
    <w:sectPr w:rsidR="002738F5" w:rsidSect="00BD608D">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98C" w:rsidRDefault="00AE498C">
      <w:r>
        <w:separator/>
      </w:r>
    </w:p>
  </w:endnote>
  <w:endnote w:type="continuationSeparator" w:id="0">
    <w:p w:rsidR="00AE498C" w:rsidRDefault="00AE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宋体"/>
    <w:panose1 w:val="00000000000000000000"/>
    <w:charset w:val="86"/>
    <w:family w:val="roman"/>
    <w:notTrueType/>
    <w:pitch w:val="default"/>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F5" w:rsidRDefault="00BD608D">
    <w:pPr>
      <w:pStyle w:val="a5"/>
      <w:jc w:val="center"/>
    </w:pPr>
    <w:r>
      <w:fldChar w:fldCharType="begin"/>
    </w:r>
    <w:r w:rsidR="00FA2CBF">
      <w:instrText>PAGE   \* MERGEFORMAT</w:instrText>
    </w:r>
    <w:r>
      <w:fldChar w:fldCharType="separate"/>
    </w:r>
    <w:r w:rsidR="00AD2D73" w:rsidRPr="00AD2D73">
      <w:rPr>
        <w:noProof/>
        <w:lang w:val="zh-CN"/>
      </w:rPr>
      <w:t>19</w:t>
    </w:r>
    <w:r>
      <w:rPr>
        <w:lang w:val="zh-CN"/>
      </w:rPr>
      <w:fldChar w:fldCharType="end"/>
    </w:r>
  </w:p>
  <w:p w:rsidR="002738F5" w:rsidRDefault="002738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98C" w:rsidRDefault="00AE498C">
      <w:r>
        <w:separator/>
      </w:r>
    </w:p>
  </w:footnote>
  <w:footnote w:type="continuationSeparator" w:id="0">
    <w:p w:rsidR="00AE498C" w:rsidRDefault="00AE4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F5" w:rsidRDefault="002738F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3">
    <w:nsid w:val="181C1353"/>
    <w:multiLevelType w:val="hybridMultilevel"/>
    <w:tmpl w:val="2C9A89CE"/>
    <w:lvl w:ilvl="0" w:tplc="445CD66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FAE31B6"/>
    <w:multiLevelType w:val="multilevel"/>
    <w:tmpl w:val="6FAE31B6"/>
    <w:lvl w:ilvl="0">
      <w:start w:val="1"/>
      <w:numFmt w:val="japaneseCounting"/>
      <w:lvlText w:val="%1、"/>
      <w:lvlJc w:val="left"/>
      <w:pPr>
        <w:ind w:left="660" w:hanging="6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xZGNiZDQzNDgxZDExNWUwZmFjY2RkZGM1YTc0ODUifQ=="/>
  </w:docVars>
  <w:rsids>
    <w:rsidRoot w:val="00F1361C"/>
    <w:rsid w:val="9E3A10E2"/>
    <w:rsid w:val="F2E1F9D4"/>
    <w:rsid w:val="F7880819"/>
    <w:rsid w:val="00001705"/>
    <w:rsid w:val="00005CFE"/>
    <w:rsid w:val="000222C6"/>
    <w:rsid w:val="0002549F"/>
    <w:rsid w:val="00031EC5"/>
    <w:rsid w:val="000468DB"/>
    <w:rsid w:val="0006487A"/>
    <w:rsid w:val="00065F8F"/>
    <w:rsid w:val="00070A43"/>
    <w:rsid w:val="000768F2"/>
    <w:rsid w:val="00081418"/>
    <w:rsid w:val="0009184B"/>
    <w:rsid w:val="00094236"/>
    <w:rsid w:val="0009593C"/>
    <w:rsid w:val="00097322"/>
    <w:rsid w:val="000A6A92"/>
    <w:rsid w:val="000B047F"/>
    <w:rsid w:val="000B12A0"/>
    <w:rsid w:val="000B5923"/>
    <w:rsid w:val="000B5A48"/>
    <w:rsid w:val="000B68A6"/>
    <w:rsid w:val="000B6FF3"/>
    <w:rsid w:val="000C3467"/>
    <w:rsid w:val="000C3CA6"/>
    <w:rsid w:val="000D1267"/>
    <w:rsid w:val="000D1D50"/>
    <w:rsid w:val="000D5782"/>
    <w:rsid w:val="000E6613"/>
    <w:rsid w:val="000E7119"/>
    <w:rsid w:val="000F098F"/>
    <w:rsid w:val="0010026D"/>
    <w:rsid w:val="00100D32"/>
    <w:rsid w:val="001052BE"/>
    <w:rsid w:val="0010559A"/>
    <w:rsid w:val="00105E3B"/>
    <w:rsid w:val="00114E9B"/>
    <w:rsid w:val="00142216"/>
    <w:rsid w:val="00142FB6"/>
    <w:rsid w:val="00144D6A"/>
    <w:rsid w:val="0014729F"/>
    <w:rsid w:val="0015251B"/>
    <w:rsid w:val="00157BAB"/>
    <w:rsid w:val="00160597"/>
    <w:rsid w:val="001654D1"/>
    <w:rsid w:val="00174518"/>
    <w:rsid w:val="0018106D"/>
    <w:rsid w:val="00185F5E"/>
    <w:rsid w:val="001877A7"/>
    <w:rsid w:val="00191536"/>
    <w:rsid w:val="00196687"/>
    <w:rsid w:val="001C0962"/>
    <w:rsid w:val="001D7531"/>
    <w:rsid w:val="001E737D"/>
    <w:rsid w:val="001F0592"/>
    <w:rsid w:val="001F7506"/>
    <w:rsid w:val="002006CD"/>
    <w:rsid w:val="00202B36"/>
    <w:rsid w:val="00204B7A"/>
    <w:rsid w:val="00204CDE"/>
    <w:rsid w:val="0021101A"/>
    <w:rsid w:val="00211B8D"/>
    <w:rsid w:val="00220536"/>
    <w:rsid w:val="00235629"/>
    <w:rsid w:val="00260C38"/>
    <w:rsid w:val="002616C0"/>
    <w:rsid w:val="00265372"/>
    <w:rsid w:val="002662AA"/>
    <w:rsid w:val="002738F5"/>
    <w:rsid w:val="00280496"/>
    <w:rsid w:val="00294DC9"/>
    <w:rsid w:val="00295495"/>
    <w:rsid w:val="002A31DE"/>
    <w:rsid w:val="002B2613"/>
    <w:rsid w:val="002D6D05"/>
    <w:rsid w:val="002F1818"/>
    <w:rsid w:val="002F567B"/>
    <w:rsid w:val="0031322B"/>
    <w:rsid w:val="003154B6"/>
    <w:rsid w:val="003216A9"/>
    <w:rsid w:val="00335A74"/>
    <w:rsid w:val="00336C49"/>
    <w:rsid w:val="0036561B"/>
    <w:rsid w:val="0037013F"/>
    <w:rsid w:val="00380C92"/>
    <w:rsid w:val="003A484F"/>
    <w:rsid w:val="003A4883"/>
    <w:rsid w:val="003A6100"/>
    <w:rsid w:val="003B0BE0"/>
    <w:rsid w:val="003B0C1B"/>
    <w:rsid w:val="003B688C"/>
    <w:rsid w:val="003C0291"/>
    <w:rsid w:val="003C39AE"/>
    <w:rsid w:val="003C7B60"/>
    <w:rsid w:val="003D0C0F"/>
    <w:rsid w:val="003D1FB2"/>
    <w:rsid w:val="003D5E52"/>
    <w:rsid w:val="003D66DA"/>
    <w:rsid w:val="003E1310"/>
    <w:rsid w:val="003E6F55"/>
    <w:rsid w:val="00406254"/>
    <w:rsid w:val="004119CB"/>
    <w:rsid w:val="004223DE"/>
    <w:rsid w:val="00434489"/>
    <w:rsid w:val="00437085"/>
    <w:rsid w:val="004404F0"/>
    <w:rsid w:val="00443880"/>
    <w:rsid w:val="004464F4"/>
    <w:rsid w:val="00471401"/>
    <w:rsid w:val="00473F31"/>
    <w:rsid w:val="0048263A"/>
    <w:rsid w:val="00483C51"/>
    <w:rsid w:val="004846CF"/>
    <w:rsid w:val="00487E5D"/>
    <w:rsid w:val="004A711F"/>
    <w:rsid w:val="004B199D"/>
    <w:rsid w:val="004B4690"/>
    <w:rsid w:val="004E0A2D"/>
    <w:rsid w:val="004E206B"/>
    <w:rsid w:val="004E4F94"/>
    <w:rsid w:val="004E6DF7"/>
    <w:rsid w:val="004F0FBD"/>
    <w:rsid w:val="004F34E2"/>
    <w:rsid w:val="00505A47"/>
    <w:rsid w:val="00512FDA"/>
    <w:rsid w:val="00520DA0"/>
    <w:rsid w:val="00521BDE"/>
    <w:rsid w:val="00525CBB"/>
    <w:rsid w:val="00525E40"/>
    <w:rsid w:val="00553525"/>
    <w:rsid w:val="00557370"/>
    <w:rsid w:val="005575A0"/>
    <w:rsid w:val="00565924"/>
    <w:rsid w:val="005664BB"/>
    <w:rsid w:val="00566FFA"/>
    <w:rsid w:val="0057481D"/>
    <w:rsid w:val="0058486E"/>
    <w:rsid w:val="00585B33"/>
    <w:rsid w:val="00585D43"/>
    <w:rsid w:val="00586909"/>
    <w:rsid w:val="0059014D"/>
    <w:rsid w:val="00593D6B"/>
    <w:rsid w:val="005B269E"/>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081E"/>
    <w:rsid w:val="007416B6"/>
    <w:rsid w:val="00746F48"/>
    <w:rsid w:val="0075107B"/>
    <w:rsid w:val="0075404D"/>
    <w:rsid w:val="007549B0"/>
    <w:rsid w:val="0076182A"/>
    <w:rsid w:val="00766E67"/>
    <w:rsid w:val="00767B7E"/>
    <w:rsid w:val="007770C3"/>
    <w:rsid w:val="00784A87"/>
    <w:rsid w:val="00784D24"/>
    <w:rsid w:val="00785FBA"/>
    <w:rsid w:val="00786E4A"/>
    <w:rsid w:val="007875EB"/>
    <w:rsid w:val="0079426B"/>
    <w:rsid w:val="007C0827"/>
    <w:rsid w:val="007D1682"/>
    <w:rsid w:val="007D2562"/>
    <w:rsid w:val="007D312A"/>
    <w:rsid w:val="007D3F19"/>
    <w:rsid w:val="007E23B0"/>
    <w:rsid w:val="007E23E5"/>
    <w:rsid w:val="007E3BFC"/>
    <w:rsid w:val="007F1991"/>
    <w:rsid w:val="007F2C2F"/>
    <w:rsid w:val="007F55FC"/>
    <w:rsid w:val="007F5665"/>
    <w:rsid w:val="00800112"/>
    <w:rsid w:val="00813348"/>
    <w:rsid w:val="0081354B"/>
    <w:rsid w:val="00817607"/>
    <w:rsid w:val="008253BB"/>
    <w:rsid w:val="0083706E"/>
    <w:rsid w:val="008408F6"/>
    <w:rsid w:val="008423A5"/>
    <w:rsid w:val="00843DF2"/>
    <w:rsid w:val="00850625"/>
    <w:rsid w:val="00853718"/>
    <w:rsid w:val="00855221"/>
    <w:rsid w:val="008579AD"/>
    <w:rsid w:val="00860645"/>
    <w:rsid w:val="00871F71"/>
    <w:rsid w:val="00872FD8"/>
    <w:rsid w:val="00885AF4"/>
    <w:rsid w:val="008939CD"/>
    <w:rsid w:val="008B768C"/>
    <w:rsid w:val="008C1536"/>
    <w:rsid w:val="008C4DB1"/>
    <w:rsid w:val="008C4EAF"/>
    <w:rsid w:val="008C5176"/>
    <w:rsid w:val="008C7FD0"/>
    <w:rsid w:val="008E1DE7"/>
    <w:rsid w:val="008E707C"/>
    <w:rsid w:val="00900B08"/>
    <w:rsid w:val="00902155"/>
    <w:rsid w:val="00902FA3"/>
    <w:rsid w:val="00923564"/>
    <w:rsid w:val="0092392E"/>
    <w:rsid w:val="00924DE7"/>
    <w:rsid w:val="009315F9"/>
    <w:rsid w:val="00933499"/>
    <w:rsid w:val="00935C98"/>
    <w:rsid w:val="00946945"/>
    <w:rsid w:val="00951248"/>
    <w:rsid w:val="0095152F"/>
    <w:rsid w:val="00954C49"/>
    <w:rsid w:val="00955E37"/>
    <w:rsid w:val="009660CF"/>
    <w:rsid w:val="0097099F"/>
    <w:rsid w:val="00971997"/>
    <w:rsid w:val="00971FFC"/>
    <w:rsid w:val="0097757E"/>
    <w:rsid w:val="0098660A"/>
    <w:rsid w:val="009931C3"/>
    <w:rsid w:val="009A029A"/>
    <w:rsid w:val="009A7787"/>
    <w:rsid w:val="009B2C43"/>
    <w:rsid w:val="009B4EAE"/>
    <w:rsid w:val="009B7573"/>
    <w:rsid w:val="009C22F4"/>
    <w:rsid w:val="009C2A4B"/>
    <w:rsid w:val="009C2E98"/>
    <w:rsid w:val="009D3447"/>
    <w:rsid w:val="009D4711"/>
    <w:rsid w:val="009F1185"/>
    <w:rsid w:val="009F18CD"/>
    <w:rsid w:val="009F2A13"/>
    <w:rsid w:val="009F7527"/>
    <w:rsid w:val="00A01E06"/>
    <w:rsid w:val="00A04EB0"/>
    <w:rsid w:val="00A13CC1"/>
    <w:rsid w:val="00A14280"/>
    <w:rsid w:val="00A166DD"/>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2935"/>
    <w:rsid w:val="00A93B00"/>
    <w:rsid w:val="00A93C21"/>
    <w:rsid w:val="00A97AF5"/>
    <w:rsid w:val="00AA3658"/>
    <w:rsid w:val="00AB64C9"/>
    <w:rsid w:val="00AC3C6A"/>
    <w:rsid w:val="00AD2D73"/>
    <w:rsid w:val="00AD5620"/>
    <w:rsid w:val="00AD656B"/>
    <w:rsid w:val="00AD7C1B"/>
    <w:rsid w:val="00AE16BA"/>
    <w:rsid w:val="00AE1EBE"/>
    <w:rsid w:val="00AE498C"/>
    <w:rsid w:val="00B03C9D"/>
    <w:rsid w:val="00B060AE"/>
    <w:rsid w:val="00B10517"/>
    <w:rsid w:val="00B14E76"/>
    <w:rsid w:val="00B161B8"/>
    <w:rsid w:val="00B2048C"/>
    <w:rsid w:val="00B310B9"/>
    <w:rsid w:val="00B35F3F"/>
    <w:rsid w:val="00B36CBB"/>
    <w:rsid w:val="00B425E0"/>
    <w:rsid w:val="00B440AA"/>
    <w:rsid w:val="00B44B70"/>
    <w:rsid w:val="00B53C56"/>
    <w:rsid w:val="00B53EAC"/>
    <w:rsid w:val="00B57DAF"/>
    <w:rsid w:val="00B72132"/>
    <w:rsid w:val="00B729DF"/>
    <w:rsid w:val="00B761D3"/>
    <w:rsid w:val="00B77CDF"/>
    <w:rsid w:val="00B77EA6"/>
    <w:rsid w:val="00B81598"/>
    <w:rsid w:val="00B841F1"/>
    <w:rsid w:val="00B944D6"/>
    <w:rsid w:val="00BB4DF0"/>
    <w:rsid w:val="00BC289F"/>
    <w:rsid w:val="00BC2D50"/>
    <w:rsid w:val="00BC5361"/>
    <w:rsid w:val="00BC5460"/>
    <w:rsid w:val="00BC6B50"/>
    <w:rsid w:val="00BD0E25"/>
    <w:rsid w:val="00BD608D"/>
    <w:rsid w:val="00BF5BD6"/>
    <w:rsid w:val="00C03E31"/>
    <w:rsid w:val="00C24E30"/>
    <w:rsid w:val="00C30492"/>
    <w:rsid w:val="00C33E72"/>
    <w:rsid w:val="00C354B2"/>
    <w:rsid w:val="00C35554"/>
    <w:rsid w:val="00C42709"/>
    <w:rsid w:val="00C533CC"/>
    <w:rsid w:val="00C5751C"/>
    <w:rsid w:val="00C61BFC"/>
    <w:rsid w:val="00C62B85"/>
    <w:rsid w:val="00C65438"/>
    <w:rsid w:val="00C87FD8"/>
    <w:rsid w:val="00C91381"/>
    <w:rsid w:val="00C91CBB"/>
    <w:rsid w:val="00CA3863"/>
    <w:rsid w:val="00CB4E70"/>
    <w:rsid w:val="00CC09B6"/>
    <w:rsid w:val="00CC666F"/>
    <w:rsid w:val="00CD1E3F"/>
    <w:rsid w:val="00CD550A"/>
    <w:rsid w:val="00CE44F6"/>
    <w:rsid w:val="00CE49DA"/>
    <w:rsid w:val="00CE7B61"/>
    <w:rsid w:val="00CF4D83"/>
    <w:rsid w:val="00D00095"/>
    <w:rsid w:val="00D114F0"/>
    <w:rsid w:val="00D16ECA"/>
    <w:rsid w:val="00D20620"/>
    <w:rsid w:val="00D254F7"/>
    <w:rsid w:val="00D26091"/>
    <w:rsid w:val="00D2685C"/>
    <w:rsid w:val="00D34E7C"/>
    <w:rsid w:val="00D35489"/>
    <w:rsid w:val="00D36AFE"/>
    <w:rsid w:val="00D4429C"/>
    <w:rsid w:val="00D51276"/>
    <w:rsid w:val="00D5322E"/>
    <w:rsid w:val="00D7035F"/>
    <w:rsid w:val="00D97755"/>
    <w:rsid w:val="00DA634F"/>
    <w:rsid w:val="00DA65AC"/>
    <w:rsid w:val="00DB1913"/>
    <w:rsid w:val="00DC410D"/>
    <w:rsid w:val="00DC5A81"/>
    <w:rsid w:val="00DC68CA"/>
    <w:rsid w:val="00DC6946"/>
    <w:rsid w:val="00DC7CBA"/>
    <w:rsid w:val="00DD73B7"/>
    <w:rsid w:val="00DF28BC"/>
    <w:rsid w:val="00DF34B9"/>
    <w:rsid w:val="00E01053"/>
    <w:rsid w:val="00E057E2"/>
    <w:rsid w:val="00E07ACF"/>
    <w:rsid w:val="00E331A1"/>
    <w:rsid w:val="00E33202"/>
    <w:rsid w:val="00E336A9"/>
    <w:rsid w:val="00E45453"/>
    <w:rsid w:val="00E472B1"/>
    <w:rsid w:val="00E50624"/>
    <w:rsid w:val="00E52AAA"/>
    <w:rsid w:val="00E568DF"/>
    <w:rsid w:val="00E64269"/>
    <w:rsid w:val="00E82267"/>
    <w:rsid w:val="00E853CE"/>
    <w:rsid w:val="00E85CBE"/>
    <w:rsid w:val="00E867B6"/>
    <w:rsid w:val="00EA010F"/>
    <w:rsid w:val="00EA0A0B"/>
    <w:rsid w:val="00EB047B"/>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6427E"/>
    <w:rsid w:val="00F67018"/>
    <w:rsid w:val="00F754A1"/>
    <w:rsid w:val="00F81FD9"/>
    <w:rsid w:val="00F841AA"/>
    <w:rsid w:val="00F84A94"/>
    <w:rsid w:val="00F87E96"/>
    <w:rsid w:val="00FA23E8"/>
    <w:rsid w:val="00FA2CBF"/>
    <w:rsid w:val="00FB53E3"/>
    <w:rsid w:val="00FD3C6C"/>
    <w:rsid w:val="00FD3CC1"/>
    <w:rsid w:val="00FE18F6"/>
    <w:rsid w:val="00FF0D8A"/>
    <w:rsid w:val="00FF1E02"/>
    <w:rsid w:val="00FF30B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A656408"/>
    <w:rsid w:val="3C0C0783"/>
    <w:rsid w:val="3F9F3A96"/>
    <w:rsid w:val="493C27E9"/>
    <w:rsid w:val="496F39ED"/>
    <w:rsid w:val="49FF41D3"/>
    <w:rsid w:val="4BE068DB"/>
    <w:rsid w:val="4BF6002B"/>
    <w:rsid w:val="4ECE2238"/>
    <w:rsid w:val="51DB4B86"/>
    <w:rsid w:val="55333C3E"/>
    <w:rsid w:val="64CA39A1"/>
    <w:rsid w:val="6C4A05C8"/>
    <w:rsid w:val="72734D90"/>
    <w:rsid w:val="728E67D9"/>
    <w:rsid w:val="79E7B28D"/>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lsdException w:name="toc 2" w:semiHidden="0" w:unhideWhenUsed="0"/>
    <w:lsdException w:name="toc 3"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Body Text" w:semiHidden="0" w:unhideWhenUsed="0"/>
    <w:lsdException w:name="Subtitle" w:locked="1" w:semiHidden="0" w:uiPriority="0" w:unhideWhenUsed="0" w:qFormat="1"/>
    <w:lsdException w:name="Hyperlink" w:semiHidden="0" w:unhideWhenUsed="0"/>
    <w:lsdException w:name="Strong" w:semiHidden="0" w:unhideWhenUsed="0" w:qFormat="1"/>
    <w:lsdException w:name="Emphasis" w:locked="1" w:semiHidden="0" w:uiPriority="0" w:unhideWhenUsed="0" w:qFormat="1"/>
    <w:lsdException w:name="Normal (Web)" w:semiHidden="0" w:unhideWhenUsed="0"/>
    <w:lsdException w:name="Balloon Text" w:unhideWhenUsed="0"/>
    <w:lsdException w:name="Table Grid" w:locked="1"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pPr>
      <w:spacing w:beforeLines="30"/>
    </w:pPr>
    <w:rPr>
      <w:rFonts w:ascii="仿宋_GB2312" w:eastAsia="仿宋_GB2312"/>
      <w:kern w:val="0"/>
      <w:sz w:val="24"/>
      <w:szCs w:val="20"/>
    </w:rPr>
  </w:style>
  <w:style w:type="paragraph" w:styleId="30">
    <w:name w:val="toc 3"/>
    <w:basedOn w:val="a"/>
    <w:next w:val="a"/>
    <w:uiPriority w:val="99"/>
    <w:pPr>
      <w:tabs>
        <w:tab w:val="right" w:leader="dot" w:pos="8296"/>
      </w:tabs>
      <w:ind w:leftChars="400" w:left="840"/>
    </w:pPr>
  </w:style>
  <w:style w:type="paragraph" w:styleId="a4">
    <w:name w:val="Balloon Text"/>
    <w:basedOn w:val="a"/>
    <w:link w:val="Char0"/>
    <w:uiPriority w:val="99"/>
    <w:semiHidden/>
    <w:rPr>
      <w:sz w:val="18"/>
      <w:szCs w:val="18"/>
    </w:rPr>
  </w:style>
  <w:style w:type="paragraph" w:styleId="a5">
    <w:name w:val="footer"/>
    <w:basedOn w:val="a"/>
    <w:link w:val="Char1"/>
    <w:uiPriority w:val="99"/>
    <w:pPr>
      <w:tabs>
        <w:tab w:val="center" w:pos="4153"/>
        <w:tab w:val="right" w:pos="8306"/>
      </w:tabs>
      <w:snapToGrid w:val="0"/>
      <w:jc w:val="left"/>
    </w:pPr>
    <w:rPr>
      <w:rFonts w:ascii="Calibri" w:hAnsi="Calibri"/>
      <w:kern w:val="0"/>
      <w:sz w:val="18"/>
      <w:szCs w:val="20"/>
    </w:rPr>
  </w:style>
  <w:style w:type="paragraph" w:styleId="a6">
    <w:name w:val="header"/>
    <w:basedOn w:val="a"/>
    <w:link w:val="Char2"/>
    <w:uiPriority w:val="99"/>
    <w:semiHidden/>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uiPriority w:val="99"/>
    <w:pPr>
      <w:tabs>
        <w:tab w:val="right" w:leader="dot" w:pos="8296"/>
      </w:tabs>
      <w:spacing w:before="93"/>
      <w:jc w:val="center"/>
    </w:pPr>
    <w:rPr>
      <w:rFonts w:ascii="仿宋" w:eastAsia="仿宋" w:hAnsi="仿宋"/>
      <w:sz w:val="28"/>
      <w:szCs w:val="28"/>
    </w:rPr>
  </w:style>
  <w:style w:type="paragraph" w:styleId="20">
    <w:name w:val="toc 2"/>
    <w:basedOn w:val="a"/>
    <w:next w:val="a"/>
    <w:uiPriority w:val="99"/>
    <w:pPr>
      <w:tabs>
        <w:tab w:val="right" w:leader="dot" w:pos="8296"/>
      </w:tabs>
      <w:ind w:leftChars="200" w:left="420"/>
    </w:pPr>
  </w:style>
  <w:style w:type="paragraph" w:styleId="a7">
    <w:name w:val="Normal (Web)"/>
    <w:basedOn w:val="a"/>
    <w:uiPriority w:val="99"/>
    <w:pPr>
      <w:spacing w:beforeAutospacing="1" w:afterAutospacing="1"/>
      <w:jc w:val="left"/>
    </w:pPr>
    <w:rPr>
      <w:rFonts w:eastAsia="仿宋_GB2312"/>
      <w:kern w:val="0"/>
      <w:sz w:val="24"/>
      <w:szCs w:val="32"/>
    </w:rPr>
  </w:style>
  <w:style w:type="character" w:styleId="a8">
    <w:name w:val="Strong"/>
    <w:basedOn w:val="a1"/>
    <w:uiPriority w:val="99"/>
    <w:qFormat/>
    <w:rPr>
      <w:rFonts w:cs="Times New Roman"/>
      <w:b/>
    </w:rPr>
  </w:style>
  <w:style w:type="character" w:styleId="a9">
    <w:name w:val="Hyperlink"/>
    <w:basedOn w:val="a1"/>
    <w:uiPriority w:val="99"/>
    <w:rPr>
      <w:rFonts w:cs="Times New Roman"/>
      <w:color w:val="0000FF"/>
      <w:u w:val="single"/>
    </w:rPr>
  </w:style>
  <w:style w:type="character" w:customStyle="1" w:styleId="1Char">
    <w:name w:val="标题 1 Char"/>
    <w:basedOn w:val="a1"/>
    <w:link w:val="1"/>
    <w:uiPriority w:val="99"/>
    <w:locked/>
    <w:rPr>
      <w:rFonts w:ascii="Times New Roman" w:hAnsi="Times New Roman" w:cs="Times New Roman"/>
      <w:b/>
      <w:bCs/>
      <w:kern w:val="44"/>
      <w:sz w:val="44"/>
      <w:szCs w:val="44"/>
    </w:rPr>
  </w:style>
  <w:style w:type="character" w:customStyle="1" w:styleId="2Char">
    <w:name w:val="标题 2 Char"/>
    <w:basedOn w:val="a1"/>
    <w:link w:val="2"/>
    <w:uiPriority w:val="99"/>
    <w:locked/>
    <w:rPr>
      <w:rFonts w:ascii="Cambria" w:eastAsia="宋体" w:hAnsi="Cambria" w:cs="Times New Roman"/>
      <w:b/>
      <w:bCs/>
      <w:kern w:val="2"/>
      <w:sz w:val="32"/>
      <w:szCs w:val="32"/>
    </w:rPr>
  </w:style>
  <w:style w:type="character" w:customStyle="1" w:styleId="3Char">
    <w:name w:val="标题 3 Char"/>
    <w:basedOn w:val="a1"/>
    <w:link w:val="3"/>
    <w:uiPriority w:val="99"/>
    <w:locked/>
    <w:rPr>
      <w:rFonts w:ascii="Times New Roman" w:hAnsi="Times New Roman" w:cs="Times New Roman"/>
      <w:b/>
      <w:bCs/>
      <w:kern w:val="2"/>
      <w:sz w:val="32"/>
      <w:szCs w:val="32"/>
    </w:rPr>
  </w:style>
  <w:style w:type="character" w:customStyle="1" w:styleId="BodyTextChar">
    <w:name w:val="Body Text Char"/>
    <w:basedOn w:val="a1"/>
    <w:uiPriority w:val="99"/>
    <w:semiHidden/>
    <w:rPr>
      <w:rFonts w:ascii="Times New Roman" w:hAnsi="Times New Roman" w:cs="Times New Roman"/>
      <w:sz w:val="24"/>
      <w:szCs w:val="24"/>
    </w:rPr>
  </w:style>
  <w:style w:type="character" w:customStyle="1" w:styleId="Char0">
    <w:name w:val="批注框文本 Char"/>
    <w:basedOn w:val="a1"/>
    <w:link w:val="a4"/>
    <w:uiPriority w:val="99"/>
    <w:semiHidden/>
    <w:locked/>
    <w:rPr>
      <w:rFonts w:ascii="Times New Roman" w:hAnsi="Times New Roman" w:cs="Times New Roman"/>
      <w:kern w:val="2"/>
      <w:sz w:val="18"/>
      <w:szCs w:val="18"/>
    </w:rPr>
  </w:style>
  <w:style w:type="character" w:customStyle="1" w:styleId="FooterChar">
    <w:name w:val="Footer Char"/>
    <w:basedOn w:val="a1"/>
    <w:uiPriority w:val="99"/>
    <w:semiHidden/>
    <w:rPr>
      <w:rFonts w:ascii="Times New Roman" w:hAnsi="Times New Roman" w:cs="Times New Roman"/>
      <w:sz w:val="18"/>
      <w:szCs w:val="18"/>
    </w:rPr>
  </w:style>
  <w:style w:type="character" w:customStyle="1" w:styleId="HeaderChar">
    <w:name w:val="Header Char"/>
    <w:basedOn w:val="a1"/>
    <w:uiPriority w:val="99"/>
    <w:semiHidden/>
    <w:rPr>
      <w:rFonts w:ascii="Times New Roman" w:hAnsi="Times New Roman" w:cs="Times New Roman"/>
      <w:sz w:val="18"/>
      <w:szCs w:val="18"/>
    </w:rPr>
  </w:style>
  <w:style w:type="character" w:customStyle="1" w:styleId="Char2">
    <w:name w:val="页眉 Char"/>
    <w:link w:val="a6"/>
    <w:uiPriority w:val="99"/>
    <w:semiHidden/>
    <w:locked/>
    <w:rPr>
      <w:sz w:val="18"/>
    </w:rPr>
  </w:style>
  <w:style w:type="character" w:customStyle="1" w:styleId="Char1">
    <w:name w:val="页脚 Char"/>
    <w:link w:val="a5"/>
    <w:uiPriority w:val="99"/>
    <w:locked/>
    <w:rPr>
      <w:sz w:val="18"/>
    </w:rPr>
  </w:style>
  <w:style w:type="character" w:customStyle="1" w:styleId="Char">
    <w:name w:val="正文文本 Char"/>
    <w:link w:val="a0"/>
    <w:uiPriority w:val="99"/>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paragraph" w:styleId="aa">
    <w:name w:val="List Paragraph"/>
    <w:basedOn w:val="a"/>
    <w:uiPriority w:val="99"/>
    <w:qFormat/>
    <w:pPr>
      <w:ind w:firstLineChars="200" w:firstLine="420"/>
    </w:pPr>
  </w:style>
  <w:style w:type="paragraph" w:customStyle="1" w:styleId="TOC1">
    <w:name w:val="TOC 标题1"/>
    <w:basedOn w:val="1"/>
    <w:next w:val="a"/>
    <w:uiPriority w:val="99"/>
    <w:pPr>
      <w:widowControl/>
      <w:spacing w:before="480" w:after="0" w:line="276" w:lineRule="auto"/>
      <w:jc w:val="left"/>
      <w:outlineLvl w:val="9"/>
    </w:pPr>
    <w:rPr>
      <w:rFonts w:ascii="Cambria" w:hAnsi="Cambria"/>
      <w:color w:val="365F91"/>
      <w:kern w:val="0"/>
      <w:sz w:val="28"/>
      <w:szCs w:val="28"/>
    </w:rPr>
  </w:style>
  <w:style w:type="paragraph" w:customStyle="1" w:styleId="TOC2">
    <w:name w:val="TOC 标题2"/>
    <w:basedOn w:val="1"/>
    <w:next w:val="a"/>
    <w:uiPriority w:val="99"/>
    <w:qFormat/>
    <w:pPr>
      <w:widowControl/>
      <w:spacing w:before="480" w:after="0" w:line="276" w:lineRule="auto"/>
      <w:jc w:val="left"/>
      <w:outlineLvl w:val="9"/>
    </w:pPr>
    <w:rPr>
      <w:rFonts w:ascii="Cambria" w:hAnsi="Cambria"/>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lsdException w:name="toc 2" w:semiHidden="0" w:unhideWhenUsed="0"/>
    <w:lsdException w:name="toc 3"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Body Text" w:semiHidden="0" w:unhideWhenUsed="0"/>
    <w:lsdException w:name="Subtitle" w:locked="1" w:semiHidden="0" w:uiPriority="0" w:unhideWhenUsed="0" w:qFormat="1"/>
    <w:lsdException w:name="Hyperlink" w:semiHidden="0" w:unhideWhenUsed="0"/>
    <w:lsdException w:name="Strong" w:semiHidden="0" w:unhideWhenUsed="0" w:qFormat="1"/>
    <w:lsdException w:name="Emphasis" w:locked="1" w:semiHidden="0" w:uiPriority="0" w:unhideWhenUsed="0" w:qFormat="1"/>
    <w:lsdException w:name="Normal (Web)" w:semiHidden="0" w:unhideWhenUsed="0"/>
    <w:lsdException w:name="Balloon Text" w:unhideWhenUsed="0"/>
    <w:lsdException w:name="Table Grid" w:locked="1"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pPr>
      <w:spacing w:beforeLines="30"/>
    </w:pPr>
    <w:rPr>
      <w:rFonts w:ascii="仿宋_GB2312" w:eastAsia="仿宋_GB2312"/>
      <w:kern w:val="0"/>
      <w:sz w:val="24"/>
      <w:szCs w:val="20"/>
    </w:rPr>
  </w:style>
  <w:style w:type="paragraph" w:styleId="30">
    <w:name w:val="toc 3"/>
    <w:basedOn w:val="a"/>
    <w:next w:val="a"/>
    <w:uiPriority w:val="99"/>
    <w:pPr>
      <w:tabs>
        <w:tab w:val="right" w:leader="dot" w:pos="8296"/>
      </w:tabs>
      <w:ind w:leftChars="400" w:left="840"/>
    </w:pPr>
  </w:style>
  <w:style w:type="paragraph" w:styleId="a4">
    <w:name w:val="Balloon Text"/>
    <w:basedOn w:val="a"/>
    <w:link w:val="Char0"/>
    <w:uiPriority w:val="99"/>
    <w:semiHidden/>
    <w:rPr>
      <w:sz w:val="18"/>
      <w:szCs w:val="18"/>
    </w:rPr>
  </w:style>
  <w:style w:type="paragraph" w:styleId="a5">
    <w:name w:val="footer"/>
    <w:basedOn w:val="a"/>
    <w:link w:val="Char1"/>
    <w:uiPriority w:val="99"/>
    <w:pPr>
      <w:tabs>
        <w:tab w:val="center" w:pos="4153"/>
        <w:tab w:val="right" w:pos="8306"/>
      </w:tabs>
      <w:snapToGrid w:val="0"/>
      <w:jc w:val="left"/>
    </w:pPr>
    <w:rPr>
      <w:rFonts w:ascii="Calibri" w:hAnsi="Calibri"/>
      <w:kern w:val="0"/>
      <w:sz w:val="18"/>
      <w:szCs w:val="20"/>
    </w:rPr>
  </w:style>
  <w:style w:type="paragraph" w:styleId="a6">
    <w:name w:val="header"/>
    <w:basedOn w:val="a"/>
    <w:link w:val="Char2"/>
    <w:uiPriority w:val="99"/>
    <w:semiHidden/>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uiPriority w:val="99"/>
    <w:pPr>
      <w:tabs>
        <w:tab w:val="right" w:leader="dot" w:pos="8296"/>
      </w:tabs>
      <w:spacing w:before="93"/>
      <w:jc w:val="center"/>
    </w:pPr>
    <w:rPr>
      <w:rFonts w:ascii="仿宋" w:eastAsia="仿宋" w:hAnsi="仿宋"/>
      <w:sz w:val="28"/>
      <w:szCs w:val="28"/>
    </w:rPr>
  </w:style>
  <w:style w:type="paragraph" w:styleId="20">
    <w:name w:val="toc 2"/>
    <w:basedOn w:val="a"/>
    <w:next w:val="a"/>
    <w:uiPriority w:val="99"/>
    <w:pPr>
      <w:tabs>
        <w:tab w:val="right" w:leader="dot" w:pos="8296"/>
      </w:tabs>
      <w:ind w:leftChars="200" w:left="420"/>
    </w:pPr>
  </w:style>
  <w:style w:type="paragraph" w:styleId="a7">
    <w:name w:val="Normal (Web)"/>
    <w:basedOn w:val="a"/>
    <w:uiPriority w:val="99"/>
    <w:pPr>
      <w:spacing w:beforeAutospacing="1" w:afterAutospacing="1"/>
      <w:jc w:val="left"/>
    </w:pPr>
    <w:rPr>
      <w:rFonts w:eastAsia="仿宋_GB2312"/>
      <w:kern w:val="0"/>
      <w:sz w:val="24"/>
      <w:szCs w:val="32"/>
    </w:rPr>
  </w:style>
  <w:style w:type="character" w:styleId="a8">
    <w:name w:val="Strong"/>
    <w:basedOn w:val="a1"/>
    <w:uiPriority w:val="99"/>
    <w:qFormat/>
    <w:rPr>
      <w:rFonts w:cs="Times New Roman"/>
      <w:b/>
    </w:rPr>
  </w:style>
  <w:style w:type="character" w:styleId="a9">
    <w:name w:val="Hyperlink"/>
    <w:basedOn w:val="a1"/>
    <w:uiPriority w:val="99"/>
    <w:rPr>
      <w:rFonts w:cs="Times New Roman"/>
      <w:color w:val="0000FF"/>
      <w:u w:val="single"/>
    </w:rPr>
  </w:style>
  <w:style w:type="character" w:customStyle="1" w:styleId="1Char">
    <w:name w:val="标题 1 Char"/>
    <w:basedOn w:val="a1"/>
    <w:link w:val="1"/>
    <w:uiPriority w:val="99"/>
    <w:locked/>
    <w:rPr>
      <w:rFonts w:ascii="Times New Roman" w:hAnsi="Times New Roman" w:cs="Times New Roman"/>
      <w:b/>
      <w:bCs/>
      <w:kern w:val="44"/>
      <w:sz w:val="44"/>
      <w:szCs w:val="44"/>
    </w:rPr>
  </w:style>
  <w:style w:type="character" w:customStyle="1" w:styleId="2Char">
    <w:name w:val="标题 2 Char"/>
    <w:basedOn w:val="a1"/>
    <w:link w:val="2"/>
    <w:uiPriority w:val="99"/>
    <w:locked/>
    <w:rPr>
      <w:rFonts w:ascii="Cambria" w:eastAsia="宋体" w:hAnsi="Cambria" w:cs="Times New Roman"/>
      <w:b/>
      <w:bCs/>
      <w:kern w:val="2"/>
      <w:sz w:val="32"/>
      <w:szCs w:val="32"/>
    </w:rPr>
  </w:style>
  <w:style w:type="character" w:customStyle="1" w:styleId="3Char">
    <w:name w:val="标题 3 Char"/>
    <w:basedOn w:val="a1"/>
    <w:link w:val="3"/>
    <w:uiPriority w:val="99"/>
    <w:locked/>
    <w:rPr>
      <w:rFonts w:ascii="Times New Roman" w:hAnsi="Times New Roman" w:cs="Times New Roman"/>
      <w:b/>
      <w:bCs/>
      <w:kern w:val="2"/>
      <w:sz w:val="32"/>
      <w:szCs w:val="32"/>
    </w:rPr>
  </w:style>
  <w:style w:type="character" w:customStyle="1" w:styleId="BodyTextChar">
    <w:name w:val="Body Text Char"/>
    <w:basedOn w:val="a1"/>
    <w:uiPriority w:val="99"/>
    <w:semiHidden/>
    <w:rPr>
      <w:rFonts w:ascii="Times New Roman" w:hAnsi="Times New Roman" w:cs="Times New Roman"/>
      <w:sz w:val="24"/>
      <w:szCs w:val="24"/>
    </w:rPr>
  </w:style>
  <w:style w:type="character" w:customStyle="1" w:styleId="Char0">
    <w:name w:val="批注框文本 Char"/>
    <w:basedOn w:val="a1"/>
    <w:link w:val="a4"/>
    <w:uiPriority w:val="99"/>
    <w:semiHidden/>
    <w:locked/>
    <w:rPr>
      <w:rFonts w:ascii="Times New Roman" w:hAnsi="Times New Roman" w:cs="Times New Roman"/>
      <w:kern w:val="2"/>
      <w:sz w:val="18"/>
      <w:szCs w:val="18"/>
    </w:rPr>
  </w:style>
  <w:style w:type="character" w:customStyle="1" w:styleId="FooterChar">
    <w:name w:val="Footer Char"/>
    <w:basedOn w:val="a1"/>
    <w:uiPriority w:val="99"/>
    <w:semiHidden/>
    <w:rPr>
      <w:rFonts w:ascii="Times New Roman" w:hAnsi="Times New Roman" w:cs="Times New Roman"/>
      <w:sz w:val="18"/>
      <w:szCs w:val="18"/>
    </w:rPr>
  </w:style>
  <w:style w:type="character" w:customStyle="1" w:styleId="HeaderChar">
    <w:name w:val="Header Char"/>
    <w:basedOn w:val="a1"/>
    <w:uiPriority w:val="99"/>
    <w:semiHidden/>
    <w:rPr>
      <w:rFonts w:ascii="Times New Roman" w:hAnsi="Times New Roman" w:cs="Times New Roman"/>
      <w:sz w:val="18"/>
      <w:szCs w:val="18"/>
    </w:rPr>
  </w:style>
  <w:style w:type="character" w:customStyle="1" w:styleId="Char2">
    <w:name w:val="页眉 Char"/>
    <w:link w:val="a6"/>
    <w:uiPriority w:val="99"/>
    <w:semiHidden/>
    <w:locked/>
    <w:rPr>
      <w:sz w:val="18"/>
    </w:rPr>
  </w:style>
  <w:style w:type="character" w:customStyle="1" w:styleId="Char1">
    <w:name w:val="页脚 Char"/>
    <w:link w:val="a5"/>
    <w:uiPriority w:val="99"/>
    <w:locked/>
    <w:rPr>
      <w:sz w:val="18"/>
    </w:rPr>
  </w:style>
  <w:style w:type="character" w:customStyle="1" w:styleId="Char">
    <w:name w:val="正文文本 Char"/>
    <w:link w:val="a0"/>
    <w:uiPriority w:val="99"/>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paragraph" w:styleId="aa">
    <w:name w:val="List Paragraph"/>
    <w:basedOn w:val="a"/>
    <w:uiPriority w:val="99"/>
    <w:qFormat/>
    <w:pPr>
      <w:ind w:firstLineChars="200" w:firstLine="420"/>
    </w:pPr>
  </w:style>
  <w:style w:type="paragraph" w:customStyle="1" w:styleId="TOC1">
    <w:name w:val="TOC 标题1"/>
    <w:basedOn w:val="1"/>
    <w:next w:val="a"/>
    <w:uiPriority w:val="99"/>
    <w:pPr>
      <w:widowControl/>
      <w:spacing w:before="480" w:after="0" w:line="276" w:lineRule="auto"/>
      <w:jc w:val="left"/>
      <w:outlineLvl w:val="9"/>
    </w:pPr>
    <w:rPr>
      <w:rFonts w:ascii="Cambria" w:hAnsi="Cambria"/>
      <w:color w:val="365F91"/>
      <w:kern w:val="0"/>
      <w:sz w:val="28"/>
      <w:szCs w:val="28"/>
    </w:rPr>
  </w:style>
  <w:style w:type="paragraph" w:customStyle="1" w:styleId="TOC2">
    <w:name w:val="TOC 标题2"/>
    <w:basedOn w:val="1"/>
    <w:next w:val="a"/>
    <w:uiPriority w:val="99"/>
    <w:qFormat/>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396" b="0" i="0" u="none" strike="noStrike" kern="1200" spc="0" baseline="0">
                <a:solidFill>
                  <a:schemeClr val="tx1">
                    <a:lumMod val="65000"/>
                    <a:lumOff val="35000"/>
                  </a:schemeClr>
                </a:solidFill>
                <a:latin typeface="+mn-lt"/>
                <a:ea typeface="+mn-ea"/>
                <a:cs typeface="+mn-cs"/>
              </a:defRPr>
            </a:pPr>
            <a:r>
              <a:rPr lang="zh-CN" altLang="en-US"/>
              <a:t>图</a:t>
            </a:r>
            <a:r>
              <a:rPr lang="en-US" altLang="zh-CN"/>
              <a:t>2</a:t>
            </a:r>
            <a:r>
              <a:rPr lang="zh-CN" altLang="en-US"/>
              <a:t>：收入决算结构图</a:t>
            </a:r>
            <a:endParaRPr lang="en-US" altLang="zh-CN"/>
          </a:p>
          <a:p>
            <a:pPr>
              <a:defRPr lang="zh-CN" sz="1396" b="0" i="0" u="none" strike="noStrike" kern="1200" spc="0" baseline="0">
                <a:solidFill>
                  <a:schemeClr val="tx1">
                    <a:lumMod val="65000"/>
                    <a:lumOff val="35000"/>
                  </a:schemeClr>
                </a:solidFill>
                <a:latin typeface="+mn-lt"/>
                <a:ea typeface="+mn-ea"/>
                <a:cs typeface="+mn-cs"/>
              </a:defRPr>
            </a:pPr>
            <a:r>
              <a:rPr lang="zh-CN" altLang="en-US"/>
              <a:t>（单位：万元）</a:t>
            </a:r>
          </a:p>
        </c:rich>
      </c:tx>
      <c:layout>
        <c:manualLayout>
          <c:xMode val="edge"/>
          <c:yMode val="edge"/>
          <c:x val="0.31326949384404923"/>
          <c:y val="1.9950124688279301E-2"/>
        </c:manualLayout>
      </c:layout>
      <c:overlay val="0"/>
      <c:spPr>
        <a:noFill/>
        <a:ln w="25355">
          <a:noFill/>
        </a:ln>
      </c:spPr>
    </c:title>
    <c:autoTitleDeleted val="0"/>
    <c:plotArea>
      <c:layout>
        <c:manualLayout>
          <c:layoutTarget val="inner"/>
          <c:xMode val="edge"/>
          <c:yMode val="edge"/>
          <c:x val="0.36662106703146374"/>
          <c:y val="0.371571072319202"/>
          <c:w val="0.2476060191518468"/>
          <c:h val="0.45137157107231918"/>
        </c:manualLayout>
      </c:layout>
      <c:pieChart>
        <c:varyColors val="1"/>
        <c:ser>
          <c:idx val="0"/>
          <c:order val="0"/>
          <c:tx>
            <c:strRef>
              <c:f>Sheet1!$C$22</c:f>
              <c:strCache>
                <c:ptCount val="1"/>
                <c:pt idx="0">
                  <c:v>图2：收入决算结构图（单位：万元）</c:v>
                </c:pt>
              </c:strCache>
            </c:strRef>
          </c:tx>
          <c:dPt>
            <c:idx val="0"/>
            <c:bubble3D val="0"/>
            <c:spPr>
              <a:solidFill>
                <a:schemeClr val="accent1"/>
              </a:solidFill>
              <a:ln w="19016">
                <a:solidFill>
                  <a:schemeClr val="lt1"/>
                </a:solidFill>
              </a:ln>
              <a:effectLst/>
            </c:spPr>
          </c:dPt>
          <c:dPt>
            <c:idx val="1"/>
            <c:bubble3D val="0"/>
            <c:spPr>
              <a:solidFill>
                <a:schemeClr val="accent2"/>
              </a:solidFill>
              <a:ln w="19016">
                <a:solidFill>
                  <a:schemeClr val="lt1"/>
                </a:solidFill>
              </a:ln>
              <a:effectLst/>
            </c:spPr>
          </c:dPt>
          <c:dLbls>
            <c:spPr>
              <a:noFill/>
              <a:ln w="25355">
                <a:noFill/>
              </a:ln>
            </c:spPr>
            <c:txPr>
              <a:bodyPr rot="0" spcFirstLastPara="0" vertOverflow="ellipsis" vert="horz" wrap="square" lIns="38100" tIns="19050" rIns="38100" bIns="19050" anchor="ctr" anchorCtr="1"/>
              <a:lstStyle/>
              <a:p>
                <a:pPr>
                  <a:defRPr lang="zh-CN" sz="898"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dLbls>
          <c:cat>
            <c:strRef>
              <c:f>Sheet1!$B$23:$B$24</c:f>
              <c:strCache>
                <c:ptCount val="2"/>
                <c:pt idx="0">
                  <c:v>一般公共预算财政拨款收入</c:v>
                </c:pt>
                <c:pt idx="1">
                  <c:v>其他收入</c:v>
                </c:pt>
              </c:strCache>
            </c:strRef>
          </c:cat>
          <c:val>
            <c:numRef>
              <c:f>Sheet1!$C$23:$C$24</c:f>
              <c:numCache>
                <c:formatCode>#,##0.00</c:formatCode>
                <c:ptCount val="2"/>
                <c:pt idx="0">
                  <c:v>15785.33</c:v>
                </c:pt>
                <c:pt idx="1">
                  <c:v>98.53</c:v>
                </c:pt>
              </c:numCache>
            </c:numRef>
          </c:val>
        </c:ser>
        <c:dLbls>
          <c:showLegendKey val="0"/>
          <c:showVal val="1"/>
          <c:showCatName val="0"/>
          <c:showSerName val="0"/>
          <c:showPercent val="0"/>
          <c:showBubbleSize val="0"/>
          <c:showLeaderLines val="1"/>
        </c:dLbls>
        <c:firstSliceAng val="0"/>
      </c:pieChart>
      <c:spPr>
        <a:noFill/>
        <a:ln w="25355">
          <a:noFill/>
        </a:ln>
      </c:spPr>
    </c:plotArea>
    <c:legend>
      <c:legendPos val="r"/>
      <c:layout>
        <c:manualLayout>
          <c:xMode val="edge"/>
          <c:yMode val="edge"/>
          <c:x val="0.22708618331053351"/>
          <c:y val="0.92019950124688277"/>
          <c:w val="0.53898768809849518"/>
          <c:h val="8.2294264339152115E-2"/>
        </c:manualLayout>
      </c:layout>
      <c:overlay val="0"/>
      <c:spPr>
        <a:noFill/>
        <a:ln w="25355">
          <a:noFill/>
        </a:ln>
      </c:spPr>
      <c:txPr>
        <a:bodyPr rot="0" spcFirstLastPara="0" vertOverflow="ellipsis" vert="horz" wrap="square" anchor="ctr" anchorCtr="1"/>
        <a:lstStyle/>
        <a:p>
          <a:pPr>
            <a:defRPr lang="zh-CN" sz="898"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08" cap="flat" cmpd="sng" algn="ctr">
      <a:solidFill>
        <a:schemeClr val="tx1">
          <a:lumMod val="15000"/>
          <a:lumOff val="85000"/>
        </a:schemeClr>
      </a:solidFill>
      <a:prstDash val="solid"/>
      <a:round/>
    </a:ln>
    <a:effectLst/>
  </c:spPr>
  <c:txPr>
    <a:bodyPr/>
    <a:lstStyle/>
    <a:p>
      <a:pPr>
        <a:defRPr lang="zh-CN"/>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1138545953360769"/>
          <c:y val="1.9753086419753086E-2"/>
        </c:manualLayout>
      </c:layout>
      <c:overlay val="0"/>
      <c:spPr>
        <a:noFill/>
        <a:ln w="25391">
          <a:noFill/>
        </a:ln>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35939643347050754"/>
          <c:y val="0.36049382716049383"/>
          <c:w val="0.26200274348422498"/>
          <c:h val="0.47160493827160493"/>
        </c:manualLayout>
      </c:layout>
      <c:pieChart>
        <c:varyColors val="1"/>
        <c:ser>
          <c:idx val="0"/>
          <c:order val="0"/>
          <c:tx>
            <c:strRef>
              <c:f>Sheet1!$A$41</c:f>
              <c:strCache>
                <c:ptCount val="1"/>
                <c:pt idx="0">
                  <c:v>图3：支出决算结构图
（单位：万元）</c:v>
                </c:pt>
              </c:strCache>
            </c:strRef>
          </c:tx>
          <c:dPt>
            <c:idx val="0"/>
            <c:bubble3D val="0"/>
            <c:spPr>
              <a:solidFill>
                <a:schemeClr val="accent1"/>
              </a:solidFill>
              <a:ln w="19043">
                <a:solidFill>
                  <a:schemeClr val="lt1"/>
                </a:solidFill>
              </a:ln>
              <a:effectLst/>
            </c:spPr>
          </c:dPt>
          <c:dPt>
            <c:idx val="1"/>
            <c:bubble3D val="0"/>
            <c:spPr>
              <a:solidFill>
                <a:schemeClr val="accent2"/>
              </a:solidFill>
              <a:ln w="19043">
                <a:solidFill>
                  <a:schemeClr val="lt1"/>
                </a:solidFill>
              </a:ln>
              <a:effectLst/>
            </c:spPr>
          </c:dPt>
          <c:dLbls>
            <c:dLbl>
              <c:idx val="0"/>
              <c:layout>
                <c:manualLayout>
                  <c:x val="-5.41618376681774E-2"/>
                  <c:y val="-0.17493566414505199"/>
                </c:manualLayout>
              </c:layout>
              <c:tx>
                <c:rich>
                  <a:bodyPr/>
                  <a:lstStyle/>
                  <a:p>
                    <a:r>
                      <a:rPr lang="en-US" altLang="zh-CN"/>
                      <a:t>14,219.61</a:t>
                    </a:r>
                  </a:p>
                </c:rich>
              </c:tx>
              <c:dLblPos val="bestFit"/>
              <c:showLegendKey val="0"/>
              <c:showVal val="0"/>
              <c:showCatName val="0"/>
              <c:showSerName val="0"/>
              <c:showPercent val="0"/>
              <c:showBubbleSize val="0"/>
            </c:dLbl>
            <c:dLbl>
              <c:idx val="1"/>
              <c:layout>
                <c:manualLayout>
                  <c:x val="6.55280176136738E-2"/>
                  <c:y val="0.10462162012374703"/>
                </c:manualLayout>
              </c:layout>
              <c:tx>
                <c:rich>
                  <a:bodyPr/>
                  <a:lstStyle/>
                  <a:p>
                    <a:r>
                      <a:rPr lang="en-US" altLang="zh-CN"/>
                      <a:t>1,655.38</a:t>
                    </a:r>
                  </a:p>
                </c:rich>
              </c:tx>
              <c:dLblPos val="bestFit"/>
              <c:showLegendKey val="0"/>
              <c:showVal val="0"/>
              <c:showCatName val="0"/>
              <c:showSerName val="0"/>
              <c:showPercent val="0"/>
              <c:showBubbleSize val="0"/>
            </c:dLbl>
            <c:numFmt formatCode="0.00%" sourceLinked="0"/>
            <c:spPr>
              <a:noFill/>
              <a:ln w="25391">
                <a:noFill/>
              </a:ln>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1"/>
            <c:showBubbleSize val="0"/>
            <c:showLeaderLines val="1"/>
          </c:dLbls>
          <c:cat>
            <c:strRef>
              <c:f>Sheet1!$B$37:$C$40</c:f>
              <c:strCache>
                <c:ptCount val="2"/>
                <c:pt idx="0">
                  <c:v>基本支出</c:v>
                </c:pt>
                <c:pt idx="1">
                  <c:v>项目支出</c:v>
                </c:pt>
              </c:strCache>
            </c:strRef>
          </c:cat>
          <c:val>
            <c:numRef>
              <c:f>Sheet1!$B$41:$C$41</c:f>
              <c:numCache>
                <c:formatCode>General</c:formatCode>
                <c:ptCount val="2"/>
                <c:pt idx="0">
                  <c:v>14219.61</c:v>
                </c:pt>
                <c:pt idx="1">
                  <c:v>1655.38</c:v>
                </c:pt>
              </c:numCache>
            </c:numRef>
          </c:val>
        </c:ser>
        <c:dLbls>
          <c:showLegendKey val="0"/>
          <c:showVal val="1"/>
          <c:showCatName val="0"/>
          <c:showSerName val="0"/>
          <c:showPercent val="0"/>
          <c:showBubbleSize val="0"/>
          <c:showLeaderLines val="1"/>
        </c:dLbls>
        <c:firstSliceAng val="0"/>
      </c:pieChart>
      <c:spPr>
        <a:noFill/>
        <a:ln w="25391">
          <a:noFill/>
        </a:ln>
      </c:spPr>
    </c:plotArea>
    <c:legend>
      <c:legendPos val="r"/>
      <c:layout>
        <c:manualLayout>
          <c:xMode val="edge"/>
          <c:yMode val="edge"/>
          <c:x val="0.34842249657064472"/>
          <c:y val="0.92098765432098761"/>
          <c:w val="0.30178326474622769"/>
          <c:h val="8.1481481481481488E-2"/>
        </c:manualLayout>
      </c:layout>
      <c:overlay val="0"/>
      <c:spPr>
        <a:noFill/>
        <a:ln w="25391">
          <a:noFill/>
        </a:ln>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2" cap="flat" cmpd="sng" algn="ctr">
      <a:solidFill>
        <a:schemeClr val="tx1">
          <a:lumMod val="15000"/>
          <a:lumOff val="85000"/>
        </a:schemeClr>
      </a:solidFill>
      <a:prstDash val="solid"/>
      <a:round/>
    </a:ln>
    <a:effectLst/>
  </c:spPr>
  <c:txPr>
    <a:bodyPr/>
    <a:lstStyle/>
    <a:p>
      <a:pPr>
        <a:defRPr lang="zh-CN"/>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394" b="0" i="0" u="none" strike="noStrike" kern="1200" spc="0" baseline="0">
                <a:solidFill>
                  <a:schemeClr val="tx1">
                    <a:lumMod val="65000"/>
                    <a:lumOff val="35000"/>
                  </a:schemeClr>
                </a:solidFill>
                <a:latin typeface="+mn-lt"/>
                <a:ea typeface="+mn-ea"/>
                <a:cs typeface="+mn-cs"/>
              </a:defRPr>
            </a:pPr>
            <a:r>
              <a:rPr lang="zh-CN" altLang="en-US"/>
              <a:t>图</a:t>
            </a:r>
            <a:r>
              <a:rPr lang="en-US" altLang="zh-CN"/>
              <a:t>7</a:t>
            </a:r>
            <a:r>
              <a:rPr lang="zh-CN" altLang="en-US"/>
              <a:t>：“三公”经费财政拨款支出结构</a:t>
            </a:r>
            <a:endParaRPr lang="en-US" altLang="zh-CN"/>
          </a:p>
          <a:p>
            <a:pPr>
              <a:defRPr lang="zh-CN" sz="1394" b="0" i="0" u="none" strike="noStrike" kern="1200" spc="0" baseline="0">
                <a:solidFill>
                  <a:schemeClr val="tx1">
                    <a:lumMod val="65000"/>
                    <a:lumOff val="35000"/>
                  </a:schemeClr>
                </a:solidFill>
                <a:latin typeface="+mn-lt"/>
                <a:ea typeface="+mn-ea"/>
                <a:cs typeface="+mn-cs"/>
              </a:defRPr>
            </a:pPr>
            <a:r>
              <a:rPr lang="zh-CN" altLang="en-US"/>
              <a:t>（单位：万元）</a:t>
            </a:r>
          </a:p>
        </c:rich>
      </c:tx>
      <c:layout>
        <c:manualLayout>
          <c:xMode val="edge"/>
          <c:yMode val="edge"/>
          <c:x val="0.20352781546811397"/>
          <c:y val="2.0253164556962026E-2"/>
        </c:manualLayout>
      </c:layout>
      <c:overlay val="0"/>
      <c:spPr>
        <a:noFill/>
        <a:ln w="25346">
          <a:noFill/>
        </a:ln>
      </c:spPr>
    </c:title>
    <c:autoTitleDeleted val="0"/>
    <c:plotArea>
      <c:layout>
        <c:manualLayout>
          <c:layoutTarget val="inner"/>
          <c:xMode val="edge"/>
          <c:yMode val="edge"/>
          <c:x val="0.36906377204884666"/>
          <c:y val="0.3721518987341772"/>
          <c:w val="0.24287652645861602"/>
          <c:h val="0.45316455696202529"/>
        </c:manualLayout>
      </c:layout>
      <c:pieChart>
        <c:varyColors val="1"/>
        <c:ser>
          <c:idx val="0"/>
          <c:order val="0"/>
          <c:tx>
            <c:strRef>
              <c:f>Sheet1!$B$106</c:f>
              <c:strCache>
                <c:ptCount val="1"/>
                <c:pt idx="0">
                  <c:v>图7：“三公”经费财政拨款支出结构（单位：万元）</c:v>
                </c:pt>
              </c:strCache>
            </c:strRef>
          </c:tx>
          <c:dPt>
            <c:idx val="0"/>
            <c:bubble3D val="0"/>
            <c:spPr>
              <a:solidFill>
                <a:schemeClr val="accent1"/>
              </a:solidFill>
              <a:ln w="19010">
                <a:solidFill>
                  <a:schemeClr val="lt1"/>
                </a:solidFill>
              </a:ln>
              <a:effectLst/>
            </c:spPr>
          </c:dPt>
          <c:dPt>
            <c:idx val="1"/>
            <c:bubble3D val="0"/>
            <c:spPr>
              <a:solidFill>
                <a:schemeClr val="accent2"/>
              </a:solidFill>
              <a:ln w="19010">
                <a:solidFill>
                  <a:schemeClr val="lt1"/>
                </a:solidFill>
              </a:ln>
              <a:effectLst/>
            </c:spPr>
          </c:dPt>
          <c:dLbls>
            <c:dLbl>
              <c:idx val="0"/>
              <c:layout>
                <c:manualLayout>
                  <c:x val="5.7275627917984004E-2"/>
                  <c:y val="-0.18246639801416611"/>
                </c:manualLayout>
              </c:layout>
              <c:dLblPos val="bestFit"/>
              <c:showLegendKey val="0"/>
              <c:showVal val="1"/>
              <c:showCatName val="0"/>
              <c:showSerName val="0"/>
              <c:showPercent val="0"/>
              <c:showBubbleSize val="0"/>
            </c:dLbl>
            <c:spPr>
              <a:noFill/>
              <a:ln w="25346">
                <a:noFill/>
              </a:ln>
            </c:spPr>
            <c:txPr>
              <a:bodyPr rot="0" spcFirstLastPara="0" vertOverflow="ellipsis" vert="horz" wrap="square" lIns="38100" tIns="19050" rIns="38100" bIns="19050" anchor="ctr" anchorCtr="1"/>
              <a:lstStyle/>
              <a:p>
                <a:pPr>
                  <a:defRPr lang="zh-CN" sz="898"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dLbls>
          <c:cat>
            <c:strRef>
              <c:f>Sheet1!$A$107:$A$108</c:f>
              <c:strCache>
                <c:ptCount val="2"/>
                <c:pt idx="0">
                  <c:v>公务用车购置及运行维护费</c:v>
                </c:pt>
                <c:pt idx="1">
                  <c:v>公务接待费</c:v>
                </c:pt>
              </c:strCache>
            </c:strRef>
          </c:cat>
          <c:val>
            <c:numRef>
              <c:f>Sheet1!$B$107:$B$108</c:f>
              <c:numCache>
                <c:formatCode>General</c:formatCode>
                <c:ptCount val="2"/>
                <c:pt idx="0">
                  <c:v>76.56</c:v>
                </c:pt>
                <c:pt idx="1">
                  <c:v>0</c:v>
                </c:pt>
              </c:numCache>
            </c:numRef>
          </c:val>
        </c:ser>
        <c:dLbls>
          <c:showLegendKey val="0"/>
          <c:showVal val="1"/>
          <c:showCatName val="0"/>
          <c:showSerName val="0"/>
          <c:showPercent val="0"/>
          <c:showBubbleSize val="0"/>
          <c:showLeaderLines val="1"/>
        </c:dLbls>
        <c:firstSliceAng val="0"/>
      </c:pieChart>
      <c:spPr>
        <a:noFill/>
        <a:ln w="25346">
          <a:noFill/>
        </a:ln>
      </c:spPr>
    </c:plotArea>
    <c:legend>
      <c:legendPos val="r"/>
      <c:layout>
        <c:manualLayout>
          <c:xMode val="edge"/>
          <c:yMode val="edge"/>
          <c:x val="0.2157394843962008"/>
          <c:y val="0.91898734177215191"/>
          <c:w val="0.56173677069199457"/>
          <c:h val="8.3544303797468356E-2"/>
        </c:manualLayout>
      </c:layout>
      <c:overlay val="0"/>
      <c:spPr>
        <a:noFill/>
        <a:ln w="25346">
          <a:noFill/>
        </a:ln>
      </c:spPr>
      <c:txPr>
        <a:bodyPr rot="0" spcFirstLastPara="0" vertOverflow="ellipsis" vert="horz" wrap="square" anchor="ctr" anchorCtr="1"/>
        <a:lstStyle/>
        <a:p>
          <a:pPr>
            <a:defRPr lang="zh-CN" sz="898"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05" cap="flat" cmpd="sng" algn="ctr">
      <a:solidFill>
        <a:schemeClr val="tx1">
          <a:lumMod val="15000"/>
          <a:lumOff val="85000"/>
        </a:schemeClr>
      </a:solidFill>
      <a:prstDash val="solid"/>
      <a:round/>
    </a:ln>
    <a:effectLst/>
  </c:spPr>
  <c:txPr>
    <a:bodyPr/>
    <a:lstStyle/>
    <a:p>
      <a:pPr>
        <a:defRPr lang="zh-CN"/>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FAD3BE0D-2FA0-449A-B9B6-C4E45680605A}">
  <ds:schemaRefs>
    <ds:schemaRef ds:uri="http://www.yonyou.com/relation"/>
  </ds:schemaRefs>
</ds:datastoreItem>
</file>

<file path=customXml/itemProps2.xml><?xml version="1.0" encoding="utf-8"?>
<ds:datastoreItem xmlns:ds="http://schemas.openxmlformats.org/officeDocument/2006/customXml" ds:itemID="{6EB71779-8702-45D6-8BA3-718A1738F2AE}">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6588</Words>
  <Characters>982</Characters>
  <Application>Microsoft Office Word</Application>
  <DocSecurity>0</DocSecurity>
  <Lines>8</Lines>
  <Paragraphs>15</Paragraphs>
  <ScaleCrop>false</ScaleCrop>
  <Company>四川省财政厅</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7</cp:revision>
  <cp:lastPrinted>2022-09-04T03:24:00Z</cp:lastPrinted>
  <dcterms:created xsi:type="dcterms:W3CDTF">2023-09-15T07:59:00Z</dcterms:created>
  <dcterms:modified xsi:type="dcterms:W3CDTF">2023-09-20T02:10:00Z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E536BC6B853B4CD8A549FAA9BD22A590</vt:lpwstr>
  </property>
</Properties>
</file>