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96475"/>
      <w:bookmarkStart w:id="2" w:name="_Toc15377193"/>
      <w:bookmarkStart w:id="3" w:name="_Toc15378441"/>
      <w:bookmarkStart w:id="4" w:name="_Toc15396597"/>
      <w:bookmarkStart w:id="5" w:name="_Toc15377425"/>
      <w:r>
        <w:rPr>
          <w:rFonts w:hint="eastAsia" w:ascii="方正小标宋简体" w:hAnsi="方正小标宋简体" w:eastAsia="方正小标宋简体" w:cs="方正小标宋简体"/>
          <w:sz w:val="72"/>
          <w:szCs w:val="72"/>
        </w:rPr>
        <w:t>2021年</w:t>
      </w:r>
      <w:r>
        <w:rPr>
          <w:rFonts w:hint="eastAsia" w:ascii="方正小标宋简体" w:hAnsi="宋体" w:eastAsia="方正小标宋简体"/>
          <w:sz w:val="72"/>
          <w:szCs w:val="72"/>
        </w:rPr>
        <w:t>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峨眉监狱</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bookmarkStart w:id="67" w:name="_GoBack"/>
      <w:bookmarkEnd w:id="67"/>
    </w:p>
    <w:p>
      <w:pPr>
        <w:widowControl/>
        <w:jc w:val="center"/>
        <w:rPr>
          <w:rFonts w:ascii="黑体" w:hAnsi="黑体" w:eastAsia="黑体" w:cstheme="minorBidi"/>
          <w:sz w:val="28"/>
          <w:szCs w:val="28"/>
        </w:rPr>
      </w:pPr>
    </w:p>
    <w:p>
      <w:pPr>
        <w:pStyle w:val="10"/>
        <w:rPr>
          <w:rFonts w:cs="仿宋"/>
        </w:rPr>
      </w:pPr>
      <w:r>
        <w:rPr>
          <w:rFonts w:hint="eastAsia" w:cs="仿宋"/>
        </w:rPr>
        <w:t>公开时间：2022年9月</w:t>
      </w:r>
      <w:r>
        <w:rPr>
          <w:rFonts w:hint="eastAsia" w:cs="仿宋"/>
          <w:lang w:val="en-US" w:eastAsia="zh-CN"/>
        </w:rPr>
        <w:t>9</w:t>
      </w:r>
      <w:r>
        <w:rPr>
          <w:rFonts w:hint="eastAsia" w:cs="仿宋"/>
        </w:rPr>
        <w:t>日</w:t>
      </w:r>
    </w:p>
    <w:p/>
    <w:p>
      <w:pPr>
        <w:pStyle w:val="10"/>
        <w:adjustRightInd w:val="0"/>
        <w:snapToGrid w:val="0"/>
        <w:spacing w:before="0" w:line="440" w:lineRule="exact"/>
        <w:jc w:val="left"/>
        <w:rPr>
          <w:rFonts w:ascii="Times New Roman" w:hAnsi="Times New Roman"/>
          <w:sz w:val="24"/>
          <w:szCs w:val="24"/>
        </w:rPr>
      </w:pPr>
      <w:r>
        <w:rPr>
          <w:rFonts w:hint="eastAsia"/>
          <w:sz w:val="24"/>
        </w:rPr>
        <w:t>第一部分单位概况</w:t>
      </w:r>
      <w:r>
        <w:rPr>
          <w:rFonts w:ascii="Times New Roman" w:hAnsi="Times New Roman"/>
          <w:sz w:val="24"/>
          <w:szCs w:val="24"/>
        </w:rPr>
        <w:t>...................................................................................................</w:t>
      </w:r>
      <w:r>
        <w:t>4</w:t>
      </w:r>
    </w:p>
    <w:p>
      <w:pPr>
        <w:pStyle w:val="11"/>
        <w:adjustRightInd w:val="0"/>
        <w:snapToGrid w:val="0"/>
        <w:spacing w:line="440" w:lineRule="exact"/>
        <w:jc w:val="left"/>
        <w:rPr>
          <w:sz w:val="28"/>
          <w:szCs w:val="28"/>
        </w:rPr>
      </w:pPr>
      <w:r>
        <w:rPr>
          <w:rFonts w:hint="eastAsia"/>
          <w:sz w:val="24"/>
        </w:rPr>
        <w:t>一、职能简介....................................................................................................</w:t>
      </w:r>
      <w:r>
        <w:rPr>
          <w:rFonts w:hint="eastAsia" w:ascii="仿宋" w:hAnsi="仿宋" w:eastAsia="仿宋"/>
          <w:sz w:val="28"/>
          <w:szCs w:val="28"/>
        </w:rPr>
        <w:t>4</w:t>
      </w:r>
    </w:p>
    <w:p>
      <w:pPr>
        <w:pStyle w:val="11"/>
        <w:adjustRightInd w:val="0"/>
        <w:snapToGrid w:val="0"/>
        <w:spacing w:line="440" w:lineRule="exact"/>
        <w:jc w:val="left"/>
        <w:rPr>
          <w:rFonts w:ascii="仿宋" w:hAnsi="仿宋" w:eastAsia="仿宋"/>
          <w:sz w:val="28"/>
          <w:szCs w:val="28"/>
        </w:rPr>
      </w:pPr>
      <w:r>
        <w:rPr>
          <w:rFonts w:hint="eastAsia" w:asciiTheme="minorEastAsia" w:hAnsiTheme="minorEastAsia" w:eastAsiaTheme="minorEastAsia" w:cstheme="minorEastAsia"/>
          <w:sz w:val="24"/>
        </w:rPr>
        <w:t>二、2021年重点工作完成情况</w:t>
      </w:r>
      <w:r>
        <w:rPr>
          <w:rFonts w:hint="eastAsia" w:eastAsia="仿宋"/>
          <w:sz w:val="24"/>
          <w:szCs w:val="28"/>
        </w:rPr>
        <w:t>....................................</w:t>
      </w:r>
      <w:r>
        <w:rPr>
          <w:rFonts w:hint="eastAsia"/>
          <w:sz w:val="24"/>
        </w:rPr>
        <w:t>...................................</w:t>
      </w:r>
      <w:r>
        <w:rPr>
          <w:rFonts w:hint="eastAsia" w:ascii="仿宋" w:hAnsi="仿宋" w:eastAsia="仿宋"/>
          <w:sz w:val="28"/>
          <w:szCs w:val="28"/>
        </w:rPr>
        <w:t>4</w:t>
      </w:r>
    </w:p>
    <w:p>
      <w:pPr>
        <w:pStyle w:val="11"/>
        <w:adjustRightInd w:val="0"/>
        <w:snapToGrid w:val="0"/>
        <w:spacing w:line="440" w:lineRule="exact"/>
        <w:jc w:val="left"/>
        <w:rPr>
          <w:rFonts w:ascii="仿宋" w:hAnsi="仿宋" w:eastAsia="仿宋" w:cs="仿宋"/>
          <w:sz w:val="28"/>
          <w:szCs w:val="28"/>
        </w:rPr>
      </w:pPr>
      <w:r>
        <w:rPr>
          <w:rFonts w:hint="eastAsia" w:asciiTheme="minorEastAsia" w:hAnsiTheme="minorEastAsia" w:eastAsiaTheme="minorEastAsia" w:cstheme="minorEastAsia"/>
          <w:sz w:val="24"/>
        </w:rPr>
        <w:t>三、机构设置情况</w:t>
      </w:r>
      <w:r>
        <w:rPr>
          <w:rFonts w:hint="eastAsia" w:eastAsia="仿宋"/>
          <w:sz w:val="24"/>
          <w:szCs w:val="28"/>
        </w:rPr>
        <w:t>............................................................................................</w:t>
      </w:r>
      <w:r>
        <w:rPr>
          <w:rFonts w:hint="eastAsia" w:ascii="仿宋" w:hAnsi="仿宋" w:eastAsia="仿宋"/>
          <w:sz w:val="28"/>
          <w:szCs w:val="28"/>
        </w:rPr>
        <w:t>5</w:t>
      </w:r>
    </w:p>
    <w:p>
      <w:pPr>
        <w:pStyle w:val="10"/>
        <w:adjustRightInd w:val="0"/>
        <w:snapToGrid w:val="0"/>
        <w:spacing w:before="0" w:line="440" w:lineRule="exact"/>
        <w:jc w:val="left"/>
        <w:rPr>
          <w:sz w:val="24"/>
          <w:szCs w:val="24"/>
        </w:rPr>
      </w:pPr>
      <w:r>
        <w:rPr>
          <w:rFonts w:hint="eastAsia"/>
          <w:sz w:val="24"/>
        </w:rPr>
        <w:t>第二部分 2021年度部门决算情况说明</w:t>
      </w:r>
      <w:r>
        <w:rPr>
          <w:rFonts w:hint="eastAsia" w:ascii="Times New Roman" w:hAnsi="Times New Roman"/>
          <w:sz w:val="24"/>
        </w:rPr>
        <w:t>................................................................</w:t>
      </w:r>
      <w:r>
        <w:rPr>
          <w:rFonts w:hint="eastAsia"/>
        </w:rPr>
        <w:t>6</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sz w:val="24"/>
        </w:rPr>
        <w:t>....................................................................</w:t>
      </w:r>
      <w:r>
        <w:rPr>
          <w:rFonts w:ascii="仿宋" w:hAnsi="仿宋" w:eastAsia="仿宋"/>
          <w:sz w:val="28"/>
          <w:szCs w:val="28"/>
        </w:rPr>
        <w:t>6</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hint="eastAsia" w:ascii="仿宋" w:hAnsi="仿宋" w:eastAsia="仿宋" w:cs="仿宋"/>
          <w:sz w:val="28"/>
          <w:szCs w:val="28"/>
        </w:rPr>
        <w:t>6</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hint="eastAsia" w:ascii="仿宋" w:hAnsi="仿宋" w:eastAsia="仿宋" w:cs="仿宋"/>
          <w:sz w:val="28"/>
          <w:szCs w:val="28"/>
        </w:rPr>
        <w:t>7</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ascii="仿宋" w:hAnsi="仿宋" w:eastAsia="仿宋" w:cs="仿宋"/>
          <w:sz w:val="28"/>
          <w:szCs w:val="28"/>
        </w:rPr>
        <w:t>7</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ascii="仿宋" w:hAnsi="仿宋" w:eastAsia="仿宋" w:cs="仿宋"/>
          <w:sz w:val="28"/>
          <w:szCs w:val="28"/>
        </w:rPr>
        <w:t>8</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ascii="仿宋" w:hAnsi="仿宋" w:eastAsia="仿宋" w:cs="仿宋"/>
          <w:sz w:val="28"/>
          <w:szCs w:val="28"/>
        </w:rPr>
        <w:t>11</w:t>
      </w:r>
    </w:p>
    <w:p>
      <w:pPr>
        <w:pStyle w:val="11"/>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ascii="仿宋" w:hAnsi="仿宋" w:eastAsia="仿宋" w:cs="仿宋"/>
          <w:sz w:val="28"/>
          <w:szCs w:val="28"/>
        </w:rPr>
        <w:t>11</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ascii="仿宋" w:hAnsi="仿宋" w:eastAsia="仿宋" w:cs="仿宋"/>
          <w:sz w:val="28"/>
          <w:szCs w:val="28"/>
        </w:rPr>
        <w:t>13</w:t>
      </w:r>
    </w:p>
    <w:p>
      <w:pPr>
        <w:pStyle w:val="11"/>
        <w:adjustRightInd w:val="0"/>
        <w:snapToGrid w:val="0"/>
        <w:spacing w:line="440" w:lineRule="exact"/>
        <w:jc w:val="left"/>
        <w:rPr>
          <w:sz w:val="24"/>
        </w:rPr>
      </w:pPr>
      <w:r>
        <w:rPr>
          <w:rFonts w:hint="eastAsia"/>
          <w:sz w:val="24"/>
        </w:rPr>
        <w:t>九、国有资本经营预算支出决算情况说明....................................................</w:t>
      </w:r>
      <w:r>
        <w:rPr>
          <w:rFonts w:hint="eastAsia" w:ascii="仿宋" w:hAnsi="仿宋" w:eastAsia="仿宋" w:cs="仿宋"/>
          <w:sz w:val="28"/>
          <w:szCs w:val="28"/>
        </w:rPr>
        <w:t>13</w:t>
      </w:r>
    </w:p>
    <w:p>
      <w:pPr>
        <w:pStyle w:val="11"/>
        <w:adjustRightInd w:val="0"/>
        <w:snapToGrid w:val="0"/>
        <w:spacing w:line="440" w:lineRule="exact"/>
        <w:jc w:val="left"/>
        <w:rPr>
          <w:sz w:val="24"/>
        </w:rPr>
      </w:pPr>
      <w:r>
        <w:rPr>
          <w:rFonts w:hint="eastAsia"/>
          <w:sz w:val="24"/>
        </w:rPr>
        <w:t>十、其他重要事项的情况说明........................................................................</w:t>
      </w:r>
      <w:r>
        <w:rPr>
          <w:rFonts w:hint="eastAsia" w:ascii="仿宋" w:hAnsi="仿宋" w:eastAsia="仿宋" w:cs="仿宋"/>
          <w:sz w:val="28"/>
          <w:szCs w:val="28"/>
        </w:rPr>
        <w:t>13</w:t>
      </w:r>
    </w:p>
    <w:p>
      <w:pPr>
        <w:pStyle w:val="10"/>
        <w:adjustRightInd w:val="0"/>
        <w:snapToGrid w:val="0"/>
        <w:spacing w:before="0" w:line="440" w:lineRule="exact"/>
        <w:jc w:val="left"/>
        <w:rPr>
          <w:rFonts w:ascii="Times New Roman" w:hAnsi="Times New Roman"/>
          <w:sz w:val="24"/>
          <w:szCs w:val="24"/>
        </w:rPr>
      </w:pPr>
      <w:r>
        <w:rPr>
          <w:rFonts w:hint="eastAsia"/>
          <w:sz w:val="24"/>
        </w:rPr>
        <w:t>第三部分名词解释</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15</w:t>
      </w:r>
    </w:p>
    <w:p>
      <w:pPr>
        <w:pStyle w:val="10"/>
        <w:adjustRightInd w:val="0"/>
        <w:snapToGrid w:val="0"/>
        <w:spacing w:before="0" w:line="440" w:lineRule="exact"/>
        <w:jc w:val="left"/>
        <w:rPr>
          <w:rFonts w:cstheme="minorBidi"/>
          <w:sz w:val="24"/>
          <w:szCs w:val="24"/>
        </w:rPr>
      </w:pPr>
      <w:r>
        <w:rPr>
          <w:rFonts w:hint="eastAsia"/>
          <w:sz w:val="24"/>
        </w:rPr>
        <w:t>第四部分附件</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18</w:t>
      </w:r>
    </w:p>
    <w:p>
      <w:pPr>
        <w:pStyle w:val="10"/>
        <w:adjustRightInd w:val="0"/>
        <w:snapToGrid w:val="0"/>
        <w:spacing w:before="0" w:line="440" w:lineRule="exact"/>
        <w:jc w:val="left"/>
        <w:rPr>
          <w:rFonts w:cstheme="minorBidi"/>
          <w:sz w:val="24"/>
          <w:szCs w:val="24"/>
        </w:rPr>
      </w:pPr>
      <w:r>
        <w:rPr>
          <w:rFonts w:hint="eastAsia"/>
          <w:sz w:val="24"/>
        </w:rPr>
        <w:t>第五部分附表</w:t>
      </w:r>
      <w:r>
        <w:rPr>
          <w:rFonts w:ascii="Times New Roman" w:hAnsi="Times New Roman" w:eastAsia="宋体"/>
          <w:sz w:val="24"/>
          <w:szCs w:val="24"/>
        </w:rPr>
        <w:t>.....................................................</w:t>
      </w:r>
      <w:r>
        <w:rPr>
          <w:rFonts w:ascii="Times New Roman" w:hAnsi="Times New Roman"/>
          <w:sz w:val="24"/>
        </w:rPr>
        <w:t>............................................</w:t>
      </w:r>
      <w:r>
        <w:rPr>
          <w:rFonts w:ascii="Times New Roman" w:hAnsi="Times New Roman" w:eastAsia="宋体"/>
          <w:sz w:val="24"/>
          <w:szCs w:val="24"/>
        </w:rPr>
        <w:t>..........</w:t>
      </w:r>
      <w:r>
        <w:rPr>
          <w:rFonts w:ascii="Times New Roman" w:hAnsi="Times New Roman"/>
        </w:rPr>
        <w:t>19</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640" w:firstLineChars="200"/>
        <w:jc w:val="left"/>
        <w:rPr>
          <w:rFonts w:ascii="仿宋_GB2312" w:hAnsi="仿宋_GB2312" w:eastAsia="仿宋_GB2312" w:cs="仿宋_GB2312"/>
          <w:color w:val="0000FF"/>
          <w:sz w:val="32"/>
          <w:szCs w:val="32"/>
          <w:highlight w:val="yellow"/>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pPr>
      <w:bookmarkStart w:id="14" w:name="_Toc15377197"/>
      <w:bookmarkStart w:id="15" w:name="_Toc15396600"/>
      <w:r>
        <w:rPr>
          <w:rStyle w:val="26"/>
          <w:rFonts w:hint="eastAsia" w:ascii="黑体" w:hAnsi="黑体" w:eastAsia="黑体"/>
          <w:b w:val="0"/>
          <w:bCs w:val="0"/>
        </w:rPr>
        <w:t>职能简介</w:t>
      </w:r>
    </w:p>
    <w:p>
      <w:pPr>
        <w:pStyle w:val="12"/>
        <w:widowControl/>
        <w:spacing w:before="76" w:beforeAutospacing="0" w:after="76" w:afterAutospacing="0" w:line="580" w:lineRule="atLeast"/>
        <w:ind w:firstLine="640" w:firstLineChars="200"/>
        <w:textAlignment w:val="baseline"/>
        <w:rPr>
          <w:rFonts w:ascii="仿宋" w:hAnsi="仿宋" w:eastAsia="仿宋" w:cs="仿宋"/>
          <w:b/>
          <w:bCs/>
          <w:color w:val="FF0000"/>
          <w:sz w:val="32"/>
          <w:szCs w:val="32"/>
        </w:rPr>
      </w:pPr>
      <w:r>
        <w:rPr>
          <w:rFonts w:hint="eastAsia" w:ascii="仿宋" w:hAnsi="仿宋" w:eastAsia="仿宋" w:cs="仿宋"/>
          <w:kern w:val="2"/>
          <w:sz w:val="32"/>
          <w:szCs w:val="32"/>
        </w:rPr>
        <w:t>四川省峨眉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四川省峨眉监狱早日建成法德兼治的新型现代文明监狱，为建设美丽繁荣和谐四川，推动治蜀兴川再上新台阶作出新的更大的贡献。</w:t>
      </w:r>
    </w:p>
    <w:p>
      <w:pPr>
        <w:pStyle w:val="4"/>
        <w:numPr>
          <w:ilvl w:val="0"/>
          <w:numId w:val="1"/>
        </w:numPr>
        <w:rPr>
          <w:rFonts w:ascii="黑体" w:hAnsi="黑体" w:eastAsia="黑体"/>
          <w:b w:val="0"/>
        </w:rPr>
      </w:pPr>
      <w:r>
        <w:rPr>
          <w:rFonts w:hint="eastAsia" w:ascii="黑体" w:hAnsi="黑体" w:eastAsia="黑体"/>
          <w:b w:val="0"/>
        </w:rPr>
        <w:t>2021年重点工作</w:t>
      </w:r>
      <w:bookmarkEnd w:id="14"/>
      <w:bookmarkEnd w:id="15"/>
      <w:r>
        <w:rPr>
          <w:rFonts w:hint="eastAsia" w:ascii="黑体" w:hAnsi="黑体" w:eastAsia="黑体"/>
          <w:b w:val="0"/>
        </w:rPr>
        <w:t>完成情况</w:t>
      </w:r>
    </w:p>
    <w:p>
      <w:pPr>
        <w:pStyle w:val="12"/>
        <w:widowControl/>
        <w:spacing w:before="76" w:beforeAutospacing="0" w:after="76" w:afterAutospacing="0" w:line="580" w:lineRule="atLeast"/>
        <w:ind w:firstLine="640" w:firstLineChars="200"/>
        <w:textAlignment w:val="baseline"/>
        <w:rPr>
          <w:rFonts w:ascii="仿宋" w:hAnsi="仿宋" w:eastAsia="仿宋" w:cs="仿宋"/>
          <w:b/>
          <w:bCs/>
          <w:sz w:val="32"/>
          <w:szCs w:val="32"/>
        </w:rPr>
      </w:pPr>
      <w:r>
        <w:rPr>
          <w:rFonts w:hint="eastAsia" w:ascii="仿宋" w:hAnsi="仿宋" w:eastAsia="仿宋" w:cs="仿宋"/>
          <w:kern w:val="2"/>
          <w:sz w:val="32"/>
          <w:szCs w:val="32"/>
        </w:rPr>
        <w:t>2021年，在厅局党委的坚强领导下，坚持以习近平新时代中国特色社会主义思想为指引，监狱党委围绕中心，服务大局，着力政治引领，勇于担当负责，圆满完成了各项工作。一年来，深入开展党史学习教育，扎实开展队伍教育整顿，查纠整改，标本兼治。一年来，严格贯彻国家疫情防控措施，依法防控、科学防治、精准施策，确保监狱“零感染”。一年来，强化部门预算执行，加强监狱经费管理，提高资金使用效力，加强资产管理，确保资产安全完整，发挥资产使用效果。</w:t>
      </w:r>
    </w:p>
    <w:p>
      <w:pPr>
        <w:pStyle w:val="4"/>
        <w:numPr>
          <w:ilvl w:val="0"/>
          <w:numId w:val="1"/>
        </w:numPr>
        <w:rPr>
          <w:rFonts w:ascii="仿宋" w:hAnsi="仿宋" w:eastAsia="仿宋" w:cs="仿宋"/>
          <w:b w:val="0"/>
        </w:rPr>
      </w:pPr>
      <w:r>
        <w:rPr>
          <w:rFonts w:hint="eastAsia" w:ascii="黑体" w:hAnsi="黑体" w:eastAsia="黑体"/>
          <w:b w:val="0"/>
        </w:rPr>
        <w:t>机构设置情况</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四川省峨眉监狱由6个内设机构组成，分别是政治处、办公室、财务与工资福利科、纪检监察科、生活卫生科、离退休人员管理科。</w:t>
      </w:r>
    </w:p>
    <w:p>
      <w:pPr>
        <w:widowControl/>
        <w:ind w:firstLine="640" w:firstLineChars="200"/>
        <w:jc w:val="left"/>
        <w:rPr>
          <w:rFonts w:ascii="仿宋" w:hAnsi="仿宋" w:eastAsia="仿宋"/>
          <w:sz w:val="32"/>
          <w:szCs w:val="32"/>
        </w:rPr>
      </w:pPr>
    </w:p>
    <w:p>
      <w:pPr>
        <w:widowControl/>
        <w:ind w:firstLine="640" w:firstLineChars="200"/>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96602"/>
      <w:bookmarkStart w:id="17" w:name="_Toc15377204"/>
      <w:r>
        <w:rPr>
          <w:rFonts w:hint="eastAsia" w:ascii="黑体" w:hAnsi="黑体" w:eastAsia="黑体"/>
          <w:b w:val="0"/>
        </w:rPr>
        <w:t>第二部分 2021年度</w:t>
      </w:r>
      <w:r>
        <w:rPr>
          <w:rStyle w:val="25"/>
          <w:rFonts w:hint="eastAsia" w:ascii="黑体" w:hAnsi="黑体" w:eastAsia="黑体"/>
          <w:b w:val="0"/>
          <w:bCs/>
        </w:rPr>
        <w:t>部门决算情况说明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_GB2312" w:eastAsia="仿宋_GB2312" w:cs="仿宋_GB2312"/>
          <w:b/>
          <w:bCs/>
          <w:sz w:val="32"/>
          <w:szCs w:val="32"/>
          <w:highlight w:val="yellow"/>
        </w:rPr>
      </w:pPr>
      <w:r>
        <w:rPr>
          <w:rFonts w:hint="eastAsia" w:ascii="仿宋" w:hAnsi="仿宋" w:eastAsia="仿宋"/>
          <w:sz w:val="32"/>
          <w:szCs w:val="32"/>
        </w:rPr>
        <w:t>2021年度收、支总计813.82万元</w:t>
      </w:r>
      <w:r>
        <w:rPr>
          <w:rFonts w:hint="eastAsia" w:ascii="仿宋_GB2312" w:hAnsi="仿宋_GB2312" w:eastAsia="仿宋_GB2312" w:cs="仿宋_GB2312"/>
          <w:sz w:val="32"/>
          <w:szCs w:val="32"/>
        </w:rPr>
        <w:t>。</w:t>
      </w:r>
      <w:r>
        <w:rPr>
          <w:rFonts w:hint="eastAsia" w:ascii="仿宋" w:hAnsi="仿宋" w:eastAsia="仿宋"/>
          <w:sz w:val="32"/>
          <w:szCs w:val="32"/>
        </w:rPr>
        <w:t>与2020年相比，收、支总计各增加83.34万元，增长11.41</w:t>
      </w:r>
      <w:r>
        <w:rPr>
          <w:rFonts w:ascii="仿宋" w:hAnsi="仿宋" w:eastAsia="仿宋"/>
          <w:sz w:val="32"/>
          <w:szCs w:val="32"/>
        </w:rPr>
        <w:t>%</w:t>
      </w:r>
      <w:r>
        <w:rPr>
          <w:rFonts w:hint="eastAsia" w:ascii="仿宋" w:hAnsi="仿宋" w:eastAsia="仿宋"/>
          <w:sz w:val="32"/>
          <w:szCs w:val="32"/>
        </w:rPr>
        <w:t>。主要变动原因是在职民警绩效考核奖、离退休民警生活补助、民警死亡抚恤金增加。</w:t>
      </w:r>
    </w:p>
    <w:p>
      <w:pPr>
        <w:pStyle w:val="2"/>
        <w:spacing w:before="93"/>
        <w:rPr>
          <w:sz w:val="32"/>
          <w:szCs w:val="32"/>
        </w:rPr>
      </w:pPr>
      <w:r>
        <w:drawing>
          <wp:inline distT="0" distB="0" distL="114300" distR="114300">
            <wp:extent cx="5038725" cy="3418205"/>
            <wp:effectExtent l="4445" t="4445" r="5080" b="635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Style w:val="26"/>
          <w:rFonts w:hint="eastAsia" w:ascii="黑体" w:hAnsi="黑体" w:eastAsia="黑体"/>
          <w:b w:val="0"/>
        </w:rPr>
        <w:t>收入决算情况说明</w:t>
      </w:r>
      <w:bookmarkEnd w:id="20"/>
      <w:bookmarkEnd w:id="21"/>
    </w:p>
    <w:p>
      <w:pPr>
        <w:spacing w:line="600" w:lineRule="exact"/>
        <w:ind w:firstLine="640" w:firstLineChars="200"/>
        <w:rPr>
          <w:rFonts w:ascii="仿宋_GB2312" w:hAnsi="仿宋_GB2312" w:eastAsia="仿宋_GB2312"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21年本年收入合计802.74万元</w:t>
      </w:r>
      <w:r>
        <w:rPr>
          <w:rFonts w:hint="eastAsia" w:ascii="仿宋_GB2312" w:hAnsi="仿宋_GB2312" w:eastAsia="仿宋_GB2312" w:cs="仿宋_GB2312"/>
          <w:sz w:val="32"/>
          <w:szCs w:val="32"/>
        </w:rPr>
        <w:t>，</w:t>
      </w:r>
      <w:r>
        <w:rPr>
          <w:rFonts w:hint="eastAsia" w:ascii="仿宋" w:hAnsi="仿宋" w:eastAsia="仿宋"/>
          <w:sz w:val="32"/>
          <w:szCs w:val="32"/>
        </w:rPr>
        <w:t>其中：一般公共预算财政拨款收入797.22万元，占99.31</w:t>
      </w:r>
      <w:r>
        <w:rPr>
          <w:rFonts w:ascii="仿宋" w:hAnsi="仿宋" w:eastAsia="仿宋"/>
          <w:sz w:val="32"/>
          <w:szCs w:val="32"/>
        </w:rPr>
        <w:t>%</w:t>
      </w:r>
      <w:r>
        <w:rPr>
          <w:rFonts w:hint="eastAsia" w:ascii="仿宋" w:hAnsi="仿宋" w:eastAsia="仿宋"/>
          <w:sz w:val="32"/>
          <w:szCs w:val="32"/>
        </w:rPr>
        <w:t>；其他收入5.52万元，占0.69</w:t>
      </w:r>
      <w:r>
        <w:rPr>
          <w:rFonts w:ascii="仿宋" w:hAnsi="仿宋" w:eastAsia="仿宋"/>
          <w:sz w:val="32"/>
          <w:szCs w:val="32"/>
        </w:rPr>
        <w:t>%</w:t>
      </w:r>
      <w:r>
        <w:rPr>
          <w:rFonts w:hint="eastAsia" w:ascii="仿宋" w:hAnsi="仿宋" w:eastAsia="仿宋"/>
          <w:sz w:val="32"/>
          <w:szCs w:val="32"/>
        </w:rPr>
        <w:t>。</w:t>
      </w:r>
    </w:p>
    <w:p>
      <w:pPr>
        <w:pStyle w:val="2"/>
        <w:spacing w:before="93"/>
        <w:rPr>
          <w:sz w:val="32"/>
          <w:szCs w:val="32"/>
        </w:rPr>
      </w:pPr>
      <w:r>
        <w:drawing>
          <wp:inline distT="0" distB="0" distL="114300" distR="114300">
            <wp:extent cx="4704715" cy="2828290"/>
            <wp:effectExtent l="4445" t="4445" r="1524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pStyle w:val="2"/>
        <w:spacing w:before="93"/>
        <w:ind w:firstLine="419" w:firstLineChars="131"/>
      </w:pPr>
      <w:r>
        <w:rPr>
          <w:rFonts w:ascii="仿宋" w:hAnsi="仿宋" w:eastAsia="仿宋"/>
          <w:sz w:val="32"/>
          <w:szCs w:val="32"/>
        </w:rPr>
        <w:t>20</w:t>
      </w:r>
      <w:r>
        <w:rPr>
          <w:rFonts w:hint="eastAsia" w:ascii="仿宋" w:hAnsi="仿宋" w:eastAsia="仿宋"/>
          <w:sz w:val="32"/>
          <w:szCs w:val="32"/>
        </w:rPr>
        <w:t>21年本年支出合计803.02万元</w:t>
      </w:r>
      <w:r>
        <w:rPr>
          <w:rFonts w:hint="eastAsia" w:ascii="仿宋" w:hAnsi="仿宋" w:eastAsia="仿宋"/>
          <w:color w:val="000000" w:themeColor="text1"/>
          <w:sz w:val="32"/>
          <w:szCs w:val="32"/>
        </w:rPr>
        <w:t>，</w:t>
      </w:r>
      <w:r>
        <w:rPr>
          <w:rFonts w:hint="eastAsia" w:ascii="仿宋" w:hAnsi="仿宋" w:eastAsia="仿宋"/>
          <w:sz w:val="32"/>
          <w:szCs w:val="32"/>
        </w:rPr>
        <w:t>其中：基本支出780.70万元，占97.22</w:t>
      </w:r>
      <w:r>
        <w:rPr>
          <w:rFonts w:ascii="仿宋" w:hAnsi="仿宋" w:eastAsia="仿宋"/>
          <w:sz w:val="32"/>
          <w:szCs w:val="32"/>
        </w:rPr>
        <w:t>%</w:t>
      </w:r>
      <w:r>
        <w:rPr>
          <w:rFonts w:hint="eastAsia" w:ascii="仿宋" w:hAnsi="仿宋" w:eastAsia="仿宋"/>
          <w:sz w:val="32"/>
          <w:szCs w:val="32"/>
        </w:rPr>
        <w:t>；项目支出22.32万元，占2.78</w:t>
      </w:r>
      <w:r>
        <w:rPr>
          <w:rFonts w:ascii="仿宋" w:hAnsi="仿宋" w:eastAsia="仿宋"/>
          <w:sz w:val="32"/>
          <w:szCs w:val="32"/>
        </w:rPr>
        <w:t>%</w:t>
      </w:r>
      <w:r>
        <w:rPr>
          <w:rFonts w:hint="eastAsia" w:ascii="仿宋" w:hAnsi="仿宋" w:eastAsia="仿宋"/>
          <w:sz w:val="32"/>
          <w:szCs w:val="32"/>
        </w:rPr>
        <w:t>。</w:t>
      </w:r>
    </w:p>
    <w:p>
      <w:pPr>
        <w:pStyle w:val="2"/>
        <w:spacing w:before="93"/>
        <w:ind w:firstLine="393" w:firstLineChars="131"/>
        <w:rPr>
          <w:sz w:val="32"/>
          <w:szCs w:val="32"/>
        </w:rPr>
      </w:pPr>
      <w:r>
        <w:drawing>
          <wp:inline distT="0" distB="0" distL="114300" distR="114300">
            <wp:extent cx="4761865" cy="2875915"/>
            <wp:effectExtent l="4445" t="5080" r="15240" b="14605"/>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bCs w:val="0"/>
        </w:rPr>
        <w:t>政拨款</w:t>
      </w:r>
      <w:r>
        <w:rPr>
          <w:rStyle w:val="26"/>
          <w:rFonts w:hint="eastAsia" w:ascii="黑体" w:hAnsi="黑体" w:eastAsia="黑体"/>
          <w:b w:val="0"/>
        </w:rPr>
        <w:t>收入支出决算总体情况说明</w:t>
      </w:r>
      <w:bookmarkEnd w:id="24"/>
      <w:bookmarkEnd w:id="25"/>
    </w:p>
    <w:p>
      <w:pPr>
        <w:spacing w:line="600" w:lineRule="exact"/>
        <w:ind w:firstLine="640" w:firstLineChars="200"/>
        <w:rPr>
          <w:rFonts w:ascii="仿宋_GB2312" w:hAnsi="仿宋_GB2312" w:eastAsia="仿宋_GB2312"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21年财政拨款收、支总计797.22万元。与</w:t>
      </w:r>
      <w:r>
        <w:rPr>
          <w:rFonts w:ascii="仿宋" w:hAnsi="仿宋" w:eastAsia="仿宋"/>
          <w:sz w:val="32"/>
          <w:szCs w:val="32"/>
        </w:rPr>
        <w:t>20</w:t>
      </w:r>
      <w:r>
        <w:rPr>
          <w:rFonts w:hint="eastAsia" w:ascii="仿宋" w:hAnsi="仿宋" w:eastAsia="仿宋"/>
          <w:sz w:val="32"/>
          <w:szCs w:val="32"/>
        </w:rPr>
        <w:t>20年相比，财政拨款收、支总计各增加83.12万元，增长11.64</w:t>
      </w:r>
      <w:r>
        <w:rPr>
          <w:rFonts w:ascii="仿宋" w:hAnsi="仿宋" w:eastAsia="仿宋"/>
          <w:sz w:val="32"/>
          <w:szCs w:val="32"/>
        </w:rPr>
        <w:t>%</w:t>
      </w:r>
      <w:r>
        <w:rPr>
          <w:rFonts w:hint="eastAsia" w:ascii="仿宋" w:hAnsi="仿宋" w:eastAsia="仿宋"/>
          <w:sz w:val="32"/>
          <w:szCs w:val="32"/>
        </w:rPr>
        <w:t>。主要变动原因是抚恤金增加。</w:t>
      </w:r>
    </w:p>
    <w:p>
      <w:pPr>
        <w:pStyle w:val="2"/>
        <w:spacing w:before="93"/>
      </w:pPr>
      <w:r>
        <w:drawing>
          <wp:inline distT="0" distB="0" distL="114300" distR="114300">
            <wp:extent cx="5080635" cy="2973705"/>
            <wp:effectExtent l="4445" t="4445" r="20320" b="12700"/>
            <wp:docPr id="1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_GB2312" w:hAnsi="仿宋_GB2312" w:eastAsia="仿宋" w:cs="仿宋_GB2312"/>
          <w:b/>
          <w:bCs/>
          <w:color w:val="0000FF"/>
          <w:sz w:val="32"/>
          <w:szCs w:val="32"/>
          <w:highlight w:val="yellow"/>
        </w:rPr>
      </w:pPr>
      <w:r>
        <w:rPr>
          <w:rFonts w:ascii="仿宋" w:hAnsi="仿宋" w:eastAsia="仿宋"/>
          <w:sz w:val="32"/>
          <w:szCs w:val="32"/>
        </w:rPr>
        <w:t>20</w:t>
      </w:r>
      <w:r>
        <w:rPr>
          <w:rFonts w:hint="eastAsia" w:ascii="仿宋" w:hAnsi="仿宋" w:eastAsia="仿宋"/>
          <w:sz w:val="32"/>
          <w:szCs w:val="32"/>
        </w:rPr>
        <w:t>21年一般公共预算财政拨款支出797.22万元，占本年支出合计的99.31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20年相比，一般公共预算财政拨款增加83.12万元，增长11.64</w:t>
      </w:r>
      <w:r>
        <w:rPr>
          <w:rFonts w:ascii="仿宋" w:hAnsi="仿宋" w:eastAsia="仿宋"/>
          <w:sz w:val="32"/>
          <w:szCs w:val="32"/>
        </w:rPr>
        <w:t>%</w:t>
      </w:r>
      <w:r>
        <w:rPr>
          <w:rFonts w:hint="eastAsia" w:ascii="仿宋" w:hAnsi="仿宋" w:eastAsia="仿宋"/>
          <w:sz w:val="32"/>
          <w:szCs w:val="32"/>
        </w:rPr>
        <w:t>。主要变动原因是抚恤金增加。</w:t>
      </w:r>
    </w:p>
    <w:p>
      <w:pPr>
        <w:pStyle w:val="2"/>
        <w:spacing w:before="93"/>
        <w:rPr>
          <w:rFonts w:ascii="仿宋" w:hAnsi="仿宋" w:eastAsia="仿宋"/>
          <w:sz w:val="32"/>
          <w:szCs w:val="32"/>
        </w:rPr>
      </w:pPr>
      <w:r>
        <w:drawing>
          <wp:inline distT="0" distB="0" distL="114300" distR="114300">
            <wp:extent cx="5067300" cy="2693670"/>
            <wp:effectExtent l="4445" t="4445" r="14605" b="6985"/>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firstLineChars="200"/>
        <w:rPr>
          <w:rFonts w:ascii="仿宋" w:hAnsi="仿宋" w:eastAsia="仿宋"/>
          <w:b/>
          <w:color w:val="0000FF"/>
          <w:sz w:val="32"/>
          <w:szCs w:val="32"/>
        </w:rPr>
      </w:pPr>
      <w:r>
        <w:rPr>
          <w:rFonts w:ascii="仿宋" w:hAnsi="仿宋" w:eastAsia="仿宋"/>
          <w:sz w:val="32"/>
          <w:szCs w:val="32"/>
        </w:rPr>
        <w:t>20</w:t>
      </w:r>
      <w:r>
        <w:rPr>
          <w:rFonts w:hint="eastAsia" w:ascii="仿宋" w:hAnsi="仿宋" w:eastAsia="仿宋"/>
          <w:sz w:val="32"/>
          <w:szCs w:val="32"/>
        </w:rPr>
        <w:t>21年一般公共预算财政拨款支出797.22万元，主要用于以下方面</w:t>
      </w:r>
      <w:r>
        <w:rPr>
          <w:rFonts w:ascii="仿宋" w:hAnsi="仿宋" w:eastAsia="仿宋"/>
          <w:sz w:val="32"/>
          <w:szCs w:val="32"/>
        </w:rPr>
        <w:t>:</w:t>
      </w:r>
      <w:r>
        <w:rPr>
          <w:rFonts w:hint="eastAsia" w:ascii="仿宋" w:hAnsi="仿宋" w:eastAsia="仿宋"/>
          <w:b/>
          <w:sz w:val="32"/>
          <w:szCs w:val="32"/>
        </w:rPr>
        <w:t>公共安全</w:t>
      </w:r>
      <w:r>
        <w:rPr>
          <w:rFonts w:hint="eastAsia" w:ascii="仿宋" w:hAnsi="仿宋" w:eastAsia="仿宋"/>
          <w:b/>
          <w:bCs/>
          <w:sz w:val="32"/>
          <w:szCs w:val="32"/>
        </w:rPr>
        <w:t>支出</w:t>
      </w:r>
      <w:r>
        <w:rPr>
          <w:rFonts w:hint="eastAsia" w:ascii="仿宋" w:hAnsi="仿宋" w:eastAsia="仿宋"/>
          <w:b/>
          <w:sz w:val="32"/>
          <w:szCs w:val="32"/>
        </w:rPr>
        <w:t>（类）371.58</w:t>
      </w:r>
      <w:r>
        <w:rPr>
          <w:rFonts w:hint="eastAsia" w:ascii="仿宋" w:hAnsi="仿宋" w:eastAsia="仿宋"/>
          <w:sz w:val="32"/>
          <w:szCs w:val="32"/>
        </w:rPr>
        <w:t>万元，占46.61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教育支出（类）2.39</w:t>
      </w:r>
      <w:r>
        <w:rPr>
          <w:rFonts w:hint="eastAsia" w:ascii="仿宋" w:hAnsi="仿宋" w:eastAsia="仿宋"/>
          <w:sz w:val="32"/>
          <w:szCs w:val="32"/>
        </w:rPr>
        <w:t>万元，占0.30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社会保障和就业支出（类）369.03</w:t>
      </w:r>
      <w:r>
        <w:rPr>
          <w:rFonts w:hint="eastAsia" w:ascii="仿宋" w:hAnsi="仿宋" w:eastAsia="仿宋"/>
          <w:sz w:val="32"/>
          <w:szCs w:val="32"/>
        </w:rPr>
        <w:t>万元，占46.29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卫生健康支出27.66</w:t>
      </w:r>
      <w:r>
        <w:rPr>
          <w:rFonts w:hint="eastAsia" w:ascii="仿宋" w:hAnsi="仿宋" w:eastAsia="仿宋"/>
          <w:sz w:val="32"/>
          <w:szCs w:val="32"/>
        </w:rPr>
        <w:t>万元，占3.47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住房保障支出26.57</w:t>
      </w:r>
      <w:r>
        <w:rPr>
          <w:rFonts w:hint="eastAsia" w:ascii="仿宋" w:hAnsi="仿宋" w:eastAsia="仿宋"/>
          <w:sz w:val="32"/>
          <w:szCs w:val="32"/>
        </w:rPr>
        <w:t>万元，占3.33</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4982210" cy="2580640"/>
            <wp:effectExtent l="19050" t="0" r="2794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2021年一般公共预算支出决算数为797.22万元</w:t>
      </w:r>
      <w:r>
        <w:rPr>
          <w:rFonts w:hint="eastAsia" w:ascii="仿宋" w:hAnsi="仿宋" w:eastAsia="仿宋"/>
          <w:sz w:val="32"/>
          <w:szCs w:val="32"/>
        </w:rPr>
        <w:t>，</w:t>
      </w:r>
      <w:r>
        <w:rPr>
          <w:rStyle w:val="15"/>
          <w:rFonts w:hint="eastAsia" w:ascii="仿宋" w:hAnsi="仿宋" w:eastAsia="仿宋"/>
          <w:bCs/>
          <w:sz w:val="32"/>
          <w:szCs w:val="32"/>
        </w:rPr>
        <w:t>完成预算92.43</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cs="仿宋"/>
          <w:color w:val="000000"/>
          <w:sz w:val="32"/>
          <w:szCs w:val="32"/>
        </w:rPr>
        <w:t>公共安全支出（类）监狱（款）行政运行（项）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支出决算为364.47万元，完成预算90.62</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，决算数小于预算数的主要原因是人员减少和公务用车运行维护费有结余。</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Fonts w:hint="eastAsia" w:ascii="仿宋" w:hAnsi="仿宋" w:eastAsia="仿宋" w:cs="仿宋"/>
          <w:b/>
          <w:bCs/>
          <w:color w:val="000000"/>
          <w:sz w:val="32"/>
          <w:szCs w:val="32"/>
        </w:rPr>
        <w:t>公</w:t>
      </w:r>
      <w:r>
        <w:rPr>
          <w:rStyle w:val="15"/>
          <w:rFonts w:hint="eastAsia" w:ascii="仿宋" w:hAnsi="仿宋" w:eastAsia="仿宋" w:cs="仿宋"/>
          <w:color w:val="000000"/>
          <w:sz w:val="32"/>
          <w:szCs w:val="32"/>
        </w:rPr>
        <w:t>共安全支出（类）监狱（款）一般行政管理事务（项）</w:t>
      </w:r>
      <w:r>
        <w:rPr>
          <w:rStyle w:val="15"/>
          <w:rFonts w:ascii="仿宋" w:hAnsi="仿宋" w:eastAsia="仿宋"/>
          <w:bCs/>
          <w:sz w:val="32"/>
          <w:szCs w:val="32"/>
        </w:rPr>
        <w:t>:</w:t>
      </w:r>
      <w:r>
        <w:rPr>
          <w:rStyle w:val="15"/>
          <w:rFonts w:hint="eastAsia" w:ascii="仿宋" w:hAnsi="仿宋" w:eastAsia="仿宋"/>
          <w:b w:val="0"/>
          <w:bCs/>
          <w:sz w:val="32"/>
          <w:szCs w:val="32"/>
        </w:rPr>
        <w:t>支出决算为2.80万元，完成预算98.50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，决算数小于预算数的主要原因是设备购置费有结余。</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cs="仿宋"/>
          <w:sz w:val="32"/>
          <w:szCs w:val="32"/>
        </w:rPr>
        <w:t>教育支出（类）进修及培训（款）</w:t>
      </w:r>
      <w:r>
        <w:rPr>
          <w:rStyle w:val="15"/>
          <w:rFonts w:hint="eastAsia" w:ascii="仿宋" w:hAnsi="仿宋" w:eastAsia="仿宋" w:cs="仿宋"/>
          <w:color w:val="000000"/>
          <w:sz w:val="32"/>
          <w:szCs w:val="32"/>
        </w:rPr>
        <w:t>培训支出（项）：</w:t>
      </w:r>
      <w:r>
        <w:rPr>
          <w:rStyle w:val="15"/>
          <w:rFonts w:hint="eastAsia" w:ascii="仿宋" w:hAnsi="仿宋" w:eastAsia="仿宋"/>
          <w:b w:val="0"/>
          <w:bCs/>
          <w:sz w:val="32"/>
          <w:szCs w:val="32"/>
        </w:rPr>
        <w:t>支出决算为2.39万元，完成预算59.71</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，决算数小于预算数的主要原因是培训费有结余。</w:t>
      </w:r>
    </w:p>
    <w:p>
      <w:pPr>
        <w:spacing w:line="600" w:lineRule="exact"/>
        <w:ind w:firstLine="643" w:firstLineChars="200"/>
        <w:rPr>
          <w:rFonts w:ascii="仿宋" w:hAnsi="仿宋" w:eastAsia="仿宋" w:cs="仿宋"/>
          <w:b/>
          <w:sz w:val="32"/>
          <w:szCs w:val="32"/>
        </w:rPr>
      </w:pPr>
      <w:r>
        <w:rPr>
          <w:rStyle w:val="15"/>
          <w:rFonts w:hint="eastAsia" w:ascii="仿宋" w:hAnsi="仿宋" w:eastAsia="仿宋" w:cstheme="minorBidi"/>
          <w:bCs/>
          <w:sz w:val="32"/>
          <w:szCs w:val="32"/>
        </w:rPr>
        <w:t>4.</w:t>
      </w:r>
      <w:r>
        <w:rPr>
          <w:rStyle w:val="15"/>
          <w:rFonts w:hint="eastAsia" w:ascii="仿宋" w:hAnsi="仿宋" w:eastAsia="仿宋" w:cs="仿宋"/>
          <w:color w:val="000000"/>
          <w:sz w:val="32"/>
          <w:szCs w:val="32"/>
        </w:rPr>
        <w:t>社会保障和就业支出（类）行政事业单位养老支出（款）行政单位离退休（项）：</w:t>
      </w:r>
      <w:r>
        <w:rPr>
          <w:rStyle w:val="15"/>
          <w:rFonts w:hint="eastAsia" w:ascii="仿宋" w:hAnsi="仿宋" w:eastAsia="仿宋"/>
          <w:b w:val="0"/>
          <w:bCs/>
          <w:sz w:val="32"/>
          <w:szCs w:val="32"/>
        </w:rPr>
        <w:t>支出决算为217.64万元，完成预算95.13</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，决算数小于预算数的主要原因是离休人员医药费有结余</w:t>
      </w:r>
      <w:r>
        <w:rPr>
          <w:rStyle w:val="15"/>
          <w:rFonts w:hint="eastAsia" w:ascii="仿宋" w:hAnsi="仿宋" w:eastAsia="仿宋" w:cs="仿宋"/>
          <w:b w:val="0"/>
          <w:bCs/>
          <w:sz w:val="32"/>
          <w:szCs w:val="32"/>
        </w:rPr>
        <w:t>。</w:t>
      </w:r>
    </w:p>
    <w:p>
      <w:pPr>
        <w:spacing w:line="600" w:lineRule="exact"/>
        <w:ind w:firstLine="643" w:firstLineChars="200"/>
        <w:rPr>
          <w:rStyle w:val="15"/>
          <w:rFonts w:ascii="仿宋" w:hAnsi="仿宋" w:eastAsia="仿宋" w:cs="仿宋"/>
          <w:b w:val="0"/>
          <w:bCs/>
          <w:sz w:val="32"/>
          <w:szCs w:val="32"/>
        </w:rPr>
      </w:pPr>
      <w:r>
        <w:rPr>
          <w:rFonts w:hint="eastAsia" w:ascii="仿宋" w:hAnsi="仿宋" w:eastAsia="仿宋" w:cs="仿宋"/>
          <w:b/>
          <w:bCs/>
          <w:sz w:val="32"/>
          <w:szCs w:val="32"/>
        </w:rPr>
        <w:t>5</w:t>
      </w:r>
      <w:r>
        <w:rPr>
          <w:rStyle w:val="15"/>
          <w:rFonts w:hint="eastAsia" w:ascii="仿宋" w:hAnsi="仿宋" w:eastAsia="仿宋" w:cs="仿宋"/>
          <w:color w:val="000000"/>
          <w:sz w:val="32"/>
          <w:szCs w:val="32"/>
        </w:rPr>
        <w:t>.社会保障和就业支出（类）行政事业单位养老支出（款）机关事业单位基本养老保险缴费支出（项）：</w:t>
      </w:r>
      <w:r>
        <w:rPr>
          <w:rStyle w:val="15"/>
          <w:rFonts w:hint="eastAsia" w:ascii="仿宋" w:hAnsi="仿宋" w:eastAsia="仿宋"/>
          <w:b w:val="0"/>
          <w:bCs/>
          <w:sz w:val="32"/>
          <w:szCs w:val="32"/>
        </w:rPr>
        <w:t>支出决算为26.81</w:t>
      </w:r>
      <w:r>
        <w:rPr>
          <w:rStyle w:val="15"/>
          <w:rFonts w:hint="eastAsia" w:ascii="仿宋" w:hAnsi="仿宋" w:eastAsia="仿宋" w:cs="仿宋"/>
          <w:b w:val="0"/>
          <w:bCs/>
          <w:sz w:val="32"/>
          <w:szCs w:val="32"/>
        </w:rPr>
        <w:t>万元，完成预算87.55%，决算数小于预算数的主要原因是人员减少。</w:t>
      </w:r>
    </w:p>
    <w:p>
      <w:pPr>
        <w:spacing w:line="600" w:lineRule="exact"/>
        <w:ind w:firstLine="643" w:firstLineChars="200"/>
        <w:rPr>
          <w:rStyle w:val="15"/>
          <w:rFonts w:ascii="仿宋" w:hAnsi="仿宋" w:eastAsia="仿宋" w:cs="仿宋"/>
          <w:b w:val="0"/>
          <w:bCs/>
          <w:sz w:val="32"/>
          <w:szCs w:val="32"/>
        </w:rPr>
      </w:pPr>
      <w:r>
        <w:rPr>
          <w:rFonts w:hint="eastAsia" w:ascii="仿宋" w:hAnsi="仿宋" w:eastAsia="仿宋" w:cs="仿宋"/>
          <w:b/>
          <w:bCs/>
          <w:sz w:val="32"/>
          <w:szCs w:val="32"/>
        </w:rPr>
        <w:t>6</w:t>
      </w:r>
      <w:r>
        <w:rPr>
          <w:rStyle w:val="15"/>
          <w:rFonts w:hint="eastAsia" w:ascii="仿宋" w:hAnsi="仿宋" w:eastAsia="仿宋" w:cs="仿宋"/>
          <w:color w:val="000000"/>
          <w:sz w:val="32"/>
          <w:szCs w:val="32"/>
        </w:rPr>
        <w:t>.社会保障和就业支出（类）行政事业单位养老支出（款）机关事业单位职业年金缴费支出（项）：</w:t>
      </w:r>
      <w:r>
        <w:rPr>
          <w:rStyle w:val="15"/>
          <w:rFonts w:hint="eastAsia" w:ascii="仿宋" w:hAnsi="仿宋" w:eastAsia="仿宋"/>
          <w:b w:val="0"/>
          <w:bCs/>
          <w:sz w:val="32"/>
          <w:szCs w:val="32"/>
        </w:rPr>
        <w:t>支出决算为15.90</w:t>
      </w:r>
      <w:r>
        <w:rPr>
          <w:rStyle w:val="15"/>
          <w:rFonts w:hint="eastAsia" w:ascii="仿宋" w:hAnsi="仿宋" w:eastAsia="仿宋" w:cs="仿宋"/>
          <w:b w:val="0"/>
          <w:bCs/>
          <w:sz w:val="32"/>
          <w:szCs w:val="32"/>
        </w:rPr>
        <w:t>万元，完成预算99.96%，决算数小于预算数的主要原因是按政策支出，略有结余。</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7.社会保障和就业支出（类）抚恤（款）死亡抚恤（项）：</w:t>
      </w:r>
      <w:r>
        <w:rPr>
          <w:rStyle w:val="15"/>
          <w:rFonts w:hint="eastAsia" w:ascii="仿宋" w:hAnsi="仿宋" w:eastAsia="仿宋" w:cs="仿宋"/>
          <w:b w:val="0"/>
          <w:bCs/>
          <w:sz w:val="32"/>
          <w:szCs w:val="32"/>
        </w:rPr>
        <w:t>支出决算</w:t>
      </w:r>
      <w:r>
        <w:rPr>
          <w:rStyle w:val="15"/>
          <w:rFonts w:hint="eastAsia" w:ascii="仿宋" w:hAnsi="仿宋" w:eastAsia="仿宋"/>
          <w:b w:val="0"/>
          <w:bCs/>
          <w:sz w:val="32"/>
          <w:szCs w:val="32"/>
        </w:rPr>
        <w:t>为103.67万元，完成预算99.96</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按政策支出，略有结余</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8.社会保障和就业支出（类）其他社会保障和就业支出（款）其他社会保障和就业支出（项）：</w:t>
      </w:r>
      <w:r>
        <w:rPr>
          <w:rStyle w:val="15"/>
          <w:rFonts w:hint="eastAsia" w:ascii="仿宋" w:hAnsi="仿宋" w:eastAsia="仿宋"/>
          <w:b w:val="0"/>
          <w:bCs/>
          <w:sz w:val="32"/>
          <w:szCs w:val="32"/>
        </w:rPr>
        <w:t>支出决算为5万元，完成预算100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9.卫生健康支出（类）行政事业单位医疗（款）行政单位医疗（项）：</w:t>
      </w:r>
      <w:r>
        <w:rPr>
          <w:rStyle w:val="15"/>
          <w:rFonts w:hint="eastAsia" w:ascii="仿宋" w:hAnsi="仿宋" w:eastAsia="仿宋"/>
          <w:b w:val="0"/>
          <w:bCs/>
          <w:sz w:val="32"/>
          <w:szCs w:val="32"/>
        </w:rPr>
        <w:t>支出决算为16.86万元，完成预算83.20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10.卫生健康支出（类）行政事业单位医疗（款）公务员医疗补助（项）：</w:t>
      </w:r>
      <w:r>
        <w:rPr>
          <w:rStyle w:val="15"/>
          <w:rFonts w:hint="eastAsia" w:ascii="仿宋" w:hAnsi="仿宋" w:eastAsia="仿宋"/>
          <w:b w:val="0"/>
          <w:bCs/>
          <w:sz w:val="32"/>
          <w:szCs w:val="32"/>
        </w:rPr>
        <w:t>支出决算为10.80万元，完成预算79.30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cs="仿宋"/>
          <w:color w:val="000000"/>
          <w:sz w:val="32"/>
          <w:szCs w:val="32"/>
        </w:rPr>
        <w:t>11.住房保障支出（类）住房改革支出（款）住房公积金（项）：</w:t>
      </w:r>
      <w:r>
        <w:rPr>
          <w:rStyle w:val="15"/>
          <w:rFonts w:hint="eastAsia" w:ascii="仿宋" w:hAnsi="仿宋" w:eastAsia="仿宋"/>
          <w:b w:val="0"/>
          <w:bCs/>
          <w:sz w:val="32"/>
          <w:szCs w:val="32"/>
        </w:rPr>
        <w:t>支出决算为26.57万元，完成预算86.23</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hint="eastAsia" w:ascii="仿宋" w:hAnsi="仿宋" w:eastAsia="仿宋" w:cs="仿宋"/>
          <w:b w:val="0"/>
          <w:bCs/>
          <w:sz w:val="32"/>
          <w:szCs w:val="32"/>
        </w:rPr>
        <w:t>人员减少</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21年一般公共预算财政拨款基本支出774.90万元，其中：</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人员经费732.30万元，主要包括：基本工资、津贴补贴、奖金、机关事业单位基本养老保险缴费、职业年金缴费、职工基本医疗保险缴费、公务员医疗补助缴费、住房公积金、其他工资福利支出、离休费、抚恤金、生活补助、奖励金、其他对个人和家庭的补助支出等。</w:t>
      </w:r>
      <w:r>
        <w:rPr>
          <w:rFonts w:ascii="仿宋" w:hAnsi="仿宋" w:eastAsia="仿宋"/>
          <w:sz w:val="32"/>
          <w:szCs w:val="32"/>
        </w:rPr>
        <w:br w:type="textWrapping"/>
      </w:r>
      <w:r>
        <w:rPr>
          <w:rFonts w:hint="eastAsia" w:ascii="仿宋" w:hAnsi="仿宋" w:eastAsia="仿宋"/>
          <w:sz w:val="32"/>
          <w:szCs w:val="32"/>
        </w:rPr>
        <w:t>　　公用经费42.60万元，主要包括：办公费、水费、电费、邮电费、差旅费、维修（护）费、培训费、工会经费、福利费、其他交通费用、其他商品和服务支出等。</w:t>
      </w:r>
    </w:p>
    <w:p>
      <w:pPr>
        <w:spacing w:line="600" w:lineRule="exact"/>
        <w:ind w:firstLine="640"/>
        <w:outlineLvl w:val="1"/>
        <w:rPr>
          <w:rFonts w:ascii="仿宋_GB2312" w:hAnsi="仿宋_GB2312" w:eastAsia="仿宋_GB2312" w:cs="仿宋_GB2312"/>
          <w:b/>
          <w:bCs/>
          <w:color w:val="0000FF"/>
          <w:sz w:val="32"/>
          <w:szCs w:val="32"/>
          <w:highlight w:val="yellow"/>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21年“三公”经费财政拨款支出决算为9.63万元，完成预算87.55</w:t>
      </w:r>
      <w:r>
        <w:rPr>
          <w:rFonts w:ascii="仿宋" w:hAnsi="仿宋" w:eastAsia="仿宋"/>
          <w:sz w:val="32"/>
          <w:szCs w:val="32"/>
        </w:rPr>
        <w:t>%</w:t>
      </w:r>
      <w:r>
        <w:rPr>
          <w:rFonts w:hint="eastAsia" w:ascii="仿宋" w:hAnsi="仿宋" w:eastAsia="仿宋"/>
          <w:sz w:val="32"/>
          <w:szCs w:val="32"/>
        </w:rPr>
        <w:t>，决算数小于预算数的主要原因是公务用车运行维护费有结余。</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21年“三公”经费财政拨款支出决算中，因公出国（境）费支出决算0万元，占0%；公务用车购置及运行维护费支出决算9.63万元，占100</w:t>
      </w:r>
      <w:r>
        <w:rPr>
          <w:rFonts w:ascii="仿宋" w:hAnsi="仿宋" w:eastAsia="仿宋"/>
          <w:sz w:val="32"/>
          <w:szCs w:val="32"/>
        </w:rPr>
        <w:t>%</w:t>
      </w:r>
      <w:r>
        <w:rPr>
          <w:rFonts w:hint="eastAsia" w:ascii="仿宋" w:hAnsi="仿宋" w:eastAsia="仿宋"/>
          <w:sz w:val="32"/>
          <w:szCs w:val="32"/>
        </w:rPr>
        <w:t>；公务接待费支出决算0万元，占0%。具体情况如下：</w:t>
      </w:r>
    </w:p>
    <w:p>
      <w:pPr>
        <w:pStyle w:val="2"/>
        <w:spacing w:before="93"/>
        <w:rPr>
          <w:rFonts w:hAnsi="仿宋_GB2312" w:cs="仿宋_GB2312"/>
          <w:b/>
          <w:bCs/>
          <w:color w:val="0000FF"/>
          <w:sz w:val="32"/>
          <w:szCs w:val="32"/>
          <w:highlight w:val="yellow"/>
        </w:rPr>
      </w:pPr>
      <w:r>
        <w:drawing>
          <wp:inline distT="0" distB="0" distL="114300" distR="114300">
            <wp:extent cx="4665980" cy="2536825"/>
            <wp:effectExtent l="4445" t="4445" r="15875" b="1143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rPr>
          <w:rFonts w:ascii="仿宋" w:hAnsi="仿宋" w:eastAsia="仿宋" w:cs="仿宋"/>
          <w:color w:val="C00000"/>
          <w:sz w:val="32"/>
          <w:szCs w:val="32"/>
        </w:rPr>
      </w:pPr>
      <w:r>
        <w:rPr>
          <w:rFonts w:hint="eastAsia" w:ascii="仿宋_GB2312" w:eastAsia="仿宋_GB2312"/>
          <w:b/>
          <w:sz w:val="32"/>
          <w:szCs w:val="32"/>
        </w:rPr>
        <w:t>1.因公出国（境）经费支出</w:t>
      </w:r>
      <w:r>
        <w:rPr>
          <w:rFonts w:hint="eastAsia" w:ascii="仿宋" w:hAnsi="仿宋" w:eastAsia="仿宋" w:cs="仿宋"/>
          <w:sz w:val="32"/>
          <w:szCs w:val="32"/>
        </w:rPr>
        <w:t>0万元，完成</w:t>
      </w:r>
      <w:r>
        <w:rPr>
          <w:rStyle w:val="15"/>
          <w:rFonts w:hint="eastAsia" w:ascii="仿宋" w:hAnsi="仿宋" w:eastAsia="仿宋" w:cs="仿宋"/>
          <w:b w:val="0"/>
          <w:bCs/>
          <w:sz w:val="32"/>
          <w:szCs w:val="32"/>
        </w:rPr>
        <w:t>预算0%。</w:t>
      </w:r>
      <w:r>
        <w:rPr>
          <w:rFonts w:hint="eastAsia" w:ascii="仿宋" w:hAnsi="仿宋" w:eastAsia="仿宋" w:cs="仿宋"/>
          <w:sz w:val="32"/>
          <w:szCs w:val="32"/>
        </w:rPr>
        <w:t>全年安排因公出国（境）团组0次，出国（境）0人。因公出国</w:t>
      </w:r>
      <w:r>
        <w:rPr>
          <w:rFonts w:hint="eastAsia" w:ascii="仿宋" w:hAnsi="仿宋" w:eastAsia="仿宋" w:cs="仿宋"/>
          <w:color w:val="000000" w:themeColor="text1"/>
          <w:sz w:val="32"/>
          <w:szCs w:val="32"/>
        </w:rPr>
        <w:t>（境）支出决算与2020年持平。</w:t>
      </w:r>
    </w:p>
    <w:p>
      <w:pPr>
        <w:pStyle w:val="2"/>
        <w:spacing w:before="93"/>
        <w:ind w:firstLine="640" w:firstLineChars="200"/>
        <w:rPr>
          <w:rFonts w:ascii="仿宋" w:hAnsi="仿宋" w:eastAsia="仿宋" w:cs="仿宋"/>
          <w:color w:val="000000" w:themeColor="text1"/>
          <w:kern w:val="2"/>
          <w:sz w:val="32"/>
          <w:szCs w:val="32"/>
        </w:rPr>
      </w:pPr>
      <w:r>
        <w:rPr>
          <w:rFonts w:ascii="仿宋" w:hAnsi="仿宋" w:eastAsia="仿宋" w:cs="仿宋"/>
          <w:color w:val="000000" w:themeColor="text1"/>
          <w:kern w:val="2"/>
          <w:sz w:val="32"/>
          <w:szCs w:val="32"/>
        </w:rPr>
        <w:t>开支</w:t>
      </w:r>
      <w:r>
        <w:rPr>
          <w:rFonts w:hint="eastAsia" w:ascii="仿宋" w:hAnsi="仿宋" w:eastAsia="仿宋" w:cs="仿宋"/>
          <w:color w:val="000000" w:themeColor="text1"/>
          <w:kern w:val="2"/>
          <w:sz w:val="32"/>
          <w:szCs w:val="32"/>
        </w:rPr>
        <w:t>内容</w:t>
      </w:r>
      <w:r>
        <w:rPr>
          <w:rFonts w:ascii="仿宋" w:hAnsi="仿宋" w:eastAsia="仿宋" w:cs="仿宋"/>
          <w:color w:val="000000" w:themeColor="text1"/>
          <w:kern w:val="2"/>
          <w:sz w:val="32"/>
          <w:szCs w:val="32"/>
        </w:rPr>
        <w:t>包括</w:t>
      </w:r>
      <w:r>
        <w:rPr>
          <w:rFonts w:hint="eastAsia" w:ascii="仿宋" w:hAnsi="仿宋" w:eastAsia="仿宋" w:cs="仿宋"/>
          <w:color w:val="000000" w:themeColor="text1"/>
          <w:kern w:val="2"/>
          <w:sz w:val="32"/>
          <w:szCs w:val="32"/>
        </w:rPr>
        <w:t>：</w:t>
      </w:r>
      <w:r>
        <w:rPr>
          <w:rFonts w:ascii="仿宋" w:hAnsi="仿宋" w:eastAsia="仿宋" w:cs="仿宋"/>
          <w:color w:val="000000" w:themeColor="text1"/>
          <w:kern w:val="2"/>
          <w:sz w:val="32"/>
          <w:szCs w:val="32"/>
        </w:rPr>
        <w:t>无</w:t>
      </w:r>
      <w:r>
        <w:rPr>
          <w:rFonts w:hint="eastAsia" w:ascii="仿宋" w:hAnsi="仿宋" w:eastAsia="仿宋" w:cs="仿宋"/>
          <w:color w:val="000000" w:themeColor="text1"/>
          <w:kern w:val="2"/>
          <w:sz w:val="32"/>
          <w:szCs w:val="32"/>
        </w:rPr>
        <w:t>。</w:t>
      </w:r>
    </w:p>
    <w:p>
      <w:pPr>
        <w:tabs>
          <w:tab w:val="left" w:pos="6930"/>
        </w:tabs>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公务用车购置及运行维护费支出9.63</w:t>
      </w:r>
      <w:r>
        <w:rPr>
          <w:rFonts w:hint="eastAsia" w:ascii="仿宋_GB2312" w:eastAsia="仿宋_GB2312"/>
          <w:sz w:val="32"/>
          <w:szCs w:val="32"/>
        </w:rPr>
        <w:t>万元,</w:t>
      </w:r>
      <w:r>
        <w:rPr>
          <w:rStyle w:val="15"/>
          <w:rFonts w:hint="eastAsia" w:ascii="仿宋" w:hAnsi="仿宋" w:eastAsia="仿宋"/>
          <w:b w:val="0"/>
          <w:bCs/>
          <w:sz w:val="32"/>
          <w:szCs w:val="32"/>
        </w:rPr>
        <w:t>完成预算87.55</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20年减少0.73万元，下降7.05</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sz w:val="32"/>
          <w:szCs w:val="32"/>
        </w:rPr>
        <w:t>严格落实中央八项规定，加强公务用车管理，厉行节约。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月底，单位共有公务用车4辆，其中：轿车1辆、越野车0辆、载客汽车3辆。</w:t>
      </w:r>
    </w:p>
    <w:p>
      <w:pPr>
        <w:tabs>
          <w:tab w:val="left" w:pos="6930"/>
        </w:tabs>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公务用车运行维护费支出9.63</w:t>
      </w:r>
      <w:r>
        <w:rPr>
          <w:rFonts w:hint="eastAsia" w:ascii="仿宋_GB2312" w:eastAsia="仿宋_GB2312"/>
          <w:sz w:val="32"/>
          <w:szCs w:val="32"/>
        </w:rPr>
        <w:t>万元。主要用于执行公务所需的公务用车燃料费、维修费、过路过桥费、保险费等支出。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年减少0.06万元，下降100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sz w:val="32"/>
          <w:szCs w:val="32"/>
        </w:rPr>
        <w:t>严格落实中央八项规定，加强公务接待费管理，厉行节约。</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_GB2312" w:hAnsi="仿宋" w:eastAsia="仿宋_GB2312"/>
          <w:b/>
          <w:sz w:val="32"/>
          <w:szCs w:val="32"/>
        </w:rPr>
        <w:t>国内公务接待支出</w:t>
      </w:r>
      <w:r>
        <w:rPr>
          <w:rFonts w:hint="eastAsia" w:ascii="仿宋_GB2312" w:hAnsi="仿宋" w:eastAsia="仿宋_GB2312"/>
          <w:sz w:val="32"/>
          <w:szCs w:val="32"/>
        </w:rPr>
        <w:t>0</w:t>
      </w:r>
      <w:r>
        <w:rPr>
          <w:rFonts w:hint="eastAsia" w:ascii="仿宋_GB2312" w:eastAsia="仿宋_GB2312"/>
          <w:sz w:val="32"/>
          <w:szCs w:val="32"/>
        </w:rPr>
        <w:t>万元，主要用于执行公务、开展业务活动开支的交通费、住宿费、用餐费等。国内公务接待0批次，0人次（不包括陪同人员），共计支出0万元。</w:t>
      </w:r>
    </w:p>
    <w:p>
      <w:pPr>
        <w:spacing w:line="600" w:lineRule="exact"/>
        <w:ind w:firstLine="643" w:firstLineChars="200"/>
        <w:rPr>
          <w:rFonts w:ascii="仿宋_GB2312" w:eastAsia="仿宋"/>
          <w:sz w:val="32"/>
          <w:szCs w:val="32"/>
        </w:rPr>
      </w:pPr>
      <w:r>
        <w:rPr>
          <w:rFonts w:hint="eastAsia" w:ascii="仿宋_GB2312" w:hAnsi="仿宋" w:eastAsia="仿宋_GB2312"/>
          <w:b/>
          <w:sz w:val="32"/>
          <w:szCs w:val="32"/>
        </w:rPr>
        <w:t>外事接待支出</w:t>
      </w:r>
      <w:r>
        <w:rPr>
          <w:rFonts w:hint="eastAsia" w:ascii="仿宋_GB2312" w:hAnsi="仿宋" w:eastAsia="仿宋_GB2312"/>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0" w:name="_Toc15377218"/>
      <w:bookmarkStart w:id="41"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仿宋_GB2312"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21年，四川省峨眉监狱机关运行经费支出42.60万元，比</w:t>
      </w:r>
      <w:r>
        <w:rPr>
          <w:rFonts w:ascii="仿宋_GB2312" w:eastAsia="仿宋_GB2312"/>
          <w:sz w:val="32"/>
          <w:szCs w:val="32"/>
        </w:rPr>
        <w:t>20</w:t>
      </w:r>
      <w:r>
        <w:rPr>
          <w:rFonts w:hint="eastAsia" w:ascii="仿宋_GB2312" w:eastAsia="仿宋_GB2312"/>
          <w:sz w:val="32"/>
          <w:szCs w:val="32"/>
        </w:rPr>
        <w:t>20年减少5.20万元，下降10.88</w:t>
      </w:r>
      <w:r>
        <w:rPr>
          <w:rFonts w:ascii="仿宋_GB2312" w:eastAsia="仿宋_GB2312"/>
          <w:sz w:val="32"/>
          <w:szCs w:val="32"/>
        </w:rPr>
        <w:t>%</w:t>
      </w:r>
      <w:r>
        <w:rPr>
          <w:rFonts w:hint="eastAsia" w:ascii="仿宋_GB2312" w:eastAsia="仿宋_GB2312"/>
          <w:sz w:val="32"/>
          <w:szCs w:val="32"/>
        </w:rPr>
        <w:t>。主要原因是人员减少。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21年，四川省峨眉监狱政府采购支出总额12.14万元，其中：政府采购货物支出2.51万元、政府采购工程支出0万元、政府采购服务支出9.63万元。</w:t>
      </w:r>
      <w:r>
        <w:rPr>
          <w:rFonts w:hint="eastAsia" w:ascii="宋体" w:hAnsi="宋体" w:eastAsia="仿宋"/>
          <w:color w:val="000000"/>
          <w:sz w:val="32"/>
          <w:szCs w:val="32"/>
        </w:rPr>
        <w:t>主要用于公务用车运动维护费支出和办公设施设备采购。</w:t>
      </w:r>
      <w:r>
        <w:rPr>
          <w:rFonts w:hint="eastAsia" w:ascii="仿宋_GB2312" w:eastAsia="仿宋_GB2312"/>
          <w:sz w:val="32"/>
          <w:szCs w:val="32"/>
        </w:rPr>
        <w:t>授予中小企业合同金额3.07万元，占政府采购支出总额的25.33</w:t>
      </w:r>
      <w:r>
        <w:rPr>
          <w:rFonts w:ascii="仿宋_GB2312" w:eastAsia="仿宋_GB2312"/>
          <w:sz w:val="32"/>
          <w:szCs w:val="32"/>
        </w:rPr>
        <w:t>%</w:t>
      </w:r>
      <w:r>
        <w:rPr>
          <w:rFonts w:hint="eastAsia" w:ascii="仿宋_GB2312" w:eastAsia="仿宋_GB2312"/>
          <w:sz w:val="32"/>
          <w:szCs w:val="32"/>
        </w:rPr>
        <w:t>，其中：授予小微企业合同金额3.07万元，占政府采购支出总额的25.33</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color w:val="FF0000"/>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日，四川省峨眉监狱共有车辆4辆，其中：主要领导干部用车0辆、机要通信用车0辆、应急保障用车0辆、</w:t>
      </w:r>
      <w:r>
        <w:rPr>
          <w:rFonts w:hint="eastAsia" w:ascii="仿宋_GB2312" w:hAnsi="仿宋" w:eastAsia="仿宋_GB2312"/>
          <w:sz w:val="32"/>
          <w:szCs w:val="32"/>
        </w:rPr>
        <w:t>执法执勤用车4辆、</w:t>
      </w:r>
      <w:r>
        <w:rPr>
          <w:rFonts w:hint="eastAsia" w:ascii="仿宋_GB2312" w:eastAsia="仿宋_GB2312"/>
          <w:sz w:val="32"/>
          <w:szCs w:val="32"/>
        </w:rPr>
        <w:t>其他用车0辆，其他用车主要是用于</w:t>
      </w:r>
      <w:r>
        <w:rPr>
          <w:rFonts w:hint="eastAsia" w:ascii="仿宋_GB2312" w:hAnsi="仿宋" w:eastAsia="仿宋_GB2312"/>
          <w:sz w:val="32"/>
          <w:szCs w:val="32"/>
        </w:rPr>
        <w:t>一般公务</w:t>
      </w:r>
      <w:r>
        <w:rPr>
          <w:rFonts w:hint="eastAsia" w:ascii="仿宋" w:hAnsi="仿宋" w:eastAsia="仿宋"/>
          <w:sz w:val="32"/>
          <w:szCs w:val="32"/>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无100万元以上（含）特定目标类部门预算项目，根据预算绩效管理要求，因此未开展事前绩效评估、编制绩效目标、开展绩效监控等绩效管理工作。2021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spacing w:line="580" w:lineRule="atLeast"/>
        <w:ind w:firstLine="640" w:firstLineChars="200"/>
        <w:rPr>
          <w:rFonts w:ascii="仿宋_GB2312" w:hAnsi="仿宋_GB2312" w:eastAsia="仿宋_GB2312" w:cs="仿宋_GB2312"/>
          <w:sz w:val="32"/>
          <w:szCs w:val="32"/>
        </w:rPr>
      </w:pPr>
      <w:bookmarkStart w:id="51" w:name="_Toc15377226"/>
      <w:r>
        <w:rPr>
          <w:rFonts w:hint="eastAsia" w:ascii="仿宋_GB2312" w:hAnsi="仿宋_GB2312" w:eastAsia="仿宋_GB2312" w:cs="仿宋_GB2312"/>
          <w:sz w:val="32"/>
          <w:szCs w:val="32"/>
        </w:rPr>
        <w:t xml:space="preserve">1、财政拨款收入：指省级财政当年拨付的资金。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2、其他收入：指除上述“财政拨款收入”、“经营收入”等以外的收入。主要包括省卫健委拨入的离休干部医药费等。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3、年初结转和结余：指以前年度尚未完成、结转到本年按有关规定继续使用的资金。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共安全支出：监狱行政运行（2040701），反映行政单位(包括实行公务员管理的事业单位）的基本支出；监狱一般行政管理事务（2040702），反映行政单位(包括实行公务员管理的事业单位）未单独设置项级科目的其他项目支出；机关服务（2040703），反映行政单位（包括实行公务员管理的事业单位）提供后勤服务的各类后勤服务中心、医务室等附属事业单位的支出；其他公共安全支出（2049999），反映其他用于公共安全方面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5、教育支出：培训支出（2050803），反映各部门安排的用于培训的支出。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支出:行政单位离退休（2080501），反映行政单位开支的离退休经费；事业单位离退休（2080502），反映事业单位开支的离退休经费；机关事业单位基本养老保险缴费支出（2080505），反映机关事业单位实施养老保险制度由单位缴纳的基本养老保险费支出；机关事业单位职业年金缴费支出（2080506），反映机关事业单位实施养老保险制度由单位实际缴纳的职业年金支出。死亡抚恤（2080801），反映按规定用于烈士和牺牲、病故人员家属的一次性定期抚恤金以及丧葬补助费；其他社会保障和就业支出（2089999），反映除上述项目以外其他用于社会保障和就业方面的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支出:重大公共卫生服务（2100409），反映重大疾病、重大传染病预防控制等重大公共卫生服务项目支出；行政单位医疗（2101101），反应财政部门安排的行政单位基本医疗保险缴费经费，未参加医疗保险的行政单位的公费医疗经费，按国家规定享受离休人员、红军老战士待遇人员的医疗经费；事业单位医疗（2101102），反应财政部门安排的事业单位基本医疗保险缴费经费，未参加医疗保险的事业单位的公费医疗经费，按国家规定享受离休人员待遇的医疗经费；公务员医疗补助（2101103），反应财政部门安排的公务员医疗补助经费。</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住房保障支出：住房公积金（2210201），反映行政事业单位按人力资源和社会保障部、财政部规定的基本工资和津补贴以及规定比例为职工缴纳的住房公积金；购房补贴（2210203），反映按房改政策规定，行政事业单位向符合条件职工（含离退休人员）、军队（含武警）向转役复员离退休人员发放的用于购买住房的补贴。</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9、年末结转和结余：指本年度或以前年度预算安排、因客观条件发生变化无法按原计划实施，需延迟到以后年度按有关规定继续使用的资金。</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10、基本支出：指为保障机构正常运转、完成日常工作任务而发生的人员支出和公用支出。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11、项目支出：指在基本支出之外为完成特定行政任务和事业发展目标所发生的支出。 </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ascii="黑体" w:hAnsi="黑体" w:eastAsia="黑体"/>
          <w:b w:val="0"/>
        </w:rPr>
      </w:pPr>
      <w:bookmarkStart w:id="52" w:name="_Toc15396614"/>
      <w:r>
        <w:rPr>
          <w:rFonts w:hint="eastAsia" w:ascii="黑体" w:hAnsi="黑体" w:eastAsia="黑体"/>
          <w:sz w:val="44"/>
          <w:szCs w:val="44"/>
        </w:rPr>
        <w:t>第</w:t>
      </w:r>
      <w:r>
        <w:rPr>
          <w:rStyle w:val="31"/>
          <w:rFonts w:hint="eastAsia" w:ascii="黑体" w:hAnsi="黑体" w:eastAsia="黑体"/>
          <w:b w:val="0"/>
        </w:rPr>
        <w:t>四部分附件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4" w:type="dxa"/>
            <w:tcBorders>
              <w:top w:val="nil"/>
              <w:left w:val="nil"/>
              <w:bottom w:val="nil"/>
              <w:right w:val="nil"/>
            </w:tcBorders>
            <w:noWrap/>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right"/>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outlineLvl w:val="0"/>
        <w:rPr>
          <w:rFonts w:ascii="黑体" w:hAnsi="黑体" w:eastAsia="黑体"/>
          <w:sz w:val="44"/>
          <w:szCs w:val="44"/>
        </w:rPr>
      </w:pPr>
    </w:p>
    <w:p>
      <w:pPr>
        <w:widowControl/>
        <w:adjustRightInd w:val="0"/>
        <w:snapToGrid w:val="0"/>
        <w:spacing w:line="580" w:lineRule="exact"/>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（注：2021年四川省峨眉监狱无100万元以上（含）特定目标类部门预算项目。）</w:t>
      </w:r>
    </w:p>
    <w:p>
      <w:pPr>
        <w:pStyle w:val="2"/>
        <w:spacing w:before="93"/>
        <w:rPr>
          <w:rFonts w:hint="eastAsia"/>
        </w:rPr>
      </w:pPr>
    </w:p>
    <w:p>
      <w:pPr>
        <w:spacing w:line="600" w:lineRule="exact"/>
        <w:jc w:val="center"/>
        <w:outlineLvl w:val="0"/>
        <w:rPr>
          <w:rFonts w:ascii="黑体" w:hAnsi="黑体" w:eastAsia="黑体"/>
          <w:color w:val="000000"/>
          <w:sz w:val="44"/>
          <w:szCs w:val="44"/>
        </w:rPr>
      </w:pPr>
      <w:bookmarkStart w:id="53" w:name="_Toc15396618"/>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bCs/>
          <w:color w:val="FF0000"/>
        </w:rPr>
      </w:pPr>
      <w:bookmarkStart w:id="58" w:name="_Toc15396623"/>
      <w:r>
        <w:rPr>
          <w:rStyle w:val="26"/>
          <w:rFonts w:hint="eastAsia" w:ascii="仿宋" w:hAnsi="仿宋" w:eastAsia="仿宋"/>
          <w:b w:val="0"/>
          <w:bCs w:val="0"/>
        </w:rPr>
        <w:t>五、</w:t>
      </w:r>
      <w:r>
        <w:rPr>
          <w:rFonts w:hint="eastAsia" w:ascii="仿宋" w:hAnsi="仿宋" w:eastAsia="仿宋"/>
          <w:b w:val="0"/>
          <w:bCs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bCs/>
          <w:color w:val="FF0000"/>
        </w:rPr>
      </w:pPr>
      <w:bookmarkStart w:id="66" w:name="_Toc15396631"/>
      <w:r>
        <w:rPr>
          <w:rStyle w:val="26"/>
          <w:rFonts w:hint="eastAsia" w:ascii="仿宋" w:hAnsi="仿宋" w:eastAsia="仿宋"/>
          <w:b w:val="0"/>
          <w:bCs w:val="0"/>
        </w:rPr>
        <w:t>十三、</w:t>
      </w:r>
      <w:r>
        <w:rPr>
          <w:rFonts w:hint="eastAsia" w:ascii="仿宋" w:hAnsi="仿宋" w:eastAsia="仿宋"/>
          <w:b w:val="0"/>
          <w:bCs w:val="0"/>
        </w:rPr>
        <w:t>国</w:t>
      </w:r>
      <w:r>
        <w:rPr>
          <w:rStyle w:val="26"/>
          <w:rFonts w:hint="eastAsia" w:ascii="仿宋" w:hAnsi="仿宋" w:eastAsia="仿宋"/>
          <w:b w:val="0"/>
          <w:bCs w:val="0"/>
        </w:rPr>
        <w:t>有资本经营预算财政拨款收入支出决算表</w:t>
      </w:r>
      <w:bookmarkEnd w:id="66"/>
    </w:p>
    <w:p>
      <w:pPr>
        <w:rPr>
          <w:rFonts w:eastAsia="仿宋"/>
          <w:b/>
          <w:bCs/>
          <w:color w:val="FF0000"/>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569F"/>
    <w:rsid w:val="001C0962"/>
    <w:rsid w:val="001D6B78"/>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D7C40"/>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6742"/>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4D61"/>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5F2D"/>
    <w:rsid w:val="007416B6"/>
    <w:rsid w:val="00746F48"/>
    <w:rsid w:val="0075404D"/>
    <w:rsid w:val="0076182A"/>
    <w:rsid w:val="00767B7E"/>
    <w:rsid w:val="007770C3"/>
    <w:rsid w:val="00784D24"/>
    <w:rsid w:val="00785FBA"/>
    <w:rsid w:val="00786E4A"/>
    <w:rsid w:val="007875EB"/>
    <w:rsid w:val="00787D48"/>
    <w:rsid w:val="0079426B"/>
    <w:rsid w:val="007D1682"/>
    <w:rsid w:val="007D312A"/>
    <w:rsid w:val="007D3F19"/>
    <w:rsid w:val="007E23B0"/>
    <w:rsid w:val="007E23E5"/>
    <w:rsid w:val="007F1991"/>
    <w:rsid w:val="007F2C2F"/>
    <w:rsid w:val="007F55FC"/>
    <w:rsid w:val="007F5665"/>
    <w:rsid w:val="00800112"/>
    <w:rsid w:val="00813348"/>
    <w:rsid w:val="008253BB"/>
    <w:rsid w:val="00827618"/>
    <w:rsid w:val="0083706E"/>
    <w:rsid w:val="008408F6"/>
    <w:rsid w:val="008423A5"/>
    <w:rsid w:val="00850625"/>
    <w:rsid w:val="00853718"/>
    <w:rsid w:val="00855221"/>
    <w:rsid w:val="00860645"/>
    <w:rsid w:val="00871F71"/>
    <w:rsid w:val="00872FD8"/>
    <w:rsid w:val="00885AF4"/>
    <w:rsid w:val="008939CD"/>
    <w:rsid w:val="008A098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60CB"/>
    <w:rsid w:val="009B2C43"/>
    <w:rsid w:val="009B4EAE"/>
    <w:rsid w:val="009B7573"/>
    <w:rsid w:val="009C22F4"/>
    <w:rsid w:val="009C2A4B"/>
    <w:rsid w:val="009C2E98"/>
    <w:rsid w:val="009C7A60"/>
    <w:rsid w:val="009D3447"/>
    <w:rsid w:val="009D4711"/>
    <w:rsid w:val="009F1185"/>
    <w:rsid w:val="009F18CD"/>
    <w:rsid w:val="009F2A13"/>
    <w:rsid w:val="009F7527"/>
    <w:rsid w:val="00A04EB0"/>
    <w:rsid w:val="00A13CC1"/>
    <w:rsid w:val="00A1683E"/>
    <w:rsid w:val="00A16847"/>
    <w:rsid w:val="00A237D8"/>
    <w:rsid w:val="00A268C4"/>
    <w:rsid w:val="00A307CD"/>
    <w:rsid w:val="00A331C8"/>
    <w:rsid w:val="00A40A00"/>
    <w:rsid w:val="00A4142F"/>
    <w:rsid w:val="00A422EB"/>
    <w:rsid w:val="00A45BB7"/>
    <w:rsid w:val="00A56DF2"/>
    <w:rsid w:val="00A56E6E"/>
    <w:rsid w:val="00A620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5D5"/>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0EC0"/>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30D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46E7"/>
    <w:rsid w:val="00FC625C"/>
    <w:rsid w:val="00FD3CC1"/>
    <w:rsid w:val="00FF1E02"/>
    <w:rsid w:val="00FF30B4"/>
    <w:rsid w:val="01280E5B"/>
    <w:rsid w:val="014C3A8B"/>
    <w:rsid w:val="014D4561"/>
    <w:rsid w:val="01891BC3"/>
    <w:rsid w:val="01D40338"/>
    <w:rsid w:val="01E430CE"/>
    <w:rsid w:val="01F0403A"/>
    <w:rsid w:val="023B6E5A"/>
    <w:rsid w:val="02AF34D4"/>
    <w:rsid w:val="02CD0F31"/>
    <w:rsid w:val="02F24E6B"/>
    <w:rsid w:val="033D0A0B"/>
    <w:rsid w:val="03765584"/>
    <w:rsid w:val="0434361A"/>
    <w:rsid w:val="04A8230B"/>
    <w:rsid w:val="04E93AC3"/>
    <w:rsid w:val="04FB3A45"/>
    <w:rsid w:val="05652A52"/>
    <w:rsid w:val="059A3940"/>
    <w:rsid w:val="05D63CB0"/>
    <w:rsid w:val="060C4EA2"/>
    <w:rsid w:val="060D46C8"/>
    <w:rsid w:val="062F43B2"/>
    <w:rsid w:val="064245D0"/>
    <w:rsid w:val="065564AC"/>
    <w:rsid w:val="065C26EB"/>
    <w:rsid w:val="06682251"/>
    <w:rsid w:val="06756C09"/>
    <w:rsid w:val="068001DB"/>
    <w:rsid w:val="0681799C"/>
    <w:rsid w:val="06B428E2"/>
    <w:rsid w:val="06D40E51"/>
    <w:rsid w:val="06FA0687"/>
    <w:rsid w:val="070F1893"/>
    <w:rsid w:val="07924D4B"/>
    <w:rsid w:val="08002BCB"/>
    <w:rsid w:val="08063F77"/>
    <w:rsid w:val="082A2CFC"/>
    <w:rsid w:val="085D7190"/>
    <w:rsid w:val="08830747"/>
    <w:rsid w:val="08BA794E"/>
    <w:rsid w:val="08D569DF"/>
    <w:rsid w:val="096C2F1A"/>
    <w:rsid w:val="0977607E"/>
    <w:rsid w:val="09901286"/>
    <w:rsid w:val="0A2032A3"/>
    <w:rsid w:val="0A233938"/>
    <w:rsid w:val="0A3B2510"/>
    <w:rsid w:val="0B884F68"/>
    <w:rsid w:val="0BB54972"/>
    <w:rsid w:val="0BCB4EDD"/>
    <w:rsid w:val="0BE0738C"/>
    <w:rsid w:val="0C407B5E"/>
    <w:rsid w:val="0C915853"/>
    <w:rsid w:val="0CD037DA"/>
    <w:rsid w:val="0CE5497D"/>
    <w:rsid w:val="0D1012A1"/>
    <w:rsid w:val="0D806CE6"/>
    <w:rsid w:val="0E291A62"/>
    <w:rsid w:val="0E2B6800"/>
    <w:rsid w:val="0E8B4FCD"/>
    <w:rsid w:val="0E8F6107"/>
    <w:rsid w:val="0EB5372E"/>
    <w:rsid w:val="0EC01064"/>
    <w:rsid w:val="0F5D1551"/>
    <w:rsid w:val="0F7871EA"/>
    <w:rsid w:val="100F7103"/>
    <w:rsid w:val="102D734C"/>
    <w:rsid w:val="10C055FF"/>
    <w:rsid w:val="116568AC"/>
    <w:rsid w:val="116F5435"/>
    <w:rsid w:val="117341CC"/>
    <w:rsid w:val="118107EC"/>
    <w:rsid w:val="11E543F1"/>
    <w:rsid w:val="131B55FC"/>
    <w:rsid w:val="13583225"/>
    <w:rsid w:val="1368116B"/>
    <w:rsid w:val="137C03DD"/>
    <w:rsid w:val="137E14CA"/>
    <w:rsid w:val="145542FB"/>
    <w:rsid w:val="14994FEC"/>
    <w:rsid w:val="14D61117"/>
    <w:rsid w:val="15092D9C"/>
    <w:rsid w:val="15364FAF"/>
    <w:rsid w:val="156D79FD"/>
    <w:rsid w:val="15865956"/>
    <w:rsid w:val="162F5C57"/>
    <w:rsid w:val="164D0FCD"/>
    <w:rsid w:val="16530998"/>
    <w:rsid w:val="165C05E4"/>
    <w:rsid w:val="16A904F9"/>
    <w:rsid w:val="16BB723D"/>
    <w:rsid w:val="16BE1C1C"/>
    <w:rsid w:val="16DA29E7"/>
    <w:rsid w:val="17092F91"/>
    <w:rsid w:val="17257D08"/>
    <w:rsid w:val="176A648B"/>
    <w:rsid w:val="176D1908"/>
    <w:rsid w:val="177C2AC0"/>
    <w:rsid w:val="17B114EE"/>
    <w:rsid w:val="17DC673B"/>
    <w:rsid w:val="18015F3F"/>
    <w:rsid w:val="18264101"/>
    <w:rsid w:val="185A67ED"/>
    <w:rsid w:val="188E0BB3"/>
    <w:rsid w:val="1987121A"/>
    <w:rsid w:val="19C42681"/>
    <w:rsid w:val="19D50BB8"/>
    <w:rsid w:val="19F771D6"/>
    <w:rsid w:val="1B602D1E"/>
    <w:rsid w:val="1B901881"/>
    <w:rsid w:val="1BB81A25"/>
    <w:rsid w:val="1BE8440E"/>
    <w:rsid w:val="1BF117D7"/>
    <w:rsid w:val="1C184D08"/>
    <w:rsid w:val="1C18542D"/>
    <w:rsid w:val="1C457640"/>
    <w:rsid w:val="1CB6061A"/>
    <w:rsid w:val="1D155CEE"/>
    <w:rsid w:val="1D480B52"/>
    <w:rsid w:val="1D9303A4"/>
    <w:rsid w:val="1DA019F0"/>
    <w:rsid w:val="1E3B4A48"/>
    <w:rsid w:val="1E772A0D"/>
    <w:rsid w:val="1ED048A8"/>
    <w:rsid w:val="1F3D3056"/>
    <w:rsid w:val="1F8D42DB"/>
    <w:rsid w:val="1FC62137"/>
    <w:rsid w:val="1FE5342E"/>
    <w:rsid w:val="1FF03F78"/>
    <w:rsid w:val="204E6240"/>
    <w:rsid w:val="20A664F1"/>
    <w:rsid w:val="20B907E5"/>
    <w:rsid w:val="20F35E8E"/>
    <w:rsid w:val="20F57F95"/>
    <w:rsid w:val="215E773A"/>
    <w:rsid w:val="219D2391"/>
    <w:rsid w:val="21AA1C6F"/>
    <w:rsid w:val="21E83C96"/>
    <w:rsid w:val="223A7C8B"/>
    <w:rsid w:val="22C83E90"/>
    <w:rsid w:val="22CA5E26"/>
    <w:rsid w:val="233001FE"/>
    <w:rsid w:val="235B599E"/>
    <w:rsid w:val="235D2A24"/>
    <w:rsid w:val="23B75986"/>
    <w:rsid w:val="23B859AD"/>
    <w:rsid w:val="24020B53"/>
    <w:rsid w:val="240371BF"/>
    <w:rsid w:val="24085EC7"/>
    <w:rsid w:val="24542F98"/>
    <w:rsid w:val="24607027"/>
    <w:rsid w:val="2482439A"/>
    <w:rsid w:val="24951DC2"/>
    <w:rsid w:val="24A532E0"/>
    <w:rsid w:val="24B54C38"/>
    <w:rsid w:val="24D53E72"/>
    <w:rsid w:val="25206B32"/>
    <w:rsid w:val="252C38F8"/>
    <w:rsid w:val="256879C9"/>
    <w:rsid w:val="25BB7F79"/>
    <w:rsid w:val="25DC4EE2"/>
    <w:rsid w:val="25EC619C"/>
    <w:rsid w:val="26954CFB"/>
    <w:rsid w:val="26B656B8"/>
    <w:rsid w:val="27077BE6"/>
    <w:rsid w:val="27372B0F"/>
    <w:rsid w:val="2738594D"/>
    <w:rsid w:val="27842671"/>
    <w:rsid w:val="27B84667"/>
    <w:rsid w:val="27E34E31"/>
    <w:rsid w:val="283745C5"/>
    <w:rsid w:val="283D11FE"/>
    <w:rsid w:val="283D29E4"/>
    <w:rsid w:val="28DD2917"/>
    <w:rsid w:val="29980D61"/>
    <w:rsid w:val="29A552E6"/>
    <w:rsid w:val="29E07B97"/>
    <w:rsid w:val="29FD04D3"/>
    <w:rsid w:val="2A285398"/>
    <w:rsid w:val="2A9D20A9"/>
    <w:rsid w:val="2AA90996"/>
    <w:rsid w:val="2ABE7A3E"/>
    <w:rsid w:val="2AC4777C"/>
    <w:rsid w:val="2AE21374"/>
    <w:rsid w:val="2B09130B"/>
    <w:rsid w:val="2B1C2CAA"/>
    <w:rsid w:val="2B703275"/>
    <w:rsid w:val="2BD77C01"/>
    <w:rsid w:val="2C3D2A0A"/>
    <w:rsid w:val="2CD21D3E"/>
    <w:rsid w:val="2D097943"/>
    <w:rsid w:val="2D162164"/>
    <w:rsid w:val="2DDF466F"/>
    <w:rsid w:val="2E105E37"/>
    <w:rsid w:val="2E8F72AC"/>
    <w:rsid w:val="2EDB760A"/>
    <w:rsid w:val="2F620536"/>
    <w:rsid w:val="2F6D0BD8"/>
    <w:rsid w:val="2F8C744F"/>
    <w:rsid w:val="2FDC23DA"/>
    <w:rsid w:val="2FE56499"/>
    <w:rsid w:val="30080AD7"/>
    <w:rsid w:val="30224AD1"/>
    <w:rsid w:val="30A41B2F"/>
    <w:rsid w:val="30B07AA7"/>
    <w:rsid w:val="31754F9B"/>
    <w:rsid w:val="319F13BE"/>
    <w:rsid w:val="319F7F4E"/>
    <w:rsid w:val="31B51368"/>
    <w:rsid w:val="328B1570"/>
    <w:rsid w:val="32A2386A"/>
    <w:rsid w:val="32B52FCC"/>
    <w:rsid w:val="32CF2E78"/>
    <w:rsid w:val="32FE5325"/>
    <w:rsid w:val="332240C6"/>
    <w:rsid w:val="334839CE"/>
    <w:rsid w:val="336A7DE0"/>
    <w:rsid w:val="33A94190"/>
    <w:rsid w:val="33CE4379"/>
    <w:rsid w:val="33F12C4F"/>
    <w:rsid w:val="34274AC3"/>
    <w:rsid w:val="34413087"/>
    <w:rsid w:val="34466D2D"/>
    <w:rsid w:val="346B6750"/>
    <w:rsid w:val="35401E71"/>
    <w:rsid w:val="355C034E"/>
    <w:rsid w:val="35805F76"/>
    <w:rsid w:val="35E215AB"/>
    <w:rsid w:val="35E7620B"/>
    <w:rsid w:val="367335C1"/>
    <w:rsid w:val="36B169CB"/>
    <w:rsid w:val="36E1775A"/>
    <w:rsid w:val="378A36DA"/>
    <w:rsid w:val="3881195D"/>
    <w:rsid w:val="39252EBD"/>
    <w:rsid w:val="3929050B"/>
    <w:rsid w:val="392F2F32"/>
    <w:rsid w:val="394828B1"/>
    <w:rsid w:val="394F38E7"/>
    <w:rsid w:val="396F28B4"/>
    <w:rsid w:val="39755BC7"/>
    <w:rsid w:val="39945C5D"/>
    <w:rsid w:val="3A343917"/>
    <w:rsid w:val="3AC72C1F"/>
    <w:rsid w:val="3B2125CF"/>
    <w:rsid w:val="3B7E0624"/>
    <w:rsid w:val="3B8B3B90"/>
    <w:rsid w:val="3BA64DF5"/>
    <w:rsid w:val="3BDB1F6D"/>
    <w:rsid w:val="3C0C0783"/>
    <w:rsid w:val="3C4C2B4E"/>
    <w:rsid w:val="3C7914DD"/>
    <w:rsid w:val="3C9D3FF2"/>
    <w:rsid w:val="3CF83300"/>
    <w:rsid w:val="3DDB5C77"/>
    <w:rsid w:val="3DF34018"/>
    <w:rsid w:val="3DFC46FB"/>
    <w:rsid w:val="3E3337CC"/>
    <w:rsid w:val="3E531D20"/>
    <w:rsid w:val="3E5D4B91"/>
    <w:rsid w:val="3E694578"/>
    <w:rsid w:val="3E813560"/>
    <w:rsid w:val="3E9000D9"/>
    <w:rsid w:val="3ED41799"/>
    <w:rsid w:val="3F095ED1"/>
    <w:rsid w:val="3F2A44DF"/>
    <w:rsid w:val="3F453ADA"/>
    <w:rsid w:val="3F757F8A"/>
    <w:rsid w:val="3F8B0C0F"/>
    <w:rsid w:val="3FAD563A"/>
    <w:rsid w:val="40050B29"/>
    <w:rsid w:val="407C7BD9"/>
    <w:rsid w:val="40E17906"/>
    <w:rsid w:val="40F93028"/>
    <w:rsid w:val="416713B2"/>
    <w:rsid w:val="41F93782"/>
    <w:rsid w:val="424338AA"/>
    <w:rsid w:val="42D31DC6"/>
    <w:rsid w:val="42DD25B8"/>
    <w:rsid w:val="42E74660"/>
    <w:rsid w:val="431B4380"/>
    <w:rsid w:val="43734411"/>
    <w:rsid w:val="43C23876"/>
    <w:rsid w:val="43CD46D2"/>
    <w:rsid w:val="43D52A9E"/>
    <w:rsid w:val="43F877C9"/>
    <w:rsid w:val="44026589"/>
    <w:rsid w:val="44160B97"/>
    <w:rsid w:val="44CC4D74"/>
    <w:rsid w:val="45035522"/>
    <w:rsid w:val="454C71B7"/>
    <w:rsid w:val="45855E92"/>
    <w:rsid w:val="459C0199"/>
    <w:rsid w:val="45A900CE"/>
    <w:rsid w:val="461F604A"/>
    <w:rsid w:val="468F53C2"/>
    <w:rsid w:val="46F62F02"/>
    <w:rsid w:val="46FB7366"/>
    <w:rsid w:val="47074AA8"/>
    <w:rsid w:val="4724221D"/>
    <w:rsid w:val="47310DC7"/>
    <w:rsid w:val="47A553E8"/>
    <w:rsid w:val="47C94468"/>
    <w:rsid w:val="48363246"/>
    <w:rsid w:val="48676D7B"/>
    <w:rsid w:val="489F657F"/>
    <w:rsid w:val="491105EB"/>
    <w:rsid w:val="49210CC8"/>
    <w:rsid w:val="493074A2"/>
    <w:rsid w:val="493C27E9"/>
    <w:rsid w:val="495A6F4D"/>
    <w:rsid w:val="496F39ED"/>
    <w:rsid w:val="49AA0E8D"/>
    <w:rsid w:val="49BE76B2"/>
    <w:rsid w:val="49BF74EA"/>
    <w:rsid w:val="49F56085"/>
    <w:rsid w:val="49FF41D3"/>
    <w:rsid w:val="4A104775"/>
    <w:rsid w:val="4A7863CE"/>
    <w:rsid w:val="4A850C4C"/>
    <w:rsid w:val="4AEB1EF8"/>
    <w:rsid w:val="4B0B06F0"/>
    <w:rsid w:val="4B493C3B"/>
    <w:rsid w:val="4B666FE8"/>
    <w:rsid w:val="4B916F75"/>
    <w:rsid w:val="4BE068DB"/>
    <w:rsid w:val="4BF6002B"/>
    <w:rsid w:val="4C154272"/>
    <w:rsid w:val="4C1D116C"/>
    <w:rsid w:val="4C45145A"/>
    <w:rsid w:val="4C517387"/>
    <w:rsid w:val="4C572821"/>
    <w:rsid w:val="4C97140F"/>
    <w:rsid w:val="4CB553E3"/>
    <w:rsid w:val="4CE90F5A"/>
    <w:rsid w:val="4CED076E"/>
    <w:rsid w:val="4D3D0CB5"/>
    <w:rsid w:val="4D64576B"/>
    <w:rsid w:val="4D7A60EE"/>
    <w:rsid w:val="4D8243C7"/>
    <w:rsid w:val="4DA804CB"/>
    <w:rsid w:val="4DD73A07"/>
    <w:rsid w:val="4DF92844"/>
    <w:rsid w:val="4E0A0A8B"/>
    <w:rsid w:val="4E0B1871"/>
    <w:rsid w:val="4E0D7911"/>
    <w:rsid w:val="4ECE2238"/>
    <w:rsid w:val="4F0408E3"/>
    <w:rsid w:val="4F281E6B"/>
    <w:rsid w:val="4F3D570E"/>
    <w:rsid w:val="4F4866EC"/>
    <w:rsid w:val="4F7E6E24"/>
    <w:rsid w:val="4F8745B3"/>
    <w:rsid w:val="50A01768"/>
    <w:rsid w:val="50AA79BB"/>
    <w:rsid w:val="50C32BC5"/>
    <w:rsid w:val="5138012D"/>
    <w:rsid w:val="517D3D28"/>
    <w:rsid w:val="52795294"/>
    <w:rsid w:val="5296322D"/>
    <w:rsid w:val="52C45541"/>
    <w:rsid w:val="52D61862"/>
    <w:rsid w:val="5353322C"/>
    <w:rsid w:val="53814C4A"/>
    <w:rsid w:val="54062A13"/>
    <w:rsid w:val="54AA2944"/>
    <w:rsid w:val="55005BA7"/>
    <w:rsid w:val="551F2792"/>
    <w:rsid w:val="562A46A8"/>
    <w:rsid w:val="56B219D3"/>
    <w:rsid w:val="56EC5373"/>
    <w:rsid w:val="57537CDB"/>
    <w:rsid w:val="57562F44"/>
    <w:rsid w:val="57826737"/>
    <w:rsid w:val="579473DF"/>
    <w:rsid w:val="57A021EE"/>
    <w:rsid w:val="57CD17A4"/>
    <w:rsid w:val="57F91082"/>
    <w:rsid w:val="580E7DA8"/>
    <w:rsid w:val="581474FB"/>
    <w:rsid w:val="584612CE"/>
    <w:rsid w:val="58557AF4"/>
    <w:rsid w:val="585632D2"/>
    <w:rsid w:val="58AF5350"/>
    <w:rsid w:val="58DD5FD4"/>
    <w:rsid w:val="595A62C5"/>
    <w:rsid w:val="59B4458F"/>
    <w:rsid w:val="59B95361"/>
    <w:rsid w:val="59D4642D"/>
    <w:rsid w:val="59DD2E35"/>
    <w:rsid w:val="5A102393"/>
    <w:rsid w:val="5A3143BA"/>
    <w:rsid w:val="5A4B31FD"/>
    <w:rsid w:val="5A7360A4"/>
    <w:rsid w:val="5AA310CF"/>
    <w:rsid w:val="5AD24F6D"/>
    <w:rsid w:val="5B846E74"/>
    <w:rsid w:val="5B865E6B"/>
    <w:rsid w:val="5BAB6F9C"/>
    <w:rsid w:val="5BAE0610"/>
    <w:rsid w:val="5C4516E8"/>
    <w:rsid w:val="5C995956"/>
    <w:rsid w:val="5CA14745"/>
    <w:rsid w:val="5CE73212"/>
    <w:rsid w:val="5D09262B"/>
    <w:rsid w:val="5D196E87"/>
    <w:rsid w:val="5D380045"/>
    <w:rsid w:val="5D717B38"/>
    <w:rsid w:val="5E341D9D"/>
    <w:rsid w:val="5E7F7824"/>
    <w:rsid w:val="5F200611"/>
    <w:rsid w:val="5F63088A"/>
    <w:rsid w:val="5FAA4BF1"/>
    <w:rsid w:val="5FAC5F1B"/>
    <w:rsid w:val="5FC32D35"/>
    <w:rsid w:val="5FCF7353"/>
    <w:rsid w:val="5FF771D1"/>
    <w:rsid w:val="608D00AD"/>
    <w:rsid w:val="60F876E1"/>
    <w:rsid w:val="60FF5768"/>
    <w:rsid w:val="61BB6D6F"/>
    <w:rsid w:val="61C646C3"/>
    <w:rsid w:val="61E74800"/>
    <w:rsid w:val="61FF3EB4"/>
    <w:rsid w:val="62105FAB"/>
    <w:rsid w:val="625873FD"/>
    <w:rsid w:val="62722AC7"/>
    <w:rsid w:val="62734705"/>
    <w:rsid w:val="628C565B"/>
    <w:rsid w:val="62E51085"/>
    <w:rsid w:val="634F0265"/>
    <w:rsid w:val="6354441A"/>
    <w:rsid w:val="636F5066"/>
    <w:rsid w:val="63A84D09"/>
    <w:rsid w:val="64092204"/>
    <w:rsid w:val="64835606"/>
    <w:rsid w:val="64A006DF"/>
    <w:rsid w:val="64CA39A1"/>
    <w:rsid w:val="64F7584F"/>
    <w:rsid w:val="65274879"/>
    <w:rsid w:val="6581785D"/>
    <w:rsid w:val="658613C0"/>
    <w:rsid w:val="65B10D79"/>
    <w:rsid w:val="65F53BD7"/>
    <w:rsid w:val="660C381E"/>
    <w:rsid w:val="6627552D"/>
    <w:rsid w:val="663853C2"/>
    <w:rsid w:val="66407E1F"/>
    <w:rsid w:val="665F7F94"/>
    <w:rsid w:val="6663678E"/>
    <w:rsid w:val="66822BEC"/>
    <w:rsid w:val="668D797B"/>
    <w:rsid w:val="66CC0AE4"/>
    <w:rsid w:val="66CE394A"/>
    <w:rsid w:val="66E17E19"/>
    <w:rsid w:val="66F55ED8"/>
    <w:rsid w:val="6713495B"/>
    <w:rsid w:val="671B1835"/>
    <w:rsid w:val="675E7287"/>
    <w:rsid w:val="678B7357"/>
    <w:rsid w:val="67E12004"/>
    <w:rsid w:val="67EB6379"/>
    <w:rsid w:val="689F1DEB"/>
    <w:rsid w:val="68DD0801"/>
    <w:rsid w:val="68EF199E"/>
    <w:rsid w:val="692E560B"/>
    <w:rsid w:val="69726E84"/>
    <w:rsid w:val="69ED0CF4"/>
    <w:rsid w:val="6A6B5781"/>
    <w:rsid w:val="6B3B1ECF"/>
    <w:rsid w:val="6BA333BB"/>
    <w:rsid w:val="6BF31FF4"/>
    <w:rsid w:val="6C0C335F"/>
    <w:rsid w:val="6C2A00DB"/>
    <w:rsid w:val="6C4A05C8"/>
    <w:rsid w:val="6CD41E41"/>
    <w:rsid w:val="6CF10D59"/>
    <w:rsid w:val="6D993774"/>
    <w:rsid w:val="6DFA40CC"/>
    <w:rsid w:val="6E6C7623"/>
    <w:rsid w:val="6E7D2100"/>
    <w:rsid w:val="6F6C13D3"/>
    <w:rsid w:val="6F7141A0"/>
    <w:rsid w:val="6FA10F9D"/>
    <w:rsid w:val="6FDB6E3C"/>
    <w:rsid w:val="70486108"/>
    <w:rsid w:val="70546035"/>
    <w:rsid w:val="70582BE7"/>
    <w:rsid w:val="7088548A"/>
    <w:rsid w:val="709A5CD1"/>
    <w:rsid w:val="70C3542B"/>
    <w:rsid w:val="71554035"/>
    <w:rsid w:val="71644756"/>
    <w:rsid w:val="7231625A"/>
    <w:rsid w:val="724B25AA"/>
    <w:rsid w:val="7268104E"/>
    <w:rsid w:val="726D5814"/>
    <w:rsid w:val="72734D90"/>
    <w:rsid w:val="72E9753C"/>
    <w:rsid w:val="73295B04"/>
    <w:rsid w:val="735A0B04"/>
    <w:rsid w:val="73666B70"/>
    <w:rsid w:val="744B3884"/>
    <w:rsid w:val="74744614"/>
    <w:rsid w:val="749506CD"/>
    <w:rsid w:val="756C11C2"/>
    <w:rsid w:val="759463A9"/>
    <w:rsid w:val="75AF75E7"/>
    <w:rsid w:val="76DA37A9"/>
    <w:rsid w:val="76F15672"/>
    <w:rsid w:val="772B3763"/>
    <w:rsid w:val="774A08B6"/>
    <w:rsid w:val="77786305"/>
    <w:rsid w:val="777E7776"/>
    <w:rsid w:val="778251C5"/>
    <w:rsid w:val="77D76015"/>
    <w:rsid w:val="780064FD"/>
    <w:rsid w:val="7902780E"/>
    <w:rsid w:val="7965235B"/>
    <w:rsid w:val="79A07BBB"/>
    <w:rsid w:val="79EF1AF0"/>
    <w:rsid w:val="7A1C043D"/>
    <w:rsid w:val="7A636770"/>
    <w:rsid w:val="7A9D28D8"/>
    <w:rsid w:val="7ABD7039"/>
    <w:rsid w:val="7AC10694"/>
    <w:rsid w:val="7B045A02"/>
    <w:rsid w:val="7B3E67A2"/>
    <w:rsid w:val="7B7C0C2E"/>
    <w:rsid w:val="7BC10B80"/>
    <w:rsid w:val="7BFF5B60"/>
    <w:rsid w:val="7C0606FA"/>
    <w:rsid w:val="7C076055"/>
    <w:rsid w:val="7C0B7F81"/>
    <w:rsid w:val="7C5A2502"/>
    <w:rsid w:val="7C950A0A"/>
    <w:rsid w:val="7CAE51A0"/>
    <w:rsid w:val="7E05347E"/>
    <w:rsid w:val="7E533EFA"/>
    <w:rsid w:val="7E9B3F01"/>
    <w:rsid w:val="7EAB2FCF"/>
    <w:rsid w:val="7EC76DF5"/>
    <w:rsid w:val="7F566C90"/>
    <w:rsid w:val="7F793A64"/>
    <w:rsid w:val="7F7B5CD2"/>
    <w:rsid w:val="7F982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标题 1 字符"/>
    <w:basedOn w:val="14"/>
    <w:link w:val="3"/>
    <w:qFormat/>
    <w:locked/>
    <w:uiPriority w:val="0"/>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2209-2021&#24180;&#20915;&#31639;&#20844;&#24320;&#36164;&#26009;\&#23548;&#20986;\2021&#36130;&#21153;&#20915;&#31639;&#20844;&#24320;&#20998;&#26512;&#22270;&#32467;&#26500;&#22270;&#34920;&#26469;&#28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1</a:t>
            </a:r>
            <a:r>
              <a:rPr lang="zh-CN" altLang="en-US"/>
              <a:t>：收、支决算总计变动情况图（单位：万元）</a:t>
            </a:r>
            <a:endParaRPr lang="zh-CN" altLang="en-US"/>
          </a:p>
        </c:rich>
      </c:tx>
      <c:layout/>
      <c:overlay val="0"/>
    </c:title>
    <c:autoTitleDeleted val="0"/>
    <c:plotArea>
      <c:layout>
        <c:manualLayout>
          <c:layoutTarget val="inner"/>
          <c:xMode val="edge"/>
          <c:yMode val="edge"/>
          <c:x val="0.0967743629143618"/>
          <c:y val="0.134100118609759"/>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'[2021财务决算公开分析图结构图表来源.xlsx]2021'!$D$54:$E$54</c:f>
              <c:strCache>
                <c:ptCount val="2"/>
                <c:pt idx="0">
                  <c:v>2020年</c:v>
                </c:pt>
                <c:pt idx="1">
                  <c:v>2021年</c:v>
                </c:pt>
              </c:strCache>
            </c:strRef>
          </c:cat>
          <c:val>
            <c:numRef>
              <c:f>'[2021财务决算公开分析图结构图表来源.xlsx]2021'!$D$55:$E$55</c:f>
              <c:numCache>
                <c:formatCode>General</c:formatCode>
                <c:ptCount val="2"/>
                <c:pt idx="0">
                  <c:v>730.48</c:v>
                </c:pt>
                <c:pt idx="1">
                  <c:v>813.82</c:v>
                </c:pt>
              </c:numCache>
            </c:numRef>
          </c:val>
        </c:ser>
        <c:dLbls>
          <c:showLegendKey val="0"/>
          <c:showVal val="1"/>
          <c:showCatName val="0"/>
          <c:showSerName val="0"/>
          <c:showPercent val="0"/>
          <c:showBubbleSize val="0"/>
        </c:dLbls>
        <c:gapWidth val="150"/>
        <c:axId val="48511616"/>
        <c:axId val="48525696"/>
      </c:barChart>
      <c:catAx>
        <c:axId val="48511616"/>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8525696"/>
        <c:crosses val="autoZero"/>
        <c:auto val="1"/>
        <c:lblAlgn val="ctr"/>
        <c:lblOffset val="100"/>
        <c:tickLblSkip val="1"/>
        <c:noMultiLvlLbl val="0"/>
      </c:catAx>
      <c:valAx>
        <c:axId val="4852569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85116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2</a:t>
            </a:r>
            <a:r>
              <a:rPr lang="zh-CN" altLang="en-US"/>
              <a:t>：收入决算结构图（单位：万元）</a:t>
            </a:r>
            <a:endParaRPr lang="zh-CN" altLang="en-US"/>
          </a:p>
        </c:rich>
      </c:tx>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797.22, 99.31%</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5.52, 0.69%</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'[2021财务决算公开分析图结构图表来源.xlsx]2021'!$C$187:$D$187</c:f>
              <c:strCache>
                <c:ptCount val="2"/>
                <c:pt idx="0">
                  <c:v>财政拨款收入</c:v>
                </c:pt>
                <c:pt idx="1">
                  <c:v>其他收入</c:v>
                </c:pt>
              </c:strCache>
            </c:strRef>
          </c:cat>
          <c:val>
            <c:numRef>
              <c:f>'[2021财务决算公开分析图结构图表来源.xlsx]2021'!$C$188:$D$188</c:f>
              <c:numCache>
                <c:formatCode>0.00_ </c:formatCode>
                <c:ptCount val="2"/>
                <c:pt idx="0">
                  <c:v>797.22</c:v>
                </c:pt>
                <c:pt idx="1" c:formatCode="General">
                  <c:v>5.52</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797570850202429"/>
          <c:y val="0.436783243471786"/>
          <c:w val="0.186234817813765"/>
          <c:h val="0.134100118609759"/>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3</a:t>
            </a:r>
            <a:r>
              <a:rPr lang="zh-CN" altLang="en-US"/>
              <a:t>：支出决算结构图（单位：万元）</a:t>
            </a:r>
            <a:endParaRPr lang="zh-CN" altLang="en-US"/>
          </a:p>
        </c:rich>
      </c:tx>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780.70, 97.22%</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22.32, 2.78%</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'[2021财务决算公开分析图结构图表来源.xlsx]2021'!$C$232:$D$232</c:f>
              <c:strCache>
                <c:ptCount val="2"/>
                <c:pt idx="0">
                  <c:v>基本支出</c:v>
                </c:pt>
                <c:pt idx="1">
                  <c:v>项目支出</c:v>
                </c:pt>
              </c:strCache>
            </c:strRef>
          </c:cat>
          <c:val>
            <c:numRef>
              <c:f>'[2021财务决算公开分析图结构图表来源.xlsx]2021'!$C$233:$D$233</c:f>
              <c:numCache>
                <c:formatCode>0.00_ </c:formatCode>
                <c:ptCount val="2"/>
                <c:pt idx="0">
                  <c:v>780.7</c:v>
                </c:pt>
                <c:pt idx="1" c:formatCode="General">
                  <c:v>22.32</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797570850202429"/>
          <c:y val="0.436783243471786"/>
          <c:w val="0.186234817813765"/>
          <c:h val="0.134100118609759"/>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4</a:t>
            </a:r>
            <a:r>
              <a:rPr lang="zh-CN" altLang="en-US"/>
              <a:t>：财政拨款收、支决算总计变动情况（单位：万元）</a:t>
            </a:r>
            <a:endParaRPr lang="zh-CN" altLang="en-US"/>
          </a:p>
        </c:rich>
      </c:tx>
      <c:layout>
        <c:manualLayout>
          <c:xMode val="edge"/>
          <c:yMode val="edge"/>
          <c:x val="0.0946825494289574"/>
          <c:y val="0.0183868595243932"/>
        </c:manualLayout>
      </c:layout>
      <c:overlay val="0"/>
    </c:title>
    <c:autoTitleDeleted val="0"/>
    <c:plotArea>
      <c:layout>
        <c:manualLayout>
          <c:layoutTarget val="inner"/>
          <c:xMode val="edge"/>
          <c:yMode val="edge"/>
          <c:x val="0.0967743629143618"/>
          <c:y val="0.134100118609759"/>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'[2021财务决算公开分析图结构图表来源.xlsx]2021'!$D$75:$E$75</c:f>
              <c:strCache>
                <c:ptCount val="2"/>
                <c:pt idx="0">
                  <c:v>2020年</c:v>
                </c:pt>
                <c:pt idx="1">
                  <c:v>2021年</c:v>
                </c:pt>
              </c:strCache>
            </c:strRef>
          </c:cat>
          <c:val>
            <c:numRef>
              <c:f>'[2021财务决算公开分析图结构图表来源.xlsx]2021'!$D$76:$E$76</c:f>
              <c:numCache>
                <c:formatCode>0.00_ </c:formatCode>
                <c:ptCount val="2"/>
                <c:pt idx="0">
                  <c:v>714.1</c:v>
                </c:pt>
                <c:pt idx="1" c:formatCode="General">
                  <c:v>797.22</c:v>
                </c:pt>
              </c:numCache>
            </c:numRef>
          </c:val>
        </c:ser>
        <c:dLbls>
          <c:showLegendKey val="0"/>
          <c:showVal val="1"/>
          <c:showCatName val="0"/>
          <c:showSerName val="0"/>
          <c:showPercent val="0"/>
          <c:showBubbleSize val="0"/>
        </c:dLbls>
        <c:gapWidth val="150"/>
        <c:axId val="106605184"/>
        <c:axId val="124588416"/>
      </c:barChart>
      <c:catAx>
        <c:axId val="106605184"/>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4588416"/>
        <c:crosses val="autoZero"/>
        <c:auto val="1"/>
        <c:lblAlgn val="ctr"/>
        <c:lblOffset val="100"/>
        <c:tickLblSkip val="1"/>
        <c:noMultiLvlLbl val="0"/>
      </c:catAx>
      <c:valAx>
        <c:axId val="124588416"/>
        <c:scaling>
          <c:orientation val="minMax"/>
        </c:scaling>
        <c:delete val="0"/>
        <c:axPos val="l"/>
        <c:majorGridlines>
          <c:spPr>
            <a:ln w="3175" cap="flat" cmpd="sng" algn="ctr">
              <a:solidFill>
                <a:srgbClr val="000000"/>
              </a:solidFill>
              <a:prstDash val="solid"/>
              <a:round/>
            </a:ln>
          </c:spPr>
        </c:majorGridlines>
        <c:numFmt formatCode="0.00_ "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660518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5</a:t>
            </a:r>
            <a:r>
              <a:rPr lang="zh-CN" altLang="en-US"/>
              <a:t>：一般公共预算财政拨款支出决算变动情况（单位：万元）</a:t>
            </a:r>
            <a:endParaRPr lang="zh-CN" altLang="en-US"/>
          </a:p>
        </c:rich>
      </c:tx>
      <c:layout>
        <c:manualLayout>
          <c:xMode val="edge"/>
          <c:yMode val="edge"/>
          <c:x val="0.0670348601540332"/>
          <c:y val="0.0238095238095238"/>
        </c:manualLayout>
      </c:layout>
      <c:overlay val="0"/>
    </c:title>
    <c:autoTitleDeleted val="0"/>
    <c:plotArea>
      <c:layout>
        <c:manualLayout>
          <c:layoutTarget val="inner"/>
          <c:xMode val="edge"/>
          <c:yMode val="edge"/>
          <c:x val="0.106999311789617"/>
          <c:y val="0.128752022470784"/>
          <c:w val="0.752689489333924"/>
          <c:h val="0.73946636833381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'[2021财务决算公开分析图结构图表来源.xlsx]2021'!$D$142:$E$142</c:f>
              <c:strCache>
                <c:ptCount val="2"/>
                <c:pt idx="0">
                  <c:v>2020年</c:v>
                </c:pt>
                <c:pt idx="1">
                  <c:v>2021年</c:v>
                </c:pt>
              </c:strCache>
            </c:strRef>
          </c:cat>
          <c:val>
            <c:numRef>
              <c:f>'[2021财务决算公开分析图结构图表来源.xlsx]2021'!$D$143:$E$143</c:f>
              <c:numCache>
                <c:formatCode>0.00_ </c:formatCode>
                <c:ptCount val="2"/>
                <c:pt idx="0">
                  <c:v>714.1</c:v>
                </c:pt>
                <c:pt idx="1" c:formatCode="General">
                  <c:v>797.22</c:v>
                </c:pt>
              </c:numCache>
            </c:numRef>
          </c:val>
        </c:ser>
        <c:dLbls>
          <c:showLegendKey val="0"/>
          <c:showVal val="1"/>
          <c:showCatName val="0"/>
          <c:showSerName val="0"/>
          <c:showPercent val="0"/>
          <c:showBubbleSize val="0"/>
        </c:dLbls>
        <c:gapWidth val="150"/>
        <c:axId val="148325120"/>
        <c:axId val="157188480"/>
      </c:barChart>
      <c:catAx>
        <c:axId val="14832512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57188480"/>
        <c:crosses val="autoZero"/>
        <c:auto val="1"/>
        <c:lblAlgn val="ctr"/>
        <c:lblOffset val="100"/>
        <c:tickLblSkip val="1"/>
        <c:noMultiLvlLbl val="0"/>
      </c:catAx>
      <c:valAx>
        <c:axId val="157188480"/>
        <c:scaling>
          <c:orientation val="minMax"/>
        </c:scaling>
        <c:delete val="0"/>
        <c:axPos val="l"/>
        <c:majorGridlines>
          <c:spPr>
            <a:ln w="3175" cap="flat" cmpd="sng" algn="ctr">
              <a:solidFill>
                <a:srgbClr val="000000"/>
              </a:solidFill>
              <a:prstDash val="solid"/>
              <a:round/>
            </a:ln>
          </c:spPr>
        </c:majorGridlines>
        <c:numFmt formatCode="0.00_ "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4832512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zh-CN" altLang="en-US" sz="1100" b="0">
                <a:solidFill>
                  <a:sysClr val="windowText" lastClr="000000"/>
                </a:solidFill>
              </a:rPr>
              <a:t>图</a:t>
            </a:r>
            <a:r>
              <a:rPr lang="en-US" altLang="zh-CN" sz="1100" b="0">
                <a:solidFill>
                  <a:sysClr val="windowText" lastClr="000000"/>
                </a:solidFill>
              </a:rPr>
              <a:t>6</a:t>
            </a:r>
            <a:r>
              <a:rPr lang="zh-CN" altLang="en-US" sz="1100" b="0">
                <a:solidFill>
                  <a:sysClr val="windowText" lastClr="000000"/>
                </a:solidFill>
              </a:rPr>
              <a:t>：一般公共预算财政拨款支出决算结构（单位：万元）</a:t>
            </a:r>
            <a:endParaRPr lang="zh-CN" altLang="en-US" sz="1100" b="0">
              <a:solidFill>
                <a:sysClr val="windowText" lastClr="000000"/>
              </a:solidFill>
            </a:endParaRPr>
          </a:p>
        </c:rich>
      </c:tx>
      <c:layout>
        <c:manualLayout>
          <c:xMode val="edge"/>
          <c:yMode val="edge"/>
          <c:x val="0.131277083864389"/>
          <c:y val="0.0406003937007874"/>
        </c:manualLayout>
      </c:layout>
      <c:overlay val="0"/>
      <c:spPr>
        <a:noFill/>
        <a:ln>
          <a:noFill/>
        </a:ln>
        <a:effectLst/>
      </c:spPr>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363242416517971"/>
                  <c:y val="0.365403543307087"/>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371.58, 46.61%</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550872362492574"/>
                  <c:y val="0.0552920968781199"/>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2.39, 0.30%</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76550060201229"/>
                  <c:y val="0.0518860509941686"/>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369.03, 46.29%</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378609766527468"/>
                  <c:y val="0.0131956411531121"/>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27.66,3.47%</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517726069354765"/>
                  <c:y val="-0.0131603013206026"/>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r>
                      <a:rPr lang="en-US" altLang="zh-CN" u="none" strike="noStrike" cap="none" normalizeH="0">
                        <a:solidFill>
                          <a:schemeClr val="tx1"/>
                        </a:solidFill>
                        <a:uFill>
                          <a:solidFill>
                            <a:schemeClr val="tx2"/>
                          </a:solidFill>
                        </a:uFill>
                      </a:rPr>
                      <a:t>26.57,3.33%</a:t>
                    </a:r>
                    <a:endParaRPr lang="en-US" altLang="zh-CN" u="none" strike="noStrike" cap="none" normalizeH="0">
                      <a:solidFill>
                        <a:schemeClr val="tx1"/>
                      </a:solidFill>
                      <a:uFill>
                        <a:solidFill>
                          <a:schemeClr val="tx2"/>
                        </a:solidFill>
                      </a:uFill>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2"/>
                      </a:solidFill>
                    </a:u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'[2021财务决算公开分析图结构图表来源.xlsx]2021'!$C$254:$G$254</c:f>
              <c:strCache>
                <c:ptCount val="5"/>
                <c:pt idx="0">
                  <c:v>公共安全支出</c:v>
                </c:pt>
                <c:pt idx="1">
                  <c:v>教育支出</c:v>
                </c:pt>
                <c:pt idx="2">
                  <c:v>社会保障和就业支出</c:v>
                </c:pt>
                <c:pt idx="3">
                  <c:v>卫生健康支出</c:v>
                </c:pt>
                <c:pt idx="4">
                  <c:v>住房保障支出</c:v>
                </c:pt>
              </c:strCache>
            </c:strRef>
          </c:cat>
          <c:val>
            <c:numRef>
              <c:f>'[2021财务决算公开分析图结构图表来源.xlsx]2021'!$C$255:$G$255</c:f>
              <c:numCache>
                <c:formatCode>General</c:formatCode>
                <c:ptCount val="5"/>
                <c:pt idx="0">
                  <c:v>371.58</c:v>
                </c:pt>
                <c:pt idx="1">
                  <c:v>2.39</c:v>
                </c:pt>
                <c:pt idx="2">
                  <c:v>369.03</c:v>
                </c:pt>
                <c:pt idx="3">
                  <c:v>27.66</c:v>
                </c:pt>
                <c:pt idx="4">
                  <c:v>26.57</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727249553912822"/>
          <c:y val="0.25369094488189"/>
          <c:w val="0.259367830741779"/>
          <c:h val="0.5307578740157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7</a:t>
            </a:r>
            <a:r>
              <a:rPr lang="zh-CN" altLang="en-US"/>
              <a:t>：“三公”经费财政拨款支出结构（单位：万元）</a:t>
            </a:r>
            <a:endParaRPr lang="zh-CN" altLang="en-US"/>
          </a:p>
        </c:rich>
      </c:tx>
      <c:layout>
        <c:manualLayout>
          <c:xMode val="edge"/>
          <c:yMode val="edge"/>
          <c:x val="0.106238802756857"/>
          <c:y val="0.0266998130720379"/>
        </c:manualLayout>
      </c:layout>
      <c:overlay val="0"/>
    </c:title>
    <c:autoTitleDeleted val="0"/>
    <c:plotArea>
      <c:layout>
        <c:manualLayout>
          <c:layoutTarget val="inner"/>
          <c:xMode val="edge"/>
          <c:yMode val="edge"/>
          <c:x val="0.244939271255061"/>
          <c:y val="0.203065893894778"/>
          <c:w val="0.315789473684212"/>
          <c:h val="0.597703385803497"/>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9999FF"/>
              </a:solidFill>
              <a:ln w="12700">
                <a:solidFill>
                  <a:srgbClr val="000000"/>
                </a:solidFill>
                <a:prstDash val="solid"/>
              </a:ln>
            </c:spPr>
          </c:dPt>
          <c:dLbls>
            <c:dLbl>
              <c:idx val="1"/>
              <c:layout>
                <c:manualLayout>
                  <c:x val="0.00220255784747315"/>
                  <c:y val="0.039427634702393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'[2021财务决算公开分析图结构图表来源.xlsx]2021'!$C$209:$E$209</c:f>
              <c:strCache>
                <c:ptCount val="3"/>
                <c:pt idx="0">
                  <c:v>因公出国（境）费</c:v>
                </c:pt>
                <c:pt idx="1">
                  <c:v>公务用车运行维护费</c:v>
                </c:pt>
                <c:pt idx="2">
                  <c:v>公务接待费</c:v>
                </c:pt>
              </c:strCache>
            </c:strRef>
          </c:cat>
          <c:val>
            <c:numRef>
              <c:f>'[2021财务决算公开分析图结构图表来源.xlsx]2021'!$C$210:$E$210</c:f>
              <c:numCache>
                <c:formatCode>General</c:formatCode>
                <c:ptCount val="3"/>
                <c:pt idx="0">
                  <c:v>0</c:v>
                </c:pt>
                <c:pt idx="1">
                  <c:v>9.63</c:v>
                </c:pt>
                <c:pt idx="2">
                  <c:v>0</c:v>
                </c:pt>
              </c:numCache>
            </c:numRef>
          </c:val>
        </c:ser>
        <c:dLbls>
          <c:showLegendKey val="0"/>
          <c:showVal val="1"/>
          <c:showCatName val="0"/>
          <c:showSerName val="0"/>
          <c:showPercent val="1"/>
          <c:showBubbleSize val="0"/>
          <c:showLeaderLines val="1"/>
        </c:dLbls>
        <c:firstSliceAng val="0"/>
      </c:pieChart>
      <c:spPr>
        <a:noFill/>
        <a:ln w="25400">
          <a:noFill/>
        </a:ln>
      </c:spPr>
    </c:plotArea>
    <c:legend>
      <c:legendPos val="r"/>
      <c:layout>
        <c:manualLayout>
          <c:xMode val="edge"/>
          <c:yMode val="edge"/>
          <c:x val="0.675544794188863"/>
          <c:y val="0.432950191570881"/>
          <c:w val="0.30589184826473"/>
          <c:h val="0.24904214559387"/>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1188</Words>
  <Characters>6776</Characters>
  <Lines>56</Lines>
  <Paragraphs>15</Paragraphs>
  <TotalTime>47</TotalTime>
  <ScaleCrop>false</ScaleCrop>
  <LinksUpToDate>false</LinksUpToDate>
  <CharactersWithSpaces>7949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2022-11-12T10:42:00Z</dcterms:created>
  <dc:creator>曹颖</dc:creator>
  <cp:lastModifiedBy>艾思吟</cp:lastModifiedBy>
  <cp:lastPrinted>2021-08-23T08:41:00Z</cp:lastPrinted>
  <dcterms:modified xsi:type="dcterms:W3CDTF">2023-09-19T03:36:44Z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F56E51ED059D44B7815AFDBDDCD2B0D0</vt:lpwstr>
  </property>
</Properties>
</file>