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sz w:val="72"/>
          <w:szCs w:val="72"/>
        </w:rPr>
      </w:pPr>
      <w:bookmarkStart w:id="1" w:name="_Toc15396597"/>
      <w:bookmarkStart w:id="2" w:name="_Toc15377193"/>
      <w:bookmarkStart w:id="3" w:name="_Toc15378441"/>
      <w:bookmarkStart w:id="4" w:name="_Toc15377425"/>
      <w:bookmarkStart w:id="5" w:name="_Toc15396475"/>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sz w:val="72"/>
          <w:szCs w:val="72"/>
        </w:rPr>
      </w:pPr>
      <w:bookmarkStart w:id="6" w:name="_Toc15377426"/>
      <w:bookmarkStart w:id="7" w:name="_Toc15396476"/>
      <w:bookmarkStart w:id="8" w:name="_Toc15377194"/>
      <w:bookmarkStart w:id="9" w:name="_Toc15378442"/>
      <w:bookmarkStart w:id="10" w:name="_Toc15396598"/>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至诚监狱</w:t>
      </w:r>
    </w:p>
    <w:p>
      <w:pPr>
        <w:adjustRightInd w:val="0"/>
        <w:snapToGrid w:val="0"/>
        <w:spacing w:line="360" w:lineRule="auto"/>
        <w:jc w:val="center"/>
        <w:outlineLvl w:val="0"/>
        <w:rPr>
          <w:rFonts w:ascii="方正小标宋简体" w:hAnsi="方正小标宋简体" w:eastAsia="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cs="黑体"/>
          <w:sz w:val="48"/>
          <w:szCs w:val="48"/>
        </w:rPr>
        <w:t>目录</w:t>
      </w:r>
    </w:p>
    <w:p>
      <w:pPr>
        <w:widowControl/>
        <w:jc w:val="center"/>
        <w:rPr>
          <w:rFonts w:ascii="黑体" w:hAnsi="黑体" w:eastAsia="黑体"/>
          <w:sz w:val="28"/>
          <w:szCs w:val="28"/>
        </w:rPr>
      </w:pPr>
    </w:p>
    <w:p>
      <w:pPr>
        <w:pStyle w:val="10"/>
        <w:rPr>
          <w:rFonts w:cs="Times New Roman"/>
        </w:rPr>
      </w:pPr>
      <w:r>
        <w:rPr>
          <w:rFonts w:hint="eastAsia"/>
        </w:rPr>
        <w:t>公开时间：</w:t>
      </w:r>
      <w:r>
        <w:t>2022</w:t>
      </w:r>
      <w:r>
        <w:rPr>
          <w:rFonts w:hint="eastAsia"/>
        </w:rPr>
        <w:t>年</w:t>
      </w:r>
      <w:r>
        <w:t>9</w:t>
      </w:r>
      <w:r>
        <w:rPr>
          <w:rFonts w:hint="eastAsia"/>
        </w:rPr>
        <w:t>月</w:t>
      </w:r>
      <w:r>
        <w:rPr>
          <w:rFonts w:hint="eastAsia"/>
          <w:lang w:val="en-US" w:eastAsia="zh-CN"/>
        </w:rPr>
        <w:t>9</w:t>
      </w:r>
      <w:r>
        <w:rPr>
          <w:rFonts w:hint="eastAsia"/>
        </w:rPr>
        <w:t>日</w:t>
      </w:r>
    </w:p>
    <w:p/>
    <w:p>
      <w:pPr>
        <w:pStyle w:val="10"/>
        <w:adjustRightInd w:val="0"/>
        <w:snapToGrid w:val="0"/>
        <w:spacing w:before="0" w:line="440" w:lineRule="exact"/>
        <w:jc w:val="left"/>
        <w:rPr>
          <w:rFonts w:cs="Times New Roman"/>
          <w:sz w:val="24"/>
          <w:szCs w:val="24"/>
        </w:rPr>
      </w:pPr>
      <w:r>
        <w:rPr>
          <w:rFonts w:hint="eastAsia"/>
          <w:sz w:val="24"/>
          <w:szCs w:val="24"/>
        </w:rPr>
        <w:t>第一部分单位概况</w:t>
      </w:r>
      <w:r>
        <w:rPr>
          <w:sz w:val="24"/>
          <w:szCs w:val="24"/>
        </w:rPr>
        <w:t>...................................................4</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一、职能简介</w:t>
      </w:r>
      <w:r>
        <w:rPr>
          <w:rFonts w:ascii="仿宋" w:hAnsi="仿宋" w:eastAsia="仿宋" w:cs="仿宋"/>
          <w:sz w:val="24"/>
          <w:szCs w:val="24"/>
        </w:rPr>
        <w:t>....................................................4</w:t>
      </w:r>
    </w:p>
    <w:p>
      <w:pPr>
        <w:pStyle w:val="11"/>
        <w:adjustRightInd w:val="0"/>
        <w:snapToGrid w:val="0"/>
        <w:spacing w:line="440" w:lineRule="exact"/>
        <w:ind w:left="31680"/>
        <w:jc w:val="left"/>
        <w:rPr>
          <w:rFonts w:ascii="仿宋" w:hAnsi="仿宋" w:eastAsia="仿宋" w:cs="仿宋"/>
          <w:sz w:val="24"/>
          <w:szCs w:val="24"/>
        </w:rPr>
      </w:pPr>
      <w:r>
        <w:rPr>
          <w:rFonts w:hint="eastAsia" w:ascii="宋体" w:hAnsi="宋体" w:cs="宋体"/>
          <w:sz w:val="24"/>
          <w:szCs w:val="24"/>
        </w:rPr>
        <w:t>二、</w:t>
      </w:r>
      <w:r>
        <w:rPr>
          <w:rFonts w:ascii="宋体" w:hAnsi="宋体" w:cs="宋体"/>
          <w:sz w:val="24"/>
          <w:szCs w:val="24"/>
        </w:rPr>
        <w:t>2021</w:t>
      </w:r>
      <w:r>
        <w:rPr>
          <w:rFonts w:hint="eastAsia" w:ascii="宋体" w:hAnsi="宋体" w:cs="宋体"/>
          <w:sz w:val="24"/>
          <w:szCs w:val="24"/>
        </w:rPr>
        <w:t>年重点工作完成情况</w:t>
      </w:r>
      <w:r>
        <w:rPr>
          <w:rFonts w:ascii="仿宋" w:hAnsi="仿宋" w:eastAsia="仿宋" w:cs="仿宋"/>
          <w:sz w:val="24"/>
          <w:szCs w:val="24"/>
        </w:rPr>
        <w:t>.....................................4</w:t>
      </w:r>
    </w:p>
    <w:p>
      <w:pPr>
        <w:spacing w:line="440" w:lineRule="exact"/>
        <w:jc w:val="left"/>
      </w:pPr>
      <w:r>
        <w:rPr>
          <w:rFonts w:ascii="宋体" w:hAnsi="宋体" w:cs="宋体"/>
        </w:rPr>
        <w:t xml:space="preserve">    </w:t>
      </w:r>
      <w:r>
        <w:rPr>
          <w:rFonts w:hint="eastAsia" w:ascii="宋体" w:hAnsi="宋体" w:cs="宋体"/>
        </w:rPr>
        <w:t>三、</w:t>
      </w:r>
      <w:r>
        <w:rPr>
          <w:rFonts w:hint="eastAsia" w:ascii="宋体" w:hAnsi="宋体" w:cs="宋体"/>
          <w:sz w:val="24"/>
          <w:szCs w:val="24"/>
        </w:rPr>
        <w:t>机构设置情况</w:t>
      </w:r>
      <w:r>
        <w:rPr>
          <w:rFonts w:ascii="宋体" w:cs="宋体"/>
          <w:sz w:val="24"/>
          <w:szCs w:val="24"/>
        </w:rPr>
        <w:t>.</w:t>
      </w:r>
      <w:r>
        <w:rPr>
          <w:rFonts w:ascii="仿宋" w:hAnsi="仿宋" w:eastAsia="仿宋" w:cs="仿宋"/>
          <w:sz w:val="24"/>
          <w:szCs w:val="24"/>
        </w:rPr>
        <w:t>................................................6</w:t>
      </w:r>
    </w:p>
    <w:p>
      <w:pPr>
        <w:pStyle w:val="10"/>
        <w:adjustRightInd w:val="0"/>
        <w:snapToGrid w:val="0"/>
        <w:spacing w:before="0" w:line="440" w:lineRule="exact"/>
        <w:jc w:val="left"/>
        <w:rPr>
          <w:rFonts w:cs="Times New Roman"/>
          <w:sz w:val="24"/>
          <w:szCs w:val="24"/>
        </w:rPr>
      </w:pPr>
      <w:r>
        <w:rPr>
          <w:rFonts w:hint="eastAsia"/>
          <w:sz w:val="24"/>
          <w:szCs w:val="24"/>
        </w:rPr>
        <w:t>第二部分</w:t>
      </w:r>
      <w:r>
        <w:rPr>
          <w:sz w:val="24"/>
          <w:szCs w:val="24"/>
        </w:rPr>
        <w:t xml:space="preserve"> 2021</w:t>
      </w:r>
      <w:r>
        <w:rPr>
          <w:rFonts w:hint="eastAsia"/>
          <w:sz w:val="24"/>
          <w:szCs w:val="24"/>
        </w:rPr>
        <w:t>年度单位决算情况说明</w:t>
      </w:r>
      <w:r>
        <w:rPr>
          <w:sz w:val="24"/>
          <w:szCs w:val="24"/>
        </w:rPr>
        <w:t>..................................7</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一、收入支出决算总体情况说明</w:t>
      </w:r>
      <w:r>
        <w:rPr>
          <w:rFonts w:ascii="仿宋" w:hAnsi="仿宋" w:eastAsia="仿宋" w:cs="仿宋"/>
          <w:sz w:val="24"/>
          <w:szCs w:val="24"/>
        </w:rPr>
        <w:t>....................................7</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二、收入决算情况说明</w:t>
      </w:r>
      <w:r>
        <w:rPr>
          <w:rFonts w:ascii="仿宋" w:hAnsi="仿宋" w:eastAsia="仿宋" w:cs="仿宋"/>
          <w:sz w:val="24"/>
          <w:szCs w:val="24"/>
        </w:rPr>
        <w:t>............................................7</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三、支出决算情况说明</w:t>
      </w:r>
      <w:r>
        <w:rPr>
          <w:rFonts w:ascii="仿宋" w:hAnsi="仿宋" w:eastAsia="仿宋" w:cs="仿宋"/>
          <w:sz w:val="24"/>
          <w:szCs w:val="24"/>
        </w:rPr>
        <w:t>............................................8</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四、财政拨款收入支出决算总体情况说明</w:t>
      </w:r>
      <w:r>
        <w:rPr>
          <w:rFonts w:ascii="仿宋" w:hAnsi="仿宋" w:eastAsia="仿宋" w:cs="仿宋"/>
          <w:sz w:val="24"/>
          <w:szCs w:val="24"/>
        </w:rPr>
        <w:t>............................9</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五、一般公共预算财政拨款支出决算情况说明</w:t>
      </w:r>
      <w:r>
        <w:rPr>
          <w:rFonts w:ascii="仿宋" w:hAnsi="仿宋" w:eastAsia="仿宋" w:cs="仿宋"/>
          <w:sz w:val="24"/>
          <w:szCs w:val="24"/>
        </w:rPr>
        <w:t>........................9</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六、一般公共预算财政拨款基本支出决算情况说明</w:t>
      </w:r>
      <w:r>
        <w:rPr>
          <w:rFonts w:ascii="仿宋" w:hAnsi="仿宋" w:eastAsia="仿宋" w:cs="仿宋"/>
          <w:sz w:val="24"/>
          <w:szCs w:val="24"/>
        </w:rPr>
        <w:t>...................12</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七、“三公”经费财政拨款支出决算情况说明</w:t>
      </w:r>
      <w:r>
        <w:rPr>
          <w:rFonts w:ascii="仿宋" w:hAnsi="仿宋" w:eastAsia="仿宋" w:cs="仿宋"/>
          <w:sz w:val="24"/>
          <w:szCs w:val="24"/>
        </w:rPr>
        <w:t>.......................13</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八、政府性基金预算支出决算情况说明</w:t>
      </w:r>
      <w:r>
        <w:rPr>
          <w:rFonts w:ascii="仿宋" w:hAnsi="仿宋" w:eastAsia="仿宋" w:cs="仿宋"/>
          <w:sz w:val="24"/>
          <w:szCs w:val="24"/>
        </w:rPr>
        <w:t>.............................14</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九、国有资本经营预算支出决算情况说明</w:t>
      </w:r>
      <w:r>
        <w:rPr>
          <w:rFonts w:ascii="仿宋" w:hAnsi="仿宋" w:eastAsia="仿宋" w:cs="仿宋"/>
          <w:sz w:val="24"/>
          <w:szCs w:val="24"/>
        </w:rPr>
        <w:t>...........................15</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十、其他重要事项的情况说明</w:t>
      </w:r>
      <w:r>
        <w:rPr>
          <w:rFonts w:ascii="仿宋" w:hAnsi="仿宋" w:eastAsia="仿宋" w:cs="仿宋"/>
          <w:sz w:val="24"/>
          <w:szCs w:val="24"/>
        </w:rPr>
        <w:t>.....................................15</w:t>
      </w:r>
    </w:p>
    <w:p>
      <w:pPr>
        <w:pStyle w:val="10"/>
        <w:adjustRightInd w:val="0"/>
        <w:snapToGrid w:val="0"/>
        <w:spacing w:before="0" w:line="440" w:lineRule="exact"/>
        <w:jc w:val="left"/>
        <w:rPr>
          <w:rFonts w:cs="Times New Roman"/>
          <w:sz w:val="24"/>
          <w:szCs w:val="24"/>
        </w:rPr>
      </w:pPr>
      <w:r>
        <w:rPr>
          <w:rFonts w:hint="eastAsia"/>
          <w:sz w:val="24"/>
          <w:szCs w:val="24"/>
        </w:rPr>
        <w:t>第三部分名词解释</w:t>
      </w:r>
      <w:r>
        <w:rPr>
          <w:sz w:val="24"/>
          <w:szCs w:val="24"/>
        </w:rPr>
        <w:t>..................................................16</w:t>
      </w:r>
    </w:p>
    <w:p>
      <w:pPr>
        <w:pStyle w:val="10"/>
        <w:adjustRightInd w:val="0"/>
        <w:snapToGrid w:val="0"/>
        <w:spacing w:before="0" w:line="440" w:lineRule="exact"/>
        <w:jc w:val="left"/>
        <w:rPr>
          <w:rFonts w:cs="Times New Roman"/>
          <w:sz w:val="24"/>
          <w:szCs w:val="24"/>
        </w:rPr>
      </w:pPr>
      <w:r>
        <w:rPr>
          <w:rFonts w:hint="eastAsia"/>
          <w:sz w:val="24"/>
          <w:szCs w:val="24"/>
        </w:rPr>
        <w:t>第四部分附件</w:t>
      </w:r>
      <w:r>
        <w:rPr>
          <w:sz w:val="24"/>
          <w:szCs w:val="24"/>
        </w:rPr>
        <w:t>......................................................19</w:t>
      </w:r>
    </w:p>
    <w:p>
      <w:pPr>
        <w:pStyle w:val="10"/>
        <w:adjustRightInd w:val="0"/>
        <w:snapToGrid w:val="0"/>
        <w:spacing w:before="0" w:line="440" w:lineRule="exact"/>
        <w:jc w:val="left"/>
        <w:rPr>
          <w:rFonts w:cs="Times New Roman"/>
          <w:sz w:val="24"/>
          <w:szCs w:val="24"/>
        </w:rPr>
      </w:pPr>
      <w:r>
        <w:rPr>
          <w:rFonts w:hint="eastAsia"/>
          <w:sz w:val="24"/>
          <w:szCs w:val="24"/>
        </w:rPr>
        <w:t>第五部分附表</w:t>
      </w:r>
      <w:r>
        <w:rPr>
          <w:sz w:val="24"/>
          <w:szCs w:val="24"/>
        </w:rPr>
        <w:t>......................................................20</w:t>
      </w:r>
    </w:p>
    <w:p>
      <w:pPr>
        <w:pStyle w:val="11"/>
        <w:adjustRightInd w:val="0"/>
        <w:snapToGrid w:val="0"/>
        <w:spacing w:line="440" w:lineRule="exact"/>
        <w:ind w:left="31680"/>
        <w:jc w:val="left"/>
        <w:rPr>
          <w:rFonts w:eastAsia="仿宋"/>
          <w:sz w:val="24"/>
          <w:szCs w:val="24"/>
        </w:rPr>
      </w:pPr>
      <w:r>
        <w:rPr>
          <w:rFonts w:hint="eastAsia" w:cs="宋体"/>
          <w:sz w:val="24"/>
          <w:szCs w:val="24"/>
        </w:rPr>
        <w:t>一、收入支出决算总表</w:t>
      </w:r>
      <w:r>
        <w:rPr>
          <w:rFonts w:ascii="仿宋" w:hAnsi="仿宋" w:eastAsia="仿宋" w:cs="仿宋"/>
          <w:sz w:val="24"/>
          <w:szCs w:val="24"/>
        </w:rPr>
        <w:t>..........................................20</w:t>
      </w:r>
    </w:p>
    <w:p>
      <w:pPr>
        <w:pStyle w:val="11"/>
        <w:adjustRightInd w:val="0"/>
        <w:snapToGrid w:val="0"/>
        <w:spacing w:line="440" w:lineRule="exact"/>
        <w:ind w:left="31680"/>
        <w:jc w:val="left"/>
        <w:rPr>
          <w:rFonts w:ascii="仿宋" w:hAnsi="仿宋" w:eastAsia="仿宋" w:cs="仿宋"/>
          <w:sz w:val="24"/>
          <w:szCs w:val="24"/>
        </w:rPr>
      </w:pPr>
      <w:r>
        <w:rPr>
          <w:rFonts w:hint="eastAsia" w:cs="宋体"/>
          <w:sz w:val="24"/>
          <w:szCs w:val="24"/>
        </w:rPr>
        <w:t>二、收入决算表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三、支出决算表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四、财政拨款收入支出决算总表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五、财政拨款支出决算明细表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六、一般公共预算财政拨款支出决算表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七、一般公共预算财政拨款支出决算明细表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八、一般公共预算财政拨款基本支出决算表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九、一般公共预算财政拨款项目支出决算表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十、一般公共预算财政拨款“三公”经费支出决算表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十一、政府性基金预算财政拨款收入支出决算表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十二、政府性基金预算财政拨款“三公”经费支出决算表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十三、国有资本经营预算财政拨款收入支出决算表</w:t>
      </w:r>
      <w:r>
        <w:rPr>
          <w:rFonts w:ascii="仿宋" w:hAnsi="仿宋" w:eastAsia="仿宋" w:cs="仿宋"/>
          <w:sz w:val="24"/>
          <w:szCs w:val="24"/>
        </w:rPr>
        <w:t>..................20</w:t>
      </w:r>
    </w:p>
    <w:p>
      <w:pPr>
        <w:pStyle w:val="11"/>
        <w:adjustRightInd w:val="0"/>
        <w:snapToGrid w:val="0"/>
        <w:spacing w:line="440" w:lineRule="exact"/>
        <w:ind w:left="31680"/>
        <w:jc w:val="left"/>
        <w:rPr>
          <w:sz w:val="24"/>
          <w:szCs w:val="24"/>
        </w:rPr>
      </w:pPr>
      <w:r>
        <w:rPr>
          <w:rFonts w:hint="eastAsia" w:cs="宋体"/>
          <w:sz w:val="24"/>
          <w:szCs w:val="24"/>
        </w:rPr>
        <w:t>十四、国有资本经营预算财政拨款支出决算表</w:t>
      </w:r>
      <w:r>
        <w:rPr>
          <w:rFonts w:ascii="仿宋" w:hAnsi="仿宋" w:eastAsia="仿宋" w:cs="仿宋"/>
          <w:sz w:val="24"/>
          <w:szCs w:val="24"/>
        </w:rPr>
        <w:t>......................20</w:t>
      </w:r>
    </w:p>
    <w:p>
      <w:pPr>
        <w:widowControl/>
        <w:spacing w:line="440" w:lineRule="exact"/>
        <w:jc w:val="left"/>
        <w:rPr>
          <w:rFonts w:ascii="仿宋" w:hAnsi="仿宋" w:eastAsia="仿宋"/>
          <w:kern w:val="44"/>
          <w:sz w:val="24"/>
          <w:szCs w:val="24"/>
        </w:rPr>
      </w:pPr>
      <w:bookmarkStart w:id="12" w:name="_Toc15396599"/>
      <w:bookmarkStart w:id="13" w:name="_Toc15377196"/>
      <w:r>
        <w:rPr>
          <w:rFonts w:ascii="仿宋" w:hAnsi="仿宋" w:eastAsia="仿宋"/>
          <w:b/>
          <w:bCs/>
          <w:sz w:val="24"/>
          <w:szCs w:val="24"/>
        </w:rPr>
        <w:br w:type="page"/>
      </w:r>
    </w:p>
    <w:p>
      <w:pPr>
        <w:pStyle w:val="3"/>
        <w:jc w:val="center"/>
        <w:rPr>
          <w:rStyle w:val="17"/>
          <w:rFonts w:ascii="黑体" w:hAnsi="黑体" w:eastAsia="黑体"/>
          <w:b/>
          <w:bCs/>
        </w:rPr>
      </w:pPr>
      <w:r>
        <w:rPr>
          <w:rFonts w:hint="eastAsia" w:ascii="黑体" w:hAnsi="黑体" w:eastAsia="黑体" w:cs="黑体"/>
          <w:b w:val="0"/>
          <w:bCs w:val="0"/>
        </w:rPr>
        <w:t>第一部分</w:t>
      </w:r>
      <w:r>
        <w:rPr>
          <w:rFonts w:ascii="黑体" w:hAnsi="黑体" w:eastAsia="黑体" w:cs="黑体"/>
          <w:b w:val="0"/>
          <w:bCs w:val="0"/>
        </w:rPr>
        <w:t xml:space="preserve"> </w:t>
      </w:r>
      <w:r>
        <w:rPr>
          <w:rFonts w:hint="eastAsia" w:ascii="黑体" w:hAnsi="黑体" w:eastAsia="黑体" w:cs="黑体"/>
          <w:b w:val="0"/>
          <w:bCs w:val="0"/>
        </w:rPr>
        <w:t>单位</w:t>
      </w:r>
      <w:r>
        <w:rPr>
          <w:rStyle w:val="17"/>
          <w:rFonts w:hint="eastAsia" w:ascii="黑体" w:hAnsi="黑体" w:eastAsia="黑体" w:cs="黑体"/>
          <w:b w:val="0"/>
          <w:bCs w:val="0"/>
        </w:rPr>
        <w:t>概况</w:t>
      </w:r>
      <w:bookmarkEnd w:id="12"/>
      <w:bookmarkEnd w:id="13"/>
    </w:p>
    <w:p>
      <w:pPr>
        <w:pStyle w:val="4"/>
        <w:ind w:firstLine="480" w:firstLineChars="150"/>
        <w:rPr>
          <w:rStyle w:val="18"/>
          <w:rFonts w:ascii="黑体" w:hAnsi="黑体" w:eastAsia="黑体" w:cs="Times New Roman"/>
          <w:b w:val="0"/>
          <w:bCs w:val="0"/>
        </w:rPr>
      </w:pPr>
      <w:bookmarkStart w:id="14" w:name="_Toc15396600"/>
      <w:bookmarkStart w:id="15" w:name="_Toc15377197"/>
      <w:r>
        <w:rPr>
          <w:rStyle w:val="18"/>
          <w:rFonts w:hint="eastAsia" w:ascii="黑体" w:hAnsi="黑体" w:eastAsia="黑体" w:cs="黑体"/>
          <w:b w:val="0"/>
          <w:bCs w:val="0"/>
        </w:rPr>
        <w:t>一、职能简介</w:t>
      </w:r>
    </w:p>
    <w:p>
      <w:pPr>
        <w:pStyle w:val="12"/>
        <w:widowControl/>
        <w:spacing w:before="76" w:beforeAutospacing="0" w:after="76" w:afterAutospacing="0" w:line="580" w:lineRule="atLeast"/>
        <w:ind w:firstLine="482"/>
        <w:textAlignment w:val="baseline"/>
        <w:rPr>
          <w:rFonts w:ascii="仿宋" w:hAnsi="仿宋" w:eastAsia="仿宋"/>
          <w:kern w:val="2"/>
          <w:sz w:val="32"/>
          <w:szCs w:val="32"/>
        </w:rPr>
      </w:pPr>
      <w:r>
        <w:rPr>
          <w:rFonts w:hint="eastAsia" w:ascii="仿宋" w:hAnsi="仿宋" w:eastAsia="仿宋" w:cs="仿宋"/>
          <w:kern w:val="2"/>
          <w:sz w:val="32"/>
          <w:szCs w:val="32"/>
        </w:rPr>
        <w:t>至诚监狱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至诚监狱早日建成法德兼治的新型现代文明监狱，为建设美丽繁荣和谐四川，推动治蜀兴川再上新台阶作出新的更大的贡献。</w:t>
      </w:r>
    </w:p>
    <w:p>
      <w:pPr>
        <w:pStyle w:val="4"/>
        <w:ind w:firstLine="640" w:firstLineChars="200"/>
        <w:rPr>
          <w:rFonts w:ascii="黑体" w:hAnsi="黑体" w:eastAsia="黑体" w:cs="Times New Roman"/>
          <w:b w:val="0"/>
          <w:bCs w:val="0"/>
        </w:rPr>
      </w:pPr>
      <w:r>
        <w:rPr>
          <w:rFonts w:hint="eastAsia" w:ascii="黑体" w:hAnsi="黑体" w:eastAsia="黑体" w:cs="黑体"/>
          <w:b w:val="0"/>
          <w:bCs w:val="0"/>
        </w:rPr>
        <w:t>二、</w:t>
      </w:r>
      <w:r>
        <w:rPr>
          <w:rFonts w:ascii="黑体" w:hAnsi="黑体" w:eastAsia="黑体" w:cs="黑体"/>
          <w:b w:val="0"/>
          <w:bCs w:val="0"/>
        </w:rPr>
        <w:t>2021</w:t>
      </w:r>
      <w:r>
        <w:rPr>
          <w:rFonts w:hint="eastAsia" w:ascii="黑体" w:hAnsi="黑体" w:eastAsia="黑体" w:cs="黑体"/>
          <w:b w:val="0"/>
          <w:bCs w:val="0"/>
        </w:rPr>
        <w:t>年重点工作</w:t>
      </w:r>
      <w:bookmarkEnd w:id="14"/>
      <w:bookmarkEnd w:id="15"/>
      <w:r>
        <w:rPr>
          <w:rFonts w:hint="eastAsia" w:ascii="黑体" w:hAnsi="黑体" w:eastAsia="黑体" w:cs="黑体"/>
          <w:b w:val="0"/>
          <w:bCs w:val="0"/>
        </w:rPr>
        <w:t>完成情况</w:t>
      </w:r>
    </w:p>
    <w:p>
      <w:pPr>
        <w:spacing w:line="576" w:lineRule="exact"/>
        <w:ind w:firstLine="643" w:firstLineChars="200"/>
        <w:rPr>
          <w:rFonts w:ascii="仿宋" w:hAnsi="仿宋" w:eastAsia="仿宋"/>
          <w:sz w:val="32"/>
          <w:szCs w:val="32"/>
        </w:rPr>
      </w:pPr>
      <w:r>
        <w:rPr>
          <w:rFonts w:hint="eastAsia" w:ascii="仿宋" w:hAnsi="仿宋" w:eastAsia="仿宋" w:cs="仿宋"/>
          <w:b/>
          <w:bCs/>
          <w:sz w:val="32"/>
          <w:szCs w:val="32"/>
        </w:rPr>
        <w:t>（一）党建工作。</w:t>
      </w:r>
      <w:r>
        <w:rPr>
          <w:rFonts w:hint="eastAsia" w:ascii="仿宋" w:hAnsi="仿宋" w:eastAsia="仿宋" w:cs="仿宋"/>
          <w:sz w:val="32"/>
          <w:szCs w:val="32"/>
        </w:rPr>
        <w:t>坚定推进全面从严治党，坚决落实新时代党的建设总要求，把维护党中央权威和集中统一领导作为最高政治原则和根本政治规矩来执行，始终在思想上政治上同以习近平同志为核心的党中央保持高度一致。</w:t>
      </w:r>
    </w:p>
    <w:p>
      <w:pPr>
        <w:spacing w:line="576" w:lineRule="exact"/>
        <w:ind w:firstLine="643" w:firstLineChars="200"/>
        <w:rPr>
          <w:rFonts w:ascii="仿宋" w:hAnsi="仿宋" w:eastAsia="仿宋"/>
          <w:sz w:val="32"/>
          <w:szCs w:val="32"/>
        </w:rPr>
      </w:pPr>
      <w:r>
        <w:rPr>
          <w:rFonts w:hint="eastAsia" w:ascii="仿宋" w:hAnsi="仿宋" w:eastAsia="仿宋" w:cs="仿宋"/>
          <w:b/>
          <w:bCs/>
          <w:sz w:val="32"/>
          <w:szCs w:val="32"/>
        </w:rPr>
        <w:t>（二）党风廉政建设和反腐败工作。</w:t>
      </w:r>
      <w:r>
        <w:rPr>
          <w:rFonts w:hint="eastAsia" w:ascii="仿宋" w:hAnsi="仿宋" w:eastAsia="仿宋" w:cs="仿宋"/>
          <w:sz w:val="32"/>
          <w:szCs w:val="32"/>
        </w:rPr>
        <w:t>坚持“党委统一领导、党政齐抓共管、纪检组织协调、部门各负其责、责任落实到人”的工作运行机制，严格执行“一岗双责”和“谁主管、谁负责”的原则，定期分析民警的思想动态，及时了解掌握全狱廉政建设工作态势，预防民警队伍可能出现的违法违纪行为。积极整改厅局巡察组提出的问题。</w:t>
      </w:r>
    </w:p>
    <w:p>
      <w:pPr>
        <w:spacing w:line="576" w:lineRule="exact"/>
        <w:ind w:firstLine="643" w:firstLineChars="200"/>
        <w:rPr>
          <w:rFonts w:ascii="仿宋" w:hAnsi="仿宋" w:eastAsia="仿宋"/>
          <w:sz w:val="32"/>
          <w:szCs w:val="32"/>
        </w:rPr>
      </w:pPr>
      <w:r>
        <w:rPr>
          <w:rFonts w:hint="eastAsia" w:ascii="仿宋" w:hAnsi="仿宋" w:eastAsia="仿宋" w:cs="仿宋"/>
          <w:b/>
          <w:bCs/>
          <w:sz w:val="32"/>
          <w:szCs w:val="32"/>
        </w:rPr>
        <w:t>（三）民警职工队伍管理工作。</w:t>
      </w:r>
      <w:r>
        <w:rPr>
          <w:rFonts w:hint="eastAsia" w:ascii="仿宋" w:hAnsi="仿宋" w:eastAsia="仿宋" w:cs="仿宋"/>
          <w:sz w:val="32"/>
          <w:szCs w:val="32"/>
        </w:rPr>
        <w:t>深化四川监狱人民警察“十严禁”等铁规禁令，严格民警</w:t>
      </w:r>
      <w:r>
        <w:rPr>
          <w:rFonts w:ascii="仿宋" w:hAnsi="仿宋" w:eastAsia="仿宋" w:cs="仿宋"/>
          <w:sz w:val="32"/>
          <w:szCs w:val="32"/>
        </w:rPr>
        <w:t>8</w:t>
      </w:r>
      <w:r>
        <w:rPr>
          <w:rFonts w:hint="eastAsia" w:ascii="仿宋" w:hAnsi="仿宋" w:eastAsia="仿宋" w:cs="仿宋"/>
          <w:sz w:val="32"/>
          <w:szCs w:val="32"/>
        </w:rPr>
        <w:t>小时以外管理，教育引导民警讲政治、守规矩，讲大局、守纪律，强化理想信念、形势政策教育和职业道德教育，树立四种意识，坚持四个自信，做到两个维护，铸就绝对忠诚的政治品格，正风肃纪，全面深化纪律意识，切实增强队伍执行力。</w:t>
      </w:r>
    </w:p>
    <w:p>
      <w:pPr>
        <w:spacing w:line="576" w:lineRule="exact"/>
        <w:ind w:firstLine="643" w:firstLineChars="200"/>
        <w:rPr>
          <w:rFonts w:ascii="仿宋" w:hAnsi="仿宋" w:eastAsia="仿宋"/>
          <w:color w:val="000000"/>
          <w:sz w:val="32"/>
          <w:szCs w:val="32"/>
        </w:rPr>
      </w:pPr>
      <w:r>
        <w:rPr>
          <w:rFonts w:hint="eastAsia" w:ascii="仿宋" w:hAnsi="仿宋" w:eastAsia="仿宋" w:cs="仿宋"/>
          <w:b/>
          <w:bCs/>
          <w:color w:val="000000"/>
          <w:sz w:val="32"/>
          <w:szCs w:val="32"/>
        </w:rPr>
        <w:t>（四）新冠肺炎疫情防控工作。</w:t>
      </w:r>
      <w:r>
        <w:rPr>
          <w:rFonts w:hint="eastAsia" w:ascii="仿宋" w:hAnsi="仿宋" w:eastAsia="仿宋" w:cs="仿宋"/>
          <w:color w:val="000000"/>
          <w:sz w:val="32"/>
          <w:szCs w:val="32"/>
        </w:rPr>
        <w:t>深入贯彻落实党中央、国务院、省委省政府、司法部、省委政法委以及厅局关于新冠肺炎疫情防控各项决策部署，坚决贯彻落实监狱疫情防控领导小组和指挥部各项任务要求，依法防控、科学防治、精准施策，抓好卫生防疫、环境消杀等各项要求防控措施，确保监狱持续安全稳定。</w:t>
      </w:r>
    </w:p>
    <w:p>
      <w:pPr>
        <w:spacing w:line="576" w:lineRule="exact"/>
        <w:ind w:firstLine="643" w:firstLineChars="200"/>
        <w:rPr>
          <w:rFonts w:ascii="仿宋" w:hAnsi="仿宋" w:eastAsia="仿宋"/>
          <w:color w:val="000000"/>
          <w:sz w:val="32"/>
          <w:szCs w:val="32"/>
        </w:rPr>
      </w:pPr>
      <w:r>
        <w:rPr>
          <w:rFonts w:hint="eastAsia" w:ascii="仿宋" w:hAnsi="仿宋" w:eastAsia="仿宋" w:cs="仿宋"/>
          <w:b/>
          <w:bCs/>
          <w:color w:val="000000"/>
          <w:sz w:val="32"/>
          <w:szCs w:val="32"/>
        </w:rPr>
        <w:t>（五）积极响应上级号召，投身全国政法队伍教育整顿活动。</w:t>
      </w:r>
      <w:r>
        <w:rPr>
          <w:rFonts w:hint="eastAsia" w:ascii="仿宋" w:hAnsi="仿宋" w:eastAsia="仿宋" w:cs="仿宋"/>
          <w:color w:val="000000"/>
          <w:sz w:val="32"/>
          <w:szCs w:val="32"/>
        </w:rPr>
        <w:t>为贯彻习近平总书记关于加强政法队伍建设的重要指示和训词精神，根据全国司法行政系统队伍教育整顿部署和全省司法行政系统队伍教育整顿活动部署精神。财务部门全员积极参与到教育整顿活动中，认真进行学习教育、查纠整改、总结提升。从而全面正风肃纪、反腐强警，加强了队伍革命化、正规化、专业化、职业化建设。打造了一支政治过硬、业务过硬、责任过硬、纪律过硬、作风过硬的财会队伍。</w:t>
      </w:r>
    </w:p>
    <w:p>
      <w:pPr>
        <w:ind w:firstLine="643" w:firstLineChars="200"/>
        <w:rPr>
          <w:rFonts w:ascii="仿宋" w:hAnsi="仿宋" w:eastAsia="仿宋"/>
          <w:sz w:val="32"/>
          <w:szCs w:val="32"/>
        </w:rPr>
      </w:pPr>
      <w:r>
        <w:rPr>
          <w:rFonts w:hint="eastAsia" w:ascii="仿宋" w:hAnsi="仿宋" w:eastAsia="仿宋" w:cs="仿宋"/>
          <w:b/>
          <w:bCs/>
          <w:color w:val="000000"/>
          <w:sz w:val="32"/>
          <w:szCs w:val="32"/>
        </w:rPr>
        <w:t>（六）国有资产管理工作。</w:t>
      </w:r>
      <w:r>
        <w:rPr>
          <w:rFonts w:hint="eastAsia" w:ascii="仿宋" w:hAnsi="仿宋" w:eastAsia="仿宋" w:cs="仿宋"/>
          <w:sz w:val="32"/>
          <w:szCs w:val="32"/>
        </w:rPr>
        <w:t>加强资产管理，确保资产安全完整和信息真实，发挥资产使用效果。严格按照资产管理制度清理资产，对资产进行盘活，切实摸清我单位的资产现状，有利于按照国有资产管理办法加强资产管理工作，最大限度发挥资产资源的使用效果，避免国有资产的流失。</w:t>
      </w:r>
    </w:p>
    <w:p>
      <w:pPr>
        <w:ind w:firstLine="643" w:firstLineChars="200"/>
        <w:rPr>
          <w:rFonts w:ascii="仿宋" w:hAnsi="仿宋" w:eastAsia="仿宋"/>
          <w:sz w:val="32"/>
          <w:szCs w:val="32"/>
        </w:rPr>
      </w:pPr>
      <w:r>
        <w:rPr>
          <w:rFonts w:hint="eastAsia" w:ascii="仿宋" w:hAnsi="仿宋" w:eastAsia="仿宋" w:cs="仿宋"/>
          <w:b/>
          <w:bCs/>
          <w:color w:val="000000"/>
          <w:sz w:val="32"/>
          <w:szCs w:val="32"/>
        </w:rPr>
        <w:t>（七）加强财务管理工作。</w:t>
      </w:r>
      <w:r>
        <w:rPr>
          <w:rFonts w:hint="eastAsia" w:ascii="仿宋" w:hAnsi="仿宋" w:eastAsia="仿宋" w:cs="仿宋"/>
          <w:color w:val="000000"/>
          <w:sz w:val="32"/>
          <w:szCs w:val="32"/>
        </w:rPr>
        <w:t>强化部门预算执行，</w:t>
      </w:r>
      <w:r>
        <w:rPr>
          <w:rFonts w:hint="eastAsia" w:ascii="仿宋" w:hAnsi="仿宋" w:eastAsia="仿宋" w:cs="仿宋"/>
          <w:sz w:val="32"/>
          <w:szCs w:val="32"/>
        </w:rPr>
        <w:t>加强监狱经费管理；</w:t>
      </w:r>
      <w:r>
        <w:rPr>
          <w:rFonts w:hint="eastAsia" w:ascii="仿宋" w:hAnsi="仿宋" w:eastAsia="仿宋" w:cs="仿宋"/>
          <w:color w:val="000000"/>
          <w:sz w:val="32"/>
          <w:szCs w:val="32"/>
        </w:rPr>
        <w:t>合理有效使用资金，</w:t>
      </w:r>
      <w:r>
        <w:rPr>
          <w:rFonts w:hint="eastAsia" w:ascii="仿宋" w:hAnsi="仿宋" w:eastAsia="仿宋" w:cs="仿宋"/>
          <w:sz w:val="32"/>
          <w:szCs w:val="32"/>
        </w:rPr>
        <w:t>提高资金调控能力；加强资产管理，确保资产安全完整和信息真实，发挥资产使用效果；规范会计核算，强化会计监督；</w:t>
      </w:r>
      <w:r>
        <w:rPr>
          <w:rFonts w:hint="eastAsia" w:ascii="仿宋" w:hAnsi="仿宋" w:eastAsia="仿宋" w:cs="仿宋"/>
          <w:color w:val="000000"/>
          <w:sz w:val="32"/>
          <w:szCs w:val="32"/>
        </w:rPr>
        <w:t>加强政府采购和物质使用管理，强化内控制度执行；</w:t>
      </w:r>
      <w:r>
        <w:rPr>
          <w:rFonts w:hint="eastAsia" w:ascii="仿宋" w:hAnsi="仿宋" w:eastAsia="仿宋" w:cs="仿宋"/>
          <w:sz w:val="32"/>
          <w:szCs w:val="32"/>
        </w:rPr>
        <w:t>加强财会队伍建设，提高财会人员素质。</w:t>
      </w:r>
    </w:p>
    <w:p>
      <w:pPr>
        <w:pStyle w:val="4"/>
        <w:ind w:firstLine="640" w:firstLineChars="200"/>
        <w:rPr>
          <w:rFonts w:ascii="黑体" w:hAnsi="黑体" w:eastAsia="黑体" w:cs="Times New Roman"/>
          <w:b w:val="0"/>
          <w:bCs w:val="0"/>
        </w:rPr>
      </w:pPr>
      <w:r>
        <w:rPr>
          <w:rFonts w:hint="eastAsia" w:ascii="黑体" w:hAnsi="黑体" w:eastAsia="黑体" w:cs="黑体"/>
          <w:b w:val="0"/>
          <w:bCs w:val="0"/>
        </w:rPr>
        <w:t>三、机构设置情况</w:t>
      </w:r>
    </w:p>
    <w:p>
      <w:pPr>
        <w:pStyle w:val="2"/>
        <w:spacing w:before="93"/>
        <w:rPr>
          <w:rFonts w:ascii="仿宋" w:hAnsi="仿宋" w:eastAsia="仿宋" w:cs="Times New Roman"/>
          <w:sz w:val="32"/>
          <w:szCs w:val="32"/>
        </w:rPr>
      </w:pPr>
      <w:r>
        <w:rPr>
          <w:rStyle w:val="31"/>
          <w:rFonts w:ascii="仿宋" w:hAnsi="仿宋" w:eastAsia="仿宋" w:cs="仿宋"/>
          <w:color w:val="333333"/>
          <w:sz w:val="32"/>
          <w:szCs w:val="32"/>
        </w:rPr>
        <w:t xml:space="preserve">    </w:t>
      </w:r>
      <w:r>
        <w:rPr>
          <w:rStyle w:val="31"/>
          <w:rFonts w:hint="eastAsia" w:ascii="仿宋" w:hAnsi="仿宋" w:eastAsia="仿宋" w:cs="仿宋"/>
          <w:color w:val="333333"/>
          <w:sz w:val="32"/>
          <w:szCs w:val="32"/>
        </w:rPr>
        <w:t>至诚监狱由</w:t>
      </w:r>
      <w:r>
        <w:rPr>
          <w:rStyle w:val="31"/>
          <w:rFonts w:ascii="仿宋" w:hAnsi="仿宋" w:eastAsia="仿宋" w:cs="仿宋"/>
          <w:color w:val="333333"/>
          <w:sz w:val="32"/>
          <w:szCs w:val="32"/>
        </w:rPr>
        <w:t>8</w:t>
      </w:r>
      <w:r>
        <w:rPr>
          <w:rStyle w:val="31"/>
          <w:rFonts w:hint="eastAsia" w:ascii="仿宋" w:hAnsi="仿宋" w:eastAsia="仿宋" w:cs="仿宋"/>
          <w:color w:val="333333"/>
          <w:sz w:val="32"/>
          <w:szCs w:val="32"/>
        </w:rPr>
        <w:t>个内设机构组成，分别是：</w:t>
      </w:r>
      <w:r>
        <w:rPr>
          <w:rStyle w:val="31"/>
          <w:rFonts w:hint="eastAsia" w:ascii="仿宋" w:hAnsi="仿宋" w:eastAsia="仿宋" w:cs="仿宋"/>
          <w:color w:val="000000"/>
          <w:sz w:val="32"/>
          <w:szCs w:val="32"/>
        </w:rPr>
        <w:t>办公室、生活卫生科、离退休人员管理科、环境保护与安全生产科、财务与工资福利科、审计科、工会办、政治处。</w:t>
      </w:r>
      <w:r>
        <w:rPr>
          <w:rFonts w:ascii="仿宋" w:hAnsi="仿宋" w:eastAsia="仿宋" w:cs="Times New Roman"/>
          <w:sz w:val="32"/>
          <w:szCs w:val="32"/>
        </w:rPr>
        <w:br w:type="page"/>
      </w:r>
    </w:p>
    <w:p>
      <w:pPr>
        <w:pStyle w:val="3"/>
        <w:ind w:right="440"/>
        <w:jc w:val="center"/>
        <w:rPr>
          <w:rStyle w:val="17"/>
          <w:rFonts w:ascii="黑体" w:hAnsi="黑体" w:eastAsia="黑体"/>
          <w:b w:val="0"/>
          <w:bCs w:val="0"/>
        </w:rPr>
      </w:pPr>
      <w:bookmarkStart w:id="16" w:name="_Toc15396602"/>
      <w:bookmarkStart w:id="17" w:name="_Toc15377204"/>
      <w:r>
        <w:rPr>
          <w:rFonts w:hint="eastAsia" w:ascii="黑体" w:hAnsi="黑体" w:eastAsia="黑体" w:cs="黑体"/>
          <w:b w:val="0"/>
          <w:bCs w:val="0"/>
        </w:rPr>
        <w:t>第二部分</w:t>
      </w:r>
      <w:r>
        <w:rPr>
          <w:rFonts w:ascii="黑体" w:hAnsi="黑体" w:eastAsia="黑体" w:cs="黑体"/>
          <w:b w:val="0"/>
          <w:bCs w:val="0"/>
        </w:rPr>
        <w:t xml:space="preserve"> 2021</w:t>
      </w:r>
      <w:r>
        <w:rPr>
          <w:rFonts w:hint="eastAsia" w:ascii="黑体" w:hAnsi="黑体" w:eastAsia="黑体" w:cs="黑体"/>
          <w:b w:val="0"/>
          <w:bCs w:val="0"/>
        </w:rPr>
        <w:t>年度</w:t>
      </w:r>
      <w:r>
        <w:rPr>
          <w:rStyle w:val="17"/>
          <w:rFonts w:hint="eastAsia" w:ascii="黑体" w:hAnsi="黑体" w:eastAsia="黑体" w:cs="黑体"/>
          <w:b w:val="0"/>
          <w:bCs w:val="0"/>
        </w:rPr>
        <w:t>单位决算情况说明</w:t>
      </w:r>
      <w:bookmarkEnd w:id="16"/>
      <w:bookmarkEnd w:id="17"/>
    </w:p>
    <w:p/>
    <w:p>
      <w:pPr>
        <w:pStyle w:val="28"/>
        <w:numPr>
          <w:ilvl w:val="0"/>
          <w:numId w:val="1"/>
        </w:numPr>
        <w:spacing w:line="600" w:lineRule="exact"/>
        <w:ind w:firstLineChars="0"/>
        <w:outlineLvl w:val="1"/>
        <w:rPr>
          <w:rStyle w:val="18"/>
          <w:rFonts w:ascii="黑体" w:hAnsi="黑体" w:eastAsia="黑体" w:cs="Times New Roman"/>
          <w:b w:val="0"/>
          <w:bCs w:val="0"/>
        </w:rPr>
      </w:pPr>
      <w:bookmarkStart w:id="18" w:name="_Toc15377205"/>
      <w:bookmarkStart w:id="19" w:name="_Toc15396603"/>
      <w:r>
        <w:rPr>
          <w:rFonts w:hint="eastAsia" w:ascii="黑体" w:hAnsi="黑体" w:eastAsia="黑体" w:cs="黑体"/>
          <w:sz w:val="32"/>
          <w:szCs w:val="32"/>
        </w:rPr>
        <w:t>收</w:t>
      </w:r>
      <w:r>
        <w:rPr>
          <w:rStyle w:val="18"/>
          <w:rFonts w:hint="eastAsia" w:ascii="黑体" w:hAnsi="黑体" w:eastAsia="黑体" w:cs="黑体"/>
          <w:b w:val="0"/>
          <w:bCs w:val="0"/>
        </w:rPr>
        <w:t>入支出决算总体情况说明</w:t>
      </w:r>
      <w:bookmarkEnd w:id="18"/>
      <w:bookmarkEnd w:id="19"/>
    </w:p>
    <w:p>
      <w:pPr>
        <w:spacing w:line="600" w:lineRule="exact"/>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年度收、支总计</w:t>
      </w:r>
      <w:r>
        <w:rPr>
          <w:rFonts w:ascii="仿宋" w:hAnsi="仿宋" w:eastAsia="仿宋" w:cs="仿宋"/>
          <w:sz w:val="32"/>
          <w:szCs w:val="32"/>
        </w:rPr>
        <w:t>875.49</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年相比，收、支总计各增加</w:t>
      </w:r>
      <w:r>
        <w:rPr>
          <w:rFonts w:ascii="仿宋" w:hAnsi="仿宋" w:eastAsia="仿宋" w:cs="仿宋"/>
          <w:sz w:val="32"/>
          <w:szCs w:val="32"/>
        </w:rPr>
        <w:t>129.26</w:t>
      </w:r>
      <w:r>
        <w:rPr>
          <w:rFonts w:hint="eastAsia" w:ascii="仿宋" w:hAnsi="仿宋" w:eastAsia="仿宋" w:cs="仿宋"/>
          <w:sz w:val="32"/>
          <w:szCs w:val="32"/>
        </w:rPr>
        <w:t>万元，增长</w:t>
      </w:r>
      <w:r>
        <w:rPr>
          <w:rFonts w:ascii="仿宋" w:hAnsi="仿宋" w:eastAsia="仿宋" w:cs="仿宋"/>
          <w:sz w:val="32"/>
          <w:szCs w:val="32"/>
        </w:rPr>
        <w:t>17.32%</w:t>
      </w:r>
      <w:r>
        <w:rPr>
          <w:rFonts w:hint="eastAsia" w:ascii="仿宋" w:hAnsi="仿宋" w:eastAsia="仿宋" w:cs="仿宋"/>
          <w:sz w:val="32"/>
          <w:szCs w:val="32"/>
        </w:rPr>
        <w:t>。主要变动原因是人员经费增加。</w:t>
      </w:r>
    </w:p>
    <w:p>
      <w:pPr>
        <w:pStyle w:val="2"/>
        <w:spacing w:before="93"/>
        <w:rPr>
          <w:rFonts w:cs="Times New Roman"/>
        </w:rPr>
      </w:pPr>
      <w:r>
        <w:rPr>
          <w:rFonts w:cs="Times New Roman"/>
        </w:rPr>
        <w:object>
          <v:shape id="_x0000_i1025" o:spt="75" type="#_x0000_t75" style="height:243pt;width:417pt;" o:ole="t" filled="f" o:preferrelative="t" stroked="f" coordsize="21600,21600">
            <v:path/>
            <v:fill on="f" focussize="0,0"/>
            <v:stroke on="f" joinstyle="miter"/>
            <v:imagedata r:id="rId7" o:title=""/>
            <o:lock v:ext="edit" aspectratio="f"/>
            <w10:wrap type="none"/>
            <w10:anchorlock/>
          </v:shape>
          <o:OLEObject Type="Embed" ProgID="Excel.Chart.8" ShapeID="_x0000_i1025" DrawAspect="Content" ObjectID="_1468075725" r:id="rId6">
            <o:LockedField>false</o:LockedField>
          </o:OLEObject>
        </w:object>
      </w:r>
    </w:p>
    <w:p>
      <w:pPr>
        <w:pStyle w:val="2"/>
        <w:spacing w:before="93"/>
        <w:rPr>
          <w:rFonts w:cs="Times New Roman"/>
        </w:rPr>
      </w:pPr>
    </w:p>
    <w:p>
      <w:pPr>
        <w:pStyle w:val="28"/>
        <w:numPr>
          <w:ilvl w:val="0"/>
          <w:numId w:val="1"/>
        </w:numPr>
        <w:spacing w:line="600" w:lineRule="exact"/>
        <w:ind w:firstLineChars="0"/>
        <w:outlineLvl w:val="1"/>
        <w:rPr>
          <w:rStyle w:val="18"/>
          <w:rFonts w:ascii="黑体" w:hAnsi="黑体" w:eastAsia="黑体" w:cs="Times New Roman"/>
          <w:b w:val="0"/>
          <w:bCs w:val="0"/>
        </w:rPr>
      </w:pPr>
      <w:bookmarkStart w:id="20" w:name="_Toc15396604"/>
      <w:bookmarkStart w:id="21" w:name="_Toc15377206"/>
      <w:r>
        <w:rPr>
          <w:rFonts w:hint="eastAsia" w:ascii="黑体" w:hAnsi="黑体" w:eastAsia="黑体" w:cs="黑体"/>
          <w:sz w:val="32"/>
          <w:szCs w:val="32"/>
        </w:rPr>
        <w:t>收</w:t>
      </w:r>
      <w:r>
        <w:rPr>
          <w:rStyle w:val="18"/>
          <w:rFonts w:hint="eastAsia" w:ascii="黑体" w:hAnsi="黑体" w:eastAsia="黑体" w:cs="黑体"/>
          <w:b w:val="0"/>
          <w:bCs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年本年收入合计</w:t>
      </w:r>
      <w:r>
        <w:rPr>
          <w:rFonts w:ascii="仿宋" w:hAnsi="仿宋" w:eastAsia="仿宋" w:cs="仿宋"/>
          <w:sz w:val="32"/>
          <w:szCs w:val="32"/>
        </w:rPr>
        <w:t>875.49</w:t>
      </w:r>
      <w:r>
        <w:rPr>
          <w:rFonts w:hint="eastAsia" w:ascii="仿宋" w:hAnsi="仿宋" w:eastAsia="仿宋" w:cs="仿宋"/>
          <w:sz w:val="32"/>
          <w:szCs w:val="32"/>
        </w:rPr>
        <w:t>万元，其中：一般公共预算财政拨款收入</w:t>
      </w:r>
      <w:r>
        <w:rPr>
          <w:rFonts w:ascii="仿宋" w:hAnsi="仿宋" w:eastAsia="仿宋" w:cs="仿宋"/>
          <w:sz w:val="32"/>
          <w:szCs w:val="32"/>
        </w:rPr>
        <w:t>875.49</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；政府性基金预算财政拨款收入无；国有资本经营预算财政拨款收入无；上级补助收入无；事业收入无；经营收入无；附属单位上缴收入无；其他收入无。</w:t>
      </w:r>
    </w:p>
    <w:p>
      <w:pPr>
        <w:spacing w:line="600" w:lineRule="exact"/>
        <w:ind w:firstLine="640" w:firstLineChars="200"/>
        <w:outlineLvl w:val="1"/>
        <w:rPr>
          <w:rFonts w:ascii="仿宋" w:hAnsi="仿宋" w:eastAsia="仿宋"/>
          <w:sz w:val="32"/>
          <w:szCs w:val="32"/>
        </w:rPr>
      </w:pPr>
    </w:p>
    <w:p>
      <w:pPr>
        <w:pStyle w:val="2"/>
        <w:spacing w:before="93"/>
        <w:rPr>
          <w:rFonts w:cs="Times New Roman"/>
        </w:rPr>
      </w:pPr>
      <w:r>
        <w:rPr>
          <w:rFonts w:cs="Times New Roman"/>
        </w:rPr>
        <w:object>
          <v:shape id="_x0000_i1026" o:spt="75" type="#_x0000_t75" style="height:243pt;width:417pt;" o:ole="t" filled="f" o:preferrelative="t" stroked="f" coordsize="21600,21600">
            <v:path/>
            <v:fill on="f" focussize="0,0"/>
            <v:stroke on="f" joinstyle="miter"/>
            <v:imagedata r:id="rId9" o:title=""/>
            <o:lock v:ext="edit" aspectratio="f"/>
            <w10:wrap type="none"/>
            <w10:anchorlock/>
          </v:shape>
          <o:OLEObject Type="Embed" ProgID="Excel.Chart.8" ShapeID="_x0000_i1026" DrawAspect="Content" ObjectID="_1468075726" r:id="rId8">
            <o:LockedField>false</o:LockedField>
          </o:OLEObject>
        </w:object>
      </w:r>
    </w:p>
    <w:p>
      <w:pPr>
        <w:pStyle w:val="2"/>
        <w:spacing w:before="93"/>
        <w:rPr>
          <w:rFonts w:cs="Times New Roman"/>
        </w:rPr>
      </w:pPr>
    </w:p>
    <w:p>
      <w:pPr>
        <w:pStyle w:val="28"/>
        <w:numPr>
          <w:ilvl w:val="0"/>
          <w:numId w:val="1"/>
        </w:numPr>
        <w:spacing w:line="600" w:lineRule="exact"/>
        <w:ind w:firstLineChars="0"/>
        <w:outlineLvl w:val="1"/>
        <w:rPr>
          <w:rStyle w:val="18"/>
          <w:rFonts w:ascii="黑体" w:hAnsi="黑体" w:eastAsia="黑体" w:cs="Times New Roman"/>
          <w:b w:val="0"/>
          <w:bCs w:val="0"/>
        </w:rPr>
      </w:pPr>
      <w:bookmarkStart w:id="22" w:name="_Toc15377207"/>
      <w:bookmarkStart w:id="23" w:name="_Toc15396605"/>
      <w:r>
        <w:rPr>
          <w:rFonts w:hint="eastAsia" w:ascii="黑体" w:hAnsi="黑体" w:eastAsia="黑体" w:cs="黑体"/>
          <w:sz w:val="32"/>
          <w:szCs w:val="32"/>
        </w:rPr>
        <w:t>支</w:t>
      </w:r>
      <w:r>
        <w:rPr>
          <w:rStyle w:val="18"/>
          <w:rFonts w:hint="eastAsia" w:ascii="黑体" w:hAnsi="黑体" w:eastAsia="黑体" w:cs="黑体"/>
          <w:b w:val="0"/>
          <w:bCs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年本年支出合计</w:t>
      </w:r>
      <w:r>
        <w:rPr>
          <w:rFonts w:ascii="仿宋" w:hAnsi="仿宋" w:eastAsia="仿宋" w:cs="仿宋"/>
          <w:sz w:val="32"/>
          <w:szCs w:val="32"/>
        </w:rPr>
        <w:t>875.49</w:t>
      </w:r>
      <w:r>
        <w:rPr>
          <w:rFonts w:hint="eastAsia" w:ascii="仿宋" w:hAnsi="仿宋" w:eastAsia="仿宋" w:cs="仿宋"/>
          <w:sz w:val="32"/>
          <w:szCs w:val="32"/>
        </w:rPr>
        <w:t>万元，其中：基本支出</w:t>
      </w:r>
      <w:r>
        <w:rPr>
          <w:rFonts w:ascii="仿宋" w:hAnsi="仿宋" w:eastAsia="仿宋" w:cs="仿宋"/>
          <w:sz w:val="32"/>
          <w:szCs w:val="32"/>
        </w:rPr>
        <w:t>841.02</w:t>
      </w:r>
      <w:r>
        <w:rPr>
          <w:rFonts w:hint="eastAsia" w:ascii="仿宋" w:hAnsi="仿宋" w:eastAsia="仿宋" w:cs="仿宋"/>
          <w:sz w:val="32"/>
          <w:szCs w:val="32"/>
        </w:rPr>
        <w:t>万元，占</w:t>
      </w:r>
      <w:r>
        <w:rPr>
          <w:rFonts w:ascii="仿宋" w:hAnsi="仿宋" w:eastAsia="仿宋" w:cs="仿宋"/>
          <w:sz w:val="32"/>
          <w:szCs w:val="32"/>
        </w:rPr>
        <w:t>96.06%</w:t>
      </w:r>
      <w:r>
        <w:rPr>
          <w:rFonts w:hint="eastAsia" w:ascii="仿宋" w:hAnsi="仿宋" w:eastAsia="仿宋" w:cs="仿宋"/>
          <w:sz w:val="32"/>
          <w:szCs w:val="32"/>
        </w:rPr>
        <w:t>；项目支出</w:t>
      </w:r>
      <w:r>
        <w:rPr>
          <w:rFonts w:ascii="仿宋" w:hAnsi="仿宋" w:eastAsia="仿宋" w:cs="仿宋"/>
          <w:sz w:val="32"/>
          <w:szCs w:val="32"/>
        </w:rPr>
        <w:t>34.47</w:t>
      </w:r>
      <w:r>
        <w:rPr>
          <w:rFonts w:hint="eastAsia" w:ascii="仿宋" w:hAnsi="仿宋" w:eastAsia="仿宋" w:cs="仿宋"/>
          <w:sz w:val="32"/>
          <w:szCs w:val="32"/>
        </w:rPr>
        <w:t>万元，占</w:t>
      </w:r>
      <w:r>
        <w:rPr>
          <w:rFonts w:ascii="仿宋" w:hAnsi="仿宋" w:eastAsia="仿宋" w:cs="仿宋"/>
          <w:sz w:val="32"/>
          <w:szCs w:val="32"/>
        </w:rPr>
        <w:t>3.94%</w:t>
      </w:r>
      <w:r>
        <w:rPr>
          <w:rFonts w:hint="eastAsia" w:ascii="仿宋" w:hAnsi="仿宋" w:eastAsia="仿宋" w:cs="仿宋"/>
          <w:sz w:val="32"/>
          <w:szCs w:val="32"/>
        </w:rPr>
        <w:t>。上缴上级支出无；经营支出无；对附属单位补助支出无。</w:t>
      </w:r>
    </w:p>
    <w:p>
      <w:pPr>
        <w:spacing w:line="600" w:lineRule="exact"/>
        <w:ind w:firstLine="640" w:firstLineChars="200"/>
        <w:outlineLvl w:val="1"/>
        <w:rPr>
          <w:rFonts w:ascii="仿宋" w:hAnsi="仿宋" w:eastAsia="仿宋"/>
          <w:sz w:val="32"/>
          <w:szCs w:val="32"/>
        </w:rPr>
      </w:pPr>
    </w:p>
    <w:p>
      <w:pPr>
        <w:pStyle w:val="2"/>
        <w:spacing w:before="93"/>
        <w:rPr>
          <w:rFonts w:cs="Times New Roman"/>
        </w:rPr>
      </w:pPr>
      <w:r>
        <w:rPr>
          <w:rFonts w:cs="Times New Roman"/>
        </w:rPr>
        <w:object>
          <v:shape id="_x0000_i1027" o:spt="75" type="#_x0000_t75" style="height:243pt;width:417pt;" o:ole="t" filled="f" o:preferrelative="t" stroked="f" coordsize="21600,21600">
            <v:path/>
            <v:fill on="f" focussize="0,0"/>
            <v:stroke on="f" joinstyle="miter"/>
            <v:imagedata r:id="rId11" o:title=""/>
            <o:lock v:ext="edit" aspectratio="f"/>
            <w10:wrap type="none"/>
            <w10:anchorlock/>
          </v:shape>
          <o:OLEObject Type="Embed" ProgID="Excel.Chart.8" ShapeID="_x0000_i1027" DrawAspect="Content" ObjectID="_1468075727" r:id="rId10">
            <o:LockedField>false</o:LockedField>
          </o:OLEObject>
        </w:object>
      </w:r>
    </w:p>
    <w:p>
      <w:pPr>
        <w:pStyle w:val="2"/>
        <w:spacing w:before="93"/>
        <w:rPr>
          <w:rFonts w:cs="Times New Roman"/>
        </w:rPr>
      </w:pPr>
    </w:p>
    <w:p>
      <w:pPr>
        <w:spacing w:line="600" w:lineRule="exact"/>
        <w:ind w:firstLine="640" w:firstLineChars="200"/>
        <w:outlineLvl w:val="1"/>
        <w:rPr>
          <w:rStyle w:val="18"/>
          <w:rFonts w:ascii="黑体" w:hAnsi="黑体" w:eastAsia="黑体" w:cs="Times New Roman"/>
          <w:b w:val="0"/>
          <w:bCs w:val="0"/>
        </w:rPr>
      </w:pPr>
      <w:bookmarkStart w:id="24" w:name="_Toc15396606"/>
      <w:bookmarkStart w:id="25" w:name="_Toc15377208"/>
      <w:r>
        <w:rPr>
          <w:rFonts w:hint="eastAsia" w:ascii="黑体" w:hAnsi="黑体" w:eastAsia="黑体" w:cs="黑体"/>
          <w:sz w:val="32"/>
          <w:szCs w:val="32"/>
        </w:rPr>
        <w:t>四、财</w:t>
      </w:r>
      <w:r>
        <w:rPr>
          <w:rStyle w:val="18"/>
          <w:rFonts w:hint="eastAsia" w:ascii="黑体" w:hAnsi="黑体" w:eastAsia="黑体" w:cs="黑体"/>
          <w:b w:val="0"/>
          <w:bCs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年财政拨款收、支总计</w:t>
      </w:r>
      <w:r>
        <w:rPr>
          <w:rFonts w:ascii="仿宋" w:hAnsi="仿宋" w:eastAsia="仿宋" w:cs="仿宋"/>
          <w:sz w:val="32"/>
          <w:szCs w:val="32"/>
        </w:rPr>
        <w:t>875.49</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年相比，财政拨款收、支总计各增加</w:t>
      </w:r>
      <w:r>
        <w:rPr>
          <w:rFonts w:ascii="仿宋" w:hAnsi="仿宋" w:eastAsia="仿宋" w:cs="仿宋"/>
          <w:sz w:val="32"/>
          <w:szCs w:val="32"/>
        </w:rPr>
        <w:t>129.26</w:t>
      </w:r>
      <w:r>
        <w:rPr>
          <w:rFonts w:hint="eastAsia" w:ascii="仿宋" w:hAnsi="仿宋" w:eastAsia="仿宋" w:cs="仿宋"/>
          <w:sz w:val="32"/>
          <w:szCs w:val="32"/>
        </w:rPr>
        <w:t>万元，增长</w:t>
      </w:r>
      <w:r>
        <w:rPr>
          <w:rFonts w:ascii="仿宋" w:hAnsi="仿宋" w:eastAsia="仿宋" w:cs="仿宋"/>
          <w:sz w:val="32"/>
          <w:szCs w:val="32"/>
        </w:rPr>
        <w:t>17.32%</w:t>
      </w:r>
      <w:r>
        <w:rPr>
          <w:rFonts w:hint="eastAsia" w:ascii="仿宋" w:hAnsi="仿宋" w:eastAsia="仿宋" w:cs="仿宋"/>
          <w:sz w:val="32"/>
          <w:szCs w:val="32"/>
        </w:rPr>
        <w:t>。主要变动原因是人员经费增加。</w:t>
      </w:r>
    </w:p>
    <w:p>
      <w:pPr>
        <w:pStyle w:val="2"/>
        <w:spacing w:before="93"/>
        <w:rPr>
          <w:rFonts w:cs="Times New Roman"/>
        </w:rPr>
      </w:pPr>
      <w:r>
        <w:rPr>
          <w:rFonts w:cs="Times New Roman"/>
        </w:rPr>
        <w:object>
          <v:shape id="_x0000_i1028" o:spt="75" type="#_x0000_t75" style="height:240.75pt;width:450pt;" o:ole="t" filled="f" o:preferrelative="t" stroked="f" coordsize="21600,21600">
            <v:path/>
            <v:fill on="f" focussize="0,0"/>
            <v:stroke on="f" joinstyle="miter"/>
            <v:imagedata r:id="rId13" o:title=""/>
            <o:lock v:ext="edit" aspectratio="f"/>
            <w10:wrap type="none"/>
            <w10:anchorlock/>
          </v:shape>
          <o:OLEObject Type="Embed" ProgID="Excel.Chart.8" ShapeID="_x0000_i1028" DrawAspect="Content" ObjectID="_1468075728" r:id="rId12">
            <o:LockedField>false</o:LockedField>
          </o:OLEObject>
        </w:object>
      </w:r>
    </w:p>
    <w:p>
      <w:pPr>
        <w:pStyle w:val="2"/>
        <w:spacing w:before="93"/>
        <w:rPr>
          <w:rFonts w:ascii="仿宋" w:hAnsi="仿宋" w:eastAsia="仿宋" w:cs="Times New Roman"/>
          <w:b/>
          <w:bCs/>
          <w:sz w:val="32"/>
          <w:szCs w:val="32"/>
        </w:rPr>
      </w:pPr>
    </w:p>
    <w:p>
      <w:pPr>
        <w:spacing w:line="600" w:lineRule="exact"/>
        <w:ind w:firstLine="640" w:firstLineChars="200"/>
        <w:outlineLvl w:val="1"/>
        <w:rPr>
          <w:rStyle w:val="18"/>
          <w:rFonts w:ascii="黑体" w:hAnsi="黑体" w:eastAsia="黑体" w:cs="Times New Roman"/>
          <w:b w:val="0"/>
          <w:bCs w:val="0"/>
        </w:rPr>
      </w:pPr>
      <w:bookmarkStart w:id="26" w:name="_Toc15396607"/>
      <w:bookmarkStart w:id="27" w:name="_Toc15377209"/>
      <w:r>
        <w:rPr>
          <w:rFonts w:hint="eastAsia" w:ascii="黑体" w:hAnsi="黑体" w:eastAsia="黑体" w:cs="黑体"/>
          <w:sz w:val="32"/>
          <w:szCs w:val="32"/>
        </w:rPr>
        <w:t>五、</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般公共预算财政拨款支出决算情况说明</w:t>
      </w:r>
      <w:bookmarkEnd w:id="26"/>
      <w:bookmarkEnd w:id="27"/>
    </w:p>
    <w:p>
      <w:pPr>
        <w:spacing w:line="600" w:lineRule="exact"/>
        <w:ind w:firstLine="643" w:firstLineChars="200"/>
        <w:outlineLvl w:val="2"/>
        <w:rPr>
          <w:rFonts w:ascii="仿宋" w:hAnsi="仿宋" w:eastAsia="仿宋"/>
          <w:b/>
          <w:bCs/>
          <w:sz w:val="32"/>
          <w:szCs w:val="32"/>
        </w:rPr>
      </w:pPr>
      <w:bookmarkStart w:id="28" w:name="_Toc15377210"/>
      <w:r>
        <w:rPr>
          <w:rFonts w:hint="eastAsia" w:ascii="仿宋" w:hAnsi="仿宋" w:eastAsia="仿宋" w:cs="仿宋"/>
          <w:b/>
          <w:bCs/>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875.49</w:t>
      </w:r>
      <w:r>
        <w:rPr>
          <w:rFonts w:hint="eastAsia" w:ascii="仿宋" w:hAnsi="仿宋" w:eastAsia="仿宋" w:cs="仿宋"/>
          <w:sz w:val="32"/>
          <w:szCs w:val="32"/>
        </w:rPr>
        <w:t>预算财政拨款支出增加</w:t>
      </w:r>
      <w:r>
        <w:rPr>
          <w:rFonts w:ascii="仿宋" w:hAnsi="仿宋" w:eastAsia="仿宋" w:cs="仿宋"/>
          <w:sz w:val="32"/>
          <w:szCs w:val="32"/>
        </w:rPr>
        <w:t>129.26</w:t>
      </w:r>
      <w:r>
        <w:rPr>
          <w:rFonts w:hint="eastAsia" w:ascii="仿宋" w:hAnsi="仿宋" w:eastAsia="仿宋" w:cs="仿宋"/>
          <w:sz w:val="32"/>
          <w:szCs w:val="32"/>
        </w:rPr>
        <w:t>万元，增长</w:t>
      </w:r>
      <w:r>
        <w:rPr>
          <w:rFonts w:ascii="仿宋" w:hAnsi="仿宋" w:eastAsia="仿宋" w:cs="仿宋"/>
          <w:sz w:val="32"/>
          <w:szCs w:val="32"/>
        </w:rPr>
        <w:t>17.32%</w:t>
      </w:r>
      <w:r>
        <w:rPr>
          <w:rFonts w:hint="eastAsia" w:ascii="仿宋" w:hAnsi="仿宋" w:eastAsia="仿宋" w:cs="仿宋"/>
          <w:sz w:val="32"/>
          <w:szCs w:val="32"/>
        </w:rPr>
        <w:t>。主要变动原因是人员经费增加。</w:t>
      </w:r>
    </w:p>
    <w:p>
      <w:pPr>
        <w:spacing w:line="600" w:lineRule="exact"/>
        <w:ind w:firstLine="640" w:firstLineChars="200"/>
        <w:rPr>
          <w:rFonts w:ascii="仿宋" w:hAnsi="仿宋" w:eastAsia="仿宋"/>
          <w:sz w:val="32"/>
          <w:szCs w:val="32"/>
        </w:rPr>
      </w:pPr>
    </w:p>
    <w:p>
      <w:pPr>
        <w:pStyle w:val="2"/>
        <w:spacing w:before="93"/>
        <w:rPr>
          <w:rFonts w:cs="Times New Roman"/>
        </w:rPr>
      </w:pPr>
      <w:r>
        <w:rPr>
          <w:rFonts w:cs="Times New Roman"/>
        </w:rPr>
        <w:object>
          <v:shape id="_x0000_i1029" o:spt="75" type="#_x0000_t75" style="height:240.75pt;width:450pt;" o:ole="t" filled="f" o:preferrelative="t" stroked="f" coordsize="21600,21600">
            <v:path/>
            <v:fill on="f" focussize="0,0"/>
            <v:stroke on="f" joinstyle="miter"/>
            <v:imagedata r:id="rId15" o:title=""/>
            <o:lock v:ext="edit" aspectratio="f"/>
            <w10:wrap type="none"/>
            <w10:anchorlock/>
          </v:shape>
          <o:OLEObject Type="Embed" ProgID="Excel.Chart.8" ShapeID="_x0000_i1029" DrawAspect="Content" ObjectID="_1468075729" r:id="rId14">
            <o:LockedField>false</o:LockedField>
          </o:OLEObject>
        </w:object>
      </w:r>
    </w:p>
    <w:p>
      <w:pPr>
        <w:spacing w:line="600" w:lineRule="exact"/>
        <w:ind w:firstLine="643" w:firstLineChars="200"/>
        <w:outlineLvl w:val="2"/>
        <w:rPr>
          <w:rFonts w:ascii="仿宋" w:hAnsi="仿宋" w:eastAsia="仿宋"/>
          <w:b/>
          <w:bCs/>
          <w:sz w:val="32"/>
          <w:szCs w:val="32"/>
        </w:rPr>
      </w:pPr>
      <w:bookmarkStart w:id="29" w:name="_Toc15377211"/>
      <w:r>
        <w:rPr>
          <w:rFonts w:hint="eastAsia" w:ascii="仿宋" w:hAnsi="仿宋" w:eastAsia="仿宋" w:cs="仿宋"/>
          <w:b/>
          <w:bCs/>
          <w:sz w:val="32"/>
          <w:szCs w:val="32"/>
        </w:rPr>
        <w:t>（二）一般公共预算财政拨款支出决算结构情况</w:t>
      </w:r>
      <w:bookmarkEnd w:id="29"/>
    </w:p>
    <w:p>
      <w:pPr>
        <w:spacing w:line="600" w:lineRule="exact"/>
        <w:ind w:firstLine="640"/>
        <w:rPr>
          <w:rFonts w:ascii="仿宋" w:hAnsi="仿宋" w:eastAsia="仿宋"/>
          <w:b/>
          <w:bCs/>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875.49</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b/>
          <w:bCs/>
          <w:sz w:val="32"/>
          <w:szCs w:val="32"/>
        </w:rPr>
        <w:t>公共安全（类）支出</w:t>
      </w:r>
      <w:r>
        <w:rPr>
          <w:rFonts w:ascii="仿宋" w:hAnsi="仿宋" w:eastAsia="仿宋" w:cs="仿宋"/>
          <w:sz w:val="32"/>
          <w:szCs w:val="32"/>
        </w:rPr>
        <w:t>298.00</w:t>
      </w:r>
      <w:r>
        <w:rPr>
          <w:rFonts w:hint="eastAsia" w:ascii="仿宋" w:hAnsi="仿宋" w:eastAsia="仿宋" w:cs="仿宋"/>
          <w:sz w:val="32"/>
          <w:szCs w:val="32"/>
        </w:rPr>
        <w:t>万元，占</w:t>
      </w:r>
      <w:r>
        <w:rPr>
          <w:rFonts w:ascii="仿宋" w:hAnsi="仿宋" w:eastAsia="仿宋" w:cs="仿宋"/>
          <w:sz w:val="32"/>
          <w:szCs w:val="32"/>
        </w:rPr>
        <w:t>34.04%</w:t>
      </w:r>
      <w:r>
        <w:rPr>
          <w:rFonts w:hint="eastAsia" w:ascii="仿宋" w:hAnsi="仿宋" w:eastAsia="仿宋" w:cs="仿宋"/>
          <w:sz w:val="32"/>
          <w:szCs w:val="32"/>
        </w:rPr>
        <w:t>；</w:t>
      </w:r>
      <w:r>
        <w:rPr>
          <w:rFonts w:hint="eastAsia" w:ascii="仿宋" w:hAnsi="仿宋" w:eastAsia="仿宋" w:cs="仿宋"/>
          <w:b/>
          <w:bCs/>
          <w:sz w:val="32"/>
          <w:szCs w:val="32"/>
        </w:rPr>
        <w:t>教育支出（类）</w:t>
      </w:r>
      <w:r>
        <w:rPr>
          <w:rFonts w:ascii="仿宋" w:hAnsi="仿宋" w:eastAsia="仿宋" w:cs="仿宋"/>
          <w:sz w:val="32"/>
          <w:szCs w:val="32"/>
        </w:rPr>
        <w:t>0.34</w:t>
      </w:r>
      <w:r>
        <w:rPr>
          <w:rFonts w:hint="eastAsia" w:ascii="仿宋" w:hAnsi="仿宋" w:eastAsia="仿宋" w:cs="仿宋"/>
          <w:sz w:val="32"/>
          <w:szCs w:val="32"/>
        </w:rPr>
        <w:t>万元，占</w:t>
      </w:r>
      <w:r>
        <w:rPr>
          <w:rFonts w:ascii="仿宋" w:hAnsi="仿宋" w:eastAsia="仿宋" w:cs="仿宋"/>
          <w:sz w:val="32"/>
          <w:szCs w:val="32"/>
        </w:rPr>
        <w:t>0.04%</w:t>
      </w:r>
      <w:r>
        <w:rPr>
          <w:rFonts w:hint="eastAsia" w:ascii="仿宋" w:hAnsi="仿宋" w:eastAsia="仿宋" w:cs="仿宋"/>
          <w:sz w:val="32"/>
          <w:szCs w:val="32"/>
        </w:rPr>
        <w:t>；</w:t>
      </w:r>
      <w:r>
        <w:rPr>
          <w:rFonts w:hint="eastAsia" w:ascii="仿宋" w:hAnsi="仿宋" w:eastAsia="仿宋" w:cs="仿宋"/>
          <w:b/>
          <w:bCs/>
          <w:sz w:val="32"/>
          <w:szCs w:val="32"/>
        </w:rPr>
        <w:t>社会保障和就业（类）</w:t>
      </w:r>
      <w:r>
        <w:rPr>
          <w:rFonts w:hint="eastAsia" w:ascii="仿宋" w:hAnsi="仿宋" w:eastAsia="仿宋" w:cs="仿宋"/>
          <w:sz w:val="32"/>
          <w:szCs w:val="32"/>
        </w:rPr>
        <w:t>支出</w:t>
      </w:r>
      <w:r>
        <w:rPr>
          <w:rFonts w:ascii="仿宋" w:hAnsi="仿宋" w:eastAsia="仿宋" w:cs="仿宋"/>
          <w:sz w:val="32"/>
          <w:szCs w:val="32"/>
        </w:rPr>
        <w:t>514.51</w:t>
      </w:r>
      <w:r>
        <w:rPr>
          <w:rFonts w:hint="eastAsia" w:ascii="仿宋" w:hAnsi="仿宋" w:eastAsia="仿宋" w:cs="仿宋"/>
          <w:sz w:val="32"/>
          <w:szCs w:val="32"/>
        </w:rPr>
        <w:t>万元，占</w:t>
      </w:r>
      <w:r>
        <w:rPr>
          <w:rFonts w:ascii="仿宋" w:hAnsi="仿宋" w:eastAsia="仿宋" w:cs="仿宋"/>
          <w:sz w:val="32"/>
          <w:szCs w:val="32"/>
        </w:rPr>
        <w:t>58.77%</w:t>
      </w:r>
      <w:r>
        <w:rPr>
          <w:rFonts w:hint="eastAsia" w:ascii="仿宋" w:hAnsi="仿宋" w:eastAsia="仿宋" w:cs="仿宋"/>
          <w:sz w:val="32"/>
          <w:szCs w:val="32"/>
        </w:rPr>
        <w:t>；</w:t>
      </w:r>
      <w:r>
        <w:rPr>
          <w:rFonts w:hint="eastAsia" w:ascii="仿宋" w:hAnsi="仿宋" w:eastAsia="仿宋" w:cs="仿宋"/>
          <w:b/>
          <w:bCs/>
          <w:sz w:val="32"/>
          <w:szCs w:val="32"/>
        </w:rPr>
        <w:t>卫生健康支出</w:t>
      </w:r>
      <w:r>
        <w:rPr>
          <w:rFonts w:ascii="仿宋" w:hAnsi="仿宋" w:eastAsia="仿宋" w:cs="仿宋"/>
          <w:sz w:val="32"/>
          <w:szCs w:val="32"/>
        </w:rPr>
        <w:t>43.51</w:t>
      </w:r>
      <w:r>
        <w:rPr>
          <w:rFonts w:hint="eastAsia" w:ascii="仿宋" w:hAnsi="仿宋" w:eastAsia="仿宋" w:cs="仿宋"/>
          <w:sz w:val="32"/>
          <w:szCs w:val="32"/>
        </w:rPr>
        <w:t>万元，占</w:t>
      </w:r>
      <w:r>
        <w:rPr>
          <w:rFonts w:ascii="仿宋" w:hAnsi="仿宋" w:eastAsia="仿宋" w:cs="仿宋"/>
          <w:sz w:val="32"/>
          <w:szCs w:val="32"/>
        </w:rPr>
        <w:t>4.97%</w:t>
      </w:r>
      <w:r>
        <w:rPr>
          <w:rFonts w:hint="eastAsia" w:ascii="仿宋" w:hAnsi="仿宋" w:eastAsia="仿宋" w:cs="仿宋"/>
          <w:sz w:val="32"/>
          <w:szCs w:val="32"/>
        </w:rPr>
        <w:t>；住房保障支出</w:t>
      </w:r>
      <w:r>
        <w:rPr>
          <w:rFonts w:ascii="仿宋" w:hAnsi="仿宋" w:eastAsia="仿宋" w:cs="仿宋"/>
          <w:sz w:val="32"/>
          <w:szCs w:val="32"/>
        </w:rPr>
        <w:t>19.13</w:t>
      </w:r>
      <w:r>
        <w:rPr>
          <w:rFonts w:hint="eastAsia" w:ascii="仿宋" w:hAnsi="仿宋" w:eastAsia="仿宋" w:cs="仿宋"/>
          <w:sz w:val="32"/>
          <w:szCs w:val="32"/>
        </w:rPr>
        <w:t>万元，占</w:t>
      </w:r>
      <w:r>
        <w:rPr>
          <w:rFonts w:ascii="仿宋" w:hAnsi="仿宋" w:eastAsia="仿宋" w:cs="仿宋"/>
          <w:sz w:val="32"/>
          <w:szCs w:val="32"/>
        </w:rPr>
        <w:t>2.18%</w:t>
      </w:r>
      <w:r>
        <w:rPr>
          <w:rFonts w:hint="eastAsia" w:ascii="仿宋" w:hAnsi="仿宋" w:eastAsia="仿宋" w:cs="仿宋"/>
          <w:sz w:val="32"/>
          <w:szCs w:val="32"/>
        </w:rPr>
        <w:t>。</w:t>
      </w:r>
    </w:p>
    <w:p>
      <w:pPr>
        <w:pStyle w:val="2"/>
        <w:spacing w:before="93"/>
        <w:rPr>
          <w:rFonts w:cs="Times New Roman"/>
        </w:rPr>
      </w:pPr>
      <w:r>
        <w:rPr>
          <w:rFonts w:cs="Times New Roman"/>
        </w:rPr>
        <w:object>
          <v:shape id="_x0000_i1030" o:spt="75" type="#_x0000_t75" style="height:243pt;width:417pt;" o:ole="t" filled="f" o:preferrelative="t" stroked="f" coordsize="21600,21600">
            <v:path/>
            <v:fill on="f" focussize="0,0"/>
            <v:stroke on="f" joinstyle="miter"/>
            <v:imagedata r:id="rId17" o:title=""/>
            <o:lock v:ext="edit" aspectratio="f"/>
            <w10:wrap type="none"/>
            <w10:anchorlock/>
          </v:shape>
          <o:OLEObject Type="Embed" ProgID="Excel.Chart.8" ShapeID="_x0000_i1030" DrawAspect="Content" ObjectID="_1468075730" r:id="rId16">
            <o:LockedField>false</o:LockedField>
          </o:OLEObject>
        </w:object>
      </w:r>
    </w:p>
    <w:p>
      <w:pPr>
        <w:spacing w:line="600" w:lineRule="exact"/>
        <w:ind w:firstLine="643" w:firstLineChars="200"/>
        <w:outlineLvl w:val="2"/>
        <w:rPr>
          <w:rFonts w:ascii="仿宋" w:hAnsi="仿宋" w:eastAsia="仿宋"/>
          <w:b/>
          <w:bCs/>
          <w:sz w:val="32"/>
          <w:szCs w:val="32"/>
        </w:rPr>
      </w:pPr>
      <w:bookmarkStart w:id="30" w:name="_Toc15377212"/>
      <w:r>
        <w:rPr>
          <w:rFonts w:hint="eastAsia" w:ascii="仿宋" w:hAnsi="仿宋" w:eastAsia="仿宋" w:cs="仿宋"/>
          <w:b/>
          <w:bCs/>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ascii="仿宋" w:hAnsi="仿宋" w:eastAsia="仿宋" w:cs="仿宋"/>
          <w:b/>
          <w:bCs/>
          <w:sz w:val="32"/>
          <w:szCs w:val="32"/>
        </w:rPr>
        <w:t>2021</w:t>
      </w:r>
      <w:r>
        <w:rPr>
          <w:rFonts w:hint="eastAsia" w:ascii="仿宋" w:hAnsi="仿宋" w:eastAsia="仿宋" w:cs="仿宋"/>
          <w:b/>
          <w:bCs/>
          <w:sz w:val="32"/>
          <w:szCs w:val="32"/>
        </w:rPr>
        <w:t>年一般公共预算支出决算数为</w:t>
      </w:r>
      <w:r>
        <w:rPr>
          <w:rFonts w:ascii="仿宋" w:hAnsi="仿宋" w:eastAsia="仿宋" w:cs="仿宋"/>
          <w:b/>
          <w:bCs/>
          <w:sz w:val="32"/>
          <w:szCs w:val="32"/>
        </w:rPr>
        <w:t>875.49</w:t>
      </w:r>
      <w:r>
        <w:rPr>
          <w:rFonts w:hint="eastAsia" w:ascii="仿宋" w:hAnsi="仿宋" w:eastAsia="仿宋" w:cs="仿宋"/>
          <w:b/>
          <w:bCs/>
          <w:sz w:val="32"/>
          <w:szCs w:val="32"/>
        </w:rPr>
        <w:t>万元</w:t>
      </w:r>
      <w:r>
        <w:rPr>
          <w:rFonts w:hint="eastAsia" w:ascii="仿宋" w:hAnsi="仿宋" w:eastAsia="仿宋" w:cs="仿宋"/>
          <w:sz w:val="32"/>
          <w:szCs w:val="32"/>
        </w:rPr>
        <w:t>，</w:t>
      </w:r>
      <w:r>
        <w:rPr>
          <w:rStyle w:val="15"/>
          <w:rFonts w:hint="eastAsia" w:ascii="仿宋" w:hAnsi="仿宋" w:eastAsia="仿宋" w:cs="仿宋"/>
          <w:sz w:val="32"/>
          <w:szCs w:val="32"/>
        </w:rPr>
        <w:t>完成预算</w:t>
      </w:r>
      <w:r>
        <w:rPr>
          <w:rStyle w:val="15"/>
          <w:rFonts w:ascii="仿宋" w:hAnsi="仿宋" w:eastAsia="仿宋" w:cs="仿宋"/>
          <w:sz w:val="32"/>
          <w:szCs w:val="32"/>
        </w:rPr>
        <w:t>94.60%</w:t>
      </w:r>
      <w:r>
        <w:rPr>
          <w:rStyle w:val="15"/>
          <w:rFonts w:hint="eastAsia" w:ascii="仿宋" w:hAnsi="仿宋" w:eastAsia="仿宋" w:cs="仿宋"/>
          <w:sz w:val="32"/>
          <w:szCs w:val="32"/>
        </w:rPr>
        <w:t>。其中：</w:t>
      </w:r>
      <w:bookmarkEnd w:id="31"/>
      <w:bookmarkEnd w:id="32"/>
      <w:bookmarkEnd w:id="33"/>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1.</w:t>
      </w:r>
      <w:r>
        <w:rPr>
          <w:rStyle w:val="15"/>
          <w:rFonts w:hint="eastAsia" w:ascii="仿宋" w:hAnsi="仿宋" w:eastAsia="仿宋" w:cs="仿宋"/>
          <w:color w:val="000000"/>
          <w:sz w:val="32"/>
          <w:szCs w:val="32"/>
        </w:rPr>
        <w:t>公共安全支出（类）监狱（款）行政运行（项）</w:t>
      </w:r>
      <w:r>
        <w:rPr>
          <w:rStyle w:val="15"/>
          <w:rFonts w:ascii="仿宋" w:hAnsi="仿宋" w:eastAsia="仿宋" w:cs="仿宋"/>
          <w:sz w:val="32"/>
          <w:szCs w:val="32"/>
        </w:rPr>
        <w:t>:</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279.90</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89.33%</w:t>
      </w:r>
      <w:r>
        <w:rPr>
          <w:rStyle w:val="15"/>
          <w:rFonts w:hint="eastAsia" w:ascii="仿宋" w:hAnsi="仿宋" w:eastAsia="仿宋" w:cs="仿宋"/>
          <w:b w:val="0"/>
          <w:bCs w:val="0"/>
          <w:sz w:val="32"/>
          <w:szCs w:val="32"/>
        </w:rPr>
        <w:t>，决算数小于预算数的主要原因是人员减少。</w:t>
      </w:r>
    </w:p>
    <w:p>
      <w:pPr>
        <w:spacing w:line="600" w:lineRule="exact"/>
        <w:ind w:firstLine="643" w:firstLineChars="200"/>
        <w:rPr>
          <w:rStyle w:val="15"/>
          <w:rFonts w:ascii="仿宋" w:hAnsi="仿宋" w:eastAsia="仿宋"/>
          <w:sz w:val="32"/>
          <w:szCs w:val="32"/>
        </w:rPr>
      </w:pPr>
      <w:r>
        <w:rPr>
          <w:rStyle w:val="15"/>
          <w:rFonts w:ascii="仿宋" w:hAnsi="仿宋" w:eastAsia="仿宋" w:cs="仿宋"/>
          <w:sz w:val="32"/>
          <w:szCs w:val="32"/>
        </w:rPr>
        <w:t>2.</w:t>
      </w:r>
      <w:r>
        <w:rPr>
          <w:rFonts w:hint="eastAsia" w:ascii="仿宋" w:hAnsi="仿宋" w:eastAsia="仿宋" w:cs="仿宋"/>
          <w:b/>
          <w:bCs/>
          <w:color w:val="000000"/>
          <w:sz w:val="32"/>
          <w:szCs w:val="32"/>
        </w:rPr>
        <w:t>公</w:t>
      </w:r>
      <w:r>
        <w:rPr>
          <w:rStyle w:val="15"/>
          <w:rFonts w:hint="eastAsia" w:ascii="仿宋" w:hAnsi="仿宋" w:eastAsia="仿宋" w:cs="仿宋"/>
          <w:color w:val="000000"/>
          <w:sz w:val="32"/>
          <w:szCs w:val="32"/>
        </w:rPr>
        <w:t>共安全支出（类）监狱（款）一般行政管理事务（项）</w:t>
      </w:r>
      <w:r>
        <w:rPr>
          <w:rStyle w:val="15"/>
          <w:rFonts w:ascii="仿宋" w:hAnsi="仿宋" w:eastAsia="仿宋" w:cs="仿宋"/>
          <w:sz w:val="32"/>
          <w:szCs w:val="32"/>
        </w:rPr>
        <w:t>:</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0.60</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60.00%</w:t>
      </w:r>
      <w:r>
        <w:rPr>
          <w:rStyle w:val="15"/>
          <w:rFonts w:hint="eastAsia" w:ascii="仿宋" w:hAnsi="仿宋" w:eastAsia="仿宋" w:cs="仿宋"/>
          <w:b w:val="0"/>
          <w:bCs w:val="0"/>
          <w:sz w:val="32"/>
          <w:szCs w:val="32"/>
        </w:rPr>
        <w:t>，决算数小于预算数的主要原因是实际招标及支付数减少。</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sz w:val="32"/>
          <w:szCs w:val="32"/>
        </w:rPr>
        <w:t>3.</w:t>
      </w:r>
      <w:r>
        <w:rPr>
          <w:rStyle w:val="15"/>
          <w:rFonts w:hint="eastAsia" w:ascii="仿宋" w:hAnsi="仿宋" w:eastAsia="仿宋" w:cs="仿宋"/>
          <w:sz w:val="32"/>
          <w:szCs w:val="32"/>
        </w:rPr>
        <w:t>教育支出（类）进修及培训（款）</w:t>
      </w:r>
      <w:r>
        <w:rPr>
          <w:rStyle w:val="15"/>
          <w:rFonts w:hint="eastAsia" w:ascii="仿宋" w:hAnsi="仿宋" w:eastAsia="仿宋" w:cs="仿宋"/>
          <w:color w:val="000000"/>
          <w:sz w:val="32"/>
          <w:szCs w:val="32"/>
        </w:rPr>
        <w:t>培训支出（项）</w:t>
      </w:r>
      <w:r>
        <w:rPr>
          <w:rStyle w:val="15"/>
          <w:rFonts w:ascii="仿宋" w:hAnsi="仿宋" w:eastAsia="仿宋" w:cs="仿宋"/>
          <w:sz w:val="32"/>
          <w:szCs w:val="32"/>
        </w:rPr>
        <w:t>:</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0.34</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17.00%</w:t>
      </w:r>
      <w:r>
        <w:rPr>
          <w:rStyle w:val="15"/>
          <w:rFonts w:hint="eastAsia" w:ascii="仿宋" w:hAnsi="仿宋" w:eastAsia="仿宋" w:cs="仿宋"/>
          <w:b w:val="0"/>
          <w:bCs w:val="0"/>
          <w:sz w:val="32"/>
          <w:szCs w:val="32"/>
        </w:rPr>
        <w:t>，决算数小于预算数的主要原因是本年培训减少。</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4.</w:t>
      </w:r>
      <w:r>
        <w:rPr>
          <w:rStyle w:val="15"/>
          <w:rFonts w:hint="eastAsia" w:ascii="仿宋" w:hAnsi="仿宋" w:eastAsia="仿宋" w:cs="仿宋"/>
          <w:color w:val="000000"/>
          <w:sz w:val="32"/>
          <w:szCs w:val="32"/>
        </w:rPr>
        <w:t>社会保障和就业支出（类）行政事业单位养老支出（款）行政单位离退休（项）：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355.24</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100%</w:t>
      </w:r>
      <w:r>
        <w:rPr>
          <w:rStyle w:val="15"/>
          <w:rFonts w:hint="eastAsia" w:ascii="仿宋" w:hAnsi="仿宋" w:eastAsia="仿宋" w:cs="仿宋"/>
          <w:b w:val="0"/>
          <w:bCs w:val="0"/>
          <w:sz w:val="32"/>
          <w:szCs w:val="32"/>
        </w:rPr>
        <w:t>。</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5.</w:t>
      </w:r>
      <w:r>
        <w:rPr>
          <w:rStyle w:val="15"/>
          <w:rFonts w:hint="eastAsia" w:ascii="仿宋" w:hAnsi="仿宋" w:eastAsia="仿宋" w:cs="仿宋"/>
          <w:color w:val="000000"/>
          <w:sz w:val="32"/>
          <w:szCs w:val="32"/>
        </w:rPr>
        <w:t>社会保障和就业支出（类）行政事业单位养老支出（款）机关事业单位基本养老保险缴费支出（项）：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19.78</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81.37%</w:t>
      </w:r>
      <w:r>
        <w:rPr>
          <w:rStyle w:val="15"/>
          <w:rFonts w:hint="eastAsia" w:ascii="仿宋" w:hAnsi="仿宋" w:eastAsia="仿宋" w:cs="仿宋"/>
          <w:b w:val="0"/>
          <w:bCs w:val="0"/>
          <w:sz w:val="32"/>
          <w:szCs w:val="32"/>
        </w:rPr>
        <w:t>，决算数小于预算数的主要原因是人员减少。</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6.</w:t>
      </w:r>
      <w:r>
        <w:rPr>
          <w:rStyle w:val="15"/>
          <w:rFonts w:hint="eastAsia" w:ascii="仿宋" w:hAnsi="仿宋" w:eastAsia="仿宋" w:cs="仿宋"/>
          <w:color w:val="000000"/>
          <w:sz w:val="32"/>
          <w:szCs w:val="32"/>
        </w:rPr>
        <w:t>社会保障和就业支出（类）行政事业单位养老支出（款）机关事业单位职业年金缴费支出（项）：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10.34</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99.91%</w:t>
      </w:r>
      <w:r>
        <w:rPr>
          <w:rStyle w:val="15"/>
          <w:rFonts w:hint="eastAsia" w:ascii="仿宋" w:hAnsi="仿宋" w:eastAsia="仿宋" w:cs="仿宋"/>
          <w:b w:val="0"/>
          <w:bCs w:val="0"/>
          <w:sz w:val="32"/>
          <w:szCs w:val="32"/>
        </w:rPr>
        <w:t>，决算数小于预算数的主要原因是拨款尾数差异。</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7.</w:t>
      </w:r>
      <w:r>
        <w:rPr>
          <w:rStyle w:val="15"/>
          <w:rFonts w:hint="eastAsia" w:ascii="仿宋" w:hAnsi="仿宋" w:eastAsia="仿宋" w:cs="仿宋"/>
          <w:color w:val="000000"/>
          <w:sz w:val="32"/>
          <w:szCs w:val="32"/>
        </w:rPr>
        <w:t>社会保障和就业支出（类）抚恤（款）死亡抚恤（项）：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121.10</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100%</w:t>
      </w:r>
      <w:r>
        <w:rPr>
          <w:rStyle w:val="15"/>
          <w:rFonts w:hint="eastAsia" w:ascii="仿宋" w:hAnsi="仿宋" w:eastAsia="仿宋" w:cs="仿宋"/>
          <w:b w:val="0"/>
          <w:bCs w:val="0"/>
          <w:sz w:val="32"/>
          <w:szCs w:val="32"/>
        </w:rPr>
        <w:t>。</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8.</w:t>
      </w:r>
      <w:r>
        <w:rPr>
          <w:rStyle w:val="15"/>
          <w:rFonts w:hint="eastAsia" w:ascii="仿宋" w:hAnsi="仿宋" w:eastAsia="仿宋" w:cs="仿宋"/>
          <w:color w:val="000000"/>
          <w:sz w:val="32"/>
          <w:szCs w:val="32"/>
        </w:rPr>
        <w:t>社会保障和就业支出（类）其他社会保障和就业支出（款）其他社会保障和就业支出（项）：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8.05</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100%</w:t>
      </w:r>
      <w:r>
        <w:rPr>
          <w:rStyle w:val="15"/>
          <w:rFonts w:hint="eastAsia" w:ascii="仿宋" w:hAnsi="仿宋" w:eastAsia="仿宋" w:cs="仿宋"/>
          <w:b w:val="0"/>
          <w:bCs w:val="0"/>
          <w:sz w:val="32"/>
          <w:szCs w:val="32"/>
        </w:rPr>
        <w:t>。</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9.</w:t>
      </w:r>
      <w:r>
        <w:rPr>
          <w:rStyle w:val="15"/>
          <w:rFonts w:hint="eastAsia" w:ascii="仿宋" w:hAnsi="仿宋" w:eastAsia="仿宋" w:cs="仿宋"/>
          <w:color w:val="000000"/>
          <w:sz w:val="32"/>
          <w:szCs w:val="32"/>
        </w:rPr>
        <w:t>卫生健康支出（类）行政事业单位医疗（款）行政单位医疗（项）：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27.35</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86.15%</w:t>
      </w:r>
      <w:r>
        <w:rPr>
          <w:rStyle w:val="15"/>
          <w:rFonts w:hint="eastAsia" w:ascii="仿宋" w:hAnsi="仿宋" w:eastAsia="仿宋" w:cs="仿宋"/>
          <w:b w:val="0"/>
          <w:bCs w:val="0"/>
          <w:sz w:val="32"/>
          <w:szCs w:val="32"/>
        </w:rPr>
        <w:t>，决算数小于预算数的主要原因是人员减少</w:t>
      </w:r>
      <w:r>
        <w:rPr>
          <w:rStyle w:val="15"/>
          <w:rFonts w:hint="eastAsia" w:ascii="仿宋" w:hAnsi="仿宋" w:eastAsia="仿宋" w:cs="仿宋"/>
          <w:sz w:val="32"/>
          <w:szCs w:val="32"/>
        </w:rPr>
        <w:t>。</w:t>
      </w:r>
    </w:p>
    <w:p>
      <w:pPr>
        <w:spacing w:line="600" w:lineRule="exact"/>
        <w:ind w:firstLine="643" w:firstLineChars="200"/>
        <w:rPr>
          <w:rStyle w:val="15"/>
          <w:rFonts w:ascii="仿宋" w:hAnsi="仿宋" w:eastAsia="仿宋"/>
          <w:b w:val="0"/>
          <w:bCs w:val="0"/>
          <w:sz w:val="32"/>
          <w:szCs w:val="32"/>
        </w:rPr>
      </w:pPr>
      <w:r>
        <w:rPr>
          <w:rStyle w:val="15"/>
          <w:rFonts w:ascii="仿宋" w:hAnsi="仿宋" w:eastAsia="仿宋" w:cs="仿宋"/>
          <w:color w:val="000000"/>
          <w:sz w:val="32"/>
          <w:szCs w:val="32"/>
        </w:rPr>
        <w:t>10.</w:t>
      </w:r>
      <w:r>
        <w:rPr>
          <w:rStyle w:val="15"/>
          <w:rFonts w:hint="eastAsia" w:ascii="仿宋" w:hAnsi="仿宋" w:eastAsia="仿宋" w:cs="仿宋"/>
          <w:color w:val="000000"/>
          <w:sz w:val="32"/>
          <w:szCs w:val="32"/>
        </w:rPr>
        <w:t>卫生健康支出（类）行政事业单位医疗（款）公务员医疗补助（项）：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16.16</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100%</w:t>
      </w:r>
      <w:r>
        <w:rPr>
          <w:rStyle w:val="15"/>
          <w:rFonts w:hint="eastAsia" w:ascii="仿宋" w:hAnsi="仿宋" w:eastAsia="仿宋" w:cs="仿宋"/>
          <w:b w:val="0"/>
          <w:bCs w:val="0"/>
          <w:sz w:val="32"/>
          <w:szCs w:val="32"/>
        </w:rPr>
        <w:t>。</w:t>
      </w:r>
    </w:p>
    <w:p>
      <w:pPr>
        <w:spacing w:line="600" w:lineRule="exact"/>
        <w:ind w:firstLine="643" w:firstLineChars="200"/>
        <w:rPr>
          <w:rFonts w:eastAsia="仿宋"/>
        </w:rPr>
      </w:pPr>
      <w:r>
        <w:rPr>
          <w:rStyle w:val="15"/>
          <w:rFonts w:ascii="仿宋" w:hAnsi="仿宋" w:eastAsia="仿宋" w:cs="仿宋"/>
          <w:color w:val="000000"/>
          <w:sz w:val="32"/>
          <w:szCs w:val="32"/>
        </w:rPr>
        <w:t>11.</w:t>
      </w:r>
      <w:r>
        <w:rPr>
          <w:rStyle w:val="15"/>
          <w:rFonts w:hint="eastAsia" w:ascii="仿宋" w:hAnsi="仿宋" w:eastAsia="仿宋" w:cs="仿宋"/>
          <w:color w:val="000000"/>
          <w:sz w:val="32"/>
          <w:szCs w:val="32"/>
        </w:rPr>
        <w:t>住房保障支出（类）住房改革支出（款）住房公积金（项）：</w:t>
      </w:r>
      <w:r>
        <w:rPr>
          <w:rStyle w:val="15"/>
          <w:rFonts w:hint="eastAsia" w:ascii="仿宋" w:hAnsi="仿宋" w:eastAsia="仿宋" w:cs="仿宋"/>
          <w:b w:val="0"/>
          <w:bCs w:val="0"/>
          <w:sz w:val="32"/>
          <w:szCs w:val="32"/>
        </w:rPr>
        <w:t>支出决算为</w:t>
      </w:r>
      <w:r>
        <w:rPr>
          <w:rStyle w:val="15"/>
          <w:rFonts w:ascii="仿宋" w:hAnsi="仿宋" w:eastAsia="仿宋" w:cs="仿宋"/>
          <w:b w:val="0"/>
          <w:bCs w:val="0"/>
          <w:sz w:val="32"/>
          <w:szCs w:val="32"/>
        </w:rPr>
        <w:t>19.13</w:t>
      </w:r>
      <w:r>
        <w:rPr>
          <w:rStyle w:val="15"/>
          <w:rFonts w:hint="eastAsia" w:ascii="仿宋" w:hAnsi="仿宋" w:eastAsia="仿宋" w:cs="仿宋"/>
          <w:b w:val="0"/>
          <w:bCs w:val="0"/>
          <w:sz w:val="32"/>
          <w:szCs w:val="32"/>
        </w:rPr>
        <w:t>万元，完成预算</w:t>
      </w:r>
      <w:r>
        <w:rPr>
          <w:rStyle w:val="15"/>
          <w:rFonts w:ascii="仿宋" w:hAnsi="仿宋" w:eastAsia="仿宋" w:cs="仿宋"/>
          <w:b w:val="0"/>
          <w:bCs w:val="0"/>
          <w:sz w:val="32"/>
          <w:szCs w:val="32"/>
        </w:rPr>
        <w:t>77.33%</w:t>
      </w:r>
      <w:r>
        <w:rPr>
          <w:rStyle w:val="15"/>
          <w:rFonts w:hint="eastAsia" w:ascii="仿宋" w:hAnsi="仿宋" w:eastAsia="仿宋" w:cs="仿宋"/>
          <w:b w:val="0"/>
          <w:bCs w:val="0"/>
          <w:sz w:val="32"/>
          <w:szCs w:val="32"/>
        </w:rPr>
        <w:t>，决算数小于预算数的主要原因是人员减少。</w:t>
      </w:r>
    </w:p>
    <w:p>
      <w:pPr>
        <w:pStyle w:val="2"/>
        <w:spacing w:before="93"/>
        <w:rPr>
          <w:rFonts w:ascii="仿宋" w:hAnsi="仿宋" w:eastAsia="仿宋" w:cs="Times New Roman"/>
          <w:sz w:val="32"/>
          <w:szCs w:val="32"/>
        </w:rPr>
      </w:pPr>
    </w:p>
    <w:p>
      <w:pPr>
        <w:tabs>
          <w:tab w:val="right" w:pos="8306"/>
        </w:tabs>
        <w:spacing w:line="600" w:lineRule="exact"/>
        <w:ind w:firstLine="640"/>
        <w:outlineLvl w:val="1"/>
        <w:rPr>
          <w:rStyle w:val="18"/>
        </w:rPr>
      </w:pPr>
      <w:bookmarkStart w:id="34" w:name="_Toc15396608"/>
      <w:bookmarkStart w:id="35" w:name="_Toc15377214"/>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般公共预算财政拨款基本支出决算情况说明</w:t>
      </w:r>
      <w:bookmarkEnd w:id="34"/>
      <w:bookmarkEnd w:id="35"/>
      <w:r>
        <w:rPr>
          <w:rStyle w:val="18"/>
          <w:rFonts w:ascii="黑体" w:hAnsi="黑体" w:eastAsia="黑体" w:cs="Times New Roman"/>
          <w:b w:val="0"/>
          <w:bCs w:val="0"/>
        </w:rPr>
        <w:tab/>
      </w:r>
    </w:p>
    <w:p>
      <w:pPr>
        <w:spacing w:line="600" w:lineRule="exact"/>
        <w:ind w:firstLine="645"/>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年一般公共预算财政拨款基本支出</w:t>
      </w:r>
      <w:r>
        <w:rPr>
          <w:rFonts w:ascii="仿宋" w:hAnsi="仿宋" w:eastAsia="仿宋" w:cs="仿宋"/>
          <w:sz w:val="32"/>
          <w:szCs w:val="32"/>
        </w:rPr>
        <w:t>841.02</w:t>
      </w:r>
      <w:r>
        <w:rPr>
          <w:rFonts w:hint="eastAsia" w:ascii="仿宋" w:hAnsi="仿宋" w:eastAsia="仿宋" w:cs="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cs="仿宋"/>
          <w:sz w:val="32"/>
          <w:szCs w:val="32"/>
        </w:rPr>
        <w:t>人员经费</w:t>
      </w:r>
      <w:r>
        <w:rPr>
          <w:rFonts w:ascii="仿宋" w:hAnsi="仿宋" w:eastAsia="仿宋" w:cs="仿宋"/>
          <w:sz w:val="32"/>
          <w:szCs w:val="32"/>
        </w:rPr>
        <w:t>806.13</w:t>
      </w:r>
      <w:r>
        <w:rPr>
          <w:rFonts w:hint="eastAsia" w:ascii="仿宋" w:hAnsi="仿宋" w:eastAsia="仿宋" w:cs="仿宋"/>
          <w:sz w:val="32"/>
          <w:szCs w:val="32"/>
        </w:rPr>
        <w:t>万元，主要包括：基本工资、津贴补贴、奖金、绩效工资、机关事业单位基本养老保险缴费、职业年金缴费、</w:t>
      </w:r>
      <w:r>
        <w:rPr>
          <w:rFonts w:hint="eastAsia" w:ascii="仿宋" w:hAnsi="仿宋" w:eastAsia="仿宋" w:cs="仿宋"/>
          <w:color w:val="000000"/>
          <w:sz w:val="32"/>
          <w:szCs w:val="32"/>
        </w:rPr>
        <w:t>职工基本医疗保险缴费、公务员医疗补助缴费、</w:t>
      </w:r>
      <w:r>
        <w:rPr>
          <w:rFonts w:hint="eastAsia" w:ascii="仿宋" w:hAnsi="仿宋" w:eastAsia="仿宋" w:cs="仿宋"/>
          <w:sz w:val="32"/>
          <w:szCs w:val="32"/>
        </w:rPr>
        <w:t>其他工资福利支出、抚恤金、生活补助、奖励金、住房公积金、其他对个人和家庭的补助支出等。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cs="仿宋"/>
          <w:sz w:val="32"/>
          <w:szCs w:val="32"/>
        </w:rPr>
        <w:t>公用经费</w:t>
      </w:r>
      <w:r>
        <w:rPr>
          <w:rFonts w:ascii="仿宋" w:hAnsi="仿宋" w:eastAsia="仿宋" w:cs="仿宋"/>
          <w:sz w:val="32"/>
          <w:szCs w:val="32"/>
        </w:rPr>
        <w:t>34.89</w:t>
      </w:r>
      <w:r>
        <w:rPr>
          <w:rFonts w:hint="eastAsia" w:ascii="仿宋" w:hAnsi="仿宋" w:eastAsia="仿宋" w:cs="仿宋"/>
          <w:sz w:val="32"/>
          <w:szCs w:val="32"/>
        </w:rPr>
        <w:t>万元，主要包括：办公费、电费、邮电费、差旅费、维修（护）费、培训费、公务接待费、工会经费、福利费、公务用车运行维护费、其他交通费、其他商品和服务支出、办公设备购置等。</w:t>
      </w:r>
    </w:p>
    <w:p>
      <w:pPr>
        <w:spacing w:line="600" w:lineRule="exact"/>
        <w:ind w:firstLine="640"/>
        <w:outlineLvl w:val="1"/>
        <w:rPr>
          <w:rStyle w:val="18"/>
          <w:rFonts w:ascii="黑体" w:hAnsi="黑体" w:eastAsia="黑体" w:cs="Times New Roman"/>
          <w:b w:val="0"/>
          <w:bCs w:val="0"/>
        </w:rPr>
      </w:pPr>
      <w:bookmarkStart w:id="36" w:name="_Toc15396609"/>
      <w:bookmarkStart w:id="37" w:name="_Toc15377215"/>
      <w:r>
        <w:rPr>
          <w:rFonts w:hint="eastAsia" w:ascii="黑体" w:eastAsia="黑体" w:cs="黑体"/>
          <w:sz w:val="32"/>
          <w:szCs w:val="32"/>
        </w:rPr>
        <w:t>七、</w:t>
      </w:r>
      <w:r>
        <w:rPr>
          <w:rStyle w:val="18"/>
          <w:rFonts w:hint="eastAsia" w:ascii="黑体" w:hAnsi="黑体" w:eastAsia="黑体" w:cs="黑体"/>
        </w:rPr>
        <w:t>“</w:t>
      </w:r>
      <w:r>
        <w:rPr>
          <w:rStyle w:val="18"/>
          <w:rFonts w:hint="eastAsia" w:ascii="黑体" w:hAnsi="黑体" w:eastAsia="黑体" w:cs="黑体"/>
          <w:b w:val="0"/>
          <w:bCs w:val="0"/>
        </w:rPr>
        <w:t>三公”经费财政拨款支出决算情况说明</w:t>
      </w:r>
      <w:bookmarkEnd w:id="36"/>
      <w:bookmarkEnd w:id="37"/>
    </w:p>
    <w:p>
      <w:pPr>
        <w:spacing w:line="600" w:lineRule="exact"/>
        <w:ind w:firstLine="640"/>
        <w:outlineLvl w:val="2"/>
        <w:rPr>
          <w:rFonts w:ascii="仿宋" w:hAnsi="仿宋" w:eastAsia="仿宋"/>
          <w:b/>
          <w:bCs/>
          <w:sz w:val="32"/>
          <w:szCs w:val="32"/>
        </w:rPr>
      </w:pPr>
      <w:bookmarkStart w:id="38" w:name="_Toc15377216"/>
      <w:r>
        <w:rPr>
          <w:rFonts w:hint="eastAsia" w:ascii="仿宋" w:hAnsi="仿宋" w:eastAsia="仿宋" w:cs="仿宋"/>
          <w:b/>
          <w:bCs/>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年“三公”经费财政拨款支出决算为</w:t>
      </w:r>
      <w:r>
        <w:rPr>
          <w:rFonts w:ascii="仿宋" w:hAnsi="仿宋" w:eastAsia="仿宋" w:cs="仿宋"/>
          <w:sz w:val="32"/>
          <w:szCs w:val="32"/>
        </w:rPr>
        <w:t>15.17</w:t>
      </w:r>
      <w:r>
        <w:rPr>
          <w:rFonts w:hint="eastAsia" w:ascii="仿宋" w:hAnsi="仿宋" w:eastAsia="仿宋" w:cs="仿宋"/>
          <w:sz w:val="32"/>
          <w:szCs w:val="32"/>
        </w:rPr>
        <w:t>万元，完成预算</w:t>
      </w:r>
      <w:r>
        <w:rPr>
          <w:rFonts w:ascii="仿宋" w:hAnsi="仿宋" w:eastAsia="仿宋" w:cs="仿宋"/>
          <w:sz w:val="32"/>
          <w:szCs w:val="32"/>
        </w:rPr>
        <w:t>94.81%</w:t>
      </w:r>
      <w:r>
        <w:rPr>
          <w:rFonts w:hint="eastAsia" w:ascii="仿宋" w:hAnsi="仿宋" w:eastAsia="仿宋" w:cs="仿宋"/>
          <w:sz w:val="32"/>
          <w:szCs w:val="32"/>
        </w:rPr>
        <w:t>，决算数小于预算数的主要原因是本年厉行节约，严格控制接待费支出。</w:t>
      </w:r>
    </w:p>
    <w:p>
      <w:pPr>
        <w:spacing w:line="600" w:lineRule="exact"/>
        <w:ind w:firstLine="640"/>
        <w:outlineLvl w:val="2"/>
        <w:rPr>
          <w:rFonts w:ascii="仿宋" w:hAnsi="仿宋" w:eastAsia="仿宋"/>
          <w:b/>
          <w:bCs/>
          <w:sz w:val="32"/>
          <w:szCs w:val="32"/>
        </w:rPr>
      </w:pPr>
      <w:bookmarkStart w:id="39" w:name="_Toc15377217"/>
      <w:r>
        <w:rPr>
          <w:rFonts w:hint="eastAsia" w:ascii="仿宋" w:hAnsi="仿宋" w:eastAsia="仿宋" w:cs="仿宋"/>
          <w:b/>
          <w:bCs/>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年“三公”经费财政拨款支出决算中，因公出国（境）费支出无；公务用车购置及运行维护费支出决算</w:t>
      </w:r>
      <w:r>
        <w:rPr>
          <w:rFonts w:ascii="仿宋" w:hAnsi="仿宋" w:eastAsia="仿宋" w:cs="仿宋"/>
          <w:sz w:val="32"/>
          <w:szCs w:val="32"/>
        </w:rPr>
        <w:t>15</w:t>
      </w:r>
      <w:r>
        <w:rPr>
          <w:rFonts w:hint="eastAsia" w:ascii="仿宋" w:hAnsi="仿宋" w:eastAsia="仿宋" w:cs="仿宋"/>
          <w:sz w:val="32"/>
          <w:szCs w:val="32"/>
        </w:rPr>
        <w:t>万元，占</w:t>
      </w:r>
      <w:r>
        <w:rPr>
          <w:rFonts w:ascii="仿宋" w:hAnsi="仿宋" w:eastAsia="仿宋" w:cs="仿宋"/>
          <w:sz w:val="32"/>
          <w:szCs w:val="32"/>
        </w:rPr>
        <w:t>98.88%</w:t>
      </w:r>
      <w:r>
        <w:rPr>
          <w:rFonts w:hint="eastAsia" w:ascii="仿宋" w:hAnsi="仿宋" w:eastAsia="仿宋" w:cs="仿宋"/>
          <w:sz w:val="32"/>
          <w:szCs w:val="32"/>
        </w:rPr>
        <w:t>；公务接待费支出决算</w:t>
      </w:r>
      <w:r>
        <w:rPr>
          <w:rFonts w:ascii="仿宋" w:hAnsi="仿宋" w:eastAsia="仿宋" w:cs="仿宋"/>
          <w:sz w:val="32"/>
          <w:szCs w:val="32"/>
        </w:rPr>
        <w:t>0.17</w:t>
      </w:r>
      <w:r>
        <w:rPr>
          <w:rFonts w:hint="eastAsia" w:ascii="仿宋" w:hAnsi="仿宋" w:eastAsia="仿宋" w:cs="仿宋"/>
          <w:sz w:val="32"/>
          <w:szCs w:val="32"/>
        </w:rPr>
        <w:t>万元，占</w:t>
      </w:r>
      <w:r>
        <w:rPr>
          <w:rFonts w:ascii="仿宋" w:hAnsi="仿宋" w:eastAsia="仿宋" w:cs="仿宋"/>
          <w:sz w:val="32"/>
          <w:szCs w:val="32"/>
        </w:rPr>
        <w:t>1.12%</w:t>
      </w:r>
      <w:r>
        <w:rPr>
          <w:rFonts w:hint="eastAsia" w:ascii="仿宋" w:hAnsi="仿宋" w:eastAsia="仿宋" w:cs="仿宋"/>
          <w:sz w:val="32"/>
          <w:szCs w:val="32"/>
        </w:rPr>
        <w:t>。具体情况如下：</w:t>
      </w:r>
    </w:p>
    <w:p>
      <w:pPr>
        <w:pStyle w:val="2"/>
        <w:spacing w:before="93"/>
        <w:rPr>
          <w:rFonts w:cs="Times New Roman"/>
        </w:rPr>
      </w:pPr>
      <w:r>
        <w:rPr>
          <w:rFonts w:cs="Times New Roman"/>
        </w:rPr>
        <w:object>
          <v:shape id="_x0000_i1031" o:spt="75" type="#_x0000_t75" style="height:243pt;width:417pt;" o:ole="t" filled="f" o:preferrelative="t" stroked="f" coordsize="21600,21600">
            <v:path/>
            <v:fill on="f" focussize="0,0"/>
            <v:stroke on="f" joinstyle="miter"/>
            <v:imagedata r:id="rId19" o:title=""/>
            <o:lock v:ext="edit" aspectratio="f"/>
            <w10:wrap type="none"/>
            <w10:anchorlock/>
          </v:shape>
          <o:OLEObject Type="Embed" ProgID="Excel.Chart.8" ShapeID="_x0000_i1031" DrawAspect="Content" ObjectID="_1468075731" r:id="rId18">
            <o:LockedField>false</o:LockedField>
          </o:OLEObject>
        </w:object>
      </w:r>
    </w:p>
    <w:p>
      <w:pPr>
        <w:spacing w:line="600" w:lineRule="exact"/>
        <w:ind w:firstLine="643" w:firstLineChars="200"/>
        <w:rPr>
          <w:rFonts w:ascii="仿宋_GB2312" w:eastAsia="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因公出国（境）经费支出</w:t>
      </w:r>
      <w:r>
        <w:rPr>
          <w:rFonts w:ascii="仿宋_GB2312" w:eastAsia="仿宋_GB2312" w:cs="仿宋_GB2312"/>
          <w:b/>
          <w:bCs/>
          <w:sz w:val="32"/>
          <w:szCs w:val="32"/>
        </w:rPr>
        <w:t>0</w:t>
      </w:r>
      <w:r>
        <w:rPr>
          <w:rFonts w:hint="eastAsia" w:ascii="仿宋_GB2312" w:eastAsia="仿宋_GB2312" w:cs="仿宋_GB2312"/>
          <w:b/>
          <w:bCs/>
          <w:sz w:val="32"/>
          <w:szCs w:val="32"/>
        </w:rPr>
        <w:t>万元，预算安排</w:t>
      </w:r>
      <w:r>
        <w:rPr>
          <w:rFonts w:ascii="仿宋_GB2312" w:eastAsia="仿宋_GB2312" w:cs="仿宋_GB2312"/>
          <w:b/>
          <w:bCs/>
          <w:sz w:val="32"/>
          <w:szCs w:val="32"/>
        </w:rPr>
        <w:t>0</w:t>
      </w:r>
      <w:r>
        <w:rPr>
          <w:rFonts w:hint="eastAsia" w:ascii="仿宋_GB2312" w:eastAsia="仿宋_GB2312" w:cs="仿宋_GB2312"/>
          <w:b/>
          <w:bCs/>
          <w:sz w:val="32"/>
          <w:szCs w:val="32"/>
        </w:rPr>
        <w:t>万元。</w:t>
      </w:r>
      <w:r>
        <w:rPr>
          <w:rFonts w:hint="eastAsia" w:ascii="仿宋_GB2312" w:eastAsia="仿宋_GB2312" w:cs="仿宋_GB2312"/>
          <w:sz w:val="32"/>
          <w:szCs w:val="32"/>
        </w:rPr>
        <w:t>全年因公出国（境）团组</w:t>
      </w:r>
      <w:r>
        <w:rPr>
          <w:rFonts w:ascii="仿宋_GB2312" w:eastAsia="仿宋_GB2312" w:cs="仿宋_GB2312"/>
          <w:sz w:val="32"/>
          <w:szCs w:val="32"/>
        </w:rPr>
        <w:t>0</w:t>
      </w:r>
      <w:r>
        <w:rPr>
          <w:rFonts w:hint="eastAsia" w:ascii="仿宋_GB2312" w:eastAsia="仿宋_GB2312" w:cs="仿宋_GB2312"/>
          <w:sz w:val="32"/>
          <w:szCs w:val="32"/>
        </w:rPr>
        <w:t>次，出国（境）</w:t>
      </w:r>
      <w:r>
        <w:rPr>
          <w:rFonts w:ascii="仿宋_GB2312" w:eastAsia="仿宋_GB2312" w:cs="仿宋_GB2312"/>
          <w:sz w:val="32"/>
          <w:szCs w:val="32"/>
        </w:rPr>
        <w:t>0</w:t>
      </w:r>
      <w:r>
        <w:rPr>
          <w:rFonts w:hint="eastAsia" w:ascii="仿宋_GB2312" w:eastAsia="仿宋_GB2312" w:cs="仿宋_GB2312"/>
          <w:sz w:val="32"/>
          <w:szCs w:val="32"/>
        </w:rPr>
        <w:t>人，因公出国（境）支出决算与</w:t>
      </w:r>
      <w:r>
        <w:rPr>
          <w:rFonts w:ascii="仿宋_GB2312" w:eastAsia="仿宋_GB2312" w:cs="仿宋_GB2312"/>
          <w:sz w:val="32"/>
          <w:szCs w:val="32"/>
        </w:rPr>
        <w:t>2020</w:t>
      </w:r>
      <w:r>
        <w:rPr>
          <w:rFonts w:hint="eastAsia" w:ascii="仿宋_GB2312" w:eastAsia="仿宋_GB2312" w:cs="仿宋_GB2312"/>
          <w:sz w:val="32"/>
          <w:szCs w:val="32"/>
        </w:rPr>
        <w:t>年持平。主要原因是厉行节约。</w:t>
      </w:r>
    </w:p>
    <w:p>
      <w:pPr>
        <w:pStyle w:val="2"/>
        <w:spacing w:before="93"/>
        <w:rPr>
          <w:rFonts w:cs="Times New Roman"/>
        </w:rPr>
      </w:pPr>
      <w:r>
        <w:t xml:space="preserve">     </w:t>
      </w:r>
      <w:r>
        <w:rPr>
          <w:rFonts w:hint="eastAsia"/>
        </w:rPr>
        <w:t>开支内容无。</w:t>
      </w:r>
    </w:p>
    <w:p>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公务用车购置及运行维护费支出</w:t>
      </w:r>
      <w:r>
        <w:rPr>
          <w:rFonts w:ascii="仿宋_GB2312" w:eastAsia="仿宋_GB2312" w:cs="仿宋_GB2312"/>
          <w:sz w:val="32"/>
          <w:szCs w:val="32"/>
        </w:rPr>
        <w:t>15</w:t>
      </w:r>
      <w:r>
        <w:rPr>
          <w:rFonts w:hint="eastAsia" w:ascii="仿宋_GB2312" w:eastAsia="仿宋_GB2312" w:cs="仿宋_GB2312"/>
          <w:sz w:val="32"/>
          <w:szCs w:val="32"/>
        </w:rPr>
        <w:t>万元</w:t>
      </w:r>
      <w:r>
        <w:rPr>
          <w:rFonts w:ascii="仿宋_GB2312" w:eastAsia="仿宋_GB2312" w:cs="仿宋_GB2312"/>
          <w:sz w:val="32"/>
          <w:szCs w:val="32"/>
        </w:rPr>
        <w:t>,</w:t>
      </w:r>
      <w:r>
        <w:rPr>
          <w:rStyle w:val="15"/>
          <w:rFonts w:hint="eastAsia" w:ascii="仿宋" w:hAnsi="仿宋" w:eastAsia="仿宋" w:cs="仿宋"/>
          <w:b w:val="0"/>
          <w:bCs w:val="0"/>
          <w:sz w:val="32"/>
          <w:szCs w:val="32"/>
        </w:rPr>
        <w:t>完成预算</w:t>
      </w:r>
      <w:r>
        <w:rPr>
          <w:rStyle w:val="15"/>
          <w:rFonts w:ascii="仿宋" w:hAnsi="仿宋" w:eastAsia="仿宋" w:cs="仿宋"/>
          <w:b w:val="0"/>
          <w:bCs w:val="0"/>
          <w:sz w:val="32"/>
          <w:szCs w:val="32"/>
        </w:rPr>
        <w:t>100%</w:t>
      </w:r>
      <w:r>
        <w:rPr>
          <w:rStyle w:val="15"/>
          <w:rFonts w:hint="eastAsia" w:ascii="仿宋" w:hAnsi="仿宋" w:eastAsia="仿宋" w:cs="仿宋"/>
          <w:b w:val="0"/>
          <w:bCs w:val="0"/>
          <w:sz w:val="32"/>
          <w:szCs w:val="32"/>
        </w:rPr>
        <w:t>。</w:t>
      </w:r>
      <w:r>
        <w:rPr>
          <w:rFonts w:hint="eastAsia" w:ascii="仿宋_GB2312" w:eastAsia="仿宋_GB2312" w:cs="仿宋_GB2312"/>
          <w:sz w:val="32"/>
          <w:szCs w:val="32"/>
        </w:rPr>
        <w:t>公务用车购置及运行维护费支出决算与</w:t>
      </w:r>
      <w:r>
        <w:rPr>
          <w:rFonts w:ascii="仿宋_GB2312" w:eastAsia="仿宋_GB2312" w:cs="仿宋_GB2312"/>
          <w:sz w:val="32"/>
          <w:szCs w:val="32"/>
        </w:rPr>
        <w:t>2020</w:t>
      </w:r>
      <w:r>
        <w:rPr>
          <w:rFonts w:hint="eastAsia" w:ascii="仿宋_GB2312" w:eastAsia="仿宋_GB2312" w:cs="仿宋_GB2312"/>
          <w:sz w:val="32"/>
          <w:szCs w:val="32"/>
        </w:rPr>
        <w:t>年持平。</w:t>
      </w:r>
    </w:p>
    <w:p>
      <w:pPr>
        <w:spacing w:line="600" w:lineRule="exact"/>
        <w:ind w:firstLine="640" w:firstLineChars="200"/>
        <w:rPr>
          <w:rFonts w:ascii="仿宋_GB2312" w:eastAsia="仿宋_GB2312"/>
          <w:b/>
          <w:bCs/>
          <w:sz w:val="32"/>
          <w:szCs w:val="32"/>
        </w:rPr>
      </w:pPr>
      <w:r>
        <w:rPr>
          <w:rFonts w:hint="eastAsia" w:ascii="仿宋_GB2312" w:eastAsia="仿宋_GB2312" w:cs="仿宋_GB2312"/>
          <w:sz w:val="32"/>
          <w:szCs w:val="32"/>
        </w:rPr>
        <w:t>其中：</w:t>
      </w:r>
      <w:r>
        <w:rPr>
          <w:rFonts w:hint="eastAsia" w:ascii="仿宋_GB2312" w:eastAsia="仿宋_GB2312" w:cs="仿宋_GB2312"/>
          <w:b/>
          <w:bCs/>
          <w:sz w:val="32"/>
          <w:szCs w:val="32"/>
        </w:rPr>
        <w:t>公务用车购置支出</w:t>
      </w:r>
      <w:r>
        <w:rPr>
          <w:rFonts w:ascii="仿宋_GB2312" w:eastAsia="仿宋_GB2312" w:cs="仿宋_GB2312"/>
          <w:sz w:val="32"/>
          <w:szCs w:val="32"/>
        </w:rPr>
        <w:t>0</w:t>
      </w:r>
      <w:r>
        <w:rPr>
          <w:rFonts w:hint="eastAsia" w:ascii="仿宋_GB2312" w:eastAsia="仿宋_GB2312" w:cs="仿宋_GB2312"/>
          <w:sz w:val="32"/>
          <w:szCs w:val="32"/>
        </w:rPr>
        <w:t>万元。全年按规定更新购置公务用车</w:t>
      </w:r>
      <w:r>
        <w:rPr>
          <w:rFonts w:ascii="仿宋_GB2312" w:eastAsia="仿宋_GB2312" w:cs="仿宋_GB2312"/>
          <w:sz w:val="32"/>
          <w:szCs w:val="32"/>
        </w:rPr>
        <w:t>0</w:t>
      </w:r>
      <w:r>
        <w:rPr>
          <w:rFonts w:hint="eastAsia" w:ascii="仿宋_GB2312" w:eastAsia="仿宋_GB2312" w:cs="仿宋_GB2312"/>
          <w:sz w:val="32"/>
          <w:szCs w:val="32"/>
        </w:rPr>
        <w:t>辆。截至</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月底，单位共有公务用车</w:t>
      </w:r>
      <w:r>
        <w:rPr>
          <w:rFonts w:ascii="仿宋_GB2312" w:eastAsia="仿宋_GB2312" w:cs="仿宋_GB2312"/>
          <w:sz w:val="32"/>
          <w:szCs w:val="32"/>
        </w:rPr>
        <w:t>6</w:t>
      </w:r>
      <w:r>
        <w:rPr>
          <w:rFonts w:hint="eastAsia" w:ascii="仿宋_GB2312" w:eastAsia="仿宋_GB2312" w:cs="仿宋_GB2312"/>
          <w:sz w:val="32"/>
          <w:szCs w:val="32"/>
        </w:rPr>
        <w:t>辆，其中：轿车</w:t>
      </w:r>
      <w:r>
        <w:rPr>
          <w:rFonts w:ascii="仿宋_GB2312" w:eastAsia="仿宋_GB2312" w:cs="仿宋_GB2312"/>
          <w:sz w:val="32"/>
          <w:szCs w:val="32"/>
        </w:rPr>
        <w:t>1</w:t>
      </w:r>
      <w:r>
        <w:rPr>
          <w:rFonts w:hint="eastAsia" w:ascii="仿宋_GB2312" w:eastAsia="仿宋_GB2312" w:cs="仿宋_GB2312"/>
          <w:sz w:val="32"/>
          <w:szCs w:val="32"/>
        </w:rPr>
        <w:t>辆、越野车</w:t>
      </w:r>
      <w:r>
        <w:rPr>
          <w:rFonts w:ascii="仿宋_GB2312" w:eastAsia="仿宋_GB2312" w:cs="仿宋_GB2312"/>
          <w:sz w:val="32"/>
          <w:szCs w:val="32"/>
        </w:rPr>
        <w:t>1</w:t>
      </w:r>
      <w:r>
        <w:rPr>
          <w:rFonts w:hint="eastAsia" w:ascii="仿宋_GB2312" w:eastAsia="仿宋_GB2312" w:cs="仿宋_GB2312"/>
          <w:sz w:val="32"/>
          <w:szCs w:val="32"/>
        </w:rPr>
        <w:t>辆、载客汽车</w:t>
      </w:r>
      <w:r>
        <w:rPr>
          <w:rFonts w:ascii="仿宋_GB2312" w:eastAsia="仿宋_GB2312" w:cs="仿宋_GB2312"/>
          <w:sz w:val="32"/>
          <w:szCs w:val="32"/>
        </w:rPr>
        <w:t>3</w:t>
      </w:r>
      <w:r>
        <w:rPr>
          <w:rFonts w:hint="eastAsia" w:ascii="仿宋_GB2312" w:eastAsia="仿宋_GB2312" w:cs="仿宋_GB2312"/>
          <w:sz w:val="32"/>
          <w:szCs w:val="32"/>
        </w:rPr>
        <w:t>辆，其他车型</w:t>
      </w:r>
      <w:r>
        <w:rPr>
          <w:rFonts w:ascii="仿宋_GB2312" w:eastAsia="仿宋_GB2312" w:cs="仿宋_GB2312"/>
          <w:sz w:val="32"/>
          <w:szCs w:val="32"/>
        </w:rPr>
        <w:t>1</w:t>
      </w:r>
      <w:r>
        <w:rPr>
          <w:rFonts w:hint="eastAsia" w:ascii="仿宋_GB2312" w:eastAsia="仿宋_GB2312" w:cs="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cs="仿宋_GB2312"/>
          <w:b/>
          <w:bCs/>
          <w:sz w:val="32"/>
          <w:szCs w:val="32"/>
        </w:rPr>
        <w:t>公务用车运行维护费支出</w:t>
      </w:r>
      <w:r>
        <w:rPr>
          <w:rFonts w:ascii="仿宋_GB2312" w:eastAsia="仿宋_GB2312" w:cs="仿宋_GB2312"/>
          <w:sz w:val="32"/>
          <w:szCs w:val="32"/>
        </w:rPr>
        <w:t>15</w:t>
      </w:r>
      <w:r>
        <w:rPr>
          <w:rFonts w:hint="eastAsia" w:ascii="仿宋_GB2312" w:eastAsia="仿宋_GB2312" w:cs="仿宋_GB2312"/>
          <w:sz w:val="32"/>
          <w:szCs w:val="32"/>
        </w:rPr>
        <w:t>万元。主要用于执行公务等所需的公务用车燃料费、维修费、过路过桥费、保险费等支出。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公务接待费支出</w:t>
      </w:r>
      <w:r>
        <w:rPr>
          <w:rFonts w:ascii="仿宋_GB2312" w:eastAsia="仿宋_GB2312" w:cs="仿宋_GB2312"/>
          <w:sz w:val="32"/>
          <w:szCs w:val="32"/>
        </w:rPr>
        <w:t>0.17</w:t>
      </w:r>
      <w:r>
        <w:rPr>
          <w:rFonts w:hint="eastAsia" w:ascii="仿宋_GB2312" w:eastAsia="仿宋_GB2312" w:cs="仿宋_GB2312"/>
          <w:sz w:val="32"/>
          <w:szCs w:val="32"/>
        </w:rPr>
        <w:t>万元，</w:t>
      </w:r>
      <w:r>
        <w:rPr>
          <w:rStyle w:val="15"/>
          <w:rFonts w:hint="eastAsia" w:ascii="仿宋" w:hAnsi="仿宋" w:eastAsia="仿宋" w:cs="仿宋"/>
          <w:b w:val="0"/>
          <w:bCs w:val="0"/>
          <w:sz w:val="32"/>
          <w:szCs w:val="32"/>
        </w:rPr>
        <w:t>完成预算</w:t>
      </w:r>
      <w:r>
        <w:rPr>
          <w:rStyle w:val="15"/>
          <w:rFonts w:ascii="仿宋" w:hAnsi="仿宋" w:eastAsia="仿宋" w:cs="仿宋"/>
          <w:b w:val="0"/>
          <w:bCs w:val="0"/>
          <w:sz w:val="32"/>
          <w:szCs w:val="32"/>
        </w:rPr>
        <w:t>17%</w:t>
      </w:r>
      <w:r>
        <w:rPr>
          <w:rStyle w:val="15"/>
          <w:rFonts w:hint="eastAsia" w:ascii="仿宋" w:hAnsi="仿宋" w:eastAsia="仿宋" w:cs="仿宋"/>
          <w:b w:val="0"/>
          <w:bCs w:val="0"/>
          <w:sz w:val="32"/>
          <w:szCs w:val="32"/>
        </w:rPr>
        <w:t>。</w:t>
      </w:r>
      <w:r>
        <w:rPr>
          <w:rFonts w:hint="eastAsia" w:ascii="仿宋_GB2312" w:eastAsia="仿宋_GB2312" w:cs="仿宋_GB2312"/>
          <w:sz w:val="32"/>
          <w:szCs w:val="32"/>
        </w:rPr>
        <w:t>公务接待费支出决算比</w:t>
      </w:r>
      <w:r>
        <w:rPr>
          <w:rFonts w:ascii="仿宋_GB2312" w:eastAsia="仿宋_GB2312" w:cs="仿宋_GB2312"/>
          <w:sz w:val="32"/>
          <w:szCs w:val="32"/>
        </w:rPr>
        <w:t>2020</w:t>
      </w:r>
      <w:r>
        <w:rPr>
          <w:rFonts w:hint="eastAsia" w:ascii="仿宋_GB2312" w:eastAsia="仿宋_GB2312" w:cs="仿宋_GB2312"/>
          <w:sz w:val="32"/>
          <w:szCs w:val="32"/>
        </w:rPr>
        <w:t>年增加</w:t>
      </w:r>
      <w:r>
        <w:rPr>
          <w:rFonts w:ascii="仿宋_GB2312" w:eastAsia="仿宋_GB2312" w:cs="仿宋_GB2312"/>
          <w:sz w:val="32"/>
          <w:szCs w:val="32"/>
        </w:rPr>
        <w:t>0.04</w:t>
      </w:r>
      <w:r>
        <w:rPr>
          <w:rFonts w:hint="eastAsia" w:ascii="仿宋_GB2312" w:eastAsia="仿宋_GB2312" w:cs="仿宋_GB2312"/>
          <w:sz w:val="32"/>
          <w:szCs w:val="32"/>
        </w:rPr>
        <w:t>万元，增长</w:t>
      </w:r>
      <w:r>
        <w:rPr>
          <w:rFonts w:ascii="仿宋_GB2312" w:eastAsia="仿宋_GB2312" w:cs="仿宋_GB2312"/>
          <w:sz w:val="32"/>
          <w:szCs w:val="32"/>
        </w:rPr>
        <w:t>30.77%</w:t>
      </w:r>
      <w:r>
        <w:rPr>
          <w:rFonts w:hint="eastAsia" w:ascii="仿宋_GB2312" w:eastAsia="仿宋_GB2312" w:cs="仿宋_GB2312"/>
          <w:sz w:val="32"/>
          <w:szCs w:val="32"/>
        </w:rPr>
        <w:t>。主要原因是本年实际支出增加。其中：</w:t>
      </w:r>
    </w:p>
    <w:p>
      <w:pPr>
        <w:spacing w:line="600" w:lineRule="exact"/>
        <w:ind w:firstLine="640"/>
        <w:rPr>
          <w:rFonts w:ascii="仿宋_GB2312" w:eastAsia="仿宋_GB2312"/>
          <w:sz w:val="32"/>
          <w:szCs w:val="32"/>
        </w:rPr>
      </w:pPr>
      <w:r>
        <w:rPr>
          <w:rFonts w:hint="eastAsia" w:ascii="仿宋" w:hAnsi="仿宋" w:eastAsia="仿宋" w:cs="仿宋"/>
          <w:b/>
          <w:bCs/>
          <w:sz w:val="32"/>
          <w:szCs w:val="32"/>
        </w:rPr>
        <w:t>国内公务接待支出</w:t>
      </w:r>
      <w:r>
        <w:rPr>
          <w:rFonts w:ascii="仿宋" w:hAnsi="仿宋" w:eastAsia="仿宋" w:cs="仿宋"/>
          <w:sz w:val="32"/>
          <w:szCs w:val="32"/>
        </w:rPr>
        <w:t>0.17</w:t>
      </w:r>
      <w:r>
        <w:rPr>
          <w:rFonts w:hint="eastAsia" w:ascii="仿宋_GB2312" w:eastAsia="仿宋_GB2312" w:cs="仿宋_GB2312"/>
          <w:sz w:val="32"/>
          <w:szCs w:val="32"/>
        </w:rPr>
        <w:t>万元，主要用于执行公务、开展业务活动开支的交通费、住宿费、用餐费等。国内公务接待</w:t>
      </w:r>
      <w:r>
        <w:rPr>
          <w:rFonts w:ascii="仿宋_GB2312" w:eastAsia="仿宋_GB2312" w:cs="仿宋_GB2312"/>
          <w:sz w:val="32"/>
          <w:szCs w:val="32"/>
        </w:rPr>
        <w:t>3</w:t>
      </w:r>
      <w:r>
        <w:rPr>
          <w:rFonts w:hint="eastAsia" w:ascii="仿宋_GB2312" w:eastAsia="仿宋_GB2312" w:cs="仿宋_GB2312"/>
          <w:sz w:val="32"/>
          <w:szCs w:val="32"/>
        </w:rPr>
        <w:t>批次，</w:t>
      </w:r>
      <w:r>
        <w:rPr>
          <w:rFonts w:ascii="仿宋_GB2312" w:eastAsia="仿宋_GB2312" w:cs="仿宋_GB2312"/>
          <w:sz w:val="32"/>
          <w:szCs w:val="32"/>
        </w:rPr>
        <w:t>22</w:t>
      </w:r>
      <w:r>
        <w:rPr>
          <w:rFonts w:hint="eastAsia" w:ascii="仿宋_GB2312" w:eastAsia="仿宋_GB2312" w:cs="仿宋_GB2312"/>
          <w:sz w:val="32"/>
          <w:szCs w:val="32"/>
        </w:rPr>
        <w:t>人次（不包括陪同人员），共计支出</w:t>
      </w:r>
      <w:r>
        <w:rPr>
          <w:rFonts w:ascii="仿宋_GB2312" w:eastAsia="仿宋_GB2312" w:cs="仿宋_GB2312"/>
          <w:sz w:val="32"/>
          <w:szCs w:val="32"/>
        </w:rPr>
        <w:t>0.17</w:t>
      </w:r>
      <w:r>
        <w:rPr>
          <w:rFonts w:hint="eastAsia" w:ascii="仿宋_GB2312" w:eastAsia="仿宋_GB2312" w:cs="仿宋_GB2312"/>
          <w:sz w:val="32"/>
          <w:szCs w:val="32"/>
        </w:rPr>
        <w:t>万元，具体内容包括：用餐费</w:t>
      </w:r>
      <w:r>
        <w:rPr>
          <w:rFonts w:ascii="仿宋_GB2312" w:eastAsia="仿宋_GB2312" w:cs="仿宋_GB2312"/>
          <w:sz w:val="32"/>
          <w:szCs w:val="32"/>
        </w:rPr>
        <w:t>0.17</w:t>
      </w:r>
      <w:r>
        <w:rPr>
          <w:rFonts w:hint="eastAsia" w:ascii="仿宋_GB2312" w:eastAsia="仿宋_GB2312" w:cs="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cs="仿宋"/>
          <w:b/>
          <w:bCs/>
          <w:sz w:val="32"/>
          <w:szCs w:val="32"/>
        </w:rPr>
        <w:t>外事接待支出</w:t>
      </w:r>
      <w:r>
        <w:rPr>
          <w:rFonts w:hint="eastAsia" w:ascii="仿宋" w:hAnsi="仿宋" w:eastAsia="仿宋" w:cs="仿宋"/>
          <w:sz w:val="32"/>
          <w:szCs w:val="32"/>
        </w:rPr>
        <w:t>无</w:t>
      </w:r>
      <w:r>
        <w:rPr>
          <w:rFonts w:hint="eastAsia" w:ascii="仿宋_GB2312" w:eastAsia="仿宋_GB2312" w:cs="仿宋_GB2312"/>
          <w:sz w:val="32"/>
          <w:szCs w:val="32"/>
        </w:rPr>
        <w:t>。</w:t>
      </w:r>
    </w:p>
    <w:p>
      <w:pPr>
        <w:spacing w:line="600" w:lineRule="exact"/>
        <w:ind w:firstLine="640"/>
        <w:outlineLvl w:val="1"/>
        <w:rPr>
          <w:rFonts w:ascii="黑体" w:eastAsia="黑体"/>
          <w:sz w:val="32"/>
          <w:szCs w:val="32"/>
        </w:rPr>
      </w:pPr>
      <w:bookmarkStart w:id="40" w:name="_Toc15377218"/>
      <w:bookmarkStart w:id="41" w:name="_Toc15396610"/>
    </w:p>
    <w:p>
      <w:pPr>
        <w:spacing w:line="600" w:lineRule="exact"/>
        <w:ind w:firstLine="640"/>
        <w:outlineLvl w:val="1"/>
        <w:rPr>
          <w:rStyle w:val="18"/>
          <w:rFonts w:ascii="黑体" w:hAnsi="黑体" w:eastAsia="黑体" w:cs="Times New Roman"/>
        </w:rPr>
      </w:pPr>
      <w:r>
        <w:rPr>
          <w:rFonts w:hint="eastAsia" w:ascii="黑体" w:eastAsia="黑体" w:cs="黑体"/>
          <w:sz w:val="32"/>
          <w:szCs w:val="32"/>
        </w:rPr>
        <w:t>八、</w:t>
      </w:r>
      <w:r>
        <w:rPr>
          <w:rStyle w:val="18"/>
          <w:rFonts w:hint="eastAsia" w:ascii="黑体" w:hAnsi="黑体" w:eastAsia="黑体" w:cs="黑体"/>
          <w:b w:val="0"/>
          <w:bCs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年无政府性基金预算财政拨款支出。</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18"/>
          <w:rFonts w:ascii="黑体" w:hAnsi="黑体" w:eastAsia="黑体" w:cs="Times New Roman"/>
          <w:b w:val="0"/>
          <w:bCs w:val="0"/>
        </w:rPr>
      </w:pPr>
      <w:bookmarkStart w:id="42" w:name="_Toc15377219"/>
      <w:bookmarkStart w:id="43" w:name="_Toc15396611"/>
      <w:r>
        <w:rPr>
          <w:rStyle w:val="18"/>
          <w:rFonts w:hint="eastAsia" w:ascii="黑体" w:hAnsi="黑体" w:eastAsia="黑体" w:cs="黑体"/>
          <w:b w:val="0"/>
          <w:bCs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年无国有资本经营预算财政拨款支出。</w:t>
      </w:r>
    </w:p>
    <w:p>
      <w:pPr>
        <w:spacing w:line="580" w:lineRule="exact"/>
        <w:jc w:val="center"/>
        <w:rPr>
          <w:rFonts w:ascii="方正小标宋简体" w:hAnsi="方正小标宋简体" w:eastAsia="方正小标宋简体"/>
          <w:sz w:val="44"/>
          <w:szCs w:val="44"/>
        </w:rPr>
      </w:pPr>
    </w:p>
    <w:p>
      <w:pPr>
        <w:numPr>
          <w:ilvl w:val="0"/>
          <w:numId w:val="2"/>
        </w:numPr>
        <w:spacing w:line="600" w:lineRule="exact"/>
        <w:ind w:firstLine="640"/>
        <w:outlineLvl w:val="1"/>
        <w:rPr>
          <w:rStyle w:val="18"/>
          <w:rFonts w:ascii="黑体" w:hAnsi="黑体" w:eastAsia="黑体" w:cs="Times New Roman"/>
          <w:b w:val="0"/>
          <w:bCs w:val="0"/>
        </w:rPr>
      </w:pPr>
      <w:bookmarkStart w:id="44" w:name="_Toc15396612"/>
      <w:bookmarkStart w:id="45" w:name="_Toc15377221"/>
      <w:r>
        <w:rPr>
          <w:rStyle w:val="18"/>
          <w:rFonts w:hint="eastAsia" w:ascii="黑体" w:hAnsi="黑体" w:eastAsia="黑体" w:cs="黑体"/>
          <w:b w:val="0"/>
          <w:bCs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cs="仿宋"/>
          <w:b/>
          <w:bCs/>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年，至诚监狱机关运行经费支出</w:t>
      </w:r>
      <w:r>
        <w:rPr>
          <w:rFonts w:ascii="仿宋_GB2312" w:eastAsia="仿宋_GB2312" w:cs="仿宋_GB2312"/>
          <w:sz w:val="32"/>
          <w:szCs w:val="32"/>
        </w:rPr>
        <w:t>34.89</w:t>
      </w:r>
      <w:r>
        <w:rPr>
          <w:rFonts w:hint="eastAsia" w:ascii="仿宋_GB2312" w:eastAsia="仿宋_GB2312" w:cs="仿宋_GB2312"/>
          <w:sz w:val="32"/>
          <w:szCs w:val="32"/>
        </w:rPr>
        <w:t>万元，比</w:t>
      </w:r>
      <w:r>
        <w:rPr>
          <w:rFonts w:ascii="仿宋_GB2312" w:eastAsia="仿宋_GB2312" w:cs="仿宋_GB2312"/>
          <w:sz w:val="32"/>
          <w:szCs w:val="32"/>
        </w:rPr>
        <w:t>2020</w:t>
      </w:r>
      <w:r>
        <w:rPr>
          <w:rFonts w:hint="eastAsia" w:ascii="仿宋_GB2312" w:eastAsia="仿宋_GB2312" w:cs="仿宋_GB2312"/>
          <w:sz w:val="32"/>
          <w:szCs w:val="32"/>
        </w:rPr>
        <w:t>年减少</w:t>
      </w:r>
      <w:r>
        <w:rPr>
          <w:rFonts w:ascii="仿宋_GB2312" w:eastAsia="仿宋_GB2312" w:cs="仿宋_GB2312"/>
          <w:sz w:val="32"/>
          <w:szCs w:val="32"/>
        </w:rPr>
        <w:t>3.73</w:t>
      </w:r>
      <w:r>
        <w:rPr>
          <w:rFonts w:hint="eastAsia" w:ascii="仿宋_GB2312" w:eastAsia="仿宋_GB2312" w:cs="仿宋_GB2312"/>
          <w:sz w:val="32"/>
          <w:szCs w:val="32"/>
        </w:rPr>
        <w:t>万元，下降</w:t>
      </w:r>
      <w:r>
        <w:rPr>
          <w:rFonts w:ascii="仿宋_GB2312" w:eastAsia="仿宋_GB2312" w:cs="仿宋_GB2312"/>
          <w:sz w:val="32"/>
          <w:szCs w:val="32"/>
        </w:rPr>
        <w:t>9.66%</w:t>
      </w:r>
      <w:r>
        <w:rPr>
          <w:rFonts w:hint="eastAsia" w:ascii="仿宋_GB2312" w:eastAsia="仿宋_GB2312" w:cs="仿宋_GB2312"/>
          <w:sz w:val="32"/>
          <w:szCs w:val="32"/>
        </w:rPr>
        <w:t>。主要原因是人员减少。</w:t>
      </w:r>
    </w:p>
    <w:p>
      <w:pPr>
        <w:autoSpaceDE w:val="0"/>
        <w:autoSpaceDN w:val="0"/>
        <w:adjustRightInd w:val="0"/>
        <w:spacing w:line="600" w:lineRule="exact"/>
        <w:ind w:firstLine="643" w:firstLineChars="200"/>
        <w:jc w:val="left"/>
        <w:outlineLvl w:val="2"/>
        <w:rPr>
          <w:rFonts w:ascii="仿宋" w:hAnsi="仿宋" w:eastAsia="仿宋"/>
          <w:b/>
          <w:bCs/>
          <w:sz w:val="32"/>
          <w:szCs w:val="32"/>
        </w:rPr>
      </w:pPr>
      <w:bookmarkStart w:id="47" w:name="_Toc15377223"/>
      <w:r>
        <w:rPr>
          <w:rFonts w:hint="eastAsia" w:ascii="仿宋" w:hAnsi="仿宋" w:eastAsia="仿宋" w:cs="仿宋"/>
          <w:b/>
          <w:bCs/>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年，至诚监狱政府采购支出总额</w:t>
      </w:r>
      <w:r>
        <w:rPr>
          <w:rFonts w:ascii="仿宋_GB2312" w:eastAsia="仿宋_GB2312" w:cs="仿宋_GB2312"/>
          <w:sz w:val="32"/>
          <w:szCs w:val="32"/>
        </w:rPr>
        <w:t>8.6</w:t>
      </w:r>
      <w:r>
        <w:rPr>
          <w:rFonts w:hint="eastAsia" w:ascii="仿宋_GB2312" w:eastAsia="仿宋_GB2312" w:cs="仿宋_GB2312"/>
          <w:sz w:val="32"/>
          <w:szCs w:val="32"/>
        </w:rPr>
        <w:t>万元，其中：政府采购货物支出</w:t>
      </w:r>
      <w:r>
        <w:rPr>
          <w:rFonts w:ascii="仿宋_GB2312" w:eastAsia="仿宋_GB2312" w:cs="仿宋_GB2312"/>
          <w:sz w:val="32"/>
          <w:szCs w:val="32"/>
        </w:rPr>
        <w:t>0.6</w:t>
      </w:r>
      <w:r>
        <w:rPr>
          <w:rFonts w:hint="eastAsia" w:ascii="仿宋_GB2312" w:eastAsia="仿宋_GB2312" w:cs="仿宋_GB2312"/>
          <w:sz w:val="32"/>
          <w:szCs w:val="32"/>
        </w:rPr>
        <w:t>万元、政府采购服务支出</w:t>
      </w:r>
      <w:r>
        <w:rPr>
          <w:rFonts w:ascii="仿宋_GB2312" w:eastAsia="仿宋_GB2312" w:cs="仿宋_GB2312"/>
          <w:sz w:val="32"/>
          <w:szCs w:val="32"/>
        </w:rPr>
        <w:t>8</w:t>
      </w:r>
      <w:r>
        <w:rPr>
          <w:rFonts w:hint="eastAsia" w:ascii="仿宋_GB2312" w:eastAsia="仿宋_GB2312" w:cs="仿宋_GB2312"/>
          <w:sz w:val="32"/>
          <w:szCs w:val="32"/>
        </w:rPr>
        <w:t>万元。主要用于公务用车运行维护及购买办公设备。授予中小企业合同金额</w:t>
      </w:r>
      <w:r>
        <w:rPr>
          <w:rFonts w:ascii="仿宋_GB2312" w:eastAsia="仿宋_GB2312" w:cs="仿宋_GB2312"/>
          <w:sz w:val="32"/>
          <w:szCs w:val="32"/>
        </w:rPr>
        <w:t>4</w:t>
      </w:r>
      <w:r>
        <w:rPr>
          <w:rFonts w:hint="eastAsia" w:ascii="仿宋_GB2312" w:eastAsia="仿宋_GB2312" w:cs="仿宋_GB2312"/>
          <w:sz w:val="32"/>
          <w:szCs w:val="32"/>
        </w:rPr>
        <w:t>万元，占政府采购支出总额的</w:t>
      </w:r>
      <w:r>
        <w:rPr>
          <w:rFonts w:ascii="仿宋_GB2312" w:eastAsia="仿宋_GB2312" w:cs="仿宋_GB2312"/>
          <w:sz w:val="32"/>
          <w:szCs w:val="32"/>
        </w:rPr>
        <w:t>46.52%</w:t>
      </w:r>
      <w:r>
        <w:rPr>
          <w:rFonts w:hint="eastAsia" w:ascii="仿宋_GB2312" w:eastAsia="仿宋_GB2312" w:cs="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bCs/>
          <w:sz w:val="32"/>
          <w:szCs w:val="32"/>
        </w:rPr>
      </w:pPr>
      <w:bookmarkStart w:id="48" w:name="_Toc15377224"/>
      <w:r>
        <w:rPr>
          <w:rFonts w:hint="eastAsia" w:ascii="仿宋" w:hAnsi="仿宋" w:eastAsia="仿宋" w:cs="仿宋"/>
          <w:b/>
          <w:bCs/>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日，至诚监狱共有车辆</w:t>
      </w:r>
      <w:r>
        <w:rPr>
          <w:rFonts w:ascii="仿宋_GB2312" w:eastAsia="仿宋_GB2312" w:cs="仿宋_GB2312"/>
          <w:sz w:val="32"/>
          <w:szCs w:val="32"/>
        </w:rPr>
        <w:t>6</w:t>
      </w:r>
      <w:r>
        <w:rPr>
          <w:rFonts w:hint="eastAsia" w:ascii="仿宋_GB2312" w:eastAsia="仿宋_GB2312" w:cs="仿宋_GB2312"/>
          <w:sz w:val="32"/>
          <w:szCs w:val="32"/>
        </w:rPr>
        <w:t>辆，其中：</w:t>
      </w:r>
      <w:r>
        <w:rPr>
          <w:rFonts w:hint="eastAsia" w:ascii="宋体" w:hAnsi="宋体" w:eastAsia="仿宋" w:cs="仿宋"/>
          <w:color w:val="000000"/>
          <w:sz w:val="32"/>
          <w:szCs w:val="32"/>
        </w:rPr>
        <w:t>执法执勤用车</w:t>
      </w:r>
      <w:r>
        <w:rPr>
          <w:rFonts w:ascii="宋体" w:hAnsi="宋体" w:eastAsia="仿宋" w:cs="宋体"/>
          <w:color w:val="000000"/>
          <w:sz w:val="32"/>
          <w:szCs w:val="32"/>
        </w:rPr>
        <w:t>5</w:t>
      </w:r>
      <w:r>
        <w:rPr>
          <w:rFonts w:hint="eastAsia" w:ascii="宋体" w:hAnsi="宋体" w:eastAsia="仿宋" w:cs="仿宋"/>
          <w:color w:val="000000"/>
          <w:sz w:val="32"/>
          <w:szCs w:val="32"/>
        </w:rPr>
        <w:t>辆、特种专业技术用车</w:t>
      </w:r>
      <w:r>
        <w:rPr>
          <w:rFonts w:ascii="宋体" w:hAnsi="宋体" w:eastAsia="仿宋" w:cs="宋体"/>
          <w:color w:val="000000"/>
          <w:sz w:val="32"/>
          <w:szCs w:val="32"/>
        </w:rPr>
        <w:t>1</w:t>
      </w:r>
      <w:r>
        <w:rPr>
          <w:rFonts w:hint="eastAsia" w:ascii="宋体" w:hAnsi="宋体" w:eastAsia="仿宋" w:cs="仿宋"/>
          <w:color w:val="000000"/>
          <w:sz w:val="32"/>
          <w:szCs w:val="32"/>
        </w:rPr>
        <w:t>辆</w:t>
      </w:r>
      <w:r>
        <w:rPr>
          <w:rFonts w:hint="eastAsia" w:ascii="仿宋_GB2312" w:eastAsia="仿宋_GB2312" w:cs="仿宋_GB2312"/>
          <w:sz w:val="32"/>
          <w:szCs w:val="32"/>
        </w:rPr>
        <w:t>。无单价</w:t>
      </w:r>
      <w:r>
        <w:rPr>
          <w:rFonts w:ascii="仿宋_GB2312" w:eastAsia="仿宋_GB2312" w:cs="仿宋_GB2312"/>
          <w:sz w:val="32"/>
          <w:szCs w:val="32"/>
        </w:rPr>
        <w:t>50</w:t>
      </w:r>
      <w:r>
        <w:rPr>
          <w:rFonts w:hint="eastAsia" w:ascii="仿宋_GB2312" w:eastAsia="仿宋_GB2312" w:cs="仿宋_GB2312"/>
          <w:sz w:val="32"/>
          <w:szCs w:val="32"/>
        </w:rPr>
        <w:t>万元以上通用设备，无单价</w:t>
      </w:r>
      <w:r>
        <w:rPr>
          <w:rFonts w:ascii="仿宋_GB2312" w:eastAsia="仿宋_GB2312" w:cs="仿宋_GB2312"/>
          <w:sz w:val="32"/>
          <w:szCs w:val="32"/>
        </w:rPr>
        <w:t>100</w:t>
      </w:r>
      <w:r>
        <w:rPr>
          <w:rFonts w:hint="eastAsia" w:ascii="仿宋_GB2312" w:eastAsia="仿宋_GB2312" w:cs="仿宋_GB2312"/>
          <w:sz w:val="32"/>
          <w:szCs w:val="32"/>
        </w:rPr>
        <w:t>万元以上专用设备。</w:t>
      </w:r>
    </w:p>
    <w:p>
      <w:pPr>
        <w:autoSpaceDE w:val="0"/>
        <w:autoSpaceDN w:val="0"/>
        <w:adjustRightInd w:val="0"/>
        <w:spacing w:line="600" w:lineRule="exact"/>
        <w:ind w:firstLine="643" w:firstLineChars="200"/>
        <w:jc w:val="left"/>
        <w:outlineLvl w:val="2"/>
        <w:rPr>
          <w:rFonts w:ascii="仿宋" w:hAnsi="仿宋" w:eastAsia="仿宋"/>
          <w:b/>
          <w:bCs/>
          <w:sz w:val="32"/>
          <w:szCs w:val="32"/>
        </w:rPr>
      </w:pPr>
      <w:r>
        <w:rPr>
          <w:rFonts w:hint="eastAsia" w:ascii="仿宋" w:hAnsi="仿宋" w:eastAsia="仿宋" w:cs="仿宋"/>
          <w:b/>
          <w:bCs/>
          <w:sz w:val="32"/>
          <w:szCs w:val="32"/>
        </w:rPr>
        <w:t>（四）预算绩效管理情况</w:t>
      </w:r>
    </w:p>
    <w:p>
      <w:pPr>
        <w:spacing w:line="580" w:lineRule="atLeas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本单位在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万元以上（含）特定目标类部门预算项目，根据预算绩效管理要求，因此未开展事前绩效评估、编制绩效目标、开展绩效监控等绩效管理工作。</w:t>
      </w:r>
    </w:p>
    <w:p>
      <w:pPr>
        <w:pStyle w:val="2"/>
        <w:spacing w:before="93"/>
        <w:rPr>
          <w:rFonts w:cs="Times New Roman"/>
        </w:rPr>
      </w:pPr>
    </w:p>
    <w:p>
      <w:pPr>
        <w:widowControl/>
        <w:jc w:val="left"/>
        <w:rPr>
          <w:rFonts w:ascii="仿宋_GB2312" w:eastAsia="仿宋_GB2312"/>
          <w:b/>
          <w:bCs/>
          <w:sz w:val="32"/>
          <w:szCs w:val="32"/>
        </w:rPr>
      </w:pPr>
      <w:bookmarkStart w:id="67" w:name="_GoBack"/>
      <w:bookmarkEnd w:id="67"/>
    </w:p>
    <w:p>
      <w:pPr>
        <w:numPr>
          <w:ilvl w:val="0"/>
          <w:numId w:val="3"/>
        </w:numPr>
        <w:spacing w:line="600" w:lineRule="exact"/>
        <w:ind w:firstLine="660" w:firstLineChars="150"/>
        <w:jc w:val="center"/>
        <w:outlineLvl w:val="0"/>
        <w:rPr>
          <w:rStyle w:val="17"/>
          <w:rFonts w:ascii="黑体" w:hAnsi="黑体" w:eastAsia="黑体"/>
          <w:b w:val="0"/>
          <w:bCs w:val="0"/>
        </w:rPr>
      </w:pPr>
      <w:bookmarkStart w:id="49" w:name="_Toc15377225"/>
      <w:bookmarkStart w:id="50" w:name="_Toc15396613"/>
      <w:r>
        <w:rPr>
          <w:rFonts w:hint="eastAsia" w:ascii="黑体" w:hAnsi="黑体" w:eastAsia="黑体" w:cs="黑体"/>
          <w:sz w:val="44"/>
          <w:szCs w:val="44"/>
        </w:rPr>
        <w:t>名</w:t>
      </w:r>
      <w:r>
        <w:rPr>
          <w:rStyle w:val="17"/>
          <w:rFonts w:hint="eastAsia" w:ascii="黑体" w:hAnsi="黑体" w:eastAsia="黑体" w:cs="黑体"/>
          <w:b w:val="0"/>
          <w:bCs w:val="0"/>
        </w:rPr>
        <w:t>词解释</w:t>
      </w:r>
      <w:bookmarkEnd w:id="49"/>
      <w:bookmarkEnd w:id="50"/>
    </w:p>
    <w:p>
      <w:pPr>
        <w:spacing w:line="600" w:lineRule="exact"/>
        <w:jc w:val="left"/>
        <w:rPr>
          <w:rFonts w:ascii="宋体"/>
          <w:b/>
          <w:bCs/>
          <w:sz w:val="44"/>
          <w:szCs w:val="44"/>
        </w:rPr>
      </w:pPr>
    </w:p>
    <w:p>
      <w:pPr>
        <w:pStyle w:val="27"/>
        <w:spacing w:line="560" w:lineRule="exact"/>
        <w:ind w:firstLine="640" w:firstLineChars="200"/>
        <w:rPr>
          <w:rFonts w:ascii="仿宋_GB2312" w:eastAsia="仿宋_GB2312" w:cs="Times New Roman"/>
          <w:color w:val="auto"/>
          <w:sz w:val="32"/>
          <w:szCs w:val="32"/>
        </w:rPr>
      </w:pPr>
      <w:r>
        <w:rPr>
          <w:rStyle w:val="15"/>
          <w:rFonts w:hAnsi="仿宋"/>
          <w:b w:val="0"/>
          <w:bCs w:val="0"/>
          <w:kern w:val="2"/>
          <w:sz w:val="32"/>
          <w:szCs w:val="32"/>
        </w:rPr>
        <w:t>1.</w:t>
      </w:r>
      <w:r>
        <w:rPr>
          <w:rStyle w:val="15"/>
          <w:rFonts w:hint="eastAsia" w:ascii="仿宋_GB2312" w:hAnsi="仿宋_GB2312" w:eastAsia="仿宋_GB2312" w:cs="仿宋_GB2312"/>
          <w:b w:val="0"/>
          <w:bCs w:val="0"/>
          <w:kern w:val="2"/>
          <w:sz w:val="32"/>
          <w:szCs w:val="32"/>
        </w:rPr>
        <w:t>财政拨款收入</w:t>
      </w:r>
      <w:r>
        <w:rPr>
          <w:rStyle w:val="15"/>
          <w:rFonts w:hint="eastAsia" w:hAnsi="仿宋"/>
          <w:b w:val="0"/>
          <w:bCs w:val="0"/>
          <w:kern w:val="2"/>
          <w:sz w:val="32"/>
          <w:szCs w:val="32"/>
        </w:rPr>
        <w:t>：</w:t>
      </w:r>
      <w:r>
        <w:rPr>
          <w:rFonts w:hint="eastAsia" w:ascii="仿宋_GB2312" w:eastAsia="仿宋_GB2312" w:cs="仿宋_GB2312"/>
          <w:color w:val="auto"/>
          <w:sz w:val="32"/>
          <w:szCs w:val="32"/>
        </w:rPr>
        <w:t>指单位从同级财政部门取得的财政预算资金。</w:t>
      </w:r>
    </w:p>
    <w:p>
      <w:pPr>
        <w:ind w:firstLine="640" w:firstLineChars="200"/>
        <w:rPr>
          <w:rFonts w:ascii="仿宋_GB2312" w:hAnsi="仿宋_GB2312" w:eastAsia="仿宋_GB2312"/>
          <w:sz w:val="32"/>
          <w:szCs w:val="32"/>
        </w:rPr>
      </w:pPr>
      <w:r>
        <w:rPr>
          <w:rStyle w:val="15"/>
          <w:rFonts w:ascii="仿宋" w:hAnsi="仿宋" w:eastAsia="仿宋" w:cs="仿宋"/>
          <w:b w:val="0"/>
          <w:bCs w:val="0"/>
          <w:color w:val="000000"/>
          <w:sz w:val="32"/>
          <w:szCs w:val="32"/>
        </w:rPr>
        <w:t>2.</w:t>
      </w:r>
      <w:r>
        <w:rPr>
          <w:rFonts w:hint="eastAsia" w:ascii="仿宋_GB2312" w:eastAsia="仿宋_GB2312" w:cs="仿宋_GB2312"/>
          <w:sz w:val="32"/>
          <w:szCs w:val="32"/>
        </w:rPr>
        <w:t>公共安全支出（类）监狱（款）行政运行（项）</w:t>
      </w:r>
      <w:r>
        <w:rPr>
          <w:rFonts w:ascii="仿宋_GB2312" w:eastAsia="仿宋_GB2312" w:cs="仿宋_GB2312"/>
          <w:sz w:val="32"/>
          <w:szCs w:val="32"/>
        </w:rPr>
        <w:t>:</w:t>
      </w:r>
      <w:r>
        <w:rPr>
          <w:rFonts w:hint="eastAsia" w:ascii="仿宋_GB2312" w:eastAsia="仿宋_GB2312" w:cs="仿宋_GB2312"/>
          <w:sz w:val="32"/>
          <w:szCs w:val="32"/>
        </w:rPr>
        <w:t>指</w:t>
      </w:r>
      <w:r>
        <w:rPr>
          <w:rFonts w:hint="eastAsia" w:ascii="仿宋_GB2312" w:hAnsi="仿宋_GB2312" w:eastAsia="仿宋_GB2312" w:cs="仿宋_GB2312"/>
          <w:sz w:val="32"/>
          <w:szCs w:val="32"/>
        </w:rPr>
        <w:t>行政单位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包括实行公务员管理的事业单位）的基本支出。</w:t>
      </w:r>
    </w:p>
    <w:p>
      <w:pPr>
        <w:pStyle w:val="2"/>
        <w:spacing w:before="93"/>
        <w:rPr>
          <w:rFonts w:cs="Times New Roman"/>
        </w:rPr>
      </w:pPr>
      <w:r>
        <w:rPr>
          <w:rFonts w:hAnsi="仿宋_GB2312"/>
          <w:sz w:val="32"/>
          <w:szCs w:val="32"/>
        </w:rPr>
        <w:t xml:space="preserve">    3.</w:t>
      </w:r>
      <w:r>
        <w:rPr>
          <w:rFonts w:hint="eastAsia"/>
          <w:sz w:val="32"/>
          <w:szCs w:val="32"/>
        </w:rPr>
        <w:t>公共安全支出（类）监狱（款）</w:t>
      </w:r>
      <w:r>
        <w:rPr>
          <w:rStyle w:val="15"/>
          <w:rFonts w:hint="eastAsia" w:ascii="仿宋" w:hAnsi="仿宋" w:eastAsia="仿宋" w:cs="仿宋"/>
          <w:b w:val="0"/>
          <w:bCs w:val="0"/>
          <w:color w:val="000000"/>
          <w:sz w:val="32"/>
          <w:szCs w:val="32"/>
        </w:rPr>
        <w:t>一般行政管理事务</w:t>
      </w:r>
      <w:r>
        <w:rPr>
          <w:rFonts w:hint="eastAsia"/>
          <w:sz w:val="32"/>
          <w:szCs w:val="32"/>
        </w:rPr>
        <w:t>（项）</w:t>
      </w:r>
      <w:r>
        <w:rPr>
          <w:rStyle w:val="15"/>
          <w:rFonts w:hint="eastAsia" w:ascii="仿宋" w:hAnsi="仿宋" w:eastAsia="仿宋" w:cs="仿宋"/>
          <w:b w:val="0"/>
          <w:bCs w:val="0"/>
          <w:color w:val="000000"/>
          <w:sz w:val="32"/>
          <w:szCs w:val="32"/>
        </w:rPr>
        <w:t>：</w:t>
      </w:r>
      <w:r>
        <w:rPr>
          <w:rStyle w:val="15"/>
          <w:rFonts w:hint="eastAsia" w:hAnsi="仿宋_GB2312"/>
          <w:b w:val="0"/>
          <w:bCs w:val="0"/>
          <w:color w:val="000000"/>
          <w:sz w:val="32"/>
          <w:szCs w:val="32"/>
        </w:rPr>
        <w:t>指</w:t>
      </w:r>
      <w:r>
        <w:rPr>
          <w:rFonts w:hint="eastAsia" w:hAnsi="仿宋_GB2312"/>
          <w:sz w:val="32"/>
          <w:szCs w:val="32"/>
        </w:rPr>
        <w:t>行政单位</w:t>
      </w:r>
      <w:r>
        <w:rPr>
          <w:rFonts w:hAnsi="仿宋_GB2312"/>
          <w:sz w:val="32"/>
          <w:szCs w:val="32"/>
        </w:rPr>
        <w:t>(</w:t>
      </w:r>
      <w:r>
        <w:rPr>
          <w:rFonts w:hint="eastAsia" w:hAnsi="仿宋_GB2312"/>
          <w:sz w:val="32"/>
          <w:szCs w:val="32"/>
        </w:rPr>
        <w:t>包括实行公务员管理的事业单位）未单独设置项级科目的其他项目支出。</w:t>
      </w:r>
    </w:p>
    <w:p>
      <w:pPr>
        <w:spacing w:line="600" w:lineRule="exact"/>
        <w:ind w:firstLine="640" w:firstLineChars="200"/>
        <w:rPr>
          <w:rStyle w:val="15"/>
          <w:rFonts w:ascii="仿宋" w:hAnsi="仿宋" w:eastAsia="仿宋"/>
          <w:b w:val="0"/>
          <w:bCs w:val="0"/>
          <w:sz w:val="32"/>
          <w:szCs w:val="32"/>
        </w:rPr>
      </w:pPr>
      <w:r>
        <w:rPr>
          <w:rStyle w:val="15"/>
          <w:rFonts w:ascii="仿宋" w:hAnsi="仿宋" w:eastAsia="仿宋" w:cs="仿宋"/>
          <w:b w:val="0"/>
          <w:bCs w:val="0"/>
          <w:sz w:val="32"/>
          <w:szCs w:val="32"/>
        </w:rPr>
        <w:t>4.</w:t>
      </w:r>
      <w:r>
        <w:rPr>
          <w:rFonts w:hint="eastAsia" w:ascii="仿宋_GB2312" w:eastAsia="仿宋_GB2312" w:cs="仿宋_GB2312"/>
          <w:sz w:val="32"/>
          <w:szCs w:val="32"/>
        </w:rPr>
        <w:t>教育支出（类）进修及培训（款）培训支出（项）</w:t>
      </w:r>
      <w:r>
        <w:rPr>
          <w:rFonts w:ascii="仿宋_GB2312" w:eastAsia="仿宋_GB2312" w:cs="仿宋_GB2312"/>
          <w:sz w:val="32"/>
          <w:szCs w:val="32"/>
        </w:rPr>
        <w:t>:</w:t>
      </w:r>
      <w:r>
        <w:rPr>
          <w:rFonts w:hint="eastAsia" w:ascii="仿宋_GB2312" w:eastAsia="仿宋_GB2312" w:cs="仿宋_GB2312"/>
          <w:sz w:val="32"/>
          <w:szCs w:val="32"/>
        </w:rPr>
        <w:t>指</w:t>
      </w:r>
      <w:r>
        <w:rPr>
          <w:rFonts w:hint="eastAsia" w:ascii="仿宋_GB2312" w:hAnsi="仿宋_GB2312" w:eastAsia="仿宋_GB2312" w:cs="仿宋_GB2312"/>
          <w:sz w:val="32"/>
          <w:szCs w:val="32"/>
        </w:rPr>
        <w:t>各部门安排的用于培训的支出。</w:t>
      </w:r>
    </w:p>
    <w:p>
      <w:pPr>
        <w:ind w:firstLine="640" w:firstLineChars="200"/>
        <w:rPr>
          <w:rFonts w:ascii="仿宋_GB2312" w:eastAsia="仿宋_GB2312"/>
          <w:sz w:val="32"/>
          <w:szCs w:val="32"/>
        </w:rPr>
      </w:pPr>
      <w:r>
        <w:rPr>
          <w:rStyle w:val="15"/>
          <w:rFonts w:ascii="仿宋" w:hAnsi="仿宋" w:eastAsia="仿宋" w:cs="仿宋"/>
          <w:b w:val="0"/>
          <w:bCs w:val="0"/>
          <w:color w:val="000000"/>
          <w:sz w:val="32"/>
          <w:szCs w:val="32"/>
        </w:rPr>
        <w:t>5.</w:t>
      </w:r>
      <w:r>
        <w:rPr>
          <w:rFonts w:hint="eastAsia" w:ascii="仿宋_GB2312" w:eastAsia="仿宋_GB2312" w:cs="仿宋_GB2312"/>
          <w:sz w:val="32"/>
          <w:szCs w:val="32"/>
        </w:rPr>
        <w:t>社会保障和就业支出（类）行政事业单位养老支出（款）行政单位离退休（项）</w:t>
      </w:r>
      <w:r>
        <w:rPr>
          <w:rFonts w:ascii="仿宋_GB2312" w:eastAsia="仿宋_GB2312" w:cs="仿宋_GB2312"/>
          <w:sz w:val="32"/>
          <w:szCs w:val="32"/>
        </w:rPr>
        <w:t>:</w:t>
      </w:r>
      <w:r>
        <w:rPr>
          <w:rFonts w:hint="eastAsia" w:ascii="仿宋_GB2312" w:eastAsia="仿宋_GB2312" w:cs="仿宋_GB2312"/>
          <w:sz w:val="32"/>
          <w:szCs w:val="32"/>
        </w:rPr>
        <w:t>指</w:t>
      </w:r>
      <w:r>
        <w:rPr>
          <w:rFonts w:hint="eastAsia" w:ascii="仿宋_GB2312" w:hAnsi="仿宋_GB2312" w:eastAsia="仿宋_GB2312" w:cs="仿宋_GB2312"/>
          <w:sz w:val="32"/>
          <w:szCs w:val="32"/>
        </w:rPr>
        <w:t>行政单位开支的离退休经费。</w:t>
      </w:r>
    </w:p>
    <w:p>
      <w:pPr>
        <w:spacing w:line="600" w:lineRule="exact"/>
        <w:ind w:firstLine="640" w:firstLineChars="200"/>
        <w:rPr>
          <w:rStyle w:val="15"/>
          <w:rFonts w:ascii="仿宋" w:hAnsi="仿宋" w:eastAsia="仿宋"/>
          <w:b w:val="0"/>
          <w:bCs w:val="0"/>
          <w:sz w:val="32"/>
          <w:szCs w:val="32"/>
        </w:rPr>
      </w:pPr>
      <w:r>
        <w:rPr>
          <w:rStyle w:val="15"/>
          <w:rFonts w:ascii="仿宋" w:hAnsi="仿宋" w:eastAsia="仿宋" w:cs="仿宋"/>
          <w:b w:val="0"/>
          <w:bCs w:val="0"/>
          <w:color w:val="000000"/>
          <w:sz w:val="32"/>
          <w:szCs w:val="32"/>
        </w:rPr>
        <w:t>6.</w:t>
      </w:r>
      <w:r>
        <w:rPr>
          <w:rFonts w:hint="eastAsia" w:ascii="仿宋_GB2312" w:eastAsia="仿宋_GB2312" w:cs="仿宋_GB2312"/>
          <w:sz w:val="32"/>
          <w:szCs w:val="32"/>
        </w:rPr>
        <w:t>社会保障和就业支出（类）行政事业单位养老支出（款）机关事业单位基本养老保险缴费支出（项）</w:t>
      </w:r>
      <w:r>
        <w:rPr>
          <w:rStyle w:val="15"/>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指机关事业单位实施养老保险制度由单位缴纳的基本养老保险费支出</w:t>
      </w:r>
      <w:r>
        <w:rPr>
          <w:rStyle w:val="15"/>
          <w:rFonts w:hint="eastAsia" w:ascii="仿宋" w:hAnsi="仿宋" w:eastAsia="仿宋" w:cs="仿宋"/>
          <w:b w:val="0"/>
          <w:bCs w:val="0"/>
          <w:sz w:val="32"/>
          <w:szCs w:val="32"/>
        </w:rPr>
        <w:t>。</w:t>
      </w:r>
    </w:p>
    <w:p>
      <w:pPr>
        <w:spacing w:line="600" w:lineRule="exact"/>
        <w:ind w:firstLine="640" w:firstLineChars="200"/>
        <w:rPr>
          <w:rFonts w:eastAsia="仿宋"/>
        </w:rPr>
      </w:pPr>
      <w:r>
        <w:rPr>
          <w:rStyle w:val="15"/>
          <w:rFonts w:ascii="仿宋" w:hAnsi="仿宋" w:eastAsia="仿宋" w:cs="仿宋"/>
          <w:b w:val="0"/>
          <w:bCs w:val="0"/>
          <w:color w:val="000000"/>
          <w:sz w:val="32"/>
          <w:szCs w:val="32"/>
        </w:rPr>
        <w:t>7.</w:t>
      </w:r>
      <w:r>
        <w:rPr>
          <w:rFonts w:hint="eastAsia" w:ascii="仿宋_GB2312" w:eastAsia="仿宋_GB2312" w:cs="仿宋_GB2312"/>
          <w:sz w:val="32"/>
          <w:szCs w:val="32"/>
        </w:rPr>
        <w:t>社会保障和就业支出（类）行政事业单位养老支出（款）机关事业单位职业年金缴费支出（项）</w:t>
      </w:r>
      <w:r>
        <w:rPr>
          <w:rStyle w:val="15"/>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指机关事业单位实施养老保险制度由单位实际缴纳的职业年金支出</w:t>
      </w:r>
      <w:r>
        <w:rPr>
          <w:rStyle w:val="15"/>
          <w:rFonts w:hint="eastAsia" w:ascii="仿宋" w:hAnsi="仿宋" w:eastAsia="仿宋" w:cs="仿宋"/>
          <w:b w:val="0"/>
          <w:bCs w:val="0"/>
          <w:sz w:val="32"/>
          <w:szCs w:val="32"/>
        </w:rPr>
        <w:t>。</w:t>
      </w:r>
    </w:p>
    <w:p>
      <w:pPr>
        <w:spacing w:line="600" w:lineRule="exact"/>
        <w:ind w:firstLine="640" w:firstLineChars="200"/>
        <w:rPr>
          <w:rStyle w:val="15"/>
          <w:rFonts w:ascii="仿宋" w:hAnsi="仿宋" w:eastAsia="仿宋"/>
          <w:b w:val="0"/>
          <w:bCs w:val="0"/>
          <w:sz w:val="32"/>
          <w:szCs w:val="32"/>
        </w:rPr>
      </w:pPr>
      <w:r>
        <w:rPr>
          <w:rStyle w:val="15"/>
          <w:rFonts w:ascii="仿宋" w:hAnsi="仿宋" w:eastAsia="仿宋" w:cs="仿宋"/>
          <w:b w:val="0"/>
          <w:bCs w:val="0"/>
          <w:color w:val="000000"/>
          <w:sz w:val="32"/>
          <w:szCs w:val="32"/>
        </w:rPr>
        <w:t>8.</w:t>
      </w:r>
      <w:r>
        <w:rPr>
          <w:rFonts w:hint="eastAsia" w:ascii="仿宋_GB2312" w:eastAsia="仿宋_GB2312" w:cs="仿宋_GB2312"/>
          <w:sz w:val="32"/>
          <w:szCs w:val="32"/>
        </w:rPr>
        <w:t>社会保障和就业支出（类）抚恤（款）死亡抚恤（项）</w:t>
      </w:r>
      <w:r>
        <w:rPr>
          <w:rStyle w:val="15"/>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指按规定用于烈士和牺牲、病故人员家属的一次性定期抚恤金以及丧葬补助费</w:t>
      </w:r>
      <w:r>
        <w:rPr>
          <w:rStyle w:val="15"/>
          <w:rFonts w:hint="eastAsia" w:ascii="仿宋" w:hAnsi="仿宋" w:eastAsia="仿宋" w:cs="仿宋"/>
          <w:b w:val="0"/>
          <w:bCs w:val="0"/>
          <w:sz w:val="32"/>
          <w:szCs w:val="32"/>
        </w:rPr>
        <w:t>。</w:t>
      </w:r>
    </w:p>
    <w:p>
      <w:pPr>
        <w:spacing w:line="600" w:lineRule="exact"/>
        <w:ind w:firstLine="640" w:firstLineChars="200"/>
        <w:rPr>
          <w:rStyle w:val="15"/>
          <w:rFonts w:ascii="仿宋" w:hAnsi="仿宋" w:eastAsia="仿宋"/>
          <w:b w:val="0"/>
          <w:bCs w:val="0"/>
          <w:sz w:val="32"/>
          <w:szCs w:val="32"/>
        </w:rPr>
      </w:pPr>
      <w:r>
        <w:rPr>
          <w:rStyle w:val="15"/>
          <w:rFonts w:ascii="仿宋" w:hAnsi="仿宋" w:eastAsia="仿宋" w:cs="仿宋"/>
          <w:b w:val="0"/>
          <w:bCs w:val="0"/>
          <w:color w:val="000000"/>
          <w:sz w:val="32"/>
          <w:szCs w:val="32"/>
        </w:rPr>
        <w:t>9.</w:t>
      </w:r>
      <w:r>
        <w:rPr>
          <w:rFonts w:hint="eastAsia" w:ascii="仿宋_GB2312" w:eastAsia="仿宋_GB2312" w:cs="仿宋_GB2312"/>
          <w:sz w:val="32"/>
          <w:szCs w:val="32"/>
        </w:rPr>
        <w:t>社会保障和就业支出（类）其他社会保障和就业支出（款）其他社会保障和就业支出（项）</w:t>
      </w:r>
      <w:r>
        <w:rPr>
          <w:rStyle w:val="15"/>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指除上述项目以外其他用于社会保障和就业方面的支出</w:t>
      </w:r>
      <w:r>
        <w:rPr>
          <w:rStyle w:val="15"/>
          <w:rFonts w:hint="eastAsia" w:ascii="仿宋" w:hAnsi="仿宋" w:eastAsia="仿宋" w:cs="仿宋"/>
          <w:b w:val="0"/>
          <w:bCs w:val="0"/>
          <w:sz w:val="32"/>
          <w:szCs w:val="32"/>
        </w:rPr>
        <w:t>。</w:t>
      </w:r>
    </w:p>
    <w:p>
      <w:pPr>
        <w:spacing w:line="600" w:lineRule="exact"/>
        <w:ind w:firstLine="640" w:firstLineChars="200"/>
        <w:rPr>
          <w:rStyle w:val="15"/>
          <w:rFonts w:ascii="仿宋" w:hAnsi="仿宋" w:eastAsia="仿宋"/>
          <w:b w:val="0"/>
          <w:bCs w:val="0"/>
          <w:sz w:val="32"/>
          <w:szCs w:val="32"/>
        </w:rPr>
      </w:pPr>
      <w:r>
        <w:rPr>
          <w:rStyle w:val="15"/>
          <w:rFonts w:ascii="仿宋" w:hAnsi="仿宋" w:eastAsia="仿宋" w:cs="仿宋"/>
          <w:b w:val="0"/>
          <w:bCs w:val="0"/>
          <w:color w:val="000000"/>
          <w:sz w:val="32"/>
          <w:szCs w:val="32"/>
        </w:rPr>
        <w:t>10.</w:t>
      </w:r>
      <w:r>
        <w:rPr>
          <w:rFonts w:hint="eastAsia" w:ascii="仿宋_GB2312" w:eastAsia="仿宋_GB2312" w:cs="仿宋_GB2312"/>
          <w:sz w:val="32"/>
          <w:szCs w:val="32"/>
        </w:rPr>
        <w:t>卫生健康支出（类）行政事业单位医疗（款）行政单位医疗（项）</w:t>
      </w:r>
      <w:r>
        <w:rPr>
          <w:rStyle w:val="15"/>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指财政部门安排的行政单位基本医疗保险缴费经费，未参加医疗保险的行政单位的公费医疗经费，按国家规定享受离休人员、红军老战士待遇人员的医疗经费</w:t>
      </w:r>
      <w:r>
        <w:rPr>
          <w:rStyle w:val="15"/>
          <w:rFonts w:hint="eastAsia" w:ascii="仿宋" w:hAnsi="仿宋" w:eastAsia="仿宋" w:cs="仿宋"/>
          <w:b w:val="0"/>
          <w:bCs w:val="0"/>
          <w:sz w:val="32"/>
          <w:szCs w:val="32"/>
        </w:rPr>
        <w:t>。</w:t>
      </w:r>
    </w:p>
    <w:p>
      <w:pPr>
        <w:spacing w:line="600" w:lineRule="exact"/>
        <w:ind w:firstLine="640" w:firstLineChars="200"/>
        <w:rPr>
          <w:rStyle w:val="15"/>
          <w:rFonts w:ascii="仿宋" w:hAnsi="仿宋" w:eastAsia="仿宋_GB2312"/>
          <w:b w:val="0"/>
          <w:bCs w:val="0"/>
          <w:sz w:val="32"/>
          <w:szCs w:val="32"/>
        </w:rPr>
      </w:pPr>
      <w:r>
        <w:rPr>
          <w:rStyle w:val="15"/>
          <w:rFonts w:ascii="仿宋" w:hAnsi="仿宋" w:eastAsia="仿宋" w:cs="仿宋"/>
          <w:b w:val="0"/>
          <w:bCs w:val="0"/>
          <w:color w:val="000000"/>
          <w:sz w:val="32"/>
          <w:szCs w:val="32"/>
        </w:rPr>
        <w:t>11.</w:t>
      </w:r>
      <w:r>
        <w:rPr>
          <w:rFonts w:hint="eastAsia" w:ascii="仿宋_GB2312" w:eastAsia="仿宋_GB2312" w:cs="仿宋_GB2312"/>
          <w:sz w:val="32"/>
          <w:szCs w:val="32"/>
        </w:rPr>
        <w:t>卫生健康支出（类）行政事业单位医疗（款）公务员医疗补助（项）</w:t>
      </w:r>
      <w:r>
        <w:rPr>
          <w:rStyle w:val="15"/>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指财政部门安排的公务员医疗补助经费。</w:t>
      </w:r>
    </w:p>
    <w:p>
      <w:pPr>
        <w:spacing w:line="600" w:lineRule="exact"/>
        <w:ind w:firstLine="640" w:firstLineChars="200"/>
        <w:rPr>
          <w:rFonts w:ascii="仿宋" w:hAnsi="仿宋" w:eastAsia="仿宋"/>
          <w:sz w:val="32"/>
          <w:szCs w:val="32"/>
        </w:rPr>
      </w:pPr>
      <w:r>
        <w:rPr>
          <w:rStyle w:val="15"/>
          <w:rFonts w:ascii="仿宋" w:hAnsi="仿宋" w:eastAsia="仿宋" w:cs="仿宋"/>
          <w:b w:val="0"/>
          <w:bCs w:val="0"/>
          <w:color w:val="000000"/>
          <w:sz w:val="32"/>
          <w:szCs w:val="32"/>
        </w:rPr>
        <w:t>12.</w:t>
      </w:r>
      <w:r>
        <w:rPr>
          <w:rFonts w:hint="eastAsia" w:ascii="仿宋_GB2312" w:eastAsia="仿宋_GB2312" w:cs="仿宋_GB2312"/>
          <w:sz w:val="32"/>
          <w:szCs w:val="32"/>
        </w:rPr>
        <w:t>住房保障支出（类）住房改革支出（款）住房公积金（项）</w:t>
      </w:r>
      <w:r>
        <w:rPr>
          <w:rStyle w:val="15"/>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指行政事业单位按人力资源和社会保障部、财政部规定的基本工资和津补贴以及规定比例为职工缴纳的住房公积金</w:t>
      </w:r>
      <w:r>
        <w:rPr>
          <w:rStyle w:val="15"/>
          <w:rFonts w:hint="eastAsia" w:ascii="仿宋" w:hAnsi="仿宋" w:eastAsia="仿宋" w:cs="仿宋"/>
          <w:b w:val="0"/>
          <w:bCs w:val="0"/>
          <w:sz w:val="32"/>
          <w:szCs w:val="32"/>
        </w:rPr>
        <w:t>。</w:t>
      </w:r>
    </w:p>
    <w:p>
      <w:pPr>
        <w:ind w:firstLine="640" w:firstLineChars="200"/>
        <w:rPr>
          <w:rFonts w:ascii="仿宋_GB2312" w:eastAsia="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项目支出：指在基本支出之外为完成特定行政任务和事业发展目标所发生的支出。</w:t>
      </w:r>
    </w:p>
    <w:p>
      <w:pPr>
        <w:pStyle w:val="27"/>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15.</w:t>
      </w:r>
      <w:r>
        <w:rPr>
          <w:rFonts w:hint="eastAsia" w:ascii="仿宋_GB2312" w:eastAsia="仿宋_GB2312" w:cs="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16.</w:t>
      </w:r>
      <w:r>
        <w:rPr>
          <w:rFonts w:hint="eastAsia" w:ascii="仿宋_GB2312" w:eastAsia="仿宋_GB2312" w:cs="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Times New Roman"/>
          <w:color w:val="auto"/>
          <w:sz w:val="32"/>
          <w:szCs w:val="32"/>
        </w:rPr>
      </w:pPr>
    </w:p>
    <w:p>
      <w:pPr>
        <w:spacing w:line="600" w:lineRule="exact"/>
        <w:jc w:val="center"/>
        <w:outlineLvl w:val="0"/>
        <w:rPr>
          <w:rFonts w:ascii="黑体" w:hAnsi="黑体" w:eastAsia="黑体"/>
          <w:kern w:val="44"/>
          <w:sz w:val="44"/>
          <w:szCs w:val="44"/>
        </w:rPr>
      </w:pPr>
      <w:bookmarkStart w:id="51" w:name="_Toc15377226"/>
      <w:r>
        <w:rPr>
          <w:rFonts w:ascii="宋体"/>
          <w:b/>
          <w:bCs/>
          <w:sz w:val="44"/>
          <w:szCs w:val="44"/>
        </w:rPr>
        <w:br w:type="page"/>
      </w:r>
      <w:bookmarkStart w:id="52" w:name="_Toc15396614"/>
      <w:r>
        <w:rPr>
          <w:rFonts w:hint="eastAsia" w:ascii="黑体" w:hAnsi="黑体" w:eastAsia="黑体" w:cs="黑体"/>
          <w:sz w:val="44"/>
          <w:szCs w:val="44"/>
        </w:rPr>
        <w:t>第</w:t>
      </w:r>
      <w:r>
        <w:rPr>
          <w:rStyle w:val="17"/>
          <w:rFonts w:hint="eastAsia" w:ascii="黑体" w:hAnsi="黑体" w:eastAsia="黑体" w:cs="黑体"/>
          <w:b w:val="0"/>
          <w:bCs w:val="0"/>
        </w:rPr>
        <w:t>四部分</w:t>
      </w:r>
      <w:r>
        <w:rPr>
          <w:rStyle w:val="17"/>
          <w:rFonts w:ascii="黑体" w:hAnsi="黑体" w:eastAsia="黑体" w:cs="黑体"/>
          <w:b w:val="0"/>
          <w:bCs w:val="0"/>
        </w:rPr>
        <w:t xml:space="preserve"> </w:t>
      </w:r>
      <w:r>
        <w:rPr>
          <w:rStyle w:val="17"/>
          <w:rFonts w:hint="eastAsia" w:ascii="黑体" w:hAnsi="黑体" w:eastAsia="黑体" w:cs="黑体"/>
          <w:b w:val="0"/>
          <w:bCs w:val="0"/>
        </w:rPr>
        <w:t>附件</w:t>
      </w:r>
      <w:bookmarkEnd w:id="52"/>
      <w:bookmarkStart w:id="53" w:name="_Toc15396618"/>
    </w:p>
    <w:tbl>
      <w:tblPr>
        <w:tblStyle w:val="13"/>
        <w:tblpPr w:leftFromText="180" w:rightFromText="180" w:vertAnchor="text" w:horzAnchor="page" w:tblpX="1281" w:tblpY="660"/>
        <w:tblOverlap w:val="never"/>
        <w:tblW w:w="9816" w:type="dxa"/>
        <w:tblInd w:w="0" w:type="dxa"/>
        <w:tblLayout w:type="fixed"/>
        <w:tblCellMar>
          <w:top w:w="0" w:type="dxa"/>
          <w:left w:w="108" w:type="dxa"/>
          <w:bottom w:w="0" w:type="dxa"/>
          <w:right w:w="108" w:type="dxa"/>
        </w:tblCellMar>
      </w:tblPr>
      <w:tblGrid>
        <w:gridCol w:w="1979"/>
        <w:gridCol w:w="1142"/>
        <w:gridCol w:w="1635"/>
        <w:gridCol w:w="1189"/>
        <w:gridCol w:w="1224"/>
        <w:gridCol w:w="2411"/>
        <w:gridCol w:w="236"/>
      </w:tblGrid>
      <w:tr>
        <w:tblPrEx>
          <w:tblCellMar>
            <w:top w:w="0" w:type="dxa"/>
            <w:left w:w="108" w:type="dxa"/>
            <w:bottom w:w="0" w:type="dxa"/>
            <w:right w:w="108" w:type="dxa"/>
          </w:tblCellMar>
        </w:tblPrEx>
        <w:trPr>
          <w:trHeight w:val="675" w:hRule="atLeast"/>
        </w:trPr>
        <w:tc>
          <w:tcPr>
            <w:tcW w:w="9577" w:type="dxa"/>
            <w:gridSpan w:val="6"/>
            <w:vAlign w:val="center"/>
          </w:tcPr>
          <w:p>
            <w:pPr>
              <w:widowControl/>
              <w:textAlignment w:val="center"/>
              <w:rPr>
                <w:rFonts w:ascii="宋体"/>
                <w:b/>
                <w:bCs/>
                <w:sz w:val="32"/>
                <w:szCs w:val="32"/>
              </w:rPr>
            </w:pPr>
          </w:p>
          <w:p>
            <w:pPr>
              <w:widowControl/>
              <w:textAlignment w:val="center"/>
              <w:rPr>
                <w:rFonts w:ascii="宋体"/>
                <w:b/>
                <w:bCs/>
                <w:sz w:val="32"/>
                <w:szCs w:val="32"/>
              </w:rPr>
            </w:pPr>
            <w:r>
              <w:rPr>
                <w:rFonts w:ascii="宋体" w:hAnsi="宋体" w:cs="宋体"/>
                <w:b/>
                <w:bCs/>
                <w:sz w:val="32"/>
                <w:szCs w:val="32"/>
              </w:rPr>
              <w:t>2021</w:t>
            </w:r>
            <w:r>
              <w:rPr>
                <w:rFonts w:hint="eastAsia" w:ascii="宋体" w:hAnsi="宋体" w:cs="宋体"/>
                <w:b/>
                <w:bCs/>
                <w:sz w:val="32"/>
                <w:szCs w:val="32"/>
              </w:rPr>
              <w:t>年</w:t>
            </w:r>
            <w:r>
              <w:rPr>
                <w:rFonts w:ascii="宋体" w:hAnsi="宋体" w:cs="宋体"/>
                <w:b/>
                <w:bCs/>
                <w:sz w:val="32"/>
                <w:szCs w:val="32"/>
              </w:rPr>
              <w:t>100</w:t>
            </w:r>
            <w:r>
              <w:rPr>
                <w:rFonts w:hint="eastAsia" w:ascii="宋体" w:hAnsi="宋体" w:cs="宋体"/>
                <w:b/>
                <w:bCs/>
                <w:sz w:val="32"/>
                <w:szCs w:val="32"/>
              </w:rPr>
              <w:t>万元以上（含）特定目标类部门预算项目绩效目标自评</w:t>
            </w:r>
          </w:p>
        </w:tc>
        <w:tc>
          <w:tcPr>
            <w:tcW w:w="234" w:type="dxa"/>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实施单位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项目预算</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执行情况</w:t>
            </w:r>
          </w:p>
          <w:p>
            <w:pPr>
              <w:widowControl/>
              <w:spacing w:line="320" w:lineRule="exact"/>
              <w:jc w:val="center"/>
              <w:textAlignment w:val="center"/>
              <w:rPr>
                <w:rFonts w:ascii="宋体"/>
                <w:sz w:val="24"/>
                <w:szCs w:val="24"/>
              </w:rPr>
            </w:pPr>
            <w:r>
              <w:rPr>
                <w:rFonts w:hint="eastAsia" w:ascii="宋体" w:hAnsi="宋体" w:cs="宋体"/>
                <w:kern w:val="0"/>
                <w:sz w:val="24"/>
                <w:szCs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ascii="宋体" w:hAnsi="宋体" w:cs="宋体"/>
                <w:kern w:val="0"/>
                <w:sz w:val="24"/>
                <w:szCs w:val="24"/>
              </w:rPr>
              <w:t xml:space="preserve"> </w:t>
            </w:r>
            <w:r>
              <w:rPr>
                <w:rFonts w:hint="eastAsia" w:ascii="宋体" w:hAnsi="宋体" w:cs="宋体"/>
                <w:kern w:val="0"/>
                <w:sz w:val="24"/>
                <w:szCs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ascii="宋体" w:hAnsi="宋体" w:cs="宋体"/>
                <w:kern w:val="0"/>
                <w:sz w:val="24"/>
                <w:szCs w:val="24"/>
              </w:rPr>
              <w:t xml:space="preserve"> </w:t>
            </w:r>
            <w:r>
              <w:rPr>
                <w:rFonts w:hint="eastAsia" w:ascii="宋体" w:hAnsi="宋体" w:cs="宋体"/>
                <w:kern w:val="0"/>
                <w:sz w:val="24"/>
                <w:szCs w:val="24"/>
              </w:rPr>
              <w:t>执行数：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sz w:val="24"/>
                <w:szCs w:val="24"/>
              </w:rPr>
            </w:pPr>
          </w:p>
        </w:tc>
      </w:tr>
      <w:tr>
        <w:tblPrEx>
          <w:tblCellMar>
            <w:top w:w="0" w:type="dxa"/>
            <w:left w:w="108" w:type="dxa"/>
            <w:bottom w:w="0" w:type="dxa"/>
            <w:right w:w="108" w:type="dxa"/>
          </w:tblCellMar>
        </w:tblPrEx>
        <w:trPr>
          <w:gridAfter w:val="1"/>
          <w:wAfter w:w="234" w:type="dxa"/>
          <w:trHeight w:val="555" w:hRule="atLeast"/>
        </w:trPr>
        <w:tc>
          <w:tcPr>
            <w:tcW w:w="1354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sz w:val="24"/>
                <w:szCs w:val="24"/>
              </w:rPr>
            </w:pPr>
          </w:p>
        </w:tc>
      </w:tr>
      <w:tr>
        <w:tblPrEx>
          <w:tblCellMar>
            <w:top w:w="0" w:type="dxa"/>
            <w:left w:w="108" w:type="dxa"/>
            <w:bottom w:w="0" w:type="dxa"/>
            <w:right w:w="108" w:type="dxa"/>
          </w:tblCellMar>
        </w:tblPrEx>
        <w:trPr>
          <w:gridAfter w:val="1"/>
          <w:wAfter w:w="234" w:type="dxa"/>
          <w:trHeight w:val="341" w:hRule="atLeast"/>
        </w:trPr>
        <w:tc>
          <w:tcPr>
            <w:tcW w:w="1354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sz w:val="24"/>
                <w:szCs w:val="24"/>
              </w:rPr>
            </w:pPr>
            <w:r>
              <w:rPr>
                <w:rFonts w:hint="eastAsia" w:ascii="宋体" w:hAnsi="宋体" w:cs="宋体"/>
                <w:kern w:val="0"/>
                <w:sz w:val="24"/>
                <w:szCs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 w:val="24"/>
                <w:szCs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p>
        </w:tc>
        <w:tc>
          <w:tcPr>
            <w:tcW w:w="36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39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39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39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39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39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39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95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bl>
    <w:p>
      <w:pPr>
        <w:spacing w:line="600" w:lineRule="exact"/>
        <w:outlineLvl w:val="0"/>
        <w:rPr>
          <w:rFonts w:ascii="黑体" w:hAnsi="黑体" w:eastAsia="黑体"/>
          <w:sz w:val="32"/>
          <w:szCs w:val="32"/>
        </w:rPr>
      </w:pPr>
      <w:r>
        <w:rPr>
          <w:rFonts w:hint="eastAsia" w:ascii="黑体" w:hAnsi="黑体" w:eastAsia="黑体" w:cs="黑体"/>
          <w:sz w:val="32"/>
          <w:szCs w:val="32"/>
        </w:rPr>
        <w:t>附件</w:t>
      </w:r>
    </w:p>
    <w:p>
      <w:pPr>
        <w:widowControl/>
        <w:adjustRightInd w:val="0"/>
        <w:snapToGrid w:val="0"/>
        <w:spacing w:line="580" w:lineRule="exact"/>
        <w:ind w:firstLine="640" w:firstLineChars="200"/>
        <w:jc w:val="left"/>
      </w:pPr>
      <w:r>
        <w:rPr>
          <w:rFonts w:hint="eastAsia" w:ascii="仿宋_GB2312" w:hAnsi="宋体" w:eastAsia="仿宋_GB2312" w:cs="仿宋_GB2312"/>
          <w:color w:val="000000"/>
          <w:kern w:val="0"/>
          <w:sz w:val="32"/>
          <w:szCs w:val="32"/>
          <w:shd w:val="clear" w:color="auto" w:fill="FFFFFF"/>
        </w:rPr>
        <w:t>（注：</w:t>
      </w:r>
      <w:r>
        <w:rPr>
          <w:rFonts w:ascii="仿宋_GB2312" w:hAnsi="宋体" w:eastAsia="仿宋_GB2312" w:cs="仿宋_GB2312"/>
          <w:color w:val="000000"/>
          <w:kern w:val="0"/>
          <w:sz w:val="32"/>
          <w:szCs w:val="32"/>
          <w:shd w:val="clear" w:color="auto" w:fill="FFFFFF"/>
        </w:rPr>
        <w:t>2021</w:t>
      </w:r>
      <w:r>
        <w:rPr>
          <w:rFonts w:hint="eastAsia" w:ascii="仿宋_GB2312" w:hAnsi="宋体" w:eastAsia="仿宋_GB2312" w:cs="仿宋_GB2312"/>
          <w:color w:val="000000"/>
          <w:kern w:val="0"/>
          <w:sz w:val="32"/>
          <w:szCs w:val="32"/>
          <w:shd w:val="clear" w:color="auto" w:fill="FFFFFF"/>
        </w:rPr>
        <w:t>年四川省至诚监狱无</w:t>
      </w:r>
      <w:r>
        <w:rPr>
          <w:rFonts w:ascii="仿宋_GB2312" w:hAnsi="宋体" w:eastAsia="仿宋_GB2312" w:cs="仿宋_GB2312"/>
          <w:color w:val="000000"/>
          <w:kern w:val="0"/>
          <w:sz w:val="32"/>
          <w:szCs w:val="32"/>
          <w:shd w:val="clear" w:color="auto" w:fill="FFFFFF"/>
        </w:rPr>
        <w:t>100</w:t>
      </w:r>
      <w:r>
        <w:rPr>
          <w:rFonts w:hint="eastAsia" w:ascii="仿宋_GB2312" w:hAnsi="宋体" w:eastAsia="仿宋_GB2312" w:cs="仿宋_GB2312"/>
          <w:color w:val="000000"/>
          <w:kern w:val="0"/>
          <w:sz w:val="32"/>
          <w:szCs w:val="32"/>
          <w:shd w:val="clear" w:color="auto" w:fill="FFFFFF"/>
        </w:rPr>
        <w:t>万元以上（含）特定目标类部门预算项目。）</w:t>
      </w:r>
    </w:p>
    <w:p>
      <w:pPr>
        <w:pStyle w:val="2"/>
        <w:spacing w:before="93"/>
        <w:rPr>
          <w:rFonts w:ascii="黑体" w:hAnsi="黑体" w:eastAsia="黑体" w:cs="Times New Roman"/>
          <w:sz w:val="44"/>
          <w:szCs w:val="44"/>
        </w:rPr>
      </w:pPr>
    </w:p>
    <w:p>
      <w:pPr>
        <w:pStyle w:val="2"/>
        <w:spacing w:before="93"/>
        <w:rPr>
          <w:rFonts w:ascii="黑体" w:hAnsi="黑体" w:eastAsia="黑体" w:cs="Times New Roman"/>
          <w:sz w:val="44"/>
          <w:szCs w:val="44"/>
        </w:rPr>
      </w:pPr>
    </w:p>
    <w:p>
      <w:pPr>
        <w:spacing w:line="600" w:lineRule="exact"/>
        <w:jc w:val="center"/>
        <w:outlineLvl w:val="0"/>
        <w:rPr>
          <w:rFonts w:ascii="仿宋" w:hAnsi="仿宋" w:eastAsia="仿宋"/>
        </w:rPr>
      </w:pPr>
      <w:r>
        <w:rPr>
          <w:rFonts w:hint="eastAsia" w:ascii="黑体" w:hAnsi="黑体" w:eastAsia="黑体" w:cs="黑体"/>
          <w:sz w:val="44"/>
          <w:szCs w:val="44"/>
        </w:rPr>
        <w:t>第</w:t>
      </w:r>
      <w:r>
        <w:rPr>
          <w:rStyle w:val="17"/>
          <w:rFonts w:hint="eastAsia" w:ascii="黑体" w:hAnsi="黑体" w:eastAsia="黑体" w:cs="黑体"/>
          <w:b w:val="0"/>
          <w:bCs w:val="0"/>
        </w:rPr>
        <w:t>五部分</w:t>
      </w:r>
      <w:r>
        <w:rPr>
          <w:rStyle w:val="17"/>
          <w:rFonts w:ascii="黑体" w:hAnsi="黑体" w:eastAsia="黑体" w:cs="黑体"/>
          <w:b w:val="0"/>
          <w:bCs w:val="0"/>
        </w:rPr>
        <w:t xml:space="preserve"> </w:t>
      </w:r>
      <w:r>
        <w:rPr>
          <w:rStyle w:val="17"/>
          <w:rFonts w:hint="eastAsia" w:ascii="黑体" w:hAnsi="黑体" w:eastAsia="黑体" w:cs="黑体"/>
          <w:b w:val="0"/>
          <w:bCs w:val="0"/>
        </w:rPr>
        <w:t>附表</w:t>
      </w:r>
      <w:bookmarkEnd w:id="51"/>
      <w:bookmarkEnd w:id="53"/>
      <w:bookmarkStart w:id="54" w:name="_Toc15396619"/>
    </w:p>
    <w:p>
      <w:pPr>
        <w:pStyle w:val="4"/>
        <w:rPr>
          <w:rFonts w:ascii="仿宋" w:hAnsi="仿宋" w:eastAsia="仿宋" w:cs="Times New Roman"/>
        </w:rPr>
      </w:pPr>
      <w:r>
        <w:rPr>
          <w:rFonts w:hint="eastAsia" w:ascii="仿宋" w:hAnsi="仿宋" w:eastAsia="仿宋" w:cs="仿宋"/>
          <w:b w:val="0"/>
          <w:bCs w:val="0"/>
        </w:rPr>
        <w:t>一、收</w:t>
      </w:r>
      <w:r>
        <w:rPr>
          <w:rStyle w:val="18"/>
          <w:rFonts w:hint="eastAsia" w:ascii="仿宋" w:hAnsi="仿宋" w:eastAsia="仿宋" w:cs="仿宋"/>
          <w:b w:val="0"/>
          <w:bCs w:val="0"/>
        </w:rPr>
        <w:t>入支出决算总表</w:t>
      </w:r>
      <w:bookmarkEnd w:id="54"/>
    </w:p>
    <w:p>
      <w:pPr>
        <w:pStyle w:val="4"/>
        <w:rPr>
          <w:rFonts w:ascii="仿宋" w:hAnsi="仿宋" w:eastAsia="仿宋" w:cs="Times New Roman"/>
        </w:rPr>
      </w:pPr>
      <w:bookmarkStart w:id="55" w:name="_Toc15396620"/>
      <w:r>
        <w:rPr>
          <w:rFonts w:hint="eastAsia" w:ascii="仿宋" w:hAnsi="仿宋" w:eastAsia="仿宋" w:cs="仿宋"/>
          <w:b w:val="0"/>
          <w:bCs w:val="0"/>
        </w:rPr>
        <w:t>二、收</w:t>
      </w:r>
      <w:r>
        <w:rPr>
          <w:rStyle w:val="18"/>
          <w:rFonts w:hint="eastAsia" w:ascii="仿宋" w:hAnsi="仿宋" w:eastAsia="仿宋" w:cs="仿宋"/>
          <w:b w:val="0"/>
          <w:bCs w:val="0"/>
        </w:rPr>
        <w:t>入决算表</w:t>
      </w:r>
      <w:bookmarkEnd w:id="55"/>
    </w:p>
    <w:p>
      <w:pPr>
        <w:pStyle w:val="4"/>
        <w:rPr>
          <w:rFonts w:ascii="仿宋" w:hAnsi="仿宋" w:eastAsia="仿宋" w:cs="Times New Roman"/>
        </w:rPr>
      </w:pPr>
      <w:bookmarkStart w:id="56" w:name="_Toc15396621"/>
      <w:r>
        <w:rPr>
          <w:rStyle w:val="18"/>
          <w:rFonts w:hint="eastAsia" w:ascii="仿宋" w:hAnsi="仿宋" w:eastAsia="仿宋" w:cs="仿宋"/>
          <w:b w:val="0"/>
          <w:bCs w:val="0"/>
        </w:rPr>
        <w:t>三、</w:t>
      </w:r>
      <w:r>
        <w:rPr>
          <w:rFonts w:hint="eastAsia" w:ascii="仿宋" w:hAnsi="仿宋" w:eastAsia="仿宋" w:cs="仿宋"/>
          <w:b w:val="0"/>
          <w:bCs w:val="0"/>
        </w:rPr>
        <w:t>支</w:t>
      </w:r>
      <w:r>
        <w:rPr>
          <w:rStyle w:val="18"/>
          <w:rFonts w:hint="eastAsia" w:ascii="仿宋" w:hAnsi="仿宋" w:eastAsia="仿宋" w:cs="仿宋"/>
          <w:b w:val="0"/>
          <w:bCs w:val="0"/>
        </w:rPr>
        <w:t>出决算表</w:t>
      </w:r>
      <w:bookmarkEnd w:id="56"/>
    </w:p>
    <w:p>
      <w:pPr>
        <w:pStyle w:val="4"/>
        <w:rPr>
          <w:rFonts w:ascii="仿宋" w:hAnsi="仿宋" w:eastAsia="仿宋" w:cs="Times New Roman"/>
          <w:b w:val="0"/>
          <w:bCs w:val="0"/>
        </w:rPr>
      </w:pPr>
      <w:bookmarkStart w:id="57" w:name="_Toc15396622"/>
      <w:r>
        <w:rPr>
          <w:rStyle w:val="18"/>
          <w:rFonts w:hint="eastAsia" w:ascii="仿宋" w:hAnsi="仿宋" w:eastAsia="仿宋" w:cs="仿宋"/>
          <w:b w:val="0"/>
          <w:bCs w:val="0"/>
        </w:rPr>
        <w:t>四、</w:t>
      </w:r>
      <w:r>
        <w:rPr>
          <w:rFonts w:hint="eastAsia" w:ascii="仿宋" w:hAnsi="仿宋" w:eastAsia="仿宋" w:cs="仿宋"/>
          <w:b w:val="0"/>
          <w:bCs w:val="0"/>
        </w:rPr>
        <w:t>财</w:t>
      </w:r>
      <w:r>
        <w:rPr>
          <w:rStyle w:val="18"/>
          <w:rFonts w:hint="eastAsia" w:ascii="仿宋" w:hAnsi="仿宋" w:eastAsia="仿宋" w:cs="仿宋"/>
          <w:b w:val="0"/>
          <w:bCs w:val="0"/>
        </w:rPr>
        <w:t>政拨款收入支出决算总表</w:t>
      </w:r>
      <w:bookmarkEnd w:id="57"/>
    </w:p>
    <w:p>
      <w:pPr>
        <w:pStyle w:val="4"/>
        <w:rPr>
          <w:rStyle w:val="18"/>
          <w:rFonts w:ascii="仿宋" w:hAnsi="仿宋" w:eastAsia="仿宋" w:cs="Times New Roman"/>
          <w:b w:val="0"/>
          <w:bCs w:val="0"/>
        </w:rPr>
      </w:pPr>
      <w:bookmarkStart w:id="58" w:name="_Toc15396623"/>
      <w:r>
        <w:rPr>
          <w:rStyle w:val="18"/>
          <w:rFonts w:hint="eastAsia" w:ascii="仿宋" w:hAnsi="仿宋" w:eastAsia="仿宋" w:cs="仿宋"/>
          <w:b w:val="0"/>
          <w:bCs w:val="0"/>
        </w:rPr>
        <w:t>五、</w:t>
      </w:r>
      <w:r>
        <w:rPr>
          <w:rFonts w:hint="eastAsia" w:ascii="仿宋" w:hAnsi="仿宋" w:eastAsia="仿宋" w:cs="仿宋"/>
          <w:b w:val="0"/>
          <w:bCs w:val="0"/>
        </w:rPr>
        <w:t>财</w:t>
      </w:r>
      <w:r>
        <w:rPr>
          <w:rStyle w:val="18"/>
          <w:rFonts w:hint="eastAsia" w:ascii="仿宋" w:hAnsi="仿宋" w:eastAsia="仿宋" w:cs="仿宋"/>
          <w:b w:val="0"/>
          <w:bCs w:val="0"/>
        </w:rPr>
        <w:t>政拨款支出决算明细表</w:t>
      </w:r>
      <w:bookmarkEnd w:id="58"/>
      <w:bookmarkStart w:id="59" w:name="_Toc15396624"/>
    </w:p>
    <w:p>
      <w:pPr>
        <w:pStyle w:val="4"/>
        <w:rPr>
          <w:rFonts w:ascii="仿宋" w:hAnsi="仿宋" w:eastAsia="仿宋" w:cs="Times New Roman"/>
        </w:rPr>
      </w:pPr>
      <w:r>
        <w:rPr>
          <w:rStyle w:val="18"/>
          <w:rFonts w:hint="eastAsia" w:ascii="仿宋" w:hAnsi="仿宋" w:eastAsia="仿宋" w:cs="仿宋"/>
          <w:b w:val="0"/>
          <w:bCs w:val="0"/>
        </w:rPr>
        <w:t>六、</w:t>
      </w:r>
      <w:r>
        <w:rPr>
          <w:rFonts w:hint="eastAsia" w:ascii="仿宋" w:hAnsi="仿宋" w:eastAsia="仿宋" w:cs="仿宋"/>
          <w:b w:val="0"/>
          <w:bCs w:val="0"/>
        </w:rPr>
        <w:t>一</w:t>
      </w:r>
      <w:r>
        <w:rPr>
          <w:rStyle w:val="18"/>
          <w:rFonts w:hint="eastAsia" w:ascii="仿宋" w:hAnsi="仿宋" w:eastAsia="仿宋" w:cs="仿宋"/>
          <w:b w:val="0"/>
          <w:bCs w:val="0"/>
        </w:rPr>
        <w:t>般公共预算财政拨款支出决算表</w:t>
      </w:r>
      <w:bookmarkEnd w:id="59"/>
    </w:p>
    <w:p>
      <w:pPr>
        <w:pStyle w:val="4"/>
        <w:rPr>
          <w:rFonts w:ascii="仿宋" w:hAnsi="仿宋" w:eastAsia="仿宋" w:cs="Times New Roman"/>
        </w:rPr>
      </w:pPr>
      <w:bookmarkStart w:id="60" w:name="_Toc15396625"/>
      <w:r>
        <w:rPr>
          <w:rStyle w:val="18"/>
          <w:rFonts w:hint="eastAsia" w:ascii="仿宋" w:hAnsi="仿宋" w:eastAsia="仿宋" w:cs="仿宋"/>
          <w:b w:val="0"/>
          <w:bCs w:val="0"/>
        </w:rPr>
        <w:t>七、</w:t>
      </w:r>
      <w:r>
        <w:rPr>
          <w:rFonts w:hint="eastAsia" w:ascii="仿宋" w:hAnsi="仿宋" w:eastAsia="仿宋" w:cs="仿宋"/>
          <w:b w:val="0"/>
          <w:bCs w:val="0"/>
        </w:rPr>
        <w:t>一</w:t>
      </w:r>
      <w:r>
        <w:rPr>
          <w:rStyle w:val="18"/>
          <w:rFonts w:hint="eastAsia" w:ascii="仿宋" w:hAnsi="仿宋" w:eastAsia="仿宋" w:cs="仿宋"/>
          <w:b w:val="0"/>
          <w:bCs w:val="0"/>
        </w:rPr>
        <w:t>般公共预算财政拨款支出决算明细表</w:t>
      </w:r>
      <w:bookmarkEnd w:id="60"/>
    </w:p>
    <w:p>
      <w:pPr>
        <w:pStyle w:val="4"/>
        <w:rPr>
          <w:rFonts w:ascii="仿宋" w:hAnsi="仿宋" w:eastAsia="仿宋" w:cs="Times New Roman"/>
        </w:rPr>
      </w:pPr>
      <w:bookmarkStart w:id="61" w:name="_Toc15396626"/>
      <w:r>
        <w:rPr>
          <w:rStyle w:val="18"/>
          <w:rFonts w:hint="eastAsia" w:ascii="仿宋" w:hAnsi="仿宋" w:eastAsia="仿宋" w:cs="仿宋"/>
          <w:b w:val="0"/>
          <w:bCs w:val="0"/>
        </w:rPr>
        <w:t>八、</w:t>
      </w:r>
      <w:r>
        <w:rPr>
          <w:rFonts w:hint="eastAsia" w:ascii="仿宋" w:hAnsi="仿宋" w:eastAsia="仿宋" w:cs="仿宋"/>
          <w:b w:val="0"/>
          <w:bCs w:val="0"/>
        </w:rPr>
        <w:t>一</w:t>
      </w:r>
      <w:r>
        <w:rPr>
          <w:rStyle w:val="18"/>
          <w:rFonts w:hint="eastAsia" w:ascii="仿宋" w:hAnsi="仿宋" w:eastAsia="仿宋" w:cs="仿宋"/>
          <w:b w:val="0"/>
          <w:bCs w:val="0"/>
        </w:rPr>
        <w:t>般公共预算财政拨款基本支出决算表</w:t>
      </w:r>
      <w:bookmarkEnd w:id="61"/>
    </w:p>
    <w:p>
      <w:pPr>
        <w:pStyle w:val="4"/>
        <w:rPr>
          <w:rFonts w:ascii="仿宋" w:hAnsi="仿宋" w:eastAsia="仿宋" w:cs="Times New Roman"/>
        </w:rPr>
      </w:pPr>
      <w:bookmarkStart w:id="62" w:name="_Toc15396627"/>
      <w:r>
        <w:rPr>
          <w:rStyle w:val="18"/>
          <w:rFonts w:hint="eastAsia" w:ascii="仿宋" w:hAnsi="仿宋" w:eastAsia="仿宋" w:cs="仿宋"/>
          <w:b w:val="0"/>
          <w:bCs w:val="0"/>
        </w:rPr>
        <w:t>九、</w:t>
      </w:r>
      <w:r>
        <w:rPr>
          <w:rFonts w:hint="eastAsia" w:ascii="仿宋" w:hAnsi="仿宋" w:eastAsia="仿宋" w:cs="仿宋"/>
          <w:b w:val="0"/>
          <w:bCs w:val="0"/>
        </w:rPr>
        <w:t>一</w:t>
      </w:r>
      <w:r>
        <w:rPr>
          <w:rStyle w:val="18"/>
          <w:rFonts w:hint="eastAsia" w:ascii="仿宋" w:hAnsi="仿宋" w:eastAsia="仿宋" w:cs="仿宋"/>
          <w:b w:val="0"/>
          <w:bCs w:val="0"/>
        </w:rPr>
        <w:t>般公共预算财政拨款项目支出决算表</w:t>
      </w:r>
      <w:bookmarkEnd w:id="62"/>
    </w:p>
    <w:p>
      <w:pPr>
        <w:pStyle w:val="4"/>
        <w:rPr>
          <w:rFonts w:ascii="仿宋" w:hAnsi="仿宋" w:eastAsia="仿宋" w:cs="Times New Roman"/>
        </w:rPr>
      </w:pPr>
      <w:bookmarkStart w:id="63" w:name="_Toc15396628"/>
      <w:r>
        <w:rPr>
          <w:rStyle w:val="18"/>
          <w:rFonts w:hint="eastAsia" w:ascii="仿宋" w:hAnsi="仿宋" w:eastAsia="仿宋" w:cs="仿宋"/>
          <w:b w:val="0"/>
          <w:bCs w:val="0"/>
        </w:rPr>
        <w:t>十、</w:t>
      </w:r>
      <w:r>
        <w:rPr>
          <w:rFonts w:hint="eastAsia" w:ascii="仿宋" w:hAnsi="仿宋" w:eastAsia="仿宋" w:cs="仿宋"/>
          <w:b w:val="0"/>
          <w:bCs w:val="0"/>
        </w:rPr>
        <w:t>一</w:t>
      </w:r>
      <w:r>
        <w:rPr>
          <w:rStyle w:val="18"/>
          <w:rFonts w:hint="eastAsia" w:ascii="仿宋" w:hAnsi="仿宋" w:eastAsia="仿宋" w:cs="仿宋"/>
          <w:b w:val="0"/>
          <w:bCs w:val="0"/>
        </w:rPr>
        <w:t>般公共预算财政拨款“三公”经费支出决算表</w:t>
      </w:r>
      <w:bookmarkEnd w:id="63"/>
    </w:p>
    <w:p>
      <w:pPr>
        <w:pStyle w:val="4"/>
        <w:rPr>
          <w:rFonts w:ascii="仿宋" w:hAnsi="仿宋" w:eastAsia="仿宋" w:cs="Times New Roman"/>
        </w:rPr>
      </w:pPr>
      <w:bookmarkStart w:id="64" w:name="_Toc15396629"/>
      <w:r>
        <w:rPr>
          <w:rStyle w:val="18"/>
          <w:rFonts w:hint="eastAsia" w:ascii="仿宋" w:hAnsi="仿宋" w:eastAsia="仿宋" w:cs="仿宋"/>
          <w:b w:val="0"/>
          <w:bCs w:val="0"/>
        </w:rPr>
        <w:t>十一、</w:t>
      </w:r>
      <w:r>
        <w:rPr>
          <w:rFonts w:hint="eastAsia" w:ascii="仿宋" w:hAnsi="仿宋" w:eastAsia="仿宋" w:cs="仿宋"/>
          <w:b w:val="0"/>
          <w:bCs w:val="0"/>
        </w:rPr>
        <w:t>政</w:t>
      </w:r>
      <w:r>
        <w:rPr>
          <w:rStyle w:val="18"/>
          <w:rFonts w:hint="eastAsia" w:ascii="仿宋" w:hAnsi="仿宋" w:eastAsia="仿宋" w:cs="仿宋"/>
          <w:b w:val="0"/>
          <w:bCs w:val="0"/>
        </w:rPr>
        <w:t>府性基金预算财政拨款收入支出决算表</w:t>
      </w:r>
      <w:bookmarkEnd w:id="64"/>
    </w:p>
    <w:p>
      <w:pPr>
        <w:pStyle w:val="4"/>
        <w:rPr>
          <w:rFonts w:ascii="仿宋" w:hAnsi="仿宋" w:eastAsia="仿宋" w:cs="Times New Roman"/>
        </w:rPr>
      </w:pPr>
      <w:bookmarkStart w:id="65" w:name="_Toc15396630"/>
      <w:r>
        <w:rPr>
          <w:rStyle w:val="18"/>
          <w:rFonts w:hint="eastAsia" w:ascii="仿宋" w:hAnsi="仿宋" w:eastAsia="仿宋" w:cs="仿宋"/>
          <w:b w:val="0"/>
          <w:bCs w:val="0"/>
        </w:rPr>
        <w:t>十二、</w:t>
      </w:r>
      <w:r>
        <w:rPr>
          <w:rFonts w:hint="eastAsia" w:ascii="仿宋" w:hAnsi="仿宋" w:eastAsia="仿宋" w:cs="仿宋"/>
          <w:b w:val="0"/>
          <w:bCs w:val="0"/>
        </w:rPr>
        <w:t>政</w:t>
      </w:r>
      <w:r>
        <w:rPr>
          <w:rStyle w:val="18"/>
          <w:rFonts w:hint="eastAsia" w:ascii="仿宋" w:hAnsi="仿宋" w:eastAsia="仿宋" w:cs="仿宋"/>
          <w:b w:val="0"/>
          <w:bCs w:val="0"/>
        </w:rPr>
        <w:t>府性基金预算财政拨款“三公”经费支出决算表</w:t>
      </w:r>
      <w:bookmarkEnd w:id="65"/>
    </w:p>
    <w:p>
      <w:pPr>
        <w:pStyle w:val="4"/>
        <w:rPr>
          <w:rStyle w:val="18"/>
          <w:rFonts w:ascii="仿宋" w:hAnsi="仿宋" w:eastAsia="仿宋" w:cs="Times New Roman"/>
          <w:b w:val="0"/>
          <w:bCs w:val="0"/>
        </w:rPr>
      </w:pPr>
      <w:bookmarkStart w:id="66" w:name="_Toc15396631"/>
      <w:r>
        <w:rPr>
          <w:rStyle w:val="18"/>
          <w:rFonts w:hint="eastAsia" w:ascii="仿宋" w:hAnsi="仿宋" w:eastAsia="仿宋" w:cs="仿宋"/>
          <w:b w:val="0"/>
          <w:bCs w:val="0"/>
        </w:rPr>
        <w:t>十三、</w:t>
      </w:r>
      <w:r>
        <w:rPr>
          <w:rFonts w:hint="eastAsia" w:ascii="仿宋" w:hAnsi="仿宋" w:eastAsia="仿宋" w:cs="仿宋"/>
          <w:b w:val="0"/>
          <w:bCs w:val="0"/>
        </w:rPr>
        <w:t>国</w:t>
      </w:r>
      <w:r>
        <w:rPr>
          <w:rStyle w:val="18"/>
          <w:rFonts w:hint="eastAsia" w:ascii="仿宋" w:hAnsi="仿宋" w:eastAsia="仿宋" w:cs="仿宋"/>
          <w:b w:val="0"/>
          <w:bCs w:val="0"/>
        </w:rPr>
        <w:t>有资本经营预算财政拨款收入支出决算表</w:t>
      </w:r>
      <w:bookmarkEnd w:id="66"/>
    </w:p>
    <w:p>
      <w:pPr>
        <w:rPr>
          <w:rStyle w:val="18"/>
          <w:rFonts w:ascii="仿宋" w:hAnsi="仿宋" w:eastAsia="仿宋" w:cs="Times New Roman"/>
          <w:b w:val="0"/>
          <w:bCs w:val="0"/>
        </w:rPr>
      </w:pPr>
      <w:r>
        <w:rPr>
          <w:rStyle w:val="18"/>
          <w:rFonts w:hint="eastAsia" w:ascii="仿宋" w:hAnsi="仿宋" w:eastAsia="仿宋" w:cs="仿宋"/>
          <w:b w:val="0"/>
          <w:bCs w:val="0"/>
        </w:rPr>
        <w:t>十四、国有资本经营预算财政拨款支出决算表</w:t>
      </w:r>
    </w:p>
    <w:p>
      <w:pPr>
        <w:pStyle w:val="2"/>
        <w:spacing w:before="93"/>
        <w:rPr>
          <w:rFonts w:cs="Times New Roma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MmE1Yzc3NjFlZWQ0MjE3NTg0NDExOTMxNjdiZWEifQ=="/>
  </w:docVars>
  <w:rsids>
    <w:rsidRoot w:val="00F1361C"/>
    <w:rsid w:val="00006FDA"/>
    <w:rsid w:val="000222C6"/>
    <w:rsid w:val="0002549F"/>
    <w:rsid w:val="00025F91"/>
    <w:rsid w:val="000468DB"/>
    <w:rsid w:val="00055C0C"/>
    <w:rsid w:val="00061A3F"/>
    <w:rsid w:val="0006487A"/>
    <w:rsid w:val="00065F8F"/>
    <w:rsid w:val="00070A43"/>
    <w:rsid w:val="0007174F"/>
    <w:rsid w:val="000768F2"/>
    <w:rsid w:val="0009184B"/>
    <w:rsid w:val="000932A8"/>
    <w:rsid w:val="00094236"/>
    <w:rsid w:val="00095404"/>
    <w:rsid w:val="0009593C"/>
    <w:rsid w:val="00097322"/>
    <w:rsid w:val="000A1DAA"/>
    <w:rsid w:val="000A6A92"/>
    <w:rsid w:val="000B047F"/>
    <w:rsid w:val="000B15D3"/>
    <w:rsid w:val="000B5923"/>
    <w:rsid w:val="000B5A48"/>
    <w:rsid w:val="000B6FF3"/>
    <w:rsid w:val="000C3467"/>
    <w:rsid w:val="000C3CA6"/>
    <w:rsid w:val="000C434C"/>
    <w:rsid w:val="000D1267"/>
    <w:rsid w:val="000D1D50"/>
    <w:rsid w:val="000D5782"/>
    <w:rsid w:val="000E5050"/>
    <w:rsid w:val="000E6613"/>
    <w:rsid w:val="000E7119"/>
    <w:rsid w:val="000F3DE2"/>
    <w:rsid w:val="00100B4A"/>
    <w:rsid w:val="00114E9B"/>
    <w:rsid w:val="001229C8"/>
    <w:rsid w:val="00126FD5"/>
    <w:rsid w:val="0013697F"/>
    <w:rsid w:val="00142216"/>
    <w:rsid w:val="0014478C"/>
    <w:rsid w:val="00144D6A"/>
    <w:rsid w:val="00146190"/>
    <w:rsid w:val="0014729F"/>
    <w:rsid w:val="001536BD"/>
    <w:rsid w:val="00157BAB"/>
    <w:rsid w:val="001654D1"/>
    <w:rsid w:val="00170275"/>
    <w:rsid w:val="00174518"/>
    <w:rsid w:val="0018106D"/>
    <w:rsid w:val="00184216"/>
    <w:rsid w:val="001877A7"/>
    <w:rsid w:val="00191536"/>
    <w:rsid w:val="00196687"/>
    <w:rsid w:val="00197CE2"/>
    <w:rsid w:val="001A0E59"/>
    <w:rsid w:val="001A11F3"/>
    <w:rsid w:val="001A2438"/>
    <w:rsid w:val="001A3184"/>
    <w:rsid w:val="001B6986"/>
    <w:rsid w:val="001C0962"/>
    <w:rsid w:val="001D4EA6"/>
    <w:rsid w:val="001D7531"/>
    <w:rsid w:val="001E737D"/>
    <w:rsid w:val="001F0474"/>
    <w:rsid w:val="001F0592"/>
    <w:rsid w:val="001F7506"/>
    <w:rsid w:val="002006CD"/>
    <w:rsid w:val="00202B36"/>
    <w:rsid w:val="00204B7A"/>
    <w:rsid w:val="00204CDE"/>
    <w:rsid w:val="0021101A"/>
    <w:rsid w:val="00220536"/>
    <w:rsid w:val="0022111C"/>
    <w:rsid w:val="00227FD8"/>
    <w:rsid w:val="00230868"/>
    <w:rsid w:val="00235629"/>
    <w:rsid w:val="00253217"/>
    <w:rsid w:val="00260C38"/>
    <w:rsid w:val="002616C0"/>
    <w:rsid w:val="00265372"/>
    <w:rsid w:val="002662AA"/>
    <w:rsid w:val="00271610"/>
    <w:rsid w:val="0027291E"/>
    <w:rsid w:val="00280496"/>
    <w:rsid w:val="00294DC9"/>
    <w:rsid w:val="00295495"/>
    <w:rsid w:val="002A1FDD"/>
    <w:rsid w:val="002A31DE"/>
    <w:rsid w:val="002B2613"/>
    <w:rsid w:val="002B6721"/>
    <w:rsid w:val="002C66AD"/>
    <w:rsid w:val="002D117B"/>
    <w:rsid w:val="002D6D05"/>
    <w:rsid w:val="002F1818"/>
    <w:rsid w:val="002F567B"/>
    <w:rsid w:val="003071C0"/>
    <w:rsid w:val="00315031"/>
    <w:rsid w:val="003169E5"/>
    <w:rsid w:val="00317F48"/>
    <w:rsid w:val="003216A9"/>
    <w:rsid w:val="003263E6"/>
    <w:rsid w:val="0033547A"/>
    <w:rsid w:val="00335A74"/>
    <w:rsid w:val="00336B04"/>
    <w:rsid w:val="003440FC"/>
    <w:rsid w:val="00344D36"/>
    <w:rsid w:val="003454B3"/>
    <w:rsid w:val="00346C5A"/>
    <w:rsid w:val="0035013F"/>
    <w:rsid w:val="0036561B"/>
    <w:rsid w:val="00366525"/>
    <w:rsid w:val="0037013F"/>
    <w:rsid w:val="00380C92"/>
    <w:rsid w:val="00384112"/>
    <w:rsid w:val="00391387"/>
    <w:rsid w:val="003A1BD4"/>
    <w:rsid w:val="003A484F"/>
    <w:rsid w:val="003A4883"/>
    <w:rsid w:val="003B0BE0"/>
    <w:rsid w:val="003B0C1B"/>
    <w:rsid w:val="003B5EC7"/>
    <w:rsid w:val="003B688C"/>
    <w:rsid w:val="003C0291"/>
    <w:rsid w:val="003C1E1F"/>
    <w:rsid w:val="003C39AE"/>
    <w:rsid w:val="003C7B60"/>
    <w:rsid w:val="003D0C0F"/>
    <w:rsid w:val="003D1FB2"/>
    <w:rsid w:val="003D316C"/>
    <w:rsid w:val="003D66DA"/>
    <w:rsid w:val="003D7020"/>
    <w:rsid w:val="003D7BFC"/>
    <w:rsid w:val="003E1310"/>
    <w:rsid w:val="003E60FB"/>
    <w:rsid w:val="003E6F55"/>
    <w:rsid w:val="003F7B19"/>
    <w:rsid w:val="00400098"/>
    <w:rsid w:val="00401285"/>
    <w:rsid w:val="00406254"/>
    <w:rsid w:val="00407089"/>
    <w:rsid w:val="00413562"/>
    <w:rsid w:val="004223DE"/>
    <w:rsid w:val="004325EF"/>
    <w:rsid w:val="00434489"/>
    <w:rsid w:val="00437085"/>
    <w:rsid w:val="00443880"/>
    <w:rsid w:val="004464F4"/>
    <w:rsid w:val="00454691"/>
    <w:rsid w:val="00460F13"/>
    <w:rsid w:val="00462442"/>
    <w:rsid w:val="00470780"/>
    <w:rsid w:val="00471401"/>
    <w:rsid w:val="00473F31"/>
    <w:rsid w:val="0048263A"/>
    <w:rsid w:val="00487E5D"/>
    <w:rsid w:val="004961CA"/>
    <w:rsid w:val="004A711F"/>
    <w:rsid w:val="004B199D"/>
    <w:rsid w:val="004B4690"/>
    <w:rsid w:val="004C4211"/>
    <w:rsid w:val="004C5514"/>
    <w:rsid w:val="004E0A2D"/>
    <w:rsid w:val="004E206B"/>
    <w:rsid w:val="004E6DF7"/>
    <w:rsid w:val="004F0FBD"/>
    <w:rsid w:val="004F192B"/>
    <w:rsid w:val="00504C95"/>
    <w:rsid w:val="00505A47"/>
    <w:rsid w:val="00512FDA"/>
    <w:rsid w:val="00516729"/>
    <w:rsid w:val="005209EE"/>
    <w:rsid w:val="00520DA0"/>
    <w:rsid w:val="00521539"/>
    <w:rsid w:val="00533CB8"/>
    <w:rsid w:val="0053507E"/>
    <w:rsid w:val="0054385E"/>
    <w:rsid w:val="00544312"/>
    <w:rsid w:val="00545A6E"/>
    <w:rsid w:val="00545F4F"/>
    <w:rsid w:val="005549FB"/>
    <w:rsid w:val="00563620"/>
    <w:rsid w:val="00565EDE"/>
    <w:rsid w:val="005664BB"/>
    <w:rsid w:val="00566FFA"/>
    <w:rsid w:val="0056764B"/>
    <w:rsid w:val="0057481D"/>
    <w:rsid w:val="00576BD8"/>
    <w:rsid w:val="00577BAE"/>
    <w:rsid w:val="0058486E"/>
    <w:rsid w:val="00585B33"/>
    <w:rsid w:val="00585E21"/>
    <w:rsid w:val="0059014D"/>
    <w:rsid w:val="0059466C"/>
    <w:rsid w:val="005B5C64"/>
    <w:rsid w:val="005B674E"/>
    <w:rsid w:val="005C5337"/>
    <w:rsid w:val="005C6BD0"/>
    <w:rsid w:val="005D1A95"/>
    <w:rsid w:val="005D1C8B"/>
    <w:rsid w:val="005D468D"/>
    <w:rsid w:val="005D5CED"/>
    <w:rsid w:val="005E35A9"/>
    <w:rsid w:val="005F1A4C"/>
    <w:rsid w:val="005F342E"/>
    <w:rsid w:val="005F54E6"/>
    <w:rsid w:val="00601A93"/>
    <w:rsid w:val="006047BB"/>
    <w:rsid w:val="00605688"/>
    <w:rsid w:val="006070AF"/>
    <w:rsid w:val="006079C3"/>
    <w:rsid w:val="00607E6C"/>
    <w:rsid w:val="006101B1"/>
    <w:rsid w:val="00614E44"/>
    <w:rsid w:val="0062270A"/>
    <w:rsid w:val="00622830"/>
    <w:rsid w:val="00623DA0"/>
    <w:rsid w:val="00630AEF"/>
    <w:rsid w:val="006325F8"/>
    <w:rsid w:val="00633463"/>
    <w:rsid w:val="00634C9A"/>
    <w:rsid w:val="0064212D"/>
    <w:rsid w:val="006440E4"/>
    <w:rsid w:val="00654391"/>
    <w:rsid w:val="00662137"/>
    <w:rsid w:val="0066343B"/>
    <w:rsid w:val="00664777"/>
    <w:rsid w:val="00673895"/>
    <w:rsid w:val="006748A4"/>
    <w:rsid w:val="00677502"/>
    <w:rsid w:val="00677A34"/>
    <w:rsid w:val="00681A31"/>
    <w:rsid w:val="006820AB"/>
    <w:rsid w:val="00683E73"/>
    <w:rsid w:val="006A3141"/>
    <w:rsid w:val="006A5E34"/>
    <w:rsid w:val="006B224B"/>
    <w:rsid w:val="006B2422"/>
    <w:rsid w:val="006B2B9A"/>
    <w:rsid w:val="006C1937"/>
    <w:rsid w:val="006D0E83"/>
    <w:rsid w:val="006E1F0F"/>
    <w:rsid w:val="006E2A16"/>
    <w:rsid w:val="006F020C"/>
    <w:rsid w:val="007046D4"/>
    <w:rsid w:val="007127B7"/>
    <w:rsid w:val="0071798E"/>
    <w:rsid w:val="007245C6"/>
    <w:rsid w:val="007416B6"/>
    <w:rsid w:val="00746F48"/>
    <w:rsid w:val="0075404D"/>
    <w:rsid w:val="0076182A"/>
    <w:rsid w:val="00767B7E"/>
    <w:rsid w:val="007744C3"/>
    <w:rsid w:val="00774FA7"/>
    <w:rsid w:val="007770C3"/>
    <w:rsid w:val="00784D24"/>
    <w:rsid w:val="00785FBA"/>
    <w:rsid w:val="00786E4A"/>
    <w:rsid w:val="007875EB"/>
    <w:rsid w:val="0079426B"/>
    <w:rsid w:val="007A28EA"/>
    <w:rsid w:val="007A5924"/>
    <w:rsid w:val="007B4D38"/>
    <w:rsid w:val="007D06AF"/>
    <w:rsid w:val="007D1682"/>
    <w:rsid w:val="007D312A"/>
    <w:rsid w:val="007D3F19"/>
    <w:rsid w:val="007D6209"/>
    <w:rsid w:val="007E23B0"/>
    <w:rsid w:val="007E23E5"/>
    <w:rsid w:val="007E37E9"/>
    <w:rsid w:val="007E4C1B"/>
    <w:rsid w:val="007E62DC"/>
    <w:rsid w:val="007E6E27"/>
    <w:rsid w:val="007F1991"/>
    <w:rsid w:val="007F2C2F"/>
    <w:rsid w:val="007F4411"/>
    <w:rsid w:val="007F55FC"/>
    <w:rsid w:val="007F5665"/>
    <w:rsid w:val="007F645E"/>
    <w:rsid w:val="007F7485"/>
    <w:rsid w:val="00800112"/>
    <w:rsid w:val="00806E55"/>
    <w:rsid w:val="00813348"/>
    <w:rsid w:val="008201E0"/>
    <w:rsid w:val="008253BB"/>
    <w:rsid w:val="0083325E"/>
    <w:rsid w:val="008357BF"/>
    <w:rsid w:val="0083706E"/>
    <w:rsid w:val="008408F6"/>
    <w:rsid w:val="008423A5"/>
    <w:rsid w:val="00850625"/>
    <w:rsid w:val="00853718"/>
    <w:rsid w:val="00855221"/>
    <w:rsid w:val="00857F8E"/>
    <w:rsid w:val="00860645"/>
    <w:rsid w:val="00865FD7"/>
    <w:rsid w:val="00871F71"/>
    <w:rsid w:val="008725D9"/>
    <w:rsid w:val="00872FD8"/>
    <w:rsid w:val="008733D8"/>
    <w:rsid w:val="00880FFD"/>
    <w:rsid w:val="008853C2"/>
    <w:rsid w:val="00885AF4"/>
    <w:rsid w:val="00885D33"/>
    <w:rsid w:val="008939CD"/>
    <w:rsid w:val="008A20E0"/>
    <w:rsid w:val="008B6E61"/>
    <w:rsid w:val="008B768C"/>
    <w:rsid w:val="008C3E1C"/>
    <w:rsid w:val="008C4DB1"/>
    <w:rsid w:val="008C4EAF"/>
    <w:rsid w:val="008C5176"/>
    <w:rsid w:val="008C67A8"/>
    <w:rsid w:val="008C7FD0"/>
    <w:rsid w:val="008E1DE7"/>
    <w:rsid w:val="008E707C"/>
    <w:rsid w:val="00900B08"/>
    <w:rsid w:val="00902155"/>
    <w:rsid w:val="00902A03"/>
    <w:rsid w:val="00902FA3"/>
    <w:rsid w:val="00921CC3"/>
    <w:rsid w:val="00923564"/>
    <w:rsid w:val="0092392E"/>
    <w:rsid w:val="0092590D"/>
    <w:rsid w:val="009315F9"/>
    <w:rsid w:val="00933499"/>
    <w:rsid w:val="00935C98"/>
    <w:rsid w:val="00941163"/>
    <w:rsid w:val="00944F94"/>
    <w:rsid w:val="00945A27"/>
    <w:rsid w:val="00946945"/>
    <w:rsid w:val="00951248"/>
    <w:rsid w:val="0095152F"/>
    <w:rsid w:val="00954C49"/>
    <w:rsid w:val="00955E37"/>
    <w:rsid w:val="00960283"/>
    <w:rsid w:val="00961CB5"/>
    <w:rsid w:val="00965E2F"/>
    <w:rsid w:val="0097099F"/>
    <w:rsid w:val="00971997"/>
    <w:rsid w:val="00971FFC"/>
    <w:rsid w:val="0098660A"/>
    <w:rsid w:val="00990F29"/>
    <w:rsid w:val="009931C3"/>
    <w:rsid w:val="009B2C43"/>
    <w:rsid w:val="009B4EAE"/>
    <w:rsid w:val="009B7573"/>
    <w:rsid w:val="009C02F8"/>
    <w:rsid w:val="009C22F4"/>
    <w:rsid w:val="009C2A4B"/>
    <w:rsid w:val="009C2E98"/>
    <w:rsid w:val="009D2D2C"/>
    <w:rsid w:val="009D3447"/>
    <w:rsid w:val="009D4711"/>
    <w:rsid w:val="009D736A"/>
    <w:rsid w:val="009E76B5"/>
    <w:rsid w:val="009F1185"/>
    <w:rsid w:val="009F18CD"/>
    <w:rsid w:val="009F2A13"/>
    <w:rsid w:val="009F5879"/>
    <w:rsid w:val="009F5B7C"/>
    <w:rsid w:val="009F7527"/>
    <w:rsid w:val="00A02133"/>
    <w:rsid w:val="00A04EB0"/>
    <w:rsid w:val="00A13CC1"/>
    <w:rsid w:val="00A16847"/>
    <w:rsid w:val="00A20B1F"/>
    <w:rsid w:val="00A20FB4"/>
    <w:rsid w:val="00A21180"/>
    <w:rsid w:val="00A237D8"/>
    <w:rsid w:val="00A268C4"/>
    <w:rsid w:val="00A307CD"/>
    <w:rsid w:val="00A331C8"/>
    <w:rsid w:val="00A40A00"/>
    <w:rsid w:val="00A4142F"/>
    <w:rsid w:val="00A422EB"/>
    <w:rsid w:val="00A45BB7"/>
    <w:rsid w:val="00A56DF2"/>
    <w:rsid w:val="00A56E6E"/>
    <w:rsid w:val="00A572C4"/>
    <w:rsid w:val="00A67AB5"/>
    <w:rsid w:val="00A72F59"/>
    <w:rsid w:val="00A733B2"/>
    <w:rsid w:val="00A741C2"/>
    <w:rsid w:val="00A91760"/>
    <w:rsid w:val="00A91BBB"/>
    <w:rsid w:val="00A93B00"/>
    <w:rsid w:val="00A93C21"/>
    <w:rsid w:val="00A9756C"/>
    <w:rsid w:val="00AA0E74"/>
    <w:rsid w:val="00AA6282"/>
    <w:rsid w:val="00AB64C9"/>
    <w:rsid w:val="00AC1490"/>
    <w:rsid w:val="00AC164E"/>
    <w:rsid w:val="00AC3C6A"/>
    <w:rsid w:val="00AD5620"/>
    <w:rsid w:val="00AD656B"/>
    <w:rsid w:val="00AD7828"/>
    <w:rsid w:val="00AD7C1B"/>
    <w:rsid w:val="00AE16BA"/>
    <w:rsid w:val="00AE1EBE"/>
    <w:rsid w:val="00AE3AF3"/>
    <w:rsid w:val="00AF5494"/>
    <w:rsid w:val="00B03C9D"/>
    <w:rsid w:val="00B060AE"/>
    <w:rsid w:val="00B10517"/>
    <w:rsid w:val="00B14E76"/>
    <w:rsid w:val="00B161B8"/>
    <w:rsid w:val="00B2048C"/>
    <w:rsid w:val="00B310B9"/>
    <w:rsid w:val="00B35F3F"/>
    <w:rsid w:val="00B36CBB"/>
    <w:rsid w:val="00B41A80"/>
    <w:rsid w:val="00B425E0"/>
    <w:rsid w:val="00B43FA5"/>
    <w:rsid w:val="00B440AA"/>
    <w:rsid w:val="00B44B70"/>
    <w:rsid w:val="00B5179E"/>
    <w:rsid w:val="00B53C56"/>
    <w:rsid w:val="00B57DAF"/>
    <w:rsid w:val="00B679B5"/>
    <w:rsid w:val="00B77EA6"/>
    <w:rsid w:val="00B81598"/>
    <w:rsid w:val="00B841F1"/>
    <w:rsid w:val="00B92086"/>
    <w:rsid w:val="00B944D6"/>
    <w:rsid w:val="00BA28FB"/>
    <w:rsid w:val="00BB1A69"/>
    <w:rsid w:val="00BB3B5F"/>
    <w:rsid w:val="00BB4DF0"/>
    <w:rsid w:val="00BC289F"/>
    <w:rsid w:val="00BC2D50"/>
    <w:rsid w:val="00BC5361"/>
    <w:rsid w:val="00BC5460"/>
    <w:rsid w:val="00BC6B50"/>
    <w:rsid w:val="00BD0E25"/>
    <w:rsid w:val="00BD6375"/>
    <w:rsid w:val="00BE5A17"/>
    <w:rsid w:val="00BF5BD6"/>
    <w:rsid w:val="00C03E31"/>
    <w:rsid w:val="00C04AFA"/>
    <w:rsid w:val="00C10FC6"/>
    <w:rsid w:val="00C33E72"/>
    <w:rsid w:val="00C354B2"/>
    <w:rsid w:val="00C35554"/>
    <w:rsid w:val="00C42709"/>
    <w:rsid w:val="00C50BD8"/>
    <w:rsid w:val="00C533CC"/>
    <w:rsid w:val="00C5751C"/>
    <w:rsid w:val="00C61BFC"/>
    <w:rsid w:val="00C62B85"/>
    <w:rsid w:val="00C65438"/>
    <w:rsid w:val="00C65D3C"/>
    <w:rsid w:val="00C87FD8"/>
    <w:rsid w:val="00C91381"/>
    <w:rsid w:val="00C91CBB"/>
    <w:rsid w:val="00C936CC"/>
    <w:rsid w:val="00C97AB4"/>
    <w:rsid w:val="00CB21B5"/>
    <w:rsid w:val="00CB2B6A"/>
    <w:rsid w:val="00CB4E70"/>
    <w:rsid w:val="00CC09B6"/>
    <w:rsid w:val="00CC5377"/>
    <w:rsid w:val="00CC666F"/>
    <w:rsid w:val="00CC66DC"/>
    <w:rsid w:val="00CD1E3F"/>
    <w:rsid w:val="00CE44F6"/>
    <w:rsid w:val="00CE49DA"/>
    <w:rsid w:val="00CE7B61"/>
    <w:rsid w:val="00CF4991"/>
    <w:rsid w:val="00D00095"/>
    <w:rsid w:val="00D0062F"/>
    <w:rsid w:val="00D114F0"/>
    <w:rsid w:val="00D20620"/>
    <w:rsid w:val="00D254F7"/>
    <w:rsid w:val="00D26091"/>
    <w:rsid w:val="00D2685C"/>
    <w:rsid w:val="00D34E7C"/>
    <w:rsid w:val="00D35489"/>
    <w:rsid w:val="00D36AFE"/>
    <w:rsid w:val="00D45D9B"/>
    <w:rsid w:val="00D51276"/>
    <w:rsid w:val="00D55FF0"/>
    <w:rsid w:val="00D7035F"/>
    <w:rsid w:val="00D74744"/>
    <w:rsid w:val="00DA634F"/>
    <w:rsid w:val="00DA65AC"/>
    <w:rsid w:val="00DB1913"/>
    <w:rsid w:val="00DB35C3"/>
    <w:rsid w:val="00DC1DCE"/>
    <w:rsid w:val="00DC21EE"/>
    <w:rsid w:val="00DC410D"/>
    <w:rsid w:val="00DC5A81"/>
    <w:rsid w:val="00DC68CA"/>
    <w:rsid w:val="00DC7CBA"/>
    <w:rsid w:val="00DD73B7"/>
    <w:rsid w:val="00DF28BC"/>
    <w:rsid w:val="00DF34B9"/>
    <w:rsid w:val="00E01053"/>
    <w:rsid w:val="00E0287D"/>
    <w:rsid w:val="00E0425B"/>
    <w:rsid w:val="00E07ACF"/>
    <w:rsid w:val="00E13DE7"/>
    <w:rsid w:val="00E16EEA"/>
    <w:rsid w:val="00E178E2"/>
    <w:rsid w:val="00E22FA3"/>
    <w:rsid w:val="00E24473"/>
    <w:rsid w:val="00E331A1"/>
    <w:rsid w:val="00E33202"/>
    <w:rsid w:val="00E336A9"/>
    <w:rsid w:val="00E431A7"/>
    <w:rsid w:val="00E45D2F"/>
    <w:rsid w:val="00E472B1"/>
    <w:rsid w:val="00E50624"/>
    <w:rsid w:val="00E51D55"/>
    <w:rsid w:val="00E568DF"/>
    <w:rsid w:val="00E64269"/>
    <w:rsid w:val="00E67B2B"/>
    <w:rsid w:val="00E70FB1"/>
    <w:rsid w:val="00E82267"/>
    <w:rsid w:val="00E853CE"/>
    <w:rsid w:val="00E867B6"/>
    <w:rsid w:val="00E96176"/>
    <w:rsid w:val="00E96510"/>
    <w:rsid w:val="00EA010F"/>
    <w:rsid w:val="00EB45B7"/>
    <w:rsid w:val="00EC1D98"/>
    <w:rsid w:val="00ED1B63"/>
    <w:rsid w:val="00ED3C1F"/>
    <w:rsid w:val="00ED4085"/>
    <w:rsid w:val="00ED420E"/>
    <w:rsid w:val="00ED6FBE"/>
    <w:rsid w:val="00EE24DF"/>
    <w:rsid w:val="00EE2F57"/>
    <w:rsid w:val="00EF4C34"/>
    <w:rsid w:val="00EF7049"/>
    <w:rsid w:val="00EF7455"/>
    <w:rsid w:val="00EF77C6"/>
    <w:rsid w:val="00F05438"/>
    <w:rsid w:val="00F1361C"/>
    <w:rsid w:val="00F156F0"/>
    <w:rsid w:val="00F160C7"/>
    <w:rsid w:val="00F2408F"/>
    <w:rsid w:val="00F240E9"/>
    <w:rsid w:val="00F24B89"/>
    <w:rsid w:val="00F36D8F"/>
    <w:rsid w:val="00F36DE3"/>
    <w:rsid w:val="00F417B1"/>
    <w:rsid w:val="00F45853"/>
    <w:rsid w:val="00F55029"/>
    <w:rsid w:val="00F56E50"/>
    <w:rsid w:val="00F602DF"/>
    <w:rsid w:val="00F612D0"/>
    <w:rsid w:val="00F754A1"/>
    <w:rsid w:val="00F75A12"/>
    <w:rsid w:val="00F81FD9"/>
    <w:rsid w:val="00F841AA"/>
    <w:rsid w:val="00F84A94"/>
    <w:rsid w:val="00F87E96"/>
    <w:rsid w:val="00F928A7"/>
    <w:rsid w:val="00FA23E8"/>
    <w:rsid w:val="00FA7A6B"/>
    <w:rsid w:val="00FB202E"/>
    <w:rsid w:val="00FD3CC1"/>
    <w:rsid w:val="00FD55AA"/>
    <w:rsid w:val="00FD7047"/>
    <w:rsid w:val="00FD7E41"/>
    <w:rsid w:val="00FF0F73"/>
    <w:rsid w:val="00FF1E02"/>
    <w:rsid w:val="00FF30B4"/>
    <w:rsid w:val="00FF3973"/>
    <w:rsid w:val="00FF4B10"/>
    <w:rsid w:val="01001B5E"/>
    <w:rsid w:val="02331FA9"/>
    <w:rsid w:val="04C77366"/>
    <w:rsid w:val="05B70598"/>
    <w:rsid w:val="06376777"/>
    <w:rsid w:val="07180986"/>
    <w:rsid w:val="08252D47"/>
    <w:rsid w:val="095D08DF"/>
    <w:rsid w:val="09A77DC5"/>
    <w:rsid w:val="09BE4D75"/>
    <w:rsid w:val="0A2032A3"/>
    <w:rsid w:val="0AE4604C"/>
    <w:rsid w:val="0B8A37D8"/>
    <w:rsid w:val="0BB15B23"/>
    <w:rsid w:val="0C1069CD"/>
    <w:rsid w:val="0DA4018A"/>
    <w:rsid w:val="0E7C4FDB"/>
    <w:rsid w:val="0F512094"/>
    <w:rsid w:val="0FE27EE9"/>
    <w:rsid w:val="10C055FF"/>
    <w:rsid w:val="117F6ACF"/>
    <w:rsid w:val="118107EC"/>
    <w:rsid w:val="11DD6519"/>
    <w:rsid w:val="127F5C9A"/>
    <w:rsid w:val="12AC2CE6"/>
    <w:rsid w:val="131842E7"/>
    <w:rsid w:val="133345C8"/>
    <w:rsid w:val="138D7D05"/>
    <w:rsid w:val="14832BA9"/>
    <w:rsid w:val="152F25BA"/>
    <w:rsid w:val="163C6D3C"/>
    <w:rsid w:val="16BB723D"/>
    <w:rsid w:val="17C5798C"/>
    <w:rsid w:val="18015F3F"/>
    <w:rsid w:val="181115D4"/>
    <w:rsid w:val="1BE8440E"/>
    <w:rsid w:val="1CCE7826"/>
    <w:rsid w:val="1D155CEE"/>
    <w:rsid w:val="1ED02E76"/>
    <w:rsid w:val="1EEE1EE4"/>
    <w:rsid w:val="20653161"/>
    <w:rsid w:val="20CD12EC"/>
    <w:rsid w:val="20F57F95"/>
    <w:rsid w:val="218C684C"/>
    <w:rsid w:val="21FA2FC1"/>
    <w:rsid w:val="22F50ADD"/>
    <w:rsid w:val="2318468D"/>
    <w:rsid w:val="23A41B68"/>
    <w:rsid w:val="240371BF"/>
    <w:rsid w:val="25B83F05"/>
    <w:rsid w:val="25C741E6"/>
    <w:rsid w:val="26317E72"/>
    <w:rsid w:val="27842671"/>
    <w:rsid w:val="27985E53"/>
    <w:rsid w:val="28186E67"/>
    <w:rsid w:val="28CE5EEB"/>
    <w:rsid w:val="29086F52"/>
    <w:rsid w:val="29B844D4"/>
    <w:rsid w:val="29FD04D3"/>
    <w:rsid w:val="2A587A65"/>
    <w:rsid w:val="2ABE7A3E"/>
    <w:rsid w:val="2AFA5314"/>
    <w:rsid w:val="2B32711B"/>
    <w:rsid w:val="2B807FB4"/>
    <w:rsid w:val="2EBC7499"/>
    <w:rsid w:val="2EFA178C"/>
    <w:rsid w:val="2FEE3AC8"/>
    <w:rsid w:val="30736266"/>
    <w:rsid w:val="30B46D73"/>
    <w:rsid w:val="30C04A8F"/>
    <w:rsid w:val="319F7F4E"/>
    <w:rsid w:val="31F75DB5"/>
    <w:rsid w:val="32791932"/>
    <w:rsid w:val="337B7B8C"/>
    <w:rsid w:val="33AD2BD0"/>
    <w:rsid w:val="33AF51D3"/>
    <w:rsid w:val="33EE3353"/>
    <w:rsid w:val="35F24143"/>
    <w:rsid w:val="35FD7E84"/>
    <w:rsid w:val="39AE70AB"/>
    <w:rsid w:val="3A347BA7"/>
    <w:rsid w:val="3A3D1187"/>
    <w:rsid w:val="3A471A0A"/>
    <w:rsid w:val="3A5D2D2E"/>
    <w:rsid w:val="3AA4249B"/>
    <w:rsid w:val="3B6B584A"/>
    <w:rsid w:val="3C0C0783"/>
    <w:rsid w:val="3DB32A2D"/>
    <w:rsid w:val="3E42660A"/>
    <w:rsid w:val="3F4641F8"/>
    <w:rsid w:val="3F61437D"/>
    <w:rsid w:val="3F9F3A96"/>
    <w:rsid w:val="400543F4"/>
    <w:rsid w:val="41851E70"/>
    <w:rsid w:val="41A01FC6"/>
    <w:rsid w:val="424312C6"/>
    <w:rsid w:val="43F23FC6"/>
    <w:rsid w:val="444B4257"/>
    <w:rsid w:val="447B4D41"/>
    <w:rsid w:val="461470DF"/>
    <w:rsid w:val="464E1FF0"/>
    <w:rsid w:val="47F40975"/>
    <w:rsid w:val="493C27E9"/>
    <w:rsid w:val="496F39ED"/>
    <w:rsid w:val="498E6F8D"/>
    <w:rsid w:val="49FF41D3"/>
    <w:rsid w:val="4B896DF6"/>
    <w:rsid w:val="4BE068DB"/>
    <w:rsid w:val="4BF6002B"/>
    <w:rsid w:val="4DD76336"/>
    <w:rsid w:val="4E1F474B"/>
    <w:rsid w:val="4E8D742E"/>
    <w:rsid w:val="4ECE2238"/>
    <w:rsid w:val="4EE04CF0"/>
    <w:rsid w:val="50D12377"/>
    <w:rsid w:val="50ED6F31"/>
    <w:rsid w:val="51DB4B86"/>
    <w:rsid w:val="524F6056"/>
    <w:rsid w:val="52EC506B"/>
    <w:rsid w:val="5336697D"/>
    <w:rsid w:val="536C1D08"/>
    <w:rsid w:val="54012F97"/>
    <w:rsid w:val="55333C3E"/>
    <w:rsid w:val="56080D11"/>
    <w:rsid w:val="563805C7"/>
    <w:rsid w:val="56674A08"/>
    <w:rsid w:val="596F0BB1"/>
    <w:rsid w:val="5972316D"/>
    <w:rsid w:val="59990ABA"/>
    <w:rsid w:val="59B30532"/>
    <w:rsid w:val="5A0C26A6"/>
    <w:rsid w:val="5AC42429"/>
    <w:rsid w:val="5B8875FE"/>
    <w:rsid w:val="5DA43079"/>
    <w:rsid w:val="5E8953EC"/>
    <w:rsid w:val="5FAA6E5E"/>
    <w:rsid w:val="60B30AF8"/>
    <w:rsid w:val="611A113B"/>
    <w:rsid w:val="618A333F"/>
    <w:rsid w:val="62DD4049"/>
    <w:rsid w:val="63D6234D"/>
    <w:rsid w:val="63F37612"/>
    <w:rsid w:val="64CA39A1"/>
    <w:rsid w:val="654412FA"/>
    <w:rsid w:val="65AB5063"/>
    <w:rsid w:val="65F178F9"/>
    <w:rsid w:val="66576BB8"/>
    <w:rsid w:val="68D05980"/>
    <w:rsid w:val="692A0243"/>
    <w:rsid w:val="6997131E"/>
    <w:rsid w:val="6A7903BD"/>
    <w:rsid w:val="6B447D73"/>
    <w:rsid w:val="6C0728BA"/>
    <w:rsid w:val="6C2749B0"/>
    <w:rsid w:val="6C4A05C8"/>
    <w:rsid w:val="6C5410BD"/>
    <w:rsid w:val="6DDC75D1"/>
    <w:rsid w:val="6F370A90"/>
    <w:rsid w:val="72734D90"/>
    <w:rsid w:val="72DF180C"/>
    <w:rsid w:val="73A81D87"/>
    <w:rsid w:val="77345B82"/>
    <w:rsid w:val="77487ABC"/>
    <w:rsid w:val="77910E58"/>
    <w:rsid w:val="77A6520A"/>
    <w:rsid w:val="78422BAE"/>
    <w:rsid w:val="79E7B28D"/>
    <w:rsid w:val="7A187C44"/>
    <w:rsid w:val="7ACE165D"/>
    <w:rsid w:val="7B6D3AF2"/>
    <w:rsid w:val="7C4F40B3"/>
    <w:rsid w:val="7CB3005B"/>
    <w:rsid w:val="7D0A1F9E"/>
    <w:rsid w:val="7DA47A2D"/>
    <w:rsid w:val="7E1617C1"/>
    <w:rsid w:val="7F824024"/>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cs="仿宋_GB2312"/>
      <w:kern w:val="0"/>
      <w:sz w:val="24"/>
      <w:szCs w:val="24"/>
    </w:rPr>
  </w:style>
  <w:style w:type="paragraph" w:styleId="6">
    <w:name w:val="toc 3"/>
    <w:basedOn w:val="1"/>
    <w:next w:val="1"/>
    <w:semiHidden/>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uiPriority w:val="99"/>
    <w:pPr>
      <w:tabs>
        <w:tab w:val="right" w:leader="dot" w:pos="8296"/>
      </w:tabs>
      <w:ind w:left="420" w:leftChars="200"/>
    </w:pPr>
  </w:style>
  <w:style w:type="paragraph" w:styleId="12">
    <w:name w:val="Normal (Web)"/>
    <w:basedOn w:val="1"/>
    <w:qFormat/>
    <w:uiPriority w:val="99"/>
    <w:pPr>
      <w:spacing w:beforeAutospacing="1" w:afterAutospacing="1"/>
      <w:jc w:val="left"/>
    </w:pPr>
    <w:rPr>
      <w:rFonts w:eastAsia="仿宋_GB2312"/>
      <w:kern w:val="0"/>
      <w:sz w:val="24"/>
      <w:szCs w:val="24"/>
    </w:rPr>
  </w:style>
  <w:style w:type="character" w:styleId="15">
    <w:name w:val="Strong"/>
    <w:basedOn w:val="14"/>
    <w:qFormat/>
    <w:uiPriority w:val="99"/>
    <w:rPr>
      <w:b/>
      <w:bCs/>
    </w:rPr>
  </w:style>
  <w:style w:type="character" w:styleId="16">
    <w:name w:val="Hyperlink"/>
    <w:basedOn w:val="14"/>
    <w:uiPriority w:val="99"/>
    <w:rPr>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4"/>
    <w:qFormat/>
    <w:locked/>
    <w:uiPriority w:val="99"/>
    <w:rPr>
      <w:rFonts w:ascii="Cambria" w:hAnsi="Cambria" w:eastAsia="宋体" w:cs="Cambria"/>
      <w:b/>
      <w:bCs/>
      <w:kern w:val="2"/>
      <w:sz w:val="32"/>
      <w:szCs w:val="32"/>
    </w:rPr>
  </w:style>
  <w:style w:type="character" w:customStyle="1" w:styleId="19">
    <w:name w:val="Heading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2"/>
    <w:semiHidden/>
    <w:qFormat/>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uiPriority w:val="99"/>
    <w:rPr>
      <w:rFonts w:ascii="Times New Roman" w:hAnsi="Times New Roman" w:cs="Times New Roman"/>
      <w:sz w:val="18"/>
      <w:szCs w:val="18"/>
    </w:rPr>
  </w:style>
  <w:style w:type="character" w:customStyle="1" w:styleId="23">
    <w:name w:val="Header Char"/>
    <w:basedOn w:val="14"/>
    <w:link w:val="9"/>
    <w:semiHidden/>
    <w:qFormat/>
    <w:uiPriority w:val="99"/>
    <w:rPr>
      <w:rFonts w:ascii="Times New Roman" w:hAnsi="Times New Roman" w:cs="Times New Roman"/>
      <w:sz w:val="18"/>
      <w:szCs w:val="18"/>
    </w:rPr>
  </w:style>
  <w:style w:type="character" w:customStyle="1" w:styleId="24">
    <w:name w:val="Header Char1"/>
    <w:link w:val="9"/>
    <w:semiHidden/>
    <w:qFormat/>
    <w:locked/>
    <w:uiPriority w:val="99"/>
    <w:rPr>
      <w:sz w:val="18"/>
      <w:szCs w:val="18"/>
    </w:rPr>
  </w:style>
  <w:style w:type="character" w:customStyle="1" w:styleId="25">
    <w:name w:val="Footer Char1"/>
    <w:link w:val="8"/>
    <w:qFormat/>
    <w:locked/>
    <w:uiPriority w:val="99"/>
    <w:rPr>
      <w:sz w:val="18"/>
      <w:szCs w:val="18"/>
    </w:rPr>
  </w:style>
  <w:style w:type="character" w:customStyle="1" w:styleId="26">
    <w:name w:val="Body Text Char1"/>
    <w:link w:val="2"/>
    <w:qFormat/>
    <w:locked/>
    <w:uiPriority w:val="99"/>
    <w:rPr>
      <w:rFonts w:ascii="仿宋_GB2312" w:hAnsi="Times New Roman" w:eastAsia="仿宋_GB2312" w:cs="仿宋_GB2312"/>
      <w:sz w:val="24"/>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1">
    <w:name w:val="bjh-p"/>
    <w:basedOn w:val="14"/>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oleObject7.bin"/><Relationship Id="rId17" Type="http://schemas.openxmlformats.org/officeDocument/2006/relationships/image" Target="media/image6.png"/><Relationship Id="rId16" Type="http://schemas.openxmlformats.org/officeDocument/2006/relationships/oleObject" Target="embeddings/oleObject6.bin"/><Relationship Id="rId15" Type="http://schemas.openxmlformats.org/officeDocument/2006/relationships/image" Target="media/image5.png"/><Relationship Id="rId14" Type="http://schemas.openxmlformats.org/officeDocument/2006/relationships/oleObject" Target="embeddings/oleObject5.bin"/><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21</Pages>
  <Words>1201</Words>
  <Characters>6850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2022-08-06T02:23:00Z</cp:lastPrinted>
  <dcterms:modified xsi:type="dcterms:W3CDTF">2023-09-19T02:46:14Z</dcterms:modified>
  <dc:title>四川省***</dc:title>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FE08FD77D0134D76A51F9FE0EFC45031_13</vt:lpwstr>
  </property>
</Properties>
</file>