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2E24" w14:textId="77777777" w:rsidR="00127C4A" w:rsidRDefault="00127C4A">
      <w:pPr>
        <w:spacing w:line="600" w:lineRule="exact"/>
        <w:jc w:val="center"/>
        <w:outlineLvl w:val="0"/>
        <w:rPr>
          <w:rFonts w:ascii="方正小标宋简体" w:eastAsia="方正小标宋简体" w:hAnsi="宋体"/>
          <w:sz w:val="72"/>
          <w:szCs w:val="72"/>
        </w:rPr>
      </w:pPr>
      <w:bookmarkStart w:id="0" w:name="_Toc15377193"/>
      <w:bookmarkStart w:id="1" w:name="_Toc15378441"/>
      <w:bookmarkStart w:id="2" w:name="_Toc15396475"/>
      <w:bookmarkStart w:id="3" w:name="_Toc15377425"/>
      <w:bookmarkStart w:id="4" w:name="_Toc15396597"/>
      <w:bookmarkStart w:id="5" w:name="_Toc15306267"/>
    </w:p>
    <w:p w14:paraId="4830E8EE" w14:textId="77777777" w:rsidR="00127C4A" w:rsidRDefault="00127C4A">
      <w:pPr>
        <w:spacing w:line="600" w:lineRule="exact"/>
        <w:jc w:val="center"/>
        <w:outlineLvl w:val="0"/>
        <w:rPr>
          <w:rFonts w:ascii="方正小标宋简体" w:eastAsia="方正小标宋简体" w:hAnsi="宋体"/>
          <w:sz w:val="72"/>
          <w:szCs w:val="72"/>
        </w:rPr>
      </w:pPr>
    </w:p>
    <w:p w14:paraId="1764C1BD" w14:textId="77777777" w:rsidR="00127C4A" w:rsidRDefault="00127C4A">
      <w:pPr>
        <w:spacing w:line="600" w:lineRule="exact"/>
        <w:jc w:val="center"/>
        <w:outlineLvl w:val="0"/>
        <w:rPr>
          <w:rFonts w:ascii="方正小标宋简体" w:eastAsia="方正小标宋简体" w:hAnsi="宋体"/>
          <w:sz w:val="72"/>
          <w:szCs w:val="72"/>
        </w:rPr>
      </w:pPr>
    </w:p>
    <w:p w14:paraId="0F6929E2" w14:textId="77777777" w:rsidR="00127C4A" w:rsidRDefault="00F87DB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24007"/>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bookmarkEnd w:id="6"/>
    </w:p>
    <w:p w14:paraId="50787BBF" w14:textId="77777777" w:rsidR="00127C4A" w:rsidRDefault="00F87DBA">
      <w:pPr>
        <w:adjustRightInd w:val="0"/>
        <w:snapToGrid w:val="0"/>
        <w:spacing w:line="360" w:lineRule="auto"/>
        <w:jc w:val="center"/>
        <w:outlineLvl w:val="0"/>
        <w:rPr>
          <w:rFonts w:ascii="方正小标宋简体" w:eastAsia="方正小标宋简体" w:hAnsi="方正小标宋简体" w:cs="方正小标宋简体"/>
          <w:spacing w:val="-20"/>
          <w:sz w:val="72"/>
          <w:szCs w:val="72"/>
        </w:rPr>
      </w:pPr>
      <w:bookmarkStart w:id="7" w:name="_Toc22867"/>
      <w:bookmarkStart w:id="8" w:name="_Toc15377194"/>
      <w:bookmarkStart w:id="9" w:name="_Toc15396598"/>
      <w:bookmarkStart w:id="10" w:name="_Toc15377426"/>
      <w:bookmarkStart w:id="11" w:name="_Toc15396476"/>
      <w:bookmarkStart w:id="12" w:name="_Toc15378442"/>
      <w:r>
        <w:rPr>
          <w:rFonts w:ascii="方正小标宋简体" w:eastAsia="方正小标宋简体" w:hAnsi="方正小标宋简体" w:cs="方正小标宋简体" w:hint="eastAsia"/>
          <w:spacing w:val="-20"/>
          <w:sz w:val="72"/>
          <w:szCs w:val="72"/>
        </w:rPr>
        <w:t>四川省</w:t>
      </w:r>
      <w:bookmarkStart w:id="13" w:name="_Toc15306268"/>
      <w:bookmarkEnd w:id="5"/>
      <w:r>
        <w:rPr>
          <w:rFonts w:ascii="方正小标宋简体" w:eastAsia="方正小标宋简体" w:hAnsi="方正小标宋简体" w:cs="方正小标宋简体" w:hint="eastAsia"/>
          <w:spacing w:val="-20"/>
          <w:sz w:val="72"/>
          <w:szCs w:val="72"/>
        </w:rPr>
        <w:t>人民政府科学城办事处</w:t>
      </w:r>
      <w:bookmarkEnd w:id="7"/>
    </w:p>
    <w:p w14:paraId="39303484" w14:textId="11009D6B" w:rsidR="00127C4A" w:rsidRDefault="00537F2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4" w:name="_Toc498"/>
      <w:r>
        <w:rPr>
          <w:rFonts w:ascii="方正小标宋简体" w:eastAsia="方正小标宋简体" w:hAnsi="方正小标宋简体" w:cs="方正小标宋简体" w:hint="eastAsia"/>
          <w:sz w:val="72"/>
          <w:szCs w:val="72"/>
        </w:rPr>
        <w:t>单位</w:t>
      </w:r>
      <w:r w:rsidR="00F87DBA">
        <w:rPr>
          <w:rFonts w:ascii="方正小标宋简体" w:eastAsia="方正小标宋简体" w:hAnsi="方正小标宋简体" w:cs="方正小标宋简体" w:hint="eastAsia"/>
          <w:sz w:val="72"/>
          <w:szCs w:val="72"/>
        </w:rPr>
        <w:t>决算</w:t>
      </w:r>
      <w:bookmarkEnd w:id="8"/>
      <w:bookmarkEnd w:id="9"/>
      <w:bookmarkEnd w:id="10"/>
      <w:bookmarkEnd w:id="11"/>
      <w:bookmarkEnd w:id="12"/>
      <w:bookmarkEnd w:id="13"/>
      <w:bookmarkEnd w:id="14"/>
    </w:p>
    <w:p w14:paraId="095B7589" w14:textId="77777777" w:rsidR="00127C4A" w:rsidRDefault="00F87DBA">
      <w:pPr>
        <w:widowControl/>
        <w:spacing w:line="560" w:lineRule="exact"/>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4"/>
          <w:szCs w:val="44"/>
        </w:rPr>
        <w:lastRenderedPageBreak/>
        <w:t>目录</w:t>
      </w:r>
    </w:p>
    <w:p w14:paraId="14B8CA7C" w14:textId="24FD4068" w:rsidR="00127C4A" w:rsidRDefault="00F87DBA">
      <w:pPr>
        <w:pStyle w:val="TOC1"/>
        <w:spacing w:line="560" w:lineRule="exact"/>
      </w:pPr>
      <w:r>
        <w:rPr>
          <w:rFonts w:hint="eastAsia"/>
        </w:rPr>
        <w:t>公开时间：2023年</w:t>
      </w:r>
      <w:r w:rsidR="00537F21">
        <w:rPr>
          <w:rFonts w:hint="eastAsia"/>
        </w:rPr>
        <w:t>9</w:t>
      </w:r>
      <w:r>
        <w:rPr>
          <w:rFonts w:hint="eastAsia"/>
        </w:rPr>
        <w:t>月</w:t>
      </w:r>
      <w:r w:rsidR="00537F21">
        <w:rPr>
          <w:rFonts w:hint="eastAsia"/>
        </w:rPr>
        <w:t>6</w:t>
      </w:r>
      <w:r>
        <w:rPr>
          <w:rFonts w:hint="eastAsia"/>
        </w:rPr>
        <w:t>日</w:t>
      </w:r>
    </w:p>
    <w:bookmarkStart w:id="15" w:name="_Toc15396599"/>
    <w:bookmarkStart w:id="16" w:name="_Toc15377196"/>
    <w:p w14:paraId="103CB5FD" w14:textId="77777777" w:rsidR="00127C4A" w:rsidRDefault="00127C4A">
      <w:pPr>
        <w:pStyle w:val="TOC1"/>
        <w:tabs>
          <w:tab w:val="clear" w:pos="8296"/>
          <w:tab w:val="right" w:leader="dot" w:pos="8845"/>
        </w:tabs>
        <w:spacing w:before="0" w:line="600" w:lineRule="exact"/>
      </w:pPr>
      <w:r>
        <w:rPr>
          <w:rFonts w:ascii="仿宋_GB2312" w:eastAsia="仿宋_GB2312" w:hAnsi="仿宋_GB2312" w:cs="仿宋_GB2312" w:hint="eastAsia"/>
          <w:b/>
          <w:sz w:val="32"/>
          <w:szCs w:val="32"/>
        </w:rPr>
        <w:fldChar w:fldCharType="begin"/>
      </w:r>
      <w:r w:rsidR="00F87DBA">
        <w:rPr>
          <w:rFonts w:ascii="仿宋_GB2312" w:eastAsia="仿宋_GB2312" w:hAnsi="仿宋_GB2312" w:cs="仿宋_GB2312" w:hint="eastAsia"/>
          <w:b/>
          <w:sz w:val="32"/>
          <w:szCs w:val="32"/>
        </w:rPr>
        <w:instrText xml:space="preserve">TOC \o "1-2" \h \u </w:instrText>
      </w:r>
      <w:r>
        <w:rPr>
          <w:rFonts w:ascii="仿宋_GB2312" w:eastAsia="仿宋_GB2312" w:hAnsi="仿宋_GB2312" w:cs="仿宋_GB2312" w:hint="eastAsia"/>
          <w:b/>
          <w:sz w:val="32"/>
          <w:szCs w:val="32"/>
        </w:rPr>
        <w:fldChar w:fldCharType="separate"/>
      </w:r>
    </w:p>
    <w:p w14:paraId="041E7492" w14:textId="2277A74E" w:rsidR="00127C4A" w:rsidRDefault="00000000">
      <w:pPr>
        <w:pStyle w:val="TOC1"/>
        <w:tabs>
          <w:tab w:val="clear" w:pos="8296"/>
          <w:tab w:val="right" w:leader="dot" w:pos="8845"/>
        </w:tabs>
        <w:spacing w:before="0" w:line="600" w:lineRule="exact"/>
      </w:pPr>
      <w:hyperlink w:anchor="_Toc1273" w:history="1">
        <w:r w:rsidR="00F87DBA">
          <w:rPr>
            <w:rFonts w:ascii="黑体" w:eastAsia="黑体" w:hAnsi="黑体" w:hint="eastAsia"/>
          </w:rPr>
          <w:t xml:space="preserve">第一部分 </w:t>
        </w:r>
        <w:r w:rsidR="00537F21">
          <w:rPr>
            <w:rFonts w:ascii="黑体" w:eastAsia="黑体" w:hAnsi="黑体" w:hint="eastAsia"/>
          </w:rPr>
          <w:t>单位</w:t>
        </w:r>
        <w:r w:rsidR="00F87DBA">
          <w:rPr>
            <w:rFonts w:ascii="黑体" w:eastAsia="黑体" w:hAnsi="黑体" w:hint="eastAsia"/>
          </w:rPr>
          <w:t>概况</w:t>
        </w:r>
        <w:r w:rsidR="00F87DBA">
          <w:tab/>
        </w:r>
        <w:r w:rsidR="00127C4A">
          <w:fldChar w:fldCharType="begin"/>
        </w:r>
        <w:r w:rsidR="00F87DBA">
          <w:instrText xml:space="preserve"> PAGEREF _Toc1273 </w:instrText>
        </w:r>
        <w:r w:rsidR="00127C4A">
          <w:fldChar w:fldCharType="separate"/>
        </w:r>
        <w:r w:rsidR="00F87DBA">
          <w:t>4</w:t>
        </w:r>
        <w:r w:rsidR="00127C4A">
          <w:fldChar w:fldCharType="end"/>
        </w:r>
      </w:hyperlink>
    </w:p>
    <w:p w14:paraId="1F6AA75C" w14:textId="2B318D67" w:rsidR="00127C4A" w:rsidRDefault="00000000">
      <w:pPr>
        <w:pStyle w:val="TOC2"/>
        <w:tabs>
          <w:tab w:val="clear" w:pos="8296"/>
          <w:tab w:val="right" w:leader="dot" w:pos="8845"/>
        </w:tabs>
        <w:spacing w:line="600" w:lineRule="exact"/>
      </w:pPr>
      <w:hyperlink w:anchor="_Toc22824" w:history="1">
        <w:r w:rsidR="00F87DBA">
          <w:rPr>
            <w:rFonts w:ascii="黑体" w:eastAsia="黑体" w:hAnsi="黑体" w:hint="eastAsia"/>
          </w:rPr>
          <w:t xml:space="preserve">一、 </w:t>
        </w:r>
        <w:r w:rsidR="00537F21">
          <w:rPr>
            <w:rFonts w:ascii="黑体" w:eastAsia="黑体" w:hAnsi="黑体" w:hint="eastAsia"/>
          </w:rPr>
          <w:t>单位</w:t>
        </w:r>
        <w:r w:rsidR="00F87DBA">
          <w:rPr>
            <w:rFonts w:ascii="黑体" w:eastAsia="黑体" w:hAnsi="黑体" w:hint="eastAsia"/>
          </w:rPr>
          <w:t>职责</w:t>
        </w:r>
        <w:r w:rsidR="00F87DBA">
          <w:tab/>
        </w:r>
        <w:r w:rsidR="00127C4A">
          <w:fldChar w:fldCharType="begin"/>
        </w:r>
        <w:r w:rsidR="00F87DBA">
          <w:instrText xml:space="preserve"> PAGEREF _Toc22824 </w:instrText>
        </w:r>
        <w:r w:rsidR="00127C4A">
          <w:fldChar w:fldCharType="separate"/>
        </w:r>
        <w:r w:rsidR="00F87DBA">
          <w:t>4</w:t>
        </w:r>
        <w:r w:rsidR="00127C4A">
          <w:fldChar w:fldCharType="end"/>
        </w:r>
      </w:hyperlink>
    </w:p>
    <w:p w14:paraId="59A32F3D" w14:textId="77777777" w:rsidR="00127C4A" w:rsidRDefault="00000000">
      <w:pPr>
        <w:pStyle w:val="TOC2"/>
        <w:tabs>
          <w:tab w:val="clear" w:pos="8296"/>
          <w:tab w:val="right" w:leader="dot" w:pos="8845"/>
        </w:tabs>
        <w:spacing w:line="600" w:lineRule="exact"/>
      </w:pPr>
      <w:hyperlink w:anchor="_Toc2307" w:history="1">
        <w:r w:rsidR="00F87DBA">
          <w:rPr>
            <w:rFonts w:ascii="黑体" w:eastAsia="黑体" w:hint="eastAsia"/>
          </w:rPr>
          <w:t>二、</w:t>
        </w:r>
        <w:r w:rsidR="00F87DBA">
          <w:rPr>
            <w:rFonts w:ascii="黑体" w:eastAsia="黑体" w:hAnsi="黑体" w:hint="eastAsia"/>
          </w:rPr>
          <w:t>机构设置</w:t>
        </w:r>
        <w:r w:rsidR="00F87DBA">
          <w:tab/>
        </w:r>
        <w:r w:rsidR="00127C4A">
          <w:fldChar w:fldCharType="begin"/>
        </w:r>
        <w:r w:rsidR="00F87DBA">
          <w:instrText xml:space="preserve"> PAGEREF _Toc2307 </w:instrText>
        </w:r>
        <w:r w:rsidR="00127C4A">
          <w:fldChar w:fldCharType="separate"/>
        </w:r>
        <w:r w:rsidR="00F87DBA">
          <w:t>4</w:t>
        </w:r>
        <w:r w:rsidR="00127C4A">
          <w:fldChar w:fldCharType="end"/>
        </w:r>
      </w:hyperlink>
    </w:p>
    <w:p w14:paraId="6458278D" w14:textId="42ED1FA6" w:rsidR="00127C4A" w:rsidRDefault="00000000">
      <w:pPr>
        <w:pStyle w:val="TOC1"/>
        <w:tabs>
          <w:tab w:val="clear" w:pos="8296"/>
          <w:tab w:val="right" w:leader="dot" w:pos="8845"/>
        </w:tabs>
        <w:spacing w:before="0" w:line="600" w:lineRule="exact"/>
      </w:pPr>
      <w:hyperlink w:anchor="_Toc26543" w:history="1">
        <w:r w:rsidR="00F87DBA">
          <w:rPr>
            <w:rFonts w:ascii="黑体" w:eastAsia="黑体" w:hAnsi="黑体" w:hint="eastAsia"/>
            <w:bCs/>
          </w:rPr>
          <w:t>第二部分 2022年度</w:t>
        </w:r>
        <w:r w:rsidR="00537F21">
          <w:rPr>
            <w:rFonts w:ascii="黑体" w:eastAsia="黑体" w:hAnsi="黑体" w:hint="eastAsia"/>
            <w:bCs/>
          </w:rPr>
          <w:t>单位</w:t>
        </w:r>
        <w:r w:rsidR="00F87DBA">
          <w:rPr>
            <w:rFonts w:ascii="黑体" w:eastAsia="黑体" w:hAnsi="黑体" w:hint="eastAsia"/>
            <w:bCs/>
          </w:rPr>
          <w:t>决算情况说明</w:t>
        </w:r>
        <w:r w:rsidR="00F87DBA">
          <w:tab/>
        </w:r>
        <w:r w:rsidR="00127C4A">
          <w:fldChar w:fldCharType="begin"/>
        </w:r>
        <w:r w:rsidR="00F87DBA">
          <w:instrText xml:space="preserve"> PAGEREF _Toc26543 </w:instrText>
        </w:r>
        <w:r w:rsidR="00127C4A">
          <w:fldChar w:fldCharType="separate"/>
        </w:r>
        <w:r w:rsidR="00F87DBA">
          <w:t>5</w:t>
        </w:r>
        <w:r w:rsidR="00127C4A">
          <w:fldChar w:fldCharType="end"/>
        </w:r>
      </w:hyperlink>
    </w:p>
    <w:p w14:paraId="24F237BF" w14:textId="77777777" w:rsidR="00127C4A" w:rsidRDefault="00000000">
      <w:pPr>
        <w:pStyle w:val="TOC2"/>
        <w:tabs>
          <w:tab w:val="clear" w:pos="8296"/>
          <w:tab w:val="right" w:leader="dot" w:pos="8845"/>
        </w:tabs>
        <w:spacing w:line="600" w:lineRule="exact"/>
      </w:pPr>
      <w:hyperlink w:anchor="_Toc26274" w:history="1">
        <w:r w:rsidR="00F87DBA">
          <w:rPr>
            <w:rFonts w:ascii="黑体" w:eastAsia="黑体" w:hAnsi="黑体"/>
          </w:rPr>
          <w:t xml:space="preserve">一、 </w:t>
        </w:r>
        <w:r w:rsidR="00F87DBA">
          <w:rPr>
            <w:rFonts w:ascii="黑体" w:eastAsia="黑体" w:hAnsi="黑体" w:hint="eastAsia"/>
            <w:szCs w:val="32"/>
          </w:rPr>
          <w:t>收</w:t>
        </w:r>
        <w:r w:rsidR="00F87DBA">
          <w:rPr>
            <w:rFonts w:ascii="黑体" w:eastAsia="黑体" w:hAnsi="黑体" w:hint="eastAsia"/>
          </w:rPr>
          <w:t>入支出决算总体情况说明</w:t>
        </w:r>
        <w:r w:rsidR="00F87DBA">
          <w:tab/>
        </w:r>
        <w:r w:rsidR="00127C4A">
          <w:fldChar w:fldCharType="begin"/>
        </w:r>
        <w:r w:rsidR="00F87DBA">
          <w:instrText xml:space="preserve"> PAGEREF _Toc26274 </w:instrText>
        </w:r>
        <w:r w:rsidR="00127C4A">
          <w:fldChar w:fldCharType="separate"/>
        </w:r>
        <w:r w:rsidR="00F87DBA">
          <w:t>5</w:t>
        </w:r>
        <w:r w:rsidR="00127C4A">
          <w:fldChar w:fldCharType="end"/>
        </w:r>
      </w:hyperlink>
    </w:p>
    <w:p w14:paraId="7B5166F6" w14:textId="77777777" w:rsidR="00127C4A" w:rsidRDefault="00000000">
      <w:pPr>
        <w:pStyle w:val="TOC2"/>
        <w:tabs>
          <w:tab w:val="clear" w:pos="8296"/>
          <w:tab w:val="right" w:leader="dot" w:pos="8845"/>
        </w:tabs>
        <w:spacing w:line="600" w:lineRule="exact"/>
      </w:pPr>
      <w:hyperlink w:anchor="_Toc10196" w:history="1">
        <w:r w:rsidR="00F87DBA">
          <w:rPr>
            <w:rFonts w:ascii="黑体" w:eastAsia="黑体" w:hAnsi="黑体"/>
          </w:rPr>
          <w:t xml:space="preserve">二、 </w:t>
        </w:r>
        <w:r w:rsidR="00F87DBA">
          <w:rPr>
            <w:rFonts w:ascii="黑体" w:eastAsia="黑体" w:hAnsi="黑体" w:hint="eastAsia"/>
            <w:szCs w:val="32"/>
          </w:rPr>
          <w:t>收</w:t>
        </w:r>
        <w:r w:rsidR="00F87DBA">
          <w:rPr>
            <w:rFonts w:ascii="黑体" w:eastAsia="黑体" w:hAnsi="黑体" w:hint="eastAsia"/>
          </w:rPr>
          <w:t>入决算情况说明</w:t>
        </w:r>
        <w:r w:rsidR="00F87DBA">
          <w:tab/>
        </w:r>
        <w:r w:rsidR="00127C4A">
          <w:fldChar w:fldCharType="begin"/>
        </w:r>
        <w:r w:rsidR="00F87DBA">
          <w:instrText xml:space="preserve"> PAGEREF _Toc10196 </w:instrText>
        </w:r>
        <w:r w:rsidR="00127C4A">
          <w:fldChar w:fldCharType="separate"/>
        </w:r>
        <w:r w:rsidR="00F87DBA">
          <w:t>5</w:t>
        </w:r>
        <w:r w:rsidR="00127C4A">
          <w:fldChar w:fldCharType="end"/>
        </w:r>
      </w:hyperlink>
    </w:p>
    <w:p w14:paraId="7CE7DDA1" w14:textId="77777777" w:rsidR="00127C4A" w:rsidRDefault="00000000">
      <w:pPr>
        <w:pStyle w:val="TOC2"/>
        <w:tabs>
          <w:tab w:val="clear" w:pos="8296"/>
          <w:tab w:val="right" w:leader="dot" w:pos="8845"/>
        </w:tabs>
        <w:spacing w:line="600" w:lineRule="exact"/>
      </w:pPr>
      <w:hyperlink w:anchor="_Toc27814" w:history="1">
        <w:r w:rsidR="00F87DBA">
          <w:rPr>
            <w:rFonts w:ascii="黑体" w:eastAsia="黑体" w:hAnsi="黑体"/>
          </w:rPr>
          <w:t xml:space="preserve">三、 </w:t>
        </w:r>
        <w:r w:rsidR="00F87DBA">
          <w:rPr>
            <w:rFonts w:ascii="黑体" w:eastAsia="黑体" w:hAnsi="黑体" w:hint="eastAsia"/>
            <w:szCs w:val="32"/>
          </w:rPr>
          <w:t>支</w:t>
        </w:r>
        <w:r w:rsidR="00F87DBA">
          <w:rPr>
            <w:rFonts w:ascii="黑体" w:eastAsia="黑体" w:hAnsi="黑体" w:hint="eastAsia"/>
          </w:rPr>
          <w:t>出决算情况说明</w:t>
        </w:r>
        <w:r w:rsidR="00F87DBA">
          <w:tab/>
        </w:r>
        <w:r w:rsidR="00127C4A">
          <w:fldChar w:fldCharType="begin"/>
        </w:r>
        <w:r w:rsidR="00F87DBA">
          <w:instrText xml:space="preserve"> PAGEREF _Toc27814 </w:instrText>
        </w:r>
        <w:r w:rsidR="00127C4A">
          <w:fldChar w:fldCharType="separate"/>
        </w:r>
        <w:r w:rsidR="00F87DBA">
          <w:t>6</w:t>
        </w:r>
        <w:r w:rsidR="00127C4A">
          <w:fldChar w:fldCharType="end"/>
        </w:r>
      </w:hyperlink>
    </w:p>
    <w:p w14:paraId="662E69D7" w14:textId="77777777" w:rsidR="00127C4A" w:rsidRDefault="00000000">
      <w:pPr>
        <w:pStyle w:val="TOC2"/>
        <w:tabs>
          <w:tab w:val="clear" w:pos="8296"/>
          <w:tab w:val="right" w:leader="dot" w:pos="8845"/>
        </w:tabs>
        <w:spacing w:line="600" w:lineRule="exact"/>
      </w:pPr>
      <w:hyperlink w:anchor="_Toc23106" w:history="1">
        <w:r w:rsidR="00F87DBA">
          <w:rPr>
            <w:rFonts w:ascii="黑体" w:eastAsia="黑体" w:hAnsi="黑体" w:hint="eastAsia"/>
            <w:szCs w:val="32"/>
          </w:rPr>
          <w:t>四、财</w:t>
        </w:r>
        <w:r w:rsidR="00F87DBA">
          <w:rPr>
            <w:rFonts w:ascii="黑体" w:eastAsia="黑体" w:hAnsi="黑体" w:hint="eastAsia"/>
          </w:rPr>
          <w:t>政拨款收入支出决算总体情况说明</w:t>
        </w:r>
        <w:r w:rsidR="00F87DBA">
          <w:tab/>
        </w:r>
        <w:r w:rsidR="00127C4A">
          <w:fldChar w:fldCharType="begin"/>
        </w:r>
        <w:r w:rsidR="00F87DBA">
          <w:instrText xml:space="preserve"> PAGEREF _Toc23106 </w:instrText>
        </w:r>
        <w:r w:rsidR="00127C4A">
          <w:fldChar w:fldCharType="separate"/>
        </w:r>
        <w:r w:rsidR="00F87DBA">
          <w:t>7</w:t>
        </w:r>
        <w:r w:rsidR="00127C4A">
          <w:fldChar w:fldCharType="end"/>
        </w:r>
      </w:hyperlink>
    </w:p>
    <w:p w14:paraId="1D9F3CCB" w14:textId="77777777" w:rsidR="00127C4A" w:rsidRDefault="00000000">
      <w:pPr>
        <w:pStyle w:val="TOC2"/>
        <w:tabs>
          <w:tab w:val="clear" w:pos="8296"/>
          <w:tab w:val="right" w:leader="dot" w:pos="8845"/>
        </w:tabs>
        <w:spacing w:line="600" w:lineRule="exact"/>
      </w:pPr>
      <w:hyperlink w:anchor="_Toc29698" w:history="1">
        <w:r w:rsidR="00F87DBA">
          <w:rPr>
            <w:rFonts w:ascii="黑体" w:eastAsia="黑体" w:hAnsi="黑体" w:hint="eastAsia"/>
            <w:szCs w:val="32"/>
          </w:rPr>
          <w:t>五、一</w:t>
        </w:r>
        <w:r w:rsidR="00F87DBA">
          <w:rPr>
            <w:rFonts w:ascii="黑体" w:eastAsia="黑体" w:hAnsi="黑体" w:hint="eastAsia"/>
          </w:rPr>
          <w:t>般公共预算财政拨款支出决算情况说明</w:t>
        </w:r>
        <w:r w:rsidR="00F87DBA">
          <w:tab/>
        </w:r>
        <w:r w:rsidR="00127C4A">
          <w:fldChar w:fldCharType="begin"/>
        </w:r>
        <w:r w:rsidR="00F87DBA">
          <w:instrText xml:space="preserve"> PAGEREF _Toc29698 </w:instrText>
        </w:r>
        <w:r w:rsidR="00127C4A">
          <w:fldChar w:fldCharType="separate"/>
        </w:r>
        <w:r w:rsidR="00F87DBA">
          <w:t>7</w:t>
        </w:r>
        <w:r w:rsidR="00127C4A">
          <w:fldChar w:fldCharType="end"/>
        </w:r>
      </w:hyperlink>
    </w:p>
    <w:p w14:paraId="00EBE981" w14:textId="77777777" w:rsidR="00127C4A" w:rsidRDefault="00000000">
      <w:pPr>
        <w:pStyle w:val="TOC2"/>
        <w:tabs>
          <w:tab w:val="clear" w:pos="8296"/>
          <w:tab w:val="right" w:leader="dot" w:pos="8845"/>
        </w:tabs>
        <w:spacing w:line="600" w:lineRule="exact"/>
      </w:pPr>
      <w:hyperlink w:anchor="_Toc9751" w:history="1">
        <w:r w:rsidR="00F87DBA">
          <w:rPr>
            <w:rFonts w:ascii="黑体" w:eastAsia="黑体" w:hint="eastAsia"/>
            <w:szCs w:val="32"/>
          </w:rPr>
          <w:t>六、</w:t>
        </w:r>
        <w:r w:rsidR="00F87DBA">
          <w:rPr>
            <w:rFonts w:ascii="黑体" w:eastAsia="黑体" w:hAnsi="黑体" w:hint="eastAsia"/>
            <w:szCs w:val="32"/>
          </w:rPr>
          <w:t>一</w:t>
        </w:r>
        <w:r w:rsidR="00F87DBA">
          <w:rPr>
            <w:rFonts w:ascii="黑体" w:eastAsia="黑体" w:hAnsi="黑体" w:hint="eastAsia"/>
          </w:rPr>
          <w:t>般公共预算财政拨款基本支出决算情况说明</w:t>
        </w:r>
        <w:r w:rsidR="00F87DBA">
          <w:tab/>
        </w:r>
        <w:r w:rsidR="00127C4A">
          <w:fldChar w:fldCharType="begin"/>
        </w:r>
        <w:r w:rsidR="00F87DBA">
          <w:instrText xml:space="preserve"> PAGEREF _Toc9751 </w:instrText>
        </w:r>
        <w:r w:rsidR="00127C4A">
          <w:fldChar w:fldCharType="separate"/>
        </w:r>
        <w:r w:rsidR="00F87DBA">
          <w:t>10</w:t>
        </w:r>
        <w:r w:rsidR="00127C4A">
          <w:fldChar w:fldCharType="end"/>
        </w:r>
      </w:hyperlink>
    </w:p>
    <w:p w14:paraId="75699E5A" w14:textId="77777777" w:rsidR="00127C4A" w:rsidRDefault="00000000">
      <w:pPr>
        <w:pStyle w:val="TOC2"/>
        <w:tabs>
          <w:tab w:val="clear" w:pos="8296"/>
          <w:tab w:val="right" w:leader="dot" w:pos="8845"/>
        </w:tabs>
        <w:spacing w:line="600" w:lineRule="exact"/>
      </w:pPr>
      <w:hyperlink w:anchor="_Toc3658" w:history="1">
        <w:r w:rsidR="00F87DBA">
          <w:rPr>
            <w:rFonts w:ascii="黑体" w:eastAsia="黑体" w:hint="eastAsia"/>
            <w:szCs w:val="32"/>
          </w:rPr>
          <w:t>七、</w:t>
        </w:r>
        <w:r w:rsidR="00F87DBA">
          <w:rPr>
            <w:rFonts w:ascii="黑体" w:eastAsia="黑体" w:hAnsi="黑体" w:hint="eastAsia"/>
          </w:rPr>
          <w:t>财政拨款“三公”经费支出决算情况说明</w:t>
        </w:r>
        <w:r w:rsidR="00F87DBA">
          <w:tab/>
        </w:r>
        <w:r w:rsidR="00127C4A">
          <w:fldChar w:fldCharType="begin"/>
        </w:r>
        <w:r w:rsidR="00F87DBA">
          <w:instrText xml:space="preserve"> PAGEREF _Toc3658 </w:instrText>
        </w:r>
        <w:r w:rsidR="00127C4A">
          <w:fldChar w:fldCharType="separate"/>
        </w:r>
        <w:r w:rsidR="00F87DBA">
          <w:t>10</w:t>
        </w:r>
        <w:r w:rsidR="00127C4A">
          <w:fldChar w:fldCharType="end"/>
        </w:r>
      </w:hyperlink>
    </w:p>
    <w:p w14:paraId="6FECCE24" w14:textId="77777777" w:rsidR="00127C4A" w:rsidRDefault="00000000">
      <w:pPr>
        <w:pStyle w:val="TOC2"/>
        <w:tabs>
          <w:tab w:val="clear" w:pos="8296"/>
          <w:tab w:val="right" w:leader="dot" w:pos="8845"/>
        </w:tabs>
        <w:spacing w:line="600" w:lineRule="exact"/>
      </w:pPr>
      <w:hyperlink w:anchor="_Toc9480" w:history="1">
        <w:r w:rsidR="00F87DBA">
          <w:rPr>
            <w:rFonts w:ascii="黑体" w:eastAsia="黑体" w:hint="eastAsia"/>
            <w:szCs w:val="32"/>
          </w:rPr>
          <w:t>八、</w:t>
        </w:r>
        <w:r w:rsidR="00F87DBA">
          <w:rPr>
            <w:rFonts w:ascii="黑体" w:eastAsia="黑体" w:hAnsi="黑体" w:hint="eastAsia"/>
          </w:rPr>
          <w:t>政府性基金预算支出决算情况说明</w:t>
        </w:r>
        <w:r w:rsidR="00F87DBA">
          <w:tab/>
        </w:r>
        <w:r w:rsidR="00127C4A">
          <w:fldChar w:fldCharType="begin"/>
        </w:r>
        <w:r w:rsidR="00F87DBA">
          <w:instrText xml:space="preserve"> PAGEREF _Toc9480 </w:instrText>
        </w:r>
        <w:r w:rsidR="00127C4A">
          <w:fldChar w:fldCharType="separate"/>
        </w:r>
        <w:r w:rsidR="00F87DBA">
          <w:t>13</w:t>
        </w:r>
        <w:r w:rsidR="00127C4A">
          <w:fldChar w:fldCharType="end"/>
        </w:r>
      </w:hyperlink>
    </w:p>
    <w:p w14:paraId="6AAD3296" w14:textId="77777777" w:rsidR="00127C4A" w:rsidRDefault="00000000">
      <w:pPr>
        <w:pStyle w:val="TOC2"/>
        <w:tabs>
          <w:tab w:val="clear" w:pos="8296"/>
          <w:tab w:val="right" w:leader="dot" w:pos="8845"/>
        </w:tabs>
        <w:spacing w:line="600" w:lineRule="exact"/>
      </w:pPr>
      <w:hyperlink w:anchor="_Toc21177" w:history="1">
        <w:r w:rsidR="00F87DBA">
          <w:rPr>
            <w:rFonts w:ascii="黑体" w:eastAsia="黑体" w:hAnsi="黑体" w:hint="eastAsia"/>
          </w:rPr>
          <w:t>九、 国有资本经营预算支出决算情况说明</w:t>
        </w:r>
        <w:r w:rsidR="00F87DBA">
          <w:tab/>
        </w:r>
        <w:r w:rsidR="00127C4A">
          <w:fldChar w:fldCharType="begin"/>
        </w:r>
        <w:r w:rsidR="00F87DBA">
          <w:instrText xml:space="preserve"> PAGEREF _Toc21177 </w:instrText>
        </w:r>
        <w:r w:rsidR="00127C4A">
          <w:fldChar w:fldCharType="separate"/>
        </w:r>
        <w:r w:rsidR="00F87DBA">
          <w:t>13</w:t>
        </w:r>
        <w:r w:rsidR="00127C4A">
          <w:fldChar w:fldCharType="end"/>
        </w:r>
      </w:hyperlink>
    </w:p>
    <w:p w14:paraId="117A99E8" w14:textId="77777777" w:rsidR="00127C4A" w:rsidRDefault="00000000">
      <w:pPr>
        <w:pStyle w:val="TOC2"/>
        <w:tabs>
          <w:tab w:val="clear" w:pos="8296"/>
          <w:tab w:val="right" w:leader="dot" w:pos="8845"/>
        </w:tabs>
        <w:spacing w:line="600" w:lineRule="exact"/>
      </w:pPr>
      <w:hyperlink w:anchor="_Toc5145" w:history="1">
        <w:r w:rsidR="00F87DBA">
          <w:rPr>
            <w:rFonts w:ascii="黑体" w:eastAsia="黑体" w:hAnsi="黑体" w:hint="eastAsia"/>
          </w:rPr>
          <w:t>十、 其他重要事项的情况说明</w:t>
        </w:r>
        <w:r w:rsidR="00F87DBA">
          <w:tab/>
        </w:r>
        <w:r w:rsidR="00127C4A">
          <w:fldChar w:fldCharType="begin"/>
        </w:r>
        <w:r w:rsidR="00F87DBA">
          <w:instrText xml:space="preserve"> PAGEREF _Toc5145 </w:instrText>
        </w:r>
        <w:r w:rsidR="00127C4A">
          <w:fldChar w:fldCharType="separate"/>
        </w:r>
        <w:r w:rsidR="00F87DBA">
          <w:t>13</w:t>
        </w:r>
        <w:r w:rsidR="00127C4A">
          <w:fldChar w:fldCharType="end"/>
        </w:r>
      </w:hyperlink>
    </w:p>
    <w:p w14:paraId="276F24F6" w14:textId="77777777" w:rsidR="00127C4A" w:rsidRDefault="00000000">
      <w:pPr>
        <w:pStyle w:val="TOC1"/>
        <w:tabs>
          <w:tab w:val="clear" w:pos="8296"/>
          <w:tab w:val="right" w:leader="dot" w:pos="8845"/>
        </w:tabs>
        <w:spacing w:before="0" w:line="600" w:lineRule="exact"/>
      </w:pPr>
      <w:hyperlink w:anchor="_Toc20501" w:history="1">
        <w:r w:rsidR="00F87DBA">
          <w:rPr>
            <w:rFonts w:ascii="黑体" w:eastAsia="黑体" w:hAnsi="黑体" w:hint="eastAsia"/>
          </w:rPr>
          <w:t xml:space="preserve">第三部分 </w:t>
        </w:r>
        <w:r w:rsidR="00F87DBA">
          <w:rPr>
            <w:rFonts w:ascii="黑体" w:eastAsia="黑体" w:hAnsi="黑体" w:hint="eastAsia"/>
            <w:szCs w:val="44"/>
          </w:rPr>
          <w:t>名</w:t>
        </w:r>
        <w:r w:rsidR="00F87DBA">
          <w:rPr>
            <w:rFonts w:ascii="黑体" w:eastAsia="黑体" w:hAnsi="黑体" w:hint="eastAsia"/>
          </w:rPr>
          <w:t>词解释</w:t>
        </w:r>
        <w:r w:rsidR="00F87DBA">
          <w:tab/>
        </w:r>
        <w:r w:rsidR="00127C4A">
          <w:fldChar w:fldCharType="begin"/>
        </w:r>
        <w:r w:rsidR="00F87DBA">
          <w:instrText xml:space="preserve"> PAGEREF _Toc20501 </w:instrText>
        </w:r>
        <w:r w:rsidR="00127C4A">
          <w:fldChar w:fldCharType="separate"/>
        </w:r>
        <w:r w:rsidR="00F87DBA">
          <w:t>15</w:t>
        </w:r>
        <w:r w:rsidR="00127C4A">
          <w:fldChar w:fldCharType="end"/>
        </w:r>
      </w:hyperlink>
    </w:p>
    <w:p w14:paraId="6DE9B660" w14:textId="77777777" w:rsidR="00127C4A" w:rsidRDefault="00000000">
      <w:pPr>
        <w:pStyle w:val="TOC1"/>
        <w:tabs>
          <w:tab w:val="clear" w:pos="8296"/>
          <w:tab w:val="right" w:leader="dot" w:pos="8845"/>
        </w:tabs>
        <w:spacing w:before="0" w:line="600" w:lineRule="exact"/>
      </w:pPr>
      <w:hyperlink w:anchor="_Toc15738" w:history="1">
        <w:r w:rsidR="00F87DBA">
          <w:rPr>
            <w:rFonts w:ascii="黑体" w:eastAsia="黑体" w:hAnsi="黑体" w:hint="eastAsia"/>
            <w:szCs w:val="44"/>
          </w:rPr>
          <w:t>第</w:t>
        </w:r>
        <w:r w:rsidR="00F87DBA">
          <w:rPr>
            <w:rFonts w:ascii="黑体" w:eastAsia="黑体" w:hAnsi="黑体" w:hint="eastAsia"/>
          </w:rPr>
          <w:t>四部分 附件</w:t>
        </w:r>
        <w:r w:rsidR="00F87DBA">
          <w:tab/>
        </w:r>
        <w:r w:rsidR="00127C4A">
          <w:fldChar w:fldCharType="begin"/>
        </w:r>
        <w:r w:rsidR="00F87DBA">
          <w:instrText xml:space="preserve"> PAGEREF _Toc15738 </w:instrText>
        </w:r>
        <w:r w:rsidR="00127C4A">
          <w:fldChar w:fldCharType="separate"/>
        </w:r>
        <w:r w:rsidR="00F87DBA">
          <w:t>17</w:t>
        </w:r>
        <w:r w:rsidR="00127C4A">
          <w:fldChar w:fldCharType="end"/>
        </w:r>
      </w:hyperlink>
    </w:p>
    <w:p w14:paraId="3A0665E1" w14:textId="77777777" w:rsidR="00127C4A" w:rsidRDefault="00000000">
      <w:pPr>
        <w:pStyle w:val="TOC1"/>
        <w:tabs>
          <w:tab w:val="clear" w:pos="8296"/>
          <w:tab w:val="right" w:leader="dot" w:pos="8845"/>
        </w:tabs>
        <w:spacing w:before="0" w:line="600" w:lineRule="exact"/>
      </w:pPr>
      <w:hyperlink w:anchor="_Toc27692" w:history="1">
        <w:r w:rsidR="00F87DBA">
          <w:rPr>
            <w:rFonts w:ascii="黑体" w:eastAsia="黑体" w:hAnsi="黑体" w:cs="黑体" w:hint="eastAsia"/>
            <w:szCs w:val="32"/>
          </w:rPr>
          <w:t>附件</w:t>
        </w:r>
        <w:r w:rsidR="00F87DBA">
          <w:tab/>
        </w:r>
        <w:r w:rsidR="00127C4A">
          <w:fldChar w:fldCharType="begin"/>
        </w:r>
        <w:r w:rsidR="00F87DBA">
          <w:instrText xml:space="preserve"> PAGEREF _Toc27692 </w:instrText>
        </w:r>
        <w:r w:rsidR="00127C4A">
          <w:fldChar w:fldCharType="separate"/>
        </w:r>
        <w:r w:rsidR="00F87DBA">
          <w:t>17</w:t>
        </w:r>
        <w:r w:rsidR="00127C4A">
          <w:fldChar w:fldCharType="end"/>
        </w:r>
      </w:hyperlink>
    </w:p>
    <w:p w14:paraId="227F3CE3" w14:textId="77777777" w:rsidR="00127C4A" w:rsidRDefault="00000000">
      <w:pPr>
        <w:pStyle w:val="TOC1"/>
        <w:tabs>
          <w:tab w:val="clear" w:pos="8296"/>
          <w:tab w:val="right" w:leader="dot" w:pos="8845"/>
        </w:tabs>
        <w:spacing w:before="0" w:line="600" w:lineRule="exact"/>
      </w:pPr>
      <w:hyperlink w:anchor="_Toc10912" w:history="1">
        <w:r w:rsidR="00F87DBA">
          <w:rPr>
            <w:rFonts w:ascii="黑体" w:eastAsia="黑体" w:hAnsi="黑体" w:hint="eastAsia"/>
            <w:szCs w:val="44"/>
          </w:rPr>
          <w:t>第</w:t>
        </w:r>
        <w:r w:rsidR="00F87DBA">
          <w:rPr>
            <w:rFonts w:ascii="黑体" w:eastAsia="黑体" w:hAnsi="黑体" w:hint="eastAsia"/>
          </w:rPr>
          <w:t>五部分 附表</w:t>
        </w:r>
        <w:r w:rsidR="00F87DBA">
          <w:tab/>
        </w:r>
        <w:r w:rsidR="00127C4A">
          <w:fldChar w:fldCharType="begin"/>
        </w:r>
        <w:r w:rsidR="00F87DBA">
          <w:instrText xml:space="preserve"> PAGEREF _Toc10912 </w:instrText>
        </w:r>
        <w:r w:rsidR="00127C4A">
          <w:fldChar w:fldCharType="separate"/>
        </w:r>
        <w:r w:rsidR="00F87DBA">
          <w:t>33</w:t>
        </w:r>
        <w:r w:rsidR="00127C4A">
          <w:fldChar w:fldCharType="end"/>
        </w:r>
      </w:hyperlink>
    </w:p>
    <w:p w14:paraId="064F8345" w14:textId="77777777" w:rsidR="00127C4A" w:rsidRDefault="00000000">
      <w:pPr>
        <w:pStyle w:val="TOC2"/>
        <w:tabs>
          <w:tab w:val="clear" w:pos="8296"/>
          <w:tab w:val="right" w:leader="dot" w:pos="8845"/>
        </w:tabs>
        <w:spacing w:line="600" w:lineRule="exact"/>
      </w:pPr>
      <w:hyperlink w:anchor="_Toc16919" w:history="1">
        <w:r w:rsidR="00F87DBA">
          <w:rPr>
            <w:rFonts w:ascii="仿宋" w:eastAsia="仿宋" w:hAnsi="仿宋" w:hint="eastAsia"/>
          </w:rPr>
          <w:t>一、收入支出决算总表</w:t>
        </w:r>
        <w:r w:rsidR="00F87DBA">
          <w:tab/>
        </w:r>
        <w:r w:rsidR="00127C4A">
          <w:fldChar w:fldCharType="begin"/>
        </w:r>
        <w:r w:rsidR="00F87DBA">
          <w:instrText xml:space="preserve"> PAGEREF _Toc16919 </w:instrText>
        </w:r>
        <w:r w:rsidR="00127C4A">
          <w:fldChar w:fldCharType="separate"/>
        </w:r>
        <w:r w:rsidR="00F87DBA">
          <w:t>33</w:t>
        </w:r>
        <w:r w:rsidR="00127C4A">
          <w:fldChar w:fldCharType="end"/>
        </w:r>
      </w:hyperlink>
    </w:p>
    <w:p w14:paraId="336BA763" w14:textId="77777777" w:rsidR="00127C4A" w:rsidRDefault="00000000">
      <w:pPr>
        <w:pStyle w:val="TOC2"/>
        <w:tabs>
          <w:tab w:val="clear" w:pos="8296"/>
          <w:tab w:val="right" w:leader="dot" w:pos="8845"/>
        </w:tabs>
        <w:spacing w:line="600" w:lineRule="exact"/>
      </w:pPr>
      <w:hyperlink w:anchor="_Toc11243" w:history="1">
        <w:r w:rsidR="00F87DBA">
          <w:rPr>
            <w:rFonts w:ascii="仿宋" w:eastAsia="仿宋" w:hAnsi="仿宋" w:hint="eastAsia"/>
          </w:rPr>
          <w:t>二、收入决算表</w:t>
        </w:r>
        <w:r w:rsidR="00F87DBA">
          <w:tab/>
        </w:r>
        <w:r w:rsidR="00127C4A">
          <w:fldChar w:fldCharType="begin"/>
        </w:r>
        <w:r w:rsidR="00F87DBA">
          <w:instrText xml:space="preserve"> PAGEREF _Toc11243 </w:instrText>
        </w:r>
        <w:r w:rsidR="00127C4A">
          <w:fldChar w:fldCharType="separate"/>
        </w:r>
        <w:r w:rsidR="00F87DBA">
          <w:t>33</w:t>
        </w:r>
        <w:r w:rsidR="00127C4A">
          <w:fldChar w:fldCharType="end"/>
        </w:r>
      </w:hyperlink>
    </w:p>
    <w:p w14:paraId="44015915" w14:textId="77777777" w:rsidR="00127C4A" w:rsidRDefault="00000000">
      <w:pPr>
        <w:pStyle w:val="TOC2"/>
        <w:tabs>
          <w:tab w:val="clear" w:pos="8296"/>
          <w:tab w:val="right" w:leader="dot" w:pos="8845"/>
        </w:tabs>
        <w:spacing w:line="600" w:lineRule="exact"/>
      </w:pPr>
      <w:hyperlink w:anchor="_Toc9141" w:history="1">
        <w:r w:rsidR="00F87DBA">
          <w:rPr>
            <w:rFonts w:ascii="仿宋" w:eastAsia="仿宋" w:hAnsi="仿宋" w:hint="eastAsia"/>
          </w:rPr>
          <w:t>三、支出决算表</w:t>
        </w:r>
        <w:r w:rsidR="00F87DBA">
          <w:tab/>
        </w:r>
        <w:r w:rsidR="00127C4A">
          <w:fldChar w:fldCharType="begin"/>
        </w:r>
        <w:r w:rsidR="00F87DBA">
          <w:instrText xml:space="preserve"> PAGEREF _Toc9141 </w:instrText>
        </w:r>
        <w:r w:rsidR="00127C4A">
          <w:fldChar w:fldCharType="separate"/>
        </w:r>
        <w:r w:rsidR="00F87DBA">
          <w:t>33</w:t>
        </w:r>
        <w:r w:rsidR="00127C4A">
          <w:fldChar w:fldCharType="end"/>
        </w:r>
      </w:hyperlink>
    </w:p>
    <w:p w14:paraId="02C3457D" w14:textId="77777777" w:rsidR="00127C4A" w:rsidRDefault="00000000">
      <w:pPr>
        <w:pStyle w:val="TOC2"/>
        <w:tabs>
          <w:tab w:val="clear" w:pos="8296"/>
          <w:tab w:val="right" w:leader="dot" w:pos="8845"/>
        </w:tabs>
        <w:spacing w:line="600" w:lineRule="exact"/>
      </w:pPr>
      <w:hyperlink w:anchor="_Toc2743" w:history="1">
        <w:r w:rsidR="00F87DBA">
          <w:rPr>
            <w:rFonts w:ascii="仿宋" w:eastAsia="仿宋" w:hAnsi="仿宋" w:hint="eastAsia"/>
          </w:rPr>
          <w:t>四、财政拨款收入支出决算总表</w:t>
        </w:r>
        <w:r w:rsidR="00F87DBA">
          <w:tab/>
        </w:r>
        <w:r w:rsidR="00127C4A">
          <w:fldChar w:fldCharType="begin"/>
        </w:r>
        <w:r w:rsidR="00F87DBA">
          <w:instrText xml:space="preserve"> PAGEREF _Toc2743 </w:instrText>
        </w:r>
        <w:r w:rsidR="00127C4A">
          <w:fldChar w:fldCharType="separate"/>
        </w:r>
        <w:r w:rsidR="00F87DBA">
          <w:t>33</w:t>
        </w:r>
        <w:r w:rsidR="00127C4A">
          <w:fldChar w:fldCharType="end"/>
        </w:r>
      </w:hyperlink>
    </w:p>
    <w:p w14:paraId="184D6B22" w14:textId="77777777" w:rsidR="00127C4A" w:rsidRDefault="00000000">
      <w:pPr>
        <w:pStyle w:val="TOC2"/>
        <w:tabs>
          <w:tab w:val="clear" w:pos="8296"/>
          <w:tab w:val="right" w:leader="dot" w:pos="8845"/>
        </w:tabs>
        <w:spacing w:line="600" w:lineRule="exact"/>
      </w:pPr>
      <w:hyperlink w:anchor="_Toc24580" w:history="1">
        <w:r w:rsidR="00F87DBA">
          <w:rPr>
            <w:rFonts w:ascii="仿宋" w:eastAsia="仿宋" w:hAnsi="仿宋" w:hint="eastAsia"/>
          </w:rPr>
          <w:t>五、财政拨款支出决算明细表</w:t>
        </w:r>
        <w:r w:rsidR="00F87DBA">
          <w:tab/>
        </w:r>
        <w:r w:rsidR="00127C4A">
          <w:fldChar w:fldCharType="begin"/>
        </w:r>
        <w:r w:rsidR="00F87DBA">
          <w:instrText xml:space="preserve"> PAGEREF _Toc24580 </w:instrText>
        </w:r>
        <w:r w:rsidR="00127C4A">
          <w:fldChar w:fldCharType="separate"/>
        </w:r>
        <w:r w:rsidR="00F87DBA">
          <w:t>33</w:t>
        </w:r>
        <w:r w:rsidR="00127C4A">
          <w:fldChar w:fldCharType="end"/>
        </w:r>
      </w:hyperlink>
    </w:p>
    <w:p w14:paraId="6D13BCF6" w14:textId="77777777" w:rsidR="00127C4A" w:rsidRDefault="00000000">
      <w:pPr>
        <w:pStyle w:val="TOC2"/>
        <w:tabs>
          <w:tab w:val="clear" w:pos="8296"/>
          <w:tab w:val="right" w:leader="dot" w:pos="8845"/>
        </w:tabs>
        <w:spacing w:line="600" w:lineRule="exact"/>
      </w:pPr>
      <w:hyperlink w:anchor="_Toc8400" w:history="1">
        <w:r w:rsidR="00F87DBA">
          <w:rPr>
            <w:rFonts w:ascii="仿宋" w:eastAsia="仿宋" w:hAnsi="仿宋" w:hint="eastAsia"/>
          </w:rPr>
          <w:t>六、一般公共预算财政拨款支出决算表</w:t>
        </w:r>
        <w:r w:rsidR="00F87DBA">
          <w:tab/>
        </w:r>
        <w:r w:rsidR="00127C4A">
          <w:fldChar w:fldCharType="begin"/>
        </w:r>
        <w:r w:rsidR="00F87DBA">
          <w:instrText xml:space="preserve"> PAGEREF _Toc8400 </w:instrText>
        </w:r>
        <w:r w:rsidR="00127C4A">
          <w:fldChar w:fldCharType="separate"/>
        </w:r>
        <w:r w:rsidR="00F87DBA">
          <w:t>33</w:t>
        </w:r>
        <w:r w:rsidR="00127C4A">
          <w:fldChar w:fldCharType="end"/>
        </w:r>
      </w:hyperlink>
    </w:p>
    <w:p w14:paraId="29451065" w14:textId="77777777" w:rsidR="00127C4A" w:rsidRDefault="00000000">
      <w:pPr>
        <w:pStyle w:val="TOC2"/>
        <w:tabs>
          <w:tab w:val="clear" w:pos="8296"/>
          <w:tab w:val="right" w:leader="dot" w:pos="8845"/>
        </w:tabs>
        <w:spacing w:line="600" w:lineRule="exact"/>
      </w:pPr>
      <w:hyperlink w:anchor="_Toc15682" w:history="1">
        <w:r w:rsidR="00F87DBA">
          <w:rPr>
            <w:rFonts w:ascii="仿宋" w:eastAsia="仿宋" w:hAnsi="仿宋" w:hint="eastAsia"/>
          </w:rPr>
          <w:t>七、一般公共预算财政拨款支出决算明细表</w:t>
        </w:r>
        <w:r w:rsidR="00F87DBA">
          <w:tab/>
        </w:r>
        <w:r w:rsidR="00127C4A">
          <w:fldChar w:fldCharType="begin"/>
        </w:r>
        <w:r w:rsidR="00F87DBA">
          <w:instrText xml:space="preserve"> PAGEREF _Toc15682 </w:instrText>
        </w:r>
        <w:r w:rsidR="00127C4A">
          <w:fldChar w:fldCharType="separate"/>
        </w:r>
        <w:r w:rsidR="00F87DBA">
          <w:t>33</w:t>
        </w:r>
        <w:r w:rsidR="00127C4A">
          <w:fldChar w:fldCharType="end"/>
        </w:r>
      </w:hyperlink>
    </w:p>
    <w:p w14:paraId="5992C33D" w14:textId="77777777" w:rsidR="00127C4A" w:rsidRDefault="00000000">
      <w:pPr>
        <w:pStyle w:val="TOC2"/>
        <w:tabs>
          <w:tab w:val="clear" w:pos="8296"/>
          <w:tab w:val="right" w:leader="dot" w:pos="8845"/>
        </w:tabs>
        <w:spacing w:line="600" w:lineRule="exact"/>
      </w:pPr>
      <w:hyperlink w:anchor="_Toc10395" w:history="1">
        <w:r w:rsidR="00F87DBA">
          <w:rPr>
            <w:rFonts w:ascii="仿宋" w:eastAsia="仿宋" w:hAnsi="仿宋" w:hint="eastAsia"/>
          </w:rPr>
          <w:t>八、一般公共预算财政拨款基本支出决算表</w:t>
        </w:r>
        <w:r w:rsidR="00F87DBA">
          <w:tab/>
        </w:r>
        <w:r w:rsidR="00127C4A">
          <w:fldChar w:fldCharType="begin"/>
        </w:r>
        <w:r w:rsidR="00F87DBA">
          <w:instrText xml:space="preserve"> PAGEREF _Toc10395 </w:instrText>
        </w:r>
        <w:r w:rsidR="00127C4A">
          <w:fldChar w:fldCharType="separate"/>
        </w:r>
        <w:r w:rsidR="00F87DBA">
          <w:t>33</w:t>
        </w:r>
        <w:r w:rsidR="00127C4A">
          <w:fldChar w:fldCharType="end"/>
        </w:r>
      </w:hyperlink>
    </w:p>
    <w:p w14:paraId="6E58DF1D" w14:textId="77777777" w:rsidR="00127C4A" w:rsidRDefault="00000000">
      <w:pPr>
        <w:pStyle w:val="TOC2"/>
        <w:tabs>
          <w:tab w:val="clear" w:pos="8296"/>
          <w:tab w:val="right" w:leader="dot" w:pos="8845"/>
        </w:tabs>
        <w:spacing w:line="600" w:lineRule="exact"/>
      </w:pPr>
      <w:hyperlink w:anchor="_Toc19699" w:history="1">
        <w:r w:rsidR="00F87DBA">
          <w:rPr>
            <w:rFonts w:ascii="仿宋" w:eastAsia="仿宋" w:hAnsi="仿宋" w:hint="eastAsia"/>
          </w:rPr>
          <w:t>九、一般公共预算财政拨款项目支出决算表</w:t>
        </w:r>
        <w:r w:rsidR="00F87DBA">
          <w:tab/>
        </w:r>
        <w:r w:rsidR="00127C4A">
          <w:fldChar w:fldCharType="begin"/>
        </w:r>
        <w:r w:rsidR="00F87DBA">
          <w:instrText xml:space="preserve"> PAGEREF _Toc19699 </w:instrText>
        </w:r>
        <w:r w:rsidR="00127C4A">
          <w:fldChar w:fldCharType="separate"/>
        </w:r>
        <w:r w:rsidR="00F87DBA">
          <w:t>33</w:t>
        </w:r>
        <w:r w:rsidR="00127C4A">
          <w:fldChar w:fldCharType="end"/>
        </w:r>
      </w:hyperlink>
    </w:p>
    <w:p w14:paraId="62744136" w14:textId="77777777" w:rsidR="00127C4A" w:rsidRDefault="00000000">
      <w:pPr>
        <w:pStyle w:val="TOC2"/>
        <w:tabs>
          <w:tab w:val="clear" w:pos="8296"/>
          <w:tab w:val="right" w:leader="dot" w:pos="8845"/>
        </w:tabs>
        <w:spacing w:line="600" w:lineRule="exact"/>
      </w:pPr>
      <w:hyperlink w:anchor="_Toc29556" w:history="1">
        <w:r w:rsidR="00F87DBA">
          <w:rPr>
            <w:rFonts w:ascii="仿宋" w:eastAsia="仿宋" w:hAnsi="仿宋" w:hint="eastAsia"/>
          </w:rPr>
          <w:t>十、政府性基金预算财政拨款收入支出决算表</w:t>
        </w:r>
        <w:r w:rsidR="00F87DBA">
          <w:tab/>
        </w:r>
        <w:r w:rsidR="00127C4A">
          <w:fldChar w:fldCharType="begin"/>
        </w:r>
        <w:r w:rsidR="00F87DBA">
          <w:instrText xml:space="preserve"> PAGEREF _Toc29556 </w:instrText>
        </w:r>
        <w:r w:rsidR="00127C4A">
          <w:fldChar w:fldCharType="separate"/>
        </w:r>
        <w:r w:rsidR="00F87DBA">
          <w:t>33</w:t>
        </w:r>
        <w:r w:rsidR="00127C4A">
          <w:fldChar w:fldCharType="end"/>
        </w:r>
      </w:hyperlink>
    </w:p>
    <w:p w14:paraId="20F6A131" w14:textId="77777777" w:rsidR="00127C4A" w:rsidRDefault="00000000">
      <w:pPr>
        <w:pStyle w:val="TOC2"/>
        <w:tabs>
          <w:tab w:val="clear" w:pos="8296"/>
          <w:tab w:val="right" w:leader="dot" w:pos="8845"/>
        </w:tabs>
        <w:spacing w:line="600" w:lineRule="exact"/>
      </w:pPr>
      <w:hyperlink w:anchor="_Toc12611" w:history="1">
        <w:r w:rsidR="00F87DBA">
          <w:rPr>
            <w:rFonts w:ascii="仿宋" w:eastAsia="仿宋" w:hAnsi="仿宋" w:hint="eastAsia"/>
          </w:rPr>
          <w:t>十一、国有资本经营预算财政拨款收入支出决算表</w:t>
        </w:r>
        <w:r w:rsidR="00F87DBA">
          <w:tab/>
        </w:r>
        <w:r w:rsidR="00127C4A">
          <w:fldChar w:fldCharType="begin"/>
        </w:r>
        <w:r w:rsidR="00F87DBA">
          <w:instrText xml:space="preserve"> PAGEREF _Toc12611 </w:instrText>
        </w:r>
        <w:r w:rsidR="00127C4A">
          <w:fldChar w:fldCharType="separate"/>
        </w:r>
        <w:r w:rsidR="00F87DBA">
          <w:t>33</w:t>
        </w:r>
        <w:r w:rsidR="00127C4A">
          <w:fldChar w:fldCharType="end"/>
        </w:r>
      </w:hyperlink>
    </w:p>
    <w:p w14:paraId="30928FD8" w14:textId="77777777" w:rsidR="00127C4A" w:rsidRDefault="00000000">
      <w:pPr>
        <w:pStyle w:val="TOC2"/>
        <w:tabs>
          <w:tab w:val="clear" w:pos="8296"/>
          <w:tab w:val="right" w:leader="dot" w:pos="8845"/>
        </w:tabs>
        <w:spacing w:line="600" w:lineRule="exact"/>
      </w:pPr>
      <w:hyperlink w:anchor="_Toc24593" w:history="1">
        <w:r w:rsidR="00F87DBA">
          <w:rPr>
            <w:rFonts w:ascii="仿宋" w:eastAsia="仿宋" w:hAnsi="仿宋" w:hint="eastAsia"/>
          </w:rPr>
          <w:t>十二、国有资本经营预算财政拨款支出决算表</w:t>
        </w:r>
        <w:r w:rsidR="00F87DBA">
          <w:tab/>
        </w:r>
        <w:r w:rsidR="00127C4A">
          <w:fldChar w:fldCharType="begin"/>
        </w:r>
        <w:r w:rsidR="00F87DBA">
          <w:instrText xml:space="preserve"> PAGEREF _Toc24593 </w:instrText>
        </w:r>
        <w:r w:rsidR="00127C4A">
          <w:fldChar w:fldCharType="separate"/>
        </w:r>
        <w:r w:rsidR="00F87DBA">
          <w:t>33</w:t>
        </w:r>
        <w:r w:rsidR="00127C4A">
          <w:fldChar w:fldCharType="end"/>
        </w:r>
      </w:hyperlink>
    </w:p>
    <w:p w14:paraId="01A53068" w14:textId="77777777" w:rsidR="00127C4A" w:rsidRDefault="00000000">
      <w:pPr>
        <w:pStyle w:val="TOC2"/>
        <w:tabs>
          <w:tab w:val="clear" w:pos="8296"/>
          <w:tab w:val="right" w:leader="dot" w:pos="8845"/>
        </w:tabs>
        <w:spacing w:line="600" w:lineRule="exact"/>
      </w:pPr>
      <w:hyperlink w:anchor="_Toc26210" w:history="1">
        <w:r w:rsidR="00F87DBA">
          <w:rPr>
            <w:rFonts w:ascii="仿宋" w:eastAsia="仿宋" w:hAnsi="仿宋" w:hint="eastAsia"/>
          </w:rPr>
          <w:t>十三、财政拨款“三公”经费支出决算表</w:t>
        </w:r>
        <w:r w:rsidR="00F87DBA">
          <w:tab/>
        </w:r>
        <w:r w:rsidR="00127C4A">
          <w:fldChar w:fldCharType="begin"/>
        </w:r>
        <w:r w:rsidR="00F87DBA">
          <w:instrText xml:space="preserve"> PAGEREF _Toc26210 </w:instrText>
        </w:r>
        <w:r w:rsidR="00127C4A">
          <w:fldChar w:fldCharType="separate"/>
        </w:r>
        <w:r w:rsidR="00F87DBA">
          <w:t>33</w:t>
        </w:r>
        <w:r w:rsidR="00127C4A">
          <w:fldChar w:fldCharType="end"/>
        </w:r>
      </w:hyperlink>
    </w:p>
    <w:p w14:paraId="393EBE94" w14:textId="77777777" w:rsidR="00127C4A" w:rsidRDefault="00127C4A">
      <w:pPr>
        <w:widowControl/>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szCs w:val="32"/>
        </w:rPr>
        <w:fldChar w:fldCharType="end"/>
      </w:r>
    </w:p>
    <w:p w14:paraId="37220178" w14:textId="77777777" w:rsidR="00127C4A" w:rsidRDefault="00F87DBA">
      <w:pPr>
        <w:widowControl/>
        <w:spacing w:line="600" w:lineRule="exact"/>
        <w:jc w:val="left"/>
        <w:rPr>
          <w:rFonts w:ascii="仿宋_GB2312" w:eastAsia="仿宋_GB2312" w:hAnsi="仿宋_GB2312" w:cs="仿宋_GB2312"/>
          <w:bCs/>
          <w:kern w:val="44"/>
          <w:sz w:val="32"/>
          <w:szCs w:val="32"/>
        </w:rPr>
      </w:pPr>
      <w:r>
        <w:rPr>
          <w:rFonts w:ascii="仿宋_GB2312" w:eastAsia="仿宋_GB2312" w:hAnsi="仿宋_GB2312" w:cs="仿宋_GB2312" w:hint="eastAsia"/>
          <w:b/>
          <w:sz w:val="32"/>
          <w:szCs w:val="32"/>
        </w:rPr>
        <w:br w:type="page"/>
      </w:r>
    </w:p>
    <w:p w14:paraId="2E9F2566" w14:textId="77777777" w:rsidR="00127C4A" w:rsidRDefault="00F87DBA">
      <w:pPr>
        <w:pStyle w:val="1"/>
        <w:jc w:val="center"/>
        <w:rPr>
          <w:rStyle w:val="10"/>
          <w:rFonts w:ascii="黑体" w:eastAsia="黑体" w:hAnsi="黑体"/>
          <w:b/>
        </w:rPr>
      </w:pPr>
      <w:bookmarkStart w:id="17" w:name="_Toc1273"/>
      <w:r>
        <w:rPr>
          <w:rFonts w:ascii="黑体" w:eastAsia="黑体" w:hAnsi="黑体" w:hint="eastAsia"/>
          <w:b w:val="0"/>
        </w:rPr>
        <w:lastRenderedPageBreak/>
        <w:t xml:space="preserve">第一部分 </w:t>
      </w:r>
      <w:r>
        <w:rPr>
          <w:rStyle w:val="10"/>
          <w:rFonts w:ascii="黑体" w:eastAsia="黑体" w:hAnsi="黑体" w:hint="eastAsia"/>
        </w:rPr>
        <w:t>部门概况</w:t>
      </w:r>
      <w:bookmarkEnd w:id="15"/>
      <w:bookmarkEnd w:id="16"/>
      <w:bookmarkEnd w:id="17"/>
    </w:p>
    <w:p w14:paraId="2A6A7480" w14:textId="77777777" w:rsidR="00127C4A" w:rsidRDefault="00F87DBA">
      <w:pPr>
        <w:pStyle w:val="2"/>
        <w:numPr>
          <w:ilvl w:val="0"/>
          <w:numId w:val="1"/>
        </w:numPr>
        <w:rPr>
          <w:rFonts w:ascii="黑体" w:eastAsia="黑体" w:hAnsi="黑体"/>
          <w:b w:val="0"/>
        </w:rPr>
      </w:pPr>
      <w:bookmarkStart w:id="18" w:name="_Toc22824"/>
      <w:r>
        <w:rPr>
          <w:rFonts w:ascii="黑体" w:eastAsia="黑体" w:hAnsi="黑体" w:hint="eastAsia"/>
          <w:b w:val="0"/>
        </w:rPr>
        <w:t>部门职责</w:t>
      </w:r>
      <w:bookmarkEnd w:id="18"/>
    </w:p>
    <w:p w14:paraId="5104200D" w14:textId="77777777" w:rsidR="00127C4A" w:rsidRDefault="00F87DBA">
      <w:pPr>
        <w:ind w:firstLineChars="200" w:firstLine="640"/>
      </w:pPr>
      <w:r>
        <w:rPr>
          <w:rFonts w:ascii="仿宋_GB2312" w:eastAsia="仿宋_GB2312" w:hAnsi="仿宋" w:hint="eastAsia"/>
          <w:sz w:val="32"/>
          <w:szCs w:val="32"/>
        </w:rPr>
        <w:t>四川省人民政府科学城办事处（以下简称</w:t>
      </w:r>
      <w:proofErr w:type="gramStart"/>
      <w:r>
        <w:rPr>
          <w:rFonts w:ascii="仿宋_GB2312" w:eastAsia="仿宋_GB2312" w:hAnsi="仿宋" w:hint="eastAsia"/>
          <w:sz w:val="32"/>
          <w:szCs w:val="32"/>
        </w:rPr>
        <w:t>川府科办</w:t>
      </w:r>
      <w:proofErr w:type="gramEnd"/>
      <w:r>
        <w:rPr>
          <w:rFonts w:ascii="仿宋_GB2312" w:eastAsia="仿宋_GB2312" w:hAnsi="仿宋" w:hint="eastAsia"/>
          <w:sz w:val="32"/>
          <w:szCs w:val="32"/>
        </w:rPr>
        <w:t>）为省政府派出机构，与中国工程物理研究院公共事务管理部一个机构两块牌子。负责中国工程物理研究院在川征地范围内的行</w:t>
      </w:r>
      <w:r>
        <w:rPr>
          <w:rFonts w:ascii="仿宋_GB2312" w:eastAsia="仿宋_GB2312" w:hAnsi="仿宋" w:hint="eastAsia"/>
          <w:spacing w:val="-10"/>
          <w:sz w:val="32"/>
          <w:szCs w:val="32"/>
        </w:rPr>
        <w:t>政管理和行政执法工作，承办省政府交办的其他事项</w:t>
      </w:r>
      <w:r>
        <w:rPr>
          <w:rFonts w:ascii="仿宋_GB2312" w:eastAsia="仿宋_GB2312" w:hAnsi="仿宋" w:hint="eastAsia"/>
          <w:sz w:val="32"/>
          <w:szCs w:val="32"/>
        </w:rPr>
        <w:t>。</w:t>
      </w:r>
    </w:p>
    <w:p w14:paraId="264E6C7D" w14:textId="77777777" w:rsidR="00127C4A" w:rsidRDefault="00F87DBA">
      <w:pPr>
        <w:pStyle w:val="2"/>
        <w:rPr>
          <w:rStyle w:val="20"/>
        </w:rPr>
      </w:pPr>
      <w:bookmarkStart w:id="19" w:name="_Toc15396601"/>
      <w:bookmarkStart w:id="20" w:name="_Toc15377200"/>
      <w:bookmarkStart w:id="21" w:name="_Toc2307"/>
      <w:r>
        <w:rPr>
          <w:rFonts w:ascii="黑体" w:eastAsia="黑体" w:hint="eastAsia"/>
          <w:b w:val="0"/>
        </w:rPr>
        <w:t>二、</w:t>
      </w:r>
      <w:r>
        <w:rPr>
          <w:rFonts w:ascii="黑体" w:eastAsia="黑体" w:hAnsi="黑体" w:hint="eastAsia"/>
          <w:b w:val="0"/>
        </w:rPr>
        <w:t>机</w:t>
      </w:r>
      <w:r>
        <w:rPr>
          <w:rStyle w:val="20"/>
          <w:rFonts w:ascii="黑体" w:eastAsia="黑体" w:hAnsi="黑体" w:hint="eastAsia"/>
        </w:rPr>
        <w:t>构设置</w:t>
      </w:r>
      <w:bookmarkEnd w:id="19"/>
      <w:bookmarkEnd w:id="20"/>
      <w:bookmarkEnd w:id="21"/>
    </w:p>
    <w:p w14:paraId="29A4C21E" w14:textId="77777777" w:rsidR="00127C4A" w:rsidRPr="00537F21" w:rsidRDefault="00F87DBA" w:rsidP="00537F21">
      <w:pPr>
        <w:ind w:firstLineChars="200" w:firstLine="600"/>
        <w:rPr>
          <w:rFonts w:ascii="仿宋_GB2312" w:eastAsia="仿宋_GB2312" w:hAnsi="仿宋"/>
          <w:spacing w:val="-10"/>
          <w:sz w:val="32"/>
          <w:szCs w:val="32"/>
        </w:rPr>
      </w:pPr>
      <w:proofErr w:type="gramStart"/>
      <w:r w:rsidRPr="00537F21">
        <w:rPr>
          <w:rFonts w:ascii="仿宋_GB2312" w:eastAsia="仿宋_GB2312" w:hAnsi="仿宋" w:hint="eastAsia"/>
          <w:spacing w:val="-10"/>
          <w:sz w:val="32"/>
          <w:szCs w:val="32"/>
        </w:rPr>
        <w:t>川府科办</w:t>
      </w:r>
      <w:proofErr w:type="gramEnd"/>
      <w:r w:rsidRPr="00537F21">
        <w:rPr>
          <w:rFonts w:ascii="仿宋_GB2312" w:eastAsia="仿宋_GB2312" w:hAnsi="仿宋" w:hint="eastAsia"/>
          <w:spacing w:val="-10"/>
          <w:sz w:val="32"/>
          <w:szCs w:val="32"/>
        </w:rPr>
        <w:t>下属二级单位1个，其中行政单位0个，参照公务员法管理的事业单位0个，其他事业单位1个。</w:t>
      </w:r>
    </w:p>
    <w:p w14:paraId="30B7B00C" w14:textId="77777777" w:rsidR="00127C4A" w:rsidRPr="00537F21" w:rsidRDefault="00F87DBA" w:rsidP="00537F21">
      <w:pPr>
        <w:ind w:firstLineChars="200" w:firstLine="600"/>
        <w:rPr>
          <w:rFonts w:ascii="仿宋_GB2312" w:eastAsia="仿宋_GB2312" w:hAnsi="仿宋"/>
          <w:spacing w:val="-10"/>
          <w:sz w:val="32"/>
          <w:szCs w:val="32"/>
        </w:rPr>
      </w:pPr>
      <w:r w:rsidRPr="00537F21">
        <w:rPr>
          <w:rFonts w:ascii="仿宋_GB2312" w:eastAsia="仿宋_GB2312" w:hAnsi="仿宋" w:hint="eastAsia"/>
          <w:spacing w:val="-10"/>
          <w:sz w:val="32"/>
          <w:szCs w:val="32"/>
        </w:rPr>
        <w:t>纳入</w:t>
      </w:r>
      <w:proofErr w:type="gramStart"/>
      <w:r w:rsidRPr="00537F21">
        <w:rPr>
          <w:rFonts w:ascii="仿宋_GB2312" w:eastAsia="仿宋_GB2312" w:hAnsi="仿宋" w:hint="eastAsia"/>
          <w:spacing w:val="-10"/>
          <w:sz w:val="32"/>
          <w:szCs w:val="32"/>
        </w:rPr>
        <w:t>川府科办</w:t>
      </w:r>
      <w:proofErr w:type="gramEnd"/>
      <w:r w:rsidRPr="00537F21">
        <w:rPr>
          <w:rFonts w:ascii="仿宋_GB2312" w:eastAsia="仿宋_GB2312" w:hAnsi="仿宋" w:hint="eastAsia"/>
          <w:spacing w:val="-10"/>
          <w:sz w:val="32"/>
          <w:szCs w:val="32"/>
        </w:rPr>
        <w:t>2022年度部门决算编制范围的二级预算单位包括：</w:t>
      </w:r>
    </w:p>
    <w:p w14:paraId="11E98A37" w14:textId="77777777" w:rsidR="00127C4A" w:rsidRDefault="00F87DBA" w:rsidP="00537F21">
      <w:pPr>
        <w:ind w:firstLineChars="200" w:firstLine="600"/>
        <w:rPr>
          <w:rFonts w:ascii="仿宋" w:eastAsia="仿宋" w:hAnsi="仿宋"/>
          <w:kern w:val="0"/>
          <w:sz w:val="32"/>
          <w:szCs w:val="32"/>
        </w:rPr>
      </w:pPr>
      <w:r w:rsidRPr="00537F21">
        <w:rPr>
          <w:rFonts w:ascii="仿宋_GB2312" w:eastAsia="仿宋_GB2312" w:hAnsi="仿宋" w:hint="eastAsia"/>
          <w:spacing w:val="-10"/>
          <w:sz w:val="32"/>
          <w:szCs w:val="32"/>
        </w:rPr>
        <w:t>1.</w:t>
      </w:r>
      <w:r w:rsidRPr="00537F21">
        <w:rPr>
          <w:rFonts w:ascii="仿宋_GB2312" w:eastAsia="仿宋_GB2312" w:hAnsi="仿宋"/>
          <w:spacing w:val="-10"/>
          <w:sz w:val="32"/>
          <w:szCs w:val="32"/>
        </w:rPr>
        <w:t>四川省人民政府科学城办事处</w:t>
      </w:r>
      <w:r>
        <w:rPr>
          <w:rFonts w:ascii="仿宋" w:eastAsia="仿宋" w:hAnsi="仿宋"/>
          <w:sz w:val="32"/>
          <w:szCs w:val="32"/>
        </w:rPr>
        <w:br w:type="page"/>
      </w:r>
    </w:p>
    <w:p w14:paraId="476808E4" w14:textId="326DF0AB" w:rsidR="00127C4A" w:rsidRDefault="00F87DBA">
      <w:pPr>
        <w:pStyle w:val="1"/>
        <w:ind w:right="440"/>
        <w:jc w:val="center"/>
        <w:rPr>
          <w:rStyle w:val="10"/>
          <w:rFonts w:ascii="黑体" w:eastAsia="黑体" w:hAnsi="黑体"/>
          <w:bCs/>
        </w:rPr>
      </w:pPr>
      <w:bookmarkStart w:id="22" w:name="_Toc15396602"/>
      <w:bookmarkStart w:id="23" w:name="_Toc15377204"/>
      <w:bookmarkStart w:id="24" w:name="_Toc26543"/>
      <w:r>
        <w:rPr>
          <w:rFonts w:ascii="黑体" w:eastAsia="黑体" w:hAnsi="黑体" w:hint="eastAsia"/>
          <w:b w:val="0"/>
        </w:rPr>
        <w:lastRenderedPageBreak/>
        <w:t>第二部分 2022年度</w:t>
      </w:r>
      <w:r w:rsidR="00537F21">
        <w:rPr>
          <w:rStyle w:val="10"/>
          <w:rFonts w:ascii="黑体" w:eastAsia="黑体" w:hAnsi="黑体" w:hint="eastAsia"/>
          <w:bCs/>
        </w:rPr>
        <w:t>单位</w:t>
      </w:r>
      <w:r>
        <w:rPr>
          <w:rStyle w:val="10"/>
          <w:rFonts w:ascii="黑体" w:eastAsia="黑体" w:hAnsi="黑体" w:hint="eastAsia"/>
          <w:bCs/>
        </w:rPr>
        <w:t>决算情况说明</w:t>
      </w:r>
      <w:bookmarkEnd w:id="22"/>
      <w:bookmarkEnd w:id="23"/>
      <w:bookmarkEnd w:id="24"/>
    </w:p>
    <w:p w14:paraId="7D29F368" w14:textId="77777777" w:rsidR="00127C4A" w:rsidRDefault="00127C4A"/>
    <w:p w14:paraId="4D6BE227" w14:textId="77777777" w:rsidR="00127C4A" w:rsidRDefault="00F87DBA">
      <w:pPr>
        <w:pStyle w:val="11"/>
        <w:numPr>
          <w:ilvl w:val="0"/>
          <w:numId w:val="2"/>
        </w:numPr>
        <w:spacing w:line="600" w:lineRule="exact"/>
        <w:ind w:firstLineChars="0"/>
        <w:outlineLvl w:val="1"/>
        <w:rPr>
          <w:rStyle w:val="20"/>
          <w:rFonts w:ascii="黑体" w:eastAsia="黑体" w:hAnsi="黑体"/>
          <w:b w:val="0"/>
        </w:rPr>
      </w:pPr>
      <w:bookmarkStart w:id="25" w:name="_Toc15396603"/>
      <w:bookmarkStart w:id="26" w:name="_Toc15377205"/>
      <w:bookmarkStart w:id="27" w:name="_Toc26274"/>
      <w:r>
        <w:rPr>
          <w:rFonts w:ascii="黑体" w:eastAsia="黑体" w:hAnsi="黑体" w:hint="eastAsia"/>
          <w:sz w:val="32"/>
          <w:szCs w:val="32"/>
        </w:rPr>
        <w:t>收</w:t>
      </w:r>
      <w:r>
        <w:rPr>
          <w:rStyle w:val="20"/>
          <w:rFonts w:ascii="黑体" w:eastAsia="黑体" w:hAnsi="黑体" w:hint="eastAsia"/>
          <w:b w:val="0"/>
        </w:rPr>
        <w:t>入支出决算总体情况说明</w:t>
      </w:r>
      <w:bookmarkEnd w:id="25"/>
      <w:bookmarkEnd w:id="26"/>
      <w:bookmarkEnd w:id="27"/>
    </w:p>
    <w:p w14:paraId="3ECFD84C" w14:textId="77777777" w:rsidR="00127C4A" w:rsidRPr="00537F21" w:rsidRDefault="00F87DBA" w:rsidP="00537F21">
      <w:pPr>
        <w:ind w:firstLineChars="200" w:firstLine="600"/>
        <w:rPr>
          <w:rFonts w:ascii="仿宋_GB2312" w:eastAsia="仿宋_GB2312" w:hAnsi="仿宋"/>
          <w:spacing w:val="-10"/>
          <w:sz w:val="32"/>
          <w:szCs w:val="32"/>
        </w:rPr>
      </w:pPr>
      <w:r w:rsidRPr="00537F21">
        <w:rPr>
          <w:rFonts w:ascii="仿宋_GB2312" w:eastAsia="仿宋_GB2312" w:hAnsi="仿宋" w:hint="eastAsia"/>
          <w:spacing w:val="-10"/>
          <w:sz w:val="32"/>
          <w:szCs w:val="32"/>
        </w:rPr>
        <w:t>2022年度收、支总计1437.32万元。与2021年相比，收、支总计各增加了0.11万元，增长0.01%。主要变动原因是预算较上年增加。</w:t>
      </w:r>
    </w:p>
    <w:p w14:paraId="46A9A530" w14:textId="77777777" w:rsidR="00127C4A" w:rsidRDefault="00F87DBA">
      <w:pPr>
        <w:spacing w:line="600" w:lineRule="exact"/>
        <w:ind w:firstLineChars="200" w:firstLine="420"/>
        <w:rPr>
          <w:rFonts w:ascii="仿宋" w:eastAsia="仿宋" w:hAnsi="仿宋"/>
          <w:sz w:val="32"/>
          <w:szCs w:val="32"/>
        </w:rPr>
      </w:pPr>
      <w:r>
        <w:rPr>
          <w:noProof/>
        </w:rPr>
        <w:drawing>
          <wp:anchor distT="0" distB="0" distL="114300" distR="114300" simplePos="0" relativeHeight="251658240" behindDoc="0" locked="0" layoutInCell="1" allowOverlap="1" wp14:anchorId="50574B72" wp14:editId="3FF622F0">
            <wp:simplePos x="0" y="0"/>
            <wp:positionH relativeFrom="column">
              <wp:posOffset>309245</wp:posOffset>
            </wp:positionH>
            <wp:positionV relativeFrom="paragraph">
              <wp:posOffset>329565</wp:posOffset>
            </wp:positionV>
            <wp:extent cx="4572000" cy="2743200"/>
            <wp:effectExtent l="4445" t="4445" r="14605" b="1460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5330A83" w14:textId="77777777" w:rsidR="00127C4A" w:rsidRDefault="00127C4A">
      <w:pPr>
        <w:spacing w:line="600" w:lineRule="exact"/>
        <w:ind w:firstLineChars="200" w:firstLine="640"/>
        <w:rPr>
          <w:rFonts w:ascii="仿宋" w:eastAsia="仿宋" w:hAnsi="仿宋"/>
          <w:sz w:val="32"/>
          <w:szCs w:val="32"/>
        </w:rPr>
      </w:pPr>
    </w:p>
    <w:p w14:paraId="422728E5" w14:textId="77777777" w:rsidR="00127C4A" w:rsidRDefault="00127C4A">
      <w:pPr>
        <w:spacing w:line="600" w:lineRule="exact"/>
        <w:ind w:firstLineChars="200" w:firstLine="640"/>
        <w:rPr>
          <w:rFonts w:ascii="仿宋" w:eastAsia="仿宋" w:hAnsi="仿宋"/>
          <w:sz w:val="32"/>
          <w:szCs w:val="32"/>
        </w:rPr>
      </w:pPr>
    </w:p>
    <w:p w14:paraId="7358A2D8" w14:textId="77777777" w:rsidR="00127C4A" w:rsidRDefault="00127C4A">
      <w:pPr>
        <w:spacing w:line="600" w:lineRule="exact"/>
        <w:ind w:firstLineChars="200" w:firstLine="640"/>
        <w:rPr>
          <w:rFonts w:ascii="仿宋" w:eastAsia="仿宋" w:hAnsi="仿宋"/>
          <w:sz w:val="32"/>
          <w:szCs w:val="32"/>
        </w:rPr>
      </w:pPr>
    </w:p>
    <w:p w14:paraId="2A6C2784" w14:textId="77777777" w:rsidR="00127C4A" w:rsidRDefault="00127C4A">
      <w:pPr>
        <w:spacing w:line="600" w:lineRule="exact"/>
        <w:ind w:firstLineChars="200" w:firstLine="640"/>
        <w:rPr>
          <w:rFonts w:ascii="仿宋" w:eastAsia="仿宋" w:hAnsi="仿宋"/>
          <w:sz w:val="32"/>
          <w:szCs w:val="32"/>
        </w:rPr>
      </w:pPr>
    </w:p>
    <w:p w14:paraId="1234ADED" w14:textId="77777777" w:rsidR="00127C4A" w:rsidRDefault="00127C4A">
      <w:pPr>
        <w:spacing w:line="600" w:lineRule="exact"/>
        <w:ind w:firstLineChars="200" w:firstLine="640"/>
        <w:rPr>
          <w:rFonts w:ascii="仿宋" w:eastAsia="仿宋" w:hAnsi="仿宋"/>
          <w:sz w:val="32"/>
          <w:szCs w:val="32"/>
        </w:rPr>
      </w:pPr>
    </w:p>
    <w:p w14:paraId="0A010EB4" w14:textId="77777777" w:rsidR="00127C4A" w:rsidRDefault="00127C4A">
      <w:pPr>
        <w:spacing w:line="600" w:lineRule="exact"/>
        <w:ind w:firstLineChars="200" w:firstLine="640"/>
        <w:rPr>
          <w:rFonts w:ascii="仿宋" w:eastAsia="仿宋" w:hAnsi="仿宋"/>
          <w:sz w:val="32"/>
          <w:szCs w:val="32"/>
        </w:rPr>
      </w:pPr>
    </w:p>
    <w:p w14:paraId="659DCC4E" w14:textId="77777777" w:rsidR="00127C4A" w:rsidRDefault="00127C4A">
      <w:pPr>
        <w:spacing w:line="600" w:lineRule="exact"/>
        <w:ind w:firstLineChars="200" w:firstLine="640"/>
        <w:rPr>
          <w:rFonts w:ascii="仿宋" w:eastAsia="仿宋" w:hAnsi="仿宋"/>
          <w:sz w:val="32"/>
          <w:szCs w:val="32"/>
        </w:rPr>
      </w:pPr>
    </w:p>
    <w:p w14:paraId="71B3C006" w14:textId="77777777" w:rsidR="00127C4A" w:rsidRDefault="00127C4A" w:rsidP="00127C4A">
      <w:pPr>
        <w:pStyle w:val="a0"/>
        <w:spacing w:before="93"/>
      </w:pPr>
    </w:p>
    <w:p w14:paraId="17DA9168" w14:textId="77777777" w:rsidR="00127C4A" w:rsidRDefault="00F87DB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14:paraId="3708F38F" w14:textId="77777777" w:rsidR="00127C4A" w:rsidRDefault="00127C4A">
      <w:pPr>
        <w:spacing w:line="600" w:lineRule="exact"/>
        <w:ind w:firstLineChars="200" w:firstLine="640"/>
        <w:jc w:val="left"/>
        <w:rPr>
          <w:rFonts w:ascii="仿宋_GB2312" w:eastAsia="仿宋_GB2312"/>
          <w:sz w:val="32"/>
          <w:szCs w:val="32"/>
        </w:rPr>
      </w:pPr>
    </w:p>
    <w:p w14:paraId="6D74984D" w14:textId="77777777" w:rsidR="00127C4A" w:rsidRDefault="00F87DBA">
      <w:pPr>
        <w:pStyle w:val="11"/>
        <w:numPr>
          <w:ilvl w:val="0"/>
          <w:numId w:val="2"/>
        </w:numPr>
        <w:spacing w:line="600" w:lineRule="exact"/>
        <w:ind w:firstLineChars="0"/>
        <w:outlineLvl w:val="1"/>
        <w:rPr>
          <w:rStyle w:val="20"/>
          <w:rFonts w:ascii="黑体" w:eastAsia="黑体" w:hAnsi="黑体"/>
          <w:b w:val="0"/>
        </w:rPr>
      </w:pPr>
      <w:bookmarkStart w:id="28" w:name="_Toc15377206"/>
      <w:bookmarkStart w:id="29" w:name="_Toc15396604"/>
      <w:bookmarkStart w:id="30" w:name="_Toc10196"/>
      <w:r>
        <w:rPr>
          <w:rFonts w:ascii="黑体" w:eastAsia="黑体" w:hAnsi="黑体" w:hint="eastAsia"/>
          <w:sz w:val="32"/>
          <w:szCs w:val="32"/>
        </w:rPr>
        <w:t>收</w:t>
      </w:r>
      <w:r>
        <w:rPr>
          <w:rStyle w:val="20"/>
          <w:rFonts w:ascii="黑体" w:eastAsia="黑体" w:hAnsi="黑体" w:hint="eastAsia"/>
          <w:b w:val="0"/>
        </w:rPr>
        <w:t>入决算情况说明</w:t>
      </w:r>
      <w:bookmarkEnd w:id="28"/>
      <w:bookmarkEnd w:id="29"/>
      <w:bookmarkEnd w:id="30"/>
    </w:p>
    <w:p w14:paraId="2D03BCA2" w14:textId="77777777" w:rsidR="00127C4A" w:rsidRPr="00537F21" w:rsidRDefault="00F87DBA" w:rsidP="00537F21">
      <w:pPr>
        <w:ind w:firstLineChars="200" w:firstLine="600"/>
        <w:rPr>
          <w:rFonts w:ascii="仿宋_GB2312" w:eastAsia="仿宋_GB2312" w:hAnsi="仿宋"/>
          <w:spacing w:val="-10"/>
          <w:sz w:val="32"/>
          <w:szCs w:val="32"/>
        </w:rPr>
      </w:pPr>
      <w:bookmarkStart w:id="31" w:name="_Toc15693"/>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22年本年收入合计1437.32万元，其中：一般公共预算财政拨款收入1437.32万元，占100</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w:t>
      </w:r>
      <w:bookmarkEnd w:id="31"/>
    </w:p>
    <w:p w14:paraId="036853AB" w14:textId="77777777" w:rsidR="00127C4A" w:rsidRDefault="00F87DBA" w:rsidP="00127C4A">
      <w:pPr>
        <w:spacing w:line="600" w:lineRule="exact"/>
        <w:ind w:firstLineChars="200" w:firstLine="643"/>
        <w:outlineLvl w:val="1"/>
        <w:rPr>
          <w:rFonts w:ascii="仿宋" w:eastAsia="仿宋" w:hAnsi="仿宋"/>
          <w:b/>
          <w:sz w:val="32"/>
          <w:szCs w:val="32"/>
        </w:rPr>
      </w:pPr>
      <w:bookmarkStart w:id="32" w:name="_Toc30757"/>
      <w:r>
        <w:rPr>
          <w:rFonts w:ascii="仿宋" w:eastAsia="仿宋" w:hAnsi="仿宋" w:hint="eastAsia"/>
          <w:b/>
          <w:sz w:val="32"/>
          <w:szCs w:val="32"/>
        </w:rPr>
        <w:lastRenderedPageBreak/>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r>
        <w:rPr>
          <w:rFonts w:ascii="仿宋" w:eastAsia="仿宋" w:hAnsi="仿宋" w:hint="eastAsia"/>
          <w:b/>
          <w:sz w:val="32"/>
          <w:szCs w:val="32"/>
        </w:rPr>
        <w:t>，仅罗列本部门涉及的收入。</w:t>
      </w:r>
      <w:r>
        <w:rPr>
          <w:rFonts w:ascii="仿宋" w:eastAsia="仿宋" w:hAnsi="仿宋"/>
          <w:b/>
          <w:sz w:val="32"/>
          <w:szCs w:val="32"/>
        </w:rPr>
        <w:t>）</w:t>
      </w:r>
      <w:bookmarkEnd w:id="32"/>
    </w:p>
    <w:p w14:paraId="545E7F2B" w14:textId="77777777" w:rsidR="00127C4A" w:rsidRDefault="00F87DBA">
      <w:pPr>
        <w:spacing w:line="600" w:lineRule="exact"/>
        <w:ind w:firstLineChars="200" w:firstLine="640"/>
        <w:outlineLvl w:val="1"/>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14:anchorId="60A738D0" wp14:editId="0A3B656C">
            <wp:simplePos x="0" y="0"/>
            <wp:positionH relativeFrom="column">
              <wp:posOffset>1096010</wp:posOffset>
            </wp:positionH>
            <wp:positionV relativeFrom="paragraph">
              <wp:posOffset>280670</wp:posOffset>
            </wp:positionV>
            <wp:extent cx="2293620" cy="2199005"/>
            <wp:effectExtent l="4445" t="5080" r="18415" b="571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841695D" w14:textId="77777777" w:rsidR="00127C4A" w:rsidRDefault="00127C4A">
      <w:pPr>
        <w:spacing w:line="600" w:lineRule="exact"/>
        <w:ind w:firstLineChars="200" w:firstLine="640"/>
        <w:outlineLvl w:val="1"/>
        <w:rPr>
          <w:rFonts w:ascii="仿宋" w:eastAsia="仿宋" w:hAnsi="仿宋"/>
          <w:sz w:val="32"/>
          <w:szCs w:val="32"/>
        </w:rPr>
      </w:pPr>
    </w:p>
    <w:p w14:paraId="1073FF56" w14:textId="77777777" w:rsidR="00127C4A" w:rsidRDefault="00127C4A">
      <w:pPr>
        <w:spacing w:line="600" w:lineRule="exact"/>
        <w:ind w:firstLineChars="200" w:firstLine="640"/>
        <w:outlineLvl w:val="1"/>
        <w:rPr>
          <w:rFonts w:ascii="仿宋" w:eastAsia="仿宋" w:hAnsi="仿宋"/>
          <w:sz w:val="32"/>
          <w:szCs w:val="32"/>
        </w:rPr>
      </w:pPr>
    </w:p>
    <w:p w14:paraId="4D1744F5" w14:textId="77777777" w:rsidR="00127C4A" w:rsidRDefault="00127C4A">
      <w:pPr>
        <w:spacing w:line="600" w:lineRule="exact"/>
        <w:ind w:firstLineChars="200" w:firstLine="640"/>
        <w:outlineLvl w:val="1"/>
        <w:rPr>
          <w:rFonts w:ascii="仿宋" w:eastAsia="仿宋" w:hAnsi="仿宋"/>
          <w:sz w:val="32"/>
          <w:szCs w:val="32"/>
        </w:rPr>
      </w:pPr>
    </w:p>
    <w:p w14:paraId="10BD461F" w14:textId="77777777" w:rsidR="00127C4A" w:rsidRDefault="00127C4A" w:rsidP="00127C4A">
      <w:pPr>
        <w:pStyle w:val="a0"/>
        <w:spacing w:before="93"/>
        <w:rPr>
          <w:rFonts w:ascii="仿宋" w:eastAsia="仿宋" w:hAnsi="仿宋"/>
          <w:sz w:val="32"/>
          <w:szCs w:val="32"/>
        </w:rPr>
      </w:pPr>
    </w:p>
    <w:p w14:paraId="4837C1F1" w14:textId="77777777" w:rsidR="00127C4A" w:rsidRDefault="00127C4A">
      <w:pPr>
        <w:spacing w:line="600" w:lineRule="exact"/>
        <w:ind w:firstLineChars="200" w:firstLine="640"/>
        <w:outlineLvl w:val="1"/>
        <w:rPr>
          <w:rFonts w:ascii="仿宋" w:eastAsia="仿宋" w:hAnsi="仿宋"/>
          <w:sz w:val="32"/>
          <w:szCs w:val="32"/>
        </w:rPr>
      </w:pPr>
    </w:p>
    <w:p w14:paraId="1E181A9C" w14:textId="77777777" w:rsidR="00127C4A" w:rsidRDefault="00127C4A">
      <w:pPr>
        <w:spacing w:line="600" w:lineRule="exact"/>
        <w:ind w:firstLineChars="200" w:firstLine="640"/>
        <w:rPr>
          <w:rFonts w:ascii="仿宋" w:eastAsia="仿宋" w:hAnsi="仿宋"/>
          <w:sz w:val="32"/>
          <w:szCs w:val="32"/>
        </w:rPr>
      </w:pPr>
    </w:p>
    <w:p w14:paraId="1DC1A745" w14:textId="77777777" w:rsidR="00127C4A" w:rsidRDefault="00F87DBA">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14:paraId="293AB851" w14:textId="77777777" w:rsidR="00127C4A" w:rsidRDefault="00127C4A" w:rsidP="00127C4A">
      <w:pPr>
        <w:pStyle w:val="a0"/>
        <w:spacing w:before="93" w:line="560" w:lineRule="exact"/>
      </w:pPr>
    </w:p>
    <w:p w14:paraId="4CBDC262" w14:textId="77777777" w:rsidR="00127C4A" w:rsidRDefault="00F87DBA">
      <w:pPr>
        <w:pStyle w:val="11"/>
        <w:numPr>
          <w:ilvl w:val="0"/>
          <w:numId w:val="2"/>
        </w:numPr>
        <w:spacing w:line="600" w:lineRule="exact"/>
        <w:ind w:firstLineChars="0"/>
        <w:outlineLvl w:val="1"/>
        <w:rPr>
          <w:rStyle w:val="20"/>
          <w:rFonts w:ascii="黑体" w:eastAsia="黑体" w:hAnsi="黑体"/>
          <w:b w:val="0"/>
        </w:rPr>
      </w:pPr>
      <w:bookmarkStart w:id="33" w:name="_Toc15396605"/>
      <w:bookmarkStart w:id="34" w:name="_Toc15377207"/>
      <w:bookmarkStart w:id="35" w:name="_Toc27814"/>
      <w:r>
        <w:rPr>
          <w:rFonts w:ascii="黑体" w:eastAsia="黑体" w:hAnsi="黑体" w:hint="eastAsia"/>
          <w:sz w:val="32"/>
          <w:szCs w:val="32"/>
        </w:rPr>
        <w:t>支</w:t>
      </w:r>
      <w:r>
        <w:rPr>
          <w:rStyle w:val="20"/>
          <w:rFonts w:ascii="黑体" w:eastAsia="黑体" w:hAnsi="黑体" w:hint="eastAsia"/>
          <w:b w:val="0"/>
        </w:rPr>
        <w:t>出决算情况说明</w:t>
      </w:r>
      <w:bookmarkEnd w:id="33"/>
      <w:bookmarkEnd w:id="34"/>
      <w:bookmarkEnd w:id="35"/>
    </w:p>
    <w:p w14:paraId="26D703F8" w14:textId="77777777" w:rsidR="00127C4A" w:rsidRPr="00537F21" w:rsidRDefault="00F87DBA" w:rsidP="00537F21">
      <w:pPr>
        <w:ind w:firstLineChars="200" w:firstLine="600"/>
        <w:rPr>
          <w:rFonts w:ascii="仿宋_GB2312" w:eastAsia="仿宋_GB2312" w:hAnsi="仿宋"/>
          <w:spacing w:val="-10"/>
          <w:sz w:val="32"/>
          <w:szCs w:val="32"/>
        </w:rPr>
      </w:pPr>
      <w:bookmarkStart w:id="36" w:name="_Toc9394"/>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22年本年支出合计1437.32万元，其中：基本支出309.06万元，占21.50</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；项目支出1128.26万元，占78.50</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w:t>
      </w:r>
      <w:bookmarkEnd w:id="36"/>
    </w:p>
    <w:p w14:paraId="21BFF6D2" w14:textId="77777777" w:rsidR="00127C4A" w:rsidRDefault="00F87DBA" w:rsidP="00127C4A">
      <w:pPr>
        <w:spacing w:line="600" w:lineRule="exact"/>
        <w:ind w:firstLineChars="200" w:firstLine="643"/>
        <w:outlineLvl w:val="1"/>
        <w:rPr>
          <w:rFonts w:ascii="仿宋" w:eastAsia="仿宋" w:hAnsi="仿宋"/>
          <w:b/>
          <w:sz w:val="32"/>
          <w:szCs w:val="32"/>
        </w:rPr>
      </w:pPr>
      <w:bookmarkStart w:id="37" w:name="_Toc8867"/>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表，仅罗列本部门涉及的支出。）</w:t>
      </w:r>
      <w:bookmarkEnd w:id="37"/>
    </w:p>
    <w:p w14:paraId="5C6C92D4" w14:textId="77777777" w:rsidR="00127C4A" w:rsidRDefault="00F87DBA" w:rsidP="00127C4A">
      <w:pPr>
        <w:pStyle w:val="a0"/>
        <w:spacing w:before="93"/>
        <w:rPr>
          <w:rFonts w:ascii="仿宋" w:eastAsia="仿宋" w:hAnsi="仿宋"/>
          <w:b/>
          <w:sz w:val="32"/>
          <w:szCs w:val="32"/>
        </w:rPr>
      </w:pPr>
      <w:r>
        <w:rPr>
          <w:noProof/>
        </w:rPr>
        <w:drawing>
          <wp:anchor distT="0" distB="0" distL="114300" distR="114300" simplePos="0" relativeHeight="251671552" behindDoc="0" locked="0" layoutInCell="1" allowOverlap="1" wp14:anchorId="23AE9C41" wp14:editId="028718EA">
            <wp:simplePos x="0" y="0"/>
            <wp:positionH relativeFrom="column">
              <wp:posOffset>1200805</wp:posOffset>
            </wp:positionH>
            <wp:positionV relativeFrom="paragraph">
              <wp:posOffset>131289</wp:posOffset>
            </wp:positionV>
            <wp:extent cx="2378439" cy="2160905"/>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C49C63A" w14:textId="77777777" w:rsidR="00127C4A" w:rsidRDefault="00127C4A" w:rsidP="00127C4A">
      <w:pPr>
        <w:pStyle w:val="a0"/>
        <w:spacing w:before="93"/>
        <w:rPr>
          <w:rFonts w:ascii="仿宋" w:eastAsia="仿宋" w:hAnsi="仿宋"/>
          <w:b/>
          <w:sz w:val="32"/>
          <w:szCs w:val="32"/>
        </w:rPr>
      </w:pPr>
    </w:p>
    <w:p w14:paraId="45467889" w14:textId="77777777" w:rsidR="00127C4A" w:rsidRDefault="00127C4A" w:rsidP="00127C4A">
      <w:pPr>
        <w:pStyle w:val="a0"/>
        <w:spacing w:before="93"/>
        <w:rPr>
          <w:rFonts w:ascii="仿宋" w:eastAsia="仿宋" w:hAnsi="仿宋"/>
          <w:b/>
          <w:sz w:val="32"/>
          <w:szCs w:val="32"/>
        </w:rPr>
      </w:pPr>
    </w:p>
    <w:p w14:paraId="3B8AF4F7" w14:textId="77777777" w:rsidR="00127C4A" w:rsidRDefault="00127C4A" w:rsidP="00127C4A">
      <w:pPr>
        <w:pStyle w:val="a0"/>
        <w:spacing w:before="93"/>
        <w:rPr>
          <w:rFonts w:ascii="仿宋" w:eastAsia="仿宋" w:hAnsi="仿宋"/>
          <w:b/>
          <w:sz w:val="32"/>
          <w:szCs w:val="32"/>
        </w:rPr>
      </w:pPr>
    </w:p>
    <w:p w14:paraId="5CE46F5C" w14:textId="77777777" w:rsidR="00127C4A" w:rsidRDefault="00127C4A" w:rsidP="00127C4A">
      <w:pPr>
        <w:pStyle w:val="a0"/>
        <w:spacing w:before="93"/>
        <w:rPr>
          <w:rFonts w:ascii="仿宋" w:eastAsia="仿宋" w:hAnsi="仿宋"/>
          <w:b/>
          <w:sz w:val="32"/>
          <w:szCs w:val="32"/>
        </w:rPr>
      </w:pPr>
    </w:p>
    <w:p w14:paraId="42910F23" w14:textId="77777777" w:rsidR="00127C4A" w:rsidRDefault="00F87DBA">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（图3：支出决算结构图）（饼状图）</w:t>
      </w:r>
    </w:p>
    <w:p w14:paraId="51FE8F13" w14:textId="77777777" w:rsidR="00127C4A" w:rsidRDefault="00F87DBA">
      <w:pPr>
        <w:spacing w:line="600" w:lineRule="exact"/>
        <w:ind w:firstLineChars="200" w:firstLine="640"/>
        <w:outlineLvl w:val="1"/>
        <w:rPr>
          <w:rStyle w:val="20"/>
          <w:rFonts w:ascii="黑体" w:eastAsia="黑体" w:hAnsi="黑体"/>
          <w:b w:val="0"/>
        </w:rPr>
      </w:pPr>
      <w:bookmarkStart w:id="38" w:name="_Toc15396606"/>
      <w:bookmarkStart w:id="39" w:name="_Toc15377208"/>
      <w:bookmarkStart w:id="40" w:name="_Toc23106"/>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38"/>
      <w:bookmarkEnd w:id="39"/>
      <w:bookmarkEnd w:id="40"/>
    </w:p>
    <w:p w14:paraId="2DC3B22E" w14:textId="77777777" w:rsidR="00127C4A" w:rsidRPr="00537F21" w:rsidRDefault="00F87DBA" w:rsidP="00537F21">
      <w:pPr>
        <w:ind w:firstLineChars="200" w:firstLine="600"/>
        <w:rPr>
          <w:rFonts w:ascii="仿宋_GB2312" w:eastAsia="仿宋_GB2312" w:hAnsi="仿宋"/>
          <w:spacing w:val="-10"/>
          <w:sz w:val="32"/>
          <w:szCs w:val="32"/>
        </w:rPr>
      </w:pPr>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22年财政拨款收、支总计1437.32万元。与</w:t>
      </w:r>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21年相比，财政拨款收、支总计各增加0.11万元，增长0.01%。主要变动原因是预算较上年增加。</w:t>
      </w:r>
    </w:p>
    <w:p w14:paraId="4797663A" w14:textId="77777777" w:rsidR="00127C4A" w:rsidRDefault="00F87DBA">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14:paraId="16399EE8" w14:textId="77777777" w:rsidR="00127C4A" w:rsidRDefault="00F87DBA">
      <w:pPr>
        <w:spacing w:line="600" w:lineRule="exact"/>
        <w:rPr>
          <w:rFonts w:ascii="仿宋" w:eastAsia="仿宋" w:hAnsi="仿宋"/>
          <w:sz w:val="32"/>
          <w:szCs w:val="32"/>
        </w:rPr>
      </w:pPr>
      <w:r>
        <w:rPr>
          <w:noProof/>
        </w:rPr>
        <w:drawing>
          <wp:anchor distT="0" distB="0" distL="114300" distR="114300" simplePos="0" relativeHeight="251672576" behindDoc="0" locked="0" layoutInCell="1" allowOverlap="1" wp14:anchorId="1B190C4F" wp14:editId="2AFA0559">
            <wp:simplePos x="0" y="0"/>
            <wp:positionH relativeFrom="column">
              <wp:posOffset>260350</wp:posOffset>
            </wp:positionH>
            <wp:positionV relativeFrom="paragraph">
              <wp:posOffset>242570</wp:posOffset>
            </wp:positionV>
            <wp:extent cx="4897755" cy="2960370"/>
            <wp:effectExtent l="4445" t="4445" r="5080" b="6985"/>
            <wp:wrapSquare wrapText="bothSides"/>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B91E9F9" w14:textId="77777777" w:rsidR="00127C4A" w:rsidRDefault="00127C4A">
      <w:pPr>
        <w:spacing w:line="600" w:lineRule="exact"/>
        <w:rPr>
          <w:rFonts w:ascii="仿宋" w:eastAsia="仿宋" w:hAnsi="仿宋"/>
          <w:sz w:val="32"/>
          <w:szCs w:val="32"/>
        </w:rPr>
      </w:pPr>
    </w:p>
    <w:p w14:paraId="67C9B811" w14:textId="77777777" w:rsidR="00127C4A" w:rsidRDefault="00127C4A">
      <w:pPr>
        <w:spacing w:line="600" w:lineRule="exact"/>
        <w:rPr>
          <w:rFonts w:ascii="仿宋" w:eastAsia="仿宋" w:hAnsi="仿宋"/>
          <w:sz w:val="32"/>
          <w:szCs w:val="32"/>
        </w:rPr>
      </w:pPr>
    </w:p>
    <w:p w14:paraId="40A7505F" w14:textId="77777777" w:rsidR="00127C4A" w:rsidRDefault="00127C4A">
      <w:pPr>
        <w:spacing w:line="600" w:lineRule="exact"/>
        <w:rPr>
          <w:rFonts w:ascii="仿宋" w:eastAsia="仿宋" w:hAnsi="仿宋"/>
          <w:sz w:val="32"/>
          <w:szCs w:val="32"/>
        </w:rPr>
      </w:pPr>
    </w:p>
    <w:p w14:paraId="6DC33170" w14:textId="77777777" w:rsidR="00127C4A" w:rsidRDefault="00127C4A">
      <w:pPr>
        <w:spacing w:line="600" w:lineRule="exact"/>
        <w:rPr>
          <w:rFonts w:ascii="仿宋" w:eastAsia="仿宋" w:hAnsi="仿宋"/>
          <w:sz w:val="32"/>
          <w:szCs w:val="32"/>
        </w:rPr>
      </w:pPr>
    </w:p>
    <w:p w14:paraId="744C8939" w14:textId="77777777" w:rsidR="00127C4A" w:rsidRDefault="00127C4A">
      <w:pPr>
        <w:spacing w:line="600" w:lineRule="exact"/>
        <w:rPr>
          <w:rFonts w:ascii="仿宋" w:eastAsia="仿宋" w:hAnsi="仿宋"/>
          <w:sz w:val="32"/>
          <w:szCs w:val="32"/>
        </w:rPr>
      </w:pPr>
    </w:p>
    <w:p w14:paraId="37395382" w14:textId="77777777" w:rsidR="00127C4A" w:rsidRDefault="00127C4A">
      <w:pPr>
        <w:spacing w:line="600" w:lineRule="exact"/>
        <w:ind w:firstLineChars="200" w:firstLine="640"/>
        <w:rPr>
          <w:rFonts w:ascii="仿宋" w:eastAsia="仿宋" w:hAnsi="仿宋"/>
          <w:sz w:val="32"/>
          <w:szCs w:val="32"/>
        </w:rPr>
      </w:pPr>
    </w:p>
    <w:p w14:paraId="2D45692F" w14:textId="77777777" w:rsidR="00127C4A" w:rsidRDefault="00127C4A">
      <w:pPr>
        <w:spacing w:line="600" w:lineRule="exact"/>
        <w:ind w:firstLineChars="200" w:firstLine="640"/>
        <w:rPr>
          <w:rFonts w:ascii="仿宋" w:eastAsia="仿宋" w:hAnsi="仿宋"/>
          <w:sz w:val="32"/>
          <w:szCs w:val="32"/>
        </w:rPr>
      </w:pPr>
    </w:p>
    <w:p w14:paraId="5AE10A70" w14:textId="77777777" w:rsidR="00127C4A" w:rsidRDefault="00127C4A">
      <w:pPr>
        <w:spacing w:line="600" w:lineRule="exact"/>
        <w:ind w:firstLineChars="200" w:firstLine="640"/>
        <w:rPr>
          <w:rFonts w:ascii="仿宋" w:eastAsia="仿宋" w:hAnsi="仿宋"/>
          <w:sz w:val="32"/>
          <w:szCs w:val="32"/>
        </w:rPr>
      </w:pPr>
    </w:p>
    <w:p w14:paraId="065A46C7" w14:textId="77777777" w:rsidR="00127C4A" w:rsidRDefault="00F87DBA">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w:t>
      </w:r>
      <w:proofErr w:type="gramStart"/>
      <w:r>
        <w:rPr>
          <w:rFonts w:ascii="仿宋" w:eastAsia="仿宋" w:hAnsi="仿宋" w:hint="eastAsia"/>
          <w:sz w:val="32"/>
          <w:szCs w:val="32"/>
        </w:rPr>
        <w:t>况</w:t>
      </w:r>
      <w:proofErr w:type="gramEnd"/>
      <w:r>
        <w:rPr>
          <w:rFonts w:ascii="仿宋" w:eastAsia="仿宋" w:hAnsi="仿宋" w:hint="eastAsia"/>
          <w:sz w:val="32"/>
          <w:szCs w:val="32"/>
        </w:rPr>
        <w:t>情）（柱状图）</w:t>
      </w:r>
    </w:p>
    <w:p w14:paraId="5059FCD6" w14:textId="77777777" w:rsidR="00127C4A" w:rsidRDefault="00127C4A" w:rsidP="00127C4A">
      <w:pPr>
        <w:pStyle w:val="a0"/>
        <w:spacing w:before="93"/>
      </w:pPr>
    </w:p>
    <w:p w14:paraId="27456E97" w14:textId="77777777" w:rsidR="00127C4A" w:rsidRDefault="00F87DBA">
      <w:pPr>
        <w:spacing w:line="600" w:lineRule="exact"/>
        <w:ind w:firstLineChars="200" w:firstLine="640"/>
        <w:outlineLvl w:val="1"/>
        <w:rPr>
          <w:rStyle w:val="20"/>
          <w:rFonts w:ascii="黑体" w:eastAsia="黑体" w:hAnsi="黑体"/>
          <w:b w:val="0"/>
        </w:rPr>
      </w:pPr>
      <w:bookmarkStart w:id="41" w:name="_Toc15396607"/>
      <w:bookmarkStart w:id="42" w:name="_Toc15377209"/>
      <w:bookmarkStart w:id="43" w:name="_Toc29698"/>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41"/>
      <w:bookmarkEnd w:id="42"/>
      <w:bookmarkEnd w:id="43"/>
    </w:p>
    <w:p w14:paraId="2DB07052" w14:textId="77777777" w:rsidR="00127C4A" w:rsidRDefault="00F87DBA" w:rsidP="00127C4A">
      <w:pPr>
        <w:spacing w:line="600" w:lineRule="exact"/>
        <w:ind w:firstLineChars="200" w:firstLine="643"/>
        <w:outlineLvl w:val="2"/>
        <w:rPr>
          <w:rFonts w:ascii="仿宋" w:eastAsia="仿宋" w:hAnsi="仿宋"/>
          <w:b/>
          <w:sz w:val="32"/>
          <w:szCs w:val="32"/>
        </w:rPr>
      </w:pPr>
      <w:bookmarkStart w:id="44" w:name="_Toc15377210"/>
      <w:r>
        <w:rPr>
          <w:rFonts w:ascii="仿宋" w:eastAsia="仿宋" w:hAnsi="仿宋" w:hint="eastAsia"/>
          <w:b/>
          <w:sz w:val="32"/>
          <w:szCs w:val="32"/>
        </w:rPr>
        <w:t>（一）一般公共预算财政拨款支出决算总体情况</w:t>
      </w:r>
      <w:bookmarkEnd w:id="44"/>
    </w:p>
    <w:p w14:paraId="64D1CEFB" w14:textId="77777777" w:rsidR="00127C4A" w:rsidRDefault="00F87DBA" w:rsidP="00537F21">
      <w:pPr>
        <w:ind w:firstLineChars="200" w:firstLine="600"/>
        <w:rPr>
          <w:rFonts w:ascii="仿宋" w:eastAsia="仿宋" w:hAnsi="仿宋"/>
          <w:sz w:val="32"/>
          <w:szCs w:val="32"/>
        </w:rPr>
      </w:pPr>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22年一般公共预算财政拨款支出1437.32万元，占本年支出</w:t>
      </w:r>
      <w:r w:rsidRPr="00537F21">
        <w:rPr>
          <w:rFonts w:ascii="仿宋_GB2312" w:eastAsia="仿宋_GB2312" w:hAnsi="仿宋" w:hint="eastAsia"/>
          <w:spacing w:val="-10"/>
          <w:sz w:val="32"/>
          <w:szCs w:val="32"/>
        </w:rPr>
        <w:lastRenderedPageBreak/>
        <w:t>合计的100</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。与</w:t>
      </w:r>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21年相比，一般公共预算财政拨款支出增加0.11万元，增长0.01%。主要变动原因是预算较上年增加。</w:t>
      </w:r>
    </w:p>
    <w:p w14:paraId="5FFE612D" w14:textId="77777777" w:rsidR="00127C4A" w:rsidRDefault="00F87DBA">
      <w:pPr>
        <w:spacing w:line="600" w:lineRule="exact"/>
        <w:ind w:firstLineChars="200" w:firstLine="640"/>
        <w:rPr>
          <w:rFonts w:ascii="仿宋" w:eastAsia="仿宋" w:hAnsi="仿宋"/>
          <w:sz w:val="32"/>
          <w:szCs w:val="32"/>
        </w:rPr>
      </w:pPr>
      <w:r>
        <w:rPr>
          <w:rFonts w:ascii="仿宋_GB2312" w:eastAsia="仿宋_GB2312" w:hAnsi="仿宋"/>
          <w:noProof/>
          <w:sz w:val="32"/>
          <w:szCs w:val="32"/>
        </w:rPr>
        <w:drawing>
          <wp:anchor distT="0" distB="0" distL="114300" distR="114300" simplePos="0" relativeHeight="251686912" behindDoc="0" locked="0" layoutInCell="1" allowOverlap="1" wp14:anchorId="54ABE838" wp14:editId="61F891B8">
            <wp:simplePos x="0" y="0"/>
            <wp:positionH relativeFrom="column">
              <wp:posOffset>84455</wp:posOffset>
            </wp:positionH>
            <wp:positionV relativeFrom="paragraph">
              <wp:posOffset>328930</wp:posOffset>
            </wp:positionV>
            <wp:extent cx="5168265" cy="3111500"/>
            <wp:effectExtent l="4445" t="4445" r="8890" b="825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CE2EE10" w14:textId="77777777" w:rsidR="00127C4A" w:rsidRDefault="00F87DBA" w:rsidP="00127C4A">
      <w:pPr>
        <w:tabs>
          <w:tab w:val="left" w:pos="518"/>
        </w:tabs>
        <w:spacing w:line="600" w:lineRule="exact"/>
        <w:ind w:firstLineChars="200" w:firstLine="643"/>
        <w:outlineLvl w:val="2"/>
        <w:rPr>
          <w:rFonts w:ascii="仿宋" w:eastAsia="仿宋" w:hAnsi="仿宋"/>
          <w:b/>
          <w:sz w:val="32"/>
          <w:szCs w:val="32"/>
        </w:rPr>
      </w:pPr>
      <w:bookmarkStart w:id="45" w:name="_Toc15377211"/>
      <w:r>
        <w:rPr>
          <w:rFonts w:ascii="仿宋" w:eastAsia="仿宋" w:hAnsi="仿宋" w:hint="eastAsia"/>
          <w:b/>
          <w:sz w:val="32"/>
          <w:szCs w:val="32"/>
        </w:rPr>
        <w:tab/>
      </w:r>
    </w:p>
    <w:p w14:paraId="68D3B92C" w14:textId="77777777" w:rsidR="00127C4A" w:rsidRDefault="00127C4A" w:rsidP="00127C4A">
      <w:pPr>
        <w:tabs>
          <w:tab w:val="left" w:pos="518"/>
        </w:tabs>
        <w:spacing w:line="600" w:lineRule="exact"/>
        <w:ind w:firstLineChars="200" w:firstLine="643"/>
        <w:outlineLvl w:val="2"/>
        <w:rPr>
          <w:rFonts w:ascii="仿宋" w:eastAsia="仿宋" w:hAnsi="仿宋"/>
          <w:b/>
          <w:sz w:val="32"/>
          <w:szCs w:val="32"/>
        </w:rPr>
      </w:pPr>
    </w:p>
    <w:p w14:paraId="1D73B344" w14:textId="77777777" w:rsidR="00127C4A" w:rsidRDefault="00127C4A" w:rsidP="00127C4A">
      <w:pPr>
        <w:tabs>
          <w:tab w:val="left" w:pos="518"/>
        </w:tabs>
        <w:spacing w:line="600" w:lineRule="exact"/>
        <w:ind w:firstLineChars="200" w:firstLine="643"/>
        <w:outlineLvl w:val="2"/>
        <w:rPr>
          <w:rFonts w:ascii="仿宋" w:eastAsia="仿宋" w:hAnsi="仿宋"/>
          <w:b/>
          <w:sz w:val="32"/>
          <w:szCs w:val="32"/>
        </w:rPr>
      </w:pPr>
    </w:p>
    <w:p w14:paraId="7AB0E8DA" w14:textId="77777777" w:rsidR="00127C4A" w:rsidRDefault="00127C4A" w:rsidP="00127C4A">
      <w:pPr>
        <w:tabs>
          <w:tab w:val="left" w:pos="518"/>
        </w:tabs>
        <w:spacing w:line="600" w:lineRule="exact"/>
        <w:ind w:firstLineChars="200" w:firstLine="643"/>
        <w:outlineLvl w:val="2"/>
        <w:rPr>
          <w:rFonts w:ascii="仿宋" w:eastAsia="仿宋" w:hAnsi="仿宋"/>
          <w:b/>
          <w:sz w:val="32"/>
          <w:szCs w:val="32"/>
        </w:rPr>
      </w:pPr>
    </w:p>
    <w:p w14:paraId="6FE1F964" w14:textId="77777777" w:rsidR="00127C4A" w:rsidRDefault="00127C4A" w:rsidP="00127C4A">
      <w:pPr>
        <w:tabs>
          <w:tab w:val="left" w:pos="518"/>
        </w:tabs>
        <w:spacing w:line="600" w:lineRule="exact"/>
        <w:ind w:firstLineChars="200" w:firstLine="643"/>
        <w:outlineLvl w:val="2"/>
        <w:rPr>
          <w:rFonts w:ascii="仿宋" w:eastAsia="仿宋" w:hAnsi="仿宋"/>
          <w:b/>
          <w:sz w:val="32"/>
          <w:szCs w:val="32"/>
        </w:rPr>
      </w:pPr>
    </w:p>
    <w:p w14:paraId="4B295774" w14:textId="77777777" w:rsidR="00127C4A" w:rsidRDefault="00127C4A">
      <w:pPr>
        <w:spacing w:line="600" w:lineRule="exact"/>
        <w:rPr>
          <w:rFonts w:ascii="仿宋" w:eastAsia="仿宋" w:hAnsi="仿宋"/>
          <w:sz w:val="32"/>
          <w:szCs w:val="32"/>
        </w:rPr>
      </w:pPr>
    </w:p>
    <w:p w14:paraId="0C0CED29" w14:textId="77777777" w:rsidR="00127C4A" w:rsidRDefault="00127C4A">
      <w:pPr>
        <w:spacing w:line="600" w:lineRule="exact"/>
        <w:rPr>
          <w:rFonts w:ascii="仿宋" w:eastAsia="仿宋" w:hAnsi="仿宋"/>
          <w:sz w:val="32"/>
          <w:szCs w:val="32"/>
        </w:rPr>
      </w:pPr>
    </w:p>
    <w:p w14:paraId="66F30693" w14:textId="77777777" w:rsidR="00127C4A" w:rsidRDefault="00127C4A">
      <w:pPr>
        <w:spacing w:line="600" w:lineRule="exact"/>
        <w:rPr>
          <w:rFonts w:ascii="仿宋" w:eastAsia="仿宋" w:hAnsi="仿宋"/>
          <w:sz w:val="32"/>
          <w:szCs w:val="32"/>
        </w:rPr>
      </w:pPr>
    </w:p>
    <w:p w14:paraId="14501696" w14:textId="77777777" w:rsidR="00127C4A" w:rsidRDefault="00127C4A">
      <w:pPr>
        <w:spacing w:line="560" w:lineRule="exact"/>
        <w:rPr>
          <w:rFonts w:ascii="仿宋" w:eastAsia="仿宋" w:hAnsi="仿宋"/>
          <w:sz w:val="32"/>
          <w:szCs w:val="32"/>
        </w:rPr>
      </w:pPr>
    </w:p>
    <w:p w14:paraId="5F7F4285" w14:textId="77777777" w:rsidR="00127C4A" w:rsidRDefault="00F87DBA">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（图5：一般公共预算财政拨款支出决算变动情况）（柱状图）</w:t>
      </w:r>
    </w:p>
    <w:p w14:paraId="3027D3D7" w14:textId="77777777" w:rsidR="00127C4A" w:rsidRDefault="00127C4A" w:rsidP="00127C4A">
      <w:pPr>
        <w:tabs>
          <w:tab w:val="left" w:pos="518"/>
        </w:tabs>
        <w:spacing w:line="560" w:lineRule="exact"/>
        <w:ind w:firstLineChars="200" w:firstLine="643"/>
        <w:outlineLvl w:val="2"/>
        <w:rPr>
          <w:rFonts w:ascii="仿宋" w:eastAsia="仿宋" w:hAnsi="仿宋"/>
          <w:b/>
          <w:sz w:val="32"/>
          <w:szCs w:val="32"/>
        </w:rPr>
      </w:pPr>
    </w:p>
    <w:p w14:paraId="02F6ABB0" w14:textId="77777777" w:rsidR="00127C4A" w:rsidRDefault="00F87DBA" w:rsidP="00127C4A">
      <w:pPr>
        <w:tabs>
          <w:tab w:val="left" w:pos="518"/>
        </w:tabs>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45"/>
    </w:p>
    <w:p w14:paraId="4C25247A" w14:textId="4D8504A4" w:rsidR="00127C4A" w:rsidRDefault="00F87DBA" w:rsidP="00537F21">
      <w:pPr>
        <w:ind w:firstLineChars="200" w:firstLine="600"/>
        <w:rPr>
          <w:rFonts w:ascii="仿宋" w:eastAsia="仿宋" w:hAnsi="仿宋"/>
          <w:sz w:val="32"/>
          <w:szCs w:val="32"/>
        </w:rPr>
      </w:pPr>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22年一般公共预算财政拨款支出1437.32万元，主要用于以下方面</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一般公共服务支出1402.75万元，占97.59</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；卫生健康支出34.57万元，占2.41</w:t>
      </w:r>
      <w:r w:rsidRPr="00537F21">
        <w:rPr>
          <w:rFonts w:ascii="仿宋_GB2312" w:eastAsia="仿宋_GB2312" w:hAnsi="仿宋"/>
          <w:spacing w:val="-10"/>
          <w:sz w:val="32"/>
          <w:szCs w:val="32"/>
        </w:rPr>
        <w:t>%</w:t>
      </w:r>
      <w:r>
        <w:rPr>
          <w:rFonts w:ascii="仿宋" w:eastAsia="仿宋" w:hAnsi="仿宋" w:hint="eastAsia"/>
          <w:sz w:val="32"/>
          <w:szCs w:val="32"/>
        </w:rPr>
        <w:t>。</w:t>
      </w:r>
    </w:p>
    <w:p w14:paraId="47F5363D" w14:textId="77777777" w:rsidR="00127C4A" w:rsidRDefault="00F87DBA">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01-1表，仅罗列本部门涉及的全部功能分类科目，至类级。）</w:t>
      </w:r>
    </w:p>
    <w:p w14:paraId="252E8B71" w14:textId="0E0A1857" w:rsidR="00127C4A" w:rsidRDefault="00127C4A">
      <w:pPr>
        <w:spacing w:line="600" w:lineRule="exact"/>
        <w:ind w:firstLine="640"/>
        <w:rPr>
          <w:rFonts w:ascii="仿宋" w:eastAsia="仿宋" w:hAnsi="仿宋"/>
          <w:sz w:val="32"/>
          <w:szCs w:val="32"/>
        </w:rPr>
      </w:pPr>
    </w:p>
    <w:p w14:paraId="66CAFF93" w14:textId="1FE6BD67" w:rsidR="00537F21" w:rsidRDefault="00537F21" w:rsidP="00537F21">
      <w:pPr>
        <w:pStyle w:val="a0"/>
        <w:spacing w:before="93"/>
      </w:pPr>
      <w:r>
        <w:rPr>
          <w:noProof/>
        </w:rPr>
        <w:lastRenderedPageBreak/>
        <w:drawing>
          <wp:anchor distT="0" distB="0" distL="114300" distR="114300" simplePos="0" relativeHeight="251659264" behindDoc="0" locked="0" layoutInCell="1" allowOverlap="1" wp14:anchorId="17FB36D5" wp14:editId="28355469">
            <wp:simplePos x="0" y="0"/>
            <wp:positionH relativeFrom="column">
              <wp:posOffset>1284522</wp:posOffset>
            </wp:positionH>
            <wp:positionV relativeFrom="paragraph">
              <wp:posOffset>-515620</wp:posOffset>
            </wp:positionV>
            <wp:extent cx="2605405" cy="2263775"/>
            <wp:effectExtent l="0" t="0" r="0" b="0"/>
            <wp:wrapNone/>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9BE8554" w14:textId="77777777" w:rsidR="00537F21" w:rsidRPr="00537F21" w:rsidRDefault="00537F21" w:rsidP="00537F21">
      <w:pPr>
        <w:pStyle w:val="a0"/>
        <w:spacing w:before="93"/>
        <w:rPr>
          <w:rFonts w:hint="eastAsia"/>
        </w:rPr>
      </w:pPr>
    </w:p>
    <w:p w14:paraId="05A83A42" w14:textId="0FE6AF7B" w:rsidR="00127C4A" w:rsidRDefault="00127C4A" w:rsidP="00127C4A">
      <w:pPr>
        <w:pStyle w:val="a0"/>
        <w:spacing w:before="93"/>
        <w:rPr>
          <w:rFonts w:ascii="仿宋" w:eastAsia="仿宋" w:hAnsi="仿宋"/>
          <w:sz w:val="32"/>
          <w:szCs w:val="32"/>
        </w:rPr>
      </w:pPr>
    </w:p>
    <w:p w14:paraId="21CF9F0A" w14:textId="023B1CC4" w:rsidR="00127C4A" w:rsidRDefault="00127C4A" w:rsidP="00127C4A">
      <w:pPr>
        <w:pStyle w:val="a0"/>
        <w:spacing w:before="93"/>
        <w:rPr>
          <w:rFonts w:ascii="仿宋" w:eastAsia="仿宋" w:hAnsi="仿宋"/>
          <w:sz w:val="32"/>
          <w:szCs w:val="32"/>
        </w:rPr>
      </w:pPr>
    </w:p>
    <w:p w14:paraId="5B3A9B8A" w14:textId="77777777" w:rsidR="00127C4A" w:rsidRDefault="00F87DBA">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14:paraId="726DD6AB" w14:textId="77777777" w:rsidR="00127C4A" w:rsidRDefault="00127C4A">
      <w:pPr>
        <w:spacing w:line="600" w:lineRule="exact"/>
        <w:ind w:firstLineChars="200" w:firstLine="640"/>
        <w:rPr>
          <w:rFonts w:ascii="仿宋" w:eastAsia="仿宋" w:hAnsi="仿宋"/>
          <w:sz w:val="32"/>
          <w:szCs w:val="32"/>
        </w:rPr>
      </w:pPr>
    </w:p>
    <w:p w14:paraId="7AD160A5" w14:textId="77777777" w:rsidR="00127C4A" w:rsidRDefault="00F87DBA" w:rsidP="00127C4A">
      <w:pPr>
        <w:spacing w:line="600" w:lineRule="exact"/>
        <w:ind w:firstLineChars="200" w:firstLine="643"/>
        <w:outlineLvl w:val="2"/>
        <w:rPr>
          <w:rFonts w:ascii="仿宋" w:eastAsia="仿宋" w:hAnsi="仿宋"/>
          <w:b/>
          <w:sz w:val="32"/>
          <w:szCs w:val="32"/>
        </w:rPr>
      </w:pPr>
      <w:bookmarkStart w:id="46" w:name="_Toc15377212"/>
      <w:r>
        <w:rPr>
          <w:rFonts w:ascii="仿宋" w:eastAsia="仿宋" w:hAnsi="仿宋" w:hint="eastAsia"/>
          <w:b/>
          <w:sz w:val="32"/>
          <w:szCs w:val="32"/>
        </w:rPr>
        <w:t>（三）一般公共预算财政拨款支出决算具体情况</w:t>
      </w:r>
      <w:bookmarkEnd w:id="46"/>
    </w:p>
    <w:p w14:paraId="4D7583F7" w14:textId="77777777" w:rsidR="00127C4A" w:rsidRPr="00537F21" w:rsidRDefault="00F87DBA" w:rsidP="00537F21">
      <w:pPr>
        <w:ind w:firstLineChars="200" w:firstLine="600"/>
        <w:rPr>
          <w:rFonts w:ascii="仿宋_GB2312" w:eastAsia="仿宋_GB2312" w:hAnsi="仿宋"/>
          <w:spacing w:val="-10"/>
          <w:sz w:val="32"/>
          <w:szCs w:val="32"/>
        </w:rPr>
      </w:pPr>
      <w:bookmarkStart w:id="47" w:name="_Toc15377444"/>
      <w:bookmarkStart w:id="48" w:name="_Toc15378460"/>
      <w:bookmarkStart w:id="49" w:name="_Toc15377213"/>
      <w:r w:rsidRPr="00537F21">
        <w:rPr>
          <w:rFonts w:ascii="仿宋_GB2312" w:eastAsia="仿宋_GB2312" w:hAnsi="仿宋" w:hint="eastAsia"/>
          <w:spacing w:val="-10"/>
          <w:sz w:val="32"/>
          <w:szCs w:val="32"/>
        </w:rPr>
        <w:t>2022年一般公共预算支出决算数为1437.32，</w:t>
      </w:r>
      <w:r w:rsidRPr="00537F21">
        <w:rPr>
          <w:rFonts w:ascii="仿宋_GB2312" w:eastAsia="仿宋_GB2312" w:hint="eastAsia"/>
          <w:b/>
          <w:spacing w:val="-10"/>
        </w:rPr>
        <w:t>完成预算100</w:t>
      </w:r>
      <w:r w:rsidRPr="00537F21">
        <w:rPr>
          <w:rFonts w:ascii="仿宋_GB2312" w:eastAsia="仿宋_GB2312"/>
          <w:b/>
          <w:spacing w:val="-10"/>
        </w:rPr>
        <w:t>%</w:t>
      </w:r>
      <w:r w:rsidRPr="00537F21">
        <w:rPr>
          <w:rFonts w:ascii="仿宋_GB2312" w:eastAsia="仿宋_GB2312" w:hint="eastAsia"/>
          <w:b/>
          <w:spacing w:val="-10"/>
        </w:rPr>
        <w:t>。其中：</w:t>
      </w:r>
      <w:bookmarkEnd w:id="47"/>
      <w:bookmarkEnd w:id="48"/>
      <w:bookmarkEnd w:id="49"/>
    </w:p>
    <w:p w14:paraId="30547578" w14:textId="77777777" w:rsidR="00127C4A" w:rsidRPr="00537F21" w:rsidRDefault="00F87DBA" w:rsidP="00537F21">
      <w:pPr>
        <w:ind w:firstLineChars="200" w:firstLine="380"/>
        <w:rPr>
          <w:rFonts w:ascii="仿宋_GB2312" w:eastAsia="仿宋_GB2312"/>
          <w:spacing w:val="-10"/>
        </w:rPr>
      </w:pPr>
      <w:r w:rsidRPr="00537F21">
        <w:rPr>
          <w:rFonts w:ascii="仿宋_GB2312" w:eastAsia="仿宋_GB2312" w:hint="eastAsia"/>
          <w:b/>
          <w:spacing w:val="-10"/>
        </w:rPr>
        <w:t>一般公共服务（类）政府办公厅（室）及相关机构事务（款）  一般行政管理事务（项）</w:t>
      </w:r>
      <w:r w:rsidRPr="00537F21">
        <w:rPr>
          <w:rFonts w:ascii="仿宋_GB2312" w:eastAsia="仿宋_GB2312"/>
          <w:b/>
          <w:spacing w:val="-10"/>
        </w:rPr>
        <w:t>:</w:t>
      </w:r>
      <w:r w:rsidRPr="00537F21">
        <w:rPr>
          <w:rFonts w:ascii="仿宋_GB2312" w:eastAsia="仿宋_GB2312" w:hint="eastAsia"/>
          <w:spacing w:val="-10"/>
        </w:rPr>
        <w:t>支出决算为1402.75万元，完成预算100</w:t>
      </w:r>
      <w:r w:rsidRPr="00537F21">
        <w:rPr>
          <w:rFonts w:ascii="仿宋_GB2312" w:eastAsia="仿宋_GB2312"/>
          <w:spacing w:val="-10"/>
        </w:rPr>
        <w:t>%</w:t>
      </w:r>
      <w:r w:rsidRPr="00537F21">
        <w:rPr>
          <w:rFonts w:ascii="仿宋_GB2312" w:eastAsia="仿宋_GB2312" w:hint="eastAsia"/>
          <w:spacing w:val="-10"/>
        </w:rPr>
        <w:t>。决算数与预算数持平。</w:t>
      </w:r>
    </w:p>
    <w:p w14:paraId="332B5529" w14:textId="77777777" w:rsidR="00127C4A" w:rsidRPr="00537F21" w:rsidRDefault="00F87DBA" w:rsidP="00537F21">
      <w:pPr>
        <w:ind w:firstLineChars="200" w:firstLine="600"/>
        <w:rPr>
          <w:rFonts w:ascii="仿宋_GB2312" w:eastAsia="仿宋_GB2312" w:hAnsi="仿宋"/>
          <w:spacing w:val="-10"/>
          <w:sz w:val="32"/>
          <w:szCs w:val="32"/>
        </w:rPr>
      </w:pPr>
      <w:r w:rsidRPr="00537F21">
        <w:rPr>
          <w:rFonts w:ascii="仿宋_GB2312" w:eastAsia="仿宋_GB2312" w:hAnsi="仿宋" w:hint="eastAsia"/>
          <w:spacing w:val="-10"/>
          <w:sz w:val="32"/>
          <w:szCs w:val="32"/>
        </w:rPr>
        <w:t>卫生健康</w:t>
      </w:r>
      <w:r w:rsidRPr="00537F21">
        <w:rPr>
          <w:rFonts w:ascii="仿宋_GB2312" w:eastAsia="仿宋_GB2312" w:hint="eastAsia"/>
          <w:b/>
          <w:spacing w:val="-10"/>
        </w:rPr>
        <w:t>（类）公共卫生（款）基本公共卫生服务（项）</w:t>
      </w:r>
      <w:r w:rsidRPr="00537F21">
        <w:rPr>
          <w:rFonts w:ascii="仿宋_GB2312" w:eastAsia="仿宋_GB2312"/>
          <w:b/>
          <w:spacing w:val="-10"/>
        </w:rPr>
        <w:t>:</w:t>
      </w:r>
      <w:r w:rsidRPr="00537F21">
        <w:rPr>
          <w:rFonts w:ascii="仿宋_GB2312" w:eastAsia="仿宋_GB2312" w:hint="eastAsia"/>
          <w:spacing w:val="-10"/>
        </w:rPr>
        <w:t>支出决算为3万元，完成预算100</w:t>
      </w:r>
      <w:r w:rsidRPr="00537F21">
        <w:rPr>
          <w:rFonts w:ascii="仿宋_GB2312" w:eastAsia="仿宋_GB2312"/>
          <w:spacing w:val="-10"/>
        </w:rPr>
        <w:t>%</w:t>
      </w:r>
      <w:r w:rsidRPr="00537F21">
        <w:rPr>
          <w:rFonts w:ascii="仿宋_GB2312" w:eastAsia="仿宋_GB2312" w:hint="eastAsia"/>
          <w:spacing w:val="-10"/>
        </w:rPr>
        <w:t>，决算数与预算数持平。</w:t>
      </w:r>
    </w:p>
    <w:p w14:paraId="206ED432" w14:textId="77777777" w:rsidR="00127C4A" w:rsidRPr="00537F21" w:rsidRDefault="00F87DBA" w:rsidP="00537F21">
      <w:pPr>
        <w:ind w:firstLineChars="200" w:firstLine="600"/>
        <w:rPr>
          <w:rFonts w:ascii="仿宋_GB2312" w:eastAsia="仿宋_GB2312"/>
          <w:spacing w:val="-10"/>
        </w:rPr>
      </w:pPr>
      <w:r w:rsidRPr="00537F21">
        <w:rPr>
          <w:rFonts w:ascii="仿宋_GB2312" w:eastAsia="仿宋_GB2312" w:hAnsi="仿宋" w:hint="eastAsia"/>
          <w:spacing w:val="-10"/>
          <w:sz w:val="32"/>
          <w:szCs w:val="32"/>
        </w:rPr>
        <w:t>2.1卫生健康</w:t>
      </w:r>
      <w:r w:rsidRPr="00537F21">
        <w:rPr>
          <w:rFonts w:ascii="仿宋_GB2312" w:eastAsia="仿宋_GB2312" w:hint="eastAsia"/>
          <w:b/>
          <w:spacing w:val="-10"/>
        </w:rPr>
        <w:t>（类）公共卫生（款）重大公共卫生服务（项）</w:t>
      </w:r>
      <w:r w:rsidRPr="00537F21">
        <w:rPr>
          <w:rFonts w:ascii="仿宋_GB2312" w:eastAsia="仿宋_GB2312"/>
          <w:b/>
          <w:spacing w:val="-10"/>
        </w:rPr>
        <w:t>:</w:t>
      </w:r>
      <w:r w:rsidRPr="00537F21">
        <w:rPr>
          <w:rFonts w:ascii="仿宋_GB2312" w:eastAsia="仿宋_GB2312" w:hint="eastAsia"/>
          <w:spacing w:val="-10"/>
        </w:rPr>
        <w:t>支出决算为15.06万元，完成预算100</w:t>
      </w:r>
      <w:r w:rsidRPr="00537F21">
        <w:rPr>
          <w:rFonts w:ascii="仿宋_GB2312" w:eastAsia="仿宋_GB2312"/>
          <w:spacing w:val="-10"/>
        </w:rPr>
        <w:t>%</w:t>
      </w:r>
      <w:r w:rsidRPr="00537F21">
        <w:rPr>
          <w:rFonts w:ascii="仿宋_GB2312" w:eastAsia="仿宋_GB2312" w:hint="eastAsia"/>
          <w:spacing w:val="-10"/>
        </w:rPr>
        <w:t>，决算数与预算数持平。</w:t>
      </w:r>
    </w:p>
    <w:p w14:paraId="56CF54E2" w14:textId="77777777" w:rsidR="00127C4A" w:rsidRPr="00537F21" w:rsidRDefault="00F87DBA" w:rsidP="00537F21">
      <w:pPr>
        <w:ind w:firstLineChars="200" w:firstLine="600"/>
        <w:rPr>
          <w:rFonts w:ascii="仿宋_GB2312" w:eastAsia="仿宋_GB2312" w:hAnsi="仿宋"/>
          <w:spacing w:val="-10"/>
          <w:sz w:val="32"/>
          <w:szCs w:val="32"/>
        </w:rPr>
      </w:pPr>
      <w:r w:rsidRPr="00537F21">
        <w:rPr>
          <w:rFonts w:ascii="仿宋_GB2312" w:eastAsia="仿宋_GB2312" w:hAnsi="仿宋" w:hint="eastAsia"/>
          <w:spacing w:val="-10"/>
          <w:sz w:val="32"/>
          <w:szCs w:val="32"/>
        </w:rPr>
        <w:t>2.2卫生健康</w:t>
      </w:r>
      <w:r w:rsidRPr="00537F21">
        <w:rPr>
          <w:rFonts w:ascii="仿宋_GB2312" w:eastAsia="仿宋_GB2312" w:hint="eastAsia"/>
          <w:b/>
          <w:spacing w:val="-10"/>
        </w:rPr>
        <w:t>（类）公共卫生（款）突发公共卫生事件应急处理（项）</w:t>
      </w:r>
      <w:r w:rsidRPr="00537F21">
        <w:rPr>
          <w:rFonts w:ascii="仿宋_GB2312" w:eastAsia="仿宋_GB2312"/>
          <w:b/>
          <w:spacing w:val="-10"/>
        </w:rPr>
        <w:t>:</w:t>
      </w:r>
      <w:r w:rsidRPr="00537F21">
        <w:rPr>
          <w:rFonts w:ascii="仿宋_GB2312" w:eastAsia="仿宋_GB2312" w:hint="eastAsia"/>
          <w:spacing w:val="-10"/>
        </w:rPr>
        <w:t>支出决算为9.31万元，完成预算100</w:t>
      </w:r>
      <w:r w:rsidRPr="00537F21">
        <w:rPr>
          <w:rFonts w:ascii="仿宋_GB2312" w:eastAsia="仿宋_GB2312"/>
          <w:spacing w:val="-10"/>
        </w:rPr>
        <w:t>%</w:t>
      </w:r>
      <w:r w:rsidRPr="00537F21">
        <w:rPr>
          <w:rFonts w:ascii="仿宋_GB2312" w:eastAsia="仿宋_GB2312" w:hint="eastAsia"/>
          <w:spacing w:val="-10"/>
        </w:rPr>
        <w:t>，决算数与预算数持平。</w:t>
      </w:r>
    </w:p>
    <w:p w14:paraId="6AF85052" w14:textId="77777777" w:rsidR="00127C4A" w:rsidRPr="00537F21" w:rsidRDefault="00F87DBA" w:rsidP="00537F21">
      <w:pPr>
        <w:ind w:firstLineChars="200" w:firstLine="600"/>
        <w:rPr>
          <w:rFonts w:ascii="仿宋_GB2312" w:eastAsia="仿宋_GB2312" w:hAnsi="仿宋"/>
          <w:spacing w:val="-10"/>
          <w:sz w:val="32"/>
          <w:szCs w:val="32"/>
        </w:rPr>
      </w:pPr>
      <w:r w:rsidRPr="00537F21">
        <w:rPr>
          <w:rFonts w:ascii="仿宋_GB2312" w:eastAsia="仿宋_GB2312" w:hAnsi="仿宋" w:hint="eastAsia"/>
          <w:spacing w:val="-10"/>
          <w:sz w:val="32"/>
          <w:szCs w:val="32"/>
        </w:rPr>
        <w:t>2.3卫生健康</w:t>
      </w:r>
      <w:r w:rsidRPr="00537F21">
        <w:rPr>
          <w:rFonts w:ascii="仿宋_GB2312" w:eastAsia="仿宋_GB2312" w:hint="eastAsia"/>
          <w:b/>
          <w:spacing w:val="-10"/>
        </w:rPr>
        <w:t>（类）其他卫生健康支出（款）其他卫生健康支出（项）</w:t>
      </w:r>
      <w:r w:rsidRPr="00537F21">
        <w:rPr>
          <w:rFonts w:ascii="仿宋_GB2312" w:eastAsia="仿宋_GB2312"/>
          <w:b/>
          <w:spacing w:val="-10"/>
        </w:rPr>
        <w:t>:</w:t>
      </w:r>
      <w:r w:rsidRPr="00537F21">
        <w:rPr>
          <w:rFonts w:ascii="仿宋_GB2312" w:eastAsia="仿宋_GB2312" w:hint="eastAsia"/>
          <w:spacing w:val="-10"/>
        </w:rPr>
        <w:t>支出决算为7.20万元，完成预算100</w:t>
      </w:r>
      <w:r w:rsidRPr="00537F21">
        <w:rPr>
          <w:rFonts w:ascii="仿宋_GB2312" w:eastAsia="仿宋_GB2312"/>
          <w:spacing w:val="-10"/>
        </w:rPr>
        <w:t>%</w:t>
      </w:r>
      <w:r w:rsidRPr="00537F21">
        <w:rPr>
          <w:rFonts w:ascii="仿宋_GB2312" w:eastAsia="仿宋_GB2312" w:hint="eastAsia"/>
          <w:spacing w:val="-10"/>
        </w:rPr>
        <w:t>，决算数与预算数持平。</w:t>
      </w:r>
    </w:p>
    <w:p w14:paraId="532E3B0C" w14:textId="77777777" w:rsidR="00127C4A" w:rsidRDefault="00127C4A" w:rsidP="00127C4A">
      <w:pPr>
        <w:pStyle w:val="a0"/>
        <w:spacing w:before="93"/>
      </w:pPr>
    </w:p>
    <w:p w14:paraId="2F9C0C82" w14:textId="77777777" w:rsidR="00127C4A" w:rsidRDefault="00F87DBA" w:rsidP="00127C4A">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08表，仅罗列本部门涉及的全部功能分类科目，至项级。上述“预算”口径为全年预算数。增减变动原因为决算数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14:paraId="1098A634" w14:textId="77777777" w:rsidR="00127C4A" w:rsidRDefault="00127C4A">
      <w:pPr>
        <w:spacing w:line="600" w:lineRule="exact"/>
        <w:ind w:firstLine="640"/>
        <w:rPr>
          <w:rFonts w:ascii="仿宋" w:eastAsia="仿宋" w:hAnsi="仿宋"/>
          <w:b/>
          <w:sz w:val="32"/>
          <w:szCs w:val="32"/>
        </w:rPr>
      </w:pPr>
    </w:p>
    <w:p w14:paraId="4B2CDD99" w14:textId="77777777" w:rsidR="00127C4A" w:rsidRDefault="00F87DBA">
      <w:pPr>
        <w:tabs>
          <w:tab w:val="right" w:pos="8306"/>
        </w:tabs>
        <w:spacing w:line="600" w:lineRule="exact"/>
        <w:ind w:firstLine="640"/>
        <w:outlineLvl w:val="1"/>
        <w:rPr>
          <w:rStyle w:val="20"/>
        </w:rPr>
      </w:pPr>
      <w:bookmarkStart w:id="50" w:name="_Toc15377214"/>
      <w:bookmarkStart w:id="51" w:name="_Toc15396608"/>
      <w:bookmarkStart w:id="52" w:name="_Toc9751"/>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50"/>
      <w:bookmarkEnd w:id="51"/>
      <w:bookmarkEnd w:id="52"/>
      <w:r>
        <w:rPr>
          <w:rStyle w:val="20"/>
          <w:rFonts w:ascii="黑体" w:eastAsia="黑体" w:hAnsi="黑体"/>
          <w:b w:val="0"/>
        </w:rPr>
        <w:tab/>
      </w:r>
    </w:p>
    <w:p w14:paraId="133E2614" w14:textId="77777777" w:rsidR="00127C4A" w:rsidRPr="00537F21" w:rsidRDefault="00F87DBA" w:rsidP="00537F21">
      <w:pPr>
        <w:ind w:firstLineChars="200" w:firstLine="600"/>
        <w:rPr>
          <w:rFonts w:ascii="仿宋_GB2312" w:eastAsia="仿宋_GB2312" w:hAnsi="仿宋"/>
          <w:spacing w:val="-10"/>
          <w:sz w:val="32"/>
          <w:szCs w:val="32"/>
        </w:rPr>
      </w:pPr>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22年一般公共预算财政拨款基本支出1437.32万元，其中：</w:t>
      </w:r>
      <w:r w:rsidRPr="00537F21">
        <w:rPr>
          <w:rFonts w:ascii="仿宋_GB2312" w:eastAsia="仿宋_GB2312" w:hAnsi="仿宋"/>
          <w:spacing w:val="-10"/>
          <w:sz w:val="32"/>
          <w:szCs w:val="32"/>
        </w:rPr>
        <w:br/>
      </w:r>
      <w:r w:rsidRPr="00537F21">
        <w:rPr>
          <w:rFonts w:ascii="仿宋_GB2312" w:eastAsia="仿宋_GB2312" w:hAnsi="仿宋" w:hint="eastAsia"/>
          <w:spacing w:val="-10"/>
          <w:sz w:val="32"/>
          <w:szCs w:val="32"/>
        </w:rPr>
        <w:t xml:space="preserve">　　公用经费1437.32万元，主要包括：办公费、印刷费、电费、物业管理费、差旅费、维修（护）费、租赁费、会议费、公务接待费、劳务费、委托业务费、公务用车运行维护费、其他交通费、其他商品和服务支出等。</w:t>
      </w:r>
    </w:p>
    <w:p w14:paraId="52478B88" w14:textId="77777777" w:rsidR="00127C4A" w:rsidRDefault="00F87DBA">
      <w:pPr>
        <w:spacing w:line="600" w:lineRule="exact"/>
        <w:ind w:firstLine="645"/>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08-1表，仅罗列本部门实际支出涉及的经济分类科目。）</w:t>
      </w:r>
    </w:p>
    <w:p w14:paraId="1DC0B813" w14:textId="77777777" w:rsidR="00127C4A" w:rsidRDefault="00127C4A">
      <w:pPr>
        <w:spacing w:line="600" w:lineRule="exact"/>
        <w:ind w:firstLine="640"/>
        <w:rPr>
          <w:rFonts w:ascii="仿宋" w:eastAsia="仿宋" w:hAnsi="仿宋"/>
          <w:b/>
          <w:sz w:val="32"/>
          <w:szCs w:val="32"/>
        </w:rPr>
      </w:pPr>
    </w:p>
    <w:p w14:paraId="05627850" w14:textId="77777777" w:rsidR="00127C4A" w:rsidRDefault="00F87DBA">
      <w:pPr>
        <w:spacing w:line="600" w:lineRule="exact"/>
        <w:ind w:firstLine="640"/>
        <w:outlineLvl w:val="1"/>
        <w:rPr>
          <w:rStyle w:val="20"/>
          <w:rFonts w:ascii="黑体" w:eastAsia="黑体" w:hAnsi="黑体"/>
          <w:b w:val="0"/>
        </w:rPr>
      </w:pPr>
      <w:bookmarkStart w:id="53" w:name="_Toc15396609"/>
      <w:bookmarkStart w:id="54" w:name="_Toc15377215"/>
      <w:bookmarkStart w:id="55" w:name="_Toc3658"/>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53"/>
      <w:bookmarkEnd w:id="54"/>
      <w:bookmarkEnd w:id="55"/>
    </w:p>
    <w:p w14:paraId="2DAE4C83" w14:textId="77777777" w:rsidR="00127C4A" w:rsidRDefault="00F87DBA">
      <w:pPr>
        <w:spacing w:line="600" w:lineRule="exact"/>
        <w:ind w:firstLine="640"/>
        <w:outlineLvl w:val="2"/>
        <w:rPr>
          <w:rFonts w:ascii="仿宋" w:eastAsia="仿宋" w:hAnsi="仿宋"/>
          <w:b/>
          <w:sz w:val="32"/>
          <w:szCs w:val="32"/>
        </w:rPr>
      </w:pPr>
      <w:bookmarkStart w:id="56" w:name="_Toc15377216"/>
      <w:r>
        <w:rPr>
          <w:rFonts w:ascii="仿宋" w:eastAsia="仿宋" w:hAnsi="仿宋" w:hint="eastAsia"/>
          <w:b/>
          <w:sz w:val="32"/>
          <w:szCs w:val="32"/>
        </w:rPr>
        <w:t>（一）“三公”经费财政拨款支出决算总体情况说明</w:t>
      </w:r>
      <w:bookmarkEnd w:id="56"/>
    </w:p>
    <w:p w14:paraId="12BA00F4" w14:textId="77777777" w:rsidR="00127C4A" w:rsidRDefault="00F87DBA">
      <w:pPr>
        <w:spacing w:line="600" w:lineRule="exact"/>
        <w:ind w:firstLine="640"/>
        <w:rPr>
          <w:rFonts w:ascii="仿宋" w:eastAsia="仿宋" w:hAnsi="仿宋"/>
          <w:sz w:val="32"/>
          <w:szCs w:val="32"/>
        </w:rPr>
      </w:pPr>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22年“三公”经费财政拨款支出决算为97.06万元，完成预算100</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，较上年减少1.88万元，下降1.90%。决算数与预算数持平</w:t>
      </w:r>
      <w:r>
        <w:rPr>
          <w:rFonts w:ascii="仿宋" w:eastAsia="仿宋" w:hAnsi="仿宋" w:hint="eastAsia"/>
          <w:sz w:val="32"/>
          <w:szCs w:val="32"/>
        </w:rPr>
        <w:t>。</w:t>
      </w:r>
    </w:p>
    <w:p w14:paraId="04C34F6F" w14:textId="77777777" w:rsidR="00127C4A" w:rsidRDefault="00127C4A" w:rsidP="00127C4A">
      <w:pPr>
        <w:pStyle w:val="a0"/>
        <w:spacing w:before="93"/>
      </w:pPr>
    </w:p>
    <w:p w14:paraId="53CB110B" w14:textId="77777777" w:rsidR="00127C4A" w:rsidRDefault="00F87DBA">
      <w:pPr>
        <w:spacing w:line="600" w:lineRule="exact"/>
        <w:ind w:firstLine="640"/>
        <w:rPr>
          <w:rFonts w:ascii="仿宋" w:eastAsia="仿宋" w:hAnsi="仿宋"/>
          <w:b/>
          <w:sz w:val="32"/>
          <w:szCs w:val="32"/>
        </w:rPr>
      </w:pPr>
      <w:r>
        <w:rPr>
          <w:rFonts w:ascii="仿宋" w:eastAsia="仿宋" w:hAnsi="仿宋" w:hint="eastAsia"/>
          <w:b/>
          <w:sz w:val="32"/>
          <w:szCs w:val="32"/>
        </w:rPr>
        <w:lastRenderedPageBreak/>
        <w:t>（注：上述“预算”口径为全年预算数，包括一般公共预算和政府性基金预算财政拨款支出决算情况。）</w:t>
      </w:r>
    </w:p>
    <w:p w14:paraId="3059A3EC" w14:textId="77777777" w:rsidR="00127C4A" w:rsidRDefault="00127C4A" w:rsidP="00127C4A">
      <w:pPr>
        <w:pStyle w:val="a0"/>
        <w:spacing w:before="93"/>
      </w:pPr>
    </w:p>
    <w:p w14:paraId="79F24ECD" w14:textId="77777777" w:rsidR="00127C4A" w:rsidRDefault="00F87DBA">
      <w:pPr>
        <w:spacing w:line="600" w:lineRule="exact"/>
        <w:ind w:firstLine="640"/>
        <w:outlineLvl w:val="2"/>
        <w:rPr>
          <w:rFonts w:ascii="仿宋" w:eastAsia="仿宋" w:hAnsi="仿宋"/>
          <w:b/>
          <w:sz w:val="32"/>
          <w:szCs w:val="32"/>
        </w:rPr>
      </w:pPr>
      <w:bookmarkStart w:id="57" w:name="_Toc15377217"/>
      <w:r>
        <w:rPr>
          <w:rFonts w:ascii="仿宋" w:eastAsia="仿宋" w:hAnsi="仿宋" w:hint="eastAsia"/>
          <w:b/>
          <w:sz w:val="32"/>
          <w:szCs w:val="32"/>
        </w:rPr>
        <w:t>（二）“三公”经费财政拨款支出决算具体情况说明</w:t>
      </w:r>
      <w:bookmarkEnd w:id="57"/>
    </w:p>
    <w:p w14:paraId="5FC605E8" w14:textId="77777777" w:rsidR="00127C4A" w:rsidRDefault="00F87DBA">
      <w:pPr>
        <w:spacing w:line="600" w:lineRule="exact"/>
        <w:ind w:firstLine="640"/>
        <w:rPr>
          <w:rFonts w:ascii="仿宋" w:eastAsia="仿宋" w:hAnsi="仿宋"/>
          <w:sz w:val="32"/>
          <w:szCs w:val="32"/>
        </w:rPr>
      </w:pPr>
      <w:r w:rsidRPr="00537F21">
        <w:rPr>
          <w:rFonts w:ascii="仿宋_GB2312" w:eastAsia="仿宋_GB2312" w:hAnsi="仿宋"/>
          <w:spacing w:val="-10"/>
          <w:sz w:val="32"/>
          <w:szCs w:val="32"/>
        </w:rPr>
        <w:t>20</w:t>
      </w:r>
      <w:r w:rsidRPr="00537F21">
        <w:rPr>
          <w:rFonts w:ascii="仿宋_GB2312" w:eastAsia="仿宋_GB2312" w:hAnsi="仿宋" w:hint="eastAsia"/>
          <w:spacing w:val="-10"/>
          <w:sz w:val="32"/>
          <w:szCs w:val="32"/>
        </w:rPr>
        <w:t>22年“三公”经费财政拨款支出决算中，因公出国（境）费支出决算0万元，占0</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；公务用车购置及运行维护费支出决算96.53万元，占99.45</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；公务接待费支出决算0.53万元，占0.55</w:t>
      </w:r>
      <w:r w:rsidRPr="00537F21">
        <w:rPr>
          <w:rFonts w:ascii="仿宋_GB2312" w:eastAsia="仿宋_GB2312" w:hAnsi="仿宋"/>
          <w:spacing w:val="-10"/>
          <w:sz w:val="32"/>
          <w:szCs w:val="32"/>
        </w:rPr>
        <w:t>%</w:t>
      </w:r>
      <w:r w:rsidRPr="00537F21">
        <w:rPr>
          <w:rFonts w:ascii="仿宋_GB2312" w:eastAsia="仿宋_GB2312" w:hAnsi="仿宋" w:hint="eastAsia"/>
          <w:spacing w:val="-10"/>
          <w:sz w:val="32"/>
          <w:szCs w:val="32"/>
        </w:rPr>
        <w:t>。具体情况如下</w:t>
      </w:r>
      <w:r>
        <w:rPr>
          <w:rFonts w:ascii="仿宋" w:eastAsia="仿宋" w:hAnsi="仿宋" w:hint="eastAsia"/>
          <w:sz w:val="32"/>
          <w:szCs w:val="32"/>
        </w:rPr>
        <w:t>：</w:t>
      </w:r>
    </w:p>
    <w:p w14:paraId="4ADD83CD" w14:textId="77777777" w:rsidR="00127C4A" w:rsidRDefault="00F87DBA" w:rsidP="00127C4A">
      <w:pPr>
        <w:pStyle w:val="a0"/>
        <w:spacing w:before="93"/>
        <w:rPr>
          <w:rFonts w:ascii="仿宋" w:eastAsia="仿宋" w:hAnsi="仿宋"/>
          <w:sz w:val="32"/>
          <w:szCs w:val="32"/>
        </w:rPr>
      </w:pPr>
      <w:r>
        <w:rPr>
          <w:noProof/>
        </w:rPr>
        <w:drawing>
          <wp:anchor distT="0" distB="0" distL="114300" distR="114300" simplePos="0" relativeHeight="251701248" behindDoc="0" locked="0" layoutInCell="1" allowOverlap="1" wp14:anchorId="3181D1BF" wp14:editId="5C5852E5">
            <wp:simplePos x="0" y="0"/>
            <wp:positionH relativeFrom="column">
              <wp:posOffset>537845</wp:posOffset>
            </wp:positionH>
            <wp:positionV relativeFrom="paragraph">
              <wp:posOffset>145415</wp:posOffset>
            </wp:positionV>
            <wp:extent cx="4572000" cy="2993390"/>
            <wp:effectExtent l="4445" t="4445" r="10795" b="19685"/>
            <wp:wrapNone/>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F16263E" w14:textId="77777777" w:rsidR="00127C4A" w:rsidRDefault="00127C4A" w:rsidP="00127C4A">
      <w:pPr>
        <w:pStyle w:val="a0"/>
        <w:spacing w:before="93"/>
        <w:rPr>
          <w:rFonts w:ascii="仿宋" w:eastAsia="仿宋" w:hAnsi="仿宋"/>
          <w:sz w:val="32"/>
          <w:szCs w:val="32"/>
        </w:rPr>
      </w:pPr>
    </w:p>
    <w:p w14:paraId="7FC5D908" w14:textId="77777777" w:rsidR="00127C4A" w:rsidRDefault="00127C4A" w:rsidP="00127C4A">
      <w:pPr>
        <w:pStyle w:val="a0"/>
        <w:spacing w:before="93"/>
        <w:rPr>
          <w:rFonts w:ascii="仿宋" w:eastAsia="仿宋" w:hAnsi="仿宋"/>
          <w:sz w:val="32"/>
          <w:szCs w:val="32"/>
        </w:rPr>
      </w:pPr>
    </w:p>
    <w:p w14:paraId="6424172B" w14:textId="77777777" w:rsidR="00127C4A" w:rsidRDefault="00127C4A" w:rsidP="00127C4A">
      <w:pPr>
        <w:pStyle w:val="a0"/>
        <w:spacing w:before="93"/>
        <w:rPr>
          <w:rFonts w:ascii="仿宋" w:eastAsia="仿宋" w:hAnsi="仿宋"/>
          <w:sz w:val="32"/>
          <w:szCs w:val="32"/>
        </w:rPr>
      </w:pPr>
    </w:p>
    <w:p w14:paraId="5799B1D9" w14:textId="77777777" w:rsidR="00127C4A" w:rsidRDefault="00127C4A" w:rsidP="00127C4A">
      <w:pPr>
        <w:pStyle w:val="a0"/>
        <w:spacing w:before="93"/>
        <w:rPr>
          <w:rFonts w:ascii="仿宋" w:eastAsia="仿宋" w:hAnsi="仿宋"/>
          <w:sz w:val="32"/>
          <w:szCs w:val="32"/>
        </w:rPr>
      </w:pPr>
    </w:p>
    <w:p w14:paraId="3E48BAE2" w14:textId="77777777" w:rsidR="00127C4A" w:rsidRDefault="00127C4A" w:rsidP="00127C4A">
      <w:pPr>
        <w:pStyle w:val="a0"/>
        <w:spacing w:before="93"/>
        <w:rPr>
          <w:rFonts w:ascii="仿宋" w:eastAsia="仿宋" w:hAnsi="仿宋"/>
          <w:sz w:val="32"/>
          <w:szCs w:val="32"/>
        </w:rPr>
      </w:pPr>
    </w:p>
    <w:p w14:paraId="07363CE8" w14:textId="77777777" w:rsidR="00127C4A" w:rsidRDefault="00F87DBA">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14:paraId="46CB4ABA" w14:textId="77777777" w:rsidR="00127C4A" w:rsidRDefault="00127C4A" w:rsidP="00127C4A">
      <w:pPr>
        <w:pStyle w:val="a0"/>
        <w:spacing w:before="93"/>
      </w:pPr>
    </w:p>
    <w:p w14:paraId="7FFE8F1E" w14:textId="124F8CA1" w:rsidR="00127C4A" w:rsidRPr="00537F21" w:rsidRDefault="00537F21" w:rsidP="00537F21">
      <w:pPr>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1.</w:t>
      </w:r>
      <w:r w:rsidR="00F87DBA" w:rsidRPr="00537F21">
        <w:rPr>
          <w:rFonts w:ascii="仿宋_GB2312" w:eastAsia="仿宋_GB2312" w:hAnsi="仿宋" w:hint="eastAsia"/>
          <w:spacing w:val="-10"/>
          <w:sz w:val="32"/>
          <w:szCs w:val="32"/>
        </w:rPr>
        <w:t>因公出国（境）经费支出0万元，完成预算0</w:t>
      </w:r>
      <w:r w:rsidR="00F87DBA" w:rsidRPr="00537F21">
        <w:rPr>
          <w:rFonts w:ascii="仿宋_GB2312" w:eastAsia="仿宋_GB2312" w:hAnsi="仿宋"/>
          <w:spacing w:val="-10"/>
          <w:sz w:val="32"/>
          <w:szCs w:val="32"/>
        </w:rPr>
        <w:t>%</w:t>
      </w:r>
      <w:r w:rsidR="00F87DBA" w:rsidRPr="00537F21">
        <w:rPr>
          <w:rFonts w:ascii="仿宋_GB2312" w:eastAsia="仿宋_GB2312" w:hAnsi="仿宋" w:hint="eastAsia"/>
          <w:spacing w:val="-10"/>
          <w:sz w:val="32"/>
          <w:szCs w:val="32"/>
        </w:rPr>
        <w:t>。全年安排因公出国（境）团组0次，出国（境）0人。因公出国（境）支出决算比</w:t>
      </w:r>
      <w:r w:rsidR="00F87DBA" w:rsidRPr="00537F21">
        <w:rPr>
          <w:rFonts w:ascii="仿宋_GB2312" w:eastAsia="仿宋_GB2312" w:hAnsi="仿宋"/>
          <w:spacing w:val="-10"/>
          <w:sz w:val="32"/>
          <w:szCs w:val="32"/>
        </w:rPr>
        <w:t>20</w:t>
      </w:r>
      <w:r w:rsidR="00F87DBA" w:rsidRPr="00537F21">
        <w:rPr>
          <w:rFonts w:ascii="仿宋_GB2312" w:eastAsia="仿宋_GB2312" w:hAnsi="仿宋" w:hint="eastAsia"/>
          <w:spacing w:val="-10"/>
          <w:sz w:val="32"/>
          <w:szCs w:val="32"/>
        </w:rPr>
        <w:t>21年增加</w:t>
      </w:r>
      <w:r w:rsidR="00F87DBA" w:rsidRPr="00537F21">
        <w:rPr>
          <w:rFonts w:ascii="仿宋_GB2312" w:eastAsia="仿宋_GB2312" w:hAnsi="仿宋"/>
          <w:spacing w:val="-10"/>
          <w:sz w:val="32"/>
          <w:szCs w:val="32"/>
        </w:rPr>
        <w:t>/</w:t>
      </w:r>
      <w:r w:rsidR="00F87DBA" w:rsidRPr="00537F21">
        <w:rPr>
          <w:rFonts w:ascii="仿宋_GB2312" w:eastAsia="仿宋_GB2312" w:hAnsi="仿宋" w:hint="eastAsia"/>
          <w:spacing w:val="-10"/>
          <w:sz w:val="32"/>
          <w:szCs w:val="32"/>
        </w:rPr>
        <w:t>减少0万元，增长</w:t>
      </w:r>
      <w:r w:rsidR="00F87DBA" w:rsidRPr="00537F21">
        <w:rPr>
          <w:rFonts w:ascii="仿宋_GB2312" w:eastAsia="仿宋_GB2312" w:hAnsi="仿宋"/>
          <w:spacing w:val="-10"/>
          <w:sz w:val="32"/>
          <w:szCs w:val="32"/>
        </w:rPr>
        <w:t>/</w:t>
      </w:r>
      <w:r w:rsidR="00F87DBA" w:rsidRPr="00537F21">
        <w:rPr>
          <w:rFonts w:ascii="仿宋_GB2312" w:eastAsia="仿宋_GB2312" w:hAnsi="仿宋" w:hint="eastAsia"/>
          <w:spacing w:val="-10"/>
          <w:sz w:val="32"/>
          <w:szCs w:val="32"/>
        </w:rPr>
        <w:t>下降0</w:t>
      </w:r>
      <w:r w:rsidR="00F87DBA" w:rsidRPr="00537F21">
        <w:rPr>
          <w:rFonts w:ascii="仿宋_GB2312" w:eastAsia="仿宋_GB2312" w:hAnsi="仿宋"/>
          <w:spacing w:val="-10"/>
          <w:sz w:val="32"/>
          <w:szCs w:val="32"/>
        </w:rPr>
        <w:t>%</w:t>
      </w:r>
      <w:r w:rsidR="00F87DBA" w:rsidRPr="00537F21">
        <w:rPr>
          <w:rFonts w:ascii="仿宋_GB2312" w:eastAsia="仿宋_GB2312" w:hAnsi="仿宋" w:hint="eastAsia"/>
          <w:spacing w:val="-10"/>
          <w:sz w:val="32"/>
          <w:szCs w:val="32"/>
        </w:rPr>
        <w:t>。</w:t>
      </w:r>
    </w:p>
    <w:p w14:paraId="63C57206" w14:textId="77777777" w:rsidR="00127C4A" w:rsidRDefault="00F87DBA">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开支内容包括：…（团组名称、出访地点、取得成效）等。</w:t>
      </w:r>
    </w:p>
    <w:p w14:paraId="28B44166" w14:textId="77777777" w:rsidR="00127C4A" w:rsidRDefault="00F87DBA">
      <w:pPr>
        <w:numPr>
          <w:ilvl w:val="0"/>
          <w:numId w:val="4"/>
        </w:numPr>
        <w:spacing w:line="600" w:lineRule="exact"/>
        <w:ind w:firstLine="640"/>
        <w:rPr>
          <w:rFonts w:ascii="仿宋_GB2312" w:eastAsia="仿宋_GB2312"/>
          <w:b/>
          <w:sz w:val="32"/>
          <w:szCs w:val="32"/>
        </w:rPr>
      </w:pPr>
      <w:r>
        <w:rPr>
          <w:rFonts w:ascii="仿宋_GB2312" w:eastAsia="仿宋_GB2312" w:hint="eastAsia"/>
          <w:b/>
          <w:sz w:val="32"/>
          <w:szCs w:val="32"/>
        </w:rPr>
        <w:t>公务用车购置及运行维护费支出</w:t>
      </w:r>
      <w:r>
        <w:rPr>
          <w:rFonts w:ascii="仿宋_GB2312" w:eastAsia="仿宋_GB2312" w:hint="eastAsia"/>
          <w:sz w:val="32"/>
          <w:szCs w:val="32"/>
        </w:rPr>
        <w:t>96.53万元,</w:t>
      </w:r>
      <w:r>
        <w:rPr>
          <w:rStyle w:val="ac"/>
          <w:rFonts w:ascii="仿宋" w:eastAsia="仿宋" w:hAnsi="仿宋" w:hint="eastAsia"/>
          <w:b w:val="0"/>
          <w:bCs/>
          <w:sz w:val="32"/>
          <w:szCs w:val="32"/>
        </w:rPr>
        <w:t>完成预算100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Pr>
          <w:rFonts w:ascii="仿宋_GB2312" w:eastAsia="仿宋_GB2312"/>
          <w:sz w:val="32"/>
          <w:szCs w:val="32"/>
        </w:rPr>
        <w:t>/</w:t>
      </w:r>
      <w:r>
        <w:rPr>
          <w:rFonts w:ascii="仿宋_GB2312" w:eastAsia="仿宋_GB2312" w:hint="eastAsia"/>
          <w:sz w:val="32"/>
          <w:szCs w:val="32"/>
        </w:rPr>
        <w:t>减少0.41万元，下降0.42</w:t>
      </w:r>
      <w:r>
        <w:rPr>
          <w:rFonts w:ascii="仿宋_GB2312" w:eastAsia="仿宋_GB2312"/>
          <w:sz w:val="32"/>
          <w:szCs w:val="32"/>
        </w:rPr>
        <w:t>%</w:t>
      </w:r>
      <w:r>
        <w:rPr>
          <w:rFonts w:ascii="仿宋_GB2312" w:eastAsia="仿宋_GB2312" w:hint="eastAsia"/>
          <w:sz w:val="32"/>
          <w:szCs w:val="32"/>
        </w:rPr>
        <w:t>。主要原因是公务用车维护费增加。</w:t>
      </w:r>
    </w:p>
    <w:p w14:paraId="263DAB24" w14:textId="77777777" w:rsidR="00127C4A" w:rsidRDefault="00F87DBA">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0万元。全年按规定更新购置公务用车0辆，其中：轿车0辆、金额0万元，越野车0辆、金额0万元，载客汽车0辆、金额0万元，主要用于…。截至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月底，单位共有公务用车44辆，其中：轿车11辆、越野车18辆、小型载客汽车4辆、大型载客汽车1辆、其他车辆10辆。</w:t>
      </w:r>
    </w:p>
    <w:p w14:paraId="26DB49B0" w14:textId="77777777" w:rsidR="00127C4A" w:rsidRDefault="00F87DBA">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96.53万元。主要用于</w:t>
      </w:r>
      <w:r>
        <w:rPr>
          <w:rFonts w:ascii="仿宋_GB2312" w:eastAsia="仿宋_GB2312" w:hAnsi="仿宋" w:hint="eastAsia"/>
          <w:bCs/>
          <w:sz w:val="32"/>
          <w:szCs w:val="32"/>
        </w:rPr>
        <w:t>部门公务用车的机要文件传递、参加省市会议、</w:t>
      </w:r>
      <w:proofErr w:type="gramStart"/>
      <w:r>
        <w:rPr>
          <w:rFonts w:ascii="仿宋_GB2312" w:eastAsia="仿宋_GB2312" w:hAnsi="仿宋" w:hint="eastAsia"/>
          <w:bCs/>
          <w:sz w:val="32"/>
          <w:szCs w:val="32"/>
        </w:rPr>
        <w:t>对接扶贫</w:t>
      </w:r>
      <w:proofErr w:type="gramEnd"/>
      <w:r>
        <w:rPr>
          <w:rFonts w:ascii="仿宋_GB2312" w:eastAsia="仿宋_GB2312" w:hAnsi="仿宋" w:hint="eastAsia"/>
          <w:bCs/>
          <w:sz w:val="32"/>
          <w:szCs w:val="32"/>
        </w:rPr>
        <w:t>工作、武装押运等工作所需燃料费、维修费、保险费、过路过桥费等支出，以及车辆租赁等相关费用</w:t>
      </w:r>
      <w:r>
        <w:rPr>
          <w:rFonts w:ascii="仿宋_GB2312" w:eastAsia="仿宋_GB2312" w:hint="eastAsia"/>
          <w:sz w:val="32"/>
          <w:szCs w:val="32"/>
        </w:rPr>
        <w:t>所需支出。</w:t>
      </w:r>
    </w:p>
    <w:p w14:paraId="45A6B4F6" w14:textId="77777777" w:rsidR="00127C4A" w:rsidRDefault="00F87DBA">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0.53万元，</w:t>
      </w:r>
      <w:r>
        <w:rPr>
          <w:rStyle w:val="ac"/>
          <w:rFonts w:ascii="仿宋" w:eastAsia="仿宋" w:hAnsi="仿宋" w:hint="eastAsia"/>
          <w:b w:val="0"/>
          <w:bCs/>
          <w:sz w:val="32"/>
          <w:szCs w:val="32"/>
        </w:rPr>
        <w:t>完成预算100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21年减少1.47万元，下降73.50</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Ansi="仿宋" w:hint="eastAsia"/>
          <w:sz w:val="32"/>
          <w:szCs w:val="32"/>
        </w:rPr>
        <w:t>严格落实疫情防控政策，减少公务接待，尽量采用视频会议等方式</w:t>
      </w:r>
      <w:r>
        <w:rPr>
          <w:rFonts w:ascii="仿宋_GB2312" w:eastAsia="仿宋_GB2312" w:hint="eastAsia"/>
          <w:sz w:val="32"/>
          <w:szCs w:val="32"/>
        </w:rPr>
        <w:t>。其中：</w:t>
      </w:r>
    </w:p>
    <w:p w14:paraId="27791AE9" w14:textId="77777777" w:rsidR="00127C4A" w:rsidRDefault="00F87DBA">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0.53</w:t>
      </w:r>
      <w:r>
        <w:rPr>
          <w:rFonts w:ascii="仿宋_GB2312" w:eastAsia="仿宋_GB2312" w:hint="eastAsia"/>
          <w:sz w:val="32"/>
          <w:szCs w:val="32"/>
        </w:rPr>
        <w:t>万元，主要</w:t>
      </w:r>
      <w:r>
        <w:rPr>
          <w:rFonts w:ascii="仿宋_GB2312" w:eastAsia="仿宋_GB2312" w:hAnsi="仿宋" w:cs="仿宋" w:hint="eastAsia"/>
          <w:color w:val="000000"/>
          <w:sz w:val="32"/>
          <w:szCs w:val="32"/>
        </w:rPr>
        <w:t>用于</w:t>
      </w:r>
      <w:r>
        <w:rPr>
          <w:rFonts w:ascii="仿宋_GB2312" w:eastAsia="仿宋_GB2312" w:hAnsi="仿宋" w:hint="eastAsia"/>
          <w:bCs/>
          <w:sz w:val="32"/>
          <w:szCs w:val="32"/>
        </w:rPr>
        <w:t>接待各职能部门、协作企业、社会团体用餐、交通等费用</w:t>
      </w:r>
      <w:r>
        <w:rPr>
          <w:rFonts w:ascii="仿宋_GB2312" w:eastAsia="仿宋_GB2312" w:hint="eastAsia"/>
          <w:sz w:val="32"/>
          <w:szCs w:val="32"/>
        </w:rPr>
        <w:t>。国内公务接待4批次，17人次（不包括陪同人员），共计支出0.53万元，具体内容包</w:t>
      </w:r>
      <w:r>
        <w:rPr>
          <w:rFonts w:ascii="仿宋_GB2312" w:eastAsia="仿宋_GB2312" w:hint="eastAsia"/>
          <w:sz w:val="32"/>
          <w:szCs w:val="32"/>
        </w:rPr>
        <w:lastRenderedPageBreak/>
        <w:t>括：1.接待国际工程咨询公司开展数据迁移等评估工作，接待人数6人，接待金额：0.14万元；2.接待雅安公积金管理中心相互交流工作经验，接待人数：6人，接待金额0.17万元；3.接待火箭军61基地科学城入伍新兵交接，接待人数：1人，接待金额：0.05万元；4.接待东北师大工作交流，接待人数：4人，接待金额：0.17万元。</w:t>
      </w:r>
    </w:p>
    <w:p w14:paraId="6C0A1271" w14:textId="77777777" w:rsidR="00127C4A" w:rsidRDefault="00F87DBA" w:rsidP="00127C4A">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万元，主要用于接待</w:t>
      </w:r>
      <w:r>
        <w:rPr>
          <w:rFonts w:ascii="仿宋_GB2312" w:eastAsia="仿宋_GB2312"/>
          <w:sz w:val="32"/>
          <w:szCs w:val="32"/>
        </w:rPr>
        <w:t>…</w:t>
      </w:r>
      <w:r>
        <w:rPr>
          <w:rFonts w:ascii="仿宋_GB2312" w:eastAsia="仿宋_GB2312" w:hint="eastAsia"/>
          <w:sz w:val="32"/>
          <w:szCs w:val="32"/>
        </w:rPr>
        <w:t>（具体项目）。外事接待0批次，0人次（不包括陪同人员），共计支出0万元。</w:t>
      </w:r>
    </w:p>
    <w:p w14:paraId="597262EC" w14:textId="77777777" w:rsidR="00127C4A" w:rsidRDefault="00127C4A">
      <w:pPr>
        <w:spacing w:line="600" w:lineRule="exact"/>
        <w:ind w:firstLine="640"/>
        <w:outlineLvl w:val="1"/>
        <w:rPr>
          <w:rFonts w:ascii="黑体" w:eastAsia="黑体"/>
          <w:sz w:val="32"/>
          <w:szCs w:val="32"/>
        </w:rPr>
      </w:pPr>
      <w:bookmarkStart w:id="58" w:name="_Toc15396610"/>
      <w:bookmarkStart w:id="59" w:name="_Toc15377218"/>
    </w:p>
    <w:p w14:paraId="1449EAE7" w14:textId="77777777" w:rsidR="00127C4A" w:rsidRDefault="00F87DBA">
      <w:pPr>
        <w:spacing w:line="600" w:lineRule="exact"/>
        <w:ind w:firstLine="640"/>
        <w:outlineLvl w:val="1"/>
        <w:rPr>
          <w:rStyle w:val="20"/>
          <w:rFonts w:ascii="黑体" w:eastAsia="黑体" w:hAnsi="黑体"/>
        </w:rPr>
      </w:pPr>
      <w:bookmarkStart w:id="60" w:name="_Toc9480"/>
      <w:r>
        <w:rPr>
          <w:rFonts w:ascii="黑体" w:eastAsia="黑体" w:hint="eastAsia"/>
          <w:sz w:val="32"/>
          <w:szCs w:val="32"/>
        </w:rPr>
        <w:t>八、</w:t>
      </w:r>
      <w:r>
        <w:rPr>
          <w:rStyle w:val="20"/>
          <w:rFonts w:ascii="黑体" w:eastAsia="黑体" w:hAnsi="黑体" w:hint="eastAsia"/>
          <w:b w:val="0"/>
        </w:rPr>
        <w:t>政府性基金预算支出决算情况说明</w:t>
      </w:r>
      <w:bookmarkEnd w:id="58"/>
      <w:bookmarkEnd w:id="59"/>
      <w:bookmarkEnd w:id="60"/>
    </w:p>
    <w:p w14:paraId="72C55A5C" w14:textId="77777777" w:rsidR="00127C4A" w:rsidRDefault="00F87DBA">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14:paraId="18286F57" w14:textId="77777777" w:rsidR="00127C4A" w:rsidRDefault="00127C4A">
      <w:pPr>
        <w:spacing w:line="600" w:lineRule="exact"/>
        <w:ind w:firstLine="640"/>
        <w:rPr>
          <w:rFonts w:ascii="仿宋_GB2312" w:eastAsia="仿宋_GB2312"/>
          <w:sz w:val="32"/>
          <w:szCs w:val="32"/>
        </w:rPr>
      </w:pPr>
    </w:p>
    <w:p w14:paraId="62441014" w14:textId="77777777" w:rsidR="00127C4A" w:rsidRDefault="00F87DBA">
      <w:pPr>
        <w:numPr>
          <w:ilvl w:val="0"/>
          <w:numId w:val="5"/>
        </w:numPr>
        <w:spacing w:line="600" w:lineRule="exact"/>
        <w:ind w:firstLine="640"/>
        <w:outlineLvl w:val="1"/>
        <w:rPr>
          <w:rStyle w:val="20"/>
          <w:rFonts w:ascii="黑体" w:eastAsia="黑体" w:hAnsi="黑体"/>
          <w:b w:val="0"/>
        </w:rPr>
      </w:pPr>
      <w:bookmarkStart w:id="61" w:name="_Toc15377219"/>
      <w:bookmarkStart w:id="62" w:name="_Toc15396611"/>
      <w:bookmarkStart w:id="63" w:name="_Toc21177"/>
      <w:r>
        <w:rPr>
          <w:rStyle w:val="20"/>
          <w:rFonts w:ascii="黑体" w:eastAsia="黑体" w:hAnsi="黑体" w:hint="eastAsia"/>
          <w:b w:val="0"/>
        </w:rPr>
        <w:t>国有资本经营预算支出决算情况说明</w:t>
      </w:r>
      <w:bookmarkEnd w:id="61"/>
      <w:bookmarkEnd w:id="62"/>
      <w:bookmarkEnd w:id="63"/>
    </w:p>
    <w:p w14:paraId="6829C74C" w14:textId="77777777" w:rsidR="00127C4A" w:rsidRDefault="00F87DBA">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14:paraId="25CFAE5D" w14:textId="77777777" w:rsidR="00127C4A" w:rsidRDefault="00127C4A">
      <w:pPr>
        <w:spacing w:line="580" w:lineRule="exact"/>
        <w:jc w:val="center"/>
        <w:rPr>
          <w:rFonts w:ascii="方正小标宋简体" w:eastAsia="方正小标宋简体" w:hAnsi="方正小标宋简体" w:cs="方正小标宋简体"/>
          <w:sz w:val="44"/>
          <w:szCs w:val="44"/>
        </w:rPr>
      </w:pPr>
    </w:p>
    <w:p w14:paraId="2B60F403" w14:textId="77777777" w:rsidR="00127C4A" w:rsidRDefault="00F87DBA">
      <w:pPr>
        <w:numPr>
          <w:ilvl w:val="0"/>
          <w:numId w:val="5"/>
        </w:numPr>
        <w:spacing w:line="600" w:lineRule="exact"/>
        <w:ind w:firstLine="640"/>
        <w:outlineLvl w:val="1"/>
        <w:rPr>
          <w:rStyle w:val="20"/>
          <w:rFonts w:ascii="黑体" w:eastAsia="黑体" w:hAnsi="黑体"/>
          <w:b w:val="0"/>
        </w:rPr>
      </w:pPr>
      <w:bookmarkStart w:id="64" w:name="_Toc15396612"/>
      <w:bookmarkStart w:id="65" w:name="_Toc15377221"/>
      <w:bookmarkStart w:id="66" w:name="_Toc5145"/>
      <w:r>
        <w:rPr>
          <w:rStyle w:val="20"/>
          <w:rFonts w:ascii="黑体" w:eastAsia="黑体" w:hAnsi="黑体" w:hint="eastAsia"/>
          <w:b w:val="0"/>
        </w:rPr>
        <w:t>其他重要事项的情况说明</w:t>
      </w:r>
      <w:bookmarkEnd w:id="64"/>
      <w:bookmarkEnd w:id="65"/>
      <w:bookmarkEnd w:id="66"/>
    </w:p>
    <w:p w14:paraId="417DE2D8" w14:textId="77777777" w:rsidR="00127C4A" w:rsidRDefault="00F87DBA" w:rsidP="00127C4A">
      <w:pPr>
        <w:spacing w:line="600" w:lineRule="exact"/>
        <w:ind w:firstLineChars="200" w:firstLine="643"/>
        <w:outlineLvl w:val="2"/>
        <w:rPr>
          <w:rFonts w:ascii="仿宋" w:eastAsia="仿宋" w:hAnsi="仿宋"/>
          <w:sz w:val="32"/>
          <w:szCs w:val="32"/>
        </w:rPr>
      </w:pPr>
      <w:bookmarkStart w:id="67" w:name="_Toc15377222"/>
      <w:r>
        <w:rPr>
          <w:rFonts w:ascii="仿宋" w:eastAsia="仿宋" w:hAnsi="仿宋" w:hint="eastAsia"/>
          <w:b/>
          <w:sz w:val="32"/>
          <w:szCs w:val="32"/>
        </w:rPr>
        <w:t>（一）机关运行经费支出情况</w:t>
      </w:r>
      <w:bookmarkEnd w:id="67"/>
    </w:p>
    <w:p w14:paraId="15744473" w14:textId="77777777" w:rsidR="00127C4A" w:rsidRDefault="00F87DBA">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22年，四川省人民政府科学城办事处</w:t>
      </w:r>
      <w:proofErr w:type="gramStart"/>
      <w:r>
        <w:rPr>
          <w:rFonts w:ascii="仿宋_GB2312" w:eastAsia="仿宋_GB2312" w:hint="eastAsia"/>
          <w:sz w:val="32"/>
          <w:szCs w:val="32"/>
        </w:rPr>
        <w:t>无机关</w:t>
      </w:r>
      <w:proofErr w:type="gramEnd"/>
      <w:r>
        <w:rPr>
          <w:rFonts w:ascii="仿宋_GB2312" w:eastAsia="仿宋_GB2312" w:hint="eastAsia"/>
          <w:sz w:val="32"/>
          <w:szCs w:val="32"/>
        </w:rPr>
        <w:t>运行经费支出。</w:t>
      </w:r>
    </w:p>
    <w:p w14:paraId="2872AA4C" w14:textId="77777777" w:rsidR="00127C4A" w:rsidRDefault="00F87DBA" w:rsidP="00127C4A">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14:paraId="51FBFA21" w14:textId="77777777" w:rsidR="00127C4A" w:rsidRDefault="00F87DBA" w:rsidP="00127C4A">
      <w:pPr>
        <w:autoSpaceDE w:val="0"/>
        <w:autoSpaceDN w:val="0"/>
        <w:adjustRightInd w:val="0"/>
        <w:spacing w:line="600" w:lineRule="exact"/>
        <w:ind w:firstLineChars="200" w:firstLine="643"/>
        <w:jc w:val="left"/>
        <w:outlineLvl w:val="2"/>
        <w:rPr>
          <w:rFonts w:ascii="仿宋" w:eastAsia="仿宋" w:hAnsi="仿宋"/>
          <w:b/>
          <w:sz w:val="32"/>
          <w:szCs w:val="32"/>
        </w:rPr>
      </w:pPr>
      <w:bookmarkStart w:id="68" w:name="_Toc15377223"/>
      <w:r>
        <w:rPr>
          <w:rFonts w:ascii="仿宋" w:eastAsia="仿宋" w:hAnsi="仿宋" w:hint="eastAsia"/>
          <w:b/>
          <w:sz w:val="32"/>
          <w:szCs w:val="32"/>
        </w:rPr>
        <w:t>（二）政府采购支出情况</w:t>
      </w:r>
      <w:bookmarkEnd w:id="68"/>
    </w:p>
    <w:p w14:paraId="4AB799A2" w14:textId="77777777" w:rsidR="00127C4A" w:rsidRDefault="00F87DBA">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22年，四川省人民政府科学城办事处政府采购支出总额536万元，其中：政府采购货物支出0万元、政府采购工程支出0万元、政府采购服务支出536万元。主要用于委托服务费、公务用车维护费、网络信息租赁。授予中小企业合同金额272.62万元，占政府采购支出总额的50.86</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r>
        <w:rPr>
          <w:rFonts w:ascii="仿宋_GB2312" w:eastAsia="仿宋_GB2312"/>
          <w:sz w:val="32"/>
          <w:szCs w:val="32"/>
        </w:rPr>
        <w:t>%</w:t>
      </w:r>
      <w:r>
        <w:rPr>
          <w:rFonts w:ascii="仿宋_GB2312" w:eastAsia="仿宋_GB2312" w:hint="eastAsia"/>
          <w:sz w:val="32"/>
          <w:szCs w:val="32"/>
        </w:rPr>
        <w:t>。</w:t>
      </w:r>
    </w:p>
    <w:p w14:paraId="008DA6EF" w14:textId="77777777" w:rsidR="00127C4A" w:rsidRDefault="00F87DBA" w:rsidP="00127C4A">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14:paraId="5549D273" w14:textId="77777777" w:rsidR="00127C4A" w:rsidRDefault="00F87DBA" w:rsidP="00127C4A">
      <w:pPr>
        <w:autoSpaceDE w:val="0"/>
        <w:autoSpaceDN w:val="0"/>
        <w:adjustRightInd w:val="0"/>
        <w:spacing w:line="600" w:lineRule="exact"/>
        <w:ind w:firstLineChars="200" w:firstLine="643"/>
        <w:jc w:val="left"/>
        <w:outlineLvl w:val="2"/>
        <w:rPr>
          <w:rFonts w:ascii="仿宋" w:eastAsia="仿宋" w:hAnsi="仿宋"/>
          <w:b/>
          <w:sz w:val="32"/>
          <w:szCs w:val="32"/>
        </w:rPr>
      </w:pPr>
      <w:bookmarkStart w:id="69" w:name="_Toc15377224"/>
      <w:r>
        <w:rPr>
          <w:rFonts w:ascii="仿宋" w:eastAsia="仿宋" w:hAnsi="仿宋" w:hint="eastAsia"/>
          <w:b/>
          <w:sz w:val="32"/>
          <w:szCs w:val="32"/>
        </w:rPr>
        <w:t>（三）国有资产占有使用情况</w:t>
      </w:r>
      <w:bookmarkEnd w:id="69"/>
    </w:p>
    <w:p w14:paraId="0C1B6564" w14:textId="77777777" w:rsidR="00127C4A" w:rsidRDefault="00F87DBA">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日，四川省人民政府科学城办事处共有车辆44辆。</w:t>
      </w:r>
    </w:p>
    <w:p w14:paraId="120D6394" w14:textId="77777777" w:rsidR="00127C4A" w:rsidRDefault="00F87DBA">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Ansi="仿宋" w:cs="仿宋" w:hint="eastAsia"/>
          <w:color w:val="000000"/>
          <w:sz w:val="32"/>
          <w:szCs w:val="32"/>
        </w:rPr>
        <w:t>公务车辆信息已向财政部报送，故不再重复报送。</w:t>
      </w:r>
    </w:p>
    <w:p w14:paraId="26B1EBB9" w14:textId="77777777" w:rsidR="00127C4A" w:rsidRDefault="00F87DBA" w:rsidP="00127C4A">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表，按部门决算报表填报数据罗列车辆情况。）</w:t>
      </w:r>
    </w:p>
    <w:p w14:paraId="12ACF293" w14:textId="77777777" w:rsidR="00127C4A" w:rsidRDefault="00F87DBA" w:rsidP="00127C4A">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0FE2A721" w14:textId="77777777" w:rsidR="00127C4A" w:rsidRDefault="00F87DB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根据预算绩效管理要求，本部门在2022年度预算编制阶段，，对3个项目编制了绩效目标，预算执行过程中，选取3个项目开展绩效监控。</w:t>
      </w:r>
    </w:p>
    <w:p w14:paraId="05325989" w14:textId="77777777" w:rsidR="00127C4A" w:rsidRDefault="00F87DBA">
      <w:pPr>
        <w:widowControl/>
        <w:ind w:firstLineChars="200" w:firstLine="640"/>
        <w:jc w:val="left"/>
        <w:rPr>
          <w:rFonts w:ascii="仿宋_GB2312" w:eastAsia="仿宋_GB2312"/>
          <w:b/>
          <w:sz w:val="32"/>
          <w:szCs w:val="32"/>
        </w:rPr>
      </w:pPr>
      <w:r>
        <w:rPr>
          <w:rFonts w:ascii="仿宋_GB2312" w:eastAsia="仿宋_GB2312" w:hAnsi="仿宋_GB2312" w:cs="仿宋_GB2312" w:hint="eastAsia"/>
          <w:sz w:val="32"/>
          <w:szCs w:val="32"/>
        </w:rPr>
        <w:t>组织对2022年度一般公共预算、政府性基金预算、国有资本经营预算、社会保险基金预算以及资本资产、债券资金等全面开展绩效自评，形成四川省人民政府科学城办事处部门整体（含部门预算项目）绩效自评报告，其中，四川省人民政府科学城办</w:t>
      </w:r>
      <w:r>
        <w:rPr>
          <w:rFonts w:ascii="仿宋_GB2312" w:eastAsia="仿宋_GB2312" w:hAnsi="仿宋_GB2312" w:cs="仿宋_GB2312" w:hint="eastAsia"/>
          <w:sz w:val="32"/>
          <w:szCs w:val="32"/>
        </w:rPr>
        <w:lastRenderedPageBreak/>
        <w:t>事处部门整体（含部门预算项目）绩效自评得分为98.10分，绩效自评综述：我单位</w:t>
      </w:r>
      <w:r>
        <w:rPr>
          <w:rFonts w:ascii="仿宋_GB2312" w:eastAsia="仿宋_GB2312" w:hAnsi="仿宋_GB2312" w:cs="仿宋_GB2312" w:hint="eastAsia"/>
          <w:sz w:val="32"/>
          <w:szCs w:val="32"/>
          <w:lang w:val="zh-CN"/>
        </w:rPr>
        <w:t>严格按照《</w:t>
      </w:r>
      <w:r>
        <w:rPr>
          <w:rFonts w:ascii="仿宋_GB2312" w:eastAsia="仿宋_GB2312" w:hAnsi="仿宋_GB2312" w:cs="仿宋_GB2312" w:hint="eastAsia"/>
          <w:sz w:val="32"/>
          <w:szCs w:val="32"/>
        </w:rPr>
        <w:t>2023年省级部门整体绩效自评报告范本</w:t>
      </w:r>
      <w:r>
        <w:rPr>
          <w:rFonts w:ascii="仿宋_GB2312" w:eastAsia="仿宋_GB2312" w:hAnsi="仿宋_GB2312" w:cs="仿宋_GB2312" w:hint="eastAsia"/>
          <w:sz w:val="32"/>
          <w:szCs w:val="32"/>
          <w:lang w:val="zh-CN"/>
        </w:rPr>
        <w:t>》和《</w:t>
      </w:r>
      <w:r>
        <w:rPr>
          <w:rFonts w:ascii="仿宋_GB2312" w:eastAsia="仿宋_GB2312" w:hAnsi="仿宋_GB2312" w:cs="仿宋_GB2312" w:hint="eastAsia"/>
          <w:sz w:val="32"/>
          <w:szCs w:val="32"/>
        </w:rPr>
        <w:t>2023年省级部门整体绩效评价指标体系</w:t>
      </w:r>
      <w:r>
        <w:rPr>
          <w:rFonts w:ascii="仿宋_GB2312" w:eastAsia="仿宋_GB2312" w:hAnsi="仿宋_GB2312" w:cs="仿宋_GB2312" w:hint="eastAsia"/>
          <w:sz w:val="32"/>
          <w:szCs w:val="32"/>
          <w:lang w:val="zh-CN"/>
        </w:rPr>
        <w:t>》开展自评工作，</w:t>
      </w:r>
      <w:r>
        <w:rPr>
          <w:rFonts w:ascii="仿宋_GB2312" w:eastAsia="仿宋_GB2312" w:hAnsi="仿宋_GB2312" w:cs="仿宋_GB2312" w:hint="eastAsia"/>
          <w:sz w:val="32"/>
          <w:szCs w:val="32"/>
        </w:rPr>
        <w:t>项目目标明确，资金到位及时，项目的组织管理有效，项目绩效目标基本实现；绩效自评报告详见附件。</w:t>
      </w:r>
    </w:p>
    <w:p w14:paraId="77A18740" w14:textId="77777777" w:rsidR="00127C4A" w:rsidRDefault="00F87DBA">
      <w:pPr>
        <w:numPr>
          <w:ilvl w:val="0"/>
          <w:numId w:val="6"/>
        </w:numPr>
        <w:spacing w:line="600" w:lineRule="exact"/>
        <w:ind w:firstLineChars="150" w:firstLine="660"/>
        <w:jc w:val="center"/>
        <w:outlineLvl w:val="0"/>
        <w:rPr>
          <w:rStyle w:val="10"/>
          <w:rFonts w:ascii="黑体" w:eastAsia="黑体" w:hAnsi="黑体"/>
          <w:b w:val="0"/>
        </w:rPr>
      </w:pPr>
      <w:bookmarkStart w:id="70" w:name="_Toc15377225"/>
      <w:bookmarkStart w:id="71" w:name="_Toc15396613"/>
      <w:bookmarkStart w:id="72" w:name="_Toc20501"/>
      <w:r>
        <w:rPr>
          <w:rFonts w:ascii="黑体" w:eastAsia="黑体" w:hAnsi="黑体" w:hint="eastAsia"/>
          <w:sz w:val="44"/>
          <w:szCs w:val="44"/>
        </w:rPr>
        <w:t>名</w:t>
      </w:r>
      <w:r>
        <w:rPr>
          <w:rStyle w:val="10"/>
          <w:rFonts w:ascii="黑体" w:eastAsia="黑体" w:hAnsi="黑体" w:hint="eastAsia"/>
          <w:b w:val="0"/>
        </w:rPr>
        <w:t>词解释</w:t>
      </w:r>
      <w:bookmarkEnd w:id="70"/>
      <w:bookmarkEnd w:id="71"/>
      <w:bookmarkEnd w:id="72"/>
    </w:p>
    <w:p w14:paraId="0ACEA215" w14:textId="77777777" w:rsidR="00127C4A" w:rsidRDefault="00127C4A">
      <w:pPr>
        <w:spacing w:line="600" w:lineRule="exact"/>
        <w:jc w:val="left"/>
        <w:rPr>
          <w:rFonts w:ascii="宋体"/>
          <w:b/>
          <w:sz w:val="44"/>
          <w:szCs w:val="44"/>
        </w:rPr>
      </w:pPr>
    </w:p>
    <w:p w14:paraId="342CAE9C" w14:textId="77777777" w:rsidR="00127C4A" w:rsidRDefault="00F87DB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31336C3E" w14:textId="77777777" w:rsidR="00127C4A" w:rsidRDefault="00F87DBA">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一般公共服务（类）…（款）…（项）：指……。</w:t>
      </w:r>
    </w:p>
    <w:p w14:paraId="1CCC4AA3" w14:textId="77777777" w:rsidR="00127C4A" w:rsidRDefault="00F87DBA">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卫生健康（类）…（款）…（项）：指……。</w:t>
      </w:r>
    </w:p>
    <w:p w14:paraId="645806F6" w14:textId="77777777" w:rsidR="00127C4A" w:rsidRDefault="00F87DBA">
      <w:pPr>
        <w:spacing w:line="600" w:lineRule="exact"/>
        <w:ind w:firstLine="640"/>
        <w:rPr>
          <w:rFonts w:ascii="仿宋" w:eastAsia="仿宋" w:hAnsi="仿宋"/>
          <w:b/>
          <w:sz w:val="32"/>
          <w:szCs w:val="32"/>
        </w:rPr>
      </w:pPr>
      <w:r>
        <w:rPr>
          <w:rFonts w:ascii="仿宋" w:eastAsia="仿宋" w:hAnsi="仿宋" w:hint="eastAsia"/>
          <w:b/>
          <w:sz w:val="32"/>
          <w:szCs w:val="32"/>
        </w:rPr>
        <w:t>（解释本部门决算报表中涉及的全部功能分类科目至项级，不涉及的科目请自行删除。请参照《</w:t>
      </w:r>
      <w:r>
        <w:rPr>
          <w:rFonts w:ascii="仿宋" w:eastAsia="仿宋" w:hAnsi="仿宋"/>
          <w:b/>
          <w:sz w:val="32"/>
          <w:szCs w:val="32"/>
        </w:rPr>
        <w:t>20</w:t>
      </w:r>
      <w:r>
        <w:rPr>
          <w:rFonts w:ascii="仿宋" w:eastAsia="仿宋" w:hAnsi="仿宋" w:hint="eastAsia"/>
          <w:b/>
          <w:sz w:val="32"/>
          <w:szCs w:val="32"/>
        </w:rPr>
        <w:t>22年政府收支分类科目》增减内容。）</w:t>
      </w:r>
    </w:p>
    <w:p w14:paraId="200FEA9A" w14:textId="77777777" w:rsidR="00127C4A" w:rsidRDefault="00F87DBA">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14:paraId="1DA7EA9E" w14:textId="77777777" w:rsidR="00127C4A" w:rsidRDefault="00F87DBA">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14:paraId="4DE06C9D" w14:textId="77777777" w:rsidR="00127C4A" w:rsidRDefault="00F87DB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w:t>
      </w:r>
      <w:r>
        <w:rPr>
          <w:rFonts w:ascii="仿宋_GB2312" w:eastAsia="仿宋_GB2312" w:hint="eastAsia"/>
          <w:color w:val="auto"/>
          <w:sz w:val="32"/>
          <w:szCs w:val="32"/>
        </w:rPr>
        <w:lastRenderedPageBreak/>
        <w:t>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14:paraId="35B3AC3C" w14:textId="77777777" w:rsidR="00127C4A" w:rsidRDefault="00127C4A">
      <w:pPr>
        <w:pStyle w:val="Default"/>
        <w:spacing w:line="560" w:lineRule="exact"/>
        <w:ind w:firstLineChars="200" w:firstLine="640"/>
        <w:rPr>
          <w:rFonts w:ascii="仿宋_GB2312" w:eastAsia="仿宋_GB2312" w:cs="黑体"/>
          <w:color w:val="auto"/>
          <w:sz w:val="32"/>
          <w:szCs w:val="32"/>
        </w:rPr>
      </w:pPr>
    </w:p>
    <w:p w14:paraId="48E35489" w14:textId="77777777" w:rsidR="00127C4A" w:rsidRDefault="00F87DBA" w:rsidP="00127C4A">
      <w:pPr>
        <w:ind w:firstLineChars="200" w:firstLine="643"/>
        <w:rPr>
          <w:rFonts w:ascii="仿宋" w:eastAsia="仿宋" w:hAnsi="仿宋"/>
          <w:b/>
          <w:sz w:val="32"/>
          <w:szCs w:val="32"/>
        </w:rPr>
      </w:pPr>
      <w:r>
        <w:rPr>
          <w:rFonts w:ascii="仿宋" w:eastAsia="仿宋" w:hAnsi="仿宋" w:hint="eastAsia"/>
          <w:b/>
          <w:sz w:val="32"/>
          <w:szCs w:val="32"/>
        </w:rPr>
        <w:t>（名词解释部分请根据各部门实际列支情况罗列，并根据本部门职责职能增减名词解释内容。）</w:t>
      </w:r>
    </w:p>
    <w:p w14:paraId="542EE455" w14:textId="77777777" w:rsidR="00127C4A" w:rsidRDefault="00F87DBA">
      <w:pPr>
        <w:spacing w:line="600" w:lineRule="exact"/>
        <w:jc w:val="center"/>
        <w:outlineLvl w:val="0"/>
        <w:rPr>
          <w:rStyle w:val="10"/>
          <w:rFonts w:ascii="黑体" w:eastAsia="黑体" w:hAnsi="黑体"/>
          <w:b w:val="0"/>
        </w:rPr>
      </w:pPr>
      <w:bookmarkStart w:id="73" w:name="_Toc15377226"/>
      <w:r>
        <w:rPr>
          <w:rFonts w:ascii="宋体"/>
          <w:b/>
          <w:sz w:val="44"/>
          <w:szCs w:val="44"/>
        </w:rPr>
        <w:br w:type="page"/>
      </w:r>
      <w:bookmarkStart w:id="74" w:name="_Toc15396614"/>
      <w:bookmarkStart w:id="75" w:name="_Toc15738"/>
      <w:r>
        <w:rPr>
          <w:rFonts w:ascii="黑体" w:eastAsia="黑体" w:hAnsi="黑体" w:hint="eastAsia"/>
          <w:sz w:val="44"/>
          <w:szCs w:val="44"/>
        </w:rPr>
        <w:lastRenderedPageBreak/>
        <w:t>第</w:t>
      </w:r>
      <w:r>
        <w:rPr>
          <w:rStyle w:val="10"/>
          <w:rFonts w:ascii="黑体" w:eastAsia="黑体" w:hAnsi="黑体" w:hint="eastAsia"/>
          <w:b w:val="0"/>
        </w:rPr>
        <w:t>四部分 附件</w:t>
      </w:r>
      <w:bookmarkEnd w:id="74"/>
      <w:bookmarkEnd w:id="75"/>
    </w:p>
    <w:p w14:paraId="25FA858B" w14:textId="77777777" w:rsidR="00127C4A" w:rsidRDefault="00F87DBA">
      <w:pPr>
        <w:spacing w:line="572" w:lineRule="exact"/>
        <w:jc w:val="left"/>
        <w:outlineLvl w:val="0"/>
        <w:rPr>
          <w:rFonts w:ascii="方正小标宋简体" w:eastAsia="方正小标宋简体" w:hAnsi="方正小标宋简体" w:cs="方正小标宋简体"/>
          <w:sz w:val="44"/>
          <w:szCs w:val="44"/>
        </w:rPr>
      </w:pPr>
      <w:bookmarkStart w:id="76" w:name="_Toc27692"/>
      <w:r>
        <w:rPr>
          <w:rFonts w:ascii="黑体" w:eastAsia="黑体" w:hAnsi="黑体" w:cs="黑体" w:hint="eastAsia"/>
          <w:sz w:val="32"/>
          <w:szCs w:val="32"/>
        </w:rPr>
        <w:t>附件</w:t>
      </w:r>
      <w:bookmarkEnd w:id="76"/>
    </w:p>
    <w:p w14:paraId="16E1F838" w14:textId="77777777" w:rsidR="00127C4A" w:rsidRDefault="00F87DBA">
      <w:pPr>
        <w:widowControl/>
        <w:spacing w:line="560" w:lineRule="exact"/>
        <w:contextualSpacing/>
        <w:jc w:val="center"/>
        <w:rPr>
          <w:rFonts w:ascii="方正小标宋简体" w:eastAsia="方正小标宋简体" w:hAnsi="方正小标宋简体" w:cs="方正小标宋简体"/>
          <w:bCs/>
          <w:snapToGrid w:val="0"/>
          <w:sz w:val="44"/>
          <w:szCs w:val="44"/>
          <w:shd w:val="clear" w:color="auto" w:fill="FFFFFF"/>
        </w:rPr>
      </w:pPr>
      <w:r>
        <w:rPr>
          <w:rFonts w:ascii="方正小标宋简体" w:eastAsia="方正小标宋简体" w:hAnsi="方正小标宋简体" w:cs="方正小标宋简体" w:hint="eastAsia"/>
          <w:bCs/>
          <w:snapToGrid w:val="0"/>
          <w:sz w:val="44"/>
          <w:szCs w:val="44"/>
          <w:shd w:val="clear" w:color="auto" w:fill="FFFFFF"/>
        </w:rPr>
        <w:t>四川省人民政府科学城办事处</w:t>
      </w:r>
    </w:p>
    <w:p w14:paraId="75FC4432" w14:textId="77777777" w:rsidR="00127C4A" w:rsidRDefault="00F87DBA">
      <w:pPr>
        <w:widowControl/>
        <w:spacing w:line="560" w:lineRule="exact"/>
        <w:contextualSpacing/>
        <w:jc w:val="center"/>
        <w:rPr>
          <w:rFonts w:ascii="方正小标宋简体" w:eastAsia="方正小标宋简体" w:hAnsi="方正小标宋简体" w:cs="方正小标宋简体"/>
          <w:bCs/>
          <w:snapToGrid w:val="0"/>
          <w:sz w:val="44"/>
          <w:szCs w:val="44"/>
          <w:shd w:val="clear" w:color="auto" w:fill="FFFFFF"/>
        </w:rPr>
      </w:pPr>
      <w:r>
        <w:rPr>
          <w:rFonts w:ascii="方正小标宋简体" w:eastAsia="方正小标宋简体" w:hAnsi="方正小标宋简体" w:cs="方正小标宋简体" w:hint="eastAsia"/>
          <w:bCs/>
          <w:snapToGrid w:val="0"/>
          <w:sz w:val="44"/>
          <w:szCs w:val="44"/>
          <w:shd w:val="clear" w:color="auto" w:fill="FFFFFF"/>
        </w:rPr>
        <w:t>2023年省级部门整体绩效自评报告</w:t>
      </w:r>
    </w:p>
    <w:p w14:paraId="69D139C8" w14:textId="77777777" w:rsidR="00127C4A" w:rsidRDefault="00127C4A">
      <w:pPr>
        <w:widowControl/>
        <w:adjustRightInd w:val="0"/>
        <w:snapToGrid w:val="0"/>
        <w:spacing w:line="560" w:lineRule="exact"/>
        <w:ind w:firstLineChars="200" w:firstLine="880"/>
        <w:contextualSpacing/>
        <w:jc w:val="left"/>
        <w:rPr>
          <w:rFonts w:ascii="方正小标宋简体" w:eastAsia="方正小标宋简体" w:hAnsi="方正小标宋简体" w:cs="方正小标宋简体"/>
          <w:bCs/>
          <w:snapToGrid w:val="0"/>
          <w:color w:val="000000"/>
          <w:kern w:val="0"/>
          <w:sz w:val="44"/>
          <w:szCs w:val="44"/>
          <w:shd w:val="clear" w:color="auto" w:fill="FFFFFF"/>
        </w:rPr>
      </w:pPr>
    </w:p>
    <w:p w14:paraId="1AA2A52B" w14:textId="77777777" w:rsidR="00127C4A" w:rsidRDefault="00F87DBA" w:rsidP="00127C4A">
      <w:pPr>
        <w:widowControl/>
        <w:numPr>
          <w:ilvl w:val="0"/>
          <w:numId w:val="7"/>
        </w:numPr>
        <w:adjustRightInd w:val="0"/>
        <w:snapToGrid w:val="0"/>
        <w:spacing w:line="560" w:lineRule="exact"/>
        <w:ind w:firstLineChars="193" w:firstLine="618"/>
        <w:contextualSpacing/>
        <w:jc w:val="left"/>
        <w:rPr>
          <w:rFonts w:ascii="黑体" w:eastAsia="黑体" w:hAnsi="宋体" w:cs="宋体"/>
          <w:snapToGrid w:val="0"/>
          <w:color w:val="000000"/>
          <w:kern w:val="0"/>
          <w:sz w:val="32"/>
          <w:szCs w:val="32"/>
          <w:shd w:val="clear" w:color="auto" w:fill="FFFFFF"/>
          <w:lang w:val="zh-CN"/>
        </w:rPr>
      </w:pPr>
      <w:r>
        <w:rPr>
          <w:rFonts w:ascii="黑体" w:eastAsia="黑体" w:hAnsi="宋体" w:cs="宋体" w:hint="eastAsia"/>
          <w:snapToGrid w:val="0"/>
          <w:color w:val="000000"/>
          <w:kern w:val="0"/>
          <w:sz w:val="32"/>
          <w:szCs w:val="32"/>
          <w:shd w:val="clear" w:color="auto" w:fill="FFFFFF"/>
          <w:lang w:val="zh-CN"/>
        </w:rPr>
        <w:t>部门（单位）基本情况</w:t>
      </w:r>
    </w:p>
    <w:p w14:paraId="6CA73198" w14:textId="77777777" w:rsidR="00127C4A" w:rsidRDefault="00127C4A">
      <w:pPr>
        <w:widowControl/>
        <w:adjustRightInd w:val="0"/>
        <w:snapToGrid w:val="0"/>
        <w:spacing w:line="560" w:lineRule="exact"/>
        <w:ind w:firstLineChars="200" w:firstLine="640"/>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1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sz w:val="32"/>
          <w:szCs w:val="32"/>
        </w:rPr>
        <w:t>㈠</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机构组成</w:t>
      </w:r>
    </w:p>
    <w:p w14:paraId="65267F4A"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根据《四川省人民政府办公厅关于四川省人民政府科学城办事处机构设置和职能配置的通知》（川办函〔2006〕61号）及《四川省人民政府办公厅关于四川省人民政府科学城办事处主要职责和机构设置的通知》（川办函〔2015〕42号）精神，四川省人民政府科学城办事处为省政府的派出机构，与中国工程物理研究院（以下简称中物院）公共事务管理部一个机构两块牌子。</w:t>
      </w:r>
    </w:p>
    <w:p w14:paraId="10EE2974"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 w:cs="宋体"/>
          <w:snapToGrid w:val="0"/>
          <w:kern w:val="0"/>
          <w:szCs w:val="32"/>
          <w:shd w:val="clear" w:color="auto" w:fill="FFFFFF"/>
        </w:rPr>
      </w:pPr>
      <w:r>
        <w:rPr>
          <w:rFonts w:ascii="仿宋_GB2312" w:eastAsia="仿宋_GB2312" w:hAnsi="仿宋_GB2312" w:cs="仿宋_GB2312" w:hint="eastAsia"/>
          <w:snapToGrid w:val="0"/>
          <w:kern w:val="0"/>
          <w:sz w:val="32"/>
          <w:szCs w:val="32"/>
          <w:shd w:val="clear" w:color="auto" w:fill="FFFFFF"/>
        </w:rPr>
        <w:t>根据《关于调整优化四川省人民政府科学城办事处党政机构的批复》（川编办发〔2022〕116号），调整后截止2022年末，省人民政府科学城办事处共设置党委议事协调机构4个、党委机构6个、职能机构22个、挂牌机构9个。</w:t>
      </w:r>
    </w:p>
    <w:p w14:paraId="1BB90C60" w14:textId="77777777" w:rsidR="00127C4A" w:rsidRDefault="00127C4A" w:rsidP="00127C4A">
      <w:pPr>
        <w:widowControl/>
        <w:adjustRightInd w:val="0"/>
        <w:snapToGrid w:val="0"/>
        <w:spacing w:line="560" w:lineRule="exact"/>
        <w:ind w:firstLineChars="193" w:firstLine="618"/>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2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㈡</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机构职能和人员概况</w:t>
      </w:r>
    </w:p>
    <w:p w14:paraId="251C926C"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主要职能是：贯彻执行国家的法律、法规和方针政策；省政府授权其负责中物院在川征地范围内的行政管理和行政执法工作；承办省政府交办的其他事项。</w:t>
      </w:r>
    </w:p>
    <w:p w14:paraId="542A0104"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lastRenderedPageBreak/>
        <w:t>人员概况是：根据省政府办公厅《关于四川省人民政府科学城办事处主要职责和机构设置的通知》（川办函〔2015〕42号）下达的编制数380人，年末实有人数380人，当年未发生变动。</w:t>
      </w:r>
    </w:p>
    <w:p w14:paraId="6A75D0BD" w14:textId="77777777" w:rsidR="00127C4A" w:rsidRDefault="00127C4A" w:rsidP="00127C4A">
      <w:pPr>
        <w:widowControl/>
        <w:adjustRightInd w:val="0"/>
        <w:snapToGrid w:val="0"/>
        <w:spacing w:line="560" w:lineRule="exact"/>
        <w:ind w:firstLineChars="193" w:firstLine="618"/>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3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㈢</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年度主要工作任务</w:t>
      </w:r>
    </w:p>
    <w:p w14:paraId="44D5DE24"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color w:val="000000"/>
          <w:kern w:val="0"/>
          <w:sz w:val="32"/>
          <w:szCs w:val="32"/>
          <w:shd w:val="clear" w:color="auto" w:fill="FFFFFF"/>
          <w:lang w:val="zh-CN"/>
        </w:rPr>
      </w:pPr>
      <w:r>
        <w:rPr>
          <w:rFonts w:ascii="仿宋_GB2312" w:eastAsia="仿宋_GB2312" w:hAnsi="仿宋_GB2312" w:cs="仿宋_GB2312" w:hint="eastAsia"/>
          <w:snapToGrid w:val="0"/>
          <w:color w:val="000000"/>
          <w:kern w:val="0"/>
          <w:sz w:val="32"/>
          <w:szCs w:val="32"/>
          <w:shd w:val="clear" w:color="auto" w:fill="FFFFFF"/>
        </w:rPr>
        <w:t>2022年省人民政府科学城办事处</w:t>
      </w:r>
      <w:r>
        <w:rPr>
          <w:rFonts w:ascii="仿宋_GB2312" w:eastAsia="仿宋_GB2312" w:hAnsi="仿宋_GB2312" w:cs="仿宋_GB2312" w:hint="eastAsia"/>
          <w:snapToGrid w:val="0"/>
          <w:color w:val="000000"/>
          <w:kern w:val="0"/>
          <w:sz w:val="32"/>
          <w:szCs w:val="32"/>
          <w:shd w:val="clear" w:color="auto" w:fill="FFFFFF"/>
          <w:lang w:val="zh-CN"/>
        </w:rPr>
        <w:t>坚持以习近平新时代中国特色社会主义思想为指导，全面学习贯彻党的十九大和十九届历次全会精神，深入贯彻落</w:t>
      </w:r>
      <w:proofErr w:type="gramStart"/>
      <w:r>
        <w:rPr>
          <w:rFonts w:ascii="仿宋_GB2312" w:eastAsia="仿宋_GB2312" w:hAnsi="仿宋_GB2312" w:cs="仿宋_GB2312" w:hint="eastAsia"/>
          <w:snapToGrid w:val="0"/>
          <w:color w:val="000000"/>
          <w:kern w:val="0"/>
          <w:sz w:val="32"/>
          <w:szCs w:val="32"/>
          <w:shd w:val="clear" w:color="auto" w:fill="FFFFFF"/>
          <w:lang w:val="zh-CN"/>
        </w:rPr>
        <w:t>实习近</w:t>
      </w:r>
      <w:proofErr w:type="gramEnd"/>
      <w:r>
        <w:rPr>
          <w:rFonts w:ascii="仿宋_GB2312" w:eastAsia="仿宋_GB2312" w:hAnsi="仿宋_GB2312" w:cs="仿宋_GB2312" w:hint="eastAsia"/>
          <w:snapToGrid w:val="0"/>
          <w:color w:val="000000"/>
          <w:kern w:val="0"/>
          <w:sz w:val="32"/>
          <w:szCs w:val="32"/>
          <w:shd w:val="clear" w:color="auto" w:fill="FFFFFF"/>
          <w:lang w:val="zh-CN"/>
        </w:rPr>
        <w:t>平总书记对</w:t>
      </w:r>
      <w:proofErr w:type="gramStart"/>
      <w:r>
        <w:rPr>
          <w:rFonts w:ascii="仿宋_GB2312" w:eastAsia="仿宋_GB2312" w:hAnsi="仿宋_GB2312" w:cs="仿宋_GB2312" w:hint="eastAsia"/>
          <w:snapToGrid w:val="0"/>
          <w:color w:val="000000"/>
          <w:kern w:val="0"/>
          <w:sz w:val="32"/>
          <w:szCs w:val="32"/>
          <w:shd w:val="clear" w:color="auto" w:fill="FFFFFF"/>
          <w:lang w:val="zh-CN"/>
        </w:rPr>
        <w:t>院重要</w:t>
      </w:r>
      <w:proofErr w:type="gramEnd"/>
      <w:r>
        <w:rPr>
          <w:rFonts w:ascii="仿宋_GB2312" w:eastAsia="仿宋_GB2312" w:hAnsi="仿宋_GB2312" w:cs="仿宋_GB2312" w:hint="eastAsia"/>
          <w:snapToGrid w:val="0"/>
          <w:color w:val="000000"/>
          <w:kern w:val="0"/>
          <w:sz w:val="32"/>
          <w:szCs w:val="32"/>
          <w:shd w:val="clear" w:color="auto" w:fill="FFFFFF"/>
          <w:lang w:val="zh-CN"/>
        </w:rPr>
        <w:t>指示，认真落实院党委九届三次全会精神和院工作报告部署要求，牢记“两个确立”，增强“四个意识”、坚定“四个自信”、做到“两个维护”，紧紧围绕“服务国防科研生产、保障职工民生福祉”，沿着科办（公管部）第八次党代会明确的“十四五”发展方向与路径，以改革创新为动力，以能力建设为抓手，以满足</w:t>
      </w:r>
      <w:proofErr w:type="gramStart"/>
      <w:r>
        <w:rPr>
          <w:rFonts w:ascii="仿宋_GB2312" w:eastAsia="仿宋_GB2312" w:hAnsi="仿宋_GB2312" w:cs="仿宋_GB2312" w:hint="eastAsia"/>
          <w:snapToGrid w:val="0"/>
          <w:color w:val="000000"/>
          <w:kern w:val="0"/>
          <w:sz w:val="32"/>
          <w:szCs w:val="32"/>
          <w:shd w:val="clear" w:color="auto" w:fill="FFFFFF"/>
          <w:lang w:val="zh-CN"/>
        </w:rPr>
        <w:t>院事业</w:t>
      </w:r>
      <w:proofErr w:type="gramEnd"/>
      <w:r>
        <w:rPr>
          <w:rFonts w:ascii="仿宋_GB2312" w:eastAsia="仿宋_GB2312" w:hAnsi="仿宋_GB2312" w:cs="仿宋_GB2312" w:hint="eastAsia"/>
          <w:snapToGrid w:val="0"/>
          <w:color w:val="000000"/>
          <w:kern w:val="0"/>
          <w:sz w:val="32"/>
          <w:szCs w:val="32"/>
          <w:shd w:val="clear" w:color="auto" w:fill="FFFFFF"/>
          <w:lang w:val="zh-CN"/>
        </w:rPr>
        <w:t>发展和职工居民对高质量公共服务需求为目标，统筹推进改革发展、科研保障、民生保障、城市建管、政务服务、行政执法、疫情防控、扶贫帮扶各方面工作，扎实推进“幸福平安美丽”科学城建设，以优异成绩迎接党的二十大和四川省第十二次党代会胜利召开。重点做了以下七个方面工作：</w:t>
      </w:r>
    </w:p>
    <w:p w14:paraId="5BB7F21A"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color w:val="000000"/>
          <w:kern w:val="0"/>
          <w:sz w:val="32"/>
          <w:szCs w:val="32"/>
          <w:shd w:val="clear" w:color="auto" w:fill="FFFFFF"/>
          <w:lang w:val="zh-CN"/>
        </w:rPr>
      </w:pPr>
      <w:r>
        <w:rPr>
          <w:rFonts w:ascii="仿宋_GB2312" w:eastAsia="仿宋_GB2312" w:hAnsi="仿宋_GB2312" w:cs="仿宋_GB2312" w:hint="eastAsia"/>
          <w:snapToGrid w:val="0"/>
          <w:color w:val="000000"/>
          <w:kern w:val="0"/>
          <w:sz w:val="32"/>
          <w:szCs w:val="32"/>
          <w:shd w:val="clear" w:color="auto" w:fill="FFFFFF"/>
          <w:lang w:val="zh-CN"/>
        </w:rPr>
        <w:t>一是着力深化改革创新，推动构建精简高效的管理体制机制；二是着力保障科研生产，筑牢</w:t>
      </w:r>
      <w:proofErr w:type="gramStart"/>
      <w:r>
        <w:rPr>
          <w:rFonts w:ascii="仿宋_GB2312" w:eastAsia="仿宋_GB2312" w:hAnsi="仿宋_GB2312" w:cs="仿宋_GB2312" w:hint="eastAsia"/>
          <w:snapToGrid w:val="0"/>
          <w:color w:val="000000"/>
          <w:kern w:val="0"/>
          <w:sz w:val="32"/>
          <w:szCs w:val="32"/>
          <w:shd w:val="clear" w:color="auto" w:fill="FFFFFF"/>
          <w:lang w:val="zh-CN"/>
        </w:rPr>
        <w:t>院事业</w:t>
      </w:r>
      <w:proofErr w:type="gramEnd"/>
      <w:r>
        <w:rPr>
          <w:rFonts w:ascii="仿宋_GB2312" w:eastAsia="仿宋_GB2312" w:hAnsi="仿宋_GB2312" w:cs="仿宋_GB2312" w:hint="eastAsia"/>
          <w:snapToGrid w:val="0"/>
          <w:color w:val="000000"/>
          <w:kern w:val="0"/>
          <w:sz w:val="32"/>
          <w:szCs w:val="32"/>
          <w:shd w:val="clear" w:color="auto" w:fill="FFFFFF"/>
          <w:lang w:val="zh-CN"/>
        </w:rPr>
        <w:t>发展安全屏障；三是着力保障职工民生，努力提升职工居民获得感和满意度进一步提升教育医疗水平，进一步加大职工民生保障力度，进一步发展文化事业，进一步优化城市建设与管理，进一步巩固平安科学城建设</w:t>
      </w:r>
      <w:r>
        <w:rPr>
          <w:rFonts w:ascii="仿宋_GB2312" w:eastAsia="仿宋_GB2312" w:hAnsi="仿宋_GB2312" w:cs="仿宋_GB2312" w:hint="eastAsia"/>
          <w:snapToGrid w:val="0"/>
          <w:color w:val="000000"/>
          <w:kern w:val="0"/>
          <w:sz w:val="32"/>
          <w:szCs w:val="32"/>
          <w:shd w:val="clear" w:color="auto" w:fill="FFFFFF"/>
          <w:lang w:val="zh-CN"/>
        </w:rPr>
        <w:lastRenderedPageBreak/>
        <w:t>成果；四是着力强化公共资产和住宅小区管理，增强全面服务保障</w:t>
      </w:r>
      <w:proofErr w:type="gramStart"/>
      <w:r>
        <w:rPr>
          <w:rFonts w:ascii="仿宋_GB2312" w:eastAsia="仿宋_GB2312" w:hAnsi="仿宋_GB2312" w:cs="仿宋_GB2312" w:hint="eastAsia"/>
          <w:snapToGrid w:val="0"/>
          <w:color w:val="000000"/>
          <w:kern w:val="0"/>
          <w:sz w:val="32"/>
          <w:szCs w:val="32"/>
          <w:shd w:val="clear" w:color="auto" w:fill="FFFFFF"/>
          <w:lang w:val="zh-CN"/>
        </w:rPr>
        <w:t>院事业</w:t>
      </w:r>
      <w:proofErr w:type="gramEnd"/>
      <w:r>
        <w:rPr>
          <w:rFonts w:ascii="仿宋_GB2312" w:eastAsia="仿宋_GB2312" w:hAnsi="仿宋_GB2312" w:cs="仿宋_GB2312" w:hint="eastAsia"/>
          <w:snapToGrid w:val="0"/>
          <w:color w:val="000000"/>
          <w:kern w:val="0"/>
          <w:sz w:val="32"/>
          <w:szCs w:val="32"/>
          <w:shd w:val="clear" w:color="auto" w:fill="FFFFFF"/>
          <w:lang w:val="zh-CN"/>
        </w:rPr>
        <w:t>发展能力；五是着力推进乡村振兴，推动院帮扶工作上台阶开新局；六是着力加强自身建设，系统提升管理能力和服务水平；七是着力加强党的建设，持续推动“以党的建设带动各方面工作”取得新成效。</w:t>
      </w:r>
    </w:p>
    <w:p w14:paraId="3ACFC648" w14:textId="77777777" w:rsidR="00127C4A" w:rsidRDefault="00127C4A" w:rsidP="00127C4A">
      <w:pPr>
        <w:widowControl/>
        <w:adjustRightInd w:val="0"/>
        <w:snapToGrid w:val="0"/>
        <w:spacing w:line="560" w:lineRule="exact"/>
        <w:ind w:firstLineChars="193" w:firstLine="618"/>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4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㈣</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部门整体支出绩效目标</w:t>
      </w:r>
    </w:p>
    <w:p w14:paraId="4FF69524"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color w:val="000000"/>
          <w:kern w:val="0"/>
          <w:sz w:val="32"/>
          <w:szCs w:val="32"/>
          <w:shd w:val="clear" w:color="auto" w:fill="FFFFFF"/>
          <w:lang w:val="zh-CN"/>
        </w:rPr>
      </w:pPr>
      <w:r>
        <w:rPr>
          <w:rFonts w:ascii="仿宋_GB2312" w:eastAsia="仿宋_GB2312" w:hAnsi="仿宋_GB2312" w:cs="仿宋_GB2312" w:hint="eastAsia"/>
          <w:snapToGrid w:val="0"/>
          <w:color w:val="000000"/>
          <w:kern w:val="0"/>
          <w:sz w:val="32"/>
          <w:szCs w:val="32"/>
          <w:shd w:val="clear" w:color="auto" w:fill="FFFFFF"/>
          <w:lang w:val="zh-CN"/>
        </w:rPr>
        <w:t>完善政府职能，进一步提升行政效能，提高行政执法水平，推进政务服务标准化中心建设，保证平安科学城建设的稳步持续推进；促进公共服务与社会管理能力不断提升，民生、文化教育、公共卫生事业不断发展，市场经济秩序规范化建设，城市环境卫生不断优化，开展社区标准化、制度化、信息化建设，提升社区自治和服务水平，打造“一居</w:t>
      </w:r>
      <w:proofErr w:type="gramStart"/>
      <w:r>
        <w:rPr>
          <w:rFonts w:ascii="仿宋_GB2312" w:eastAsia="仿宋_GB2312" w:hAnsi="仿宋_GB2312" w:cs="仿宋_GB2312" w:hint="eastAsia"/>
          <w:snapToGrid w:val="0"/>
          <w:color w:val="000000"/>
          <w:kern w:val="0"/>
          <w:sz w:val="32"/>
          <w:szCs w:val="32"/>
          <w:shd w:val="clear" w:color="auto" w:fill="FFFFFF"/>
          <w:lang w:val="zh-CN"/>
        </w:rPr>
        <w:t>一</w:t>
      </w:r>
      <w:proofErr w:type="gramEnd"/>
      <w:r>
        <w:rPr>
          <w:rFonts w:ascii="仿宋_GB2312" w:eastAsia="仿宋_GB2312" w:hAnsi="仿宋_GB2312" w:cs="仿宋_GB2312" w:hint="eastAsia"/>
          <w:snapToGrid w:val="0"/>
          <w:color w:val="000000"/>
          <w:kern w:val="0"/>
          <w:sz w:val="32"/>
          <w:szCs w:val="32"/>
          <w:shd w:val="clear" w:color="auto" w:fill="FFFFFF"/>
          <w:lang w:val="zh-CN"/>
        </w:rPr>
        <w:t>特色”具有科学城文化特点的和谐社区。</w:t>
      </w:r>
    </w:p>
    <w:p w14:paraId="41C46FE1" w14:textId="77777777" w:rsidR="00127C4A" w:rsidRDefault="00F87DBA" w:rsidP="00127C4A">
      <w:pPr>
        <w:widowControl/>
        <w:adjustRightInd w:val="0"/>
        <w:snapToGrid w:val="0"/>
        <w:spacing w:line="560" w:lineRule="exact"/>
        <w:ind w:firstLineChars="193" w:firstLine="618"/>
        <w:contextualSpacing/>
        <w:jc w:val="left"/>
        <w:rPr>
          <w:rFonts w:ascii="黑体" w:eastAsia="黑体" w:hAnsi="宋体" w:cs="宋体"/>
          <w:snapToGrid w:val="0"/>
          <w:color w:val="000000"/>
          <w:kern w:val="0"/>
          <w:sz w:val="32"/>
          <w:szCs w:val="32"/>
          <w:shd w:val="clear" w:color="auto" w:fill="FFFFFF"/>
        </w:rPr>
      </w:pPr>
      <w:r>
        <w:rPr>
          <w:rFonts w:ascii="黑体" w:eastAsia="黑体" w:hAnsi="宋体" w:cs="宋体" w:hint="eastAsia"/>
          <w:snapToGrid w:val="0"/>
          <w:color w:val="000000"/>
          <w:kern w:val="0"/>
          <w:sz w:val="32"/>
          <w:szCs w:val="32"/>
          <w:shd w:val="clear" w:color="auto" w:fill="FFFFFF"/>
        </w:rPr>
        <w:t>二、部门资金收支情况</w:t>
      </w:r>
    </w:p>
    <w:p w14:paraId="2804D080" w14:textId="77777777" w:rsidR="00127C4A" w:rsidRDefault="00127C4A" w:rsidP="00127C4A">
      <w:pPr>
        <w:widowControl/>
        <w:adjustRightInd w:val="0"/>
        <w:snapToGrid w:val="0"/>
        <w:spacing w:line="560" w:lineRule="exact"/>
        <w:ind w:firstLineChars="193" w:firstLine="618"/>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1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㈠</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部门总体收支情况</w:t>
      </w:r>
    </w:p>
    <w:p w14:paraId="5BBF7618"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1.部门总体收入情况</w:t>
      </w:r>
    </w:p>
    <w:p w14:paraId="5B226E61"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2022年度本部门年初预算数为1436.26万元，调整</w:t>
      </w:r>
      <w:proofErr w:type="gramStart"/>
      <w:r>
        <w:rPr>
          <w:rFonts w:ascii="仿宋_GB2312" w:eastAsia="仿宋_GB2312" w:hAnsi="仿宋_GB2312" w:cs="仿宋_GB2312" w:hint="eastAsia"/>
          <w:snapToGrid w:val="0"/>
          <w:kern w:val="0"/>
          <w:sz w:val="32"/>
          <w:szCs w:val="32"/>
          <w:shd w:val="clear" w:color="auto" w:fill="FFFFFF"/>
        </w:rPr>
        <w:t>后预算</w:t>
      </w:r>
      <w:proofErr w:type="gramEnd"/>
      <w:r>
        <w:rPr>
          <w:rFonts w:ascii="仿宋_GB2312" w:eastAsia="仿宋_GB2312" w:hAnsi="仿宋_GB2312" w:cs="仿宋_GB2312" w:hint="eastAsia"/>
          <w:snapToGrid w:val="0"/>
          <w:kern w:val="0"/>
          <w:sz w:val="32"/>
          <w:szCs w:val="32"/>
          <w:shd w:val="clear" w:color="auto" w:fill="FFFFFF"/>
        </w:rPr>
        <w:t>数为1437.32万元，因此部门总体收入为1437.32万元。</w:t>
      </w:r>
    </w:p>
    <w:p w14:paraId="52F15C26"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2.部门总体支出情况</w:t>
      </w:r>
    </w:p>
    <w:p w14:paraId="106900A3" w14:textId="77777777" w:rsidR="00127C4A" w:rsidRDefault="00F87DBA">
      <w:pPr>
        <w:widowControl/>
        <w:adjustRightInd w:val="0"/>
        <w:snapToGrid w:val="0"/>
        <w:spacing w:line="560" w:lineRule="exact"/>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 xml:space="preserve">    2022年部门总体支出为1437.32万元，省拨资金主要用于补助本部门的行政运行经费。其中用于日常办公、业务活动等方面的基本支出（非定额公用经费）比率21.50%，用于保障辖区</w:t>
      </w:r>
      <w:r>
        <w:rPr>
          <w:rFonts w:ascii="仿宋_GB2312" w:eastAsia="仿宋_GB2312" w:hAnsi="仿宋_GB2312" w:cs="仿宋_GB2312" w:hint="eastAsia"/>
          <w:snapToGrid w:val="0"/>
          <w:kern w:val="0"/>
          <w:sz w:val="32"/>
          <w:szCs w:val="32"/>
          <w:shd w:val="clear" w:color="auto" w:fill="FFFFFF"/>
        </w:rPr>
        <w:lastRenderedPageBreak/>
        <w:t>行政管理、公共事务运行等项目支出比率78.50%，且上述支出的经济事项均为商品和服务类支出。在支出的功能分类中，主要用于一般公共服务支出，占比高达98%。</w:t>
      </w:r>
    </w:p>
    <w:p w14:paraId="274A3719" w14:textId="77777777" w:rsidR="00127C4A" w:rsidRDefault="00F87DBA">
      <w:pPr>
        <w:widowControl/>
        <w:adjustRightInd w:val="0"/>
        <w:snapToGrid w:val="0"/>
        <w:spacing w:line="560" w:lineRule="exact"/>
        <w:ind w:left="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3.部门总体结转结余情况</w:t>
      </w:r>
    </w:p>
    <w:p w14:paraId="6530714D" w14:textId="77777777" w:rsidR="00127C4A" w:rsidRDefault="00F87DBA">
      <w:pPr>
        <w:widowControl/>
        <w:adjustRightInd w:val="0"/>
        <w:snapToGrid w:val="0"/>
        <w:spacing w:line="560" w:lineRule="exact"/>
        <w:ind w:left="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snapToGrid w:val="0"/>
          <w:kern w:val="0"/>
          <w:sz w:val="32"/>
          <w:szCs w:val="32"/>
          <w:shd w:val="clear" w:color="auto" w:fill="FFFFFF"/>
        </w:rPr>
        <w:t>年末各项收支无结转和结余。</w:t>
      </w:r>
    </w:p>
    <w:p w14:paraId="0E779228" w14:textId="77777777" w:rsidR="00127C4A" w:rsidRDefault="00127C4A" w:rsidP="00127C4A">
      <w:pPr>
        <w:widowControl/>
        <w:adjustRightInd w:val="0"/>
        <w:snapToGrid w:val="0"/>
        <w:spacing w:line="560" w:lineRule="exact"/>
        <w:ind w:firstLineChars="193" w:firstLine="618"/>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2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㈡</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部门财政拨款收支情况</w:t>
      </w:r>
    </w:p>
    <w:p w14:paraId="1C2ED3B0"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1.部门财政拨款收入情况</w:t>
      </w:r>
    </w:p>
    <w:p w14:paraId="4B7BC188"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highlight w:val="yellow"/>
          <w:shd w:val="clear" w:color="auto" w:fill="FFFFFF"/>
        </w:rPr>
      </w:pPr>
      <w:r>
        <w:rPr>
          <w:rFonts w:ascii="仿宋_GB2312" w:eastAsia="仿宋_GB2312" w:hAnsi="仿宋_GB2312" w:cs="仿宋_GB2312" w:hint="eastAsia"/>
          <w:snapToGrid w:val="0"/>
          <w:kern w:val="0"/>
          <w:sz w:val="32"/>
          <w:szCs w:val="32"/>
          <w:shd w:val="clear" w:color="auto" w:fill="FFFFFF"/>
        </w:rPr>
        <w:t>2022年度共收到财政拨款收入1437.32万元。</w:t>
      </w:r>
    </w:p>
    <w:p w14:paraId="65BC59E4"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2.部门财政拨款支出情况</w:t>
      </w:r>
    </w:p>
    <w:p w14:paraId="05D177B8" w14:textId="77777777" w:rsidR="00127C4A" w:rsidRDefault="00F87DBA">
      <w:pPr>
        <w:widowControl/>
        <w:adjustRightInd w:val="0"/>
        <w:snapToGrid w:val="0"/>
        <w:spacing w:line="560" w:lineRule="exact"/>
        <w:ind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2022年度财政拨款支出1437.32万元，其中基本支出（非定额公用经费）309.06万元，项目支出1128.26万元。</w:t>
      </w:r>
    </w:p>
    <w:p w14:paraId="4FEA72EF" w14:textId="77777777" w:rsidR="00127C4A" w:rsidRDefault="00127C4A">
      <w:pPr>
        <w:widowControl/>
        <w:adjustRightInd w:val="0"/>
        <w:snapToGrid w:val="0"/>
        <w:spacing w:line="560" w:lineRule="exact"/>
        <w:ind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1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⑴</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基本支出（非定额公用经费）309.06万元，具体构成如下：</w:t>
      </w:r>
    </w:p>
    <w:p w14:paraId="7048114A"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A.物业管理费支出合计金额44万元，与2021年持平。主要用于2万余平米办公及业务用房的物业管理、保洁等费用。</w:t>
      </w:r>
    </w:p>
    <w:p w14:paraId="17CC3541"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B.差旅费支出合计金额113万元，较2021年增加53万元。主要用于在职人员因公出差发生的交通费和住宿费。</w:t>
      </w:r>
    </w:p>
    <w:p w14:paraId="1023AB59"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C.维修(护)费支出48万元，与2021年持平。主要用于现有的办公设施设备的维修维护费用。</w:t>
      </w:r>
    </w:p>
    <w:p w14:paraId="437139AB"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D.会议费支出7万元，与2021年持平。该项支出主要用于辖区税务、交通、民兵等会议所发生的场地租用、伙食、住宿费等费用。</w:t>
      </w:r>
    </w:p>
    <w:p w14:paraId="69BE21C5"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lastRenderedPageBreak/>
        <w:t>E.公务接待费支出0.54万元，较2021年减少1.46万元。该项支出主要用于接待各职能部门、协作企业、社会团体用餐、交通等费用。</w:t>
      </w:r>
    </w:p>
    <w:p w14:paraId="3E227BCD" w14:textId="77777777" w:rsidR="00127C4A" w:rsidRDefault="00F87DBA">
      <w:pPr>
        <w:widowControl/>
        <w:adjustRightInd w:val="0"/>
        <w:snapToGrid w:val="0"/>
        <w:spacing w:line="560" w:lineRule="exact"/>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 xml:space="preserve">    F.公务用车运行维护费支出96.52万元，较2021年减少0.42万元。该支出主要用于21个职能局（委、办）部门公务用车的机要文件传递、参加省市会议、</w:t>
      </w:r>
      <w:proofErr w:type="gramStart"/>
      <w:r>
        <w:rPr>
          <w:rFonts w:ascii="仿宋_GB2312" w:eastAsia="仿宋_GB2312" w:hAnsi="仿宋_GB2312" w:cs="仿宋_GB2312" w:hint="eastAsia"/>
          <w:snapToGrid w:val="0"/>
          <w:kern w:val="0"/>
          <w:sz w:val="32"/>
          <w:szCs w:val="32"/>
          <w:shd w:val="clear" w:color="auto" w:fill="FFFFFF"/>
        </w:rPr>
        <w:t>对接扶贫</w:t>
      </w:r>
      <w:proofErr w:type="gramEnd"/>
      <w:r>
        <w:rPr>
          <w:rFonts w:ascii="仿宋_GB2312" w:eastAsia="仿宋_GB2312" w:hAnsi="仿宋_GB2312" w:cs="仿宋_GB2312" w:hint="eastAsia"/>
          <w:snapToGrid w:val="0"/>
          <w:kern w:val="0"/>
          <w:sz w:val="32"/>
          <w:szCs w:val="32"/>
          <w:shd w:val="clear" w:color="auto" w:fill="FFFFFF"/>
        </w:rPr>
        <w:t>工作、武装押运等工作所需燃料费、维修费、保险费、过路过桥费等支出，以及车辆租赁等相关费用。</w:t>
      </w:r>
    </w:p>
    <w:p w14:paraId="4BF43D44"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2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⑵</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项目支出1128.26万元,具体构成如下：</w:t>
      </w:r>
    </w:p>
    <w:p w14:paraId="73DF32B7"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A.“</w:t>
      </w:r>
      <w:proofErr w:type="gramEnd"/>
      <w:r>
        <w:rPr>
          <w:rFonts w:ascii="仿宋_GB2312" w:eastAsia="仿宋_GB2312" w:hAnsi="仿宋_GB2312" w:cs="仿宋_GB2312" w:hint="eastAsia"/>
          <w:snapToGrid w:val="0"/>
          <w:kern w:val="0"/>
          <w:sz w:val="32"/>
          <w:szCs w:val="32"/>
          <w:shd w:val="clear" w:color="auto" w:fill="FFFFFF"/>
        </w:rPr>
        <w:t>科学城城区生活垃圾收集运输处置项目”，2022年支出合计金额167万元。主要通过委托第三方，对辖区内211个点位的生活垃圾进行集中清运及无害化处置。</w:t>
      </w:r>
    </w:p>
    <w:p w14:paraId="54A98E97"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B.“</w:t>
      </w:r>
      <w:proofErr w:type="gramEnd"/>
      <w:r>
        <w:rPr>
          <w:rFonts w:ascii="仿宋_GB2312" w:eastAsia="仿宋_GB2312" w:hAnsi="仿宋_GB2312" w:cs="仿宋_GB2312" w:hint="eastAsia"/>
          <w:snapToGrid w:val="0"/>
          <w:kern w:val="0"/>
          <w:sz w:val="32"/>
          <w:szCs w:val="32"/>
          <w:shd w:val="clear" w:color="auto" w:fill="FFFFFF"/>
        </w:rPr>
        <w:t>科学城社会管理事务专项经费”支出金额140万元。主要用于环保检测、天网维保、食品、药品安全监测、动物检疫等工作，以及维修维护办公、业务用房和文化体育等公共设施。</w:t>
      </w:r>
    </w:p>
    <w:p w14:paraId="07D0174B"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C.“</w:t>
      </w:r>
      <w:proofErr w:type="gramEnd"/>
      <w:r>
        <w:rPr>
          <w:rFonts w:ascii="仿宋_GB2312" w:eastAsia="仿宋_GB2312" w:hAnsi="仿宋_GB2312" w:cs="仿宋_GB2312" w:hint="eastAsia"/>
          <w:snapToGrid w:val="0"/>
          <w:kern w:val="0"/>
          <w:sz w:val="32"/>
          <w:szCs w:val="32"/>
          <w:shd w:val="clear" w:color="auto" w:fill="FFFFFF"/>
        </w:rPr>
        <w:t>科学城天网工程运行维护经费”项目支出金额258.82万元。主要用于视频监控、治安卡口等系统的电费、运行维护、升级改造等费用。</w:t>
      </w:r>
    </w:p>
    <w:p w14:paraId="551A42F4"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D.“</w:t>
      </w:r>
      <w:proofErr w:type="gramEnd"/>
      <w:r>
        <w:rPr>
          <w:rFonts w:ascii="仿宋_GB2312" w:eastAsia="仿宋_GB2312" w:hAnsi="仿宋_GB2312" w:cs="仿宋_GB2312" w:hint="eastAsia"/>
          <w:snapToGrid w:val="0"/>
          <w:kern w:val="0"/>
          <w:sz w:val="32"/>
          <w:szCs w:val="32"/>
          <w:shd w:val="clear" w:color="auto" w:fill="FFFFFF"/>
        </w:rPr>
        <w:t>其他交通费用”，2022年支出合计金额53万元。该经费用于公务用车租赁费。</w:t>
      </w:r>
    </w:p>
    <w:p w14:paraId="6B877902"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E.“</w:t>
      </w:r>
      <w:proofErr w:type="gramEnd"/>
      <w:r>
        <w:rPr>
          <w:rFonts w:ascii="仿宋_GB2312" w:eastAsia="仿宋_GB2312" w:hAnsi="仿宋_GB2312" w:cs="仿宋_GB2312" w:hint="eastAsia"/>
          <w:snapToGrid w:val="0"/>
          <w:kern w:val="0"/>
          <w:sz w:val="32"/>
          <w:szCs w:val="32"/>
          <w:shd w:val="clear" w:color="auto" w:fill="FFFFFF"/>
        </w:rPr>
        <w:t>劳务费”项目支出金额340万元。该项目主要用于社区运行、文化中心科技馆运行、机服中心运行等劳务人员的费用。</w:t>
      </w:r>
    </w:p>
    <w:p w14:paraId="473A30EC"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lastRenderedPageBreak/>
        <w:t>F.“</w:t>
      </w:r>
      <w:proofErr w:type="gramEnd"/>
      <w:r>
        <w:rPr>
          <w:rFonts w:ascii="仿宋_GB2312" w:eastAsia="仿宋_GB2312" w:hAnsi="仿宋_GB2312" w:cs="仿宋_GB2312" w:hint="eastAsia"/>
          <w:snapToGrid w:val="0"/>
          <w:kern w:val="0"/>
          <w:sz w:val="32"/>
          <w:szCs w:val="32"/>
          <w:shd w:val="clear" w:color="auto" w:fill="FFFFFF"/>
        </w:rPr>
        <w:t>辖区食品、药品安全保障”项目支出金额5万元。该项目主要用于食药监局检测食品所需的专用材料、抽检样品等费用及委托第三方的委托业务经费。</w:t>
      </w:r>
    </w:p>
    <w:p w14:paraId="1E73967E"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G.“</w:t>
      </w:r>
      <w:proofErr w:type="gramEnd"/>
      <w:r>
        <w:rPr>
          <w:rFonts w:ascii="仿宋_GB2312" w:eastAsia="仿宋_GB2312" w:hAnsi="仿宋_GB2312" w:cs="仿宋_GB2312" w:hint="eastAsia"/>
          <w:snapToGrid w:val="0"/>
          <w:kern w:val="0"/>
          <w:sz w:val="32"/>
          <w:szCs w:val="32"/>
          <w:shd w:val="clear" w:color="auto" w:fill="FFFFFF"/>
        </w:rPr>
        <w:t>天网工程及人防工程设备运行电费”项目支出金额35万元。该项目主要用于科学城天网系统和天网相关信息化设备维护。</w:t>
      </w:r>
    </w:p>
    <w:p w14:paraId="5361218F"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H.“</w:t>
      </w:r>
      <w:proofErr w:type="gramEnd"/>
      <w:r>
        <w:rPr>
          <w:rFonts w:ascii="仿宋_GB2312" w:eastAsia="仿宋_GB2312" w:hAnsi="仿宋_GB2312" w:cs="仿宋_GB2312" w:hint="eastAsia"/>
          <w:snapToGrid w:val="0"/>
          <w:kern w:val="0"/>
          <w:sz w:val="32"/>
          <w:szCs w:val="32"/>
          <w:shd w:val="clear" w:color="auto" w:fill="FFFFFF"/>
        </w:rPr>
        <w:t>信息化建设及运行维护经费”项目支出金额94.88万元，该项目主要用于电子政务网、金税网等网络通信线路维护、租用等工作。</w:t>
      </w:r>
    </w:p>
    <w:p w14:paraId="50515738"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I.“</w:t>
      </w:r>
      <w:proofErr w:type="gramEnd"/>
      <w:r>
        <w:rPr>
          <w:rFonts w:ascii="仿宋_GB2312" w:eastAsia="仿宋_GB2312" w:hAnsi="仿宋_GB2312" w:cs="仿宋_GB2312" w:hint="eastAsia"/>
          <w:snapToGrid w:val="0"/>
          <w:kern w:val="0"/>
          <w:sz w:val="32"/>
          <w:szCs w:val="32"/>
          <w:shd w:val="clear" w:color="auto" w:fill="FFFFFF"/>
        </w:rPr>
        <w:t>省属单位医疗服务能力提升资金”项目支出金额7.2万元。主要用于医疗卫生机构能力建设、卫生健康人才培养、医疗保障服务能力建设。</w:t>
      </w:r>
    </w:p>
    <w:p w14:paraId="5B8BEB3D"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J.“</w:t>
      </w:r>
      <w:proofErr w:type="gramEnd"/>
      <w:r>
        <w:rPr>
          <w:rFonts w:ascii="仿宋_GB2312" w:eastAsia="仿宋_GB2312" w:hAnsi="仿宋_GB2312" w:cs="仿宋_GB2312" w:hint="eastAsia"/>
          <w:snapToGrid w:val="0"/>
          <w:kern w:val="0"/>
          <w:sz w:val="32"/>
          <w:szCs w:val="32"/>
          <w:shd w:val="clear" w:color="auto" w:fill="FFFFFF"/>
        </w:rPr>
        <w:t>中央财政公共卫生服务补助资金（基本公共卫生服务）”项目支出金额3万元及“2022年重大公共卫生服务中央补助资金”项目支出金额15.06万元。分别拨付给四川省科学城医院、江油九〇三医院，用于医疗保障、传染病防控等事项。</w:t>
      </w:r>
    </w:p>
    <w:p w14:paraId="21CC7295"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proofErr w:type="gramStart"/>
      <w:r>
        <w:rPr>
          <w:rFonts w:ascii="仿宋_GB2312" w:eastAsia="仿宋_GB2312" w:hAnsi="仿宋_GB2312" w:cs="仿宋_GB2312" w:hint="eastAsia"/>
          <w:snapToGrid w:val="0"/>
          <w:kern w:val="0"/>
          <w:sz w:val="32"/>
          <w:szCs w:val="32"/>
          <w:shd w:val="clear" w:color="auto" w:fill="FFFFFF"/>
        </w:rPr>
        <w:t>K.“</w:t>
      </w:r>
      <w:proofErr w:type="gramEnd"/>
      <w:r>
        <w:rPr>
          <w:rFonts w:ascii="仿宋_GB2312" w:eastAsia="仿宋_GB2312" w:hAnsi="仿宋_GB2312" w:cs="仿宋_GB2312" w:hint="eastAsia"/>
          <w:snapToGrid w:val="0"/>
          <w:kern w:val="0"/>
          <w:sz w:val="32"/>
          <w:szCs w:val="32"/>
          <w:shd w:val="clear" w:color="auto" w:fill="FFFFFF"/>
        </w:rPr>
        <w:t>突发公共卫生事件”-2022年新冠肺炎疫情防控省级补助资金9.31万元。</w:t>
      </w:r>
    </w:p>
    <w:p w14:paraId="3B54756D" w14:textId="77777777" w:rsidR="00127C4A" w:rsidRDefault="00F87DBA">
      <w:pPr>
        <w:widowControl/>
        <w:adjustRightInd w:val="0"/>
        <w:snapToGrid w:val="0"/>
        <w:spacing w:line="560" w:lineRule="exact"/>
        <w:ind w:left="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3.部门财政拨款结转结余情况</w:t>
      </w:r>
    </w:p>
    <w:p w14:paraId="3229B263" w14:textId="77777777" w:rsidR="00127C4A" w:rsidRDefault="00F87DBA" w:rsidP="00127C4A">
      <w:pPr>
        <w:widowControl/>
        <w:adjustRightInd w:val="0"/>
        <w:snapToGrid w:val="0"/>
        <w:spacing w:line="560" w:lineRule="exact"/>
        <w:ind w:firstLineChars="193" w:firstLine="618"/>
        <w:contextualSpacing/>
        <w:jc w:val="left"/>
        <w:rPr>
          <w:rFonts w:ascii="仿宋_GB2312" w:eastAsia="仿宋_GB2312" w:hAnsi="仿宋_GB2312" w:cs="仿宋_GB2312"/>
          <w:snapToGrid w:val="0"/>
          <w:color w:val="000000"/>
          <w:kern w:val="0"/>
          <w:sz w:val="32"/>
          <w:szCs w:val="32"/>
          <w:shd w:val="clear" w:color="auto" w:fill="FFFFFF"/>
          <w:lang w:val="zh-CN"/>
        </w:rPr>
      </w:pPr>
      <w:r>
        <w:rPr>
          <w:rFonts w:ascii="仿宋_GB2312" w:eastAsia="仿宋_GB2312" w:hAnsi="仿宋_GB2312" w:cs="仿宋_GB2312"/>
          <w:snapToGrid w:val="0"/>
          <w:kern w:val="0"/>
          <w:sz w:val="32"/>
          <w:szCs w:val="32"/>
          <w:shd w:val="clear" w:color="auto" w:fill="FFFFFF"/>
        </w:rPr>
        <w:t>年末各项收支无结转和结余。</w:t>
      </w:r>
    </w:p>
    <w:p w14:paraId="04AD4700" w14:textId="77777777" w:rsidR="00127C4A" w:rsidRDefault="00F87DBA" w:rsidP="00127C4A">
      <w:pPr>
        <w:widowControl/>
        <w:adjustRightInd w:val="0"/>
        <w:snapToGrid w:val="0"/>
        <w:spacing w:line="560" w:lineRule="exact"/>
        <w:ind w:firstLineChars="193" w:firstLine="618"/>
        <w:contextualSpacing/>
        <w:jc w:val="left"/>
        <w:rPr>
          <w:rFonts w:ascii="黑体" w:eastAsia="黑体" w:hAnsi="宋体" w:cs="宋体"/>
          <w:snapToGrid w:val="0"/>
          <w:color w:val="000000"/>
          <w:kern w:val="0"/>
          <w:sz w:val="32"/>
          <w:szCs w:val="32"/>
          <w:shd w:val="clear" w:color="auto" w:fill="FFFFFF"/>
        </w:rPr>
      </w:pPr>
      <w:r>
        <w:rPr>
          <w:rFonts w:ascii="黑体" w:eastAsia="黑体" w:hAnsi="宋体" w:cs="宋体" w:hint="eastAsia"/>
          <w:snapToGrid w:val="0"/>
          <w:color w:val="000000"/>
          <w:kern w:val="0"/>
          <w:sz w:val="32"/>
          <w:szCs w:val="32"/>
          <w:shd w:val="clear" w:color="auto" w:fill="FFFFFF"/>
        </w:rPr>
        <w:t>三、部门整体绩效分析</w:t>
      </w:r>
    </w:p>
    <w:p w14:paraId="068985F9" w14:textId="77777777" w:rsidR="00127C4A" w:rsidRDefault="00127C4A" w:rsidP="00127C4A">
      <w:pPr>
        <w:widowControl/>
        <w:adjustRightInd w:val="0"/>
        <w:snapToGrid w:val="0"/>
        <w:spacing w:line="560" w:lineRule="exact"/>
        <w:ind w:firstLineChars="193" w:firstLine="618"/>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1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㈠</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部门预算项目绩效管理</w:t>
      </w:r>
    </w:p>
    <w:p w14:paraId="64E5530F"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lastRenderedPageBreak/>
        <w:t>1.运转类项目绩效分析</w:t>
      </w:r>
    </w:p>
    <w:p w14:paraId="4CB049BB" w14:textId="77777777" w:rsidR="00127C4A" w:rsidRDefault="00127C4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_GB2312" w:cs="仿宋_GB2312" w:hint="eastAsia"/>
          <w:snapToGrid w:val="0"/>
          <w:kern w:val="0"/>
          <w:szCs w:val="32"/>
          <w:shd w:val="clear" w:color="auto" w:fill="FFFFFF"/>
        </w:rPr>
        <w:fldChar w:fldCharType="begin"/>
      </w:r>
      <w:r w:rsidR="00F87DBA">
        <w:rPr>
          <w:rFonts w:ascii="仿宋_GB2312" w:hAnsi="仿宋_GB2312" w:cs="仿宋_GB2312" w:hint="eastAsia"/>
          <w:snapToGrid w:val="0"/>
          <w:kern w:val="0"/>
          <w:szCs w:val="32"/>
          <w:shd w:val="clear" w:color="auto" w:fill="FFFFFF"/>
        </w:rPr>
        <w:instrText xml:space="preserve"> = 1 \* GB2 \* MERGEFORMAT </w:instrText>
      </w:r>
      <w:r>
        <w:rPr>
          <w:rFonts w:ascii="仿宋_GB2312" w:hAnsi="仿宋_GB2312" w:cs="仿宋_GB2312" w:hint="eastAsia"/>
          <w:snapToGrid w:val="0"/>
          <w:kern w:val="0"/>
          <w:szCs w:val="32"/>
          <w:shd w:val="clear" w:color="auto" w:fill="FFFFFF"/>
        </w:rPr>
        <w:fldChar w:fldCharType="separate"/>
      </w:r>
      <w:r w:rsidR="00F87DBA">
        <w:rPr>
          <w:rFonts w:ascii="仿宋_GB2312" w:hAnsi="仿宋_GB2312" w:cs="仿宋_GB2312" w:hint="eastAsia"/>
          <w:snapToGrid w:val="0"/>
          <w:kern w:val="0"/>
          <w:szCs w:val="32"/>
          <w:shd w:val="clear" w:color="auto" w:fill="FFFFFF"/>
        </w:rPr>
        <w:t>⑴</w:t>
      </w:r>
      <w:r>
        <w:rPr>
          <w:rFonts w:ascii="仿宋_GB2312" w:hAnsi="仿宋_GB2312" w:cs="仿宋_GB2312" w:hint="eastAsia"/>
          <w:snapToGrid w:val="0"/>
          <w:kern w:val="0"/>
          <w:szCs w:val="32"/>
          <w:shd w:val="clear" w:color="auto" w:fill="FFFFFF"/>
        </w:rPr>
        <w:fldChar w:fldCharType="end"/>
      </w:r>
      <w:r w:rsidR="00F87DBA">
        <w:rPr>
          <w:rFonts w:ascii="仿宋_GB2312" w:hAnsi="仿宋_GB2312" w:cs="仿宋_GB2312" w:hint="eastAsia"/>
          <w:snapToGrid w:val="0"/>
          <w:kern w:val="0"/>
          <w:szCs w:val="32"/>
          <w:shd w:val="clear" w:color="auto" w:fill="FFFFFF"/>
        </w:rPr>
        <w:t>目标制定</w:t>
      </w:r>
      <w:r w:rsidR="00F87DBA">
        <w:rPr>
          <w:rFonts w:ascii="仿宋_GB2312" w:hAnsi="仿宋" w:cs="宋体" w:hint="eastAsia"/>
          <w:snapToGrid w:val="0"/>
          <w:kern w:val="0"/>
          <w:szCs w:val="32"/>
          <w:shd w:val="clear" w:color="auto" w:fill="FFFFFF"/>
        </w:rPr>
        <w:t>（分值20分，自评19分）</w:t>
      </w:r>
    </w:p>
    <w:p w14:paraId="22095843" w14:textId="77777777" w:rsidR="00127C4A" w:rsidRDefault="00F87DBA">
      <w:pPr>
        <w:widowControl/>
        <w:adjustRightInd w:val="0"/>
        <w:snapToGrid w:val="0"/>
        <w:spacing w:line="560" w:lineRule="exact"/>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 xml:space="preserve">    2022年省人民政府科学城办事处运转类项目绩效目标内容完整，细化量化，标准合理，预算匹配，符合部门职能及事业发展规划，经省财政厅反馈，我单位2022年度绩效目标会审得分为9.5分，折算后该项指标得19分。</w:t>
      </w:r>
    </w:p>
    <w:p w14:paraId="5B8BC733"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2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⑵</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目标实</w:t>
      </w:r>
      <w:r w:rsidR="00F87DBA">
        <w:rPr>
          <w:rFonts w:ascii="仿宋_GB2312" w:eastAsia="仿宋_GB2312" w:hAnsi="仿宋" w:cs="宋体" w:hint="eastAsia"/>
          <w:snapToGrid w:val="0"/>
          <w:kern w:val="0"/>
          <w:sz w:val="32"/>
          <w:szCs w:val="32"/>
          <w:shd w:val="clear" w:color="auto" w:fill="FFFFFF"/>
        </w:rPr>
        <w:t>现（分值20分，自评20分）</w:t>
      </w:r>
    </w:p>
    <w:p w14:paraId="1C65C699"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纳入绩效目标管理的运转类项目1个，涉及预算1100万元。主要用于：保障科学城社会管理事务专项、科学城天网运行维护、人防工程运行维护、信息化运行维护、辖区食品药品安全保障、辖区道路及市政设施维修维护及科学城城区生活垃圾处置等重点工作开展。依据计分标准，该项指标得20分。</w:t>
      </w:r>
    </w:p>
    <w:p w14:paraId="0780919C"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3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⑶</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支出控制</w:t>
      </w:r>
      <w:r w:rsidR="00F87DBA">
        <w:rPr>
          <w:rFonts w:ascii="仿宋_GB2312" w:eastAsia="仿宋_GB2312" w:hAnsi="仿宋" w:cs="宋体" w:hint="eastAsia"/>
          <w:snapToGrid w:val="0"/>
          <w:kern w:val="0"/>
          <w:sz w:val="32"/>
          <w:szCs w:val="32"/>
          <w:shd w:val="clear" w:color="auto" w:fill="FFFFFF"/>
        </w:rPr>
        <w:t>（分值5分，自评5分）</w:t>
      </w:r>
    </w:p>
    <w:p w14:paraId="6A5EBFB9"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2022年省人民政府科学城办事处运转类项目的部门日常公用经费、项目支出中“办公费、印刷费、水费、电费、物业管理费”等科目年初预算数与决算数偏差率为0.07%，预决算偏差程度在10%以内，该项指标得5分。</w:t>
      </w:r>
    </w:p>
    <w:p w14:paraId="4FEE02EF"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4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⑷</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及时处置</w:t>
      </w:r>
      <w:r w:rsidR="00F87DBA">
        <w:rPr>
          <w:rFonts w:ascii="仿宋_GB2312" w:eastAsia="仿宋_GB2312" w:hAnsi="仿宋" w:cs="宋体" w:hint="eastAsia"/>
          <w:snapToGrid w:val="0"/>
          <w:kern w:val="0"/>
          <w:sz w:val="32"/>
          <w:szCs w:val="32"/>
          <w:shd w:val="clear" w:color="auto" w:fill="FFFFFF"/>
        </w:rPr>
        <w:t>（分值5分，自评5分）</w:t>
      </w:r>
    </w:p>
    <w:p w14:paraId="78F365C9"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2022年省人民政府科学城办事处根据</w:t>
      </w:r>
      <w:proofErr w:type="gramStart"/>
      <w:r>
        <w:rPr>
          <w:rFonts w:ascii="仿宋_GB2312" w:eastAsia="仿宋_GB2312" w:hAnsi="仿宋_GB2312" w:cs="仿宋_GB2312" w:hint="eastAsia"/>
          <w:snapToGrid w:val="0"/>
          <w:kern w:val="0"/>
          <w:sz w:val="32"/>
          <w:szCs w:val="32"/>
          <w:shd w:val="clear" w:color="auto" w:fill="FFFFFF"/>
        </w:rPr>
        <w:t>川财绩</w:t>
      </w:r>
      <w:proofErr w:type="gramEnd"/>
      <w:r>
        <w:rPr>
          <w:rFonts w:ascii="仿宋_GB2312" w:eastAsia="仿宋_GB2312" w:hAnsi="仿宋_GB2312" w:cs="仿宋_GB2312" w:hint="eastAsia"/>
          <w:snapToGrid w:val="0"/>
          <w:kern w:val="0"/>
          <w:sz w:val="32"/>
          <w:szCs w:val="32"/>
          <w:shd w:val="clear" w:color="auto" w:fill="FFFFFF"/>
        </w:rPr>
        <w:t>〔2022〕11号要求，在预算一体化系统中对运转类项目及时提出处置意见并落实，该项指标得5分。</w:t>
      </w:r>
    </w:p>
    <w:p w14:paraId="2C94BD7E"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lastRenderedPageBreak/>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5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⑸</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执行进度</w:t>
      </w:r>
      <w:r w:rsidR="00F87DBA">
        <w:rPr>
          <w:rFonts w:ascii="仿宋_GB2312" w:eastAsia="仿宋_GB2312" w:hAnsi="仿宋" w:cs="宋体" w:hint="eastAsia"/>
          <w:snapToGrid w:val="0"/>
          <w:kern w:val="0"/>
          <w:sz w:val="32"/>
          <w:szCs w:val="32"/>
          <w:shd w:val="clear" w:color="auto" w:fill="FFFFFF"/>
        </w:rPr>
        <w:t>（分值5分，自评5分）</w:t>
      </w:r>
    </w:p>
    <w:p w14:paraId="61364CC9"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2022年省人民政府科学城办事处运转类项目6、9、11月执行进度分别为53.34%、74.23%、92.86%，省厅部门预算6、9、11月执行进度标准为40%、67.5%、82.5%，根据指标设置标准，该项指标得10分。</w:t>
      </w:r>
    </w:p>
    <w:p w14:paraId="7B2C95D4"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6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⑹</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预算完成情况</w:t>
      </w:r>
      <w:r w:rsidR="00F87DBA">
        <w:rPr>
          <w:rFonts w:ascii="仿宋_GB2312" w:eastAsia="仿宋_GB2312" w:hAnsi="仿宋" w:cs="宋体" w:hint="eastAsia"/>
          <w:snapToGrid w:val="0"/>
          <w:kern w:val="0"/>
          <w:sz w:val="32"/>
          <w:szCs w:val="32"/>
          <w:shd w:val="clear" w:color="auto" w:fill="FFFFFF"/>
        </w:rPr>
        <w:t>（分值10分，自评9.9分）</w:t>
      </w:r>
    </w:p>
    <w:p w14:paraId="787CEBE9"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2022年省人民政府科学城办事处部门运转类项目年终预算执行率为99.43%，根据计分标准，该项指标得9.9分；</w:t>
      </w:r>
    </w:p>
    <w:p w14:paraId="6B733A42"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7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⑺</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资金结余率（低效无效率）</w:t>
      </w:r>
      <w:r w:rsidR="00F87DBA">
        <w:rPr>
          <w:rFonts w:ascii="仿宋_GB2312" w:eastAsia="仿宋_GB2312" w:hAnsi="仿宋" w:cs="宋体" w:hint="eastAsia"/>
          <w:snapToGrid w:val="0"/>
          <w:kern w:val="0"/>
          <w:sz w:val="32"/>
          <w:szCs w:val="32"/>
          <w:shd w:val="clear" w:color="auto" w:fill="FFFFFF"/>
        </w:rPr>
        <w:t>（分值5分，自评5分）</w:t>
      </w:r>
    </w:p>
    <w:p w14:paraId="3E8EF67B"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2022年省人民政府科学城办事处运转类项目年末各项收支无结转和结余，该项指标得5分。</w:t>
      </w:r>
    </w:p>
    <w:p w14:paraId="0D9293F2" w14:textId="77777777" w:rsidR="00127C4A" w:rsidRDefault="00127C4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_GB2312" w:cs="仿宋_GB2312" w:hint="eastAsia"/>
          <w:snapToGrid w:val="0"/>
          <w:kern w:val="0"/>
          <w:szCs w:val="32"/>
          <w:shd w:val="clear" w:color="auto" w:fill="FFFFFF"/>
        </w:rPr>
        <w:fldChar w:fldCharType="begin"/>
      </w:r>
      <w:r w:rsidR="00F87DBA">
        <w:rPr>
          <w:rFonts w:ascii="仿宋_GB2312" w:hAnsi="仿宋_GB2312" w:cs="仿宋_GB2312" w:hint="eastAsia"/>
          <w:snapToGrid w:val="0"/>
          <w:kern w:val="0"/>
          <w:szCs w:val="32"/>
          <w:shd w:val="clear" w:color="auto" w:fill="FFFFFF"/>
        </w:rPr>
        <w:instrText xml:space="preserve"> = 8 \* GB2 \* MERGEFORMAT </w:instrText>
      </w:r>
      <w:r>
        <w:rPr>
          <w:rFonts w:ascii="仿宋_GB2312" w:hAnsi="仿宋_GB2312" w:cs="仿宋_GB2312" w:hint="eastAsia"/>
          <w:snapToGrid w:val="0"/>
          <w:kern w:val="0"/>
          <w:szCs w:val="32"/>
          <w:shd w:val="clear" w:color="auto" w:fill="FFFFFF"/>
        </w:rPr>
        <w:fldChar w:fldCharType="separate"/>
      </w:r>
      <w:r w:rsidR="00F87DBA">
        <w:rPr>
          <w:rFonts w:ascii="仿宋_GB2312" w:hAnsi="仿宋_GB2312" w:cs="仿宋_GB2312" w:hint="eastAsia"/>
          <w:snapToGrid w:val="0"/>
          <w:kern w:val="0"/>
          <w:szCs w:val="32"/>
          <w:shd w:val="clear" w:color="auto" w:fill="FFFFFF"/>
        </w:rPr>
        <w:t>⑻</w:t>
      </w:r>
      <w:r>
        <w:rPr>
          <w:rFonts w:ascii="仿宋_GB2312" w:hAnsi="仿宋_GB2312" w:cs="仿宋_GB2312" w:hint="eastAsia"/>
          <w:snapToGrid w:val="0"/>
          <w:kern w:val="0"/>
          <w:szCs w:val="32"/>
          <w:shd w:val="clear" w:color="auto" w:fill="FFFFFF"/>
        </w:rPr>
        <w:fldChar w:fldCharType="end"/>
      </w:r>
      <w:r w:rsidR="00F87DBA">
        <w:rPr>
          <w:rFonts w:ascii="仿宋_GB2312" w:hAnsi="仿宋_GB2312" w:cs="仿宋_GB2312" w:hint="eastAsia"/>
          <w:snapToGrid w:val="0"/>
          <w:kern w:val="0"/>
          <w:szCs w:val="32"/>
          <w:shd w:val="clear" w:color="auto" w:fill="FFFFFF"/>
        </w:rPr>
        <w:t>违规记录</w:t>
      </w:r>
      <w:r w:rsidR="00F87DBA">
        <w:rPr>
          <w:rFonts w:ascii="仿宋_GB2312" w:hAnsi="仿宋" w:cs="宋体" w:hint="eastAsia"/>
          <w:snapToGrid w:val="0"/>
          <w:kern w:val="0"/>
          <w:szCs w:val="32"/>
          <w:shd w:val="clear" w:color="auto" w:fill="FFFFFF"/>
        </w:rPr>
        <w:t>（分值5分，自评5分）</w:t>
      </w:r>
    </w:p>
    <w:p w14:paraId="4B42546D"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2022年省人民政府科学城办事处运转类项目无违规违纪记录，该项指标得5分。</w:t>
      </w:r>
    </w:p>
    <w:p w14:paraId="4AADA533"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2.特定目标类项目绩效分析</w:t>
      </w:r>
    </w:p>
    <w:p w14:paraId="02A779EF"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1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⑴</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部门绩效目标制定（分值20分，自评19分）</w:t>
      </w:r>
    </w:p>
    <w:p w14:paraId="6DFD8895"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特定目标类项目绩效目标内容完整，细化量化，标准合理，预算匹配，符合部门职能及事业发展规划，经省财政厅反馈，我单位2022年度绩效目标会审得分为9.5分，折算后该项指标得19分。</w:t>
      </w:r>
    </w:p>
    <w:p w14:paraId="326DB644"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2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⑵</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目标实现（分值20分，自评20分）</w:t>
      </w:r>
    </w:p>
    <w:p w14:paraId="35F61C1B"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lastRenderedPageBreak/>
        <w:t>2022年省人民政府科学城办事处纳入绩效目标管理的特定目标类项目4个，</w:t>
      </w:r>
      <w:r>
        <w:rPr>
          <w:rFonts w:ascii="仿宋_GB2312" w:eastAsia="仿宋_GB2312" w:hAnsi="仿宋_GB2312" w:cs="仿宋_GB2312" w:hint="eastAsia"/>
          <w:snapToGrid w:val="0"/>
          <w:sz w:val="32"/>
          <w:szCs w:val="32"/>
        </w:rPr>
        <w:t>涉及预算34.57万元。包括：基本公共卫生服务3万元，主要用于辖区基本公共卫生服务工作；重大传染病防控15.06万元，主要用于扩大国家免疫规划、艾滋病防治、结核病防治、血吸虫及包虫病防治、精神卫生与慢性病非传染性疾病防治等重大公共卫生服务有关工作；卫生健康人才培养7.2万元，主要用于基层卫生健康人才培养；2022年新冠肺炎疫情防控省级补助资金9.31万元，主要用于新冠肺炎疫情防控。</w:t>
      </w:r>
      <w:r>
        <w:rPr>
          <w:rFonts w:ascii="仿宋_GB2312" w:eastAsia="仿宋_GB2312" w:hAnsi="仿宋_GB2312" w:cs="仿宋_GB2312" w:hint="eastAsia"/>
          <w:snapToGrid w:val="0"/>
          <w:kern w:val="0"/>
          <w:sz w:val="32"/>
          <w:szCs w:val="32"/>
          <w:shd w:val="clear" w:color="auto" w:fill="FFFFFF"/>
        </w:rPr>
        <w:t>该项指标得20分。</w:t>
      </w:r>
    </w:p>
    <w:p w14:paraId="3DA103A3"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3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⑶</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支出控制</w:t>
      </w:r>
      <w:r w:rsidR="00F87DBA">
        <w:rPr>
          <w:rFonts w:ascii="仿宋_GB2312" w:eastAsia="仿宋_GB2312" w:hAnsi="仿宋" w:cs="宋体" w:hint="eastAsia"/>
          <w:snapToGrid w:val="0"/>
          <w:kern w:val="0"/>
          <w:sz w:val="32"/>
          <w:szCs w:val="32"/>
          <w:shd w:val="clear" w:color="auto" w:fill="FFFFFF"/>
        </w:rPr>
        <w:t>（分值5分，自评5分）</w:t>
      </w:r>
    </w:p>
    <w:p w14:paraId="65155729"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2022年省人民政府科学城办事处特定目标类项目年初预算数与决算数偏差率为0%，预决算偏差程度在10%以内，该项指标得5分。</w:t>
      </w:r>
    </w:p>
    <w:p w14:paraId="7EBD9CA7"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4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⑷</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及时处置</w:t>
      </w:r>
      <w:r w:rsidR="00F87DBA">
        <w:rPr>
          <w:rFonts w:ascii="仿宋_GB2312" w:eastAsia="仿宋_GB2312" w:hAnsi="仿宋" w:cs="宋体" w:hint="eastAsia"/>
          <w:snapToGrid w:val="0"/>
          <w:kern w:val="0"/>
          <w:sz w:val="32"/>
          <w:szCs w:val="32"/>
          <w:shd w:val="clear" w:color="auto" w:fill="FFFFFF"/>
        </w:rPr>
        <w:t>（分值5分，自评5分）</w:t>
      </w:r>
    </w:p>
    <w:p w14:paraId="4B2FADED"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2022年省人民政府科学城办事处根据</w:t>
      </w:r>
      <w:proofErr w:type="gramStart"/>
      <w:r>
        <w:rPr>
          <w:rFonts w:ascii="仿宋_GB2312" w:eastAsia="仿宋_GB2312" w:hAnsi="仿宋_GB2312" w:cs="仿宋_GB2312" w:hint="eastAsia"/>
          <w:snapToGrid w:val="0"/>
          <w:kern w:val="0"/>
          <w:sz w:val="32"/>
          <w:szCs w:val="32"/>
          <w:shd w:val="clear" w:color="auto" w:fill="FFFFFF"/>
        </w:rPr>
        <w:t>川财绩</w:t>
      </w:r>
      <w:proofErr w:type="gramEnd"/>
      <w:r>
        <w:rPr>
          <w:rFonts w:ascii="仿宋_GB2312" w:eastAsia="仿宋_GB2312" w:hAnsi="仿宋_GB2312" w:cs="仿宋_GB2312" w:hint="eastAsia"/>
          <w:snapToGrid w:val="0"/>
          <w:kern w:val="0"/>
          <w:sz w:val="32"/>
          <w:szCs w:val="32"/>
          <w:shd w:val="clear" w:color="auto" w:fill="FFFFFF"/>
        </w:rPr>
        <w:t>〔2022〕11号要求，在预算一体化系统中对特定目标类项目及时提出处置意见并落实，该项指标得5分。</w:t>
      </w:r>
    </w:p>
    <w:p w14:paraId="7F302F4A"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5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⑸</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执行进度（分值5分，自评3.3分）</w:t>
      </w:r>
    </w:p>
    <w:p w14:paraId="7693340C"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2022年省人民政府科学城办事处特定目标类项目卫生健康人才培养、重大传染病防控（基本公共卫生服务</w:t>
      </w:r>
      <w:proofErr w:type="gramStart"/>
      <w:r>
        <w:rPr>
          <w:rFonts w:ascii="仿宋_GB2312" w:eastAsia="仿宋_GB2312" w:hAnsi="仿宋_GB2312" w:cs="仿宋_GB2312" w:hint="eastAsia"/>
          <w:snapToGrid w:val="0"/>
          <w:kern w:val="0"/>
          <w:sz w:val="32"/>
          <w:szCs w:val="32"/>
          <w:shd w:val="clear" w:color="auto" w:fill="FFFFFF"/>
        </w:rPr>
        <w:t>项目项目</w:t>
      </w:r>
      <w:proofErr w:type="gramEnd"/>
      <w:r>
        <w:rPr>
          <w:rFonts w:ascii="仿宋_GB2312" w:eastAsia="仿宋_GB2312" w:hAnsi="仿宋_GB2312" w:cs="仿宋_GB2312" w:hint="eastAsia"/>
          <w:snapToGrid w:val="0"/>
          <w:kern w:val="0"/>
          <w:sz w:val="32"/>
          <w:szCs w:val="32"/>
          <w:shd w:val="clear" w:color="auto" w:fill="FFFFFF"/>
        </w:rPr>
        <w:t>12月才完成执行，</w:t>
      </w:r>
      <w:r>
        <w:rPr>
          <w:rFonts w:ascii="仿宋_GB2312" w:eastAsia="仿宋_GB2312" w:hAnsi="仿宋_GB2312" w:cs="仿宋_GB2312" w:hint="eastAsia"/>
          <w:snapToGrid w:val="0"/>
          <w:sz w:val="32"/>
          <w:szCs w:val="32"/>
        </w:rPr>
        <w:t>2022年新冠肺炎疫情防控省级补助资金10月底下达</w:t>
      </w:r>
      <w:r>
        <w:rPr>
          <w:rFonts w:ascii="仿宋_GB2312" w:eastAsia="仿宋_GB2312" w:hAnsi="仿宋_GB2312" w:cs="仿宋_GB2312" w:hint="eastAsia"/>
          <w:snapToGrid w:val="0"/>
          <w:kern w:val="0"/>
          <w:sz w:val="32"/>
          <w:szCs w:val="32"/>
          <w:shd w:val="clear" w:color="auto" w:fill="FFFFFF"/>
        </w:rPr>
        <w:t>）6、9、11月执行进度均分为100%、100%、100%，省</w:t>
      </w:r>
      <w:r>
        <w:rPr>
          <w:rFonts w:ascii="仿宋_GB2312" w:eastAsia="仿宋_GB2312" w:hAnsi="仿宋_GB2312" w:cs="仿宋_GB2312" w:hint="eastAsia"/>
          <w:snapToGrid w:val="0"/>
          <w:kern w:val="0"/>
          <w:sz w:val="32"/>
          <w:szCs w:val="32"/>
          <w:shd w:val="clear" w:color="auto" w:fill="FFFFFF"/>
        </w:rPr>
        <w:lastRenderedPageBreak/>
        <w:t>厅部门预算6、9、11月执行进度标准为40%、67.5%、82.5%，根据指标设置标准，该项指标得3.3分。</w:t>
      </w:r>
    </w:p>
    <w:p w14:paraId="0840AE78"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6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⑹</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预算完成情况</w:t>
      </w:r>
      <w:r w:rsidR="00F87DBA">
        <w:rPr>
          <w:rFonts w:ascii="仿宋_GB2312" w:eastAsia="仿宋_GB2312" w:hAnsi="仿宋" w:cs="宋体" w:hint="eastAsia"/>
          <w:snapToGrid w:val="0"/>
          <w:kern w:val="0"/>
          <w:sz w:val="32"/>
          <w:szCs w:val="32"/>
          <w:shd w:val="clear" w:color="auto" w:fill="FFFFFF"/>
        </w:rPr>
        <w:t>（分值10分，自评10分）</w:t>
      </w:r>
    </w:p>
    <w:p w14:paraId="3471D9AE"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2022年省人民政府科学城办事处部门特定目标类项目年终预算执行率为100%，根据计分标准，该项指标得10分。</w:t>
      </w:r>
    </w:p>
    <w:p w14:paraId="0EB8C8DF"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7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⑺</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资金结余率（低效无效率）</w:t>
      </w:r>
      <w:r w:rsidR="00F87DBA">
        <w:rPr>
          <w:rFonts w:ascii="仿宋_GB2312" w:eastAsia="仿宋_GB2312" w:hAnsi="仿宋" w:cs="宋体" w:hint="eastAsia"/>
          <w:snapToGrid w:val="0"/>
          <w:kern w:val="0"/>
          <w:sz w:val="32"/>
          <w:szCs w:val="32"/>
          <w:shd w:val="clear" w:color="auto" w:fill="FFFFFF"/>
        </w:rPr>
        <w:t>（分值5分，自评5分）</w:t>
      </w:r>
    </w:p>
    <w:p w14:paraId="61FED2A0"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2022年省人民政府科学城办事处特定目标类项目年末各项收支无结转和结余，该项指标得5分。</w:t>
      </w:r>
    </w:p>
    <w:p w14:paraId="07E32623" w14:textId="77777777" w:rsidR="00127C4A" w:rsidRDefault="00127C4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fldChar w:fldCharType="begin"/>
      </w:r>
      <w:r w:rsidR="00F87DBA">
        <w:rPr>
          <w:rFonts w:ascii="仿宋_GB2312" w:eastAsia="仿宋_GB2312" w:hAnsi="仿宋_GB2312" w:cs="仿宋_GB2312" w:hint="eastAsia"/>
          <w:snapToGrid w:val="0"/>
          <w:kern w:val="0"/>
          <w:sz w:val="32"/>
          <w:szCs w:val="32"/>
          <w:shd w:val="clear" w:color="auto" w:fill="FFFFFF"/>
        </w:rPr>
        <w:instrText xml:space="preserve"> = 8 \* GB2 \* MERGEFORMAT </w:instrText>
      </w:r>
      <w:r>
        <w:rPr>
          <w:rFonts w:ascii="仿宋_GB2312" w:eastAsia="仿宋_GB2312" w:hAnsi="仿宋_GB2312" w:cs="仿宋_GB2312" w:hint="eastAsia"/>
          <w:snapToGrid w:val="0"/>
          <w:kern w:val="0"/>
          <w:sz w:val="32"/>
          <w:szCs w:val="32"/>
          <w:shd w:val="clear" w:color="auto" w:fill="FFFFFF"/>
        </w:rPr>
        <w:fldChar w:fldCharType="separate"/>
      </w:r>
      <w:r w:rsidR="00F87DBA">
        <w:rPr>
          <w:rFonts w:ascii="仿宋_GB2312" w:eastAsia="仿宋_GB2312" w:hAnsi="仿宋_GB2312" w:cs="仿宋_GB2312" w:hint="eastAsia"/>
          <w:snapToGrid w:val="0"/>
          <w:kern w:val="0"/>
          <w:sz w:val="32"/>
          <w:szCs w:val="32"/>
          <w:shd w:val="clear" w:color="auto" w:fill="FFFFFF"/>
        </w:rPr>
        <w:t>⑻</w:t>
      </w:r>
      <w:r>
        <w:rPr>
          <w:rFonts w:ascii="仿宋_GB2312" w:eastAsia="仿宋_GB2312" w:hAnsi="仿宋_GB2312" w:cs="仿宋_GB2312" w:hint="eastAsia"/>
          <w:snapToGrid w:val="0"/>
          <w:kern w:val="0"/>
          <w:sz w:val="32"/>
          <w:szCs w:val="32"/>
          <w:shd w:val="clear" w:color="auto" w:fill="FFFFFF"/>
        </w:rPr>
        <w:fldChar w:fldCharType="end"/>
      </w:r>
      <w:r w:rsidR="00F87DBA">
        <w:rPr>
          <w:rFonts w:ascii="仿宋_GB2312" w:eastAsia="仿宋_GB2312" w:hAnsi="仿宋_GB2312" w:cs="仿宋_GB2312" w:hint="eastAsia"/>
          <w:snapToGrid w:val="0"/>
          <w:kern w:val="0"/>
          <w:sz w:val="32"/>
          <w:szCs w:val="32"/>
          <w:shd w:val="clear" w:color="auto" w:fill="FFFFFF"/>
        </w:rPr>
        <w:t>违规记录（分值5分，自评5分）</w:t>
      </w:r>
    </w:p>
    <w:p w14:paraId="303AB04F" w14:textId="77777777" w:rsidR="00127C4A" w:rsidRDefault="00F87DBA">
      <w:pPr>
        <w:widowControl/>
        <w:adjustRightInd w:val="0"/>
        <w:snapToGrid w:val="0"/>
        <w:spacing w:line="560" w:lineRule="exact"/>
        <w:ind w:firstLineChars="200" w:firstLine="640"/>
        <w:jc w:val="left"/>
        <w:rPr>
          <w:rFonts w:ascii="仿宋_GB2312" w:eastAsia="仿宋_GB2312" w:hAnsi="仿宋_GB2312" w:cs="仿宋_GB2312"/>
          <w:snapToGrid w:val="0"/>
          <w:kern w:val="0"/>
          <w:sz w:val="32"/>
          <w:szCs w:val="32"/>
          <w:highlight w:val="yellow"/>
          <w:shd w:val="clear" w:color="auto" w:fill="FFFFFF"/>
        </w:rPr>
      </w:pPr>
      <w:r>
        <w:rPr>
          <w:rFonts w:ascii="仿宋_GB2312" w:eastAsia="仿宋_GB2312" w:hAnsi="仿宋_GB2312" w:cs="仿宋_GB2312" w:hint="eastAsia"/>
          <w:snapToGrid w:val="0"/>
          <w:kern w:val="0"/>
          <w:sz w:val="32"/>
          <w:szCs w:val="32"/>
          <w:shd w:val="clear" w:color="auto" w:fill="FFFFFF"/>
        </w:rPr>
        <w:t>2022年省人民政府科学城办事处特定目标类项目无违规违纪记录，该项指标得5分。</w:t>
      </w:r>
    </w:p>
    <w:p w14:paraId="568A84E3" w14:textId="77777777" w:rsidR="00127C4A" w:rsidRDefault="00127C4A" w:rsidP="00127C4A">
      <w:pPr>
        <w:pStyle w:val="Style1"/>
        <w:widowControl/>
        <w:adjustRightInd w:val="0"/>
        <w:snapToGrid w:val="0"/>
        <w:spacing w:line="560" w:lineRule="exact"/>
        <w:ind w:firstLineChars="193" w:firstLine="618"/>
        <w:jc w:val="left"/>
        <w:rPr>
          <w:rFonts w:ascii="楷体_GB2312" w:eastAsia="楷体_GB2312" w:hAnsi="楷体_GB2312" w:cs="楷体_GB2312"/>
          <w:snapToGrid w:val="0"/>
          <w:color w:val="000000"/>
          <w:kern w:val="0"/>
          <w:szCs w:val="32"/>
          <w:shd w:val="clear" w:color="auto" w:fill="FFFFFF"/>
          <w:lang w:val="zh-CN"/>
        </w:rPr>
      </w:pPr>
      <w:r>
        <w:rPr>
          <w:rFonts w:ascii="楷体_GB2312" w:eastAsia="楷体_GB2312" w:hAnsi="楷体_GB2312" w:cs="楷体_GB2312" w:hint="eastAsia"/>
          <w:snapToGrid w:val="0"/>
          <w:color w:val="000000"/>
          <w:kern w:val="0"/>
          <w:szCs w:val="32"/>
          <w:shd w:val="clear" w:color="auto" w:fill="FFFFFF"/>
          <w:lang w:val="zh-CN"/>
        </w:rPr>
        <w:fldChar w:fldCharType="begin"/>
      </w:r>
      <w:r w:rsidR="00F87DBA">
        <w:rPr>
          <w:rFonts w:ascii="楷体_GB2312" w:eastAsia="楷体_GB2312" w:hAnsi="楷体_GB2312" w:cs="楷体_GB2312" w:hint="eastAsia"/>
          <w:snapToGrid w:val="0"/>
          <w:color w:val="000000"/>
          <w:kern w:val="0"/>
          <w:szCs w:val="32"/>
          <w:shd w:val="clear" w:color="auto" w:fill="FFFFFF"/>
          <w:lang w:val="zh-CN"/>
        </w:rPr>
        <w:instrText xml:space="preserve"> = 2 \* GB4 \* MERGEFORMAT </w:instrText>
      </w:r>
      <w:r>
        <w:rPr>
          <w:rFonts w:ascii="楷体_GB2312" w:eastAsia="楷体_GB2312" w:hAnsi="楷体_GB2312" w:cs="楷体_GB2312" w:hint="eastAsia"/>
          <w:snapToGrid w:val="0"/>
          <w:color w:val="000000"/>
          <w:kern w:val="0"/>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Cs w:val="32"/>
          <w:shd w:val="clear" w:color="auto" w:fill="FFFFFF"/>
          <w:lang w:val="zh-CN"/>
        </w:rPr>
        <w:t>㈡</w:t>
      </w:r>
      <w:r>
        <w:rPr>
          <w:rFonts w:ascii="楷体_GB2312" w:eastAsia="楷体_GB2312" w:hAnsi="楷体_GB2312" w:cs="楷体_GB2312" w:hint="eastAsia"/>
          <w:snapToGrid w:val="0"/>
          <w:color w:val="000000"/>
          <w:kern w:val="0"/>
          <w:szCs w:val="32"/>
          <w:shd w:val="clear" w:color="auto" w:fill="FFFFFF"/>
          <w:lang w:val="zh-CN"/>
        </w:rPr>
        <w:fldChar w:fldCharType="end"/>
      </w:r>
      <w:r w:rsidR="00F87DBA">
        <w:rPr>
          <w:rFonts w:ascii="楷体_GB2312" w:eastAsia="楷体_GB2312" w:hAnsi="楷体_GB2312" w:cs="楷体_GB2312" w:hint="eastAsia"/>
          <w:snapToGrid w:val="0"/>
          <w:color w:val="000000"/>
          <w:kern w:val="0"/>
          <w:szCs w:val="32"/>
          <w:shd w:val="clear" w:color="auto" w:fill="FFFFFF"/>
          <w:lang w:val="zh-CN"/>
        </w:rPr>
        <w:t>部门整体履职绩效分析</w:t>
      </w:r>
    </w:p>
    <w:p w14:paraId="1B18EF87" w14:textId="77777777" w:rsidR="00127C4A" w:rsidRDefault="00F87DB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2022年是在全面系统谋划基础上，深入推进“十四五”规划落地实施的关键之年，党的二十大的隆重召开，四川省人民政府科学城办事处（以下简称</w:t>
      </w:r>
      <w:proofErr w:type="gramStart"/>
      <w:r>
        <w:rPr>
          <w:rFonts w:ascii="仿宋_GB2312" w:hAnsi="仿宋" w:cs="宋体" w:hint="eastAsia"/>
          <w:snapToGrid w:val="0"/>
          <w:kern w:val="0"/>
          <w:szCs w:val="32"/>
          <w:shd w:val="clear" w:color="auto" w:fill="FFFFFF"/>
        </w:rPr>
        <w:t>川府科办</w:t>
      </w:r>
      <w:proofErr w:type="gramEnd"/>
      <w:r>
        <w:rPr>
          <w:rFonts w:ascii="仿宋_GB2312" w:hAnsi="仿宋" w:cs="宋体" w:hint="eastAsia"/>
          <w:snapToGrid w:val="0"/>
          <w:kern w:val="0"/>
          <w:szCs w:val="32"/>
          <w:shd w:val="clear" w:color="auto" w:fill="FFFFFF"/>
        </w:rPr>
        <w:t>）在省政府及省级各主管部门的关心指导支持下，沿着科办第八次党代会明确的“十四五”发展方向与路径，以改革创新为动力，以能力建设为抓手，以满足职工居民对高质量公共服务需求为目标，统筹推进改革发展、科研保障、民生保障、城市建管、政务服务、行政执法、疫情防控、扶贫帮扶各方面工作，一步一个脚印把幸福平安美丽科学城建设宏伟蓝图变为美好现实，较好地完成了2022年各项工作任务。</w:t>
      </w:r>
    </w:p>
    <w:p w14:paraId="26A9D993" w14:textId="77777777" w:rsidR="00127C4A" w:rsidRDefault="00F87DB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lastRenderedPageBreak/>
        <w:t>2022年度收入、支出调整预算数和年终执行数均为1437.32万元，我单位严格按照预算法和财政厅预算绩效管理相关制度规定，继续以绩效目标实现为导向，以评价结果应用为保障，努力提升绩效目标编制质量和自评质量，全面推进预算绩效管理工作。</w:t>
      </w:r>
    </w:p>
    <w:p w14:paraId="5D0C9379" w14:textId="77777777" w:rsidR="00127C4A" w:rsidRDefault="00127C4A" w:rsidP="00127C4A">
      <w:pPr>
        <w:widowControl/>
        <w:adjustRightInd w:val="0"/>
        <w:snapToGrid w:val="0"/>
        <w:spacing w:line="560" w:lineRule="exact"/>
        <w:ind w:firstLineChars="193" w:firstLine="618"/>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3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㈢</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结果应用情况</w:t>
      </w:r>
    </w:p>
    <w:p w14:paraId="46827634" w14:textId="77777777" w:rsidR="00127C4A" w:rsidRDefault="00F87DBA">
      <w:pPr>
        <w:pStyle w:val="Style1"/>
        <w:widowControl/>
        <w:adjustRightInd w:val="0"/>
        <w:snapToGrid w:val="0"/>
        <w:spacing w:line="560" w:lineRule="exact"/>
        <w:ind w:firstLine="640"/>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1.内部应用（分值10分，自评10分）</w:t>
      </w:r>
    </w:p>
    <w:p w14:paraId="15FD7C4A" w14:textId="77777777" w:rsidR="00127C4A" w:rsidRDefault="00F87DBA">
      <w:pPr>
        <w:pStyle w:val="Style1"/>
        <w:widowControl/>
        <w:adjustRightInd w:val="0"/>
        <w:snapToGrid w:val="0"/>
        <w:spacing w:line="560" w:lineRule="exact"/>
        <w:ind w:firstLineChars="0" w:firstLine="0"/>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 xml:space="preserve">    2022年省人民政府科学城办事处将部门内部绩效结果与预算挂钩，该项指标得10分。</w:t>
      </w:r>
    </w:p>
    <w:p w14:paraId="3895DCBA" w14:textId="77777777" w:rsidR="00127C4A" w:rsidRDefault="00F87DB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2.自评公开（分值5分，自评5分）</w:t>
      </w:r>
    </w:p>
    <w:p w14:paraId="6841AE19" w14:textId="77777777" w:rsidR="00127C4A" w:rsidRDefault="00F87DB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根据省厅要求，省人民政府科学城办事处2022年3月2日通过科学城阳光</w:t>
      </w:r>
      <w:proofErr w:type="gramStart"/>
      <w:r>
        <w:rPr>
          <w:rFonts w:ascii="仿宋_GB2312" w:hAnsi="仿宋" w:cs="宋体" w:hint="eastAsia"/>
          <w:snapToGrid w:val="0"/>
          <w:kern w:val="0"/>
          <w:szCs w:val="32"/>
          <w:shd w:val="clear" w:color="auto" w:fill="FFFFFF"/>
        </w:rPr>
        <w:t>政务网</w:t>
      </w:r>
      <w:proofErr w:type="gramEnd"/>
      <w:r>
        <w:rPr>
          <w:rFonts w:ascii="仿宋_GB2312" w:hAnsi="仿宋" w:cs="宋体" w:hint="eastAsia"/>
          <w:snapToGrid w:val="0"/>
          <w:kern w:val="0"/>
          <w:szCs w:val="32"/>
          <w:shd w:val="clear" w:color="auto" w:fill="FFFFFF"/>
        </w:rPr>
        <w:t>将2022年省级部门预算向社会公开，2022年8月29日通过科学城阳光</w:t>
      </w:r>
      <w:proofErr w:type="gramStart"/>
      <w:r>
        <w:rPr>
          <w:rFonts w:ascii="仿宋_GB2312" w:hAnsi="仿宋" w:cs="宋体" w:hint="eastAsia"/>
          <w:snapToGrid w:val="0"/>
          <w:kern w:val="0"/>
          <w:szCs w:val="32"/>
          <w:shd w:val="clear" w:color="auto" w:fill="FFFFFF"/>
        </w:rPr>
        <w:t>政务网</w:t>
      </w:r>
      <w:proofErr w:type="gramEnd"/>
      <w:r>
        <w:rPr>
          <w:rFonts w:ascii="仿宋_GB2312" w:hAnsi="仿宋" w:cs="宋体" w:hint="eastAsia"/>
          <w:snapToGrid w:val="0"/>
          <w:kern w:val="0"/>
          <w:szCs w:val="32"/>
          <w:shd w:val="clear" w:color="auto" w:fill="FFFFFF"/>
        </w:rPr>
        <w:t>将2021年度四川省人民政府科学城办事处部门决算公开，该项指标得5分。</w:t>
      </w:r>
    </w:p>
    <w:p w14:paraId="3AC0EFD1" w14:textId="77777777" w:rsidR="00127C4A" w:rsidRDefault="00F87DB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3.问题整改（分值5分，自评5分）</w:t>
      </w:r>
    </w:p>
    <w:p w14:paraId="16BCECA3" w14:textId="77777777" w:rsidR="00127C4A" w:rsidRDefault="00F87DB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我单位按期上报部门整体支出和预算项目支出绩效目标自评，未收到财政厅下达相关问题整改通知，</w:t>
      </w:r>
      <w:r>
        <w:rPr>
          <w:rFonts w:ascii="仿宋_GB2312" w:hAnsi="仿宋_GB2312" w:cs="仿宋_GB2312" w:hint="eastAsia"/>
          <w:snapToGrid w:val="0"/>
          <w:kern w:val="0"/>
          <w:szCs w:val="32"/>
          <w:shd w:val="clear" w:color="auto" w:fill="FFFFFF"/>
        </w:rPr>
        <w:t>该项指标得5分</w:t>
      </w:r>
      <w:r>
        <w:rPr>
          <w:rFonts w:ascii="仿宋_GB2312" w:hAnsi="仿宋" w:cs="宋体" w:hint="eastAsia"/>
          <w:snapToGrid w:val="0"/>
          <w:kern w:val="0"/>
          <w:szCs w:val="32"/>
          <w:shd w:val="clear" w:color="auto" w:fill="FFFFFF"/>
        </w:rPr>
        <w:t>。</w:t>
      </w:r>
    </w:p>
    <w:p w14:paraId="68CED62B" w14:textId="77777777" w:rsidR="00127C4A" w:rsidRDefault="00F87DBA">
      <w:pPr>
        <w:pStyle w:val="Style1"/>
        <w:widowControl/>
        <w:adjustRightInd w:val="0"/>
        <w:snapToGrid w:val="0"/>
        <w:spacing w:line="560" w:lineRule="exact"/>
        <w:ind w:firstLine="640"/>
        <w:jc w:val="left"/>
        <w:rPr>
          <w:rFonts w:ascii="仿宋_GB2312" w:hAnsi="仿宋" w:cs="宋体"/>
          <w:b/>
          <w:bCs/>
          <w:snapToGrid w:val="0"/>
          <w:kern w:val="0"/>
          <w:szCs w:val="32"/>
          <w:shd w:val="clear" w:color="auto" w:fill="FFFFFF"/>
        </w:rPr>
      </w:pPr>
      <w:r>
        <w:rPr>
          <w:rFonts w:ascii="仿宋_GB2312" w:hAnsi="仿宋" w:cs="宋体" w:hint="eastAsia"/>
          <w:snapToGrid w:val="0"/>
          <w:kern w:val="0"/>
          <w:szCs w:val="32"/>
          <w:shd w:val="clear" w:color="auto" w:fill="FFFFFF"/>
        </w:rPr>
        <w:t>4.应用反馈（分值5分，自评5分）</w:t>
      </w:r>
    </w:p>
    <w:p w14:paraId="61FB2F39" w14:textId="77777777" w:rsidR="00127C4A" w:rsidRDefault="00F87DBA">
      <w:pPr>
        <w:pStyle w:val="Style1"/>
        <w:widowControl/>
        <w:adjustRightInd w:val="0"/>
        <w:snapToGrid w:val="0"/>
        <w:spacing w:line="560" w:lineRule="exact"/>
        <w:ind w:firstLine="640"/>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2022年科学城办事处在规定时间内向财政部门反馈了应用绩效结果报告，</w:t>
      </w:r>
      <w:r>
        <w:rPr>
          <w:rFonts w:ascii="仿宋_GB2312" w:hAnsi="仿宋_GB2312" w:cs="仿宋_GB2312" w:hint="eastAsia"/>
          <w:snapToGrid w:val="0"/>
          <w:kern w:val="0"/>
          <w:szCs w:val="32"/>
          <w:shd w:val="clear" w:color="auto" w:fill="FFFFFF"/>
        </w:rPr>
        <w:t>该项指标得5分</w:t>
      </w:r>
      <w:r>
        <w:rPr>
          <w:rFonts w:ascii="仿宋_GB2312" w:hAnsi="仿宋" w:cs="宋体" w:hint="eastAsia"/>
          <w:snapToGrid w:val="0"/>
          <w:kern w:val="0"/>
          <w:szCs w:val="32"/>
          <w:shd w:val="clear" w:color="auto" w:fill="FFFFFF"/>
        </w:rPr>
        <w:t>。</w:t>
      </w:r>
    </w:p>
    <w:p w14:paraId="7C4F845B" w14:textId="77777777" w:rsidR="00127C4A" w:rsidRDefault="00127C4A" w:rsidP="00127C4A">
      <w:pPr>
        <w:pStyle w:val="Style1"/>
        <w:widowControl/>
        <w:adjustRightInd w:val="0"/>
        <w:snapToGrid w:val="0"/>
        <w:spacing w:line="560" w:lineRule="exact"/>
        <w:ind w:firstLineChars="193" w:firstLine="618"/>
        <w:jc w:val="left"/>
        <w:rPr>
          <w:rFonts w:ascii="楷体_GB2312" w:eastAsia="楷体_GB2312" w:hAnsi="楷体_GB2312" w:cs="楷体_GB2312"/>
          <w:snapToGrid w:val="0"/>
          <w:kern w:val="0"/>
          <w:szCs w:val="32"/>
          <w:shd w:val="clear" w:color="auto" w:fill="FFFFFF"/>
          <w:lang w:val="zh-CN"/>
        </w:rPr>
      </w:pPr>
      <w:r>
        <w:rPr>
          <w:rFonts w:ascii="楷体_GB2312" w:eastAsia="楷体_GB2312" w:hAnsi="楷体_GB2312" w:cs="楷体_GB2312" w:hint="eastAsia"/>
          <w:snapToGrid w:val="0"/>
          <w:kern w:val="0"/>
          <w:szCs w:val="32"/>
          <w:shd w:val="clear" w:color="auto" w:fill="FFFFFF"/>
          <w:lang w:val="zh-CN"/>
        </w:rPr>
        <w:fldChar w:fldCharType="begin"/>
      </w:r>
      <w:r w:rsidR="00F87DBA">
        <w:rPr>
          <w:rFonts w:ascii="楷体_GB2312" w:eastAsia="楷体_GB2312" w:hAnsi="楷体_GB2312" w:cs="楷体_GB2312" w:hint="eastAsia"/>
          <w:snapToGrid w:val="0"/>
          <w:kern w:val="0"/>
          <w:szCs w:val="32"/>
          <w:shd w:val="clear" w:color="auto" w:fill="FFFFFF"/>
          <w:lang w:val="zh-CN"/>
        </w:rPr>
        <w:instrText xml:space="preserve"> = 4 \* GB4 \* MERGEFORMAT </w:instrText>
      </w:r>
      <w:r>
        <w:rPr>
          <w:rFonts w:ascii="楷体_GB2312" w:eastAsia="楷体_GB2312" w:hAnsi="楷体_GB2312" w:cs="楷体_GB2312" w:hint="eastAsia"/>
          <w:snapToGrid w:val="0"/>
          <w:kern w:val="0"/>
          <w:szCs w:val="32"/>
          <w:shd w:val="clear" w:color="auto" w:fill="FFFFFF"/>
          <w:lang w:val="zh-CN"/>
        </w:rPr>
        <w:fldChar w:fldCharType="separate"/>
      </w:r>
      <w:r w:rsidR="00F87DBA">
        <w:t>㈣</w:t>
      </w:r>
      <w:r>
        <w:rPr>
          <w:rFonts w:ascii="楷体_GB2312" w:eastAsia="楷体_GB2312" w:hAnsi="楷体_GB2312" w:cs="楷体_GB2312" w:hint="eastAsia"/>
          <w:snapToGrid w:val="0"/>
          <w:kern w:val="0"/>
          <w:szCs w:val="32"/>
          <w:shd w:val="clear" w:color="auto" w:fill="FFFFFF"/>
          <w:lang w:val="zh-CN"/>
        </w:rPr>
        <w:fldChar w:fldCharType="end"/>
      </w:r>
      <w:r w:rsidR="00F87DBA">
        <w:rPr>
          <w:rFonts w:ascii="楷体_GB2312" w:eastAsia="楷体_GB2312" w:hAnsi="楷体_GB2312" w:cs="楷体_GB2312" w:hint="eastAsia"/>
          <w:snapToGrid w:val="0"/>
          <w:kern w:val="0"/>
          <w:szCs w:val="32"/>
          <w:shd w:val="clear" w:color="auto" w:fill="FFFFFF"/>
          <w:lang w:val="zh-CN"/>
        </w:rPr>
        <w:t>自评质量</w:t>
      </w:r>
    </w:p>
    <w:p w14:paraId="1195916B" w14:textId="77777777" w:rsidR="00127C4A" w:rsidRDefault="00F87DBA" w:rsidP="00127C4A">
      <w:pPr>
        <w:pStyle w:val="Style1"/>
        <w:widowControl/>
        <w:adjustRightInd w:val="0"/>
        <w:snapToGrid w:val="0"/>
        <w:spacing w:line="560" w:lineRule="exact"/>
        <w:ind w:firstLineChars="193" w:firstLine="618"/>
        <w:jc w:val="left"/>
        <w:rPr>
          <w:rFonts w:ascii="仿宋_GB2312" w:hAnsi="宋体" w:cs="宋体"/>
          <w:snapToGrid w:val="0"/>
          <w:kern w:val="0"/>
          <w:szCs w:val="32"/>
          <w:shd w:val="clear" w:color="auto" w:fill="FFFFFF"/>
        </w:rPr>
      </w:pPr>
      <w:r>
        <w:rPr>
          <w:rFonts w:ascii="仿宋_GB2312" w:hAnsi="宋体" w:cs="宋体" w:hint="eastAsia"/>
          <w:snapToGrid w:val="0"/>
          <w:kern w:val="0"/>
          <w:szCs w:val="32"/>
          <w:shd w:val="clear" w:color="auto" w:fill="FFFFFF"/>
          <w:lang w:val="zh-CN"/>
        </w:rPr>
        <w:lastRenderedPageBreak/>
        <w:t>严格按照《</w:t>
      </w:r>
      <w:r>
        <w:rPr>
          <w:rFonts w:ascii="仿宋_GB2312" w:hAnsi="宋体" w:cs="宋体" w:hint="eastAsia"/>
          <w:snapToGrid w:val="0"/>
          <w:kern w:val="0"/>
          <w:szCs w:val="32"/>
          <w:shd w:val="clear" w:color="auto" w:fill="FFFFFF"/>
        </w:rPr>
        <w:t>2023年省级部门整体绩效自评报告范本</w:t>
      </w:r>
      <w:r>
        <w:rPr>
          <w:rFonts w:ascii="仿宋_GB2312" w:hAnsi="宋体" w:cs="宋体" w:hint="eastAsia"/>
          <w:snapToGrid w:val="0"/>
          <w:kern w:val="0"/>
          <w:szCs w:val="32"/>
          <w:shd w:val="clear" w:color="auto" w:fill="FFFFFF"/>
          <w:lang w:val="zh-CN"/>
        </w:rPr>
        <w:t>》和《</w:t>
      </w:r>
      <w:r>
        <w:rPr>
          <w:rFonts w:ascii="仿宋_GB2312" w:hAnsi="宋体" w:cs="宋体" w:hint="eastAsia"/>
          <w:snapToGrid w:val="0"/>
          <w:kern w:val="0"/>
          <w:szCs w:val="32"/>
          <w:shd w:val="clear" w:color="auto" w:fill="FFFFFF"/>
        </w:rPr>
        <w:t>2023年省级部门整体绩效评价指标体系</w:t>
      </w:r>
      <w:r>
        <w:rPr>
          <w:rFonts w:ascii="仿宋_GB2312" w:hAnsi="宋体" w:cs="宋体" w:hint="eastAsia"/>
          <w:snapToGrid w:val="0"/>
          <w:kern w:val="0"/>
          <w:szCs w:val="32"/>
          <w:shd w:val="clear" w:color="auto" w:fill="FFFFFF"/>
          <w:lang w:val="zh-CN"/>
        </w:rPr>
        <w:t>》开展自评工作，</w:t>
      </w:r>
      <w:r>
        <w:rPr>
          <w:rFonts w:ascii="仿宋_GB2312" w:hAnsi="仿宋" w:cs="宋体" w:hint="eastAsia"/>
          <w:snapToGrid w:val="0"/>
          <w:kern w:val="0"/>
          <w:szCs w:val="32"/>
          <w:shd w:val="clear" w:color="auto" w:fill="FFFFFF"/>
        </w:rPr>
        <w:t>项目目标明确，资金到位及时，项目的组织管理有效，项目绩效目标基本实现。综上，项目总体评分为98.1分，评价等级为“优”。</w:t>
      </w:r>
    </w:p>
    <w:p w14:paraId="31F8812D" w14:textId="77777777" w:rsidR="00127C4A" w:rsidRDefault="00F87DBA" w:rsidP="00127C4A">
      <w:pPr>
        <w:widowControl/>
        <w:adjustRightInd w:val="0"/>
        <w:snapToGrid w:val="0"/>
        <w:spacing w:line="560" w:lineRule="exact"/>
        <w:ind w:firstLineChars="193" w:firstLine="618"/>
        <w:contextualSpacing/>
        <w:jc w:val="left"/>
        <w:rPr>
          <w:rFonts w:ascii="黑体" w:eastAsia="黑体" w:hAnsi="宋体" w:cs="宋体"/>
          <w:snapToGrid w:val="0"/>
          <w:color w:val="000000"/>
          <w:kern w:val="0"/>
          <w:sz w:val="32"/>
          <w:szCs w:val="32"/>
          <w:shd w:val="clear" w:color="auto" w:fill="FFFFFF"/>
        </w:rPr>
      </w:pPr>
      <w:r>
        <w:rPr>
          <w:rFonts w:ascii="黑体" w:eastAsia="黑体" w:hAnsi="宋体" w:cs="宋体" w:hint="eastAsia"/>
          <w:snapToGrid w:val="0"/>
          <w:color w:val="000000"/>
          <w:kern w:val="0"/>
          <w:sz w:val="32"/>
          <w:szCs w:val="32"/>
          <w:shd w:val="clear" w:color="auto" w:fill="FFFFFF"/>
        </w:rPr>
        <w:t>四、评价结论及建议</w:t>
      </w:r>
    </w:p>
    <w:p w14:paraId="258063E1" w14:textId="77777777" w:rsidR="00127C4A" w:rsidRDefault="00127C4A" w:rsidP="00127C4A">
      <w:pPr>
        <w:widowControl/>
        <w:adjustRightInd w:val="0"/>
        <w:snapToGrid w:val="0"/>
        <w:spacing w:line="560" w:lineRule="exact"/>
        <w:ind w:firstLineChars="193" w:firstLine="618"/>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1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㈠</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评价结论</w:t>
      </w:r>
    </w:p>
    <w:p w14:paraId="498481FC" w14:textId="77777777" w:rsidR="00127C4A" w:rsidRDefault="00F87DBA" w:rsidP="00127C4A">
      <w:pPr>
        <w:pStyle w:val="Style1"/>
        <w:widowControl/>
        <w:adjustRightInd w:val="0"/>
        <w:snapToGrid w:val="0"/>
        <w:spacing w:line="560" w:lineRule="exact"/>
        <w:ind w:firstLineChars="193" w:firstLine="618"/>
        <w:jc w:val="left"/>
        <w:rPr>
          <w:rFonts w:ascii="仿宋_GB2312" w:hAnsi="仿宋" w:cs="宋体"/>
          <w:snapToGrid w:val="0"/>
          <w:kern w:val="0"/>
          <w:szCs w:val="32"/>
          <w:shd w:val="clear" w:color="auto" w:fill="FFFFFF"/>
        </w:rPr>
      </w:pPr>
      <w:r>
        <w:rPr>
          <w:rFonts w:ascii="仿宋_GB2312" w:hAnsi="仿宋" w:cs="宋体" w:hint="eastAsia"/>
          <w:snapToGrid w:val="0"/>
          <w:kern w:val="0"/>
          <w:szCs w:val="32"/>
          <w:shd w:val="clear" w:color="auto" w:fill="FFFFFF"/>
        </w:rPr>
        <w:t>省人民政府科学城办事处管理制度健全，管理规范，预算编制及执行情况较好，整体支出合</w:t>
      </w:r>
      <w:proofErr w:type="gramStart"/>
      <w:r>
        <w:rPr>
          <w:rFonts w:ascii="仿宋_GB2312" w:hAnsi="仿宋" w:cs="宋体" w:hint="eastAsia"/>
          <w:snapToGrid w:val="0"/>
          <w:kern w:val="0"/>
          <w:szCs w:val="32"/>
          <w:shd w:val="clear" w:color="auto" w:fill="FFFFFF"/>
        </w:rPr>
        <w:t>规</w:t>
      </w:r>
      <w:proofErr w:type="gramEnd"/>
      <w:r>
        <w:rPr>
          <w:rFonts w:ascii="仿宋_GB2312" w:hAnsi="仿宋" w:cs="宋体" w:hint="eastAsia"/>
          <w:snapToGrid w:val="0"/>
          <w:kern w:val="0"/>
          <w:szCs w:val="32"/>
          <w:shd w:val="clear" w:color="auto" w:fill="FFFFFF"/>
        </w:rPr>
        <w:t>，资产管理到位；我们高度重视自身建设和能力提升，全方位履行政府职能，为辖区居民营造出优质的社会环境</w:t>
      </w:r>
      <w:r>
        <w:rPr>
          <w:rFonts w:ascii="仿宋_GB2312" w:hAnsi="仿宋" w:cs="宋体"/>
          <w:snapToGrid w:val="0"/>
          <w:kern w:val="0"/>
          <w:szCs w:val="32"/>
          <w:shd w:val="clear" w:color="auto" w:fill="FFFFFF"/>
        </w:rPr>
        <w:t>。</w:t>
      </w:r>
      <w:r>
        <w:rPr>
          <w:rFonts w:ascii="仿宋_GB2312" w:hAnsi="仿宋" w:cs="宋体" w:hint="eastAsia"/>
          <w:snapToGrid w:val="0"/>
          <w:kern w:val="0"/>
          <w:szCs w:val="32"/>
          <w:shd w:val="clear" w:color="auto" w:fill="FFFFFF"/>
        </w:rPr>
        <w:t>根据《财政厅关于开展2022年度省级部门绩效自评工作的通知》（</w:t>
      </w:r>
      <w:proofErr w:type="gramStart"/>
      <w:r>
        <w:rPr>
          <w:rFonts w:ascii="仿宋_GB2312" w:hAnsi="仿宋" w:cs="宋体" w:hint="eastAsia"/>
          <w:snapToGrid w:val="0"/>
          <w:kern w:val="0"/>
          <w:szCs w:val="32"/>
          <w:shd w:val="clear" w:color="auto" w:fill="FFFFFF"/>
        </w:rPr>
        <w:t>川财绩</w:t>
      </w:r>
      <w:proofErr w:type="gramEnd"/>
      <w:r>
        <w:rPr>
          <w:rFonts w:ascii="仿宋_GB2312" w:hAnsi="仿宋" w:hint="eastAsia"/>
          <w:snapToGrid w:val="0"/>
          <w:szCs w:val="32"/>
          <w:shd w:val="clear" w:color="auto" w:fill="FDFEFF"/>
        </w:rPr>
        <w:t>〔</w:t>
      </w:r>
      <w:r>
        <w:rPr>
          <w:rFonts w:ascii="仿宋_GB2312" w:hAnsi="仿宋" w:cs="宋体" w:hint="eastAsia"/>
          <w:snapToGrid w:val="0"/>
          <w:kern w:val="0"/>
          <w:szCs w:val="32"/>
          <w:shd w:val="clear" w:color="auto" w:fill="FFFFFF"/>
        </w:rPr>
        <w:t>2023</w:t>
      </w:r>
      <w:r>
        <w:rPr>
          <w:rFonts w:ascii="仿宋_GB2312" w:hAnsi="仿宋" w:hint="eastAsia"/>
          <w:snapToGrid w:val="0"/>
          <w:szCs w:val="32"/>
          <w:shd w:val="clear" w:color="auto" w:fill="FDFEFF"/>
        </w:rPr>
        <w:t>〕</w:t>
      </w:r>
      <w:r>
        <w:rPr>
          <w:rFonts w:ascii="仿宋_GB2312" w:hAnsi="仿宋" w:cs="宋体" w:hint="eastAsia"/>
          <w:snapToGrid w:val="0"/>
          <w:kern w:val="0"/>
          <w:szCs w:val="32"/>
          <w:shd w:val="clear" w:color="auto" w:fill="FFFFFF"/>
        </w:rPr>
        <w:t>4号）文件相关要求对本单位2022年整体绩效情况进行了自评。自评体系总分100分，经逐条考核，我单位自评得分98.1分。</w:t>
      </w:r>
    </w:p>
    <w:p w14:paraId="7B7B72D1" w14:textId="77777777" w:rsidR="00127C4A" w:rsidRDefault="00127C4A" w:rsidP="00127C4A">
      <w:pPr>
        <w:widowControl/>
        <w:adjustRightInd w:val="0"/>
        <w:snapToGrid w:val="0"/>
        <w:spacing w:line="560" w:lineRule="exact"/>
        <w:ind w:firstLineChars="193" w:firstLine="618"/>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2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㈡</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存在问题</w:t>
      </w:r>
    </w:p>
    <w:p w14:paraId="49F0A6B3"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部门预算前期执行力度不够，项目资金支出时间过于集中；</w:t>
      </w:r>
    </w:p>
    <w:p w14:paraId="3037F4B9"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绩效评价工作事中监督力度不够，对预算项目资金在实际执行过程中没有起到相应的调节作用；</w:t>
      </w:r>
    </w:p>
    <w:p w14:paraId="6DB432EC" w14:textId="77777777" w:rsidR="00127C4A" w:rsidRDefault="00F87DBA" w:rsidP="00127C4A">
      <w:pPr>
        <w:widowControl/>
        <w:adjustRightInd w:val="0"/>
        <w:snapToGrid w:val="0"/>
        <w:spacing w:line="560" w:lineRule="exact"/>
        <w:ind w:firstLineChars="193" w:firstLine="618"/>
        <w:jc w:val="left"/>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在保障</w:t>
      </w:r>
      <w:proofErr w:type="gramStart"/>
      <w:r>
        <w:rPr>
          <w:rFonts w:ascii="仿宋_GB2312" w:eastAsia="仿宋_GB2312" w:hAnsi="仿宋_GB2312" w:cs="仿宋_GB2312" w:hint="eastAsia"/>
          <w:snapToGrid w:val="0"/>
          <w:kern w:val="0"/>
          <w:sz w:val="32"/>
          <w:szCs w:val="32"/>
          <w:shd w:val="clear" w:color="auto" w:fill="FFFFFF"/>
        </w:rPr>
        <w:t>院事业</w:t>
      </w:r>
      <w:proofErr w:type="gramEnd"/>
      <w:r>
        <w:rPr>
          <w:rFonts w:ascii="仿宋_GB2312" w:eastAsia="仿宋_GB2312" w:hAnsi="仿宋_GB2312" w:cs="仿宋_GB2312" w:hint="eastAsia"/>
          <w:snapToGrid w:val="0"/>
          <w:kern w:val="0"/>
          <w:sz w:val="32"/>
          <w:szCs w:val="32"/>
          <w:shd w:val="clear" w:color="auto" w:fill="FFFFFF"/>
        </w:rPr>
        <w:t>发展上，资源配置和保障力度还不够；在保障民生上，辖区优质公共服务供给总量不足与配置不均衡并存，在社会保障、环境改善、休闲娱乐等方面不能满足职工居民的更高要求和期待；在政府自身建设上，人力资源困境依然突出，服务意识有待加强、服务质量有待提高。</w:t>
      </w:r>
    </w:p>
    <w:p w14:paraId="35128025" w14:textId="77777777" w:rsidR="00127C4A" w:rsidRDefault="00127C4A" w:rsidP="00127C4A">
      <w:pPr>
        <w:widowControl/>
        <w:adjustRightInd w:val="0"/>
        <w:snapToGrid w:val="0"/>
        <w:spacing w:line="560" w:lineRule="exact"/>
        <w:ind w:firstLineChars="193" w:firstLine="618"/>
        <w:contextualSpacing/>
        <w:jc w:val="left"/>
        <w:rPr>
          <w:rFonts w:ascii="楷体_GB2312" w:eastAsia="楷体_GB2312" w:hAnsi="楷体_GB2312" w:cs="楷体_GB2312"/>
          <w:snapToGrid w:val="0"/>
          <w:color w:val="000000"/>
          <w:kern w:val="0"/>
          <w:sz w:val="32"/>
          <w:szCs w:val="32"/>
          <w:shd w:val="clear" w:color="auto" w:fill="FFFFFF"/>
          <w:lang w:val="zh-CN"/>
        </w:rPr>
      </w:pPr>
      <w:r>
        <w:rPr>
          <w:rFonts w:ascii="楷体_GB2312" w:eastAsia="楷体_GB2312" w:hAnsi="楷体_GB2312" w:cs="楷体_GB2312" w:hint="eastAsia"/>
          <w:snapToGrid w:val="0"/>
          <w:color w:val="000000"/>
          <w:kern w:val="0"/>
          <w:sz w:val="32"/>
          <w:szCs w:val="32"/>
          <w:shd w:val="clear" w:color="auto" w:fill="FFFFFF"/>
          <w:lang w:val="zh-CN"/>
        </w:rPr>
        <w:lastRenderedPageBreak/>
        <w:fldChar w:fldCharType="begin"/>
      </w:r>
      <w:r w:rsidR="00F87DBA">
        <w:rPr>
          <w:rFonts w:ascii="楷体_GB2312" w:eastAsia="楷体_GB2312" w:hAnsi="楷体_GB2312" w:cs="楷体_GB2312" w:hint="eastAsia"/>
          <w:snapToGrid w:val="0"/>
          <w:color w:val="000000"/>
          <w:kern w:val="0"/>
          <w:sz w:val="32"/>
          <w:szCs w:val="32"/>
          <w:shd w:val="clear" w:color="auto" w:fill="FFFFFF"/>
          <w:lang w:val="zh-CN"/>
        </w:rPr>
        <w:instrText xml:space="preserve"> = 3 \* GB4 \* MERGEFORMAT </w:instrText>
      </w:r>
      <w:r>
        <w:rPr>
          <w:rFonts w:ascii="楷体_GB2312" w:eastAsia="楷体_GB2312" w:hAnsi="楷体_GB2312" w:cs="楷体_GB2312" w:hint="eastAsia"/>
          <w:snapToGrid w:val="0"/>
          <w:color w:val="000000"/>
          <w:kern w:val="0"/>
          <w:sz w:val="32"/>
          <w:szCs w:val="32"/>
          <w:shd w:val="clear" w:color="auto" w:fill="FFFFFF"/>
          <w:lang w:val="zh-CN"/>
        </w:rPr>
        <w:fldChar w:fldCharType="separate"/>
      </w:r>
      <w:r w:rsidR="00F87DBA">
        <w:rPr>
          <w:rFonts w:ascii="楷体_GB2312" w:eastAsia="楷体_GB2312" w:hAnsi="楷体_GB2312" w:cs="楷体_GB2312" w:hint="eastAsia"/>
          <w:snapToGrid w:val="0"/>
          <w:color w:val="000000"/>
          <w:kern w:val="0"/>
          <w:sz w:val="32"/>
          <w:szCs w:val="32"/>
          <w:shd w:val="clear" w:color="auto" w:fill="FFFFFF"/>
          <w:lang w:val="zh-CN"/>
        </w:rPr>
        <w:t>㈢</w:t>
      </w:r>
      <w:r>
        <w:rPr>
          <w:rFonts w:ascii="楷体_GB2312" w:eastAsia="楷体_GB2312" w:hAnsi="楷体_GB2312" w:cs="楷体_GB2312" w:hint="eastAsia"/>
          <w:snapToGrid w:val="0"/>
          <w:color w:val="000000"/>
          <w:kern w:val="0"/>
          <w:sz w:val="32"/>
          <w:szCs w:val="32"/>
          <w:shd w:val="clear" w:color="auto" w:fill="FFFFFF"/>
          <w:lang w:val="zh-CN"/>
        </w:rPr>
        <w:fldChar w:fldCharType="end"/>
      </w:r>
      <w:r w:rsidR="00F87DBA">
        <w:rPr>
          <w:rFonts w:ascii="楷体_GB2312" w:eastAsia="楷体_GB2312" w:hAnsi="楷体_GB2312" w:cs="楷体_GB2312" w:hint="eastAsia"/>
          <w:snapToGrid w:val="0"/>
          <w:color w:val="000000"/>
          <w:kern w:val="0"/>
          <w:sz w:val="32"/>
          <w:szCs w:val="32"/>
          <w:shd w:val="clear" w:color="auto" w:fill="FFFFFF"/>
          <w:lang w:val="zh-CN"/>
        </w:rPr>
        <w:t>改进建议</w:t>
      </w:r>
    </w:p>
    <w:p w14:paraId="21CAE163" w14:textId="77777777" w:rsidR="00127C4A" w:rsidRDefault="00F87DBA" w:rsidP="00127C4A">
      <w:pPr>
        <w:widowControl/>
        <w:adjustRightInd w:val="0"/>
        <w:snapToGrid w:val="0"/>
        <w:spacing w:line="560" w:lineRule="exact"/>
        <w:ind w:firstLineChars="193" w:firstLine="618"/>
        <w:contextualSpacing/>
        <w:jc w:val="left"/>
        <w:rPr>
          <w:rFonts w:ascii="方正小标宋简体" w:eastAsia="仿宋_GB2312" w:hAnsi="方正小标宋简体" w:cs="方正小标宋简体"/>
          <w:snapToGrid w:val="0"/>
          <w:sz w:val="44"/>
          <w:szCs w:val="44"/>
        </w:rPr>
      </w:pPr>
      <w:r>
        <w:rPr>
          <w:rFonts w:ascii="仿宋_GB2312" w:eastAsia="仿宋_GB2312" w:hAnsi="仿宋_GB2312" w:cs="仿宋_GB2312" w:hint="eastAsia"/>
          <w:snapToGrid w:val="0"/>
          <w:kern w:val="0"/>
          <w:sz w:val="32"/>
          <w:szCs w:val="32"/>
          <w:shd w:val="clear" w:color="auto" w:fill="FFFFFF"/>
        </w:rPr>
        <w:t>2023年需要进一步加强绩效目标管理，坚持问题导向，有的放矢，精准施策。督促项目资金使用部门合理安排资金，提高项目资金前期执行率；强化部门绩效事中监督调整力度，及时调整预算资金；采取有效措施建立起满足中物</w:t>
      </w:r>
      <w:proofErr w:type="gramStart"/>
      <w:r>
        <w:rPr>
          <w:rFonts w:ascii="仿宋_GB2312" w:eastAsia="仿宋_GB2312" w:hAnsi="仿宋_GB2312" w:cs="仿宋_GB2312" w:hint="eastAsia"/>
          <w:snapToGrid w:val="0"/>
          <w:kern w:val="0"/>
          <w:sz w:val="32"/>
          <w:szCs w:val="32"/>
          <w:shd w:val="clear" w:color="auto" w:fill="FFFFFF"/>
        </w:rPr>
        <w:t>院事业</w:t>
      </w:r>
      <w:proofErr w:type="gramEnd"/>
      <w:r>
        <w:rPr>
          <w:rFonts w:ascii="仿宋_GB2312" w:eastAsia="仿宋_GB2312" w:hAnsi="仿宋_GB2312" w:cs="仿宋_GB2312" w:hint="eastAsia"/>
          <w:snapToGrid w:val="0"/>
          <w:kern w:val="0"/>
          <w:sz w:val="32"/>
          <w:szCs w:val="32"/>
          <w:shd w:val="clear" w:color="auto" w:fill="FFFFFF"/>
        </w:rPr>
        <w:t>发展需要、符合辖区实际、具有自身特色的精干高效的管理体系。</w:t>
      </w:r>
    </w:p>
    <w:p w14:paraId="7F35538D" w14:textId="77777777" w:rsidR="00127C4A" w:rsidRDefault="00127C4A">
      <w:pPr>
        <w:widowControl/>
        <w:jc w:val="left"/>
        <w:rPr>
          <w:rStyle w:val="10"/>
          <w:rFonts w:ascii="黑体" w:eastAsia="黑体" w:hAnsi="黑体"/>
          <w:b w:val="0"/>
        </w:rPr>
        <w:sectPr w:rsidR="00127C4A" w:rsidSect="00537F21">
          <w:headerReference w:type="default" r:id="rId16"/>
          <w:footerReference w:type="default" r:id="rId17"/>
          <w:footerReference w:type="first" r:id="rId18"/>
          <w:pgSz w:w="11906" w:h="16838"/>
          <w:pgMar w:top="2098" w:right="1474" w:bottom="1985" w:left="1588" w:header="851" w:footer="992" w:gutter="0"/>
          <w:pgNumType w:start="1"/>
          <w:cols w:space="425"/>
          <w:titlePg/>
          <w:docGrid w:type="lines" w:linePitch="312"/>
        </w:sectPr>
      </w:pPr>
    </w:p>
    <w:tbl>
      <w:tblPr>
        <w:tblW w:w="14349" w:type="dxa"/>
        <w:tblInd w:w="-948" w:type="dxa"/>
        <w:tblLayout w:type="fixed"/>
        <w:tblCellMar>
          <w:top w:w="15" w:type="dxa"/>
          <w:left w:w="15" w:type="dxa"/>
          <w:bottom w:w="15" w:type="dxa"/>
          <w:right w:w="15" w:type="dxa"/>
        </w:tblCellMar>
        <w:tblLook w:val="04A0" w:firstRow="1" w:lastRow="0" w:firstColumn="1" w:lastColumn="0" w:noHBand="0" w:noVBand="1"/>
      </w:tblPr>
      <w:tblGrid>
        <w:gridCol w:w="972"/>
        <w:gridCol w:w="2028"/>
        <w:gridCol w:w="1252"/>
        <w:gridCol w:w="607"/>
        <w:gridCol w:w="2187"/>
        <w:gridCol w:w="971"/>
        <w:gridCol w:w="972"/>
        <w:gridCol w:w="972"/>
        <w:gridCol w:w="411"/>
        <w:gridCol w:w="561"/>
        <w:gridCol w:w="411"/>
        <w:gridCol w:w="560"/>
        <w:gridCol w:w="971"/>
        <w:gridCol w:w="1382"/>
        <w:gridCol w:w="23"/>
        <w:gridCol w:w="69"/>
      </w:tblGrid>
      <w:tr w:rsidR="00127C4A" w14:paraId="311BAB8A" w14:textId="77777777">
        <w:trPr>
          <w:gridAfter w:val="2"/>
          <w:wAfter w:w="92" w:type="dxa"/>
          <w:trHeight w:val="385"/>
        </w:trPr>
        <w:tc>
          <w:tcPr>
            <w:tcW w:w="1425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BD33817" w14:textId="77777777" w:rsidR="00127C4A" w:rsidRDefault="00F87DBA">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rPr>
              <w:lastRenderedPageBreak/>
              <w:t>部门预算项目支出绩效自评表（2022年度）</w:t>
            </w:r>
          </w:p>
        </w:tc>
      </w:tr>
      <w:tr w:rsidR="00127C4A" w14:paraId="546B3472" w14:textId="77777777">
        <w:trPr>
          <w:gridAfter w:val="2"/>
          <w:wAfter w:w="92" w:type="dxa"/>
          <w:trHeight w:val="228"/>
        </w:trPr>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90972A"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25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03EB6A"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51000021Y000000011494-单位运转项目</w:t>
            </w:r>
          </w:p>
        </w:tc>
      </w:tr>
      <w:tr w:rsidR="00127C4A" w14:paraId="272ADECC" w14:textId="77777777">
        <w:trPr>
          <w:gridAfter w:val="2"/>
          <w:wAfter w:w="92" w:type="dxa"/>
          <w:trHeight w:val="432"/>
        </w:trPr>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C7EBD5"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73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3AF0BDE"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省政府科学城办事处部门</w:t>
            </w:r>
          </w:p>
        </w:tc>
        <w:tc>
          <w:tcPr>
            <w:tcW w:w="972" w:type="dxa"/>
            <w:gridSpan w:val="2"/>
            <w:shd w:val="clear" w:color="auto" w:fill="auto"/>
            <w:vAlign w:val="center"/>
          </w:tcPr>
          <w:p w14:paraId="0D67140D" w14:textId="77777777" w:rsidR="00127C4A" w:rsidRDefault="00F87DB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rPr>
              <w:t>实施单位 （盖章）</w:t>
            </w:r>
          </w:p>
        </w:tc>
        <w:tc>
          <w:tcPr>
            <w:tcW w:w="2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78E66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省政府科学城办事处</w:t>
            </w:r>
          </w:p>
        </w:tc>
      </w:tr>
      <w:tr w:rsidR="00127C4A" w14:paraId="4305528B" w14:textId="77777777">
        <w:trPr>
          <w:gridAfter w:val="2"/>
          <w:wAfter w:w="92" w:type="dxa"/>
          <w:trHeight w:val="228"/>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B1FD7E"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项</w:t>
            </w:r>
          </w:p>
          <w:p w14:paraId="7156AC41"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目</w:t>
            </w:r>
          </w:p>
          <w:p w14:paraId="251B1F85"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基</w:t>
            </w:r>
          </w:p>
          <w:p w14:paraId="1C94E5FE"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本</w:t>
            </w:r>
          </w:p>
          <w:p w14:paraId="17480F5A"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情</w:t>
            </w:r>
          </w:p>
          <w:p w14:paraId="4281AD83" w14:textId="77777777" w:rsidR="00127C4A" w:rsidRDefault="00F87DBA">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rPr>
              <w:t>况</w:t>
            </w:r>
            <w:proofErr w:type="gramEnd"/>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A4ED0"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73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EDE3B5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970771" w14:textId="77777777" w:rsidR="00127C4A" w:rsidRDefault="00F87DB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rPr>
              <w:t>年度目标完成情况</w:t>
            </w:r>
          </w:p>
        </w:tc>
      </w:tr>
      <w:tr w:rsidR="00127C4A" w14:paraId="24AD5AC5" w14:textId="77777777">
        <w:trPr>
          <w:gridAfter w:val="2"/>
          <w:wAfter w:w="92" w:type="dxa"/>
          <w:trHeight w:val="1417"/>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C65D4" w14:textId="77777777" w:rsidR="00127C4A" w:rsidRDefault="00127C4A">
            <w:pP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B4CDC" w14:textId="77777777" w:rsidR="00127C4A" w:rsidRDefault="00127C4A">
            <w:pPr>
              <w:rPr>
                <w:rFonts w:ascii="宋体" w:hAnsi="宋体" w:cs="宋体"/>
                <w:color w:val="000000"/>
                <w:sz w:val="18"/>
                <w:szCs w:val="18"/>
              </w:rPr>
            </w:pPr>
          </w:p>
        </w:tc>
        <w:tc>
          <w:tcPr>
            <w:tcW w:w="73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8605B67"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通过该项目实施，进一步提升行政效能，提高行政执法水平，保证平安科学城建设的稳步持续推进；促进公共服务与社会管理能力不断提升，民生、文化教育、公共卫生事业不断发展，市场经济秩序规范有序，城市环境卫生不断完善，开展社区标准化、制度化、信息化建设，提升社区自治和服务水平，打造“一居</w:t>
            </w:r>
            <w:proofErr w:type="gramStart"/>
            <w:r>
              <w:rPr>
                <w:rFonts w:ascii="宋体" w:hAnsi="宋体" w:cs="宋体"/>
                <w:color w:val="000000"/>
                <w:kern w:val="0"/>
                <w:sz w:val="18"/>
                <w:szCs w:val="18"/>
              </w:rPr>
              <w:t>一</w:t>
            </w:r>
            <w:proofErr w:type="gramEnd"/>
            <w:r>
              <w:rPr>
                <w:rFonts w:ascii="宋体" w:hAnsi="宋体" w:cs="宋体"/>
                <w:color w:val="000000"/>
                <w:kern w:val="0"/>
                <w:sz w:val="18"/>
                <w:szCs w:val="18"/>
              </w:rPr>
              <w:t>特色”具有科学城文化特点的和谐社区。</w:t>
            </w:r>
          </w:p>
        </w:tc>
        <w:tc>
          <w:tcPr>
            <w:tcW w:w="38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9F6332"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完成了改革发展、科研保障、民生保障、城市建管、政务服务、行政执法、疫情防控、扶贫帮扶各方面工作。</w:t>
            </w:r>
          </w:p>
        </w:tc>
      </w:tr>
      <w:tr w:rsidR="00127C4A" w14:paraId="55DF4A72" w14:textId="77777777">
        <w:trPr>
          <w:gridAfter w:val="2"/>
          <w:wAfter w:w="92" w:type="dxa"/>
          <w:trHeight w:val="853"/>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FF6BC" w14:textId="77777777" w:rsidR="00127C4A" w:rsidRDefault="00127C4A">
            <w:pPr>
              <w:rPr>
                <w:rFonts w:ascii="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427F"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25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2E8BE75"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根据完成了保障科学城社会管理事务专项、科学城天网运行维护、人防工程运行维护、信息化运行维护、辖区食品药品安全保障、辖区道路及市政设施维修维护及科学城城区生活垃圾处置等重点工作任务。</w:t>
            </w:r>
          </w:p>
        </w:tc>
      </w:tr>
      <w:tr w:rsidR="00127C4A" w14:paraId="11867AFB" w14:textId="77777777">
        <w:trPr>
          <w:gridAfter w:val="1"/>
          <w:wAfter w:w="69" w:type="dxa"/>
          <w:trHeight w:val="432"/>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7DD3D"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预</w:t>
            </w:r>
          </w:p>
          <w:p w14:paraId="642F6797"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算</w:t>
            </w:r>
          </w:p>
          <w:p w14:paraId="09A60492"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执</w:t>
            </w:r>
          </w:p>
          <w:p w14:paraId="4109FA0E"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行</w:t>
            </w:r>
          </w:p>
          <w:p w14:paraId="36CABA96"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情</w:t>
            </w:r>
          </w:p>
          <w:p w14:paraId="1A64DB9E" w14:textId="77777777" w:rsidR="00127C4A" w:rsidRDefault="00F87DBA">
            <w:pPr>
              <w:widowControl/>
              <w:jc w:val="center"/>
              <w:textAlignment w:val="center"/>
              <w:rPr>
                <w:rFonts w:ascii="宋体" w:hAnsi="宋体" w:cs="宋体"/>
                <w:color w:val="000000"/>
                <w:kern w:val="0"/>
                <w:sz w:val="18"/>
                <w:szCs w:val="18"/>
              </w:rPr>
            </w:pPr>
            <w:proofErr w:type="gramStart"/>
            <w:r>
              <w:rPr>
                <w:rFonts w:ascii="宋体" w:hAnsi="宋体" w:cs="宋体"/>
                <w:color w:val="000000"/>
                <w:kern w:val="0"/>
                <w:sz w:val="18"/>
                <w:szCs w:val="18"/>
              </w:rPr>
              <w:t>况</w:t>
            </w:r>
            <w:proofErr w:type="gramEnd"/>
          </w:p>
          <w:p w14:paraId="2A4A0F0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（10分）</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003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564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A83F6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w:t>
            </w:r>
            <w:proofErr w:type="gramStart"/>
            <w:r>
              <w:rPr>
                <w:rFonts w:ascii="宋体" w:hAnsi="宋体" w:cs="宋体"/>
                <w:color w:val="000000"/>
                <w:kern w:val="0"/>
                <w:sz w:val="18"/>
                <w:szCs w:val="18"/>
              </w:rPr>
              <w:t>后预算</w:t>
            </w:r>
            <w:proofErr w:type="gramEnd"/>
            <w:r>
              <w:rPr>
                <w:rFonts w:ascii="宋体" w:hAnsi="宋体" w:cs="宋体"/>
                <w:color w:val="000000"/>
                <w:kern w:val="0"/>
                <w:sz w:val="18"/>
                <w:szCs w:val="18"/>
              </w:rPr>
              <w:t>数</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951DF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AAA5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6059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D22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B4F1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rsidR="00127C4A" w14:paraId="3235E14E" w14:textId="77777777">
        <w:trPr>
          <w:gridAfter w:val="1"/>
          <w:wAfter w:w="69" w:type="dxa"/>
          <w:trHeight w:val="228"/>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89D30" w14:textId="77777777" w:rsidR="00127C4A" w:rsidRDefault="00127C4A">
            <w:pPr>
              <w:jc w:val="center"/>
              <w:rPr>
                <w:rFonts w:ascii="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288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5D69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1,100.00</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9771F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1,100.00</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FC19A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1,093.69</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6FE37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99.43%</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7746D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9FD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32C17F" w14:textId="77777777" w:rsidR="00127C4A" w:rsidRDefault="00127C4A">
            <w:pPr>
              <w:rPr>
                <w:rFonts w:ascii="黑体" w:eastAsia="黑体" w:hAnsi="黑体" w:cs="黑体"/>
                <w:i/>
                <w:color w:val="000000"/>
                <w:sz w:val="18"/>
                <w:szCs w:val="18"/>
              </w:rPr>
            </w:pPr>
          </w:p>
        </w:tc>
      </w:tr>
      <w:tr w:rsidR="00127C4A" w14:paraId="2CD27EF2" w14:textId="77777777">
        <w:trPr>
          <w:gridAfter w:val="1"/>
          <w:wAfter w:w="69" w:type="dxa"/>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141B4" w14:textId="77777777" w:rsidR="00127C4A" w:rsidRDefault="00127C4A">
            <w:pPr>
              <w:jc w:val="center"/>
              <w:rPr>
                <w:rFonts w:ascii="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847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763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1,100.00</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72E8A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1,100.00</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551B8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1,093.69</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CD17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99.43%</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DC05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97B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DF87C" w14:textId="77777777" w:rsidR="00127C4A" w:rsidRDefault="00127C4A">
            <w:pPr>
              <w:rPr>
                <w:rFonts w:ascii="黑体" w:eastAsia="黑体" w:hAnsi="黑体" w:cs="黑体"/>
                <w:i/>
                <w:color w:val="000000"/>
                <w:sz w:val="18"/>
                <w:szCs w:val="18"/>
              </w:rPr>
            </w:pPr>
          </w:p>
        </w:tc>
      </w:tr>
      <w:tr w:rsidR="00127C4A" w14:paraId="358B3C4B" w14:textId="77777777">
        <w:trPr>
          <w:gridAfter w:val="1"/>
          <w:wAfter w:w="69" w:type="dxa"/>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CD1D9" w14:textId="77777777" w:rsidR="00127C4A" w:rsidRDefault="00127C4A">
            <w:pPr>
              <w:jc w:val="center"/>
              <w:rPr>
                <w:rFonts w:ascii="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B33B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B008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095E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3D51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2140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7B12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FA9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F4F1F" w14:textId="77777777" w:rsidR="00127C4A" w:rsidRDefault="00127C4A">
            <w:pPr>
              <w:rPr>
                <w:rFonts w:ascii="黑体" w:eastAsia="黑体" w:hAnsi="黑体" w:cs="黑体"/>
                <w:i/>
                <w:color w:val="000000"/>
                <w:sz w:val="18"/>
                <w:szCs w:val="18"/>
              </w:rPr>
            </w:pPr>
          </w:p>
        </w:tc>
      </w:tr>
      <w:tr w:rsidR="00127C4A" w14:paraId="1C00CE57" w14:textId="77777777">
        <w:trPr>
          <w:gridAfter w:val="1"/>
          <w:wAfter w:w="69" w:type="dxa"/>
          <w:trHeight w:val="228"/>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4CF88" w14:textId="77777777" w:rsidR="00127C4A" w:rsidRDefault="00127C4A">
            <w:pPr>
              <w:jc w:val="center"/>
              <w:rPr>
                <w:rFonts w:ascii="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566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21A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3161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03FA5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821C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52D1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4B4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7DC08" w14:textId="77777777" w:rsidR="00127C4A" w:rsidRDefault="00127C4A">
            <w:pPr>
              <w:rPr>
                <w:rFonts w:ascii="黑体" w:eastAsia="黑体" w:hAnsi="黑体" w:cs="黑体"/>
                <w:i/>
                <w:color w:val="000000"/>
                <w:sz w:val="18"/>
                <w:szCs w:val="18"/>
              </w:rPr>
            </w:pPr>
          </w:p>
        </w:tc>
      </w:tr>
      <w:tr w:rsidR="00127C4A" w14:paraId="590ED0FC" w14:textId="77777777">
        <w:trPr>
          <w:gridAfter w:val="1"/>
          <w:wAfter w:w="69" w:type="dxa"/>
          <w:trHeight w:val="228"/>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89241" w14:textId="77777777" w:rsidR="00127C4A" w:rsidRDefault="00127C4A">
            <w:pPr>
              <w:jc w:val="center"/>
              <w:rPr>
                <w:rFonts w:ascii="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BFB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FC90" w14:textId="77777777" w:rsidR="00127C4A" w:rsidRDefault="00127C4A">
            <w:pPr>
              <w:jc w:val="center"/>
              <w:rPr>
                <w:rFonts w:ascii="微软雅黑" w:eastAsia="微软雅黑" w:hAnsi="微软雅黑" w:cs="微软雅黑"/>
                <w:i/>
                <w:color w:val="000000"/>
                <w:sz w:val="16"/>
                <w:szCs w:val="16"/>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810C8" w14:textId="77777777" w:rsidR="00127C4A" w:rsidRDefault="00127C4A">
            <w:pPr>
              <w:jc w:val="center"/>
              <w:rPr>
                <w:rFonts w:ascii="微软雅黑" w:eastAsia="微软雅黑" w:hAnsi="微软雅黑" w:cs="微软雅黑"/>
                <w:i/>
                <w:color w:val="000000"/>
                <w:sz w:val="16"/>
                <w:szCs w:val="16"/>
              </w:rPr>
            </w:pP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A894C8" w14:textId="77777777" w:rsidR="00127C4A" w:rsidRDefault="00127C4A">
            <w:pPr>
              <w:jc w:val="center"/>
              <w:rPr>
                <w:rFonts w:ascii="微软雅黑" w:eastAsia="微软雅黑" w:hAnsi="微软雅黑" w:cs="微软雅黑"/>
                <w:i/>
                <w:color w:val="000000"/>
                <w:sz w:val="16"/>
                <w:szCs w:val="16"/>
              </w:rPr>
            </w:pP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0AB7B" w14:textId="77777777" w:rsidR="00127C4A" w:rsidRDefault="00127C4A">
            <w:pPr>
              <w:jc w:val="center"/>
              <w:rPr>
                <w:rFonts w:ascii="微软雅黑" w:eastAsia="微软雅黑" w:hAnsi="微软雅黑" w:cs="微软雅黑"/>
                <w:i/>
                <w:color w:val="000000"/>
                <w:sz w:val="16"/>
                <w:szCs w:val="16"/>
              </w:rPr>
            </w:pP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F33A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2AD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E9249" w14:textId="77777777" w:rsidR="00127C4A" w:rsidRDefault="00127C4A">
            <w:pPr>
              <w:rPr>
                <w:rFonts w:ascii="黑体" w:eastAsia="黑体" w:hAnsi="黑体" w:cs="黑体"/>
                <w:i/>
                <w:color w:val="000000"/>
                <w:sz w:val="18"/>
                <w:szCs w:val="18"/>
              </w:rPr>
            </w:pPr>
          </w:p>
        </w:tc>
      </w:tr>
      <w:tr w:rsidR="00127C4A" w14:paraId="6785EF85" w14:textId="77777777">
        <w:trPr>
          <w:gridAfter w:val="1"/>
          <w:wAfter w:w="69" w:type="dxa"/>
          <w:trHeight w:val="432"/>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7444EA" w14:textId="77777777" w:rsidR="00127C4A" w:rsidRDefault="00F87DBA">
            <w:pPr>
              <w:widowControl/>
              <w:jc w:val="center"/>
              <w:textAlignment w:val="center"/>
              <w:rPr>
                <w:rFonts w:ascii="宋体" w:hAnsi="宋体" w:cs="宋体"/>
                <w:color w:val="000000"/>
                <w:kern w:val="0"/>
                <w:sz w:val="18"/>
                <w:szCs w:val="18"/>
              </w:rPr>
            </w:pPr>
            <w:proofErr w:type="gramStart"/>
            <w:r>
              <w:rPr>
                <w:rFonts w:ascii="宋体" w:hAnsi="宋体" w:cs="宋体"/>
                <w:color w:val="000000"/>
                <w:kern w:val="0"/>
                <w:sz w:val="18"/>
                <w:szCs w:val="18"/>
              </w:rPr>
              <w:t>绩</w:t>
            </w:r>
            <w:proofErr w:type="gramEnd"/>
          </w:p>
          <w:p w14:paraId="0F849808" w14:textId="77777777" w:rsidR="00127C4A" w:rsidRDefault="00F87DBA">
            <w:pPr>
              <w:widowControl/>
              <w:jc w:val="center"/>
              <w:textAlignment w:val="center"/>
              <w:rPr>
                <w:rFonts w:ascii="宋体" w:hAnsi="宋体" w:cs="宋体"/>
                <w:color w:val="000000"/>
                <w:kern w:val="0"/>
                <w:sz w:val="18"/>
                <w:szCs w:val="18"/>
              </w:rPr>
            </w:pPr>
            <w:proofErr w:type="gramStart"/>
            <w:r>
              <w:rPr>
                <w:rFonts w:ascii="宋体" w:hAnsi="宋体" w:cs="宋体"/>
                <w:color w:val="000000"/>
                <w:kern w:val="0"/>
                <w:sz w:val="18"/>
                <w:szCs w:val="18"/>
              </w:rPr>
              <w:t>效</w:t>
            </w:r>
            <w:proofErr w:type="gramEnd"/>
          </w:p>
          <w:p w14:paraId="6CC92845"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指</w:t>
            </w:r>
          </w:p>
          <w:p w14:paraId="7C1AD633" w14:textId="77777777" w:rsidR="00127C4A" w:rsidRDefault="00F87DB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标</w:t>
            </w:r>
          </w:p>
          <w:p w14:paraId="2C985B8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（90分）</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7E1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4B1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1297D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72E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4442"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70F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DD920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37AA2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4A7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D104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rsidR="00127C4A" w14:paraId="09C46FEF" w14:textId="77777777">
        <w:trPr>
          <w:gridAfter w:val="1"/>
          <w:wAfter w:w="69" w:type="dxa"/>
          <w:trHeight w:val="648"/>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2B3F6" w14:textId="77777777" w:rsidR="00127C4A" w:rsidRDefault="00127C4A">
            <w:pPr>
              <w:jc w:val="center"/>
              <w:rPr>
                <w:rFonts w:ascii="宋体" w:hAnsi="宋体" w:cs="宋体"/>
                <w:color w:val="000000"/>
                <w:sz w:val="18"/>
                <w:szCs w:val="18"/>
              </w:rPr>
            </w:pP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FE946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8FD11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55367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完成天网工程运</w:t>
            </w:r>
            <w:proofErr w:type="gramStart"/>
            <w:r>
              <w:rPr>
                <w:rFonts w:ascii="宋体" w:hAnsi="宋体" w:cs="宋体"/>
                <w:color w:val="000000"/>
                <w:kern w:val="0"/>
                <w:sz w:val="18"/>
                <w:szCs w:val="18"/>
              </w:rPr>
              <w:t>维设施</w:t>
            </w:r>
            <w:proofErr w:type="gramEnd"/>
            <w:r>
              <w:rPr>
                <w:rFonts w:ascii="宋体" w:hAnsi="宋体" w:cs="宋体"/>
                <w:color w:val="000000"/>
                <w:kern w:val="0"/>
                <w:sz w:val="18"/>
                <w:szCs w:val="18"/>
              </w:rPr>
              <w:t>设备数量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8897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7B1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192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2247" w14:textId="77777777" w:rsidR="00127C4A" w:rsidRDefault="00F87DBA">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rPr>
              <w:t>台套</w:t>
            </w:r>
            <w:proofErr w:type="gramEnd"/>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8CD53B"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192</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DD37A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38B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65BB04" w14:textId="77777777" w:rsidR="00127C4A" w:rsidRDefault="00127C4A">
            <w:pPr>
              <w:jc w:val="center"/>
              <w:rPr>
                <w:rFonts w:ascii="微软雅黑" w:eastAsia="微软雅黑" w:hAnsi="微软雅黑" w:cs="微软雅黑"/>
                <w:i/>
                <w:color w:val="000000"/>
                <w:sz w:val="16"/>
                <w:szCs w:val="16"/>
              </w:rPr>
            </w:pPr>
          </w:p>
        </w:tc>
      </w:tr>
      <w:tr w:rsidR="00127C4A" w14:paraId="3B0591BC" w14:textId="77777777">
        <w:trPr>
          <w:gridAfter w:val="1"/>
          <w:wAfter w:w="69" w:type="dxa"/>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6D174"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E40BC"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62DDC"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A284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服务辖区老年人人数</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70C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709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12B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人次</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9E9B9"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12500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81F9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E03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E291F1" w14:textId="77777777" w:rsidR="00127C4A" w:rsidRDefault="00127C4A">
            <w:pPr>
              <w:jc w:val="center"/>
              <w:rPr>
                <w:rFonts w:ascii="微软雅黑" w:eastAsia="微软雅黑" w:hAnsi="微软雅黑" w:cs="微软雅黑"/>
                <w:i/>
                <w:color w:val="000000"/>
                <w:sz w:val="16"/>
                <w:szCs w:val="16"/>
              </w:rPr>
            </w:pPr>
          </w:p>
        </w:tc>
      </w:tr>
      <w:tr w:rsidR="00127C4A" w14:paraId="776DD6B4"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4A233" w14:textId="77777777" w:rsidR="00127C4A" w:rsidRDefault="00127C4A">
            <w:pPr>
              <w:jc w:val="center"/>
              <w:rPr>
                <w:rFonts w:ascii="宋体" w:hAnsi="宋体" w:cs="宋体"/>
                <w:color w:val="000000"/>
                <w:sz w:val="18"/>
                <w:szCs w:val="18"/>
              </w:rPr>
            </w:pPr>
          </w:p>
        </w:tc>
        <w:tc>
          <w:tcPr>
            <w:tcW w:w="2028" w:type="dxa"/>
            <w:vMerge w:val="restart"/>
            <w:tcBorders>
              <w:top w:val="single" w:sz="4" w:space="0" w:color="000000"/>
              <w:left w:val="single" w:sz="4" w:space="0" w:color="000000"/>
              <w:right w:val="single" w:sz="4" w:space="0" w:color="000000"/>
            </w:tcBorders>
            <w:shd w:val="clear" w:color="auto" w:fill="auto"/>
            <w:vAlign w:val="center"/>
          </w:tcPr>
          <w:p w14:paraId="2FBF749E" w14:textId="77777777" w:rsidR="00127C4A" w:rsidRDefault="00127C4A">
            <w:pPr>
              <w:jc w:val="center"/>
              <w:rPr>
                <w:rFonts w:ascii="宋体" w:hAnsi="宋体" w:cs="宋体"/>
                <w:color w:val="000000"/>
                <w:sz w:val="18"/>
                <w:szCs w:val="18"/>
              </w:rPr>
            </w:pPr>
          </w:p>
        </w:tc>
        <w:tc>
          <w:tcPr>
            <w:tcW w:w="1252" w:type="dxa"/>
            <w:vMerge w:val="restart"/>
            <w:tcBorders>
              <w:top w:val="single" w:sz="4" w:space="0" w:color="000000"/>
              <w:left w:val="single" w:sz="4" w:space="0" w:color="000000"/>
              <w:right w:val="single" w:sz="4" w:space="0" w:color="000000"/>
            </w:tcBorders>
            <w:shd w:val="clear" w:color="auto" w:fill="auto"/>
            <w:vAlign w:val="center"/>
          </w:tcPr>
          <w:p w14:paraId="5EE98F10"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2457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管理下属职能数量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81E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6F8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53C2" w14:textId="77777777" w:rsidR="00127C4A" w:rsidRDefault="00F87DBA">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rPr>
              <w:t>个</w:t>
            </w:r>
            <w:proofErr w:type="gramEnd"/>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403A7"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22</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D172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1152"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E69CD" w14:textId="77777777" w:rsidR="00127C4A" w:rsidRDefault="00127C4A">
            <w:pPr>
              <w:jc w:val="center"/>
              <w:rPr>
                <w:rFonts w:ascii="微软雅黑" w:eastAsia="微软雅黑" w:hAnsi="微软雅黑" w:cs="微软雅黑"/>
                <w:i/>
                <w:color w:val="000000"/>
                <w:sz w:val="16"/>
                <w:szCs w:val="16"/>
              </w:rPr>
            </w:pPr>
          </w:p>
        </w:tc>
      </w:tr>
      <w:tr w:rsidR="00127C4A" w14:paraId="0443F079" w14:textId="77777777">
        <w:trPr>
          <w:trHeight w:val="1080"/>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2B38C"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EDAF2"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274FF"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F108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完成办公及业务用房屋建筑物及附属设施维修维护数量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3C1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472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30B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处</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A4B20"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38</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0F89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B81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8A0DE6" w14:textId="77777777" w:rsidR="00127C4A" w:rsidRDefault="00F87DBA">
            <w:pPr>
              <w:widowControl/>
              <w:jc w:val="center"/>
              <w:textAlignment w:val="center"/>
              <w:rPr>
                <w:rFonts w:ascii="微软雅黑" w:eastAsia="微软雅黑" w:hAnsi="微软雅黑" w:cs="微软雅黑"/>
                <w:i/>
                <w:color w:val="000000"/>
                <w:sz w:val="16"/>
                <w:szCs w:val="16"/>
              </w:rPr>
            </w:pPr>
            <w:r>
              <w:rPr>
                <w:rFonts w:ascii="微软雅黑" w:eastAsia="微软雅黑" w:hAnsi="微软雅黑" w:cs="微软雅黑" w:hint="eastAsia"/>
                <w:i/>
                <w:color w:val="000000"/>
                <w:kern w:val="0"/>
                <w:sz w:val="16"/>
                <w:szCs w:val="16"/>
              </w:rPr>
              <w:t>单位全年实际维修维护</w:t>
            </w:r>
          </w:p>
        </w:tc>
      </w:tr>
      <w:tr w:rsidR="00127C4A" w14:paraId="2FCD9D82" w14:textId="77777777">
        <w:trPr>
          <w:trHeight w:val="228"/>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D031C"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1D2902"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AF16A"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CC587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租车数量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52F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469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C51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辆</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BA9FD"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52B12"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3B6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AE1E50" w14:textId="77777777" w:rsidR="00127C4A" w:rsidRDefault="00127C4A">
            <w:pPr>
              <w:jc w:val="center"/>
              <w:rPr>
                <w:rFonts w:ascii="微软雅黑" w:eastAsia="微软雅黑" w:hAnsi="微软雅黑" w:cs="微软雅黑"/>
                <w:i/>
                <w:color w:val="000000"/>
                <w:sz w:val="16"/>
                <w:szCs w:val="16"/>
              </w:rPr>
            </w:pPr>
          </w:p>
        </w:tc>
      </w:tr>
      <w:tr w:rsidR="00127C4A" w14:paraId="0121899F" w14:textId="77777777">
        <w:trPr>
          <w:trHeight w:val="529"/>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051C6"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E190F"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41F4E"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1B86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辖区生活垃圾处置量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CCD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4A7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8600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9D5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吨</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0E239"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6238.2</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38E9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B6E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23A944"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生活垃圾减量化处置</w:t>
            </w:r>
          </w:p>
        </w:tc>
      </w:tr>
      <w:tr w:rsidR="00127C4A" w14:paraId="7A19A2E7"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94C29"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BB1F6"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7137D"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39C8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完成政</w:t>
            </w:r>
            <w:proofErr w:type="gramStart"/>
            <w:r>
              <w:rPr>
                <w:rFonts w:ascii="宋体" w:hAnsi="宋体" w:cs="宋体"/>
                <w:color w:val="000000"/>
                <w:kern w:val="0"/>
                <w:sz w:val="18"/>
                <w:szCs w:val="18"/>
              </w:rPr>
              <w:t>研</w:t>
            </w:r>
            <w:proofErr w:type="gramEnd"/>
            <w:r>
              <w:rPr>
                <w:rFonts w:ascii="宋体" w:hAnsi="宋体" w:cs="宋体"/>
                <w:color w:val="000000"/>
                <w:kern w:val="0"/>
                <w:sz w:val="18"/>
                <w:szCs w:val="18"/>
              </w:rPr>
              <w:t>课题数量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5D2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A1F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B03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篇（部）</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5170F"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280C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416F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0190B6" w14:textId="77777777" w:rsidR="00127C4A" w:rsidRDefault="00127C4A">
            <w:pPr>
              <w:jc w:val="center"/>
              <w:rPr>
                <w:rFonts w:ascii="微软雅黑" w:eastAsia="微软雅黑" w:hAnsi="微软雅黑" w:cs="微软雅黑"/>
                <w:i/>
                <w:color w:val="000000"/>
                <w:sz w:val="16"/>
                <w:szCs w:val="16"/>
              </w:rPr>
            </w:pPr>
          </w:p>
        </w:tc>
      </w:tr>
      <w:tr w:rsidR="00127C4A" w14:paraId="27D17355"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B83CF"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C7AD6"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112708"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315B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人防工程日常运维数量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66C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48A7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4E4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座</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4B91C"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8E2D4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E3C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6B05FC" w14:textId="77777777" w:rsidR="00127C4A" w:rsidRDefault="00127C4A">
            <w:pPr>
              <w:jc w:val="center"/>
              <w:rPr>
                <w:rFonts w:ascii="微软雅黑" w:eastAsia="微软雅黑" w:hAnsi="微软雅黑" w:cs="微软雅黑"/>
                <w:i/>
                <w:color w:val="000000"/>
                <w:sz w:val="16"/>
                <w:szCs w:val="16"/>
              </w:rPr>
            </w:pPr>
          </w:p>
        </w:tc>
      </w:tr>
      <w:tr w:rsidR="00127C4A" w14:paraId="304D0B0E"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2551A"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79C63"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768EB"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10C90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食品药品检测数量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DA3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C9DE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1350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FDD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批次</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84A614"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1628</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4403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FD2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1FC171" w14:textId="77777777" w:rsidR="00127C4A" w:rsidRDefault="00127C4A">
            <w:pPr>
              <w:jc w:val="center"/>
              <w:rPr>
                <w:rFonts w:ascii="微软雅黑" w:eastAsia="微软雅黑" w:hAnsi="微软雅黑" w:cs="微软雅黑"/>
                <w:i/>
                <w:color w:val="000000"/>
                <w:sz w:val="16"/>
                <w:szCs w:val="16"/>
              </w:rPr>
            </w:pPr>
          </w:p>
        </w:tc>
      </w:tr>
      <w:tr w:rsidR="00127C4A" w14:paraId="421D0862" w14:textId="77777777">
        <w:trPr>
          <w:trHeight w:val="648"/>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DED6F"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A6A88"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5A784"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8511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完成设施设备维修维护 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B20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4B0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2F45" w14:textId="77777777" w:rsidR="00127C4A" w:rsidRDefault="00F87DBA">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rPr>
              <w:t>台套</w:t>
            </w:r>
            <w:proofErr w:type="gramEnd"/>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66134"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760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BDA62"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E14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904E6A" w14:textId="77777777" w:rsidR="00127C4A" w:rsidRDefault="00F87DBA">
            <w:pPr>
              <w:widowControl/>
              <w:jc w:val="center"/>
              <w:textAlignment w:val="center"/>
              <w:rPr>
                <w:rFonts w:ascii="微软雅黑" w:eastAsia="微软雅黑" w:hAnsi="微软雅黑" w:cs="微软雅黑"/>
                <w:i/>
                <w:color w:val="000000"/>
                <w:sz w:val="16"/>
                <w:szCs w:val="16"/>
              </w:rPr>
            </w:pPr>
            <w:r>
              <w:rPr>
                <w:rFonts w:ascii="微软雅黑" w:eastAsia="微软雅黑" w:hAnsi="微软雅黑" w:cs="微软雅黑" w:hint="eastAsia"/>
                <w:i/>
                <w:color w:val="000000"/>
                <w:kern w:val="0"/>
                <w:sz w:val="16"/>
                <w:szCs w:val="16"/>
              </w:rPr>
              <w:t>单位全年实际维修维护</w:t>
            </w:r>
          </w:p>
        </w:tc>
      </w:tr>
      <w:tr w:rsidR="00127C4A" w14:paraId="1B322241" w14:textId="77777777">
        <w:trPr>
          <w:trHeight w:val="1080"/>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76334"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5A64B"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9745E"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2344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完成市政设施(道路/水沟/交安设施)(维修维护</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8AF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0E2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22B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米</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14A3B2"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15400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D895A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945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D48654" w14:textId="77777777" w:rsidR="00127C4A" w:rsidRDefault="00F87DBA">
            <w:pPr>
              <w:widowControl/>
              <w:jc w:val="center"/>
              <w:textAlignment w:val="center"/>
              <w:rPr>
                <w:rFonts w:ascii="微软雅黑" w:eastAsia="微软雅黑" w:hAnsi="微软雅黑" w:cs="微软雅黑"/>
                <w:i/>
                <w:color w:val="000000"/>
                <w:sz w:val="16"/>
                <w:szCs w:val="16"/>
              </w:rPr>
            </w:pPr>
            <w:r>
              <w:rPr>
                <w:rFonts w:ascii="微软雅黑" w:eastAsia="微软雅黑" w:hAnsi="微软雅黑" w:cs="微软雅黑" w:hint="eastAsia"/>
                <w:i/>
                <w:color w:val="000000"/>
                <w:kern w:val="0"/>
                <w:sz w:val="16"/>
                <w:szCs w:val="16"/>
              </w:rPr>
              <w:t>辖区全年水沟清理总量</w:t>
            </w:r>
          </w:p>
        </w:tc>
      </w:tr>
      <w:tr w:rsidR="00127C4A" w14:paraId="0689CBFC"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8D401"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A13A4"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035FE"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4530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管理社区数量</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2E44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C475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B73E" w14:textId="77777777" w:rsidR="00127C4A" w:rsidRDefault="00F87DBA">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rPr>
              <w:t>个</w:t>
            </w:r>
            <w:proofErr w:type="gramEnd"/>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4940D"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8077F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E06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B8B1CC" w14:textId="77777777" w:rsidR="00127C4A" w:rsidRDefault="00127C4A">
            <w:pPr>
              <w:jc w:val="center"/>
              <w:rPr>
                <w:rFonts w:ascii="微软雅黑" w:eastAsia="微软雅黑" w:hAnsi="微软雅黑" w:cs="微软雅黑"/>
                <w:i/>
                <w:color w:val="000000"/>
                <w:sz w:val="16"/>
                <w:szCs w:val="16"/>
              </w:rPr>
            </w:pPr>
          </w:p>
        </w:tc>
      </w:tr>
      <w:tr w:rsidR="00127C4A" w14:paraId="2303A728"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33319"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C3AE5"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C43ED"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6A1A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设置环境监测点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6E1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D7F6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C02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处</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C260CD"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88C3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CC0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B95BCD" w14:textId="77777777" w:rsidR="00127C4A" w:rsidRDefault="00127C4A">
            <w:pPr>
              <w:jc w:val="center"/>
              <w:rPr>
                <w:rFonts w:ascii="微软雅黑" w:eastAsia="微软雅黑" w:hAnsi="微软雅黑" w:cs="微软雅黑"/>
                <w:i/>
                <w:color w:val="000000"/>
                <w:sz w:val="16"/>
                <w:szCs w:val="16"/>
              </w:rPr>
            </w:pPr>
          </w:p>
        </w:tc>
      </w:tr>
      <w:tr w:rsidR="00127C4A" w14:paraId="5AD01B0F"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081A5"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A8829" w14:textId="77777777" w:rsidR="00127C4A" w:rsidRDefault="00127C4A">
            <w:pPr>
              <w:jc w:val="center"/>
              <w:rPr>
                <w:rFonts w:ascii="宋体" w:hAnsi="宋体" w:cs="宋体"/>
                <w:color w:val="000000"/>
                <w:sz w:val="18"/>
                <w:szCs w:val="18"/>
              </w:rPr>
            </w:p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7651F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3CFC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办公及业务网线畅通</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6EC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551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DFFA" w14:textId="77777777" w:rsidR="00127C4A" w:rsidRDefault="00127C4A">
            <w:pPr>
              <w:jc w:val="center"/>
              <w:rPr>
                <w:rFonts w:ascii="宋体" w:hAnsi="宋体" w:cs="宋体"/>
                <w:color w:val="000000"/>
                <w:sz w:val="18"/>
                <w:szCs w:val="18"/>
              </w:rPr>
            </w:pP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FF3444"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优</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84E24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B162"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E9A0F1" w14:textId="77777777" w:rsidR="00127C4A" w:rsidRDefault="00127C4A">
            <w:pPr>
              <w:jc w:val="center"/>
              <w:rPr>
                <w:rFonts w:ascii="微软雅黑" w:eastAsia="微软雅黑" w:hAnsi="微软雅黑" w:cs="微软雅黑"/>
                <w:i/>
                <w:color w:val="000000"/>
                <w:sz w:val="16"/>
                <w:szCs w:val="16"/>
              </w:rPr>
            </w:pPr>
          </w:p>
        </w:tc>
      </w:tr>
      <w:tr w:rsidR="00127C4A" w14:paraId="7CBAACAC" w14:textId="77777777">
        <w:trPr>
          <w:trHeight w:val="648"/>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B02A9"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20308"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8B2AA3"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F9C2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维修维护项目验收合格率</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AEC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F8F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BC9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E5C39"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4C41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320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7EFCF3" w14:textId="77777777" w:rsidR="00127C4A" w:rsidRDefault="00127C4A">
            <w:pPr>
              <w:jc w:val="center"/>
              <w:rPr>
                <w:rFonts w:ascii="微软雅黑" w:eastAsia="微软雅黑" w:hAnsi="微软雅黑" w:cs="微软雅黑"/>
                <w:i/>
                <w:color w:val="000000"/>
                <w:sz w:val="16"/>
                <w:szCs w:val="16"/>
              </w:rPr>
            </w:pPr>
          </w:p>
        </w:tc>
      </w:tr>
      <w:tr w:rsidR="00127C4A" w14:paraId="40A83CA3"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F3DBE"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07438"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76C27"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6CC58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文体活动覆盖率</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5A3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9897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442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F2112"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90.00%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4A36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933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474ED5" w14:textId="77777777" w:rsidR="00127C4A" w:rsidRDefault="00127C4A">
            <w:pPr>
              <w:jc w:val="center"/>
              <w:rPr>
                <w:rFonts w:ascii="微软雅黑" w:eastAsia="微软雅黑" w:hAnsi="微软雅黑" w:cs="微软雅黑"/>
                <w:i/>
                <w:color w:val="000000"/>
                <w:sz w:val="16"/>
                <w:szCs w:val="16"/>
              </w:rPr>
            </w:pPr>
          </w:p>
        </w:tc>
      </w:tr>
      <w:tr w:rsidR="00127C4A" w14:paraId="4F61D803"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B0B6A"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19EF3" w14:textId="77777777" w:rsidR="00127C4A" w:rsidRDefault="00127C4A">
            <w:pPr>
              <w:jc w:val="center"/>
              <w:rPr>
                <w:rFonts w:ascii="宋体" w:hAnsi="宋体" w:cs="宋体"/>
                <w:color w:val="000000"/>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A80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9963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完成工作时限</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3AF7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388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B4D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B2965"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000D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7A0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3EEEF3" w14:textId="77777777" w:rsidR="00127C4A" w:rsidRDefault="00127C4A">
            <w:pPr>
              <w:jc w:val="center"/>
              <w:rPr>
                <w:rFonts w:ascii="微软雅黑" w:eastAsia="微软雅黑" w:hAnsi="微软雅黑" w:cs="微软雅黑"/>
                <w:i/>
                <w:color w:val="000000"/>
                <w:sz w:val="16"/>
                <w:szCs w:val="16"/>
              </w:rPr>
            </w:pPr>
          </w:p>
        </w:tc>
      </w:tr>
      <w:tr w:rsidR="00127C4A" w14:paraId="2416DFDA"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8CF1E"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E9E8C" w14:textId="77777777" w:rsidR="00127C4A" w:rsidRDefault="00127C4A">
            <w:pPr>
              <w:jc w:val="center"/>
              <w:rPr>
                <w:rFonts w:ascii="宋体" w:hAnsi="宋体" w:cs="宋体"/>
                <w:color w:val="000000"/>
                <w:sz w:val="18"/>
                <w:szCs w:val="18"/>
              </w:rPr>
            </w:p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B5230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D5F9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天网工程维保年费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14F7"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390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120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673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AE2A49"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118.7</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02E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C76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1B0EE3" w14:textId="77777777" w:rsidR="00127C4A" w:rsidRDefault="00127C4A">
            <w:pPr>
              <w:jc w:val="center"/>
              <w:rPr>
                <w:rFonts w:ascii="微软雅黑" w:eastAsia="微软雅黑" w:hAnsi="微软雅黑" w:cs="微软雅黑"/>
                <w:i/>
                <w:color w:val="000000"/>
                <w:sz w:val="16"/>
                <w:szCs w:val="16"/>
              </w:rPr>
            </w:pPr>
          </w:p>
        </w:tc>
      </w:tr>
      <w:tr w:rsidR="00127C4A" w14:paraId="5AA19F4F"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66951"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307F7"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569C4"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778A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动物检疫年费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0FE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B197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B59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41CB13"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88FB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240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C97530" w14:textId="77777777" w:rsidR="00127C4A" w:rsidRDefault="00127C4A">
            <w:pPr>
              <w:jc w:val="center"/>
              <w:rPr>
                <w:rFonts w:ascii="微软雅黑" w:eastAsia="微软雅黑" w:hAnsi="微软雅黑" w:cs="微软雅黑"/>
                <w:i/>
                <w:color w:val="000000"/>
                <w:sz w:val="16"/>
                <w:szCs w:val="16"/>
              </w:rPr>
            </w:pPr>
          </w:p>
        </w:tc>
      </w:tr>
      <w:tr w:rsidR="00127C4A" w14:paraId="3048E0CB" w14:textId="77777777">
        <w:trPr>
          <w:trHeight w:val="400"/>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9709F"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22BD9"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9047E"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E156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垃圾处置单价</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58F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126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47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2AB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DAE5BA"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33.7</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BDC1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888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AD1D45" w14:textId="77777777" w:rsidR="00127C4A" w:rsidRDefault="00127C4A">
            <w:pPr>
              <w:jc w:val="center"/>
              <w:rPr>
                <w:rFonts w:ascii="微软雅黑" w:eastAsia="微软雅黑" w:hAnsi="微软雅黑" w:cs="微软雅黑"/>
                <w:i/>
                <w:color w:val="000000"/>
                <w:sz w:val="16"/>
                <w:szCs w:val="16"/>
              </w:rPr>
            </w:pPr>
          </w:p>
        </w:tc>
      </w:tr>
      <w:tr w:rsidR="00127C4A" w14:paraId="1473B107"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4A7FB"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D3907"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18A4C"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336DC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道路维修成本</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97B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664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C79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元/米</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8D300F"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47</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9B19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280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D06306" w14:textId="77777777" w:rsidR="00127C4A" w:rsidRDefault="00F87DBA">
            <w:pPr>
              <w:widowControl/>
              <w:jc w:val="center"/>
              <w:textAlignment w:val="center"/>
              <w:rPr>
                <w:rFonts w:ascii="微软雅黑" w:eastAsia="微软雅黑" w:hAnsi="微软雅黑" w:cs="微软雅黑"/>
                <w:i/>
                <w:color w:val="000000"/>
                <w:sz w:val="12"/>
                <w:szCs w:val="12"/>
              </w:rPr>
            </w:pPr>
            <w:r>
              <w:rPr>
                <w:rStyle w:val="font41"/>
                <w:rFonts w:hint="default"/>
              </w:rPr>
              <w:t>标线单价47元/</w:t>
            </w:r>
            <w:r>
              <w:rPr>
                <w:rStyle w:val="font51"/>
              </w:rPr>
              <w:t>㎡</w:t>
            </w:r>
          </w:p>
        </w:tc>
      </w:tr>
      <w:tr w:rsidR="00127C4A" w14:paraId="5D2A4C3D" w14:textId="77777777">
        <w:trPr>
          <w:trHeight w:val="483"/>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B16D6" w14:textId="77777777" w:rsidR="00127C4A" w:rsidRDefault="00127C4A">
            <w:pPr>
              <w:jc w:val="center"/>
              <w:rPr>
                <w:rFonts w:ascii="宋体" w:hAnsi="宋体" w:cs="宋体"/>
                <w:color w:val="000000"/>
                <w:sz w:val="18"/>
                <w:szCs w:val="18"/>
              </w:rPr>
            </w:pP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87D98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B1A67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4C6F4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天网工程辖区内外提供视频线索比</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3F1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63A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AE6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7674F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30A5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86A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786794" w14:textId="77777777" w:rsidR="00127C4A" w:rsidRDefault="00127C4A">
            <w:pPr>
              <w:jc w:val="center"/>
              <w:rPr>
                <w:rFonts w:ascii="微软雅黑" w:eastAsia="微软雅黑" w:hAnsi="微软雅黑" w:cs="微软雅黑"/>
                <w:i/>
                <w:color w:val="000000"/>
                <w:sz w:val="16"/>
                <w:szCs w:val="16"/>
              </w:rPr>
            </w:pPr>
          </w:p>
        </w:tc>
      </w:tr>
      <w:tr w:rsidR="00127C4A" w14:paraId="3F418522" w14:textId="77777777">
        <w:trPr>
          <w:trHeight w:val="565"/>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BB832"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962F8E"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B28CF"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497F51"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天网工程直接支撑破案率占比</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6127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BA2C"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5FA6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3579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53652"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AD2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AD5278" w14:textId="77777777" w:rsidR="00127C4A" w:rsidRDefault="00127C4A">
            <w:pPr>
              <w:jc w:val="center"/>
              <w:rPr>
                <w:rFonts w:ascii="微软雅黑" w:eastAsia="微软雅黑" w:hAnsi="微软雅黑" w:cs="微软雅黑"/>
                <w:i/>
                <w:color w:val="000000"/>
                <w:sz w:val="16"/>
                <w:szCs w:val="16"/>
              </w:rPr>
            </w:pPr>
          </w:p>
        </w:tc>
      </w:tr>
      <w:tr w:rsidR="00127C4A" w14:paraId="64EA3CF9" w14:textId="77777777">
        <w:trPr>
          <w:trHeight w:val="548"/>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D4464"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57E67" w14:textId="77777777" w:rsidR="00127C4A" w:rsidRDefault="00127C4A">
            <w:pPr>
              <w:jc w:val="center"/>
              <w:rPr>
                <w:rFonts w:ascii="宋体" w:hAnsi="宋体" w:cs="宋体"/>
                <w:color w:val="000000"/>
                <w:sz w:val="18"/>
                <w:szCs w:val="18"/>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F1998" w14:textId="77777777" w:rsidR="00127C4A" w:rsidRDefault="00127C4A">
            <w:pPr>
              <w:jc w:val="center"/>
              <w:rPr>
                <w:rFonts w:ascii="宋体" w:hAnsi="宋体" w:cs="宋体"/>
                <w:color w:val="000000"/>
                <w:sz w:val="18"/>
                <w:szCs w:val="18"/>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E5D6CE"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对公共服务及社会管理能力的提升</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569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53DF"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6A80" w14:textId="77777777" w:rsidR="00127C4A" w:rsidRDefault="00127C4A">
            <w:pPr>
              <w:jc w:val="center"/>
              <w:rPr>
                <w:rFonts w:ascii="宋体" w:hAnsi="宋体" w:cs="宋体"/>
                <w:color w:val="000000"/>
                <w:sz w:val="18"/>
                <w:szCs w:val="18"/>
              </w:rPr>
            </w:pP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D9E33"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中</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ABB03"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033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38ED09" w14:textId="77777777" w:rsidR="00127C4A" w:rsidRDefault="00127C4A">
            <w:pPr>
              <w:jc w:val="center"/>
              <w:rPr>
                <w:rFonts w:ascii="微软雅黑" w:eastAsia="微软雅黑" w:hAnsi="微软雅黑" w:cs="微软雅黑"/>
                <w:i/>
                <w:color w:val="000000"/>
                <w:sz w:val="16"/>
                <w:szCs w:val="16"/>
              </w:rPr>
            </w:pPr>
          </w:p>
        </w:tc>
      </w:tr>
      <w:tr w:rsidR="00127C4A" w14:paraId="38D72108"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1F9F9" w14:textId="77777777" w:rsidR="00127C4A" w:rsidRDefault="00127C4A">
            <w:pPr>
              <w:jc w:val="center"/>
              <w:rPr>
                <w:rFonts w:ascii="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F6CF1" w14:textId="77777777" w:rsidR="00127C4A" w:rsidRDefault="00127C4A">
            <w:pPr>
              <w:jc w:val="center"/>
              <w:rPr>
                <w:rFonts w:ascii="宋体" w:hAnsi="宋体" w:cs="宋体"/>
                <w:color w:val="000000"/>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4F3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D1C505"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促进生态环境改善</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2FD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797C8"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9D3C" w14:textId="77777777" w:rsidR="00127C4A" w:rsidRDefault="00127C4A">
            <w:pPr>
              <w:jc w:val="center"/>
              <w:rPr>
                <w:rFonts w:ascii="宋体" w:hAnsi="宋体" w:cs="宋体"/>
                <w:color w:val="000000"/>
                <w:sz w:val="18"/>
                <w:szCs w:val="18"/>
              </w:rPr>
            </w:pP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AEEE0"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好</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AC65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6DB1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DF7D50" w14:textId="77777777" w:rsidR="00127C4A" w:rsidRDefault="00127C4A">
            <w:pPr>
              <w:jc w:val="center"/>
              <w:rPr>
                <w:rFonts w:ascii="微软雅黑" w:eastAsia="微软雅黑" w:hAnsi="微软雅黑" w:cs="微软雅黑"/>
                <w:i/>
                <w:color w:val="000000"/>
                <w:sz w:val="16"/>
                <w:szCs w:val="16"/>
              </w:rPr>
            </w:pPr>
          </w:p>
        </w:tc>
      </w:tr>
      <w:tr w:rsidR="00127C4A" w14:paraId="13AB4807" w14:textId="77777777">
        <w:trPr>
          <w:trHeight w:val="43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B07E0" w14:textId="77777777" w:rsidR="00127C4A" w:rsidRDefault="00127C4A">
            <w:pPr>
              <w:jc w:val="center"/>
              <w:rPr>
                <w:rFonts w:ascii="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D94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DF92"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ACF44"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1469"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B62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680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2207FF" w14:textId="77777777" w:rsidR="00127C4A" w:rsidRDefault="00F87DB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91.82</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99C9A"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9870D"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5EE606" w14:textId="77777777" w:rsidR="00127C4A" w:rsidRDefault="00127C4A">
            <w:pPr>
              <w:jc w:val="center"/>
              <w:rPr>
                <w:rFonts w:ascii="微软雅黑" w:eastAsia="微软雅黑" w:hAnsi="微软雅黑" w:cs="微软雅黑"/>
                <w:i/>
                <w:color w:val="000000"/>
                <w:sz w:val="16"/>
                <w:szCs w:val="16"/>
              </w:rPr>
            </w:pPr>
          </w:p>
        </w:tc>
      </w:tr>
      <w:tr w:rsidR="00127C4A" w14:paraId="0CAFF31F" w14:textId="77777777">
        <w:trPr>
          <w:trHeight w:val="228"/>
        </w:trPr>
        <w:tc>
          <w:tcPr>
            <w:tcW w:w="1093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CF6F1D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8688D" w14:textId="77777777" w:rsidR="00127C4A" w:rsidRDefault="00127C4A">
            <w:pPr>
              <w:rPr>
                <w:rFonts w:ascii="宋体" w:hAnsi="宋体" w:cs="宋体"/>
                <w:color w:val="000000"/>
                <w:sz w:val="18"/>
                <w:szCs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997B" w14:textId="77777777" w:rsidR="00127C4A" w:rsidRDefault="00F87DBA">
            <w:pPr>
              <w:widowControl/>
              <w:jc w:val="left"/>
              <w:textAlignment w:val="center"/>
              <w:rPr>
                <w:rFonts w:ascii="宋体" w:hAnsi="宋体" w:cs="宋体"/>
                <w:color w:val="000000"/>
                <w:sz w:val="18"/>
                <w:szCs w:val="18"/>
              </w:rPr>
            </w:pPr>
            <w:r>
              <w:rPr>
                <w:rFonts w:ascii="宋体" w:hAnsi="宋体" w:cs="宋体"/>
                <w:color w:val="000000"/>
                <w:kern w:val="0"/>
                <w:sz w:val="18"/>
                <w:szCs w:val="18"/>
              </w:rPr>
              <w:t>98</w:t>
            </w:r>
          </w:p>
        </w:tc>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6FB643" w14:textId="77777777" w:rsidR="00127C4A" w:rsidRDefault="00127C4A">
            <w:pPr>
              <w:rPr>
                <w:rFonts w:ascii="宋体" w:hAnsi="宋体" w:cs="宋体"/>
                <w:color w:val="000000"/>
                <w:sz w:val="18"/>
                <w:szCs w:val="18"/>
              </w:rPr>
            </w:pPr>
          </w:p>
        </w:tc>
      </w:tr>
      <w:tr w:rsidR="00127C4A" w14:paraId="74503DBD" w14:textId="77777777">
        <w:trPr>
          <w:trHeight w:val="90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AA60"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37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EAB14F8" w14:textId="77777777" w:rsidR="00127C4A" w:rsidRDefault="00F87DB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省人民政府科学城办事处管理制度健全，管理规范，预算编制及执行情况较好，整体支出合</w:t>
            </w:r>
            <w:proofErr w:type="gramStart"/>
            <w:r>
              <w:rPr>
                <w:rFonts w:ascii="微软雅黑" w:eastAsia="微软雅黑" w:hAnsi="微软雅黑" w:cs="微软雅黑" w:hint="eastAsia"/>
                <w:color w:val="000000"/>
                <w:kern w:val="0"/>
                <w:sz w:val="16"/>
                <w:szCs w:val="16"/>
              </w:rPr>
              <w:t>规</w:t>
            </w:r>
            <w:proofErr w:type="gramEnd"/>
            <w:r>
              <w:rPr>
                <w:rFonts w:ascii="微软雅黑" w:eastAsia="微软雅黑" w:hAnsi="微软雅黑" w:cs="微软雅黑" w:hint="eastAsia"/>
                <w:color w:val="000000"/>
                <w:kern w:val="0"/>
                <w:sz w:val="16"/>
                <w:szCs w:val="16"/>
              </w:rPr>
              <w:t>，资产管理到位；我们高度重视自身建设和能力提升，全方位履行政府职能，为辖区居民营造出优质的社会环境。根据《财政厅关于开展2022年度省级部门绩效自评工作的通知》（</w:t>
            </w:r>
            <w:proofErr w:type="gramStart"/>
            <w:r>
              <w:rPr>
                <w:rFonts w:ascii="微软雅黑" w:eastAsia="微软雅黑" w:hAnsi="微软雅黑" w:cs="微软雅黑" w:hint="eastAsia"/>
                <w:color w:val="000000"/>
                <w:kern w:val="0"/>
                <w:sz w:val="16"/>
                <w:szCs w:val="16"/>
              </w:rPr>
              <w:t>川财绩</w:t>
            </w:r>
            <w:proofErr w:type="gramEnd"/>
            <w:r>
              <w:rPr>
                <w:rFonts w:ascii="微软雅黑" w:eastAsia="微软雅黑" w:hAnsi="微软雅黑" w:cs="微软雅黑" w:hint="eastAsia"/>
                <w:color w:val="000000"/>
                <w:kern w:val="0"/>
                <w:sz w:val="16"/>
                <w:szCs w:val="16"/>
              </w:rPr>
              <w:t>〔2023〕4号）文件相关要求对本单位2022年整体绩效情况进行了自评。自评体系总分100分，经逐条考核，我单位自评得分98分。</w:t>
            </w:r>
          </w:p>
        </w:tc>
      </w:tr>
      <w:tr w:rsidR="00127C4A" w14:paraId="11697F70" w14:textId="77777777">
        <w:trPr>
          <w:trHeight w:val="1213"/>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7F16"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37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EE1398C" w14:textId="77777777" w:rsidR="00127C4A" w:rsidRDefault="00F87DB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部门预算前期执行力度不够，项目资金支出时间过于集中；</w:t>
            </w:r>
            <w:r>
              <w:rPr>
                <w:rFonts w:ascii="微软雅黑" w:eastAsia="微软雅黑" w:hAnsi="微软雅黑" w:cs="微软雅黑" w:hint="eastAsia"/>
                <w:color w:val="000000"/>
                <w:kern w:val="0"/>
                <w:sz w:val="16"/>
                <w:szCs w:val="16"/>
              </w:rPr>
              <w:br/>
              <w:t>绩效评价工作事中监督力度不够，对预算项目资金在实际执行过程中没有起到相应的调节作用；</w:t>
            </w:r>
            <w:r>
              <w:rPr>
                <w:rFonts w:ascii="微软雅黑" w:eastAsia="微软雅黑" w:hAnsi="微软雅黑" w:cs="微软雅黑" w:hint="eastAsia"/>
                <w:color w:val="000000"/>
                <w:kern w:val="0"/>
                <w:sz w:val="16"/>
                <w:szCs w:val="16"/>
              </w:rPr>
              <w:br/>
              <w:t>在保障</w:t>
            </w:r>
            <w:proofErr w:type="gramStart"/>
            <w:r>
              <w:rPr>
                <w:rFonts w:ascii="微软雅黑" w:eastAsia="微软雅黑" w:hAnsi="微软雅黑" w:cs="微软雅黑" w:hint="eastAsia"/>
                <w:color w:val="000000"/>
                <w:kern w:val="0"/>
                <w:sz w:val="16"/>
                <w:szCs w:val="16"/>
              </w:rPr>
              <w:t>院事业</w:t>
            </w:r>
            <w:proofErr w:type="gramEnd"/>
            <w:r>
              <w:rPr>
                <w:rFonts w:ascii="微软雅黑" w:eastAsia="微软雅黑" w:hAnsi="微软雅黑" w:cs="微软雅黑" w:hint="eastAsia"/>
                <w:color w:val="000000"/>
                <w:kern w:val="0"/>
                <w:sz w:val="16"/>
                <w:szCs w:val="16"/>
              </w:rPr>
              <w:t>发展上，资源配置和保障力度还不够；在保障民生上，辖区优质公共服务供给总量不足与配置不均衡并存，在社会保障、环境改善、休闲娱乐等方面不能满足职工居民的更高要求和期待；在政府自身建设上，人力资源困境依然突出，服务意识有待加强、服务质量有待提高。</w:t>
            </w:r>
          </w:p>
        </w:tc>
      </w:tr>
      <w:tr w:rsidR="00127C4A" w14:paraId="3F82D851" w14:textId="77777777">
        <w:trPr>
          <w:trHeight w:val="84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9B6B" w14:textId="77777777" w:rsidR="00127C4A" w:rsidRDefault="00F87DBA">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37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4392666" w14:textId="77777777" w:rsidR="00127C4A" w:rsidRDefault="00F87DB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2023年需要进一步加强绩效目标管理，坚持问题导向，有的放矢，精准施策。督促项目资金使用部门合理安排资金，提高项目资金前期执行率；强化部门绩效事中监督调整力度，及时调整预算资金；采取有效措施建立起满足中物</w:t>
            </w:r>
            <w:proofErr w:type="gramStart"/>
            <w:r>
              <w:rPr>
                <w:rFonts w:ascii="微软雅黑" w:eastAsia="微软雅黑" w:hAnsi="微软雅黑" w:cs="微软雅黑" w:hint="eastAsia"/>
                <w:color w:val="000000"/>
                <w:kern w:val="0"/>
                <w:sz w:val="16"/>
                <w:szCs w:val="16"/>
              </w:rPr>
              <w:t>院事业</w:t>
            </w:r>
            <w:proofErr w:type="gramEnd"/>
            <w:r>
              <w:rPr>
                <w:rFonts w:ascii="微软雅黑" w:eastAsia="微软雅黑" w:hAnsi="微软雅黑" w:cs="微软雅黑" w:hint="eastAsia"/>
                <w:color w:val="000000"/>
                <w:kern w:val="0"/>
                <w:sz w:val="16"/>
                <w:szCs w:val="16"/>
              </w:rPr>
              <w:t>发展需要、符合辖区实际、具有自身特色的精干高效的管理体系。</w:t>
            </w:r>
          </w:p>
        </w:tc>
      </w:tr>
      <w:tr w:rsidR="00127C4A" w14:paraId="6EE71590" w14:textId="77777777">
        <w:trPr>
          <w:trHeight w:val="228"/>
        </w:trPr>
        <w:tc>
          <w:tcPr>
            <w:tcW w:w="4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B17D49" w14:textId="77777777" w:rsidR="00127C4A" w:rsidRDefault="00F87DB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rPr>
              <w:t>项目负责人：刘开武</w:t>
            </w:r>
          </w:p>
        </w:tc>
        <w:tc>
          <w:tcPr>
            <w:tcW w:w="94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9201589" w14:textId="77777777" w:rsidR="00127C4A" w:rsidRDefault="00F87DB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rPr>
              <w:t>财务负责人：房晓妮</w:t>
            </w:r>
          </w:p>
        </w:tc>
      </w:tr>
    </w:tbl>
    <w:p w14:paraId="32332BA0" w14:textId="77777777" w:rsidR="00127C4A" w:rsidRDefault="00127C4A">
      <w:pPr>
        <w:widowControl/>
        <w:jc w:val="left"/>
        <w:rPr>
          <w:rStyle w:val="10"/>
          <w:rFonts w:ascii="黑体" w:eastAsia="黑体" w:hAnsi="黑体"/>
          <w:b w:val="0"/>
        </w:rPr>
        <w:sectPr w:rsidR="00127C4A">
          <w:pgSz w:w="16838" w:h="11906" w:orient="landscape"/>
          <w:pgMar w:top="1587" w:right="2098" w:bottom="1474" w:left="1984" w:header="851" w:footer="992" w:gutter="0"/>
          <w:cols w:space="425"/>
          <w:titlePg/>
          <w:docGrid w:type="lines" w:linePitch="312"/>
        </w:sectPr>
      </w:pPr>
    </w:p>
    <w:p w14:paraId="701D6BC5" w14:textId="77777777" w:rsidR="00127C4A" w:rsidRDefault="00F87DBA">
      <w:pPr>
        <w:spacing w:line="600" w:lineRule="exact"/>
        <w:jc w:val="center"/>
        <w:outlineLvl w:val="0"/>
        <w:rPr>
          <w:rFonts w:ascii="仿宋" w:eastAsia="仿宋" w:hAnsi="仿宋"/>
        </w:rPr>
      </w:pPr>
      <w:bookmarkStart w:id="77" w:name="_Toc15396618"/>
      <w:bookmarkStart w:id="78" w:name="_Toc10912"/>
      <w:r>
        <w:rPr>
          <w:rFonts w:ascii="黑体" w:eastAsia="黑体" w:hAnsi="黑体" w:hint="eastAsia"/>
          <w:sz w:val="44"/>
          <w:szCs w:val="44"/>
        </w:rPr>
        <w:lastRenderedPageBreak/>
        <w:t>第</w:t>
      </w:r>
      <w:r>
        <w:rPr>
          <w:rStyle w:val="10"/>
          <w:rFonts w:ascii="黑体" w:eastAsia="黑体" w:hAnsi="黑体" w:hint="eastAsia"/>
          <w:b w:val="0"/>
        </w:rPr>
        <w:t>五部分 附表</w:t>
      </w:r>
      <w:bookmarkStart w:id="79" w:name="_Toc15396619"/>
      <w:bookmarkEnd w:id="73"/>
      <w:bookmarkEnd w:id="77"/>
      <w:bookmarkEnd w:id="78"/>
    </w:p>
    <w:p w14:paraId="33BC4BD2" w14:textId="77777777" w:rsidR="00127C4A" w:rsidRDefault="00F87DBA">
      <w:pPr>
        <w:pStyle w:val="2"/>
        <w:rPr>
          <w:rFonts w:ascii="仿宋" w:eastAsia="仿宋" w:hAnsi="仿宋"/>
        </w:rPr>
      </w:pPr>
      <w:bookmarkStart w:id="80" w:name="_Toc16919"/>
      <w:r>
        <w:rPr>
          <w:rFonts w:ascii="仿宋" w:eastAsia="仿宋" w:hAnsi="仿宋" w:hint="eastAsia"/>
          <w:b w:val="0"/>
        </w:rPr>
        <w:t>一、收</w:t>
      </w:r>
      <w:r>
        <w:rPr>
          <w:rStyle w:val="20"/>
          <w:rFonts w:ascii="仿宋" w:eastAsia="仿宋" w:hAnsi="仿宋" w:hint="eastAsia"/>
        </w:rPr>
        <w:t>入支出决算总表</w:t>
      </w:r>
      <w:bookmarkEnd w:id="79"/>
      <w:bookmarkEnd w:id="80"/>
    </w:p>
    <w:p w14:paraId="59B57674" w14:textId="77777777" w:rsidR="00127C4A" w:rsidRDefault="00F87DBA">
      <w:pPr>
        <w:pStyle w:val="2"/>
        <w:rPr>
          <w:rFonts w:ascii="仿宋" w:eastAsia="仿宋" w:hAnsi="仿宋"/>
        </w:rPr>
      </w:pPr>
      <w:bookmarkStart w:id="81" w:name="_Toc15396620"/>
      <w:bookmarkStart w:id="82" w:name="_Toc11243"/>
      <w:r>
        <w:rPr>
          <w:rFonts w:ascii="仿宋" w:eastAsia="仿宋" w:hAnsi="仿宋" w:hint="eastAsia"/>
          <w:b w:val="0"/>
        </w:rPr>
        <w:t>二、收</w:t>
      </w:r>
      <w:r>
        <w:rPr>
          <w:rStyle w:val="20"/>
          <w:rFonts w:ascii="仿宋" w:eastAsia="仿宋" w:hAnsi="仿宋" w:hint="eastAsia"/>
        </w:rPr>
        <w:t>入决算表</w:t>
      </w:r>
      <w:bookmarkEnd w:id="81"/>
      <w:bookmarkEnd w:id="82"/>
    </w:p>
    <w:p w14:paraId="218E1EB4" w14:textId="77777777" w:rsidR="00127C4A" w:rsidRDefault="00F87DBA">
      <w:pPr>
        <w:pStyle w:val="2"/>
        <w:rPr>
          <w:rFonts w:ascii="仿宋" w:eastAsia="仿宋" w:hAnsi="仿宋"/>
        </w:rPr>
      </w:pPr>
      <w:bookmarkStart w:id="83" w:name="_Toc15396621"/>
      <w:bookmarkStart w:id="84" w:name="_Toc914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83"/>
      <w:bookmarkEnd w:id="84"/>
    </w:p>
    <w:p w14:paraId="643C9BB5" w14:textId="77777777" w:rsidR="00127C4A" w:rsidRDefault="00F87DBA">
      <w:pPr>
        <w:pStyle w:val="2"/>
        <w:rPr>
          <w:rFonts w:ascii="仿宋" w:eastAsia="仿宋" w:hAnsi="仿宋"/>
          <w:b w:val="0"/>
        </w:rPr>
      </w:pPr>
      <w:bookmarkStart w:id="85" w:name="_Toc15396622"/>
      <w:bookmarkStart w:id="86" w:name="_Toc2743"/>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85"/>
      <w:bookmarkEnd w:id="86"/>
    </w:p>
    <w:p w14:paraId="042E5110" w14:textId="77777777" w:rsidR="00127C4A" w:rsidRDefault="00F87DBA">
      <w:pPr>
        <w:pStyle w:val="2"/>
        <w:rPr>
          <w:rStyle w:val="20"/>
          <w:rFonts w:ascii="仿宋" w:eastAsia="仿宋" w:hAnsi="仿宋"/>
        </w:rPr>
      </w:pPr>
      <w:bookmarkStart w:id="87" w:name="_Toc15396623"/>
      <w:bookmarkStart w:id="88" w:name="_Toc24580"/>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89" w:name="_Toc15396624"/>
      <w:bookmarkEnd w:id="87"/>
      <w:bookmarkEnd w:id="88"/>
    </w:p>
    <w:p w14:paraId="7FE89246" w14:textId="77777777" w:rsidR="00127C4A" w:rsidRDefault="00F87DBA">
      <w:pPr>
        <w:pStyle w:val="2"/>
        <w:rPr>
          <w:rFonts w:ascii="仿宋" w:eastAsia="仿宋" w:hAnsi="仿宋"/>
        </w:rPr>
      </w:pPr>
      <w:bookmarkStart w:id="90" w:name="_Toc8400"/>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89"/>
      <w:bookmarkEnd w:id="90"/>
    </w:p>
    <w:p w14:paraId="184081DE" w14:textId="77777777" w:rsidR="00127C4A" w:rsidRDefault="00F87DBA">
      <w:pPr>
        <w:pStyle w:val="2"/>
        <w:rPr>
          <w:rFonts w:ascii="仿宋" w:eastAsia="仿宋" w:hAnsi="仿宋"/>
        </w:rPr>
      </w:pPr>
      <w:bookmarkStart w:id="91" w:name="_Toc15396625"/>
      <w:bookmarkStart w:id="92" w:name="_Toc15682"/>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91"/>
      <w:bookmarkEnd w:id="92"/>
    </w:p>
    <w:p w14:paraId="7DC2CDA1" w14:textId="77777777" w:rsidR="00127C4A" w:rsidRDefault="00F87DBA">
      <w:pPr>
        <w:pStyle w:val="2"/>
        <w:rPr>
          <w:rFonts w:ascii="仿宋" w:eastAsia="仿宋" w:hAnsi="仿宋"/>
        </w:rPr>
      </w:pPr>
      <w:bookmarkStart w:id="93" w:name="_Toc15396626"/>
      <w:bookmarkStart w:id="94" w:name="_Toc10395"/>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93"/>
      <w:bookmarkEnd w:id="94"/>
    </w:p>
    <w:p w14:paraId="35578B3B" w14:textId="77777777" w:rsidR="00127C4A" w:rsidRDefault="00F87DBA">
      <w:pPr>
        <w:pStyle w:val="2"/>
        <w:rPr>
          <w:rFonts w:ascii="仿宋" w:eastAsia="仿宋" w:hAnsi="仿宋"/>
        </w:rPr>
      </w:pPr>
      <w:bookmarkStart w:id="95" w:name="_Toc15396627"/>
      <w:bookmarkStart w:id="96" w:name="_Toc19699"/>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95"/>
      <w:bookmarkEnd w:id="96"/>
    </w:p>
    <w:p w14:paraId="7A852614" w14:textId="77777777" w:rsidR="00127C4A" w:rsidRDefault="00F87DBA">
      <w:pPr>
        <w:pStyle w:val="2"/>
        <w:rPr>
          <w:rFonts w:ascii="仿宋" w:eastAsia="仿宋" w:hAnsi="仿宋"/>
        </w:rPr>
      </w:pPr>
      <w:bookmarkStart w:id="97" w:name="_Toc15396628"/>
      <w:bookmarkStart w:id="98" w:name="_Toc29556"/>
      <w:r>
        <w:rPr>
          <w:rStyle w:val="20"/>
          <w:rFonts w:ascii="仿宋" w:eastAsia="仿宋" w:hAnsi="仿宋" w:hint="eastAsia"/>
        </w:rPr>
        <w:t>十、</w:t>
      </w:r>
      <w:bookmarkEnd w:id="97"/>
      <w:r>
        <w:rPr>
          <w:rFonts w:ascii="仿宋" w:eastAsia="仿宋" w:hAnsi="仿宋" w:hint="eastAsia"/>
          <w:b w:val="0"/>
        </w:rPr>
        <w:t>政</w:t>
      </w:r>
      <w:r>
        <w:rPr>
          <w:rStyle w:val="20"/>
          <w:rFonts w:ascii="仿宋" w:eastAsia="仿宋" w:hAnsi="仿宋" w:hint="eastAsia"/>
        </w:rPr>
        <w:t>府性基金预算财政拨款收入支出决算表</w:t>
      </w:r>
      <w:bookmarkEnd w:id="98"/>
    </w:p>
    <w:p w14:paraId="6112D0B0" w14:textId="77777777" w:rsidR="00127C4A" w:rsidRDefault="00F87DBA">
      <w:pPr>
        <w:pStyle w:val="2"/>
        <w:rPr>
          <w:rFonts w:ascii="仿宋" w:eastAsia="仿宋" w:hAnsi="仿宋"/>
        </w:rPr>
      </w:pPr>
      <w:bookmarkStart w:id="99" w:name="_Toc15396629"/>
      <w:bookmarkStart w:id="100" w:name="_Toc12611"/>
      <w:r>
        <w:rPr>
          <w:rStyle w:val="20"/>
          <w:rFonts w:ascii="仿宋" w:eastAsia="仿宋" w:hAnsi="仿宋" w:hint="eastAsia"/>
        </w:rPr>
        <w:t>十一、</w:t>
      </w:r>
      <w:bookmarkEnd w:id="99"/>
      <w:r>
        <w:rPr>
          <w:rFonts w:ascii="仿宋" w:eastAsia="仿宋" w:hAnsi="仿宋" w:hint="eastAsia"/>
          <w:b w:val="0"/>
        </w:rPr>
        <w:t>国</w:t>
      </w:r>
      <w:r>
        <w:rPr>
          <w:rStyle w:val="20"/>
          <w:rFonts w:ascii="仿宋" w:eastAsia="仿宋" w:hAnsi="仿宋" w:hint="eastAsia"/>
        </w:rPr>
        <w:t>有资本经营预算财政拨款收入支出决算表</w:t>
      </w:r>
      <w:bookmarkEnd w:id="100"/>
    </w:p>
    <w:p w14:paraId="29DCE0DB" w14:textId="77777777" w:rsidR="00127C4A" w:rsidRDefault="00F87DBA">
      <w:pPr>
        <w:pStyle w:val="2"/>
        <w:rPr>
          <w:rFonts w:ascii="仿宋" w:eastAsia="仿宋" w:hAnsi="仿宋"/>
        </w:rPr>
      </w:pPr>
      <w:bookmarkStart w:id="101" w:name="_Toc15396630"/>
      <w:bookmarkStart w:id="102" w:name="_Toc24593"/>
      <w:r>
        <w:rPr>
          <w:rStyle w:val="20"/>
          <w:rFonts w:ascii="仿宋" w:eastAsia="仿宋" w:hAnsi="仿宋" w:hint="eastAsia"/>
        </w:rPr>
        <w:t>十二、</w:t>
      </w:r>
      <w:bookmarkEnd w:id="101"/>
      <w:r>
        <w:rPr>
          <w:rStyle w:val="20"/>
          <w:rFonts w:ascii="仿宋" w:eastAsia="仿宋" w:hAnsi="仿宋" w:hint="eastAsia"/>
        </w:rPr>
        <w:t>国有资本经营预算财政拨款支出决算表</w:t>
      </w:r>
      <w:bookmarkEnd w:id="102"/>
    </w:p>
    <w:p w14:paraId="19AB0123" w14:textId="77777777" w:rsidR="00127C4A" w:rsidRDefault="00F87DBA">
      <w:pPr>
        <w:pStyle w:val="2"/>
        <w:rPr>
          <w:rFonts w:eastAsia="仿宋"/>
        </w:rPr>
      </w:pPr>
      <w:bookmarkStart w:id="103" w:name="_Toc15396631"/>
      <w:bookmarkStart w:id="104" w:name="_Toc26210"/>
      <w:r>
        <w:rPr>
          <w:rStyle w:val="20"/>
          <w:rFonts w:ascii="仿宋" w:eastAsia="仿宋" w:hAnsi="仿宋" w:hint="eastAsia"/>
        </w:rPr>
        <w:t>十三、</w:t>
      </w:r>
      <w:bookmarkEnd w:id="103"/>
      <w:r>
        <w:rPr>
          <w:rStyle w:val="20"/>
          <w:rFonts w:ascii="仿宋" w:eastAsia="仿宋" w:hAnsi="仿宋" w:hint="eastAsia"/>
        </w:rPr>
        <w:t>财政拨款“三公”经费支出决算表</w:t>
      </w:r>
      <w:bookmarkEnd w:id="104"/>
    </w:p>
    <w:sectPr w:rsidR="00127C4A" w:rsidSect="00127C4A">
      <w:pgSz w:w="11906" w:h="16838"/>
      <w:pgMar w:top="2098" w:right="1474" w:bottom="1984" w:left="158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A2E1" w14:textId="77777777" w:rsidR="00117E39" w:rsidRDefault="00117E39" w:rsidP="00127C4A">
      <w:r>
        <w:separator/>
      </w:r>
    </w:p>
  </w:endnote>
  <w:endnote w:type="continuationSeparator" w:id="0">
    <w:p w14:paraId="56F5A12B" w14:textId="77777777" w:rsidR="00117E39" w:rsidRDefault="00117E39" w:rsidP="0012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3DC4" w14:textId="77777777" w:rsidR="00127C4A" w:rsidRDefault="00000000">
    <w:pPr>
      <w:pStyle w:val="a8"/>
    </w:pPr>
    <w:r>
      <w:pict w14:anchorId="2752A87B">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filled="f" stroked="f" strokeweight=".5pt">
          <v:textbox style="mso-fit-shape-to-text:t" inset="0,0,0,0">
            <w:txbxContent>
              <w:p w14:paraId="52A13576" w14:textId="77777777" w:rsidR="00127C4A" w:rsidRDefault="00127C4A">
                <w:pPr>
                  <w:snapToGrid w:val="0"/>
                  <w:rPr>
                    <w:sz w:val="18"/>
                  </w:rPr>
                </w:pPr>
                <w:r>
                  <w:rPr>
                    <w:rFonts w:hint="eastAsia"/>
                    <w:sz w:val="18"/>
                  </w:rPr>
                  <w:fldChar w:fldCharType="begin"/>
                </w:r>
                <w:r w:rsidR="00F87DBA">
                  <w:rPr>
                    <w:rFonts w:hint="eastAsia"/>
                    <w:sz w:val="18"/>
                  </w:rPr>
                  <w:instrText xml:space="preserve"> PAGE  \* MERGEFORMAT </w:instrText>
                </w:r>
                <w:r>
                  <w:rPr>
                    <w:rFonts w:hint="eastAsia"/>
                    <w:sz w:val="18"/>
                  </w:rPr>
                  <w:fldChar w:fldCharType="separate"/>
                </w:r>
                <w:r w:rsidR="00F87DBA">
                  <w:rPr>
                    <w:noProof/>
                    <w:sz w:val="18"/>
                  </w:rPr>
                  <w:t>10</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F9ED" w14:textId="77777777" w:rsidR="00127C4A" w:rsidRDefault="00000000">
    <w:pPr>
      <w:pStyle w:val="a8"/>
    </w:pPr>
    <w:r>
      <w:pict w14:anchorId="29162BF6">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filled="f" stroked="f" strokeweight=".5pt">
          <v:textbox style="mso-fit-shape-to-text:t" inset="0,0,0,0">
            <w:txbxContent>
              <w:p w14:paraId="6F7E9B44" w14:textId="77777777" w:rsidR="00127C4A" w:rsidRDefault="00127C4A">
                <w:pPr>
                  <w:snapToGrid w:val="0"/>
                  <w:rPr>
                    <w:sz w:val="18"/>
                  </w:rPr>
                </w:pPr>
                <w:r>
                  <w:rPr>
                    <w:rFonts w:hint="eastAsia"/>
                    <w:sz w:val="18"/>
                  </w:rPr>
                  <w:fldChar w:fldCharType="begin"/>
                </w:r>
                <w:r w:rsidR="00F87DBA">
                  <w:rPr>
                    <w:rFonts w:hint="eastAsia"/>
                    <w:sz w:val="18"/>
                  </w:rPr>
                  <w:instrText xml:space="preserve"> PAGE  \* MERGEFORMAT </w:instrText>
                </w:r>
                <w:r>
                  <w:rPr>
                    <w:rFonts w:hint="eastAsia"/>
                    <w:sz w:val="18"/>
                  </w:rPr>
                  <w:fldChar w:fldCharType="separate"/>
                </w:r>
                <w:r w:rsidR="00F87DBA">
                  <w:rPr>
                    <w:noProof/>
                    <w:sz w:val="18"/>
                  </w:rPr>
                  <w:t>30</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05D1" w14:textId="77777777" w:rsidR="00117E39" w:rsidRDefault="00117E39" w:rsidP="00127C4A">
      <w:r>
        <w:separator/>
      </w:r>
    </w:p>
  </w:footnote>
  <w:footnote w:type="continuationSeparator" w:id="0">
    <w:p w14:paraId="0BAAD6BE" w14:textId="77777777" w:rsidR="00117E39" w:rsidRDefault="00117E39" w:rsidP="0012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9C6B" w14:textId="77777777" w:rsidR="00127C4A" w:rsidRDefault="00127C4A">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526018C9"/>
    <w:multiLevelType w:val="singleLevel"/>
    <w:tmpl w:val="526018C9"/>
    <w:lvl w:ilvl="0">
      <w:start w:val="1"/>
      <w:numFmt w:val="chineseCounting"/>
      <w:suff w:val="nothing"/>
      <w:lvlText w:val="%1、"/>
      <w:lvlJc w:val="left"/>
      <w:rPr>
        <w:rFonts w:hint="eastAsia"/>
      </w:rPr>
    </w:lvl>
  </w:abstractNum>
  <w:abstractNum w:abstractNumId="4" w15:restartNumberingAfterBreak="0">
    <w:nsid w:val="62ABA7D3"/>
    <w:multiLevelType w:val="singleLevel"/>
    <w:tmpl w:val="62ABA7D3"/>
    <w:lvl w:ilvl="0">
      <w:start w:val="1"/>
      <w:numFmt w:val="chineseCounting"/>
      <w:suff w:val="nothing"/>
      <w:lvlText w:val="%1、"/>
      <w:lvlJc w:val="left"/>
      <w:rPr>
        <w:rFonts w:hint="eastAsia"/>
      </w:rPr>
    </w:lvl>
  </w:abstractNum>
  <w:abstractNum w:abstractNumId="5" w15:restartNumberingAfterBreak="0">
    <w:nsid w:val="64DC2673"/>
    <w:multiLevelType w:val="singleLevel"/>
    <w:tmpl w:val="64DC2673"/>
    <w:lvl w:ilvl="0">
      <w:start w:val="1"/>
      <w:numFmt w:val="decimal"/>
      <w:suff w:val="nothing"/>
      <w:lvlText w:val="%1."/>
      <w:lvlJc w:val="left"/>
    </w:lvl>
  </w:abstractNum>
  <w:abstractNum w:abstractNumId="6" w15:restartNumberingAfterBreak="0">
    <w:nsid w:val="64DC3725"/>
    <w:multiLevelType w:val="singleLevel"/>
    <w:tmpl w:val="64DC3725"/>
    <w:lvl w:ilvl="0">
      <w:start w:val="1"/>
      <w:numFmt w:val="decimal"/>
      <w:suff w:val="nothing"/>
      <w:lvlText w:val="%1."/>
      <w:lvlJc w:val="left"/>
    </w:lvl>
  </w:abstractNum>
  <w:num w:numId="1" w16cid:durableId="276184523">
    <w:abstractNumId w:val="3"/>
  </w:num>
  <w:num w:numId="2" w16cid:durableId="1692610453">
    <w:abstractNumId w:val="2"/>
  </w:num>
  <w:num w:numId="3" w16cid:durableId="1037118373">
    <w:abstractNumId w:val="5"/>
  </w:num>
  <w:num w:numId="4" w16cid:durableId="1559319386">
    <w:abstractNumId w:val="6"/>
  </w:num>
  <w:num w:numId="5" w16cid:durableId="1932855351">
    <w:abstractNumId w:val="0"/>
  </w:num>
  <w:num w:numId="6" w16cid:durableId="1660885292">
    <w:abstractNumId w:val="1"/>
  </w:num>
  <w:num w:numId="7" w16cid:durableId="1844665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7E39"/>
    <w:rsid w:val="00127C4A"/>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7F21"/>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DBA"/>
    <w:rsid w:val="00F87E96"/>
    <w:rsid w:val="00FA23E8"/>
    <w:rsid w:val="00FD3CC1"/>
    <w:rsid w:val="00FF1E02"/>
    <w:rsid w:val="00FF30B4"/>
    <w:rsid w:val="05686B3A"/>
    <w:rsid w:val="066E0107"/>
    <w:rsid w:val="0786379C"/>
    <w:rsid w:val="07996F6E"/>
    <w:rsid w:val="0A2032A3"/>
    <w:rsid w:val="0A7842C4"/>
    <w:rsid w:val="0F98263C"/>
    <w:rsid w:val="101860EC"/>
    <w:rsid w:val="10C055FF"/>
    <w:rsid w:val="118107EC"/>
    <w:rsid w:val="13D50BC4"/>
    <w:rsid w:val="16BB723D"/>
    <w:rsid w:val="1BE8440E"/>
    <w:rsid w:val="1D155CEE"/>
    <w:rsid w:val="1FF35744"/>
    <w:rsid w:val="23860B96"/>
    <w:rsid w:val="240371BF"/>
    <w:rsid w:val="25314DE8"/>
    <w:rsid w:val="29FD04D3"/>
    <w:rsid w:val="2C8A61B5"/>
    <w:rsid w:val="2DF04E50"/>
    <w:rsid w:val="2F040D46"/>
    <w:rsid w:val="319F7F4E"/>
    <w:rsid w:val="3304709D"/>
    <w:rsid w:val="36040BCB"/>
    <w:rsid w:val="36AA5135"/>
    <w:rsid w:val="376D39B2"/>
    <w:rsid w:val="37E16F03"/>
    <w:rsid w:val="388F1A36"/>
    <w:rsid w:val="3D98207C"/>
    <w:rsid w:val="3E78745D"/>
    <w:rsid w:val="44E268DA"/>
    <w:rsid w:val="4A627F82"/>
    <w:rsid w:val="4B0E749A"/>
    <w:rsid w:val="4B4F25DA"/>
    <w:rsid w:val="4BE068DB"/>
    <w:rsid w:val="4D577224"/>
    <w:rsid w:val="4EAB630A"/>
    <w:rsid w:val="4ECE2238"/>
    <w:rsid w:val="537E6D0A"/>
    <w:rsid w:val="5AF92295"/>
    <w:rsid w:val="5CD71FC4"/>
    <w:rsid w:val="683C19BD"/>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7B8F1B6"/>
  <w15:docId w15:val="{38536DDC-F82D-4EF2-A3E4-62148344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7C4A"/>
    <w:pPr>
      <w:widowControl w:val="0"/>
      <w:jc w:val="both"/>
    </w:pPr>
    <w:rPr>
      <w:kern w:val="2"/>
      <w:sz w:val="21"/>
      <w:szCs w:val="24"/>
    </w:rPr>
  </w:style>
  <w:style w:type="paragraph" w:styleId="1">
    <w:name w:val="heading 1"/>
    <w:basedOn w:val="a"/>
    <w:next w:val="a"/>
    <w:link w:val="10"/>
    <w:uiPriority w:val="9"/>
    <w:qFormat/>
    <w:rsid w:val="00127C4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27C4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27C4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127C4A"/>
    <w:pPr>
      <w:spacing w:beforeLines="30"/>
    </w:pPr>
    <w:rPr>
      <w:rFonts w:ascii="仿宋_GB2312" w:eastAsia="仿宋_GB2312"/>
      <w:kern w:val="0"/>
      <w:sz w:val="30"/>
    </w:rPr>
  </w:style>
  <w:style w:type="paragraph" w:styleId="a5">
    <w:name w:val="Body Text Indent"/>
    <w:basedOn w:val="a"/>
    <w:qFormat/>
    <w:rsid w:val="00127C4A"/>
    <w:pPr>
      <w:spacing w:after="120"/>
      <w:ind w:leftChars="200" w:left="200"/>
    </w:pPr>
    <w:rPr>
      <w:rFonts w:ascii="仿宋_GB2312"/>
      <w:szCs w:val="32"/>
    </w:rPr>
  </w:style>
  <w:style w:type="paragraph" w:styleId="TOC3">
    <w:name w:val="toc 3"/>
    <w:basedOn w:val="a"/>
    <w:next w:val="a"/>
    <w:uiPriority w:val="39"/>
    <w:unhideWhenUsed/>
    <w:qFormat/>
    <w:rsid w:val="00127C4A"/>
    <w:pPr>
      <w:tabs>
        <w:tab w:val="right" w:leader="dot" w:pos="8296"/>
      </w:tabs>
      <w:ind w:leftChars="400" w:left="840"/>
    </w:pPr>
  </w:style>
  <w:style w:type="paragraph" w:styleId="a6">
    <w:name w:val="Balloon Text"/>
    <w:basedOn w:val="a"/>
    <w:link w:val="a7"/>
    <w:uiPriority w:val="99"/>
    <w:unhideWhenUsed/>
    <w:qFormat/>
    <w:rsid w:val="00127C4A"/>
    <w:rPr>
      <w:sz w:val="18"/>
      <w:szCs w:val="18"/>
    </w:rPr>
  </w:style>
  <w:style w:type="paragraph" w:styleId="a8">
    <w:name w:val="footer"/>
    <w:basedOn w:val="a"/>
    <w:link w:val="a9"/>
    <w:uiPriority w:val="99"/>
    <w:qFormat/>
    <w:rsid w:val="00127C4A"/>
    <w:pPr>
      <w:tabs>
        <w:tab w:val="center" w:pos="4153"/>
        <w:tab w:val="right" w:pos="8306"/>
      </w:tabs>
      <w:snapToGrid w:val="0"/>
      <w:jc w:val="left"/>
    </w:pPr>
    <w:rPr>
      <w:rFonts w:ascii="Calibri" w:hAnsi="Calibri"/>
      <w:kern w:val="0"/>
      <w:sz w:val="18"/>
      <w:szCs w:val="18"/>
    </w:rPr>
  </w:style>
  <w:style w:type="paragraph" w:styleId="21">
    <w:name w:val="Body Text First Indent 2"/>
    <w:basedOn w:val="a5"/>
    <w:uiPriority w:val="99"/>
    <w:unhideWhenUsed/>
    <w:qFormat/>
    <w:rsid w:val="00127C4A"/>
    <w:pPr>
      <w:ind w:firstLineChars="200" w:firstLine="420"/>
    </w:pPr>
  </w:style>
  <w:style w:type="paragraph" w:styleId="aa">
    <w:name w:val="header"/>
    <w:basedOn w:val="a"/>
    <w:link w:val="ab"/>
    <w:uiPriority w:val="99"/>
    <w:semiHidden/>
    <w:qFormat/>
    <w:rsid w:val="00127C4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rsid w:val="00127C4A"/>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rsid w:val="00127C4A"/>
    <w:pPr>
      <w:tabs>
        <w:tab w:val="right" w:leader="dot" w:pos="8296"/>
      </w:tabs>
      <w:ind w:leftChars="200" w:left="420"/>
    </w:pPr>
  </w:style>
  <w:style w:type="character" w:styleId="ac">
    <w:name w:val="Strong"/>
    <w:basedOn w:val="a1"/>
    <w:uiPriority w:val="99"/>
    <w:qFormat/>
    <w:rsid w:val="00127C4A"/>
    <w:rPr>
      <w:b/>
    </w:rPr>
  </w:style>
  <w:style w:type="character" w:styleId="ad">
    <w:name w:val="Hyperlink"/>
    <w:basedOn w:val="a1"/>
    <w:uiPriority w:val="99"/>
    <w:unhideWhenUsed/>
    <w:qFormat/>
    <w:rsid w:val="00127C4A"/>
    <w:rPr>
      <w:color w:val="0000FF" w:themeColor="hyperlink"/>
      <w:u w:val="single"/>
    </w:rPr>
  </w:style>
  <w:style w:type="paragraph" w:customStyle="1" w:styleId="5">
    <w:name w:val="标题 5（有编号）（绿盟科技）"/>
    <w:next w:val="a"/>
    <w:uiPriority w:val="99"/>
    <w:qFormat/>
    <w:rsid w:val="00127C4A"/>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sid w:val="00127C4A"/>
    <w:rPr>
      <w:rFonts w:ascii="Times New Roman" w:hAnsi="Times New Roman"/>
      <w:sz w:val="18"/>
      <w:szCs w:val="18"/>
    </w:rPr>
  </w:style>
  <w:style w:type="character" w:customStyle="1" w:styleId="ab">
    <w:name w:val="页眉 字符"/>
    <w:link w:val="aa"/>
    <w:uiPriority w:val="99"/>
    <w:semiHidden/>
    <w:qFormat/>
    <w:locked/>
    <w:rsid w:val="00127C4A"/>
    <w:rPr>
      <w:sz w:val="18"/>
    </w:rPr>
  </w:style>
  <w:style w:type="character" w:customStyle="1" w:styleId="FooterChar">
    <w:name w:val="Footer Char"/>
    <w:basedOn w:val="a1"/>
    <w:uiPriority w:val="99"/>
    <w:semiHidden/>
    <w:qFormat/>
    <w:rsid w:val="00127C4A"/>
    <w:rPr>
      <w:rFonts w:ascii="Times New Roman" w:hAnsi="Times New Roman"/>
      <w:sz w:val="18"/>
      <w:szCs w:val="18"/>
    </w:rPr>
  </w:style>
  <w:style w:type="character" w:customStyle="1" w:styleId="a9">
    <w:name w:val="页脚 字符"/>
    <w:link w:val="a8"/>
    <w:uiPriority w:val="99"/>
    <w:qFormat/>
    <w:locked/>
    <w:rsid w:val="00127C4A"/>
    <w:rPr>
      <w:sz w:val="18"/>
    </w:rPr>
  </w:style>
  <w:style w:type="character" w:customStyle="1" w:styleId="BodyTextChar">
    <w:name w:val="Body Text Char"/>
    <w:basedOn w:val="a1"/>
    <w:uiPriority w:val="99"/>
    <w:semiHidden/>
    <w:qFormat/>
    <w:rsid w:val="00127C4A"/>
    <w:rPr>
      <w:rFonts w:ascii="Times New Roman" w:hAnsi="Times New Roman"/>
      <w:szCs w:val="24"/>
    </w:rPr>
  </w:style>
  <w:style w:type="character" w:customStyle="1" w:styleId="a4">
    <w:name w:val="正文文本 字符"/>
    <w:link w:val="a0"/>
    <w:uiPriority w:val="99"/>
    <w:qFormat/>
    <w:locked/>
    <w:rsid w:val="00127C4A"/>
    <w:rPr>
      <w:rFonts w:ascii="仿宋_GB2312" w:eastAsia="仿宋_GB2312" w:hAnsi="Times New Roman"/>
      <w:sz w:val="24"/>
    </w:rPr>
  </w:style>
  <w:style w:type="paragraph" w:customStyle="1" w:styleId="Default">
    <w:name w:val="Default"/>
    <w:uiPriority w:val="99"/>
    <w:qFormat/>
    <w:rsid w:val="00127C4A"/>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127C4A"/>
    <w:pPr>
      <w:ind w:firstLineChars="200" w:firstLine="420"/>
    </w:pPr>
  </w:style>
  <w:style w:type="character" w:customStyle="1" w:styleId="10">
    <w:name w:val="标题 1 字符"/>
    <w:basedOn w:val="a1"/>
    <w:link w:val="1"/>
    <w:uiPriority w:val="9"/>
    <w:qFormat/>
    <w:rsid w:val="00127C4A"/>
    <w:rPr>
      <w:rFonts w:ascii="Times New Roman" w:hAnsi="Times New Roman"/>
      <w:b/>
      <w:bCs/>
      <w:kern w:val="44"/>
      <w:sz w:val="44"/>
      <w:szCs w:val="44"/>
    </w:rPr>
  </w:style>
  <w:style w:type="character" w:customStyle="1" w:styleId="20">
    <w:name w:val="标题 2 字符"/>
    <w:basedOn w:val="a1"/>
    <w:link w:val="2"/>
    <w:uiPriority w:val="9"/>
    <w:qFormat/>
    <w:rsid w:val="00127C4A"/>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rsid w:val="00127C4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7">
    <w:name w:val="批注框文本 字符"/>
    <w:basedOn w:val="a1"/>
    <w:link w:val="a6"/>
    <w:uiPriority w:val="99"/>
    <w:semiHidden/>
    <w:qFormat/>
    <w:rsid w:val="00127C4A"/>
    <w:rPr>
      <w:rFonts w:ascii="Times New Roman" w:hAnsi="Times New Roman"/>
      <w:kern w:val="2"/>
      <w:sz w:val="18"/>
      <w:szCs w:val="18"/>
    </w:rPr>
  </w:style>
  <w:style w:type="character" w:customStyle="1" w:styleId="30">
    <w:name w:val="标题 3 字符"/>
    <w:basedOn w:val="a1"/>
    <w:link w:val="3"/>
    <w:uiPriority w:val="9"/>
    <w:qFormat/>
    <w:rsid w:val="00127C4A"/>
    <w:rPr>
      <w:rFonts w:ascii="Times New Roman" w:hAnsi="Times New Roman"/>
      <w:b/>
      <w:bCs/>
      <w:kern w:val="2"/>
      <w:sz w:val="32"/>
      <w:szCs w:val="32"/>
    </w:rPr>
  </w:style>
  <w:style w:type="paragraph" w:customStyle="1" w:styleId="TOC20">
    <w:name w:val="TOC 标题2"/>
    <w:basedOn w:val="1"/>
    <w:next w:val="a"/>
    <w:uiPriority w:val="39"/>
    <w:unhideWhenUsed/>
    <w:qFormat/>
    <w:rsid w:val="00127C4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qFormat/>
    <w:rsid w:val="00127C4A"/>
    <w:pPr>
      <w:spacing w:line="360" w:lineRule="auto"/>
    </w:pPr>
    <w:rPr>
      <w:rFonts w:ascii="??" w:hAnsi="??"/>
      <w:color w:val="000000"/>
      <w:kern w:val="0"/>
      <w:sz w:val="28"/>
      <w:szCs w:val="21"/>
      <w:lang w:val="zh-CN"/>
    </w:rPr>
  </w:style>
  <w:style w:type="paragraph" w:customStyle="1" w:styleId="Style1">
    <w:name w:val="_Style 1"/>
    <w:basedOn w:val="a"/>
    <w:uiPriority w:val="34"/>
    <w:qFormat/>
    <w:rsid w:val="00127C4A"/>
    <w:pPr>
      <w:ind w:firstLineChars="200" w:firstLine="420"/>
    </w:pPr>
    <w:rPr>
      <w:rFonts w:eastAsia="仿宋_GB2312"/>
      <w:sz w:val="32"/>
    </w:rPr>
  </w:style>
  <w:style w:type="character" w:customStyle="1" w:styleId="font41">
    <w:name w:val="font41"/>
    <w:basedOn w:val="a1"/>
    <w:rsid w:val="00127C4A"/>
    <w:rPr>
      <w:rFonts w:ascii="微软雅黑" w:eastAsia="微软雅黑" w:hAnsi="微软雅黑" w:cs="微软雅黑" w:hint="eastAsia"/>
      <w:i/>
      <w:color w:val="000000"/>
      <w:sz w:val="12"/>
      <w:szCs w:val="12"/>
      <w:u w:val="none"/>
    </w:rPr>
  </w:style>
  <w:style w:type="character" w:customStyle="1" w:styleId="font51">
    <w:name w:val="font51"/>
    <w:basedOn w:val="a1"/>
    <w:rsid w:val="00127C4A"/>
    <w:rPr>
      <w:rFonts w:ascii="宋体" w:eastAsia="宋体" w:hAnsi="宋体" w:cs="宋体"/>
      <w:i/>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26446;&#26216;&#38745;\&#30465;&#36130;&#25919;&#21381;&#37096;&#38376;&#20915;&#31639;\2022&#24180;&#30465;&#25919;&#24220;&#20915;&#31639;\&#31185;&#23398;&#22478;&#21150;&#20107;&#22788;.xls"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D:\&#30465;&#25253;&#34920;\2023\2022&#24180;&#24230;&#30465;&#32423;&#37096;&#38376;&#20915;&#31639;\&#22522;&#30784;&#36164;&#26009;\&#22270;&#34920;-2022.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26446;&#26216;&#38745;\&#30465;&#36130;&#25919;&#21381;&#37096;&#38376;&#20915;&#31639;\2022&#24180;&#30465;&#25919;&#24220;&#20915;&#31639;\&#31185;&#23398;&#22478;&#21150;&#20107;&#2278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0465;&#25253;&#34920;\2023\2022&#24180;&#24230;&#30465;&#32423;&#37096;&#38376;&#20915;&#31639;\&#22522;&#30784;&#36164;&#26009;\&#22270;&#34920;-202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30465;&#25253;&#34920;\2023\2022&#24180;&#24230;&#30465;&#32423;&#37096;&#38376;&#20915;&#31639;\&#22522;&#30784;&#36164;&#26009;\&#22270;&#34920;-2022.xls"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I:\2022&#24180;&#30465;&#25919;&#24220;&#20915;&#31639;\&#38468;&#20214;3.&#30465;&#25919;&#24220;&#31185;&#23398;&#22478;&#21150;&#20107;&#22788;2022&#24180;&#37096;&#38376;&#20915;&#31639;&#25253;&#34920;.xls"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1</a:t>
            </a:r>
            <a:r>
              <a:rPr lang="zh-CN" altLang="en-US"/>
              <a:t>：收、支决算总计变动情况图</a:t>
            </a:r>
          </a:p>
        </c:rich>
      </c:tx>
      <c:overlay val="0"/>
      <c:spPr>
        <a:noFill/>
        <a:ln>
          <a:noFill/>
        </a:ln>
        <a:effectLst/>
      </c:spPr>
      <c:txPr>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[科学城办事处.xls]Sheet2!$B$1</c:f>
              <c:strCache>
                <c:ptCount val="1"/>
                <c:pt idx="0">
                  <c:v>收入、支出</c:v>
                </c:pt>
              </c:strCache>
            </c:strRef>
          </c:tx>
          <c:spPr>
            <a:solidFill>
              <a:srgbClr val="019199"/>
            </a:solidFill>
            <a:ln w="25400">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[科学城办事处.xls]Sheet2!$A$2:$A$3</c:f>
              <c:strCache>
                <c:ptCount val="2"/>
                <c:pt idx="0">
                  <c:v>2022年</c:v>
                </c:pt>
                <c:pt idx="1">
                  <c:v>2021年</c:v>
                </c:pt>
              </c:strCache>
            </c:strRef>
          </c:cat>
          <c:val>
            <c:numRef>
              <c:f>[科学城办事处.xls]Sheet2!$B$2:$B$3</c:f>
              <c:numCache>
                <c:formatCode>General</c:formatCode>
                <c:ptCount val="2"/>
                <c:pt idx="0">
                  <c:v>1437.32</c:v>
                </c:pt>
                <c:pt idx="1">
                  <c:v>1437.21</c:v>
                </c:pt>
              </c:numCache>
            </c:numRef>
          </c:val>
          <c:extLst>
            <c:ext xmlns:c16="http://schemas.microsoft.com/office/drawing/2014/chart" uri="{C3380CC4-5D6E-409C-BE32-E72D297353CC}">
              <c16:uniqueId val="{00000000-A1F2-4029-B826-4C391CE9593A}"/>
            </c:ext>
          </c:extLst>
        </c:ser>
        <c:dLbls>
          <c:showLegendKey val="0"/>
          <c:showVal val="1"/>
          <c:showCatName val="0"/>
          <c:showSerName val="0"/>
          <c:showPercent val="0"/>
          <c:showBubbleSize val="0"/>
        </c:dLbls>
        <c:gapWidth val="100"/>
        <c:overlap val="100"/>
        <c:axId val="82471168"/>
        <c:axId val="82472960"/>
      </c:barChart>
      <c:catAx>
        <c:axId val="82471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472960"/>
        <c:crosses val="autoZero"/>
        <c:auto val="1"/>
        <c:lblAlgn val="ctr"/>
        <c:lblOffset val="100"/>
        <c:noMultiLvlLbl val="0"/>
      </c:catAx>
      <c:valAx>
        <c:axId val="82472960"/>
        <c:scaling>
          <c:orientation val="minMax"/>
        </c:scaling>
        <c:delete val="0"/>
        <c:axPos val="l"/>
        <c:majorGridlines>
          <c:spPr>
            <a:ln w="9525" cap="flat" cmpd="sng" algn="ctr">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471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a:t>
            </a:r>
            <a:r>
              <a:rPr lang="zh-CN" altLang="en-US"/>
              <a:t>收入决算结构图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8006-4734-B147-CCA58B34331A}"/>
              </c:ext>
            </c:extLst>
          </c:dPt>
          <c:dLbls>
            <c:dLbl>
              <c:idx val="0"/>
              <c:layout>
                <c:manualLayout>
                  <c:x val="-1.6058736164878511E-2"/>
                  <c:y val="-0.2775333958774650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06-4734-B147-CCA58B34331A}"/>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c:f>
              <c:strCache>
                <c:ptCount val="1"/>
                <c:pt idx="0">
                  <c:v>一般公共预算财政拨款收入</c:v>
                </c:pt>
              </c:strCache>
            </c:strRef>
          </c:cat>
          <c:val>
            <c:numRef>
              <c:f>Sheet1!$B$2</c:f>
              <c:numCache>
                <c:formatCode>General</c:formatCode>
                <c:ptCount val="1"/>
                <c:pt idx="0">
                  <c:v>1437.32</c:v>
                </c:pt>
              </c:numCache>
            </c:numRef>
          </c:val>
          <c:extLst>
            <c:ext xmlns:c16="http://schemas.microsoft.com/office/drawing/2014/chart" uri="{C3380CC4-5D6E-409C-BE32-E72D297353CC}">
              <c16:uniqueId val="{00000001-8006-4734-B147-CCA58B34331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图</a:t>
            </a:r>
            <a:r>
              <a:rPr lang="en-US" altLang="zh-CN" sz="1400"/>
              <a:t>3</a:t>
            </a:r>
            <a:r>
              <a:rPr lang="zh-CN" altLang="en-US" sz="1400"/>
              <a:t>：支出决算结构图 </a:t>
            </a:r>
            <a:r>
              <a:rPr lang="zh-CN" altLang="en-US" sz="1600"/>
              <a:t>             </a:t>
            </a:r>
            <a:r>
              <a:rPr lang="zh-CN" altLang="en-US" sz="1200"/>
              <a:t>金额：万元</a:t>
            </a:r>
          </a:p>
        </c:rich>
      </c:tx>
      <c:layout>
        <c:manualLayout>
          <c:xMode val="edge"/>
          <c:yMode val="edge"/>
          <c:x val="0.19118030093566499"/>
          <c:y val="2.7777885788967806E-2"/>
        </c:manualLayout>
      </c:layout>
      <c:overlay val="0"/>
    </c:title>
    <c:autoTitleDeleted val="0"/>
    <c:plotArea>
      <c:layout/>
      <c:pieChart>
        <c:varyColors val="1"/>
        <c:ser>
          <c:idx val="0"/>
          <c:order val="0"/>
          <c:tx>
            <c:strRef>
              <c:f>Sheet1!$A$31</c:f>
              <c:strCache>
                <c:ptCount val="1"/>
                <c:pt idx="0">
                  <c:v>金额</c:v>
                </c:pt>
              </c:strCache>
            </c:strRef>
          </c:tx>
          <c:explosion val="25"/>
          <c:dLbls>
            <c:dLbl>
              <c:idx val="0"/>
              <c:layout>
                <c:manualLayout>
                  <c:x val="2.74437882764655E-2"/>
                  <c:y val="-7.37492709244678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EF-47B4-9F84-7791E08FA8FC}"/>
                </c:ext>
              </c:extLst>
            </c:dLbl>
            <c:dLbl>
              <c:idx val="1"/>
              <c:layout>
                <c:manualLayout>
                  <c:x val="0.24627786369378199"/>
                  <c:y val="-6.9423734244175819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68977732793522"/>
                      <c:h val="0.14890109890109901"/>
                    </c:manualLayout>
                  </c15:layout>
                </c:ext>
                <c:ext xmlns:c16="http://schemas.microsoft.com/office/drawing/2014/chart" uri="{C3380CC4-5D6E-409C-BE32-E72D297353CC}">
                  <c16:uniqueId val="{00000001-7EEF-47B4-9F84-7791E08FA8FC}"/>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Sheet1!$B$30:$C$30</c:f>
              <c:strCache>
                <c:ptCount val="2"/>
                <c:pt idx="0">
                  <c:v>基本支出</c:v>
                </c:pt>
                <c:pt idx="1">
                  <c:v>项目支出</c:v>
                </c:pt>
              </c:strCache>
            </c:strRef>
          </c:cat>
          <c:val>
            <c:numRef>
              <c:f>Sheet1!$B$31:$C$31</c:f>
              <c:numCache>
                <c:formatCode>#,##0.00</c:formatCode>
                <c:ptCount val="2"/>
                <c:pt idx="0">
                  <c:v>309.06</c:v>
                </c:pt>
                <c:pt idx="1">
                  <c:v>1128.26</c:v>
                </c:pt>
              </c:numCache>
            </c:numRef>
          </c:val>
          <c:extLst>
            <c:ext xmlns:c16="http://schemas.microsoft.com/office/drawing/2014/chart" uri="{C3380CC4-5D6E-409C-BE32-E72D297353CC}">
              <c16:uniqueId val="{00000002-7EEF-47B4-9F84-7791E08FA8FC}"/>
            </c:ext>
          </c:extLst>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0167004048583015"/>
          <c:y val="0.5829670329670328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4</a:t>
            </a:r>
            <a:r>
              <a:rPr lang="zh-CN" altLang="en-US"/>
              <a:t>：财政拨款收、支决算总计变动情况</a:t>
            </a:r>
          </a:p>
        </c:rich>
      </c:tx>
      <c:overlay val="0"/>
      <c:spPr>
        <a:noFill/>
        <a:ln>
          <a:noFill/>
        </a:ln>
        <a:effectLst/>
      </c:spPr>
      <c:txPr>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[科学城办事处.xls]Sheet2!$B$1</c:f>
              <c:strCache>
                <c:ptCount val="1"/>
                <c:pt idx="0">
                  <c:v>收入、支出</c:v>
                </c:pt>
              </c:strCache>
            </c:strRef>
          </c:tx>
          <c:spPr>
            <a:solidFill>
              <a:srgbClr val="019199"/>
            </a:solidFill>
            <a:ln w="25400">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[科学城办事处.xls]Sheet2!$A$2:$A$3</c:f>
              <c:strCache>
                <c:ptCount val="2"/>
                <c:pt idx="0">
                  <c:v>2022年</c:v>
                </c:pt>
                <c:pt idx="1">
                  <c:v>2021年</c:v>
                </c:pt>
              </c:strCache>
            </c:strRef>
          </c:cat>
          <c:val>
            <c:numRef>
              <c:f>[科学城办事处.xls]Sheet2!$B$2:$B$3</c:f>
              <c:numCache>
                <c:formatCode>General</c:formatCode>
                <c:ptCount val="2"/>
                <c:pt idx="0">
                  <c:v>1437.32</c:v>
                </c:pt>
                <c:pt idx="1">
                  <c:v>1437.21</c:v>
                </c:pt>
              </c:numCache>
            </c:numRef>
          </c:val>
          <c:extLst>
            <c:ext xmlns:c16="http://schemas.microsoft.com/office/drawing/2014/chart" uri="{C3380CC4-5D6E-409C-BE32-E72D297353CC}">
              <c16:uniqueId val="{00000000-10CA-4362-A822-ED554FB6C7CB}"/>
            </c:ext>
          </c:extLst>
        </c:ser>
        <c:dLbls>
          <c:showLegendKey val="0"/>
          <c:showVal val="1"/>
          <c:showCatName val="0"/>
          <c:showSerName val="0"/>
          <c:showPercent val="0"/>
          <c:showBubbleSize val="0"/>
        </c:dLbls>
        <c:gapWidth val="100"/>
        <c:overlap val="100"/>
        <c:axId val="83037568"/>
        <c:axId val="83039360"/>
      </c:barChart>
      <c:catAx>
        <c:axId val="83037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039360"/>
        <c:crosses val="autoZero"/>
        <c:auto val="1"/>
        <c:lblAlgn val="ctr"/>
        <c:lblOffset val="100"/>
        <c:noMultiLvlLbl val="0"/>
      </c:catAx>
      <c:valAx>
        <c:axId val="83039360"/>
        <c:scaling>
          <c:orientation val="minMax"/>
        </c:scaling>
        <c:delete val="0"/>
        <c:axPos val="l"/>
        <c:majorGridlines>
          <c:spPr>
            <a:ln w="9525" cap="flat" cmpd="sng" algn="ctr">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03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cap="none" spc="0" normalizeH="0" baseline="0">
                <a:solidFill>
                  <a:schemeClr val="tx1"/>
                </a:solidFill>
                <a:uFill>
                  <a:solidFill>
                    <a:schemeClr val="tx1"/>
                  </a:solidFill>
                </a:uFill>
                <a:latin typeface="+mn-lt"/>
                <a:ea typeface="+mn-ea"/>
                <a:cs typeface="+mn-cs"/>
              </a:defRPr>
            </a:pPr>
            <a:r>
              <a:rPr lang="zh-CN" altLang="en-US" sz="1440" u="none" strike="noStrike" cap="none" normalizeH="0">
                <a:solidFill>
                  <a:schemeClr val="tx1"/>
                </a:solidFill>
                <a:uFill>
                  <a:solidFill>
                    <a:schemeClr val="tx1"/>
                  </a:solidFill>
                </a:uFill>
              </a:rPr>
              <a:t>图</a:t>
            </a:r>
            <a:r>
              <a:rPr lang="en-US" altLang="zh-CN" sz="1440" u="none" strike="noStrike" cap="none" normalizeH="0">
                <a:solidFill>
                  <a:schemeClr val="tx1"/>
                </a:solidFill>
                <a:uFill>
                  <a:solidFill>
                    <a:schemeClr val="tx1"/>
                  </a:solidFill>
                </a:uFill>
              </a:rPr>
              <a:t>5</a:t>
            </a:r>
            <a:r>
              <a:rPr lang="zh-CN" altLang="en-US" sz="1440" u="none" strike="noStrike" cap="none" normalizeH="0">
                <a:solidFill>
                  <a:schemeClr val="tx1"/>
                </a:solidFill>
                <a:uFill>
                  <a:solidFill>
                    <a:schemeClr val="tx1"/>
                  </a:solidFill>
                </a:uFill>
              </a:rPr>
              <a:t>：一般公共预算财政拨款支出决算变动情况</a:t>
            </a:r>
          </a:p>
        </c:rich>
      </c:tx>
      <c:layout>
        <c:manualLayout>
          <c:xMode val="edge"/>
          <c:yMode val="edge"/>
          <c:x val="0.13238727116353399"/>
          <c:y val="6.1224489795918416E-3"/>
        </c:manualLayout>
      </c:layout>
      <c:overlay val="0"/>
      <c:spPr>
        <a:noFill/>
        <a:ln w="25400">
          <a:noFill/>
        </a:ln>
      </c:spPr>
    </c:title>
    <c:autoTitleDeleted val="0"/>
    <c:plotArea>
      <c:layout>
        <c:manualLayout>
          <c:layoutTarget val="inner"/>
          <c:xMode val="edge"/>
          <c:yMode val="edge"/>
          <c:x val="0.24632375050600902"/>
          <c:y val="0.162079994743868"/>
          <c:w val="0.7261035929095041"/>
          <c:h val="0.43731017449760712"/>
        </c:manualLayout>
      </c:layout>
      <c:barChart>
        <c:barDir val="col"/>
        <c:grouping val="clustered"/>
        <c:varyColors val="0"/>
        <c:ser>
          <c:idx val="0"/>
          <c:order val="0"/>
          <c:tx>
            <c:strRef>
              <c:f>Sheet1!$A$57</c:f>
              <c:strCache>
                <c:ptCount val="1"/>
                <c:pt idx="0">
                  <c:v>金额</c:v>
                </c:pt>
              </c:strCache>
            </c:strRef>
          </c:tx>
          <c:spPr>
            <a:solidFill>
              <a:srgbClr val="4F81BD"/>
            </a:solidFill>
            <a:ln w="25400">
              <a:noFill/>
            </a:ln>
          </c:spPr>
          <c:invertIfNegative val="0"/>
          <c:dPt>
            <c:idx val="2"/>
            <c:invertIfNegative val="0"/>
            <c:bubble3D val="0"/>
            <c:spPr>
              <a:noFill/>
              <a:ln w="25400">
                <a:noFill/>
              </a:ln>
            </c:spPr>
            <c:extLst>
              <c:ext xmlns:c16="http://schemas.microsoft.com/office/drawing/2014/chart" uri="{C3380CC4-5D6E-409C-BE32-E72D297353CC}">
                <c16:uniqueId val="{00000000-15C1-46D2-8806-4351A29E0E46}"/>
              </c:ext>
            </c:extLst>
          </c:dPt>
          <c:dLbls>
            <c:delete val="1"/>
          </c:dLbls>
          <c:cat>
            <c:strRef>
              <c:f>Sheet1!$B$56:$D$56</c:f>
              <c:strCache>
                <c:ptCount val="3"/>
                <c:pt idx="0">
                  <c:v>2021年一般公共预算财政拨款支出</c:v>
                </c:pt>
                <c:pt idx="1">
                  <c:v>2022年一般公共预算财政拨款支出</c:v>
                </c:pt>
                <c:pt idx="2">
                  <c:v>增减比例</c:v>
                </c:pt>
              </c:strCache>
            </c:strRef>
          </c:cat>
          <c:val>
            <c:numRef>
              <c:f>Sheet1!$B$57:$D$57</c:f>
              <c:numCache>
                <c:formatCode>General</c:formatCode>
                <c:ptCount val="3"/>
                <c:pt idx="0">
                  <c:v>1437.21</c:v>
                </c:pt>
                <c:pt idx="1">
                  <c:v>1437.32</c:v>
                </c:pt>
                <c:pt idx="2" formatCode="0.00%">
                  <c:v>7.6537179674438714E-5</c:v>
                </c:pt>
              </c:numCache>
            </c:numRef>
          </c:val>
          <c:extLst>
            <c:ext xmlns:c16="http://schemas.microsoft.com/office/drawing/2014/chart" uri="{C3380CC4-5D6E-409C-BE32-E72D297353CC}">
              <c16:uniqueId val="{00000001-15C1-46D2-8806-4351A29E0E46}"/>
            </c:ext>
          </c:extLst>
        </c:ser>
        <c:ser>
          <c:idx val="1"/>
          <c:order val="1"/>
          <c:tx>
            <c:strRef>
              <c:f>Sheet1!$A$58</c:f>
              <c:strCache>
                <c:ptCount val="1"/>
                <c:pt idx="0">
                  <c:v>本年支出占比 </c:v>
                </c:pt>
              </c:strCache>
            </c:strRef>
          </c:tx>
          <c:spPr>
            <a:solidFill>
              <a:srgbClr val="FFFFFF"/>
            </a:solidFill>
            <a:ln w="25400">
              <a:noFill/>
            </a:ln>
          </c:spPr>
          <c:invertIfNegative val="0"/>
          <c:dLbls>
            <c:delete val="1"/>
          </c:dLbls>
          <c:cat>
            <c:strRef>
              <c:f>Sheet1!$B$56:$D$56</c:f>
              <c:strCache>
                <c:ptCount val="3"/>
                <c:pt idx="0">
                  <c:v>2021年一般公共预算财政拨款支出</c:v>
                </c:pt>
                <c:pt idx="1">
                  <c:v>2022年一般公共预算财政拨款支出</c:v>
                </c:pt>
                <c:pt idx="2">
                  <c:v>增减比例</c:v>
                </c:pt>
              </c:strCache>
            </c:strRef>
          </c:cat>
          <c:val>
            <c:numRef>
              <c:f>Sheet1!$B$58:$D$58</c:f>
              <c:numCache>
                <c:formatCode>0.00%</c:formatCode>
                <c:ptCount val="3"/>
                <c:pt idx="0">
                  <c:v>1</c:v>
                </c:pt>
                <c:pt idx="1">
                  <c:v>1</c:v>
                </c:pt>
                <c:pt idx="2">
                  <c:v>0</c:v>
                </c:pt>
              </c:numCache>
            </c:numRef>
          </c:val>
          <c:extLst>
            <c:ext xmlns:c16="http://schemas.microsoft.com/office/drawing/2014/chart" uri="{C3380CC4-5D6E-409C-BE32-E72D297353CC}">
              <c16:uniqueId val="{00000002-15C1-46D2-8806-4351A29E0E46}"/>
            </c:ext>
          </c:extLst>
        </c:ser>
        <c:dLbls>
          <c:showLegendKey val="0"/>
          <c:showVal val="1"/>
          <c:showCatName val="0"/>
          <c:showSerName val="0"/>
          <c:showPercent val="0"/>
          <c:showBubbleSize val="0"/>
        </c:dLbls>
        <c:gapWidth val="219"/>
        <c:overlap val="-100"/>
        <c:axId val="83062144"/>
        <c:axId val="83105280"/>
      </c:barChart>
      <c:catAx>
        <c:axId val="83062144"/>
        <c:scaling>
          <c:orientation val="minMax"/>
        </c:scaling>
        <c:delete val="0"/>
        <c:axPos val="b"/>
        <c:title>
          <c:tx>
            <c:rich>
              <a:bodyPr rot="0" spcFirstLastPara="0" vertOverflow="ellipsis" vert="horz" wrap="square" anchor="ctr" anchorCtr="1"/>
              <a:lstStyle/>
              <a:p>
                <a:pPr defTabSz="914400">
                  <a:defRPr lang="zh-CN" sz="1200" b="0" i="0" u="none" strike="noStrike" kern="1200" cap="none" spc="0" normalizeH="0" baseline="0">
                    <a:solidFill>
                      <a:schemeClr val="tx1"/>
                    </a:solidFill>
                    <a:uFill>
                      <a:solidFill>
                        <a:schemeClr val="tx1"/>
                      </a:solidFill>
                    </a:uFill>
                    <a:latin typeface="+mn-lt"/>
                    <a:ea typeface="+mn-ea"/>
                    <a:cs typeface="+mn-cs"/>
                  </a:defRPr>
                </a:pPr>
                <a:r>
                  <a:rPr lang="zh-CN" altLang="en-US">
                    <a:solidFill>
                      <a:schemeClr val="tx1"/>
                    </a:solidFill>
                    <a:uFill>
                      <a:solidFill>
                        <a:schemeClr val="tx1"/>
                      </a:solidFill>
                    </a:uFill>
                  </a:rPr>
                  <a:t>单位：万元</a:t>
                </a:r>
              </a:p>
            </c:rich>
          </c:tx>
          <c:layout>
            <c:manualLayout>
              <c:xMode val="edge"/>
              <c:yMode val="edge"/>
              <c:x val="0.79338003705419213"/>
              <c:y val="9.6406848226540526E-2"/>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endParaRPr lang="zh-CN"/>
          </a:p>
        </c:txPr>
        <c:crossAx val="83105280"/>
        <c:crosses val="autoZero"/>
        <c:auto val="1"/>
        <c:lblAlgn val="ctr"/>
        <c:lblOffset val="100"/>
        <c:noMultiLvlLbl val="0"/>
      </c:catAx>
      <c:valAx>
        <c:axId val="83105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endParaRPr lang="zh-CN"/>
          </a:p>
        </c:txPr>
        <c:crossAx val="83062144"/>
        <c:crosses val="autoZero"/>
        <c:crossBetween val="between"/>
      </c:valAx>
      <c:dTable>
        <c:showHorzBorder val="1"/>
        <c:showVertBorder val="1"/>
        <c:showOutline val="1"/>
        <c:showKeys val="1"/>
        <c:spPr>
          <a:noFill/>
          <a:ln w="12700" cap="flat" cmpd="sng" algn="ctr">
            <a:solidFill>
              <a:schemeClr val="tx1"/>
            </a:solidFill>
            <a:prstDash val="solid"/>
            <a:round/>
          </a:ln>
          <a:effectLst/>
        </c:spPr>
        <c:txPr>
          <a:bodyPr rot="0" spcFirstLastPara="0" vertOverflow="ellipsis" vert="horz" wrap="square" anchor="ctr" anchorCtr="1"/>
          <a:lstStyle/>
          <a:p>
            <a:pPr rtl="0">
              <a:defRPr lang="zh-CN" sz="1100" b="0" i="0" u="none" strike="noStrike" kern="1200" cap="none" spc="0" normalizeH="0" baseline="0">
                <a:solidFill>
                  <a:schemeClr val="tx1"/>
                </a:solidFill>
                <a:uFill>
                  <a:solidFill>
                    <a:schemeClr val="tx1"/>
                  </a:solidFill>
                </a:uFill>
                <a:latin typeface="+mn-lt"/>
                <a:ea typeface="+mn-ea"/>
                <a:cs typeface="+mn-cs"/>
              </a:defRPr>
            </a:pPr>
            <a:endParaRPr lang="zh-CN"/>
          </a:p>
        </c:txPr>
      </c:dTable>
      <c:spPr>
        <a:noFill/>
        <a:ln w="12700">
          <a:solidFill>
            <a:srgbClr val="000000"/>
          </a:solidFill>
          <a:prstDash val="solid"/>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200" u="none" strike="noStrike" kern="1200" cap="none" spc="0" normalizeH="0">
          <a:solidFill>
            <a:schemeClr val="tx1"/>
          </a:solidFill>
          <a:uFill>
            <a:solidFill>
              <a:schemeClr val="tx1"/>
            </a:solidFill>
          </a:uFill>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按支出功能分类</a:t>
            </a:r>
          </a:p>
        </c:rich>
      </c:tx>
      <c:overlay val="0"/>
    </c:title>
    <c:autoTitleDeleted val="0"/>
    <c:plotArea>
      <c:layout>
        <c:manualLayout>
          <c:layoutTarget val="inner"/>
          <c:xMode val="edge"/>
          <c:yMode val="edge"/>
          <c:x val="9.87578695830231E-2"/>
          <c:y val="0.33954189065776708"/>
          <c:w val="0.45647669129587615"/>
          <c:h val="0.52496525094139201"/>
        </c:manualLayout>
      </c:layout>
      <c:pieChart>
        <c:varyColors val="1"/>
        <c:ser>
          <c:idx val="0"/>
          <c:order val="0"/>
          <c:tx>
            <c:strRef>
              <c:f>Sheet1!$K$58</c:f>
              <c:strCache>
                <c:ptCount val="1"/>
                <c:pt idx="0">
                  <c:v>金额</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Sheet1!$L$57:$N$57</c:f>
              <c:strCache>
                <c:ptCount val="2"/>
                <c:pt idx="0">
                  <c:v>一般公共服务支出</c:v>
                </c:pt>
                <c:pt idx="1">
                  <c:v>卫生健康支出</c:v>
                </c:pt>
              </c:strCache>
            </c:strRef>
          </c:cat>
          <c:val>
            <c:numRef>
              <c:f>Sheet1!$L$58:$N$58</c:f>
              <c:numCache>
                <c:formatCode>General</c:formatCode>
                <c:ptCount val="3"/>
                <c:pt idx="0">
                  <c:v>1402.75</c:v>
                </c:pt>
                <c:pt idx="1">
                  <c:v>34.57</c:v>
                </c:pt>
              </c:numCache>
            </c:numRef>
          </c:val>
          <c:extLst>
            <c:ext xmlns:c16="http://schemas.microsoft.com/office/drawing/2014/chart" uri="{C3380CC4-5D6E-409C-BE32-E72D297353CC}">
              <c16:uniqueId val="{00000000-C10F-438C-8C03-F88276B19094}"/>
            </c:ext>
          </c:extLst>
        </c:ser>
        <c:dLbls>
          <c:showLegendKey val="0"/>
          <c:showVal val="1"/>
          <c:showCatName val="0"/>
          <c:showSerName val="0"/>
          <c:showPercent val="0"/>
          <c:showBubbleSize val="0"/>
          <c:showLeaderLines val="1"/>
        </c:dLbls>
        <c:firstSliceAng val="0"/>
      </c:pieChart>
    </c:plotArea>
    <c:legend>
      <c:legendPos val="r"/>
      <c:legendEntry>
        <c:idx val="2"/>
        <c:delete val="1"/>
      </c:legendEntry>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lang="zh-CN" altLang="en-US"/>
              <a:t>图</a:t>
            </a:r>
            <a:r>
              <a:rPr lang="en-US" altLang="zh-CN"/>
              <a:t>7</a:t>
            </a:r>
            <a:r>
              <a:rPr lang="zh-CN" altLang="en-US"/>
              <a:t>：“三公”经费财政拨款支出结构</a:t>
            </a:r>
          </a:p>
        </c:rich>
      </c:tx>
      <c:layout>
        <c:manualLayout>
          <c:xMode val="edge"/>
          <c:yMode val="edge"/>
          <c:x val="0.24611111111111103"/>
          <c:y val="0.90400059318971104"/>
        </c:manualLayout>
      </c:layout>
      <c:overlay val="0"/>
      <c:spPr>
        <a:noFill/>
        <a:ln>
          <a:noFill/>
        </a:ln>
        <a:effectLst/>
      </c:spPr>
      <c:txPr>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[附件3.省政府科学城办事处2022年部门决算报表.xls]Sheet1!$B$2</c:f>
              <c:strCache>
                <c:ptCount val="1"/>
                <c:pt idx="0">
                  <c:v>支出金额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63B0-4176-8405-672D008D9D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63B0-4176-8405-672D008D9D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63B0-4176-8405-672D008D9D6D}"/>
              </c:ext>
            </c:extLst>
          </c:dPt>
          <c:dLbls>
            <c:dLbl>
              <c:idx val="0"/>
              <c:layout>
                <c:manualLayout>
                  <c:x val="-4.8333333333333416E-2"/>
                  <c:y val="9.0277777777777804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6805555555556"/>
                      <c:h val="0.163888888888889"/>
                    </c:manualLayout>
                  </c15:layout>
                </c:ext>
                <c:ext xmlns:c16="http://schemas.microsoft.com/office/drawing/2014/chart" uri="{C3380CC4-5D6E-409C-BE32-E72D297353CC}">
                  <c16:uniqueId val="{00000000-63B0-4176-8405-672D008D9D6D}"/>
                </c:ext>
              </c:extLst>
            </c:dLbl>
            <c:dLbl>
              <c:idx val="1"/>
              <c:layout>
                <c:manualLayout>
                  <c:x val="-1.5000000000000003E-2"/>
                  <c:y val="-0.21124407415397803"/>
                </c:manualLayout>
              </c:layout>
              <c:tx>
                <c:rich>
                  <a:bodyPr/>
                  <a:lstStyle/>
                  <a:p>
                    <a:r>
                      <a:rPr lang="zh-CN" altLang="en-US"/>
                      <a:t>公务用车购置及运行维护费</a:t>
                    </a:r>
                  </a:p>
                  <a:p>
                    <a:r>
                      <a:rPr lang="en-US" altLang="zh-CN"/>
                      <a:t>99.45%</a:t>
                    </a:r>
                  </a:p>
                </c:rich>
              </c:tx>
              <c:dLblPos val="bestFit"/>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63B0-4176-8405-672D008D9D6D}"/>
                </c:ext>
              </c:extLst>
            </c:dLbl>
            <c:dLbl>
              <c:idx val="2"/>
              <c:layout>
                <c:manualLayout>
                  <c:x val="0.207074851929162"/>
                  <c:y val="1.70878818587849E-2"/>
                </c:manualLayout>
              </c:layout>
              <c:tx>
                <c:rich>
                  <a:bodyPr/>
                  <a:lstStyle/>
                  <a:p>
                    <a:r>
                      <a:rPr lang="zh-CN" altLang="en-US"/>
                      <a:t>公务接待费</a:t>
                    </a:r>
                  </a:p>
                  <a:p>
                    <a:r>
                      <a:rPr lang="en-US" altLang="zh-CN"/>
                      <a:t>0.55%</a:t>
                    </a:r>
                  </a:p>
                </c:rich>
              </c:tx>
              <c:dLblPos val="bestFit"/>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63B0-4176-8405-672D008D9D6D}"/>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[附件3.省政府科学城办事处2022年部门决算报表.xls]Sheet1!$A$3:$A$5</c:f>
              <c:strCache>
                <c:ptCount val="3"/>
                <c:pt idx="0">
                  <c:v>因公出国（境）费</c:v>
                </c:pt>
                <c:pt idx="1">
                  <c:v>公务用车购置及运行维护费</c:v>
                </c:pt>
                <c:pt idx="2">
                  <c:v>公务接待费</c:v>
                </c:pt>
              </c:strCache>
            </c:strRef>
          </c:cat>
          <c:val>
            <c:numRef>
              <c:f>[附件3.省政府科学城办事处2022年部门决算报表.xls]Sheet1!$B$3:$B$5</c:f>
              <c:numCache>
                <c:formatCode>General</c:formatCode>
                <c:ptCount val="3"/>
                <c:pt idx="0">
                  <c:v>0</c:v>
                </c:pt>
                <c:pt idx="1">
                  <c:v>96.53</c:v>
                </c:pt>
                <c:pt idx="2">
                  <c:v>0.53</c:v>
                </c:pt>
              </c:numCache>
            </c:numRef>
          </c:val>
          <c:extLst>
            <c:ext xmlns:c16="http://schemas.microsoft.com/office/drawing/2014/chart" uri="{C3380CC4-5D6E-409C-BE32-E72D297353CC}">
              <c16:uniqueId val="{00000003-63B0-4176-8405-672D008D9D6D}"/>
            </c:ext>
          </c:extLst>
        </c:ser>
        <c:ser>
          <c:idx val="1"/>
          <c:order val="1"/>
          <c:tx>
            <c:strRef>
              <c:f>[附件3.省政府科学城办事处2022年部门决算报表.xls]Sheet1!$C$2</c:f>
              <c:strCache>
                <c:ptCount val="1"/>
                <c:pt idx="0">
                  <c:v>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4-63B0-4176-8405-672D008D9D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5-63B0-4176-8405-672D008D9D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6-63B0-4176-8405-672D008D9D6D}"/>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[附件3.省政府科学城办事处2022年部门决算报表.xls]Sheet1!$A$3:$A$5</c:f>
              <c:strCache>
                <c:ptCount val="3"/>
                <c:pt idx="0">
                  <c:v>因公出国（境）费</c:v>
                </c:pt>
                <c:pt idx="1">
                  <c:v>公务用车购置及运行维护费</c:v>
                </c:pt>
                <c:pt idx="2">
                  <c:v>公务接待费</c:v>
                </c:pt>
              </c:strCache>
            </c:strRef>
          </c:cat>
          <c:val>
            <c:numRef>
              <c:f>[附件3.省政府科学城办事处2022年部门决算报表.xls]Sheet1!$C$3:$C$5</c:f>
              <c:numCache>
                <c:formatCode>0.00%</c:formatCode>
                <c:ptCount val="3"/>
                <c:pt idx="0" formatCode="General">
                  <c:v>0</c:v>
                </c:pt>
                <c:pt idx="1">
                  <c:v>0.99449999999999994</c:v>
                </c:pt>
                <c:pt idx="2">
                  <c:v>5.5000000000000014E-3</c:v>
                </c:pt>
              </c:numCache>
            </c:numRef>
          </c:val>
          <c:extLst>
            <c:ext xmlns:c16="http://schemas.microsoft.com/office/drawing/2014/chart" uri="{C3380CC4-5D6E-409C-BE32-E72D297353CC}">
              <c16:uniqueId val="{00000007-63B0-4176-8405-672D008D9D6D}"/>
            </c:ext>
          </c:extLst>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62152777777777801"/>
          <c:y val="0.3179889690284261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10E41-E27F-4640-8819-4A78EA0E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2383</Words>
  <Characters>13584</Characters>
  <Application>Microsoft Office Word</Application>
  <DocSecurity>0</DocSecurity>
  <Lines>113</Lines>
  <Paragraphs>31</Paragraphs>
  <ScaleCrop>false</ScaleCrop>
  <Company>四川省财政厅</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李 晨静</cp:lastModifiedBy>
  <cp:revision>34</cp:revision>
  <cp:lastPrinted>2023-07-31T02:35:00Z</cp:lastPrinted>
  <dcterms:created xsi:type="dcterms:W3CDTF">2020-08-05T01:49:00Z</dcterms:created>
  <dcterms:modified xsi:type="dcterms:W3CDTF">2023-09-05T10:55:00Z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