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auto"/>
          <w:sz w:val="28"/>
          <w:szCs w:val="28"/>
          <w:highlight w:val="none"/>
          <w:lang w:val="en-US" w:eastAsia="zh-CN"/>
        </w:rPr>
      </w:pPr>
      <w:bookmarkStart w:id="0" w:name="_Toc15306267"/>
    </w:p>
    <w:p>
      <w:pPr>
        <w:spacing w:line="600" w:lineRule="exact"/>
        <w:jc w:val="left"/>
        <w:outlineLvl w:val="0"/>
        <w:rPr>
          <w:rFonts w:ascii="方正小标宋简体" w:hAnsi="宋体" w:eastAsia="方正小标宋简体"/>
          <w:color w:val="auto"/>
          <w:sz w:val="21"/>
          <w:szCs w:val="21"/>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475"/>
      <w:bookmarkStart w:id="3" w:name="_Toc15396597"/>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77194"/>
      <w:bookmarkStart w:id="8" w:name="_Toc15396476"/>
      <w:bookmarkStart w:id="9" w:name="_Toc15378442"/>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审计厅（本级）</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rPr>
          <w:color w:val="auto"/>
          <w:highlight w:val="none"/>
        </w:rPr>
      </w:pPr>
      <w:bookmarkStart w:id="67" w:name="_GoBack"/>
      <w:bookmarkEnd w:id="67"/>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2"/>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二、机构设置……………………………………………………………………</w:t>
      </w:r>
      <w:r>
        <w:rPr>
          <w:rFonts w:hint="eastAsia" w:asciiTheme="minorEastAsia" w:hAnsiTheme="minorEastAsia" w:eastAsiaTheme="minorEastAsia" w:cstheme="minorEastAsia"/>
          <w:color w:val="auto"/>
          <w:sz w:val="24"/>
          <w:highlight w:val="none"/>
          <w:lang w:val="en-US" w:eastAsia="zh-CN"/>
        </w:rPr>
        <w:t>5</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12</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eastAsia="zh-CN"/>
        </w:rPr>
        <w:t>……………………………………</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eastAsia="zh-CN"/>
        </w:rPr>
        <w:t>…………………………………………………</w:t>
      </w:r>
      <w:r>
        <w:rPr>
          <w:rFonts w:hint="eastAsia"/>
          <w:color w:val="auto"/>
          <w:sz w:val="24"/>
          <w:highlight w:val="none"/>
          <w:lang w:val="en-US" w:eastAsia="zh-CN"/>
        </w:rPr>
        <w:t>14</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16</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20</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33</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pageBreakBefore w:val="0"/>
        <w:numPr>
          <w:ilvl w:val="0"/>
          <w:numId w:val="1"/>
        </w:numPr>
        <w:kinsoku/>
        <w:wordWrap/>
        <w:overflowPunct/>
        <w:topLinePunct w:val="0"/>
        <w:autoSpaceDE/>
        <w:autoSpaceDN/>
        <w:bidi w:val="0"/>
        <w:ind w:firstLine="640" w:firstLineChars="200"/>
        <w:textAlignment w:val="auto"/>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pPr>
        <w:pStyle w:val="6"/>
        <w:pageBreakBefore w:val="0"/>
        <w:kinsoku/>
        <w:wordWrap/>
        <w:overflowPunct/>
        <w:topLinePunct w:val="0"/>
        <w:autoSpaceDE/>
        <w:autoSpaceDN/>
        <w:bidi w:val="0"/>
        <w:adjustRightInd w:val="0"/>
        <w:snapToGrid w:val="0"/>
        <w:spacing w:before="93" w:line="560" w:lineRule="exact"/>
        <w:ind w:firstLine="640" w:firstLineChars="200"/>
        <w:textAlignment w:val="auto"/>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四川省审计厅成立于1983年，是四川省人民政府组成部门，主管全省审计工作，根据《中华人民共和国宪法》和《中华人民共和国审计法》等规定，在省政府和审计署领导下，主要承担对省级预算执行情况和其他财政收支，省直各部门（含直属单位）、市（州）、扩权试点县（市）政府预算执行情况、决算草案和其他财政收支，国家和省有关重大政策措施贯彻落实情况，省级政府投资和以省级政府投资为主的建设项目的预算执行情况和决算，省级重大公共工程项目的资金管理使用和建设运营情况，自然资源管理、污染防治和生态保护与修复情况，省属国有企业和地方金融机构、国有资本占控股或主导地位的企业和金融机构境内外资产、负债和损益，国际组织和外国政府援助、贷款项目，以及有关社会保障基金、社会捐赠资金、安全生产和职业健康财政资金和其他基金、资金的财务收支等进行审计监督；按规定对省管党政主要领导干部及其他单位主要负责人实施经济责任审计和自然资源资产离任审计。</w:t>
      </w:r>
    </w:p>
    <w:p>
      <w:pPr>
        <w:pStyle w:val="4"/>
        <w:pageBreakBefore w:val="0"/>
        <w:numPr>
          <w:ilvl w:val="0"/>
          <w:numId w:val="1"/>
        </w:numPr>
        <w:kinsoku/>
        <w:wordWrap/>
        <w:overflowPunct/>
        <w:topLinePunct w:val="0"/>
        <w:autoSpaceDE/>
        <w:autoSpaceDN/>
        <w:bidi w:val="0"/>
        <w:ind w:firstLine="640" w:firstLineChars="200"/>
        <w:textAlignment w:val="auto"/>
        <w:rPr>
          <w:rStyle w:val="26"/>
          <w:rFonts w:hint="eastAsia" w:ascii="黑体" w:hAnsi="黑体" w:eastAsia="黑体"/>
          <w:b w:val="0"/>
          <w:bCs w:val="0"/>
          <w:color w:val="auto"/>
          <w:highlight w:val="none"/>
          <w:lang w:val="en-US" w:eastAsia="zh-CN"/>
        </w:rPr>
      </w:pPr>
      <w:r>
        <w:rPr>
          <w:rStyle w:val="26"/>
          <w:rFonts w:hint="eastAsia" w:ascii="黑体" w:hAnsi="黑体" w:eastAsia="黑体"/>
          <w:b w:val="0"/>
          <w:bCs w:val="0"/>
          <w:color w:val="auto"/>
          <w:highlight w:val="none"/>
          <w:lang w:val="en-US" w:eastAsia="zh-CN"/>
        </w:rPr>
        <w:t>机构设置</w:t>
      </w:r>
    </w:p>
    <w:p>
      <w:pPr>
        <w:pageBreakBefore w:val="0"/>
        <w:numPr>
          <w:ilvl w:val="0"/>
          <w:numId w:val="0"/>
        </w:numPr>
        <w:kinsoku/>
        <w:wordWrap/>
        <w:overflowPunct/>
        <w:topLinePunct w:val="0"/>
        <w:autoSpaceDE/>
        <w:autoSpaceDN/>
        <w:bidi w:val="0"/>
        <w:ind w:leftChars="0" w:firstLine="640" w:firstLineChars="200"/>
        <w:textAlignment w:val="auto"/>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中共四川省委审计委员会办公室（简称省委审计办）设在审计厅，中共四川省委审计办秘书处负责省委审计办日常工作。四川省审计厅内设办公室、综合与计划管理处、法规处、审理处、内部审计监督指导处、电子数据审计处、财政审计处、审计整改督查处、经济责任审计处、教科文卫审计处、农业农村审计处、固定资产投资审计处、社会保障审计处、自然资源与生态环境审计处、企业审计处、金融审计处、涉外审计处、人事处、离退休人员工作处、机关党委办公室、派出审计一处、派出审计二处、派出审计三处、派出审计四处、派出审计五处、派出审计六处。</w:t>
      </w:r>
    </w:p>
    <w:bookmarkEnd w:id="14"/>
    <w:bookmarkEnd w:id="15"/>
    <w:p>
      <w:pPr>
        <w:pageBreakBefore w:val="0"/>
        <w:widowControl/>
        <w:kinsoku/>
        <w:wordWrap/>
        <w:overflowPunct/>
        <w:topLinePunct w:val="0"/>
        <w:autoSpaceDE/>
        <w:autoSpaceDN/>
        <w:bidi w:val="0"/>
        <w:ind w:firstLine="640" w:firstLineChars="200"/>
        <w:jc w:val="left"/>
        <w:textAlignment w:val="auto"/>
        <w:rPr>
          <w:rFonts w:ascii="仿宋" w:hAnsi="仿宋" w:eastAsia="仿宋"/>
          <w:color w:val="auto"/>
          <w:kern w:val="0"/>
          <w:sz w:val="32"/>
          <w:szCs w:val="32"/>
          <w:highlight w:val="none"/>
        </w:rPr>
      </w:pPr>
      <w:r>
        <w:rPr>
          <w:rFonts w:hint="eastAsia" w:ascii="仿宋" w:hAnsi="仿宋" w:eastAsia="仿宋" w:cs="Times New Roman"/>
          <w:bCs/>
          <w:color w:val="auto"/>
          <w:kern w:val="0"/>
          <w:sz w:val="32"/>
          <w:szCs w:val="32"/>
          <w:highlight w:val="none"/>
          <w:lang w:val="en-US" w:eastAsia="zh-CN" w:bidi="ar-SA"/>
        </w:rPr>
        <w:br w:type="page"/>
      </w: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pageBreakBefore w:val="0"/>
        <w:kinsoku/>
        <w:wordWrap/>
        <w:overflowPunct/>
        <w:topLinePunct w:val="0"/>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年度收、支总计13,873.83万元</w:t>
      </w:r>
      <w:r>
        <w:rPr>
          <w:rFonts w:hint="eastAsia" w:ascii="仿宋" w:hAnsi="仿宋" w:eastAsia="仿宋"/>
          <w:color w:val="auto"/>
          <w:sz w:val="32"/>
          <w:szCs w:val="32"/>
          <w:highlight w:val="none"/>
          <w:lang w:eastAsia="zh-CN"/>
        </w:rPr>
        <w:t>和12,895.75</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2,166.91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lang w:val="en-US" w:eastAsia="zh-CN"/>
        </w:rPr>
        <w:t>1,987.99万元</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13.51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lang w:val="en-US" w:eastAsia="zh-CN"/>
        </w:rPr>
        <w:t>13.36%</w:t>
      </w:r>
      <w:r>
        <w:rPr>
          <w:rFonts w:hint="eastAsia" w:ascii="仿宋" w:hAnsi="仿宋" w:eastAsia="仿宋"/>
          <w:color w:val="auto"/>
          <w:sz w:val="32"/>
          <w:szCs w:val="32"/>
          <w:highlight w:val="none"/>
        </w:rPr>
        <w:t>。主要变动原因是</w:t>
      </w:r>
      <w:r>
        <w:rPr>
          <w:rFonts w:hint="eastAsia" w:ascii="仿宋_GB2312" w:hAnsi="仿宋" w:eastAsia="仿宋_GB2312"/>
          <w:b w:val="0"/>
          <w:bCs/>
          <w:sz w:val="32"/>
          <w:szCs w:val="32"/>
          <w:highlight w:val="none"/>
        </w:rPr>
        <w:t>审计署金审三期工程</w:t>
      </w:r>
      <w:r>
        <w:rPr>
          <w:rFonts w:hint="eastAsia" w:ascii="仿宋_GB2312" w:hAnsi="仿宋" w:eastAsia="仿宋_GB2312"/>
          <w:b w:val="0"/>
          <w:bCs/>
          <w:sz w:val="32"/>
          <w:szCs w:val="32"/>
          <w:highlight w:val="none"/>
          <w:lang w:eastAsia="zh-CN"/>
        </w:rPr>
        <w:t>项目建设</w:t>
      </w:r>
      <w:r>
        <w:rPr>
          <w:rFonts w:hint="eastAsia" w:ascii="仿宋_GB2312" w:hAnsi="仿宋" w:eastAsia="仿宋_GB2312"/>
          <w:b w:val="0"/>
          <w:bCs/>
          <w:sz w:val="32"/>
          <w:szCs w:val="32"/>
          <w:highlight w:val="none"/>
          <w:lang w:val="en-US" w:eastAsia="zh-CN"/>
        </w:rPr>
        <w:t>接近</w:t>
      </w:r>
      <w:r>
        <w:rPr>
          <w:rFonts w:hint="eastAsia" w:ascii="仿宋_GB2312" w:hAnsi="仿宋" w:eastAsia="仿宋_GB2312"/>
          <w:b w:val="0"/>
          <w:bCs/>
          <w:sz w:val="32"/>
          <w:szCs w:val="32"/>
          <w:highlight w:val="none"/>
          <w:lang w:eastAsia="zh-CN"/>
        </w:rPr>
        <w:t>完成，项目预算减少。</w:t>
      </w:r>
    </w:p>
    <w:p>
      <w:pPr>
        <w:spacing w:line="600" w:lineRule="exact"/>
        <w:ind w:firstLine="640" w:firstLineChars="200"/>
        <w:rPr>
          <w:rFonts w:hint="eastAsia" w:ascii="仿宋" w:hAnsi="仿宋" w:eastAsia="仿宋"/>
          <w:color w:val="auto"/>
          <w:sz w:val="32"/>
          <w:szCs w:val="32"/>
          <w:highlight w:val="none"/>
          <w:lang w:eastAsia="zh-CN"/>
        </w:rPr>
      </w:pPr>
    </w:p>
    <w:p>
      <w:pPr>
        <w:pStyle w:val="6"/>
        <w:jc w:val="center"/>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115570</wp:posOffset>
            </wp:positionV>
            <wp:extent cx="5727065" cy="3048000"/>
            <wp:effectExtent l="4445" t="4445" r="2159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jc w:val="both"/>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年本年收入合计13,873.83万元，其中：一般公共预算财政拨款收入11,720.82万元，占</w:t>
      </w:r>
      <w:r>
        <w:rPr>
          <w:rFonts w:hint="eastAsia" w:ascii="仿宋" w:hAnsi="仿宋" w:eastAsia="仿宋"/>
          <w:color w:val="auto"/>
          <w:sz w:val="32"/>
          <w:szCs w:val="32"/>
          <w:highlight w:val="none"/>
          <w:lang w:val="en-US" w:eastAsia="zh-CN"/>
        </w:rPr>
        <w:t>84.48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；其他收入996.00万元，占</w:t>
      </w:r>
      <w:r>
        <w:rPr>
          <w:rFonts w:hint="eastAsia" w:ascii="仿宋" w:hAnsi="仿宋" w:eastAsia="仿宋"/>
          <w:color w:val="auto"/>
          <w:sz w:val="32"/>
          <w:szCs w:val="32"/>
          <w:highlight w:val="none"/>
          <w:lang w:val="en-US" w:eastAsia="zh-CN"/>
        </w:rPr>
        <w:t>7.18</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;年初结转收入1,157.00万元，占8.34%。</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353695</wp:posOffset>
            </wp:positionH>
            <wp:positionV relativeFrom="paragraph">
              <wp:posOffset>24765</wp:posOffset>
            </wp:positionV>
            <wp:extent cx="5118100" cy="2771775"/>
            <wp:effectExtent l="4445" t="4445" r="2095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eastAsia="仿宋_GB231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年本年支出合计12,895.75万元，其中：基本支出8,271.97万元，占</w:t>
      </w:r>
      <w:r>
        <w:rPr>
          <w:rFonts w:hint="eastAsia" w:ascii="仿宋" w:hAnsi="仿宋" w:eastAsia="仿宋"/>
          <w:color w:val="auto"/>
          <w:sz w:val="32"/>
          <w:szCs w:val="32"/>
          <w:highlight w:val="none"/>
          <w:lang w:val="en-US" w:eastAsia="zh-CN"/>
        </w:rPr>
        <w:t>64.14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；项目支出4,623.78万元，占</w:t>
      </w:r>
      <w:r>
        <w:rPr>
          <w:rFonts w:hint="eastAsia" w:ascii="仿宋" w:hAnsi="仿宋" w:eastAsia="仿宋"/>
          <w:color w:val="auto"/>
          <w:sz w:val="32"/>
          <w:szCs w:val="32"/>
          <w:highlight w:val="none"/>
          <w:lang w:val="en-US" w:eastAsia="zh-CN"/>
        </w:rPr>
        <w:t>35.86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420" w:firstLineChars="200"/>
        <w:jc w:val="center"/>
        <w:rPr>
          <w:rFonts w:ascii="仿宋_GB2312" w:eastAsia="仿宋_GB2312"/>
          <w:color w:val="auto"/>
          <w:sz w:val="32"/>
          <w:szCs w:val="32"/>
          <w:highlight w:val="none"/>
        </w:rPr>
      </w:pPr>
      <w:r>
        <w:rPr>
          <w:rFonts w:hint="eastAsia" w:eastAsia="仿宋_GB2312"/>
          <w:lang w:eastAsia="zh-CN"/>
        </w:rPr>
        <w:drawing>
          <wp:anchor distT="0" distB="0" distL="114300" distR="114300" simplePos="0" relativeHeight="251661312" behindDoc="0" locked="0" layoutInCell="1" allowOverlap="1">
            <wp:simplePos x="0" y="0"/>
            <wp:positionH relativeFrom="column">
              <wp:posOffset>451485</wp:posOffset>
            </wp:positionH>
            <wp:positionV relativeFrom="paragraph">
              <wp:posOffset>138430</wp:posOffset>
            </wp:positionV>
            <wp:extent cx="5051425" cy="2724785"/>
            <wp:effectExtent l="4445" t="4445" r="11430" b="1397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11,720.82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162.92万元，下降</w:t>
      </w:r>
      <w:r>
        <w:rPr>
          <w:rFonts w:hint="eastAsia" w:ascii="仿宋" w:hAnsi="仿宋" w:eastAsia="仿宋"/>
          <w:color w:val="auto"/>
          <w:sz w:val="32"/>
          <w:szCs w:val="32"/>
          <w:highlight w:val="none"/>
          <w:lang w:val="en-US" w:eastAsia="zh-CN"/>
        </w:rPr>
        <w:t>21.25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。主要变动原因是2022年度项目预算支出较2021年度下降幅度较大。</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356870</wp:posOffset>
            </wp:positionH>
            <wp:positionV relativeFrom="paragraph">
              <wp:posOffset>90170</wp:posOffset>
            </wp:positionV>
            <wp:extent cx="5013325" cy="2801620"/>
            <wp:effectExtent l="4445" t="4445" r="11430" b="1333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年一般公共预算财政拨款支出11,720.82万元，占本年支出合计的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162.92万元，下降21.25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2022年度项目预算支出较2021年度下降幅度较大。</w:t>
      </w: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21580" cy="2324735"/>
            <wp:effectExtent l="4445" t="4445" r="2222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467995</wp:posOffset>
            </wp:positionH>
            <wp:positionV relativeFrom="paragraph">
              <wp:posOffset>1973580</wp:posOffset>
            </wp:positionV>
            <wp:extent cx="4890135" cy="2496185"/>
            <wp:effectExtent l="4445" t="4445" r="20320"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年一般公共预算财政拨款支出11,720.82万元，主要用于以下方面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9,732.49万元，占</w:t>
      </w:r>
      <w:r>
        <w:rPr>
          <w:rFonts w:hint="eastAsia" w:ascii="仿宋" w:hAnsi="仿宋" w:eastAsia="仿宋"/>
          <w:color w:val="auto"/>
          <w:sz w:val="32"/>
          <w:szCs w:val="32"/>
          <w:highlight w:val="none"/>
          <w:lang w:val="en-US" w:eastAsia="zh-CN"/>
        </w:rPr>
        <w:t>83.04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90.35万元，占</w:t>
      </w:r>
      <w:r>
        <w:rPr>
          <w:rFonts w:hint="eastAsia" w:ascii="仿宋" w:hAnsi="仿宋" w:eastAsia="仿宋"/>
          <w:color w:val="auto"/>
          <w:sz w:val="32"/>
          <w:szCs w:val="32"/>
          <w:highlight w:val="none"/>
          <w:lang w:val="en-US" w:eastAsia="zh-CN"/>
        </w:rPr>
        <w:t>0.77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1,060.47万元，占</w:t>
      </w:r>
      <w:r>
        <w:rPr>
          <w:rFonts w:hint="eastAsia" w:ascii="仿宋" w:hAnsi="仿宋" w:eastAsia="仿宋"/>
          <w:color w:val="auto"/>
          <w:sz w:val="32"/>
          <w:szCs w:val="32"/>
          <w:highlight w:val="none"/>
          <w:lang w:val="en-US" w:eastAsia="zh-CN"/>
        </w:rPr>
        <w:t>9.05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403.79万元，占</w:t>
      </w:r>
      <w:r>
        <w:rPr>
          <w:rFonts w:hint="eastAsia" w:ascii="仿宋" w:hAnsi="仿宋" w:eastAsia="仿宋"/>
          <w:color w:val="auto"/>
          <w:sz w:val="32"/>
          <w:szCs w:val="32"/>
          <w:highlight w:val="none"/>
          <w:lang w:val="en-US" w:eastAsia="zh-CN"/>
        </w:rPr>
        <w:t>3.45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433.73万元，占</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Style w:val="15"/>
          <w:rFonts w:hint="eastAsia" w:ascii="仿宋" w:hAnsi="仿宋" w:eastAsia="仿宋"/>
          <w:bCs/>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般公共预算支出决算数为11,720.82</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86.72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2" w:firstLineChars="200"/>
        <w:rPr>
          <w:rFonts w:ascii="仿宋" w:hAnsi="仿宋" w:eastAsia="仿宋"/>
          <w:b/>
          <w:color w:val="auto"/>
          <w:sz w:val="32"/>
          <w:szCs w:val="32"/>
          <w:highlight w:val="yellow"/>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一般公共服务（类）审计事务（款）行政运行（项）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6,480.27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90.97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eastAsia="zh-CN"/>
        </w:rPr>
        <w:t>压减一般性支出</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yellow"/>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一般公共服务（类）审计事务（款）一般行政管理事务（项）:</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754.48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85.03</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eastAsia="仿宋"/>
          <w:b w:val="0"/>
          <w:bCs/>
          <w:color w:val="000000"/>
          <w:sz w:val="32"/>
          <w:szCs w:val="32"/>
          <w:highlight w:val="none"/>
        </w:rPr>
        <w:t>压减“三公”经费支出和结转跨年支付政府采购资金</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一般公共服务（类）审计事务（款）审计业务（项）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482.63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61.44</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w:t>
      </w:r>
      <w:r>
        <w:rPr>
          <w:rStyle w:val="15"/>
          <w:rFonts w:hint="eastAsia" w:ascii="仿宋" w:hAnsi="仿宋" w:eastAsia="仿宋"/>
          <w:b w:val="0"/>
          <w:bCs/>
          <w:color w:val="auto"/>
          <w:sz w:val="32"/>
          <w:szCs w:val="32"/>
          <w:highlight w:val="none"/>
          <w:lang w:val="en-US" w:eastAsia="zh-CN"/>
        </w:rPr>
        <w:t>部分服务类采购项目结转下年</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一般公共服务（类）审计事务（款）信息化建设（项）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1,739.20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73.42</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Fonts w:hint="eastAsia" w:ascii="仿宋_GB2312" w:hAnsi="仿宋" w:eastAsia="仿宋_GB2312"/>
          <w:sz w:val="32"/>
          <w:szCs w:val="32"/>
          <w:highlight w:val="none"/>
          <w:lang w:eastAsia="zh-CN"/>
        </w:rPr>
        <w:t>部分信息化建设项目在执行过程中实际签订合同金额低于预算</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一般公共服务（类）审计事务（款）其他审计事务支出（项）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275.90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2"/>
          <w:szCs w:val="32"/>
          <w:highlight w:val="none"/>
          <w:lang w:val="en-US" w:eastAsia="zh-CN" w:bidi="ar-SA"/>
        </w:rPr>
        <w:t>6.</w:t>
      </w:r>
      <w:r>
        <w:rPr>
          <w:rStyle w:val="15"/>
          <w:rFonts w:hint="eastAsia" w:ascii="仿宋" w:hAnsi="仿宋" w:eastAsia="仿宋"/>
          <w:bCs/>
          <w:color w:val="auto"/>
          <w:sz w:val="32"/>
          <w:szCs w:val="32"/>
          <w:highlight w:val="none"/>
        </w:rPr>
        <w:t>教育支出（类）进修及培训（款）</w:t>
      </w:r>
      <w:r>
        <w:rPr>
          <w:rStyle w:val="15"/>
          <w:rFonts w:hint="eastAsia" w:ascii="仿宋" w:hAnsi="仿宋" w:eastAsia="仿宋"/>
          <w:bCs/>
          <w:color w:val="auto"/>
          <w:sz w:val="32"/>
          <w:szCs w:val="32"/>
          <w:highlight w:val="none"/>
          <w:lang w:eastAsia="zh-CN"/>
        </w:rPr>
        <w:t>干部教育</w:t>
      </w:r>
      <w:r>
        <w:rPr>
          <w:rStyle w:val="15"/>
          <w:rFonts w:hint="eastAsia" w:ascii="仿宋" w:hAnsi="仿宋" w:eastAsia="仿宋"/>
          <w:bCs/>
          <w:color w:val="auto"/>
          <w:sz w:val="32"/>
          <w:szCs w:val="32"/>
          <w:highlight w:val="none"/>
        </w:rPr>
        <w:t>（项）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90.35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63.57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eastAsia="zh-CN"/>
        </w:rPr>
        <w:t>当年压减了部分培训费用，结合疫情防控需要，更多的采用视频形式进行培训，降低了培训的成本</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2"/>
          <w:szCs w:val="32"/>
          <w:highlight w:val="none"/>
          <w:lang w:val="en-US" w:eastAsia="zh-CN" w:bidi="ar-SA"/>
        </w:rPr>
        <w:t>7.</w:t>
      </w:r>
      <w:r>
        <w:rPr>
          <w:rStyle w:val="15"/>
          <w:rFonts w:hint="eastAsia" w:ascii="仿宋" w:hAnsi="仿宋" w:eastAsia="仿宋"/>
          <w:bCs/>
          <w:color w:val="auto"/>
          <w:sz w:val="32"/>
          <w:szCs w:val="32"/>
          <w:highlight w:val="none"/>
        </w:rPr>
        <w:t>社会保障和就业支出（类）行政事业单位养老支出（款）行政单位离退休（项）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497.65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96.05</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val="en-US" w:eastAsia="zh-CN"/>
        </w:rPr>
        <w:t>个别离退休人员变动所致</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yellow"/>
        </w:rPr>
      </w:pPr>
      <w:r>
        <w:rPr>
          <w:rStyle w:val="15"/>
          <w:rFonts w:hint="eastAsia" w:ascii="仿宋" w:hAnsi="仿宋" w:eastAsia="仿宋" w:cs="Times New Roman"/>
          <w:bCs/>
          <w:color w:val="auto"/>
          <w:kern w:val="2"/>
          <w:sz w:val="30"/>
          <w:szCs w:val="30"/>
          <w:highlight w:val="none"/>
          <w:lang w:val="en-US" w:eastAsia="zh-CN" w:bidi="ar-SA"/>
        </w:rPr>
        <w:t>8.</w:t>
      </w:r>
      <w:r>
        <w:rPr>
          <w:rStyle w:val="15"/>
          <w:rFonts w:hint="eastAsia" w:ascii="仿宋" w:hAnsi="仿宋" w:eastAsia="仿宋"/>
          <w:bCs/>
          <w:color w:val="auto"/>
          <w:sz w:val="32"/>
          <w:szCs w:val="32"/>
          <w:highlight w:val="none"/>
        </w:rPr>
        <w:t>社会保障和就业支出（类）行政事业单位养老支出（款）机关事业单位基本养老保险缴费支出（项）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444.95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96.9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val="en-US" w:eastAsia="zh-CN"/>
        </w:rPr>
        <w:t>个别离退休人员变动所致</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yellow"/>
        </w:rPr>
      </w:pPr>
      <w:r>
        <w:rPr>
          <w:rStyle w:val="15"/>
          <w:rFonts w:hint="eastAsia" w:ascii="仿宋" w:hAnsi="仿宋" w:eastAsia="仿宋" w:cs="Times New Roman"/>
          <w:bCs/>
          <w:color w:val="auto"/>
          <w:kern w:val="2"/>
          <w:sz w:val="30"/>
          <w:szCs w:val="30"/>
          <w:highlight w:val="none"/>
          <w:lang w:val="en-US" w:eastAsia="zh-CN" w:bidi="ar-SA"/>
        </w:rPr>
        <w:t>9.</w:t>
      </w:r>
      <w:r>
        <w:rPr>
          <w:rStyle w:val="15"/>
          <w:rFonts w:hint="eastAsia" w:ascii="仿宋" w:hAnsi="仿宋" w:eastAsia="仿宋"/>
          <w:bCs/>
          <w:color w:val="auto"/>
          <w:sz w:val="32"/>
          <w:szCs w:val="32"/>
          <w:highlight w:val="none"/>
        </w:rPr>
        <w:t>社会保障和就业支出（类）行政事业单位养老支出（款）机关事业单位职业年金缴费支出（项）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117.86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10.</w:t>
      </w:r>
      <w:r>
        <w:rPr>
          <w:rStyle w:val="15"/>
          <w:rFonts w:hint="eastAsia" w:ascii="仿宋" w:hAnsi="仿宋" w:eastAsia="仿宋"/>
          <w:bCs/>
          <w:color w:val="auto"/>
          <w:sz w:val="32"/>
          <w:szCs w:val="32"/>
          <w:highlight w:val="none"/>
        </w:rPr>
        <w:t>卫生健康支出（类）行政事业单位医疗（款）行政单位医疗（项）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339.48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11.</w:t>
      </w:r>
      <w:r>
        <w:rPr>
          <w:rStyle w:val="15"/>
          <w:rFonts w:hint="eastAsia" w:ascii="仿宋" w:hAnsi="仿宋" w:eastAsia="仿宋"/>
          <w:bCs/>
          <w:color w:val="auto"/>
          <w:sz w:val="32"/>
          <w:szCs w:val="32"/>
          <w:highlight w:val="none"/>
        </w:rPr>
        <w:t>卫生健康支出（类）行政事业单位医疗（款）公务员医疗补助（项）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64.31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12.</w:t>
      </w:r>
      <w:r>
        <w:rPr>
          <w:rStyle w:val="15"/>
          <w:rFonts w:hint="eastAsia" w:ascii="仿宋" w:hAnsi="仿宋" w:eastAsia="仿宋"/>
          <w:bCs/>
          <w:color w:val="auto"/>
          <w:sz w:val="32"/>
          <w:szCs w:val="32"/>
          <w:highlight w:val="none"/>
        </w:rPr>
        <w:t>住房保障支出（类）住房改革支出（款） 住房公积金（项）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433.73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年一般公共预算财政拨款基本支出8,271.97万元，其中：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人员经费6,161.63万元，主要包括：基本工资、津贴补贴、奖金、机关事业单位基本养老保险缴费、职业年金缴费、职工基本医疗保险缴费</w:t>
      </w:r>
      <w:r>
        <w:rPr>
          <w:rFonts w:hint="eastAsia" w:ascii="仿宋" w:hAnsi="仿宋" w:eastAsia="仿宋"/>
          <w:color w:val="auto"/>
          <w:sz w:val="32"/>
          <w:szCs w:val="32"/>
          <w:highlight w:val="none"/>
          <w:lang w:eastAsia="zh-CN"/>
        </w:rPr>
        <w:t>、公务员医疗补助缴费、其他社会保障缴费、</w:t>
      </w:r>
      <w:r>
        <w:rPr>
          <w:rFonts w:hint="eastAsia" w:ascii="仿宋" w:hAnsi="仿宋" w:eastAsia="仿宋"/>
          <w:color w:val="auto"/>
          <w:sz w:val="32"/>
          <w:szCs w:val="32"/>
          <w:highlight w:val="none"/>
        </w:rPr>
        <w:t>住房公积金、其他工资福利支出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离休费、</w:t>
      </w:r>
      <w:r>
        <w:rPr>
          <w:rFonts w:hint="eastAsia" w:ascii="仿宋" w:hAnsi="仿宋" w:eastAsia="仿宋"/>
          <w:color w:val="auto"/>
          <w:sz w:val="32"/>
          <w:szCs w:val="32"/>
          <w:highlight w:val="none"/>
          <w:lang w:eastAsia="zh-CN"/>
        </w:rPr>
        <w:t>奖励金、</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公用经费1,608.90万元，主要包括：办公费、印刷费、水费、电费、邮电费、差旅费、租赁费、会议费、培训费、</w:t>
      </w:r>
      <w:r>
        <w:rPr>
          <w:rFonts w:hint="eastAsia" w:ascii="仿宋" w:hAnsi="仿宋" w:eastAsia="仿宋"/>
          <w:color w:val="auto"/>
          <w:sz w:val="32"/>
          <w:szCs w:val="32"/>
          <w:highlight w:val="none"/>
          <w:lang w:eastAsia="zh-CN"/>
        </w:rPr>
        <w:t>劳务费</w:t>
      </w:r>
      <w:r>
        <w:rPr>
          <w:rFonts w:hint="eastAsia" w:ascii="仿宋" w:hAnsi="仿宋" w:eastAsia="仿宋"/>
          <w:color w:val="auto"/>
          <w:sz w:val="32"/>
          <w:szCs w:val="32"/>
          <w:highlight w:val="none"/>
        </w:rPr>
        <w:t>、劳务费、工会经费、福利费、公务用车运行维护费、其他交通费、其他商品和服务支出等。</w:t>
      </w:r>
    </w:p>
    <w:p>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56.33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76.22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8.45万元，增长17.65%。</w:t>
      </w:r>
      <w:r>
        <w:rPr>
          <w:rFonts w:hint="eastAsia" w:ascii="仿宋" w:hAnsi="仿宋" w:eastAsia="仿宋"/>
          <w:color w:val="auto"/>
          <w:sz w:val="32"/>
          <w:szCs w:val="32"/>
          <w:highlight w:val="none"/>
        </w:rPr>
        <w:t>决算数小于预算数的主要原因是严格控制“三公”经费支出。</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56.33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w:t>
      </w: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401955</wp:posOffset>
            </wp:positionH>
            <wp:positionV relativeFrom="paragraph">
              <wp:posOffset>433705</wp:posOffset>
            </wp:positionV>
            <wp:extent cx="5117465" cy="2858770"/>
            <wp:effectExtent l="4445" t="4445" r="21590" b="1333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情况如下：</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0"/>
        </w:numPr>
        <w:spacing w:line="600" w:lineRule="exact"/>
        <w:ind w:firstLine="642" w:firstLineChars="20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与预算一致，与2021年持平</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56.33</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83.95</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9.28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19.72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车辆不断老化导致维修费用逐年上涨</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p>
    <w:p>
      <w:pPr>
        <w:pageBreakBefore w:val="0"/>
        <w:kinsoku/>
        <w:wordWrap/>
        <w:overflowPunct/>
        <w:topLinePunct w:val="0"/>
        <w:bidi w:val="0"/>
        <w:spacing w:line="56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56.33</w:t>
      </w:r>
      <w:r>
        <w:rPr>
          <w:rFonts w:hint="eastAsia" w:ascii="仿宋_GB2312" w:eastAsia="仿宋_GB2312"/>
          <w:color w:val="auto"/>
          <w:sz w:val="32"/>
          <w:szCs w:val="32"/>
          <w:highlight w:val="none"/>
        </w:rPr>
        <w:t>万元。主要用于</w:t>
      </w:r>
      <w:r>
        <w:rPr>
          <w:rFonts w:hint="eastAsia" w:eastAsia="仿宋_GB2312"/>
          <w:color w:val="000000"/>
          <w:sz w:val="32"/>
          <w:szCs w:val="32"/>
        </w:rPr>
        <w:t>赴审计地点开展审计项目</w:t>
      </w:r>
      <w:r>
        <w:rPr>
          <w:rFonts w:hint="eastAsia" w:eastAsia="仿宋_GB2312"/>
          <w:color w:val="000000"/>
          <w:sz w:val="32"/>
          <w:szCs w:val="32"/>
          <w:lang w:eastAsia="zh-CN"/>
        </w:rPr>
        <w:t>等所需</w:t>
      </w:r>
      <w:r>
        <w:rPr>
          <w:rFonts w:hint="eastAsia" w:ascii="仿宋_GB2312" w:eastAsia="仿宋_GB2312"/>
          <w:color w:val="auto"/>
          <w:sz w:val="32"/>
          <w:szCs w:val="32"/>
          <w:highlight w:val="none"/>
        </w:rPr>
        <w:t>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0.83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当年受客观因素影响，未产生公务接待支出</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审计厅</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1,608.09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347.90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17.54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压减机关运行支出。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审计厅机关</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1,736.13</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183.42</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55.94</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1,496.77</w:t>
      </w:r>
      <w:r>
        <w:rPr>
          <w:rFonts w:hint="eastAsia" w:ascii="仿宋_GB2312" w:eastAsia="仿宋_GB2312"/>
          <w:color w:val="auto"/>
          <w:sz w:val="32"/>
          <w:szCs w:val="32"/>
          <w:highlight w:val="none"/>
        </w:rPr>
        <w:t>万元。主要用于主要用于</w:t>
      </w:r>
      <w:r>
        <w:rPr>
          <w:rFonts w:hint="eastAsia" w:eastAsia="仿宋_GB2312"/>
          <w:color w:val="000000"/>
          <w:sz w:val="32"/>
          <w:szCs w:val="32"/>
        </w:rPr>
        <w:t>购买审计服务、购置网络设备、办公设备及办公家具等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988.63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56.94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988.63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56.94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审计厅机关</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辆，其中：机要通信用车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3辆、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eastAsia="仿宋_GB2312"/>
          <w:color w:val="000000"/>
          <w:sz w:val="32"/>
          <w:szCs w:val="32"/>
        </w:rPr>
        <w:t>保障审计组赴审计地点开展审计项目。</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根据预算绩效管理要求，本单位对</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ascii="仿宋_GB2312" w:eastAsia="仿宋_GB2312"/>
          <w:color w:val="auto"/>
          <w:sz w:val="32"/>
          <w:szCs w:val="32"/>
          <w:highlight w:val="none"/>
        </w:rPr>
        <w:t xml:space="preserve">.其他收入：指单位取得的除上述收入以外的各项收入。主要是利息收入及非财政拨款等。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 xml:space="preserve">.年初结转和结余：指以前年度尚未完成、结转到本年按有关规定继续使用的资金。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w:t>
      </w:r>
      <w:r>
        <w:rPr>
          <w:rFonts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.一般公共服务（类）审计事务（款）行政运行（项）：指行政单位（包括实行公务员管理的事业单位）的基本支出。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.一般公共服务（类）审计事务（款）一般行政管理事务（项）：指行政单位（包括实行公务员管理的事业单位）未单独设置项级科目的其他项目支出。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w:t>
      </w:r>
      <w:r>
        <w:rPr>
          <w:rFonts w:ascii="仿宋_GB2312" w:eastAsia="仿宋_GB2312"/>
          <w:color w:val="auto"/>
          <w:sz w:val="32"/>
          <w:szCs w:val="32"/>
          <w:highlight w:val="none"/>
        </w:rPr>
        <w:t>.一般公共服务（类）审计事务（款）审计业务（项）：指各级审计机构的审计、专项审计调查、聘请社会审计组织人员及技术专家等方面的支出。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.一般公共服务（类）审计事务（款）信息化建设（项）：指审计部门用于信息化建设方面的支出。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.一般公共服务（类）审计事务（款）其他审计事务支出（项）：指除以上项目以外其他审计事务方面的支出。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.教育支出（类）进修及培训（款）培训支出（项）：指机关事业单位开展人员培训的项目支出。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.社会保障和就业（类）行政事业单位离退休（款）未归口管理的行政单位离退休（项）：指未实行归口管理的行政单位（包括实行公务员管理的事业单位）开支的离退休支出。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.社会保障和就业（类）行政事业单位离退休（款）机关事业单位基本养老保险缴费支出（项）：指机关事业单位实施养老保险制度由单位缴纳的基本养老保险费支出。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ascii="仿宋_GB2312" w:eastAsia="仿宋_GB2312"/>
          <w:color w:val="auto"/>
          <w:sz w:val="32"/>
          <w:szCs w:val="32"/>
          <w:highlight w:val="none"/>
        </w:rPr>
        <w:t>社会保障和就业（类）行政事业单位离退休（款）机关事业单位职业年金缴费支出（项）：指机关事业单位实施养老保险制度由单位缴纳的职业年金支出。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.社会保障和就业（类）抚恤（款）死亡抚恤（项）：指按规定用于烈士和牺牲、病故人员家属的一次性和定期抚恤金及丧葬补助费。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医疗卫生与计划生育（类）医疗保障（款）行政单位医疗（项）：指财政部门集中安排的行政单位基本医疗保险缴费经费，未参加医疗保险的行政单位的公费医疗经费，按国家规定享受离休人员、红军老战士待遇人员的医疗经费</w:t>
      </w:r>
      <w:r>
        <w:rPr>
          <w:rFonts w:ascii="仿宋_GB2312" w:eastAsia="仿宋_GB2312"/>
          <w:color w:val="auto"/>
          <w:sz w:val="32"/>
          <w:szCs w:val="32"/>
          <w:highlight w:val="none"/>
        </w:rPr>
        <w:br w:type="textWrapping"/>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医疗卫生与计划生育（类）医疗保障（款）事业单位医疗（项）：指财政部门集中安排的事业单位基本医疗保险缴费经费，未参加医疗保险的事业单位的公费医疗经费，按国家规定享受离休人员待遇人员的医疗经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.医疗卫生与计划生育（类）医疗保障（款）公务员医疗补助（项）：指财政部门集中安排的公务员医疗补助经费。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.住房保障支出（类）住房改革支出（款）住房公积金（项）：指行政事业单位按人力资源和社会保障部、财政部规定的基本工资和津贴补贴以及规定比例为职工缴纳的住房公积金。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.住房保障支出（类）住房改革支出（款）购房补贴（项）：指按房改政策规定，行政事业单位向符合条件职工（含离退休人员）、军队（含武警）向转役复原离退休人员发放的用于购买住房的补贴。</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3"/>
        <w:gridCol w:w="646"/>
        <w:gridCol w:w="1029"/>
        <w:gridCol w:w="1746"/>
        <w:gridCol w:w="474"/>
        <w:gridCol w:w="542"/>
        <w:gridCol w:w="474"/>
        <w:gridCol w:w="881"/>
        <w:gridCol w:w="403"/>
        <w:gridCol w:w="403"/>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53" w:name="_Toc15396618"/>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51000021T000000016843-购买社会审计服务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按期完成审计项目，出具审计报告，提出审计决定，形成审计结论。</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对照年度审计计划，采购中介机构按照既定工作安排派员按时参与完成审计项目，揭示问题、提出专家意见，协助完成审计报告、形成审计结论、做出审计处理，圆满完成了工作任务，通过了相关处室的验收。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按照年度采购合同额度与项目需求，安排相应中介机构人员参与完成审计项目相关业务工作，按照工作考勤与项目评审结果来评价中介机构绩效并报账。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审计证据资料经主审和审计组长验收合格率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审计报告征求意见稿所列问题反馈属实和基本属实的比例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审计项目按期完成率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每个使用社会审计服务的审计项目中，审计报告、移送处理书（函）中采用社会审计服务工作成果的数量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按照年度审计计划、采购合同与业务需求，精准匹配中介机构人员，通过后期项目评审对中介机构人员后评价来监督工作完成质量并打分，实现了需求与计划一致，合同约定与工作完成情况的一致。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51000021T000000016856-信息化建设经费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强化全省审计系统IT运维服务体系，增强审计信息化运维力量，实现覆盖省、市两级审计机关运维体系服务的集中配置。</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建设了全省审计系统IT运维服务体系，增强了审计信息化运维力量，在覆盖省、市两级审计机关运维体系服务的集中配置起到了较好作用。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开展了厅本级IT运维服务和市州级IT服务支撑服务，增强了审计信息化运维力量，在网络、网络安全、视频会商和终端服务上取得了较好的成效。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预算执行率=预算执行数/调整后预算数，预算执行率未达到90%的需说明原因（100字以内）：年度项目绩效指标已完成，剩余预算无需执行，已申请退回。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大数据审计综合管理平台完成改造项目按期完成率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信息系统（数据中心、移动办公）正常运行率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全省审计机关信息化建设程度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项目完成且达到了项目年度目标。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51000021T000000016858-中央对地方审计专项补助经费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一、建立全省审计系统IT运维服务体系，增强审计信息化运维力量，实现覆盖省、市两级审计机关运维体系服务的集中配置。</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二|1.集中整训、网络培训、大讲堂等形式进行全员培训，提高审计干部政治站位、宏观意识、组织领导能力、综合分析研究能力、廉洁自律能力等，拓展视野和知识面，发挥审计在党和国家监督体系中的重要作用，为决胜全面小康、建设经济强省，奋力推动治蜀兴川再上新台阶提供有力保证。2.请进来走出去等方式进行领导干部培训，进一步提高政治站位，增强宏观思维，强化领导能力提升，树立科学审计理念，明确新时期审计工作形势任务和职责要求，开阔视野、转变观念，提升履职能力。3.根据疫情变化，采取自主办班，网络授课、依托高校等形式以更新知识、提高业务能力为重点，组织开展财政审计、政策跟踪审计、投资审计、经济责任审计、资源环境审计等业务培训。</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建设了全省审计系统IT运维服务体系，增强了审计信息化运维力量，在覆盖省、市两级审计机关运维体系服务的集中配置起到了较好作用。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开展了厅本级IT运维服务和市州级IT服务支撑服务，增强了审计信息化运维力量，在网络、网络安全、视频会商和终端服务上取得了较好的成效。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机房网络及设备巡检次数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全省审计机关信息化建设程度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培训人员合格率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正常运行率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项目完成且达到了项目年度目标。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51000022T000005007082-中央预算内基建-第四批信息安全基础设施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充分利用金审一期、二期、三期建设成果，按照“统一规划、两级部署、以用为本”原则，构建形成适应现代审计工作需要的审计信息化系统，实现署、省、市、县四级审计机关互通互联和信息共享，显著提高审计大数据综合分析能力，大幅提升审计效率和审计质量。</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2022年度在省本级集中部署金审三期核心应用系统，进行本地化适应性改造，建设完善市、县级审计机关基础支撑环境，构建形成适应现代审计工作需要的审计数据系统，顺利完成了四川金审三期的全面建设。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央预算内资金用于省本级和21个市（州）审计机关购买部分硬件设备。在省本级集中部署金审三期核心应用系统，进行本地化适应性改造，建设完善市、县级审计机关基础支撑环境，构建形成适应现代审计工作需要的审计数据系统，顺利完成了四川金审三期的全面建设，进行了三个月的整体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不超预算开支，预算进度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金审三期项目已完成全面建设，资金支付已全部完成。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51000022T000005007157-省级预算内基本建设资金-办公用房维修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提供机关办公场维修，提供干净文明的办公环境，维修质量达标。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改造增设档案库房；完善文印室、机要室等业务用房“三铁一器”设施；对其他楼层部分不符合使用面积规定或功能存在缺陷的办公用房进行改造、整合，提高使用效率，增加审计业务用房；项目已通过验收，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2021年12月20日由代理机构中金招标有限责任公司对项目建安工程进行竞争性谈判招标，确定中标单位四川晟朗煜建筑工程有限公司。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项目自实际开工日期为2021年12月22日，完工日期为2022年6月13日，经组织建设、设计、施工、监理等单位对本项目工程施工进行了验收，鉴定本项目为质量“合格”。第一办公区9-16楼办公室、档案室改造项目：9楼已完成了20间办公用房、4间业务用房的维修改造，全楼层已完全具备了正常使用条件，有效缓解了我厅连年增人增编带来的办公和业务用房紧张的矛盾，目前，厅办公室、综合与计划管理处、教科文卫审计处等单位已搬入办公；厅机关文印室面积从31平方米增加到32.8平方米，通过新增钢板隔墙、加装防护栏和监控摄像头、改善门锁等，满足了保密管理“三铁一器”规定，且现可供2人使用（原只能安排1个文印岗位），并具备了集中文印和打印涉密文件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维修质量满意度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完工年限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不超预算开支，预算进度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该项目遵循基本建设管理程序，认真执行项目监理制度，执行项目合同制度，会计资料真实地反映了建设项目资金来源、资金运用，项目财务收支基本符合基本建设财务管理规定和其他相关法规，完成了批复的项目建设内容、投资计划，建设规模及标准，公允地反映了本项目的实际投资情况和相关财务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总体上看，我厅两个维修改造项目立项合规、建设管理规范、实施监管有力，工程进度符合计划，资金管理使用严格，专项支出绩效明显。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51000022T000005013104-四川省省直机关汽车大修专项资金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提供车辆大修保障，满足机关车辆良好运行。</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完成2021年度公务车辆大修，但车辆维修费用未使用公务用车专项资金。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2021年8月大修车辆因发动机和底盘的原因，彻底不能上路行驶，为了保证审计工作开展，机关车队在指定修理厂对车辆进行了大修。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大修车辆在维修费用支付时，因该大修资金指标还未下达，维修经费在年度修理费里面列支，又由于车辆大修资金为专款专用资金，故在21年底大修资金指标下达后未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正常使用年限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车辆状况满意度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圆满完成该公务用车的大修，有效满足了机关各项用车的需求，保障了审计工作的正常开展。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年底大修资金未使用。2021年8月该车辆因发动机和底盘的原因，彻底不能上路行驶，为了保证审计工作开展，机关车队在指定修理厂对车辆进行了大修。在维修费用支付时，因该大修资金指标还未下达，维修经费在年度修理费里面列支，又由于车辆大修资金为专款专用资金，导致年底大修资金指标下达后未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进一步加强与机关事务管理局、厅机关财务和指定修理厂的沟通，确保年度大修资金有效的用于车辆大修上，保障机关车辆的高效运行。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51000022T000005051085-继续实施项目-设备购置经费-AK替代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实现AK设备替代</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完成730台台式终端替代。46台外设替代，部署2台安全可靠服务器，部署2台网络设备，完成系统适配1个（四川审计大数据综合管理平台）。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上级统一安排部署，审计厅深入贯彻落实中央和全省决策部署，将AK替代工作作为一项政治任务，按照“三年替代任务两年完成”的总体要求，聚焦目标任务，强化责任担当，及时调整完善建设方案和资金保障，把好关键时间节点，加快推进终端替代和应用适配，按程序完成了合同签订、项目变更、设备调试、项目验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替换完成率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本项目自2020年8月启动，完成了调研、适配、到货、安装调试、测试、部署下发、培训的一系列实施建设工作，目前在国产化应用和使用上初见成效，达到了替代工作的预期目标。虽然在建设过程中遇到了供货、适配等多个问题，在参与各方的合作与努力下克服了一系列困难，基本按照预定的进度安排完成了项目建设任务，实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设备使用过程中的优化运行和售后服务。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重点关注系统运行的优化以及各系统间的对接，及时跟进后期运维工作，不断行调优和改善.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51000022T000005051146-继续实施项目-金审工程（三期）项目四川建设部分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和审计署要求同步</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2022年度在省本级集中部署金审三期核心应用系统，进行本地化适应性改造，建设完善市、县级审计机关基础支撑环境，构建形成适应现代审计工作需要的审计数据系统，顺利完成了四川金审三期的全面建设。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省本级集中部署金审三期核心应用系统，进行本地化适应性改造，建设完善市、县级审计机关基础支撑环境，构建形成适应现代审计工作需要的审计数据系统，顺利完成了四川金审三期的全面建设，进行了三个月的整体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1,471.04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1,709.23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1,310.29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结余的原因：一是由于市场竞争激烈和政策变化等因素，采购信息安全测评服务、软件测评服务、财务审计、本地化改造等均有结余；二是工作方式的优化和疫情影响等原因，管理费、培训费有较大结余；三是项目进展顺利未出现超预期的情况，预备费全部结余。2022年申请追加预算是为了保证项目在年底前完成建设，为了保障资金与省发改委批复一致，根据年底前要完成全部项目建设所需的待支付合同款和待采购项目的预算以及相关管理费等测算出来的预算数值与年初实际下达的预算指标之间存在缺口，因此申请追加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1,471.04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1,709.23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1,310.29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金审三期项目已完成全面建设，资金支付已全部完成。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2098" w:right="1417" w:bottom="2098" w:left="141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JjNmEwZjFiMDRlNzg3MGIwMGMxMjE1NmE2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147E59"/>
    <w:rsid w:val="07D7F207"/>
    <w:rsid w:val="09325BCE"/>
    <w:rsid w:val="0A2032A3"/>
    <w:rsid w:val="0AA347DF"/>
    <w:rsid w:val="0AEB6B1F"/>
    <w:rsid w:val="0B8A37D8"/>
    <w:rsid w:val="0D447276"/>
    <w:rsid w:val="0D9553DC"/>
    <w:rsid w:val="0FAA30A6"/>
    <w:rsid w:val="10C055FF"/>
    <w:rsid w:val="118107EC"/>
    <w:rsid w:val="11DD6519"/>
    <w:rsid w:val="15F01760"/>
    <w:rsid w:val="161F262E"/>
    <w:rsid w:val="16BB723D"/>
    <w:rsid w:val="18015F3F"/>
    <w:rsid w:val="1B061915"/>
    <w:rsid w:val="1BE8440E"/>
    <w:rsid w:val="1D155CEE"/>
    <w:rsid w:val="1FC70A36"/>
    <w:rsid w:val="1FDF1652"/>
    <w:rsid w:val="1FDF1B59"/>
    <w:rsid w:val="202A40A9"/>
    <w:rsid w:val="20BF26FF"/>
    <w:rsid w:val="20F57F95"/>
    <w:rsid w:val="212D2380"/>
    <w:rsid w:val="227F1B88"/>
    <w:rsid w:val="240371BF"/>
    <w:rsid w:val="24992818"/>
    <w:rsid w:val="25711CC6"/>
    <w:rsid w:val="25C741E6"/>
    <w:rsid w:val="27842671"/>
    <w:rsid w:val="29D816DA"/>
    <w:rsid w:val="29FD04D3"/>
    <w:rsid w:val="2ABE7A3E"/>
    <w:rsid w:val="2C960A37"/>
    <w:rsid w:val="2CA234A8"/>
    <w:rsid w:val="2EFA178C"/>
    <w:rsid w:val="2F4D9258"/>
    <w:rsid w:val="2FEE1D54"/>
    <w:rsid w:val="30B46D73"/>
    <w:rsid w:val="31775529"/>
    <w:rsid w:val="319F7F4E"/>
    <w:rsid w:val="33BD6B47"/>
    <w:rsid w:val="37EBA9CC"/>
    <w:rsid w:val="37F29875"/>
    <w:rsid w:val="37F8D3B0"/>
    <w:rsid w:val="383D272C"/>
    <w:rsid w:val="385D712D"/>
    <w:rsid w:val="39AE70AB"/>
    <w:rsid w:val="39BB3883"/>
    <w:rsid w:val="39BBB435"/>
    <w:rsid w:val="3BFDF1A9"/>
    <w:rsid w:val="3BFF0A26"/>
    <w:rsid w:val="3C0C0783"/>
    <w:rsid w:val="3DADDCAF"/>
    <w:rsid w:val="3E300685"/>
    <w:rsid w:val="3E7E4D2B"/>
    <w:rsid w:val="3F3D994D"/>
    <w:rsid w:val="3F9F3A96"/>
    <w:rsid w:val="3FD9D83C"/>
    <w:rsid w:val="3FDC8CDF"/>
    <w:rsid w:val="3FEFB422"/>
    <w:rsid w:val="3FF7A22E"/>
    <w:rsid w:val="3FFCFF54"/>
    <w:rsid w:val="42FCD5B2"/>
    <w:rsid w:val="45FBB121"/>
    <w:rsid w:val="46F747B0"/>
    <w:rsid w:val="48BF60AB"/>
    <w:rsid w:val="48FE216F"/>
    <w:rsid w:val="493C27E9"/>
    <w:rsid w:val="496F39ED"/>
    <w:rsid w:val="49FF41D3"/>
    <w:rsid w:val="4B756840"/>
    <w:rsid w:val="4BE068DB"/>
    <w:rsid w:val="4BF6002B"/>
    <w:rsid w:val="4C6664AE"/>
    <w:rsid w:val="4CFFFD31"/>
    <w:rsid w:val="4E941E57"/>
    <w:rsid w:val="4ECE2238"/>
    <w:rsid w:val="4FF77C83"/>
    <w:rsid w:val="4FFFAE18"/>
    <w:rsid w:val="51DB4B86"/>
    <w:rsid w:val="53C1227F"/>
    <w:rsid w:val="54F5DDD8"/>
    <w:rsid w:val="55333C3E"/>
    <w:rsid w:val="55F79B84"/>
    <w:rsid w:val="572A4BF6"/>
    <w:rsid w:val="579DF48B"/>
    <w:rsid w:val="57F440BB"/>
    <w:rsid w:val="5ADE9C03"/>
    <w:rsid w:val="5B3B68B4"/>
    <w:rsid w:val="5BEF8159"/>
    <w:rsid w:val="5CFEDDFF"/>
    <w:rsid w:val="5D73A512"/>
    <w:rsid w:val="5E704E0D"/>
    <w:rsid w:val="5E7FCA74"/>
    <w:rsid w:val="5F8F0E1F"/>
    <w:rsid w:val="5FDE399D"/>
    <w:rsid w:val="5FF18A76"/>
    <w:rsid w:val="5FF61C55"/>
    <w:rsid w:val="5FFB85E1"/>
    <w:rsid w:val="61507E15"/>
    <w:rsid w:val="61FE17B6"/>
    <w:rsid w:val="62736F98"/>
    <w:rsid w:val="62FB4FE8"/>
    <w:rsid w:val="64CA39A1"/>
    <w:rsid w:val="66EF4109"/>
    <w:rsid w:val="676BE104"/>
    <w:rsid w:val="68FFA383"/>
    <w:rsid w:val="69630ADE"/>
    <w:rsid w:val="6C4A05C8"/>
    <w:rsid w:val="6C4F3BC7"/>
    <w:rsid w:val="6C773E3B"/>
    <w:rsid w:val="6D3B1A89"/>
    <w:rsid w:val="6DF5F6FF"/>
    <w:rsid w:val="6DFA6354"/>
    <w:rsid w:val="6DFFF094"/>
    <w:rsid w:val="6EECEEB1"/>
    <w:rsid w:val="6F7789AD"/>
    <w:rsid w:val="6FDAC14C"/>
    <w:rsid w:val="6FFBB9D2"/>
    <w:rsid w:val="71BF4EC2"/>
    <w:rsid w:val="71FCD87C"/>
    <w:rsid w:val="72734D90"/>
    <w:rsid w:val="73ED5DA0"/>
    <w:rsid w:val="7412278C"/>
    <w:rsid w:val="75F74367"/>
    <w:rsid w:val="77674216"/>
    <w:rsid w:val="778E73DC"/>
    <w:rsid w:val="787F1919"/>
    <w:rsid w:val="79E7B28D"/>
    <w:rsid w:val="79EFB07A"/>
    <w:rsid w:val="7A3F210F"/>
    <w:rsid w:val="7B7524AA"/>
    <w:rsid w:val="7BA3C927"/>
    <w:rsid w:val="7BBB5DDE"/>
    <w:rsid w:val="7BF734BC"/>
    <w:rsid w:val="7BFF8777"/>
    <w:rsid w:val="7CFA1664"/>
    <w:rsid w:val="7DD9ECEB"/>
    <w:rsid w:val="7DDF0734"/>
    <w:rsid w:val="7E2F7A23"/>
    <w:rsid w:val="7E6BBE85"/>
    <w:rsid w:val="7ED754B5"/>
    <w:rsid w:val="7EE35D6A"/>
    <w:rsid w:val="7F1771ED"/>
    <w:rsid w:val="7F3B21D4"/>
    <w:rsid w:val="7F3FA9FD"/>
    <w:rsid w:val="7F6A2BE6"/>
    <w:rsid w:val="7F7FA188"/>
    <w:rsid w:val="7F8FB081"/>
    <w:rsid w:val="7F967B96"/>
    <w:rsid w:val="7F9E73E8"/>
    <w:rsid w:val="7F9F20EE"/>
    <w:rsid w:val="7FB834CC"/>
    <w:rsid w:val="7FCD1CE6"/>
    <w:rsid w:val="7FE30D11"/>
    <w:rsid w:val="7FF71C17"/>
    <w:rsid w:val="7FF7F72F"/>
    <w:rsid w:val="7FFE3037"/>
    <w:rsid w:val="7FFFE842"/>
    <w:rsid w:val="8A5F0913"/>
    <w:rsid w:val="9BE7FD0B"/>
    <w:rsid w:val="9BFF1D38"/>
    <w:rsid w:val="9BFF28F5"/>
    <w:rsid w:val="9BFFE57E"/>
    <w:rsid w:val="9DEA1BB2"/>
    <w:rsid w:val="9E3A10E2"/>
    <w:rsid w:val="9EDFADE9"/>
    <w:rsid w:val="A7F33DF3"/>
    <w:rsid w:val="AEED5652"/>
    <w:rsid w:val="AFDB3D60"/>
    <w:rsid w:val="B3EFA3D8"/>
    <w:rsid w:val="B71F7C3B"/>
    <w:rsid w:val="BAF4214B"/>
    <w:rsid w:val="BDBEF3FC"/>
    <w:rsid w:val="BDFF1D26"/>
    <w:rsid w:val="BF7D2DB9"/>
    <w:rsid w:val="BF7EAABF"/>
    <w:rsid w:val="C7EB067D"/>
    <w:rsid w:val="CCF7214E"/>
    <w:rsid w:val="CDF56138"/>
    <w:rsid w:val="CFBB6291"/>
    <w:rsid w:val="CFDE874A"/>
    <w:rsid w:val="D5FE98DC"/>
    <w:rsid w:val="D77B685E"/>
    <w:rsid w:val="D7FF930C"/>
    <w:rsid w:val="DAFE33CD"/>
    <w:rsid w:val="DBE7165B"/>
    <w:rsid w:val="DEF8AFF7"/>
    <w:rsid w:val="DEFB9FF5"/>
    <w:rsid w:val="DEFE52B8"/>
    <w:rsid w:val="DFAC2EE5"/>
    <w:rsid w:val="DFCD6D5C"/>
    <w:rsid w:val="DFEB210C"/>
    <w:rsid w:val="DFFB6C10"/>
    <w:rsid w:val="EB54BD14"/>
    <w:rsid w:val="EB6B6E3C"/>
    <w:rsid w:val="EBDFDE3E"/>
    <w:rsid w:val="EBFE3784"/>
    <w:rsid w:val="EC3F25F6"/>
    <w:rsid w:val="EEBF2753"/>
    <w:rsid w:val="EFDFD10D"/>
    <w:rsid w:val="F0E77121"/>
    <w:rsid w:val="F1FCD401"/>
    <w:rsid w:val="F2E1F9D4"/>
    <w:rsid w:val="F7880819"/>
    <w:rsid w:val="F7DF9C01"/>
    <w:rsid w:val="F7EA84AB"/>
    <w:rsid w:val="F7FE5533"/>
    <w:rsid w:val="F8FFA0BA"/>
    <w:rsid w:val="F99F09C8"/>
    <w:rsid w:val="F9DD7577"/>
    <w:rsid w:val="F9FDEE96"/>
    <w:rsid w:val="FABD549E"/>
    <w:rsid w:val="FB7F8D04"/>
    <w:rsid w:val="FDB77266"/>
    <w:rsid w:val="FDB7C71F"/>
    <w:rsid w:val="FDFE3FA9"/>
    <w:rsid w:val="FE7BBABC"/>
    <w:rsid w:val="FEAC615E"/>
    <w:rsid w:val="FECF48A9"/>
    <w:rsid w:val="FED7C5FA"/>
    <w:rsid w:val="FEDEC350"/>
    <w:rsid w:val="FEEFD1CD"/>
    <w:rsid w:val="FF2FA1A0"/>
    <w:rsid w:val="FF6BA298"/>
    <w:rsid w:val="FF773E1F"/>
    <w:rsid w:val="FF93263D"/>
    <w:rsid w:val="FFBFB482"/>
    <w:rsid w:val="FFD7DB1E"/>
    <w:rsid w:val="FFF6DFE9"/>
    <w:rsid w:val="FFFD2A67"/>
    <w:rsid w:val="FFFD5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Default New"/>
    <w:qFormat/>
    <w:uiPriority w:val="0"/>
    <w:pPr>
      <w:widowControl w:val="0"/>
      <w:autoSpaceDE w:val="0"/>
      <w:autoSpaceDN w:val="0"/>
      <w:adjustRightInd w:val="0"/>
    </w:pPr>
    <w:rPr>
      <w:rFonts w:ascii="仿宋" w:hAnsi="Times New Roman" w:eastAsia="仿宋" w:cs="仿宋"/>
      <w:color w:val="000000"/>
      <w:sz w:val="24"/>
      <w:szCs w:val="24"/>
      <w:lang w:val="en-US" w:eastAsia="zh-CN"/>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收支总计变动情况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"2021"</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Sheet1!$B$1:$B$3</c15:sqref>
                  </c15:fullRef>
                </c:ext>
              </c:extLst>
              <c:f>Sheet1!$B$2:$B$3</c:f>
              <c:numCache>
                <c:formatCode>#,##0.00</c:formatCode>
                <c:ptCount val="2"/>
                <c:pt idx="0">
                  <c:v>16040.74</c:v>
                </c:pt>
                <c:pt idx="1">
                  <c:v>14883.74</c:v>
                </c:pt>
              </c:numCache>
            </c:numRef>
          </c:val>
        </c:ser>
        <c:ser>
          <c:idx val="1"/>
          <c:order val="1"/>
          <c:tx>
            <c:strRef>
              <c:f>"2022"</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Sheet1!$C$1:$C$3</c15:sqref>
                  </c15:fullRef>
                </c:ext>
              </c:extLst>
              <c:f>Sheet1!$C$2:$C$3</c:f>
              <c:numCache>
                <c:formatCode>#,##0.00</c:formatCode>
                <c:ptCount val="2"/>
                <c:pt idx="0">
                  <c:v>13873.83</c:v>
                </c:pt>
                <c:pt idx="1">
                  <c:v>12895.75</c:v>
                </c:pt>
              </c:numCache>
            </c:numRef>
          </c:val>
        </c:ser>
        <c:dLbls>
          <c:showLegendKey val="false"/>
          <c:showVal val="true"/>
          <c:showCatName val="false"/>
          <c:showSerName val="false"/>
          <c:showPercent val="false"/>
          <c:showBubbleSize val="false"/>
        </c:dLbls>
        <c:gapWidth val="219"/>
        <c:overlap val="-27"/>
        <c:axId val="104422335"/>
        <c:axId val="414362032"/>
      </c:barChart>
      <c:catAx>
        <c:axId val="10442233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4362032"/>
        <c:crosses val="autoZero"/>
        <c:auto val="true"/>
        <c:lblAlgn val="ctr"/>
        <c:lblOffset val="100"/>
        <c:noMultiLvlLbl val="false"/>
      </c:catAx>
      <c:valAx>
        <c:axId val="414362032"/>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442233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p>
        </c:rich>
      </c:tx>
      <c:layout/>
      <c:overlay val="false"/>
      <c:spPr>
        <a:noFill/>
        <a:ln>
          <a:noFill/>
        </a:ln>
        <a:effectLst/>
      </c:spPr>
    </c:title>
    <c:autoTitleDeleted val="false"/>
    <c:plotArea>
      <c:layout/>
      <c:pieChart>
        <c:varyColors val="true"/>
        <c:ser>
          <c:idx val="0"/>
          <c:order val="0"/>
          <c:tx>
            <c:strRef>
              <c:f>"本年r收"</c:f>
              <c:strCache>
                <c:ptCount val="1"/>
                <c:pt idx="0">
                  <c:v>本年r收</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其他收入</c:v>
                </c:pt>
                <c:pt idx="2">
                  <c:v>年初结转和结余</c:v>
                </c:pt>
              </c:strCache>
            </c:strRef>
          </c:cat>
          <c:val>
            <c:numRef>
              <c:f>Sheet1!$C$2:$C$4</c:f>
              <c:numCache>
                <c:formatCode>0.00%</c:formatCode>
                <c:ptCount val="3"/>
                <c:pt idx="0">
                  <c:v>0.844815631167191</c:v>
                </c:pt>
                <c:pt idx="1">
                  <c:v>0.071789889158141</c:v>
                </c:pt>
                <c:pt idx="2">
                  <c:v>0.0833944796746678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28244433654386"/>
                  <c:y val="-0.07016249689271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30130037025924"/>
                  <c:y val="0.070162505425199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0.641449314696702</c:v>
                </c:pt>
                <c:pt idx="1">
                  <c:v>0.358550685303298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财政拨款收支决算总计变动</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14883.74</c:v>
                </c:pt>
                <c:pt idx="1">
                  <c:v>14883.74</c:v>
                </c:pt>
              </c:numCache>
            </c:numRef>
          </c:val>
        </c:ser>
        <c:ser>
          <c:idx val="1"/>
          <c:order val="1"/>
          <c:tx>
            <c:strRef>
              <c:f>Sheet1!$C$1</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11720.82</c:v>
                </c:pt>
                <c:pt idx="1">
                  <c:v>11720.82</c:v>
                </c:pt>
              </c:numCache>
            </c:numRef>
          </c:val>
        </c:ser>
        <c:dLbls>
          <c:showLegendKey val="false"/>
          <c:showVal val="true"/>
          <c:showCatName val="false"/>
          <c:showSerName val="false"/>
          <c:showPercent val="false"/>
          <c:showBubbleSize val="false"/>
        </c:dLbls>
        <c:gapWidth val="219"/>
        <c:overlap val="-27"/>
        <c:axId val="307021476"/>
        <c:axId val="409537745"/>
      </c:barChart>
      <c:catAx>
        <c:axId val="30702147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9537745"/>
        <c:crosses val="autoZero"/>
        <c:auto val="true"/>
        <c:lblAlgn val="ctr"/>
        <c:lblOffset val="100"/>
        <c:noMultiLvlLbl val="false"/>
      </c:catAx>
      <c:valAx>
        <c:axId val="409537745"/>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070214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a:t>
            </a:r>
          </a:p>
        </c:rich>
      </c:tx>
      <c:layout/>
      <c:overlay val="false"/>
      <c:spPr>
        <a:noFill/>
        <a:ln>
          <a:noFill/>
        </a:ln>
        <a:effectLst/>
      </c:spPr>
    </c:title>
    <c:autoTitleDeleted val="false"/>
    <c:plotArea>
      <c:layout/>
      <c:barChart>
        <c:barDir val="col"/>
        <c:grouping val="clustered"/>
        <c:varyColors val="false"/>
        <c:ser>
          <c:idx val="0"/>
          <c:order val="0"/>
          <c:tx>
            <c:strRef>
              <c:f>"2021"</c:f>
              <c:strCache>
                <c:ptCount val="1"/>
                <c:pt idx="0">
                  <c:v>2021</c:v>
                </c:pt>
              </c:strCache>
            </c:strRef>
          </c:tx>
          <c:spPr>
            <a:solidFill>
              <a:schemeClr val="accent1"/>
            </a:solidFill>
            <a:ln>
              <a:noFill/>
            </a:ln>
            <a:effectLst/>
          </c:spPr>
          <c:invertIfNegative val="false"/>
          <c:dLbls>
            <c:dLbl>
              <c:idx val="0"/>
              <c:layout>
                <c:manualLayout>
                  <c:x val="-0.001875"/>
                  <c:y val="0.0097103091115067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Sheet1!$B$2</c15:sqref>
                  </c15:fullRef>
                </c:ext>
              </c:extLst>
              <c:f>Sheet1!$B$2</c:f>
              <c:numCache>
                <c:formatCode>#,##0.00</c:formatCode>
                <c:ptCount val="1"/>
                <c:pt idx="0" c:formatCode="#,##0.00">
                  <c:v>11720.82</c:v>
                </c:pt>
              </c:numCache>
            </c:numRef>
          </c:cat>
          <c:val>
            <c:numRef>
              <c:extLst>
                <c:ext xmlns:c15="http://schemas.microsoft.com/office/drawing/2012/chart" uri="{02D57815-91ED-43cb-92C2-25804820EDAC}">
                  <c15:fullRef>
                    <c15:sqref>Sheet1!$A$2</c15:sqref>
                  </c15:fullRef>
                </c:ext>
              </c:extLst>
              <c:f>Sheet1!$A$2</c:f>
              <c:numCache>
                <c:formatCode>#,##0.00</c:formatCode>
                <c:ptCount val="1"/>
                <c:pt idx="0">
                  <c:v>14883.74</c:v>
                </c:pt>
              </c:numCache>
            </c:numRef>
          </c:val>
        </c:ser>
        <c:ser>
          <c:idx val="1"/>
          <c:order val="1"/>
          <c:tx>
            <c:strRef>
              <c:f>"2022"</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Sheet1!$B$2</c15:sqref>
                  </c15:fullRef>
                </c:ext>
              </c:extLst>
              <c:f>Sheet1!$B$2</c:f>
              <c:numCache>
                <c:formatCode>#,##0.00</c:formatCode>
                <c:ptCount val="1"/>
                <c:pt idx="0" c:formatCode="#,##0.00">
                  <c:v>11720.82</c:v>
                </c:pt>
              </c:numCache>
            </c:numRef>
          </c:cat>
          <c:val>
            <c:numRef>
              <c:extLst>
                <c:ext xmlns:c15="http://schemas.microsoft.com/office/drawing/2012/chart" uri="{02D57815-91ED-43cb-92C2-25804820EDAC}">
                  <c15:fullRef>
                    <c15:sqref>Sheet1!$B$2</c15:sqref>
                  </c15:fullRef>
                </c:ext>
              </c:extLst>
              <c:f>Sheet1!$B$2</c:f>
              <c:numCache>
                <c:formatCode>#,##0.00</c:formatCode>
                <c:ptCount val="1"/>
                <c:pt idx="0">
                  <c:v>11720.82</c:v>
                </c:pt>
              </c:numCache>
            </c:numRef>
          </c:val>
        </c:ser>
        <c:dLbls>
          <c:showLegendKey val="false"/>
          <c:showVal val="true"/>
          <c:showCatName val="false"/>
          <c:showSerName val="false"/>
          <c:showPercent val="false"/>
          <c:showBubbleSize val="false"/>
        </c:dLbls>
        <c:gapWidth val="219"/>
        <c:overlap val="-27"/>
        <c:axId val="329680975"/>
        <c:axId val="638199791"/>
      </c:barChart>
      <c:catAx>
        <c:axId val="32968097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8199791"/>
        <c:crosses val="autoZero"/>
        <c:auto val="true"/>
        <c:lblAlgn val="ctr"/>
        <c:lblOffset val="100"/>
        <c:noMultiLvlLbl val="false"/>
      </c:catAx>
      <c:valAx>
        <c:axId val="638199791"/>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968097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Sheet1!$A$1:$A$7</c15:sqref>
                  </c15:fullRef>
                </c:ext>
              </c:extLst>
              <c:f>Sheet1!$A$2:$A$6</c:f>
              <c:strCache>
                <c:ptCount val="5"/>
                <c:pt idx="0">
                  <c:v>一般公共服务支出</c:v>
                </c:pt>
                <c:pt idx="1">
                  <c:v>教育支出</c:v>
                </c:pt>
                <c:pt idx="2">
                  <c:v>社会保障和就业支出</c:v>
                </c:pt>
                <c:pt idx="3">
                  <c:v>卫生健康支出</c:v>
                </c:pt>
                <c:pt idx="4">
                  <c:v>住房保障支出</c:v>
                </c:pt>
              </c:strCache>
            </c:strRef>
          </c:cat>
          <c:val>
            <c:numRef>
              <c:extLst>
                <c:ext xmlns:c15="http://schemas.microsoft.com/office/drawing/2012/chart" uri="{02D57815-91ED-43cb-92C2-25804820EDAC}">
                  <c15:fullRef>
                    <c15:sqref>Sheet1!$B$1:$B$7</c15:sqref>
                  </c15:fullRef>
                </c:ext>
              </c:extLst>
              <c:f>Sheet1!$B$2:$B$6</c:f>
              <c:numCache>
                <c:formatCode>0.00%</c:formatCode>
                <c:ptCount val="5"/>
                <c:pt idx="0">
                  <c:v>0.830359138695074</c:v>
                </c:pt>
                <c:pt idx="1">
                  <c:v>0.00770850503633705</c:v>
                </c:pt>
                <c:pt idx="2">
                  <c:v>0.090477458061808</c:v>
                </c:pt>
                <c:pt idx="3">
                  <c:v>0.0344506613018543</c:v>
                </c:pt>
                <c:pt idx="4">
                  <c:v>0.0370050900875536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a:t>
            </a:r>
            <a:endParaRPr lang="en-US" altLang="zh-CN"/>
          </a:p>
        </c:rich>
      </c:tx>
      <c:layout/>
      <c:overlay val="false"/>
      <c:spPr>
        <a:noFill/>
        <a:ln>
          <a:noFill/>
        </a:ln>
        <a:effectLst/>
      </c:spPr>
    </c:title>
    <c:autoTitleDeleted val="false"/>
    <c:plotArea>
      <c:layout/>
      <c:pieChart>
        <c:varyColors val="true"/>
        <c:ser>
          <c:idx val="0"/>
          <c:order val="0"/>
          <c:tx>
            <c:strRef>
              <c:f>Sheet1!$B$1</c:f>
              <c:strCache>
                <c:ptCount val="1"/>
                <c:pt idx="0">
                  <c:v>总额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0.00%</c:formatCode>
                <c:ptCount val="3"/>
                <c:pt idx="0">
                  <c:v>0</c:v>
                </c:pt>
                <c:pt idx="1">
                  <c:v>1</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5258</Words>
  <Characters>5661</Characters>
  <Lines>61</Lines>
  <Paragraphs>17</Paragraphs>
  <TotalTime>12</TotalTime>
  <ScaleCrop>false</ScaleCrop>
  <LinksUpToDate>false</LinksUpToDate>
  <CharactersWithSpaces>5682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kylin</cp:lastModifiedBy>
  <cp:lastPrinted>2023-09-07T16:44:00Z</cp:lastPrinted>
  <dcterms:modified xsi:type="dcterms:W3CDTF">2023-09-06T16:32:51Z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74470C3010B84147913424EC536BD1AB_12</vt:lpwstr>
  </property>
</Properties>
</file>