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drawings/drawing1.xml" ContentType="application/vnd.openxmlformats-officedocument.drawingml.chartshap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outlineLvl w:val="0"/>
        <w:rPr>
          <w:rFonts w:hint="eastAsia" w:eastAsia="方正小标宋简体"/>
          <w:b w:val="0"/>
          <w:bCs w:val="0"/>
          <w:i w:val="0"/>
          <w:iCs w:val="0"/>
          <w:sz w:val="52"/>
          <w:szCs w:val="52"/>
          <w:lang w:val="en-US" w:eastAsia="zh-CN"/>
        </w:rPr>
      </w:pPr>
    </w:p>
    <w:p>
      <w:pPr>
        <w:adjustRightInd w:val="0"/>
        <w:snapToGrid w:val="0"/>
        <w:jc w:val="center"/>
        <w:outlineLvl w:val="0"/>
        <w:rPr>
          <w:rFonts w:hint="eastAsia" w:eastAsia="方正小标宋简体"/>
          <w:b w:val="0"/>
          <w:bCs w:val="0"/>
          <w:i w:val="0"/>
          <w:iCs w:val="0"/>
          <w:sz w:val="52"/>
          <w:szCs w:val="52"/>
          <w:lang w:val="en-US" w:eastAsia="zh-CN"/>
        </w:rPr>
      </w:pPr>
    </w:p>
    <w:p>
      <w:pPr>
        <w:adjustRightInd w:val="0"/>
        <w:snapToGrid w:val="0"/>
        <w:jc w:val="center"/>
        <w:outlineLvl w:val="0"/>
        <w:rPr>
          <w:rFonts w:hint="eastAsia" w:eastAsia="方正小标宋简体"/>
          <w:b w:val="0"/>
          <w:bCs w:val="0"/>
          <w:i w:val="0"/>
          <w:iCs w:val="0"/>
          <w:sz w:val="52"/>
          <w:szCs w:val="52"/>
          <w:lang w:val="en-US" w:eastAsia="zh-CN"/>
        </w:rPr>
      </w:pPr>
    </w:p>
    <w:p>
      <w:pPr>
        <w:adjustRightInd w:val="0"/>
        <w:snapToGrid w:val="0"/>
        <w:jc w:val="center"/>
        <w:outlineLvl w:val="0"/>
        <w:rPr>
          <w:rFonts w:hint="eastAsia" w:eastAsia="方正小标宋简体"/>
          <w:b w:val="0"/>
          <w:bCs w:val="0"/>
          <w:i w:val="0"/>
          <w:iCs w:val="0"/>
          <w:sz w:val="52"/>
          <w:szCs w:val="52"/>
          <w:lang w:val="en-US" w:eastAsia="zh-CN"/>
        </w:rPr>
      </w:pPr>
    </w:p>
    <w:p>
      <w:pPr>
        <w:adjustRightInd w:val="0"/>
        <w:snapToGrid w:val="0"/>
        <w:jc w:val="center"/>
        <w:outlineLvl w:val="0"/>
        <w:rPr>
          <w:rFonts w:hint="eastAsia" w:eastAsia="方正小标宋简体"/>
          <w:b w:val="0"/>
          <w:bCs w:val="0"/>
          <w:i w:val="0"/>
          <w:iCs w:val="0"/>
          <w:sz w:val="52"/>
          <w:szCs w:val="52"/>
          <w:lang w:val="en-US" w:eastAsia="zh-CN"/>
        </w:rPr>
      </w:pPr>
    </w:p>
    <w:p>
      <w:pPr>
        <w:adjustRightInd w:val="0"/>
        <w:snapToGrid w:val="0"/>
        <w:jc w:val="center"/>
        <w:outlineLvl w:val="0"/>
        <w:rPr>
          <w:rFonts w:hint="eastAsia" w:eastAsia="方正小标宋简体"/>
          <w:b w:val="0"/>
          <w:bCs w:val="0"/>
          <w:i w:val="0"/>
          <w:iCs w:val="0"/>
          <w:sz w:val="52"/>
          <w:szCs w:val="52"/>
          <w:lang w:val="en-US" w:eastAsia="zh-CN"/>
        </w:rPr>
      </w:pPr>
    </w:p>
    <w:p>
      <w:pPr>
        <w:adjustRightInd w:val="0"/>
        <w:snapToGrid w:val="0"/>
        <w:jc w:val="center"/>
        <w:outlineLvl w:val="0"/>
        <w:rPr>
          <w:rFonts w:hint="eastAsia" w:eastAsia="方正小标宋简体"/>
          <w:b w:val="0"/>
          <w:bCs w:val="0"/>
          <w:i w:val="0"/>
          <w:iCs w:val="0"/>
          <w:sz w:val="52"/>
          <w:szCs w:val="52"/>
          <w:lang w:val="en-US" w:eastAsia="zh-CN"/>
        </w:rPr>
      </w:pPr>
    </w:p>
    <w:p>
      <w:pPr>
        <w:adjustRightInd w:val="0"/>
        <w:snapToGrid w:val="0"/>
        <w:jc w:val="center"/>
        <w:outlineLvl w:val="0"/>
        <w:rPr>
          <w:rFonts w:hint="eastAsia" w:eastAsia="方正小标宋简体"/>
          <w:b w:val="0"/>
          <w:bCs w:val="0"/>
          <w:i w:val="0"/>
          <w:iCs w:val="0"/>
          <w:sz w:val="52"/>
          <w:szCs w:val="52"/>
          <w:lang w:val="en-US" w:eastAsia="zh-CN"/>
        </w:rPr>
      </w:pPr>
    </w:p>
    <w:p>
      <w:pPr>
        <w:adjustRightInd w:val="0"/>
        <w:snapToGrid w:val="0"/>
        <w:jc w:val="center"/>
        <w:outlineLvl w:val="0"/>
        <w:rPr>
          <w:rFonts w:hint="eastAsia" w:eastAsia="方正小标宋简体"/>
          <w:b w:val="0"/>
          <w:bCs w:val="0"/>
          <w:i w:val="0"/>
          <w:iCs w:val="0"/>
          <w:sz w:val="52"/>
          <w:szCs w:val="52"/>
          <w:lang w:val="en-US" w:eastAsia="zh-CN"/>
        </w:rPr>
      </w:pPr>
    </w:p>
    <w:p>
      <w:pPr>
        <w:adjustRightInd w:val="0"/>
        <w:snapToGrid w:val="0"/>
        <w:jc w:val="center"/>
        <w:outlineLvl w:val="0"/>
        <w:rPr>
          <w:rFonts w:hint="eastAsia" w:eastAsia="方正小标宋简体"/>
          <w:b w:val="0"/>
          <w:bCs w:val="0"/>
          <w:i w:val="0"/>
          <w:iCs w:val="0"/>
          <w:sz w:val="52"/>
          <w:szCs w:val="52"/>
          <w:lang w:val="en-US" w:eastAsia="zh-CN"/>
        </w:rPr>
      </w:pPr>
      <w:r>
        <w:rPr>
          <w:rFonts w:hint="eastAsia" w:eastAsia="方正小标宋简体"/>
          <w:b w:val="0"/>
          <w:bCs w:val="0"/>
          <w:i w:val="0"/>
          <w:iCs w:val="0"/>
          <w:sz w:val="52"/>
          <w:szCs w:val="52"/>
          <w:lang w:val="en-US" w:eastAsia="zh-CN"/>
        </w:rPr>
        <w:t>2023年度四川省广播电视局单位决算</w:t>
      </w:r>
    </w:p>
    <w:p>
      <w:pPr>
        <w:pStyle w:val="8"/>
        <w:jc w:val="center"/>
        <w:rPr>
          <w:rFonts w:hint="eastAsia" w:ascii="方正小标宋简体" w:hAnsi="宋体" w:eastAsia="方正小标宋简体" w:cs="Times New Roman"/>
          <w:color w:val="auto"/>
          <w:kern w:val="2"/>
          <w:sz w:val="44"/>
          <w:szCs w:val="44"/>
          <w:highlight w:val="none"/>
          <w:lang w:val="en-US" w:eastAsia="zh-CN" w:bidi="ar-SA"/>
        </w:rPr>
      </w:pPr>
    </w:p>
    <w:p>
      <w:pPr>
        <w:widowControl/>
        <w:jc w:val="center"/>
        <w:rPr>
          <w:rFonts w:hint="eastAsia" w:ascii="方正小标宋简体" w:hAnsi="方正小标宋简体" w:eastAsia="方正小标宋简体" w:cs="方正小标宋简体"/>
          <w:color w:val="auto"/>
          <w:sz w:val="48"/>
          <w:szCs w:val="48"/>
          <w:highlight w:val="none"/>
        </w:rPr>
      </w:pPr>
      <w:r>
        <w:rPr>
          <w:rFonts w:ascii="方正小标宋简体" w:hAnsi="宋体" w:eastAsia="方正小标宋简体"/>
          <w:color w:val="auto"/>
          <w:sz w:val="36"/>
          <w:szCs w:val="36"/>
          <w:highlight w:val="none"/>
        </w:rPr>
        <w:br w:type="page"/>
      </w:r>
      <w:r>
        <w:rPr>
          <w:rFonts w:hint="eastAsia" w:ascii="方正小标宋简体" w:hAnsi="方正小标宋简体" w:eastAsia="方正小标宋简体" w:cs="方正小标宋简体"/>
          <w:color w:val="auto"/>
          <w:sz w:val="48"/>
          <w:szCs w:val="48"/>
          <w:highlight w:val="none"/>
        </w:rPr>
        <w:t>目</w:t>
      </w:r>
      <w:r>
        <w:rPr>
          <w:rFonts w:hint="eastAsia" w:ascii="方正小标宋简体" w:hAnsi="方正小标宋简体" w:eastAsia="方正小标宋简体" w:cs="方正小标宋简体"/>
          <w:color w:val="auto"/>
          <w:sz w:val="48"/>
          <w:szCs w:val="48"/>
          <w:highlight w:val="none"/>
          <w:lang w:val="en-US" w:eastAsia="zh-CN"/>
        </w:rPr>
        <w:t xml:space="preserve">  </w:t>
      </w:r>
      <w:r>
        <w:rPr>
          <w:rFonts w:hint="eastAsia" w:ascii="方正小标宋简体" w:hAnsi="方正小标宋简体" w:eastAsia="方正小标宋简体" w:cs="方正小标宋简体"/>
          <w:color w:val="auto"/>
          <w:sz w:val="48"/>
          <w:szCs w:val="48"/>
          <w:highlight w:val="none"/>
        </w:rPr>
        <w:t>录</w:t>
      </w:r>
    </w:p>
    <w:p>
      <w:pPr>
        <w:widowControl/>
        <w:jc w:val="center"/>
        <w:rPr>
          <w:rFonts w:ascii="黑体" w:hAnsi="黑体" w:eastAsia="黑体" w:cstheme="minorBidi"/>
          <w:color w:val="auto"/>
          <w:sz w:val="28"/>
          <w:szCs w:val="28"/>
          <w:highlight w:val="none"/>
        </w:rPr>
      </w:pPr>
    </w:p>
    <w:p>
      <w:pPr>
        <w:pStyle w:val="11"/>
        <w:rPr>
          <w:rFonts w:hint="default" w:ascii="Times New Roman" w:hAnsi="Times New Roman" w:eastAsia="方正楷体_GBK" w:cs="Times New Roman"/>
          <w:color w:val="auto"/>
          <w:highlight w:val="none"/>
        </w:rPr>
      </w:pPr>
      <w:r>
        <w:rPr>
          <w:rFonts w:hint="default" w:ascii="Times New Roman" w:hAnsi="Times New Roman" w:eastAsia="方正楷体_GBK" w:cs="Times New Roman"/>
          <w:color w:val="000000" w:themeColor="text1"/>
          <w:highlight w:val="none"/>
          <w14:textFill>
            <w14:solidFill>
              <w14:schemeClr w14:val="tx1"/>
            </w14:solidFill>
          </w14:textFill>
        </w:rPr>
        <w:t>公开时间：20</w:t>
      </w:r>
      <w:r>
        <w:rPr>
          <w:rFonts w:hint="default" w:ascii="Times New Roman" w:hAnsi="Times New Roman" w:eastAsia="方正楷体_GBK" w:cs="Times New Roman"/>
          <w:color w:val="000000" w:themeColor="text1"/>
          <w:highlight w:val="none"/>
          <w:lang w:val="en-US" w:eastAsia="zh-CN"/>
          <w14:textFill>
            <w14:solidFill>
              <w14:schemeClr w14:val="tx1"/>
            </w14:solidFill>
          </w14:textFill>
        </w:rPr>
        <w:t>23</w:t>
      </w:r>
      <w:r>
        <w:rPr>
          <w:rFonts w:hint="default" w:ascii="Times New Roman" w:hAnsi="Times New Roman" w:eastAsia="方正楷体_GBK" w:cs="Times New Roman"/>
          <w:color w:val="000000" w:themeColor="text1"/>
          <w:highlight w:val="none"/>
          <w14:textFill>
            <w14:solidFill>
              <w14:schemeClr w14:val="tx1"/>
            </w14:solidFill>
          </w14:textFill>
        </w:rPr>
        <w:t>年</w:t>
      </w:r>
      <w:r>
        <w:rPr>
          <w:rFonts w:hint="default" w:ascii="Times New Roman" w:hAnsi="Times New Roman" w:eastAsia="方正楷体_GBK" w:cs="Times New Roman"/>
          <w:color w:val="000000" w:themeColor="text1"/>
          <w:highlight w:val="none"/>
          <w:lang w:val="en-US" w:eastAsia="zh-CN"/>
          <w14:textFill>
            <w14:solidFill>
              <w14:schemeClr w14:val="tx1"/>
            </w14:solidFill>
          </w14:textFill>
        </w:rPr>
        <w:t>9</w:t>
      </w:r>
      <w:r>
        <w:rPr>
          <w:rFonts w:hint="default" w:ascii="Times New Roman" w:hAnsi="Times New Roman" w:eastAsia="方正楷体_GBK" w:cs="Times New Roman"/>
          <w:color w:val="000000" w:themeColor="text1"/>
          <w:highlight w:val="none"/>
          <w14:textFill>
            <w14:solidFill>
              <w14:schemeClr w14:val="tx1"/>
            </w14:solidFill>
          </w14:textFill>
        </w:rPr>
        <w:t>月</w:t>
      </w:r>
      <w:r>
        <w:rPr>
          <w:rFonts w:hint="default" w:ascii="Times New Roman" w:hAnsi="Times New Roman" w:eastAsia="方正楷体_GBK" w:cs="Times New Roman"/>
          <w:color w:val="000000" w:themeColor="text1"/>
          <w:highlight w:val="none"/>
          <w:lang w:val="en-US" w:eastAsia="zh-CN"/>
          <w14:textFill>
            <w14:solidFill>
              <w14:schemeClr w14:val="tx1"/>
            </w14:solidFill>
          </w14:textFill>
        </w:rPr>
        <w:t>1</w:t>
      </w:r>
      <w:r>
        <w:rPr>
          <w:rFonts w:hint="eastAsia" w:ascii="Times New Roman" w:hAnsi="Times New Roman" w:eastAsia="方正楷体_GBK" w:cs="Times New Roman"/>
          <w:color w:val="000000" w:themeColor="text1"/>
          <w:highlight w:val="none"/>
          <w:lang w:val="en-US" w:eastAsia="zh-CN"/>
          <w14:textFill>
            <w14:solidFill>
              <w14:schemeClr w14:val="tx1"/>
            </w14:solidFill>
          </w14:textFill>
        </w:rPr>
        <w:t>3</w:t>
      </w:r>
      <w:r>
        <w:rPr>
          <w:rFonts w:hint="default" w:ascii="Times New Roman" w:hAnsi="Times New Roman" w:eastAsia="方正楷体_GBK" w:cs="Times New Roman"/>
          <w:color w:val="000000" w:themeColor="text1"/>
          <w:highlight w:val="none"/>
          <w14:textFill>
            <w14:solidFill>
              <w14:schemeClr w14:val="tx1"/>
            </w14:solidFill>
          </w14:textFill>
        </w:rPr>
        <w:t>日</w:t>
      </w:r>
    </w:p>
    <w:sdt>
      <w:sdtPr>
        <w:rPr>
          <w:rFonts w:hint="default" w:ascii="Times New Roman" w:hAnsi="Times New Roman" w:eastAsia="宋体" w:cs="Times New Roman"/>
          <w:b w:val="0"/>
          <w:bCs w:val="0"/>
          <w:kern w:val="2"/>
          <w:sz w:val="28"/>
          <w:szCs w:val="28"/>
          <w:lang w:val="en-US" w:eastAsia="zh-CN" w:bidi="ar-SA"/>
        </w:rPr>
        <w:id w:val="413021303"/>
        <w:docPartObj>
          <w:docPartGallery w:val="Table of Contents"/>
          <w:docPartUnique/>
        </w:docPartObj>
      </w:sdtPr>
      <w:sdtEndPr>
        <w:rPr>
          <w:rFonts w:hint="default" w:ascii="Times New Roman" w:hAnsi="Times New Roman" w:eastAsia="宋体" w:cs="Times New Roman"/>
          <w:b w:val="0"/>
          <w:bCs w:val="0"/>
          <w:kern w:val="2"/>
          <w:sz w:val="28"/>
          <w:szCs w:val="28"/>
          <w:lang w:val="en-US" w:eastAsia="zh-CN" w:bidi="ar-SA"/>
        </w:rPr>
      </w:sdtEndPr>
      <w:sdtContent>
        <w:p>
          <w:pPr>
            <w:pStyle w:val="16"/>
            <w:keepNext w:val="0"/>
            <w:keepLines w:val="0"/>
            <w:pageBreakBefore w:val="0"/>
            <w:widowControl/>
            <w:tabs>
              <w:tab w:val="right" w:leader="dot" w:pos="8845"/>
            </w:tabs>
            <w:kinsoku/>
            <w:wordWrap/>
            <w:overflowPunct/>
            <w:topLinePunct w:val="0"/>
            <w:autoSpaceDE/>
            <w:autoSpaceDN/>
            <w:bidi w:val="0"/>
            <w:adjustRightInd/>
            <w:snapToGrid/>
            <w:spacing w:line="600" w:lineRule="exact"/>
            <w:textAlignment w:val="auto"/>
            <w:rPr>
              <w:rFonts w:hint="default" w:ascii="Times New Roman" w:hAnsi="Times New Roman" w:cs="Times New Roman"/>
              <w:b w:val="0"/>
              <w:bCs w:val="0"/>
              <w:sz w:val="28"/>
              <w:szCs w:val="28"/>
            </w:rPr>
          </w:pPr>
          <w:bookmarkStart w:id="0" w:name="_Toc128229467_WPSOffice_Type2"/>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HYPERLINK \l _Toc1650718528_WPSOffice_Level1 </w:instrText>
          </w:r>
          <w:r>
            <w:rPr>
              <w:rFonts w:hint="default" w:ascii="Times New Roman" w:hAnsi="Times New Roman" w:cs="Times New Roman"/>
              <w:b w:val="0"/>
              <w:bCs w:val="0"/>
              <w:sz w:val="28"/>
              <w:szCs w:val="28"/>
            </w:rPr>
            <w:fldChar w:fldCharType="separate"/>
          </w:r>
          <w:sdt>
            <w:sdtPr>
              <w:rPr>
                <w:rFonts w:hint="default" w:ascii="Times New Roman" w:hAnsi="Times New Roman" w:eastAsia="仿宋" w:cs="Times New Roman"/>
                <w:b w:val="0"/>
                <w:bCs w:val="0"/>
                <w:kern w:val="2"/>
                <w:sz w:val="28"/>
                <w:szCs w:val="28"/>
                <w:lang w:val="en-US" w:eastAsia="zh-CN" w:bidi="ar-SA"/>
              </w:rPr>
              <w:id w:val="413021303"/>
              <w:placeholder>
                <w:docPart w:val="{d40a6a36-c367-41ea-99b4-93022755982d}"/>
              </w:placeholder>
            </w:sdtPr>
            <w:sdtEndPr>
              <w:rPr>
                <w:rFonts w:hint="default" w:ascii="Times New Roman" w:hAnsi="Times New Roman" w:eastAsia="仿宋" w:cs="Times New Roman"/>
                <w:b w:val="0"/>
                <w:bCs w:val="0"/>
                <w:kern w:val="2"/>
                <w:sz w:val="28"/>
                <w:szCs w:val="28"/>
                <w:lang w:val="en-US" w:eastAsia="zh-CN" w:bidi="ar-SA"/>
              </w:rPr>
            </w:sdtEndPr>
            <w:sdtContent>
              <w:r>
                <w:rPr>
                  <w:rFonts w:hint="default" w:ascii="Times New Roman" w:hAnsi="Times New Roman" w:eastAsia="方正小标宋简体" w:cs="Times New Roman"/>
                  <w:b w:val="0"/>
                  <w:bCs w:val="0"/>
                  <w:sz w:val="28"/>
                  <w:szCs w:val="28"/>
                </w:rPr>
                <w:t>第一部分 单位概况</w:t>
              </w:r>
            </w:sdtContent>
          </w:sdt>
          <w:r>
            <w:rPr>
              <w:rFonts w:hint="default" w:ascii="Times New Roman" w:hAnsi="Times New Roman" w:cs="Times New Roman"/>
              <w:b w:val="0"/>
              <w:bCs w:val="0"/>
              <w:sz w:val="28"/>
              <w:szCs w:val="28"/>
            </w:rPr>
            <w:tab/>
          </w:r>
          <w:bookmarkStart w:id="1" w:name="_Toc1650718528_WPSOffice_Level1Page"/>
          <w:r>
            <w:rPr>
              <w:rFonts w:hint="default" w:ascii="Times New Roman" w:hAnsi="Times New Roman" w:cs="Times New Roman"/>
              <w:b w:val="0"/>
              <w:bCs w:val="0"/>
              <w:sz w:val="28"/>
              <w:szCs w:val="28"/>
            </w:rPr>
            <w:t>1</w:t>
          </w:r>
          <w:bookmarkEnd w:id="1"/>
          <w:r>
            <w:rPr>
              <w:rFonts w:hint="default" w:ascii="Times New Roman" w:hAnsi="Times New Roman" w:cs="Times New Roman"/>
              <w:b w:val="0"/>
              <w:bCs w:val="0"/>
              <w:sz w:val="28"/>
              <w:szCs w:val="28"/>
            </w:rPr>
            <w:fldChar w:fldCharType="end"/>
          </w:r>
        </w:p>
        <w:p>
          <w:pPr>
            <w:pStyle w:val="17"/>
            <w:keepNext w:val="0"/>
            <w:keepLines w:val="0"/>
            <w:pageBreakBefore w:val="0"/>
            <w:widowControl/>
            <w:tabs>
              <w:tab w:val="right" w:leader="dot" w:pos="8845"/>
            </w:tabs>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\l _Toc128229467_WPSOffice_Level2 </w:instrText>
          </w:r>
          <w:r>
            <w:rPr>
              <w:rFonts w:hint="default" w:ascii="Times New Roman" w:hAnsi="Times New Roman" w:eastAsia="仿宋_GB2312" w:cs="Times New Roman"/>
              <w:b w:val="0"/>
              <w:bCs w:val="0"/>
              <w:sz w:val="28"/>
              <w:szCs w:val="28"/>
            </w:rPr>
            <w:fldChar w:fldCharType="separate"/>
          </w:r>
          <w:sdt>
            <w:sdtPr>
              <w:rPr>
                <w:rFonts w:hint="default" w:ascii="Times New Roman" w:hAnsi="Times New Roman" w:eastAsia="仿宋_GB2312" w:cs="Times New Roman"/>
                <w:b w:val="0"/>
                <w:bCs w:val="0"/>
                <w:kern w:val="2"/>
                <w:sz w:val="28"/>
                <w:szCs w:val="28"/>
                <w:lang w:val="en-US" w:eastAsia="zh-CN" w:bidi="ar-SA"/>
              </w:rPr>
              <w:id w:val="413021303"/>
              <w:placeholder>
                <w:docPart w:val="{6cfdefb9-a24b-4aa4-a98e-8129d586e2d0}"/>
              </w:placeholder>
            </w:sdtPr>
            <w:sdtEndPr>
              <w:rPr>
                <w:rFonts w:hint="default" w:ascii="Times New Roman" w:hAnsi="Times New Roman" w:eastAsia="仿宋_GB2312" w:cs="Times New Roman"/>
                <w:b w:val="0"/>
                <w:bCs w:val="0"/>
                <w:kern w:val="2"/>
                <w:sz w:val="28"/>
                <w:szCs w:val="28"/>
                <w:lang w:val="en-US" w:eastAsia="zh-CN" w:bidi="ar-SA"/>
              </w:rPr>
            </w:sdtEndPr>
            <w:sdtContent>
              <w:r>
                <w:rPr>
                  <w:rFonts w:hint="default" w:ascii="Times New Roman" w:hAnsi="Times New Roman" w:eastAsia="仿宋_GB2312" w:cs="Times New Roman"/>
                  <w:b w:val="0"/>
                  <w:bCs w:val="0"/>
                  <w:sz w:val="28"/>
                  <w:szCs w:val="28"/>
                </w:rPr>
                <w:t>一、主要职责</w:t>
              </w:r>
            </w:sdtContent>
          </w:sdt>
          <w:r>
            <w:rPr>
              <w:rFonts w:hint="default" w:ascii="Times New Roman" w:hAnsi="Times New Roman" w:eastAsia="仿宋_GB2312" w:cs="Times New Roman"/>
              <w:b w:val="0"/>
              <w:bCs w:val="0"/>
              <w:sz w:val="28"/>
              <w:szCs w:val="28"/>
            </w:rPr>
            <w:tab/>
          </w:r>
          <w:bookmarkStart w:id="2" w:name="_Toc128229467_WPSOffice_Level2Page"/>
          <w:r>
            <w:rPr>
              <w:rFonts w:hint="default" w:ascii="Times New Roman" w:hAnsi="Times New Roman" w:eastAsia="仿宋_GB2312" w:cs="Times New Roman"/>
              <w:b w:val="0"/>
              <w:bCs w:val="0"/>
              <w:sz w:val="28"/>
              <w:szCs w:val="28"/>
            </w:rPr>
            <w:t>1</w:t>
          </w:r>
          <w:bookmarkEnd w:id="2"/>
          <w:r>
            <w:rPr>
              <w:rFonts w:hint="default" w:ascii="Times New Roman" w:hAnsi="Times New Roman" w:eastAsia="仿宋_GB2312" w:cs="Times New Roman"/>
              <w:b w:val="0"/>
              <w:bCs w:val="0"/>
              <w:sz w:val="28"/>
              <w:szCs w:val="28"/>
            </w:rPr>
            <w:fldChar w:fldCharType="end"/>
          </w:r>
        </w:p>
        <w:p>
          <w:pPr>
            <w:pStyle w:val="17"/>
            <w:keepNext w:val="0"/>
            <w:keepLines w:val="0"/>
            <w:pageBreakBefore w:val="0"/>
            <w:widowControl/>
            <w:tabs>
              <w:tab w:val="right" w:leader="dot" w:pos="8845"/>
            </w:tabs>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\l _Toc1650718528_WPSOffice_Level2 </w:instrText>
          </w:r>
          <w:r>
            <w:rPr>
              <w:rFonts w:hint="default" w:ascii="Times New Roman" w:hAnsi="Times New Roman" w:eastAsia="仿宋_GB2312" w:cs="Times New Roman"/>
              <w:b w:val="0"/>
              <w:bCs w:val="0"/>
              <w:sz w:val="28"/>
              <w:szCs w:val="28"/>
            </w:rPr>
            <w:fldChar w:fldCharType="separate"/>
          </w:r>
          <w:sdt>
            <w:sdtPr>
              <w:rPr>
                <w:rFonts w:hint="default" w:ascii="Times New Roman" w:hAnsi="Times New Roman" w:eastAsia="仿宋_GB2312" w:cs="Times New Roman"/>
                <w:b w:val="0"/>
                <w:bCs w:val="0"/>
                <w:kern w:val="2"/>
                <w:sz w:val="28"/>
                <w:szCs w:val="28"/>
                <w:lang w:val="en-US" w:eastAsia="zh-CN" w:bidi="ar-SA"/>
              </w:rPr>
              <w:id w:val="413021303"/>
              <w:placeholder>
                <w:docPart w:val="{9b9404ea-c17b-497c-97a1-c972567f66ac}"/>
              </w:placeholder>
            </w:sdtPr>
            <w:sdtEndPr>
              <w:rPr>
                <w:rFonts w:hint="default" w:ascii="Times New Roman" w:hAnsi="Times New Roman" w:eastAsia="仿宋_GB2312" w:cs="Times New Roman"/>
                <w:b w:val="0"/>
                <w:bCs w:val="0"/>
                <w:kern w:val="2"/>
                <w:sz w:val="28"/>
                <w:szCs w:val="28"/>
                <w:lang w:val="en-US" w:eastAsia="zh-CN" w:bidi="ar-SA"/>
              </w:rPr>
            </w:sdtEndPr>
            <w:sdtContent>
              <w:r>
                <w:rPr>
                  <w:rFonts w:hint="default" w:ascii="Times New Roman" w:hAnsi="Times New Roman" w:eastAsia="仿宋_GB2312" w:cs="Times New Roman"/>
                  <w:b w:val="0"/>
                  <w:bCs w:val="0"/>
                  <w:sz w:val="28"/>
                  <w:szCs w:val="28"/>
                </w:rPr>
                <w:t>二、机构设置</w:t>
              </w:r>
            </w:sdtContent>
          </w:sdt>
          <w:r>
            <w:rPr>
              <w:rFonts w:hint="default" w:ascii="Times New Roman" w:hAnsi="Times New Roman" w:eastAsia="仿宋_GB2312" w:cs="Times New Roman"/>
              <w:b w:val="0"/>
              <w:bCs w:val="0"/>
              <w:sz w:val="28"/>
              <w:szCs w:val="28"/>
            </w:rPr>
            <w:tab/>
          </w:r>
          <w:bookmarkStart w:id="3" w:name="_Toc1650718528_WPSOffice_Level2Page"/>
          <w:r>
            <w:rPr>
              <w:rFonts w:hint="default" w:ascii="Times New Roman" w:hAnsi="Times New Roman" w:eastAsia="仿宋_GB2312" w:cs="Times New Roman"/>
              <w:b w:val="0"/>
              <w:bCs w:val="0"/>
              <w:sz w:val="28"/>
              <w:szCs w:val="28"/>
            </w:rPr>
            <w:t>3</w:t>
          </w:r>
          <w:bookmarkEnd w:id="3"/>
          <w:r>
            <w:rPr>
              <w:rFonts w:hint="default" w:ascii="Times New Roman" w:hAnsi="Times New Roman" w:eastAsia="仿宋_GB2312" w:cs="Times New Roman"/>
              <w:b w:val="0"/>
              <w:bCs w:val="0"/>
              <w:sz w:val="28"/>
              <w:szCs w:val="28"/>
            </w:rPr>
            <w:fldChar w:fldCharType="end"/>
          </w:r>
        </w:p>
        <w:p>
          <w:pPr>
            <w:pStyle w:val="16"/>
            <w:keepNext w:val="0"/>
            <w:keepLines w:val="0"/>
            <w:pageBreakBefore w:val="0"/>
            <w:widowControl/>
            <w:tabs>
              <w:tab w:val="right" w:leader="dot" w:pos="8845"/>
            </w:tabs>
            <w:kinsoku/>
            <w:wordWrap/>
            <w:overflowPunct/>
            <w:topLinePunct w:val="0"/>
            <w:autoSpaceDE/>
            <w:autoSpaceDN/>
            <w:bidi w:val="0"/>
            <w:adjustRightInd/>
            <w:snapToGrid/>
            <w:spacing w:line="600" w:lineRule="exact"/>
            <w:textAlignment w:val="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HYPERLINK \l _Toc1821304848_WPSOffice_Level1 </w:instrText>
          </w:r>
          <w:r>
            <w:rPr>
              <w:rFonts w:hint="default" w:ascii="Times New Roman" w:hAnsi="Times New Roman" w:cs="Times New Roman"/>
              <w:b w:val="0"/>
              <w:bCs w:val="0"/>
              <w:sz w:val="28"/>
              <w:szCs w:val="28"/>
            </w:rPr>
            <w:fldChar w:fldCharType="separate"/>
          </w:r>
          <w:sdt>
            <w:sdtPr>
              <w:rPr>
                <w:rFonts w:hint="default" w:ascii="Times New Roman" w:hAnsi="Times New Roman" w:eastAsia="仿宋" w:cs="Times New Roman"/>
                <w:b w:val="0"/>
                <w:bCs w:val="0"/>
                <w:kern w:val="2"/>
                <w:sz w:val="28"/>
                <w:szCs w:val="28"/>
                <w:lang w:val="en-US" w:eastAsia="zh-CN" w:bidi="ar-SA"/>
              </w:rPr>
              <w:id w:val="413021303"/>
              <w:placeholder>
                <w:docPart w:val="{c35c9402-8ced-4099-8d0a-d0bfc24f0d59}"/>
              </w:placeholder>
            </w:sdtPr>
            <w:sdtEndPr>
              <w:rPr>
                <w:rFonts w:hint="default" w:ascii="Times New Roman" w:hAnsi="Times New Roman" w:eastAsia="仿宋" w:cs="Times New Roman"/>
                <w:b w:val="0"/>
                <w:bCs w:val="0"/>
                <w:kern w:val="2"/>
                <w:sz w:val="28"/>
                <w:szCs w:val="28"/>
                <w:lang w:val="en-US" w:eastAsia="zh-CN" w:bidi="ar-SA"/>
              </w:rPr>
            </w:sdtEndPr>
            <w:sdtContent>
              <w:r>
                <w:rPr>
                  <w:rFonts w:hint="default" w:ascii="Times New Roman" w:hAnsi="Times New Roman" w:eastAsia="方正小标宋简体" w:cs="Times New Roman"/>
                  <w:b w:val="0"/>
                  <w:bCs w:val="0"/>
                  <w:sz w:val="28"/>
                  <w:szCs w:val="28"/>
                </w:rPr>
                <w:t>第二部分 2023年度单位决算情况说明</w:t>
              </w:r>
            </w:sdtContent>
          </w:sdt>
          <w:r>
            <w:rPr>
              <w:rFonts w:hint="default" w:ascii="Times New Roman" w:hAnsi="Times New Roman" w:cs="Times New Roman"/>
              <w:b w:val="0"/>
              <w:bCs w:val="0"/>
              <w:sz w:val="28"/>
              <w:szCs w:val="28"/>
            </w:rPr>
            <w:tab/>
          </w:r>
          <w:bookmarkStart w:id="4" w:name="_Toc1821304848_WPSOffice_Level1Page"/>
          <w:r>
            <w:rPr>
              <w:rFonts w:hint="default" w:ascii="Times New Roman" w:hAnsi="Times New Roman" w:cs="Times New Roman"/>
              <w:b w:val="0"/>
              <w:bCs w:val="0"/>
              <w:sz w:val="28"/>
              <w:szCs w:val="28"/>
            </w:rPr>
            <w:t>4</w:t>
          </w:r>
          <w:bookmarkEnd w:id="4"/>
          <w:r>
            <w:rPr>
              <w:rFonts w:hint="default" w:ascii="Times New Roman" w:hAnsi="Times New Roman" w:cs="Times New Roman"/>
              <w:b w:val="0"/>
              <w:bCs w:val="0"/>
              <w:sz w:val="28"/>
              <w:szCs w:val="28"/>
            </w:rPr>
            <w:fldChar w:fldCharType="end"/>
          </w:r>
        </w:p>
        <w:p>
          <w:pPr>
            <w:pStyle w:val="17"/>
            <w:keepNext w:val="0"/>
            <w:keepLines w:val="0"/>
            <w:pageBreakBefore w:val="0"/>
            <w:widowControl/>
            <w:tabs>
              <w:tab w:val="right" w:leader="dot" w:pos="8845"/>
            </w:tabs>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\l _Toc1821304848_WPSOffice_Level2 </w:instrText>
          </w:r>
          <w:r>
            <w:rPr>
              <w:rFonts w:hint="default" w:ascii="Times New Roman" w:hAnsi="Times New Roman" w:eastAsia="仿宋_GB2312" w:cs="Times New Roman"/>
              <w:b w:val="0"/>
              <w:bCs w:val="0"/>
              <w:sz w:val="28"/>
              <w:szCs w:val="28"/>
            </w:rPr>
            <w:fldChar w:fldCharType="separate"/>
          </w:r>
          <w:sdt>
            <w:sdtPr>
              <w:rPr>
                <w:rFonts w:hint="default" w:ascii="Times New Roman" w:hAnsi="Times New Roman" w:eastAsia="仿宋_GB2312" w:cs="Times New Roman"/>
                <w:b w:val="0"/>
                <w:bCs w:val="0"/>
                <w:kern w:val="2"/>
                <w:sz w:val="28"/>
                <w:szCs w:val="28"/>
                <w:lang w:val="en-US" w:eastAsia="zh-CN" w:bidi="ar-SA"/>
              </w:rPr>
              <w:id w:val="413021303"/>
              <w:placeholder>
                <w:docPart w:val="{c46ef14e-00f6-4447-8ee7-6303e2a7b9f3}"/>
              </w:placeholder>
            </w:sdtPr>
            <w:sdtEndPr>
              <w:rPr>
                <w:rFonts w:hint="default" w:ascii="Times New Roman" w:hAnsi="Times New Roman" w:eastAsia="仿宋_GB2312" w:cs="Times New Roman"/>
                <w:b w:val="0"/>
                <w:bCs w:val="0"/>
                <w:kern w:val="2"/>
                <w:sz w:val="28"/>
                <w:szCs w:val="28"/>
                <w:lang w:val="en-US" w:eastAsia="zh-CN" w:bidi="ar-SA"/>
              </w:rPr>
            </w:sdtEndPr>
            <w:sdtContent>
              <w:r>
                <w:rPr>
                  <w:rFonts w:hint="default" w:ascii="Times New Roman" w:hAnsi="Times New Roman" w:eastAsia="仿宋_GB2312" w:cs="Times New Roman"/>
                  <w:b w:val="0"/>
                  <w:bCs w:val="0"/>
                  <w:sz w:val="28"/>
                  <w:szCs w:val="28"/>
                </w:rPr>
                <w:t>一、收入支出决算总体情况说明</w:t>
              </w:r>
            </w:sdtContent>
          </w:sdt>
          <w:r>
            <w:rPr>
              <w:rFonts w:hint="default" w:ascii="Times New Roman" w:hAnsi="Times New Roman" w:eastAsia="仿宋_GB2312" w:cs="Times New Roman"/>
              <w:b w:val="0"/>
              <w:bCs w:val="0"/>
              <w:sz w:val="28"/>
              <w:szCs w:val="28"/>
            </w:rPr>
            <w:tab/>
          </w:r>
          <w:bookmarkStart w:id="5" w:name="_Toc1821304848_WPSOffice_Level2Page"/>
          <w:r>
            <w:rPr>
              <w:rFonts w:hint="default" w:ascii="Times New Roman" w:hAnsi="Times New Roman" w:eastAsia="仿宋_GB2312" w:cs="Times New Roman"/>
              <w:b w:val="0"/>
              <w:bCs w:val="0"/>
              <w:sz w:val="28"/>
              <w:szCs w:val="28"/>
            </w:rPr>
            <w:t>4</w:t>
          </w:r>
          <w:bookmarkEnd w:id="5"/>
          <w:r>
            <w:rPr>
              <w:rFonts w:hint="default" w:ascii="Times New Roman" w:hAnsi="Times New Roman" w:eastAsia="仿宋_GB2312" w:cs="Times New Roman"/>
              <w:b w:val="0"/>
              <w:bCs w:val="0"/>
              <w:sz w:val="28"/>
              <w:szCs w:val="28"/>
            </w:rPr>
            <w:fldChar w:fldCharType="end"/>
          </w:r>
        </w:p>
        <w:p>
          <w:pPr>
            <w:pStyle w:val="17"/>
            <w:keepNext w:val="0"/>
            <w:keepLines w:val="0"/>
            <w:pageBreakBefore w:val="0"/>
            <w:widowControl/>
            <w:tabs>
              <w:tab w:val="right" w:leader="dot" w:pos="8845"/>
            </w:tabs>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\l _Toc353277147_WPSOffice_Level2 </w:instrText>
          </w:r>
          <w:r>
            <w:rPr>
              <w:rFonts w:hint="default" w:ascii="Times New Roman" w:hAnsi="Times New Roman" w:eastAsia="仿宋_GB2312" w:cs="Times New Roman"/>
              <w:b w:val="0"/>
              <w:bCs w:val="0"/>
              <w:sz w:val="28"/>
              <w:szCs w:val="28"/>
            </w:rPr>
            <w:fldChar w:fldCharType="separate"/>
          </w:r>
          <w:sdt>
            <w:sdtPr>
              <w:rPr>
                <w:rFonts w:hint="default" w:ascii="Times New Roman" w:hAnsi="Times New Roman" w:eastAsia="仿宋_GB2312" w:cs="Times New Roman"/>
                <w:b w:val="0"/>
                <w:bCs w:val="0"/>
                <w:kern w:val="2"/>
                <w:sz w:val="28"/>
                <w:szCs w:val="28"/>
                <w:lang w:val="en-US" w:eastAsia="zh-CN" w:bidi="ar-SA"/>
              </w:rPr>
              <w:id w:val="413021303"/>
              <w:placeholder>
                <w:docPart w:val="{876d1625-4810-4a33-a06a-a3173b70e22a}"/>
              </w:placeholder>
            </w:sdtPr>
            <w:sdtEndPr>
              <w:rPr>
                <w:rFonts w:hint="default" w:ascii="Times New Roman" w:hAnsi="Times New Roman" w:eastAsia="仿宋_GB2312" w:cs="Times New Roman"/>
                <w:b w:val="0"/>
                <w:bCs w:val="0"/>
                <w:kern w:val="2"/>
                <w:sz w:val="28"/>
                <w:szCs w:val="28"/>
                <w:lang w:val="en-US" w:eastAsia="zh-CN" w:bidi="ar-SA"/>
              </w:rPr>
            </w:sdtEndPr>
            <w:sdtContent>
              <w:r>
                <w:rPr>
                  <w:rFonts w:hint="default" w:ascii="Times New Roman" w:hAnsi="Times New Roman" w:eastAsia="仿宋_GB2312" w:cs="Times New Roman"/>
                  <w:b w:val="0"/>
                  <w:bCs w:val="0"/>
                  <w:sz w:val="28"/>
                  <w:szCs w:val="28"/>
                </w:rPr>
                <w:t>二、收入决算情况说明</w:t>
              </w:r>
            </w:sdtContent>
          </w:sdt>
          <w:r>
            <w:rPr>
              <w:rFonts w:hint="default" w:ascii="Times New Roman" w:hAnsi="Times New Roman" w:eastAsia="仿宋_GB2312" w:cs="Times New Roman"/>
              <w:b w:val="0"/>
              <w:bCs w:val="0"/>
              <w:sz w:val="28"/>
              <w:szCs w:val="28"/>
            </w:rPr>
            <w:tab/>
          </w:r>
          <w:bookmarkStart w:id="6" w:name="_Toc353277147_WPSOffice_Level2Page"/>
          <w:r>
            <w:rPr>
              <w:rFonts w:hint="default" w:ascii="Times New Roman" w:hAnsi="Times New Roman" w:eastAsia="仿宋_GB2312" w:cs="Times New Roman"/>
              <w:b w:val="0"/>
              <w:bCs w:val="0"/>
              <w:sz w:val="28"/>
              <w:szCs w:val="28"/>
            </w:rPr>
            <w:t>5</w:t>
          </w:r>
          <w:bookmarkEnd w:id="6"/>
          <w:r>
            <w:rPr>
              <w:rFonts w:hint="default" w:ascii="Times New Roman" w:hAnsi="Times New Roman" w:eastAsia="仿宋_GB2312" w:cs="Times New Roman"/>
              <w:b w:val="0"/>
              <w:bCs w:val="0"/>
              <w:sz w:val="28"/>
              <w:szCs w:val="28"/>
            </w:rPr>
            <w:fldChar w:fldCharType="end"/>
          </w:r>
        </w:p>
        <w:p>
          <w:pPr>
            <w:pStyle w:val="17"/>
            <w:keepNext w:val="0"/>
            <w:keepLines w:val="0"/>
            <w:pageBreakBefore w:val="0"/>
            <w:widowControl/>
            <w:tabs>
              <w:tab w:val="right" w:leader="dot" w:pos="8845"/>
            </w:tabs>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\l _Toc2099929406_WPSOffice_Level2 </w:instrText>
          </w:r>
          <w:r>
            <w:rPr>
              <w:rFonts w:hint="default" w:ascii="Times New Roman" w:hAnsi="Times New Roman" w:eastAsia="仿宋_GB2312" w:cs="Times New Roman"/>
              <w:b w:val="0"/>
              <w:bCs w:val="0"/>
              <w:sz w:val="28"/>
              <w:szCs w:val="28"/>
            </w:rPr>
            <w:fldChar w:fldCharType="separate"/>
          </w:r>
          <w:sdt>
            <w:sdtPr>
              <w:rPr>
                <w:rFonts w:hint="default" w:ascii="Times New Roman" w:hAnsi="Times New Roman" w:eastAsia="仿宋_GB2312" w:cs="Times New Roman"/>
                <w:b w:val="0"/>
                <w:bCs w:val="0"/>
                <w:kern w:val="2"/>
                <w:sz w:val="28"/>
                <w:szCs w:val="28"/>
                <w:lang w:val="en-US" w:eastAsia="zh-CN" w:bidi="ar-SA"/>
              </w:rPr>
              <w:id w:val="413021303"/>
              <w:placeholder>
                <w:docPart w:val="{9a01fb81-fa11-42cf-8abb-991e88360939}"/>
              </w:placeholder>
            </w:sdtPr>
            <w:sdtEndPr>
              <w:rPr>
                <w:rFonts w:hint="default" w:ascii="Times New Roman" w:hAnsi="Times New Roman" w:eastAsia="仿宋_GB2312" w:cs="Times New Roman"/>
                <w:b w:val="0"/>
                <w:bCs w:val="0"/>
                <w:kern w:val="2"/>
                <w:sz w:val="28"/>
                <w:szCs w:val="28"/>
                <w:lang w:val="en-US" w:eastAsia="zh-CN" w:bidi="ar-SA"/>
              </w:rPr>
            </w:sdtEndPr>
            <w:sdtContent>
              <w:r>
                <w:rPr>
                  <w:rFonts w:hint="default" w:ascii="Times New Roman" w:hAnsi="Times New Roman" w:eastAsia="仿宋_GB2312" w:cs="Times New Roman"/>
                  <w:b w:val="0"/>
                  <w:bCs w:val="0"/>
                  <w:sz w:val="28"/>
                  <w:szCs w:val="28"/>
                </w:rPr>
                <w:t>三、支出决算情况说明</w:t>
              </w:r>
            </w:sdtContent>
          </w:sdt>
          <w:r>
            <w:rPr>
              <w:rFonts w:hint="default" w:ascii="Times New Roman" w:hAnsi="Times New Roman" w:eastAsia="仿宋_GB2312" w:cs="Times New Roman"/>
              <w:b w:val="0"/>
              <w:bCs w:val="0"/>
              <w:sz w:val="28"/>
              <w:szCs w:val="28"/>
            </w:rPr>
            <w:tab/>
          </w:r>
          <w:bookmarkStart w:id="7" w:name="_Toc2099929406_WPSOffice_Level2Page"/>
          <w:r>
            <w:rPr>
              <w:rFonts w:hint="default" w:ascii="Times New Roman" w:hAnsi="Times New Roman" w:eastAsia="仿宋_GB2312" w:cs="Times New Roman"/>
              <w:b w:val="0"/>
              <w:bCs w:val="0"/>
              <w:sz w:val="28"/>
              <w:szCs w:val="28"/>
            </w:rPr>
            <w:t>5</w:t>
          </w:r>
          <w:bookmarkEnd w:id="7"/>
          <w:r>
            <w:rPr>
              <w:rFonts w:hint="default" w:ascii="Times New Roman" w:hAnsi="Times New Roman" w:eastAsia="仿宋_GB2312" w:cs="Times New Roman"/>
              <w:b w:val="0"/>
              <w:bCs w:val="0"/>
              <w:sz w:val="28"/>
              <w:szCs w:val="28"/>
            </w:rPr>
            <w:fldChar w:fldCharType="end"/>
          </w:r>
        </w:p>
        <w:p>
          <w:pPr>
            <w:pStyle w:val="17"/>
            <w:keepNext w:val="0"/>
            <w:keepLines w:val="0"/>
            <w:pageBreakBefore w:val="0"/>
            <w:widowControl/>
            <w:tabs>
              <w:tab w:val="right" w:leader="dot" w:pos="8845"/>
            </w:tabs>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\l _Toc751380005_WPSOffice_Level2 </w:instrText>
          </w:r>
          <w:r>
            <w:rPr>
              <w:rFonts w:hint="default" w:ascii="Times New Roman" w:hAnsi="Times New Roman" w:eastAsia="仿宋_GB2312" w:cs="Times New Roman"/>
              <w:b w:val="0"/>
              <w:bCs w:val="0"/>
              <w:sz w:val="28"/>
              <w:szCs w:val="28"/>
            </w:rPr>
            <w:fldChar w:fldCharType="separate"/>
          </w:r>
          <w:sdt>
            <w:sdtPr>
              <w:rPr>
                <w:rFonts w:hint="default" w:ascii="Times New Roman" w:hAnsi="Times New Roman" w:eastAsia="仿宋_GB2312" w:cs="Times New Roman"/>
                <w:b w:val="0"/>
                <w:bCs w:val="0"/>
                <w:kern w:val="2"/>
                <w:sz w:val="28"/>
                <w:szCs w:val="28"/>
                <w:lang w:val="en-US" w:eastAsia="zh-CN" w:bidi="ar-SA"/>
              </w:rPr>
              <w:id w:val="413021303"/>
              <w:placeholder>
                <w:docPart w:val="{3183c43f-72ae-457d-aa99-e6e34566a13a}"/>
              </w:placeholder>
            </w:sdtPr>
            <w:sdtEndPr>
              <w:rPr>
                <w:rFonts w:hint="default" w:ascii="Times New Roman" w:hAnsi="Times New Roman" w:eastAsia="仿宋_GB2312" w:cs="Times New Roman"/>
                <w:b w:val="0"/>
                <w:bCs w:val="0"/>
                <w:kern w:val="2"/>
                <w:sz w:val="28"/>
                <w:szCs w:val="28"/>
                <w:lang w:val="en-US" w:eastAsia="zh-CN" w:bidi="ar-SA"/>
              </w:rPr>
            </w:sdtEndPr>
            <w:sdtContent>
              <w:r>
                <w:rPr>
                  <w:rFonts w:hint="default" w:ascii="Times New Roman" w:hAnsi="Times New Roman" w:eastAsia="仿宋_GB2312" w:cs="Times New Roman"/>
                  <w:b w:val="0"/>
                  <w:bCs w:val="0"/>
                  <w:sz w:val="28"/>
                  <w:szCs w:val="28"/>
                </w:rPr>
                <w:t>四、财政拨款收入支出决算总体情况说明</w:t>
              </w:r>
            </w:sdtContent>
          </w:sdt>
          <w:r>
            <w:rPr>
              <w:rFonts w:hint="default" w:ascii="Times New Roman" w:hAnsi="Times New Roman" w:eastAsia="仿宋_GB2312" w:cs="Times New Roman"/>
              <w:b w:val="0"/>
              <w:bCs w:val="0"/>
              <w:sz w:val="28"/>
              <w:szCs w:val="28"/>
            </w:rPr>
            <w:tab/>
          </w:r>
          <w:bookmarkStart w:id="8" w:name="_Toc751380005_WPSOffice_Level2Page"/>
          <w:r>
            <w:rPr>
              <w:rFonts w:hint="default" w:ascii="Times New Roman" w:hAnsi="Times New Roman" w:eastAsia="仿宋_GB2312" w:cs="Times New Roman"/>
              <w:b w:val="0"/>
              <w:bCs w:val="0"/>
              <w:sz w:val="28"/>
              <w:szCs w:val="28"/>
            </w:rPr>
            <w:t>6</w:t>
          </w:r>
          <w:bookmarkEnd w:id="8"/>
          <w:r>
            <w:rPr>
              <w:rFonts w:hint="default" w:ascii="Times New Roman" w:hAnsi="Times New Roman" w:eastAsia="仿宋_GB2312" w:cs="Times New Roman"/>
              <w:b w:val="0"/>
              <w:bCs w:val="0"/>
              <w:sz w:val="28"/>
              <w:szCs w:val="28"/>
            </w:rPr>
            <w:fldChar w:fldCharType="end"/>
          </w:r>
        </w:p>
        <w:p>
          <w:pPr>
            <w:pStyle w:val="17"/>
            <w:keepNext w:val="0"/>
            <w:keepLines w:val="0"/>
            <w:pageBreakBefore w:val="0"/>
            <w:widowControl/>
            <w:tabs>
              <w:tab w:val="right" w:leader="dot" w:pos="8845"/>
            </w:tabs>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\l _Toc271496611_WPSOffice_Level2 </w:instrText>
          </w:r>
          <w:r>
            <w:rPr>
              <w:rFonts w:hint="default" w:ascii="Times New Roman" w:hAnsi="Times New Roman" w:eastAsia="仿宋_GB2312" w:cs="Times New Roman"/>
              <w:b w:val="0"/>
              <w:bCs w:val="0"/>
              <w:sz w:val="28"/>
              <w:szCs w:val="28"/>
            </w:rPr>
            <w:fldChar w:fldCharType="separate"/>
          </w:r>
          <w:sdt>
            <w:sdtPr>
              <w:rPr>
                <w:rFonts w:hint="default" w:ascii="Times New Roman" w:hAnsi="Times New Roman" w:eastAsia="仿宋_GB2312" w:cs="Times New Roman"/>
                <w:b w:val="0"/>
                <w:bCs w:val="0"/>
                <w:kern w:val="2"/>
                <w:sz w:val="28"/>
                <w:szCs w:val="28"/>
                <w:lang w:val="en-US" w:eastAsia="zh-CN" w:bidi="ar-SA"/>
              </w:rPr>
              <w:id w:val="413021303"/>
              <w:placeholder>
                <w:docPart w:val="{e9a0102f-f9bc-44e3-bf09-65b9c5b42cc7}"/>
              </w:placeholder>
            </w:sdtPr>
            <w:sdtEndPr>
              <w:rPr>
                <w:rFonts w:hint="default" w:ascii="Times New Roman" w:hAnsi="Times New Roman" w:eastAsia="仿宋_GB2312" w:cs="Times New Roman"/>
                <w:b w:val="0"/>
                <w:bCs w:val="0"/>
                <w:kern w:val="2"/>
                <w:sz w:val="28"/>
                <w:szCs w:val="28"/>
                <w:lang w:val="en-US" w:eastAsia="zh-CN" w:bidi="ar-SA"/>
              </w:rPr>
            </w:sdtEndPr>
            <w:sdtContent>
              <w:r>
                <w:rPr>
                  <w:rFonts w:hint="default" w:ascii="Times New Roman" w:hAnsi="Times New Roman" w:eastAsia="仿宋_GB2312" w:cs="Times New Roman"/>
                  <w:b w:val="0"/>
                  <w:bCs w:val="0"/>
                  <w:sz w:val="28"/>
                  <w:szCs w:val="28"/>
                </w:rPr>
                <w:t>五、一般公共预算财政拨款支出决算情况说明</w:t>
              </w:r>
            </w:sdtContent>
          </w:sdt>
          <w:r>
            <w:rPr>
              <w:rFonts w:hint="default" w:ascii="Times New Roman" w:hAnsi="Times New Roman" w:eastAsia="仿宋_GB2312" w:cs="Times New Roman"/>
              <w:b w:val="0"/>
              <w:bCs w:val="0"/>
              <w:sz w:val="28"/>
              <w:szCs w:val="28"/>
            </w:rPr>
            <w:tab/>
          </w:r>
          <w:bookmarkStart w:id="9" w:name="_Toc271496611_WPSOffice_Level2Page"/>
          <w:r>
            <w:rPr>
              <w:rFonts w:hint="default" w:ascii="Times New Roman" w:hAnsi="Times New Roman" w:eastAsia="仿宋_GB2312" w:cs="Times New Roman"/>
              <w:b w:val="0"/>
              <w:bCs w:val="0"/>
              <w:sz w:val="28"/>
              <w:szCs w:val="28"/>
            </w:rPr>
            <w:t>7</w:t>
          </w:r>
          <w:bookmarkEnd w:id="9"/>
          <w:r>
            <w:rPr>
              <w:rFonts w:hint="default" w:ascii="Times New Roman" w:hAnsi="Times New Roman" w:eastAsia="仿宋_GB2312" w:cs="Times New Roman"/>
              <w:b w:val="0"/>
              <w:bCs w:val="0"/>
              <w:sz w:val="28"/>
              <w:szCs w:val="28"/>
            </w:rPr>
            <w:fldChar w:fldCharType="end"/>
          </w:r>
        </w:p>
        <w:p>
          <w:pPr>
            <w:pStyle w:val="17"/>
            <w:keepNext w:val="0"/>
            <w:keepLines w:val="0"/>
            <w:pageBreakBefore w:val="0"/>
            <w:widowControl/>
            <w:tabs>
              <w:tab w:val="right" w:leader="dot" w:pos="8845"/>
            </w:tabs>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\l _Toc1750154126_WPSOffice_Level2 </w:instrText>
          </w:r>
          <w:r>
            <w:rPr>
              <w:rFonts w:hint="default" w:ascii="Times New Roman" w:hAnsi="Times New Roman" w:eastAsia="仿宋_GB2312" w:cs="Times New Roman"/>
              <w:b w:val="0"/>
              <w:bCs w:val="0"/>
              <w:sz w:val="28"/>
              <w:szCs w:val="28"/>
            </w:rPr>
            <w:fldChar w:fldCharType="separate"/>
          </w:r>
          <w:sdt>
            <w:sdtPr>
              <w:rPr>
                <w:rFonts w:hint="default" w:ascii="Times New Roman" w:hAnsi="Times New Roman" w:eastAsia="仿宋_GB2312" w:cs="Times New Roman"/>
                <w:b w:val="0"/>
                <w:bCs w:val="0"/>
                <w:kern w:val="2"/>
                <w:sz w:val="28"/>
                <w:szCs w:val="28"/>
                <w:lang w:val="en-US" w:eastAsia="zh-CN" w:bidi="ar-SA"/>
              </w:rPr>
              <w:id w:val="413021303"/>
              <w:placeholder>
                <w:docPart w:val="{2ecbba7d-ccad-4e36-babe-ae59e5204bcc}"/>
              </w:placeholder>
            </w:sdtPr>
            <w:sdtEndPr>
              <w:rPr>
                <w:rFonts w:hint="default" w:ascii="Times New Roman" w:hAnsi="Times New Roman" w:eastAsia="仿宋_GB2312" w:cs="Times New Roman"/>
                <w:b w:val="0"/>
                <w:bCs w:val="0"/>
                <w:kern w:val="2"/>
                <w:sz w:val="28"/>
                <w:szCs w:val="28"/>
                <w:lang w:val="en-US" w:eastAsia="zh-CN" w:bidi="ar-SA"/>
              </w:rPr>
            </w:sdtEndPr>
            <w:sdtContent>
              <w:r>
                <w:rPr>
                  <w:rFonts w:hint="default" w:ascii="Times New Roman" w:hAnsi="Times New Roman" w:eastAsia="仿宋_GB2312" w:cs="Times New Roman"/>
                  <w:b w:val="0"/>
                  <w:bCs w:val="0"/>
                  <w:sz w:val="28"/>
                  <w:szCs w:val="28"/>
                </w:rPr>
                <w:t>六、一般公共预算财政拨款基本支出决算情况说明</w:t>
              </w:r>
            </w:sdtContent>
          </w:sdt>
          <w:r>
            <w:rPr>
              <w:rFonts w:hint="default" w:ascii="Times New Roman" w:hAnsi="Times New Roman" w:eastAsia="仿宋_GB2312" w:cs="Times New Roman"/>
              <w:b w:val="0"/>
              <w:bCs w:val="0"/>
              <w:sz w:val="28"/>
              <w:szCs w:val="28"/>
            </w:rPr>
            <w:tab/>
          </w:r>
          <w:bookmarkStart w:id="10" w:name="_Toc1750154126_WPSOffice_Level2Page"/>
          <w:r>
            <w:rPr>
              <w:rFonts w:hint="default" w:ascii="Times New Roman" w:hAnsi="Times New Roman" w:eastAsia="仿宋_GB2312" w:cs="Times New Roman"/>
              <w:b w:val="0"/>
              <w:bCs w:val="0"/>
              <w:sz w:val="28"/>
              <w:szCs w:val="28"/>
            </w:rPr>
            <w:t>12</w:t>
          </w:r>
          <w:bookmarkEnd w:id="10"/>
          <w:r>
            <w:rPr>
              <w:rFonts w:hint="default" w:ascii="Times New Roman" w:hAnsi="Times New Roman" w:eastAsia="仿宋_GB2312" w:cs="Times New Roman"/>
              <w:b w:val="0"/>
              <w:bCs w:val="0"/>
              <w:sz w:val="28"/>
              <w:szCs w:val="28"/>
            </w:rPr>
            <w:fldChar w:fldCharType="end"/>
          </w:r>
        </w:p>
        <w:p>
          <w:pPr>
            <w:pStyle w:val="17"/>
            <w:keepNext w:val="0"/>
            <w:keepLines w:val="0"/>
            <w:pageBreakBefore w:val="0"/>
            <w:widowControl/>
            <w:tabs>
              <w:tab w:val="right" w:leader="dot" w:pos="8845"/>
            </w:tabs>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\l _Toc204367348_WPSOffice_Level2 </w:instrText>
          </w:r>
          <w:r>
            <w:rPr>
              <w:rFonts w:hint="default" w:ascii="Times New Roman" w:hAnsi="Times New Roman" w:eastAsia="仿宋_GB2312" w:cs="Times New Roman"/>
              <w:b w:val="0"/>
              <w:bCs w:val="0"/>
              <w:sz w:val="28"/>
              <w:szCs w:val="28"/>
            </w:rPr>
            <w:fldChar w:fldCharType="separate"/>
          </w:r>
          <w:sdt>
            <w:sdtPr>
              <w:rPr>
                <w:rFonts w:hint="default" w:ascii="Times New Roman" w:hAnsi="Times New Roman" w:eastAsia="仿宋_GB2312" w:cs="Times New Roman"/>
                <w:b w:val="0"/>
                <w:bCs w:val="0"/>
                <w:kern w:val="2"/>
                <w:sz w:val="28"/>
                <w:szCs w:val="28"/>
                <w:lang w:val="en-US" w:eastAsia="zh-CN" w:bidi="ar-SA"/>
              </w:rPr>
              <w:id w:val="413021303"/>
              <w:placeholder>
                <w:docPart w:val="{1cbc830c-038c-4b21-81aa-fe006be7a199}"/>
              </w:placeholder>
            </w:sdtPr>
            <w:sdtEndPr>
              <w:rPr>
                <w:rFonts w:hint="default" w:ascii="Times New Roman" w:hAnsi="Times New Roman" w:eastAsia="仿宋_GB2312" w:cs="Times New Roman"/>
                <w:b w:val="0"/>
                <w:bCs w:val="0"/>
                <w:kern w:val="2"/>
                <w:sz w:val="28"/>
                <w:szCs w:val="28"/>
                <w:lang w:val="en-US" w:eastAsia="zh-CN" w:bidi="ar-SA"/>
              </w:rPr>
            </w:sdtEndPr>
            <w:sdtContent>
              <w:r>
                <w:rPr>
                  <w:rFonts w:hint="default" w:ascii="Times New Roman" w:hAnsi="Times New Roman" w:eastAsia="仿宋_GB2312" w:cs="Times New Roman"/>
                  <w:b w:val="0"/>
                  <w:bCs w:val="0"/>
                  <w:sz w:val="28"/>
                  <w:szCs w:val="28"/>
                </w:rPr>
                <w:t>七、财政拨款“三公”经费支出决算情况说明</w:t>
              </w:r>
            </w:sdtContent>
          </w:sdt>
          <w:r>
            <w:rPr>
              <w:rFonts w:hint="default" w:ascii="Times New Roman" w:hAnsi="Times New Roman" w:eastAsia="仿宋_GB2312" w:cs="Times New Roman"/>
              <w:b w:val="0"/>
              <w:bCs w:val="0"/>
              <w:sz w:val="28"/>
              <w:szCs w:val="28"/>
            </w:rPr>
            <w:tab/>
          </w:r>
          <w:bookmarkStart w:id="11" w:name="_Toc204367348_WPSOffice_Level2Page"/>
          <w:r>
            <w:rPr>
              <w:rFonts w:hint="default" w:ascii="Times New Roman" w:hAnsi="Times New Roman" w:eastAsia="仿宋_GB2312" w:cs="Times New Roman"/>
              <w:b w:val="0"/>
              <w:bCs w:val="0"/>
              <w:sz w:val="28"/>
              <w:szCs w:val="28"/>
            </w:rPr>
            <w:t>12</w:t>
          </w:r>
          <w:bookmarkEnd w:id="11"/>
          <w:r>
            <w:rPr>
              <w:rFonts w:hint="default" w:ascii="Times New Roman" w:hAnsi="Times New Roman" w:eastAsia="仿宋_GB2312" w:cs="Times New Roman"/>
              <w:b w:val="0"/>
              <w:bCs w:val="0"/>
              <w:sz w:val="28"/>
              <w:szCs w:val="28"/>
            </w:rPr>
            <w:fldChar w:fldCharType="end"/>
          </w:r>
        </w:p>
        <w:p>
          <w:pPr>
            <w:pStyle w:val="17"/>
            <w:keepNext w:val="0"/>
            <w:keepLines w:val="0"/>
            <w:pageBreakBefore w:val="0"/>
            <w:widowControl/>
            <w:tabs>
              <w:tab w:val="right" w:leader="dot" w:pos="8845"/>
            </w:tabs>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\l _Toc1540761668_WPSOffice_Level2 </w:instrText>
          </w:r>
          <w:r>
            <w:rPr>
              <w:rFonts w:hint="default" w:ascii="Times New Roman" w:hAnsi="Times New Roman" w:eastAsia="仿宋_GB2312" w:cs="Times New Roman"/>
              <w:b w:val="0"/>
              <w:bCs w:val="0"/>
              <w:sz w:val="28"/>
              <w:szCs w:val="28"/>
            </w:rPr>
            <w:fldChar w:fldCharType="separate"/>
          </w:r>
          <w:sdt>
            <w:sdtPr>
              <w:rPr>
                <w:rFonts w:hint="default" w:ascii="Times New Roman" w:hAnsi="Times New Roman" w:eastAsia="仿宋_GB2312" w:cs="Times New Roman"/>
                <w:b w:val="0"/>
                <w:bCs w:val="0"/>
                <w:kern w:val="2"/>
                <w:sz w:val="28"/>
                <w:szCs w:val="28"/>
                <w:lang w:val="en-US" w:eastAsia="zh-CN" w:bidi="ar-SA"/>
              </w:rPr>
              <w:id w:val="413021303"/>
              <w:placeholder>
                <w:docPart w:val="{0f5b1b7e-f47a-4db0-834e-5032a3c83243}"/>
              </w:placeholder>
            </w:sdtPr>
            <w:sdtEndPr>
              <w:rPr>
                <w:rFonts w:hint="default" w:ascii="Times New Roman" w:hAnsi="Times New Roman" w:eastAsia="仿宋_GB2312" w:cs="Times New Roman"/>
                <w:b w:val="0"/>
                <w:bCs w:val="0"/>
                <w:kern w:val="2"/>
                <w:sz w:val="28"/>
                <w:szCs w:val="28"/>
                <w:lang w:val="en-US" w:eastAsia="zh-CN" w:bidi="ar-SA"/>
              </w:rPr>
            </w:sdtEndPr>
            <w:sdtContent>
              <w:r>
                <w:rPr>
                  <w:rFonts w:hint="default" w:ascii="Times New Roman" w:hAnsi="Times New Roman" w:eastAsia="仿宋_GB2312" w:cs="Times New Roman"/>
                  <w:b w:val="0"/>
                  <w:bCs w:val="0"/>
                  <w:sz w:val="28"/>
                  <w:szCs w:val="28"/>
                </w:rPr>
                <w:t>八、政府性基金预算支出决算情况说明</w:t>
              </w:r>
            </w:sdtContent>
          </w:sdt>
          <w:r>
            <w:rPr>
              <w:rFonts w:hint="default" w:ascii="Times New Roman" w:hAnsi="Times New Roman" w:eastAsia="仿宋_GB2312" w:cs="Times New Roman"/>
              <w:b w:val="0"/>
              <w:bCs w:val="0"/>
              <w:sz w:val="28"/>
              <w:szCs w:val="28"/>
            </w:rPr>
            <w:tab/>
          </w:r>
          <w:bookmarkStart w:id="12" w:name="_Toc1540761668_WPSOffice_Level2Page"/>
          <w:r>
            <w:rPr>
              <w:rFonts w:hint="default" w:ascii="Times New Roman" w:hAnsi="Times New Roman" w:eastAsia="仿宋_GB2312" w:cs="Times New Roman"/>
              <w:b w:val="0"/>
              <w:bCs w:val="0"/>
              <w:sz w:val="28"/>
              <w:szCs w:val="28"/>
            </w:rPr>
            <w:t>15</w:t>
          </w:r>
          <w:bookmarkEnd w:id="12"/>
          <w:r>
            <w:rPr>
              <w:rFonts w:hint="default" w:ascii="Times New Roman" w:hAnsi="Times New Roman" w:eastAsia="仿宋_GB2312" w:cs="Times New Roman"/>
              <w:b w:val="0"/>
              <w:bCs w:val="0"/>
              <w:sz w:val="28"/>
              <w:szCs w:val="28"/>
            </w:rPr>
            <w:fldChar w:fldCharType="end"/>
          </w:r>
        </w:p>
        <w:p>
          <w:pPr>
            <w:pStyle w:val="17"/>
            <w:keepNext w:val="0"/>
            <w:keepLines w:val="0"/>
            <w:pageBreakBefore w:val="0"/>
            <w:widowControl/>
            <w:tabs>
              <w:tab w:val="right" w:leader="dot" w:pos="8845"/>
            </w:tabs>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\l _Toc1268655907_WPSOffice_Level2 </w:instrText>
          </w:r>
          <w:r>
            <w:rPr>
              <w:rFonts w:hint="default" w:ascii="Times New Roman" w:hAnsi="Times New Roman" w:eastAsia="仿宋_GB2312" w:cs="Times New Roman"/>
              <w:b w:val="0"/>
              <w:bCs w:val="0"/>
              <w:sz w:val="28"/>
              <w:szCs w:val="28"/>
            </w:rPr>
            <w:fldChar w:fldCharType="separate"/>
          </w:r>
          <w:sdt>
            <w:sdtPr>
              <w:rPr>
                <w:rFonts w:hint="default" w:ascii="Times New Roman" w:hAnsi="Times New Roman" w:eastAsia="仿宋_GB2312" w:cs="Times New Roman"/>
                <w:b w:val="0"/>
                <w:bCs w:val="0"/>
                <w:kern w:val="2"/>
                <w:sz w:val="28"/>
                <w:szCs w:val="28"/>
                <w:lang w:val="en-US" w:eastAsia="zh-CN" w:bidi="ar-SA"/>
              </w:rPr>
              <w:id w:val="413021303"/>
              <w:placeholder>
                <w:docPart w:val="{ff924d9f-967e-4569-ba24-5fbbdcaabf67}"/>
              </w:placeholder>
            </w:sdtPr>
            <w:sdtEndPr>
              <w:rPr>
                <w:rFonts w:hint="default" w:ascii="Times New Roman" w:hAnsi="Times New Roman" w:eastAsia="仿宋_GB2312" w:cs="Times New Roman"/>
                <w:b w:val="0"/>
                <w:bCs w:val="0"/>
                <w:kern w:val="2"/>
                <w:sz w:val="28"/>
                <w:szCs w:val="28"/>
                <w:lang w:val="en-US" w:eastAsia="zh-CN" w:bidi="ar-SA"/>
              </w:rPr>
            </w:sdtEndPr>
            <w:sdtContent>
              <w:r>
                <w:rPr>
                  <w:rFonts w:hint="default" w:ascii="Times New Roman" w:hAnsi="Times New Roman" w:eastAsia="仿宋_GB2312" w:cs="Times New Roman"/>
                  <w:b w:val="0"/>
                  <w:bCs w:val="0"/>
                  <w:sz w:val="28"/>
                  <w:szCs w:val="28"/>
                </w:rPr>
                <w:t>九、国有资本经营预算支出决算情况说明</w:t>
              </w:r>
            </w:sdtContent>
          </w:sdt>
          <w:r>
            <w:rPr>
              <w:rFonts w:hint="default" w:ascii="Times New Roman" w:hAnsi="Times New Roman" w:eastAsia="仿宋_GB2312" w:cs="Times New Roman"/>
              <w:b w:val="0"/>
              <w:bCs w:val="0"/>
              <w:sz w:val="28"/>
              <w:szCs w:val="28"/>
            </w:rPr>
            <w:tab/>
          </w:r>
          <w:bookmarkStart w:id="13" w:name="_Toc1268655907_WPSOffice_Level2Page"/>
          <w:r>
            <w:rPr>
              <w:rFonts w:hint="default" w:ascii="Times New Roman" w:hAnsi="Times New Roman" w:eastAsia="仿宋_GB2312" w:cs="Times New Roman"/>
              <w:b w:val="0"/>
              <w:bCs w:val="0"/>
              <w:sz w:val="28"/>
              <w:szCs w:val="28"/>
            </w:rPr>
            <w:t>15</w:t>
          </w:r>
          <w:bookmarkEnd w:id="13"/>
          <w:r>
            <w:rPr>
              <w:rFonts w:hint="default" w:ascii="Times New Roman" w:hAnsi="Times New Roman" w:eastAsia="仿宋_GB2312" w:cs="Times New Roman"/>
              <w:b w:val="0"/>
              <w:bCs w:val="0"/>
              <w:sz w:val="28"/>
              <w:szCs w:val="28"/>
            </w:rPr>
            <w:fldChar w:fldCharType="end"/>
          </w:r>
        </w:p>
        <w:p>
          <w:pPr>
            <w:pStyle w:val="17"/>
            <w:keepNext w:val="0"/>
            <w:keepLines w:val="0"/>
            <w:pageBreakBefore w:val="0"/>
            <w:widowControl/>
            <w:tabs>
              <w:tab w:val="right" w:leader="dot" w:pos="8845"/>
            </w:tabs>
            <w:kinsoku/>
            <w:wordWrap/>
            <w:overflowPunct/>
            <w:topLinePunct w:val="0"/>
            <w:autoSpaceDE/>
            <w:autoSpaceDN/>
            <w:bidi w:val="0"/>
            <w:adjustRightInd/>
            <w:snapToGrid/>
            <w:spacing w:line="600" w:lineRule="exact"/>
            <w:textAlignment w:val="auto"/>
            <w:rPr>
              <w:rFonts w:hint="default" w:ascii="Times New Roman" w:hAnsi="Times New Roman" w:cs="Times New Roman"/>
              <w:b w:val="0"/>
              <w:bCs w:val="0"/>
              <w:sz w:val="28"/>
              <w:szCs w:val="28"/>
            </w:rPr>
          </w:pP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\l _Toc1163363773_WPSOffice_Level2 </w:instrText>
          </w:r>
          <w:r>
            <w:rPr>
              <w:rFonts w:hint="default" w:ascii="Times New Roman" w:hAnsi="Times New Roman" w:eastAsia="仿宋_GB2312" w:cs="Times New Roman"/>
              <w:b w:val="0"/>
              <w:bCs w:val="0"/>
              <w:sz w:val="28"/>
              <w:szCs w:val="28"/>
            </w:rPr>
            <w:fldChar w:fldCharType="separate"/>
          </w:r>
          <w:sdt>
            <w:sdtPr>
              <w:rPr>
                <w:rFonts w:hint="default" w:ascii="Times New Roman" w:hAnsi="Times New Roman" w:eastAsia="仿宋_GB2312" w:cs="Times New Roman"/>
                <w:b w:val="0"/>
                <w:bCs w:val="0"/>
                <w:kern w:val="2"/>
                <w:sz w:val="28"/>
                <w:szCs w:val="28"/>
                <w:lang w:val="en-US" w:eastAsia="zh-CN" w:bidi="ar-SA"/>
              </w:rPr>
              <w:id w:val="413021303"/>
              <w:placeholder>
                <w:docPart w:val="{7c12f6bc-1f6a-4a36-8312-a373ff787e46}"/>
              </w:placeholder>
            </w:sdtPr>
            <w:sdtEndPr>
              <w:rPr>
                <w:rFonts w:hint="default" w:ascii="Times New Roman" w:hAnsi="Times New Roman" w:eastAsia="仿宋_GB2312" w:cs="Times New Roman"/>
                <w:b w:val="0"/>
                <w:bCs w:val="0"/>
                <w:kern w:val="2"/>
                <w:sz w:val="28"/>
                <w:szCs w:val="28"/>
                <w:lang w:val="en-US" w:eastAsia="zh-CN" w:bidi="ar-SA"/>
              </w:rPr>
            </w:sdtEndPr>
            <w:sdtContent>
              <w:r>
                <w:rPr>
                  <w:rFonts w:hint="default" w:ascii="Times New Roman" w:hAnsi="Times New Roman" w:eastAsia="仿宋_GB2312" w:cs="Times New Roman"/>
                  <w:b w:val="0"/>
                  <w:bCs w:val="0"/>
                  <w:sz w:val="28"/>
                  <w:szCs w:val="28"/>
                </w:rPr>
                <w:t>十、其他重要事项的情况说明</w:t>
              </w:r>
            </w:sdtContent>
          </w:sdt>
          <w:r>
            <w:rPr>
              <w:rFonts w:hint="default" w:ascii="Times New Roman" w:hAnsi="Times New Roman" w:eastAsia="仿宋_GB2312" w:cs="Times New Roman"/>
              <w:b w:val="0"/>
              <w:bCs w:val="0"/>
              <w:sz w:val="28"/>
              <w:szCs w:val="28"/>
            </w:rPr>
            <w:tab/>
          </w:r>
          <w:bookmarkStart w:id="14" w:name="_Toc1163363773_WPSOffice_Level2Page"/>
          <w:r>
            <w:rPr>
              <w:rFonts w:hint="default" w:ascii="Times New Roman" w:hAnsi="Times New Roman" w:eastAsia="仿宋_GB2312" w:cs="Times New Roman"/>
              <w:b w:val="0"/>
              <w:bCs w:val="0"/>
              <w:sz w:val="28"/>
              <w:szCs w:val="28"/>
            </w:rPr>
            <w:t>15</w:t>
          </w:r>
          <w:bookmarkEnd w:id="14"/>
          <w:r>
            <w:rPr>
              <w:rFonts w:hint="default" w:ascii="Times New Roman" w:hAnsi="Times New Roman" w:eastAsia="仿宋_GB2312" w:cs="Times New Roman"/>
              <w:b w:val="0"/>
              <w:bCs w:val="0"/>
              <w:sz w:val="28"/>
              <w:szCs w:val="28"/>
            </w:rPr>
            <w:fldChar w:fldCharType="end"/>
          </w:r>
        </w:p>
        <w:p>
          <w:pPr>
            <w:pStyle w:val="16"/>
            <w:keepNext w:val="0"/>
            <w:keepLines w:val="0"/>
            <w:pageBreakBefore w:val="0"/>
            <w:widowControl/>
            <w:tabs>
              <w:tab w:val="right" w:leader="dot" w:pos="8845"/>
            </w:tabs>
            <w:kinsoku/>
            <w:wordWrap/>
            <w:overflowPunct/>
            <w:topLinePunct w:val="0"/>
            <w:autoSpaceDE/>
            <w:autoSpaceDN/>
            <w:bidi w:val="0"/>
            <w:adjustRightInd/>
            <w:snapToGrid/>
            <w:spacing w:line="600" w:lineRule="exact"/>
            <w:textAlignment w:val="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HYPERLINK \l _Toc353277147_WPSOffice_Level1 </w:instrText>
          </w:r>
          <w:r>
            <w:rPr>
              <w:rFonts w:hint="default" w:ascii="Times New Roman" w:hAnsi="Times New Roman" w:cs="Times New Roman"/>
              <w:b w:val="0"/>
              <w:bCs w:val="0"/>
              <w:sz w:val="28"/>
              <w:szCs w:val="28"/>
            </w:rPr>
            <w:fldChar w:fldCharType="separate"/>
          </w:r>
          <w:sdt>
            <w:sdtPr>
              <w:rPr>
                <w:rFonts w:hint="default" w:ascii="Times New Roman" w:hAnsi="Times New Roman" w:eastAsia="仿宋" w:cs="Times New Roman"/>
                <w:b w:val="0"/>
                <w:bCs w:val="0"/>
                <w:kern w:val="2"/>
                <w:sz w:val="28"/>
                <w:szCs w:val="28"/>
                <w:lang w:val="en-US" w:eastAsia="zh-CN" w:bidi="ar-SA"/>
              </w:rPr>
              <w:id w:val="413021303"/>
              <w:placeholder>
                <w:docPart w:val="{69bdb756-6386-4a20-9ed4-db5d1cb0cfcc}"/>
              </w:placeholder>
            </w:sdtPr>
            <w:sdtEndPr>
              <w:rPr>
                <w:rFonts w:hint="default" w:ascii="Times New Roman" w:hAnsi="Times New Roman" w:eastAsia="仿宋" w:cs="Times New Roman"/>
                <w:b w:val="0"/>
                <w:bCs w:val="0"/>
                <w:kern w:val="2"/>
                <w:sz w:val="28"/>
                <w:szCs w:val="28"/>
                <w:lang w:val="en-US" w:eastAsia="zh-CN" w:bidi="ar-SA"/>
              </w:rPr>
            </w:sdtEndPr>
            <w:sdtContent>
              <w:r>
                <w:rPr>
                  <w:rFonts w:hint="default" w:ascii="Times New Roman" w:hAnsi="Times New Roman" w:eastAsia="方正小标宋简体" w:cs="Times New Roman"/>
                  <w:b w:val="0"/>
                  <w:bCs w:val="0"/>
                  <w:sz w:val="28"/>
                  <w:szCs w:val="28"/>
                </w:rPr>
                <w:t>第三部分  名词解释</w:t>
              </w:r>
            </w:sdtContent>
          </w:sdt>
          <w:r>
            <w:rPr>
              <w:rFonts w:hint="default" w:ascii="Times New Roman" w:hAnsi="Times New Roman" w:cs="Times New Roman"/>
              <w:b w:val="0"/>
              <w:bCs w:val="0"/>
              <w:sz w:val="28"/>
              <w:szCs w:val="28"/>
            </w:rPr>
            <w:tab/>
          </w:r>
          <w:bookmarkStart w:id="15" w:name="_Toc353277147_WPSOffice_Level1Page"/>
          <w:r>
            <w:rPr>
              <w:rFonts w:hint="default" w:ascii="Times New Roman" w:hAnsi="Times New Roman" w:cs="Times New Roman"/>
              <w:b w:val="0"/>
              <w:bCs w:val="0"/>
              <w:sz w:val="28"/>
              <w:szCs w:val="28"/>
            </w:rPr>
            <w:t>17</w:t>
          </w:r>
          <w:bookmarkEnd w:id="15"/>
          <w:r>
            <w:rPr>
              <w:rFonts w:hint="default" w:ascii="Times New Roman" w:hAnsi="Times New Roman" w:cs="Times New Roman"/>
              <w:b w:val="0"/>
              <w:bCs w:val="0"/>
              <w:sz w:val="28"/>
              <w:szCs w:val="28"/>
            </w:rPr>
            <w:fldChar w:fldCharType="end"/>
          </w:r>
        </w:p>
        <w:p>
          <w:pPr>
            <w:pStyle w:val="16"/>
            <w:keepNext w:val="0"/>
            <w:keepLines w:val="0"/>
            <w:pageBreakBefore w:val="0"/>
            <w:widowControl/>
            <w:tabs>
              <w:tab w:val="right" w:leader="dot" w:pos="8845"/>
            </w:tabs>
            <w:kinsoku/>
            <w:wordWrap/>
            <w:overflowPunct/>
            <w:topLinePunct w:val="0"/>
            <w:autoSpaceDE/>
            <w:autoSpaceDN/>
            <w:bidi w:val="0"/>
            <w:adjustRightInd/>
            <w:snapToGrid/>
            <w:spacing w:line="600" w:lineRule="exact"/>
            <w:textAlignment w:val="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HYPERLINK \l _Toc2099929406_WPSOffice_Level1 </w:instrText>
          </w:r>
          <w:r>
            <w:rPr>
              <w:rFonts w:hint="default" w:ascii="Times New Roman" w:hAnsi="Times New Roman" w:cs="Times New Roman"/>
              <w:b w:val="0"/>
              <w:bCs w:val="0"/>
              <w:sz w:val="28"/>
              <w:szCs w:val="28"/>
            </w:rPr>
            <w:fldChar w:fldCharType="separate"/>
          </w:r>
          <w:sdt>
            <w:sdtPr>
              <w:rPr>
                <w:rFonts w:hint="default" w:ascii="Times New Roman" w:hAnsi="Times New Roman" w:eastAsia="仿宋" w:cs="Times New Roman"/>
                <w:b w:val="0"/>
                <w:bCs w:val="0"/>
                <w:kern w:val="2"/>
                <w:sz w:val="28"/>
                <w:szCs w:val="28"/>
                <w:lang w:val="en-US" w:eastAsia="zh-CN" w:bidi="ar-SA"/>
              </w:rPr>
              <w:id w:val="413021303"/>
              <w:placeholder>
                <w:docPart w:val="{5c4162e0-9a3a-45e6-b7ce-b78a2804b831}"/>
              </w:placeholder>
            </w:sdtPr>
            <w:sdtEndPr>
              <w:rPr>
                <w:rFonts w:hint="default" w:ascii="Times New Roman" w:hAnsi="Times New Roman" w:eastAsia="仿宋" w:cs="Times New Roman"/>
                <w:b w:val="0"/>
                <w:bCs w:val="0"/>
                <w:kern w:val="2"/>
                <w:sz w:val="28"/>
                <w:szCs w:val="28"/>
                <w:lang w:val="en-US" w:eastAsia="zh-CN" w:bidi="ar-SA"/>
              </w:rPr>
            </w:sdtEndPr>
            <w:sdtContent>
              <w:r>
                <w:rPr>
                  <w:rFonts w:hint="default" w:ascii="Times New Roman" w:hAnsi="Times New Roman" w:eastAsia="方正小标宋简体" w:cs="Times New Roman"/>
                  <w:b w:val="0"/>
                  <w:bCs w:val="0"/>
                  <w:sz w:val="28"/>
                  <w:szCs w:val="28"/>
                </w:rPr>
                <w:t>第四部分 附件</w:t>
              </w:r>
            </w:sdtContent>
          </w:sdt>
          <w:r>
            <w:rPr>
              <w:rFonts w:hint="default" w:ascii="Times New Roman" w:hAnsi="Times New Roman" w:cs="Times New Roman"/>
              <w:b w:val="0"/>
              <w:bCs w:val="0"/>
              <w:sz w:val="28"/>
              <w:szCs w:val="28"/>
            </w:rPr>
            <w:tab/>
          </w:r>
          <w:bookmarkStart w:id="16" w:name="_Toc2099929406_WPSOffice_Level1Page"/>
          <w:r>
            <w:rPr>
              <w:rFonts w:hint="default" w:ascii="Times New Roman" w:hAnsi="Times New Roman" w:cs="Times New Roman"/>
              <w:b w:val="0"/>
              <w:bCs w:val="0"/>
              <w:sz w:val="28"/>
              <w:szCs w:val="28"/>
            </w:rPr>
            <w:t>21</w:t>
          </w:r>
          <w:bookmarkEnd w:id="16"/>
          <w:r>
            <w:rPr>
              <w:rFonts w:hint="default" w:ascii="Times New Roman" w:hAnsi="Times New Roman" w:cs="Times New Roman"/>
              <w:b w:val="0"/>
              <w:bCs w:val="0"/>
              <w:sz w:val="28"/>
              <w:szCs w:val="28"/>
            </w:rPr>
            <w:fldChar w:fldCharType="end"/>
          </w:r>
        </w:p>
        <w:p>
          <w:pPr>
            <w:pStyle w:val="16"/>
            <w:keepNext w:val="0"/>
            <w:keepLines w:val="0"/>
            <w:pageBreakBefore w:val="0"/>
            <w:widowControl/>
            <w:tabs>
              <w:tab w:val="right" w:leader="dot" w:pos="8845"/>
            </w:tabs>
            <w:kinsoku/>
            <w:wordWrap/>
            <w:overflowPunct/>
            <w:topLinePunct w:val="0"/>
            <w:autoSpaceDE/>
            <w:autoSpaceDN/>
            <w:bidi w:val="0"/>
            <w:adjustRightInd/>
            <w:snapToGrid/>
            <w:spacing w:line="600" w:lineRule="exact"/>
            <w:textAlignment w:val="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HYPERLINK \l _Toc751380005_WPSOffice_Level1 </w:instrText>
          </w:r>
          <w:r>
            <w:rPr>
              <w:rFonts w:hint="default" w:ascii="Times New Roman" w:hAnsi="Times New Roman" w:cs="Times New Roman"/>
              <w:b w:val="0"/>
              <w:bCs w:val="0"/>
              <w:sz w:val="28"/>
              <w:szCs w:val="28"/>
            </w:rPr>
            <w:fldChar w:fldCharType="separate"/>
          </w:r>
          <w:sdt>
            <w:sdtPr>
              <w:rPr>
                <w:rFonts w:hint="default" w:ascii="Times New Roman" w:hAnsi="Times New Roman" w:eastAsia="仿宋" w:cs="Times New Roman"/>
                <w:b w:val="0"/>
                <w:bCs w:val="0"/>
                <w:kern w:val="2"/>
                <w:sz w:val="28"/>
                <w:szCs w:val="28"/>
                <w:lang w:val="en-US" w:eastAsia="zh-CN" w:bidi="ar-SA"/>
              </w:rPr>
              <w:id w:val="413021303"/>
              <w:placeholder>
                <w:docPart w:val="{8aafe802-85e4-43d9-9b9d-9572510c9498}"/>
              </w:placeholder>
            </w:sdtPr>
            <w:sdtEndPr>
              <w:rPr>
                <w:rFonts w:hint="default" w:ascii="Times New Roman" w:hAnsi="Times New Roman" w:eastAsia="仿宋" w:cs="Times New Roman"/>
                <w:b w:val="0"/>
                <w:bCs w:val="0"/>
                <w:kern w:val="2"/>
                <w:sz w:val="28"/>
                <w:szCs w:val="28"/>
                <w:lang w:val="en-US" w:eastAsia="zh-CN" w:bidi="ar-SA"/>
              </w:rPr>
            </w:sdtEndPr>
            <w:sdtContent>
              <w:r>
                <w:rPr>
                  <w:rFonts w:hint="default" w:ascii="Times New Roman" w:hAnsi="Times New Roman" w:eastAsia="方正小标宋简体" w:cs="Times New Roman"/>
                  <w:b w:val="0"/>
                  <w:bCs w:val="0"/>
                  <w:sz w:val="28"/>
                  <w:szCs w:val="28"/>
                </w:rPr>
                <w:t>第五部分  附 表</w:t>
              </w:r>
            </w:sdtContent>
          </w:sdt>
          <w:r>
            <w:rPr>
              <w:rFonts w:hint="default" w:ascii="Times New Roman" w:hAnsi="Times New Roman" w:cs="Times New Roman"/>
              <w:b w:val="0"/>
              <w:bCs w:val="0"/>
              <w:sz w:val="28"/>
              <w:szCs w:val="28"/>
            </w:rPr>
            <w:tab/>
          </w:r>
          <w:bookmarkStart w:id="17" w:name="_Toc751380005_WPSOffice_Level1Page"/>
          <w:r>
            <w:rPr>
              <w:rFonts w:hint="default" w:ascii="Times New Roman" w:hAnsi="Times New Roman" w:cs="Times New Roman"/>
              <w:b w:val="0"/>
              <w:bCs w:val="0"/>
              <w:sz w:val="28"/>
              <w:szCs w:val="28"/>
            </w:rPr>
            <w:t>24</w:t>
          </w:r>
          <w:bookmarkEnd w:id="17"/>
          <w:r>
            <w:rPr>
              <w:rFonts w:hint="default" w:ascii="Times New Roman" w:hAnsi="Times New Roman" w:cs="Times New Roman"/>
              <w:b w:val="0"/>
              <w:bCs w:val="0"/>
              <w:sz w:val="28"/>
              <w:szCs w:val="28"/>
            </w:rPr>
            <w:fldChar w:fldCharType="end"/>
          </w:r>
        </w:p>
        <w:p>
          <w:pPr>
            <w:pStyle w:val="17"/>
            <w:keepNext w:val="0"/>
            <w:keepLines w:val="0"/>
            <w:pageBreakBefore w:val="0"/>
            <w:widowControl/>
            <w:tabs>
              <w:tab w:val="right" w:leader="dot" w:pos="8845"/>
            </w:tabs>
            <w:kinsoku/>
            <w:wordWrap/>
            <w:overflowPunct/>
            <w:topLinePunct w:val="0"/>
            <w:autoSpaceDE/>
            <w:autoSpaceDN/>
            <w:bidi w:val="0"/>
            <w:adjustRightInd/>
            <w:snapToGrid/>
            <w:spacing w:line="600" w:lineRule="exact"/>
            <w:textAlignment w:val="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HYPERLINK \l _Toc1608718704_WPSOffice_Level2 </w:instrText>
          </w:r>
          <w:r>
            <w:rPr>
              <w:rFonts w:hint="default" w:ascii="Times New Roman" w:hAnsi="Times New Roman" w:cs="Times New Roman"/>
              <w:b w:val="0"/>
              <w:bCs w:val="0"/>
              <w:sz w:val="28"/>
              <w:szCs w:val="28"/>
            </w:rPr>
            <w:fldChar w:fldCharType="separate"/>
          </w:r>
          <w:sdt>
            <w:sdtPr>
              <w:rPr>
                <w:rFonts w:hint="default" w:ascii="Times New Roman" w:hAnsi="Times New Roman" w:eastAsia="仿宋" w:cs="Times New Roman"/>
                <w:b w:val="0"/>
                <w:bCs w:val="0"/>
                <w:kern w:val="2"/>
                <w:sz w:val="28"/>
                <w:szCs w:val="28"/>
                <w:lang w:val="en-US" w:eastAsia="zh-CN" w:bidi="ar-SA"/>
              </w:rPr>
              <w:id w:val="413021303"/>
              <w:placeholder>
                <w:docPart w:val="{e8157334-ee4b-45be-a90d-14433c0d5508}"/>
              </w:placeholder>
            </w:sdtPr>
            <w:sdtEndPr>
              <w:rPr>
                <w:rFonts w:hint="default" w:ascii="Times New Roman" w:hAnsi="Times New Roman" w:eastAsia="仿宋" w:cs="Times New Roman"/>
                <w:b w:val="0"/>
                <w:bCs w:val="0"/>
                <w:kern w:val="2"/>
                <w:sz w:val="28"/>
                <w:szCs w:val="28"/>
                <w:lang w:val="en-US" w:eastAsia="zh-CN" w:bidi="ar-SA"/>
              </w:rPr>
            </w:sdtEndPr>
            <w:sdtContent>
              <w:r>
                <w:rPr>
                  <w:rFonts w:hint="default" w:ascii="Times New Roman" w:hAnsi="Times New Roman" w:eastAsia="仿宋_GB2312" w:cs="Times New Roman"/>
                  <w:b w:val="0"/>
                  <w:bCs w:val="0"/>
                  <w:sz w:val="28"/>
                  <w:szCs w:val="28"/>
                </w:rPr>
                <w:t>一、收入支出决算总表</w:t>
              </w:r>
            </w:sdtContent>
          </w:sdt>
          <w:r>
            <w:rPr>
              <w:rFonts w:hint="default" w:ascii="Times New Roman" w:hAnsi="Times New Roman" w:cs="Times New Roman"/>
              <w:b w:val="0"/>
              <w:bCs w:val="0"/>
              <w:sz w:val="28"/>
              <w:szCs w:val="28"/>
            </w:rPr>
            <w:tab/>
          </w:r>
          <w:bookmarkStart w:id="18" w:name="_Toc1608718704_WPSOffice_Level2Page"/>
          <w:r>
            <w:rPr>
              <w:rFonts w:hint="default" w:ascii="Times New Roman" w:hAnsi="Times New Roman" w:cs="Times New Roman"/>
              <w:b w:val="0"/>
              <w:bCs w:val="0"/>
              <w:sz w:val="28"/>
              <w:szCs w:val="28"/>
            </w:rPr>
            <w:t>24</w:t>
          </w:r>
          <w:bookmarkEnd w:id="18"/>
          <w:r>
            <w:rPr>
              <w:rFonts w:hint="default" w:ascii="Times New Roman" w:hAnsi="Times New Roman" w:cs="Times New Roman"/>
              <w:b w:val="0"/>
              <w:bCs w:val="0"/>
              <w:sz w:val="28"/>
              <w:szCs w:val="28"/>
            </w:rPr>
            <w:fldChar w:fldCharType="end"/>
          </w:r>
        </w:p>
        <w:p>
          <w:pPr>
            <w:pStyle w:val="17"/>
            <w:keepNext w:val="0"/>
            <w:keepLines w:val="0"/>
            <w:pageBreakBefore w:val="0"/>
            <w:widowControl/>
            <w:tabs>
              <w:tab w:val="right" w:leader="dot" w:pos="8845"/>
            </w:tabs>
            <w:kinsoku/>
            <w:wordWrap/>
            <w:overflowPunct/>
            <w:topLinePunct w:val="0"/>
            <w:autoSpaceDE/>
            <w:autoSpaceDN/>
            <w:bidi w:val="0"/>
            <w:adjustRightInd/>
            <w:snapToGrid/>
            <w:spacing w:line="600" w:lineRule="exact"/>
            <w:textAlignment w:val="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HYPERLINK \l _Toc429947239_WPSOffice_Level2 </w:instrText>
          </w:r>
          <w:r>
            <w:rPr>
              <w:rFonts w:hint="default" w:ascii="Times New Roman" w:hAnsi="Times New Roman" w:cs="Times New Roman"/>
              <w:b w:val="0"/>
              <w:bCs w:val="0"/>
              <w:sz w:val="28"/>
              <w:szCs w:val="28"/>
            </w:rPr>
            <w:fldChar w:fldCharType="separate"/>
          </w:r>
          <w:sdt>
            <w:sdtPr>
              <w:rPr>
                <w:rFonts w:hint="default" w:ascii="Times New Roman" w:hAnsi="Times New Roman" w:eastAsia="仿宋" w:cs="Times New Roman"/>
                <w:b w:val="0"/>
                <w:bCs w:val="0"/>
                <w:kern w:val="2"/>
                <w:sz w:val="28"/>
                <w:szCs w:val="28"/>
                <w:lang w:val="en-US" w:eastAsia="zh-CN" w:bidi="ar-SA"/>
              </w:rPr>
              <w:id w:val="413021303"/>
              <w:placeholder>
                <w:docPart w:val="{60e75d91-76a9-4731-ab9a-e220ff77ed96}"/>
              </w:placeholder>
            </w:sdtPr>
            <w:sdtEndPr>
              <w:rPr>
                <w:rFonts w:hint="default" w:ascii="Times New Roman" w:hAnsi="Times New Roman" w:eastAsia="仿宋" w:cs="Times New Roman"/>
                <w:b w:val="0"/>
                <w:bCs w:val="0"/>
                <w:kern w:val="2"/>
                <w:sz w:val="28"/>
                <w:szCs w:val="28"/>
                <w:lang w:val="en-US" w:eastAsia="zh-CN" w:bidi="ar-SA"/>
              </w:rPr>
            </w:sdtEndPr>
            <w:sdtContent>
              <w:r>
                <w:rPr>
                  <w:rFonts w:hint="default" w:ascii="Times New Roman" w:hAnsi="Times New Roman" w:eastAsia="仿宋_GB2312" w:cs="Times New Roman"/>
                  <w:b w:val="0"/>
                  <w:bCs w:val="0"/>
                  <w:sz w:val="28"/>
                  <w:szCs w:val="28"/>
                </w:rPr>
                <w:t>二、收入决算表</w:t>
              </w:r>
            </w:sdtContent>
          </w:sdt>
          <w:r>
            <w:rPr>
              <w:rFonts w:hint="default" w:ascii="Times New Roman" w:hAnsi="Times New Roman" w:cs="Times New Roman"/>
              <w:b w:val="0"/>
              <w:bCs w:val="0"/>
              <w:sz w:val="28"/>
              <w:szCs w:val="28"/>
            </w:rPr>
            <w:tab/>
          </w:r>
          <w:bookmarkStart w:id="19" w:name="_Toc429947239_WPSOffice_Level2Page"/>
          <w:r>
            <w:rPr>
              <w:rFonts w:hint="default" w:ascii="Times New Roman" w:hAnsi="Times New Roman" w:cs="Times New Roman"/>
              <w:b w:val="0"/>
              <w:bCs w:val="0"/>
              <w:sz w:val="28"/>
              <w:szCs w:val="28"/>
            </w:rPr>
            <w:t>24</w:t>
          </w:r>
          <w:bookmarkEnd w:id="19"/>
          <w:r>
            <w:rPr>
              <w:rFonts w:hint="default" w:ascii="Times New Roman" w:hAnsi="Times New Roman" w:cs="Times New Roman"/>
              <w:b w:val="0"/>
              <w:bCs w:val="0"/>
              <w:sz w:val="28"/>
              <w:szCs w:val="28"/>
            </w:rPr>
            <w:fldChar w:fldCharType="end"/>
          </w:r>
        </w:p>
        <w:p>
          <w:pPr>
            <w:pStyle w:val="17"/>
            <w:keepNext w:val="0"/>
            <w:keepLines w:val="0"/>
            <w:pageBreakBefore w:val="0"/>
            <w:widowControl/>
            <w:tabs>
              <w:tab w:val="right" w:leader="dot" w:pos="8845"/>
            </w:tabs>
            <w:kinsoku/>
            <w:wordWrap/>
            <w:overflowPunct/>
            <w:topLinePunct w:val="0"/>
            <w:autoSpaceDE/>
            <w:autoSpaceDN/>
            <w:bidi w:val="0"/>
            <w:adjustRightInd/>
            <w:snapToGrid/>
            <w:spacing w:line="600" w:lineRule="exact"/>
            <w:textAlignment w:val="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HYPERLINK \l _Toc1165561456_WPSOffice_Level2 </w:instrText>
          </w:r>
          <w:r>
            <w:rPr>
              <w:rFonts w:hint="default" w:ascii="Times New Roman" w:hAnsi="Times New Roman" w:cs="Times New Roman"/>
              <w:b w:val="0"/>
              <w:bCs w:val="0"/>
              <w:sz w:val="28"/>
              <w:szCs w:val="28"/>
            </w:rPr>
            <w:fldChar w:fldCharType="separate"/>
          </w:r>
          <w:sdt>
            <w:sdtPr>
              <w:rPr>
                <w:rFonts w:hint="default" w:ascii="Times New Roman" w:hAnsi="Times New Roman" w:eastAsia="仿宋" w:cs="Times New Roman"/>
                <w:b w:val="0"/>
                <w:bCs w:val="0"/>
                <w:kern w:val="2"/>
                <w:sz w:val="28"/>
                <w:szCs w:val="28"/>
                <w:lang w:val="en-US" w:eastAsia="zh-CN" w:bidi="ar-SA"/>
              </w:rPr>
              <w:id w:val="413021303"/>
              <w:placeholder>
                <w:docPart w:val="{413f055f-6013-4f88-a23c-9ea1c1b675f0}"/>
              </w:placeholder>
            </w:sdtPr>
            <w:sdtEndPr>
              <w:rPr>
                <w:rFonts w:hint="default" w:ascii="Times New Roman" w:hAnsi="Times New Roman" w:eastAsia="仿宋" w:cs="Times New Roman"/>
                <w:b w:val="0"/>
                <w:bCs w:val="0"/>
                <w:kern w:val="2"/>
                <w:sz w:val="28"/>
                <w:szCs w:val="28"/>
                <w:lang w:val="en-US" w:eastAsia="zh-CN" w:bidi="ar-SA"/>
              </w:rPr>
            </w:sdtEndPr>
            <w:sdtContent>
              <w:r>
                <w:rPr>
                  <w:rFonts w:hint="default" w:ascii="Times New Roman" w:hAnsi="Times New Roman" w:eastAsia="仿宋_GB2312" w:cs="Times New Roman"/>
                  <w:b w:val="0"/>
                  <w:bCs w:val="0"/>
                  <w:sz w:val="28"/>
                  <w:szCs w:val="28"/>
                </w:rPr>
                <w:t>三、支出决算表</w:t>
              </w:r>
            </w:sdtContent>
          </w:sdt>
          <w:r>
            <w:rPr>
              <w:rFonts w:hint="default" w:ascii="Times New Roman" w:hAnsi="Times New Roman" w:cs="Times New Roman"/>
              <w:b w:val="0"/>
              <w:bCs w:val="0"/>
              <w:sz w:val="28"/>
              <w:szCs w:val="28"/>
            </w:rPr>
            <w:tab/>
          </w:r>
          <w:bookmarkStart w:id="20" w:name="_Toc1165561456_WPSOffice_Level2Page"/>
          <w:r>
            <w:rPr>
              <w:rFonts w:hint="default" w:ascii="Times New Roman" w:hAnsi="Times New Roman" w:cs="Times New Roman"/>
              <w:b w:val="0"/>
              <w:bCs w:val="0"/>
              <w:sz w:val="28"/>
              <w:szCs w:val="28"/>
            </w:rPr>
            <w:t>24</w:t>
          </w:r>
          <w:bookmarkEnd w:id="20"/>
          <w:r>
            <w:rPr>
              <w:rFonts w:hint="default" w:ascii="Times New Roman" w:hAnsi="Times New Roman" w:cs="Times New Roman"/>
              <w:b w:val="0"/>
              <w:bCs w:val="0"/>
              <w:sz w:val="28"/>
              <w:szCs w:val="28"/>
            </w:rPr>
            <w:fldChar w:fldCharType="end"/>
          </w:r>
        </w:p>
        <w:p>
          <w:pPr>
            <w:pStyle w:val="17"/>
            <w:keepNext w:val="0"/>
            <w:keepLines w:val="0"/>
            <w:pageBreakBefore w:val="0"/>
            <w:widowControl/>
            <w:tabs>
              <w:tab w:val="right" w:leader="dot" w:pos="8845"/>
            </w:tabs>
            <w:kinsoku/>
            <w:wordWrap/>
            <w:overflowPunct/>
            <w:topLinePunct w:val="0"/>
            <w:autoSpaceDE/>
            <w:autoSpaceDN/>
            <w:bidi w:val="0"/>
            <w:adjustRightInd/>
            <w:snapToGrid/>
            <w:spacing w:line="600" w:lineRule="exact"/>
            <w:textAlignment w:val="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HYPERLINK \l _Toc1442644219_WPSOffice_Level2 </w:instrText>
          </w:r>
          <w:r>
            <w:rPr>
              <w:rFonts w:hint="default" w:ascii="Times New Roman" w:hAnsi="Times New Roman" w:cs="Times New Roman"/>
              <w:b w:val="0"/>
              <w:bCs w:val="0"/>
              <w:sz w:val="28"/>
              <w:szCs w:val="28"/>
            </w:rPr>
            <w:fldChar w:fldCharType="separate"/>
          </w:r>
          <w:sdt>
            <w:sdtPr>
              <w:rPr>
                <w:rFonts w:hint="default" w:ascii="Times New Roman" w:hAnsi="Times New Roman" w:eastAsia="仿宋" w:cs="Times New Roman"/>
                <w:b w:val="0"/>
                <w:bCs w:val="0"/>
                <w:kern w:val="2"/>
                <w:sz w:val="28"/>
                <w:szCs w:val="28"/>
                <w:lang w:val="en-US" w:eastAsia="zh-CN" w:bidi="ar-SA"/>
              </w:rPr>
              <w:id w:val="413021303"/>
              <w:placeholder>
                <w:docPart w:val="{0727cc7e-5f2e-4505-ac5d-d661fff17b17}"/>
              </w:placeholder>
            </w:sdtPr>
            <w:sdtEndPr>
              <w:rPr>
                <w:rFonts w:hint="default" w:ascii="Times New Roman" w:hAnsi="Times New Roman" w:eastAsia="仿宋" w:cs="Times New Roman"/>
                <w:b w:val="0"/>
                <w:bCs w:val="0"/>
                <w:kern w:val="2"/>
                <w:sz w:val="28"/>
                <w:szCs w:val="28"/>
                <w:lang w:val="en-US" w:eastAsia="zh-CN" w:bidi="ar-SA"/>
              </w:rPr>
            </w:sdtEndPr>
            <w:sdtContent>
              <w:r>
                <w:rPr>
                  <w:rFonts w:hint="default" w:ascii="Times New Roman" w:hAnsi="Times New Roman" w:eastAsia="仿宋_GB2312" w:cs="Times New Roman"/>
                  <w:b w:val="0"/>
                  <w:bCs w:val="0"/>
                  <w:sz w:val="28"/>
                  <w:szCs w:val="28"/>
                </w:rPr>
                <w:t>四、财政拨款收入支出决算总表</w:t>
              </w:r>
            </w:sdtContent>
          </w:sdt>
          <w:r>
            <w:rPr>
              <w:rFonts w:hint="default" w:ascii="Times New Roman" w:hAnsi="Times New Roman" w:cs="Times New Roman"/>
              <w:b w:val="0"/>
              <w:bCs w:val="0"/>
              <w:sz w:val="28"/>
              <w:szCs w:val="28"/>
            </w:rPr>
            <w:tab/>
          </w:r>
          <w:bookmarkStart w:id="21" w:name="_Toc1442644219_WPSOffice_Level2Page"/>
          <w:r>
            <w:rPr>
              <w:rFonts w:hint="default" w:ascii="Times New Roman" w:hAnsi="Times New Roman" w:cs="Times New Roman"/>
              <w:b w:val="0"/>
              <w:bCs w:val="0"/>
              <w:sz w:val="28"/>
              <w:szCs w:val="28"/>
            </w:rPr>
            <w:t>24</w:t>
          </w:r>
          <w:bookmarkEnd w:id="21"/>
          <w:r>
            <w:rPr>
              <w:rFonts w:hint="default" w:ascii="Times New Roman" w:hAnsi="Times New Roman" w:cs="Times New Roman"/>
              <w:b w:val="0"/>
              <w:bCs w:val="0"/>
              <w:sz w:val="28"/>
              <w:szCs w:val="28"/>
            </w:rPr>
            <w:fldChar w:fldCharType="end"/>
          </w:r>
        </w:p>
        <w:p>
          <w:pPr>
            <w:pStyle w:val="17"/>
            <w:keepNext w:val="0"/>
            <w:keepLines w:val="0"/>
            <w:pageBreakBefore w:val="0"/>
            <w:widowControl/>
            <w:tabs>
              <w:tab w:val="right" w:leader="dot" w:pos="8845"/>
            </w:tabs>
            <w:kinsoku/>
            <w:wordWrap/>
            <w:overflowPunct/>
            <w:topLinePunct w:val="0"/>
            <w:autoSpaceDE/>
            <w:autoSpaceDN/>
            <w:bidi w:val="0"/>
            <w:adjustRightInd/>
            <w:snapToGrid/>
            <w:spacing w:line="600" w:lineRule="exact"/>
            <w:textAlignment w:val="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HYPERLINK \l _Toc668694272_WPSOffice_Level2 </w:instrText>
          </w:r>
          <w:r>
            <w:rPr>
              <w:rFonts w:hint="default" w:ascii="Times New Roman" w:hAnsi="Times New Roman" w:cs="Times New Roman"/>
              <w:b w:val="0"/>
              <w:bCs w:val="0"/>
              <w:sz w:val="28"/>
              <w:szCs w:val="28"/>
            </w:rPr>
            <w:fldChar w:fldCharType="separate"/>
          </w:r>
          <w:sdt>
            <w:sdtPr>
              <w:rPr>
                <w:rFonts w:hint="default" w:ascii="Times New Roman" w:hAnsi="Times New Roman" w:eastAsia="仿宋" w:cs="Times New Roman"/>
                <w:b w:val="0"/>
                <w:bCs w:val="0"/>
                <w:kern w:val="2"/>
                <w:sz w:val="28"/>
                <w:szCs w:val="28"/>
                <w:lang w:val="en-US" w:eastAsia="zh-CN" w:bidi="ar-SA"/>
              </w:rPr>
              <w:id w:val="413021303"/>
              <w:placeholder>
                <w:docPart w:val="{89bb2bc5-d343-4324-9dea-0a63a3a5e606}"/>
              </w:placeholder>
            </w:sdtPr>
            <w:sdtEndPr>
              <w:rPr>
                <w:rFonts w:hint="default" w:ascii="Times New Roman" w:hAnsi="Times New Roman" w:eastAsia="仿宋" w:cs="Times New Roman"/>
                <w:b w:val="0"/>
                <w:bCs w:val="0"/>
                <w:kern w:val="2"/>
                <w:sz w:val="28"/>
                <w:szCs w:val="28"/>
                <w:lang w:val="en-US" w:eastAsia="zh-CN" w:bidi="ar-SA"/>
              </w:rPr>
            </w:sdtEndPr>
            <w:sdtContent>
              <w:r>
                <w:rPr>
                  <w:rFonts w:hint="default" w:ascii="Times New Roman" w:hAnsi="Times New Roman" w:eastAsia="仿宋_GB2312" w:cs="Times New Roman"/>
                  <w:b w:val="0"/>
                  <w:bCs w:val="0"/>
                  <w:sz w:val="28"/>
                  <w:szCs w:val="28"/>
                </w:rPr>
                <w:t>五、财政拨款支出决算明细表</w:t>
              </w:r>
            </w:sdtContent>
          </w:sdt>
          <w:r>
            <w:rPr>
              <w:rFonts w:hint="default" w:ascii="Times New Roman" w:hAnsi="Times New Roman" w:cs="Times New Roman"/>
              <w:b w:val="0"/>
              <w:bCs w:val="0"/>
              <w:sz w:val="28"/>
              <w:szCs w:val="28"/>
            </w:rPr>
            <w:tab/>
          </w:r>
          <w:bookmarkStart w:id="22" w:name="_Toc668694272_WPSOffice_Level2Page"/>
          <w:r>
            <w:rPr>
              <w:rFonts w:hint="default" w:ascii="Times New Roman" w:hAnsi="Times New Roman" w:cs="Times New Roman"/>
              <w:b w:val="0"/>
              <w:bCs w:val="0"/>
              <w:sz w:val="28"/>
              <w:szCs w:val="28"/>
            </w:rPr>
            <w:t>24</w:t>
          </w:r>
          <w:bookmarkEnd w:id="22"/>
          <w:r>
            <w:rPr>
              <w:rFonts w:hint="default" w:ascii="Times New Roman" w:hAnsi="Times New Roman" w:cs="Times New Roman"/>
              <w:b w:val="0"/>
              <w:bCs w:val="0"/>
              <w:sz w:val="28"/>
              <w:szCs w:val="28"/>
            </w:rPr>
            <w:fldChar w:fldCharType="end"/>
          </w:r>
        </w:p>
        <w:p>
          <w:pPr>
            <w:pStyle w:val="17"/>
            <w:keepNext w:val="0"/>
            <w:keepLines w:val="0"/>
            <w:pageBreakBefore w:val="0"/>
            <w:widowControl/>
            <w:tabs>
              <w:tab w:val="right" w:leader="dot" w:pos="8845"/>
            </w:tabs>
            <w:kinsoku/>
            <w:wordWrap/>
            <w:overflowPunct/>
            <w:topLinePunct w:val="0"/>
            <w:autoSpaceDE/>
            <w:autoSpaceDN/>
            <w:bidi w:val="0"/>
            <w:adjustRightInd/>
            <w:snapToGrid/>
            <w:spacing w:line="600" w:lineRule="exact"/>
            <w:textAlignment w:val="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HYPERLINK \l _Toc1467538136_WPSOffice_Level2 </w:instrText>
          </w:r>
          <w:r>
            <w:rPr>
              <w:rFonts w:hint="default" w:ascii="Times New Roman" w:hAnsi="Times New Roman" w:cs="Times New Roman"/>
              <w:b w:val="0"/>
              <w:bCs w:val="0"/>
              <w:sz w:val="28"/>
              <w:szCs w:val="28"/>
            </w:rPr>
            <w:fldChar w:fldCharType="separate"/>
          </w:r>
          <w:sdt>
            <w:sdtPr>
              <w:rPr>
                <w:rFonts w:hint="default" w:ascii="Times New Roman" w:hAnsi="Times New Roman" w:eastAsia="仿宋" w:cs="Times New Roman"/>
                <w:b w:val="0"/>
                <w:bCs w:val="0"/>
                <w:kern w:val="2"/>
                <w:sz w:val="28"/>
                <w:szCs w:val="28"/>
                <w:lang w:val="en-US" w:eastAsia="zh-CN" w:bidi="ar-SA"/>
              </w:rPr>
              <w:id w:val="413021303"/>
              <w:placeholder>
                <w:docPart w:val="{9611545f-c2e6-45bf-a3a1-9518a35985b3}"/>
              </w:placeholder>
            </w:sdtPr>
            <w:sdtEndPr>
              <w:rPr>
                <w:rFonts w:hint="default" w:ascii="Times New Roman" w:hAnsi="Times New Roman" w:eastAsia="仿宋" w:cs="Times New Roman"/>
                <w:b w:val="0"/>
                <w:bCs w:val="0"/>
                <w:kern w:val="2"/>
                <w:sz w:val="28"/>
                <w:szCs w:val="28"/>
                <w:lang w:val="en-US" w:eastAsia="zh-CN" w:bidi="ar-SA"/>
              </w:rPr>
            </w:sdtEndPr>
            <w:sdtContent>
              <w:r>
                <w:rPr>
                  <w:rFonts w:hint="default" w:ascii="Times New Roman" w:hAnsi="Times New Roman" w:eastAsia="仿宋_GB2312" w:cs="Times New Roman"/>
                  <w:b w:val="0"/>
                  <w:bCs w:val="0"/>
                  <w:sz w:val="28"/>
                  <w:szCs w:val="28"/>
                </w:rPr>
                <w:t>六、一般公共预算财政拨款支出决算表</w:t>
              </w:r>
            </w:sdtContent>
          </w:sdt>
          <w:r>
            <w:rPr>
              <w:rFonts w:hint="default" w:ascii="Times New Roman" w:hAnsi="Times New Roman" w:cs="Times New Roman"/>
              <w:b w:val="0"/>
              <w:bCs w:val="0"/>
              <w:sz w:val="28"/>
              <w:szCs w:val="28"/>
            </w:rPr>
            <w:tab/>
          </w:r>
          <w:bookmarkStart w:id="23" w:name="_Toc1467538136_WPSOffice_Level2Page"/>
          <w:r>
            <w:rPr>
              <w:rFonts w:hint="default" w:ascii="Times New Roman" w:hAnsi="Times New Roman" w:cs="Times New Roman"/>
              <w:b w:val="0"/>
              <w:bCs w:val="0"/>
              <w:sz w:val="28"/>
              <w:szCs w:val="28"/>
            </w:rPr>
            <w:t>24</w:t>
          </w:r>
          <w:bookmarkEnd w:id="23"/>
          <w:r>
            <w:rPr>
              <w:rFonts w:hint="default" w:ascii="Times New Roman" w:hAnsi="Times New Roman" w:cs="Times New Roman"/>
              <w:b w:val="0"/>
              <w:bCs w:val="0"/>
              <w:sz w:val="28"/>
              <w:szCs w:val="28"/>
            </w:rPr>
            <w:fldChar w:fldCharType="end"/>
          </w:r>
        </w:p>
        <w:p>
          <w:pPr>
            <w:pStyle w:val="17"/>
            <w:keepNext w:val="0"/>
            <w:keepLines w:val="0"/>
            <w:pageBreakBefore w:val="0"/>
            <w:widowControl/>
            <w:tabs>
              <w:tab w:val="right" w:leader="dot" w:pos="8845"/>
            </w:tabs>
            <w:kinsoku/>
            <w:wordWrap/>
            <w:overflowPunct/>
            <w:topLinePunct w:val="0"/>
            <w:autoSpaceDE/>
            <w:autoSpaceDN/>
            <w:bidi w:val="0"/>
            <w:adjustRightInd/>
            <w:snapToGrid/>
            <w:spacing w:line="600" w:lineRule="exact"/>
            <w:textAlignment w:val="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HYPERLINK \l _Toc770117572_WPSOffice_Level2 </w:instrText>
          </w:r>
          <w:r>
            <w:rPr>
              <w:rFonts w:hint="default" w:ascii="Times New Roman" w:hAnsi="Times New Roman" w:cs="Times New Roman"/>
              <w:b w:val="0"/>
              <w:bCs w:val="0"/>
              <w:sz w:val="28"/>
              <w:szCs w:val="28"/>
            </w:rPr>
            <w:fldChar w:fldCharType="separate"/>
          </w:r>
          <w:sdt>
            <w:sdtPr>
              <w:rPr>
                <w:rFonts w:hint="default" w:ascii="Times New Roman" w:hAnsi="Times New Roman" w:eastAsia="仿宋" w:cs="Times New Roman"/>
                <w:b w:val="0"/>
                <w:bCs w:val="0"/>
                <w:kern w:val="2"/>
                <w:sz w:val="28"/>
                <w:szCs w:val="28"/>
                <w:lang w:val="en-US" w:eastAsia="zh-CN" w:bidi="ar-SA"/>
              </w:rPr>
              <w:id w:val="413021303"/>
              <w:placeholder>
                <w:docPart w:val="{49899698-4eb2-4400-a395-60e37477514a}"/>
              </w:placeholder>
            </w:sdtPr>
            <w:sdtEndPr>
              <w:rPr>
                <w:rFonts w:hint="default" w:ascii="Times New Roman" w:hAnsi="Times New Roman" w:eastAsia="仿宋" w:cs="Times New Roman"/>
                <w:b w:val="0"/>
                <w:bCs w:val="0"/>
                <w:kern w:val="2"/>
                <w:sz w:val="28"/>
                <w:szCs w:val="28"/>
                <w:lang w:val="en-US" w:eastAsia="zh-CN" w:bidi="ar-SA"/>
              </w:rPr>
            </w:sdtEndPr>
            <w:sdtContent>
              <w:r>
                <w:rPr>
                  <w:rFonts w:hint="default" w:ascii="Times New Roman" w:hAnsi="Times New Roman" w:eastAsia="仿宋_GB2312" w:cs="Times New Roman"/>
                  <w:b w:val="0"/>
                  <w:bCs w:val="0"/>
                  <w:sz w:val="28"/>
                  <w:szCs w:val="28"/>
                </w:rPr>
                <w:t>七、一般公共预算财政拨款支出决算明细表</w:t>
              </w:r>
            </w:sdtContent>
          </w:sdt>
          <w:r>
            <w:rPr>
              <w:rFonts w:hint="default" w:ascii="Times New Roman" w:hAnsi="Times New Roman" w:cs="Times New Roman"/>
              <w:b w:val="0"/>
              <w:bCs w:val="0"/>
              <w:sz w:val="28"/>
              <w:szCs w:val="28"/>
            </w:rPr>
            <w:tab/>
          </w:r>
          <w:bookmarkStart w:id="24" w:name="_Toc770117572_WPSOffice_Level2Page"/>
          <w:r>
            <w:rPr>
              <w:rFonts w:hint="default" w:ascii="Times New Roman" w:hAnsi="Times New Roman" w:cs="Times New Roman"/>
              <w:b w:val="0"/>
              <w:bCs w:val="0"/>
              <w:sz w:val="28"/>
              <w:szCs w:val="28"/>
            </w:rPr>
            <w:t>24</w:t>
          </w:r>
          <w:bookmarkEnd w:id="24"/>
          <w:r>
            <w:rPr>
              <w:rFonts w:hint="default" w:ascii="Times New Roman" w:hAnsi="Times New Roman" w:cs="Times New Roman"/>
              <w:b w:val="0"/>
              <w:bCs w:val="0"/>
              <w:sz w:val="28"/>
              <w:szCs w:val="28"/>
            </w:rPr>
            <w:fldChar w:fldCharType="end"/>
          </w:r>
        </w:p>
        <w:p>
          <w:pPr>
            <w:pStyle w:val="17"/>
            <w:keepNext w:val="0"/>
            <w:keepLines w:val="0"/>
            <w:pageBreakBefore w:val="0"/>
            <w:widowControl/>
            <w:tabs>
              <w:tab w:val="right" w:leader="dot" w:pos="8845"/>
            </w:tabs>
            <w:kinsoku/>
            <w:wordWrap/>
            <w:overflowPunct/>
            <w:topLinePunct w:val="0"/>
            <w:autoSpaceDE/>
            <w:autoSpaceDN/>
            <w:bidi w:val="0"/>
            <w:adjustRightInd/>
            <w:snapToGrid/>
            <w:spacing w:line="600" w:lineRule="exact"/>
            <w:textAlignment w:val="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HYPERLINK \l _Toc2142563309_WPSOffice_Level2 </w:instrText>
          </w:r>
          <w:r>
            <w:rPr>
              <w:rFonts w:hint="default" w:ascii="Times New Roman" w:hAnsi="Times New Roman" w:cs="Times New Roman"/>
              <w:b w:val="0"/>
              <w:bCs w:val="0"/>
              <w:sz w:val="28"/>
              <w:szCs w:val="28"/>
            </w:rPr>
            <w:fldChar w:fldCharType="separate"/>
          </w:r>
          <w:sdt>
            <w:sdtPr>
              <w:rPr>
                <w:rFonts w:hint="default" w:ascii="Times New Roman" w:hAnsi="Times New Roman" w:eastAsia="仿宋" w:cs="Times New Roman"/>
                <w:b w:val="0"/>
                <w:bCs w:val="0"/>
                <w:kern w:val="2"/>
                <w:sz w:val="28"/>
                <w:szCs w:val="28"/>
                <w:lang w:val="en-US" w:eastAsia="zh-CN" w:bidi="ar-SA"/>
              </w:rPr>
              <w:id w:val="413021303"/>
              <w:placeholder>
                <w:docPart w:val="{f6511f1b-5d96-4ee9-ae77-3b271de9a112}"/>
              </w:placeholder>
            </w:sdtPr>
            <w:sdtEndPr>
              <w:rPr>
                <w:rFonts w:hint="default" w:ascii="Times New Roman" w:hAnsi="Times New Roman" w:eastAsia="仿宋" w:cs="Times New Roman"/>
                <w:b w:val="0"/>
                <w:bCs w:val="0"/>
                <w:kern w:val="2"/>
                <w:sz w:val="28"/>
                <w:szCs w:val="28"/>
                <w:lang w:val="en-US" w:eastAsia="zh-CN" w:bidi="ar-SA"/>
              </w:rPr>
            </w:sdtEndPr>
            <w:sdtContent>
              <w:r>
                <w:rPr>
                  <w:rFonts w:hint="default" w:ascii="Times New Roman" w:hAnsi="Times New Roman" w:eastAsia="仿宋_GB2312" w:cs="Times New Roman"/>
                  <w:b w:val="0"/>
                  <w:bCs w:val="0"/>
                  <w:sz w:val="28"/>
                  <w:szCs w:val="28"/>
                </w:rPr>
                <w:t>八、一般公共预算财政拨款基本支出决算表</w:t>
              </w:r>
            </w:sdtContent>
          </w:sdt>
          <w:r>
            <w:rPr>
              <w:rFonts w:hint="default" w:ascii="Times New Roman" w:hAnsi="Times New Roman" w:cs="Times New Roman"/>
              <w:b w:val="0"/>
              <w:bCs w:val="0"/>
              <w:sz w:val="28"/>
              <w:szCs w:val="28"/>
            </w:rPr>
            <w:tab/>
          </w:r>
          <w:bookmarkStart w:id="25" w:name="_Toc2142563309_WPSOffice_Level2Page"/>
          <w:r>
            <w:rPr>
              <w:rFonts w:hint="default" w:ascii="Times New Roman" w:hAnsi="Times New Roman" w:cs="Times New Roman"/>
              <w:b w:val="0"/>
              <w:bCs w:val="0"/>
              <w:sz w:val="28"/>
              <w:szCs w:val="28"/>
            </w:rPr>
            <w:t>24</w:t>
          </w:r>
          <w:bookmarkEnd w:id="25"/>
          <w:r>
            <w:rPr>
              <w:rFonts w:hint="default" w:ascii="Times New Roman" w:hAnsi="Times New Roman" w:cs="Times New Roman"/>
              <w:b w:val="0"/>
              <w:bCs w:val="0"/>
              <w:sz w:val="28"/>
              <w:szCs w:val="28"/>
            </w:rPr>
            <w:fldChar w:fldCharType="end"/>
          </w:r>
        </w:p>
        <w:p>
          <w:pPr>
            <w:pStyle w:val="17"/>
            <w:keepNext w:val="0"/>
            <w:keepLines w:val="0"/>
            <w:pageBreakBefore w:val="0"/>
            <w:widowControl/>
            <w:tabs>
              <w:tab w:val="right" w:leader="dot" w:pos="8845"/>
            </w:tabs>
            <w:kinsoku/>
            <w:wordWrap/>
            <w:overflowPunct/>
            <w:topLinePunct w:val="0"/>
            <w:autoSpaceDE/>
            <w:autoSpaceDN/>
            <w:bidi w:val="0"/>
            <w:adjustRightInd/>
            <w:snapToGrid/>
            <w:spacing w:line="600" w:lineRule="exact"/>
            <w:textAlignment w:val="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HYPERLINK \l _Toc1715838760_WPSOffice_Level2 </w:instrText>
          </w:r>
          <w:r>
            <w:rPr>
              <w:rFonts w:hint="default" w:ascii="Times New Roman" w:hAnsi="Times New Roman" w:cs="Times New Roman"/>
              <w:b w:val="0"/>
              <w:bCs w:val="0"/>
              <w:sz w:val="28"/>
              <w:szCs w:val="28"/>
            </w:rPr>
            <w:fldChar w:fldCharType="separate"/>
          </w:r>
          <w:sdt>
            <w:sdtPr>
              <w:rPr>
                <w:rFonts w:hint="default" w:ascii="Times New Roman" w:hAnsi="Times New Roman" w:eastAsia="仿宋" w:cs="Times New Roman"/>
                <w:b w:val="0"/>
                <w:bCs w:val="0"/>
                <w:kern w:val="2"/>
                <w:sz w:val="28"/>
                <w:szCs w:val="28"/>
                <w:lang w:val="en-US" w:eastAsia="zh-CN" w:bidi="ar-SA"/>
              </w:rPr>
              <w:id w:val="413021303"/>
              <w:placeholder>
                <w:docPart w:val="{3dde2b10-ba5e-4e84-ab6b-6dcd85869312}"/>
              </w:placeholder>
            </w:sdtPr>
            <w:sdtEndPr>
              <w:rPr>
                <w:rFonts w:hint="default" w:ascii="Times New Roman" w:hAnsi="Times New Roman" w:eastAsia="仿宋" w:cs="Times New Roman"/>
                <w:b w:val="0"/>
                <w:bCs w:val="0"/>
                <w:kern w:val="2"/>
                <w:sz w:val="28"/>
                <w:szCs w:val="28"/>
                <w:lang w:val="en-US" w:eastAsia="zh-CN" w:bidi="ar-SA"/>
              </w:rPr>
            </w:sdtEndPr>
            <w:sdtContent>
              <w:r>
                <w:rPr>
                  <w:rFonts w:hint="default" w:ascii="Times New Roman" w:hAnsi="Times New Roman" w:eastAsia="仿宋_GB2312" w:cs="Times New Roman"/>
                  <w:b w:val="0"/>
                  <w:bCs w:val="0"/>
                  <w:sz w:val="28"/>
                  <w:szCs w:val="28"/>
                </w:rPr>
                <w:t>九、一般公共预算财政拨款项目支出决算表</w:t>
              </w:r>
            </w:sdtContent>
          </w:sdt>
          <w:r>
            <w:rPr>
              <w:rFonts w:hint="default" w:ascii="Times New Roman" w:hAnsi="Times New Roman" w:cs="Times New Roman"/>
              <w:b w:val="0"/>
              <w:bCs w:val="0"/>
              <w:sz w:val="28"/>
              <w:szCs w:val="28"/>
            </w:rPr>
            <w:tab/>
          </w:r>
          <w:bookmarkStart w:id="26" w:name="_Toc1715838760_WPSOffice_Level2Page"/>
          <w:r>
            <w:rPr>
              <w:rFonts w:hint="default" w:ascii="Times New Roman" w:hAnsi="Times New Roman" w:cs="Times New Roman"/>
              <w:b w:val="0"/>
              <w:bCs w:val="0"/>
              <w:sz w:val="28"/>
              <w:szCs w:val="28"/>
            </w:rPr>
            <w:t>24</w:t>
          </w:r>
          <w:bookmarkEnd w:id="26"/>
          <w:r>
            <w:rPr>
              <w:rFonts w:hint="default" w:ascii="Times New Roman" w:hAnsi="Times New Roman" w:cs="Times New Roman"/>
              <w:b w:val="0"/>
              <w:bCs w:val="0"/>
              <w:sz w:val="28"/>
              <w:szCs w:val="28"/>
            </w:rPr>
            <w:fldChar w:fldCharType="end"/>
          </w:r>
        </w:p>
        <w:p>
          <w:pPr>
            <w:pStyle w:val="17"/>
            <w:keepNext w:val="0"/>
            <w:keepLines w:val="0"/>
            <w:pageBreakBefore w:val="0"/>
            <w:widowControl/>
            <w:tabs>
              <w:tab w:val="right" w:leader="dot" w:pos="8845"/>
            </w:tabs>
            <w:kinsoku/>
            <w:wordWrap/>
            <w:overflowPunct/>
            <w:topLinePunct w:val="0"/>
            <w:autoSpaceDE/>
            <w:autoSpaceDN/>
            <w:bidi w:val="0"/>
            <w:adjustRightInd/>
            <w:snapToGrid/>
            <w:spacing w:line="600" w:lineRule="exact"/>
            <w:textAlignment w:val="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HYPERLINK \l _Toc1145749838_WPSOffice_Level2 </w:instrText>
          </w:r>
          <w:r>
            <w:rPr>
              <w:rFonts w:hint="default" w:ascii="Times New Roman" w:hAnsi="Times New Roman" w:cs="Times New Roman"/>
              <w:b w:val="0"/>
              <w:bCs w:val="0"/>
              <w:sz w:val="28"/>
              <w:szCs w:val="28"/>
            </w:rPr>
            <w:fldChar w:fldCharType="separate"/>
          </w:r>
          <w:sdt>
            <w:sdtPr>
              <w:rPr>
                <w:rFonts w:hint="default" w:ascii="Times New Roman" w:hAnsi="Times New Roman" w:eastAsia="仿宋" w:cs="Times New Roman"/>
                <w:b w:val="0"/>
                <w:bCs w:val="0"/>
                <w:kern w:val="2"/>
                <w:sz w:val="28"/>
                <w:szCs w:val="28"/>
                <w:lang w:val="en-US" w:eastAsia="zh-CN" w:bidi="ar-SA"/>
              </w:rPr>
              <w:id w:val="413021303"/>
              <w:placeholder>
                <w:docPart w:val="{1dea4784-1e66-4b70-b430-949ca005d3d1}"/>
              </w:placeholder>
            </w:sdtPr>
            <w:sdtEndPr>
              <w:rPr>
                <w:rFonts w:hint="default" w:ascii="Times New Roman" w:hAnsi="Times New Roman" w:eastAsia="仿宋" w:cs="Times New Roman"/>
                <w:b w:val="0"/>
                <w:bCs w:val="0"/>
                <w:kern w:val="2"/>
                <w:sz w:val="28"/>
                <w:szCs w:val="28"/>
                <w:lang w:val="en-US" w:eastAsia="zh-CN" w:bidi="ar-SA"/>
              </w:rPr>
            </w:sdtEndPr>
            <w:sdtContent>
              <w:r>
                <w:rPr>
                  <w:rFonts w:hint="default" w:ascii="Times New Roman" w:hAnsi="Times New Roman" w:eastAsia="仿宋_GB2312" w:cs="Times New Roman"/>
                  <w:b w:val="0"/>
                  <w:bCs w:val="0"/>
                  <w:sz w:val="28"/>
                  <w:szCs w:val="28"/>
                </w:rPr>
                <w:t>十、政府性基金预算财政拨款收入支出决算表</w:t>
              </w:r>
            </w:sdtContent>
          </w:sdt>
          <w:r>
            <w:rPr>
              <w:rFonts w:hint="default" w:ascii="Times New Roman" w:hAnsi="Times New Roman" w:cs="Times New Roman"/>
              <w:b w:val="0"/>
              <w:bCs w:val="0"/>
              <w:sz w:val="28"/>
              <w:szCs w:val="28"/>
            </w:rPr>
            <w:tab/>
          </w:r>
          <w:bookmarkStart w:id="27" w:name="_Toc1145749838_WPSOffice_Level2Page"/>
          <w:r>
            <w:rPr>
              <w:rFonts w:hint="default" w:ascii="Times New Roman" w:hAnsi="Times New Roman" w:cs="Times New Roman"/>
              <w:b w:val="0"/>
              <w:bCs w:val="0"/>
              <w:sz w:val="28"/>
              <w:szCs w:val="28"/>
            </w:rPr>
            <w:t>24</w:t>
          </w:r>
          <w:bookmarkEnd w:id="27"/>
          <w:r>
            <w:rPr>
              <w:rFonts w:hint="default" w:ascii="Times New Roman" w:hAnsi="Times New Roman" w:cs="Times New Roman"/>
              <w:b w:val="0"/>
              <w:bCs w:val="0"/>
              <w:sz w:val="28"/>
              <w:szCs w:val="28"/>
            </w:rPr>
            <w:fldChar w:fldCharType="end"/>
          </w:r>
        </w:p>
        <w:p>
          <w:pPr>
            <w:pStyle w:val="17"/>
            <w:keepNext w:val="0"/>
            <w:keepLines w:val="0"/>
            <w:pageBreakBefore w:val="0"/>
            <w:widowControl/>
            <w:tabs>
              <w:tab w:val="right" w:leader="dot" w:pos="8845"/>
            </w:tabs>
            <w:kinsoku/>
            <w:wordWrap/>
            <w:overflowPunct/>
            <w:topLinePunct w:val="0"/>
            <w:autoSpaceDE/>
            <w:autoSpaceDN/>
            <w:bidi w:val="0"/>
            <w:adjustRightInd/>
            <w:snapToGrid/>
            <w:spacing w:line="600" w:lineRule="exact"/>
            <w:textAlignment w:val="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HYPERLINK \l _Toc691187806_WPSOffice_Level2 </w:instrText>
          </w:r>
          <w:r>
            <w:rPr>
              <w:rFonts w:hint="default" w:ascii="Times New Roman" w:hAnsi="Times New Roman" w:cs="Times New Roman"/>
              <w:b w:val="0"/>
              <w:bCs w:val="0"/>
              <w:sz w:val="28"/>
              <w:szCs w:val="28"/>
            </w:rPr>
            <w:fldChar w:fldCharType="separate"/>
          </w:r>
          <w:sdt>
            <w:sdtPr>
              <w:rPr>
                <w:rFonts w:hint="default" w:ascii="Times New Roman" w:hAnsi="Times New Roman" w:eastAsia="仿宋" w:cs="Times New Roman"/>
                <w:b w:val="0"/>
                <w:bCs w:val="0"/>
                <w:kern w:val="2"/>
                <w:sz w:val="28"/>
                <w:szCs w:val="28"/>
                <w:lang w:val="en-US" w:eastAsia="zh-CN" w:bidi="ar-SA"/>
              </w:rPr>
              <w:id w:val="413021303"/>
              <w:placeholder>
                <w:docPart w:val="{1f2fc4f6-4ec6-4ad6-bde8-66daa3b5aaad}"/>
              </w:placeholder>
            </w:sdtPr>
            <w:sdtEndPr>
              <w:rPr>
                <w:rFonts w:hint="default" w:ascii="Times New Roman" w:hAnsi="Times New Roman" w:eastAsia="仿宋" w:cs="Times New Roman"/>
                <w:b w:val="0"/>
                <w:bCs w:val="0"/>
                <w:kern w:val="2"/>
                <w:sz w:val="28"/>
                <w:szCs w:val="28"/>
                <w:lang w:val="en-US" w:eastAsia="zh-CN" w:bidi="ar-SA"/>
              </w:rPr>
            </w:sdtEndPr>
            <w:sdtContent>
              <w:r>
                <w:rPr>
                  <w:rFonts w:hint="default" w:ascii="Times New Roman" w:hAnsi="Times New Roman" w:eastAsia="仿宋_GB2312" w:cs="Times New Roman"/>
                  <w:b w:val="0"/>
                  <w:bCs w:val="0"/>
                  <w:sz w:val="28"/>
                  <w:szCs w:val="28"/>
                </w:rPr>
                <w:t>十一、国有资本经营预算财政拨款收入支出决算表</w:t>
              </w:r>
            </w:sdtContent>
          </w:sdt>
          <w:r>
            <w:rPr>
              <w:rFonts w:hint="default" w:ascii="Times New Roman" w:hAnsi="Times New Roman" w:cs="Times New Roman"/>
              <w:b w:val="0"/>
              <w:bCs w:val="0"/>
              <w:sz w:val="28"/>
              <w:szCs w:val="28"/>
            </w:rPr>
            <w:tab/>
          </w:r>
          <w:bookmarkStart w:id="28" w:name="_Toc691187806_WPSOffice_Level2Page"/>
          <w:r>
            <w:rPr>
              <w:rFonts w:hint="default" w:ascii="Times New Roman" w:hAnsi="Times New Roman" w:cs="Times New Roman"/>
              <w:b w:val="0"/>
              <w:bCs w:val="0"/>
              <w:sz w:val="28"/>
              <w:szCs w:val="28"/>
            </w:rPr>
            <w:t>24</w:t>
          </w:r>
          <w:bookmarkEnd w:id="28"/>
          <w:r>
            <w:rPr>
              <w:rFonts w:hint="default" w:ascii="Times New Roman" w:hAnsi="Times New Roman" w:cs="Times New Roman"/>
              <w:b w:val="0"/>
              <w:bCs w:val="0"/>
              <w:sz w:val="28"/>
              <w:szCs w:val="28"/>
            </w:rPr>
            <w:fldChar w:fldCharType="end"/>
          </w:r>
        </w:p>
        <w:p>
          <w:pPr>
            <w:pStyle w:val="17"/>
            <w:keepNext w:val="0"/>
            <w:keepLines w:val="0"/>
            <w:pageBreakBefore w:val="0"/>
            <w:widowControl/>
            <w:tabs>
              <w:tab w:val="right" w:leader="dot" w:pos="8845"/>
            </w:tabs>
            <w:kinsoku/>
            <w:wordWrap/>
            <w:overflowPunct/>
            <w:topLinePunct w:val="0"/>
            <w:autoSpaceDE/>
            <w:autoSpaceDN/>
            <w:bidi w:val="0"/>
            <w:adjustRightInd/>
            <w:snapToGrid/>
            <w:spacing w:line="600" w:lineRule="exact"/>
            <w:textAlignment w:val="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HYPERLINK \l _Toc1626296199_WPSOffice_Level2 </w:instrText>
          </w:r>
          <w:r>
            <w:rPr>
              <w:rFonts w:hint="default" w:ascii="Times New Roman" w:hAnsi="Times New Roman" w:cs="Times New Roman"/>
              <w:b w:val="0"/>
              <w:bCs w:val="0"/>
              <w:sz w:val="28"/>
              <w:szCs w:val="28"/>
            </w:rPr>
            <w:fldChar w:fldCharType="separate"/>
          </w:r>
          <w:sdt>
            <w:sdtPr>
              <w:rPr>
                <w:rFonts w:hint="default" w:ascii="Times New Roman" w:hAnsi="Times New Roman" w:eastAsia="仿宋" w:cs="Times New Roman"/>
                <w:b w:val="0"/>
                <w:bCs w:val="0"/>
                <w:kern w:val="2"/>
                <w:sz w:val="28"/>
                <w:szCs w:val="28"/>
                <w:lang w:val="en-US" w:eastAsia="zh-CN" w:bidi="ar-SA"/>
              </w:rPr>
              <w:id w:val="413021303"/>
              <w:placeholder>
                <w:docPart w:val="{15e0fa80-e6a1-48e4-b028-021071b9a4f4}"/>
              </w:placeholder>
            </w:sdtPr>
            <w:sdtEndPr>
              <w:rPr>
                <w:rFonts w:hint="default" w:ascii="Times New Roman" w:hAnsi="Times New Roman" w:eastAsia="仿宋" w:cs="Times New Roman"/>
                <w:b w:val="0"/>
                <w:bCs w:val="0"/>
                <w:kern w:val="2"/>
                <w:sz w:val="28"/>
                <w:szCs w:val="28"/>
                <w:lang w:val="en-US" w:eastAsia="zh-CN" w:bidi="ar-SA"/>
              </w:rPr>
            </w:sdtEndPr>
            <w:sdtContent>
              <w:r>
                <w:rPr>
                  <w:rFonts w:hint="default" w:ascii="Times New Roman" w:hAnsi="Times New Roman" w:eastAsia="仿宋_GB2312" w:cs="Times New Roman"/>
                  <w:b w:val="0"/>
                  <w:bCs w:val="0"/>
                  <w:sz w:val="28"/>
                  <w:szCs w:val="28"/>
                </w:rPr>
                <w:t>十二、国有资本经营预算财政拨款支出决算表</w:t>
              </w:r>
            </w:sdtContent>
          </w:sdt>
          <w:r>
            <w:rPr>
              <w:rFonts w:hint="default" w:ascii="Times New Roman" w:hAnsi="Times New Roman" w:cs="Times New Roman"/>
              <w:b w:val="0"/>
              <w:bCs w:val="0"/>
              <w:sz w:val="28"/>
              <w:szCs w:val="28"/>
            </w:rPr>
            <w:tab/>
          </w:r>
          <w:bookmarkStart w:id="29" w:name="_Toc1626296199_WPSOffice_Level2Page"/>
          <w:r>
            <w:rPr>
              <w:rFonts w:hint="default" w:ascii="Times New Roman" w:hAnsi="Times New Roman" w:cs="Times New Roman"/>
              <w:b w:val="0"/>
              <w:bCs w:val="0"/>
              <w:sz w:val="28"/>
              <w:szCs w:val="28"/>
            </w:rPr>
            <w:t>24</w:t>
          </w:r>
          <w:bookmarkEnd w:id="29"/>
          <w:r>
            <w:rPr>
              <w:rFonts w:hint="default" w:ascii="Times New Roman" w:hAnsi="Times New Roman" w:cs="Times New Roman"/>
              <w:b w:val="0"/>
              <w:bCs w:val="0"/>
              <w:sz w:val="28"/>
              <w:szCs w:val="28"/>
            </w:rPr>
            <w:fldChar w:fldCharType="end"/>
          </w:r>
        </w:p>
        <w:p>
          <w:pPr>
            <w:pStyle w:val="17"/>
            <w:keepNext w:val="0"/>
            <w:keepLines w:val="0"/>
            <w:pageBreakBefore w:val="0"/>
            <w:widowControl/>
            <w:tabs>
              <w:tab w:val="right" w:leader="dot" w:pos="8845"/>
            </w:tabs>
            <w:kinsoku/>
            <w:wordWrap/>
            <w:overflowPunct/>
            <w:topLinePunct w:val="0"/>
            <w:autoSpaceDE/>
            <w:autoSpaceDN/>
            <w:bidi w:val="0"/>
            <w:adjustRightInd/>
            <w:snapToGrid/>
            <w:spacing w:line="600" w:lineRule="exact"/>
            <w:textAlignment w:val="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HYPERLINK \l _Toc1111333206_WPSOffice_Level2 </w:instrText>
          </w:r>
          <w:r>
            <w:rPr>
              <w:rFonts w:hint="default" w:ascii="Times New Roman" w:hAnsi="Times New Roman" w:cs="Times New Roman"/>
              <w:b w:val="0"/>
              <w:bCs w:val="0"/>
              <w:sz w:val="28"/>
              <w:szCs w:val="28"/>
            </w:rPr>
            <w:fldChar w:fldCharType="separate"/>
          </w:r>
          <w:sdt>
            <w:sdtPr>
              <w:rPr>
                <w:rFonts w:hint="default" w:ascii="Times New Roman" w:hAnsi="Times New Roman" w:eastAsia="仿宋" w:cs="Times New Roman"/>
                <w:b w:val="0"/>
                <w:bCs w:val="0"/>
                <w:kern w:val="2"/>
                <w:sz w:val="28"/>
                <w:szCs w:val="28"/>
                <w:lang w:val="en-US" w:eastAsia="zh-CN" w:bidi="ar-SA"/>
              </w:rPr>
              <w:id w:val="413021303"/>
              <w:placeholder>
                <w:docPart w:val="{75451bf8-049f-4565-bf67-309bc6843616}"/>
              </w:placeholder>
            </w:sdtPr>
            <w:sdtEndPr>
              <w:rPr>
                <w:rFonts w:hint="default" w:ascii="Times New Roman" w:hAnsi="Times New Roman" w:eastAsia="仿宋" w:cs="Times New Roman"/>
                <w:b w:val="0"/>
                <w:bCs w:val="0"/>
                <w:kern w:val="2"/>
                <w:sz w:val="28"/>
                <w:szCs w:val="28"/>
                <w:lang w:val="en-US" w:eastAsia="zh-CN" w:bidi="ar-SA"/>
              </w:rPr>
            </w:sdtEndPr>
            <w:sdtContent>
              <w:r>
                <w:rPr>
                  <w:rFonts w:hint="default" w:ascii="Times New Roman" w:hAnsi="Times New Roman" w:eastAsia="仿宋_GB2312" w:cs="Times New Roman"/>
                  <w:b w:val="0"/>
                  <w:bCs w:val="0"/>
                  <w:sz w:val="28"/>
                  <w:szCs w:val="28"/>
                </w:rPr>
                <w:t>十三、财政拨款“三公”经费支出决算表</w:t>
              </w:r>
            </w:sdtContent>
          </w:sdt>
          <w:r>
            <w:rPr>
              <w:rFonts w:hint="default" w:ascii="Times New Roman" w:hAnsi="Times New Roman" w:cs="Times New Roman"/>
              <w:b w:val="0"/>
              <w:bCs w:val="0"/>
              <w:sz w:val="28"/>
              <w:szCs w:val="28"/>
            </w:rPr>
            <w:tab/>
          </w:r>
          <w:bookmarkStart w:id="30" w:name="_Toc1111333206_WPSOffice_Level2Page"/>
          <w:r>
            <w:rPr>
              <w:rFonts w:hint="default" w:ascii="Times New Roman" w:hAnsi="Times New Roman" w:cs="Times New Roman"/>
              <w:b w:val="0"/>
              <w:bCs w:val="0"/>
              <w:sz w:val="28"/>
              <w:szCs w:val="28"/>
            </w:rPr>
            <w:t>24</w:t>
          </w:r>
          <w:bookmarkEnd w:id="30"/>
          <w:r>
            <w:rPr>
              <w:rFonts w:hint="default" w:ascii="Times New Roman" w:hAnsi="Times New Roman" w:cs="Times New Roman"/>
              <w:b w:val="0"/>
              <w:bCs w:val="0"/>
              <w:sz w:val="28"/>
              <w:szCs w:val="28"/>
            </w:rPr>
            <w:fldChar w:fldCharType="end"/>
          </w:r>
          <w:bookmarkEnd w:id="0"/>
        </w:p>
      </w:sdtContent>
    </w:sdt>
    <w:p>
      <w:pPr>
        <w:keepNext w:val="0"/>
        <w:keepLines w:val="0"/>
        <w:pageBreakBefore w:val="0"/>
        <w:widowControl/>
        <w:kinsoku/>
        <w:wordWrap/>
        <w:overflowPunct/>
        <w:topLinePunct w:val="0"/>
        <w:autoSpaceDE/>
        <w:autoSpaceDN/>
        <w:bidi w:val="0"/>
        <w:adjustRightInd w:val="0"/>
        <w:snapToGrid w:val="0"/>
        <w:spacing w:line="460" w:lineRule="exact"/>
        <w:ind w:firstLine="1155" w:firstLineChars="550"/>
        <w:jc w:val="left"/>
        <w:textAlignment w:val="auto"/>
        <w:rPr>
          <w:rFonts w:hint="default" w:ascii="Times New Roman" w:hAnsi="Times New Roman" w:eastAsia="黑体" w:cs="Times New Roman"/>
          <w:b w:val="0"/>
          <w:bCs w:val="0"/>
          <w:color w:val="auto"/>
          <w:highlight w:val="none"/>
        </w:rPr>
        <w:sectPr>
          <w:headerReference r:id="rId3" w:type="default"/>
          <w:footerReference r:id="rId4" w:type="default"/>
          <w:pgSz w:w="11906" w:h="16838"/>
          <w:pgMar w:top="2098" w:right="1474" w:bottom="1984" w:left="1587" w:header="851" w:footer="1417" w:gutter="0"/>
          <w:pgNumType w:fmt="decimal"/>
          <w:cols w:space="720" w:num="1"/>
          <w:docGrid w:type="lines" w:linePitch="435" w:charSpace="0"/>
        </w:sectPr>
      </w:pPr>
    </w:p>
    <w:p>
      <w:pPr>
        <w:pStyle w:val="5"/>
        <w:keepNext/>
        <w:keepLines/>
        <w:pageBreakBefore w:val="0"/>
        <w:widowControl w:val="0"/>
        <w:kinsoku/>
        <w:wordWrap/>
        <w:overflowPunct/>
        <w:topLinePunct w:val="0"/>
        <w:autoSpaceDE/>
        <w:autoSpaceDN/>
        <w:bidi w:val="0"/>
        <w:adjustRightInd/>
        <w:snapToGrid/>
        <w:spacing w:before="100" w:after="90" w:line="579" w:lineRule="auto"/>
        <w:jc w:val="center"/>
        <w:textAlignment w:val="auto"/>
        <w:rPr>
          <w:rStyle w:val="18"/>
          <w:rFonts w:hint="eastAsia" w:ascii="方正小标宋简体" w:hAnsi="方正小标宋简体" w:eastAsia="方正小标宋简体" w:cs="方正小标宋简体"/>
          <w:b/>
          <w:bCs w:val="0"/>
          <w:color w:val="auto"/>
          <w:highlight w:val="none"/>
        </w:rPr>
      </w:pPr>
      <w:bookmarkStart w:id="31" w:name="_Toc1650718528_WPSOffice_Level1"/>
      <w:r>
        <w:rPr>
          <w:rFonts w:hint="eastAsia" w:ascii="方正小标宋简体" w:hAnsi="方正小标宋简体" w:eastAsia="方正小标宋简体" w:cs="方正小标宋简体"/>
          <w:b w:val="0"/>
          <w:color w:val="auto"/>
          <w:highlight w:val="none"/>
        </w:rPr>
        <w:t xml:space="preserve">第一部分 </w:t>
      </w:r>
      <w:r>
        <w:rPr>
          <w:rFonts w:hint="eastAsia" w:ascii="方正小标宋简体" w:hAnsi="方正小标宋简体" w:eastAsia="方正小标宋简体" w:cs="方正小标宋简体"/>
          <w:b w:val="0"/>
          <w:color w:val="auto"/>
          <w:highlight w:val="none"/>
          <w:lang w:eastAsia="zh-CN"/>
        </w:rPr>
        <w:t>单位</w:t>
      </w:r>
      <w:r>
        <w:rPr>
          <w:rStyle w:val="18"/>
          <w:rFonts w:hint="eastAsia" w:ascii="方正小标宋简体" w:hAnsi="方正小标宋简体" w:eastAsia="方正小标宋简体" w:cs="方正小标宋简体"/>
          <w:b w:val="0"/>
          <w:bCs w:val="0"/>
          <w:color w:val="auto"/>
          <w:highlight w:val="none"/>
        </w:rPr>
        <w:t>概况</w:t>
      </w:r>
      <w:bookmarkEnd w:id="31"/>
    </w:p>
    <w:p>
      <w:pPr>
        <w:pStyle w:val="8"/>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1"/>
        <w:rPr>
          <w:rFonts w:hint="default" w:ascii="Times New Roman" w:hAnsi="Times New Roman" w:eastAsia="黑体" w:cs="Times New Roman"/>
          <w:sz w:val="32"/>
          <w:szCs w:val="32"/>
          <w:lang w:eastAsia="zh-CN"/>
        </w:rPr>
      </w:pPr>
      <w:bookmarkStart w:id="32" w:name="_Toc128229467_WPSOffice_Level2"/>
      <w:r>
        <w:rPr>
          <w:rFonts w:hint="default" w:ascii="Times New Roman" w:hAnsi="Times New Roman" w:eastAsia="黑体" w:cs="Times New Roman"/>
          <w:sz w:val="32"/>
          <w:szCs w:val="32"/>
          <w:lang w:eastAsia="zh-CN"/>
        </w:rPr>
        <w:t>一、主要职责</w:t>
      </w:r>
      <w:bookmarkEnd w:id="32"/>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color w:val="auto"/>
          <w:sz w:val="32"/>
          <w:szCs w:val="32"/>
          <w:highlight w:val="none"/>
          <w:lang w:val="en-US" w:eastAsia="zh-CN"/>
        </w:rPr>
      </w:pPr>
      <w:r>
        <w:rPr>
          <w:rFonts w:hint="default" w:ascii="Times New Roman" w:hAnsi="Times New Roman" w:eastAsia="仿宋_GB2312" w:cs="Times New Roman"/>
          <w:b w:val="0"/>
          <w:color w:val="auto"/>
          <w:sz w:val="32"/>
          <w:szCs w:val="32"/>
          <w:highlight w:val="none"/>
          <w:lang w:val="en-US" w:eastAsia="zh-CN"/>
        </w:rPr>
        <w:t>四川省广播电视局贯彻落实党中央关于广播电视工作的方针政策和省委省政府的决策部署，在履行职责过程中坚持和加强党对广播电视工作的集中统一领导。主要职责是：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color w:val="auto"/>
          <w:sz w:val="32"/>
          <w:szCs w:val="32"/>
          <w:highlight w:val="none"/>
          <w:lang w:val="en-US" w:eastAsia="zh-CN"/>
        </w:rPr>
      </w:pPr>
      <w:r>
        <w:rPr>
          <w:rFonts w:hint="default" w:ascii="Times New Roman" w:hAnsi="Times New Roman" w:eastAsia="仿宋_GB2312" w:cs="Times New Roman"/>
          <w:b w:val="0"/>
          <w:color w:val="auto"/>
          <w:sz w:val="32"/>
          <w:szCs w:val="32"/>
          <w:highlight w:val="none"/>
          <w:lang w:val="en-US" w:eastAsia="zh-CN"/>
        </w:rPr>
        <w:t>（一）拟订全省广播电视、网络视听节目服务管理的政策措施，加强广播电视阵地建设，把握正确的舆论导向和创作导向。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color w:val="auto"/>
          <w:sz w:val="32"/>
          <w:szCs w:val="32"/>
          <w:highlight w:val="none"/>
          <w:lang w:val="en-US" w:eastAsia="zh-CN"/>
        </w:rPr>
      </w:pPr>
      <w:r>
        <w:rPr>
          <w:rFonts w:hint="default" w:ascii="Times New Roman" w:hAnsi="Times New Roman" w:eastAsia="仿宋_GB2312" w:cs="Times New Roman"/>
          <w:b w:val="0"/>
          <w:color w:val="auto"/>
          <w:sz w:val="32"/>
          <w:szCs w:val="32"/>
          <w:highlight w:val="none"/>
          <w:lang w:val="en-US" w:eastAsia="zh-CN"/>
        </w:rPr>
        <w:t>（二）负责起草广播电视、网络视听节目服务管理地方性法规和规章草案，并组织实施和监督检查。负责本系统、本部门依法行政工作，落实行政执法责任制。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color w:val="auto"/>
          <w:sz w:val="32"/>
          <w:szCs w:val="32"/>
          <w:highlight w:val="none"/>
          <w:lang w:val="en-US" w:eastAsia="zh-CN"/>
        </w:rPr>
      </w:pPr>
      <w:r>
        <w:rPr>
          <w:rFonts w:hint="default" w:ascii="Times New Roman" w:hAnsi="Times New Roman" w:eastAsia="仿宋_GB2312" w:cs="Times New Roman"/>
          <w:b w:val="0"/>
          <w:color w:val="auto"/>
          <w:sz w:val="32"/>
          <w:szCs w:val="32"/>
          <w:highlight w:val="none"/>
          <w:lang w:val="en-US" w:eastAsia="zh-CN"/>
        </w:rPr>
        <w:t>（三）拟订全省广播电视事业发展规划，组织实施公共服务重大公益工程和公益活动，推进广播电视基本公共服务标准化、均等化。指导、监督广播电视重点基础设施建设，扶助老少边贫地区广播电视建设和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color w:val="auto"/>
          <w:sz w:val="32"/>
          <w:szCs w:val="32"/>
          <w:highlight w:val="none"/>
          <w:lang w:val="en-US" w:eastAsia="zh-CN"/>
        </w:rPr>
      </w:pPr>
      <w:r>
        <w:rPr>
          <w:rFonts w:hint="default" w:ascii="Times New Roman" w:hAnsi="Times New Roman" w:eastAsia="仿宋_GB2312" w:cs="Times New Roman"/>
          <w:b w:val="0"/>
          <w:color w:val="auto"/>
          <w:sz w:val="32"/>
          <w:szCs w:val="32"/>
          <w:highlight w:val="none"/>
          <w:lang w:val="en-US" w:eastAsia="zh-CN"/>
        </w:rPr>
        <w:t>（四）拟订全省广播电视产业发展规划、产业政策并组织实施，指导、协调、推动产业发展。推进广播电视领域的体制机制改革。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color w:val="auto"/>
          <w:sz w:val="32"/>
          <w:szCs w:val="32"/>
          <w:highlight w:val="none"/>
          <w:lang w:val="en-US" w:eastAsia="zh-CN"/>
        </w:rPr>
      </w:pPr>
      <w:r>
        <w:rPr>
          <w:rFonts w:hint="default" w:ascii="Times New Roman" w:hAnsi="Times New Roman" w:eastAsia="仿宋_GB2312" w:cs="Times New Roman"/>
          <w:b w:val="0"/>
          <w:color w:val="auto"/>
          <w:sz w:val="32"/>
          <w:szCs w:val="32"/>
          <w:highlight w:val="none"/>
          <w:lang w:val="en-US" w:eastAsia="zh-CN"/>
        </w:rPr>
        <w:t>（五）负责对各类广播电视机构进行业务指导和行业监管，会同有关部门对网络视听节目服务机构进行管理。监督管理全省性重大广播电视活动，组织查处重大违法违规行为。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color w:val="auto"/>
          <w:sz w:val="32"/>
          <w:szCs w:val="32"/>
          <w:highlight w:val="none"/>
          <w:lang w:val="en-US" w:eastAsia="zh-CN"/>
        </w:rPr>
      </w:pPr>
      <w:r>
        <w:rPr>
          <w:rFonts w:hint="default" w:ascii="Times New Roman" w:hAnsi="Times New Roman" w:eastAsia="仿宋_GB2312" w:cs="Times New Roman"/>
          <w:b w:val="0"/>
          <w:color w:val="auto"/>
          <w:sz w:val="32"/>
          <w:szCs w:val="32"/>
          <w:highlight w:val="none"/>
          <w:lang w:val="en-US" w:eastAsia="zh-CN"/>
        </w:rPr>
        <w:t>（六）指导、协调广播电视全省性重大宣传活动，组织实施广播电视节目评价工作。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color w:val="auto"/>
          <w:sz w:val="32"/>
          <w:szCs w:val="32"/>
          <w:highlight w:val="none"/>
          <w:lang w:val="en-US" w:eastAsia="zh-CN"/>
        </w:rPr>
      </w:pPr>
      <w:r>
        <w:rPr>
          <w:rFonts w:hint="default" w:ascii="Times New Roman" w:hAnsi="Times New Roman" w:eastAsia="仿宋_GB2312" w:cs="Times New Roman"/>
          <w:b w:val="0"/>
          <w:color w:val="auto"/>
          <w:sz w:val="32"/>
          <w:szCs w:val="32"/>
          <w:highlight w:val="none"/>
          <w:lang w:val="en-US" w:eastAsia="zh-CN"/>
        </w:rPr>
        <w:t>（七）指导、推进电视剧行业发展和创作生产。监督管理、审查广播电视和网络视听节目的内容及质量。指导、监管广播电视广告播放。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color w:val="auto"/>
          <w:sz w:val="32"/>
          <w:szCs w:val="32"/>
          <w:highlight w:val="none"/>
          <w:lang w:val="en-US" w:eastAsia="zh-CN"/>
        </w:rPr>
      </w:pPr>
      <w:r>
        <w:rPr>
          <w:rFonts w:hint="default" w:ascii="Times New Roman" w:hAnsi="Times New Roman" w:eastAsia="仿宋_GB2312" w:cs="Times New Roman"/>
          <w:b w:val="0"/>
          <w:color w:val="auto"/>
          <w:sz w:val="32"/>
          <w:szCs w:val="32"/>
          <w:highlight w:val="none"/>
          <w:lang w:val="en-US" w:eastAsia="zh-CN"/>
        </w:rPr>
        <w:t>（八）负责推进广播电视与新媒体新技术新业态融合发展，推进广电网与电信网、互联网三网融合。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color w:val="auto"/>
          <w:sz w:val="32"/>
          <w:szCs w:val="32"/>
          <w:highlight w:val="none"/>
          <w:lang w:val="en-US" w:eastAsia="zh-CN"/>
        </w:rPr>
      </w:pPr>
      <w:r>
        <w:rPr>
          <w:rFonts w:hint="default" w:ascii="Times New Roman" w:hAnsi="Times New Roman" w:eastAsia="仿宋_GB2312" w:cs="Times New Roman"/>
          <w:b w:val="0"/>
          <w:color w:val="auto"/>
          <w:sz w:val="32"/>
          <w:szCs w:val="32"/>
          <w:highlight w:val="none"/>
          <w:lang w:val="en-US" w:eastAsia="zh-CN"/>
        </w:rPr>
        <w:t>（九）拟订全省广播电视科技发展规划，指导、监督实施行业技术标准。负责广播电视节目传输覆盖、监测和安全播出的监督管理，指导、推进应急广播体系建设。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color w:val="auto"/>
          <w:sz w:val="32"/>
          <w:szCs w:val="32"/>
          <w:highlight w:val="none"/>
          <w:lang w:val="en-US" w:eastAsia="zh-CN"/>
        </w:rPr>
      </w:pPr>
      <w:r>
        <w:rPr>
          <w:rFonts w:hint="default" w:ascii="Times New Roman" w:hAnsi="Times New Roman" w:eastAsia="仿宋_GB2312" w:cs="Times New Roman"/>
          <w:b w:val="0"/>
          <w:color w:val="auto"/>
          <w:sz w:val="32"/>
          <w:szCs w:val="32"/>
          <w:highlight w:val="none"/>
          <w:lang w:val="en-US" w:eastAsia="zh-CN"/>
        </w:rPr>
        <w:t>（十）承担全省广播电视领域对外以及对港澳台的交流与合作，协调推动广播电视领域“走出去”工作。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color w:val="auto"/>
          <w:sz w:val="32"/>
          <w:szCs w:val="32"/>
          <w:highlight w:val="none"/>
          <w:lang w:val="en-US" w:eastAsia="zh-CN"/>
        </w:rPr>
      </w:pPr>
      <w:r>
        <w:rPr>
          <w:rFonts w:hint="default" w:ascii="Times New Roman" w:hAnsi="Times New Roman" w:eastAsia="仿宋_GB2312" w:cs="Times New Roman"/>
          <w:b w:val="0"/>
          <w:color w:val="auto"/>
          <w:sz w:val="32"/>
          <w:szCs w:val="32"/>
          <w:highlight w:val="none"/>
          <w:lang w:val="en-US" w:eastAsia="zh-CN"/>
        </w:rPr>
        <w:t>（十一）指导、推进广播电视、网络视听行业人才队伍建设。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color w:val="auto"/>
          <w:sz w:val="32"/>
          <w:szCs w:val="32"/>
          <w:highlight w:val="none"/>
          <w:lang w:val="en-US" w:eastAsia="zh-CN"/>
        </w:rPr>
      </w:pPr>
      <w:r>
        <w:rPr>
          <w:rFonts w:hint="default" w:ascii="Times New Roman" w:hAnsi="Times New Roman" w:eastAsia="仿宋_GB2312" w:cs="Times New Roman"/>
          <w:b w:val="0"/>
          <w:color w:val="auto"/>
          <w:sz w:val="32"/>
          <w:szCs w:val="32"/>
          <w:highlight w:val="none"/>
          <w:lang w:val="en-US" w:eastAsia="zh-CN"/>
        </w:rPr>
        <w:t>（十二）指导、协调广播电视系统保卫工作。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color w:val="auto"/>
          <w:spacing w:val="-6"/>
          <w:sz w:val="32"/>
          <w:szCs w:val="32"/>
          <w:highlight w:val="none"/>
          <w:lang w:val="en-US" w:eastAsia="zh-CN"/>
        </w:rPr>
      </w:pPr>
      <w:r>
        <w:rPr>
          <w:rFonts w:hint="default" w:ascii="Times New Roman" w:hAnsi="Times New Roman" w:eastAsia="仿宋_GB2312" w:cs="Times New Roman"/>
          <w:b w:val="0"/>
          <w:color w:val="auto"/>
          <w:sz w:val="32"/>
          <w:szCs w:val="32"/>
          <w:highlight w:val="none"/>
          <w:lang w:val="en-US" w:eastAsia="zh-CN"/>
        </w:rPr>
        <w:t>（十三）依法依规履行广播电视行业安全生产和职业健康监</w:t>
      </w:r>
      <w:r>
        <w:rPr>
          <w:rFonts w:hint="default" w:ascii="Times New Roman" w:hAnsi="Times New Roman" w:eastAsia="仿宋_GB2312" w:cs="Times New Roman"/>
          <w:b w:val="0"/>
          <w:color w:val="auto"/>
          <w:spacing w:val="-6"/>
          <w:sz w:val="32"/>
          <w:szCs w:val="32"/>
          <w:highlight w:val="none"/>
          <w:lang w:val="en-US" w:eastAsia="zh-CN"/>
        </w:rPr>
        <w:t>管职责。负责职责范围内的生态环境保护、审批服务便民化等工作。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color w:val="auto"/>
          <w:sz w:val="32"/>
          <w:szCs w:val="32"/>
          <w:highlight w:val="none"/>
          <w:lang w:val="en-US" w:eastAsia="zh-CN"/>
        </w:rPr>
      </w:pPr>
      <w:r>
        <w:rPr>
          <w:rFonts w:hint="default" w:ascii="Times New Roman" w:hAnsi="Times New Roman" w:eastAsia="仿宋_GB2312" w:cs="Times New Roman"/>
          <w:b w:val="0"/>
          <w:color w:val="auto"/>
          <w:sz w:val="32"/>
          <w:szCs w:val="32"/>
          <w:highlight w:val="none"/>
          <w:lang w:val="en-US" w:eastAsia="zh-CN"/>
        </w:rPr>
        <w:t>（十四）完成省委、省政府交办的其他任务。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color w:val="auto"/>
          <w:sz w:val="32"/>
          <w:szCs w:val="32"/>
          <w:highlight w:val="none"/>
          <w:lang w:val="en-US" w:eastAsia="zh-CN"/>
        </w:rPr>
      </w:pPr>
      <w:r>
        <w:rPr>
          <w:rFonts w:hint="default" w:ascii="Times New Roman" w:hAnsi="Times New Roman" w:eastAsia="仿宋_GB2312" w:cs="Times New Roman"/>
          <w:b w:val="0"/>
          <w:color w:val="auto"/>
          <w:sz w:val="32"/>
          <w:szCs w:val="32"/>
          <w:highlight w:val="none"/>
          <w:lang w:val="en-US" w:eastAsia="zh-CN"/>
        </w:rPr>
        <w:t>（十五）职能转变。加强全省网络视听节目服务管理，强化人才队伍建设和对公共视听载体播放广播电视节目的监管，协调推动网络视听节目管理健康发展。加强广播电视与新媒体新技术新业态融合发展，优化广播电视资源配置，强化广播电视民营机构的监管，协调推进广播电视产业高质量发展。加强全省广播电视领域体制机制改革，提高广播电视服务质量和水平。深化“放管服”改革，进一步简政放权，强化事中事后监管，推进审批服务便民化。</w:t>
      </w:r>
    </w:p>
    <w:p>
      <w:pPr>
        <w:pStyle w:val="8"/>
        <w:keepNext w:val="0"/>
        <w:keepLines w:val="0"/>
        <w:pageBreakBefore w:val="0"/>
        <w:widowControl w:val="0"/>
        <w:kinsoku/>
        <w:wordWrap/>
        <w:overflowPunct/>
        <w:topLinePunct w:val="0"/>
        <w:autoSpaceDE/>
        <w:autoSpaceDN/>
        <w:bidi w:val="0"/>
        <w:adjustRightInd/>
        <w:snapToGrid/>
        <w:spacing w:beforeLines="0" w:line="600" w:lineRule="exact"/>
        <w:ind w:firstLine="640" w:firstLineChars="200"/>
        <w:textAlignment w:val="auto"/>
        <w:outlineLvl w:val="1"/>
        <w:rPr>
          <w:rFonts w:hint="eastAsia" w:ascii="黑体" w:hAnsi="黑体" w:eastAsia="黑体" w:cs="黑体"/>
          <w:b w:val="0"/>
          <w:color w:val="auto"/>
          <w:kern w:val="2"/>
          <w:sz w:val="32"/>
          <w:szCs w:val="32"/>
          <w:highlight w:val="none"/>
          <w:lang w:val="en-US" w:eastAsia="zh-CN" w:bidi="ar-SA"/>
        </w:rPr>
      </w:pPr>
      <w:bookmarkStart w:id="33" w:name="_Toc1650718528_WPSOffice_Level2"/>
      <w:r>
        <w:rPr>
          <w:rFonts w:hint="eastAsia" w:ascii="黑体" w:hAnsi="黑体" w:eastAsia="黑体" w:cs="黑体"/>
          <w:b w:val="0"/>
          <w:color w:val="auto"/>
          <w:kern w:val="2"/>
          <w:sz w:val="32"/>
          <w:szCs w:val="32"/>
          <w:highlight w:val="none"/>
          <w:lang w:val="en-US" w:eastAsia="zh-CN" w:bidi="ar-SA"/>
        </w:rPr>
        <w:t>二、机构设置</w:t>
      </w:r>
      <w:bookmarkEnd w:id="33"/>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color w:val="auto"/>
          <w:sz w:val="32"/>
          <w:szCs w:val="32"/>
          <w:highlight w:val="none"/>
          <w:lang w:val="en-US" w:eastAsia="zh-CN"/>
        </w:rPr>
      </w:pPr>
      <w:r>
        <w:rPr>
          <w:rFonts w:hint="default" w:ascii="Times New Roman" w:hAnsi="Times New Roman" w:eastAsia="仿宋_GB2312" w:cs="Times New Roman"/>
          <w:b w:val="0"/>
          <w:color w:val="auto"/>
          <w:sz w:val="32"/>
          <w:szCs w:val="32"/>
          <w:highlight w:val="none"/>
          <w:lang w:val="en-US" w:eastAsia="zh-CN"/>
        </w:rPr>
        <w:t>本单位是隶属于四川省广播电视局的二级预算单位，本单位无下属预算单位。</w:t>
      </w:r>
    </w:p>
    <w:p>
      <w:pPr>
        <w:widowControl/>
        <w:jc w:val="left"/>
        <w:rPr>
          <w:rFonts w:ascii="仿宋" w:hAnsi="仿宋" w:eastAsia="仿宋"/>
          <w:color w:val="auto"/>
          <w:kern w:val="0"/>
          <w:sz w:val="32"/>
          <w:szCs w:val="32"/>
          <w:highlight w:val="none"/>
        </w:rPr>
      </w:pPr>
      <w:r>
        <w:rPr>
          <w:rFonts w:ascii="仿宋" w:hAnsi="仿宋" w:eastAsia="仿宋"/>
          <w:color w:val="auto"/>
          <w:sz w:val="32"/>
          <w:szCs w:val="32"/>
          <w:highlight w:val="none"/>
        </w:rPr>
        <w:br w:type="page"/>
      </w:r>
    </w:p>
    <w:p>
      <w:pPr>
        <w:pStyle w:val="5"/>
        <w:keepNext/>
        <w:keepLines/>
        <w:pageBreakBefore w:val="0"/>
        <w:widowControl w:val="0"/>
        <w:kinsoku/>
        <w:wordWrap/>
        <w:overflowPunct/>
        <w:topLinePunct w:val="0"/>
        <w:autoSpaceDE/>
        <w:autoSpaceDN/>
        <w:bidi w:val="0"/>
        <w:adjustRightInd/>
        <w:snapToGrid/>
        <w:spacing w:line="579" w:lineRule="auto"/>
        <w:ind w:right="0"/>
        <w:jc w:val="center"/>
        <w:textAlignment w:val="auto"/>
        <w:rPr>
          <w:rFonts w:hint="eastAsia" w:ascii="方正小标宋简体" w:hAnsi="方正小标宋简体" w:eastAsia="方正小标宋简体" w:cs="方正小标宋简体"/>
          <w:color w:val="auto"/>
          <w:highlight w:val="none"/>
        </w:rPr>
      </w:pPr>
      <w:bookmarkStart w:id="34" w:name="_Toc1821304848_WPSOffice_Level1"/>
      <w:r>
        <w:rPr>
          <w:rFonts w:hint="eastAsia" w:ascii="方正小标宋简体" w:hAnsi="方正小标宋简体" w:eastAsia="方正小标宋简体" w:cs="方正小标宋简体"/>
          <w:b w:val="0"/>
          <w:bCs/>
          <w:color w:val="auto"/>
          <w:highlight w:val="none"/>
        </w:rPr>
        <w:t xml:space="preserve">第二部分 </w:t>
      </w:r>
      <w:r>
        <w:rPr>
          <w:rFonts w:hint="eastAsia" w:ascii="方正小标宋简体" w:hAnsi="方正小标宋简体" w:eastAsia="方正小标宋简体" w:cs="方正小标宋简体"/>
          <w:b w:val="0"/>
          <w:bCs/>
          <w:color w:val="auto"/>
          <w:highlight w:val="none"/>
          <w:lang w:val="en-US" w:eastAsia="zh-CN"/>
        </w:rPr>
        <w:t>2023年度</w:t>
      </w:r>
      <w:r>
        <w:rPr>
          <w:rStyle w:val="18"/>
          <w:rFonts w:hint="eastAsia" w:ascii="方正小标宋简体" w:hAnsi="方正小标宋简体" w:eastAsia="方正小标宋简体" w:cs="方正小标宋简体"/>
          <w:b w:val="0"/>
          <w:bCs/>
          <w:color w:val="auto"/>
          <w:highlight w:val="none"/>
          <w:lang w:eastAsia="zh-CN"/>
        </w:rPr>
        <w:t>单位</w:t>
      </w:r>
      <w:r>
        <w:rPr>
          <w:rStyle w:val="18"/>
          <w:rFonts w:hint="eastAsia" w:ascii="方正小标宋简体" w:hAnsi="方正小标宋简体" w:eastAsia="方正小标宋简体" w:cs="方正小标宋简体"/>
          <w:b w:val="0"/>
          <w:bCs/>
          <w:color w:val="auto"/>
          <w:highlight w:val="none"/>
        </w:rPr>
        <w:t>决算情况说明</w:t>
      </w:r>
      <w:bookmarkEnd w:id="34"/>
    </w:p>
    <w:p>
      <w:pPr>
        <w:pStyle w:val="20"/>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outlineLvl w:val="1"/>
        <w:rPr>
          <w:rStyle w:val="19"/>
          <w:rFonts w:ascii="黑体" w:hAnsi="黑体" w:eastAsia="黑体"/>
          <w:b w:val="0"/>
          <w:color w:val="auto"/>
          <w:highlight w:val="none"/>
        </w:rPr>
      </w:pPr>
      <w:bookmarkStart w:id="35" w:name="_Toc1821304848_WPSOffice_Level2"/>
      <w:r>
        <w:rPr>
          <w:rFonts w:hint="eastAsia" w:ascii="黑体" w:hAnsi="黑体" w:eastAsia="黑体"/>
          <w:color w:val="auto"/>
          <w:sz w:val="32"/>
          <w:szCs w:val="32"/>
          <w:highlight w:val="none"/>
          <w:lang w:eastAsia="zh-CN"/>
        </w:rPr>
        <w:t>一、</w:t>
      </w:r>
      <w:r>
        <w:rPr>
          <w:rFonts w:hint="eastAsia" w:ascii="黑体" w:hAnsi="黑体" w:eastAsia="黑体"/>
          <w:color w:val="auto"/>
          <w:sz w:val="32"/>
          <w:szCs w:val="32"/>
          <w:highlight w:val="none"/>
        </w:rPr>
        <w:t>收</w:t>
      </w:r>
      <w:r>
        <w:rPr>
          <w:rStyle w:val="19"/>
          <w:rFonts w:hint="eastAsia" w:ascii="黑体" w:hAnsi="黑体" w:eastAsia="黑体"/>
          <w:b w:val="0"/>
          <w:color w:val="auto"/>
          <w:highlight w:val="none"/>
        </w:rPr>
        <w:t>入支出决算总体情况说明</w:t>
      </w:r>
      <w:bookmarkEnd w:id="35"/>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b w:val="0"/>
          <w:color w:val="auto"/>
          <w:sz w:val="32"/>
          <w:szCs w:val="32"/>
          <w:highlight w:val="none"/>
          <w:lang w:val="en-US" w:eastAsia="zh-CN"/>
        </w:rPr>
      </w:pPr>
      <w:r>
        <w:rPr>
          <w:rFonts w:hint="eastAsia" w:ascii="Times New Roman" w:hAnsi="Times New Roman" w:eastAsia="仿宋_GB2312" w:cs="Times New Roman"/>
          <w:b w:val="0"/>
          <w:color w:val="auto"/>
          <w:sz w:val="32"/>
          <w:szCs w:val="32"/>
          <w:highlight w:val="none"/>
          <w:lang w:val="en-US" w:eastAsia="zh-CN"/>
        </w:rPr>
        <w:t>2023年度收、支总计均为13756.43万元。与2022年度相比，收、支总计各增加6298.48万元，增长84.5</w:t>
      </w:r>
      <w:r>
        <w:rPr>
          <w:rFonts w:hint="default" w:ascii="Times New Roman" w:hAnsi="Times New Roman" w:eastAsia="仿宋_GB2312" w:cs="Times New Roman"/>
          <w:b w:val="0"/>
          <w:color w:val="auto"/>
          <w:sz w:val="32"/>
          <w:szCs w:val="32"/>
          <w:highlight w:val="none"/>
          <w:lang w:val="en-US" w:eastAsia="zh-CN"/>
        </w:rPr>
        <w:t>%</w:t>
      </w:r>
      <w:r>
        <w:rPr>
          <w:rFonts w:hint="eastAsia" w:ascii="Times New Roman" w:hAnsi="Times New Roman" w:eastAsia="仿宋_GB2312" w:cs="Times New Roman"/>
          <w:b w:val="0"/>
          <w:color w:val="auto"/>
          <w:sz w:val="32"/>
          <w:szCs w:val="32"/>
          <w:highlight w:val="none"/>
          <w:lang w:val="en-US" w:eastAsia="zh-CN"/>
        </w:rPr>
        <w:t>。主要变动原因：一是增加人员经费支出；二是增加因公出国（镜）、公务用车大修等公用经费；三是增加项目支出，主要包括文化补助资金、公共文化服务体系建设专项资金、宣传文化发展专项资金、省级预算内基本建设资金、四川省广播电视无线覆盖能力提升工程和</w:t>
      </w:r>
      <w:r>
        <w:rPr>
          <w:rFonts w:hint="default" w:ascii="Times New Roman" w:hAnsi="Times New Roman" w:eastAsia="仿宋_GB2312" w:cs="Times New Roman"/>
          <w:b w:val="0"/>
          <w:color w:val="auto"/>
          <w:sz w:val="32"/>
          <w:szCs w:val="32"/>
          <w:highlight w:val="none"/>
          <w:lang w:val="en-US" w:eastAsia="zh-CN"/>
        </w:rPr>
        <w:t>四川省广播电视公共服务平台提档升级扩容项目</w:t>
      </w:r>
      <w:r>
        <w:rPr>
          <w:rFonts w:hint="eastAsia" w:ascii="Times New Roman" w:hAnsi="Times New Roman" w:eastAsia="仿宋_GB2312" w:cs="Times New Roman"/>
          <w:b w:val="0"/>
          <w:color w:val="auto"/>
          <w:sz w:val="32"/>
          <w:szCs w:val="32"/>
          <w:highlight w:val="none"/>
          <w:lang w:val="en-US" w:eastAsia="zh-CN"/>
        </w:rPr>
        <w:t>资金</w:t>
      </w:r>
      <w:r>
        <w:rPr>
          <w:rFonts w:hint="default" w:ascii="Times New Roman" w:hAnsi="Times New Roman" w:eastAsia="仿宋_GB2312" w:cs="Times New Roman"/>
          <w:b w:val="0"/>
          <w:color w:val="auto"/>
          <w:sz w:val="32"/>
          <w:szCs w:val="32"/>
          <w:highlight w:val="none"/>
          <w:lang w:val="en-US" w:eastAsia="zh-CN"/>
        </w:rPr>
        <w:t>。</w:t>
      </w:r>
    </w:p>
    <w:p>
      <w:pPr>
        <w:jc w:val="center"/>
        <w:rPr>
          <w:rFonts w:hint="eastAsia" w:eastAsia="宋体"/>
          <w:lang w:eastAsia="zh-CN"/>
        </w:rPr>
      </w:pPr>
      <w:r>
        <w:rPr>
          <w:rFonts w:hint="eastAsia" w:eastAsia="宋体"/>
          <w:lang w:eastAsia="zh-CN"/>
        </w:rPr>
        <w:object>
          <v:shape id="_x0000_i1025" o:spt="75" alt="oleetimg_1723099666291249_1046762496" type="#_x0000_t75" style="height:267.7pt;width:417.75pt;" o:ole="t" filled="f" o:preferrelative="t" stroked="f" coordsize="21600,21600">
            <v:path/>
            <v:fill on="f" focussize="0,0"/>
            <v:stroke on="f"/>
            <v:imagedata r:id="rId10" o:title="oleetimg_1725612361816255_662644736"/>
            <o:lock v:ext="edit" aspectratio="f"/>
            <w10:wrap type="none"/>
            <w10:anchorlock/>
          </v:shape>
          <o:OLEObject Type="Embed" ProgID="excel.sheet.8" ShapeID="_x0000_i1025" DrawAspect="Content" ObjectID="_1468075725" r:id="rId9">
            <o:LockedField>false</o:LockedField>
          </o:OLEObject>
        </w:object>
      </w:r>
    </w:p>
    <w:p>
      <w:pPr>
        <w:spacing w:line="600" w:lineRule="exact"/>
        <w:ind w:firstLine="1600" w:firstLineChars="500"/>
        <w:rPr>
          <w:rFonts w:ascii="仿宋" w:hAnsi="仿宋" w:eastAsia="仿宋"/>
          <w:color w:val="auto"/>
          <w:sz w:val="32"/>
          <w:szCs w:val="32"/>
          <w:highlight w:val="none"/>
        </w:rPr>
      </w:pP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w:t>
      </w:r>
    </w:p>
    <w:p>
      <w:pPr>
        <w:pStyle w:val="2"/>
        <w:rPr>
          <w:rFonts w:hint="eastAsia"/>
          <w:lang w:eastAsia="zh-CN"/>
        </w:rPr>
      </w:pPr>
    </w:p>
    <w:p>
      <w:pPr>
        <w:pStyle w:val="20"/>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1" w:leftChars="0"/>
        <w:textAlignment w:val="auto"/>
        <w:outlineLvl w:val="1"/>
        <w:rPr>
          <w:rStyle w:val="19"/>
          <w:rFonts w:ascii="黑体" w:hAnsi="黑体" w:eastAsia="黑体"/>
          <w:b w:val="0"/>
          <w:color w:val="auto"/>
          <w:highlight w:val="none"/>
        </w:rPr>
      </w:pPr>
      <w:bookmarkStart w:id="36" w:name="_Toc353277147_WPSOffice_Level2"/>
      <w:r>
        <w:rPr>
          <w:rFonts w:hint="eastAsia" w:ascii="黑体" w:hAnsi="黑体" w:eastAsia="黑体"/>
          <w:color w:val="auto"/>
          <w:sz w:val="32"/>
          <w:szCs w:val="32"/>
          <w:highlight w:val="none"/>
          <w:lang w:eastAsia="zh-CN"/>
        </w:rPr>
        <w:t>二、</w:t>
      </w:r>
      <w:r>
        <w:rPr>
          <w:rFonts w:hint="eastAsia" w:ascii="黑体" w:hAnsi="黑体" w:eastAsia="黑体"/>
          <w:color w:val="auto"/>
          <w:sz w:val="32"/>
          <w:szCs w:val="32"/>
          <w:highlight w:val="none"/>
        </w:rPr>
        <w:t>收</w:t>
      </w:r>
      <w:r>
        <w:rPr>
          <w:rStyle w:val="19"/>
          <w:rFonts w:hint="eastAsia" w:ascii="黑体" w:hAnsi="黑体" w:eastAsia="黑体"/>
          <w:b w:val="0"/>
          <w:color w:val="auto"/>
          <w:highlight w:val="none"/>
        </w:rPr>
        <w:t>入决算情况说明</w:t>
      </w:r>
      <w:bookmarkEnd w:id="36"/>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b w:val="0"/>
          <w:color w:val="auto"/>
          <w:sz w:val="32"/>
          <w:szCs w:val="32"/>
          <w:highlight w:val="none"/>
          <w:lang w:val="en-US" w:eastAsia="zh-CN"/>
        </w:rPr>
      </w:pPr>
      <w:r>
        <w:rPr>
          <w:rFonts w:hint="eastAsia" w:ascii="Times New Roman" w:hAnsi="Times New Roman" w:eastAsia="仿宋_GB2312" w:cs="Times New Roman"/>
          <w:b w:val="0"/>
          <w:color w:val="auto"/>
          <w:sz w:val="32"/>
          <w:szCs w:val="32"/>
          <w:highlight w:val="none"/>
          <w:lang w:val="en-US" w:eastAsia="zh-CN"/>
        </w:rPr>
        <w:t>2023年度本年收入合计13002.08万元，其中：一般公共预算财政拨款收入13002.08万元，占100%；政府性基金预算财政拨款收入0万元，占0%；国有资本经营预算财政拨款收入0万元，占0%；上级补助收入0万元，占0%；事业收入0万元，占0%；经营收入0万元，占0%；附属单位上缴收入0万元，占0%；其他收入0万元，占0%。</w:t>
      </w:r>
    </w:p>
    <w:p>
      <w:pPr>
        <w:pStyle w:val="3"/>
        <w:ind w:left="0" w:leftChars="0" w:firstLine="0" w:firstLineChars="0"/>
        <w:jc w:val="center"/>
        <w:rPr>
          <w:rFonts w:hint="default" w:ascii="Times New Roman" w:hAnsi="Times New Roman" w:eastAsia="方正楷体_GBK" w:cs="Times New Roman"/>
          <w:color w:val="auto"/>
          <w:sz w:val="32"/>
          <w:szCs w:val="32"/>
          <w:highlight w:val="none"/>
        </w:rPr>
      </w:pPr>
      <w:r>
        <w:rPr>
          <w:rFonts w:hint="eastAsia"/>
          <w:lang w:eastAsia="zh-CN"/>
        </w:rPr>
        <w:object>
          <v:shape id="_x0000_i1026" o:spt="75" alt="olechartimg_1723082407539570_1045774336" type="#_x0000_t75" style="height:267.75pt;width:415.5pt;" o:ole="t" filled="f" o:preferrelative="t" stroked="f" coordsize="21600,21600">
            <v:path/>
            <v:fill on="f" focussize="0,0"/>
            <v:stroke on="f"/>
            <v:imagedata r:id="rId12" o:title="olechartimg_1725612548465624_424019968"/>
            <o:lock v:ext="edit" aspectratio="t"/>
            <w10:wrap type="none"/>
            <w10:anchorlock/>
          </v:shape>
          <o:OLEObject Type="Embed" ProgID="Excel.Chart.8" ShapeID="_x0000_i1026" DrawAspect="Content" ObjectID="_1468075726" r:id="rId11">
            <o:LockedField>false</o:LockedField>
          </o:OLEObject>
        </w:object>
      </w:r>
      <w:r>
        <w:rPr>
          <w:rFonts w:hint="eastAsia"/>
          <w:lang w:val="en-US" w:eastAsia="zh-CN"/>
        </w:rPr>
        <w:t xml:space="preserve">                         </w:t>
      </w:r>
      <w:r>
        <w:rPr>
          <w:rFonts w:hint="default" w:ascii="Times New Roman" w:hAnsi="Times New Roman" w:eastAsia="方正楷体_GBK" w:cs="Times New Roman"/>
          <w:color w:val="auto"/>
          <w:sz w:val="32"/>
          <w:szCs w:val="32"/>
          <w:highlight w:val="none"/>
        </w:rPr>
        <w:t>图2：收入决算结构图</w:t>
      </w:r>
    </w:p>
    <w:p>
      <w:pPr>
        <w:pStyle w:val="20"/>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1" w:leftChars="0"/>
        <w:textAlignment w:val="auto"/>
        <w:outlineLvl w:val="1"/>
        <w:rPr>
          <w:rStyle w:val="19"/>
          <w:rFonts w:ascii="黑体" w:hAnsi="黑体" w:eastAsia="黑体"/>
          <w:b w:val="0"/>
          <w:color w:val="auto"/>
          <w:highlight w:val="none"/>
        </w:rPr>
      </w:pPr>
      <w:bookmarkStart w:id="37" w:name="_Toc2099929406_WPSOffice_Level2"/>
      <w:bookmarkStart w:id="38" w:name="_Toc15396605"/>
      <w:bookmarkStart w:id="39" w:name="_Toc15377207"/>
      <w:bookmarkStart w:id="40" w:name="_Toc1311057989_WPSOffice_Level2"/>
      <w:r>
        <w:rPr>
          <w:rFonts w:hint="eastAsia" w:ascii="黑体" w:hAnsi="黑体" w:eastAsia="黑体"/>
          <w:color w:val="auto"/>
          <w:sz w:val="32"/>
          <w:szCs w:val="32"/>
          <w:highlight w:val="none"/>
          <w:lang w:eastAsia="zh-CN"/>
        </w:rPr>
        <w:t>三、</w:t>
      </w:r>
      <w:r>
        <w:rPr>
          <w:rFonts w:hint="eastAsia" w:ascii="黑体" w:hAnsi="黑体" w:eastAsia="黑体"/>
          <w:color w:val="auto"/>
          <w:sz w:val="32"/>
          <w:szCs w:val="32"/>
          <w:highlight w:val="none"/>
        </w:rPr>
        <w:t>支</w:t>
      </w:r>
      <w:r>
        <w:rPr>
          <w:rStyle w:val="19"/>
          <w:rFonts w:hint="eastAsia" w:ascii="黑体" w:hAnsi="黑体" w:eastAsia="黑体"/>
          <w:b w:val="0"/>
          <w:color w:val="auto"/>
          <w:highlight w:val="none"/>
        </w:rPr>
        <w:t>出决算情况说明</w:t>
      </w:r>
      <w:bookmarkEnd w:id="37"/>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b w:val="0"/>
          <w:color w:val="auto"/>
          <w:sz w:val="32"/>
          <w:szCs w:val="32"/>
          <w:highlight w:val="none"/>
          <w:lang w:val="en-US" w:eastAsia="zh-CN"/>
        </w:rPr>
      </w:pPr>
      <w:r>
        <w:rPr>
          <w:rFonts w:hint="eastAsia" w:ascii="Times New Roman" w:hAnsi="Times New Roman" w:eastAsia="仿宋_GB2312" w:cs="Times New Roman"/>
          <w:b w:val="0"/>
          <w:color w:val="auto"/>
          <w:sz w:val="32"/>
          <w:szCs w:val="32"/>
          <w:highlight w:val="none"/>
          <w:lang w:val="en-US" w:eastAsia="zh-CN"/>
        </w:rPr>
        <w:t>2023年度本年支出合计13002.08万元，其中：基本支出4499.52万元，占34.6%；项目支出8502.55万元，占65.4%；上缴上级支出0万元，占0%；经营支出0万元，占0%；对附属单位补助支出0万元，占0%。</w:t>
      </w:r>
    </w:p>
    <w:bookmarkEnd w:id="38"/>
    <w:bookmarkEnd w:id="39"/>
    <w:bookmarkEnd w:id="40"/>
    <w:p>
      <w:pPr>
        <w:pStyle w:val="3"/>
        <w:ind w:left="0" w:leftChars="0" w:firstLine="0" w:firstLineChars="0"/>
        <w:jc w:val="center"/>
        <w:rPr>
          <w:rFonts w:hint="eastAsia" w:ascii="Times New Roman" w:hAnsi="Times New Roman" w:eastAsia="方正楷体_GBK" w:cs="Times New Roman"/>
          <w:color w:val="auto"/>
          <w:sz w:val="32"/>
          <w:szCs w:val="32"/>
          <w:highlight w:val="none"/>
        </w:rPr>
      </w:pPr>
      <w:r>
        <w:rPr>
          <w:rFonts w:hint="eastAsia" w:eastAsia="宋体"/>
          <w:lang w:eastAsia="zh-CN"/>
        </w:rPr>
        <w:object>
          <v:shape id="_x0000_i1027" o:spt="75" alt="olechartimg_1723082407539570_1045774336" type="#_x0000_t75" style="height:311.25pt;width:415.5pt;" o:ole="t" filled="f" o:preferrelative="t" stroked="f" coordsize="21600,21600">
            <v:path/>
            <v:fill on="f" focussize="0,0"/>
            <v:stroke on="f"/>
            <v:imagedata r:id="rId14" o:title="olechartimg_1725612628139297_796788736"/>
            <o:lock v:ext="edit" aspectratio="t"/>
            <w10:wrap type="none"/>
            <w10:anchorlock/>
          </v:shape>
          <o:OLEObject Type="Embed" ProgID="Excel.Chart.8" ShapeID="_x0000_i1027" DrawAspect="Content" ObjectID="_1468075727" r:id="rId13">
            <o:LockedField>false</o:LockedField>
          </o:OLEObject>
        </w:object>
      </w:r>
      <w:r>
        <w:rPr>
          <w:rFonts w:hint="eastAsia"/>
          <w:lang w:val="en-US" w:eastAsia="zh-CN"/>
        </w:rPr>
        <w:t xml:space="preserve">                         </w:t>
      </w:r>
      <w:r>
        <w:rPr>
          <w:rFonts w:hint="eastAsia" w:ascii="Times New Roman" w:hAnsi="Times New Roman" w:eastAsia="方正楷体_GBK" w:cs="Times New Roman"/>
          <w:color w:val="auto"/>
          <w:sz w:val="32"/>
          <w:szCs w:val="32"/>
          <w:highlight w:val="none"/>
        </w:rPr>
        <w:t>图3：支出决算结构图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Style w:val="19"/>
          <w:rFonts w:ascii="黑体" w:hAnsi="黑体" w:eastAsia="黑体"/>
          <w:b w:val="0"/>
          <w:color w:val="auto"/>
          <w:highlight w:val="none"/>
        </w:rPr>
      </w:pPr>
      <w:bookmarkStart w:id="41" w:name="_Toc751380005_WPSOffice_Level2"/>
      <w:bookmarkStart w:id="42" w:name="_Toc307741677_WPSOffice_Level2"/>
      <w:bookmarkStart w:id="43" w:name="_Toc15377208"/>
      <w:bookmarkStart w:id="44" w:name="_Toc15396606"/>
      <w:r>
        <w:rPr>
          <w:rFonts w:hint="eastAsia" w:ascii="黑体" w:hAnsi="黑体" w:eastAsia="黑体"/>
          <w:color w:val="auto"/>
          <w:sz w:val="32"/>
          <w:szCs w:val="32"/>
          <w:highlight w:val="none"/>
        </w:rPr>
        <w:t>四、财</w:t>
      </w:r>
      <w:r>
        <w:rPr>
          <w:rStyle w:val="19"/>
          <w:rFonts w:hint="eastAsia" w:ascii="黑体" w:hAnsi="黑体" w:eastAsia="黑体"/>
          <w:b w:val="0"/>
          <w:color w:val="auto"/>
          <w:highlight w:val="none"/>
        </w:rPr>
        <w:t>政拨款收入支出决算总体情况说明</w:t>
      </w:r>
      <w:bookmarkEnd w:id="41"/>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b w:val="0"/>
          <w:color w:val="auto"/>
          <w:sz w:val="32"/>
          <w:szCs w:val="32"/>
          <w:highlight w:val="none"/>
          <w:lang w:val="en-US" w:eastAsia="zh-CN"/>
        </w:rPr>
      </w:pPr>
      <w:r>
        <w:rPr>
          <w:rFonts w:hint="eastAsia" w:ascii="Times New Roman" w:hAnsi="Times New Roman" w:eastAsia="仿宋_GB2312" w:cs="Times New Roman"/>
          <w:b w:val="0"/>
          <w:color w:val="auto"/>
          <w:sz w:val="32"/>
          <w:szCs w:val="32"/>
          <w:highlight w:val="none"/>
          <w:lang w:val="en-US" w:eastAsia="zh-CN"/>
        </w:rPr>
        <w:t>2023年度财政拨款收、支总计均为13002.08万元。与2022年度相比，财政拨款收、支总计各增加6299.59万元，增长94%。主要变动原因：一是增加人员经费支出；二是增加因公出国（镜）、公务用车大修等公用经费；三是增加项目支出，主要包括文化补助资金、公共文化服务体系建设专项资金、宣传文化发展专项资金、省级预算内基本建设资金、四川省广播电视无线覆盖能力提升工程和四川省广播电视公共服务平台提档升级扩容项目资金。</w:t>
      </w:r>
      <w:bookmarkEnd w:id="42"/>
      <w:bookmarkEnd w:id="43"/>
      <w:bookmarkEnd w:id="44"/>
    </w:p>
    <w:p>
      <w:pPr>
        <w:pStyle w:val="3"/>
        <w:ind w:left="0" w:leftChars="0" w:firstLine="0" w:firstLineChars="0"/>
        <w:jc w:val="center"/>
        <w:rPr>
          <w:rFonts w:hint="eastAsia" w:ascii="仿宋" w:hAnsi="仿宋" w:eastAsia="仿宋"/>
          <w:color w:val="auto"/>
          <w:sz w:val="32"/>
          <w:szCs w:val="32"/>
          <w:highlight w:val="none"/>
          <w:lang w:eastAsia="zh-CN"/>
        </w:rPr>
      </w:pPr>
    </w:p>
    <w:p>
      <w:pPr>
        <w:pStyle w:val="3"/>
        <w:ind w:left="0" w:leftChars="0" w:firstLine="0" w:firstLineChars="0"/>
        <w:jc w:val="center"/>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object>
          <v:shape id="_x0000_i1028" o:spt="75" alt="olechartimg_1723084772032270_1046762496" type="#_x0000_t75" style="height:234.7pt;width:371.25pt;" o:ole="t" filled="f" o:preferrelative="t" stroked="f" coordsize="21600,21600">
            <v:path/>
            <v:fill on="f" focussize="0,0"/>
            <v:stroke on="f"/>
            <v:imagedata r:id="rId16" o:title="olechartimg_1725612817771243_41617408"/>
            <o:lock v:ext="edit" aspectratio="t"/>
            <w10:wrap type="none"/>
            <w10:anchorlock/>
          </v:shape>
          <o:OLEObject Type="Embed" ProgID="Excel.Chart.8" ShapeID="_x0000_i1028" DrawAspect="Content" ObjectID="_1468075728" r:id="rId15">
            <o:LockedField>false</o:LockedField>
          </o:OLEObject>
        </w:object>
      </w:r>
    </w:p>
    <w:p>
      <w:pPr>
        <w:pStyle w:val="3"/>
        <w:ind w:left="0" w:leftChars="0" w:firstLine="1600" w:firstLineChars="5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图4：财政拨款收、支决算总计变动情况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Style w:val="19"/>
          <w:rFonts w:ascii="黑体" w:hAnsi="黑体" w:eastAsia="黑体"/>
          <w:b w:val="0"/>
          <w:color w:val="auto"/>
          <w:highlight w:val="none"/>
        </w:rPr>
      </w:pPr>
      <w:bookmarkStart w:id="45" w:name="_Toc271496611_WPSOffice_Level2"/>
      <w:bookmarkStart w:id="46" w:name="_Toc2044371319_WPSOffice_Level2"/>
      <w:bookmarkStart w:id="47" w:name="_Toc15396607"/>
      <w:bookmarkStart w:id="48" w:name="_Toc15377209"/>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19"/>
          <w:rFonts w:hint="eastAsia" w:ascii="黑体" w:hAnsi="黑体" w:eastAsia="黑体"/>
          <w:b w:val="0"/>
          <w:color w:val="auto"/>
          <w:highlight w:val="none"/>
        </w:rPr>
        <w:t>般公共预算财政拨款支出决算情况说明</w:t>
      </w:r>
      <w:bookmarkEnd w:id="45"/>
    </w:p>
    <w:p>
      <w:pPr>
        <w:spacing w:line="600" w:lineRule="exact"/>
        <w:ind w:firstLine="640" w:firstLineChars="200"/>
        <w:outlineLvl w:val="2"/>
        <w:rPr>
          <w:rFonts w:hint="default" w:ascii="Times New Roman" w:hAnsi="Times New Roman" w:eastAsia="方正楷体_GBK" w:cs="Times New Roman"/>
          <w:b w:val="0"/>
          <w:bCs/>
          <w:color w:val="auto"/>
          <w:sz w:val="32"/>
          <w:szCs w:val="32"/>
          <w:highlight w:val="none"/>
        </w:rPr>
      </w:pPr>
      <w:r>
        <w:rPr>
          <w:rFonts w:hint="default" w:ascii="Times New Roman" w:hAnsi="Times New Roman" w:eastAsia="方正楷体_GBK" w:cs="Times New Roman"/>
          <w:b w:val="0"/>
          <w:bCs/>
          <w:color w:val="auto"/>
          <w:sz w:val="32"/>
          <w:szCs w:val="32"/>
          <w:highlight w:val="none"/>
        </w:rPr>
        <w:t>（一）一般公共预算财政拨款支出决算总体情况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b w:val="0"/>
          <w:color w:val="auto"/>
          <w:sz w:val="32"/>
          <w:szCs w:val="32"/>
          <w:highlight w:val="none"/>
          <w:lang w:val="en-US" w:eastAsia="zh-CN"/>
        </w:rPr>
      </w:pPr>
      <w:r>
        <w:rPr>
          <w:rFonts w:hint="eastAsia" w:ascii="Times New Roman" w:hAnsi="Times New Roman" w:eastAsia="仿宋_GB2312" w:cs="Times New Roman"/>
          <w:b w:val="0"/>
          <w:color w:val="auto"/>
          <w:sz w:val="32"/>
          <w:szCs w:val="32"/>
          <w:highlight w:val="none"/>
          <w:lang w:val="en-US" w:eastAsia="zh-CN"/>
        </w:rPr>
        <w:t>2023年度一般公共预算财政拨款支出13002.08万元，占本年支出合计的100%。与2022年度相比，一般公共预算财政拨款支出增加6299.59万元，增长94%。主要变动原因：一是增加人员经费支出；二是增加因公出国（镜）、公务用车大修等公用经费；三是增加项目支出，主要包括文化补助资金、公共文化服务体系建设专项资金、宣传文化发展专项资金、省级预算内基本建设资金、四川省广播电视无线覆盖能力提升工程和四川省广播电视公共服务平台提档升级扩容项目资金。</w:t>
      </w:r>
    </w:p>
    <w:bookmarkEnd w:id="46"/>
    <w:bookmarkEnd w:id="47"/>
    <w:bookmarkEnd w:id="48"/>
    <w:p>
      <w:pPr>
        <w:pStyle w:val="2"/>
        <w:rPr>
          <w:rFonts w:hint="eastAsia"/>
          <w:lang w:eastAsia="zh-CN"/>
        </w:rPr>
      </w:pPr>
    </w:p>
    <w:p>
      <w:pPr>
        <w:pStyle w:val="2"/>
        <w:jc w:val="center"/>
        <w:rPr>
          <w:rFonts w:hint="eastAsia"/>
          <w:lang w:eastAsia="zh-CN"/>
        </w:rPr>
      </w:pPr>
    </w:p>
    <w:p>
      <w:pPr>
        <w:pStyle w:val="2"/>
        <w:jc w:val="center"/>
        <w:rPr>
          <w:rFonts w:hint="eastAsia"/>
          <w:lang w:eastAsia="zh-CN"/>
        </w:rPr>
      </w:pPr>
      <w:r>
        <w:rPr>
          <w:rFonts w:hint="eastAsia"/>
          <w:lang w:eastAsia="zh-CN"/>
        </w:rPr>
        <w:object>
          <v:shape id="_x0000_i1029" o:spt="75" alt="olechartimg_1723085902014545_1045779456" type="#_x0000_t75" style="height:244.5pt;width:423pt;" o:ole="t" filled="f" o:preferrelative="t" stroked="f" coordsize="21600,21600">
            <v:path/>
            <v:fill on="f" focussize="0,0"/>
            <v:stroke on="f"/>
            <v:imagedata r:id="rId18" o:title="olechartimg_1725613822448153_418916352"/>
            <o:lock v:ext="edit" aspectratio="t"/>
            <w10:wrap type="none"/>
            <w10:anchorlock/>
          </v:shape>
          <o:OLEObject Type="Embed" ProgID="Excel.Chart.8" ShapeID="_x0000_i1029" DrawAspect="Content" ObjectID="_1468075729" r:id="rId17">
            <o:LockedField>false</o:LockedField>
          </o:OLEObject>
        </w:object>
      </w:r>
    </w:p>
    <w:p>
      <w:pPr>
        <w:spacing w:line="600" w:lineRule="exact"/>
        <w:ind w:firstLine="640" w:firstLineChars="200"/>
        <w:outlineLvl w:val="2"/>
        <w:rPr>
          <w:rFonts w:hint="eastAsia" w:ascii="Times New Roman" w:hAnsi="Times New Roman" w:eastAsia="方正楷体_GBK" w:cs="Times New Roman"/>
          <w:b w:val="0"/>
          <w:bCs/>
          <w:color w:val="auto"/>
          <w:sz w:val="32"/>
          <w:szCs w:val="32"/>
          <w:highlight w:val="none"/>
        </w:rPr>
      </w:pPr>
      <w:r>
        <w:rPr>
          <w:rFonts w:hint="eastAsia" w:ascii="Times New Roman" w:hAnsi="Times New Roman" w:eastAsia="方正楷体_GBK" w:cs="Times New Roman"/>
          <w:b w:val="0"/>
          <w:bCs/>
          <w:color w:val="auto"/>
          <w:sz w:val="32"/>
          <w:szCs w:val="32"/>
          <w:highlight w:val="none"/>
        </w:rPr>
        <w:t>图5：一般公共预算财政拨款支出决算变动情况</w:t>
      </w:r>
    </w:p>
    <w:p>
      <w:pPr>
        <w:keepNext w:val="0"/>
        <w:keepLines w:val="0"/>
        <w:pageBreakBefore w:val="0"/>
        <w:widowControl w:val="0"/>
        <w:kinsoku/>
        <w:wordWrap/>
        <w:overflowPunct/>
        <w:topLinePunct w:val="0"/>
        <w:autoSpaceDE/>
        <w:autoSpaceDN/>
        <w:bidi w:val="0"/>
        <w:adjustRightInd/>
        <w:snapToGrid/>
        <w:spacing w:before="240" w:line="620" w:lineRule="exact"/>
        <w:ind w:firstLine="640" w:firstLineChars="200"/>
        <w:textAlignment w:val="auto"/>
        <w:outlineLvl w:val="2"/>
        <w:rPr>
          <w:rFonts w:hint="default" w:ascii="Times New Roman" w:hAnsi="Times New Roman" w:eastAsia="方正楷体_GBK" w:cs="Times New Roman"/>
          <w:b w:val="0"/>
          <w:bCs/>
          <w:color w:val="auto"/>
          <w:sz w:val="32"/>
          <w:szCs w:val="32"/>
          <w:highlight w:val="none"/>
        </w:rPr>
      </w:pPr>
      <w:bookmarkStart w:id="49" w:name="_Toc15377211"/>
      <w:r>
        <w:rPr>
          <w:rFonts w:hint="eastAsia" w:ascii="Times New Roman" w:hAnsi="Times New Roman" w:eastAsia="方正楷体_GBK" w:cs="Times New Roman"/>
          <w:b w:val="0"/>
          <w:bCs/>
          <w:color w:val="auto"/>
          <w:sz w:val="32"/>
          <w:szCs w:val="32"/>
          <w:highlight w:val="none"/>
        </w:rPr>
        <w:t>（二）一般公共预算财政拨款支出决算结构情况</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Times New Roman"/>
          <w:b w:val="0"/>
          <w:color w:val="auto"/>
          <w:sz w:val="32"/>
          <w:szCs w:val="32"/>
          <w:highlight w:val="none"/>
          <w:lang w:val="en-US" w:eastAsia="zh-CN"/>
        </w:rPr>
      </w:pPr>
      <w:r>
        <w:rPr>
          <w:rFonts w:hint="eastAsia" w:ascii="Times New Roman" w:hAnsi="Times New Roman" w:eastAsia="仿宋_GB2312" w:cs="Times New Roman"/>
          <w:b w:val="0"/>
          <w:color w:val="auto"/>
          <w:sz w:val="32"/>
          <w:szCs w:val="32"/>
          <w:highlight w:val="none"/>
          <w:lang w:val="en-US" w:eastAsia="zh-CN"/>
        </w:rPr>
        <w:t>2023年度一般公共预算财政拨款支出13002.08万元，主要用于以下方面:一般公共服务支出201.98万元，占1.6%；教育支出156.58万元，占1.2%；；文化旅游体育与传媒支出10891.93万元，占83.8%；社会保障和就业支出1338.02万元，占10.3%；卫生健康支出209.16万元，占1.6%；住房保障支出199.41万元，占1.5%；灾害防治及应急管理支出5万元，占0%。</w:t>
      </w:r>
    </w:p>
    <w:p>
      <w:pPr>
        <w:spacing w:line="600" w:lineRule="exact"/>
        <w:ind w:firstLine="640"/>
        <w:rPr>
          <w:rFonts w:ascii="仿宋" w:hAnsi="仿宋" w:eastAsia="仿宋"/>
          <w:color w:val="auto"/>
          <w:sz w:val="32"/>
          <w:szCs w:val="32"/>
          <w:highlight w:val="none"/>
        </w:rPr>
      </w:pPr>
    </w:p>
    <w:bookmarkEnd w:id="49"/>
    <w:p>
      <w:pPr>
        <w:pStyle w:val="3"/>
        <w:ind w:left="0" w:leftChars="0" w:firstLine="0" w:firstLineChars="0"/>
        <w:jc w:val="center"/>
        <w:rPr>
          <w:rFonts w:hint="eastAsia"/>
          <w14:ligatures w14:val="standardContextual"/>
        </w:rPr>
      </w:pPr>
      <w:r>
        <w:rPr>
          <w:rFonts w:hint="eastAsia"/>
          <w14:ligatures w14:val="standardContextual"/>
        </w:rPr>
        <w:drawing>
          <wp:inline distT="0" distB="0" distL="0" distR="0">
            <wp:extent cx="5486400" cy="3648075"/>
            <wp:effectExtent l="4445" t="4445" r="14605" b="5080"/>
            <wp:docPr id="1445026538"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2"/>
        <w:rPr>
          <w:rFonts w:hint="eastAsia" w:ascii="Times New Roman" w:hAnsi="Times New Roman" w:eastAsia="方正楷体_GBK" w:cs="Times New Roman"/>
          <w:b w:val="0"/>
          <w:bCs/>
          <w:color w:val="auto"/>
          <w:sz w:val="32"/>
          <w:szCs w:val="32"/>
          <w:highlight w:val="none"/>
        </w:rPr>
      </w:pPr>
      <w:r>
        <w:rPr>
          <w:rFonts w:hint="eastAsia" w:ascii="Times New Roman" w:hAnsi="Times New Roman" w:eastAsia="方正楷体_GBK" w:cs="Times New Roman"/>
          <w:b w:val="0"/>
          <w:bCs/>
          <w:color w:val="auto"/>
          <w:sz w:val="32"/>
          <w:szCs w:val="32"/>
          <w:highlight w:val="none"/>
        </w:rPr>
        <w:t>图6：一般公共预算财政拨款支出决算结构</w:t>
      </w:r>
    </w:p>
    <w:p>
      <w:pPr>
        <w:spacing w:line="600" w:lineRule="exact"/>
        <w:ind w:left="0" w:leftChars="0" w:right="0" w:rightChars="0" w:firstLine="0" w:firstLineChars="0"/>
        <w:jc w:val="center"/>
        <w:outlineLvl w:val="2"/>
        <w:rPr>
          <w:rFonts w:hint="default" w:ascii="Times New Roman" w:hAnsi="Times New Roman" w:eastAsia="方正楷体_GBK" w:cs="Times New Roman"/>
          <w:b w:val="0"/>
          <w:bCs/>
          <w:color w:val="auto"/>
          <w:sz w:val="32"/>
          <w:szCs w:val="32"/>
          <w:highlight w:val="none"/>
        </w:rPr>
      </w:pPr>
      <w:bookmarkStart w:id="50" w:name="_Toc15377212"/>
      <w:r>
        <w:rPr>
          <w:rFonts w:hint="default" w:ascii="Times New Roman" w:hAnsi="Times New Roman" w:eastAsia="方正楷体_GBK" w:cs="Times New Roman"/>
          <w:b w:val="0"/>
          <w:bCs/>
          <w:color w:val="auto"/>
          <w:sz w:val="32"/>
          <w:szCs w:val="32"/>
          <w:highlight w:val="none"/>
        </w:rPr>
        <w:t>（三）一般公共预算财政拨款支出决算具体情况</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color w:val="auto"/>
          <w:sz w:val="32"/>
          <w:szCs w:val="32"/>
          <w:highlight w:val="none"/>
          <w:lang w:val="en-US" w:eastAsia="zh-CN"/>
        </w:rPr>
      </w:pPr>
      <w:r>
        <w:rPr>
          <w:rFonts w:hint="default" w:ascii="Times New Roman" w:hAnsi="Times New Roman" w:eastAsia="仿宋_GB2312" w:cs="Times New Roman"/>
          <w:b w:val="0"/>
          <w:color w:val="auto"/>
          <w:sz w:val="32"/>
          <w:szCs w:val="32"/>
          <w:highlight w:val="none"/>
          <w:lang w:val="en-US" w:eastAsia="zh-CN"/>
        </w:rPr>
        <w:t>2023年度一般公共预算支出决算数为13002.08，完成预算83.9%。其中：</w:t>
      </w:r>
    </w:p>
    <w:bookmarkEnd w:id="50"/>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color w:val="auto"/>
          <w:sz w:val="32"/>
          <w:szCs w:val="32"/>
          <w:highlight w:val="none"/>
          <w:lang w:val="en-US" w:eastAsia="zh-CN"/>
        </w:rPr>
      </w:pPr>
      <w:r>
        <w:rPr>
          <w:rFonts w:hint="default" w:ascii="Times New Roman" w:hAnsi="Times New Roman" w:eastAsia="仿宋_GB2312" w:cs="Times New Roman"/>
          <w:b w:val="0"/>
          <w:color w:val="auto"/>
          <w:sz w:val="32"/>
          <w:szCs w:val="32"/>
          <w:highlight w:val="none"/>
          <w:lang w:val="en-US" w:eastAsia="zh-CN"/>
        </w:rPr>
        <w:t>1.一般公共服务（类）政府办公厅（室）及相关机构事务（款）其他政府办公厅（室）及相关机构事务支出（项）：</w:t>
      </w:r>
      <w:r>
        <w:rPr>
          <w:rFonts w:hint="default" w:ascii="Times New Roman" w:hAnsi="Times New Roman" w:eastAsia="仿宋_GB2312" w:cs="Times New Roman"/>
          <w:b w:val="0"/>
          <w:color w:val="auto"/>
          <w:sz w:val="32"/>
          <w:szCs w:val="32"/>
          <w:highlight w:val="none"/>
          <w:lang w:val="en-US" w:eastAsia="zh-CN"/>
        </w:rPr>
        <w:t>支出决算201.98万元，完成预算93.9%，决算数小于预算数的主要原因是预算内基本建设项目政府采购结余资金按规定由财政注销收回。</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color w:val="auto"/>
          <w:sz w:val="32"/>
          <w:szCs w:val="32"/>
          <w:highlight w:val="none"/>
          <w:lang w:val="en-US" w:eastAsia="zh-CN"/>
        </w:rPr>
      </w:pPr>
      <w:r>
        <w:rPr>
          <w:rFonts w:hint="default" w:ascii="Times New Roman" w:hAnsi="Times New Roman" w:eastAsia="仿宋_GB2312" w:cs="Times New Roman"/>
          <w:b w:val="0"/>
          <w:color w:val="auto"/>
          <w:sz w:val="32"/>
          <w:szCs w:val="32"/>
          <w:highlight w:val="none"/>
          <w:lang w:val="en-US" w:eastAsia="zh-CN"/>
        </w:rPr>
        <w:t xml:space="preserve">2.教育支出（类）进修及培训（款）培训支出（项）: </w:t>
      </w:r>
      <w:r>
        <w:rPr>
          <w:rFonts w:hint="default" w:ascii="Times New Roman" w:hAnsi="Times New Roman" w:eastAsia="仿宋_GB2312" w:cs="Times New Roman"/>
          <w:b w:val="0"/>
          <w:color w:val="auto"/>
          <w:sz w:val="32"/>
          <w:szCs w:val="32"/>
          <w:highlight w:val="none"/>
          <w:lang w:val="en-US" w:eastAsia="zh-CN"/>
        </w:rPr>
        <w:t>支出决算156.58万元，完成预算97.6%，决算数小于预算数的主要原因是贯彻落实中央和省委省政府过紧日子要求，加强培训费管理，严格执行培训费标准。</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color w:val="auto"/>
          <w:sz w:val="32"/>
          <w:szCs w:val="32"/>
          <w:highlight w:val="none"/>
          <w:lang w:val="en-US" w:eastAsia="zh-CN"/>
        </w:rPr>
      </w:pPr>
      <w:r>
        <w:rPr>
          <w:rFonts w:hint="default" w:ascii="Times New Roman" w:hAnsi="Times New Roman" w:eastAsia="仿宋_GB2312" w:cs="Times New Roman"/>
          <w:b w:val="0"/>
          <w:color w:val="auto"/>
          <w:sz w:val="32"/>
          <w:szCs w:val="32"/>
          <w:highlight w:val="none"/>
          <w:lang w:val="en-US" w:eastAsia="zh-CN"/>
        </w:rPr>
        <w:t xml:space="preserve">3.文化旅游体育与传媒（类）广播电视（款）行政运行（项）: </w:t>
      </w:r>
      <w:r>
        <w:rPr>
          <w:rFonts w:hint="default" w:ascii="Times New Roman" w:hAnsi="Times New Roman" w:eastAsia="仿宋_GB2312" w:cs="Times New Roman"/>
          <w:b w:val="0"/>
          <w:color w:val="auto"/>
          <w:sz w:val="32"/>
          <w:szCs w:val="32"/>
          <w:highlight w:val="none"/>
          <w:lang w:val="en-US" w:eastAsia="zh-CN"/>
        </w:rPr>
        <w:t>支出决算2596.36万元，完成预算98.9%，决算数小于预算数的主要原因是贯彻落实中央和省委省政府过紧日子要求，加强行政单位日常经费管理。</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color w:val="auto"/>
          <w:sz w:val="32"/>
          <w:szCs w:val="32"/>
          <w:highlight w:val="none"/>
          <w:lang w:val="en-US" w:eastAsia="zh-CN"/>
        </w:rPr>
      </w:pPr>
      <w:r>
        <w:rPr>
          <w:rFonts w:hint="default" w:ascii="Times New Roman" w:hAnsi="Times New Roman" w:eastAsia="仿宋_GB2312" w:cs="Times New Roman"/>
          <w:b w:val="0"/>
          <w:color w:val="auto"/>
          <w:sz w:val="32"/>
          <w:szCs w:val="32"/>
          <w:highlight w:val="none"/>
          <w:lang w:val="en-US" w:eastAsia="zh-CN"/>
        </w:rPr>
        <w:t>4.文化旅游体育与传媒（类）广播电视（款）一般行政管理事务（项）:支出决算2187.22万元，完成预算85.4%，决算数小于预算数的主要原因是局机关广播电视安全播出经费和广播电视行业管理工作经费政府采购项目合同款项按规定结转至下年度继续执行。</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color w:val="auto"/>
          <w:sz w:val="32"/>
          <w:szCs w:val="32"/>
          <w:highlight w:val="none"/>
          <w:lang w:val="en-US" w:eastAsia="zh-CN"/>
        </w:rPr>
      </w:pPr>
      <w:r>
        <w:rPr>
          <w:rFonts w:hint="default" w:ascii="Times New Roman" w:hAnsi="Times New Roman" w:eastAsia="仿宋_GB2312" w:cs="Times New Roman"/>
          <w:b w:val="0"/>
          <w:color w:val="auto"/>
          <w:sz w:val="32"/>
          <w:szCs w:val="32"/>
          <w:highlight w:val="none"/>
          <w:lang w:val="en-US" w:eastAsia="zh-CN"/>
        </w:rPr>
        <w:t>5.文化旅游体育与传媒（类）广播电视（款）其他广播电视支出（项）:支出决算5870.6万元，完成预算74.1%，决算数小于预算数的主要原因：一是四川省广播电视公共服务平台提档升级扩容、“神秘蜀韵 百部川扬”网络视听精品传播大赛活动政府采购预算按规定结转下一年；二是四川省广播电视无线覆盖能力提升工程基本建设资金预算按规定结转下一年继续实施。</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color w:val="auto"/>
          <w:sz w:val="32"/>
          <w:szCs w:val="32"/>
          <w:highlight w:val="none"/>
          <w:lang w:val="en-US" w:eastAsia="zh-CN"/>
        </w:rPr>
      </w:pPr>
      <w:r>
        <w:rPr>
          <w:rFonts w:hint="default" w:ascii="Times New Roman" w:hAnsi="Times New Roman" w:eastAsia="仿宋_GB2312" w:cs="Times New Roman"/>
          <w:b w:val="0"/>
          <w:color w:val="auto"/>
          <w:sz w:val="32"/>
          <w:szCs w:val="32"/>
          <w:highlight w:val="none"/>
          <w:lang w:val="en-US" w:eastAsia="zh-CN"/>
        </w:rPr>
        <w:t>6.文化旅游体育与传媒（类）其他文化旅游体育与传媒支出（款）宣传文化发展专项支出（项）:支出决算237.75万元，完成预算99.1%，决算数小于预算数的主要原因是项目执行完毕，正常结余年底已由财政收回注销。</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color w:val="auto"/>
          <w:sz w:val="32"/>
          <w:szCs w:val="32"/>
          <w:highlight w:val="none"/>
          <w:lang w:val="en-US" w:eastAsia="zh-CN"/>
        </w:rPr>
      </w:pPr>
      <w:r>
        <w:rPr>
          <w:rFonts w:hint="default" w:ascii="Times New Roman" w:hAnsi="Times New Roman" w:eastAsia="仿宋_GB2312" w:cs="Times New Roman"/>
          <w:b w:val="0"/>
          <w:color w:val="auto"/>
          <w:sz w:val="32"/>
          <w:szCs w:val="32"/>
          <w:highlight w:val="none"/>
          <w:lang w:val="en-US" w:eastAsia="zh-CN"/>
        </w:rPr>
        <w:t xml:space="preserve">7.社会保障和就业（类）行政事业单位养老支出（款）行政单位离退休（项）:支出决算708.30万元，完成预算100%。 </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color w:val="auto"/>
          <w:sz w:val="32"/>
          <w:szCs w:val="32"/>
          <w:highlight w:val="none"/>
          <w:lang w:val="en-US" w:eastAsia="zh-CN"/>
        </w:rPr>
      </w:pPr>
      <w:r>
        <w:rPr>
          <w:rFonts w:hint="default" w:ascii="Times New Roman" w:hAnsi="Times New Roman" w:eastAsia="仿宋_GB2312" w:cs="Times New Roman"/>
          <w:b w:val="0"/>
          <w:color w:val="auto"/>
          <w:sz w:val="32"/>
          <w:szCs w:val="32"/>
          <w:highlight w:val="none"/>
          <w:lang w:val="en-US" w:eastAsia="zh-CN"/>
        </w:rPr>
        <w:t>8.社会保障和就业（类）行政事业单位养老支出（款）机关事业单位基本养老保险缴费支出（项）:支出决算232.95万元，完成预算96.4%，决算数小于预算数的主要原因是正常结余注销。</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color w:val="auto"/>
          <w:sz w:val="32"/>
          <w:szCs w:val="32"/>
          <w:highlight w:val="none"/>
          <w:lang w:val="en-US" w:eastAsia="zh-CN"/>
        </w:rPr>
      </w:pPr>
      <w:r>
        <w:rPr>
          <w:rFonts w:hint="default" w:ascii="Times New Roman" w:hAnsi="Times New Roman" w:eastAsia="仿宋_GB2312" w:cs="Times New Roman"/>
          <w:b w:val="0"/>
          <w:color w:val="auto"/>
          <w:sz w:val="32"/>
          <w:szCs w:val="32"/>
          <w:highlight w:val="none"/>
          <w:lang w:val="en-US" w:eastAsia="zh-CN"/>
        </w:rPr>
        <w:t>9.社会保障和就业（类）行政事业单位养老支出（款）机关事业单位职业年金缴费支出（项）:支出决算52.97万元，完成预算100%。</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color w:val="auto"/>
          <w:sz w:val="32"/>
          <w:szCs w:val="32"/>
          <w:highlight w:val="none"/>
          <w:lang w:val="en-US" w:eastAsia="zh-CN"/>
        </w:rPr>
      </w:pPr>
      <w:r>
        <w:rPr>
          <w:rFonts w:hint="default" w:ascii="Times New Roman" w:hAnsi="Times New Roman" w:eastAsia="仿宋_GB2312" w:cs="Times New Roman"/>
          <w:b w:val="0"/>
          <w:color w:val="auto"/>
          <w:sz w:val="32"/>
          <w:szCs w:val="32"/>
          <w:highlight w:val="none"/>
          <w:lang w:val="en-US" w:eastAsia="zh-CN"/>
        </w:rPr>
        <w:t>10.社会保障和就业（类）抚恤（款）死亡抚恤（项）:支出决算335.48万元，完成预算100%。</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color w:val="auto"/>
          <w:sz w:val="32"/>
          <w:szCs w:val="32"/>
          <w:highlight w:val="none"/>
          <w:lang w:val="en-US" w:eastAsia="zh-CN"/>
        </w:rPr>
      </w:pPr>
      <w:r>
        <w:rPr>
          <w:rFonts w:hint="default" w:ascii="Times New Roman" w:hAnsi="Times New Roman" w:eastAsia="仿宋_GB2312" w:cs="Times New Roman"/>
          <w:b w:val="0"/>
          <w:color w:val="auto"/>
          <w:sz w:val="32"/>
          <w:szCs w:val="32"/>
          <w:highlight w:val="none"/>
          <w:lang w:val="en-US" w:eastAsia="zh-CN"/>
        </w:rPr>
        <w:t>11.社会保障和就业（类）其他社会保障和就业支出（款）其他社会保障和就业支出（项）:支出决算8.32万元，完成预算90.6%，决算数小于预算数的主要原因是正常结余注销。</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color w:val="auto"/>
          <w:sz w:val="32"/>
          <w:szCs w:val="32"/>
          <w:highlight w:val="none"/>
          <w:lang w:val="en-US" w:eastAsia="zh-CN"/>
        </w:rPr>
      </w:pPr>
      <w:r>
        <w:rPr>
          <w:rFonts w:hint="default" w:ascii="Times New Roman" w:hAnsi="Times New Roman" w:eastAsia="仿宋_GB2312" w:cs="Times New Roman"/>
          <w:b w:val="0"/>
          <w:color w:val="auto"/>
          <w:sz w:val="32"/>
          <w:szCs w:val="32"/>
          <w:highlight w:val="none"/>
          <w:lang w:val="en-US" w:eastAsia="zh-CN"/>
        </w:rPr>
        <w:t>12.卫生健康（类）行政事业单位医疗（款）行政单位医疗（项）:支出决算159.29万元，完成预算99.9%，决算数小于预算数的主要原因是正常结余注销。</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color w:val="auto"/>
          <w:sz w:val="32"/>
          <w:szCs w:val="32"/>
          <w:highlight w:val="none"/>
          <w:lang w:val="en-US" w:eastAsia="zh-CN"/>
        </w:rPr>
      </w:pPr>
      <w:r>
        <w:rPr>
          <w:rFonts w:hint="default" w:ascii="Times New Roman" w:hAnsi="Times New Roman" w:eastAsia="仿宋_GB2312" w:cs="Times New Roman"/>
          <w:b w:val="0"/>
          <w:color w:val="auto"/>
          <w:sz w:val="32"/>
          <w:szCs w:val="32"/>
          <w:highlight w:val="none"/>
          <w:lang w:val="en-US" w:eastAsia="zh-CN"/>
        </w:rPr>
        <w:t>13.卫生健康（类）行政事业单位医疗（款）公务员医疗补助（项）:支出决算49.86万元，完成预算97.5%，决算数小于预算数的主要原因是正常结余注销。</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color w:val="auto"/>
          <w:sz w:val="32"/>
          <w:szCs w:val="32"/>
          <w:highlight w:val="none"/>
          <w:lang w:val="en-US" w:eastAsia="zh-CN"/>
        </w:rPr>
      </w:pPr>
      <w:r>
        <w:rPr>
          <w:rFonts w:hint="default" w:ascii="Times New Roman" w:hAnsi="Times New Roman" w:eastAsia="仿宋_GB2312" w:cs="Times New Roman"/>
          <w:b w:val="0"/>
          <w:color w:val="auto"/>
          <w:sz w:val="32"/>
          <w:szCs w:val="32"/>
          <w:highlight w:val="none"/>
          <w:lang w:val="en-US" w:eastAsia="zh-CN"/>
        </w:rPr>
        <w:t>14.住房保障支出（类）住房改革支出（款）住房公积金（项）:支出决算199.41万元，完成预算98%，决算数小于预算数的主要原因是正常结余注销。</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color w:val="auto"/>
          <w:sz w:val="32"/>
          <w:szCs w:val="32"/>
          <w:highlight w:val="none"/>
          <w:lang w:val="en-US" w:eastAsia="zh-CN"/>
        </w:rPr>
      </w:pPr>
      <w:r>
        <w:rPr>
          <w:rFonts w:hint="default" w:ascii="Times New Roman" w:hAnsi="Times New Roman" w:eastAsia="仿宋_GB2312" w:cs="Times New Roman"/>
          <w:b w:val="0"/>
          <w:color w:val="auto"/>
          <w:sz w:val="32"/>
          <w:szCs w:val="32"/>
          <w:highlight w:val="none"/>
          <w:lang w:val="en-US" w:eastAsia="zh-CN"/>
        </w:rPr>
        <w:t>15.灾害防治及应急管理支出（类）应急管理事务（款）其他应急管理支出（项）:支出决算5万元，完成预算100%。</w:t>
      </w:r>
    </w:p>
    <w:p>
      <w:pPr>
        <w:keepNext w:val="0"/>
        <w:keepLines w:val="0"/>
        <w:pageBreakBefore w:val="0"/>
        <w:widowControl w:val="0"/>
        <w:tabs>
          <w:tab w:val="right" w:pos="8306"/>
        </w:tabs>
        <w:kinsoku/>
        <w:wordWrap/>
        <w:overflowPunct/>
        <w:topLinePunct w:val="0"/>
        <w:autoSpaceDE/>
        <w:autoSpaceDN/>
        <w:bidi w:val="0"/>
        <w:adjustRightInd/>
        <w:snapToGrid/>
        <w:spacing w:line="600" w:lineRule="exact"/>
        <w:ind w:firstLine="641"/>
        <w:jc w:val="both"/>
        <w:textAlignment w:val="auto"/>
        <w:outlineLvl w:val="1"/>
        <w:rPr>
          <w:rStyle w:val="19"/>
          <w:rFonts w:hint="eastAsia" w:ascii="黑体" w:hAnsi="黑体" w:eastAsia="黑体" w:cs="黑体"/>
          <w:color w:val="auto"/>
          <w:highlight w:val="none"/>
        </w:rPr>
      </w:pPr>
      <w:bookmarkStart w:id="51" w:name="_Toc1750154126_WPSOffice_Level2"/>
      <w:bookmarkStart w:id="52" w:name="_Toc15377214"/>
      <w:bookmarkStart w:id="53" w:name="_Toc15396608"/>
      <w:bookmarkStart w:id="54" w:name="_Toc162297100_WPSOffice_Level2"/>
      <w:r>
        <w:rPr>
          <w:rFonts w:hint="eastAsia" w:ascii="黑体" w:hAnsi="黑体" w:eastAsia="黑体" w:cs="黑体"/>
          <w:color w:val="auto"/>
          <w:sz w:val="32"/>
          <w:szCs w:val="32"/>
          <w:highlight w:val="none"/>
        </w:rPr>
        <w:t>六</w:t>
      </w:r>
      <w:r>
        <w:rPr>
          <w:rFonts w:hint="eastAsia" w:ascii="黑体" w:hAnsi="黑体" w:eastAsia="黑体" w:cs="黑体"/>
          <w:b/>
          <w:color w:val="auto"/>
          <w:sz w:val="32"/>
          <w:szCs w:val="32"/>
          <w:highlight w:val="none"/>
        </w:rPr>
        <w:t>、一</w:t>
      </w:r>
      <w:r>
        <w:rPr>
          <w:rStyle w:val="19"/>
          <w:rFonts w:hint="eastAsia" w:ascii="黑体" w:hAnsi="黑体" w:eastAsia="黑体" w:cs="黑体"/>
          <w:b w:val="0"/>
          <w:color w:val="auto"/>
          <w:highlight w:val="none"/>
        </w:rPr>
        <w:t>般公共预算财政拨款基本支出决算情况说明</w:t>
      </w:r>
      <w:bookmarkEnd w:id="51"/>
      <w:r>
        <w:rPr>
          <w:rStyle w:val="19"/>
          <w:rFonts w:hint="eastAsia" w:ascii="黑体" w:hAnsi="黑体" w:eastAsia="黑体" w:cs="黑体"/>
          <w:b w:val="0"/>
          <w:color w:val="auto"/>
          <w:highlight w:val="none"/>
        </w:rPr>
        <w:tab/>
      </w:r>
    </w:p>
    <w:p>
      <w:pPr>
        <w:keepNext w:val="0"/>
        <w:keepLines w:val="0"/>
        <w:pageBreakBefore w:val="0"/>
        <w:widowControl w:val="0"/>
        <w:kinsoku/>
        <w:wordWrap/>
        <w:overflowPunct/>
        <w:topLinePunct w:val="0"/>
        <w:autoSpaceDE/>
        <w:autoSpaceDN/>
        <w:bidi w:val="0"/>
        <w:adjustRightInd/>
        <w:snapToGrid/>
        <w:spacing w:line="600" w:lineRule="exact"/>
        <w:ind w:firstLine="645"/>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2023</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eastAsia="zh-CN"/>
        </w:rPr>
        <w:t>度</w:t>
      </w:r>
      <w:r>
        <w:rPr>
          <w:rFonts w:hint="default" w:ascii="Times New Roman" w:hAnsi="Times New Roman" w:eastAsia="仿宋_GB2312" w:cs="Times New Roman"/>
          <w:color w:val="auto"/>
          <w:sz w:val="32"/>
          <w:szCs w:val="32"/>
          <w:highlight w:val="none"/>
        </w:rPr>
        <w:t>一般公共预算财政拨款基本支出</w:t>
      </w:r>
      <w:r>
        <w:rPr>
          <w:rFonts w:hint="default" w:ascii="Times New Roman" w:hAnsi="Times New Roman" w:eastAsia="仿宋_GB2312" w:cs="Times New Roman"/>
          <w:color w:val="auto"/>
          <w:sz w:val="32"/>
          <w:szCs w:val="32"/>
          <w:highlight w:val="none"/>
          <w:lang w:val="en-US" w:eastAsia="zh-CN"/>
        </w:rPr>
        <w:t>4499.52</w:t>
      </w:r>
      <w:r>
        <w:rPr>
          <w:rFonts w:hint="default" w:ascii="Times New Roman" w:hAnsi="Times New Roman" w:eastAsia="仿宋_GB2312" w:cs="Times New Roman"/>
          <w:color w:val="auto"/>
          <w:sz w:val="32"/>
          <w:szCs w:val="32"/>
          <w:highlight w:val="none"/>
        </w:rPr>
        <w:t>万元，其中：</w:t>
      </w:r>
    </w:p>
    <w:p>
      <w:pPr>
        <w:keepNext w:val="0"/>
        <w:keepLines w:val="0"/>
        <w:pageBreakBefore w:val="0"/>
        <w:widowControl w:val="0"/>
        <w:kinsoku/>
        <w:wordWrap/>
        <w:overflowPunct/>
        <w:topLinePunct w:val="0"/>
        <w:autoSpaceDE/>
        <w:autoSpaceDN/>
        <w:bidi w:val="0"/>
        <w:adjustRightInd/>
        <w:snapToGrid/>
        <w:spacing w:line="600" w:lineRule="exact"/>
        <w:ind w:firstLine="645"/>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人员经费</w:t>
      </w:r>
      <w:r>
        <w:rPr>
          <w:rFonts w:hint="default" w:ascii="Times New Roman" w:hAnsi="Times New Roman" w:eastAsia="仿宋_GB2312" w:cs="Times New Roman"/>
          <w:color w:val="auto"/>
          <w:sz w:val="32"/>
          <w:szCs w:val="32"/>
          <w:highlight w:val="none"/>
          <w:lang w:val="en-US" w:eastAsia="zh-CN"/>
        </w:rPr>
        <w:t>3598.93</w:t>
      </w:r>
      <w:r>
        <w:rPr>
          <w:rFonts w:hint="default" w:ascii="Times New Roman" w:hAnsi="Times New Roman" w:eastAsia="仿宋_GB2312" w:cs="Times New Roman"/>
          <w:color w:val="auto"/>
          <w:sz w:val="32"/>
          <w:szCs w:val="32"/>
          <w:highlight w:val="none"/>
        </w:rPr>
        <w:t>万元，主要包括：基本工资、津贴补贴、奖金、机关事业单位基本养老保险缴费、职业年金缴费、职工基本医疗保险缴费</w:t>
      </w:r>
      <w:r>
        <w:rPr>
          <w:rFonts w:hint="default" w:ascii="Times New Roman" w:hAnsi="Times New Roman" w:eastAsia="仿宋_GB2312" w:cs="Times New Roman"/>
          <w:color w:val="auto"/>
          <w:sz w:val="32"/>
          <w:szCs w:val="32"/>
          <w:highlight w:val="none"/>
          <w:lang w:eastAsia="zh-CN"/>
        </w:rPr>
        <w:t>、公务员医疗补助缴费、</w:t>
      </w:r>
      <w:r>
        <w:rPr>
          <w:rFonts w:hint="default" w:ascii="Times New Roman" w:hAnsi="Times New Roman" w:eastAsia="仿宋_GB2312" w:cs="Times New Roman"/>
          <w:color w:val="auto"/>
          <w:sz w:val="32"/>
          <w:szCs w:val="32"/>
          <w:highlight w:val="none"/>
        </w:rPr>
        <w:t>其他社会保障缴费、住房公积金</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其他工资福利支出、离休费、抚恤金、奖励金、其他对个人和家庭的补助支出等。</w:t>
      </w:r>
    </w:p>
    <w:p>
      <w:pPr>
        <w:keepNext w:val="0"/>
        <w:keepLines w:val="0"/>
        <w:pageBreakBefore w:val="0"/>
        <w:widowControl w:val="0"/>
        <w:kinsoku/>
        <w:wordWrap/>
        <w:overflowPunct/>
        <w:topLinePunct w:val="0"/>
        <w:autoSpaceDE/>
        <w:autoSpaceDN/>
        <w:bidi w:val="0"/>
        <w:adjustRightInd/>
        <w:snapToGrid/>
        <w:spacing w:line="600" w:lineRule="exact"/>
        <w:ind w:firstLine="645"/>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公用经费</w:t>
      </w:r>
      <w:r>
        <w:rPr>
          <w:rFonts w:hint="default" w:ascii="Times New Roman" w:hAnsi="Times New Roman" w:eastAsia="仿宋_GB2312" w:cs="Times New Roman"/>
          <w:color w:val="auto"/>
          <w:sz w:val="32"/>
          <w:szCs w:val="32"/>
          <w:highlight w:val="none"/>
          <w:lang w:val="en-US" w:eastAsia="zh-CN"/>
        </w:rPr>
        <w:t>900.59</w:t>
      </w:r>
      <w:r>
        <w:rPr>
          <w:rFonts w:hint="default" w:ascii="Times New Roman" w:hAnsi="Times New Roman" w:eastAsia="仿宋_GB2312" w:cs="Times New Roman"/>
          <w:color w:val="auto"/>
          <w:sz w:val="32"/>
          <w:szCs w:val="32"/>
          <w:highlight w:val="none"/>
        </w:rPr>
        <w:t>万元，主要包括：办公费、印刷费、咨询费、手续费、水费、电费、邮电费、差旅费、因公出国（境）费用、租赁费、会议费、培训费、公务接待费、劳务费、委托业务费、工会经费、福利费、公务用车运行维护费、其他交通费</w:t>
      </w:r>
      <w:r>
        <w:rPr>
          <w:rFonts w:hint="default" w:ascii="Times New Roman" w:hAnsi="Times New Roman" w:eastAsia="仿宋_GB2312" w:cs="Times New Roman"/>
          <w:color w:val="auto"/>
          <w:sz w:val="32"/>
          <w:szCs w:val="32"/>
          <w:highlight w:val="none"/>
          <w:lang w:eastAsia="zh-CN"/>
        </w:rPr>
        <w:t>用</w:t>
      </w:r>
      <w:r>
        <w:rPr>
          <w:rFonts w:hint="default" w:ascii="Times New Roman" w:hAnsi="Times New Roman" w:eastAsia="仿宋_GB2312" w:cs="Times New Roman"/>
          <w:color w:val="auto"/>
          <w:sz w:val="32"/>
          <w:szCs w:val="32"/>
          <w:highlight w:val="none"/>
        </w:rPr>
        <w:t>、其他商品和服务支出。</w:t>
      </w:r>
    </w:p>
    <w:bookmarkEnd w:id="52"/>
    <w:bookmarkEnd w:id="53"/>
    <w:bookmarkEnd w:id="54"/>
    <w:p>
      <w:pPr>
        <w:keepNext w:val="0"/>
        <w:keepLines w:val="0"/>
        <w:pageBreakBefore w:val="0"/>
        <w:widowControl w:val="0"/>
        <w:kinsoku/>
        <w:wordWrap/>
        <w:overflowPunct/>
        <w:topLinePunct w:val="0"/>
        <w:autoSpaceDE/>
        <w:autoSpaceDN/>
        <w:bidi w:val="0"/>
        <w:adjustRightInd/>
        <w:snapToGrid/>
        <w:spacing w:line="600" w:lineRule="exact"/>
        <w:ind w:firstLine="641"/>
        <w:jc w:val="both"/>
        <w:textAlignment w:val="auto"/>
        <w:outlineLvl w:val="1"/>
        <w:rPr>
          <w:rStyle w:val="19"/>
          <w:rFonts w:ascii="黑体" w:hAnsi="黑体" w:eastAsia="黑体"/>
          <w:b w:val="0"/>
          <w:color w:val="auto"/>
          <w:highlight w:val="none"/>
        </w:rPr>
      </w:pPr>
      <w:bookmarkStart w:id="55" w:name="_Toc204367348_WPSOffice_Level2"/>
      <w:bookmarkStart w:id="56" w:name="_Toc1158506411_WPSOffice_Level2"/>
      <w:bookmarkStart w:id="57" w:name="_Toc15377215"/>
      <w:bookmarkStart w:id="58" w:name="_Toc15396609"/>
      <w:r>
        <w:rPr>
          <w:rFonts w:hint="eastAsia" w:ascii="黑体" w:eastAsia="黑体"/>
          <w:color w:val="auto"/>
          <w:sz w:val="32"/>
          <w:szCs w:val="32"/>
          <w:highlight w:val="none"/>
        </w:rPr>
        <w:t>七、</w:t>
      </w:r>
      <w:r>
        <w:rPr>
          <w:rStyle w:val="19"/>
          <w:rFonts w:hint="eastAsia" w:ascii="黑体" w:hAnsi="黑体" w:eastAsia="黑体"/>
          <w:b w:val="0"/>
          <w:color w:val="auto"/>
          <w:highlight w:val="none"/>
        </w:rPr>
        <w:t>财政拨款</w:t>
      </w:r>
      <w:r>
        <w:rPr>
          <w:rStyle w:val="19"/>
          <w:rFonts w:hint="eastAsia" w:ascii="黑体" w:hAnsi="黑体" w:eastAsia="黑体"/>
          <w:color w:val="auto"/>
          <w:highlight w:val="none"/>
        </w:rPr>
        <w:t>“</w:t>
      </w:r>
      <w:r>
        <w:rPr>
          <w:rStyle w:val="19"/>
          <w:rFonts w:hint="eastAsia" w:ascii="黑体" w:hAnsi="黑体" w:eastAsia="黑体"/>
          <w:b w:val="0"/>
          <w:color w:val="auto"/>
          <w:highlight w:val="none"/>
        </w:rPr>
        <w:t>三公”经费支出决算情况说明</w:t>
      </w:r>
      <w:bookmarkEnd w:id="55"/>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2"/>
        <w:rPr>
          <w:rFonts w:hint="default" w:ascii="Times New Roman" w:hAnsi="Times New Roman" w:eastAsia="方正楷体_GBK" w:cs="Times New Roman"/>
          <w:b w:val="0"/>
          <w:bCs/>
          <w:color w:val="auto"/>
          <w:sz w:val="32"/>
          <w:szCs w:val="32"/>
          <w:highlight w:val="none"/>
        </w:rPr>
      </w:pPr>
      <w:r>
        <w:rPr>
          <w:rFonts w:hint="default" w:ascii="Times New Roman" w:hAnsi="Times New Roman" w:eastAsia="方正楷体_GBK" w:cs="Times New Roman"/>
          <w:b w:val="0"/>
          <w:bCs/>
          <w:color w:val="auto"/>
          <w:sz w:val="32"/>
          <w:szCs w:val="32"/>
          <w:highlight w:val="none"/>
        </w:rPr>
        <w:t>（一）“三公”经费财政拨款支出决算总体情况说明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2023</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eastAsia="zh-CN"/>
        </w:rPr>
        <w:t>度</w:t>
      </w:r>
      <w:r>
        <w:rPr>
          <w:rFonts w:hint="default" w:ascii="Times New Roman" w:hAnsi="Times New Roman" w:eastAsia="仿宋_GB2312" w:cs="Times New Roman"/>
          <w:color w:val="auto"/>
          <w:sz w:val="32"/>
          <w:szCs w:val="32"/>
          <w:highlight w:val="none"/>
        </w:rPr>
        <w:t>“三公”经费财政拨款支出决算为</w:t>
      </w:r>
      <w:r>
        <w:rPr>
          <w:rFonts w:hint="default" w:ascii="Times New Roman" w:hAnsi="Times New Roman" w:eastAsia="仿宋_GB2312" w:cs="Times New Roman"/>
          <w:color w:val="auto"/>
          <w:sz w:val="32"/>
          <w:szCs w:val="32"/>
          <w:highlight w:val="none"/>
          <w:lang w:val="en-US" w:eastAsia="zh-CN"/>
        </w:rPr>
        <w:t>151.51</w:t>
      </w:r>
      <w:r>
        <w:rPr>
          <w:rFonts w:hint="default" w:ascii="Times New Roman" w:hAnsi="Times New Roman" w:eastAsia="仿宋_GB2312" w:cs="Times New Roman"/>
          <w:color w:val="auto"/>
          <w:sz w:val="32"/>
          <w:szCs w:val="32"/>
          <w:highlight w:val="none"/>
        </w:rPr>
        <w:t>万元，完成预算</w:t>
      </w:r>
      <w:r>
        <w:rPr>
          <w:rFonts w:hint="default" w:ascii="Times New Roman" w:hAnsi="Times New Roman" w:eastAsia="仿宋_GB2312" w:cs="Times New Roman"/>
          <w:color w:val="auto"/>
          <w:sz w:val="32"/>
          <w:szCs w:val="32"/>
          <w:highlight w:val="none"/>
          <w:lang w:val="en-US" w:eastAsia="zh-CN"/>
        </w:rPr>
        <w:t>94.3</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较上年度增加</w:t>
      </w:r>
      <w:r>
        <w:rPr>
          <w:rFonts w:hint="default" w:ascii="Times New Roman" w:hAnsi="Times New Roman" w:eastAsia="仿宋_GB2312" w:cs="Times New Roman"/>
          <w:color w:val="auto"/>
          <w:sz w:val="32"/>
          <w:szCs w:val="32"/>
          <w:highlight w:val="none"/>
          <w:lang w:val="en-US" w:eastAsia="zh-CN"/>
        </w:rPr>
        <w:t>129.14万元，增长577.3%。</w:t>
      </w:r>
      <w:r>
        <w:rPr>
          <w:rFonts w:hint="default" w:ascii="Times New Roman" w:hAnsi="Times New Roman" w:eastAsia="仿宋_GB2312" w:cs="Times New Roman"/>
          <w:color w:val="auto"/>
          <w:sz w:val="32"/>
          <w:szCs w:val="32"/>
          <w:highlight w:val="none"/>
        </w:rPr>
        <w:t>决算数小于预算数的主要原因是</w:t>
      </w:r>
      <w:r>
        <w:rPr>
          <w:rFonts w:hint="default" w:ascii="Times New Roman" w:hAnsi="Times New Roman" w:eastAsia="仿宋_GB2312" w:cs="Times New Roman"/>
          <w:color w:val="auto"/>
          <w:sz w:val="32"/>
          <w:szCs w:val="32"/>
          <w:highlight w:val="none"/>
          <w:lang w:val="en-US" w:eastAsia="zh-CN"/>
        </w:rPr>
        <w:t>认真贯彻落实 “党政机</w:t>
      </w:r>
      <w:r>
        <w:rPr>
          <w:rFonts w:hint="default" w:ascii="Times New Roman" w:hAnsi="Times New Roman" w:eastAsia="仿宋_GB2312" w:cs="Times New Roman"/>
          <w:color w:val="auto"/>
          <w:spacing w:val="-6"/>
          <w:sz w:val="32"/>
          <w:szCs w:val="32"/>
          <w:highlight w:val="none"/>
          <w:lang w:val="en-US" w:eastAsia="zh-CN"/>
        </w:rPr>
        <w:t>关要坚持过紧日子”的要求，厉行节约，从严控制“三公”经费开支。</w:t>
      </w:r>
    </w:p>
    <w:bookmarkEnd w:id="56"/>
    <w:bookmarkEnd w:id="57"/>
    <w:bookmarkEnd w:id="58"/>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2"/>
        <w:rPr>
          <w:rFonts w:hint="default" w:ascii="Times New Roman" w:hAnsi="Times New Roman" w:eastAsia="方正楷体_GBK" w:cs="Times New Roman"/>
          <w:b w:val="0"/>
          <w:bCs/>
          <w:color w:val="auto"/>
          <w:sz w:val="32"/>
          <w:szCs w:val="32"/>
          <w:highlight w:val="none"/>
        </w:rPr>
      </w:pPr>
      <w:bookmarkStart w:id="59" w:name="_Toc15377217"/>
      <w:r>
        <w:rPr>
          <w:rFonts w:hint="default" w:ascii="Times New Roman" w:hAnsi="Times New Roman" w:eastAsia="方正楷体_GBK" w:cs="Times New Roman"/>
          <w:b w:val="0"/>
          <w:bCs/>
          <w:color w:val="auto"/>
          <w:sz w:val="32"/>
          <w:szCs w:val="32"/>
          <w:highlight w:val="none"/>
        </w:rPr>
        <w:t>（二）“三公”经费财政拨款支出决算具体情况说明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2"/>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2023</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eastAsia="zh-CN"/>
        </w:rPr>
        <w:t>度</w:t>
      </w:r>
      <w:r>
        <w:rPr>
          <w:rFonts w:hint="default" w:ascii="Times New Roman" w:hAnsi="Times New Roman" w:eastAsia="仿宋_GB2312" w:cs="Times New Roman"/>
          <w:color w:val="auto"/>
          <w:sz w:val="32"/>
          <w:szCs w:val="32"/>
          <w:highlight w:val="none"/>
        </w:rPr>
        <w:t>“三公”经费财政拨款支出决算中，因公出国（境）费支出决算</w:t>
      </w:r>
      <w:r>
        <w:rPr>
          <w:rFonts w:hint="default" w:ascii="Times New Roman" w:hAnsi="Times New Roman" w:eastAsia="仿宋_GB2312" w:cs="Times New Roman"/>
          <w:color w:val="auto"/>
          <w:sz w:val="32"/>
          <w:szCs w:val="32"/>
          <w:highlight w:val="none"/>
          <w:lang w:val="en-US" w:eastAsia="zh-CN"/>
        </w:rPr>
        <w:t>19.1</w:t>
      </w:r>
      <w:r>
        <w:rPr>
          <w:rFonts w:hint="default" w:ascii="Times New Roman" w:hAnsi="Times New Roman" w:eastAsia="仿宋_GB2312" w:cs="Times New Roman"/>
          <w:color w:val="auto"/>
          <w:sz w:val="32"/>
          <w:szCs w:val="32"/>
          <w:highlight w:val="none"/>
        </w:rPr>
        <w:t>万元，占</w:t>
      </w:r>
      <w:r>
        <w:rPr>
          <w:rFonts w:hint="default" w:ascii="Times New Roman" w:hAnsi="Times New Roman" w:eastAsia="仿宋_GB2312" w:cs="Times New Roman"/>
          <w:color w:val="auto"/>
          <w:sz w:val="32"/>
          <w:szCs w:val="32"/>
          <w:highlight w:val="none"/>
          <w:lang w:val="en-US" w:eastAsia="zh-CN"/>
        </w:rPr>
        <w:t>12.6</w:t>
      </w:r>
      <w:r>
        <w:rPr>
          <w:rFonts w:hint="default" w:ascii="Times New Roman" w:hAnsi="Times New Roman" w:eastAsia="仿宋_GB2312" w:cs="Times New Roman"/>
          <w:color w:val="auto"/>
          <w:sz w:val="32"/>
          <w:szCs w:val="32"/>
          <w:highlight w:val="none"/>
        </w:rPr>
        <w:t>%；公务用车购置及运行维护费支出决算</w:t>
      </w:r>
      <w:r>
        <w:rPr>
          <w:rFonts w:hint="default" w:ascii="Times New Roman" w:hAnsi="Times New Roman" w:eastAsia="仿宋_GB2312" w:cs="Times New Roman"/>
          <w:color w:val="auto"/>
          <w:sz w:val="32"/>
          <w:szCs w:val="32"/>
          <w:highlight w:val="none"/>
          <w:lang w:val="en-US" w:eastAsia="zh-CN"/>
        </w:rPr>
        <w:t>131.36</w:t>
      </w:r>
      <w:r>
        <w:rPr>
          <w:rFonts w:hint="default" w:ascii="Times New Roman" w:hAnsi="Times New Roman" w:eastAsia="仿宋_GB2312" w:cs="Times New Roman"/>
          <w:color w:val="auto"/>
          <w:sz w:val="32"/>
          <w:szCs w:val="32"/>
          <w:highlight w:val="none"/>
        </w:rPr>
        <w:t>万元，占</w:t>
      </w:r>
      <w:r>
        <w:rPr>
          <w:rFonts w:hint="default" w:ascii="Times New Roman" w:hAnsi="Times New Roman" w:eastAsia="仿宋_GB2312" w:cs="Times New Roman"/>
          <w:color w:val="auto"/>
          <w:sz w:val="32"/>
          <w:szCs w:val="32"/>
          <w:highlight w:val="none"/>
          <w:lang w:val="en-US" w:eastAsia="zh-CN"/>
        </w:rPr>
        <w:t>86.7</w:t>
      </w:r>
      <w:r>
        <w:rPr>
          <w:rFonts w:hint="default" w:ascii="Times New Roman" w:hAnsi="Times New Roman" w:eastAsia="仿宋_GB2312" w:cs="Times New Roman"/>
          <w:color w:val="auto"/>
          <w:sz w:val="32"/>
          <w:szCs w:val="32"/>
          <w:highlight w:val="none"/>
        </w:rPr>
        <w:t>%；公务接待费支出决算</w:t>
      </w:r>
      <w:r>
        <w:rPr>
          <w:rFonts w:hint="default" w:ascii="Times New Roman" w:hAnsi="Times New Roman" w:eastAsia="仿宋_GB2312" w:cs="Times New Roman"/>
          <w:color w:val="auto"/>
          <w:sz w:val="32"/>
          <w:szCs w:val="32"/>
          <w:highlight w:val="none"/>
          <w:lang w:val="en-US" w:eastAsia="zh-CN"/>
        </w:rPr>
        <w:t>1.05</w:t>
      </w:r>
      <w:r>
        <w:rPr>
          <w:rFonts w:hint="default" w:ascii="Times New Roman" w:hAnsi="Times New Roman" w:eastAsia="仿宋_GB2312" w:cs="Times New Roman"/>
          <w:color w:val="auto"/>
          <w:sz w:val="32"/>
          <w:szCs w:val="32"/>
          <w:highlight w:val="none"/>
        </w:rPr>
        <w:t>万元，占</w:t>
      </w:r>
      <w:r>
        <w:rPr>
          <w:rFonts w:hint="default" w:ascii="Times New Roman" w:hAnsi="Times New Roman" w:eastAsia="仿宋_GB2312" w:cs="Times New Roman"/>
          <w:color w:val="auto"/>
          <w:sz w:val="32"/>
          <w:szCs w:val="32"/>
          <w:highlight w:val="none"/>
          <w:lang w:val="en-US" w:eastAsia="zh-CN"/>
        </w:rPr>
        <w:t>0.7</w:t>
      </w:r>
      <w:r>
        <w:rPr>
          <w:rFonts w:hint="default" w:ascii="Times New Roman" w:hAnsi="Times New Roman" w:eastAsia="仿宋_GB2312" w:cs="Times New Roman"/>
          <w:color w:val="auto"/>
          <w:sz w:val="32"/>
          <w:szCs w:val="32"/>
          <w:highlight w:val="none"/>
        </w:rPr>
        <w:t>%。具体情况如下：</w:t>
      </w:r>
    </w:p>
    <w:bookmarkEnd w:id="59"/>
    <w:p>
      <w:pPr>
        <w:pStyle w:val="3"/>
        <w:ind w:left="0" w:leftChars="0" w:firstLine="0" w:firstLineChars="0"/>
        <w:jc w:val="center"/>
        <w:rPr>
          <w:rFonts w:hint="eastAsia" w:ascii="仿宋" w:hAnsi="仿宋" w:eastAsia="仿宋"/>
          <w:color w:val="auto"/>
          <w:sz w:val="32"/>
          <w:szCs w:val="32"/>
          <w:highlight w:val="none"/>
        </w:rPr>
      </w:pPr>
      <w:r>
        <w:rPr>
          <w:rFonts w:hint="eastAsia" w:ascii="仿宋" w:hAnsi="仿宋" w:eastAsia="仿宋"/>
          <w:color w:val="auto"/>
          <w:sz w:val="32"/>
          <w:szCs w:val="32"/>
          <w:highlight w:val="none"/>
          <w:lang w:eastAsia="zh-CN"/>
        </w:rPr>
        <w:drawing>
          <wp:inline distT="0" distB="0" distL="114300" distR="114300">
            <wp:extent cx="5080000" cy="3322955"/>
            <wp:effectExtent l="4445" t="4445" r="20955" b="635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2"/>
        <w:rPr>
          <w:rFonts w:hint="default" w:ascii="Times New Roman" w:hAnsi="Times New Roman" w:eastAsia="方正楷体_GBK" w:cs="Times New Roman"/>
          <w:b w:val="0"/>
          <w:bCs/>
          <w:color w:val="auto"/>
          <w:sz w:val="32"/>
          <w:szCs w:val="32"/>
          <w:highlight w:val="none"/>
        </w:rPr>
      </w:pPr>
      <w:r>
        <w:rPr>
          <w:rFonts w:hint="eastAsia" w:ascii="Times New Roman" w:hAnsi="Times New Roman" w:eastAsia="方正楷体_GBK" w:cs="Times New Roman"/>
          <w:b w:val="0"/>
          <w:bCs/>
          <w:color w:val="auto"/>
          <w:sz w:val="32"/>
          <w:szCs w:val="32"/>
          <w:highlight w:val="none"/>
        </w:rPr>
        <w:t>（图7：“三公”经费财政拨款支出结构）</w:t>
      </w:r>
    </w:p>
    <w:p>
      <w:pPr>
        <w:keepNext w:val="0"/>
        <w:keepLines w:val="0"/>
        <w:pageBreakBefore w:val="0"/>
        <w:widowControl w:val="0"/>
        <w:kinsoku/>
        <w:wordWrap/>
        <w:overflowPunct/>
        <w:topLinePunct w:val="0"/>
        <w:autoSpaceDE/>
        <w:autoSpaceDN/>
        <w:bidi w:val="0"/>
        <w:adjustRightInd/>
        <w:snapToGrid/>
        <w:spacing w:before="240" w:line="600" w:lineRule="exact"/>
        <w:ind w:firstLine="641"/>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color w:val="auto"/>
          <w:sz w:val="32"/>
          <w:szCs w:val="32"/>
          <w:highlight w:val="none"/>
        </w:rPr>
        <w:t>1.因公出国（境）经费支出</w:t>
      </w:r>
      <w:r>
        <w:rPr>
          <w:rFonts w:hint="default" w:ascii="Times New Roman" w:hAnsi="Times New Roman" w:eastAsia="仿宋_GB2312" w:cs="Times New Roman"/>
          <w:color w:val="auto"/>
          <w:sz w:val="32"/>
          <w:szCs w:val="32"/>
          <w:highlight w:val="none"/>
          <w:lang w:val="en-US" w:eastAsia="zh-CN"/>
        </w:rPr>
        <w:t>1.91</w:t>
      </w:r>
      <w:r>
        <w:rPr>
          <w:rFonts w:hint="default" w:ascii="Times New Roman" w:hAnsi="Times New Roman" w:eastAsia="仿宋_GB2312" w:cs="Times New Roman"/>
          <w:color w:val="auto"/>
          <w:sz w:val="32"/>
          <w:szCs w:val="32"/>
          <w:highlight w:val="none"/>
        </w:rPr>
        <w:t>万元，</w:t>
      </w:r>
      <w:r>
        <w:rPr>
          <w:rStyle w:val="15"/>
          <w:rFonts w:hint="default" w:ascii="Times New Roman" w:hAnsi="Times New Roman" w:eastAsia="仿宋_GB2312" w:cs="Times New Roman"/>
          <w:b w:val="0"/>
          <w:bCs/>
          <w:color w:val="auto"/>
          <w:sz w:val="32"/>
          <w:szCs w:val="32"/>
          <w:highlight w:val="none"/>
        </w:rPr>
        <w:t>完成预算</w:t>
      </w:r>
      <w:r>
        <w:rPr>
          <w:rStyle w:val="15"/>
          <w:rFonts w:hint="default" w:ascii="Times New Roman" w:hAnsi="Times New Roman" w:eastAsia="仿宋_GB2312" w:cs="Times New Roman"/>
          <w:b w:val="0"/>
          <w:bCs/>
          <w:color w:val="auto"/>
          <w:sz w:val="32"/>
          <w:szCs w:val="32"/>
          <w:highlight w:val="none"/>
          <w:lang w:val="en-US" w:eastAsia="zh-CN"/>
        </w:rPr>
        <w:t>100</w:t>
      </w:r>
      <w:r>
        <w:rPr>
          <w:rStyle w:val="15"/>
          <w:rFonts w:hint="default" w:ascii="Times New Roman" w:hAnsi="Times New Roman" w:eastAsia="仿宋_GB2312" w:cs="Times New Roman"/>
          <w:b w:val="0"/>
          <w:bCs/>
          <w:color w:val="auto"/>
          <w:sz w:val="32"/>
          <w:szCs w:val="32"/>
          <w:highlight w:val="none"/>
        </w:rPr>
        <w:t>%。</w:t>
      </w:r>
      <w:r>
        <w:rPr>
          <w:rFonts w:hint="default" w:ascii="Times New Roman" w:hAnsi="Times New Roman" w:eastAsia="仿宋_GB2312" w:cs="Times New Roman"/>
          <w:color w:val="auto"/>
          <w:sz w:val="32"/>
          <w:szCs w:val="32"/>
          <w:highlight w:val="none"/>
        </w:rPr>
        <w:t>全年安排因公出国（境）团组</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次，出国（境）</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人。因公出国（境）支出决算比</w:t>
      </w:r>
      <w:r>
        <w:rPr>
          <w:rFonts w:hint="default" w:ascii="Times New Roman" w:hAnsi="Times New Roman" w:eastAsia="仿宋_GB2312" w:cs="Times New Roman"/>
          <w:color w:val="auto"/>
          <w:sz w:val="32"/>
          <w:szCs w:val="32"/>
          <w:highlight w:val="none"/>
          <w:lang w:eastAsia="zh-CN"/>
        </w:rPr>
        <w:t>2022</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eastAsia="zh-CN"/>
        </w:rPr>
        <w:t>度</w:t>
      </w:r>
      <w:r>
        <w:rPr>
          <w:rFonts w:hint="default" w:ascii="Times New Roman" w:hAnsi="Times New Roman" w:eastAsia="仿宋_GB2312" w:cs="Times New Roman"/>
          <w:color w:val="auto"/>
          <w:sz w:val="32"/>
          <w:szCs w:val="32"/>
          <w:highlight w:val="none"/>
        </w:rPr>
        <w:t>增加</w:t>
      </w:r>
      <w:r>
        <w:rPr>
          <w:rFonts w:hint="default" w:ascii="Times New Roman" w:hAnsi="Times New Roman" w:eastAsia="仿宋_GB2312" w:cs="Times New Roman"/>
          <w:color w:val="auto"/>
          <w:sz w:val="32"/>
          <w:szCs w:val="32"/>
          <w:highlight w:val="none"/>
          <w:lang w:val="en-US" w:eastAsia="zh-CN"/>
        </w:rPr>
        <w:t>19.1</w:t>
      </w:r>
      <w:r>
        <w:rPr>
          <w:rFonts w:hint="default" w:ascii="Times New Roman" w:hAnsi="Times New Roman" w:eastAsia="仿宋_GB2312" w:cs="Times New Roman"/>
          <w:color w:val="auto"/>
          <w:sz w:val="32"/>
          <w:szCs w:val="32"/>
          <w:highlight w:val="none"/>
        </w:rPr>
        <w:t>万元。主要原因</w:t>
      </w:r>
      <w:r>
        <w:rPr>
          <w:rFonts w:hint="default" w:ascii="Times New Roman" w:hAnsi="Times New Roman" w:eastAsia="仿宋_GB2312" w:cs="Times New Roman"/>
          <w:color w:val="auto"/>
          <w:sz w:val="32"/>
          <w:szCs w:val="32"/>
          <w:highlight w:val="none"/>
          <w:lang w:eastAsia="zh-CN"/>
        </w:rPr>
        <w:t>是</w:t>
      </w:r>
      <w:r>
        <w:rPr>
          <w:rFonts w:hint="default" w:ascii="Times New Roman" w:hAnsi="Times New Roman" w:eastAsia="仿宋_GB2312" w:cs="Times New Roman"/>
          <w:sz w:val="32"/>
          <w:szCs w:val="32"/>
          <w:lang w:val="en-US" w:eastAsia="zh-CN"/>
        </w:rPr>
        <w:t>执行经批准的因公出国（镜）</w:t>
      </w:r>
      <w:r>
        <w:rPr>
          <w:rFonts w:hint="default" w:ascii="Times New Roman" w:hAnsi="Times New Roman" w:eastAsia="仿宋_GB2312" w:cs="Times New Roman"/>
          <w:color w:val="auto"/>
          <w:sz w:val="32"/>
          <w:szCs w:val="32"/>
          <w:highlight w:val="none"/>
          <w:lang w:eastAsia="zh-CN"/>
        </w:rPr>
        <w:t>任务</w:t>
      </w:r>
      <w:r>
        <w:rPr>
          <w:rFonts w:hint="default" w:ascii="Times New Roman" w:hAnsi="Times New Roman" w:eastAsia="仿宋_GB2312" w:cs="Times New Roman"/>
          <w:color w:val="auto"/>
          <w:sz w:val="32"/>
          <w:szCs w:val="32"/>
          <w:highlight w:val="none"/>
        </w:rPr>
        <w:t>。</w:t>
      </w:r>
    </w:p>
    <w:p>
      <w:pPr>
        <w:spacing w:line="600" w:lineRule="exact"/>
        <w:ind w:firstLine="64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开支内容包括：2023年度我局根据省委外办批复下达的因公出国（境）计划安排，1名厅级实职领导参加了省委宣传部组织的文化交流活动团，出访巴西、智利和墨西哥3个国家，出访严格按照省委外事工作委员会批准的任务执行，所有公务活动与原计划一致，共计执行22场公务活动，取得了较好的推介效果。</w:t>
      </w:r>
    </w:p>
    <w:p>
      <w:pPr>
        <w:spacing w:line="600" w:lineRule="exact"/>
        <w:ind w:firstLine="640"/>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color w:val="auto"/>
          <w:sz w:val="32"/>
          <w:szCs w:val="32"/>
          <w:highlight w:val="none"/>
        </w:rPr>
        <w:t>2.公务用车购置及运行维护费支出</w:t>
      </w:r>
      <w:r>
        <w:rPr>
          <w:rFonts w:hint="default" w:ascii="Times New Roman" w:hAnsi="Times New Roman" w:eastAsia="仿宋_GB2312" w:cs="Times New Roman"/>
          <w:color w:val="auto"/>
          <w:sz w:val="32"/>
          <w:szCs w:val="32"/>
          <w:highlight w:val="none"/>
          <w:lang w:val="en-US" w:eastAsia="zh-CN"/>
        </w:rPr>
        <w:t>131.36</w:t>
      </w:r>
      <w:r>
        <w:rPr>
          <w:rFonts w:hint="default" w:ascii="Times New Roman" w:hAnsi="Times New Roman" w:eastAsia="仿宋_GB2312" w:cs="Times New Roman"/>
          <w:color w:val="auto"/>
          <w:sz w:val="32"/>
          <w:szCs w:val="32"/>
          <w:highlight w:val="none"/>
        </w:rPr>
        <w:t>万元,</w:t>
      </w:r>
      <w:r>
        <w:rPr>
          <w:rStyle w:val="15"/>
          <w:rFonts w:hint="default" w:ascii="Times New Roman" w:hAnsi="Times New Roman" w:eastAsia="仿宋_GB2312" w:cs="Times New Roman"/>
          <w:b w:val="0"/>
          <w:bCs/>
          <w:color w:val="auto"/>
          <w:sz w:val="32"/>
          <w:szCs w:val="32"/>
          <w:highlight w:val="none"/>
        </w:rPr>
        <w:t>完成预算</w:t>
      </w:r>
      <w:r>
        <w:rPr>
          <w:rStyle w:val="15"/>
          <w:rFonts w:hint="default" w:ascii="Times New Roman" w:hAnsi="Times New Roman" w:eastAsia="仿宋_GB2312" w:cs="Times New Roman"/>
          <w:b w:val="0"/>
          <w:bCs/>
          <w:color w:val="auto"/>
          <w:sz w:val="32"/>
          <w:szCs w:val="32"/>
          <w:highlight w:val="none"/>
          <w:lang w:val="en-US" w:eastAsia="zh-CN"/>
        </w:rPr>
        <w:t>98.4</w:t>
      </w:r>
      <w:r>
        <w:rPr>
          <w:rStyle w:val="15"/>
          <w:rFonts w:hint="default" w:ascii="Times New Roman" w:hAnsi="Times New Roman" w:eastAsia="仿宋_GB2312" w:cs="Times New Roman"/>
          <w:b w:val="0"/>
          <w:bCs/>
          <w:color w:val="auto"/>
          <w:sz w:val="32"/>
          <w:szCs w:val="32"/>
          <w:highlight w:val="none"/>
        </w:rPr>
        <w:t>%。</w:t>
      </w:r>
      <w:r>
        <w:rPr>
          <w:rFonts w:hint="default" w:ascii="Times New Roman" w:hAnsi="Times New Roman" w:eastAsia="仿宋_GB2312" w:cs="Times New Roman"/>
          <w:color w:val="auto"/>
          <w:sz w:val="32"/>
          <w:szCs w:val="32"/>
          <w:highlight w:val="none"/>
        </w:rPr>
        <w:t>公务用车购置及运行维护费支出决算比</w:t>
      </w:r>
      <w:r>
        <w:rPr>
          <w:rFonts w:hint="default" w:ascii="Times New Roman" w:hAnsi="Times New Roman" w:eastAsia="仿宋_GB2312" w:cs="Times New Roman"/>
          <w:color w:val="auto"/>
          <w:sz w:val="32"/>
          <w:szCs w:val="32"/>
          <w:highlight w:val="none"/>
          <w:lang w:eastAsia="zh-CN"/>
        </w:rPr>
        <w:t>2022</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eastAsia="zh-CN"/>
        </w:rPr>
        <w:t>度</w:t>
      </w:r>
      <w:r>
        <w:rPr>
          <w:rFonts w:hint="default" w:ascii="Times New Roman" w:hAnsi="Times New Roman" w:eastAsia="仿宋_GB2312" w:cs="Times New Roman"/>
          <w:color w:val="auto"/>
          <w:sz w:val="32"/>
          <w:szCs w:val="32"/>
          <w:highlight w:val="none"/>
        </w:rPr>
        <w:t>增加</w:t>
      </w:r>
      <w:r>
        <w:rPr>
          <w:rFonts w:hint="default" w:ascii="Times New Roman" w:hAnsi="Times New Roman" w:eastAsia="仿宋_GB2312" w:cs="Times New Roman"/>
          <w:color w:val="auto"/>
          <w:sz w:val="32"/>
          <w:szCs w:val="32"/>
          <w:highlight w:val="none"/>
          <w:lang w:val="en-US" w:eastAsia="zh-CN"/>
        </w:rPr>
        <w:t>109.41</w:t>
      </w:r>
      <w:r>
        <w:rPr>
          <w:rFonts w:hint="default" w:ascii="Times New Roman" w:hAnsi="Times New Roman" w:eastAsia="仿宋_GB2312" w:cs="Times New Roman"/>
          <w:color w:val="auto"/>
          <w:sz w:val="32"/>
          <w:szCs w:val="32"/>
          <w:highlight w:val="none"/>
        </w:rPr>
        <w:t>万元，增长</w:t>
      </w:r>
      <w:r>
        <w:rPr>
          <w:rFonts w:hint="default" w:ascii="Times New Roman" w:hAnsi="Times New Roman" w:eastAsia="仿宋_GB2312" w:cs="Times New Roman"/>
          <w:color w:val="auto"/>
          <w:sz w:val="32"/>
          <w:szCs w:val="32"/>
          <w:highlight w:val="none"/>
          <w:lang w:val="en-US" w:eastAsia="zh-CN"/>
        </w:rPr>
        <w:t>498.5</w:t>
      </w:r>
      <w:r>
        <w:rPr>
          <w:rFonts w:hint="default" w:ascii="Times New Roman" w:hAnsi="Times New Roman" w:eastAsia="仿宋_GB2312" w:cs="Times New Roman"/>
          <w:color w:val="auto"/>
          <w:sz w:val="32"/>
          <w:szCs w:val="32"/>
          <w:highlight w:val="none"/>
        </w:rPr>
        <w:t>%。主要原因是</w:t>
      </w:r>
      <w:r>
        <w:rPr>
          <w:rFonts w:hint="default" w:ascii="Times New Roman" w:hAnsi="Times New Roman" w:eastAsia="仿宋_GB2312" w:cs="Times New Roman"/>
          <w:color w:val="auto"/>
          <w:sz w:val="32"/>
          <w:szCs w:val="32"/>
          <w:highlight w:val="none"/>
          <w:lang w:eastAsia="zh-CN"/>
        </w:rPr>
        <w:t>在预算内按规定购置三辆涉藏台站业务用车</w:t>
      </w:r>
      <w:r>
        <w:rPr>
          <w:rFonts w:hint="default" w:ascii="Times New Roman" w:hAnsi="Times New Roman" w:eastAsia="仿宋_GB2312" w:cs="Times New Roman"/>
          <w:color w:val="auto"/>
          <w:sz w:val="32"/>
          <w:szCs w:val="32"/>
          <w:highlight w:val="none"/>
        </w:rPr>
        <w:t>。</w:t>
      </w:r>
    </w:p>
    <w:p>
      <w:pPr>
        <w:spacing w:line="600" w:lineRule="exact"/>
        <w:ind w:firstLine="640" w:firstLineChars="200"/>
        <w:rPr>
          <w:rFonts w:hint="default" w:ascii="Times New Roman" w:hAnsi="Times New Roman" w:eastAsia="仿宋_GB2312" w:cs="Times New Roman"/>
          <w:b/>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auto"/>
          <w:sz w:val="32"/>
          <w:szCs w:val="32"/>
          <w:highlight w:val="none"/>
        </w:rPr>
        <w:t>其中：公务用车购置支出</w:t>
      </w:r>
      <w:r>
        <w:rPr>
          <w:rFonts w:hint="default" w:ascii="Times New Roman" w:hAnsi="Times New Roman" w:eastAsia="仿宋_GB2312" w:cs="Times New Roman"/>
          <w:color w:val="auto"/>
          <w:sz w:val="32"/>
          <w:szCs w:val="32"/>
          <w:highlight w:val="none"/>
          <w:lang w:val="en-US" w:eastAsia="zh-CN"/>
        </w:rPr>
        <w:t>104.99</w:t>
      </w:r>
      <w:r>
        <w:rPr>
          <w:rFonts w:hint="default" w:ascii="Times New Roman" w:hAnsi="Times New Roman" w:eastAsia="仿宋_GB2312" w:cs="Times New Roman"/>
          <w:color w:val="auto"/>
          <w:sz w:val="32"/>
          <w:szCs w:val="32"/>
          <w:highlight w:val="none"/>
        </w:rPr>
        <w:t>万元。全年按规定更新购置公务用车</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辆，其中：轿车</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辆、金额</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万元，越野车</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辆、金额</w:t>
      </w:r>
      <w:r>
        <w:rPr>
          <w:rFonts w:hint="default" w:ascii="Times New Roman" w:hAnsi="Times New Roman" w:eastAsia="仿宋_GB2312" w:cs="Times New Roman"/>
          <w:color w:val="auto"/>
          <w:sz w:val="32"/>
          <w:szCs w:val="32"/>
          <w:highlight w:val="none"/>
          <w:lang w:val="en-US" w:eastAsia="zh-CN"/>
        </w:rPr>
        <w:t>104.99</w:t>
      </w:r>
      <w:r>
        <w:rPr>
          <w:rFonts w:hint="default" w:ascii="Times New Roman" w:hAnsi="Times New Roman" w:eastAsia="仿宋_GB2312" w:cs="Times New Roman"/>
          <w:color w:val="auto"/>
          <w:sz w:val="32"/>
          <w:szCs w:val="32"/>
          <w:highlight w:val="none"/>
        </w:rPr>
        <w:t>万元，载客汽车</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辆、金额</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万元，主要用于</w:t>
      </w:r>
      <w:r>
        <w:rPr>
          <w:rFonts w:hint="default" w:ascii="Times New Roman" w:hAnsi="Times New Roman" w:eastAsia="仿宋_GB2312" w:cs="Times New Roman"/>
          <w:color w:val="auto"/>
          <w:sz w:val="32"/>
          <w:szCs w:val="32"/>
          <w:highlight w:val="none"/>
          <w:lang w:eastAsia="zh-CN"/>
        </w:rPr>
        <w:t>涉藏台站保障安全播出工作正常开展</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截至</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2023</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年12月</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31日</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，单位共有公务用车</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9</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辆，其中：轿车</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6</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辆、越野车</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辆、载客汽车</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辆。</w:t>
      </w:r>
    </w:p>
    <w:p>
      <w:pPr>
        <w:spacing w:line="600" w:lineRule="exact"/>
        <w:ind w:firstLine="64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公务用车运行维护费支出</w:t>
      </w:r>
      <w:r>
        <w:rPr>
          <w:rFonts w:hint="default" w:ascii="Times New Roman" w:hAnsi="Times New Roman" w:eastAsia="仿宋_GB2312" w:cs="Times New Roman"/>
          <w:color w:val="auto"/>
          <w:sz w:val="32"/>
          <w:szCs w:val="32"/>
          <w:highlight w:val="none"/>
          <w:lang w:val="en-US" w:eastAsia="zh-CN"/>
        </w:rPr>
        <w:t>26.37</w:t>
      </w:r>
      <w:r>
        <w:rPr>
          <w:rFonts w:hint="default" w:ascii="Times New Roman" w:hAnsi="Times New Roman" w:eastAsia="仿宋_GB2312" w:cs="Times New Roman"/>
          <w:color w:val="auto"/>
          <w:sz w:val="32"/>
          <w:szCs w:val="32"/>
          <w:highlight w:val="none"/>
        </w:rPr>
        <w:t>万元。主要用于组织开展基层广播电视公共服务提质增</w:t>
      </w:r>
      <w:r>
        <w:rPr>
          <w:rFonts w:hint="default" w:ascii="Times New Roman" w:hAnsi="Times New Roman" w:eastAsia="仿宋_GB2312" w:cs="Times New Roman"/>
          <w:color w:val="auto"/>
          <w:sz w:val="32"/>
          <w:szCs w:val="32"/>
        </w:rPr>
        <w:t>效、全省广播电视户户通、中央广播电视节目无线数字化覆盖工程建设管理</w:t>
      </w:r>
      <w:r>
        <w:rPr>
          <w:rFonts w:hint="default" w:ascii="Times New Roman" w:hAnsi="Times New Roman" w:eastAsia="仿宋_GB2312" w:cs="Times New Roman"/>
          <w:color w:val="auto"/>
          <w:sz w:val="32"/>
          <w:szCs w:val="32"/>
          <w:highlight w:val="none"/>
        </w:rPr>
        <w:t>等所需的公务用车燃料费、维修费、过路过桥费、保险费等支出。</w:t>
      </w:r>
    </w:p>
    <w:p>
      <w:pPr>
        <w:spacing w:line="600" w:lineRule="exact"/>
        <w:ind w:firstLine="64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3.公务接待费支出</w:t>
      </w:r>
      <w:r>
        <w:rPr>
          <w:rFonts w:hint="default" w:ascii="Times New Roman" w:hAnsi="Times New Roman" w:eastAsia="仿宋_GB2312" w:cs="Times New Roman"/>
          <w:color w:val="auto"/>
          <w:sz w:val="32"/>
          <w:szCs w:val="32"/>
          <w:highlight w:val="none"/>
          <w:lang w:val="en-US" w:eastAsia="zh-CN"/>
        </w:rPr>
        <w:t>1.05</w:t>
      </w:r>
      <w:r>
        <w:rPr>
          <w:rFonts w:hint="default" w:ascii="Times New Roman" w:hAnsi="Times New Roman" w:eastAsia="仿宋_GB2312" w:cs="Times New Roman"/>
          <w:color w:val="auto"/>
          <w:sz w:val="32"/>
          <w:szCs w:val="32"/>
          <w:highlight w:val="none"/>
        </w:rPr>
        <w:t>万元，</w:t>
      </w:r>
      <w:r>
        <w:rPr>
          <w:rStyle w:val="15"/>
          <w:rFonts w:hint="default" w:ascii="Times New Roman" w:hAnsi="Times New Roman" w:eastAsia="仿宋_GB2312" w:cs="Times New Roman"/>
          <w:b w:val="0"/>
          <w:bCs/>
          <w:color w:val="auto"/>
          <w:sz w:val="32"/>
          <w:szCs w:val="32"/>
          <w:highlight w:val="none"/>
        </w:rPr>
        <w:t>完成预算</w:t>
      </w:r>
      <w:r>
        <w:rPr>
          <w:rStyle w:val="15"/>
          <w:rFonts w:hint="default" w:ascii="Times New Roman" w:hAnsi="Times New Roman" w:eastAsia="仿宋_GB2312" w:cs="Times New Roman"/>
          <w:b w:val="0"/>
          <w:bCs/>
          <w:color w:val="auto"/>
          <w:sz w:val="32"/>
          <w:szCs w:val="32"/>
          <w:highlight w:val="none"/>
          <w:lang w:val="en-US" w:eastAsia="zh-CN"/>
        </w:rPr>
        <w:t>13.1</w:t>
      </w:r>
      <w:r>
        <w:rPr>
          <w:rStyle w:val="15"/>
          <w:rFonts w:hint="default" w:ascii="Times New Roman" w:hAnsi="Times New Roman" w:eastAsia="仿宋_GB2312" w:cs="Times New Roman"/>
          <w:b w:val="0"/>
          <w:bCs/>
          <w:color w:val="auto"/>
          <w:sz w:val="32"/>
          <w:szCs w:val="32"/>
          <w:highlight w:val="none"/>
        </w:rPr>
        <w:t>%。</w:t>
      </w:r>
      <w:r>
        <w:rPr>
          <w:rFonts w:hint="default" w:ascii="Times New Roman" w:hAnsi="Times New Roman" w:eastAsia="仿宋_GB2312" w:cs="Times New Roman"/>
          <w:color w:val="auto"/>
          <w:sz w:val="32"/>
          <w:szCs w:val="32"/>
          <w:highlight w:val="none"/>
        </w:rPr>
        <w:t>公务接待费支出决算比</w:t>
      </w:r>
      <w:r>
        <w:rPr>
          <w:rFonts w:hint="default" w:ascii="Times New Roman" w:hAnsi="Times New Roman" w:eastAsia="仿宋_GB2312" w:cs="Times New Roman"/>
          <w:color w:val="auto"/>
          <w:sz w:val="32"/>
          <w:szCs w:val="32"/>
          <w:highlight w:val="none"/>
          <w:lang w:eastAsia="zh-CN"/>
        </w:rPr>
        <w:t>2022</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eastAsia="zh-CN"/>
        </w:rPr>
        <w:t>度</w:t>
      </w:r>
      <w:r>
        <w:rPr>
          <w:rFonts w:hint="default" w:ascii="Times New Roman" w:hAnsi="Times New Roman" w:eastAsia="仿宋_GB2312" w:cs="Times New Roman"/>
          <w:color w:val="auto"/>
          <w:sz w:val="32"/>
          <w:szCs w:val="32"/>
          <w:highlight w:val="none"/>
        </w:rPr>
        <w:t>增加</w:t>
      </w:r>
      <w:r>
        <w:rPr>
          <w:rFonts w:hint="default" w:ascii="Times New Roman" w:hAnsi="Times New Roman" w:eastAsia="仿宋_GB2312" w:cs="Times New Roman"/>
          <w:color w:val="auto"/>
          <w:sz w:val="32"/>
          <w:szCs w:val="32"/>
          <w:highlight w:val="none"/>
          <w:lang w:val="en-US" w:eastAsia="zh-CN"/>
        </w:rPr>
        <w:t>0.63</w:t>
      </w:r>
      <w:r>
        <w:rPr>
          <w:rFonts w:hint="default" w:ascii="Times New Roman" w:hAnsi="Times New Roman" w:eastAsia="仿宋_GB2312" w:cs="Times New Roman"/>
          <w:color w:val="auto"/>
          <w:sz w:val="32"/>
          <w:szCs w:val="32"/>
          <w:highlight w:val="none"/>
        </w:rPr>
        <w:t>万元，增长</w:t>
      </w:r>
      <w:r>
        <w:rPr>
          <w:rFonts w:hint="default" w:ascii="Times New Roman" w:hAnsi="Times New Roman" w:eastAsia="仿宋_GB2312" w:cs="Times New Roman"/>
          <w:color w:val="auto"/>
          <w:sz w:val="32"/>
          <w:szCs w:val="32"/>
          <w:highlight w:val="none"/>
          <w:lang w:val="en-US" w:eastAsia="zh-CN"/>
        </w:rPr>
        <w:t>150</w:t>
      </w:r>
      <w:r>
        <w:rPr>
          <w:rFonts w:hint="default" w:ascii="Times New Roman" w:hAnsi="Times New Roman" w:eastAsia="仿宋_GB2312" w:cs="Times New Roman"/>
          <w:color w:val="auto"/>
          <w:sz w:val="32"/>
          <w:szCs w:val="32"/>
          <w:highlight w:val="none"/>
        </w:rPr>
        <w:t>%。主要原因是</w:t>
      </w:r>
      <w:r>
        <w:rPr>
          <w:rFonts w:hint="default" w:ascii="Times New Roman" w:hAnsi="Times New Roman" w:eastAsia="仿宋_GB2312" w:cs="Times New Roman"/>
          <w:color w:val="auto"/>
          <w:sz w:val="32"/>
          <w:szCs w:val="32"/>
          <w:highlight w:val="none"/>
          <w:lang w:eastAsia="zh-CN"/>
        </w:rPr>
        <w:t>按规定开展公务接待工作</w:t>
      </w:r>
      <w:r>
        <w:rPr>
          <w:rFonts w:hint="default" w:ascii="Times New Roman" w:hAnsi="Times New Roman" w:eastAsia="仿宋_GB2312" w:cs="Times New Roman"/>
          <w:color w:val="auto"/>
          <w:sz w:val="32"/>
          <w:szCs w:val="32"/>
          <w:highlight w:val="none"/>
        </w:rPr>
        <w:t>。其中：</w:t>
      </w:r>
    </w:p>
    <w:p>
      <w:pPr>
        <w:spacing w:line="600" w:lineRule="exact"/>
        <w:ind w:firstLine="64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国内公务接待支出</w:t>
      </w:r>
      <w:r>
        <w:rPr>
          <w:rFonts w:hint="default" w:ascii="Times New Roman" w:hAnsi="Times New Roman" w:eastAsia="仿宋_GB2312" w:cs="Times New Roman"/>
          <w:color w:val="auto"/>
          <w:sz w:val="32"/>
          <w:szCs w:val="32"/>
          <w:highlight w:val="none"/>
          <w:lang w:val="en-US" w:eastAsia="zh-CN"/>
        </w:rPr>
        <w:t>1.05</w:t>
      </w:r>
      <w:r>
        <w:rPr>
          <w:rFonts w:hint="default" w:ascii="Times New Roman" w:hAnsi="Times New Roman" w:eastAsia="仿宋_GB2312" w:cs="Times New Roman"/>
          <w:color w:val="auto"/>
          <w:sz w:val="32"/>
          <w:szCs w:val="32"/>
          <w:highlight w:val="none"/>
        </w:rPr>
        <w:t>万元，主要用于执行公务、开展业务活动开支的交通费、住宿费、用餐费等。国内公务接待</w:t>
      </w:r>
      <w:r>
        <w:rPr>
          <w:rFonts w:hint="default" w:ascii="Times New Roman" w:hAnsi="Times New Roman" w:eastAsia="仿宋_GB2312"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rPr>
        <w:t>批次，</w:t>
      </w:r>
      <w:r>
        <w:rPr>
          <w:rFonts w:hint="default" w:ascii="Times New Roman" w:hAnsi="Times New Roman" w:eastAsia="仿宋_GB2312" w:cs="Times New Roman"/>
          <w:color w:val="auto"/>
          <w:sz w:val="32"/>
          <w:szCs w:val="32"/>
          <w:highlight w:val="none"/>
          <w:lang w:val="en-US" w:eastAsia="zh-CN"/>
        </w:rPr>
        <w:t>54</w:t>
      </w:r>
      <w:r>
        <w:rPr>
          <w:rFonts w:hint="default" w:ascii="Times New Roman" w:hAnsi="Times New Roman" w:eastAsia="仿宋_GB2312" w:cs="Times New Roman"/>
          <w:color w:val="auto"/>
          <w:sz w:val="32"/>
          <w:szCs w:val="32"/>
          <w:highlight w:val="none"/>
        </w:rPr>
        <w:t>人次（不包括陪同人员），共计支出</w:t>
      </w:r>
      <w:r>
        <w:rPr>
          <w:rFonts w:hint="default" w:ascii="Times New Roman" w:hAnsi="Times New Roman" w:eastAsia="仿宋_GB2312" w:cs="Times New Roman"/>
          <w:color w:val="auto"/>
          <w:sz w:val="32"/>
          <w:szCs w:val="32"/>
          <w:highlight w:val="none"/>
          <w:lang w:val="en-US" w:eastAsia="zh-CN"/>
        </w:rPr>
        <w:t>1.05</w:t>
      </w:r>
      <w:r>
        <w:rPr>
          <w:rFonts w:hint="default" w:ascii="Times New Roman" w:hAnsi="Times New Roman" w:eastAsia="仿宋_GB2312" w:cs="Times New Roman"/>
          <w:color w:val="auto"/>
          <w:sz w:val="32"/>
          <w:szCs w:val="32"/>
          <w:highlight w:val="none"/>
        </w:rPr>
        <w:t>万元，具体内容包括：</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接待广电总局、兄弟省份来川调研、考察交流接待费用</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1.05万元</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p>
    <w:p>
      <w:pPr>
        <w:spacing w:line="600" w:lineRule="exact"/>
        <w:ind w:firstLine="640" w:firstLineChars="200"/>
        <w:rPr>
          <w:rFonts w:hint="default" w:ascii="Times New Roman" w:hAnsi="Times New Roman" w:eastAsia="仿宋_GB2312" w:cs="Times New Roman"/>
          <w:color w:val="auto"/>
          <w:sz w:val="32"/>
          <w:szCs w:val="32"/>
          <w:highlight w:val="none"/>
        </w:rPr>
      </w:pPr>
      <w:bookmarkStart w:id="88" w:name="_GoBack"/>
      <w:r>
        <w:rPr>
          <w:rFonts w:hint="default" w:ascii="Times New Roman" w:hAnsi="Times New Roman" w:eastAsia="仿宋_GB2312" w:cs="Times New Roman"/>
          <w:color w:val="auto"/>
          <w:sz w:val="32"/>
          <w:szCs w:val="32"/>
          <w:highlight w:val="none"/>
        </w:rPr>
        <w:t>外事接待支出</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w:t>
      </w:r>
      <w:bookmarkEnd w:id="88"/>
      <w:r>
        <w:rPr>
          <w:rFonts w:hint="default" w:ascii="Times New Roman" w:hAnsi="Times New Roman" w:eastAsia="仿宋_GB2312" w:cs="Times New Roman"/>
          <w:color w:val="auto"/>
          <w:sz w:val="32"/>
          <w:szCs w:val="32"/>
          <w:highlight w:val="none"/>
        </w:rPr>
        <w:t>元</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外事接待</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批次，</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人</w:t>
      </w:r>
      <w:r>
        <w:rPr>
          <w:rFonts w:hint="default" w:ascii="Times New Roman" w:hAnsi="Times New Roman" w:eastAsia="仿宋_GB2312" w:cs="Times New Roman"/>
          <w:color w:val="auto"/>
          <w:sz w:val="32"/>
          <w:szCs w:val="32"/>
          <w:highlight w:val="none"/>
          <w:lang w:eastAsia="zh-CN"/>
        </w:rPr>
        <w:t>次</w:t>
      </w:r>
      <w:r>
        <w:rPr>
          <w:rFonts w:hint="default" w:ascii="Times New Roman" w:hAnsi="Times New Roman" w:eastAsia="仿宋_GB2312" w:cs="Times New Roman"/>
          <w:color w:val="auto"/>
          <w:sz w:val="32"/>
          <w:szCs w:val="32"/>
          <w:highlight w:val="none"/>
        </w:rPr>
        <w:t>，共计支出</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w:t>
      </w:r>
    </w:p>
    <w:p>
      <w:pPr>
        <w:keepNext w:val="0"/>
        <w:keepLines w:val="0"/>
        <w:pageBreakBefore w:val="0"/>
        <w:widowControl w:val="0"/>
        <w:kinsoku/>
        <w:wordWrap/>
        <w:overflowPunct/>
        <w:topLinePunct w:val="0"/>
        <w:autoSpaceDE/>
        <w:autoSpaceDN/>
        <w:bidi w:val="0"/>
        <w:adjustRightInd/>
        <w:snapToGrid/>
        <w:spacing w:line="600" w:lineRule="exact"/>
        <w:ind w:firstLine="641"/>
        <w:textAlignment w:val="auto"/>
        <w:outlineLvl w:val="1"/>
        <w:rPr>
          <w:rStyle w:val="19"/>
          <w:rFonts w:ascii="黑体" w:hAnsi="黑体" w:eastAsia="黑体"/>
          <w:color w:val="auto"/>
          <w:highlight w:val="none"/>
        </w:rPr>
      </w:pPr>
      <w:bookmarkStart w:id="60" w:name="_Toc1540761668_WPSOffice_Level2"/>
      <w:bookmarkStart w:id="61" w:name="_Toc1724579311_WPSOffice_Level2"/>
      <w:r>
        <w:rPr>
          <w:rFonts w:hint="eastAsia" w:ascii="黑体" w:eastAsia="黑体"/>
          <w:color w:val="auto"/>
          <w:sz w:val="32"/>
          <w:szCs w:val="32"/>
          <w:highlight w:val="none"/>
        </w:rPr>
        <w:t>八、</w:t>
      </w:r>
      <w:r>
        <w:rPr>
          <w:rStyle w:val="19"/>
          <w:rFonts w:hint="eastAsia" w:ascii="黑体" w:hAnsi="黑体" w:eastAsia="黑体"/>
          <w:b w:val="0"/>
          <w:color w:val="auto"/>
          <w:highlight w:val="none"/>
        </w:rPr>
        <w:t>政府性基金预算支出决算情况说明</w:t>
      </w:r>
      <w:bookmarkEnd w:id="60"/>
    </w:p>
    <w:p>
      <w:pPr>
        <w:spacing w:line="600" w:lineRule="exact"/>
        <w:ind w:firstLine="64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2023</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eastAsia="zh-CN"/>
        </w:rPr>
        <w:t>度没有</w:t>
      </w:r>
      <w:r>
        <w:rPr>
          <w:rFonts w:hint="default" w:ascii="Times New Roman" w:hAnsi="Times New Roman" w:eastAsia="仿宋_GB2312" w:cs="Times New Roman"/>
          <w:color w:val="auto"/>
          <w:sz w:val="32"/>
          <w:szCs w:val="32"/>
          <w:highlight w:val="none"/>
        </w:rPr>
        <w:t>政府性基金</w:t>
      </w:r>
      <w:r>
        <w:rPr>
          <w:rFonts w:hint="default" w:ascii="Times New Roman" w:hAnsi="Times New Roman" w:eastAsia="仿宋_GB2312" w:cs="Times New Roman"/>
          <w:color w:val="auto"/>
          <w:sz w:val="32"/>
          <w:szCs w:val="32"/>
          <w:highlight w:val="none"/>
          <w:lang w:eastAsia="zh-CN"/>
        </w:rPr>
        <w:t>安排的收入和支出</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19"/>
          <w:rFonts w:ascii="黑体" w:hAnsi="黑体" w:eastAsia="黑体"/>
          <w:b w:val="0"/>
          <w:color w:val="auto"/>
          <w:highlight w:val="none"/>
        </w:rPr>
      </w:pPr>
      <w:bookmarkStart w:id="62" w:name="_Toc1268655907_WPSOffice_Level2"/>
      <w:r>
        <w:rPr>
          <w:rStyle w:val="19"/>
          <w:rFonts w:hint="eastAsia" w:ascii="黑体" w:hAnsi="黑体" w:eastAsia="黑体"/>
          <w:b w:val="0"/>
          <w:color w:val="auto"/>
          <w:highlight w:val="none"/>
          <w:lang w:eastAsia="zh-CN"/>
        </w:rPr>
        <w:t>九、</w:t>
      </w:r>
      <w:r>
        <w:rPr>
          <w:rStyle w:val="19"/>
          <w:rFonts w:hint="eastAsia" w:ascii="黑体" w:hAnsi="黑体" w:eastAsia="黑体"/>
          <w:b w:val="0"/>
          <w:color w:val="auto"/>
          <w:highlight w:val="none"/>
        </w:rPr>
        <w:t>国有资本经营预算支出决算情况说明</w:t>
      </w:r>
      <w:bookmarkEnd w:id="62"/>
    </w:p>
    <w:bookmarkEnd w:id="61"/>
    <w:p>
      <w:pPr>
        <w:spacing w:line="600" w:lineRule="exact"/>
        <w:ind w:firstLine="64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2023</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eastAsia="zh-CN"/>
        </w:rPr>
        <w:t>度没有</w:t>
      </w:r>
      <w:r>
        <w:rPr>
          <w:rFonts w:hint="default" w:ascii="Times New Roman" w:hAnsi="Times New Roman" w:eastAsia="仿宋_GB2312" w:cs="Times New Roman"/>
          <w:color w:val="auto"/>
          <w:sz w:val="32"/>
          <w:szCs w:val="32"/>
          <w:highlight w:val="none"/>
        </w:rPr>
        <w:t>国有资本经营预算</w:t>
      </w:r>
      <w:r>
        <w:rPr>
          <w:rFonts w:hint="default" w:ascii="Times New Roman" w:hAnsi="Times New Roman" w:eastAsia="仿宋_GB2312" w:cs="Times New Roman"/>
          <w:color w:val="auto"/>
          <w:sz w:val="32"/>
          <w:szCs w:val="32"/>
          <w:highlight w:val="none"/>
          <w:lang w:eastAsia="zh-CN"/>
        </w:rPr>
        <w:t>安排的收入和支出</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19"/>
          <w:rFonts w:hint="eastAsia" w:ascii="黑体" w:hAnsi="黑体" w:eastAsia="黑体"/>
          <w:b w:val="0"/>
          <w:color w:val="auto"/>
          <w:highlight w:val="none"/>
        </w:rPr>
      </w:pPr>
      <w:bookmarkStart w:id="63" w:name="_Toc1163363773_WPSOffice_Level2"/>
      <w:bookmarkStart w:id="64" w:name="_Toc647846674_WPSOffice_Level2"/>
      <w:bookmarkStart w:id="65" w:name="_Toc15377221"/>
      <w:bookmarkStart w:id="66" w:name="_Toc15396612"/>
      <w:r>
        <w:rPr>
          <w:rStyle w:val="19"/>
          <w:rFonts w:hint="eastAsia" w:ascii="黑体" w:hAnsi="黑体" w:eastAsia="黑体"/>
          <w:b w:val="0"/>
          <w:color w:val="auto"/>
          <w:highlight w:val="none"/>
          <w:lang w:eastAsia="zh-CN"/>
        </w:rPr>
        <w:t>十、</w:t>
      </w:r>
      <w:r>
        <w:rPr>
          <w:rStyle w:val="19"/>
          <w:rFonts w:hint="eastAsia" w:ascii="黑体" w:hAnsi="黑体" w:eastAsia="黑体"/>
          <w:b w:val="0"/>
          <w:color w:val="auto"/>
          <w:highlight w:val="none"/>
        </w:rPr>
        <w:t>其他重要事项的情况说明</w:t>
      </w:r>
      <w:bookmarkEnd w:id="63"/>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2"/>
        <w:rPr>
          <w:rFonts w:hint="default" w:ascii="Times New Roman" w:hAnsi="Times New Roman" w:eastAsia="方正楷体_GBK" w:cs="Times New Roman"/>
          <w:b w:val="0"/>
          <w:bCs/>
          <w:color w:val="auto"/>
          <w:sz w:val="32"/>
          <w:szCs w:val="32"/>
          <w:highlight w:val="none"/>
        </w:rPr>
      </w:pPr>
      <w:r>
        <w:rPr>
          <w:rFonts w:hint="eastAsia" w:ascii="Times New Roman" w:hAnsi="Times New Roman" w:eastAsia="方正楷体_GBK" w:cs="Times New Roman"/>
          <w:b w:val="0"/>
          <w:bCs/>
          <w:color w:val="auto"/>
          <w:sz w:val="32"/>
          <w:szCs w:val="32"/>
          <w:highlight w:val="none"/>
        </w:rPr>
        <w:t>（一）机关运行经费支出情况</w:t>
      </w:r>
    </w:p>
    <w:p>
      <w:pPr>
        <w:spacing w:line="600" w:lineRule="exact"/>
        <w:ind w:firstLine="640" w:firstLineChars="20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2023年度，四川省广播电视局机关运行经费支出 900.59万元，比2022年度增加229.22万元，增长34.1%。主要原因是疫情防控措施调整后，结合我局台站优化布局、交流调研工作开展，差旅费、公务接待费、因公出国（境）费用及公务用车运行维护费增加；2022年因疫情大幅度减少线下会议培训等，2023年恢复后相应增加会议培训费用。</w:t>
      </w:r>
    </w:p>
    <w:bookmarkEnd w:id="64"/>
    <w:bookmarkEnd w:id="65"/>
    <w:bookmarkEnd w:id="66"/>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2"/>
        <w:rPr>
          <w:rFonts w:hint="default" w:ascii="Times New Roman" w:hAnsi="Times New Roman" w:eastAsia="方正楷体_GBK" w:cs="Times New Roman"/>
          <w:b w:val="0"/>
          <w:bCs/>
          <w:color w:val="auto"/>
          <w:sz w:val="32"/>
          <w:szCs w:val="32"/>
          <w:highlight w:val="none"/>
        </w:rPr>
      </w:pPr>
      <w:bookmarkStart w:id="67" w:name="_Toc15377223"/>
      <w:r>
        <w:rPr>
          <w:rFonts w:hint="eastAsia" w:ascii="Times New Roman" w:hAnsi="Times New Roman" w:eastAsia="方正楷体_GBK" w:cs="Times New Roman"/>
          <w:b w:val="0"/>
          <w:bCs/>
          <w:color w:val="auto"/>
          <w:sz w:val="32"/>
          <w:szCs w:val="32"/>
          <w:highlight w:val="none"/>
        </w:rPr>
        <w:t>（二）政府采购支出情况</w:t>
      </w:r>
    </w:p>
    <w:p>
      <w:pPr>
        <w:spacing w:line="600"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2023年度，</w:t>
      </w:r>
      <w:r>
        <w:rPr>
          <w:rFonts w:hint="default" w:ascii="Times New Roman" w:hAnsi="Times New Roman" w:eastAsia="仿宋_GB2312" w:cs="Times New Roman"/>
          <w:color w:val="auto"/>
          <w:sz w:val="32"/>
          <w:szCs w:val="32"/>
          <w:highlight w:val="none"/>
          <w:lang w:val="en-US" w:eastAsia="zh-CN"/>
        </w:rPr>
        <w:t>四川省广播电视局</w:t>
      </w:r>
      <w:r>
        <w:rPr>
          <w:rFonts w:hint="eastAsia" w:ascii="Times New Roman" w:hAnsi="Times New Roman" w:eastAsia="仿宋_GB2312" w:cs="Times New Roman"/>
          <w:color w:val="auto"/>
          <w:sz w:val="32"/>
          <w:szCs w:val="32"/>
          <w:highlight w:val="none"/>
          <w:lang w:val="en-US" w:eastAsia="zh-CN"/>
        </w:rPr>
        <w:t>政府采购支出总额3574.67万元，其中：政府采购货物支出400.31万元、政府采购工程支出469.04万元、政府采购服务支出2705.32万元。</w:t>
      </w:r>
      <w:r>
        <w:rPr>
          <w:rFonts w:hint="default" w:ascii="Times New Roman" w:hAnsi="Times New Roman" w:eastAsia="仿宋_GB2312" w:cs="Times New Roman"/>
          <w:color w:val="auto"/>
          <w:sz w:val="32"/>
          <w:szCs w:val="32"/>
          <w:highlight w:val="none"/>
          <w:lang w:val="en-US" w:eastAsia="zh-CN"/>
        </w:rPr>
        <w:t>主要用于办公设备购置、购买系统平台运行维护服务、广播电视覆盖工程、广播电视系统升级改造等</w:t>
      </w:r>
      <w:r>
        <w:rPr>
          <w:rFonts w:hint="eastAsia" w:ascii="Times New Roman" w:hAnsi="Times New Roman" w:eastAsia="仿宋_GB2312" w:cs="Times New Roman"/>
          <w:color w:val="auto"/>
          <w:sz w:val="32"/>
          <w:szCs w:val="32"/>
          <w:highlight w:val="none"/>
          <w:lang w:val="en-US" w:eastAsia="zh-CN"/>
        </w:rPr>
        <w:t>。授予中小企业合同金额2232.1万元，占政府采购支出总额的62.4</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，其中：授予小微企业合同金额818.81万元，占政府采购支出总额的22.9</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w:t>
      </w:r>
    </w:p>
    <w:bookmarkEnd w:id="67"/>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2"/>
        <w:rPr>
          <w:rFonts w:hint="default" w:ascii="Times New Roman" w:hAnsi="Times New Roman" w:eastAsia="方正楷体_GBK" w:cs="Times New Roman"/>
          <w:b w:val="0"/>
          <w:bCs/>
          <w:color w:val="auto"/>
          <w:sz w:val="32"/>
          <w:szCs w:val="32"/>
          <w:highlight w:val="none"/>
          <w:lang w:val="en-US" w:eastAsia="zh-CN"/>
        </w:rPr>
      </w:pPr>
      <w:bookmarkStart w:id="68" w:name="_Toc15377224"/>
      <w:r>
        <w:rPr>
          <w:rFonts w:hint="eastAsia" w:ascii="Times New Roman" w:hAnsi="Times New Roman" w:eastAsia="方正楷体_GBK" w:cs="Times New Roman"/>
          <w:b w:val="0"/>
          <w:bCs/>
          <w:color w:val="auto"/>
          <w:sz w:val="32"/>
          <w:szCs w:val="32"/>
          <w:highlight w:val="none"/>
          <w:lang w:val="en-US" w:eastAsia="zh-CN"/>
        </w:rPr>
        <w:t>（三）国有资产占有使用情况</w:t>
      </w:r>
    </w:p>
    <w:p>
      <w:pPr>
        <w:spacing w:line="600" w:lineRule="exact"/>
        <w:ind w:firstLine="640" w:firstLineChars="200"/>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截至2023年</w:t>
      </w:r>
      <w:r>
        <w:rPr>
          <w:rFonts w:hint="default" w:ascii="Times New Roman" w:hAnsi="Times New Roman" w:eastAsia="仿宋_GB2312" w:cs="Times New Roman"/>
          <w:color w:val="auto"/>
          <w:sz w:val="32"/>
          <w:szCs w:val="32"/>
          <w:highlight w:val="none"/>
          <w:lang w:val="en-US" w:eastAsia="zh-CN"/>
        </w:rPr>
        <w:t>12</w:t>
      </w:r>
      <w:r>
        <w:rPr>
          <w:rFonts w:hint="eastAsia" w:ascii="Times New Roman" w:hAnsi="Times New Roman" w:eastAsia="仿宋_GB2312" w:cs="Times New Roman"/>
          <w:color w:val="auto"/>
          <w:sz w:val="32"/>
          <w:szCs w:val="32"/>
          <w:highlight w:val="none"/>
          <w:lang w:val="en-US" w:eastAsia="zh-CN"/>
        </w:rPr>
        <w:t>月</w:t>
      </w:r>
      <w:r>
        <w:rPr>
          <w:rFonts w:hint="default" w:ascii="Times New Roman" w:hAnsi="Times New Roman" w:eastAsia="仿宋_GB2312" w:cs="Times New Roman"/>
          <w:color w:val="auto"/>
          <w:sz w:val="32"/>
          <w:szCs w:val="32"/>
          <w:highlight w:val="none"/>
          <w:lang w:val="en-US" w:eastAsia="zh-CN"/>
        </w:rPr>
        <w:t>31</w:t>
      </w:r>
      <w:r>
        <w:rPr>
          <w:rFonts w:hint="eastAsia" w:ascii="Times New Roman" w:hAnsi="Times New Roman" w:eastAsia="仿宋_GB2312" w:cs="Times New Roman"/>
          <w:color w:val="auto"/>
          <w:sz w:val="32"/>
          <w:szCs w:val="32"/>
          <w:highlight w:val="none"/>
          <w:lang w:val="en-US" w:eastAsia="zh-CN"/>
        </w:rPr>
        <w:t>日，四川省广播电视局共有车辆9辆，其中：主要领导干部用车1辆、机要通信用车1辆、应急保障用车1辆、</w:t>
      </w:r>
      <w:r>
        <w:rPr>
          <w:rFonts w:hint="default" w:ascii="Times New Roman" w:hAnsi="Times New Roman" w:eastAsia="仿宋_GB2312" w:cs="Times New Roman"/>
          <w:color w:val="auto"/>
          <w:sz w:val="32"/>
          <w:szCs w:val="32"/>
          <w:highlight w:val="none"/>
          <w:lang w:val="en-US" w:eastAsia="zh-CN"/>
        </w:rPr>
        <w:t>离退休干部</w:t>
      </w:r>
      <w:r>
        <w:rPr>
          <w:rFonts w:hint="eastAsia" w:ascii="Times New Roman" w:hAnsi="Times New Roman" w:eastAsia="仿宋_GB2312" w:cs="Times New Roman"/>
          <w:color w:val="auto"/>
          <w:sz w:val="32"/>
          <w:szCs w:val="32"/>
          <w:highlight w:val="none"/>
          <w:lang w:val="en-US" w:eastAsia="zh-CN"/>
        </w:rPr>
        <w:t>服务</w:t>
      </w:r>
      <w:r>
        <w:rPr>
          <w:rFonts w:hint="default" w:ascii="Times New Roman" w:hAnsi="Times New Roman" w:eastAsia="仿宋_GB2312" w:cs="Times New Roman"/>
          <w:color w:val="auto"/>
          <w:sz w:val="32"/>
          <w:szCs w:val="32"/>
          <w:highlight w:val="none"/>
          <w:lang w:val="en-US" w:eastAsia="zh-CN"/>
        </w:rPr>
        <w:t>用车6辆</w:t>
      </w:r>
      <w:r>
        <w:rPr>
          <w:rFonts w:hint="eastAsia" w:ascii="Times New Roman" w:hAnsi="Times New Roman" w:eastAsia="仿宋_GB2312" w:cs="Times New Roman"/>
          <w:color w:val="auto"/>
          <w:sz w:val="32"/>
          <w:szCs w:val="32"/>
          <w:highlight w:val="none"/>
          <w:lang w:val="en-US" w:eastAsia="zh-CN"/>
        </w:rPr>
        <w:t>。单价</w:t>
      </w:r>
      <w:r>
        <w:rPr>
          <w:rFonts w:hint="default" w:ascii="Times New Roman" w:hAnsi="Times New Roman" w:eastAsia="仿宋_GB2312" w:cs="Times New Roman"/>
          <w:color w:val="auto"/>
          <w:sz w:val="32"/>
          <w:szCs w:val="32"/>
          <w:highlight w:val="none"/>
          <w:lang w:val="en-US" w:eastAsia="zh-CN"/>
        </w:rPr>
        <w:t>50</w:t>
      </w:r>
      <w:r>
        <w:rPr>
          <w:rFonts w:hint="eastAsia" w:ascii="Times New Roman" w:hAnsi="Times New Roman" w:eastAsia="仿宋_GB2312" w:cs="Times New Roman"/>
          <w:color w:val="auto"/>
          <w:sz w:val="32"/>
          <w:szCs w:val="32"/>
          <w:highlight w:val="none"/>
          <w:lang w:val="en-US" w:eastAsia="zh-CN"/>
        </w:rPr>
        <w:t>万元以上通用设备0台（套），单价</w:t>
      </w:r>
      <w:r>
        <w:rPr>
          <w:rFonts w:hint="default" w:ascii="Times New Roman" w:hAnsi="Times New Roman" w:eastAsia="仿宋_GB2312" w:cs="Times New Roman"/>
          <w:color w:val="auto"/>
          <w:sz w:val="32"/>
          <w:szCs w:val="32"/>
          <w:highlight w:val="none"/>
          <w:lang w:val="en-US" w:eastAsia="zh-CN"/>
        </w:rPr>
        <w:t>100</w:t>
      </w:r>
      <w:r>
        <w:rPr>
          <w:rFonts w:hint="eastAsia" w:ascii="Times New Roman" w:hAnsi="Times New Roman" w:eastAsia="仿宋_GB2312" w:cs="Times New Roman"/>
          <w:color w:val="auto"/>
          <w:sz w:val="32"/>
          <w:szCs w:val="32"/>
          <w:highlight w:val="none"/>
          <w:lang w:val="en-US" w:eastAsia="zh-CN"/>
        </w:rPr>
        <w:t>万元以上专用设备（不含车辆）4台（套）。</w:t>
      </w:r>
    </w:p>
    <w:bookmarkEnd w:id="68"/>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2"/>
        <w:rPr>
          <w:rFonts w:hint="eastAsia" w:ascii="Times New Roman" w:hAnsi="Times New Roman" w:eastAsia="方正楷体_GBK" w:cs="Times New Roman"/>
          <w:b w:val="0"/>
          <w:bCs/>
          <w:color w:val="auto"/>
          <w:sz w:val="32"/>
          <w:szCs w:val="32"/>
          <w:highlight w:val="none"/>
          <w:lang w:val="en-US" w:eastAsia="zh-CN"/>
        </w:rPr>
      </w:pPr>
      <w:r>
        <w:rPr>
          <w:rFonts w:hint="eastAsia" w:ascii="Times New Roman" w:hAnsi="Times New Roman" w:eastAsia="方正楷体_GBK" w:cs="Times New Roman"/>
          <w:b w:val="0"/>
          <w:bCs/>
          <w:color w:val="auto"/>
          <w:sz w:val="32"/>
          <w:szCs w:val="32"/>
          <w:highlight w:val="none"/>
          <w:lang w:val="en-US" w:eastAsia="zh-CN"/>
        </w:rPr>
        <w:t>（四）预算绩效管理情况</w:t>
      </w:r>
    </w:p>
    <w:p>
      <w:pPr>
        <w:spacing w:line="600" w:lineRule="exact"/>
        <w:ind w:firstLine="640" w:firstLineChars="200"/>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根据预算绩效管理要求，本单位在2023年度预算编制阶段，组织对四川省广播电视公共服务平台提档升级扩容项目、继续实施——“时代光影 百部川扬”网络视听作品征集传播活动等2个项目开展了预算事前绩效评估，对</w:t>
      </w:r>
      <w:r>
        <w:rPr>
          <w:rFonts w:hint="default" w:ascii="Times New Roman" w:hAnsi="Times New Roman" w:eastAsia="仿宋_GB2312" w:cs="Times New Roman"/>
          <w:color w:val="auto"/>
          <w:sz w:val="32"/>
          <w:szCs w:val="32"/>
          <w:highlight w:val="none"/>
          <w:lang w:val="en" w:eastAsia="zh-CN"/>
        </w:rPr>
        <w:t>28</w:t>
      </w:r>
      <w:r>
        <w:rPr>
          <w:rFonts w:hint="eastAsia" w:ascii="Times New Roman" w:hAnsi="Times New Roman" w:eastAsia="仿宋_GB2312" w:cs="Times New Roman"/>
          <w:color w:val="auto"/>
          <w:sz w:val="32"/>
          <w:szCs w:val="32"/>
          <w:highlight w:val="none"/>
          <w:lang w:val="en-US" w:eastAsia="zh-CN"/>
        </w:rPr>
        <w:t>个项目编制了绩效目标，预算执行过程中，选取</w:t>
      </w:r>
      <w:r>
        <w:rPr>
          <w:rFonts w:hint="default" w:ascii="Times New Roman" w:hAnsi="Times New Roman" w:eastAsia="仿宋_GB2312" w:cs="Times New Roman"/>
          <w:color w:val="auto"/>
          <w:sz w:val="32"/>
          <w:szCs w:val="32"/>
          <w:highlight w:val="none"/>
          <w:lang w:val="en" w:eastAsia="zh-CN"/>
        </w:rPr>
        <w:t>28</w:t>
      </w:r>
      <w:r>
        <w:rPr>
          <w:rFonts w:hint="eastAsia" w:ascii="Times New Roman" w:hAnsi="Times New Roman" w:eastAsia="仿宋_GB2312" w:cs="Times New Roman"/>
          <w:color w:val="auto"/>
          <w:sz w:val="32"/>
          <w:szCs w:val="32"/>
          <w:highlight w:val="none"/>
          <w:lang w:val="en-US" w:eastAsia="zh-CN"/>
        </w:rPr>
        <w:t>个项目开展绩效监控，组织对</w:t>
      </w:r>
      <w:r>
        <w:rPr>
          <w:rFonts w:hint="default" w:ascii="Times New Roman" w:hAnsi="Times New Roman" w:eastAsia="仿宋_GB2312" w:cs="Times New Roman"/>
          <w:color w:val="auto"/>
          <w:sz w:val="32"/>
          <w:szCs w:val="32"/>
          <w:highlight w:val="none"/>
          <w:lang w:val="en" w:eastAsia="zh-CN"/>
        </w:rPr>
        <w:t>2</w:t>
      </w:r>
      <w:r>
        <w:rPr>
          <w:rFonts w:hint="eastAsia" w:ascii="Times New Roman" w:hAnsi="Times New Roman" w:eastAsia="仿宋_GB2312" w:cs="Times New Roman"/>
          <w:color w:val="auto"/>
          <w:sz w:val="32"/>
          <w:szCs w:val="32"/>
          <w:highlight w:val="none"/>
          <w:lang w:val="en-US" w:eastAsia="zh-CN"/>
        </w:rPr>
        <w:t>个项目开展绩效自评，绩效自评表详见第四部分附件。</w:t>
      </w:r>
    </w:p>
    <w:p>
      <w:pPr>
        <w:pStyle w:val="2"/>
        <w:rPr>
          <w:rFonts w:hint="eastAsia" w:ascii="仿宋_GB2312" w:hAnsi="Times New Roman" w:eastAsia="仿宋_GB2312" w:cs="Times New Roman"/>
          <w:color w:val="auto"/>
          <w:sz w:val="32"/>
          <w:szCs w:val="32"/>
          <w:highlight w:val="none"/>
          <w:lang w:val="en-US" w:eastAsia="zh-CN"/>
        </w:rPr>
      </w:pPr>
    </w:p>
    <w:p>
      <w:pPr>
        <w:pStyle w:val="3"/>
        <w:rPr>
          <w:rFonts w:hint="eastAsia"/>
          <w:lang w:val="en-US" w:eastAsia="zh-CN"/>
        </w:rPr>
      </w:pPr>
    </w:p>
    <w:p>
      <w:pPr>
        <w:numPr>
          <w:ilvl w:val="0"/>
          <w:numId w:val="0"/>
        </w:numPr>
        <w:spacing w:line="600" w:lineRule="exact"/>
        <w:jc w:val="center"/>
        <w:outlineLvl w:val="0"/>
        <w:rPr>
          <w:rFonts w:hint="eastAsia" w:ascii="黑体" w:hAnsi="黑体" w:eastAsia="黑体"/>
          <w:color w:val="auto"/>
          <w:sz w:val="44"/>
          <w:szCs w:val="4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0"/>
        <w:rPr>
          <w:rStyle w:val="18"/>
          <w:rFonts w:hint="eastAsia" w:ascii="方正小标宋简体" w:hAnsi="方正小标宋简体" w:eastAsia="方正小标宋简体" w:cs="方正小标宋简体"/>
          <w:b w:val="0"/>
          <w:color w:val="auto"/>
          <w:highlight w:val="none"/>
        </w:rPr>
      </w:pPr>
      <w:bookmarkStart w:id="69" w:name="_Toc353277147_WPSOffice_Level1"/>
      <w:r>
        <w:rPr>
          <w:rFonts w:hint="eastAsia" w:ascii="方正小标宋简体" w:hAnsi="方正小标宋简体" w:eastAsia="方正小标宋简体" w:cs="方正小标宋简体"/>
          <w:color w:val="auto"/>
          <w:sz w:val="44"/>
          <w:szCs w:val="44"/>
          <w:highlight w:val="none"/>
          <w:lang w:eastAsia="zh-CN"/>
        </w:rPr>
        <w:t>第三部分</w:t>
      </w:r>
      <w:r>
        <w:rPr>
          <w:rFonts w:hint="eastAsia" w:ascii="方正小标宋简体" w:hAnsi="方正小标宋简体" w:eastAsia="方正小标宋简体" w:cs="方正小标宋简体"/>
          <w:color w:val="auto"/>
          <w:sz w:val="44"/>
          <w:szCs w:val="44"/>
          <w:highlight w:val="none"/>
          <w:lang w:val="en-US" w:eastAsia="zh-CN"/>
        </w:rPr>
        <w:t xml:space="preserve">  </w:t>
      </w:r>
      <w:r>
        <w:rPr>
          <w:rFonts w:hint="eastAsia" w:ascii="方正小标宋简体" w:hAnsi="方正小标宋简体" w:eastAsia="方正小标宋简体" w:cs="方正小标宋简体"/>
          <w:color w:val="auto"/>
          <w:sz w:val="44"/>
          <w:szCs w:val="44"/>
          <w:highlight w:val="none"/>
        </w:rPr>
        <w:t>名</w:t>
      </w:r>
      <w:r>
        <w:rPr>
          <w:rStyle w:val="18"/>
          <w:rFonts w:hint="eastAsia" w:ascii="方正小标宋简体" w:hAnsi="方正小标宋简体" w:eastAsia="方正小标宋简体" w:cs="方正小标宋简体"/>
          <w:b w:val="0"/>
          <w:color w:val="auto"/>
          <w:highlight w:val="none"/>
        </w:rPr>
        <w:t>词解释</w:t>
      </w:r>
      <w:bookmarkEnd w:id="69"/>
    </w:p>
    <w:p>
      <w:pPr>
        <w:spacing w:line="600" w:lineRule="exact"/>
        <w:jc w:val="left"/>
        <w:rPr>
          <w:rFonts w:ascii="宋体"/>
          <w:b/>
          <w:color w:val="auto"/>
          <w:sz w:val="44"/>
          <w:szCs w:val="44"/>
          <w:highlight w:val="none"/>
        </w:rPr>
      </w:pPr>
    </w:p>
    <w:p>
      <w:pPr>
        <w:pStyle w:val="21"/>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default" w:ascii="Times New Roman" w:hAnsi="Times New Roman" w:eastAsia="仿宋_GB2312" w:cs="Times New Roman"/>
          <w:color w:val="auto"/>
          <w:spacing w:val="6"/>
          <w:sz w:val="32"/>
          <w:szCs w:val="32"/>
          <w:highlight w:val="none"/>
        </w:rPr>
      </w:pPr>
      <w:r>
        <w:rPr>
          <w:rFonts w:hint="default" w:ascii="Times New Roman" w:hAnsi="Times New Roman" w:eastAsia="仿宋_GB2312" w:cs="Times New Roman"/>
          <w:color w:val="auto"/>
          <w:sz w:val="32"/>
          <w:szCs w:val="32"/>
          <w:highlight w:val="none"/>
        </w:rPr>
        <w:t>1.</w:t>
      </w:r>
      <w:r>
        <w:rPr>
          <w:rFonts w:hint="default" w:ascii="Times New Roman" w:hAnsi="Times New Roman" w:eastAsia="仿宋_GB2312" w:cs="Times New Roman"/>
          <w:color w:val="auto"/>
          <w:spacing w:val="6"/>
          <w:sz w:val="32"/>
          <w:szCs w:val="32"/>
          <w:highlight w:val="none"/>
        </w:rPr>
        <w:t>财政拨款收入：指单位从同级财政部门取得的财政预算资金。</w:t>
      </w:r>
    </w:p>
    <w:p>
      <w:pPr>
        <w:pStyle w:val="21"/>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 xml:space="preserve">.年初结转和结余：指以前年度尚未完成、结转到本年按有关规定继续使用的资金。 </w:t>
      </w:r>
    </w:p>
    <w:p>
      <w:pPr>
        <w:pStyle w:val="21"/>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.结余分配：指事业单位按照会计制度规定</w:t>
      </w:r>
      <w:r>
        <w:rPr>
          <w:rFonts w:hint="default" w:ascii="Times New Roman" w:hAnsi="Times New Roman" w:eastAsia="仿宋_GB2312" w:cs="Times New Roman"/>
          <w:color w:val="auto"/>
          <w:sz w:val="32"/>
          <w:szCs w:val="32"/>
          <w:highlight w:val="none"/>
          <w:lang w:eastAsia="zh-CN"/>
        </w:rPr>
        <w:t>缴纳的所得税、提取的专用结余以及转入非财政拨款结余的金额</w:t>
      </w:r>
      <w:r>
        <w:rPr>
          <w:rFonts w:hint="default" w:ascii="Times New Roman" w:hAnsi="Times New Roman" w:eastAsia="仿宋_GB2312" w:cs="Times New Roman"/>
          <w:color w:val="auto"/>
          <w:sz w:val="32"/>
          <w:szCs w:val="32"/>
          <w:highlight w:val="none"/>
        </w:rPr>
        <w:t>等。</w:t>
      </w:r>
    </w:p>
    <w:p>
      <w:pPr>
        <w:pStyle w:val="21"/>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年末结转和结余：指单位按有关规定结转到下年或以后年度继续使用的资金。</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.一般公共服务（类）</w:t>
      </w:r>
      <w:r>
        <w:rPr>
          <w:rFonts w:hint="default" w:ascii="Times New Roman" w:hAnsi="Times New Roman" w:eastAsia="仿宋_GB2312" w:cs="Times New Roman"/>
          <w:color w:val="auto"/>
          <w:kern w:val="0"/>
          <w:sz w:val="32"/>
          <w:szCs w:val="32"/>
        </w:rPr>
        <w:t>其他一般公共服务支出（款）其他一般公共服务支出（项）：</w:t>
      </w:r>
      <w:r>
        <w:rPr>
          <w:rFonts w:hint="default" w:ascii="Times New Roman" w:hAnsi="Times New Roman" w:eastAsia="仿宋_GB2312" w:cs="Times New Roman"/>
          <w:color w:val="auto"/>
          <w:sz w:val="32"/>
          <w:szCs w:val="32"/>
        </w:rPr>
        <w:t>指一般公共服务支出项目未包括的一般公共服务支出。</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.教育（类）进修及培训（款）培训（项）：指各部门安排的用于培训的支出。</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rPr>
        <w:t>.文化旅游体育与传媒（类）广播电视（款）行政运行（项）:指行政单位（包括实行公务员管理的事业单位）的基本支出。</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.文化旅游体育与传媒（类）广播电视（款）一般行政管理事务（项）:指行政单位（包括实行公务员管理的事业单位）未单独设置项级科目的其他项目支出。</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.文化旅游体育与传媒（类）广播电视（款）其他广播电视支出（项）:指其他用于广播电视方面的支出。</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rPr>
        <w:t>.文化旅游体育与传媒（类）其他文化旅游体育与传媒支出（款）宣传文化发展专项支出（项）:指按照国家有关政策支持宣传文化单位发展的专项支出。</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11</w:t>
      </w:r>
      <w:r>
        <w:rPr>
          <w:rFonts w:hint="default" w:ascii="Times New Roman" w:hAnsi="Times New Roman" w:eastAsia="仿宋_GB2312" w:cs="Times New Roman"/>
          <w:color w:val="auto"/>
          <w:sz w:val="32"/>
          <w:szCs w:val="32"/>
        </w:rPr>
        <w:t>.社会保障和就业（类）行政事业单位养老支出（款）行政单位离退休（项）:指行政单位（包括实行公务员管理的事业单位）开支的离退休经费。</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12</w:t>
      </w:r>
      <w:r>
        <w:rPr>
          <w:rFonts w:hint="default" w:ascii="Times New Roman" w:hAnsi="Times New Roman" w:eastAsia="仿宋_GB2312" w:cs="Times New Roman"/>
          <w:color w:val="auto"/>
          <w:sz w:val="32"/>
          <w:szCs w:val="32"/>
        </w:rPr>
        <w:t>.社会保障和就业（类）行政事业单位养老支出（款）机关事业单位基本养老保险缴费支出（项）:指机关事业单位实施养老保险制度由单位缴纳的基本养老保险费支出。</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13</w:t>
      </w:r>
      <w:r>
        <w:rPr>
          <w:rFonts w:hint="default" w:ascii="Times New Roman" w:hAnsi="Times New Roman" w:eastAsia="仿宋_GB2312" w:cs="Times New Roman"/>
          <w:color w:val="auto"/>
          <w:sz w:val="32"/>
          <w:szCs w:val="32"/>
        </w:rPr>
        <w:t>.社会保障和就业（类）行政事业单位养老支出（款）机关事业单位职业年金缴费支出（项）:指机关事业单位实施养老保险制度由单位缴纳的职业年金支出。</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14</w:t>
      </w:r>
      <w:r>
        <w:rPr>
          <w:rFonts w:hint="default" w:ascii="Times New Roman" w:hAnsi="Times New Roman" w:eastAsia="仿宋_GB2312" w:cs="Times New Roman"/>
          <w:color w:val="auto"/>
          <w:sz w:val="32"/>
          <w:szCs w:val="32"/>
        </w:rPr>
        <w:t>.社会保障和就业（类）抚恤（款）死亡抚恤（项）:指按规定用于烈士和牺牲、病故人员家属的一次性和定期抚恤金以及丧葬补助费。</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15</w:t>
      </w:r>
      <w:r>
        <w:rPr>
          <w:rFonts w:hint="default" w:ascii="Times New Roman" w:hAnsi="Times New Roman" w:eastAsia="仿宋_GB2312" w:cs="Times New Roman"/>
          <w:color w:val="auto"/>
          <w:sz w:val="32"/>
          <w:szCs w:val="32"/>
        </w:rPr>
        <w:t>.社会保障和就业（类）其他社会保障和就业支出（款）其他社会保障和就业支出（项）:指其他用于社会保障和就业方面的支出。</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default" w:ascii="Times New Roman" w:hAnsi="Times New Roman" w:eastAsia="仿宋_GB2312" w:cs="Times New Roman"/>
          <w:color w:val="auto"/>
          <w:spacing w:val="-6"/>
          <w:sz w:val="32"/>
          <w:szCs w:val="32"/>
        </w:rPr>
      </w:pPr>
      <w:r>
        <w:rPr>
          <w:rFonts w:hint="eastAsia" w:eastAsia="仿宋_GB2312" w:cs="Times New Roman"/>
          <w:color w:val="auto"/>
          <w:sz w:val="32"/>
          <w:szCs w:val="32"/>
          <w:lang w:val="en-US" w:eastAsia="zh-CN"/>
        </w:rPr>
        <w:t>16</w:t>
      </w:r>
      <w:r>
        <w:rPr>
          <w:rFonts w:hint="default" w:ascii="Times New Roman" w:hAnsi="Times New Roman" w:eastAsia="仿宋_GB2312" w:cs="Times New Roman"/>
          <w:color w:val="auto"/>
          <w:sz w:val="32"/>
          <w:szCs w:val="32"/>
        </w:rPr>
        <w:t>.卫生健康（类）行政事业单位医疗（款）行政单位医疗（项）:指财政部门安排的行政单位（包括实行公务员管理的事业单位）基本医疗保险缴费经费，未参加医疗保险的行政单位的公费医疗</w:t>
      </w:r>
      <w:r>
        <w:rPr>
          <w:rFonts w:hint="default" w:ascii="Times New Roman" w:hAnsi="Times New Roman" w:eastAsia="仿宋_GB2312" w:cs="Times New Roman"/>
          <w:color w:val="auto"/>
          <w:spacing w:val="-6"/>
          <w:sz w:val="32"/>
          <w:szCs w:val="32"/>
        </w:rPr>
        <w:t>经费，按国家规定享受离休人员、红军老战士待遇人员的医疗经费。</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17</w:t>
      </w:r>
      <w:r>
        <w:rPr>
          <w:rFonts w:hint="default" w:ascii="Times New Roman" w:hAnsi="Times New Roman" w:eastAsia="仿宋_GB2312" w:cs="Times New Roman"/>
          <w:color w:val="auto"/>
          <w:sz w:val="32"/>
          <w:szCs w:val="32"/>
        </w:rPr>
        <w:t>.卫生健康（类）行政事业单位医疗（款）公务员医疗补助（项）:指财政部门安排的公务员医疗补助经费。</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18</w:t>
      </w:r>
      <w:r>
        <w:rPr>
          <w:rFonts w:hint="default" w:ascii="Times New Roman" w:hAnsi="Times New Roman" w:eastAsia="仿宋_GB2312" w:cs="Times New Roman"/>
          <w:color w:val="auto"/>
          <w:sz w:val="32"/>
          <w:szCs w:val="32"/>
        </w:rPr>
        <w:t>.住房保障支出（类）住房改造支出（款）住房公积金（项）:指行政事业单位按人力资源和社会保障部、财政部规定的基本工资和津贴补贴以及规定比例为职工缴纳的住房公积金。</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eastAsia="仿宋_GB2312" w:cs="Times New Roman"/>
          <w:color w:val="auto"/>
          <w:sz w:val="32"/>
          <w:szCs w:val="32"/>
          <w:lang w:val="en-US" w:eastAsia="zh-CN"/>
        </w:rPr>
        <w:t>19</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highlight w:val="none"/>
        </w:rPr>
        <w:t>基本支出：指为保障机构正常运转、完成日常工作任务而发生的人员支出和公用支出。</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highlight w:val="none"/>
        </w:rPr>
        <w:t xml:space="preserve">项目支出：指在基本支出之外为完成特定行政任务和事业发展目标所发生的支出。 </w:t>
      </w:r>
    </w:p>
    <w:p>
      <w:pPr>
        <w:pStyle w:val="21"/>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kern w:val="2"/>
          <w:sz w:val="32"/>
          <w:szCs w:val="32"/>
          <w:lang w:val="en-US" w:eastAsia="zh-CN" w:bidi="ar-SA"/>
        </w:rPr>
        <w:t>21</w:t>
      </w:r>
      <w:r>
        <w:rPr>
          <w:rFonts w:hint="default"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sz w:val="32"/>
          <w:szCs w:val="32"/>
          <w:highlight w:val="none"/>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1"/>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kern w:val="2"/>
          <w:sz w:val="32"/>
          <w:szCs w:val="32"/>
          <w:lang w:val="en-US" w:eastAsia="zh-CN" w:bidi="ar-SA"/>
        </w:rPr>
        <w:t>22</w:t>
      </w:r>
      <w:r>
        <w:rPr>
          <w:rFonts w:hint="default"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3"/>
        <w:rPr>
          <w:rFonts w:hint="eastAsia" w:ascii="黑体" w:hAnsi="黑体" w:eastAsia="黑体"/>
          <w:color w:val="auto"/>
          <w:sz w:val="44"/>
          <w:szCs w:val="44"/>
          <w:highlight w:val="none"/>
        </w:rPr>
      </w:pPr>
    </w:p>
    <w:p>
      <w:pPr>
        <w:pStyle w:val="3"/>
        <w:rPr>
          <w:rFonts w:hint="eastAsia" w:ascii="黑体" w:hAnsi="黑体" w:eastAsia="黑体"/>
          <w:color w:val="auto"/>
          <w:sz w:val="44"/>
          <w:szCs w:val="44"/>
          <w:highlight w:val="none"/>
        </w:rPr>
      </w:pPr>
    </w:p>
    <w:p>
      <w:pPr>
        <w:pStyle w:val="3"/>
        <w:rPr>
          <w:rFonts w:hint="eastAsia" w:ascii="黑体" w:hAnsi="黑体" w:eastAsia="黑体"/>
          <w:color w:val="auto"/>
          <w:sz w:val="44"/>
          <w:szCs w:val="44"/>
          <w:highlight w:val="none"/>
        </w:rPr>
      </w:pPr>
    </w:p>
    <w:p>
      <w:pPr>
        <w:pStyle w:val="3"/>
        <w:rPr>
          <w:rFonts w:hint="eastAsia" w:ascii="黑体" w:hAnsi="黑体" w:eastAsia="黑体"/>
          <w:color w:val="auto"/>
          <w:sz w:val="44"/>
          <w:szCs w:val="44"/>
          <w:highlight w:val="none"/>
        </w:rPr>
      </w:pPr>
    </w:p>
    <w:p>
      <w:pPr>
        <w:pStyle w:val="3"/>
        <w:rPr>
          <w:rFonts w:hint="eastAsia" w:ascii="黑体" w:hAnsi="黑体" w:eastAsia="黑体"/>
          <w:color w:val="auto"/>
          <w:sz w:val="44"/>
          <w:szCs w:val="44"/>
          <w:highlight w:val="none"/>
        </w:rPr>
      </w:pPr>
    </w:p>
    <w:p>
      <w:pPr>
        <w:pStyle w:val="3"/>
        <w:rPr>
          <w:rFonts w:hint="eastAsia" w:ascii="黑体" w:hAnsi="黑体" w:eastAsia="黑体"/>
          <w:color w:val="auto"/>
          <w:sz w:val="44"/>
          <w:szCs w:val="44"/>
          <w:highlight w:val="none"/>
        </w:rPr>
      </w:pPr>
    </w:p>
    <w:p>
      <w:pPr>
        <w:pStyle w:val="3"/>
        <w:rPr>
          <w:rFonts w:hint="eastAsia" w:ascii="黑体" w:hAnsi="黑体" w:eastAsia="黑体"/>
          <w:color w:val="auto"/>
          <w:sz w:val="44"/>
          <w:szCs w:val="44"/>
          <w:highlight w:val="none"/>
        </w:rPr>
      </w:pPr>
    </w:p>
    <w:p>
      <w:pPr>
        <w:pStyle w:val="3"/>
        <w:rPr>
          <w:rFonts w:hint="eastAsia" w:ascii="黑体" w:hAnsi="黑体" w:eastAsia="黑体"/>
          <w:color w:val="auto"/>
          <w:sz w:val="44"/>
          <w:szCs w:val="44"/>
          <w:highlight w:val="none"/>
        </w:rPr>
      </w:pPr>
    </w:p>
    <w:p>
      <w:pPr>
        <w:pStyle w:val="3"/>
        <w:ind w:left="0" w:leftChars="0" w:firstLine="0" w:firstLineChars="0"/>
        <w:rPr>
          <w:rFonts w:hint="eastAsia" w:ascii="黑体" w:hAnsi="黑体" w:eastAsia="黑体"/>
          <w:color w:val="auto"/>
          <w:sz w:val="44"/>
          <w:szCs w:val="44"/>
          <w:highlight w:val="none"/>
        </w:rPr>
      </w:pPr>
    </w:p>
    <w:p>
      <w:pPr>
        <w:spacing w:line="600" w:lineRule="exact"/>
        <w:jc w:val="center"/>
        <w:outlineLvl w:val="0"/>
        <w:rPr>
          <w:rStyle w:val="18"/>
          <w:rFonts w:hint="eastAsia" w:ascii="方正小标宋简体" w:hAnsi="方正小标宋简体" w:eastAsia="方正小标宋简体" w:cs="方正小标宋简体"/>
          <w:b w:val="0"/>
          <w:color w:val="000000" w:themeColor="text1"/>
          <w:highlight w:val="none"/>
          <w14:textFill>
            <w14:solidFill>
              <w14:schemeClr w14:val="tx1"/>
            </w14:solidFill>
          </w14:textFill>
        </w:rPr>
      </w:pPr>
      <w:bookmarkStart w:id="70" w:name="_Toc2099929406_WPSOffice_Level1"/>
      <w:bookmarkStart w:id="71" w:name="_Toc767610733_WPSOffice_Level1"/>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第</w:t>
      </w:r>
      <w:r>
        <w:rPr>
          <w:rStyle w:val="18"/>
          <w:rFonts w:hint="eastAsia" w:ascii="方正小标宋简体" w:hAnsi="方正小标宋简体" w:eastAsia="方正小标宋简体" w:cs="方正小标宋简体"/>
          <w:b w:val="0"/>
          <w:color w:val="000000" w:themeColor="text1"/>
          <w:highlight w:val="none"/>
          <w14:textFill>
            <w14:solidFill>
              <w14:schemeClr w14:val="tx1"/>
            </w14:solidFill>
          </w14:textFill>
        </w:rPr>
        <w:t>四部分 附件</w:t>
      </w:r>
      <w:bookmarkEnd w:id="70"/>
    </w:p>
    <w:bookmarkEnd w:id="71"/>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黑体" w:cs="Times New Roman"/>
          <w:b w:val="0"/>
          <w:bCs w:val="0"/>
          <w:i w:val="0"/>
          <w:iCs w:val="0"/>
          <w:color w:val="000000"/>
          <w:sz w:val="36"/>
          <w:szCs w:val="36"/>
          <w:u w:val="none"/>
        </w:rPr>
      </w:pPr>
      <w:bookmarkStart w:id="72" w:name="_Toc1173749263_WPSOffice_Level2"/>
      <w:r>
        <w:rPr>
          <w:rFonts w:hint="default" w:ascii="Times New Roman" w:hAnsi="Times New Roman" w:eastAsia="黑体" w:cs="Times New Roman"/>
          <w:b w:val="0"/>
          <w:bCs w:val="0"/>
          <w:i w:val="0"/>
          <w:iCs w:val="0"/>
          <w:color w:val="000000"/>
          <w:kern w:val="0"/>
          <w:sz w:val="36"/>
          <w:szCs w:val="36"/>
          <w:u w:val="none"/>
          <w:lang w:val="en-US" w:eastAsia="zh-CN" w:bidi="ar"/>
        </w:rPr>
        <w:t>部门预算项目支出绩效自评表（2023年度）</w:t>
      </w:r>
      <w:bookmarkEnd w:id="72"/>
    </w:p>
    <w:tbl>
      <w:tblPr>
        <w:tblStyle w:val="13"/>
        <w:tblW w:w="1077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90"/>
        <w:gridCol w:w="990"/>
        <w:gridCol w:w="797"/>
        <w:gridCol w:w="1784"/>
        <w:gridCol w:w="766"/>
        <w:gridCol w:w="798"/>
        <w:gridCol w:w="630"/>
        <w:gridCol w:w="1050"/>
        <w:gridCol w:w="825"/>
        <w:gridCol w:w="975"/>
        <w:gridCol w:w="9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项目名称</w:t>
            </w:r>
          </w:p>
        </w:tc>
        <w:tc>
          <w:tcPr>
            <w:tcW w:w="856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51000023T000008747084-社会组织党组织党建工作经费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主管部门</w:t>
            </w:r>
          </w:p>
        </w:tc>
        <w:tc>
          <w:tcPr>
            <w:tcW w:w="47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四川省广播电视局部门</w:t>
            </w:r>
          </w:p>
        </w:tc>
        <w:tc>
          <w:tcPr>
            <w:tcW w:w="1050"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simhei" w:cs="Times New Roman"/>
                <w:b w:val="0"/>
                <w:bCs w:val="0"/>
                <w:i w:val="0"/>
                <w:iCs w:val="0"/>
                <w:color w:val="000000"/>
                <w:sz w:val="18"/>
                <w:szCs w:val="18"/>
                <w:u w:val="none"/>
              </w:rPr>
            </w:pPr>
            <w:r>
              <w:rPr>
                <w:rFonts w:hint="default" w:ascii="Times New Roman" w:hAnsi="Times New Roman" w:eastAsia="simhei" w:cs="Times New Roman"/>
                <w:b w:val="0"/>
                <w:bCs w:val="0"/>
                <w:i w:val="0"/>
                <w:iCs w:val="0"/>
                <w:color w:val="000000"/>
                <w:kern w:val="0"/>
                <w:sz w:val="18"/>
                <w:szCs w:val="18"/>
                <w:u w:val="none"/>
                <w:lang w:val="en-US" w:eastAsia="zh-CN" w:bidi="ar"/>
              </w:rPr>
              <w:t>实施单位 （盖章）</w:t>
            </w:r>
          </w:p>
        </w:tc>
        <w:tc>
          <w:tcPr>
            <w:tcW w:w="27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四川省广播电视局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项目基本情况</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1.项目年度目标完成情况</w:t>
            </w:r>
          </w:p>
        </w:tc>
        <w:tc>
          <w:tcPr>
            <w:tcW w:w="47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项目年度目标</w:t>
            </w:r>
          </w:p>
        </w:tc>
        <w:tc>
          <w:tcPr>
            <w:tcW w:w="37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simhei" w:cs="Times New Roman"/>
                <w:b w:val="0"/>
                <w:bCs w:val="0"/>
                <w:i w:val="0"/>
                <w:iCs w:val="0"/>
                <w:color w:val="000000"/>
                <w:sz w:val="18"/>
                <w:szCs w:val="18"/>
                <w:u w:val="none"/>
              </w:rPr>
            </w:pPr>
            <w:r>
              <w:rPr>
                <w:rFonts w:hint="default" w:ascii="Times New Roman" w:hAnsi="Times New Roman" w:eastAsia="simhei" w:cs="Times New Roman"/>
                <w:b w:val="0"/>
                <w:bCs w:val="0"/>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jc w:val="center"/>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宋体" w:cs="Times New Roman"/>
                <w:b w:val="0"/>
                <w:bCs w:val="0"/>
                <w:i w:val="0"/>
                <w:iCs w:val="0"/>
                <w:color w:val="000000"/>
                <w:sz w:val="18"/>
                <w:szCs w:val="18"/>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宋体" w:cs="Times New Roman"/>
                <w:b w:val="0"/>
                <w:bCs w:val="0"/>
                <w:i w:val="0"/>
                <w:iCs w:val="0"/>
                <w:color w:val="000000"/>
                <w:sz w:val="18"/>
                <w:szCs w:val="18"/>
                <w:u w:val="none"/>
              </w:rPr>
            </w:pPr>
          </w:p>
        </w:tc>
        <w:tc>
          <w:tcPr>
            <w:tcW w:w="47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拨付四川省广播电视学会党支部、四川省超高清视频产业联盟和四川省应急广播产业发展协会联合党支部、四川省网络视听协会党支部社会组织党组织党建工作经费</w:t>
            </w:r>
          </w:p>
        </w:tc>
        <w:tc>
          <w:tcPr>
            <w:tcW w:w="37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simhei" w:cs="Times New Roman"/>
                <w:b w:val="0"/>
                <w:bCs w:val="0"/>
                <w:i w:val="0"/>
                <w:iCs w:val="0"/>
                <w:color w:val="000000"/>
                <w:sz w:val="18"/>
                <w:szCs w:val="18"/>
                <w:u w:val="none"/>
              </w:rPr>
            </w:pPr>
            <w:r>
              <w:rPr>
                <w:rFonts w:hint="default" w:ascii="Times New Roman" w:hAnsi="Times New Roman" w:eastAsia="simhei" w:cs="Times New Roman"/>
                <w:b w:val="0"/>
                <w:bCs w:val="0"/>
                <w:i w:val="0"/>
                <w:iCs w:val="0"/>
                <w:color w:val="000000"/>
                <w:kern w:val="0"/>
                <w:sz w:val="18"/>
                <w:szCs w:val="18"/>
                <w:u w:val="none"/>
                <w:lang w:val="en-US" w:eastAsia="zh-CN" w:bidi="ar"/>
              </w:rPr>
              <w:t>按照相关规定及时、足额拨付四川省广播电视学会党支部、四川省超高清视频产业联盟和四川省应急广播产业发展协会联合党支部、四川省网络视听协会党支部社会组织党组织党建工作经费。项目执行达到预期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宋体" w:cs="Times New Roman"/>
                <w:b w:val="0"/>
                <w:bCs w:val="0"/>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2.项目实施内容及过程概述</w:t>
            </w:r>
          </w:p>
        </w:tc>
        <w:tc>
          <w:tcPr>
            <w:tcW w:w="856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预算指标到位后，按照局财务管理相关规定，履行报账手续，及时拨付经费。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预算执行情况（10分）</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年度预算数（万元）</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年初预算</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调整后预算数</w:t>
            </w:r>
          </w:p>
        </w:tc>
        <w:tc>
          <w:tcPr>
            <w:tcW w:w="21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预算执行数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预算执行率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权重</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得分</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val="0"/>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总额</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1.90</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1.90</w:t>
            </w:r>
          </w:p>
        </w:tc>
        <w:tc>
          <w:tcPr>
            <w:tcW w:w="21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1.90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100.00%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10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10</w:t>
            </w:r>
          </w:p>
        </w:tc>
        <w:tc>
          <w:tcPr>
            <w:tcW w:w="9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simhei" w:cs="Times New Roman"/>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val="0"/>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其中：财政资金</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1.90</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1.90</w:t>
            </w:r>
          </w:p>
        </w:tc>
        <w:tc>
          <w:tcPr>
            <w:tcW w:w="21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1.90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100.00%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w:t>
            </w: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simhei" w:cs="Times New Roman"/>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val="0"/>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财政专户管理资金</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0.00</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0.00</w:t>
            </w:r>
          </w:p>
        </w:tc>
        <w:tc>
          <w:tcPr>
            <w:tcW w:w="21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0.00%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w:t>
            </w: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simhei" w:cs="Times New Roman"/>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val="0"/>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单位资金</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0.00</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0.00</w:t>
            </w:r>
          </w:p>
        </w:tc>
        <w:tc>
          <w:tcPr>
            <w:tcW w:w="21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0.00%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w:t>
            </w: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simhei" w:cs="Times New Roman"/>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val="0"/>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其他资金</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微软雅黑" w:cs="Times New Roman"/>
                <w:b w:val="0"/>
                <w:bCs w:val="0"/>
                <w:i w:val="0"/>
                <w:iCs w:val="0"/>
                <w:color w:val="000000"/>
                <w:sz w:val="16"/>
                <w:szCs w:val="16"/>
                <w:u w:val="none"/>
              </w:rPr>
            </w:pP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微软雅黑" w:cs="Times New Roman"/>
                <w:b w:val="0"/>
                <w:bCs w:val="0"/>
                <w:i w:val="0"/>
                <w:iCs w:val="0"/>
                <w:color w:val="000000"/>
                <w:sz w:val="16"/>
                <w:szCs w:val="16"/>
                <w:u w:val="none"/>
              </w:rPr>
            </w:pPr>
          </w:p>
        </w:tc>
        <w:tc>
          <w:tcPr>
            <w:tcW w:w="21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微软雅黑" w:cs="Times New Roman"/>
                <w:b w:val="0"/>
                <w:bCs w:val="0"/>
                <w:i w:val="0"/>
                <w:iCs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微软雅黑" w:cs="Times New Roman"/>
                <w:b w:val="0"/>
                <w:bCs w:val="0"/>
                <w:i w:val="0"/>
                <w:iCs w:val="0"/>
                <w:color w:val="000000"/>
                <w:sz w:val="16"/>
                <w:szCs w:val="16"/>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w:t>
            </w: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simhei" w:cs="Times New Roman"/>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绩效指标（90分）</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一级指标</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二级指标</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三级指标</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指标性质</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指标值</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度量单位</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完成值</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权重</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得分</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8" w:hRule="atLeast"/>
          <w:jc w:val="center"/>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val="0"/>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产出指标</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数量指标</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拨付四川省广播电视学会党支部、四川省超高清视频产业联盟和四川省应急广播产业发展协会联合党支部、四川省网络视听协会党支部社会组织党组织党建工作经费</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3</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家</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微软雅黑" w:cs="Times New Roman"/>
                <w:b w:val="0"/>
                <w:bCs w:val="0"/>
                <w:i w:val="0"/>
                <w:iCs w:val="0"/>
                <w:color w:val="000000"/>
                <w:sz w:val="16"/>
                <w:szCs w:val="16"/>
                <w:u w:val="none"/>
              </w:rPr>
            </w:pPr>
            <w:r>
              <w:rPr>
                <w:rFonts w:hint="default" w:ascii="Times New Roman" w:hAnsi="Times New Roman" w:eastAsia="微软雅黑" w:cs="Times New Roman"/>
                <w:b w:val="0"/>
                <w:bCs w:val="0"/>
                <w:i w:val="0"/>
                <w:iCs w:val="0"/>
                <w:color w:val="000000"/>
                <w:kern w:val="0"/>
                <w:sz w:val="16"/>
                <w:szCs w:val="16"/>
                <w:u w:val="none"/>
                <w:lang w:val="en-US" w:eastAsia="zh-CN" w:bidi="ar"/>
              </w:rPr>
              <w:t>3</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60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60</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微软雅黑" w:cs="Times New Roman"/>
                <w:b w:val="0"/>
                <w:bCs w:val="0"/>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8" w:hRule="atLeast"/>
          <w:jc w:val="center"/>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val="0"/>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效益指标</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可持续影响指标</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加强四川省广播电视学会党支部、四川省超高清视频产业联盟和四川省应急广播产业发展协会联合党支部、四川省网络视听协会党支部社会组织党组织党的建设</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定性</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好</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val="0"/>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好</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30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30</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微软雅黑" w:cs="Times New Roman"/>
                <w:b w:val="0"/>
                <w:bCs w:val="0"/>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合计</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100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100</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宋体" w:cs="Times New Roman"/>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评价结论</w:t>
            </w:r>
          </w:p>
        </w:tc>
        <w:tc>
          <w:tcPr>
            <w:tcW w:w="955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按照预算批复和我局财务管理规定，及时拨付经费，项目执行达到预期绩效目标。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存在问题</w:t>
            </w:r>
          </w:p>
        </w:tc>
        <w:tc>
          <w:tcPr>
            <w:tcW w:w="955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改进措施</w:t>
            </w:r>
          </w:p>
        </w:tc>
        <w:tc>
          <w:tcPr>
            <w:tcW w:w="955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无</w:t>
            </w:r>
          </w:p>
        </w:tc>
      </w:tr>
    </w:tbl>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ascii="黑体" w:hAnsi="宋体" w:eastAsia="黑体" w:cs="黑体"/>
          <w:b w:val="0"/>
          <w:bCs w:val="0"/>
          <w:i w:val="0"/>
          <w:iCs w:val="0"/>
          <w:color w:val="000000"/>
          <w:sz w:val="36"/>
          <w:szCs w:val="36"/>
          <w:u w:val="none"/>
        </w:rPr>
      </w:pPr>
      <w:bookmarkStart w:id="73" w:name="_Toc763062239_WPSOffice_Level2"/>
      <w:r>
        <w:rPr>
          <w:rFonts w:hint="eastAsia" w:ascii="黑体" w:hAnsi="宋体" w:eastAsia="黑体" w:cs="黑体"/>
          <w:b w:val="0"/>
          <w:bCs w:val="0"/>
          <w:i w:val="0"/>
          <w:iCs w:val="0"/>
          <w:color w:val="000000"/>
          <w:kern w:val="0"/>
          <w:sz w:val="36"/>
          <w:szCs w:val="36"/>
          <w:u w:val="none"/>
          <w:lang w:val="en-US" w:eastAsia="zh-CN" w:bidi="ar"/>
        </w:rPr>
        <w:t>部门预算项目支出绩效自评表（2023年度）</w:t>
      </w:r>
      <w:bookmarkEnd w:id="73"/>
    </w:p>
    <w:tbl>
      <w:tblPr>
        <w:tblStyle w:val="13"/>
        <w:tblW w:w="1049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95"/>
        <w:gridCol w:w="995"/>
        <w:gridCol w:w="821"/>
        <w:gridCol w:w="1538"/>
        <w:gridCol w:w="717"/>
        <w:gridCol w:w="753"/>
        <w:gridCol w:w="690"/>
        <w:gridCol w:w="885"/>
        <w:gridCol w:w="717"/>
        <w:gridCol w:w="1083"/>
        <w:gridCol w:w="12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9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项目名称</w:t>
            </w:r>
          </w:p>
        </w:tc>
        <w:tc>
          <w:tcPr>
            <w:tcW w:w="850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51000023T000008334583-四川省广播电视公共服务平台提档升级扩容项目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9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主管部门</w:t>
            </w:r>
          </w:p>
        </w:tc>
        <w:tc>
          <w:tcPr>
            <w:tcW w:w="45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四川省广播电视局部门</w:t>
            </w:r>
          </w:p>
        </w:tc>
        <w:tc>
          <w:tcPr>
            <w:tcW w:w="885"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simhei"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实施单位（盖章）</w:t>
            </w:r>
          </w:p>
        </w:tc>
        <w:tc>
          <w:tcPr>
            <w:tcW w:w="30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四川省广播电视局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项目基本情况</w:t>
            </w:r>
          </w:p>
        </w:tc>
        <w:tc>
          <w:tcPr>
            <w:tcW w:w="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1.项目年度目标完成情况</w:t>
            </w:r>
          </w:p>
        </w:tc>
        <w:tc>
          <w:tcPr>
            <w:tcW w:w="45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项目年度目标</w:t>
            </w:r>
          </w:p>
        </w:tc>
        <w:tc>
          <w:tcPr>
            <w:tcW w:w="39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simhei" w:cs="Times New Roman"/>
                <w:b w:val="0"/>
                <w:bCs w:val="0"/>
                <w:i w:val="0"/>
                <w:iCs w:val="0"/>
                <w:color w:val="000000"/>
                <w:sz w:val="18"/>
                <w:szCs w:val="18"/>
                <w:u w:val="none"/>
              </w:rPr>
            </w:pPr>
            <w:r>
              <w:rPr>
                <w:rFonts w:hint="default" w:ascii="Times New Roman" w:hAnsi="Times New Roman" w:eastAsia="simhei" w:cs="Times New Roman"/>
                <w:b w:val="0"/>
                <w:bCs w:val="0"/>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5" w:hRule="atLeast"/>
          <w:jc w:val="center"/>
        </w:trPr>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宋体" w:cs="Times New Roman"/>
                <w:b w:val="0"/>
                <w:bCs w:val="0"/>
                <w:i w:val="0"/>
                <w:iCs w:val="0"/>
                <w:color w:val="000000"/>
                <w:sz w:val="18"/>
                <w:szCs w:val="18"/>
                <w:u w:val="none"/>
              </w:rPr>
            </w:pPr>
          </w:p>
        </w:tc>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宋体" w:cs="Times New Roman"/>
                <w:b w:val="0"/>
                <w:bCs w:val="0"/>
                <w:i w:val="0"/>
                <w:iCs w:val="0"/>
                <w:color w:val="000000"/>
                <w:sz w:val="18"/>
                <w:szCs w:val="18"/>
                <w:u w:val="none"/>
              </w:rPr>
            </w:pPr>
          </w:p>
        </w:tc>
        <w:tc>
          <w:tcPr>
            <w:tcW w:w="45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1.拓展“反馈系统”数据资源库容量及内容产品储存量，打造机构用户共享交流平台，以辅助全省广电及网络视听产品内容生产；2.升级“反馈系统”后台功能系统，面向全省视听内容广播电视制作机构提供一站式全流程拍摄保障服务；3.改造“反馈系统”运行所需“数据中心”既有基础设施及面向公众用户的移动终端、以支撑“反馈系统”新功能的实现；4.系统建成后具备数据承载能力。</w:t>
            </w:r>
          </w:p>
        </w:tc>
        <w:tc>
          <w:tcPr>
            <w:tcW w:w="39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simhei"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项目完成了建设清单任务，经第三方测试单位对项目建设产品在功能、性能、安全方面进行测试，测试结果为通过。并已按照法定程序组织开展了项目初次验收工作，经验收组专家审定，一致同意项目通过初步验收。当前正在开展系统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宋体" w:cs="Times New Roman"/>
                <w:b w:val="0"/>
                <w:bCs w:val="0"/>
                <w:i w:val="0"/>
                <w:iCs w:val="0"/>
                <w:color w:val="000000"/>
                <w:sz w:val="18"/>
                <w:szCs w:val="18"/>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2.项目实施内容及过程概述</w:t>
            </w:r>
          </w:p>
        </w:tc>
        <w:tc>
          <w:tcPr>
            <w:tcW w:w="850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宋体" w:cs="Times New Roman"/>
                <w:b w:val="0"/>
                <w:bCs w:val="0"/>
                <w:i w:val="0"/>
                <w:iCs w:val="0"/>
                <w:color w:val="000000"/>
                <w:sz w:val="18"/>
                <w:szCs w:val="18"/>
                <w:u w:val="none"/>
                <w:lang w:eastAsia="zh-CN"/>
              </w:rPr>
            </w:pPr>
            <w:r>
              <w:rPr>
                <w:rFonts w:hint="default" w:ascii="Times New Roman" w:hAnsi="Times New Roman" w:eastAsia="宋体" w:cs="Times New Roman"/>
                <w:b w:val="0"/>
                <w:bCs w:val="0"/>
                <w:i w:val="0"/>
                <w:iCs w:val="0"/>
                <w:color w:val="000000"/>
                <w:sz w:val="18"/>
                <w:szCs w:val="18"/>
                <w:u w:val="none"/>
                <w:lang w:eastAsia="zh-CN"/>
              </w:rPr>
              <w:t>按照政府采购相关规定开展项目采购工作。项目建设完成多模态智能视听传播系统、数字视听节目资料库、数字视听节目共享交流平台、视听大数据动态分析处理系统、“拍在四川”影视拍摄服务支撑系统、广播电视公共服务平台升级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预算执行情况（10分）</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年度预算数（万元）</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年初预算</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调整后预算数</w:t>
            </w:r>
          </w:p>
        </w:tc>
        <w:tc>
          <w:tcPr>
            <w:tcW w:w="21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预算执行数</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预算执行率</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权重</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得分</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val="0"/>
                <w:i w:val="0"/>
                <w:iCs w:val="0"/>
                <w:color w:val="000000"/>
                <w:sz w:val="18"/>
                <w:szCs w:val="18"/>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总额</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1,386.30</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1,386.30</w:t>
            </w:r>
          </w:p>
        </w:tc>
        <w:tc>
          <w:tcPr>
            <w:tcW w:w="21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845.92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61.02%</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10</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6.3</w:t>
            </w: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default" w:ascii="Times New Roman" w:hAnsi="Times New Roman" w:eastAsia="宋体" w:cs="Times New Roman"/>
                <w:b w:val="0"/>
                <w:bCs w:val="0"/>
                <w:i w:val="0"/>
                <w:iCs w:val="0"/>
                <w:color w:val="000000"/>
                <w:kern w:val="0"/>
                <w:sz w:val="18"/>
                <w:szCs w:val="18"/>
                <w:u w:val="none"/>
                <w:lang w:val="en-US" w:eastAsia="zh-CN" w:bidi="ar"/>
              </w:rPr>
              <w:t>项目建设中途接到密评相关文件，要求完成密评工作才能验收；项目第3.5.6包流标，进行了二次招标。受上述不可控客观原因影响，项目建设时间相对滞后。目前正在依程序推进项目实施。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val="0"/>
                <w:i w:val="0"/>
                <w:iCs w:val="0"/>
                <w:color w:val="000000"/>
                <w:sz w:val="18"/>
                <w:szCs w:val="18"/>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其中：财政资金</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1,386.30</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1,386.30</w:t>
            </w:r>
          </w:p>
        </w:tc>
        <w:tc>
          <w:tcPr>
            <w:tcW w:w="21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845.92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61.02%</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w:t>
            </w: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val="0"/>
                <w:i w:val="0"/>
                <w:iCs w:val="0"/>
                <w:color w:val="000000"/>
                <w:sz w:val="18"/>
                <w:szCs w:val="18"/>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财政专户管理资金</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0.00</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0.00</w:t>
            </w:r>
          </w:p>
        </w:tc>
        <w:tc>
          <w:tcPr>
            <w:tcW w:w="21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0.00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0.00%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w:t>
            </w: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val="0"/>
                <w:i w:val="0"/>
                <w:iCs w:val="0"/>
                <w:color w:val="000000"/>
                <w:sz w:val="18"/>
                <w:szCs w:val="18"/>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单位资金</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0.00</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0.00</w:t>
            </w:r>
          </w:p>
        </w:tc>
        <w:tc>
          <w:tcPr>
            <w:tcW w:w="21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0.00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0.00%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w:t>
            </w: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val="0"/>
                <w:i w:val="0"/>
                <w:iCs w:val="0"/>
                <w:color w:val="000000"/>
                <w:sz w:val="18"/>
                <w:szCs w:val="18"/>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其他资金</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微软雅黑" w:cs="Times New Roman"/>
                <w:b w:val="0"/>
                <w:bCs w:val="0"/>
                <w:i w:val="0"/>
                <w:iCs w:val="0"/>
                <w:color w:val="000000"/>
                <w:sz w:val="16"/>
                <w:szCs w:val="16"/>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微软雅黑" w:cs="Times New Roman"/>
                <w:b w:val="0"/>
                <w:bCs w:val="0"/>
                <w:i w:val="0"/>
                <w:iCs w:val="0"/>
                <w:color w:val="000000"/>
                <w:sz w:val="16"/>
                <w:szCs w:val="16"/>
                <w:u w:val="none"/>
              </w:rPr>
            </w:pPr>
          </w:p>
        </w:tc>
        <w:tc>
          <w:tcPr>
            <w:tcW w:w="21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微软雅黑" w:cs="Times New Roman"/>
                <w:b w:val="0"/>
                <w:bCs w:val="0"/>
                <w:i w:val="0"/>
                <w:iCs w:val="0"/>
                <w:color w:val="000000"/>
                <w:sz w:val="16"/>
                <w:szCs w:val="16"/>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微软雅黑" w:cs="Times New Roman"/>
                <w:b w:val="0"/>
                <w:bCs w:val="0"/>
                <w:i w:val="0"/>
                <w:iCs w:val="0"/>
                <w:color w:val="000000"/>
                <w:sz w:val="16"/>
                <w:szCs w:val="16"/>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w:t>
            </w: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绩效指标（90分）</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一级指标</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二级指标</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三级指标</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指标性质</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指标值</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度量单位</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完成值</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权重</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得分</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default" w:ascii="Times New Roman" w:hAnsi="Times New Roman" w:eastAsia="宋体" w:cs="Times New Roman"/>
                <w:b w:val="0"/>
                <w:bCs w:val="0"/>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val="0"/>
                <w:i w:val="0"/>
                <w:iCs w:val="0"/>
                <w:color w:val="000000"/>
                <w:sz w:val="18"/>
                <w:szCs w:val="18"/>
                <w:u w:val="none"/>
              </w:rPr>
            </w:pPr>
          </w:p>
        </w:tc>
        <w:tc>
          <w:tcPr>
            <w:tcW w:w="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产出指标</w:t>
            </w:r>
          </w:p>
        </w:tc>
        <w:tc>
          <w:tcPr>
            <w:tcW w:w="8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数量指标</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pacing w:val="-11"/>
                <w:sz w:val="18"/>
                <w:szCs w:val="18"/>
                <w:u w:val="none"/>
              </w:rPr>
            </w:pPr>
            <w:r>
              <w:rPr>
                <w:rFonts w:hint="default" w:ascii="Times New Roman" w:hAnsi="Times New Roman" w:eastAsia="宋体" w:cs="Times New Roman"/>
                <w:b w:val="0"/>
                <w:bCs w:val="0"/>
                <w:i w:val="0"/>
                <w:iCs w:val="0"/>
                <w:color w:val="000000"/>
                <w:spacing w:val="-11"/>
                <w:kern w:val="0"/>
                <w:sz w:val="18"/>
                <w:szCs w:val="18"/>
                <w:u w:val="none"/>
                <w:lang w:val="en-US" w:eastAsia="zh-CN" w:bidi="ar"/>
              </w:rPr>
              <w:t>服务有线网络用户数</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400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万</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微软雅黑" w:cs="Times New Roman"/>
                <w:b w:val="0"/>
                <w:bCs w:val="0"/>
                <w:i w:val="0"/>
                <w:iCs w:val="0"/>
                <w:color w:val="000000"/>
                <w:sz w:val="16"/>
                <w:szCs w:val="16"/>
                <w:u w:val="none"/>
              </w:rPr>
            </w:pPr>
            <w:r>
              <w:rPr>
                <w:rFonts w:hint="default" w:ascii="Times New Roman" w:hAnsi="Times New Roman" w:eastAsia="微软雅黑" w:cs="Times New Roman"/>
                <w:b w:val="0"/>
                <w:bCs w:val="0"/>
                <w:i w:val="0"/>
                <w:iCs w:val="0"/>
                <w:color w:val="000000"/>
                <w:kern w:val="0"/>
                <w:sz w:val="16"/>
                <w:szCs w:val="16"/>
                <w:u w:val="none"/>
                <w:lang w:val="en-US" w:eastAsia="zh-CN" w:bidi="ar"/>
              </w:rPr>
              <w:t>400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5</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5</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微软雅黑" w:cs="Times New Roman"/>
                <w:b w:val="0"/>
                <w:bCs w:val="0"/>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val="0"/>
                <w:i w:val="0"/>
                <w:iCs w:val="0"/>
                <w:color w:val="000000"/>
                <w:sz w:val="18"/>
                <w:szCs w:val="18"/>
                <w:u w:val="none"/>
              </w:rPr>
            </w:pPr>
          </w:p>
        </w:tc>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val="0"/>
                <w:i w:val="0"/>
                <w:iCs w:val="0"/>
                <w:color w:val="000000"/>
                <w:sz w:val="18"/>
                <w:szCs w:val="18"/>
                <w:u w:val="none"/>
              </w:rPr>
            </w:pPr>
          </w:p>
        </w:tc>
        <w:tc>
          <w:tcPr>
            <w:tcW w:w="8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val="0"/>
                <w:i w:val="0"/>
                <w:iCs w:val="0"/>
                <w:color w:val="000000"/>
                <w:sz w:val="18"/>
                <w:szCs w:val="18"/>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pacing w:val="-11"/>
                <w:sz w:val="18"/>
                <w:szCs w:val="18"/>
                <w:u w:val="none"/>
              </w:rPr>
            </w:pPr>
            <w:r>
              <w:rPr>
                <w:rFonts w:hint="default" w:ascii="Times New Roman" w:hAnsi="Times New Roman" w:eastAsia="宋体" w:cs="Times New Roman"/>
                <w:b w:val="0"/>
                <w:bCs w:val="0"/>
                <w:i w:val="0"/>
                <w:iCs w:val="0"/>
                <w:color w:val="000000"/>
                <w:spacing w:val="-11"/>
                <w:kern w:val="0"/>
                <w:sz w:val="18"/>
                <w:szCs w:val="18"/>
                <w:u w:val="none"/>
                <w:lang w:val="en-US" w:eastAsia="zh-CN" w:bidi="ar"/>
              </w:rPr>
              <w:t>服务户户通用户数</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1000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万</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微软雅黑" w:cs="Times New Roman"/>
                <w:b w:val="0"/>
                <w:bCs w:val="0"/>
                <w:i w:val="0"/>
                <w:iCs w:val="0"/>
                <w:color w:val="000000"/>
                <w:sz w:val="16"/>
                <w:szCs w:val="16"/>
                <w:u w:val="none"/>
              </w:rPr>
            </w:pPr>
            <w:r>
              <w:rPr>
                <w:rFonts w:hint="default" w:ascii="Times New Roman" w:hAnsi="Times New Roman" w:eastAsia="微软雅黑" w:cs="Times New Roman"/>
                <w:b w:val="0"/>
                <w:bCs w:val="0"/>
                <w:i w:val="0"/>
                <w:iCs w:val="0"/>
                <w:color w:val="000000"/>
                <w:kern w:val="0"/>
                <w:sz w:val="16"/>
                <w:szCs w:val="16"/>
                <w:u w:val="none"/>
                <w:lang w:val="en-US" w:eastAsia="zh-CN" w:bidi="ar"/>
              </w:rPr>
              <w:t>1000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5</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5</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微软雅黑" w:cs="Times New Roman"/>
                <w:b w:val="0"/>
                <w:bCs w:val="0"/>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val="0"/>
                <w:i w:val="0"/>
                <w:iCs w:val="0"/>
                <w:color w:val="000000"/>
                <w:sz w:val="18"/>
                <w:szCs w:val="18"/>
                <w:u w:val="none"/>
              </w:rPr>
            </w:pPr>
          </w:p>
        </w:tc>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val="0"/>
                <w:i w:val="0"/>
                <w:iCs w:val="0"/>
                <w:color w:val="000000"/>
                <w:sz w:val="18"/>
                <w:szCs w:val="18"/>
                <w:u w:val="none"/>
              </w:rPr>
            </w:pPr>
          </w:p>
        </w:tc>
        <w:tc>
          <w:tcPr>
            <w:tcW w:w="8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val="0"/>
                <w:i w:val="0"/>
                <w:iCs w:val="0"/>
                <w:color w:val="000000"/>
                <w:sz w:val="18"/>
                <w:szCs w:val="18"/>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pacing w:val="-11"/>
                <w:sz w:val="18"/>
                <w:szCs w:val="18"/>
                <w:u w:val="none"/>
              </w:rPr>
            </w:pPr>
            <w:r>
              <w:rPr>
                <w:rFonts w:hint="default" w:ascii="Times New Roman" w:hAnsi="Times New Roman" w:eastAsia="宋体" w:cs="Times New Roman"/>
                <w:b w:val="0"/>
                <w:bCs w:val="0"/>
                <w:i w:val="0"/>
                <w:iCs w:val="0"/>
                <w:color w:val="000000"/>
                <w:spacing w:val="-11"/>
                <w:kern w:val="0"/>
                <w:sz w:val="18"/>
                <w:szCs w:val="18"/>
                <w:u w:val="none"/>
                <w:lang w:val="en-US" w:eastAsia="zh-CN" w:bidi="ar"/>
              </w:rPr>
              <w:t>视听资料存储量</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万小时</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微软雅黑" w:cs="Times New Roman"/>
                <w:b w:val="0"/>
                <w:bCs w:val="0"/>
                <w:i w:val="0"/>
                <w:iCs w:val="0"/>
                <w:color w:val="000000"/>
                <w:sz w:val="16"/>
                <w:szCs w:val="16"/>
                <w:u w:val="none"/>
              </w:rPr>
            </w:pPr>
            <w:r>
              <w:rPr>
                <w:rFonts w:hint="default" w:ascii="Times New Roman" w:hAnsi="Times New Roman" w:eastAsia="微软雅黑" w:cs="Times New Roman"/>
                <w:b w:val="0"/>
                <w:bCs w:val="0"/>
                <w:i w:val="0"/>
                <w:iCs w:val="0"/>
                <w:color w:val="000000"/>
                <w:kern w:val="0"/>
                <w:sz w:val="16"/>
                <w:szCs w:val="16"/>
                <w:u w:val="none"/>
                <w:lang w:val="en-US" w:eastAsia="zh-CN" w:bidi="ar"/>
              </w:rPr>
              <w:t>1</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5</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5</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微软雅黑" w:cs="Times New Roman"/>
                <w:b w:val="0"/>
                <w:bCs w:val="0"/>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val="0"/>
                <w:i w:val="0"/>
                <w:iCs w:val="0"/>
                <w:color w:val="000000"/>
                <w:sz w:val="18"/>
                <w:szCs w:val="18"/>
                <w:u w:val="none"/>
              </w:rPr>
            </w:pPr>
          </w:p>
        </w:tc>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val="0"/>
                <w:i w:val="0"/>
                <w:iCs w:val="0"/>
                <w:color w:val="000000"/>
                <w:sz w:val="18"/>
                <w:szCs w:val="18"/>
                <w:u w:val="none"/>
              </w:rPr>
            </w:pPr>
          </w:p>
        </w:tc>
        <w:tc>
          <w:tcPr>
            <w:tcW w:w="8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val="0"/>
                <w:i w:val="0"/>
                <w:iCs w:val="0"/>
                <w:color w:val="000000"/>
                <w:sz w:val="18"/>
                <w:szCs w:val="18"/>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pacing w:val="-11"/>
                <w:sz w:val="18"/>
                <w:szCs w:val="18"/>
                <w:u w:val="none"/>
              </w:rPr>
            </w:pPr>
            <w:r>
              <w:rPr>
                <w:rFonts w:hint="default" w:ascii="Times New Roman" w:hAnsi="Times New Roman" w:eastAsia="宋体" w:cs="Times New Roman"/>
                <w:b w:val="0"/>
                <w:bCs w:val="0"/>
                <w:i w:val="0"/>
                <w:iCs w:val="0"/>
                <w:color w:val="000000"/>
                <w:spacing w:val="-11"/>
                <w:kern w:val="0"/>
                <w:sz w:val="18"/>
                <w:szCs w:val="18"/>
                <w:u w:val="none"/>
                <w:lang w:val="en-US" w:eastAsia="zh-CN" w:bidi="ar"/>
              </w:rPr>
              <w:t>服务四川广播电视公共服务网点</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6000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微软雅黑" w:cs="Times New Roman"/>
                <w:b w:val="0"/>
                <w:bCs w:val="0"/>
                <w:i w:val="0"/>
                <w:iCs w:val="0"/>
                <w:color w:val="000000"/>
                <w:sz w:val="16"/>
                <w:szCs w:val="16"/>
                <w:u w:val="none"/>
              </w:rPr>
            </w:pPr>
            <w:r>
              <w:rPr>
                <w:rFonts w:hint="default" w:ascii="Times New Roman" w:hAnsi="Times New Roman" w:eastAsia="微软雅黑" w:cs="Times New Roman"/>
                <w:b w:val="0"/>
                <w:bCs w:val="0"/>
                <w:i w:val="0"/>
                <w:iCs w:val="0"/>
                <w:color w:val="000000"/>
                <w:kern w:val="0"/>
                <w:sz w:val="16"/>
                <w:szCs w:val="16"/>
                <w:u w:val="none"/>
                <w:lang w:val="en-US" w:eastAsia="zh-CN" w:bidi="ar"/>
              </w:rPr>
              <w:t>11100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5</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5</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微软雅黑" w:cs="Times New Roman"/>
                <w:b w:val="0"/>
                <w:bCs w:val="0"/>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val="0"/>
                <w:i w:val="0"/>
                <w:iCs w:val="0"/>
                <w:color w:val="000000"/>
                <w:sz w:val="18"/>
                <w:szCs w:val="18"/>
                <w:u w:val="none"/>
              </w:rPr>
            </w:pPr>
          </w:p>
        </w:tc>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val="0"/>
                <w:i w:val="0"/>
                <w:iCs w:val="0"/>
                <w:color w:val="000000"/>
                <w:sz w:val="18"/>
                <w:szCs w:val="18"/>
                <w:u w:val="none"/>
              </w:rPr>
            </w:pPr>
          </w:p>
        </w:tc>
        <w:tc>
          <w:tcPr>
            <w:tcW w:w="8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val="0"/>
                <w:i w:val="0"/>
                <w:iCs w:val="0"/>
                <w:color w:val="000000"/>
                <w:sz w:val="18"/>
                <w:szCs w:val="18"/>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pacing w:val="-11"/>
                <w:sz w:val="18"/>
                <w:szCs w:val="18"/>
                <w:u w:val="none"/>
              </w:rPr>
            </w:pPr>
            <w:r>
              <w:rPr>
                <w:rFonts w:hint="default" w:ascii="Times New Roman" w:hAnsi="Times New Roman" w:eastAsia="宋体" w:cs="Times New Roman"/>
                <w:b w:val="0"/>
                <w:bCs w:val="0"/>
                <w:i w:val="0"/>
                <w:iCs w:val="0"/>
                <w:color w:val="000000"/>
                <w:spacing w:val="-11"/>
                <w:kern w:val="0"/>
                <w:sz w:val="18"/>
                <w:szCs w:val="18"/>
                <w:u w:val="none"/>
                <w:lang w:val="en-US" w:eastAsia="zh-CN" w:bidi="ar"/>
              </w:rPr>
              <w:t>本次升级改造的产品、系统数量</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微软雅黑" w:cs="Times New Roman"/>
                <w:b w:val="0"/>
                <w:bCs w:val="0"/>
                <w:i w:val="0"/>
                <w:iCs w:val="0"/>
                <w:color w:val="000000"/>
                <w:sz w:val="16"/>
                <w:szCs w:val="16"/>
                <w:u w:val="none"/>
              </w:rPr>
            </w:pPr>
            <w:r>
              <w:rPr>
                <w:rFonts w:hint="default" w:ascii="Times New Roman" w:hAnsi="Times New Roman" w:eastAsia="微软雅黑" w:cs="Times New Roman"/>
                <w:b w:val="0"/>
                <w:bCs w:val="0"/>
                <w:i w:val="0"/>
                <w:iCs w:val="0"/>
                <w:color w:val="000000"/>
                <w:kern w:val="0"/>
                <w:sz w:val="16"/>
                <w:szCs w:val="16"/>
                <w:u w:val="none"/>
                <w:lang w:val="en-US" w:eastAsia="zh-CN" w:bidi="ar"/>
              </w:rPr>
              <w:t>6</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5</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5</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微软雅黑" w:cs="Times New Roman"/>
                <w:b w:val="0"/>
                <w:bCs w:val="0"/>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val="0"/>
                <w:i w:val="0"/>
                <w:iCs w:val="0"/>
                <w:color w:val="000000"/>
                <w:sz w:val="18"/>
                <w:szCs w:val="18"/>
                <w:u w:val="none"/>
              </w:rPr>
            </w:pPr>
          </w:p>
        </w:tc>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val="0"/>
                <w:i w:val="0"/>
                <w:iCs w:val="0"/>
                <w:color w:val="000000"/>
                <w:sz w:val="18"/>
                <w:szCs w:val="18"/>
                <w:u w:val="none"/>
              </w:rPr>
            </w:pPr>
          </w:p>
        </w:tc>
        <w:tc>
          <w:tcPr>
            <w:tcW w:w="8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val="0"/>
                <w:i w:val="0"/>
                <w:iCs w:val="0"/>
                <w:color w:val="000000"/>
                <w:sz w:val="18"/>
                <w:szCs w:val="18"/>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pacing w:val="-11"/>
                <w:sz w:val="18"/>
                <w:szCs w:val="18"/>
                <w:u w:val="none"/>
              </w:rPr>
            </w:pPr>
            <w:r>
              <w:rPr>
                <w:rFonts w:hint="default" w:ascii="Times New Roman" w:hAnsi="Times New Roman" w:eastAsia="宋体" w:cs="Times New Roman"/>
                <w:b w:val="0"/>
                <w:bCs w:val="0"/>
                <w:i w:val="0"/>
                <w:iCs w:val="0"/>
                <w:color w:val="000000"/>
                <w:spacing w:val="-11"/>
                <w:kern w:val="0"/>
                <w:sz w:val="18"/>
                <w:szCs w:val="18"/>
                <w:u w:val="none"/>
                <w:lang w:val="en-US" w:eastAsia="zh-CN" w:bidi="ar"/>
              </w:rPr>
              <w:t>升级改造“视听四川”APP</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微软雅黑" w:cs="Times New Roman"/>
                <w:b w:val="0"/>
                <w:bCs w:val="0"/>
                <w:i w:val="0"/>
                <w:iCs w:val="0"/>
                <w:color w:val="000000"/>
                <w:sz w:val="16"/>
                <w:szCs w:val="16"/>
                <w:u w:val="none"/>
              </w:rPr>
            </w:pPr>
            <w:r>
              <w:rPr>
                <w:rFonts w:hint="default" w:ascii="Times New Roman" w:hAnsi="Times New Roman" w:eastAsia="微软雅黑" w:cs="Times New Roman"/>
                <w:b w:val="0"/>
                <w:bCs w:val="0"/>
                <w:i w:val="0"/>
                <w:iCs w:val="0"/>
                <w:color w:val="000000"/>
                <w:kern w:val="0"/>
                <w:sz w:val="16"/>
                <w:szCs w:val="16"/>
                <w:u w:val="none"/>
                <w:lang w:val="en-US" w:eastAsia="zh-CN" w:bidi="ar"/>
              </w:rPr>
              <w:t>1</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5</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5</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微软雅黑" w:cs="Times New Roman"/>
                <w:b w:val="0"/>
                <w:bCs w:val="0"/>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val="0"/>
                <w:i w:val="0"/>
                <w:iCs w:val="0"/>
                <w:color w:val="000000"/>
                <w:sz w:val="18"/>
                <w:szCs w:val="18"/>
                <w:u w:val="none"/>
              </w:rPr>
            </w:pPr>
          </w:p>
        </w:tc>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val="0"/>
                <w:i w:val="0"/>
                <w:iCs w:val="0"/>
                <w:color w:val="000000"/>
                <w:sz w:val="18"/>
                <w:szCs w:val="18"/>
                <w:u w:val="none"/>
              </w:rPr>
            </w:pPr>
          </w:p>
        </w:tc>
        <w:tc>
          <w:tcPr>
            <w:tcW w:w="8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val="0"/>
                <w:i w:val="0"/>
                <w:iCs w:val="0"/>
                <w:color w:val="000000"/>
                <w:sz w:val="18"/>
                <w:szCs w:val="18"/>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pacing w:val="-11"/>
                <w:sz w:val="18"/>
                <w:szCs w:val="18"/>
                <w:u w:val="none"/>
              </w:rPr>
            </w:pPr>
            <w:r>
              <w:rPr>
                <w:rFonts w:hint="default" w:ascii="Times New Roman" w:hAnsi="Times New Roman" w:eastAsia="宋体" w:cs="Times New Roman"/>
                <w:b w:val="0"/>
                <w:bCs w:val="0"/>
                <w:i w:val="0"/>
                <w:iCs w:val="0"/>
                <w:color w:val="000000"/>
                <w:spacing w:val="-11"/>
                <w:kern w:val="0"/>
                <w:sz w:val="18"/>
                <w:szCs w:val="18"/>
                <w:u w:val="none"/>
                <w:lang w:val="en-US" w:eastAsia="zh-CN" w:bidi="ar"/>
              </w:rPr>
              <w:t>视听内容资料库存储扩容</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500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TB</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微软雅黑" w:cs="Times New Roman"/>
                <w:b w:val="0"/>
                <w:bCs w:val="0"/>
                <w:i w:val="0"/>
                <w:iCs w:val="0"/>
                <w:color w:val="000000"/>
                <w:sz w:val="16"/>
                <w:szCs w:val="16"/>
                <w:u w:val="none"/>
              </w:rPr>
            </w:pPr>
            <w:r>
              <w:rPr>
                <w:rFonts w:hint="default" w:ascii="Times New Roman" w:hAnsi="Times New Roman" w:eastAsia="微软雅黑" w:cs="Times New Roman"/>
                <w:b w:val="0"/>
                <w:bCs w:val="0"/>
                <w:i w:val="0"/>
                <w:iCs w:val="0"/>
                <w:color w:val="000000"/>
                <w:kern w:val="0"/>
                <w:sz w:val="16"/>
                <w:szCs w:val="16"/>
                <w:u w:val="none"/>
                <w:lang w:val="en-US" w:eastAsia="zh-CN" w:bidi="ar"/>
              </w:rPr>
              <w:t>515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5</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5</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微软雅黑" w:cs="Times New Roman"/>
                <w:b w:val="0"/>
                <w:bCs w:val="0"/>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val="0"/>
                <w:i w:val="0"/>
                <w:iCs w:val="0"/>
                <w:color w:val="000000"/>
                <w:sz w:val="18"/>
                <w:szCs w:val="18"/>
                <w:u w:val="none"/>
              </w:rPr>
            </w:pPr>
          </w:p>
        </w:tc>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val="0"/>
                <w:i w:val="0"/>
                <w:iCs w:val="0"/>
                <w:color w:val="000000"/>
                <w:sz w:val="18"/>
                <w:szCs w:val="18"/>
                <w:u w:val="none"/>
              </w:rPr>
            </w:pPr>
          </w:p>
        </w:tc>
        <w:tc>
          <w:tcPr>
            <w:tcW w:w="8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val="0"/>
                <w:i w:val="0"/>
                <w:iCs w:val="0"/>
                <w:color w:val="000000"/>
                <w:sz w:val="18"/>
                <w:szCs w:val="18"/>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pacing w:val="-11"/>
                <w:sz w:val="18"/>
                <w:szCs w:val="18"/>
                <w:u w:val="none"/>
              </w:rPr>
            </w:pPr>
            <w:r>
              <w:rPr>
                <w:rFonts w:hint="default" w:ascii="Times New Roman" w:hAnsi="Times New Roman" w:eastAsia="宋体" w:cs="Times New Roman"/>
                <w:b w:val="0"/>
                <w:bCs w:val="0"/>
                <w:i w:val="0"/>
                <w:iCs w:val="0"/>
                <w:color w:val="000000"/>
                <w:spacing w:val="-11"/>
                <w:kern w:val="0"/>
                <w:sz w:val="18"/>
                <w:szCs w:val="18"/>
                <w:u w:val="none"/>
                <w:lang w:val="en-US" w:eastAsia="zh-CN" w:bidi="ar"/>
              </w:rPr>
              <w:t>为机 购和从业人员开设专项平台账号</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万个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微软雅黑" w:cs="Times New Roman"/>
                <w:b w:val="0"/>
                <w:bCs w:val="0"/>
                <w:i w:val="0"/>
                <w:iCs w:val="0"/>
                <w:color w:val="000000"/>
                <w:sz w:val="16"/>
                <w:szCs w:val="16"/>
                <w:u w:val="none"/>
              </w:rPr>
            </w:pPr>
            <w:r>
              <w:rPr>
                <w:rFonts w:hint="default" w:ascii="Times New Roman" w:hAnsi="Times New Roman" w:eastAsia="微软雅黑" w:cs="Times New Roman"/>
                <w:b w:val="0"/>
                <w:bCs w:val="0"/>
                <w:i w:val="0"/>
                <w:iCs w:val="0"/>
                <w:color w:val="000000"/>
                <w:kern w:val="0"/>
                <w:sz w:val="16"/>
                <w:szCs w:val="16"/>
                <w:u w:val="none"/>
                <w:lang w:val="en-US" w:eastAsia="zh-CN" w:bidi="ar"/>
              </w:rPr>
              <w:t>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5</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5</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微软雅黑" w:cs="Times New Roman"/>
                <w:b w:val="0"/>
                <w:bCs w:val="0"/>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val="0"/>
                <w:i w:val="0"/>
                <w:iCs w:val="0"/>
                <w:color w:val="000000"/>
                <w:sz w:val="18"/>
                <w:szCs w:val="18"/>
                <w:u w:val="none"/>
              </w:rPr>
            </w:pPr>
          </w:p>
        </w:tc>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val="0"/>
                <w:i w:val="0"/>
                <w:iCs w:val="0"/>
                <w:color w:val="000000"/>
                <w:sz w:val="18"/>
                <w:szCs w:val="18"/>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时效指标</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pacing w:val="-11"/>
                <w:sz w:val="18"/>
                <w:szCs w:val="18"/>
                <w:u w:val="none"/>
              </w:rPr>
            </w:pPr>
            <w:r>
              <w:rPr>
                <w:rFonts w:hint="default" w:ascii="Times New Roman" w:hAnsi="Times New Roman" w:eastAsia="宋体" w:cs="Times New Roman"/>
                <w:b w:val="0"/>
                <w:bCs w:val="0"/>
                <w:i w:val="0"/>
                <w:iCs w:val="0"/>
                <w:color w:val="000000"/>
                <w:spacing w:val="-11"/>
                <w:kern w:val="0"/>
                <w:sz w:val="18"/>
                <w:szCs w:val="18"/>
                <w:u w:val="none"/>
                <w:lang w:val="en-US" w:eastAsia="zh-CN" w:bidi="ar"/>
              </w:rPr>
              <w:t>改造建设实施周期</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2023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年</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微软雅黑" w:cs="Times New Roman"/>
                <w:b w:val="0"/>
                <w:bCs w:val="0"/>
                <w:i w:val="0"/>
                <w:iCs w:val="0"/>
                <w:color w:val="000000"/>
                <w:sz w:val="16"/>
                <w:szCs w:val="16"/>
                <w:u w:val="none"/>
              </w:rPr>
            </w:pPr>
            <w:r>
              <w:rPr>
                <w:rFonts w:hint="default" w:ascii="Times New Roman" w:hAnsi="Times New Roman" w:eastAsia="微软雅黑" w:cs="Times New Roman"/>
                <w:b w:val="0"/>
                <w:bCs w:val="0"/>
                <w:i w:val="0"/>
                <w:iCs w:val="0"/>
                <w:color w:val="000000"/>
                <w:kern w:val="0"/>
                <w:sz w:val="16"/>
                <w:szCs w:val="16"/>
                <w:u w:val="none"/>
                <w:lang w:val="en-US" w:eastAsia="zh-CN" w:bidi="ar"/>
              </w:rPr>
              <w:t>2024</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5</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微软雅黑" w:cs="Times New Roman"/>
                <w:b w:val="0"/>
                <w:bCs w:val="0"/>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val="0"/>
                <w:i w:val="0"/>
                <w:iCs w:val="0"/>
                <w:color w:val="000000"/>
                <w:sz w:val="18"/>
                <w:szCs w:val="18"/>
                <w:u w:val="none"/>
              </w:rPr>
            </w:pPr>
          </w:p>
        </w:tc>
        <w:tc>
          <w:tcPr>
            <w:tcW w:w="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效益指标</w:t>
            </w:r>
          </w:p>
        </w:tc>
        <w:tc>
          <w:tcPr>
            <w:tcW w:w="8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社会效益指标</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pacing w:val="-11"/>
                <w:sz w:val="18"/>
                <w:szCs w:val="18"/>
                <w:u w:val="none"/>
              </w:rPr>
            </w:pPr>
            <w:r>
              <w:rPr>
                <w:rFonts w:hint="default" w:ascii="Times New Roman" w:hAnsi="Times New Roman" w:eastAsia="宋体" w:cs="Times New Roman"/>
                <w:b w:val="0"/>
                <w:bCs w:val="0"/>
                <w:i w:val="0"/>
                <w:iCs w:val="0"/>
                <w:color w:val="000000"/>
                <w:spacing w:val="-11"/>
                <w:kern w:val="0"/>
                <w:sz w:val="18"/>
                <w:szCs w:val="18"/>
                <w:u w:val="none"/>
                <w:lang w:val="en-US" w:eastAsia="zh-CN" w:bidi="ar"/>
              </w:rPr>
              <w:t>视听四川APP上线后半年访问量（PV）</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1000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万人次</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微软雅黑" w:cs="Times New Roman"/>
                <w:b w:val="0"/>
                <w:bCs w:val="0"/>
                <w:i w:val="0"/>
                <w:iCs w:val="0"/>
                <w:color w:val="000000"/>
                <w:sz w:val="16"/>
                <w:szCs w:val="16"/>
                <w:u w:val="none"/>
              </w:rPr>
            </w:pPr>
            <w:r>
              <w:rPr>
                <w:rFonts w:hint="default" w:ascii="Times New Roman" w:hAnsi="Times New Roman" w:eastAsia="微软雅黑" w:cs="Times New Roman"/>
                <w:b w:val="0"/>
                <w:bCs w:val="0"/>
                <w:i w:val="0"/>
                <w:iCs w:val="0"/>
                <w:color w:val="000000"/>
                <w:kern w:val="0"/>
                <w:sz w:val="16"/>
                <w:szCs w:val="16"/>
                <w:u w:val="none"/>
                <w:lang w:val="en-US" w:eastAsia="zh-CN" w:bidi="ar"/>
              </w:rPr>
              <w:t>1000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10</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10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微软雅黑" w:cs="Times New Roman"/>
                <w:b w:val="0"/>
                <w:bCs w:val="0"/>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val="0"/>
                <w:i w:val="0"/>
                <w:iCs w:val="0"/>
                <w:color w:val="000000"/>
                <w:sz w:val="18"/>
                <w:szCs w:val="18"/>
                <w:u w:val="none"/>
              </w:rPr>
            </w:pPr>
          </w:p>
        </w:tc>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val="0"/>
                <w:i w:val="0"/>
                <w:iCs w:val="0"/>
                <w:color w:val="000000"/>
                <w:sz w:val="18"/>
                <w:szCs w:val="18"/>
                <w:u w:val="none"/>
              </w:rPr>
            </w:pPr>
          </w:p>
        </w:tc>
        <w:tc>
          <w:tcPr>
            <w:tcW w:w="8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val="0"/>
                <w:i w:val="0"/>
                <w:iCs w:val="0"/>
                <w:color w:val="000000"/>
                <w:sz w:val="18"/>
                <w:szCs w:val="18"/>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pacing w:val="-11"/>
                <w:sz w:val="18"/>
                <w:szCs w:val="18"/>
                <w:u w:val="none"/>
              </w:rPr>
            </w:pPr>
            <w:r>
              <w:rPr>
                <w:rFonts w:hint="default" w:ascii="Times New Roman" w:hAnsi="Times New Roman" w:eastAsia="宋体" w:cs="Times New Roman"/>
                <w:b w:val="0"/>
                <w:bCs w:val="0"/>
                <w:i w:val="0"/>
                <w:iCs w:val="0"/>
                <w:color w:val="000000"/>
                <w:spacing w:val="-11"/>
                <w:kern w:val="0"/>
                <w:sz w:val="18"/>
                <w:szCs w:val="18"/>
                <w:u w:val="none"/>
                <w:lang w:val="en-US" w:eastAsia="zh-CN" w:bidi="ar"/>
              </w:rPr>
              <w:t>服务视听从业人员</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10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万人</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微软雅黑" w:cs="Times New Roman"/>
                <w:b w:val="0"/>
                <w:bCs w:val="0"/>
                <w:i w:val="0"/>
                <w:iCs w:val="0"/>
                <w:color w:val="000000"/>
                <w:sz w:val="16"/>
                <w:szCs w:val="16"/>
                <w:u w:val="none"/>
              </w:rPr>
            </w:pPr>
            <w:r>
              <w:rPr>
                <w:rFonts w:hint="default" w:ascii="Times New Roman" w:hAnsi="Times New Roman" w:eastAsia="微软雅黑" w:cs="Times New Roman"/>
                <w:b w:val="0"/>
                <w:bCs w:val="0"/>
                <w:i w:val="0"/>
                <w:iCs w:val="0"/>
                <w:color w:val="000000"/>
                <w:kern w:val="0"/>
                <w:sz w:val="16"/>
                <w:szCs w:val="16"/>
                <w:u w:val="none"/>
                <w:lang w:val="en-US" w:eastAsia="zh-CN" w:bidi="ar"/>
              </w:rPr>
              <w:t>10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10</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10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微软雅黑" w:cs="Times New Roman"/>
                <w:b w:val="0"/>
                <w:bCs w:val="0"/>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val="0"/>
                <w:i w:val="0"/>
                <w:iCs w:val="0"/>
                <w:color w:val="000000"/>
                <w:sz w:val="18"/>
                <w:szCs w:val="18"/>
                <w:u w:val="none"/>
              </w:rPr>
            </w:pPr>
          </w:p>
        </w:tc>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val="0"/>
                <w:i w:val="0"/>
                <w:iCs w:val="0"/>
                <w:color w:val="000000"/>
                <w:sz w:val="18"/>
                <w:szCs w:val="18"/>
                <w:u w:val="none"/>
              </w:rPr>
            </w:pPr>
          </w:p>
        </w:tc>
        <w:tc>
          <w:tcPr>
            <w:tcW w:w="8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val="0"/>
                <w:i w:val="0"/>
                <w:iCs w:val="0"/>
                <w:color w:val="000000"/>
                <w:sz w:val="18"/>
                <w:szCs w:val="18"/>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pacing w:val="-11"/>
                <w:sz w:val="18"/>
                <w:szCs w:val="18"/>
                <w:u w:val="none"/>
              </w:rPr>
            </w:pPr>
            <w:r>
              <w:rPr>
                <w:rFonts w:hint="default" w:ascii="Times New Roman" w:hAnsi="Times New Roman" w:eastAsia="宋体" w:cs="Times New Roman"/>
                <w:b w:val="0"/>
                <w:bCs w:val="0"/>
                <w:i w:val="0"/>
                <w:iCs w:val="0"/>
                <w:color w:val="000000"/>
                <w:spacing w:val="-11"/>
                <w:kern w:val="0"/>
                <w:sz w:val="18"/>
                <w:szCs w:val="18"/>
                <w:u w:val="none"/>
                <w:lang w:val="en-US" w:eastAsia="zh-CN" w:bidi="ar"/>
              </w:rPr>
              <w:t>服务广播电视及视听内容制作机构</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500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家</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微软雅黑" w:cs="Times New Roman"/>
                <w:b w:val="0"/>
                <w:bCs w:val="0"/>
                <w:i w:val="0"/>
                <w:iCs w:val="0"/>
                <w:color w:val="000000"/>
                <w:sz w:val="16"/>
                <w:szCs w:val="16"/>
                <w:u w:val="none"/>
              </w:rPr>
            </w:pPr>
            <w:r>
              <w:rPr>
                <w:rFonts w:hint="default" w:ascii="Times New Roman" w:hAnsi="Times New Roman" w:eastAsia="微软雅黑" w:cs="Times New Roman"/>
                <w:b w:val="0"/>
                <w:bCs w:val="0"/>
                <w:i w:val="0"/>
                <w:iCs w:val="0"/>
                <w:color w:val="000000"/>
                <w:kern w:val="0"/>
                <w:sz w:val="16"/>
                <w:szCs w:val="16"/>
                <w:u w:val="none"/>
                <w:lang w:val="en-US" w:eastAsia="zh-CN" w:bidi="ar"/>
              </w:rPr>
              <w:t>500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10</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10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微软雅黑" w:cs="Times New Roman"/>
                <w:b w:val="0"/>
                <w:bCs w:val="0"/>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5" w:hRule="atLeast"/>
          <w:jc w:val="center"/>
        </w:trPr>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val="0"/>
                <w:i w:val="0"/>
                <w:iCs w:val="0"/>
                <w:color w:val="000000"/>
                <w:sz w:val="18"/>
                <w:szCs w:val="18"/>
                <w:u w:val="none"/>
              </w:rPr>
            </w:pPr>
          </w:p>
        </w:tc>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val="0"/>
                <w:i w:val="0"/>
                <w:iCs w:val="0"/>
                <w:color w:val="000000"/>
                <w:sz w:val="18"/>
                <w:szCs w:val="18"/>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可持续发展指标</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推进智慧广电产业发展</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定性</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both"/>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3"/>
                <w:szCs w:val="13"/>
                <w:u w:val="none"/>
                <w:lang w:val="en-US" w:eastAsia="zh-CN" w:bidi="ar"/>
              </w:rPr>
              <w:t>1.实现对原有公共服务平台数据存储分析应用和反馈能力提升提供精准服务；2.实现对传输制作机构个人用户等视听主体服务能力的拓展，提供优质内容汇聚展示；3.实现巩固壮大奋进新时代的主流思想舆论，满足人民群众优质视听生活新需求新期待。</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val="0"/>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 w:val="0"/>
                <w:bCs w:val="0"/>
                <w:i w:val="0"/>
                <w:iCs w:val="0"/>
                <w:color w:val="000000"/>
                <w:sz w:val="16"/>
                <w:szCs w:val="16"/>
                <w:u w:val="none"/>
              </w:rPr>
            </w:pPr>
            <w:r>
              <w:rPr>
                <w:rFonts w:hint="default" w:ascii="Times New Roman" w:hAnsi="Times New Roman" w:eastAsia="仿宋_GB2312" w:cs="Times New Roman"/>
                <w:b w:val="0"/>
                <w:bCs w:val="0"/>
                <w:i w:val="0"/>
                <w:iCs w:val="0"/>
                <w:color w:val="000000"/>
                <w:kern w:val="0"/>
                <w:sz w:val="16"/>
                <w:szCs w:val="16"/>
                <w:u w:val="none"/>
                <w:lang w:val="en-US" w:eastAsia="zh-CN" w:bidi="ar"/>
              </w:rPr>
              <w:t>基本达成目标</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10</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10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微软雅黑" w:cs="Times New Roman"/>
                <w:b w:val="0"/>
                <w:bCs w:val="0"/>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val="0"/>
                <w:i w:val="0"/>
                <w:iCs w:val="0"/>
                <w:color w:val="000000"/>
                <w:sz w:val="18"/>
                <w:szCs w:val="18"/>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满意度指标</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服务对象满意度指标</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用户服务满意度</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95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微软雅黑" w:cs="Times New Roman"/>
                <w:b w:val="0"/>
                <w:bCs w:val="0"/>
                <w:i w:val="0"/>
                <w:iCs w:val="0"/>
                <w:color w:val="000000"/>
                <w:sz w:val="16"/>
                <w:szCs w:val="16"/>
                <w:u w:val="none"/>
              </w:rPr>
            </w:pPr>
            <w:r>
              <w:rPr>
                <w:rFonts w:hint="default" w:ascii="Times New Roman" w:hAnsi="Times New Roman" w:eastAsia="微软雅黑" w:cs="Times New Roman"/>
                <w:b w:val="0"/>
                <w:bCs w:val="0"/>
                <w:i w:val="0"/>
                <w:iCs w:val="0"/>
                <w:color w:val="000000"/>
                <w:kern w:val="0"/>
                <w:sz w:val="16"/>
                <w:szCs w:val="16"/>
                <w:u w:val="none"/>
                <w:lang w:val="en-US" w:eastAsia="zh-CN" w:bidi="ar"/>
              </w:rPr>
              <w:t>98</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5</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5</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微软雅黑" w:cs="Times New Roman"/>
                <w:b w:val="0"/>
                <w:bCs w:val="0"/>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739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合计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100</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95</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宋体" w:cs="Times New Roman"/>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评价结论</w:t>
            </w:r>
          </w:p>
        </w:tc>
        <w:tc>
          <w:tcPr>
            <w:tcW w:w="949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b w:val="0"/>
                <w:bCs w:val="0"/>
                <w:i w:val="0"/>
                <w:iCs w:val="0"/>
                <w:color w:val="000000"/>
                <w:sz w:val="16"/>
                <w:szCs w:val="16"/>
                <w:u w:val="none"/>
              </w:rPr>
            </w:pPr>
            <w:r>
              <w:rPr>
                <w:rFonts w:hint="default" w:ascii="Times New Roman" w:hAnsi="Times New Roman" w:eastAsia="仿宋_GB2312" w:cs="Times New Roman"/>
                <w:b w:val="0"/>
                <w:bCs w:val="0"/>
                <w:i w:val="0"/>
                <w:iCs w:val="0"/>
                <w:color w:val="000000"/>
                <w:kern w:val="0"/>
                <w:sz w:val="16"/>
                <w:szCs w:val="16"/>
                <w:u w:val="none"/>
                <w:lang w:val="en-US" w:eastAsia="zh-CN" w:bidi="ar"/>
              </w:rPr>
              <w:t>结合绩效自评，得分91.3分，因项目完成时限及预算执行率未达到标不得分。其余绩效目标均按照计划目标完成，部分超额完成。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存在问题</w:t>
            </w:r>
          </w:p>
        </w:tc>
        <w:tc>
          <w:tcPr>
            <w:tcW w:w="949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b w:val="0"/>
                <w:bCs w:val="0"/>
                <w:i w:val="0"/>
                <w:iCs w:val="0"/>
                <w:color w:val="000000"/>
                <w:sz w:val="16"/>
                <w:szCs w:val="16"/>
                <w:u w:val="none"/>
              </w:rPr>
            </w:pPr>
            <w:r>
              <w:rPr>
                <w:rFonts w:hint="default" w:ascii="Times New Roman" w:hAnsi="Times New Roman" w:eastAsia="仿宋_GB2312" w:cs="Times New Roman"/>
                <w:b w:val="0"/>
                <w:bCs w:val="0"/>
                <w:i w:val="0"/>
                <w:iCs w:val="0"/>
                <w:color w:val="000000"/>
                <w:kern w:val="0"/>
                <w:sz w:val="16"/>
                <w:szCs w:val="16"/>
                <w:u w:val="none"/>
                <w:lang w:val="en-US" w:eastAsia="zh-CN" w:bidi="ar"/>
              </w:rPr>
              <w:t>项目推进相对滞后。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改进措施</w:t>
            </w:r>
          </w:p>
        </w:tc>
        <w:tc>
          <w:tcPr>
            <w:tcW w:w="949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b w:val="0"/>
                <w:bCs w:val="0"/>
                <w:i w:val="0"/>
                <w:iCs w:val="0"/>
                <w:color w:val="000000"/>
                <w:sz w:val="16"/>
                <w:szCs w:val="16"/>
                <w:u w:val="none"/>
              </w:rPr>
            </w:pPr>
            <w:r>
              <w:rPr>
                <w:rFonts w:hint="default" w:ascii="Times New Roman" w:hAnsi="Times New Roman" w:eastAsia="仿宋_GB2312" w:cs="Times New Roman"/>
                <w:b w:val="0"/>
                <w:bCs w:val="0"/>
                <w:i w:val="0"/>
                <w:iCs w:val="0"/>
                <w:color w:val="000000"/>
                <w:kern w:val="0"/>
                <w:sz w:val="16"/>
                <w:szCs w:val="16"/>
                <w:u w:val="none"/>
                <w:lang w:val="en-US" w:eastAsia="zh-CN" w:bidi="ar"/>
              </w:rPr>
              <w:t>稳步推进项目实施，加快推进密码评估相关工作，依照试运行情况，及时完善、优化系统可能存在的问题，保证项目保质保量完成。</w:t>
            </w:r>
          </w:p>
        </w:tc>
      </w:tr>
    </w:tbl>
    <w:p>
      <w:pPr>
        <w:pStyle w:val="3"/>
        <w:keepNext w:val="0"/>
        <w:keepLines w:val="0"/>
        <w:pageBreakBefore w:val="0"/>
        <w:widowControl w:val="0"/>
        <w:numPr>
          <w:ilvl w:val="0"/>
          <w:numId w:val="0"/>
        </w:numPr>
        <w:kinsoku/>
        <w:wordWrap/>
        <w:overflowPunct/>
        <w:topLinePunct w:val="0"/>
        <w:autoSpaceDE/>
        <w:autoSpaceDN/>
        <w:bidi w:val="0"/>
        <w:adjustRightInd/>
        <w:snapToGrid/>
        <w:spacing w:line="20" w:lineRule="exact"/>
        <w:textAlignment w:val="auto"/>
        <w:rPr>
          <w:rFonts w:hint="eastAsia" w:ascii="仿宋_GB2312" w:hAnsi="Calibri" w:eastAsia="仿宋_GB2312" w:cs="仿宋"/>
          <w:color w:val="auto"/>
          <w:sz w:val="32"/>
          <w:szCs w:val="32"/>
          <w:highlight w:val="none"/>
          <w:lang w:val="en-US" w:eastAsia="zh-CN" w:bidi="ar-SA"/>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line="20" w:lineRule="exact"/>
        <w:ind w:firstLine="640" w:firstLineChars="200"/>
        <w:textAlignment w:val="auto"/>
        <w:rPr>
          <w:rFonts w:hint="default" w:ascii="仿宋_GB2312" w:hAnsi="Calibri" w:eastAsia="仿宋_GB2312" w:cs="仿宋"/>
          <w:color w:val="auto"/>
          <w:sz w:val="32"/>
          <w:szCs w:val="32"/>
          <w:highlight w:val="none"/>
          <w:lang w:val="en-US" w:eastAsia="zh-CN" w:bidi="ar-SA"/>
        </w:rPr>
        <w:sectPr>
          <w:footerReference r:id="rId5" w:type="default"/>
          <w:pgSz w:w="11906" w:h="16838"/>
          <w:pgMar w:top="2098" w:right="1474" w:bottom="1984" w:left="1587" w:header="851" w:footer="1417" w:gutter="0"/>
          <w:pgNumType w:fmt="decimal" w:start="1"/>
          <w:cols w:space="720" w:num="1"/>
          <w:docGrid w:type="lines" w:linePitch="435" w:charSpace="0"/>
        </w:sect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Style w:val="18"/>
          <w:rFonts w:hint="eastAsia" w:ascii="方正小标宋简体" w:hAnsi="方正小标宋简体" w:eastAsia="方正小标宋简体" w:cs="方正小标宋简体"/>
          <w:b w:val="0"/>
          <w:color w:val="auto"/>
          <w:sz w:val="44"/>
          <w:szCs w:val="44"/>
          <w:highlight w:val="none"/>
        </w:rPr>
      </w:pPr>
      <w:bookmarkStart w:id="74" w:name="_Toc751380005_WPSOffice_Level1"/>
      <w:r>
        <w:rPr>
          <w:rFonts w:hint="eastAsia" w:ascii="方正小标宋简体" w:hAnsi="方正小标宋简体" w:eastAsia="方正小标宋简体" w:cs="方正小标宋简体"/>
          <w:color w:val="auto"/>
          <w:sz w:val="44"/>
          <w:szCs w:val="44"/>
          <w:highlight w:val="none"/>
        </w:rPr>
        <w:t>第</w:t>
      </w:r>
      <w:r>
        <w:rPr>
          <w:rStyle w:val="18"/>
          <w:rFonts w:hint="eastAsia" w:ascii="方正小标宋简体" w:hAnsi="方正小标宋简体" w:eastAsia="方正小标宋简体" w:cs="方正小标宋简体"/>
          <w:b w:val="0"/>
          <w:color w:val="auto"/>
          <w:sz w:val="44"/>
          <w:szCs w:val="44"/>
          <w:highlight w:val="none"/>
        </w:rPr>
        <w:t xml:space="preserve">五部分 </w:t>
      </w:r>
      <w:r>
        <w:rPr>
          <w:rStyle w:val="18"/>
          <w:rFonts w:hint="eastAsia" w:ascii="方正小标宋简体" w:hAnsi="方正小标宋简体" w:eastAsia="方正小标宋简体" w:cs="方正小标宋简体"/>
          <w:b w:val="0"/>
          <w:color w:val="auto"/>
          <w:sz w:val="44"/>
          <w:szCs w:val="44"/>
          <w:highlight w:val="none"/>
          <w:lang w:val="en-US" w:eastAsia="zh-CN"/>
        </w:rPr>
        <w:t xml:space="preserve"> </w:t>
      </w:r>
      <w:r>
        <w:rPr>
          <w:rStyle w:val="18"/>
          <w:rFonts w:hint="eastAsia" w:ascii="方正小标宋简体" w:hAnsi="方正小标宋简体" w:eastAsia="方正小标宋简体" w:cs="方正小标宋简体"/>
          <w:b w:val="0"/>
          <w:color w:val="auto"/>
          <w:sz w:val="44"/>
          <w:szCs w:val="44"/>
          <w:highlight w:val="none"/>
        </w:rPr>
        <w:t>附</w:t>
      </w:r>
      <w:r>
        <w:rPr>
          <w:rStyle w:val="18"/>
          <w:rFonts w:hint="eastAsia" w:ascii="方正小标宋简体" w:hAnsi="方正小标宋简体" w:eastAsia="方正小标宋简体" w:cs="方正小标宋简体"/>
          <w:b w:val="0"/>
          <w:color w:val="auto"/>
          <w:sz w:val="44"/>
          <w:szCs w:val="44"/>
          <w:highlight w:val="none"/>
          <w:lang w:val="en-US" w:eastAsia="zh-CN"/>
        </w:rPr>
        <w:t xml:space="preserve"> </w:t>
      </w:r>
      <w:r>
        <w:rPr>
          <w:rStyle w:val="18"/>
          <w:rFonts w:hint="eastAsia" w:ascii="方正小标宋简体" w:hAnsi="方正小标宋简体" w:eastAsia="方正小标宋简体" w:cs="方正小标宋简体"/>
          <w:b w:val="0"/>
          <w:color w:val="auto"/>
          <w:sz w:val="44"/>
          <w:szCs w:val="44"/>
          <w:highlight w:val="none"/>
        </w:rPr>
        <w:t>表</w:t>
      </w:r>
      <w:bookmarkEnd w:id="74"/>
    </w:p>
    <w:p>
      <w:pPr>
        <w:pStyle w:val="2"/>
        <w:keepNext w:val="0"/>
        <w:keepLines w:val="0"/>
        <w:pageBreakBefore w:val="0"/>
        <w:widowControl w:val="0"/>
        <w:kinsoku/>
        <w:wordWrap/>
        <w:overflowPunct/>
        <w:topLinePunct w:val="0"/>
        <w:autoSpaceDE/>
        <w:autoSpaceDN/>
        <w:bidi w:val="0"/>
        <w:adjustRightInd/>
        <w:spacing w:line="24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bookmarkStart w:id="75" w:name="_Toc1608718704_WPSOffice_Level2"/>
      <w:r>
        <w:rPr>
          <w:rFonts w:hint="default" w:ascii="Times New Roman" w:hAnsi="Times New Roman" w:eastAsia="仿宋_GB2312" w:cs="Times New Roman"/>
          <w:sz w:val="32"/>
          <w:szCs w:val="32"/>
        </w:rPr>
        <w:t>一、收入支出决算总表</w:t>
      </w:r>
      <w:bookmarkEnd w:id="75"/>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bookmarkStart w:id="76" w:name="_Toc429947239_WPSOffice_Level2"/>
      <w:r>
        <w:rPr>
          <w:rFonts w:hint="default" w:ascii="Times New Roman" w:hAnsi="Times New Roman" w:eastAsia="仿宋_GB2312" w:cs="Times New Roman"/>
          <w:sz w:val="32"/>
          <w:szCs w:val="32"/>
        </w:rPr>
        <w:t>二、收入决算表</w:t>
      </w:r>
      <w:bookmarkEnd w:id="76"/>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bookmarkStart w:id="77" w:name="_Toc1165561456_WPSOffice_Level2"/>
      <w:r>
        <w:rPr>
          <w:rFonts w:hint="default" w:ascii="Times New Roman" w:hAnsi="Times New Roman" w:eastAsia="仿宋_GB2312" w:cs="Times New Roman"/>
          <w:sz w:val="32"/>
          <w:szCs w:val="32"/>
        </w:rPr>
        <w:t>三、支出决算表</w:t>
      </w:r>
      <w:bookmarkEnd w:id="77"/>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bookmarkStart w:id="78" w:name="_Toc1442644219_WPSOffice_Level2"/>
      <w:r>
        <w:rPr>
          <w:rFonts w:hint="default" w:ascii="Times New Roman" w:hAnsi="Times New Roman" w:eastAsia="仿宋_GB2312" w:cs="Times New Roman"/>
          <w:sz w:val="32"/>
          <w:szCs w:val="32"/>
        </w:rPr>
        <w:t>四、财政拨款收入支出决算总表</w:t>
      </w:r>
      <w:bookmarkEnd w:id="78"/>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bookmarkStart w:id="79" w:name="_Toc668694272_WPSOffice_Level2"/>
      <w:r>
        <w:rPr>
          <w:rFonts w:hint="default" w:ascii="Times New Roman" w:hAnsi="Times New Roman" w:eastAsia="仿宋_GB2312" w:cs="Times New Roman"/>
          <w:sz w:val="32"/>
          <w:szCs w:val="32"/>
        </w:rPr>
        <w:t>五、财政拨款支出决算明细表</w:t>
      </w:r>
      <w:bookmarkEnd w:id="79"/>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bookmarkStart w:id="80" w:name="_Toc1467538136_WPSOffice_Level2"/>
      <w:r>
        <w:rPr>
          <w:rFonts w:hint="default" w:ascii="Times New Roman" w:hAnsi="Times New Roman" w:eastAsia="仿宋_GB2312" w:cs="Times New Roman"/>
          <w:sz w:val="32"/>
          <w:szCs w:val="32"/>
        </w:rPr>
        <w:t>六、一般公共预算财政拨款支出决算表</w:t>
      </w:r>
      <w:bookmarkEnd w:id="80"/>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bookmarkStart w:id="81" w:name="_Toc770117572_WPSOffice_Level2"/>
      <w:r>
        <w:rPr>
          <w:rFonts w:hint="default" w:ascii="Times New Roman" w:hAnsi="Times New Roman" w:eastAsia="仿宋_GB2312" w:cs="Times New Roman"/>
          <w:sz w:val="32"/>
          <w:szCs w:val="32"/>
        </w:rPr>
        <w:t>七、一般公共预算财政拨款支出决算明细表</w:t>
      </w:r>
      <w:bookmarkEnd w:id="81"/>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bookmarkStart w:id="82" w:name="_Toc2142563309_WPSOffice_Level2"/>
      <w:r>
        <w:rPr>
          <w:rFonts w:hint="default" w:ascii="Times New Roman" w:hAnsi="Times New Roman" w:eastAsia="仿宋_GB2312" w:cs="Times New Roman"/>
          <w:sz w:val="32"/>
          <w:szCs w:val="32"/>
        </w:rPr>
        <w:t>八、一般公共预算财政拨款基本支出决算表</w:t>
      </w:r>
      <w:bookmarkEnd w:id="82"/>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bookmarkStart w:id="83" w:name="_Toc1715838760_WPSOffice_Level2"/>
      <w:r>
        <w:rPr>
          <w:rFonts w:hint="default" w:ascii="Times New Roman" w:hAnsi="Times New Roman" w:eastAsia="仿宋_GB2312" w:cs="Times New Roman"/>
          <w:sz w:val="32"/>
          <w:szCs w:val="32"/>
        </w:rPr>
        <w:t>九、一般公共预算财政拨款项目支出决算表</w:t>
      </w:r>
      <w:bookmarkEnd w:id="83"/>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bookmarkStart w:id="84" w:name="_Toc1145749838_WPSOffice_Level2"/>
      <w:r>
        <w:rPr>
          <w:rFonts w:hint="default" w:ascii="Times New Roman" w:hAnsi="Times New Roman" w:eastAsia="仿宋_GB2312" w:cs="Times New Roman"/>
          <w:sz w:val="32"/>
          <w:szCs w:val="32"/>
        </w:rPr>
        <w:t>十、政府性基金预算财政拨款收入支出决算表</w:t>
      </w:r>
      <w:bookmarkEnd w:id="84"/>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bookmarkStart w:id="85" w:name="_Toc691187806_WPSOffice_Level2"/>
      <w:r>
        <w:rPr>
          <w:rFonts w:hint="default" w:ascii="Times New Roman" w:hAnsi="Times New Roman" w:eastAsia="仿宋_GB2312" w:cs="Times New Roman"/>
          <w:sz w:val="32"/>
          <w:szCs w:val="32"/>
        </w:rPr>
        <w:t>十一、国有资本经营预算</w:t>
      </w:r>
      <w:r>
        <w:rPr>
          <w:rFonts w:hint="default" w:ascii="Times New Roman" w:hAnsi="Times New Roman" w:eastAsia="仿宋_GB2312" w:cs="Times New Roman"/>
          <w:sz w:val="32"/>
          <w:szCs w:val="32"/>
          <w:lang w:eastAsia="zh-CN"/>
        </w:rPr>
        <w:t>财政拨款收入</w:t>
      </w:r>
      <w:r>
        <w:rPr>
          <w:rFonts w:hint="default" w:ascii="Times New Roman" w:hAnsi="Times New Roman" w:eastAsia="仿宋_GB2312" w:cs="Times New Roman"/>
          <w:sz w:val="32"/>
          <w:szCs w:val="32"/>
        </w:rPr>
        <w:t>支出决算表</w:t>
      </w:r>
      <w:bookmarkEnd w:id="85"/>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bookmarkStart w:id="86" w:name="_Toc1626296199_WPSOffice_Level2"/>
      <w:r>
        <w:rPr>
          <w:rFonts w:hint="default" w:ascii="Times New Roman" w:hAnsi="Times New Roman" w:eastAsia="仿宋_GB2312" w:cs="Times New Roman"/>
          <w:sz w:val="32"/>
          <w:szCs w:val="32"/>
        </w:rPr>
        <w:t>十二、</w:t>
      </w:r>
      <w:r>
        <w:rPr>
          <w:rFonts w:hint="default" w:ascii="Times New Roman" w:hAnsi="Times New Roman" w:eastAsia="仿宋_GB2312" w:cs="Times New Roman"/>
          <w:sz w:val="32"/>
          <w:szCs w:val="32"/>
          <w:lang w:eastAsia="zh-CN"/>
        </w:rPr>
        <w:t>国有资本经营预算财政拨款支出决算表</w:t>
      </w:r>
      <w:bookmarkEnd w:id="86"/>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bookmarkStart w:id="87" w:name="_Toc1111333206_WPSOffice_Level2"/>
      <w:r>
        <w:rPr>
          <w:rFonts w:hint="default" w:ascii="Times New Roman" w:hAnsi="Times New Roman" w:eastAsia="仿宋_GB2312" w:cs="Times New Roman"/>
          <w:sz w:val="32"/>
          <w:szCs w:val="32"/>
        </w:rPr>
        <w:t>十三、</w:t>
      </w:r>
      <w:r>
        <w:rPr>
          <w:rFonts w:hint="default" w:ascii="Times New Roman" w:hAnsi="Times New Roman" w:eastAsia="仿宋_GB2312" w:cs="Times New Roman"/>
          <w:sz w:val="32"/>
          <w:szCs w:val="32"/>
          <w:lang w:eastAsia="zh-CN"/>
        </w:rPr>
        <w:t>财政拨款“三公”经费支出决算表</w:t>
      </w:r>
      <w:bookmarkEnd w:id="87"/>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p>
    <w:sectPr>
      <w:headerReference r:id="rId6" w:type="default"/>
      <w:footerReference r:id="rId7" w:type="default"/>
      <w:pgSz w:w="11906" w:h="16838"/>
      <w:pgMar w:top="2041" w:right="1417" w:bottom="1928" w:left="1587" w:header="851" w:footer="141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000101FF" w:csb1="00000000"/>
  </w:font>
  <w:font w:name="微软雅黑">
    <w:altName w:val="黑体"/>
    <w:panose1 w:val="020B0502040204020203"/>
    <w:charset w:val="00"/>
    <w:family w:val="auto"/>
    <w:pitch w:val="default"/>
    <w:sig w:usb0="00000000" w:usb1="00000000" w:usb2="00000016" w:usb3="00000000" w:csb0="0004000F" w:csb1="00000000"/>
  </w:font>
  <w:font w:name="simhei">
    <w:altName w:val="汉仪仿宋S"/>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汉仪仿宋S">
    <w:panose1 w:val="00020600040101000101"/>
    <w:charset w:val="86"/>
    <w:family w:val="auto"/>
    <w:pitch w:val="default"/>
    <w:sig w:usb0="A00002BF" w:usb1="38CF7CFA" w:usb2="00000016" w:usb3="00000000" w:csb0="0004009F" w:csb1="00000000"/>
  </w:font>
  <w:font w:name="等线">
    <w:altName w:val="汉仪仿宋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Calibri" w:hAnsi="Calibri" w:eastAsia="宋体"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Calibri" w:hAnsi="Calibri" w:eastAsia="宋体" w:cs="Times New Roman"/>
        <w:kern w:val="2"/>
        <w:sz w:val="18"/>
        <w:szCs w:val="18"/>
        <w:lang w:val="en-US" w:eastAsia="zh-CN" w:bidi="ar-SA"/>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p>
                    <w:pPr>
                      <w:pStyle w:val="9"/>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keepNext w:val="0"/>
                            <w:keepLines w:val="0"/>
                            <w:pageBreakBefore w:val="0"/>
                            <w:widowControl w:val="0"/>
                            <w:kinsoku/>
                            <w:wordWrap/>
                            <w:overflowPunct/>
                            <w:topLinePunct w:val="0"/>
                            <w:autoSpaceDE/>
                            <w:autoSpaceDN/>
                            <w:bidi w:val="0"/>
                            <w:adjustRightInd/>
                            <w:snapToGrid w:val="0"/>
                            <w:ind w:left="420" w:left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- 28 -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9"/>
                      <w:keepNext w:val="0"/>
                      <w:keepLines w:val="0"/>
                      <w:pageBreakBefore w:val="0"/>
                      <w:widowControl w:val="0"/>
                      <w:kinsoku/>
                      <w:wordWrap/>
                      <w:overflowPunct/>
                      <w:topLinePunct w:val="0"/>
                      <w:autoSpaceDE/>
                      <w:autoSpaceDN/>
                      <w:bidi w:val="0"/>
                      <w:adjustRightInd/>
                      <w:snapToGrid w:val="0"/>
                      <w:ind w:left="420" w:left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- 28 -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snapToGrid w:val="0"/>
      <w:jc w:val="center"/>
      <w:rPr>
        <w:rFonts w:ascii="Calibri" w:hAnsi="Calibri" w:eastAsia="宋体" w:cs="Times New Roman"/>
        <w:kern w:val="2"/>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9D6983E"/>
    <w:rsid w:val="07797CAF"/>
    <w:rsid w:val="14FB4F0C"/>
    <w:rsid w:val="15EB848A"/>
    <w:rsid w:val="1B7EF263"/>
    <w:rsid w:val="1BD5C216"/>
    <w:rsid w:val="1C279287"/>
    <w:rsid w:val="1E7C079B"/>
    <w:rsid w:val="1F5D2182"/>
    <w:rsid w:val="277F664E"/>
    <w:rsid w:val="2B3B4209"/>
    <w:rsid w:val="2E9EEBD4"/>
    <w:rsid w:val="2F1BCA3B"/>
    <w:rsid w:val="2FCE8823"/>
    <w:rsid w:val="37DFB05C"/>
    <w:rsid w:val="387A136C"/>
    <w:rsid w:val="3BDA26F0"/>
    <w:rsid w:val="3E169893"/>
    <w:rsid w:val="3EBF85D6"/>
    <w:rsid w:val="3F7F934D"/>
    <w:rsid w:val="3FDE62C5"/>
    <w:rsid w:val="4D3F3685"/>
    <w:rsid w:val="53FF2387"/>
    <w:rsid w:val="55BCDF0D"/>
    <w:rsid w:val="5AB7E4D5"/>
    <w:rsid w:val="5AFB90BD"/>
    <w:rsid w:val="5BB105DB"/>
    <w:rsid w:val="5CDF9746"/>
    <w:rsid w:val="5F5FFBF0"/>
    <w:rsid w:val="5F6B3505"/>
    <w:rsid w:val="5F6E9880"/>
    <w:rsid w:val="5F7F2105"/>
    <w:rsid w:val="5F9F21D9"/>
    <w:rsid w:val="5FB6FE46"/>
    <w:rsid w:val="5FBC3EB8"/>
    <w:rsid w:val="5FFFEF15"/>
    <w:rsid w:val="625A93A5"/>
    <w:rsid w:val="62DBA95B"/>
    <w:rsid w:val="677FB1CE"/>
    <w:rsid w:val="69B6A3DF"/>
    <w:rsid w:val="6BEB8555"/>
    <w:rsid w:val="6CDF9FF3"/>
    <w:rsid w:val="6E7A8700"/>
    <w:rsid w:val="6ED865A3"/>
    <w:rsid w:val="6EFC13E9"/>
    <w:rsid w:val="73FF2E9E"/>
    <w:rsid w:val="759D445A"/>
    <w:rsid w:val="765FCFB2"/>
    <w:rsid w:val="76F533FF"/>
    <w:rsid w:val="776D3A83"/>
    <w:rsid w:val="77FFA51A"/>
    <w:rsid w:val="79CF516E"/>
    <w:rsid w:val="7A5BA7DE"/>
    <w:rsid w:val="7B3B55E4"/>
    <w:rsid w:val="7B6F93A5"/>
    <w:rsid w:val="7B7646C9"/>
    <w:rsid w:val="7BDF02FE"/>
    <w:rsid w:val="7BF7761E"/>
    <w:rsid w:val="7BFFE602"/>
    <w:rsid w:val="7CE73E28"/>
    <w:rsid w:val="7CEFE9A2"/>
    <w:rsid w:val="7DBD6A45"/>
    <w:rsid w:val="7E464AFD"/>
    <w:rsid w:val="7E5FF962"/>
    <w:rsid w:val="7E6C4DCD"/>
    <w:rsid w:val="7EAF003A"/>
    <w:rsid w:val="7EAF252B"/>
    <w:rsid w:val="7EB3E3D8"/>
    <w:rsid w:val="7ED77967"/>
    <w:rsid w:val="7EFDA2C8"/>
    <w:rsid w:val="7EFFB80B"/>
    <w:rsid w:val="7F5F54C4"/>
    <w:rsid w:val="7F6E4909"/>
    <w:rsid w:val="7F770253"/>
    <w:rsid w:val="7F7B70E7"/>
    <w:rsid w:val="7F7FF7D8"/>
    <w:rsid w:val="7F9FFCD1"/>
    <w:rsid w:val="7FBCE391"/>
    <w:rsid w:val="7FBF6680"/>
    <w:rsid w:val="7FD538E1"/>
    <w:rsid w:val="7FFF357C"/>
    <w:rsid w:val="7FFF8A97"/>
    <w:rsid w:val="85D2A816"/>
    <w:rsid w:val="87FF47F3"/>
    <w:rsid w:val="8FCF7D7C"/>
    <w:rsid w:val="9D6DD4E7"/>
    <w:rsid w:val="9FDD3F93"/>
    <w:rsid w:val="9FFE2375"/>
    <w:rsid w:val="A7B5EE06"/>
    <w:rsid w:val="AB7FE084"/>
    <w:rsid w:val="AEF36917"/>
    <w:rsid w:val="BB6F0A77"/>
    <w:rsid w:val="BEFE63BC"/>
    <w:rsid w:val="BEFFA68B"/>
    <w:rsid w:val="BF5F6A1D"/>
    <w:rsid w:val="BF7EA854"/>
    <w:rsid w:val="BFE7FF16"/>
    <w:rsid w:val="C9ACE83C"/>
    <w:rsid w:val="CB7B166C"/>
    <w:rsid w:val="CCEE0004"/>
    <w:rsid w:val="CF57118C"/>
    <w:rsid w:val="D54BFBA9"/>
    <w:rsid w:val="D7DFE601"/>
    <w:rsid w:val="DA1EE6BE"/>
    <w:rsid w:val="DDDB4EE3"/>
    <w:rsid w:val="DE0F3662"/>
    <w:rsid w:val="DFBF26F7"/>
    <w:rsid w:val="DFCFF583"/>
    <w:rsid w:val="E3F1BD1C"/>
    <w:rsid w:val="E54D86A7"/>
    <w:rsid w:val="E7EF843F"/>
    <w:rsid w:val="EA6B8675"/>
    <w:rsid w:val="EA7FA1EF"/>
    <w:rsid w:val="EC7BFFC3"/>
    <w:rsid w:val="EFAA672F"/>
    <w:rsid w:val="EFBE1997"/>
    <w:rsid w:val="EFED163C"/>
    <w:rsid w:val="EFFEBD74"/>
    <w:rsid w:val="F1936B4E"/>
    <w:rsid w:val="F2AE40AA"/>
    <w:rsid w:val="F2FDEE98"/>
    <w:rsid w:val="F3AFA259"/>
    <w:rsid w:val="F4BEE494"/>
    <w:rsid w:val="F575E785"/>
    <w:rsid w:val="F5BDAEE6"/>
    <w:rsid w:val="F79DE9B9"/>
    <w:rsid w:val="F7ED4A54"/>
    <w:rsid w:val="F7EF7B94"/>
    <w:rsid w:val="F7FD7DD6"/>
    <w:rsid w:val="F7FE2595"/>
    <w:rsid w:val="F7FE4048"/>
    <w:rsid w:val="F9D6983E"/>
    <w:rsid w:val="FAD7CF3C"/>
    <w:rsid w:val="FD63BCF7"/>
    <w:rsid w:val="FDEF2FF2"/>
    <w:rsid w:val="FDFDA44D"/>
    <w:rsid w:val="FECE8501"/>
    <w:rsid w:val="FEE78B7D"/>
    <w:rsid w:val="FEF77335"/>
    <w:rsid w:val="FEFB23C6"/>
    <w:rsid w:val="FF1E4817"/>
    <w:rsid w:val="FFAEB82D"/>
    <w:rsid w:val="FFAF2589"/>
    <w:rsid w:val="FFBFB574"/>
    <w:rsid w:val="FFEB9CDD"/>
    <w:rsid w:val="FFEFF458"/>
    <w:rsid w:val="FFF36AA8"/>
    <w:rsid w:val="FFF6CA01"/>
    <w:rsid w:val="FFF7774E"/>
    <w:rsid w:val="FFFDBA69"/>
    <w:rsid w:val="FFFFB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19"/>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unhideWhenUsed/>
    <w:qFormat/>
    <w:uiPriority w:val="99"/>
    <w:pPr>
      <w:ind w:firstLine="420" w:firstLineChars="200"/>
    </w:pPr>
  </w:style>
  <w:style w:type="paragraph" w:styleId="4">
    <w:name w:val="Body Text Indent"/>
    <w:basedOn w:val="1"/>
    <w:next w:val="3"/>
    <w:qFormat/>
    <w:uiPriority w:val="0"/>
    <w:pPr>
      <w:spacing w:after="120"/>
      <w:ind w:leftChars="200"/>
    </w:pPr>
    <w:rPr>
      <w:rFonts w:ascii="仿宋_GB2312"/>
      <w:szCs w:val="32"/>
    </w:rPr>
  </w:style>
  <w:style w:type="paragraph" w:styleId="7">
    <w:name w:val="Normal Indent"/>
    <w:basedOn w:val="1"/>
    <w:next w:val="1"/>
    <w:qFormat/>
    <w:uiPriority w:val="0"/>
    <w:pPr>
      <w:ind w:firstLine="420" w:firstLineChars="200"/>
    </w:pPr>
  </w:style>
  <w:style w:type="paragraph" w:styleId="8">
    <w:name w:val="Body Text"/>
    <w:basedOn w:val="1"/>
    <w:qFormat/>
    <w:uiPriority w:val="99"/>
    <w:pPr>
      <w:spacing w:beforeLines="30"/>
    </w:pPr>
    <w:rPr>
      <w:rFonts w:ascii="仿宋_GB2312" w:eastAsia="仿宋_GB2312"/>
      <w:kern w:val="0"/>
      <w:sz w:val="30"/>
    </w:rPr>
  </w:style>
  <w:style w:type="paragraph" w:styleId="9">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character" w:styleId="15">
    <w:name w:val="Strong"/>
    <w:basedOn w:val="14"/>
    <w:qFormat/>
    <w:uiPriority w:val="99"/>
    <w:rPr>
      <w:b/>
    </w:rPr>
  </w:style>
  <w:style w:type="paragraph" w:customStyle="1" w:styleId="16">
    <w:name w:val="WPSOffice手动目录 1"/>
    <w:qFormat/>
    <w:uiPriority w:val="0"/>
    <w:pPr>
      <w:ind w:leftChars="0"/>
    </w:pPr>
    <w:rPr>
      <w:rFonts w:ascii="Times New Roman" w:hAnsi="Times New Roman" w:eastAsia="宋体" w:cs="Times New Roman"/>
      <w:sz w:val="20"/>
      <w:szCs w:val="20"/>
    </w:rPr>
  </w:style>
  <w:style w:type="paragraph" w:customStyle="1" w:styleId="17">
    <w:name w:val="WPSOffice手动目录 2"/>
    <w:qFormat/>
    <w:uiPriority w:val="0"/>
    <w:pPr>
      <w:ind w:leftChars="200"/>
    </w:pPr>
    <w:rPr>
      <w:rFonts w:ascii="Times New Roman" w:hAnsi="Times New Roman" w:eastAsia="宋体" w:cs="Times New Roman"/>
      <w:sz w:val="20"/>
      <w:szCs w:val="20"/>
    </w:rPr>
  </w:style>
  <w:style w:type="character" w:customStyle="1" w:styleId="18">
    <w:name w:val="标题 1 Char"/>
    <w:basedOn w:val="14"/>
    <w:link w:val="5"/>
    <w:qFormat/>
    <w:uiPriority w:val="9"/>
    <w:rPr>
      <w:b/>
      <w:bCs/>
      <w:kern w:val="44"/>
      <w:sz w:val="44"/>
      <w:szCs w:val="44"/>
    </w:rPr>
  </w:style>
  <w:style w:type="character" w:customStyle="1" w:styleId="19">
    <w:name w:val="标题 2 Char"/>
    <w:basedOn w:val="14"/>
    <w:link w:val="6"/>
    <w:qFormat/>
    <w:uiPriority w:val="9"/>
    <w:rPr>
      <w:rFonts w:ascii="Cambria" w:hAnsi="Cambria" w:eastAsia="宋体" w:cs="Times New Roman"/>
      <w:b/>
      <w:bCs/>
      <w:sz w:val="32"/>
      <w:szCs w:val="32"/>
    </w:rPr>
  </w:style>
  <w:style w:type="paragraph" w:styleId="20">
    <w:name w:val="List Paragraph"/>
    <w:basedOn w:val="1"/>
    <w:qFormat/>
    <w:uiPriority w:val="34"/>
    <w:pPr>
      <w:ind w:firstLine="420" w:firstLineChars="200"/>
    </w:pPr>
  </w:style>
  <w:style w:type="paragraph" w:customStyle="1" w:styleId="21">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2">
    <w:name w:val="BodyText1I2"/>
    <w:basedOn w:val="23"/>
    <w:next w:val="1"/>
    <w:qFormat/>
    <w:uiPriority w:val="0"/>
    <w:pPr>
      <w:widowControl w:val="0"/>
      <w:suppressAutoHyphens/>
      <w:spacing w:after="120"/>
      <w:ind w:left="200" w:leftChars="200" w:firstLine="200" w:firstLineChars="200"/>
      <w:jc w:val="both"/>
    </w:pPr>
    <w:rPr>
      <w:rFonts w:ascii="Calibri" w:hAnsi="Calibri" w:eastAsia="宋体" w:cs="Calibri"/>
      <w:kern w:val="2"/>
      <w:sz w:val="21"/>
      <w:szCs w:val="21"/>
      <w:lang w:val="en-US" w:eastAsia="zh-CN" w:bidi="ar-SA"/>
    </w:rPr>
  </w:style>
  <w:style w:type="paragraph" w:customStyle="1" w:styleId="23">
    <w:name w:val="BodyTextIndent"/>
    <w:basedOn w:val="1"/>
    <w:qFormat/>
    <w:uiPriority w:val="0"/>
    <w:pPr>
      <w:spacing w:after="120"/>
      <w:ind w:left="200" w:leftChars="200"/>
    </w:pPr>
    <w:rPr>
      <w:rFonts w:ascii="Times New Roman" w:hAnsi="Times New Roman" w:eastAsia="楷体_GB2312" w:cs="Times New Roman"/>
    </w:rPr>
  </w:style>
  <w:style w:type="paragraph" w:customStyle="1" w:styleId="24">
    <w:name w:val="正文 New New New New New New New New New New New New New"/>
    <w:qFormat/>
    <w:uiPriority w:val="0"/>
    <w:pPr>
      <w:adjustRightInd w:val="0"/>
      <w:snapToGrid w:val="0"/>
      <w:spacing w:after="200"/>
    </w:pPr>
    <w:rPr>
      <w:rFonts w:ascii="Tahoma" w:hAnsi="Tahoma" w:eastAsia="微软雅黑" w:cs="黑体"/>
      <w:sz w:val="22"/>
      <w:szCs w:val="22"/>
      <w:lang w:val="en-US" w:eastAsia="zh-CN" w:bidi="ar-SA"/>
    </w:rPr>
  </w:style>
  <w:style w:type="character" w:customStyle="1" w:styleId="25">
    <w:name w:val="font01"/>
    <w:basedOn w:val="14"/>
    <w:qFormat/>
    <w:uiPriority w:val="0"/>
    <w:rPr>
      <w:rFonts w:hint="default" w:ascii="simhei" w:hAnsi="simhei" w:eastAsia="simhei" w:cs="simhei"/>
      <w:color w:val="000000"/>
      <w:sz w:val="18"/>
      <w:szCs w:val="18"/>
      <w:u w:val="none"/>
    </w:rPr>
  </w:style>
  <w:style w:type="paragraph" w:customStyle="1" w:styleId="26">
    <w:name w:val="首行缩进"/>
    <w:semiHidden/>
    <w:qFormat/>
    <w:uiPriority w:val="0"/>
    <w:pPr>
      <w:widowControl w:val="0"/>
      <w:jc w:val="both"/>
    </w:pPr>
    <w:rPr>
      <w:rFonts w:ascii="宋体" w:hAnsi="Calibri" w:eastAsia="宋体" w:cs="黑体"/>
      <w:kern w:val="2"/>
      <w:sz w:val="21"/>
      <w:szCs w:val="20"/>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glossaryDocument" Target="glossary/document.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chart" Target="charts/chart2.xml"/><Relationship Id="rId2" Type="http://schemas.openxmlformats.org/officeDocument/2006/relationships/settings" Target="settings.xml"/><Relationship Id="rId19" Type="http://schemas.openxmlformats.org/officeDocument/2006/relationships/chart" Target="charts/chart1.xml"/><Relationship Id="rId18" Type="http://schemas.openxmlformats.org/officeDocument/2006/relationships/image" Target="media/image5.png"/><Relationship Id="rId17" Type="http://schemas.openxmlformats.org/officeDocument/2006/relationships/oleObject" Target="embeddings/oleObject5.bin"/><Relationship Id="rId16" Type="http://schemas.openxmlformats.org/officeDocument/2006/relationships/image" Target="media/image4.png"/><Relationship Id="rId15" Type="http://schemas.openxmlformats.org/officeDocument/2006/relationships/oleObject" Target="embeddings/oleObject4.bin"/><Relationship Id="rId14" Type="http://schemas.openxmlformats.org/officeDocument/2006/relationships/image" Target="media/image3.png"/><Relationship Id="rId13" Type="http://schemas.openxmlformats.org/officeDocument/2006/relationships/oleObject" Target="embeddings/oleObject3.bin"/><Relationship Id="rId12" Type="http://schemas.openxmlformats.org/officeDocument/2006/relationships/image" Target="media/image2.png"/><Relationship Id="rId11" Type="http://schemas.openxmlformats.org/officeDocument/2006/relationships/oleObject" Target="embeddings/oleObject2.bin"/><Relationship Id="rId10" Type="http://schemas.openxmlformats.org/officeDocument/2006/relationships/image" Target="media/image1.pn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5" Type="http://schemas.microsoft.com/office/2011/relationships/chartColorStyle" Target="colors1.xml"/><Relationship Id="rId4" Type="http://schemas.microsoft.com/office/2011/relationships/chartStyle" Target="style1.xml"/><Relationship Id="rId3" Type="http://schemas.openxmlformats.org/officeDocument/2006/relationships/chartUserShapes" Target="../drawings/drawing1.xml"/><Relationship Id="rId2" Type="http://schemas.openxmlformats.org/officeDocument/2006/relationships/themeOverride" Target="../theme/themeOverrid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true"/>
          <a:lstStyle/>
          <a:p>
            <a:pPr>
              <a:defRPr lang="zh-CN" sz="1400" b="0" i="0" u="none" strike="noStrike" kern="1200" spc="0" baseline="0">
                <a:solidFill>
                  <a:sysClr val="windowText" lastClr="000000">
                    <a:lumMod val="65000"/>
                    <a:lumOff val="35000"/>
                  </a:sysClr>
                </a:solidFill>
                <a:latin typeface="+mn-lt"/>
                <a:ea typeface="+mn-ea"/>
                <a:cs typeface="+mn-cs"/>
              </a:defRPr>
            </a:pPr>
            <a:r>
              <a:rPr lang="zh-CN" altLang="en-US"/>
              <a:t>一般公共预算财政拨款支出决算结构图</a:t>
            </a:r>
            <a:endParaRPr lang="zh-CN" altLang="en-US"/>
          </a:p>
        </c:rich>
      </c:tx>
      <c:layout/>
      <c:overlay val="false"/>
      <c:spPr>
        <a:noFill/>
        <a:ln>
          <a:noFill/>
        </a:ln>
        <a:effectLst/>
      </c:spPr>
    </c:title>
    <c:autoTitleDeleted val="false"/>
    <c:plotArea>
      <c:layout>
        <c:manualLayout>
          <c:layoutTarget val="inner"/>
          <c:xMode val="edge"/>
          <c:yMode val="edge"/>
          <c:x val="0.0719907407407407"/>
          <c:y val="0.160714285714286"/>
          <c:w val="0.917824074074074"/>
          <c:h val="0.533333333333333"/>
        </c:manualLayout>
      </c:layout>
      <c:ofPieChart>
        <c:ofPieType val="pie"/>
        <c:varyColors val="true"/>
        <c:ser>
          <c:idx val="0"/>
          <c:order val="0"/>
          <c:tx>
            <c:strRef>
              <c:f>Sheet1!$B$1</c:f>
              <c:strCache>
                <c:ptCount val="1"/>
                <c:pt idx="0">
                  <c:v>收入决算结构图</c:v>
                </c:pt>
              </c:strCache>
            </c:strRef>
          </c:tx>
          <c:spPr/>
          <c:explosion val="0"/>
          <c:dPt>
            <c:idx val="0"/>
            <c:bubble3D val="false"/>
            <c:spPr>
              <a:solidFill>
                <a:srgbClr val="156082"/>
              </a:solidFill>
              <a:ln w="19050">
                <a:solidFill>
                  <a:sysClr val="window" lastClr="FFFFFF"/>
                </a:solidFill>
              </a:ln>
              <a:effectLst/>
            </c:spPr>
          </c:dPt>
          <c:dPt>
            <c:idx val="1"/>
            <c:bubble3D val="false"/>
            <c:spPr>
              <a:solidFill>
                <a:srgbClr val="E97132"/>
              </a:solidFill>
              <a:ln w="19050">
                <a:solidFill>
                  <a:sysClr val="window" lastClr="FFFFFF"/>
                </a:solidFill>
              </a:ln>
              <a:effectLst/>
            </c:spPr>
          </c:dPt>
          <c:dPt>
            <c:idx val="2"/>
            <c:bubble3D val="false"/>
            <c:spPr>
              <a:solidFill>
                <a:srgbClr val="196B24"/>
              </a:solidFill>
              <a:ln w="19050">
                <a:solidFill>
                  <a:sysClr val="window" lastClr="FFFFFF"/>
                </a:solidFill>
              </a:ln>
              <a:effectLst/>
            </c:spPr>
          </c:dPt>
          <c:dPt>
            <c:idx val="3"/>
            <c:bubble3D val="false"/>
            <c:spPr>
              <a:solidFill>
                <a:srgbClr val="0F9ED5"/>
              </a:solidFill>
              <a:ln w="19050">
                <a:solidFill>
                  <a:sysClr val="window" lastClr="FFFFFF"/>
                </a:solidFill>
              </a:ln>
              <a:effectLst/>
            </c:spPr>
          </c:dPt>
          <c:dPt>
            <c:idx val="4"/>
            <c:bubble3D val="false"/>
            <c:spPr>
              <a:solidFill>
                <a:srgbClr val="A02B93"/>
              </a:solidFill>
              <a:ln w="19050">
                <a:solidFill>
                  <a:sysClr val="window" lastClr="FFFFFF"/>
                </a:solidFill>
              </a:ln>
              <a:effectLst/>
            </c:spPr>
          </c:dPt>
          <c:dPt>
            <c:idx val="5"/>
            <c:bubble3D val="false"/>
            <c:spPr>
              <a:solidFill>
                <a:srgbClr val="4EA72E"/>
              </a:solidFill>
              <a:ln w="19050">
                <a:solidFill>
                  <a:sysClr val="window" lastClr="FFFFFF"/>
                </a:solidFill>
              </a:ln>
              <a:effectLst/>
            </c:spPr>
          </c:dPt>
          <c:dPt>
            <c:idx val="6"/>
            <c:bubble3D val="false"/>
            <c:spPr>
              <a:solidFill>
                <a:srgbClr val="156082">
                  <a:lumMod val="60000"/>
                </a:srgbClr>
              </a:solidFill>
              <a:ln w="19050">
                <a:solidFill>
                  <a:sysClr val="window" lastClr="FFFFFF"/>
                </a:solidFill>
              </a:ln>
              <a:effectLst/>
            </c:spPr>
          </c:dPt>
          <c:dPt>
            <c:idx val="7"/>
            <c:bubble3D val="false"/>
            <c:spPr>
              <a:solidFill>
                <a:srgbClr val="E97132">
                  <a:lumMod val="60000"/>
                </a:srgbClr>
              </a:solidFill>
              <a:ln w="19050">
                <a:solidFill>
                  <a:sysClr val="window" lastClr="FFFFFF"/>
                </a:solidFill>
              </a:ln>
              <a:effectLst/>
            </c:spPr>
          </c:dPt>
          <c:dLbls>
            <c:dLbl>
              <c:idx val="0"/>
              <c:layout>
                <c:manualLayout>
                  <c:x val="0.0432333545360602"/>
                  <c:y val="0.00788180817687684"/>
                </c:manualLayout>
              </c:layout>
              <c:dLblPos val="bestFit"/>
              <c:showLegendKey val="true"/>
              <c:showVal val="true"/>
              <c:showCatName val="false"/>
              <c:showSerName val="false"/>
              <c:showPercent val="false"/>
              <c:showBubbleSize val="false"/>
              <c:extLst>
                <c:ext xmlns:c15="http://schemas.microsoft.com/office/drawing/2012/chart" uri="{CE6537A1-D6FC-4f65-9D91-7224C49458BB}">
                  <c15:layout/>
                </c:ext>
              </c:extLst>
            </c:dLbl>
            <c:dLbl>
              <c:idx val="1"/>
              <c:layout>
                <c:manualLayout>
                  <c:x val="0.0471085757041726"/>
                  <c:y val="0.129424623720874"/>
                </c:manualLayout>
              </c:layout>
              <c:dLblPos val="bestFit"/>
              <c:showLegendKey val="true"/>
              <c:showVal val="true"/>
              <c:showCatName val="false"/>
              <c:showSerName val="false"/>
              <c:showPercent val="false"/>
              <c:showBubbleSize val="false"/>
              <c:extLst>
                <c:ext xmlns:c15="http://schemas.microsoft.com/office/drawing/2012/chart" uri="{CE6537A1-D6FC-4f65-9D91-7224C49458BB}">
                  <c15:layout/>
                </c:ext>
              </c:extLst>
            </c:dLbl>
            <c:dLbl>
              <c:idx val="2"/>
              <c:layout>
                <c:manualLayout>
                  <c:x val="-0.047019864524776"/>
                  <c:y val="0.174394659533962"/>
                </c:manualLayout>
              </c:layout>
              <c:dLblPos val="bestFit"/>
              <c:showLegendKey val="true"/>
              <c:showVal val="true"/>
              <c:showCatName val="false"/>
              <c:showSerName val="false"/>
              <c:showPercent val="false"/>
              <c:showBubbleSize val="false"/>
              <c:extLst>
                <c:ext xmlns:c15="http://schemas.microsoft.com/office/drawing/2012/chart" uri="{CE6537A1-D6FC-4f65-9D91-7224C49458BB}">
                  <c15:layout/>
                </c:ext>
              </c:extLst>
            </c:dLbl>
            <c:dLbl>
              <c:idx val="4"/>
              <c:layout>
                <c:manualLayout>
                  <c:x val="-0.0208333333333333"/>
                  <c:y val="-0.172619047619048"/>
                </c:manualLayout>
              </c:layout>
              <c:dLblPos val="bestFit"/>
              <c:showLegendKey val="true"/>
              <c:showVal val="true"/>
              <c:showCatName val="false"/>
              <c:showSerName val="false"/>
              <c:showPercent val="false"/>
              <c:showBubbleSize val="false"/>
              <c:extLst>
                <c:ext xmlns:c15="http://schemas.microsoft.com/office/drawing/2012/chart" uri="{CE6537A1-D6FC-4f65-9D91-7224C49458BB}">
                  <c15:layout/>
                </c:ext>
              </c:extLst>
            </c:dLbl>
            <c:dLbl>
              <c:idx val="6"/>
              <c:layout>
                <c:manualLayout>
                  <c:x val="0.106187478471002"/>
                  <c:y val="0.0229294574180473"/>
                </c:manualLayout>
              </c:layout>
              <c:dLblPos val="bestFit"/>
              <c:showLegendKey val="tru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true">
                <a:spAutoFit/>
              </a:bodyPr>
              <a:lstStyle/>
              <a:p>
                <a:pPr>
                  <a:defRPr lang="zh-CN" sz="900" b="0" i="0" u="none" strike="noStrike" kern="1200" baseline="0">
                    <a:solidFill>
                      <a:sysClr val="windowText" lastClr="000000">
                        <a:lumMod val="75000"/>
                        <a:lumOff val="25000"/>
                      </a:sysClr>
                    </a:solidFill>
                    <a:latin typeface="+mn-lt"/>
                    <a:ea typeface="+mn-ea"/>
                    <a:cs typeface="+mn-cs"/>
                  </a:defRPr>
                </a:pPr>
              </a:p>
            </c:txPr>
            <c:dLblPos val="bestFit"/>
            <c:showLegendKey val="tru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ysClr val="windowText" lastClr="000000">
                          <a:lumMod val="35000"/>
                          <a:lumOff val="65000"/>
                        </a:sysClr>
                      </a:solidFill>
                      <a:round/>
                    </a:ln>
                    <a:effectLst/>
                  </c:spPr>
                </c15:leaderLines>
              </c:ext>
            </c:extLst>
          </c:dLbls>
          <c:cat>
            <c:strRef>
              <c:f>Sheet1!$A$2:$A$8</c:f>
              <c:strCache>
                <c:ptCount val="7"/>
                <c:pt idx="0">
                  <c:v>一般公共服务支出</c:v>
                </c:pt>
                <c:pt idx="1">
                  <c:v>教育支出</c:v>
                </c:pt>
                <c:pt idx="2">
                  <c:v>文化旅游体育与传媒支出</c:v>
                </c:pt>
                <c:pt idx="3">
                  <c:v>社会保障和就业支出</c:v>
                </c:pt>
                <c:pt idx="4">
                  <c:v>卫生健康支出</c:v>
                </c:pt>
                <c:pt idx="5">
                  <c:v>住房保障支出</c:v>
                </c:pt>
                <c:pt idx="6">
                  <c:v>灾害防治及应急管理支出</c:v>
                </c:pt>
              </c:strCache>
            </c:strRef>
          </c:cat>
          <c:val>
            <c:numRef>
              <c:f>Sheet1!$B$2:$B$8</c:f>
              <c:numCache>
                <c:formatCode>General</c:formatCode>
                <c:ptCount val="7"/>
                <c:pt idx="0">
                  <c:v>201.98</c:v>
                </c:pt>
                <c:pt idx="1">
                  <c:v>156.58</c:v>
                </c:pt>
                <c:pt idx="2">
                  <c:v>10891.93</c:v>
                </c:pt>
                <c:pt idx="3">
                  <c:v>1338.02</c:v>
                </c:pt>
                <c:pt idx="4">
                  <c:v>209.16</c:v>
                </c:pt>
                <c:pt idx="5">
                  <c:v>199.41</c:v>
                </c:pt>
                <c:pt idx="6">
                  <c:v>5</c:v>
                </c:pt>
              </c:numCache>
            </c:numRef>
          </c:val>
        </c:ser>
        <c:dLbls>
          <c:showLegendKey val="true"/>
          <c:showVal val="true"/>
          <c:showCatName val="false"/>
          <c:showSerName val="false"/>
          <c:showPercent val="false"/>
          <c:showBubbleSize val="false"/>
          <c:showLeaderLines val="true"/>
        </c:dLbls>
        <c:gapWidth val="100"/>
        <c:secondPieSize val="75"/>
        <c:serLines>
          <c:spPr>
            <a:ln w="9525" cap="flat" cmpd="sng" algn="ctr">
              <a:solidFill>
                <a:sysClr val="windowText" lastClr="000000">
                  <a:lumMod val="35000"/>
                  <a:lumOff val="65000"/>
                </a:sysClr>
              </a:solidFill>
              <a:round/>
            </a:ln>
            <a:effectLst/>
          </c:spPr>
        </c:serLines>
      </c:ofPieChart>
      <c:spPr>
        <a:noFill/>
        <a:ln>
          <a:noFill/>
        </a:ln>
        <a:effectLst/>
      </c:spPr>
    </c:plotArea>
    <c:legend>
      <c:legendPos val="b"/>
      <c:layout/>
      <c:overlay val="false"/>
      <c:spPr>
        <a:noFill/>
        <a:ln>
          <a:noFill/>
        </a:ln>
        <a:effectLst/>
      </c:spPr>
      <c:txPr>
        <a:bodyPr rot="0" spcFirstLastPara="1" vertOverflow="ellipsis" vert="horz" wrap="square" anchor="ctr" anchorCtr="true"/>
        <a:lstStyle/>
        <a:p>
          <a:pPr>
            <a:defRPr lang="zh-CN" sz="900" b="0" i="0" u="none" strike="noStrike" kern="1200" baseline="0">
              <a:solidFill>
                <a:sysClr val="windowText" lastClr="000000">
                  <a:lumMod val="65000"/>
                  <a:lumOff val="35000"/>
                </a:sysClr>
              </a:solidFill>
              <a:latin typeface="+mn-lt"/>
              <a:ea typeface="+mn-ea"/>
              <a:cs typeface="+mn-cs"/>
            </a:defRPr>
          </a:pPr>
        </a:p>
      </c:txPr>
    </c:legend>
    <c:plotVisOnly val="true"/>
    <c:dispBlanksAs val="gap"/>
    <c:showDLblsOverMax val="false"/>
  </c:chart>
  <c:spPr>
    <a:solidFill>
      <a:sysClr val="window" lastClr="FFFFFF"/>
    </a:solidFill>
    <a:ln w="9525" cap="flat" cmpd="sng" algn="ctr">
      <a:solidFill>
        <a:sysClr val="windowText" lastClr="000000">
          <a:lumMod val="15000"/>
          <a:lumOff val="85000"/>
        </a:sysClr>
      </a:solidFill>
      <a:round/>
    </a:ln>
    <a:effectLst/>
  </c:spPr>
  <c:txPr>
    <a:bodyPr/>
    <a:lstStyle/>
    <a:p>
      <a:pPr>
        <a:defRPr lang="zh-CN"/>
      </a:pPr>
    </a:p>
  </c:txPr>
  <c:externalData r:id="rId1">
    <c:autoUpdate val="false"/>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“三公”经费财政拨款支出结构</a:t>
            </a:r>
          </a:p>
          <a:p>
            <a:pPr defTabSz="914400">
              <a:defRPr lang="zh-CN" sz="1400" b="0" i="0" u="none" strike="noStrike" kern="1200" spc="0" baseline="0">
                <a:solidFill>
                  <a:schemeClr val="tx1">
                    <a:lumMod val="65000"/>
                    <a:lumOff val="35000"/>
                  </a:schemeClr>
                </a:solidFill>
                <a:latin typeface="+mn-lt"/>
                <a:ea typeface="+mn-ea"/>
                <a:cs typeface="+mn-cs"/>
              </a:defRPr>
            </a:pPr>
            <a:r>
              <a:t>金额（万元）</a:t>
            </a:r>
          </a:p>
        </c:rich>
      </c:tx>
      <c:layout/>
      <c:overlay val="false"/>
      <c:spPr>
        <a:noFill/>
        <a:ln>
          <a:noFill/>
        </a:ln>
        <a:effectLst/>
      </c:spPr>
    </c:title>
    <c:autoTitleDeleted val="false"/>
    <c:plotArea>
      <c:layout/>
      <c:pieChart>
        <c:varyColors val="true"/>
        <c:ser>
          <c:idx val="0"/>
          <c:order val="0"/>
          <c:tx>
            <c:strRef>
              <c:f>Sheet1!$B$1</c:f>
              <c:strCache>
                <c:ptCount val="1"/>
                <c:pt idx="0">
                  <c:v>“三公”经费财政拨款支出结构金额（万元）</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Sheet1!$A$2:$A$5</c:f>
              <c:strCache>
                <c:ptCount val="4"/>
                <c:pt idx="0">
                  <c:v>因公出国（境）费</c:v>
                </c:pt>
                <c:pt idx="1">
                  <c:v>公务用车购置及运行维护费</c:v>
                </c:pt>
                <c:pt idx="2">
                  <c:v>公务接待费</c:v>
                </c:pt>
              </c:strCache>
            </c:strRef>
          </c:cat>
          <c:val>
            <c:numRef>
              <c:f>Sheet1!$B$2:$B$5</c:f>
              <c:numCache>
                <c:formatCode>General</c:formatCode>
                <c:ptCount val="4"/>
                <c:pt idx="0">
                  <c:v>19.1</c:v>
                </c:pt>
                <c:pt idx="1">
                  <c:v>131.36</c:v>
                </c:pt>
                <c:pt idx="2">
                  <c:v>1.05</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9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ysClr val="windowText" lastClr="000000"/>
    </cs:fontRef>
    <cs:spPr>
      <a:ln w="19050">
        <a:solidFill>
          <a:sysClr val="window" lastClr="FFFFFF"/>
        </a:solidFill>
      </a:ln>
    </cs:spPr>
  </cs:dataPoint>
  <cs:dataPoint3D>
    <cs:lnRef idx="0"/>
    <cs:fillRef idx="1">
      <cs:styleClr val="auto"/>
    </cs:fillRef>
    <cs:effectRef idx="0"/>
    <cs:fontRef idx="minor">
      <a:sysClr val="windowText" lastClr="000000"/>
    </cs:fontRef>
    <cs:spPr>
      <a:ln w="25400">
        <a:solidFill>
          <a:sysClr val="window" lastClr="FFFFFF"/>
        </a:solidFill>
      </a:ln>
    </cs:spPr>
  </cs:dataPoint3D>
  <cs:dataPointLine>
    <cs:lnRef idx="0">
      <cs:styleClr val="auto"/>
    </cs:lnRef>
    <cs:fillRef idx="0"/>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0"/>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75000"/>
          <a:lumOff val="25000"/>
        </a:sysClr>
      </a:solidFill>
      <a:ln w="9525" cap="flat" cmpd="sng" algn="ctr">
        <a:solidFill>
          <a:sysClr val="windowText" lastClr="000000">
            <a:lumMod val="65000"/>
            <a:lumOff val="35000"/>
          </a:sysClr>
        </a:solidFill>
        <a:round/>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50000"/>
            <a:lumOff val="50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cap="flat" cmpd="sng" algn="ctr">
        <a:solidFill>
          <a:sysClr val="windowText" lastClr="000000">
            <a:lumMod val="65000"/>
            <a:lumOff val="35000"/>
          </a:sysClr>
        </a:solidFill>
        <a:round/>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0.6904</cdr:x>
      <cdr:y>0.66795</cdr:y>
    </cdr:from>
    <cdr:to>
      <cdr:x>0.87246</cdr:x>
      <cdr:y>0.76894</cdr:y>
    </cdr:to>
    <cdr:sp>
      <cdr:nvSpPr>
        <cdr:cNvPr id="2" name="矩形 1"/>
        <cdr:cNvSpPr/>
      </cdr:nvSpPr>
      <cdr:spPr xmlns:a="http://schemas.openxmlformats.org/drawingml/2006/main">
        <a:xfrm xmlns:a="http://schemas.openxmlformats.org/drawingml/2006/main">
          <a:off x="3787801" y="2137714"/>
          <a:ext cx="998883" cy="323215"/>
        </a:xfrm>
        <a:prstGeom xmlns:a="http://schemas.openxmlformats.org/drawingml/2006/main" prst="rect">
          <a:avLst/>
        </a:prstGeom>
        <a:noFill/>
        <a:ln>
          <a:noFill/>
        </a:ln>
      </cdr:spPr>
      <cdr:txBody xmlns:a="http://schemas.openxmlformats.org/drawingml/2006/main">
        <a:bodyPr rot="0" vert="horz" wrap="square" lIns="91440" tIns="45720" rIns="91440" bIns="45720" anchor="t" anchorCtr="false" upright="true">
          <a:noAutofit/>
        </a:bodyPr>
        <a:lstStyle/>
        <a:p>
          <a:pPr algn="just"/>
          <a:r>
            <a:rPr lang="zh-CN" sz="1050" kern="100">
              <a:effectLst/>
              <a:latin typeface="Times New Roman" panose="02020603050405020304" charset="0"/>
              <a:ea typeface="宋体" panose="02010600030101010101" charset="-122"/>
            </a:rPr>
            <a:t>金额：万元</a:t>
          </a:r>
          <a:endParaRPr lang="zh-CN" sz="1050" kern="100">
            <a:effectLst/>
            <a:latin typeface="Times New Roman" panose="02020603050405020304" charset="0"/>
            <a:ea typeface="宋体" panose="02010600030101010101" charset="-122"/>
          </a:endParaRPr>
        </a:p>
      </cdr:txBody>
    </cdr:sp>
  </cdr:relSizeAnchor>
</c:userShape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40a6a36-c367-41ea-99b4-93022755982d}"/>
        <w:style w:val=""/>
        <w:category>
          <w:name w:val="常规"/>
          <w:gallery w:val="placeholder"/>
        </w:category>
        <w:types>
          <w:type w:val="bbPlcHdr"/>
        </w:types>
        <w:behaviors>
          <w:behavior w:val="content"/>
        </w:behaviors>
        <w:description w:val=""/>
        <w:guid w:val="{d40a6a36-c367-41ea-99b4-93022755982d}"/>
      </w:docPartPr>
      <w:docPartBody>
        <w:p>
          <w:r>
            <w:rPr>
              <w:color w:val="808080"/>
            </w:rPr>
            <w:t>单击此处输入文字。</w:t>
          </w:r>
        </w:p>
      </w:docPartBody>
    </w:docPart>
    <w:docPart>
      <w:docPartPr>
        <w:name w:val="{6cfdefb9-a24b-4aa4-a98e-8129d586e2d0}"/>
        <w:style w:val=""/>
        <w:category>
          <w:name w:val="常规"/>
          <w:gallery w:val="placeholder"/>
        </w:category>
        <w:types>
          <w:type w:val="bbPlcHdr"/>
        </w:types>
        <w:behaviors>
          <w:behavior w:val="content"/>
        </w:behaviors>
        <w:description w:val=""/>
        <w:guid w:val="{6cfdefb9-a24b-4aa4-a98e-8129d586e2d0}"/>
      </w:docPartPr>
      <w:docPartBody>
        <w:p>
          <w:r>
            <w:rPr>
              <w:color w:val="808080"/>
            </w:rPr>
            <w:t>单击此处输入文字。</w:t>
          </w:r>
        </w:p>
      </w:docPartBody>
    </w:docPart>
    <w:docPart>
      <w:docPartPr>
        <w:name w:val="{9b9404ea-c17b-497c-97a1-c972567f66ac}"/>
        <w:style w:val=""/>
        <w:category>
          <w:name w:val="常规"/>
          <w:gallery w:val="placeholder"/>
        </w:category>
        <w:types>
          <w:type w:val="bbPlcHdr"/>
        </w:types>
        <w:behaviors>
          <w:behavior w:val="content"/>
        </w:behaviors>
        <w:description w:val=""/>
        <w:guid w:val="{9b9404ea-c17b-497c-97a1-c972567f66ac}"/>
      </w:docPartPr>
      <w:docPartBody>
        <w:p>
          <w:r>
            <w:rPr>
              <w:color w:val="808080"/>
            </w:rPr>
            <w:t>单击此处输入文字。</w:t>
          </w:r>
        </w:p>
      </w:docPartBody>
    </w:docPart>
    <w:docPart>
      <w:docPartPr>
        <w:name w:val="{c35c9402-8ced-4099-8d0a-d0bfc24f0d59}"/>
        <w:style w:val=""/>
        <w:category>
          <w:name w:val="常规"/>
          <w:gallery w:val="placeholder"/>
        </w:category>
        <w:types>
          <w:type w:val="bbPlcHdr"/>
        </w:types>
        <w:behaviors>
          <w:behavior w:val="content"/>
        </w:behaviors>
        <w:description w:val=""/>
        <w:guid w:val="{c35c9402-8ced-4099-8d0a-d0bfc24f0d59}"/>
      </w:docPartPr>
      <w:docPartBody>
        <w:p>
          <w:r>
            <w:rPr>
              <w:color w:val="808080"/>
            </w:rPr>
            <w:t>单击此处输入文字。</w:t>
          </w:r>
        </w:p>
      </w:docPartBody>
    </w:docPart>
    <w:docPart>
      <w:docPartPr>
        <w:name w:val="{c46ef14e-00f6-4447-8ee7-6303e2a7b9f3}"/>
        <w:style w:val=""/>
        <w:category>
          <w:name w:val="常规"/>
          <w:gallery w:val="placeholder"/>
        </w:category>
        <w:types>
          <w:type w:val="bbPlcHdr"/>
        </w:types>
        <w:behaviors>
          <w:behavior w:val="content"/>
        </w:behaviors>
        <w:description w:val=""/>
        <w:guid w:val="{c46ef14e-00f6-4447-8ee7-6303e2a7b9f3}"/>
      </w:docPartPr>
      <w:docPartBody>
        <w:p>
          <w:r>
            <w:rPr>
              <w:color w:val="808080"/>
            </w:rPr>
            <w:t>单击此处输入文字。</w:t>
          </w:r>
        </w:p>
      </w:docPartBody>
    </w:docPart>
    <w:docPart>
      <w:docPartPr>
        <w:name w:val="{876d1625-4810-4a33-a06a-a3173b70e22a}"/>
        <w:style w:val=""/>
        <w:category>
          <w:name w:val="常规"/>
          <w:gallery w:val="placeholder"/>
        </w:category>
        <w:types>
          <w:type w:val="bbPlcHdr"/>
        </w:types>
        <w:behaviors>
          <w:behavior w:val="content"/>
        </w:behaviors>
        <w:description w:val=""/>
        <w:guid w:val="{876d1625-4810-4a33-a06a-a3173b70e22a}"/>
      </w:docPartPr>
      <w:docPartBody>
        <w:p>
          <w:r>
            <w:rPr>
              <w:color w:val="808080"/>
            </w:rPr>
            <w:t>单击此处输入文字。</w:t>
          </w:r>
        </w:p>
      </w:docPartBody>
    </w:docPart>
    <w:docPart>
      <w:docPartPr>
        <w:name w:val="{9a01fb81-fa11-42cf-8abb-991e88360939}"/>
        <w:style w:val=""/>
        <w:category>
          <w:name w:val="常规"/>
          <w:gallery w:val="placeholder"/>
        </w:category>
        <w:types>
          <w:type w:val="bbPlcHdr"/>
        </w:types>
        <w:behaviors>
          <w:behavior w:val="content"/>
        </w:behaviors>
        <w:description w:val=""/>
        <w:guid w:val="{9a01fb81-fa11-42cf-8abb-991e88360939}"/>
      </w:docPartPr>
      <w:docPartBody>
        <w:p>
          <w:r>
            <w:rPr>
              <w:color w:val="808080"/>
            </w:rPr>
            <w:t>单击此处输入文字。</w:t>
          </w:r>
        </w:p>
      </w:docPartBody>
    </w:docPart>
    <w:docPart>
      <w:docPartPr>
        <w:name w:val="{3183c43f-72ae-457d-aa99-e6e34566a13a}"/>
        <w:style w:val=""/>
        <w:category>
          <w:name w:val="常规"/>
          <w:gallery w:val="placeholder"/>
        </w:category>
        <w:types>
          <w:type w:val="bbPlcHdr"/>
        </w:types>
        <w:behaviors>
          <w:behavior w:val="content"/>
        </w:behaviors>
        <w:description w:val=""/>
        <w:guid w:val="{3183c43f-72ae-457d-aa99-e6e34566a13a}"/>
      </w:docPartPr>
      <w:docPartBody>
        <w:p>
          <w:r>
            <w:rPr>
              <w:color w:val="808080"/>
            </w:rPr>
            <w:t>单击此处输入文字。</w:t>
          </w:r>
        </w:p>
      </w:docPartBody>
    </w:docPart>
    <w:docPart>
      <w:docPartPr>
        <w:name w:val="{e9a0102f-f9bc-44e3-bf09-65b9c5b42cc7}"/>
        <w:style w:val=""/>
        <w:category>
          <w:name w:val="常规"/>
          <w:gallery w:val="placeholder"/>
        </w:category>
        <w:types>
          <w:type w:val="bbPlcHdr"/>
        </w:types>
        <w:behaviors>
          <w:behavior w:val="content"/>
        </w:behaviors>
        <w:description w:val=""/>
        <w:guid w:val="{e9a0102f-f9bc-44e3-bf09-65b9c5b42cc7}"/>
      </w:docPartPr>
      <w:docPartBody>
        <w:p>
          <w:r>
            <w:rPr>
              <w:color w:val="808080"/>
            </w:rPr>
            <w:t>单击此处输入文字。</w:t>
          </w:r>
        </w:p>
      </w:docPartBody>
    </w:docPart>
    <w:docPart>
      <w:docPartPr>
        <w:name w:val="{2ecbba7d-ccad-4e36-babe-ae59e5204bcc}"/>
        <w:style w:val=""/>
        <w:category>
          <w:name w:val="常规"/>
          <w:gallery w:val="placeholder"/>
        </w:category>
        <w:types>
          <w:type w:val="bbPlcHdr"/>
        </w:types>
        <w:behaviors>
          <w:behavior w:val="content"/>
        </w:behaviors>
        <w:description w:val=""/>
        <w:guid w:val="{2ecbba7d-ccad-4e36-babe-ae59e5204bcc}"/>
      </w:docPartPr>
      <w:docPartBody>
        <w:p>
          <w:r>
            <w:rPr>
              <w:color w:val="808080"/>
            </w:rPr>
            <w:t>单击此处输入文字。</w:t>
          </w:r>
        </w:p>
      </w:docPartBody>
    </w:docPart>
    <w:docPart>
      <w:docPartPr>
        <w:name w:val="{1cbc830c-038c-4b21-81aa-fe006be7a199}"/>
        <w:style w:val=""/>
        <w:category>
          <w:name w:val="常规"/>
          <w:gallery w:val="placeholder"/>
        </w:category>
        <w:types>
          <w:type w:val="bbPlcHdr"/>
        </w:types>
        <w:behaviors>
          <w:behavior w:val="content"/>
        </w:behaviors>
        <w:description w:val=""/>
        <w:guid w:val="{1cbc830c-038c-4b21-81aa-fe006be7a199}"/>
      </w:docPartPr>
      <w:docPartBody>
        <w:p>
          <w:r>
            <w:rPr>
              <w:color w:val="808080"/>
            </w:rPr>
            <w:t>单击此处输入文字。</w:t>
          </w:r>
        </w:p>
      </w:docPartBody>
    </w:docPart>
    <w:docPart>
      <w:docPartPr>
        <w:name w:val="{0f5b1b7e-f47a-4db0-834e-5032a3c83243}"/>
        <w:style w:val=""/>
        <w:category>
          <w:name w:val="常规"/>
          <w:gallery w:val="placeholder"/>
        </w:category>
        <w:types>
          <w:type w:val="bbPlcHdr"/>
        </w:types>
        <w:behaviors>
          <w:behavior w:val="content"/>
        </w:behaviors>
        <w:description w:val=""/>
        <w:guid w:val="{0f5b1b7e-f47a-4db0-834e-5032a3c83243}"/>
      </w:docPartPr>
      <w:docPartBody>
        <w:p>
          <w:r>
            <w:rPr>
              <w:color w:val="808080"/>
            </w:rPr>
            <w:t>单击此处输入文字。</w:t>
          </w:r>
        </w:p>
      </w:docPartBody>
    </w:docPart>
    <w:docPart>
      <w:docPartPr>
        <w:name w:val="{ff924d9f-967e-4569-ba24-5fbbdcaabf67}"/>
        <w:style w:val=""/>
        <w:category>
          <w:name w:val="常规"/>
          <w:gallery w:val="placeholder"/>
        </w:category>
        <w:types>
          <w:type w:val="bbPlcHdr"/>
        </w:types>
        <w:behaviors>
          <w:behavior w:val="content"/>
        </w:behaviors>
        <w:description w:val=""/>
        <w:guid w:val="{ff924d9f-967e-4569-ba24-5fbbdcaabf67}"/>
      </w:docPartPr>
      <w:docPartBody>
        <w:p>
          <w:r>
            <w:rPr>
              <w:color w:val="808080"/>
            </w:rPr>
            <w:t>单击此处输入文字。</w:t>
          </w:r>
        </w:p>
      </w:docPartBody>
    </w:docPart>
    <w:docPart>
      <w:docPartPr>
        <w:name w:val="{7c12f6bc-1f6a-4a36-8312-a373ff787e46}"/>
        <w:style w:val=""/>
        <w:category>
          <w:name w:val="常规"/>
          <w:gallery w:val="placeholder"/>
        </w:category>
        <w:types>
          <w:type w:val="bbPlcHdr"/>
        </w:types>
        <w:behaviors>
          <w:behavior w:val="content"/>
        </w:behaviors>
        <w:description w:val=""/>
        <w:guid w:val="{7c12f6bc-1f6a-4a36-8312-a373ff787e46}"/>
      </w:docPartPr>
      <w:docPartBody>
        <w:p>
          <w:r>
            <w:rPr>
              <w:color w:val="808080"/>
            </w:rPr>
            <w:t>单击此处输入文字。</w:t>
          </w:r>
        </w:p>
      </w:docPartBody>
    </w:docPart>
    <w:docPart>
      <w:docPartPr>
        <w:name w:val="{69bdb756-6386-4a20-9ed4-db5d1cb0cfcc}"/>
        <w:style w:val=""/>
        <w:category>
          <w:name w:val="常规"/>
          <w:gallery w:val="placeholder"/>
        </w:category>
        <w:types>
          <w:type w:val="bbPlcHdr"/>
        </w:types>
        <w:behaviors>
          <w:behavior w:val="content"/>
        </w:behaviors>
        <w:description w:val=""/>
        <w:guid w:val="{69bdb756-6386-4a20-9ed4-db5d1cb0cfcc}"/>
      </w:docPartPr>
      <w:docPartBody>
        <w:p>
          <w:r>
            <w:rPr>
              <w:color w:val="808080"/>
            </w:rPr>
            <w:t>单击此处输入文字。</w:t>
          </w:r>
        </w:p>
      </w:docPartBody>
    </w:docPart>
    <w:docPart>
      <w:docPartPr>
        <w:name w:val="{5c4162e0-9a3a-45e6-b7ce-b78a2804b831}"/>
        <w:style w:val=""/>
        <w:category>
          <w:name w:val="常规"/>
          <w:gallery w:val="placeholder"/>
        </w:category>
        <w:types>
          <w:type w:val="bbPlcHdr"/>
        </w:types>
        <w:behaviors>
          <w:behavior w:val="content"/>
        </w:behaviors>
        <w:description w:val=""/>
        <w:guid w:val="{5c4162e0-9a3a-45e6-b7ce-b78a2804b831}"/>
      </w:docPartPr>
      <w:docPartBody>
        <w:p>
          <w:r>
            <w:rPr>
              <w:color w:val="808080"/>
            </w:rPr>
            <w:t>单击此处输入文字。</w:t>
          </w:r>
        </w:p>
      </w:docPartBody>
    </w:docPart>
    <w:docPart>
      <w:docPartPr>
        <w:name w:val="{8aafe802-85e4-43d9-9b9d-9572510c9498}"/>
        <w:style w:val=""/>
        <w:category>
          <w:name w:val="常规"/>
          <w:gallery w:val="placeholder"/>
        </w:category>
        <w:types>
          <w:type w:val="bbPlcHdr"/>
        </w:types>
        <w:behaviors>
          <w:behavior w:val="content"/>
        </w:behaviors>
        <w:description w:val=""/>
        <w:guid w:val="{8aafe802-85e4-43d9-9b9d-9572510c9498}"/>
      </w:docPartPr>
      <w:docPartBody>
        <w:p>
          <w:r>
            <w:rPr>
              <w:color w:val="808080"/>
            </w:rPr>
            <w:t>单击此处输入文字。</w:t>
          </w:r>
        </w:p>
      </w:docPartBody>
    </w:docPart>
    <w:docPart>
      <w:docPartPr>
        <w:name w:val="{e8157334-ee4b-45be-a90d-14433c0d5508}"/>
        <w:style w:val=""/>
        <w:category>
          <w:name w:val="常规"/>
          <w:gallery w:val="placeholder"/>
        </w:category>
        <w:types>
          <w:type w:val="bbPlcHdr"/>
        </w:types>
        <w:behaviors>
          <w:behavior w:val="content"/>
        </w:behaviors>
        <w:description w:val=""/>
        <w:guid w:val="{e8157334-ee4b-45be-a90d-14433c0d5508}"/>
      </w:docPartPr>
      <w:docPartBody>
        <w:p>
          <w:r>
            <w:rPr>
              <w:color w:val="808080"/>
            </w:rPr>
            <w:t>单击此处输入文字。</w:t>
          </w:r>
        </w:p>
      </w:docPartBody>
    </w:docPart>
    <w:docPart>
      <w:docPartPr>
        <w:name w:val="{60e75d91-76a9-4731-ab9a-e220ff77ed96}"/>
        <w:style w:val=""/>
        <w:category>
          <w:name w:val="常规"/>
          <w:gallery w:val="placeholder"/>
        </w:category>
        <w:types>
          <w:type w:val="bbPlcHdr"/>
        </w:types>
        <w:behaviors>
          <w:behavior w:val="content"/>
        </w:behaviors>
        <w:description w:val=""/>
        <w:guid w:val="{60e75d91-76a9-4731-ab9a-e220ff77ed96}"/>
      </w:docPartPr>
      <w:docPartBody>
        <w:p>
          <w:r>
            <w:rPr>
              <w:color w:val="808080"/>
            </w:rPr>
            <w:t>单击此处输入文字。</w:t>
          </w:r>
        </w:p>
      </w:docPartBody>
    </w:docPart>
    <w:docPart>
      <w:docPartPr>
        <w:name w:val="{413f055f-6013-4f88-a23c-9ea1c1b675f0}"/>
        <w:style w:val=""/>
        <w:category>
          <w:name w:val="常规"/>
          <w:gallery w:val="placeholder"/>
        </w:category>
        <w:types>
          <w:type w:val="bbPlcHdr"/>
        </w:types>
        <w:behaviors>
          <w:behavior w:val="content"/>
        </w:behaviors>
        <w:description w:val=""/>
        <w:guid w:val="{413f055f-6013-4f88-a23c-9ea1c1b675f0}"/>
      </w:docPartPr>
      <w:docPartBody>
        <w:p>
          <w:r>
            <w:rPr>
              <w:color w:val="808080"/>
            </w:rPr>
            <w:t>单击此处输入文字。</w:t>
          </w:r>
        </w:p>
      </w:docPartBody>
    </w:docPart>
    <w:docPart>
      <w:docPartPr>
        <w:name w:val="{0727cc7e-5f2e-4505-ac5d-d661fff17b17}"/>
        <w:style w:val=""/>
        <w:category>
          <w:name w:val="常规"/>
          <w:gallery w:val="placeholder"/>
        </w:category>
        <w:types>
          <w:type w:val="bbPlcHdr"/>
        </w:types>
        <w:behaviors>
          <w:behavior w:val="content"/>
        </w:behaviors>
        <w:description w:val=""/>
        <w:guid w:val="{0727cc7e-5f2e-4505-ac5d-d661fff17b17}"/>
      </w:docPartPr>
      <w:docPartBody>
        <w:p>
          <w:r>
            <w:rPr>
              <w:color w:val="808080"/>
            </w:rPr>
            <w:t>单击此处输入文字。</w:t>
          </w:r>
        </w:p>
      </w:docPartBody>
    </w:docPart>
    <w:docPart>
      <w:docPartPr>
        <w:name w:val="{89bb2bc5-d343-4324-9dea-0a63a3a5e606}"/>
        <w:style w:val=""/>
        <w:category>
          <w:name w:val="常规"/>
          <w:gallery w:val="placeholder"/>
        </w:category>
        <w:types>
          <w:type w:val="bbPlcHdr"/>
        </w:types>
        <w:behaviors>
          <w:behavior w:val="content"/>
        </w:behaviors>
        <w:description w:val=""/>
        <w:guid w:val="{89bb2bc5-d343-4324-9dea-0a63a3a5e606}"/>
      </w:docPartPr>
      <w:docPartBody>
        <w:p>
          <w:r>
            <w:rPr>
              <w:color w:val="808080"/>
            </w:rPr>
            <w:t>单击此处输入文字。</w:t>
          </w:r>
        </w:p>
      </w:docPartBody>
    </w:docPart>
    <w:docPart>
      <w:docPartPr>
        <w:name w:val="{9611545f-c2e6-45bf-a3a1-9518a35985b3}"/>
        <w:style w:val=""/>
        <w:category>
          <w:name w:val="常规"/>
          <w:gallery w:val="placeholder"/>
        </w:category>
        <w:types>
          <w:type w:val="bbPlcHdr"/>
        </w:types>
        <w:behaviors>
          <w:behavior w:val="content"/>
        </w:behaviors>
        <w:description w:val=""/>
        <w:guid w:val="{9611545f-c2e6-45bf-a3a1-9518a35985b3}"/>
      </w:docPartPr>
      <w:docPartBody>
        <w:p>
          <w:r>
            <w:rPr>
              <w:color w:val="808080"/>
            </w:rPr>
            <w:t>单击此处输入文字。</w:t>
          </w:r>
        </w:p>
      </w:docPartBody>
    </w:docPart>
    <w:docPart>
      <w:docPartPr>
        <w:name w:val="{49899698-4eb2-4400-a395-60e37477514a}"/>
        <w:style w:val=""/>
        <w:category>
          <w:name w:val="常规"/>
          <w:gallery w:val="placeholder"/>
        </w:category>
        <w:types>
          <w:type w:val="bbPlcHdr"/>
        </w:types>
        <w:behaviors>
          <w:behavior w:val="content"/>
        </w:behaviors>
        <w:description w:val=""/>
        <w:guid w:val="{49899698-4eb2-4400-a395-60e37477514a}"/>
      </w:docPartPr>
      <w:docPartBody>
        <w:p>
          <w:r>
            <w:rPr>
              <w:color w:val="808080"/>
            </w:rPr>
            <w:t>单击此处输入文字。</w:t>
          </w:r>
        </w:p>
      </w:docPartBody>
    </w:docPart>
    <w:docPart>
      <w:docPartPr>
        <w:name w:val="{f6511f1b-5d96-4ee9-ae77-3b271de9a112}"/>
        <w:style w:val=""/>
        <w:category>
          <w:name w:val="常规"/>
          <w:gallery w:val="placeholder"/>
        </w:category>
        <w:types>
          <w:type w:val="bbPlcHdr"/>
        </w:types>
        <w:behaviors>
          <w:behavior w:val="content"/>
        </w:behaviors>
        <w:description w:val=""/>
        <w:guid w:val="{f6511f1b-5d96-4ee9-ae77-3b271de9a112}"/>
      </w:docPartPr>
      <w:docPartBody>
        <w:p>
          <w:r>
            <w:rPr>
              <w:color w:val="808080"/>
            </w:rPr>
            <w:t>单击此处输入文字。</w:t>
          </w:r>
        </w:p>
      </w:docPartBody>
    </w:docPart>
    <w:docPart>
      <w:docPartPr>
        <w:name w:val="{3dde2b10-ba5e-4e84-ab6b-6dcd85869312}"/>
        <w:style w:val=""/>
        <w:category>
          <w:name w:val="常规"/>
          <w:gallery w:val="placeholder"/>
        </w:category>
        <w:types>
          <w:type w:val="bbPlcHdr"/>
        </w:types>
        <w:behaviors>
          <w:behavior w:val="content"/>
        </w:behaviors>
        <w:description w:val=""/>
        <w:guid w:val="{3dde2b10-ba5e-4e84-ab6b-6dcd85869312}"/>
      </w:docPartPr>
      <w:docPartBody>
        <w:p>
          <w:r>
            <w:rPr>
              <w:color w:val="808080"/>
            </w:rPr>
            <w:t>单击此处输入文字。</w:t>
          </w:r>
        </w:p>
      </w:docPartBody>
    </w:docPart>
    <w:docPart>
      <w:docPartPr>
        <w:name w:val="{1dea4784-1e66-4b70-b430-949ca005d3d1}"/>
        <w:style w:val=""/>
        <w:category>
          <w:name w:val="常规"/>
          <w:gallery w:val="placeholder"/>
        </w:category>
        <w:types>
          <w:type w:val="bbPlcHdr"/>
        </w:types>
        <w:behaviors>
          <w:behavior w:val="content"/>
        </w:behaviors>
        <w:description w:val=""/>
        <w:guid w:val="{1dea4784-1e66-4b70-b430-949ca005d3d1}"/>
      </w:docPartPr>
      <w:docPartBody>
        <w:p>
          <w:r>
            <w:rPr>
              <w:color w:val="808080"/>
            </w:rPr>
            <w:t>单击此处输入文字。</w:t>
          </w:r>
        </w:p>
      </w:docPartBody>
    </w:docPart>
    <w:docPart>
      <w:docPartPr>
        <w:name w:val="{1f2fc4f6-4ec6-4ad6-bde8-66daa3b5aaad}"/>
        <w:style w:val=""/>
        <w:category>
          <w:name w:val="常规"/>
          <w:gallery w:val="placeholder"/>
        </w:category>
        <w:types>
          <w:type w:val="bbPlcHdr"/>
        </w:types>
        <w:behaviors>
          <w:behavior w:val="content"/>
        </w:behaviors>
        <w:description w:val=""/>
        <w:guid w:val="{1f2fc4f6-4ec6-4ad6-bde8-66daa3b5aaad}"/>
      </w:docPartPr>
      <w:docPartBody>
        <w:p>
          <w:r>
            <w:rPr>
              <w:color w:val="808080"/>
            </w:rPr>
            <w:t>单击此处输入文字。</w:t>
          </w:r>
        </w:p>
      </w:docPartBody>
    </w:docPart>
    <w:docPart>
      <w:docPartPr>
        <w:name w:val="{15e0fa80-e6a1-48e4-b028-021071b9a4f4}"/>
        <w:style w:val=""/>
        <w:category>
          <w:name w:val="常规"/>
          <w:gallery w:val="placeholder"/>
        </w:category>
        <w:types>
          <w:type w:val="bbPlcHdr"/>
        </w:types>
        <w:behaviors>
          <w:behavior w:val="content"/>
        </w:behaviors>
        <w:description w:val=""/>
        <w:guid w:val="{15e0fa80-e6a1-48e4-b028-021071b9a4f4}"/>
      </w:docPartPr>
      <w:docPartBody>
        <w:p>
          <w:r>
            <w:rPr>
              <w:color w:val="808080"/>
            </w:rPr>
            <w:t>单击此处输入文字。</w:t>
          </w:r>
        </w:p>
      </w:docPartBody>
    </w:docPart>
    <w:docPart>
      <w:docPartPr>
        <w:name w:val="{75451bf8-049f-4565-bf67-309bc6843616}"/>
        <w:style w:val=""/>
        <w:category>
          <w:name w:val="常规"/>
          <w:gallery w:val="placeholder"/>
        </w:category>
        <w:types>
          <w:type w:val="bbPlcHdr"/>
        </w:types>
        <w:behaviors>
          <w:behavior w:val="content"/>
        </w:behaviors>
        <w:description w:val=""/>
        <w:guid w:val="{75451bf8-049f-4565-bf67-309bc6843616}"/>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67</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2024-08-10T16:11:00Z</dcterms:created>
  <dc:creator>鲶</dc:creator>
  <cp:lastModifiedBy>user</cp:lastModifiedBy>
  <dcterms:modified xsi:type="dcterms:W3CDTF">2024-09-09T11:23:38Z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