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2FFB0">
      <w:pPr>
        <w:pStyle w:val="6"/>
        <w:jc w:val="center"/>
        <w:rPr>
          <w:rFonts w:hint="eastAsia" w:ascii="Arial Unicode MS" w:hAnsi="宋体" w:eastAsia="Arial Unicode MS" w:cs="Times New Roman"/>
          <w:color w:val="auto"/>
          <w:kern w:val="2"/>
          <w:sz w:val="44"/>
          <w:szCs w:val="44"/>
          <w:highlight w:val="none"/>
          <w:lang w:val="en-US" w:eastAsia="zh-CN" w:bidi="ar-SA"/>
        </w:rPr>
      </w:pPr>
    </w:p>
    <w:p w14:paraId="05B227B8">
      <w:pPr>
        <w:pStyle w:val="6"/>
        <w:jc w:val="center"/>
        <w:rPr>
          <w:rFonts w:hint="eastAsia" w:ascii="Arial Unicode MS" w:hAnsi="宋体" w:eastAsia="Arial Unicode MS" w:cs="Times New Roman"/>
          <w:color w:val="auto"/>
          <w:kern w:val="2"/>
          <w:sz w:val="44"/>
          <w:szCs w:val="44"/>
          <w:highlight w:val="none"/>
          <w:lang w:val="en-US" w:eastAsia="zh-CN" w:bidi="ar-SA"/>
        </w:rPr>
      </w:pPr>
    </w:p>
    <w:p w14:paraId="14A0593D">
      <w:pPr>
        <w:pStyle w:val="6"/>
        <w:jc w:val="center"/>
        <w:rPr>
          <w:rFonts w:hint="eastAsia" w:ascii="Arial Unicode MS" w:hAnsi="宋体" w:eastAsia="Arial Unicode MS" w:cs="Times New Roman"/>
          <w:color w:val="auto"/>
          <w:kern w:val="2"/>
          <w:sz w:val="44"/>
          <w:szCs w:val="44"/>
          <w:highlight w:val="none"/>
          <w:lang w:val="en-US" w:eastAsia="zh-CN" w:bidi="ar-SA"/>
        </w:rPr>
      </w:pPr>
    </w:p>
    <w:p w14:paraId="20F3CEC8">
      <w:pPr>
        <w:pStyle w:val="6"/>
        <w:jc w:val="center"/>
        <w:rPr>
          <w:rFonts w:hint="eastAsia" w:ascii="Arial Unicode MS" w:hAnsi="宋体" w:eastAsia="Arial Unicode MS" w:cs="Times New Roman"/>
          <w:b/>
          <w:bCs/>
          <w:color w:val="auto"/>
          <w:kern w:val="2"/>
          <w:sz w:val="44"/>
          <w:szCs w:val="44"/>
          <w:highlight w:val="none"/>
          <w:lang w:val="en-US" w:eastAsia="zh-CN" w:bidi="ar-SA"/>
        </w:rPr>
      </w:pPr>
      <w:r>
        <w:rPr>
          <w:rFonts w:hint="eastAsia" w:ascii="Arial Unicode MS" w:hAnsi="宋体" w:eastAsia="Arial Unicode MS" w:cs="Times New Roman"/>
          <w:b/>
          <w:bCs/>
          <w:color w:val="auto"/>
          <w:kern w:val="2"/>
          <w:sz w:val="44"/>
          <w:szCs w:val="44"/>
          <w:highlight w:val="none"/>
          <w:lang w:val="en-US" w:eastAsia="zh-CN" w:bidi="ar-SA"/>
        </w:rPr>
        <w:t>2023年度四川省广播电视科学技术研究所单位决算</w:t>
      </w:r>
    </w:p>
    <w:p w14:paraId="66741388">
      <w:pPr>
        <w:widowControl/>
        <w:jc w:val="center"/>
        <w:rPr>
          <w:rFonts w:ascii="黑体" w:hAnsi="黑体" w:eastAsia="黑体"/>
          <w:color w:val="auto"/>
          <w:sz w:val="48"/>
          <w:szCs w:val="48"/>
          <w:highlight w:val="none"/>
        </w:rPr>
      </w:pPr>
      <w:r>
        <w:rPr>
          <w:rFonts w:ascii="Arial Unicode MS" w:hAnsi="宋体" w:eastAsia="Arial Unicode MS"/>
          <w:color w:val="auto"/>
          <w:sz w:val="36"/>
          <w:szCs w:val="36"/>
          <w:highlight w:val="none"/>
        </w:rPr>
        <w:br w:type="page"/>
      </w:r>
      <w:r>
        <w:rPr>
          <w:rFonts w:hint="eastAsia" w:ascii="黑体" w:hAnsi="黑体" w:eastAsia="黑体"/>
          <w:color w:val="auto"/>
          <w:sz w:val="48"/>
          <w:szCs w:val="48"/>
          <w:highlight w:val="none"/>
        </w:rPr>
        <w:t>目录</w:t>
      </w:r>
    </w:p>
    <w:p w14:paraId="1C12C441">
      <w:pPr>
        <w:widowControl/>
        <w:jc w:val="center"/>
        <w:rPr>
          <w:rFonts w:ascii="黑体" w:hAnsi="黑体" w:eastAsia="黑体" w:cstheme="minorBidi"/>
          <w:color w:val="auto"/>
          <w:sz w:val="28"/>
          <w:szCs w:val="28"/>
          <w:highlight w:val="none"/>
        </w:rPr>
      </w:pPr>
    </w:p>
    <w:p w14:paraId="47E01775">
      <w:pPr>
        <w:pStyle w:val="13"/>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 xml:space="preserve">13 </w:t>
      </w:r>
      <w:r>
        <w:rPr>
          <w:rFonts w:hint="eastAsia"/>
          <w:color w:val="auto"/>
          <w:highlight w:val="none"/>
        </w:rPr>
        <w:t>日</w:t>
      </w:r>
    </w:p>
    <w:p w14:paraId="523B5333">
      <w:pPr>
        <w:rPr>
          <w:color w:val="auto"/>
          <w:highlight w:val="none"/>
        </w:rPr>
      </w:pPr>
    </w:p>
    <w:sdt>
      <w:sdtPr>
        <w:rPr>
          <w:rFonts w:ascii="宋体" w:hAnsi="宋体" w:eastAsia="宋体" w:cs="Times New Roman"/>
          <w:kern w:val="2"/>
          <w:sz w:val="21"/>
          <w:szCs w:val="24"/>
          <w:lang w:val="en-US" w:eastAsia="zh-CN" w:bidi="ar-SA"/>
        </w:rPr>
        <w:id w:val="147474267"/>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33921355">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212E3DB">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fldChar w:fldCharType="begin"/>
          </w:r>
          <w:r>
            <w:instrText xml:space="preserve">TOC \o "1-2" \h \u </w:instrText>
          </w:r>
          <w:r>
            <w:fldChar w:fldCharType="separate"/>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_Toc373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第一部分 单位概况</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_Toc373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4</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46493BF9">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_Toc3626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一、 主要职责</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_Toc3626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4</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4E49256B">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_Toc12335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二、 机构设置</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_Toc12335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4</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6FF75F58">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_Toc3810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第二部分 2023年度单位决算情况说明</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_Toc3810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5</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049881C6">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_Toc3322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一、收入支出决算总体情况说明</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_Toc3322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5</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2FECE55D">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_Toc19147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二、收入决算情况说明</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_Toc19147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5</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33A08484">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_Toc26555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三、支出决算情况说明</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_Toc26555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6</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7EC755DC">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_Toc8248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四、财政拨款收入支出决算总体情况说明</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_Toc8248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7</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58E3A038">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_Toc13922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五、一般公共预算财政拨款支出决算情况说明</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_Toc13922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8</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171B100E">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_Toc31912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六、一般公共预算财政拨款基本支出决算情况说明</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_Toc31912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11</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7884E31F">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_Toc12724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七、财政拨款“三公”经费支出决算情况说明</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_Toc12724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11</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7FCA05AA">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_Toc10989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八、政府性基金预算支出决算情况说明</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_Toc10989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12</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3BAA1D27">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_Toc91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九、国有资本经营预算支出决算情况说明</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_Toc91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12</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0206E41D">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_Toc24114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十、其他重要事项的情况说明</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_Toc24114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12</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25615BFC">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_Toc1525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第三部分  名词解释</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_Toc1525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14</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4F567F99">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_Toc8237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第四部分 附件</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_Toc8237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16</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45372D6A">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_Toc3801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第五部分 附表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_Toc3801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0AB0B9AC">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_Toc18860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一、收入支出决算总表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_Toc18860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748F3665">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_Toc19466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二、收入决算表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_Toc19466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4D8C795D">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_Toc9180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三、支出决算表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_Toc9180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19BD19CA">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_Toc22870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四、财政拨款收入支出决算总表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_Toc22870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6738B3E6">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_Toc13577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五、财政拨款支出决算明细表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_Toc13577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6AB16C43">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_Toc21695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六、一般公共预算财政拨款支出决算表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_Toc21695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3133B32E">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_Toc10142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七、一般公共预算财政拨款支出决算明细表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_Toc10142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7F3E73CE">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_Toc31151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八、一般公共预算财政拨款基本支出决算表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_Toc31151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2025FF1C">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_Toc16734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九、一般公共预算财政拨款项目支出决算表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_Toc16734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306F61D9">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_Toc5847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十、政府性基金预算财政拨款收入支出决算表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_Toc5847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441641BE">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_Toc7760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十一、国有资本经营预算财政拨款收入支出决算表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_Toc7760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221292FA">
          <w:pPr>
            <w:pStyle w:val="37"/>
            <w:tabs>
              <w:tab w:val="right" w:leader="dot" w:pos="8306"/>
            </w:tabs>
            <w:ind w:left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_Toc2030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十二、国有资本经营预算财政拨款支出决算表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_Toc2030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458EAED0">
          <w:pPr>
            <w:pStyle w:val="37"/>
            <w:tabs>
              <w:tab w:val="right" w:leader="dot" w:pos="8306"/>
            </w:tabs>
            <w:ind w:leftChars="200"/>
          </w:pP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HYPERLINK \l _Toc17383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十三、财政拨款“三公”经费支出决算表</w:t>
          </w:r>
          <w:r>
            <w:rPr>
              <w:rFonts w:hint="eastAsia" w:ascii="仿宋" w:hAnsi="仿宋" w:eastAsia="仿宋" w:cs="Times New Roman"/>
              <w:color w:val="auto"/>
              <w:kern w:val="2"/>
              <w:sz w:val="28"/>
              <w:szCs w:val="28"/>
              <w:highlight w:val="none"/>
              <w:lang w:val="en-US" w:eastAsia="zh-CN" w:bidi="ar-SA"/>
            </w:rPr>
            <w:tab/>
          </w:r>
          <w:r>
            <w:rPr>
              <w:rFonts w:hint="eastAsia" w:ascii="仿宋" w:hAnsi="仿宋" w:eastAsia="仿宋" w:cs="Times New Roman"/>
              <w:color w:val="auto"/>
              <w:kern w:val="2"/>
              <w:sz w:val="28"/>
              <w:szCs w:val="28"/>
              <w:highlight w:val="none"/>
              <w:lang w:val="en-US" w:eastAsia="zh-CN" w:bidi="ar-SA"/>
            </w:rPr>
            <w:fldChar w:fldCharType="begin"/>
          </w:r>
          <w:r>
            <w:rPr>
              <w:rFonts w:hint="eastAsia" w:ascii="仿宋" w:hAnsi="仿宋" w:eastAsia="仿宋" w:cs="Times New Roman"/>
              <w:color w:val="auto"/>
              <w:kern w:val="2"/>
              <w:sz w:val="28"/>
              <w:szCs w:val="28"/>
              <w:highlight w:val="none"/>
              <w:lang w:val="en-US" w:eastAsia="zh-CN" w:bidi="ar-SA"/>
            </w:rPr>
            <w:instrText xml:space="preserve"> PAGEREF _Toc17383 \h </w:instrText>
          </w:r>
          <w:r>
            <w:rPr>
              <w:rFonts w:hint="eastAsia" w:ascii="仿宋" w:hAnsi="仿宋" w:eastAsia="仿宋" w:cs="Times New Roman"/>
              <w:color w:val="auto"/>
              <w:kern w:val="2"/>
              <w:sz w:val="28"/>
              <w:szCs w:val="28"/>
              <w:highlight w:val="none"/>
              <w:lang w:val="en-US" w:eastAsia="zh-CN" w:bidi="ar-SA"/>
            </w:rPr>
            <w:fldChar w:fldCharType="separate"/>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zh-CN" w:bidi="ar-SA"/>
            </w:rPr>
            <w:fldChar w:fldCharType="end"/>
          </w:r>
          <w:r>
            <w:rPr>
              <w:rFonts w:hint="eastAsia" w:ascii="仿宋" w:hAnsi="仿宋" w:eastAsia="仿宋" w:cs="Times New Roman"/>
              <w:color w:val="auto"/>
              <w:kern w:val="2"/>
              <w:sz w:val="28"/>
              <w:szCs w:val="28"/>
              <w:highlight w:val="none"/>
              <w:lang w:val="en-US" w:eastAsia="zh-CN" w:bidi="ar-SA"/>
            </w:rPr>
            <w:fldChar w:fldCharType="end"/>
          </w:r>
        </w:p>
        <w:p w14:paraId="7BDBD8E3">
          <w:pPr>
            <w:rPr>
              <w:b/>
            </w:rPr>
          </w:pPr>
          <w:r>
            <w:rPr>
              <w:b/>
            </w:rPr>
            <w:fldChar w:fldCharType="end"/>
          </w:r>
        </w:p>
      </w:sdtContent>
    </w:sdt>
    <w:p w14:paraId="481136FE">
      <w:pPr>
        <w:rPr>
          <w:b/>
        </w:rPr>
      </w:pPr>
    </w:p>
    <w:p w14:paraId="3A17F3E3">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754510B5">
      <w:pPr>
        <w:pStyle w:val="3"/>
        <w:jc w:val="center"/>
        <w:rPr>
          <w:rStyle w:val="29"/>
          <w:rFonts w:ascii="黑体" w:hAnsi="黑体" w:eastAsia="黑体"/>
          <w:b/>
          <w:bCs w:val="0"/>
          <w:color w:val="auto"/>
          <w:highlight w:val="none"/>
        </w:rPr>
      </w:pPr>
      <w:bookmarkStart w:id="0" w:name="_Toc373"/>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9"/>
          <w:rFonts w:hint="eastAsia" w:ascii="黑体" w:hAnsi="黑体" w:eastAsia="黑体"/>
          <w:b w:val="0"/>
          <w:bCs w:val="0"/>
          <w:color w:val="auto"/>
          <w:highlight w:val="none"/>
        </w:rPr>
        <w:t>概况</w:t>
      </w:r>
      <w:bookmarkEnd w:id="0"/>
    </w:p>
    <w:p w14:paraId="7B53392B">
      <w:pPr>
        <w:widowControl/>
        <w:jc w:val="left"/>
        <w:rPr>
          <w:rFonts w:ascii="黑体" w:eastAsia="黑体"/>
          <w:color w:val="auto"/>
          <w:sz w:val="32"/>
          <w:szCs w:val="32"/>
          <w:highlight w:val="none"/>
        </w:rPr>
      </w:pPr>
    </w:p>
    <w:p w14:paraId="27076B8B">
      <w:pPr>
        <w:pStyle w:val="4"/>
        <w:numPr>
          <w:ilvl w:val="0"/>
          <w:numId w:val="1"/>
        </w:numPr>
        <w:rPr>
          <w:rStyle w:val="30"/>
          <w:rFonts w:hint="eastAsia" w:ascii="黑体" w:hAnsi="黑体" w:eastAsia="黑体"/>
          <w:b w:val="0"/>
          <w:bCs w:val="0"/>
          <w:color w:val="auto"/>
          <w:highlight w:val="none"/>
          <w:lang w:eastAsia="zh-CN"/>
        </w:rPr>
      </w:pPr>
      <w:bookmarkStart w:id="1" w:name="_Toc3626"/>
      <w:r>
        <w:rPr>
          <w:rStyle w:val="30"/>
          <w:rFonts w:hint="eastAsia" w:ascii="黑体" w:hAnsi="黑体" w:eastAsia="黑体"/>
          <w:b w:val="0"/>
          <w:bCs w:val="0"/>
          <w:color w:val="auto"/>
          <w:highlight w:val="none"/>
          <w:lang w:eastAsia="zh-CN"/>
        </w:rPr>
        <w:t>主要职责</w:t>
      </w:r>
      <w:bookmarkEnd w:id="1"/>
    </w:p>
    <w:p w14:paraId="62FE8348">
      <w:pPr>
        <w:pStyle w:val="2"/>
        <w:numPr>
          <w:ilvl w:val="0"/>
          <w:numId w:val="0"/>
        </w:numPr>
        <w:ind w:leftChars="0" w:firstLine="640" w:firstLineChars="200"/>
        <w:rPr>
          <w:rFonts w:hint="eastAsia"/>
          <w:lang w:eastAsia="zh-CN"/>
        </w:rPr>
      </w:pPr>
      <w:bookmarkStart w:id="2" w:name="OLE_LINK1"/>
      <w:r>
        <w:rPr>
          <w:rFonts w:hint="eastAsia" w:ascii="仿宋_GB2312" w:hAnsi="仿宋_GB2312" w:eastAsia="仿宋_GB2312" w:cs="仿宋_GB2312"/>
          <w:color w:val="auto"/>
          <w:kern w:val="2"/>
          <w:sz w:val="32"/>
          <w:szCs w:val="32"/>
          <w:highlight w:val="none"/>
          <w:lang w:val="en-US" w:eastAsia="zh-CN" w:bidi="ar-SA"/>
        </w:rPr>
        <w:t>四川省</w:t>
      </w:r>
      <w:r>
        <w:rPr>
          <w:rFonts w:hint="eastAsia" w:ascii="仿宋_GB2312" w:hAnsi="仿宋_GB2312" w:eastAsia="仿宋_GB2312" w:cs="仿宋_GB2312"/>
          <w:b w:val="0"/>
          <w:bCs w:val="0"/>
          <w:sz w:val="32"/>
          <w:szCs w:val="32"/>
        </w:rPr>
        <w:t>广播电视科学技术研究所是我省唯一的公益性广播电视技术专业科研机构，是四川省广播电视局直属事业单位。自1978年建所以来，我所坚持为广播电视事业服务，开展广播电视和网络视听科学技术研究及实验开发、咨询、勘察、设计、培训、信息技术服务；承担广播电视和网络视听设备研制、系统集成、软件开发、应用推广、平台运维、检验检测、安装调试及设备维修；我所始终紧随广播电视事业和产业的发展步伐，坚持以政策为指引，以市场为导向，以客户为中心，立足广电，服务广电，为广播电视系统建设提供技术论证、解决方案、专业产品和技术服务。同时，我所还承担了四川省广播电视户户通设备维修、技术指导、业务培训等公共服务工作，为全省广播电视公共服务体系建设提供全方位的技术支持。</w:t>
      </w:r>
      <w:bookmarkEnd w:id="2"/>
    </w:p>
    <w:p w14:paraId="27B8A1A6">
      <w:pPr>
        <w:pStyle w:val="4"/>
        <w:numPr>
          <w:ilvl w:val="0"/>
          <w:numId w:val="1"/>
        </w:numPr>
        <w:ind w:left="0" w:leftChars="0" w:firstLine="0" w:firstLineChars="0"/>
        <w:rPr>
          <w:rFonts w:hint="eastAsia" w:ascii="黑体" w:hAnsi="黑体" w:eastAsia="黑体"/>
          <w:b w:val="0"/>
          <w:color w:val="auto"/>
          <w:highlight w:val="none"/>
          <w:lang w:val="en-US" w:eastAsia="zh-CN"/>
        </w:rPr>
      </w:pPr>
      <w:bookmarkStart w:id="3" w:name="_Toc12335"/>
      <w:r>
        <w:rPr>
          <w:rFonts w:hint="eastAsia" w:ascii="黑体" w:hAnsi="黑体" w:eastAsia="黑体"/>
          <w:b w:val="0"/>
          <w:color w:val="auto"/>
          <w:highlight w:val="none"/>
          <w:lang w:val="en-US" w:eastAsia="zh-CN"/>
        </w:rPr>
        <w:t>机构设置</w:t>
      </w:r>
      <w:bookmarkEnd w:id="3"/>
    </w:p>
    <w:p w14:paraId="4990D74C">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bookmarkStart w:id="4" w:name="OLE_LINK2"/>
      <w:r>
        <w:rPr>
          <w:rFonts w:hint="eastAsia" w:ascii="仿宋_GB2312" w:hAnsi="仿宋_GB2312" w:eastAsia="仿宋_GB2312" w:cs="仿宋_GB2312"/>
          <w:b w:val="0"/>
          <w:bCs w:val="0"/>
          <w:kern w:val="2"/>
          <w:sz w:val="32"/>
          <w:szCs w:val="32"/>
          <w:lang w:val="en-US" w:eastAsia="zh-CN" w:bidi="ar-SA"/>
        </w:rPr>
        <w:t>四川省广播电视科学技术研究所（以下简称“省广电科研所”）属于省级二级预算单位，机构编制1个，无下级单位。省广电科研所内设六个部门：办公室、规划财务部、科技管理部、研发中心、技术服务部和应用推广部。</w:t>
      </w:r>
      <w:bookmarkEnd w:id="4"/>
    </w:p>
    <w:p w14:paraId="3DB59A9C">
      <w:pPr>
        <w:pStyle w:val="2"/>
        <w:ind w:left="0" w:leftChars="0" w:firstLine="0" w:firstLineChars="0"/>
        <w:rPr>
          <w:rFonts w:hint="eastAsia" w:ascii="仿宋_GB2312" w:hAnsi="仿宋_GB2312" w:eastAsia="仿宋_GB2312" w:cs="仿宋_GB2312"/>
          <w:b w:val="0"/>
          <w:bCs w:val="0"/>
          <w:kern w:val="2"/>
          <w:sz w:val="32"/>
          <w:szCs w:val="32"/>
          <w:lang w:val="en-US" w:eastAsia="zh-CN" w:bidi="ar-SA"/>
        </w:rPr>
      </w:pPr>
    </w:p>
    <w:p w14:paraId="3E357F08">
      <w:pPr>
        <w:widowControl/>
        <w:jc w:val="left"/>
        <w:outlineLvl w:val="0"/>
        <w:rPr>
          <w:rStyle w:val="29"/>
          <w:rFonts w:ascii="黑体" w:hAnsi="黑体" w:eastAsia="黑体"/>
          <w:b w:val="0"/>
          <w:bCs/>
          <w:color w:val="auto"/>
          <w:highlight w:val="none"/>
        </w:rPr>
      </w:pPr>
      <w:bookmarkStart w:id="5" w:name="_Toc3810"/>
      <w:r>
        <w:rPr>
          <w:rStyle w:val="29"/>
          <w:rFonts w:hint="eastAsia" w:ascii="黑体" w:hAnsi="黑体" w:eastAsia="黑体" w:cstheme="minorBidi"/>
          <w:b w:val="0"/>
          <w:bCs/>
          <w:color w:val="auto"/>
          <w:highlight w:val="none"/>
          <w:lang w:eastAsia="zh-CN"/>
        </w:rPr>
        <w:t xml:space="preserve">第二部分 </w:t>
      </w:r>
      <w:r>
        <w:rPr>
          <w:rStyle w:val="29"/>
          <w:rFonts w:hint="eastAsia" w:ascii="黑体" w:hAnsi="黑体" w:eastAsia="黑体" w:cstheme="minorBidi"/>
          <w:b w:val="0"/>
          <w:bCs/>
          <w:color w:val="auto"/>
          <w:highlight w:val="none"/>
          <w:lang w:val="en-US" w:eastAsia="zh-CN"/>
        </w:rPr>
        <w:t>2023年度</w:t>
      </w:r>
      <w:r>
        <w:rPr>
          <w:rStyle w:val="29"/>
          <w:rFonts w:hint="eastAsia" w:ascii="黑体" w:hAnsi="黑体" w:eastAsia="黑体" w:cstheme="minorBidi"/>
          <w:b w:val="0"/>
          <w:bCs/>
          <w:color w:val="auto"/>
          <w:highlight w:val="none"/>
          <w:lang w:eastAsia="zh-CN"/>
        </w:rPr>
        <w:t>单</w:t>
      </w:r>
      <w:r>
        <w:rPr>
          <w:rStyle w:val="29"/>
          <w:rFonts w:hint="eastAsia" w:ascii="黑体" w:hAnsi="黑体" w:eastAsia="黑体"/>
          <w:b w:val="0"/>
          <w:bCs/>
          <w:color w:val="auto"/>
          <w:highlight w:val="none"/>
          <w:lang w:eastAsia="zh-CN"/>
        </w:rPr>
        <w:t>位</w:t>
      </w:r>
      <w:r>
        <w:rPr>
          <w:rStyle w:val="29"/>
          <w:rFonts w:hint="eastAsia" w:ascii="黑体" w:hAnsi="黑体" w:eastAsia="黑体"/>
          <w:b w:val="0"/>
          <w:bCs/>
          <w:color w:val="auto"/>
          <w:highlight w:val="none"/>
        </w:rPr>
        <w:t>决算情况说明</w:t>
      </w:r>
      <w:bookmarkEnd w:id="5"/>
    </w:p>
    <w:p w14:paraId="5DE58A5B">
      <w:pPr>
        <w:rPr>
          <w:color w:val="auto"/>
          <w:highlight w:val="none"/>
        </w:rPr>
      </w:pPr>
    </w:p>
    <w:p w14:paraId="1BCF8DE2">
      <w:pPr>
        <w:pStyle w:val="28"/>
        <w:numPr>
          <w:ilvl w:val="0"/>
          <w:numId w:val="0"/>
        </w:numPr>
        <w:spacing w:line="600" w:lineRule="exact"/>
        <w:ind w:left="640" w:leftChars="0"/>
        <w:outlineLvl w:val="1"/>
        <w:rPr>
          <w:rStyle w:val="30"/>
          <w:rFonts w:ascii="黑体" w:hAnsi="黑体" w:eastAsia="黑体"/>
          <w:b w:val="0"/>
          <w:color w:val="auto"/>
          <w:highlight w:val="none"/>
        </w:rPr>
      </w:pPr>
      <w:bookmarkStart w:id="6" w:name="_Toc3322"/>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6"/>
    </w:p>
    <w:p w14:paraId="652F06CA">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1255.17</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相比，收、支总计各增加</w:t>
      </w:r>
      <w:r>
        <w:rPr>
          <w:rFonts w:hint="eastAsia" w:ascii="仿宋" w:hAnsi="仿宋" w:eastAsia="仿宋"/>
          <w:color w:val="auto"/>
          <w:sz w:val="32"/>
          <w:szCs w:val="32"/>
          <w:highlight w:val="none"/>
          <w:lang w:val="en-US" w:eastAsia="zh-CN"/>
        </w:rPr>
        <w:t>505.33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56.7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sz w:val="32"/>
          <w:szCs w:val="32"/>
        </w:rPr>
        <w:t>财政拨款在编人员绩效增加，科技</w:t>
      </w:r>
      <w:r>
        <w:rPr>
          <w:rFonts w:hint="eastAsia" w:ascii="仿宋_GB2312" w:hAnsi="仿宋" w:eastAsia="仿宋_GB2312" w:cs="仿宋"/>
          <w:color w:val="000000"/>
          <w:sz w:val="32"/>
          <w:szCs w:val="32"/>
        </w:rPr>
        <w:t>成果转化应用推广收入增加</w:t>
      </w:r>
      <w:r>
        <w:rPr>
          <w:rFonts w:hint="eastAsia" w:ascii="仿宋_GB2312" w:hAnsi="仿宋" w:eastAsia="仿宋_GB2312"/>
          <w:sz w:val="32"/>
          <w:szCs w:val="32"/>
        </w:rPr>
        <w:t>。</w:t>
      </w:r>
    </w:p>
    <w:p w14:paraId="72A83720">
      <w:pPr>
        <w:pStyle w:val="2"/>
        <w:rPr>
          <w:rFonts w:hint="eastAsia"/>
          <w:lang w:eastAsia="zh-CN"/>
        </w:rPr>
      </w:pPr>
      <w:r>
        <w:drawing>
          <wp:inline distT="0" distB="0" distL="114300" distR="114300">
            <wp:extent cx="4572000" cy="2743200"/>
            <wp:effectExtent l="4445" t="4445" r="14605" b="14605"/>
            <wp:docPr id="103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EAF4123">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16AA4ACC">
      <w:pPr>
        <w:spacing w:line="600" w:lineRule="exact"/>
        <w:ind w:firstLine="640" w:firstLineChars="200"/>
        <w:jc w:val="left"/>
        <w:rPr>
          <w:rFonts w:ascii="仿宋_GB2312" w:eastAsia="仿宋_GB2312"/>
          <w:color w:val="auto"/>
          <w:sz w:val="32"/>
          <w:szCs w:val="32"/>
          <w:highlight w:val="none"/>
        </w:rPr>
      </w:pPr>
    </w:p>
    <w:p w14:paraId="4660DDD5">
      <w:pPr>
        <w:pStyle w:val="28"/>
        <w:numPr>
          <w:ilvl w:val="0"/>
          <w:numId w:val="0"/>
        </w:numPr>
        <w:spacing w:line="600" w:lineRule="exact"/>
        <w:ind w:left="640" w:leftChars="0"/>
        <w:outlineLvl w:val="1"/>
        <w:rPr>
          <w:rStyle w:val="30"/>
          <w:rFonts w:ascii="黑体" w:hAnsi="黑体" w:eastAsia="黑体"/>
          <w:b w:val="0"/>
          <w:color w:val="auto"/>
          <w:highlight w:val="none"/>
        </w:rPr>
      </w:pPr>
      <w:bookmarkStart w:id="7" w:name="_Toc19147"/>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7"/>
    </w:p>
    <w:p w14:paraId="68E6BF73">
      <w:pPr>
        <w:spacing w:line="600" w:lineRule="exact"/>
        <w:ind w:firstLine="640" w:firstLineChars="200"/>
        <w:outlineLvl w:val="1"/>
        <w:rPr>
          <w:rFonts w:ascii="仿宋" w:hAnsi="仿宋" w:eastAsia="仿宋"/>
          <w:color w:val="auto"/>
          <w:sz w:val="32"/>
          <w:szCs w:val="32"/>
          <w:highlight w:val="none"/>
        </w:rPr>
      </w:pPr>
      <w:bookmarkStart w:id="8" w:name="_Toc5369"/>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本年收入合计</w:t>
      </w:r>
      <w:r>
        <w:rPr>
          <w:rFonts w:hint="eastAsia" w:ascii="仿宋" w:hAnsi="仿宋" w:eastAsia="仿宋"/>
          <w:color w:val="auto"/>
          <w:sz w:val="32"/>
          <w:szCs w:val="32"/>
          <w:highlight w:val="none"/>
          <w:lang w:val="en-US" w:eastAsia="zh-CN"/>
        </w:rPr>
        <w:t>1666.79</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896.03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53.8</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_GB2312" w:hAnsi="仿宋" w:eastAsia="仿宋_GB2312"/>
          <w:sz w:val="32"/>
          <w:szCs w:val="32"/>
        </w:rPr>
        <w:t>770.76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46.2</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8"/>
    </w:p>
    <w:p w14:paraId="246A2EF1">
      <w:pPr>
        <w:pStyle w:val="2"/>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w:t>
      </w:r>
    </w:p>
    <w:p w14:paraId="5B06F03B">
      <w:pPr>
        <w:pStyle w:val="2"/>
        <w:rPr>
          <w:rFonts w:hint="default" w:ascii="仿宋" w:hAnsi="仿宋" w:eastAsia="仿宋"/>
          <w:color w:val="auto"/>
          <w:sz w:val="32"/>
          <w:szCs w:val="32"/>
          <w:highlight w:val="none"/>
          <w:lang w:val="en-US" w:eastAsia="zh-CN"/>
        </w:rPr>
      </w:pPr>
      <w:r>
        <w:drawing>
          <wp:inline distT="0" distB="0" distL="114300" distR="114300">
            <wp:extent cx="4826000" cy="2743200"/>
            <wp:effectExtent l="4445" t="4445" r="8255" b="14605"/>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olor w:val="auto"/>
          <w:sz w:val="32"/>
          <w:szCs w:val="32"/>
          <w:highlight w:val="none"/>
          <w:lang w:val="en-US" w:eastAsia="zh-CN"/>
        </w:rPr>
        <w:t xml:space="preserve"> </w:t>
      </w:r>
    </w:p>
    <w:p w14:paraId="7A404AA3">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14:paraId="040309E8">
      <w:pPr>
        <w:spacing w:line="600" w:lineRule="exact"/>
        <w:ind w:firstLine="640" w:firstLineChars="200"/>
        <w:rPr>
          <w:rFonts w:ascii="仿宋_GB2312" w:eastAsia="仿宋_GB2312"/>
          <w:color w:val="auto"/>
          <w:sz w:val="32"/>
          <w:szCs w:val="32"/>
          <w:highlight w:val="none"/>
        </w:rPr>
      </w:pPr>
    </w:p>
    <w:p w14:paraId="7EB5532E">
      <w:pPr>
        <w:pStyle w:val="28"/>
        <w:numPr>
          <w:ilvl w:val="0"/>
          <w:numId w:val="0"/>
        </w:numPr>
        <w:spacing w:line="600" w:lineRule="exact"/>
        <w:ind w:left="640" w:leftChars="0"/>
        <w:outlineLvl w:val="1"/>
        <w:rPr>
          <w:rStyle w:val="30"/>
          <w:rFonts w:ascii="黑体" w:hAnsi="黑体" w:eastAsia="黑体"/>
          <w:b w:val="0"/>
          <w:color w:val="auto"/>
          <w:highlight w:val="none"/>
        </w:rPr>
      </w:pPr>
      <w:bookmarkStart w:id="9" w:name="_Toc26555"/>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9"/>
    </w:p>
    <w:p w14:paraId="25642D4F">
      <w:pPr>
        <w:spacing w:line="600" w:lineRule="exact"/>
        <w:ind w:firstLine="640" w:firstLineChars="200"/>
        <w:outlineLvl w:val="1"/>
        <w:rPr>
          <w:rFonts w:ascii="仿宋" w:hAnsi="仿宋" w:eastAsia="仿宋"/>
          <w:color w:val="auto"/>
          <w:sz w:val="32"/>
          <w:szCs w:val="32"/>
          <w:highlight w:val="none"/>
        </w:rPr>
      </w:pPr>
      <w:bookmarkStart w:id="10" w:name="_Toc26371"/>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本年支出合计</w:t>
      </w:r>
      <w:r>
        <w:rPr>
          <w:rFonts w:hint="eastAsia" w:ascii="仿宋_GB2312" w:hAnsi="仿宋" w:eastAsia="仿宋_GB2312"/>
          <w:sz w:val="32"/>
          <w:szCs w:val="32"/>
        </w:rPr>
        <w:t>1409.67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408.39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487.64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34.6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513.63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36.4</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10"/>
    </w:p>
    <w:p w14:paraId="7B4EE096">
      <w:pPr>
        <w:pStyle w:val="2"/>
        <w:ind w:left="0" w:leftChars="0" w:firstLine="0" w:firstLineChars="0"/>
        <w:rPr>
          <w:rFonts w:ascii="仿宋" w:hAnsi="仿宋" w:eastAsia="仿宋"/>
          <w:color w:val="auto"/>
          <w:sz w:val="32"/>
          <w:szCs w:val="32"/>
          <w:highlight w:val="none"/>
          <w:shd w:val="pct10" w:color="auto" w:fill="FFFFFF"/>
        </w:rPr>
      </w:pPr>
    </w:p>
    <w:p w14:paraId="50C8DC0A">
      <w:pPr>
        <w:pStyle w:val="2"/>
        <w:rPr>
          <w:rFonts w:ascii="仿宋" w:hAnsi="仿宋" w:eastAsia="仿宋"/>
          <w:color w:val="auto"/>
          <w:sz w:val="32"/>
          <w:szCs w:val="32"/>
          <w:highlight w:val="none"/>
          <w:shd w:val="pct10" w:color="auto" w:fill="FFFFFF"/>
        </w:rPr>
      </w:pPr>
      <w:r>
        <w:drawing>
          <wp:inline distT="0" distB="0" distL="114300" distR="114300">
            <wp:extent cx="4826000" cy="2743200"/>
            <wp:effectExtent l="4445" t="4445" r="825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7D7AA6">
      <w:pPr>
        <w:pStyle w:val="2"/>
      </w:pPr>
    </w:p>
    <w:p w14:paraId="1A054C71">
      <w:pPr>
        <w:spacing w:line="600" w:lineRule="exact"/>
        <w:ind w:firstLine="640" w:firstLineChars="200"/>
        <w:rPr>
          <w:rFonts w:ascii="仿宋" w:hAnsi="仿宋" w:eastAsia="仿宋"/>
          <w:color w:val="auto"/>
          <w:sz w:val="32"/>
          <w:szCs w:val="32"/>
          <w:highlight w:val="none"/>
        </w:rPr>
      </w:pPr>
      <w:bookmarkStart w:id="11" w:name="OLE_LINK18"/>
      <w:r>
        <w:rPr>
          <w:rFonts w:hint="eastAsia" w:ascii="仿宋" w:hAnsi="仿宋" w:eastAsia="仿宋"/>
          <w:color w:val="auto"/>
          <w:sz w:val="32"/>
          <w:szCs w:val="32"/>
          <w:highlight w:val="none"/>
        </w:rPr>
        <w:t>（图3：支出决算结构图）（饼状图）</w:t>
      </w:r>
      <w:bookmarkEnd w:id="11"/>
    </w:p>
    <w:p w14:paraId="34ABA472">
      <w:pPr>
        <w:spacing w:line="600" w:lineRule="exact"/>
        <w:ind w:firstLine="640" w:firstLineChars="200"/>
        <w:rPr>
          <w:rFonts w:ascii="仿宋_GB2312" w:eastAsia="仿宋_GB2312"/>
          <w:color w:val="auto"/>
          <w:sz w:val="32"/>
          <w:szCs w:val="32"/>
          <w:highlight w:val="none"/>
        </w:rPr>
      </w:pPr>
    </w:p>
    <w:p w14:paraId="0D8A819D">
      <w:pPr>
        <w:spacing w:line="600" w:lineRule="exact"/>
        <w:ind w:firstLine="640" w:firstLineChars="200"/>
        <w:outlineLvl w:val="1"/>
        <w:rPr>
          <w:rStyle w:val="30"/>
          <w:rFonts w:ascii="黑体" w:hAnsi="黑体" w:eastAsia="黑体"/>
          <w:b w:val="0"/>
          <w:color w:val="auto"/>
          <w:highlight w:val="none"/>
        </w:rPr>
      </w:pPr>
      <w:bookmarkStart w:id="12" w:name="_Toc8248"/>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12"/>
    </w:p>
    <w:p w14:paraId="4FE90213">
      <w:pPr>
        <w:spacing w:line="600" w:lineRule="exact"/>
        <w:ind w:firstLine="640"/>
        <w:rPr>
          <w:rFonts w:hint="eastAsia" w:ascii="仿宋" w:hAnsi="仿宋" w:eastAsia="仿宋_GB2312"/>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896.03</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相比，财政拨款收、支总计各增加</w:t>
      </w:r>
      <w:r>
        <w:rPr>
          <w:rFonts w:hint="eastAsia" w:ascii="仿宋" w:hAnsi="仿宋" w:eastAsia="仿宋"/>
          <w:color w:val="auto"/>
          <w:sz w:val="32"/>
          <w:szCs w:val="32"/>
          <w:highlight w:val="none"/>
          <w:lang w:val="en-US" w:eastAsia="zh-CN"/>
        </w:rPr>
        <w:t>120.66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15.6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bookmarkStart w:id="13" w:name="OLE_LINK3"/>
      <w:r>
        <w:rPr>
          <w:rFonts w:hint="eastAsia" w:ascii="仿宋_GB2312" w:hAnsi="仿宋" w:eastAsia="仿宋_GB2312" w:cs="仿宋"/>
          <w:color w:val="000000"/>
          <w:sz w:val="32"/>
          <w:szCs w:val="32"/>
        </w:rPr>
        <w:t>在编人员绩效工资增加和向科技厅申请项目经费增加</w:t>
      </w:r>
      <w:r>
        <w:rPr>
          <w:rFonts w:hint="eastAsia" w:ascii="仿宋_GB2312" w:hAnsi="仿宋" w:eastAsia="仿宋_GB2312" w:cs="仿宋"/>
          <w:color w:val="000000"/>
          <w:sz w:val="32"/>
          <w:szCs w:val="32"/>
          <w:lang w:eastAsia="zh-CN"/>
        </w:rPr>
        <w:t>。</w:t>
      </w:r>
    </w:p>
    <w:bookmarkEnd w:id="13"/>
    <w:p w14:paraId="16CEF5DC">
      <w:pPr>
        <w:spacing w:line="6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w:t>
      </w:r>
    </w:p>
    <w:p w14:paraId="4A29EE23">
      <w:pPr>
        <w:pStyle w:val="2"/>
        <w:rPr>
          <w:rFonts w:hint="eastAsia"/>
          <w:lang w:val="en-US" w:eastAsia="zh-CN"/>
        </w:rPr>
      </w:pPr>
      <w: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4F56B8">
      <w:pPr>
        <w:pStyle w:val="2"/>
        <w:rPr>
          <w:rFonts w:hint="default"/>
          <w:lang w:val="en-US" w:eastAsia="zh-CN"/>
        </w:rPr>
      </w:pPr>
    </w:p>
    <w:p w14:paraId="32FC760B">
      <w:pPr>
        <w:spacing w:line="600" w:lineRule="exact"/>
        <w:ind w:firstLine="640" w:firstLineChars="200"/>
        <w:rPr>
          <w:rFonts w:ascii="仿宋" w:hAnsi="仿宋" w:eastAsia="仿宋"/>
          <w:color w:val="auto"/>
          <w:sz w:val="32"/>
          <w:szCs w:val="32"/>
          <w:highlight w:val="none"/>
        </w:rPr>
      </w:pPr>
      <w:bookmarkStart w:id="14" w:name="OLE_LINK17"/>
      <w:r>
        <w:rPr>
          <w:rFonts w:hint="eastAsia" w:ascii="仿宋" w:hAnsi="仿宋" w:eastAsia="仿宋"/>
          <w:color w:val="auto"/>
          <w:sz w:val="32"/>
          <w:szCs w:val="32"/>
          <w:highlight w:val="none"/>
        </w:rPr>
        <w:t>（图4：财政拨款收、支决算总计变动情况）（柱状图）</w:t>
      </w:r>
    </w:p>
    <w:bookmarkEnd w:id="14"/>
    <w:p w14:paraId="5C3B599B">
      <w:pPr>
        <w:spacing w:line="600" w:lineRule="exact"/>
        <w:ind w:firstLine="640"/>
        <w:rPr>
          <w:rFonts w:ascii="仿宋" w:hAnsi="仿宋" w:eastAsia="仿宋"/>
          <w:b/>
          <w:color w:val="auto"/>
          <w:sz w:val="32"/>
          <w:szCs w:val="32"/>
          <w:highlight w:val="none"/>
        </w:rPr>
      </w:pPr>
    </w:p>
    <w:p w14:paraId="3B9241D3">
      <w:pPr>
        <w:spacing w:line="600" w:lineRule="exact"/>
        <w:ind w:firstLine="640" w:firstLineChars="200"/>
        <w:outlineLvl w:val="1"/>
        <w:rPr>
          <w:rStyle w:val="30"/>
          <w:rFonts w:ascii="黑体" w:hAnsi="黑体" w:eastAsia="黑体"/>
          <w:b w:val="0"/>
          <w:color w:val="auto"/>
          <w:highlight w:val="none"/>
        </w:rPr>
      </w:pPr>
      <w:bookmarkStart w:id="15" w:name="_Toc13922"/>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15"/>
    </w:p>
    <w:p w14:paraId="248BC73A">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（一）一般公共预算财政拨款支出决算总体情况</w:t>
      </w:r>
    </w:p>
    <w:p w14:paraId="1A1D2C90">
      <w:pPr>
        <w:spacing w:line="600" w:lineRule="exact"/>
        <w:ind w:firstLine="640"/>
        <w:rPr>
          <w:rFonts w:hint="eastAsia" w:ascii="仿宋_GB2312" w:hAnsi="仿宋" w:eastAsia="仿宋_GB2312" w:cs="仿宋"/>
          <w:color w:val="000000"/>
          <w:sz w:val="32"/>
          <w:szCs w:val="32"/>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896.03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63.6</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120.66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15.6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cs="仿宋"/>
          <w:color w:val="000000"/>
          <w:sz w:val="32"/>
          <w:szCs w:val="32"/>
        </w:rPr>
        <w:t>在编人员绩效工资增加和向科技厅申请项目经费增加</w:t>
      </w:r>
      <w:r>
        <w:rPr>
          <w:rFonts w:hint="eastAsia" w:ascii="仿宋_GB2312" w:hAnsi="仿宋" w:eastAsia="仿宋_GB2312" w:cs="仿宋"/>
          <w:color w:val="000000"/>
          <w:sz w:val="32"/>
          <w:szCs w:val="32"/>
          <w:lang w:eastAsia="zh-CN"/>
        </w:rPr>
        <w:t>。</w:t>
      </w:r>
    </w:p>
    <w:p w14:paraId="046387EB">
      <w:pPr>
        <w:pStyle w:val="2"/>
        <w:rPr>
          <w:rFonts w:hint="eastAsia" w:ascii="仿宋_GB2312" w:hAnsi="仿宋" w:eastAsia="仿宋_GB2312" w:cs="仿宋"/>
          <w:color w:val="000000"/>
          <w:sz w:val="32"/>
          <w:szCs w:val="32"/>
          <w:lang w:eastAsia="zh-CN"/>
        </w:rPr>
      </w:pPr>
    </w:p>
    <w:p w14:paraId="7AE342A7">
      <w:pPr>
        <w:pStyle w:val="2"/>
        <w:rPr>
          <w:rFonts w:hint="eastAsia" w:ascii="仿宋_GB2312" w:hAnsi="仿宋" w:eastAsia="仿宋_GB2312" w:cs="仿宋"/>
          <w:color w:val="000000"/>
          <w:sz w:val="32"/>
          <w:szCs w:val="32"/>
          <w:lang w:eastAsia="zh-CN"/>
        </w:rPr>
      </w:pPr>
      <w:r>
        <w:drawing>
          <wp:inline distT="0" distB="0" distL="114300" distR="114300">
            <wp:extent cx="4826000" cy="2743200"/>
            <wp:effectExtent l="4445" t="4445" r="8255" b="14605"/>
            <wp:docPr id="128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C3B339">
      <w:pPr>
        <w:spacing w:line="600" w:lineRule="exact"/>
        <w:ind w:firstLine="640"/>
        <w:rPr>
          <w:rFonts w:hint="eastAsia" w:ascii="仿宋_GB2312" w:hAnsi="仿宋" w:eastAsia="仿宋_GB2312" w:cs="仿宋"/>
          <w:color w:val="000000"/>
          <w:sz w:val="32"/>
          <w:szCs w:val="32"/>
          <w:lang w:eastAsia="zh-CN"/>
        </w:rPr>
      </w:pPr>
    </w:p>
    <w:p w14:paraId="6F4ACA0A">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14:paraId="4454FFEF">
      <w:pPr>
        <w:spacing w:line="600" w:lineRule="exact"/>
        <w:ind w:firstLine="640" w:firstLineChars="200"/>
        <w:rPr>
          <w:rFonts w:ascii="仿宋" w:hAnsi="仿宋" w:eastAsia="仿宋"/>
          <w:color w:val="auto"/>
          <w:sz w:val="32"/>
          <w:szCs w:val="32"/>
          <w:highlight w:val="none"/>
        </w:rPr>
      </w:pPr>
    </w:p>
    <w:p w14:paraId="09817BAD">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p>
    <w:p w14:paraId="1763C3E0">
      <w:pPr>
        <w:spacing w:line="600" w:lineRule="exact"/>
        <w:ind w:firstLine="640"/>
        <w:rPr>
          <w:rFonts w:hint="eastAsia" w:ascii="仿宋" w:hAnsi="仿宋" w:eastAsia="仿宋"/>
          <w:b/>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896.03</w:t>
      </w:r>
      <w:r>
        <w:rPr>
          <w:rFonts w:hint="eastAsia" w:ascii="仿宋" w:hAnsi="仿宋" w:eastAsia="仿宋"/>
          <w:color w:val="auto"/>
          <w:sz w:val="32"/>
          <w:szCs w:val="32"/>
          <w:highlight w:val="none"/>
        </w:rPr>
        <w:t>万元，主要用于以下方面</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lang w:eastAsia="zh-CN"/>
        </w:rPr>
        <w:t>教育</w:t>
      </w:r>
      <w:r>
        <w:rPr>
          <w:rFonts w:hint="eastAsia" w:ascii="仿宋" w:hAnsi="仿宋" w:eastAsia="仿宋"/>
          <w:b/>
          <w:color w:val="auto"/>
          <w:sz w:val="32"/>
          <w:szCs w:val="32"/>
          <w:highlight w:val="none"/>
        </w:rPr>
        <w:t>支出</w:t>
      </w:r>
      <w:r>
        <w:rPr>
          <w:rFonts w:hint="eastAsia" w:ascii="仿宋_GB2312" w:hAnsi="仿宋" w:eastAsia="仿宋_GB2312"/>
          <w:sz w:val="32"/>
          <w:szCs w:val="32"/>
          <w:lang w:val="en-US" w:eastAsia="zh-CN"/>
        </w:rPr>
        <w:t>2</w:t>
      </w:r>
      <w:r>
        <w:rPr>
          <w:rFonts w:hint="eastAsia" w:ascii="仿宋_GB2312" w:hAnsi="仿宋" w:eastAsia="仿宋_GB2312"/>
          <w:sz w:val="32"/>
          <w:szCs w:val="32"/>
        </w:rPr>
        <w:t>万</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_GB2312" w:hAnsi="仿宋" w:eastAsia="仿宋_GB2312"/>
          <w:sz w:val="32"/>
          <w:szCs w:val="32"/>
        </w:rPr>
        <w:t>553.25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61.8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_GB2312" w:hAnsi="仿宋" w:eastAsia="仿宋_GB2312"/>
          <w:sz w:val="32"/>
          <w:szCs w:val="32"/>
        </w:rPr>
        <w:t>209.01</w:t>
      </w:r>
      <w:r>
        <w:rPr>
          <w:rFonts w:hint="eastAsia" w:ascii="仿宋" w:hAnsi="仿宋" w:eastAsia="仿宋"/>
          <w:b/>
          <w:bCs/>
          <w:color w:val="auto"/>
          <w:sz w:val="32"/>
          <w:szCs w:val="32"/>
          <w:highlight w:val="none"/>
        </w:rPr>
        <w:t>万元，</w:t>
      </w:r>
      <w:r>
        <w:rPr>
          <w:rFonts w:hint="eastAsia" w:ascii="仿宋" w:hAnsi="仿宋" w:eastAsia="仿宋"/>
          <w:b w:val="0"/>
          <w:bCs w:val="0"/>
          <w:color w:val="auto"/>
          <w:sz w:val="32"/>
          <w:szCs w:val="32"/>
          <w:highlight w:val="none"/>
        </w:rPr>
        <w:t>占</w:t>
      </w:r>
      <w:r>
        <w:rPr>
          <w:rFonts w:hint="eastAsia" w:ascii="仿宋" w:hAnsi="仿宋" w:eastAsia="仿宋"/>
          <w:b w:val="0"/>
          <w:bCs w:val="0"/>
          <w:color w:val="auto"/>
          <w:sz w:val="32"/>
          <w:szCs w:val="32"/>
          <w:highlight w:val="none"/>
          <w:lang w:val="en-US" w:eastAsia="zh-CN"/>
        </w:rPr>
        <w:t>23.3</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_GB2312" w:hAnsi="仿宋" w:eastAsia="仿宋_GB2312"/>
          <w:sz w:val="32"/>
          <w:szCs w:val="32"/>
        </w:rPr>
        <w:t>83.43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_GB2312" w:hAnsi="仿宋" w:eastAsia="仿宋_GB2312"/>
          <w:sz w:val="32"/>
          <w:szCs w:val="32"/>
        </w:rPr>
        <w:t>18.28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_GB2312" w:hAnsi="仿宋" w:eastAsia="仿宋_GB2312"/>
          <w:sz w:val="32"/>
          <w:szCs w:val="32"/>
        </w:rPr>
        <w:t>30.07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（支出分项与支出合计有差异，是因为四舍五入的原因导致与决算公开报表数据一致。）</w:t>
      </w:r>
    </w:p>
    <w:p w14:paraId="22717BFB">
      <w:pPr>
        <w:spacing w:line="600" w:lineRule="exact"/>
        <w:ind w:firstLine="640"/>
        <w:rPr>
          <w:rFonts w:ascii="仿宋" w:hAnsi="仿宋" w:eastAsia="仿宋"/>
          <w:color w:val="auto"/>
          <w:sz w:val="32"/>
          <w:szCs w:val="32"/>
          <w:highlight w:val="none"/>
        </w:rPr>
      </w:pPr>
    </w:p>
    <w:p w14:paraId="16C88749">
      <w:pPr>
        <w:pStyle w:val="2"/>
        <w:rPr>
          <w:rFonts w:ascii="仿宋" w:hAnsi="仿宋" w:eastAsia="仿宋"/>
          <w:color w:val="auto"/>
          <w:sz w:val="32"/>
          <w:szCs w:val="32"/>
          <w:highlight w:val="none"/>
        </w:rPr>
      </w:pPr>
    </w:p>
    <w:p w14:paraId="6533748E">
      <w:pPr>
        <w:pStyle w:val="2"/>
        <w:ind w:left="0" w:leftChars="0" w:firstLine="0" w:firstLineChars="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w:t>
      </w:r>
      <w:r>
        <w:drawing>
          <wp:inline distT="0" distB="0" distL="114300" distR="114300">
            <wp:extent cx="4600575" cy="3181350"/>
            <wp:effectExtent l="5080" t="5080" r="4445" b="13970"/>
            <wp:docPr id="1064"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9967C9">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14:paraId="7BF62B34">
      <w:pPr>
        <w:spacing w:line="600" w:lineRule="exact"/>
        <w:ind w:firstLine="640" w:firstLineChars="200"/>
        <w:rPr>
          <w:rFonts w:ascii="仿宋" w:hAnsi="仿宋" w:eastAsia="仿宋"/>
          <w:color w:val="auto"/>
          <w:sz w:val="32"/>
          <w:szCs w:val="32"/>
          <w:highlight w:val="none"/>
        </w:rPr>
      </w:pPr>
    </w:p>
    <w:p w14:paraId="482896F4">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p>
    <w:p w14:paraId="2D68D457">
      <w:pPr>
        <w:spacing w:line="600" w:lineRule="exact"/>
        <w:ind w:firstLine="643" w:firstLineChars="200"/>
        <w:outlineLvl w:val="1"/>
        <w:rPr>
          <w:rFonts w:ascii="仿宋" w:hAnsi="仿宋" w:eastAsia="仿宋"/>
          <w:color w:val="auto"/>
          <w:sz w:val="32"/>
          <w:szCs w:val="32"/>
          <w:highlight w:val="none"/>
        </w:rPr>
      </w:pPr>
      <w:bookmarkStart w:id="16" w:name="_Toc14776"/>
      <w:r>
        <w:rPr>
          <w:rFonts w:hint="eastAsia" w:ascii="仿宋" w:hAnsi="仿宋" w:eastAsia="仿宋"/>
          <w:b/>
          <w:color w:val="auto"/>
          <w:sz w:val="32"/>
          <w:szCs w:val="32"/>
          <w:highlight w:val="none"/>
          <w:lang w:eastAsia="zh-CN"/>
        </w:rPr>
        <w:t>2023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度一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896.03万元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16"/>
    </w:p>
    <w:p w14:paraId="45DD15FE">
      <w:pPr>
        <w:spacing w:line="600" w:lineRule="exact"/>
        <w:ind w:firstLine="643" w:firstLineChars="200"/>
        <w:rPr>
          <w:rFonts w:ascii="仿宋" w:hAnsi="仿宋" w:eastAsia="仿宋"/>
          <w:b/>
          <w:color w:val="auto"/>
          <w:sz w:val="32"/>
          <w:szCs w:val="32"/>
          <w:highlight w:val="none"/>
        </w:rPr>
      </w:pPr>
      <w:bookmarkStart w:id="17" w:name="OLE_LINK12"/>
      <w:r>
        <w:rPr>
          <w:rStyle w:val="18"/>
          <w:rFonts w:hint="eastAsia" w:ascii="仿宋" w:hAnsi="仿宋" w:eastAsia="仿宋"/>
          <w:bCs/>
          <w:color w:val="auto"/>
          <w:sz w:val="32"/>
          <w:szCs w:val="32"/>
          <w:highlight w:val="none"/>
          <w:lang w:val="en-US" w:eastAsia="zh-CN"/>
        </w:rPr>
        <w:t>1</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教育（类）</w:t>
      </w:r>
      <w:r>
        <w:rPr>
          <w:rStyle w:val="18"/>
          <w:rFonts w:hint="eastAsia" w:ascii="仿宋" w:hAnsi="仿宋" w:eastAsia="仿宋"/>
          <w:bCs/>
          <w:color w:val="auto"/>
          <w:sz w:val="32"/>
          <w:szCs w:val="32"/>
          <w:highlight w:val="none"/>
          <w:lang w:eastAsia="zh-CN"/>
        </w:rPr>
        <w:t>进修及培训</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eastAsia="zh-CN"/>
        </w:rPr>
        <w:t>培训支出</w:t>
      </w:r>
      <w:r>
        <w:rPr>
          <w:rStyle w:val="18"/>
          <w:rFonts w:hint="eastAsia" w:ascii="仿宋" w:hAnsi="仿宋" w:eastAsia="仿宋"/>
          <w:bCs/>
          <w:color w:val="auto"/>
          <w:sz w:val="32"/>
          <w:szCs w:val="32"/>
          <w:highlight w:val="none"/>
        </w:rPr>
        <w:t>（项）</w:t>
      </w:r>
      <w:bookmarkEnd w:id="17"/>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lang w:eastAsia="zh-CN"/>
        </w:rPr>
        <w:t>支</w:t>
      </w:r>
      <w:r>
        <w:rPr>
          <w:rStyle w:val="18"/>
          <w:rFonts w:hint="eastAsia" w:ascii="仿宋" w:hAnsi="仿宋" w:eastAsia="仿宋"/>
          <w:b w:val="0"/>
          <w:bCs/>
          <w:color w:val="auto"/>
          <w:sz w:val="32"/>
          <w:szCs w:val="32"/>
          <w:highlight w:val="none"/>
        </w:rPr>
        <w:t>出决算为</w:t>
      </w:r>
      <w:r>
        <w:rPr>
          <w:rStyle w:val="18"/>
          <w:rFonts w:hint="eastAsia" w:ascii="仿宋" w:hAnsi="仿宋" w:eastAsia="仿宋"/>
          <w:b w:val="0"/>
          <w:bCs/>
          <w:color w:val="auto"/>
          <w:sz w:val="32"/>
          <w:szCs w:val="32"/>
          <w:highlight w:val="none"/>
          <w:lang w:val="en-US" w:eastAsia="zh-CN"/>
        </w:rPr>
        <w:t>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33EDACC5">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2</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科学技术（类）</w:t>
      </w:r>
      <w:r>
        <w:rPr>
          <w:rStyle w:val="18"/>
          <w:rFonts w:hint="eastAsia" w:ascii="仿宋_GB2312" w:hAnsi="仿宋_GB2312" w:eastAsia="仿宋_GB2312" w:cs="仿宋_GB2312"/>
          <w:bCs/>
          <w:sz w:val="32"/>
          <w:szCs w:val="32"/>
        </w:rPr>
        <w:t>应用研究</w:t>
      </w:r>
      <w:r>
        <w:rPr>
          <w:rStyle w:val="18"/>
          <w:rFonts w:hint="eastAsia" w:ascii="仿宋" w:hAnsi="仿宋" w:eastAsia="仿宋"/>
          <w:bCs/>
          <w:color w:val="auto"/>
          <w:sz w:val="32"/>
          <w:szCs w:val="32"/>
          <w:highlight w:val="none"/>
        </w:rPr>
        <w:t>（款）</w:t>
      </w:r>
      <w:r>
        <w:rPr>
          <w:rStyle w:val="18"/>
          <w:rFonts w:hint="eastAsia" w:ascii="仿宋_GB2312" w:hAnsi="仿宋_GB2312" w:eastAsia="仿宋_GB2312" w:cs="仿宋_GB2312"/>
          <w:bCs/>
          <w:sz w:val="32"/>
          <w:szCs w:val="32"/>
        </w:rPr>
        <w:t>机构运行</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275.65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221FB9DC">
      <w:pPr>
        <w:spacing w:line="600" w:lineRule="exact"/>
        <w:ind w:firstLine="643" w:firstLineChars="200"/>
        <w:rPr>
          <w:rStyle w:val="18"/>
          <w:rFonts w:hint="eastAsia" w:ascii="仿宋" w:hAnsi="仿宋" w:eastAsia="仿宋"/>
          <w:b w:val="0"/>
          <w:bCs/>
          <w:color w:val="auto"/>
          <w:sz w:val="32"/>
          <w:szCs w:val="32"/>
          <w:highlight w:val="none"/>
        </w:rPr>
      </w:pPr>
      <w:bookmarkStart w:id="18" w:name="OLE_LINK13"/>
      <w:r>
        <w:rPr>
          <w:rStyle w:val="18"/>
          <w:rFonts w:hint="eastAsia" w:ascii="仿宋" w:hAnsi="仿宋" w:eastAsia="仿宋"/>
          <w:bCs/>
          <w:color w:val="auto"/>
          <w:sz w:val="32"/>
          <w:szCs w:val="32"/>
          <w:highlight w:val="none"/>
          <w:lang w:val="en-US" w:eastAsia="zh-CN"/>
        </w:rPr>
        <w:t>3</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科学技术（类）</w:t>
      </w:r>
      <w:r>
        <w:rPr>
          <w:rStyle w:val="18"/>
          <w:rFonts w:hint="eastAsia" w:ascii="仿宋" w:hAnsi="仿宋" w:eastAsia="仿宋"/>
          <w:bCs/>
          <w:color w:val="auto"/>
          <w:sz w:val="32"/>
          <w:szCs w:val="32"/>
          <w:highlight w:val="none"/>
          <w:lang w:eastAsia="zh-CN"/>
        </w:rPr>
        <w:t>科技条件与服务</w:t>
      </w:r>
      <w:r>
        <w:rPr>
          <w:rStyle w:val="18"/>
          <w:rFonts w:hint="eastAsia" w:ascii="仿宋" w:hAnsi="仿宋" w:eastAsia="仿宋"/>
          <w:bCs/>
          <w:color w:val="auto"/>
          <w:sz w:val="32"/>
          <w:szCs w:val="32"/>
          <w:highlight w:val="none"/>
        </w:rPr>
        <w:t>（款）</w:t>
      </w:r>
      <w:r>
        <w:rPr>
          <w:rStyle w:val="18"/>
          <w:rFonts w:hint="eastAsia" w:ascii="仿宋_GB2312" w:hAnsi="仿宋_GB2312" w:eastAsia="仿宋_GB2312" w:cs="仿宋_GB2312"/>
          <w:bCs/>
          <w:sz w:val="32"/>
          <w:szCs w:val="32"/>
        </w:rPr>
        <w:t>机构运行</w:t>
      </w:r>
      <w:r>
        <w:rPr>
          <w:rStyle w:val="18"/>
          <w:rFonts w:hint="eastAsia" w:ascii="仿宋" w:hAnsi="仿宋" w:eastAsia="仿宋"/>
          <w:bCs/>
          <w:color w:val="auto"/>
          <w:sz w:val="32"/>
          <w:szCs w:val="32"/>
          <w:highlight w:val="none"/>
        </w:rPr>
        <w:t>（项）</w:t>
      </w:r>
      <w:bookmarkEnd w:id="18"/>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107.6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034FD8AA">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4</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科学技术（类）</w:t>
      </w:r>
      <w:bookmarkStart w:id="19" w:name="OLE_LINK10"/>
      <w:r>
        <w:rPr>
          <w:rStyle w:val="18"/>
          <w:rFonts w:hint="eastAsia" w:ascii="仿宋" w:hAnsi="仿宋" w:eastAsia="仿宋"/>
          <w:bCs/>
          <w:color w:val="auto"/>
          <w:sz w:val="32"/>
          <w:szCs w:val="32"/>
          <w:highlight w:val="none"/>
          <w:lang w:eastAsia="zh-CN"/>
        </w:rPr>
        <w:t>其他科学技术支出</w:t>
      </w:r>
      <w:bookmarkEnd w:id="19"/>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eastAsia="zh-CN"/>
        </w:rPr>
        <w:t>其他科学技术支出</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170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5CF40F61">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5</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文化旅游体育与传媒（类）</w:t>
      </w:r>
      <w:r>
        <w:rPr>
          <w:rStyle w:val="18"/>
          <w:rFonts w:hint="eastAsia" w:ascii="仿宋_GB2312" w:hAnsi="仿宋_GB2312" w:eastAsia="仿宋_GB2312" w:cs="仿宋_GB2312"/>
          <w:bCs/>
          <w:sz w:val="32"/>
          <w:szCs w:val="32"/>
        </w:rPr>
        <w:t>广播电视</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eastAsia="zh-CN"/>
        </w:rPr>
        <w:t>其他</w:t>
      </w:r>
      <w:r>
        <w:rPr>
          <w:rStyle w:val="18"/>
          <w:rFonts w:hint="eastAsia" w:ascii="仿宋_GB2312" w:hAnsi="仿宋_GB2312" w:eastAsia="仿宋_GB2312" w:cs="仿宋_GB2312"/>
          <w:bCs/>
          <w:sz w:val="32"/>
          <w:szCs w:val="32"/>
        </w:rPr>
        <w:t>广播电视</w:t>
      </w:r>
      <w:r>
        <w:rPr>
          <w:rStyle w:val="18"/>
          <w:rFonts w:hint="eastAsia" w:ascii="仿宋_GB2312" w:hAnsi="仿宋_GB2312" w:eastAsia="仿宋_GB2312" w:cs="仿宋_GB2312"/>
          <w:bCs/>
          <w:sz w:val="32"/>
          <w:szCs w:val="32"/>
          <w:lang w:eastAsia="zh-CN"/>
        </w:rPr>
        <w:t>支出</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209.01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3D5A4C04">
      <w:pPr>
        <w:spacing w:line="600" w:lineRule="exact"/>
        <w:ind w:firstLine="643" w:firstLineChars="200"/>
        <w:rPr>
          <w:rStyle w:val="18"/>
          <w:rFonts w:hint="eastAsia" w:ascii="仿宋" w:hAnsi="仿宋" w:eastAsia="仿宋"/>
          <w:b w:val="0"/>
          <w:bCs/>
          <w:color w:val="auto"/>
          <w:sz w:val="32"/>
          <w:szCs w:val="32"/>
          <w:highlight w:val="none"/>
        </w:rPr>
      </w:pPr>
      <w:bookmarkStart w:id="20" w:name="OLE_LINK15"/>
      <w:bookmarkStart w:id="21" w:name="OLE_LINK4"/>
      <w:r>
        <w:rPr>
          <w:rStyle w:val="18"/>
          <w:rFonts w:hint="eastAsia" w:ascii="仿宋" w:hAnsi="仿宋" w:eastAsia="仿宋"/>
          <w:bCs/>
          <w:color w:val="auto"/>
          <w:sz w:val="32"/>
          <w:szCs w:val="32"/>
          <w:highlight w:val="none"/>
          <w:lang w:val="en-US" w:eastAsia="zh-CN"/>
        </w:rPr>
        <w:t>6</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社会保障和就业（类）</w:t>
      </w:r>
      <w:r>
        <w:rPr>
          <w:rStyle w:val="18"/>
          <w:rFonts w:hint="eastAsia" w:ascii="仿宋_GB2312" w:hAnsi="仿宋_GB2312" w:eastAsia="仿宋_GB2312" w:cs="仿宋_GB2312"/>
          <w:bCs/>
          <w:sz w:val="32"/>
          <w:szCs w:val="32"/>
        </w:rPr>
        <w:t>行政事业单位养老支出</w:t>
      </w:r>
      <w:r>
        <w:rPr>
          <w:rStyle w:val="18"/>
          <w:rFonts w:hint="eastAsia" w:ascii="仿宋" w:hAnsi="仿宋" w:eastAsia="仿宋"/>
          <w:bCs/>
          <w:color w:val="auto"/>
          <w:sz w:val="32"/>
          <w:szCs w:val="32"/>
          <w:highlight w:val="none"/>
        </w:rPr>
        <w:t>（款）</w:t>
      </w:r>
      <w:r>
        <w:rPr>
          <w:rStyle w:val="18"/>
          <w:rFonts w:hint="eastAsia" w:ascii="仿宋_GB2312" w:hAnsi="仿宋_GB2312" w:eastAsia="仿宋_GB2312" w:cs="仿宋_GB2312"/>
          <w:bCs/>
          <w:sz w:val="32"/>
          <w:szCs w:val="32"/>
        </w:rPr>
        <w:t>事业单位</w:t>
      </w:r>
      <w:r>
        <w:rPr>
          <w:rStyle w:val="18"/>
          <w:rFonts w:hint="eastAsia" w:ascii="仿宋_GB2312" w:hAnsi="仿宋_GB2312" w:eastAsia="仿宋_GB2312" w:cs="仿宋_GB2312"/>
          <w:bCs/>
          <w:sz w:val="32"/>
          <w:szCs w:val="32"/>
          <w:lang w:eastAsia="zh-CN"/>
        </w:rPr>
        <w:t>离退休</w:t>
      </w:r>
      <w:r>
        <w:rPr>
          <w:rStyle w:val="18"/>
          <w:rFonts w:hint="eastAsia" w:ascii="仿宋" w:hAnsi="仿宋" w:eastAsia="仿宋"/>
          <w:bCs/>
          <w:color w:val="auto"/>
          <w:sz w:val="32"/>
          <w:szCs w:val="32"/>
          <w:highlight w:val="none"/>
        </w:rPr>
        <w:t>（项）</w:t>
      </w:r>
      <w:bookmarkEnd w:id="20"/>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34.2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bookmarkEnd w:id="21"/>
    </w:p>
    <w:p w14:paraId="3FD29213">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7</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社会保障和就业（类）</w:t>
      </w:r>
      <w:r>
        <w:rPr>
          <w:rStyle w:val="18"/>
          <w:rFonts w:hint="eastAsia" w:ascii="仿宋_GB2312" w:hAnsi="仿宋_GB2312" w:eastAsia="仿宋_GB2312" w:cs="仿宋_GB2312"/>
          <w:bCs/>
          <w:sz w:val="32"/>
          <w:szCs w:val="32"/>
        </w:rPr>
        <w:t>行政事业单位养老支出</w:t>
      </w:r>
      <w:r>
        <w:rPr>
          <w:rStyle w:val="18"/>
          <w:rFonts w:hint="eastAsia" w:ascii="仿宋" w:hAnsi="仿宋" w:eastAsia="仿宋"/>
          <w:bCs/>
          <w:color w:val="auto"/>
          <w:sz w:val="32"/>
          <w:szCs w:val="32"/>
          <w:highlight w:val="none"/>
        </w:rPr>
        <w:t>（款）</w:t>
      </w:r>
      <w:r>
        <w:rPr>
          <w:rStyle w:val="18"/>
          <w:rFonts w:hint="eastAsia" w:ascii="仿宋_GB2312" w:hAnsi="仿宋_GB2312" w:eastAsia="仿宋_GB2312" w:cs="仿宋_GB2312"/>
          <w:bCs/>
          <w:sz w:val="32"/>
          <w:szCs w:val="32"/>
        </w:rPr>
        <w:t>机关事业单位基本养老保险缴费支出</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31.10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0C391684">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8</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社会保障和就业（类）</w:t>
      </w:r>
      <w:r>
        <w:rPr>
          <w:rStyle w:val="18"/>
          <w:rFonts w:hint="eastAsia" w:ascii="仿宋_GB2312" w:hAnsi="仿宋_GB2312" w:eastAsia="仿宋_GB2312" w:cs="仿宋_GB2312"/>
          <w:bCs/>
          <w:sz w:val="32"/>
          <w:szCs w:val="32"/>
        </w:rPr>
        <w:t>行政事业单位养老支出</w:t>
      </w:r>
      <w:r>
        <w:rPr>
          <w:rStyle w:val="18"/>
          <w:rFonts w:hint="eastAsia" w:ascii="仿宋" w:hAnsi="仿宋" w:eastAsia="仿宋"/>
          <w:bCs/>
          <w:color w:val="auto"/>
          <w:sz w:val="32"/>
          <w:szCs w:val="32"/>
          <w:highlight w:val="none"/>
        </w:rPr>
        <w:t>（款）</w:t>
      </w:r>
      <w:bookmarkStart w:id="22" w:name="OLE_LINK7"/>
      <w:r>
        <w:rPr>
          <w:rStyle w:val="18"/>
          <w:rFonts w:hint="eastAsia" w:ascii="仿宋_GB2312" w:hAnsi="仿宋_GB2312" w:eastAsia="仿宋_GB2312" w:cs="仿宋_GB2312"/>
          <w:bCs/>
          <w:sz w:val="32"/>
          <w:szCs w:val="32"/>
        </w:rPr>
        <w:t>机关事业单位职业年金缴费支出</w:t>
      </w:r>
      <w:bookmarkEnd w:id="22"/>
      <w:r>
        <w:rPr>
          <w:rStyle w:val="18"/>
          <w:rFonts w:hint="eastAsia" w:ascii="仿宋" w:hAnsi="仿宋" w:eastAsia="仿宋"/>
          <w:bCs/>
          <w:color w:val="auto"/>
          <w:sz w:val="32"/>
          <w:szCs w:val="32"/>
          <w:highlight w:val="none"/>
        </w:rPr>
        <w:t>（项）</w:t>
      </w:r>
      <w:bookmarkStart w:id="23" w:name="OLE_LINK5"/>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15.55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bookmarkEnd w:id="23"/>
    </w:p>
    <w:p w14:paraId="521AB43B">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9.社会保障和就业支出（类）</w:t>
      </w:r>
      <w:bookmarkStart w:id="24" w:name="OLE_LINK9"/>
      <w:r>
        <w:rPr>
          <w:rStyle w:val="18"/>
          <w:rFonts w:hint="eastAsia" w:ascii="仿宋_GB2312" w:hAnsi="仿宋_GB2312" w:eastAsia="仿宋_GB2312" w:cs="仿宋_GB2312"/>
          <w:bCs/>
          <w:color w:val="auto"/>
          <w:sz w:val="32"/>
          <w:szCs w:val="32"/>
          <w:highlight w:val="none"/>
          <w:lang w:val="en-US" w:eastAsia="zh-CN"/>
        </w:rPr>
        <w:t>其他</w:t>
      </w:r>
      <w:bookmarkStart w:id="25" w:name="OLE_LINK8"/>
      <w:r>
        <w:rPr>
          <w:rStyle w:val="18"/>
          <w:rFonts w:hint="eastAsia" w:ascii="仿宋_GB2312" w:hAnsi="仿宋_GB2312" w:eastAsia="仿宋_GB2312" w:cs="仿宋_GB2312"/>
          <w:bCs/>
          <w:color w:val="auto"/>
          <w:sz w:val="32"/>
          <w:szCs w:val="32"/>
          <w:highlight w:val="none"/>
          <w:lang w:val="en-US" w:eastAsia="zh-CN"/>
        </w:rPr>
        <w:t>社会保障和就业支出</w:t>
      </w:r>
      <w:bookmarkEnd w:id="24"/>
      <w:bookmarkEnd w:id="25"/>
      <w:r>
        <w:rPr>
          <w:rStyle w:val="18"/>
          <w:rFonts w:hint="eastAsia" w:ascii="仿宋_GB2312" w:hAnsi="仿宋_GB2312" w:eastAsia="仿宋_GB2312" w:cs="仿宋_GB2312"/>
          <w:bCs/>
          <w:color w:val="auto"/>
          <w:sz w:val="32"/>
          <w:szCs w:val="32"/>
          <w:highlight w:val="none"/>
          <w:lang w:val="en-US" w:eastAsia="zh-CN"/>
        </w:rPr>
        <w:t>（款）其他社会保障和就业支出（项）：</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2.58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640D523F">
      <w:pPr>
        <w:numPr>
          <w:ilvl w:val="0"/>
          <w:numId w:val="0"/>
        </w:numPr>
        <w:spacing w:line="600" w:lineRule="exact"/>
        <w:ind w:firstLine="643" w:firstLineChars="200"/>
        <w:rPr>
          <w:rStyle w:val="18"/>
          <w:rFonts w:hint="eastAsia" w:ascii="仿宋" w:hAnsi="仿宋" w:eastAsia="仿宋"/>
          <w:b w:val="0"/>
          <w:bCs/>
          <w:color w:val="auto"/>
          <w:sz w:val="32"/>
          <w:szCs w:val="32"/>
          <w:highlight w:val="none"/>
        </w:rPr>
      </w:pPr>
      <w:r>
        <w:rPr>
          <w:rFonts w:hint="eastAsia" w:ascii="仿宋" w:hAnsi="仿宋" w:eastAsia="仿宋"/>
          <w:b/>
          <w:bCs/>
          <w:color w:val="auto"/>
          <w:sz w:val="32"/>
          <w:szCs w:val="32"/>
          <w:highlight w:val="none"/>
          <w:lang w:val="en-US" w:eastAsia="zh-CN"/>
        </w:rPr>
        <w:t>10.</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w:t>
      </w:r>
      <w:r>
        <w:rPr>
          <w:rStyle w:val="18"/>
          <w:rFonts w:hint="eastAsia" w:ascii="仿宋_GB2312" w:hAnsi="仿宋_GB2312" w:eastAsia="仿宋_GB2312" w:cs="仿宋_GB2312"/>
          <w:bCs/>
          <w:color w:val="auto"/>
          <w:sz w:val="32"/>
          <w:szCs w:val="32"/>
          <w:highlight w:val="none"/>
          <w:lang w:val="en-US" w:eastAsia="zh-CN"/>
        </w:rPr>
        <w:t>行政事业单位医疗</w:t>
      </w:r>
      <w:r>
        <w:rPr>
          <w:rStyle w:val="18"/>
          <w:rFonts w:hint="eastAsia" w:ascii="仿宋" w:hAnsi="仿宋" w:eastAsia="仿宋"/>
          <w:bCs/>
          <w:color w:val="auto"/>
          <w:sz w:val="32"/>
          <w:szCs w:val="32"/>
          <w:highlight w:val="none"/>
        </w:rPr>
        <w:t>（款）</w:t>
      </w:r>
      <w:r>
        <w:rPr>
          <w:rStyle w:val="18"/>
          <w:rFonts w:hint="eastAsia" w:ascii="仿宋_GB2312" w:hAnsi="仿宋_GB2312" w:eastAsia="仿宋_GB2312" w:cs="仿宋_GB2312"/>
          <w:bCs/>
          <w:color w:val="auto"/>
          <w:sz w:val="32"/>
          <w:szCs w:val="32"/>
          <w:highlight w:val="none"/>
          <w:lang w:val="en-US" w:eastAsia="zh-CN"/>
        </w:rPr>
        <w:t>事业单位医疗</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18.28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3E6D653D">
      <w:pPr>
        <w:numPr>
          <w:ilvl w:val="0"/>
          <w:numId w:val="0"/>
        </w:numPr>
        <w:spacing w:line="600" w:lineRule="exact"/>
        <w:ind w:firstLine="643" w:firstLineChars="200"/>
        <w:rPr>
          <w:rStyle w:val="18"/>
          <w:rFonts w:hint="eastAsia" w:ascii="仿宋_GB2312" w:hAnsi="仿宋_GB2312" w:eastAsia="仿宋_GB2312" w:cs="仿宋_GB2312"/>
          <w:b w:val="0"/>
          <w:bCs w:val="0"/>
          <w:color w:val="auto"/>
          <w:sz w:val="32"/>
          <w:szCs w:val="32"/>
          <w:highlight w:val="none"/>
          <w:lang w:val="en-US" w:eastAsia="zh-CN"/>
        </w:rPr>
      </w:pPr>
      <w:r>
        <w:rPr>
          <w:rStyle w:val="18"/>
          <w:rFonts w:hint="eastAsia" w:ascii="仿宋_GB2312" w:hAnsi="仿宋_GB2312" w:eastAsia="仿宋_GB2312" w:cs="仿宋_GB2312"/>
          <w:bCs/>
          <w:color w:val="auto"/>
          <w:sz w:val="32"/>
          <w:szCs w:val="32"/>
          <w:highlight w:val="none"/>
          <w:lang w:val="en-US" w:eastAsia="zh-CN"/>
        </w:rPr>
        <w:t>11.住房保障支出（类）</w:t>
      </w:r>
      <w:bookmarkStart w:id="26" w:name="OLE_LINK14"/>
      <w:r>
        <w:rPr>
          <w:rStyle w:val="18"/>
          <w:rFonts w:hint="eastAsia" w:ascii="仿宋_GB2312" w:hAnsi="仿宋_GB2312" w:eastAsia="仿宋_GB2312" w:cs="仿宋_GB2312"/>
          <w:bCs/>
          <w:color w:val="auto"/>
          <w:sz w:val="32"/>
          <w:szCs w:val="32"/>
          <w:highlight w:val="none"/>
          <w:lang w:val="en-US" w:eastAsia="zh-CN"/>
        </w:rPr>
        <w:t>住房改革支出</w:t>
      </w:r>
      <w:bookmarkEnd w:id="26"/>
      <w:r>
        <w:rPr>
          <w:rStyle w:val="18"/>
          <w:rFonts w:hint="eastAsia" w:ascii="仿宋_GB2312" w:hAnsi="仿宋_GB2312" w:eastAsia="仿宋_GB2312" w:cs="仿宋_GB2312"/>
          <w:bCs/>
          <w:color w:val="auto"/>
          <w:sz w:val="32"/>
          <w:szCs w:val="32"/>
          <w:highlight w:val="none"/>
          <w:lang w:val="en-US" w:eastAsia="zh-CN"/>
        </w:rPr>
        <w:t>（款）住房公积金（项）：</w:t>
      </w:r>
      <w:r>
        <w:rPr>
          <w:rStyle w:val="18"/>
          <w:rFonts w:hint="eastAsia" w:ascii="仿宋_GB2312" w:hAnsi="仿宋_GB2312" w:eastAsia="仿宋_GB2312" w:cs="仿宋_GB2312"/>
          <w:b w:val="0"/>
          <w:bCs w:val="0"/>
          <w:color w:val="auto"/>
          <w:sz w:val="32"/>
          <w:szCs w:val="32"/>
          <w:highlight w:val="none"/>
          <w:lang w:val="en-US" w:eastAsia="zh-CN"/>
        </w:rPr>
        <w:t>支出决算为23.44万元，完成预算100%。</w:t>
      </w:r>
    </w:p>
    <w:p w14:paraId="50D3A8B1">
      <w:pPr>
        <w:numPr>
          <w:ilvl w:val="0"/>
          <w:numId w:val="0"/>
        </w:numPr>
        <w:spacing w:line="600" w:lineRule="exact"/>
        <w:ind w:firstLine="643" w:firstLineChars="200"/>
        <w:rPr>
          <w:rFonts w:ascii="仿宋" w:hAnsi="仿宋" w:eastAsia="仿宋"/>
          <w:color w:val="auto"/>
          <w:sz w:val="32"/>
          <w:szCs w:val="32"/>
          <w:highlight w:val="none"/>
        </w:rPr>
      </w:pPr>
      <w:bookmarkStart w:id="27" w:name="OLE_LINK16"/>
      <w:r>
        <w:rPr>
          <w:rStyle w:val="18"/>
          <w:rFonts w:hint="eastAsia" w:ascii="仿宋_GB2312" w:hAnsi="仿宋_GB2312" w:eastAsia="仿宋_GB2312" w:cs="仿宋_GB2312"/>
          <w:bCs/>
          <w:color w:val="auto"/>
          <w:sz w:val="32"/>
          <w:szCs w:val="32"/>
          <w:highlight w:val="none"/>
          <w:lang w:val="en-US" w:eastAsia="zh-CN"/>
        </w:rPr>
        <w:t>12.住房保障支出（类）</w:t>
      </w:r>
      <w:bookmarkStart w:id="28" w:name="OLE_LINK6"/>
      <w:r>
        <w:rPr>
          <w:rStyle w:val="18"/>
          <w:rFonts w:hint="eastAsia" w:ascii="仿宋_GB2312" w:hAnsi="仿宋_GB2312" w:eastAsia="仿宋_GB2312" w:cs="仿宋_GB2312"/>
          <w:bCs/>
          <w:color w:val="auto"/>
          <w:sz w:val="32"/>
          <w:szCs w:val="32"/>
          <w:highlight w:val="none"/>
          <w:lang w:val="en-US" w:eastAsia="zh-CN"/>
        </w:rPr>
        <w:t>城乡社区住宅</w:t>
      </w:r>
      <w:bookmarkEnd w:id="28"/>
      <w:r>
        <w:rPr>
          <w:rStyle w:val="18"/>
          <w:rFonts w:hint="eastAsia" w:ascii="仿宋_GB2312" w:hAnsi="仿宋_GB2312" w:eastAsia="仿宋_GB2312" w:cs="仿宋_GB2312"/>
          <w:bCs/>
          <w:color w:val="auto"/>
          <w:sz w:val="32"/>
          <w:szCs w:val="32"/>
          <w:highlight w:val="none"/>
          <w:lang w:val="en-US" w:eastAsia="zh-CN"/>
        </w:rPr>
        <w:t>（款）其他城乡社区住宅支出（项）：</w:t>
      </w:r>
      <w:bookmarkEnd w:id="27"/>
      <w:r>
        <w:rPr>
          <w:rStyle w:val="18"/>
          <w:rFonts w:hint="eastAsia" w:ascii="仿宋_GB2312" w:hAnsi="仿宋_GB2312" w:eastAsia="仿宋_GB2312" w:cs="仿宋_GB2312"/>
          <w:b w:val="0"/>
          <w:bCs w:val="0"/>
          <w:color w:val="auto"/>
          <w:sz w:val="32"/>
          <w:szCs w:val="32"/>
          <w:highlight w:val="none"/>
          <w:lang w:val="en-US" w:eastAsia="zh-CN"/>
        </w:rPr>
        <w:t>支出决算为6.63万元，完成预算100%。</w:t>
      </w:r>
    </w:p>
    <w:p w14:paraId="3DE0BED3">
      <w:pPr>
        <w:tabs>
          <w:tab w:val="right" w:pos="8306"/>
        </w:tabs>
        <w:spacing w:line="600" w:lineRule="exact"/>
        <w:ind w:firstLine="640" w:firstLineChars="200"/>
        <w:outlineLvl w:val="1"/>
        <w:rPr>
          <w:rStyle w:val="30"/>
          <w:color w:val="auto"/>
          <w:highlight w:val="none"/>
        </w:rPr>
      </w:pPr>
      <w:bookmarkStart w:id="29" w:name="_Toc31912"/>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29"/>
      <w:r>
        <w:rPr>
          <w:rStyle w:val="30"/>
          <w:rFonts w:ascii="黑体" w:hAnsi="黑体" w:eastAsia="黑体"/>
          <w:b w:val="0"/>
          <w:color w:val="auto"/>
          <w:highlight w:val="none"/>
        </w:rPr>
        <w:tab/>
      </w:r>
    </w:p>
    <w:p w14:paraId="4D913C85">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一般公共预算财政拨款基本支出</w:t>
      </w:r>
      <w:r>
        <w:rPr>
          <w:rFonts w:hint="eastAsia" w:ascii="仿宋" w:hAnsi="仿宋" w:eastAsia="仿宋"/>
          <w:color w:val="auto"/>
          <w:sz w:val="32"/>
          <w:szCs w:val="32"/>
          <w:highlight w:val="none"/>
          <w:lang w:val="en-US" w:eastAsia="zh-CN"/>
        </w:rPr>
        <w:t>408.39</w:t>
      </w:r>
      <w:r>
        <w:rPr>
          <w:rFonts w:hint="eastAsia" w:ascii="仿宋" w:hAnsi="仿宋" w:eastAsia="仿宋"/>
          <w:color w:val="auto"/>
          <w:sz w:val="32"/>
          <w:szCs w:val="32"/>
          <w:highlight w:val="none"/>
        </w:rPr>
        <w:t>万元，其中：</w:t>
      </w:r>
    </w:p>
    <w:p w14:paraId="4C102B34">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373.00</w:t>
      </w:r>
      <w:r>
        <w:rPr>
          <w:rFonts w:hint="eastAsia" w:ascii="仿宋" w:hAnsi="仿宋" w:eastAsia="仿宋"/>
          <w:color w:val="auto"/>
          <w:sz w:val="32"/>
          <w:szCs w:val="32"/>
          <w:highlight w:val="none"/>
        </w:rPr>
        <w:t>万元，主要包括：基本工资、津贴补贴、绩效工资、机关事业单位基本养老保险缴费、职业年金缴费、其他社会保障缴费、住房公积金、其他对个人和家庭的补助支出等。</w:t>
      </w:r>
      <w:bookmarkStart w:id="52" w:name="_GoBack"/>
      <w:bookmarkEnd w:id="52"/>
    </w:p>
    <w:p w14:paraId="5CF16190">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35.39</w:t>
      </w:r>
      <w:r>
        <w:rPr>
          <w:rFonts w:hint="eastAsia" w:ascii="仿宋" w:hAnsi="仿宋" w:eastAsia="仿宋"/>
          <w:color w:val="auto"/>
          <w:sz w:val="32"/>
          <w:szCs w:val="32"/>
          <w:highlight w:val="none"/>
        </w:rPr>
        <w:t>万元，主要包括：办公费、印刷费、咨询费、水费、电费、邮电费、劳务费、委托业务费、工会经费、福利费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其他商品和服务支出。</w:t>
      </w:r>
    </w:p>
    <w:p w14:paraId="306A5DE0">
      <w:pPr>
        <w:spacing w:line="600" w:lineRule="exact"/>
        <w:ind w:firstLine="640" w:firstLineChars="200"/>
        <w:outlineLvl w:val="1"/>
        <w:rPr>
          <w:rStyle w:val="30"/>
          <w:rFonts w:ascii="黑体" w:hAnsi="黑体" w:eastAsia="黑体"/>
          <w:b w:val="0"/>
          <w:color w:val="auto"/>
          <w:highlight w:val="none"/>
        </w:rPr>
      </w:pPr>
      <w:bookmarkStart w:id="30" w:name="_Toc12724"/>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30"/>
    </w:p>
    <w:p w14:paraId="52130FD1">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（一）“三公”经费财政拨款支出决算总体情况说明</w:t>
      </w:r>
    </w:p>
    <w:p w14:paraId="21D22D44">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BB64B3C">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p>
    <w:p w14:paraId="65CB85A5">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3A59296F">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2E099D28">
      <w:pPr>
        <w:numPr>
          <w:ilvl w:val="0"/>
          <w:numId w:val="2"/>
        </w:num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14:paraId="5A8D362A">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6136709D">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31日</w:t>
      </w:r>
      <w:r>
        <w:rPr>
          <w:rFonts w:hint="eastAsia" w:ascii="仿宋_GB2312" w:eastAsia="仿宋_GB2312"/>
          <w:color w:val="auto"/>
          <w:sz w:val="32"/>
          <w:szCs w:val="32"/>
          <w:highlight w:val="none"/>
        </w:rPr>
        <w:t>，单位共有公务用车</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，其他用车</w:t>
      </w:r>
      <w:r>
        <w:rPr>
          <w:rFonts w:hint="eastAsia" w:ascii="仿宋_GB2312" w:eastAsia="仿宋_GB2312"/>
          <w:color w:val="auto"/>
          <w:sz w:val="32"/>
          <w:szCs w:val="32"/>
          <w:highlight w:val="none"/>
          <w:lang w:val="en-US" w:eastAsia="zh-CN"/>
        </w:rPr>
        <w:t>2辆</w:t>
      </w:r>
      <w:r>
        <w:rPr>
          <w:rFonts w:hint="eastAsia" w:ascii="仿宋_GB2312" w:eastAsia="仿宋_GB2312"/>
          <w:color w:val="auto"/>
          <w:sz w:val="32"/>
          <w:szCs w:val="32"/>
          <w:highlight w:val="none"/>
        </w:rPr>
        <w:t>。</w:t>
      </w:r>
    </w:p>
    <w:p w14:paraId="715742B8">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1945DBC">
      <w:pPr>
        <w:numPr>
          <w:ilvl w:val="0"/>
          <w:numId w:val="0"/>
        </w:numPr>
        <w:spacing w:line="600" w:lineRule="exact"/>
        <w:ind w:left="640" w:leftChars="0"/>
        <w:rPr>
          <w:rStyle w:val="18"/>
          <w:rFonts w:hint="eastAsia" w:ascii="仿宋" w:hAnsi="仿宋" w:eastAsia="仿宋"/>
          <w:b w:val="0"/>
          <w:bCs/>
          <w:color w:val="auto"/>
          <w:sz w:val="32"/>
          <w:szCs w:val="32"/>
          <w:highlight w:val="none"/>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15E4421E">
      <w:pPr>
        <w:numPr>
          <w:ilvl w:val="0"/>
          <w:numId w:val="0"/>
        </w:numPr>
        <w:spacing w:line="600" w:lineRule="exact"/>
        <w:ind w:left="640" w:leftChars="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C0A0BE6">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10C8466">
      <w:pPr>
        <w:spacing w:line="600" w:lineRule="exact"/>
        <w:ind w:firstLine="640" w:firstLineChars="200"/>
        <w:outlineLvl w:val="1"/>
        <w:rPr>
          <w:rStyle w:val="30"/>
          <w:rFonts w:ascii="黑体" w:hAnsi="黑体" w:eastAsia="黑体"/>
          <w:color w:val="auto"/>
          <w:highlight w:val="none"/>
        </w:rPr>
      </w:pPr>
      <w:bookmarkStart w:id="31" w:name="_Toc10989"/>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31"/>
    </w:p>
    <w:p w14:paraId="1FE7907F">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392C7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ascii="黑体" w:hAnsi="黑体" w:eastAsia="黑体"/>
          <w:b w:val="0"/>
          <w:color w:val="auto"/>
          <w:highlight w:val="none"/>
        </w:rPr>
      </w:pPr>
      <w:bookmarkStart w:id="32" w:name="_Toc91"/>
      <w:r>
        <w:rPr>
          <w:rStyle w:val="30"/>
          <w:rFonts w:hint="eastAsia" w:ascii="黑体" w:hAnsi="黑体" w:eastAsia="黑体"/>
          <w:b w:val="0"/>
          <w:color w:val="auto"/>
          <w:highlight w:val="none"/>
          <w:lang w:eastAsia="zh-CN"/>
        </w:rPr>
        <w:t>九、</w:t>
      </w:r>
      <w:r>
        <w:rPr>
          <w:rStyle w:val="30"/>
          <w:rFonts w:hint="eastAsia" w:ascii="黑体" w:hAnsi="黑体" w:eastAsia="黑体"/>
          <w:b w:val="0"/>
          <w:color w:val="auto"/>
          <w:highlight w:val="none"/>
        </w:rPr>
        <w:t>国有资本经营预算支出决算情况说明</w:t>
      </w:r>
      <w:bookmarkEnd w:id="32"/>
    </w:p>
    <w:p w14:paraId="5C779792">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D49D2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黑体" w:hAnsi="黑体" w:eastAsia="黑体"/>
          <w:b w:val="0"/>
          <w:color w:val="auto"/>
          <w:highlight w:val="none"/>
        </w:rPr>
      </w:pPr>
      <w:bookmarkStart w:id="33" w:name="_Toc24114"/>
      <w:r>
        <w:rPr>
          <w:rStyle w:val="30"/>
          <w:rFonts w:hint="eastAsia" w:ascii="黑体" w:hAnsi="黑体" w:eastAsia="黑体"/>
          <w:b w:val="0"/>
          <w:color w:val="auto"/>
          <w:highlight w:val="none"/>
          <w:lang w:eastAsia="zh-CN"/>
        </w:rPr>
        <w:t>十、</w:t>
      </w:r>
      <w:r>
        <w:rPr>
          <w:rStyle w:val="30"/>
          <w:rFonts w:hint="eastAsia" w:ascii="黑体" w:hAnsi="黑体" w:eastAsia="黑体"/>
          <w:b w:val="0"/>
          <w:color w:val="auto"/>
          <w:highlight w:val="none"/>
        </w:rPr>
        <w:t>其他重要事项的情况说明</w:t>
      </w:r>
      <w:bookmarkEnd w:id="33"/>
    </w:p>
    <w:p w14:paraId="21EF1466">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rPr>
        <w:t>（一）机关运行经费支出情况</w:t>
      </w:r>
    </w:p>
    <w:p w14:paraId="4882C873">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bookmarkStart w:id="34" w:name="OLE_LINK11"/>
      <w:r>
        <w:rPr>
          <w:rFonts w:hint="eastAsia" w:ascii="仿宋_GB2312" w:eastAsia="仿宋_GB2312"/>
          <w:color w:val="auto"/>
          <w:sz w:val="32"/>
          <w:szCs w:val="32"/>
          <w:highlight w:val="none"/>
          <w:lang w:eastAsia="zh-CN"/>
        </w:rPr>
        <w:t>四川省广播电视科学技术研究所</w:t>
      </w:r>
      <w:bookmarkEnd w:id="34"/>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决算数持平。</w:t>
      </w:r>
    </w:p>
    <w:p w14:paraId="1416AF50">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p>
    <w:p w14:paraId="3F9AD761">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四川省广播电视科学技术研究所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13C4748F">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p>
    <w:p w14:paraId="0F24A934">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四川省广播电视科学技术研究所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hAnsi="仿宋_GB2312" w:eastAsia="仿宋_GB2312" w:cs="仿宋_GB2312"/>
          <w:sz w:val="32"/>
          <w:szCs w:val="32"/>
        </w:rPr>
        <w:t>业务用车，包括科研项目的调研及测试，应急广播、户户通的维修、技术指导服务，科技成果的推广，参与应急广播试点示范项目的实施，基层广播电视技术咨询服务等</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（不含车辆）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46A7F674">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772EC687">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eastAsia="zh-CN"/>
        </w:rPr>
        <w:t>根据预算绩效管理要求，本单位在</w:t>
      </w:r>
      <w:r>
        <w:rPr>
          <w:rFonts w:hint="eastAsia" w:ascii="仿宋_GB2312" w:hAnsi="Times New Roman" w:eastAsia="仿宋_GB2312" w:cs="Times New Roman"/>
          <w:color w:val="auto"/>
          <w:sz w:val="32"/>
          <w:szCs w:val="32"/>
          <w:highlight w:val="none"/>
          <w:lang w:val="en-US" w:eastAsia="zh-CN"/>
        </w:rPr>
        <w:t>2023年度</w:t>
      </w:r>
      <w:r>
        <w:rPr>
          <w:rFonts w:hint="eastAsia" w:ascii="仿宋_GB2312" w:hAnsi="Times New Roman" w:eastAsia="仿宋_GB2312" w:cs="Times New Roman"/>
          <w:color w:val="auto"/>
          <w:sz w:val="32"/>
          <w:szCs w:val="32"/>
          <w:highlight w:val="none"/>
          <w:lang w:eastAsia="zh-CN"/>
        </w:rPr>
        <w:t>预算编制阶段，组织对51000023T000008816770</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eastAsia="zh-CN"/>
        </w:rPr>
        <w:t>科技成果转化科研项目《智慧广电乡村工程村级关键设备研究及推广应用》等</w:t>
      </w:r>
      <w:r>
        <w:rPr>
          <w:rFonts w:hint="eastAsia" w:ascii="仿宋_GB2312"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lang w:val="en-US" w:eastAsia="zh-CN"/>
        </w:rPr>
        <w:t>个项目</w:t>
      </w:r>
      <w:r>
        <w:rPr>
          <w:rFonts w:hint="eastAsia" w:ascii="仿宋_GB2312" w:hAnsi="Times New Roman" w:eastAsia="仿宋_GB2312" w:cs="Times New Roman"/>
          <w:color w:val="auto"/>
          <w:sz w:val="32"/>
          <w:szCs w:val="32"/>
          <w:highlight w:val="none"/>
          <w:lang w:eastAsia="zh-CN"/>
        </w:rPr>
        <w:t>开展了预算事前绩效评估，对</w:t>
      </w:r>
      <w:r>
        <w:rPr>
          <w:rFonts w:hint="eastAsia" w:ascii="仿宋_GB2312" w:eastAsia="仿宋_GB2312" w:cs="Times New Roman"/>
          <w:color w:val="auto"/>
          <w:sz w:val="32"/>
          <w:szCs w:val="32"/>
          <w:highlight w:val="none"/>
          <w:lang w:val="en-US" w:eastAsia="zh-CN"/>
        </w:rPr>
        <w:t>12</w:t>
      </w:r>
      <w:r>
        <w:rPr>
          <w:rFonts w:hint="eastAsia" w:ascii="仿宋_GB2312" w:hAnsi="Times New Roman" w:eastAsia="仿宋_GB2312" w:cs="Times New Roman"/>
          <w:color w:val="auto"/>
          <w:sz w:val="32"/>
          <w:szCs w:val="32"/>
          <w:highlight w:val="none"/>
          <w:lang w:eastAsia="zh-CN"/>
        </w:rPr>
        <w:t>个项目编制了绩效目标，预算执行过程中，选取</w:t>
      </w:r>
      <w:r>
        <w:rPr>
          <w:rFonts w:hint="eastAsia" w:ascii="仿宋_GB2312" w:eastAsia="仿宋_GB2312" w:cs="Times New Roman"/>
          <w:color w:val="auto"/>
          <w:sz w:val="32"/>
          <w:szCs w:val="32"/>
          <w:highlight w:val="none"/>
          <w:lang w:val="en-US" w:eastAsia="zh-CN"/>
        </w:rPr>
        <w:t>12</w:t>
      </w:r>
      <w:r>
        <w:rPr>
          <w:rFonts w:hint="eastAsia" w:ascii="仿宋_GB2312" w:hAnsi="Times New Roman" w:eastAsia="仿宋_GB2312" w:cs="Times New Roman"/>
          <w:color w:val="auto"/>
          <w:sz w:val="32"/>
          <w:szCs w:val="32"/>
          <w:highlight w:val="none"/>
          <w:lang w:eastAsia="zh-CN"/>
        </w:rPr>
        <w:t>个项目开展绩效监控，组织对</w:t>
      </w: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val="en-US" w:eastAsia="zh-CN"/>
        </w:rPr>
        <w:t>个项目开展绩效自评，绩效自评表详见第四部分附件。</w:t>
      </w:r>
    </w:p>
    <w:p w14:paraId="6F7D37D3">
      <w:pPr>
        <w:spacing w:line="600" w:lineRule="exact"/>
        <w:ind w:firstLine="640" w:firstLineChars="200"/>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br w:type="page"/>
      </w:r>
    </w:p>
    <w:p w14:paraId="1D3CA264">
      <w:pPr>
        <w:numPr>
          <w:ilvl w:val="0"/>
          <w:numId w:val="0"/>
        </w:numPr>
        <w:spacing w:line="600" w:lineRule="exact"/>
        <w:jc w:val="center"/>
        <w:outlineLvl w:val="0"/>
        <w:rPr>
          <w:rStyle w:val="29"/>
          <w:rFonts w:ascii="黑体" w:hAnsi="黑体" w:eastAsia="黑体"/>
          <w:b w:val="0"/>
          <w:color w:val="auto"/>
          <w:highlight w:val="none"/>
        </w:rPr>
      </w:pPr>
      <w:bookmarkStart w:id="35" w:name="_Toc1525"/>
      <w:r>
        <w:rPr>
          <w:rFonts w:hint="eastAsia" w:ascii="黑体" w:hAnsi="黑体" w:eastAsia="黑体"/>
          <w:color w:val="auto"/>
          <w:sz w:val="44"/>
          <w:szCs w:val="44"/>
          <w:highlight w:val="none"/>
          <w:lang w:eastAsia="zh-CN"/>
        </w:rPr>
        <w:t>第三部分</w:t>
      </w:r>
      <w:r>
        <w:rPr>
          <w:rFonts w:hint="eastAsia" w:ascii="黑体" w:hAnsi="黑体" w:eastAsia="黑体"/>
          <w:color w:val="auto"/>
          <w:sz w:val="44"/>
          <w:szCs w:val="44"/>
          <w:highlight w:val="none"/>
          <w:lang w:val="en-US" w:eastAsia="zh-CN"/>
        </w:rPr>
        <w:t xml:space="preserve">  </w:t>
      </w:r>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35"/>
    </w:p>
    <w:p w14:paraId="0CB798BB">
      <w:pPr>
        <w:spacing w:line="600" w:lineRule="exact"/>
        <w:jc w:val="left"/>
        <w:rPr>
          <w:rFonts w:ascii="宋体"/>
          <w:b/>
          <w:color w:val="auto"/>
          <w:sz w:val="44"/>
          <w:szCs w:val="44"/>
          <w:highlight w:val="none"/>
        </w:rPr>
      </w:pPr>
    </w:p>
    <w:p w14:paraId="79DCB90C">
      <w:pPr>
        <w:pStyle w:val="27"/>
        <w:spacing w:line="560" w:lineRule="exact"/>
        <w:ind w:firstLine="640" w:firstLineChars="200"/>
        <w:outlineLvl w:val="1"/>
        <w:rPr>
          <w:rFonts w:ascii="仿宋_GB2312" w:eastAsia="仿宋_GB2312"/>
          <w:color w:val="auto"/>
          <w:sz w:val="32"/>
          <w:szCs w:val="32"/>
          <w:highlight w:val="none"/>
        </w:rPr>
      </w:pPr>
      <w:bookmarkStart w:id="36" w:name="_Toc30663"/>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36"/>
    </w:p>
    <w:p w14:paraId="7237683F">
      <w:pPr>
        <w:pStyle w:val="27"/>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72F060A4">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hAnsi="华文中宋" w:eastAsia="仿宋_GB2312"/>
          <w:sz w:val="32"/>
          <w:szCs w:val="32"/>
          <w:u w:val="none"/>
          <w:lang w:eastAsia="zh-CN"/>
        </w:rPr>
        <w:t>使用非财政拨款结余（含专用结余）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47DC8B9A">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311BBEED">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16139C2C">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年末结转和结余：指单位按有关规定结转到下年或以后年度继续使用的资金。</w:t>
      </w:r>
    </w:p>
    <w:p w14:paraId="635DF6DC">
      <w:pPr>
        <w:pStyle w:val="27"/>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教育（类）</w:t>
      </w:r>
      <w:r>
        <w:rPr>
          <w:rFonts w:hint="eastAsia" w:ascii="仿宋_GB2312" w:eastAsia="仿宋_GB2312"/>
          <w:color w:val="auto"/>
          <w:sz w:val="32"/>
          <w:szCs w:val="32"/>
          <w:highlight w:val="none"/>
          <w:lang w:eastAsia="zh-CN"/>
        </w:rPr>
        <w:t>进修及培训</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培训支出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：指各部门安排的用于培训的支出。教育部门的师资培训，党校、行政学院等专业干部教育机构的支出，以及退役士兵、转业士官的培训支出，不在本科目反映。</w:t>
      </w:r>
    </w:p>
    <w:p w14:paraId="635668FB">
      <w:pPr>
        <w:pStyle w:val="27"/>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.科学技术（类）应用研究（款）机构运行（项）：指应用研究机构的基本支出。</w:t>
      </w:r>
    </w:p>
    <w:p w14:paraId="503EC165">
      <w:pPr>
        <w:pStyle w:val="27"/>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.科学技术（类）</w:t>
      </w:r>
      <w:r>
        <w:rPr>
          <w:rFonts w:hint="eastAsia" w:ascii="仿宋_GB2312" w:eastAsia="仿宋_GB2312"/>
          <w:color w:val="auto"/>
          <w:sz w:val="32"/>
          <w:szCs w:val="32"/>
          <w:highlight w:val="none"/>
          <w:lang w:eastAsia="zh-CN"/>
        </w:rPr>
        <w:t>科技条件与服务</w:t>
      </w:r>
      <w:r>
        <w:rPr>
          <w:rFonts w:hint="eastAsia" w:ascii="仿宋_GB2312" w:eastAsia="仿宋_GB2312"/>
          <w:color w:val="auto"/>
          <w:sz w:val="32"/>
          <w:szCs w:val="32"/>
          <w:highlight w:val="none"/>
        </w:rPr>
        <w:t>（款）机构运行（项）</w:t>
      </w:r>
      <w:r>
        <w:rPr>
          <w:rFonts w:hint="eastAsia" w:ascii="仿宋_GB2312" w:eastAsia="仿宋_GB2312"/>
          <w:color w:val="auto"/>
          <w:sz w:val="32"/>
          <w:szCs w:val="32"/>
          <w:highlight w:val="none"/>
          <w:lang w:eastAsia="zh-CN"/>
        </w:rPr>
        <w:t>：指科技服务机构的基本支出。</w:t>
      </w:r>
    </w:p>
    <w:p w14:paraId="5DC7827F">
      <w:pPr>
        <w:pStyle w:val="27"/>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.科学技术（类）其他科学技术支出（款）其他科学技术支出（项）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 xml:space="preserve"> 指其他用于科技方面的支出。</w:t>
      </w:r>
    </w:p>
    <w:p w14:paraId="3101CA94">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.文化旅游体育与传媒（类）广播电视（款）其他广播电视支出（项）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 xml:space="preserve"> 指其他用于广播电视方面的支出。</w:t>
      </w:r>
    </w:p>
    <w:p w14:paraId="1D7B7B3C">
      <w:pPr>
        <w:pStyle w:val="27"/>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.社会保障和就业（类）行政事业单位养老支出（款）事业单位</w:t>
      </w:r>
      <w:r>
        <w:rPr>
          <w:rFonts w:hint="eastAsia" w:ascii="仿宋_GB2312" w:eastAsia="仿宋_GB2312"/>
          <w:color w:val="auto"/>
          <w:sz w:val="32"/>
          <w:szCs w:val="32"/>
          <w:highlight w:val="none"/>
          <w:lang w:eastAsia="zh-CN"/>
        </w:rPr>
        <w:t>离退休</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p>
    <w:p w14:paraId="2550152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.社会保障和就业（类）行政事业单位养老支出（款）机关事业单位基本养老保险缴费支出（项）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指机关事业单位实施养老保险制度由单位缴纳的基本养老保险费支出。</w:t>
      </w:r>
    </w:p>
    <w:p w14:paraId="4F7CD91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.社会保障和就业（类）行政事业单位养老支出（款）机关事业单位职业年金缴费支出（项）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指机关事业单位实施养老保险制度由单位缴纳的职业年金支出。</w:t>
      </w:r>
    </w:p>
    <w:p w14:paraId="5E7F314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.卫生健康（类）行政事业单位医疗（款）事业单位医疗（项）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指财政部门安排的事业单位基本医疗保险缴费经费，未参加医疗保险的事业单位的公费医疗经费，按国家规定享受离休人员待遇的医疗经费。</w:t>
      </w:r>
    </w:p>
    <w:p w14:paraId="30DB78E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.住房保障支出（类）住房改造支出（款）住房公积金（项）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指行政事业单位按人力资源和社会保障部、财政部规定的基本工资和津贴补贴以及规定比例为职工缴纳的住房公积金。</w:t>
      </w:r>
    </w:p>
    <w:p w14:paraId="2B95FD7E">
      <w:pPr>
        <w:pStyle w:val="2"/>
        <w:ind w:left="0" w:leftChars="0"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17.住房保障支出（类）城乡社区住宅（款）其他城乡社区住宅支出（项）</w:t>
      </w:r>
      <w:r>
        <w:rPr>
          <w:rFonts w:hint="eastAsia" w:ascii="仿宋_GB2312"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lang w:val="en-US" w:eastAsia="zh-CN"/>
        </w:rPr>
        <w:t>指其他用于城乡社区住宅方面的支出。</w:t>
      </w:r>
    </w:p>
    <w:p w14:paraId="4547DF3D">
      <w:pPr>
        <w:pStyle w:val="2"/>
        <w:ind w:left="0" w:leftChars="0"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4B0BF20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431BBB9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4323A773">
      <w:pPr>
        <w:spacing w:line="600" w:lineRule="exact"/>
        <w:jc w:val="center"/>
        <w:outlineLvl w:val="0"/>
        <w:rPr>
          <w:rFonts w:hint="eastAsia" w:ascii="黑体" w:hAnsi="黑体" w:eastAsia="黑体"/>
          <w:color w:val="auto"/>
          <w:sz w:val="44"/>
          <w:szCs w:val="44"/>
          <w:highlight w:val="none"/>
        </w:rPr>
      </w:pPr>
      <w:bookmarkStart w:id="37" w:name="_Toc8237"/>
    </w:p>
    <w:p w14:paraId="7334065C">
      <w:pPr>
        <w:spacing w:line="600" w:lineRule="exact"/>
        <w:jc w:val="center"/>
        <w:outlineLvl w:val="0"/>
        <w:rPr>
          <w:rStyle w:val="29"/>
          <w:rFonts w:ascii="黑体" w:hAnsi="黑体" w:eastAsia="黑体"/>
          <w:b w:val="0"/>
          <w:color w:val="auto"/>
          <w:highlight w:val="none"/>
        </w:rPr>
      </w:pP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37"/>
    </w:p>
    <w:p w14:paraId="1C099092">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pPr>
    </w:p>
    <w:tbl>
      <w:tblPr>
        <w:tblStyle w:val="16"/>
        <w:tblW w:w="9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914"/>
        <w:gridCol w:w="964"/>
        <w:gridCol w:w="1064"/>
        <w:gridCol w:w="890"/>
        <w:gridCol w:w="1056"/>
        <w:gridCol w:w="505"/>
        <w:gridCol w:w="1071"/>
        <w:gridCol w:w="723"/>
        <w:gridCol w:w="738"/>
        <w:gridCol w:w="829"/>
      </w:tblGrid>
      <w:tr w14:paraId="3AE5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AA548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DE7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C249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78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FF611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51000023T000008816770－科技成果转化科研项目《智慧广电乡村工程村级关键设备研究及推广应用》</w:t>
            </w:r>
          </w:p>
        </w:tc>
      </w:tr>
      <w:tr w14:paraId="3A53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C479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主管部门</w:t>
            </w:r>
          </w:p>
        </w:tc>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20E74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四川省广播电视局部门</w:t>
            </w:r>
          </w:p>
        </w:tc>
        <w:tc>
          <w:tcPr>
            <w:tcW w:w="1071" w:type="dxa"/>
            <w:tcBorders>
              <w:top w:val="nil"/>
              <w:left w:val="nil"/>
              <w:bottom w:val="nil"/>
              <w:right w:val="nil"/>
            </w:tcBorders>
            <w:shd w:val="clear" w:color="auto" w:fill="auto"/>
            <w:vAlign w:val="center"/>
          </w:tcPr>
          <w:p w14:paraId="33ACC5A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实施单位 （盖章）</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1AB4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四川省广播电视科学技术研究所</w:t>
            </w:r>
          </w:p>
        </w:tc>
      </w:tr>
      <w:tr w14:paraId="0CF0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DD3E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项目基本情况</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CCA9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1.项目年度目标完成情况</w:t>
            </w:r>
          </w:p>
        </w:tc>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B7761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项目年度目标</w:t>
            </w:r>
          </w:p>
        </w:tc>
        <w:tc>
          <w:tcPr>
            <w:tcW w:w="3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DE990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年度目标完成情况</w:t>
            </w:r>
          </w:p>
        </w:tc>
      </w:tr>
      <w:tr w14:paraId="6635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AE930">
            <w:pP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523B5">
            <w:pPr>
              <w:rPr>
                <w:rFonts w:hint="eastAsia" w:ascii="仿宋_GB2312" w:hAnsi="仿宋_GB2312" w:eastAsia="仿宋_GB2312" w:cs="仿宋_GB2312"/>
                <w:i w:val="0"/>
                <w:iCs w:val="0"/>
                <w:color w:val="000000"/>
                <w:sz w:val="21"/>
                <w:szCs w:val="21"/>
                <w:u w:val="none"/>
              </w:rPr>
            </w:pPr>
          </w:p>
        </w:tc>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79CD3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1、取得科研成果实用新型专利 3项；</w:t>
            </w:r>
          </w:p>
          <w:p w14:paraId="4953787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2、取得科研成果软件著作权 3项；</w:t>
            </w:r>
          </w:p>
          <w:p w14:paraId="0190C53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3、公开发表科技论文3篇；</w:t>
            </w:r>
          </w:p>
          <w:p w14:paraId="2EF1CF0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4、实现科研项目成果研制智能终端1000台。</w:t>
            </w:r>
          </w:p>
        </w:tc>
        <w:tc>
          <w:tcPr>
            <w:tcW w:w="3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7A8E0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1、取得科研成果实用新型专利3项；</w:t>
            </w:r>
          </w:p>
          <w:p w14:paraId="7FA52FA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2、取得科研成果软件著作权3项；</w:t>
            </w:r>
          </w:p>
          <w:p w14:paraId="4D99742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3、已公开发表科技论文3篇；</w:t>
            </w:r>
          </w:p>
          <w:p w14:paraId="351B414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4、已实现项目研制成果智能终端1000台的应用推广。</w:t>
            </w:r>
          </w:p>
        </w:tc>
      </w:tr>
      <w:tr w14:paraId="1E1E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BC882">
            <w:pP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668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2.项目实施内容及过程概述</w:t>
            </w:r>
          </w:p>
        </w:tc>
        <w:tc>
          <w:tcPr>
            <w:tcW w:w="78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684B7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   1、村级节点智能播控设备研制支持手机APP播发功能，支持与上级平台、本区域终端集群对讲通信。支持视频广播并发大于3 路，延时小于1秒。</w:t>
            </w:r>
          </w:p>
          <w:p w14:paraId="53F2D45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   2、AI+5G+FM终端研制支持WiFi、IP、FM、5G广播功能，失真≤0.5%；信噪比≥70dB；频响±1dB（20Hz-20KHz）。通过调查研究、产品试制应用，目前已按要求已完成村级节点智能播控设备研制及AI+5G+FM终端研制的研制，获得了用户的好评。</w:t>
            </w:r>
          </w:p>
          <w:p w14:paraId="6352365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   3、通过创新研究，关键技术攻关，完成了1项发明专利的撰写与受理；完成了3项实用新型专利的撰写受理授权；完成了3项计算机软件著作权的撰写并取得授权证书，总结归纳创新知识点，公开发表3篇科技论文。</w:t>
            </w:r>
          </w:p>
          <w:p w14:paraId="2559520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   4、按照科技厅要求撰写了科技报告，取得项目收录证书；按照科技部、财政厅要求撰写了项目年度报告，已通过。</w:t>
            </w:r>
          </w:p>
          <w:p w14:paraId="1AAB0BE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5、项目通过前期调研、方案论证、初步设计、试制研发、平台搭建、验证测试、应用推广、优化设计、基本定型等全过程实施与实现，较好地完成了项目成果转移转化，实现成果转化收入287.09万元。</w:t>
            </w:r>
          </w:p>
        </w:tc>
      </w:tr>
      <w:tr w14:paraId="26DE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659A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预算执行情况（10分）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94F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年度预算数（万元）</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78E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年初预算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8B1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调整后预算数</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345E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D52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DE6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权重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254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49D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原因</w:t>
            </w:r>
          </w:p>
        </w:tc>
      </w:tr>
      <w:tr w14:paraId="5848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0E1F">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FCA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总额</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E63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036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F04A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D37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84F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7CC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5D6B4">
            <w:pPr>
              <w:rPr>
                <w:rFonts w:hint="eastAsia" w:ascii="仿宋_GB2312" w:hAnsi="仿宋_GB2312" w:eastAsia="仿宋_GB2312" w:cs="仿宋_GB2312"/>
                <w:i w:val="0"/>
                <w:iCs w:val="0"/>
                <w:color w:val="000000"/>
                <w:sz w:val="21"/>
                <w:szCs w:val="21"/>
                <w:u w:val="none"/>
              </w:rPr>
            </w:pPr>
          </w:p>
        </w:tc>
      </w:tr>
      <w:tr w14:paraId="115D2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7C788">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2C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其中：财政资金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5EB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6ED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8568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D72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6D9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D5D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14FF5">
            <w:pPr>
              <w:rPr>
                <w:rFonts w:hint="eastAsia" w:ascii="仿宋_GB2312" w:hAnsi="仿宋_GB2312" w:eastAsia="仿宋_GB2312" w:cs="仿宋_GB2312"/>
                <w:i w:val="0"/>
                <w:iCs w:val="0"/>
                <w:color w:val="000000"/>
                <w:sz w:val="21"/>
                <w:szCs w:val="21"/>
                <w:u w:val="none"/>
              </w:rPr>
            </w:pPr>
          </w:p>
        </w:tc>
      </w:tr>
      <w:tr w14:paraId="13F5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2FA70">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709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财政专户管理资金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574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72E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DBBD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578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27B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47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8E5B6">
            <w:pPr>
              <w:rPr>
                <w:rFonts w:hint="eastAsia" w:ascii="仿宋_GB2312" w:hAnsi="仿宋_GB2312" w:eastAsia="仿宋_GB2312" w:cs="仿宋_GB2312"/>
                <w:i w:val="0"/>
                <w:iCs w:val="0"/>
                <w:color w:val="000000"/>
                <w:sz w:val="21"/>
                <w:szCs w:val="21"/>
                <w:u w:val="none"/>
              </w:rPr>
            </w:pPr>
          </w:p>
        </w:tc>
      </w:tr>
      <w:tr w14:paraId="07F1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68237">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956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C04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8B4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6EB8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940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8C7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D4F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893CB">
            <w:pPr>
              <w:rPr>
                <w:rFonts w:hint="eastAsia" w:ascii="仿宋_GB2312" w:hAnsi="仿宋_GB2312" w:eastAsia="仿宋_GB2312" w:cs="仿宋_GB2312"/>
                <w:i w:val="0"/>
                <w:iCs w:val="0"/>
                <w:color w:val="000000"/>
                <w:sz w:val="21"/>
                <w:szCs w:val="21"/>
                <w:u w:val="none"/>
              </w:rPr>
            </w:pPr>
          </w:p>
        </w:tc>
      </w:tr>
      <w:tr w14:paraId="0ED9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3C7B4">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2C8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DC47">
            <w:pPr>
              <w:jc w:val="center"/>
              <w:rPr>
                <w:rFonts w:hint="eastAsia" w:ascii="仿宋_GB2312" w:hAnsi="仿宋_GB2312" w:eastAsia="仿宋_GB2312" w:cs="仿宋_GB2312"/>
                <w:i w:val="0"/>
                <w:iCs w:val="0"/>
                <w:color w:val="000000"/>
                <w:sz w:val="21"/>
                <w:szCs w:val="21"/>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9844">
            <w:pPr>
              <w:jc w:val="center"/>
              <w:rPr>
                <w:rFonts w:hint="eastAsia" w:ascii="仿宋_GB2312" w:hAnsi="仿宋_GB2312" w:eastAsia="仿宋_GB2312" w:cs="仿宋_GB2312"/>
                <w:i w:val="0"/>
                <w:iCs w:val="0"/>
                <w:color w:val="000000"/>
                <w:sz w:val="21"/>
                <w:szCs w:val="21"/>
                <w:u w:val="none"/>
              </w:rPr>
            </w:pP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0031B">
            <w:pPr>
              <w:jc w:val="center"/>
              <w:rPr>
                <w:rFonts w:hint="eastAsia" w:ascii="仿宋_GB2312" w:hAnsi="仿宋_GB2312" w:eastAsia="仿宋_GB2312" w:cs="仿宋_GB2312"/>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FF01">
            <w:pPr>
              <w:jc w:val="center"/>
              <w:rPr>
                <w:rFonts w:hint="eastAsia" w:ascii="仿宋_GB2312" w:hAnsi="仿宋_GB2312" w:eastAsia="仿宋_GB2312" w:cs="仿宋_GB2312"/>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F63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EE5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260B5">
            <w:pPr>
              <w:rPr>
                <w:rFonts w:hint="eastAsia" w:ascii="仿宋_GB2312" w:hAnsi="仿宋_GB2312" w:eastAsia="仿宋_GB2312" w:cs="仿宋_GB2312"/>
                <w:i w:val="0"/>
                <w:iCs w:val="0"/>
                <w:color w:val="000000"/>
                <w:sz w:val="21"/>
                <w:szCs w:val="21"/>
                <w:u w:val="none"/>
              </w:rPr>
            </w:pPr>
          </w:p>
        </w:tc>
      </w:tr>
      <w:tr w14:paraId="1E1D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357C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绩效指标（90分）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B30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56B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B79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三级指标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F3F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指标性质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1CF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指标值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236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度量单位</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BBB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完成值</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9D3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权重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3A9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9C9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未完成原因分析</w:t>
            </w:r>
          </w:p>
        </w:tc>
      </w:tr>
      <w:tr w14:paraId="064C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E599B">
            <w:pPr>
              <w:jc w:val="center"/>
              <w:rPr>
                <w:rFonts w:hint="eastAsia" w:ascii="仿宋_GB2312" w:hAnsi="仿宋_GB2312" w:eastAsia="仿宋_GB2312" w:cs="仿宋_GB2312"/>
                <w:i w:val="0"/>
                <w:iCs w:val="0"/>
                <w:color w:val="000000"/>
                <w:sz w:val="21"/>
                <w:szCs w:val="21"/>
                <w:u w:val="none"/>
              </w:rPr>
            </w:pP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5BD6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产出指标</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5913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973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项目研发产品</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28F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CD7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FB3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971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292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1DA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DD1F">
            <w:pPr>
              <w:jc w:val="center"/>
              <w:rPr>
                <w:rFonts w:hint="eastAsia" w:ascii="仿宋_GB2312" w:hAnsi="仿宋_GB2312" w:eastAsia="仿宋_GB2312" w:cs="仿宋_GB2312"/>
                <w:i w:val="0"/>
                <w:iCs w:val="0"/>
                <w:color w:val="000000"/>
                <w:sz w:val="21"/>
                <w:szCs w:val="21"/>
                <w:u w:val="none"/>
              </w:rPr>
            </w:pPr>
          </w:p>
        </w:tc>
      </w:tr>
      <w:tr w14:paraId="3F4B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5BDF2">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F16A2">
            <w:pPr>
              <w:jc w:val="center"/>
              <w:rPr>
                <w:rFonts w:hint="eastAsia" w:ascii="仿宋_GB2312" w:hAnsi="仿宋_GB2312" w:eastAsia="仿宋_GB2312" w:cs="仿宋_GB2312"/>
                <w:i w:val="0"/>
                <w:iCs w:val="0"/>
                <w:color w:val="000000"/>
                <w:sz w:val="21"/>
                <w:szCs w:val="21"/>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A6241">
            <w:pPr>
              <w:jc w:val="center"/>
              <w:rPr>
                <w:rFonts w:hint="eastAsia" w:ascii="仿宋_GB2312" w:hAnsi="仿宋_GB2312" w:eastAsia="仿宋_GB2312" w:cs="仿宋_GB2312"/>
                <w:i w:val="0"/>
                <w:iCs w:val="0"/>
                <w:color w:val="000000"/>
                <w:sz w:val="21"/>
                <w:szCs w:val="21"/>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247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实用新型专利</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206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398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F7F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9FF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C2F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C8E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0297">
            <w:pPr>
              <w:jc w:val="center"/>
              <w:rPr>
                <w:rFonts w:hint="eastAsia" w:ascii="仿宋_GB2312" w:hAnsi="仿宋_GB2312" w:eastAsia="仿宋_GB2312" w:cs="仿宋_GB2312"/>
                <w:i w:val="0"/>
                <w:iCs w:val="0"/>
                <w:color w:val="000000"/>
                <w:sz w:val="21"/>
                <w:szCs w:val="21"/>
                <w:u w:val="none"/>
              </w:rPr>
            </w:pPr>
          </w:p>
        </w:tc>
      </w:tr>
      <w:tr w14:paraId="08C1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10B4">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EC8E0">
            <w:pPr>
              <w:jc w:val="center"/>
              <w:rPr>
                <w:rFonts w:hint="eastAsia" w:ascii="仿宋_GB2312" w:hAnsi="仿宋_GB2312" w:eastAsia="仿宋_GB2312" w:cs="仿宋_GB2312"/>
                <w:i w:val="0"/>
                <w:iCs w:val="0"/>
                <w:color w:val="000000"/>
                <w:sz w:val="21"/>
                <w:szCs w:val="21"/>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4F1F5">
            <w:pPr>
              <w:jc w:val="center"/>
              <w:rPr>
                <w:rFonts w:hint="eastAsia" w:ascii="仿宋_GB2312" w:hAnsi="仿宋_GB2312" w:eastAsia="仿宋_GB2312" w:cs="仿宋_GB2312"/>
                <w:i w:val="0"/>
                <w:iCs w:val="0"/>
                <w:color w:val="000000"/>
                <w:sz w:val="21"/>
                <w:szCs w:val="21"/>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4FA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科技论文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DAB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F81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5C1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FBB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2C4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533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AA3C">
            <w:pPr>
              <w:jc w:val="center"/>
              <w:rPr>
                <w:rFonts w:hint="eastAsia" w:ascii="仿宋_GB2312" w:hAnsi="仿宋_GB2312" w:eastAsia="仿宋_GB2312" w:cs="仿宋_GB2312"/>
                <w:i w:val="0"/>
                <w:iCs w:val="0"/>
                <w:color w:val="000000"/>
                <w:sz w:val="21"/>
                <w:szCs w:val="21"/>
                <w:u w:val="none"/>
              </w:rPr>
            </w:pPr>
          </w:p>
        </w:tc>
      </w:tr>
      <w:tr w14:paraId="4F2A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949EA">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FEC08">
            <w:pPr>
              <w:jc w:val="center"/>
              <w:rPr>
                <w:rFonts w:hint="eastAsia" w:ascii="仿宋_GB2312" w:hAnsi="仿宋_GB2312" w:eastAsia="仿宋_GB2312" w:cs="仿宋_GB2312"/>
                <w:i w:val="0"/>
                <w:iCs w:val="0"/>
                <w:color w:val="000000"/>
                <w:sz w:val="21"/>
                <w:szCs w:val="21"/>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15E78">
            <w:pPr>
              <w:jc w:val="center"/>
              <w:rPr>
                <w:rFonts w:hint="eastAsia" w:ascii="仿宋_GB2312" w:hAnsi="仿宋_GB2312" w:eastAsia="仿宋_GB2312" w:cs="仿宋_GB2312"/>
                <w:i w:val="0"/>
                <w:iCs w:val="0"/>
                <w:color w:val="000000"/>
                <w:sz w:val="21"/>
                <w:szCs w:val="21"/>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002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软件著作权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B08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25F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2BE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342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1E9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FD3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5E03">
            <w:pPr>
              <w:jc w:val="center"/>
              <w:rPr>
                <w:rFonts w:hint="eastAsia" w:ascii="仿宋_GB2312" w:hAnsi="仿宋_GB2312" w:eastAsia="仿宋_GB2312" w:cs="仿宋_GB2312"/>
                <w:i w:val="0"/>
                <w:iCs w:val="0"/>
                <w:color w:val="000000"/>
                <w:sz w:val="21"/>
                <w:szCs w:val="21"/>
                <w:u w:val="none"/>
              </w:rPr>
            </w:pPr>
          </w:p>
        </w:tc>
      </w:tr>
      <w:tr w14:paraId="256A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DED78">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AA031">
            <w:pPr>
              <w:jc w:val="center"/>
              <w:rPr>
                <w:rFonts w:hint="eastAsia" w:ascii="仿宋_GB2312" w:hAnsi="仿宋_GB2312" w:eastAsia="仿宋_GB2312" w:cs="仿宋_GB2312"/>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F47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A52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完成期限</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819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9D8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1E5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20A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D35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901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1741">
            <w:pPr>
              <w:jc w:val="center"/>
              <w:rPr>
                <w:rFonts w:hint="eastAsia" w:ascii="仿宋_GB2312" w:hAnsi="仿宋_GB2312" w:eastAsia="仿宋_GB2312" w:cs="仿宋_GB2312"/>
                <w:i w:val="0"/>
                <w:iCs w:val="0"/>
                <w:color w:val="000000"/>
                <w:sz w:val="21"/>
                <w:szCs w:val="21"/>
                <w:u w:val="none"/>
              </w:rPr>
            </w:pPr>
          </w:p>
        </w:tc>
      </w:tr>
      <w:tr w14:paraId="38AE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4CE7E">
            <w:pPr>
              <w:jc w:val="center"/>
              <w:rPr>
                <w:rFonts w:hint="eastAsia" w:ascii="仿宋_GB2312" w:hAnsi="仿宋_GB2312" w:eastAsia="仿宋_GB2312" w:cs="仿宋_GB2312"/>
                <w:i w:val="0"/>
                <w:iCs w:val="0"/>
                <w:color w:val="000000"/>
                <w:sz w:val="21"/>
                <w:szCs w:val="21"/>
                <w:u w:val="none"/>
              </w:rPr>
            </w:pP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E32B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F05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经济效益指标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FE6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项目成果转化</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B56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037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853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万元</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B32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2DE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9AC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D810">
            <w:pPr>
              <w:jc w:val="center"/>
              <w:rPr>
                <w:rFonts w:hint="eastAsia" w:ascii="仿宋_GB2312" w:hAnsi="仿宋_GB2312" w:eastAsia="仿宋_GB2312" w:cs="仿宋_GB2312"/>
                <w:i w:val="0"/>
                <w:iCs w:val="0"/>
                <w:color w:val="000000"/>
                <w:sz w:val="21"/>
                <w:szCs w:val="21"/>
                <w:u w:val="none"/>
              </w:rPr>
            </w:pPr>
          </w:p>
        </w:tc>
      </w:tr>
      <w:tr w14:paraId="492F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7C240">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6D072">
            <w:pPr>
              <w:jc w:val="center"/>
              <w:rPr>
                <w:rFonts w:hint="eastAsia" w:ascii="仿宋_GB2312" w:hAnsi="仿宋_GB2312" w:eastAsia="仿宋_GB2312" w:cs="仿宋_GB2312"/>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415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802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宣传效果</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7DF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CC1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725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6C3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38C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B7B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7787">
            <w:pPr>
              <w:jc w:val="center"/>
              <w:rPr>
                <w:rFonts w:hint="eastAsia" w:ascii="仿宋_GB2312" w:hAnsi="仿宋_GB2312" w:eastAsia="仿宋_GB2312" w:cs="仿宋_GB2312"/>
                <w:i w:val="0"/>
                <w:iCs w:val="0"/>
                <w:color w:val="000000"/>
                <w:sz w:val="21"/>
                <w:szCs w:val="21"/>
                <w:u w:val="none"/>
              </w:rPr>
            </w:pPr>
          </w:p>
        </w:tc>
      </w:tr>
      <w:tr w14:paraId="6B09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4D68B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D0E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617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F2D1">
            <w:pPr>
              <w:rPr>
                <w:rFonts w:hint="eastAsia" w:ascii="仿宋_GB2312" w:hAnsi="仿宋_GB2312" w:eastAsia="仿宋_GB2312" w:cs="仿宋_GB2312"/>
                <w:i w:val="0"/>
                <w:iCs w:val="0"/>
                <w:color w:val="000000"/>
                <w:sz w:val="21"/>
                <w:szCs w:val="21"/>
                <w:u w:val="none"/>
              </w:rPr>
            </w:pPr>
          </w:p>
        </w:tc>
      </w:tr>
      <w:tr w14:paraId="3FF1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ACB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评价结论</w:t>
            </w:r>
          </w:p>
        </w:tc>
        <w:tc>
          <w:tcPr>
            <w:tcW w:w="87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6C4F6D">
            <w:pPr>
              <w:keepNext w:val="0"/>
              <w:keepLines w:val="0"/>
              <w:widowControl/>
              <w:suppressLineNumbers w:val="0"/>
              <w:spacing w:after="160" w:afterAutospacing="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    项目自评总分：100分。</w:t>
            </w:r>
          </w:p>
          <w:p w14:paraId="227C989F">
            <w:pPr>
              <w:keepNext w:val="0"/>
              <w:keepLines w:val="0"/>
              <w:widowControl/>
              <w:suppressLineNumbers w:val="0"/>
              <w:spacing w:after="16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项目实施取得的成效或成果：项目组按照项目任务书考核目标要求，完成2023年度科研项目各项研发任务，为数字乡村产业发展，积极探索“智慧广电+公共服务+社会治理+产业振兴”新路径提供了参考解决手段。完成了科技部、财政部项目年度报告的编写；科技报告被科技厅收录；科技查新结论5点；完成科技创新点第三方检测。取得知识产权6项，公开发表科技论文3篇。在2个县以上进行示范应用，实现成果转化收入287.09万元。</w:t>
            </w:r>
          </w:p>
        </w:tc>
      </w:tr>
      <w:tr w14:paraId="1416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FA3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存在问题</w:t>
            </w:r>
          </w:p>
        </w:tc>
        <w:tc>
          <w:tcPr>
            <w:tcW w:w="87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6FA6C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目前，国内外AI语音转文字、文生视频得到了长足发展，但语音转文字应用并没有达到100%的准确率，而且在智能编播方面倘若没有人工审查和干预，容易造成播发内容不准确或表述不完整等问题。</w:t>
            </w:r>
          </w:p>
        </w:tc>
      </w:tr>
      <w:tr w14:paraId="07DD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624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改进措施</w:t>
            </w:r>
          </w:p>
        </w:tc>
        <w:tc>
          <w:tcPr>
            <w:tcW w:w="87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FFBA2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下来后，项目研发团队将进一步针对系统设备的稳定性、易用性并结合不同用户的需求进行深入分析和优化升级系统及产品功能设计，通过优化AI算法，不断提升产品功能应用，满足用户多样化应用需求。</w:t>
            </w:r>
          </w:p>
        </w:tc>
      </w:tr>
      <w:tr w14:paraId="60A4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tcBorders>
              <w:top w:val="nil"/>
              <w:left w:val="nil"/>
              <w:bottom w:val="nil"/>
              <w:right w:val="nil"/>
            </w:tcBorders>
            <w:shd w:val="clear" w:color="auto" w:fill="auto"/>
            <w:vAlign w:val="center"/>
          </w:tcPr>
          <w:p w14:paraId="7E61C879">
            <w:pPr>
              <w:rPr>
                <w:rFonts w:hint="eastAsia" w:ascii="宋体" w:hAnsi="宋体" w:eastAsia="宋体" w:cs="宋体"/>
                <w:i w:val="0"/>
                <w:iCs w:val="0"/>
                <w:color w:val="000000"/>
                <w:sz w:val="18"/>
                <w:szCs w:val="18"/>
                <w:u w:val="none"/>
              </w:rPr>
            </w:pPr>
          </w:p>
        </w:tc>
        <w:tc>
          <w:tcPr>
            <w:tcW w:w="914" w:type="dxa"/>
            <w:tcBorders>
              <w:top w:val="nil"/>
              <w:left w:val="nil"/>
              <w:bottom w:val="nil"/>
              <w:right w:val="nil"/>
            </w:tcBorders>
            <w:shd w:val="clear" w:color="auto" w:fill="auto"/>
            <w:vAlign w:val="center"/>
          </w:tcPr>
          <w:p w14:paraId="47940CF7">
            <w:pPr>
              <w:rPr>
                <w:rFonts w:hint="eastAsia" w:ascii="宋体" w:hAnsi="宋体" w:eastAsia="宋体" w:cs="宋体"/>
                <w:i w:val="0"/>
                <w:iCs w:val="0"/>
                <w:color w:val="000000"/>
                <w:sz w:val="18"/>
                <w:szCs w:val="18"/>
                <w:u w:val="none"/>
              </w:rPr>
            </w:pPr>
          </w:p>
        </w:tc>
        <w:tc>
          <w:tcPr>
            <w:tcW w:w="964" w:type="dxa"/>
            <w:tcBorders>
              <w:top w:val="nil"/>
              <w:left w:val="nil"/>
              <w:bottom w:val="nil"/>
              <w:right w:val="nil"/>
            </w:tcBorders>
            <w:shd w:val="clear" w:color="auto" w:fill="auto"/>
            <w:vAlign w:val="center"/>
          </w:tcPr>
          <w:p w14:paraId="67E1FCD1">
            <w:pPr>
              <w:rPr>
                <w:rFonts w:hint="eastAsia" w:ascii="宋体" w:hAnsi="宋体" w:eastAsia="宋体" w:cs="宋体"/>
                <w:i w:val="0"/>
                <w:iCs w:val="0"/>
                <w:color w:val="000000"/>
                <w:sz w:val="18"/>
                <w:szCs w:val="18"/>
                <w:u w:val="none"/>
              </w:rPr>
            </w:pPr>
          </w:p>
        </w:tc>
        <w:tc>
          <w:tcPr>
            <w:tcW w:w="1064" w:type="dxa"/>
            <w:tcBorders>
              <w:top w:val="nil"/>
              <w:left w:val="nil"/>
              <w:bottom w:val="nil"/>
              <w:right w:val="nil"/>
            </w:tcBorders>
            <w:shd w:val="clear" w:color="auto" w:fill="auto"/>
            <w:vAlign w:val="center"/>
          </w:tcPr>
          <w:p w14:paraId="31394992">
            <w:pPr>
              <w:rPr>
                <w:rFonts w:hint="eastAsia" w:ascii="宋体" w:hAnsi="宋体" w:eastAsia="宋体" w:cs="宋体"/>
                <w:i w:val="0"/>
                <w:iCs w:val="0"/>
                <w:color w:val="000000"/>
                <w:sz w:val="18"/>
                <w:szCs w:val="18"/>
                <w:u w:val="none"/>
              </w:rPr>
            </w:pPr>
          </w:p>
        </w:tc>
        <w:tc>
          <w:tcPr>
            <w:tcW w:w="890" w:type="dxa"/>
            <w:tcBorders>
              <w:top w:val="nil"/>
              <w:left w:val="nil"/>
              <w:bottom w:val="nil"/>
              <w:right w:val="nil"/>
            </w:tcBorders>
            <w:shd w:val="clear" w:color="auto" w:fill="auto"/>
            <w:vAlign w:val="center"/>
          </w:tcPr>
          <w:p w14:paraId="4CC4BDB3">
            <w:pPr>
              <w:rPr>
                <w:rFonts w:hint="eastAsia" w:ascii="宋体" w:hAnsi="宋体" w:eastAsia="宋体" w:cs="宋体"/>
                <w:i w:val="0"/>
                <w:iCs w:val="0"/>
                <w:color w:val="000000"/>
                <w:sz w:val="18"/>
                <w:szCs w:val="18"/>
                <w:u w:val="none"/>
              </w:rPr>
            </w:pPr>
          </w:p>
        </w:tc>
        <w:tc>
          <w:tcPr>
            <w:tcW w:w="1056" w:type="dxa"/>
            <w:tcBorders>
              <w:top w:val="nil"/>
              <w:left w:val="nil"/>
              <w:bottom w:val="nil"/>
              <w:right w:val="nil"/>
            </w:tcBorders>
            <w:shd w:val="clear" w:color="auto" w:fill="auto"/>
            <w:vAlign w:val="center"/>
          </w:tcPr>
          <w:p w14:paraId="59433FF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FB59350">
            <w:pPr>
              <w:rPr>
                <w:rFonts w:hint="eastAsia" w:ascii="宋体" w:hAnsi="宋体" w:eastAsia="宋体" w:cs="宋体"/>
                <w:i w:val="0"/>
                <w:iCs w:val="0"/>
                <w:color w:val="000000"/>
                <w:sz w:val="18"/>
                <w:szCs w:val="18"/>
                <w:u w:val="none"/>
              </w:rPr>
            </w:pPr>
          </w:p>
        </w:tc>
        <w:tc>
          <w:tcPr>
            <w:tcW w:w="1071" w:type="dxa"/>
            <w:tcBorders>
              <w:top w:val="nil"/>
              <w:left w:val="nil"/>
              <w:bottom w:val="nil"/>
              <w:right w:val="nil"/>
            </w:tcBorders>
            <w:shd w:val="clear" w:color="auto" w:fill="auto"/>
            <w:vAlign w:val="center"/>
          </w:tcPr>
          <w:p w14:paraId="236AA55B">
            <w:pPr>
              <w:rPr>
                <w:rFonts w:hint="eastAsia" w:ascii="宋体" w:hAnsi="宋体" w:eastAsia="宋体" w:cs="宋体"/>
                <w:i w:val="0"/>
                <w:iCs w:val="0"/>
                <w:color w:val="000000"/>
                <w:sz w:val="18"/>
                <w:szCs w:val="18"/>
                <w:u w:val="none"/>
              </w:rPr>
            </w:pPr>
          </w:p>
        </w:tc>
        <w:tc>
          <w:tcPr>
            <w:tcW w:w="723" w:type="dxa"/>
            <w:tcBorders>
              <w:top w:val="nil"/>
              <w:left w:val="nil"/>
              <w:bottom w:val="nil"/>
              <w:right w:val="nil"/>
            </w:tcBorders>
            <w:shd w:val="clear" w:color="auto" w:fill="auto"/>
            <w:vAlign w:val="center"/>
          </w:tcPr>
          <w:p w14:paraId="42CE84FC">
            <w:pPr>
              <w:rPr>
                <w:rFonts w:hint="eastAsia" w:ascii="宋体" w:hAnsi="宋体" w:eastAsia="宋体" w:cs="宋体"/>
                <w:i w:val="0"/>
                <w:iCs w:val="0"/>
                <w:color w:val="000000"/>
                <w:sz w:val="18"/>
                <w:szCs w:val="18"/>
                <w:u w:val="none"/>
              </w:rPr>
            </w:pPr>
          </w:p>
        </w:tc>
        <w:tc>
          <w:tcPr>
            <w:tcW w:w="738" w:type="dxa"/>
            <w:tcBorders>
              <w:top w:val="nil"/>
              <w:left w:val="nil"/>
              <w:bottom w:val="nil"/>
              <w:right w:val="nil"/>
            </w:tcBorders>
            <w:shd w:val="clear" w:color="auto" w:fill="auto"/>
            <w:vAlign w:val="center"/>
          </w:tcPr>
          <w:p w14:paraId="50EB4EE7">
            <w:pPr>
              <w:rPr>
                <w:rFonts w:hint="eastAsia" w:ascii="宋体" w:hAnsi="宋体" w:eastAsia="宋体" w:cs="宋体"/>
                <w:i w:val="0"/>
                <w:iCs w:val="0"/>
                <w:color w:val="000000"/>
                <w:sz w:val="18"/>
                <w:szCs w:val="18"/>
                <w:u w:val="none"/>
              </w:rPr>
            </w:pPr>
          </w:p>
        </w:tc>
        <w:tc>
          <w:tcPr>
            <w:tcW w:w="829" w:type="dxa"/>
            <w:tcBorders>
              <w:top w:val="nil"/>
              <w:left w:val="nil"/>
              <w:bottom w:val="nil"/>
              <w:right w:val="nil"/>
            </w:tcBorders>
            <w:shd w:val="clear" w:color="auto" w:fill="auto"/>
            <w:vAlign w:val="center"/>
          </w:tcPr>
          <w:p w14:paraId="00D275AA">
            <w:pPr>
              <w:rPr>
                <w:rFonts w:hint="eastAsia" w:ascii="宋体" w:hAnsi="宋体" w:eastAsia="宋体" w:cs="宋体"/>
                <w:i w:val="0"/>
                <w:iCs w:val="0"/>
                <w:color w:val="000000"/>
                <w:sz w:val="18"/>
                <w:szCs w:val="18"/>
                <w:u w:val="none"/>
              </w:rPr>
            </w:pPr>
          </w:p>
          <w:p w14:paraId="273D9F91">
            <w:pPr>
              <w:pStyle w:val="2"/>
              <w:rPr>
                <w:rFonts w:hint="eastAsia" w:ascii="宋体" w:hAnsi="宋体" w:eastAsia="宋体" w:cs="宋体"/>
                <w:i w:val="0"/>
                <w:iCs w:val="0"/>
                <w:color w:val="000000"/>
                <w:sz w:val="18"/>
                <w:szCs w:val="18"/>
                <w:u w:val="none"/>
              </w:rPr>
            </w:pPr>
          </w:p>
          <w:p w14:paraId="20F95938">
            <w:pPr>
              <w:pStyle w:val="2"/>
              <w:rPr>
                <w:rFonts w:hint="eastAsia" w:ascii="宋体" w:hAnsi="宋体" w:eastAsia="宋体" w:cs="宋体"/>
                <w:i w:val="0"/>
                <w:iCs w:val="0"/>
                <w:color w:val="000000"/>
                <w:sz w:val="18"/>
                <w:szCs w:val="18"/>
                <w:u w:val="none"/>
              </w:rPr>
            </w:pPr>
          </w:p>
          <w:p w14:paraId="31486768">
            <w:pPr>
              <w:pStyle w:val="2"/>
              <w:rPr>
                <w:rFonts w:hint="eastAsia" w:ascii="宋体" w:hAnsi="宋体" w:eastAsia="宋体" w:cs="宋体"/>
                <w:i w:val="0"/>
                <w:iCs w:val="0"/>
                <w:color w:val="000000"/>
                <w:sz w:val="18"/>
                <w:szCs w:val="18"/>
                <w:u w:val="none"/>
              </w:rPr>
            </w:pPr>
          </w:p>
        </w:tc>
      </w:tr>
      <w:tr w14:paraId="09E3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D80BD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650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82FB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78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22A0F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51000023T000008816788－基本科研项目</w:t>
            </w:r>
          </w:p>
        </w:tc>
      </w:tr>
      <w:tr w14:paraId="0CB4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B056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主管部门</w:t>
            </w:r>
          </w:p>
        </w:tc>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64C5F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四川省广播电视局部门</w:t>
            </w:r>
          </w:p>
        </w:tc>
        <w:tc>
          <w:tcPr>
            <w:tcW w:w="1071" w:type="dxa"/>
            <w:tcBorders>
              <w:top w:val="nil"/>
              <w:left w:val="nil"/>
              <w:bottom w:val="nil"/>
              <w:right w:val="nil"/>
            </w:tcBorders>
            <w:shd w:val="clear" w:color="auto" w:fill="auto"/>
            <w:vAlign w:val="center"/>
          </w:tcPr>
          <w:p w14:paraId="3C63950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实施单位 （盖章）</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9D32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四川省广播电视科学技术研究所</w:t>
            </w:r>
          </w:p>
        </w:tc>
      </w:tr>
      <w:tr w14:paraId="1581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5CF2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项目基本情况</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E6D4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1.项目年度目标完成情况</w:t>
            </w:r>
          </w:p>
        </w:tc>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3A7E9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项目年度目标</w:t>
            </w:r>
          </w:p>
        </w:tc>
        <w:tc>
          <w:tcPr>
            <w:tcW w:w="3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552BA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年度目标完成情况</w:t>
            </w:r>
          </w:p>
        </w:tc>
      </w:tr>
      <w:tr w14:paraId="744A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388F7">
            <w:pP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2B3AF">
            <w:pPr>
              <w:rPr>
                <w:rFonts w:hint="eastAsia" w:ascii="仿宋_GB2312" w:hAnsi="仿宋_GB2312" w:eastAsia="仿宋_GB2312" w:cs="仿宋_GB2312"/>
                <w:i w:val="0"/>
                <w:iCs w:val="0"/>
                <w:color w:val="000000"/>
                <w:sz w:val="21"/>
                <w:szCs w:val="21"/>
                <w:u w:val="none"/>
              </w:rPr>
            </w:pPr>
          </w:p>
        </w:tc>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F1DE4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1、完成软件环境的搭建；</w:t>
            </w:r>
          </w:p>
          <w:p w14:paraId="7211FEC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2、完成程序的编写与调试；</w:t>
            </w:r>
          </w:p>
          <w:p w14:paraId="41EAF39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3、培养1名青年工程师。</w:t>
            </w:r>
          </w:p>
        </w:tc>
        <w:tc>
          <w:tcPr>
            <w:tcW w:w="3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5A994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1、完成软件环境的搭建；</w:t>
            </w:r>
          </w:p>
          <w:p w14:paraId="38F930D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2、完成程序的编写与调试；</w:t>
            </w:r>
          </w:p>
          <w:p w14:paraId="068D736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3、培养1名青年工程师。</w:t>
            </w:r>
          </w:p>
        </w:tc>
      </w:tr>
      <w:tr w14:paraId="0F74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CFBA">
            <w:pP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8F4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2.项目实施内容及过程概述</w:t>
            </w:r>
          </w:p>
        </w:tc>
        <w:tc>
          <w:tcPr>
            <w:tcW w:w="78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CCFFA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编写开发了两套软件应用程序。一是在Windows上基于FFmpeg实现视频编解码系统软件，该软件实现音视频采集、播放、编码、解码等功能。二是在Windows上基于Python+OpenCV+FFmpeg实现自动识别电影剪辑、分析每个剪辑的主题颜色。</w:t>
            </w:r>
          </w:p>
          <w:p w14:paraId="341C9BD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2、在ITX-3588J开发板上基于Gstreamer、FFMedia、Mpp三种方式实现了视频编解码功能。</w:t>
            </w:r>
          </w:p>
          <w:p w14:paraId="1C0C869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3、基于项目研究内容，完成软著一篇。</w:t>
            </w:r>
          </w:p>
          <w:p w14:paraId="314134A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4、基于项目研究内容，完成论文一篇。</w:t>
            </w:r>
          </w:p>
        </w:tc>
      </w:tr>
      <w:tr w14:paraId="134D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66E7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预算执行情况（10分）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9B4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年度预算数（万元）</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1CF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年初预算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844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调整后预算数</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87C2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64A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8DF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权重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769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49A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原因</w:t>
            </w:r>
          </w:p>
        </w:tc>
      </w:tr>
      <w:tr w14:paraId="5F33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18F3D">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197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总额</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AC6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8D8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60BD7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E5D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B2F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1FE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B524A">
            <w:pPr>
              <w:rPr>
                <w:rFonts w:hint="eastAsia" w:ascii="仿宋_GB2312" w:hAnsi="仿宋_GB2312" w:eastAsia="仿宋_GB2312" w:cs="仿宋_GB2312"/>
                <w:i w:val="0"/>
                <w:iCs w:val="0"/>
                <w:color w:val="000000"/>
                <w:sz w:val="21"/>
                <w:szCs w:val="21"/>
                <w:u w:val="none"/>
              </w:rPr>
            </w:pPr>
          </w:p>
        </w:tc>
      </w:tr>
      <w:tr w14:paraId="7D6A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89050">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AC9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其中：财政资金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837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2DC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0BF8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F74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D97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D79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300FC">
            <w:pPr>
              <w:rPr>
                <w:rFonts w:hint="eastAsia" w:ascii="仿宋_GB2312" w:hAnsi="仿宋_GB2312" w:eastAsia="仿宋_GB2312" w:cs="仿宋_GB2312"/>
                <w:i w:val="0"/>
                <w:iCs w:val="0"/>
                <w:color w:val="000000"/>
                <w:sz w:val="21"/>
                <w:szCs w:val="21"/>
                <w:u w:val="none"/>
              </w:rPr>
            </w:pPr>
          </w:p>
        </w:tc>
      </w:tr>
      <w:tr w14:paraId="52A6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E136C">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060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财政专户管理资金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24A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549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692C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0FD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E68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A09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C9327">
            <w:pPr>
              <w:rPr>
                <w:rFonts w:hint="eastAsia" w:ascii="仿宋_GB2312" w:hAnsi="仿宋_GB2312" w:eastAsia="仿宋_GB2312" w:cs="仿宋_GB2312"/>
                <w:i w:val="0"/>
                <w:iCs w:val="0"/>
                <w:color w:val="000000"/>
                <w:sz w:val="21"/>
                <w:szCs w:val="21"/>
                <w:u w:val="none"/>
              </w:rPr>
            </w:pPr>
          </w:p>
        </w:tc>
      </w:tr>
      <w:tr w14:paraId="0937F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C60C8">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858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80A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A0C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7218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25F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5C2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944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B2443">
            <w:pPr>
              <w:rPr>
                <w:rFonts w:hint="eastAsia" w:ascii="仿宋_GB2312" w:hAnsi="仿宋_GB2312" w:eastAsia="仿宋_GB2312" w:cs="仿宋_GB2312"/>
                <w:i w:val="0"/>
                <w:iCs w:val="0"/>
                <w:color w:val="000000"/>
                <w:sz w:val="21"/>
                <w:szCs w:val="21"/>
                <w:u w:val="none"/>
              </w:rPr>
            </w:pPr>
          </w:p>
        </w:tc>
      </w:tr>
      <w:tr w14:paraId="1A25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3D200">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F55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74C1">
            <w:pPr>
              <w:jc w:val="center"/>
              <w:rPr>
                <w:rFonts w:hint="eastAsia" w:ascii="仿宋_GB2312" w:hAnsi="仿宋_GB2312" w:eastAsia="仿宋_GB2312" w:cs="仿宋_GB2312"/>
                <w:i w:val="0"/>
                <w:iCs w:val="0"/>
                <w:color w:val="000000"/>
                <w:sz w:val="21"/>
                <w:szCs w:val="21"/>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3E0F">
            <w:pPr>
              <w:jc w:val="center"/>
              <w:rPr>
                <w:rFonts w:hint="eastAsia" w:ascii="仿宋_GB2312" w:hAnsi="仿宋_GB2312" w:eastAsia="仿宋_GB2312" w:cs="仿宋_GB2312"/>
                <w:i w:val="0"/>
                <w:iCs w:val="0"/>
                <w:color w:val="000000"/>
                <w:sz w:val="21"/>
                <w:szCs w:val="21"/>
                <w:u w:val="none"/>
              </w:rPr>
            </w:pP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9D8153">
            <w:pPr>
              <w:jc w:val="center"/>
              <w:rPr>
                <w:rFonts w:hint="eastAsia" w:ascii="仿宋_GB2312" w:hAnsi="仿宋_GB2312" w:eastAsia="仿宋_GB2312" w:cs="仿宋_GB2312"/>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F7AE">
            <w:pPr>
              <w:jc w:val="center"/>
              <w:rPr>
                <w:rFonts w:hint="eastAsia" w:ascii="仿宋_GB2312" w:hAnsi="仿宋_GB2312" w:eastAsia="仿宋_GB2312" w:cs="仿宋_GB2312"/>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169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51F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2DC9C">
            <w:pPr>
              <w:rPr>
                <w:rFonts w:hint="eastAsia" w:ascii="仿宋_GB2312" w:hAnsi="仿宋_GB2312" w:eastAsia="仿宋_GB2312" w:cs="仿宋_GB2312"/>
                <w:i w:val="0"/>
                <w:iCs w:val="0"/>
                <w:color w:val="000000"/>
                <w:sz w:val="21"/>
                <w:szCs w:val="21"/>
                <w:u w:val="none"/>
              </w:rPr>
            </w:pPr>
          </w:p>
        </w:tc>
      </w:tr>
      <w:tr w14:paraId="4AEE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7FD6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绩效指标（90分）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586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344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93E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三级指标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32E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指标性质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31C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指标值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184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度量单位</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D1E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完成值</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876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权重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A64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418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未完成原因分析</w:t>
            </w:r>
          </w:p>
        </w:tc>
      </w:tr>
      <w:tr w14:paraId="7DAD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09149">
            <w:pPr>
              <w:jc w:val="center"/>
              <w:rPr>
                <w:rFonts w:hint="eastAsia" w:ascii="仿宋_GB2312" w:hAnsi="仿宋_GB2312" w:eastAsia="仿宋_GB2312" w:cs="仿宋_GB2312"/>
                <w:i w:val="0"/>
                <w:iCs w:val="0"/>
                <w:color w:val="000000"/>
                <w:sz w:val="21"/>
                <w:szCs w:val="21"/>
                <w:u w:val="none"/>
              </w:rPr>
            </w:pP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CE61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产出指标</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6D68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1C6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举办技术培训会</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120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B82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B59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人次</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D08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39B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4CA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2972">
            <w:pPr>
              <w:jc w:val="center"/>
              <w:rPr>
                <w:rFonts w:hint="eastAsia" w:ascii="仿宋_GB2312" w:hAnsi="仿宋_GB2312" w:eastAsia="仿宋_GB2312" w:cs="仿宋_GB2312"/>
                <w:i w:val="0"/>
                <w:iCs w:val="0"/>
                <w:color w:val="000000"/>
                <w:sz w:val="21"/>
                <w:szCs w:val="21"/>
                <w:u w:val="none"/>
              </w:rPr>
            </w:pPr>
          </w:p>
        </w:tc>
      </w:tr>
      <w:tr w14:paraId="24CB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1DFEB">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8B764">
            <w:pPr>
              <w:jc w:val="center"/>
              <w:rPr>
                <w:rFonts w:hint="eastAsia" w:ascii="仿宋_GB2312" w:hAnsi="仿宋_GB2312" w:eastAsia="仿宋_GB2312" w:cs="仿宋_GB2312"/>
                <w:i w:val="0"/>
                <w:iCs w:val="0"/>
                <w:color w:val="000000"/>
                <w:sz w:val="21"/>
                <w:szCs w:val="21"/>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49EF1">
            <w:pPr>
              <w:jc w:val="center"/>
              <w:rPr>
                <w:rFonts w:hint="eastAsia" w:ascii="仿宋_GB2312" w:hAnsi="仿宋_GB2312" w:eastAsia="仿宋_GB2312" w:cs="仿宋_GB2312"/>
                <w:i w:val="0"/>
                <w:iCs w:val="0"/>
                <w:color w:val="000000"/>
                <w:sz w:val="21"/>
                <w:szCs w:val="21"/>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829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算法软件</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1FD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7F7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3DC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2E4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F8B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1FC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1F1D">
            <w:pPr>
              <w:jc w:val="center"/>
              <w:rPr>
                <w:rFonts w:hint="eastAsia" w:ascii="仿宋_GB2312" w:hAnsi="仿宋_GB2312" w:eastAsia="仿宋_GB2312" w:cs="仿宋_GB2312"/>
                <w:i w:val="0"/>
                <w:iCs w:val="0"/>
                <w:color w:val="000000"/>
                <w:sz w:val="21"/>
                <w:szCs w:val="21"/>
                <w:u w:val="none"/>
              </w:rPr>
            </w:pPr>
          </w:p>
        </w:tc>
      </w:tr>
      <w:tr w14:paraId="6152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77CCC">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AFC85">
            <w:pPr>
              <w:jc w:val="center"/>
              <w:rPr>
                <w:rFonts w:hint="eastAsia" w:ascii="仿宋_GB2312" w:hAnsi="仿宋_GB2312" w:eastAsia="仿宋_GB2312" w:cs="仿宋_GB2312"/>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63F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2F7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软件运行效果获得专家测试认可</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8C1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32D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22E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人次</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B6E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A36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75C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0167">
            <w:pPr>
              <w:jc w:val="center"/>
              <w:rPr>
                <w:rFonts w:hint="eastAsia" w:ascii="仿宋_GB2312" w:hAnsi="仿宋_GB2312" w:eastAsia="仿宋_GB2312" w:cs="仿宋_GB2312"/>
                <w:i w:val="0"/>
                <w:iCs w:val="0"/>
                <w:color w:val="000000"/>
                <w:sz w:val="21"/>
                <w:szCs w:val="21"/>
                <w:u w:val="none"/>
              </w:rPr>
            </w:pPr>
          </w:p>
        </w:tc>
      </w:tr>
      <w:tr w14:paraId="1331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62691">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5B4E3">
            <w:pPr>
              <w:jc w:val="center"/>
              <w:rPr>
                <w:rFonts w:hint="eastAsia" w:ascii="仿宋_GB2312" w:hAnsi="仿宋_GB2312" w:eastAsia="仿宋_GB2312" w:cs="仿宋_GB2312"/>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3C2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037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完成期限</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47F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03B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BB0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4F6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F59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385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69D6">
            <w:pPr>
              <w:jc w:val="center"/>
              <w:rPr>
                <w:rFonts w:hint="eastAsia" w:ascii="仿宋_GB2312" w:hAnsi="仿宋_GB2312" w:eastAsia="仿宋_GB2312" w:cs="仿宋_GB2312"/>
                <w:i w:val="0"/>
                <w:iCs w:val="0"/>
                <w:color w:val="000000"/>
                <w:sz w:val="21"/>
                <w:szCs w:val="21"/>
                <w:u w:val="none"/>
              </w:rPr>
            </w:pPr>
          </w:p>
        </w:tc>
      </w:tr>
      <w:tr w14:paraId="5A86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83F9E">
            <w:pPr>
              <w:jc w:val="center"/>
              <w:rPr>
                <w:rFonts w:hint="eastAsia" w:ascii="仿宋_GB2312" w:hAnsi="仿宋_GB2312" w:eastAsia="仿宋_GB2312" w:cs="仿宋_GB2312"/>
                <w:i w:val="0"/>
                <w:iCs w:val="0"/>
                <w:color w:val="000000"/>
                <w:sz w:val="21"/>
                <w:szCs w:val="21"/>
                <w:u w:val="none"/>
              </w:rPr>
            </w:pP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6D31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EAB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516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培养人才</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AE2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6BA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28E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966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5E2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D4F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AAA5">
            <w:pPr>
              <w:jc w:val="center"/>
              <w:rPr>
                <w:rFonts w:hint="eastAsia" w:ascii="仿宋_GB2312" w:hAnsi="仿宋_GB2312" w:eastAsia="仿宋_GB2312" w:cs="仿宋_GB2312"/>
                <w:i w:val="0"/>
                <w:iCs w:val="0"/>
                <w:color w:val="000000"/>
                <w:sz w:val="21"/>
                <w:szCs w:val="21"/>
                <w:u w:val="none"/>
              </w:rPr>
            </w:pPr>
          </w:p>
        </w:tc>
      </w:tr>
      <w:tr w14:paraId="2A5E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C99D5">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B72CE">
            <w:pPr>
              <w:jc w:val="center"/>
              <w:rPr>
                <w:rFonts w:hint="eastAsia" w:ascii="仿宋_GB2312" w:hAnsi="仿宋_GB2312" w:eastAsia="仿宋_GB2312" w:cs="仿宋_GB2312"/>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696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可持续影响指标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51A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可持续影响</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68B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定性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5C0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为本单位科研提供持续的人才支撑、技术储备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39C1">
            <w:pPr>
              <w:jc w:val="center"/>
              <w:rPr>
                <w:rFonts w:hint="eastAsia" w:ascii="仿宋_GB2312" w:hAnsi="仿宋_GB2312" w:eastAsia="仿宋_GB2312" w:cs="仿宋_GB2312"/>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634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已完成软硬件设计，进入项目功能拓展、人才培养新阶段</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9AC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467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7943">
            <w:pPr>
              <w:jc w:val="center"/>
              <w:rPr>
                <w:rFonts w:hint="eastAsia" w:ascii="仿宋_GB2312" w:hAnsi="仿宋_GB2312" w:eastAsia="仿宋_GB2312" w:cs="仿宋_GB2312"/>
                <w:i w:val="0"/>
                <w:iCs w:val="0"/>
                <w:color w:val="000000"/>
                <w:sz w:val="21"/>
                <w:szCs w:val="21"/>
                <w:u w:val="none"/>
              </w:rPr>
            </w:pPr>
          </w:p>
        </w:tc>
      </w:tr>
      <w:tr w14:paraId="59CB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E08C9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4FC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232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03B2">
            <w:pPr>
              <w:rPr>
                <w:rFonts w:hint="eastAsia" w:ascii="仿宋_GB2312" w:hAnsi="仿宋_GB2312" w:eastAsia="仿宋_GB2312" w:cs="仿宋_GB2312"/>
                <w:i w:val="0"/>
                <w:iCs w:val="0"/>
                <w:color w:val="000000"/>
                <w:sz w:val="21"/>
                <w:szCs w:val="21"/>
                <w:u w:val="none"/>
              </w:rPr>
            </w:pPr>
          </w:p>
        </w:tc>
      </w:tr>
      <w:tr w14:paraId="2112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9E2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评价结论</w:t>
            </w:r>
          </w:p>
        </w:tc>
        <w:tc>
          <w:tcPr>
            <w:tcW w:w="87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73412D">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项目自评总分：100分。   </w:t>
            </w:r>
          </w:p>
          <w:p w14:paraId="5724512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项目实施取得的成效或成果： 1、项目验收资料齐全，符合项目验收要求；2、项目相关研究内容符合任务书要求；3、该项目通过对视频编解码相关技术的学习研究，提升了项目组成员的软件开发能力，达到了培养青年科技人员的目标；4、项目资金使用，符合本单位制定的《基本科研业务费项目管理实施细则》的相关要求。</w:t>
            </w:r>
          </w:p>
        </w:tc>
      </w:tr>
      <w:tr w14:paraId="6494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CA0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存在问题</w:t>
            </w:r>
          </w:p>
        </w:tc>
        <w:tc>
          <w:tcPr>
            <w:tcW w:w="87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BE9EF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无</w:t>
            </w:r>
          </w:p>
        </w:tc>
      </w:tr>
      <w:tr w14:paraId="6C7F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5FA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改进措施</w:t>
            </w:r>
          </w:p>
        </w:tc>
        <w:tc>
          <w:tcPr>
            <w:tcW w:w="87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6552B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无</w:t>
            </w:r>
          </w:p>
        </w:tc>
      </w:tr>
      <w:tr w14:paraId="025C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tcBorders>
              <w:top w:val="nil"/>
              <w:left w:val="nil"/>
              <w:bottom w:val="nil"/>
              <w:right w:val="nil"/>
            </w:tcBorders>
            <w:shd w:val="clear" w:color="auto" w:fill="auto"/>
            <w:vAlign w:val="center"/>
          </w:tcPr>
          <w:p w14:paraId="1F720600">
            <w:pPr>
              <w:rPr>
                <w:rFonts w:hint="eastAsia" w:ascii="宋体" w:hAnsi="宋体" w:eastAsia="宋体" w:cs="宋体"/>
                <w:i w:val="0"/>
                <w:iCs w:val="0"/>
                <w:color w:val="000000"/>
                <w:sz w:val="18"/>
                <w:szCs w:val="18"/>
                <w:u w:val="none"/>
              </w:rPr>
            </w:pPr>
          </w:p>
        </w:tc>
        <w:tc>
          <w:tcPr>
            <w:tcW w:w="914" w:type="dxa"/>
            <w:tcBorders>
              <w:top w:val="nil"/>
              <w:left w:val="nil"/>
              <w:bottom w:val="nil"/>
              <w:right w:val="nil"/>
            </w:tcBorders>
            <w:shd w:val="clear" w:color="auto" w:fill="auto"/>
            <w:vAlign w:val="center"/>
          </w:tcPr>
          <w:p w14:paraId="50B1BDFA">
            <w:pPr>
              <w:rPr>
                <w:rFonts w:hint="eastAsia" w:ascii="宋体" w:hAnsi="宋体" w:eastAsia="宋体" w:cs="宋体"/>
                <w:i w:val="0"/>
                <w:iCs w:val="0"/>
                <w:color w:val="000000"/>
                <w:sz w:val="18"/>
                <w:szCs w:val="18"/>
                <w:u w:val="none"/>
              </w:rPr>
            </w:pPr>
          </w:p>
        </w:tc>
        <w:tc>
          <w:tcPr>
            <w:tcW w:w="964" w:type="dxa"/>
            <w:tcBorders>
              <w:top w:val="nil"/>
              <w:left w:val="nil"/>
              <w:bottom w:val="nil"/>
              <w:right w:val="nil"/>
            </w:tcBorders>
            <w:shd w:val="clear" w:color="auto" w:fill="auto"/>
            <w:vAlign w:val="center"/>
          </w:tcPr>
          <w:p w14:paraId="13E80FD8">
            <w:pPr>
              <w:rPr>
                <w:rFonts w:hint="eastAsia" w:ascii="宋体" w:hAnsi="宋体" w:eastAsia="宋体" w:cs="宋体"/>
                <w:i w:val="0"/>
                <w:iCs w:val="0"/>
                <w:color w:val="000000"/>
                <w:sz w:val="18"/>
                <w:szCs w:val="18"/>
                <w:u w:val="none"/>
              </w:rPr>
            </w:pPr>
          </w:p>
        </w:tc>
        <w:tc>
          <w:tcPr>
            <w:tcW w:w="1064" w:type="dxa"/>
            <w:tcBorders>
              <w:top w:val="nil"/>
              <w:left w:val="nil"/>
              <w:bottom w:val="nil"/>
              <w:right w:val="nil"/>
            </w:tcBorders>
            <w:shd w:val="clear" w:color="auto" w:fill="auto"/>
            <w:vAlign w:val="center"/>
          </w:tcPr>
          <w:p w14:paraId="5866F484">
            <w:pPr>
              <w:rPr>
                <w:rFonts w:hint="eastAsia" w:ascii="宋体" w:hAnsi="宋体" w:eastAsia="宋体" w:cs="宋体"/>
                <w:i w:val="0"/>
                <w:iCs w:val="0"/>
                <w:color w:val="000000"/>
                <w:sz w:val="18"/>
                <w:szCs w:val="18"/>
                <w:u w:val="none"/>
              </w:rPr>
            </w:pPr>
          </w:p>
        </w:tc>
        <w:tc>
          <w:tcPr>
            <w:tcW w:w="890" w:type="dxa"/>
            <w:tcBorders>
              <w:top w:val="nil"/>
              <w:left w:val="nil"/>
              <w:bottom w:val="nil"/>
              <w:right w:val="nil"/>
            </w:tcBorders>
            <w:shd w:val="clear" w:color="auto" w:fill="auto"/>
            <w:vAlign w:val="center"/>
          </w:tcPr>
          <w:p w14:paraId="03B5924A">
            <w:pPr>
              <w:rPr>
                <w:rFonts w:hint="eastAsia" w:ascii="宋体" w:hAnsi="宋体" w:eastAsia="宋体" w:cs="宋体"/>
                <w:i w:val="0"/>
                <w:iCs w:val="0"/>
                <w:color w:val="000000"/>
                <w:sz w:val="18"/>
                <w:szCs w:val="18"/>
                <w:u w:val="none"/>
              </w:rPr>
            </w:pPr>
          </w:p>
        </w:tc>
        <w:tc>
          <w:tcPr>
            <w:tcW w:w="1056" w:type="dxa"/>
            <w:tcBorders>
              <w:top w:val="nil"/>
              <w:left w:val="nil"/>
              <w:bottom w:val="nil"/>
              <w:right w:val="nil"/>
            </w:tcBorders>
            <w:shd w:val="clear" w:color="auto" w:fill="auto"/>
            <w:vAlign w:val="center"/>
          </w:tcPr>
          <w:p w14:paraId="25303B8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FCDFD2C">
            <w:pPr>
              <w:rPr>
                <w:rFonts w:hint="eastAsia" w:ascii="宋体" w:hAnsi="宋体" w:eastAsia="宋体" w:cs="宋体"/>
                <w:i w:val="0"/>
                <w:iCs w:val="0"/>
                <w:color w:val="000000"/>
                <w:sz w:val="18"/>
                <w:szCs w:val="18"/>
                <w:u w:val="none"/>
              </w:rPr>
            </w:pPr>
          </w:p>
        </w:tc>
        <w:tc>
          <w:tcPr>
            <w:tcW w:w="1071" w:type="dxa"/>
            <w:tcBorders>
              <w:top w:val="nil"/>
              <w:left w:val="nil"/>
              <w:bottom w:val="nil"/>
              <w:right w:val="nil"/>
            </w:tcBorders>
            <w:shd w:val="clear" w:color="auto" w:fill="auto"/>
            <w:vAlign w:val="center"/>
          </w:tcPr>
          <w:p w14:paraId="7D6916CC">
            <w:pPr>
              <w:rPr>
                <w:rFonts w:hint="eastAsia" w:ascii="宋体" w:hAnsi="宋体" w:eastAsia="宋体" w:cs="宋体"/>
                <w:i w:val="0"/>
                <w:iCs w:val="0"/>
                <w:color w:val="000000"/>
                <w:sz w:val="18"/>
                <w:szCs w:val="18"/>
                <w:u w:val="none"/>
              </w:rPr>
            </w:pPr>
          </w:p>
        </w:tc>
        <w:tc>
          <w:tcPr>
            <w:tcW w:w="723" w:type="dxa"/>
            <w:tcBorders>
              <w:top w:val="nil"/>
              <w:left w:val="nil"/>
              <w:bottom w:val="nil"/>
              <w:right w:val="nil"/>
            </w:tcBorders>
            <w:shd w:val="clear" w:color="auto" w:fill="auto"/>
            <w:vAlign w:val="center"/>
          </w:tcPr>
          <w:p w14:paraId="72A775CA">
            <w:pPr>
              <w:rPr>
                <w:rFonts w:hint="eastAsia" w:ascii="宋体" w:hAnsi="宋体" w:eastAsia="宋体" w:cs="宋体"/>
                <w:i w:val="0"/>
                <w:iCs w:val="0"/>
                <w:color w:val="000000"/>
                <w:sz w:val="18"/>
                <w:szCs w:val="18"/>
                <w:u w:val="none"/>
              </w:rPr>
            </w:pPr>
          </w:p>
        </w:tc>
        <w:tc>
          <w:tcPr>
            <w:tcW w:w="738" w:type="dxa"/>
            <w:tcBorders>
              <w:top w:val="nil"/>
              <w:left w:val="nil"/>
              <w:bottom w:val="nil"/>
              <w:right w:val="nil"/>
            </w:tcBorders>
            <w:shd w:val="clear" w:color="auto" w:fill="auto"/>
            <w:vAlign w:val="center"/>
          </w:tcPr>
          <w:p w14:paraId="12735CA8">
            <w:pPr>
              <w:rPr>
                <w:rFonts w:hint="eastAsia" w:ascii="宋体" w:hAnsi="宋体" w:eastAsia="宋体" w:cs="宋体"/>
                <w:i w:val="0"/>
                <w:iCs w:val="0"/>
                <w:color w:val="000000"/>
                <w:sz w:val="18"/>
                <w:szCs w:val="18"/>
                <w:u w:val="none"/>
              </w:rPr>
            </w:pPr>
          </w:p>
        </w:tc>
        <w:tc>
          <w:tcPr>
            <w:tcW w:w="829" w:type="dxa"/>
            <w:tcBorders>
              <w:top w:val="nil"/>
              <w:left w:val="nil"/>
              <w:bottom w:val="nil"/>
              <w:right w:val="nil"/>
            </w:tcBorders>
            <w:shd w:val="clear" w:color="auto" w:fill="auto"/>
            <w:vAlign w:val="center"/>
          </w:tcPr>
          <w:p w14:paraId="05F87BA7">
            <w:pPr>
              <w:rPr>
                <w:rFonts w:hint="eastAsia" w:ascii="宋体" w:hAnsi="宋体" w:eastAsia="宋体" w:cs="宋体"/>
                <w:i w:val="0"/>
                <w:iCs w:val="0"/>
                <w:color w:val="000000"/>
                <w:sz w:val="18"/>
                <w:szCs w:val="18"/>
                <w:u w:val="none"/>
              </w:rPr>
            </w:pPr>
          </w:p>
        </w:tc>
      </w:tr>
      <w:tr w14:paraId="0C79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CA859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AD4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D351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78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28D02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51000023T000008816822－广电重大科研项目《广播电视内容智慧监管关键技术研发与应用》</w:t>
            </w:r>
          </w:p>
        </w:tc>
      </w:tr>
      <w:tr w14:paraId="5B1C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9DA5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主管部门</w:t>
            </w:r>
          </w:p>
        </w:tc>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30187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四川省广播电视局部门</w:t>
            </w:r>
          </w:p>
        </w:tc>
        <w:tc>
          <w:tcPr>
            <w:tcW w:w="1071" w:type="dxa"/>
            <w:tcBorders>
              <w:top w:val="nil"/>
              <w:left w:val="nil"/>
              <w:bottom w:val="nil"/>
              <w:right w:val="nil"/>
            </w:tcBorders>
            <w:shd w:val="clear" w:color="auto" w:fill="auto"/>
            <w:vAlign w:val="center"/>
          </w:tcPr>
          <w:p w14:paraId="16E6127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实施单位 （盖章）</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7AB7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四川省广播电视科学技术研究所</w:t>
            </w:r>
          </w:p>
        </w:tc>
      </w:tr>
      <w:tr w14:paraId="46D4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81DA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项目基本情况</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36EF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1.项目年度目标完成情况</w:t>
            </w:r>
          </w:p>
        </w:tc>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6BA9B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项目年度目标</w:t>
            </w:r>
          </w:p>
        </w:tc>
        <w:tc>
          <w:tcPr>
            <w:tcW w:w="3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79214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年度目标完成情况</w:t>
            </w:r>
          </w:p>
        </w:tc>
      </w:tr>
      <w:tr w14:paraId="4535A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BE7A4">
            <w:pP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F2475">
            <w:pPr>
              <w:rPr>
                <w:rFonts w:hint="eastAsia" w:ascii="仿宋_GB2312" w:hAnsi="仿宋_GB2312" w:eastAsia="仿宋_GB2312" w:cs="仿宋_GB2312"/>
                <w:i w:val="0"/>
                <w:iCs w:val="0"/>
                <w:color w:val="000000"/>
                <w:sz w:val="21"/>
                <w:szCs w:val="21"/>
                <w:u w:val="none"/>
              </w:rPr>
            </w:pPr>
          </w:p>
        </w:tc>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B2E8A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1、完成2个县的示范应用；</w:t>
            </w:r>
          </w:p>
          <w:p w14:paraId="6C41266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2、取得知识产权3项；</w:t>
            </w:r>
          </w:p>
          <w:p w14:paraId="0464EF6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3、公开发表科技论文2篇；</w:t>
            </w:r>
          </w:p>
          <w:p w14:paraId="424C72D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4、单台设备的音视频信号采集通道数能够达到10路；</w:t>
            </w:r>
          </w:p>
          <w:p w14:paraId="7C58C0A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5、经济效益达到500万元；</w:t>
            </w:r>
          </w:p>
          <w:p w14:paraId="0C30CCE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6、提升广播电视台站播出内容的安全性，有效降低安全播出事故数。</w:t>
            </w:r>
          </w:p>
        </w:tc>
        <w:tc>
          <w:tcPr>
            <w:tcW w:w="3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41509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1、完成2个县的示范应用；</w:t>
            </w:r>
          </w:p>
          <w:p w14:paraId="76286196">
            <w:pPr>
              <w:keepNext w:val="0"/>
              <w:keepLines w:val="0"/>
              <w:widowControl/>
              <w:suppressLineNumbers w:val="0"/>
              <w:jc w:val="left"/>
              <w:textAlignment w:val="center"/>
              <w:rPr>
                <w:rStyle w:val="36"/>
                <w:rFonts w:hint="eastAsia" w:ascii="仿宋_GB2312" w:hAnsi="仿宋_GB2312" w:eastAsia="仿宋_GB2312" w:cs="仿宋_GB2312"/>
                <w:i w:val="0"/>
                <w:iCs w:val="0"/>
                <w:sz w:val="21"/>
                <w:szCs w:val="21"/>
                <w:lang w:val="en-US" w:eastAsia="zh-CN" w:bidi="ar"/>
              </w:rPr>
            </w:pPr>
            <w:r>
              <w:rPr>
                <w:rStyle w:val="36"/>
                <w:rFonts w:hint="eastAsia" w:ascii="仿宋_GB2312" w:hAnsi="仿宋_GB2312" w:eastAsia="仿宋_GB2312" w:cs="仿宋_GB2312"/>
                <w:i w:val="0"/>
                <w:iCs w:val="0"/>
                <w:sz w:val="21"/>
                <w:szCs w:val="21"/>
                <w:lang w:val="en-US" w:eastAsia="zh-CN" w:bidi="ar"/>
              </w:rPr>
              <w:t>2、已取得知识产权3项；</w:t>
            </w:r>
          </w:p>
          <w:p w14:paraId="069F5105">
            <w:pPr>
              <w:keepNext w:val="0"/>
              <w:keepLines w:val="0"/>
              <w:widowControl/>
              <w:suppressLineNumbers w:val="0"/>
              <w:jc w:val="left"/>
              <w:textAlignment w:val="center"/>
              <w:rPr>
                <w:rStyle w:val="36"/>
                <w:rFonts w:hint="eastAsia" w:ascii="仿宋_GB2312" w:hAnsi="仿宋_GB2312" w:eastAsia="仿宋_GB2312" w:cs="仿宋_GB2312"/>
                <w:i w:val="0"/>
                <w:iCs w:val="0"/>
                <w:sz w:val="21"/>
                <w:szCs w:val="21"/>
                <w:lang w:val="en-US" w:eastAsia="zh-CN" w:bidi="ar"/>
              </w:rPr>
            </w:pPr>
            <w:r>
              <w:rPr>
                <w:rStyle w:val="36"/>
                <w:rFonts w:hint="eastAsia" w:ascii="仿宋_GB2312" w:hAnsi="仿宋_GB2312" w:eastAsia="仿宋_GB2312" w:cs="仿宋_GB2312"/>
                <w:i w:val="0"/>
                <w:iCs w:val="0"/>
                <w:sz w:val="21"/>
                <w:szCs w:val="21"/>
                <w:lang w:val="en-US" w:eastAsia="zh-CN" w:bidi="ar"/>
              </w:rPr>
              <w:t>3、已公开发表科技论文2篇；</w:t>
            </w:r>
          </w:p>
          <w:p w14:paraId="4CAB0558">
            <w:pPr>
              <w:keepNext w:val="0"/>
              <w:keepLines w:val="0"/>
              <w:widowControl/>
              <w:suppressLineNumbers w:val="0"/>
              <w:jc w:val="left"/>
              <w:textAlignment w:val="center"/>
              <w:rPr>
                <w:rStyle w:val="36"/>
                <w:rFonts w:hint="eastAsia" w:ascii="仿宋_GB2312" w:hAnsi="仿宋_GB2312" w:eastAsia="仿宋_GB2312" w:cs="仿宋_GB2312"/>
                <w:i w:val="0"/>
                <w:iCs w:val="0"/>
                <w:sz w:val="21"/>
                <w:szCs w:val="21"/>
                <w:lang w:val="en-US" w:eastAsia="zh-CN" w:bidi="ar"/>
              </w:rPr>
            </w:pPr>
            <w:r>
              <w:rPr>
                <w:rStyle w:val="36"/>
                <w:rFonts w:hint="eastAsia" w:ascii="仿宋_GB2312" w:hAnsi="仿宋_GB2312" w:eastAsia="仿宋_GB2312" w:cs="仿宋_GB2312"/>
                <w:i w:val="0"/>
                <w:iCs w:val="0"/>
                <w:sz w:val="21"/>
                <w:szCs w:val="21"/>
                <w:lang w:val="en-US" w:eastAsia="zh-CN" w:bidi="ar"/>
              </w:rPr>
              <w:t>4、单台设备的音视频信号采集通道数能够达到10路；</w:t>
            </w:r>
          </w:p>
          <w:p w14:paraId="30DB3440">
            <w:pPr>
              <w:keepNext w:val="0"/>
              <w:keepLines w:val="0"/>
              <w:widowControl/>
              <w:suppressLineNumbers w:val="0"/>
              <w:jc w:val="left"/>
              <w:textAlignment w:val="center"/>
              <w:rPr>
                <w:rStyle w:val="36"/>
                <w:rFonts w:hint="eastAsia" w:ascii="仿宋_GB2312" w:hAnsi="仿宋_GB2312" w:eastAsia="仿宋_GB2312" w:cs="仿宋_GB2312"/>
                <w:i w:val="0"/>
                <w:iCs w:val="0"/>
                <w:sz w:val="21"/>
                <w:szCs w:val="21"/>
                <w:lang w:val="en-US" w:eastAsia="zh-CN" w:bidi="ar"/>
              </w:rPr>
            </w:pPr>
            <w:r>
              <w:rPr>
                <w:rStyle w:val="36"/>
                <w:rFonts w:hint="eastAsia" w:ascii="仿宋_GB2312" w:hAnsi="仿宋_GB2312" w:eastAsia="仿宋_GB2312" w:cs="仿宋_GB2312"/>
                <w:i w:val="0"/>
                <w:iCs w:val="0"/>
                <w:sz w:val="21"/>
                <w:szCs w:val="21"/>
                <w:lang w:val="en-US" w:eastAsia="zh-CN" w:bidi="ar"/>
              </w:rPr>
              <w:t>5、经济效益达到500万元；</w:t>
            </w:r>
          </w:p>
          <w:p w14:paraId="44FCD2C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Style w:val="36"/>
                <w:rFonts w:hint="eastAsia" w:ascii="仿宋_GB2312" w:hAnsi="仿宋_GB2312" w:eastAsia="仿宋_GB2312" w:cs="仿宋_GB2312"/>
                <w:i w:val="0"/>
                <w:iCs w:val="0"/>
                <w:sz w:val="21"/>
                <w:szCs w:val="21"/>
                <w:lang w:val="en-US" w:eastAsia="zh-CN" w:bidi="ar"/>
              </w:rPr>
              <w:t>6、提升广播电视台站播出内容的安全性，有效发现安全播出事故隐患。</w:t>
            </w:r>
          </w:p>
        </w:tc>
      </w:tr>
      <w:tr w14:paraId="5A18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F2635">
            <w:pP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6F4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2.项目实施内容及过程概述</w:t>
            </w:r>
          </w:p>
        </w:tc>
        <w:tc>
          <w:tcPr>
            <w:tcW w:w="78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9FB6D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    技术研发方面：进行关键技术研发，实现音频智能分析识别精度不低于90%，实现视频智能识别精度不低于90%，实现文字智能识别精度不低于90%，实现单台设备音视频信号采集通道数达到10路。</w:t>
            </w:r>
          </w:p>
          <w:p w14:paraId="5355F1A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    知识产权方面：取得知识产权3项，公开发表科技论文2篇；</w:t>
            </w:r>
          </w:p>
          <w:p w14:paraId="1E33D22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应用推广方面，在2个县进行示范应用，有效提升广播电视内容监管与智慧分析能力，经济效益达到500万元。</w:t>
            </w:r>
          </w:p>
        </w:tc>
      </w:tr>
      <w:tr w14:paraId="3976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E9E7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预算执行情况（10分）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0F4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年度预算数（万元）</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659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年初预算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F25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调整后预算数</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E665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065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4B4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权重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EC5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460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原因</w:t>
            </w:r>
          </w:p>
        </w:tc>
      </w:tr>
      <w:tr w14:paraId="77E0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12804">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9E5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总额</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F19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D44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03D0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AA5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90C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9A2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C9A6B">
            <w:pPr>
              <w:rPr>
                <w:rFonts w:hint="eastAsia" w:ascii="仿宋_GB2312" w:hAnsi="仿宋_GB2312" w:eastAsia="仿宋_GB2312" w:cs="仿宋_GB2312"/>
                <w:i w:val="0"/>
                <w:iCs w:val="0"/>
                <w:color w:val="000000"/>
                <w:sz w:val="21"/>
                <w:szCs w:val="21"/>
                <w:u w:val="none"/>
              </w:rPr>
            </w:pPr>
          </w:p>
        </w:tc>
      </w:tr>
      <w:tr w14:paraId="4CC0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6E402">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833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其中：财政资金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80D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796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91EF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14A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F47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D2E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3C7A">
            <w:pPr>
              <w:rPr>
                <w:rFonts w:hint="eastAsia" w:ascii="仿宋_GB2312" w:hAnsi="仿宋_GB2312" w:eastAsia="仿宋_GB2312" w:cs="仿宋_GB2312"/>
                <w:i w:val="0"/>
                <w:iCs w:val="0"/>
                <w:color w:val="000000"/>
                <w:sz w:val="21"/>
                <w:szCs w:val="21"/>
                <w:u w:val="none"/>
              </w:rPr>
            </w:pPr>
          </w:p>
        </w:tc>
      </w:tr>
      <w:tr w14:paraId="0CE6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281FE">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4E1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财政专户管理资金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EE4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A47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0D6E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B14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976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AD6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1FB9A">
            <w:pPr>
              <w:rPr>
                <w:rFonts w:hint="eastAsia" w:ascii="仿宋_GB2312" w:hAnsi="仿宋_GB2312" w:eastAsia="仿宋_GB2312" w:cs="仿宋_GB2312"/>
                <w:i w:val="0"/>
                <w:iCs w:val="0"/>
                <w:color w:val="000000"/>
                <w:sz w:val="21"/>
                <w:szCs w:val="21"/>
                <w:u w:val="none"/>
              </w:rPr>
            </w:pPr>
          </w:p>
        </w:tc>
      </w:tr>
      <w:tr w14:paraId="40D4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6EA37">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256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2AD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94A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26DA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E1E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617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566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2D7D7">
            <w:pPr>
              <w:rPr>
                <w:rFonts w:hint="eastAsia" w:ascii="仿宋_GB2312" w:hAnsi="仿宋_GB2312" w:eastAsia="仿宋_GB2312" w:cs="仿宋_GB2312"/>
                <w:i w:val="0"/>
                <w:iCs w:val="0"/>
                <w:color w:val="000000"/>
                <w:sz w:val="21"/>
                <w:szCs w:val="21"/>
                <w:u w:val="none"/>
              </w:rPr>
            </w:pPr>
          </w:p>
        </w:tc>
      </w:tr>
      <w:tr w14:paraId="0178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14CA3">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87C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29BE">
            <w:pPr>
              <w:jc w:val="center"/>
              <w:rPr>
                <w:rFonts w:hint="eastAsia" w:ascii="仿宋_GB2312" w:hAnsi="仿宋_GB2312" w:eastAsia="仿宋_GB2312" w:cs="仿宋_GB2312"/>
                <w:i w:val="0"/>
                <w:iCs w:val="0"/>
                <w:color w:val="000000"/>
                <w:sz w:val="21"/>
                <w:szCs w:val="21"/>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8CC5">
            <w:pPr>
              <w:jc w:val="center"/>
              <w:rPr>
                <w:rFonts w:hint="eastAsia" w:ascii="仿宋_GB2312" w:hAnsi="仿宋_GB2312" w:eastAsia="仿宋_GB2312" w:cs="仿宋_GB2312"/>
                <w:i w:val="0"/>
                <w:iCs w:val="0"/>
                <w:color w:val="000000"/>
                <w:sz w:val="21"/>
                <w:szCs w:val="21"/>
                <w:u w:val="none"/>
              </w:rPr>
            </w:pP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7AE38">
            <w:pPr>
              <w:jc w:val="center"/>
              <w:rPr>
                <w:rFonts w:hint="eastAsia" w:ascii="仿宋_GB2312" w:hAnsi="仿宋_GB2312" w:eastAsia="仿宋_GB2312" w:cs="仿宋_GB2312"/>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A656">
            <w:pPr>
              <w:jc w:val="center"/>
              <w:rPr>
                <w:rFonts w:hint="eastAsia" w:ascii="仿宋_GB2312" w:hAnsi="仿宋_GB2312" w:eastAsia="仿宋_GB2312" w:cs="仿宋_GB2312"/>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A03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105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4871E">
            <w:pPr>
              <w:rPr>
                <w:rFonts w:hint="eastAsia" w:ascii="仿宋_GB2312" w:hAnsi="仿宋_GB2312" w:eastAsia="仿宋_GB2312" w:cs="仿宋_GB2312"/>
                <w:i w:val="0"/>
                <w:iCs w:val="0"/>
                <w:color w:val="000000"/>
                <w:sz w:val="21"/>
                <w:szCs w:val="21"/>
                <w:u w:val="none"/>
              </w:rPr>
            </w:pPr>
          </w:p>
        </w:tc>
      </w:tr>
      <w:tr w14:paraId="149BF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C188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绩效指标（90分）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4C2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AFB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BEC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三级指标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E81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指标性质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915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指标值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E79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度量单位</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4D5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完成值</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93E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权重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9F3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540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未完成原因分析</w:t>
            </w:r>
          </w:p>
        </w:tc>
      </w:tr>
      <w:tr w14:paraId="6E4D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0B78">
            <w:pPr>
              <w:jc w:val="center"/>
              <w:rPr>
                <w:rFonts w:hint="eastAsia" w:ascii="仿宋_GB2312" w:hAnsi="仿宋_GB2312" w:eastAsia="仿宋_GB2312" w:cs="仿宋_GB2312"/>
                <w:i w:val="0"/>
                <w:iCs w:val="0"/>
                <w:color w:val="000000"/>
                <w:sz w:val="21"/>
                <w:szCs w:val="21"/>
                <w:u w:val="none"/>
              </w:rPr>
            </w:pP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F76E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产出指标</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8024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551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发表论文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462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BB7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0C1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3C3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3E6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6D6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1D6B">
            <w:pPr>
              <w:jc w:val="center"/>
              <w:rPr>
                <w:rFonts w:hint="eastAsia" w:ascii="仿宋_GB2312" w:hAnsi="仿宋_GB2312" w:eastAsia="仿宋_GB2312" w:cs="仿宋_GB2312"/>
                <w:i w:val="0"/>
                <w:iCs w:val="0"/>
                <w:color w:val="000000"/>
                <w:sz w:val="21"/>
                <w:szCs w:val="21"/>
                <w:u w:val="none"/>
              </w:rPr>
            </w:pPr>
          </w:p>
        </w:tc>
      </w:tr>
      <w:tr w14:paraId="0D511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0853C">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4ECCA">
            <w:pPr>
              <w:jc w:val="center"/>
              <w:rPr>
                <w:rFonts w:hint="eastAsia" w:ascii="仿宋_GB2312" w:hAnsi="仿宋_GB2312" w:eastAsia="仿宋_GB2312" w:cs="仿宋_GB2312"/>
                <w:i w:val="0"/>
                <w:iCs w:val="0"/>
                <w:color w:val="000000"/>
                <w:sz w:val="21"/>
                <w:szCs w:val="21"/>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09A40">
            <w:pPr>
              <w:jc w:val="center"/>
              <w:rPr>
                <w:rFonts w:hint="eastAsia" w:ascii="仿宋_GB2312" w:hAnsi="仿宋_GB2312" w:eastAsia="仿宋_GB2312" w:cs="仿宋_GB2312"/>
                <w:i w:val="0"/>
                <w:iCs w:val="0"/>
                <w:color w:val="000000"/>
                <w:sz w:val="21"/>
                <w:szCs w:val="21"/>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E2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推广应用完成情况</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F91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69F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EE6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份/县</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F0F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9FF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BFA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2312">
            <w:pPr>
              <w:jc w:val="center"/>
              <w:rPr>
                <w:rFonts w:hint="eastAsia" w:ascii="仿宋_GB2312" w:hAnsi="仿宋_GB2312" w:eastAsia="仿宋_GB2312" w:cs="仿宋_GB2312"/>
                <w:i w:val="0"/>
                <w:iCs w:val="0"/>
                <w:color w:val="000000"/>
                <w:sz w:val="21"/>
                <w:szCs w:val="21"/>
                <w:u w:val="none"/>
              </w:rPr>
            </w:pPr>
          </w:p>
        </w:tc>
      </w:tr>
      <w:tr w14:paraId="5A19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53C1C">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CB36F">
            <w:pPr>
              <w:jc w:val="center"/>
              <w:rPr>
                <w:rFonts w:hint="eastAsia" w:ascii="仿宋_GB2312" w:hAnsi="仿宋_GB2312" w:eastAsia="仿宋_GB2312" w:cs="仿宋_GB2312"/>
                <w:i w:val="0"/>
                <w:iCs w:val="0"/>
                <w:color w:val="000000"/>
                <w:sz w:val="21"/>
                <w:szCs w:val="21"/>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0B66A">
            <w:pPr>
              <w:jc w:val="center"/>
              <w:rPr>
                <w:rFonts w:hint="eastAsia" w:ascii="仿宋_GB2312" w:hAnsi="仿宋_GB2312" w:eastAsia="仿宋_GB2312" w:cs="仿宋_GB2312"/>
                <w:i w:val="0"/>
                <w:iCs w:val="0"/>
                <w:color w:val="000000"/>
                <w:sz w:val="21"/>
                <w:szCs w:val="21"/>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113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形成知识产权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332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0E3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91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CF2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D12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BA1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0052">
            <w:pPr>
              <w:jc w:val="center"/>
              <w:rPr>
                <w:rFonts w:hint="eastAsia" w:ascii="仿宋_GB2312" w:hAnsi="仿宋_GB2312" w:eastAsia="仿宋_GB2312" w:cs="仿宋_GB2312"/>
                <w:i w:val="0"/>
                <w:iCs w:val="0"/>
                <w:color w:val="000000"/>
                <w:sz w:val="21"/>
                <w:szCs w:val="21"/>
                <w:u w:val="none"/>
              </w:rPr>
            </w:pPr>
          </w:p>
        </w:tc>
      </w:tr>
      <w:tr w14:paraId="6E82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E9124">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738EF">
            <w:pPr>
              <w:jc w:val="center"/>
              <w:rPr>
                <w:rFonts w:hint="eastAsia" w:ascii="仿宋_GB2312" w:hAnsi="仿宋_GB2312" w:eastAsia="仿宋_GB2312" w:cs="仿宋_GB2312"/>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554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260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单台设备的音视频信号采集通道数</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BD9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797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944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路</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D6B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F6C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BAF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2543">
            <w:pPr>
              <w:jc w:val="center"/>
              <w:rPr>
                <w:rFonts w:hint="eastAsia" w:ascii="仿宋_GB2312" w:hAnsi="仿宋_GB2312" w:eastAsia="仿宋_GB2312" w:cs="仿宋_GB2312"/>
                <w:i w:val="0"/>
                <w:iCs w:val="0"/>
                <w:color w:val="000000"/>
                <w:sz w:val="21"/>
                <w:szCs w:val="21"/>
                <w:u w:val="none"/>
              </w:rPr>
            </w:pPr>
          </w:p>
        </w:tc>
      </w:tr>
      <w:tr w14:paraId="0963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CCEC4">
            <w:pPr>
              <w:jc w:val="center"/>
              <w:rPr>
                <w:rFonts w:hint="eastAsia" w:ascii="仿宋_GB2312" w:hAnsi="仿宋_GB2312" w:eastAsia="仿宋_GB2312" w:cs="仿宋_GB2312"/>
                <w:i w:val="0"/>
                <w:iCs w:val="0"/>
                <w:color w:val="000000"/>
                <w:sz w:val="21"/>
                <w:szCs w:val="21"/>
                <w:u w:val="none"/>
              </w:rPr>
            </w:pP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9738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0D3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经济效益指标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AD7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应用推广和技术服务合同</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82A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282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A1F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万元</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0AE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C00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255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95D9">
            <w:pPr>
              <w:jc w:val="center"/>
              <w:rPr>
                <w:rFonts w:hint="eastAsia" w:ascii="仿宋_GB2312" w:hAnsi="仿宋_GB2312" w:eastAsia="仿宋_GB2312" w:cs="仿宋_GB2312"/>
                <w:i w:val="0"/>
                <w:iCs w:val="0"/>
                <w:color w:val="000000"/>
                <w:sz w:val="21"/>
                <w:szCs w:val="21"/>
                <w:u w:val="none"/>
              </w:rPr>
            </w:pPr>
          </w:p>
        </w:tc>
      </w:tr>
      <w:tr w14:paraId="1F1E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CBFC6">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99F9D">
            <w:pPr>
              <w:jc w:val="center"/>
              <w:rPr>
                <w:rFonts w:hint="eastAsia" w:ascii="仿宋_GB2312" w:hAnsi="仿宋_GB2312" w:eastAsia="仿宋_GB2312" w:cs="仿宋_GB2312"/>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746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661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提升广播电视台站播出内容的安全性</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D5A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定性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535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有效降低安全播出事故数</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E825">
            <w:pPr>
              <w:jc w:val="center"/>
              <w:rPr>
                <w:rFonts w:hint="eastAsia" w:ascii="仿宋_GB2312" w:hAnsi="仿宋_GB2312" w:eastAsia="仿宋_GB2312" w:cs="仿宋_GB2312"/>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DA1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有效降低安全播出事故数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C06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130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6D56">
            <w:pPr>
              <w:jc w:val="center"/>
              <w:rPr>
                <w:rFonts w:hint="eastAsia" w:ascii="仿宋_GB2312" w:hAnsi="仿宋_GB2312" w:eastAsia="仿宋_GB2312" w:cs="仿宋_GB2312"/>
                <w:i w:val="0"/>
                <w:iCs w:val="0"/>
                <w:color w:val="000000"/>
                <w:sz w:val="21"/>
                <w:szCs w:val="21"/>
                <w:u w:val="none"/>
              </w:rPr>
            </w:pPr>
          </w:p>
        </w:tc>
      </w:tr>
      <w:tr w14:paraId="22E3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6887B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A8B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28C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108B">
            <w:pPr>
              <w:rPr>
                <w:rFonts w:hint="eastAsia" w:ascii="仿宋_GB2312" w:hAnsi="仿宋_GB2312" w:eastAsia="仿宋_GB2312" w:cs="仿宋_GB2312"/>
                <w:i w:val="0"/>
                <w:iCs w:val="0"/>
                <w:color w:val="000000"/>
                <w:sz w:val="21"/>
                <w:szCs w:val="21"/>
                <w:u w:val="none"/>
              </w:rPr>
            </w:pPr>
          </w:p>
        </w:tc>
      </w:tr>
      <w:tr w14:paraId="2DF4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6FD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评价结论</w:t>
            </w:r>
          </w:p>
        </w:tc>
        <w:tc>
          <w:tcPr>
            <w:tcW w:w="87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1C545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     项目自评总分：100分。    </w:t>
            </w:r>
          </w:p>
          <w:p w14:paraId="5538D875">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项目实施取得的成效或成果：本项目在2023年，完成年度各项任务目标，为项目最终任务全面完成奠定了坚实的基础。技术方面，完成关键技术的年度研发目标，基本完成项目研发任务，实现音视频与文字智能分析识别精度不低于90%，实现单台设备音视频信号采集通道数达到10路；知识产权方面：取得知识产权3项，公开发表科技论文2篇；应用推广方面，在2个县进行示范应用，有效提升广播电视内容监管与智慧分析能力，经济效益达到500万元。</w:t>
            </w:r>
          </w:p>
        </w:tc>
      </w:tr>
      <w:tr w14:paraId="4816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612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存在问题</w:t>
            </w:r>
          </w:p>
        </w:tc>
        <w:tc>
          <w:tcPr>
            <w:tcW w:w="87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5651C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本项目在实施过程中，还存在系统稳定性有待进一步提高，对广播电视台的需求针对性还需加强等问题，其原因为系统测试不足，应用示范调研需要更加广泛和深入。</w:t>
            </w:r>
          </w:p>
        </w:tc>
      </w:tr>
      <w:tr w14:paraId="0F76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D06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改进措施</w:t>
            </w:r>
          </w:p>
        </w:tc>
        <w:tc>
          <w:tcPr>
            <w:tcW w:w="87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CCC238">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在接下来的项目实施过程中，将进一步加强系统集成测试与稳定性测试，完成对系统的进一步优化。同时，加强应用示范工作，更广范围，更深程度调研广播电视行业应用需求，更好地完成项目的各项任务。</w:t>
            </w:r>
          </w:p>
        </w:tc>
      </w:tr>
      <w:tr w14:paraId="7E13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tcBorders>
              <w:top w:val="nil"/>
              <w:left w:val="nil"/>
              <w:bottom w:val="nil"/>
              <w:right w:val="nil"/>
            </w:tcBorders>
            <w:shd w:val="clear" w:color="auto" w:fill="auto"/>
            <w:vAlign w:val="center"/>
          </w:tcPr>
          <w:p w14:paraId="21E83FED">
            <w:pPr>
              <w:rPr>
                <w:rFonts w:hint="eastAsia" w:ascii="宋体" w:hAnsi="宋体" w:eastAsia="宋体" w:cs="宋体"/>
                <w:i w:val="0"/>
                <w:iCs w:val="0"/>
                <w:color w:val="000000"/>
                <w:sz w:val="18"/>
                <w:szCs w:val="18"/>
                <w:u w:val="none"/>
              </w:rPr>
            </w:pPr>
          </w:p>
          <w:p w14:paraId="71C4FDFE">
            <w:pPr>
              <w:pStyle w:val="2"/>
              <w:rPr>
                <w:rFonts w:hint="eastAsia"/>
              </w:rPr>
            </w:pPr>
          </w:p>
        </w:tc>
        <w:tc>
          <w:tcPr>
            <w:tcW w:w="914" w:type="dxa"/>
            <w:tcBorders>
              <w:top w:val="nil"/>
              <w:left w:val="nil"/>
              <w:bottom w:val="nil"/>
              <w:right w:val="nil"/>
            </w:tcBorders>
            <w:shd w:val="clear" w:color="auto" w:fill="auto"/>
            <w:vAlign w:val="center"/>
          </w:tcPr>
          <w:p w14:paraId="032811D8">
            <w:pPr>
              <w:rPr>
                <w:rFonts w:hint="eastAsia" w:ascii="宋体" w:hAnsi="宋体" w:eastAsia="宋体" w:cs="宋体"/>
                <w:i w:val="0"/>
                <w:iCs w:val="0"/>
                <w:color w:val="000000"/>
                <w:sz w:val="18"/>
                <w:szCs w:val="18"/>
                <w:u w:val="none"/>
              </w:rPr>
            </w:pPr>
          </w:p>
        </w:tc>
        <w:tc>
          <w:tcPr>
            <w:tcW w:w="964" w:type="dxa"/>
            <w:tcBorders>
              <w:top w:val="nil"/>
              <w:left w:val="nil"/>
              <w:bottom w:val="nil"/>
              <w:right w:val="nil"/>
            </w:tcBorders>
            <w:shd w:val="clear" w:color="auto" w:fill="auto"/>
            <w:vAlign w:val="center"/>
          </w:tcPr>
          <w:p w14:paraId="5864DEFF">
            <w:pPr>
              <w:rPr>
                <w:rFonts w:hint="eastAsia" w:ascii="宋体" w:hAnsi="宋体" w:eastAsia="宋体" w:cs="宋体"/>
                <w:i w:val="0"/>
                <w:iCs w:val="0"/>
                <w:color w:val="000000"/>
                <w:sz w:val="18"/>
                <w:szCs w:val="18"/>
                <w:u w:val="none"/>
              </w:rPr>
            </w:pPr>
          </w:p>
        </w:tc>
        <w:tc>
          <w:tcPr>
            <w:tcW w:w="1064" w:type="dxa"/>
            <w:tcBorders>
              <w:top w:val="nil"/>
              <w:left w:val="nil"/>
              <w:bottom w:val="nil"/>
              <w:right w:val="nil"/>
            </w:tcBorders>
            <w:shd w:val="clear" w:color="auto" w:fill="auto"/>
            <w:vAlign w:val="center"/>
          </w:tcPr>
          <w:p w14:paraId="66068A64">
            <w:pPr>
              <w:rPr>
                <w:rFonts w:hint="eastAsia" w:ascii="宋体" w:hAnsi="宋体" w:eastAsia="宋体" w:cs="宋体"/>
                <w:i w:val="0"/>
                <w:iCs w:val="0"/>
                <w:color w:val="000000"/>
                <w:sz w:val="18"/>
                <w:szCs w:val="18"/>
                <w:u w:val="none"/>
              </w:rPr>
            </w:pPr>
          </w:p>
        </w:tc>
        <w:tc>
          <w:tcPr>
            <w:tcW w:w="890" w:type="dxa"/>
            <w:tcBorders>
              <w:top w:val="nil"/>
              <w:left w:val="nil"/>
              <w:bottom w:val="nil"/>
              <w:right w:val="nil"/>
            </w:tcBorders>
            <w:shd w:val="clear" w:color="auto" w:fill="auto"/>
            <w:vAlign w:val="center"/>
          </w:tcPr>
          <w:p w14:paraId="2742526F">
            <w:pPr>
              <w:rPr>
                <w:rFonts w:hint="eastAsia" w:ascii="宋体" w:hAnsi="宋体" w:eastAsia="宋体" w:cs="宋体"/>
                <w:i w:val="0"/>
                <w:iCs w:val="0"/>
                <w:color w:val="000000"/>
                <w:sz w:val="18"/>
                <w:szCs w:val="18"/>
                <w:u w:val="none"/>
              </w:rPr>
            </w:pPr>
          </w:p>
        </w:tc>
        <w:tc>
          <w:tcPr>
            <w:tcW w:w="1056" w:type="dxa"/>
            <w:tcBorders>
              <w:top w:val="nil"/>
              <w:left w:val="nil"/>
              <w:bottom w:val="nil"/>
              <w:right w:val="nil"/>
            </w:tcBorders>
            <w:shd w:val="clear" w:color="auto" w:fill="auto"/>
            <w:vAlign w:val="center"/>
          </w:tcPr>
          <w:p w14:paraId="46585A3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88E6760">
            <w:pPr>
              <w:rPr>
                <w:rFonts w:hint="eastAsia" w:ascii="宋体" w:hAnsi="宋体" w:eastAsia="宋体" w:cs="宋体"/>
                <w:i w:val="0"/>
                <w:iCs w:val="0"/>
                <w:color w:val="000000"/>
                <w:sz w:val="18"/>
                <w:szCs w:val="18"/>
                <w:u w:val="none"/>
              </w:rPr>
            </w:pPr>
          </w:p>
        </w:tc>
        <w:tc>
          <w:tcPr>
            <w:tcW w:w="1071" w:type="dxa"/>
            <w:tcBorders>
              <w:top w:val="nil"/>
              <w:left w:val="nil"/>
              <w:bottom w:val="nil"/>
              <w:right w:val="nil"/>
            </w:tcBorders>
            <w:shd w:val="clear" w:color="auto" w:fill="auto"/>
            <w:vAlign w:val="center"/>
          </w:tcPr>
          <w:p w14:paraId="16DE6531">
            <w:pPr>
              <w:rPr>
                <w:rFonts w:hint="eastAsia" w:ascii="宋体" w:hAnsi="宋体" w:eastAsia="宋体" w:cs="宋体"/>
                <w:i w:val="0"/>
                <w:iCs w:val="0"/>
                <w:color w:val="000000"/>
                <w:sz w:val="18"/>
                <w:szCs w:val="18"/>
                <w:u w:val="none"/>
              </w:rPr>
            </w:pPr>
          </w:p>
        </w:tc>
        <w:tc>
          <w:tcPr>
            <w:tcW w:w="723" w:type="dxa"/>
            <w:tcBorders>
              <w:top w:val="nil"/>
              <w:left w:val="nil"/>
              <w:bottom w:val="nil"/>
              <w:right w:val="nil"/>
            </w:tcBorders>
            <w:shd w:val="clear" w:color="auto" w:fill="auto"/>
            <w:vAlign w:val="center"/>
          </w:tcPr>
          <w:p w14:paraId="05ECCC89">
            <w:pPr>
              <w:rPr>
                <w:rFonts w:hint="eastAsia" w:ascii="宋体" w:hAnsi="宋体" w:eastAsia="宋体" w:cs="宋体"/>
                <w:i w:val="0"/>
                <w:iCs w:val="0"/>
                <w:color w:val="000000"/>
                <w:sz w:val="18"/>
                <w:szCs w:val="18"/>
                <w:u w:val="none"/>
              </w:rPr>
            </w:pPr>
          </w:p>
        </w:tc>
        <w:tc>
          <w:tcPr>
            <w:tcW w:w="738" w:type="dxa"/>
            <w:tcBorders>
              <w:top w:val="nil"/>
              <w:left w:val="nil"/>
              <w:bottom w:val="nil"/>
              <w:right w:val="nil"/>
            </w:tcBorders>
            <w:shd w:val="clear" w:color="auto" w:fill="auto"/>
            <w:vAlign w:val="center"/>
          </w:tcPr>
          <w:p w14:paraId="551FC235">
            <w:pPr>
              <w:rPr>
                <w:rFonts w:hint="eastAsia" w:ascii="宋体" w:hAnsi="宋体" w:eastAsia="宋体" w:cs="宋体"/>
                <w:i w:val="0"/>
                <w:iCs w:val="0"/>
                <w:color w:val="000000"/>
                <w:sz w:val="18"/>
                <w:szCs w:val="18"/>
                <w:u w:val="none"/>
              </w:rPr>
            </w:pPr>
          </w:p>
        </w:tc>
        <w:tc>
          <w:tcPr>
            <w:tcW w:w="829" w:type="dxa"/>
            <w:tcBorders>
              <w:top w:val="nil"/>
              <w:left w:val="nil"/>
              <w:bottom w:val="nil"/>
              <w:right w:val="nil"/>
            </w:tcBorders>
            <w:shd w:val="clear" w:color="auto" w:fill="auto"/>
            <w:vAlign w:val="center"/>
          </w:tcPr>
          <w:p w14:paraId="2D764E26">
            <w:pPr>
              <w:rPr>
                <w:rFonts w:hint="eastAsia" w:ascii="宋体" w:hAnsi="宋体" w:eastAsia="宋体" w:cs="宋体"/>
                <w:i w:val="0"/>
                <w:iCs w:val="0"/>
                <w:color w:val="000000"/>
                <w:sz w:val="18"/>
                <w:szCs w:val="18"/>
                <w:u w:val="none"/>
              </w:rPr>
            </w:pPr>
          </w:p>
        </w:tc>
      </w:tr>
      <w:tr w14:paraId="1FAC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5BC82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087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B888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78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B64A5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51000023T000009698303－房改售房资金（公共区域维修）</w:t>
            </w:r>
          </w:p>
        </w:tc>
      </w:tr>
      <w:tr w14:paraId="43E6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25BA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主管部门</w:t>
            </w:r>
          </w:p>
        </w:tc>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42C74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四川省广播电视局部门</w:t>
            </w:r>
          </w:p>
        </w:tc>
        <w:tc>
          <w:tcPr>
            <w:tcW w:w="1071" w:type="dxa"/>
            <w:tcBorders>
              <w:top w:val="nil"/>
              <w:left w:val="nil"/>
              <w:bottom w:val="nil"/>
              <w:right w:val="nil"/>
            </w:tcBorders>
            <w:shd w:val="clear" w:color="auto" w:fill="auto"/>
            <w:vAlign w:val="center"/>
          </w:tcPr>
          <w:p w14:paraId="24DBE86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实施单位 （盖章）</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3377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四川省广播电视科学技术研究所</w:t>
            </w:r>
          </w:p>
        </w:tc>
      </w:tr>
      <w:tr w14:paraId="7740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4D48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项目基本情况</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7F21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1.项目年度目标完成情况</w:t>
            </w:r>
          </w:p>
        </w:tc>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849BC5">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项目年度目标</w:t>
            </w:r>
          </w:p>
        </w:tc>
        <w:tc>
          <w:tcPr>
            <w:tcW w:w="3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BADE3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年度目标完成情况</w:t>
            </w:r>
          </w:p>
        </w:tc>
      </w:tr>
      <w:tr w14:paraId="70C0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C2D9F">
            <w:pP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EEEF">
            <w:pPr>
              <w:rPr>
                <w:rFonts w:hint="eastAsia" w:ascii="仿宋_GB2312" w:hAnsi="仿宋_GB2312" w:eastAsia="仿宋_GB2312" w:cs="仿宋_GB2312"/>
                <w:i w:val="0"/>
                <w:iCs w:val="0"/>
                <w:color w:val="000000"/>
                <w:sz w:val="21"/>
                <w:szCs w:val="21"/>
                <w:u w:val="none"/>
              </w:rPr>
            </w:pPr>
          </w:p>
        </w:tc>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F6924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lang w:eastAsia="zh-CN"/>
              </w:rPr>
              <w:t>该项为职工以前购房时缴纳的住房维修基金，</w:t>
            </w:r>
            <w:r>
              <w:rPr>
                <w:rFonts w:hint="eastAsia" w:ascii="仿宋_GB2312" w:hAnsi="仿宋_GB2312" w:eastAsia="仿宋_GB2312" w:cs="仿宋_GB2312"/>
                <w:b w:val="0"/>
                <w:bCs w:val="0"/>
                <w:i w:val="0"/>
                <w:iCs w:val="0"/>
                <w:color w:val="000000"/>
                <w:kern w:val="0"/>
                <w:sz w:val="21"/>
                <w:szCs w:val="21"/>
              </w:rPr>
              <w:t>为解决</w:t>
            </w:r>
            <w:r>
              <w:rPr>
                <w:rFonts w:hint="eastAsia" w:ascii="仿宋_GB2312" w:hAnsi="仿宋_GB2312" w:eastAsia="仿宋_GB2312" w:cs="仿宋_GB2312"/>
                <w:b w:val="0"/>
                <w:bCs w:val="0"/>
                <w:i w:val="0"/>
                <w:iCs w:val="0"/>
                <w:color w:val="000000"/>
                <w:kern w:val="0"/>
                <w:sz w:val="21"/>
                <w:szCs w:val="21"/>
                <w:lang w:eastAsia="zh-CN"/>
              </w:rPr>
              <w:t>职工住宅区</w:t>
            </w:r>
            <w:r>
              <w:rPr>
                <w:rFonts w:hint="eastAsia" w:ascii="仿宋_GB2312" w:hAnsi="仿宋_GB2312" w:eastAsia="仿宋_GB2312" w:cs="仿宋_GB2312"/>
                <w:b w:val="0"/>
                <w:bCs w:val="0"/>
                <w:i w:val="0"/>
                <w:iCs w:val="0"/>
                <w:color w:val="000000"/>
                <w:kern w:val="0"/>
                <w:sz w:val="21"/>
                <w:szCs w:val="21"/>
              </w:rPr>
              <w:t>屋顶渗漏水，需进行修缮和防水改造，对约350平方米房屋区域进行修缮。</w:t>
            </w:r>
          </w:p>
        </w:tc>
        <w:tc>
          <w:tcPr>
            <w:tcW w:w="3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FC9B5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按计划完成了项目施工，解决了屋顶漏水。</w:t>
            </w:r>
          </w:p>
        </w:tc>
      </w:tr>
      <w:tr w14:paraId="22EB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335BD">
            <w:pP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1C7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2.项目实施内容及过程概述</w:t>
            </w:r>
          </w:p>
        </w:tc>
        <w:tc>
          <w:tcPr>
            <w:tcW w:w="78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8FF04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按合同施工方案，对约350平方米房屋区域进行防水改造修缮。过程概述：1.机关事务管理局现场勘察；2.工人对屋顶350平方米区域进行清理，垃圾清运过后调运建筑材料入场；3，工人按照安全生产规范施工。</w:t>
            </w:r>
          </w:p>
        </w:tc>
      </w:tr>
      <w:tr w14:paraId="7E2D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DDA0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预算执行情况（10分）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A9E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年度预算数（万元）</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277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年初预算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956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调整后预算数</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00D27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AF1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E4A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权重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483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9CA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原因</w:t>
            </w:r>
          </w:p>
        </w:tc>
      </w:tr>
      <w:tr w14:paraId="6270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F53C3">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648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总额</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00A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F6F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6.63</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6DD9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6.63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4A3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7AC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B4C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F3DB7">
            <w:pPr>
              <w:keepNext w:val="0"/>
              <w:keepLines w:val="0"/>
              <w:widowControl/>
              <w:suppressLineNumbers w:val="0"/>
              <w:jc w:val="left"/>
              <w:textAlignment w:val="center"/>
              <w:rPr>
                <w:rFonts w:hint="eastAsia" w:ascii="仿宋_GB2312" w:hAnsi="仿宋_GB2312" w:eastAsia="仿宋_GB2312" w:cs="仿宋_GB2312"/>
                <w:i/>
                <w:iCs/>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屋顶防水修缮，特申请追加修缮资金</w:t>
            </w:r>
            <w:r>
              <w:rPr>
                <w:rFonts w:hint="eastAsia" w:ascii="仿宋_GB2312" w:hAnsi="仿宋_GB2312" w:eastAsia="仿宋_GB2312" w:cs="仿宋_GB2312"/>
                <w:i/>
                <w:iCs/>
                <w:color w:val="000000"/>
                <w:kern w:val="0"/>
                <w:sz w:val="21"/>
                <w:szCs w:val="21"/>
                <w:u w:val="none"/>
                <w:lang w:val="en-US" w:eastAsia="zh-CN" w:bidi="ar"/>
              </w:rPr>
              <w:t>。</w:t>
            </w:r>
          </w:p>
        </w:tc>
      </w:tr>
      <w:tr w14:paraId="003B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98336">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6C3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其中：财政资金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5F8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4F7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6.63</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894A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6.63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5B6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E53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945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7415C">
            <w:pPr>
              <w:rPr>
                <w:rFonts w:hint="eastAsia" w:ascii="仿宋_GB2312" w:hAnsi="仿宋_GB2312" w:eastAsia="仿宋_GB2312" w:cs="仿宋_GB2312"/>
                <w:i/>
                <w:iCs/>
                <w:color w:val="000000"/>
                <w:sz w:val="21"/>
                <w:szCs w:val="21"/>
                <w:u w:val="none"/>
              </w:rPr>
            </w:pPr>
          </w:p>
        </w:tc>
      </w:tr>
      <w:tr w14:paraId="4C9E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F4F0A">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CDB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财政专户管理资金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1D0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C42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165A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494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920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607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E863D">
            <w:pPr>
              <w:rPr>
                <w:rFonts w:hint="eastAsia" w:ascii="仿宋_GB2312" w:hAnsi="仿宋_GB2312" w:eastAsia="仿宋_GB2312" w:cs="仿宋_GB2312"/>
                <w:i/>
                <w:iCs/>
                <w:color w:val="000000"/>
                <w:sz w:val="21"/>
                <w:szCs w:val="21"/>
                <w:u w:val="none"/>
              </w:rPr>
            </w:pPr>
          </w:p>
        </w:tc>
      </w:tr>
      <w:tr w14:paraId="69C5A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1E7A4">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106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FA6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734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61995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EBD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C9B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97B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A477D">
            <w:pPr>
              <w:rPr>
                <w:rFonts w:hint="eastAsia" w:ascii="仿宋_GB2312" w:hAnsi="仿宋_GB2312" w:eastAsia="仿宋_GB2312" w:cs="仿宋_GB2312"/>
                <w:i/>
                <w:iCs/>
                <w:color w:val="000000"/>
                <w:sz w:val="21"/>
                <w:szCs w:val="21"/>
                <w:u w:val="none"/>
              </w:rPr>
            </w:pPr>
          </w:p>
        </w:tc>
      </w:tr>
      <w:tr w14:paraId="62761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0498C">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F25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762C">
            <w:pPr>
              <w:jc w:val="center"/>
              <w:rPr>
                <w:rFonts w:hint="eastAsia" w:ascii="仿宋_GB2312" w:hAnsi="仿宋_GB2312" w:eastAsia="仿宋_GB2312" w:cs="仿宋_GB2312"/>
                <w:i/>
                <w:iCs/>
                <w:color w:val="000000"/>
                <w:sz w:val="21"/>
                <w:szCs w:val="21"/>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3383">
            <w:pPr>
              <w:jc w:val="center"/>
              <w:rPr>
                <w:rFonts w:hint="eastAsia" w:ascii="仿宋_GB2312" w:hAnsi="仿宋_GB2312" w:eastAsia="仿宋_GB2312" w:cs="仿宋_GB2312"/>
                <w:i/>
                <w:iCs/>
                <w:color w:val="000000"/>
                <w:sz w:val="21"/>
                <w:szCs w:val="21"/>
                <w:u w:val="none"/>
              </w:rPr>
            </w:pP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A16E0">
            <w:pPr>
              <w:jc w:val="center"/>
              <w:rPr>
                <w:rFonts w:hint="eastAsia" w:ascii="仿宋_GB2312" w:hAnsi="仿宋_GB2312" w:eastAsia="仿宋_GB2312" w:cs="仿宋_GB2312"/>
                <w:i/>
                <w:iCs/>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170D">
            <w:pPr>
              <w:jc w:val="center"/>
              <w:rPr>
                <w:rFonts w:hint="eastAsia" w:ascii="仿宋_GB2312" w:hAnsi="仿宋_GB2312" w:eastAsia="仿宋_GB2312" w:cs="仿宋_GB2312"/>
                <w:i/>
                <w:iCs/>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F67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6E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0DC4A">
            <w:pPr>
              <w:rPr>
                <w:rFonts w:hint="eastAsia" w:ascii="仿宋_GB2312" w:hAnsi="仿宋_GB2312" w:eastAsia="仿宋_GB2312" w:cs="仿宋_GB2312"/>
                <w:i/>
                <w:iCs/>
                <w:color w:val="000000"/>
                <w:sz w:val="21"/>
                <w:szCs w:val="21"/>
                <w:u w:val="none"/>
              </w:rPr>
            </w:pPr>
          </w:p>
        </w:tc>
      </w:tr>
      <w:tr w14:paraId="412C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2EAC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绩效指标（90分）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EDC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463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7E3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三级指标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F60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指标性质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278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指标值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1E4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度量单位</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80C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完成值</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035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权重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4B9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CD9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未完成原因分析</w:t>
            </w:r>
          </w:p>
        </w:tc>
      </w:tr>
      <w:tr w14:paraId="244FF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75538">
            <w:pPr>
              <w:jc w:val="center"/>
              <w:rPr>
                <w:rFonts w:hint="eastAsia" w:ascii="仿宋_GB2312" w:hAnsi="仿宋_GB2312" w:eastAsia="仿宋_GB2312" w:cs="仿宋_GB2312"/>
                <w:i w:val="0"/>
                <w:iCs w:val="0"/>
                <w:color w:val="000000"/>
                <w:sz w:val="21"/>
                <w:szCs w:val="21"/>
                <w:u w:val="none"/>
              </w:rPr>
            </w:pP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F170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80B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824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屋顶防水</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CB3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357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017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平方米</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66B9">
            <w:pPr>
              <w:keepNext w:val="0"/>
              <w:keepLines w:val="0"/>
              <w:widowControl/>
              <w:suppressLineNumbers w:val="0"/>
              <w:jc w:val="center"/>
              <w:textAlignment w:val="center"/>
              <w:rPr>
                <w:rFonts w:hint="eastAsia" w:ascii="仿宋_GB2312" w:hAnsi="仿宋_GB2312" w:eastAsia="仿宋_GB2312" w:cs="仿宋_GB2312"/>
                <w:i/>
                <w:iCs/>
                <w:color w:val="000000"/>
                <w:sz w:val="21"/>
                <w:szCs w:val="21"/>
                <w:u w:val="none"/>
              </w:rPr>
            </w:pPr>
            <w:r>
              <w:rPr>
                <w:rFonts w:hint="eastAsia" w:ascii="仿宋_GB2312" w:hAnsi="仿宋_GB2312" w:eastAsia="仿宋_GB2312" w:cs="仿宋_GB2312"/>
                <w:i/>
                <w:iCs/>
                <w:color w:val="000000"/>
                <w:kern w:val="0"/>
                <w:sz w:val="21"/>
                <w:szCs w:val="21"/>
                <w:u w:val="none"/>
                <w:lang w:val="en-US" w:eastAsia="zh-CN" w:bidi="ar"/>
              </w:rPr>
              <w:t>350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7AA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F8B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A400">
            <w:pPr>
              <w:jc w:val="center"/>
              <w:rPr>
                <w:rFonts w:hint="eastAsia" w:ascii="仿宋_GB2312" w:hAnsi="仿宋_GB2312" w:eastAsia="仿宋_GB2312" w:cs="仿宋_GB2312"/>
                <w:i/>
                <w:iCs/>
                <w:color w:val="000000"/>
                <w:sz w:val="21"/>
                <w:szCs w:val="21"/>
                <w:u w:val="none"/>
              </w:rPr>
            </w:pPr>
          </w:p>
        </w:tc>
      </w:tr>
      <w:tr w14:paraId="31ED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4B53E">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343C1">
            <w:pPr>
              <w:jc w:val="center"/>
              <w:rPr>
                <w:rFonts w:hint="eastAsia" w:ascii="仿宋_GB2312" w:hAnsi="仿宋_GB2312" w:eastAsia="仿宋_GB2312" w:cs="仿宋_GB2312"/>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F48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2B0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验收合格率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D1F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E19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A69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DEF2">
            <w:pPr>
              <w:keepNext w:val="0"/>
              <w:keepLines w:val="0"/>
              <w:widowControl/>
              <w:suppressLineNumbers w:val="0"/>
              <w:jc w:val="center"/>
              <w:textAlignment w:val="center"/>
              <w:rPr>
                <w:rFonts w:hint="eastAsia" w:ascii="仿宋_GB2312" w:hAnsi="仿宋_GB2312" w:eastAsia="仿宋_GB2312" w:cs="仿宋_GB2312"/>
                <w:i/>
                <w:iCs/>
                <w:color w:val="000000"/>
                <w:sz w:val="21"/>
                <w:szCs w:val="21"/>
                <w:u w:val="none"/>
              </w:rPr>
            </w:pPr>
            <w:r>
              <w:rPr>
                <w:rFonts w:hint="eastAsia" w:ascii="仿宋_GB2312" w:hAnsi="仿宋_GB2312" w:eastAsia="仿宋_GB2312" w:cs="仿宋_GB2312"/>
                <w:i/>
                <w:iCs/>
                <w:color w:val="000000"/>
                <w:kern w:val="0"/>
                <w:sz w:val="21"/>
                <w:szCs w:val="21"/>
                <w:u w:val="none"/>
                <w:lang w:val="en-US" w:eastAsia="zh-CN"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D7D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9F9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41B9">
            <w:pPr>
              <w:jc w:val="center"/>
              <w:rPr>
                <w:rFonts w:hint="eastAsia" w:ascii="仿宋_GB2312" w:hAnsi="仿宋_GB2312" w:eastAsia="仿宋_GB2312" w:cs="仿宋_GB2312"/>
                <w:i/>
                <w:iCs/>
                <w:color w:val="000000"/>
                <w:sz w:val="21"/>
                <w:szCs w:val="21"/>
                <w:u w:val="none"/>
              </w:rPr>
            </w:pPr>
          </w:p>
        </w:tc>
      </w:tr>
      <w:tr w14:paraId="630E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F84B9">
            <w:pPr>
              <w:jc w:val="center"/>
              <w:rPr>
                <w:rFonts w:hint="eastAsia" w:ascii="仿宋_GB2312" w:hAnsi="仿宋_GB2312"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523AF">
            <w:pPr>
              <w:jc w:val="center"/>
              <w:rPr>
                <w:rFonts w:hint="eastAsia" w:ascii="仿宋_GB2312" w:hAnsi="仿宋_GB2312" w:eastAsia="仿宋_GB2312" w:cs="仿宋_GB2312"/>
                <w:i w:val="0"/>
                <w:iCs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B68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C9E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项目完成期限</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103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B60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439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C2D6">
            <w:pPr>
              <w:keepNext w:val="0"/>
              <w:keepLines w:val="0"/>
              <w:widowControl/>
              <w:suppressLineNumbers w:val="0"/>
              <w:jc w:val="center"/>
              <w:textAlignment w:val="center"/>
              <w:rPr>
                <w:rFonts w:hint="eastAsia" w:ascii="仿宋_GB2312" w:hAnsi="仿宋_GB2312" w:eastAsia="仿宋_GB2312" w:cs="仿宋_GB2312"/>
                <w:i/>
                <w:iCs/>
                <w:color w:val="000000"/>
                <w:sz w:val="21"/>
                <w:szCs w:val="21"/>
                <w:u w:val="none"/>
              </w:rPr>
            </w:pPr>
            <w:r>
              <w:rPr>
                <w:rFonts w:hint="eastAsia" w:ascii="仿宋_GB2312" w:hAnsi="仿宋_GB2312" w:eastAsia="仿宋_GB2312" w:cs="仿宋_GB2312"/>
                <w:i/>
                <w:iCs/>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E2A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AC0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AC6B">
            <w:pPr>
              <w:jc w:val="center"/>
              <w:rPr>
                <w:rFonts w:hint="eastAsia" w:ascii="仿宋_GB2312" w:hAnsi="仿宋_GB2312" w:eastAsia="仿宋_GB2312" w:cs="仿宋_GB2312"/>
                <w:i/>
                <w:iCs/>
                <w:color w:val="000000"/>
                <w:sz w:val="21"/>
                <w:szCs w:val="21"/>
                <w:u w:val="none"/>
              </w:rPr>
            </w:pPr>
          </w:p>
        </w:tc>
      </w:tr>
      <w:tr w14:paraId="2F0A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E2B72">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D8F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2FE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686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对9名已退休职工居住的房屋屋顶渗漏水进行修缮和改造</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4EA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定性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B8B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解决退休职工的房屋漏水问题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D06E">
            <w:pPr>
              <w:jc w:val="center"/>
              <w:rPr>
                <w:rFonts w:hint="eastAsia" w:ascii="仿宋_GB2312" w:hAnsi="仿宋_GB2312" w:eastAsia="仿宋_GB2312" w:cs="仿宋_GB2312"/>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B2AF">
            <w:pPr>
              <w:keepNext w:val="0"/>
              <w:keepLines w:val="0"/>
              <w:widowControl/>
              <w:suppressLineNumbers w:val="0"/>
              <w:jc w:val="center"/>
              <w:textAlignment w:val="center"/>
              <w:rPr>
                <w:rFonts w:hint="eastAsia" w:ascii="仿宋_GB2312" w:hAnsi="仿宋_GB2312" w:eastAsia="仿宋_GB2312" w:cs="仿宋_GB2312"/>
                <w:i/>
                <w:iCs/>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已解决退休职工的房屋漏水问题</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4D5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2C3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4559">
            <w:pPr>
              <w:jc w:val="center"/>
              <w:rPr>
                <w:rFonts w:hint="eastAsia" w:ascii="仿宋_GB2312" w:hAnsi="仿宋_GB2312" w:eastAsia="仿宋_GB2312" w:cs="仿宋_GB2312"/>
                <w:i/>
                <w:iCs/>
                <w:color w:val="000000"/>
                <w:sz w:val="21"/>
                <w:szCs w:val="21"/>
                <w:u w:val="none"/>
              </w:rPr>
            </w:pPr>
          </w:p>
        </w:tc>
      </w:tr>
      <w:tr w14:paraId="3311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FC033">
            <w:pPr>
              <w:jc w:val="center"/>
              <w:rPr>
                <w:rFonts w:hint="eastAsia" w:ascii="仿宋_GB2312" w:hAnsi="仿宋_GB2312" w:eastAsia="仿宋_GB2312" w:cs="仿宋_GB2312"/>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737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B8B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870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住户满意度</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949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304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ED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E59B">
            <w:pPr>
              <w:keepNext w:val="0"/>
              <w:keepLines w:val="0"/>
              <w:widowControl/>
              <w:suppressLineNumbers w:val="0"/>
              <w:jc w:val="center"/>
              <w:textAlignment w:val="center"/>
              <w:rPr>
                <w:rFonts w:hint="eastAsia" w:ascii="仿宋_GB2312" w:hAnsi="仿宋_GB2312" w:eastAsia="仿宋_GB2312" w:cs="仿宋_GB2312"/>
                <w:i/>
                <w:iCs/>
                <w:color w:val="000000"/>
                <w:sz w:val="21"/>
                <w:szCs w:val="21"/>
                <w:u w:val="none"/>
              </w:rPr>
            </w:pPr>
            <w:r>
              <w:rPr>
                <w:rFonts w:hint="eastAsia" w:ascii="仿宋_GB2312" w:hAnsi="仿宋_GB2312" w:eastAsia="仿宋_GB2312" w:cs="仿宋_GB2312"/>
                <w:i/>
                <w:iCs/>
                <w:color w:val="000000"/>
                <w:kern w:val="0"/>
                <w:sz w:val="21"/>
                <w:szCs w:val="21"/>
                <w:u w:val="none"/>
                <w:lang w:val="en-US" w:eastAsia="zh-CN"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9BD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551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69C0">
            <w:pPr>
              <w:jc w:val="center"/>
              <w:rPr>
                <w:rFonts w:hint="eastAsia" w:ascii="仿宋_GB2312" w:hAnsi="仿宋_GB2312" w:eastAsia="仿宋_GB2312" w:cs="仿宋_GB2312"/>
                <w:i/>
                <w:iCs/>
                <w:color w:val="000000"/>
                <w:sz w:val="21"/>
                <w:szCs w:val="21"/>
                <w:u w:val="none"/>
              </w:rPr>
            </w:pPr>
          </w:p>
        </w:tc>
      </w:tr>
      <w:tr w14:paraId="367C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04306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28A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6FA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772E">
            <w:pPr>
              <w:rPr>
                <w:rFonts w:hint="eastAsia" w:ascii="仿宋_GB2312" w:hAnsi="仿宋_GB2312" w:eastAsia="仿宋_GB2312" w:cs="仿宋_GB2312"/>
                <w:i w:val="0"/>
                <w:iCs w:val="0"/>
                <w:color w:val="000000"/>
                <w:sz w:val="21"/>
                <w:szCs w:val="21"/>
                <w:u w:val="none"/>
              </w:rPr>
            </w:pPr>
          </w:p>
        </w:tc>
      </w:tr>
      <w:tr w14:paraId="208B7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4D9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评价结论</w:t>
            </w:r>
          </w:p>
        </w:tc>
        <w:tc>
          <w:tcPr>
            <w:tcW w:w="87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7961F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项目自评总分：100分。  </w:t>
            </w:r>
          </w:p>
          <w:p w14:paraId="5E161FFB">
            <w:pPr>
              <w:keepNext w:val="0"/>
              <w:keepLines w:val="0"/>
              <w:widowControl/>
              <w:suppressLineNumbers w:val="0"/>
              <w:jc w:val="left"/>
              <w:textAlignment w:val="center"/>
              <w:rPr>
                <w:rFonts w:hint="eastAsia" w:ascii="仿宋_GB2312" w:hAnsi="仿宋_GB2312" w:eastAsia="仿宋_GB2312" w:cs="仿宋_GB2312"/>
                <w:i/>
                <w:iCs/>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本项目已按照合同施工方案，安全地完成了施工。</w:t>
            </w:r>
          </w:p>
        </w:tc>
      </w:tr>
      <w:tr w14:paraId="5780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55B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存在问题</w:t>
            </w:r>
          </w:p>
        </w:tc>
        <w:tc>
          <w:tcPr>
            <w:tcW w:w="87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749DF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无</w:t>
            </w:r>
          </w:p>
        </w:tc>
      </w:tr>
      <w:tr w14:paraId="419A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448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改进措施</w:t>
            </w:r>
          </w:p>
        </w:tc>
        <w:tc>
          <w:tcPr>
            <w:tcW w:w="87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8EB7D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无</w:t>
            </w:r>
          </w:p>
        </w:tc>
      </w:tr>
    </w:tbl>
    <w:p w14:paraId="0DB9D3E2">
      <w:pPr>
        <w:pStyle w:val="6"/>
        <w:rPr>
          <w:rFonts w:hint="eastAsia" w:ascii="仿宋_GB2312" w:hAnsi="Calibri" w:eastAsia="仿宋_GB2312" w:cs="仿宋"/>
          <w:color w:val="auto"/>
          <w:kern w:val="0"/>
          <w:sz w:val="32"/>
          <w:szCs w:val="32"/>
          <w:highlight w:val="none"/>
          <w:lang w:val="en-US" w:eastAsia="zh-CN" w:bidi="ar-SA"/>
        </w:rPr>
      </w:pPr>
    </w:p>
    <w:p w14:paraId="7A239DC4">
      <w:pPr>
        <w:pStyle w:val="6"/>
        <w:rPr>
          <w:rFonts w:hint="eastAsia" w:ascii="仿宋_GB2312" w:hAnsi="Calibri" w:eastAsia="仿宋_GB2312" w:cs="仿宋"/>
          <w:color w:val="auto"/>
          <w:kern w:val="0"/>
          <w:sz w:val="32"/>
          <w:szCs w:val="32"/>
          <w:highlight w:val="none"/>
          <w:lang w:val="en-US" w:eastAsia="zh-CN" w:bidi="ar-SA"/>
        </w:rPr>
      </w:pPr>
    </w:p>
    <w:p w14:paraId="0ED4E21F">
      <w:pPr>
        <w:pStyle w:val="6"/>
        <w:rPr>
          <w:rFonts w:hint="eastAsia" w:ascii="仿宋_GB2312" w:hAnsi="Calibri" w:eastAsia="仿宋_GB2312" w:cs="仿宋"/>
          <w:color w:val="auto"/>
          <w:kern w:val="0"/>
          <w:sz w:val="32"/>
          <w:szCs w:val="32"/>
          <w:highlight w:val="none"/>
          <w:lang w:val="en-US" w:eastAsia="zh-CN" w:bidi="ar-SA"/>
        </w:rPr>
      </w:pPr>
    </w:p>
    <w:p w14:paraId="66FD841A">
      <w:pPr>
        <w:pStyle w:val="6"/>
        <w:rPr>
          <w:rFonts w:hint="eastAsia" w:ascii="仿宋_GB2312" w:hAnsi="Calibri" w:eastAsia="仿宋_GB2312" w:cs="仿宋"/>
          <w:color w:val="auto"/>
          <w:kern w:val="0"/>
          <w:sz w:val="32"/>
          <w:szCs w:val="32"/>
          <w:highlight w:val="none"/>
          <w:lang w:val="en-US" w:eastAsia="zh-CN" w:bidi="ar-SA"/>
        </w:rPr>
      </w:pPr>
    </w:p>
    <w:p w14:paraId="741F3335">
      <w:pPr>
        <w:pStyle w:val="6"/>
        <w:rPr>
          <w:rFonts w:hint="eastAsia" w:ascii="仿宋_GB2312" w:hAnsi="Calibri" w:eastAsia="仿宋_GB2312" w:cs="仿宋"/>
          <w:color w:val="auto"/>
          <w:kern w:val="0"/>
          <w:sz w:val="32"/>
          <w:szCs w:val="32"/>
          <w:highlight w:val="none"/>
          <w:lang w:val="en-US" w:eastAsia="zh-CN" w:bidi="ar-SA"/>
        </w:rPr>
      </w:pPr>
    </w:p>
    <w:p w14:paraId="78DC7C90">
      <w:pPr>
        <w:pStyle w:val="6"/>
        <w:rPr>
          <w:rFonts w:hint="eastAsia" w:ascii="仿宋_GB2312" w:hAnsi="Calibri" w:eastAsia="仿宋_GB2312" w:cs="仿宋"/>
          <w:color w:val="auto"/>
          <w:kern w:val="0"/>
          <w:sz w:val="32"/>
          <w:szCs w:val="32"/>
          <w:highlight w:val="none"/>
          <w:lang w:val="en-US" w:eastAsia="zh-CN" w:bidi="ar-SA"/>
        </w:rPr>
      </w:pPr>
    </w:p>
    <w:p w14:paraId="6B9D8AC9">
      <w:pPr>
        <w:pStyle w:val="6"/>
        <w:rPr>
          <w:rFonts w:hint="eastAsia" w:ascii="仿宋_GB2312" w:hAnsi="Calibri" w:eastAsia="仿宋_GB2312" w:cs="仿宋"/>
          <w:color w:val="auto"/>
          <w:kern w:val="0"/>
          <w:sz w:val="32"/>
          <w:szCs w:val="32"/>
          <w:highlight w:val="none"/>
          <w:lang w:val="en-US" w:eastAsia="zh-CN" w:bidi="ar-SA"/>
        </w:rPr>
      </w:pPr>
    </w:p>
    <w:p w14:paraId="03A07A38">
      <w:pPr>
        <w:rPr>
          <w:rFonts w:hint="eastAsia" w:ascii="黑体" w:hAnsi="黑体" w:eastAsia="黑体"/>
          <w:color w:val="auto"/>
          <w:sz w:val="44"/>
          <w:szCs w:val="44"/>
          <w:highlight w:val="none"/>
        </w:rPr>
      </w:pPr>
    </w:p>
    <w:p w14:paraId="429697D3">
      <w:pPr>
        <w:spacing w:line="600" w:lineRule="exact"/>
        <w:jc w:val="center"/>
        <w:outlineLvl w:val="0"/>
        <w:rPr>
          <w:rFonts w:hint="eastAsia" w:ascii="仿宋" w:hAnsi="仿宋" w:eastAsia="仿宋"/>
          <w:b w:val="0"/>
          <w:color w:val="auto"/>
          <w:highlight w:val="none"/>
        </w:rPr>
      </w:pPr>
      <w:bookmarkStart w:id="38" w:name="_Toc3801"/>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38"/>
    </w:p>
    <w:p w14:paraId="6EC7C39D">
      <w:pPr>
        <w:pStyle w:val="4"/>
        <w:rPr>
          <w:rFonts w:ascii="仿宋" w:hAnsi="仿宋" w:eastAsia="仿宋"/>
          <w:color w:val="auto"/>
          <w:highlight w:val="none"/>
        </w:rPr>
      </w:pPr>
      <w:bookmarkStart w:id="39" w:name="_Toc18860"/>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39"/>
    </w:p>
    <w:p w14:paraId="0133C989">
      <w:pPr>
        <w:pStyle w:val="4"/>
        <w:rPr>
          <w:rFonts w:ascii="仿宋" w:hAnsi="仿宋" w:eastAsia="仿宋"/>
          <w:color w:val="auto"/>
          <w:highlight w:val="none"/>
        </w:rPr>
      </w:pPr>
      <w:bookmarkStart w:id="40" w:name="_Toc19466"/>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40"/>
    </w:p>
    <w:p w14:paraId="313D96A9">
      <w:pPr>
        <w:pStyle w:val="4"/>
        <w:rPr>
          <w:rFonts w:ascii="仿宋" w:hAnsi="仿宋" w:eastAsia="仿宋"/>
          <w:color w:val="auto"/>
          <w:highlight w:val="none"/>
        </w:rPr>
      </w:pPr>
      <w:bookmarkStart w:id="41" w:name="_Toc9180"/>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41"/>
    </w:p>
    <w:p w14:paraId="0CC90840">
      <w:pPr>
        <w:pStyle w:val="4"/>
        <w:rPr>
          <w:rFonts w:ascii="仿宋" w:hAnsi="仿宋" w:eastAsia="仿宋"/>
          <w:b w:val="0"/>
          <w:color w:val="auto"/>
          <w:highlight w:val="none"/>
        </w:rPr>
      </w:pPr>
      <w:bookmarkStart w:id="42" w:name="_Toc22870"/>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42"/>
    </w:p>
    <w:p w14:paraId="40049FA3">
      <w:pPr>
        <w:pStyle w:val="4"/>
        <w:rPr>
          <w:rStyle w:val="30"/>
          <w:rFonts w:ascii="仿宋" w:hAnsi="仿宋" w:eastAsia="仿宋"/>
          <w:b w:val="0"/>
          <w:bCs w:val="0"/>
          <w:color w:val="auto"/>
          <w:highlight w:val="none"/>
        </w:rPr>
      </w:pPr>
      <w:bookmarkStart w:id="43" w:name="_Toc13577"/>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43"/>
    </w:p>
    <w:p w14:paraId="4B3196D0">
      <w:pPr>
        <w:pStyle w:val="4"/>
        <w:rPr>
          <w:rFonts w:ascii="仿宋" w:hAnsi="仿宋" w:eastAsia="仿宋"/>
          <w:color w:val="auto"/>
          <w:highlight w:val="none"/>
        </w:rPr>
      </w:pPr>
      <w:bookmarkStart w:id="44" w:name="_Toc21695"/>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44"/>
    </w:p>
    <w:p w14:paraId="28023FF9">
      <w:pPr>
        <w:pStyle w:val="4"/>
        <w:rPr>
          <w:rFonts w:ascii="仿宋" w:hAnsi="仿宋" w:eastAsia="仿宋"/>
          <w:color w:val="auto"/>
          <w:highlight w:val="none"/>
        </w:rPr>
      </w:pPr>
      <w:bookmarkStart w:id="45" w:name="_Toc10142"/>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45"/>
    </w:p>
    <w:p w14:paraId="0B2D140D">
      <w:pPr>
        <w:pStyle w:val="4"/>
        <w:rPr>
          <w:rFonts w:ascii="仿宋" w:hAnsi="仿宋" w:eastAsia="仿宋"/>
          <w:color w:val="auto"/>
          <w:highlight w:val="none"/>
        </w:rPr>
      </w:pPr>
      <w:bookmarkStart w:id="46" w:name="_Toc31151"/>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46"/>
    </w:p>
    <w:p w14:paraId="1B68226D">
      <w:pPr>
        <w:pStyle w:val="4"/>
        <w:rPr>
          <w:rFonts w:ascii="仿宋" w:hAnsi="仿宋" w:eastAsia="仿宋"/>
          <w:color w:val="auto"/>
          <w:highlight w:val="none"/>
        </w:rPr>
      </w:pPr>
      <w:bookmarkStart w:id="47" w:name="_Toc16734"/>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47"/>
    </w:p>
    <w:p w14:paraId="04C0AE07">
      <w:pPr>
        <w:pStyle w:val="4"/>
        <w:rPr>
          <w:rFonts w:ascii="仿宋" w:hAnsi="仿宋" w:eastAsia="仿宋"/>
          <w:color w:val="auto"/>
          <w:highlight w:val="none"/>
        </w:rPr>
      </w:pPr>
      <w:bookmarkStart w:id="48" w:name="_Toc5847"/>
      <w:r>
        <w:rPr>
          <w:rStyle w:val="30"/>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48"/>
    </w:p>
    <w:p w14:paraId="2FD74DC8">
      <w:pPr>
        <w:pStyle w:val="4"/>
        <w:rPr>
          <w:rFonts w:ascii="仿宋" w:hAnsi="仿宋" w:eastAsia="仿宋"/>
          <w:color w:val="auto"/>
          <w:highlight w:val="none"/>
        </w:rPr>
      </w:pPr>
      <w:bookmarkStart w:id="49" w:name="_Toc7760"/>
      <w:r>
        <w:rPr>
          <w:rStyle w:val="30"/>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49"/>
    </w:p>
    <w:p w14:paraId="77D73534">
      <w:pPr>
        <w:pStyle w:val="4"/>
        <w:rPr>
          <w:rFonts w:ascii="仿宋" w:hAnsi="仿宋" w:eastAsia="仿宋"/>
          <w:color w:val="auto"/>
          <w:highlight w:val="none"/>
        </w:rPr>
      </w:pPr>
      <w:bookmarkStart w:id="50" w:name="_Toc2030"/>
      <w:r>
        <w:rPr>
          <w:rStyle w:val="30"/>
          <w:rFonts w:hint="eastAsia" w:ascii="仿宋" w:hAnsi="仿宋" w:eastAsia="仿宋"/>
          <w:b w:val="0"/>
          <w:bCs w:val="0"/>
          <w:color w:val="auto"/>
          <w:highlight w:val="none"/>
        </w:rPr>
        <w:t>十二、</w:t>
      </w:r>
      <w:r>
        <w:rPr>
          <w:rStyle w:val="30"/>
          <w:rFonts w:hint="eastAsia" w:ascii="仿宋" w:hAnsi="仿宋" w:eastAsia="仿宋"/>
          <w:b w:val="0"/>
          <w:bCs w:val="0"/>
          <w:color w:val="auto"/>
          <w:highlight w:val="none"/>
          <w:lang w:eastAsia="zh-CN"/>
        </w:rPr>
        <w:t>国有资本经营预算财政拨款支出决算表</w:t>
      </w:r>
      <w:bookmarkEnd w:id="50"/>
    </w:p>
    <w:p w14:paraId="350B970B">
      <w:pPr>
        <w:pStyle w:val="4"/>
        <w:rPr>
          <w:rFonts w:hint="eastAsia" w:eastAsia="仿宋"/>
          <w:color w:val="auto"/>
          <w:highlight w:val="none"/>
          <w:lang w:eastAsia="zh-CN"/>
        </w:rPr>
      </w:pPr>
      <w:bookmarkStart w:id="51" w:name="_Toc17383"/>
      <w:r>
        <w:rPr>
          <w:rStyle w:val="30"/>
          <w:rFonts w:hint="eastAsia" w:ascii="仿宋" w:hAnsi="仿宋" w:eastAsia="仿宋"/>
          <w:b w:val="0"/>
          <w:bCs w:val="0"/>
          <w:color w:val="auto"/>
          <w:highlight w:val="none"/>
        </w:rPr>
        <w:t>十三、</w:t>
      </w:r>
      <w:r>
        <w:rPr>
          <w:rStyle w:val="30"/>
          <w:rFonts w:hint="eastAsia" w:ascii="仿宋" w:hAnsi="仿宋" w:eastAsia="仿宋"/>
          <w:b w:val="0"/>
          <w:bCs w:val="0"/>
          <w:color w:val="auto"/>
          <w:highlight w:val="none"/>
          <w:lang w:eastAsia="zh-CN"/>
        </w:rPr>
        <w:t>财政拨款“三公”经费支出决算表</w:t>
      </w:r>
      <w:bookmarkEnd w:id="51"/>
    </w:p>
    <w:p w14:paraId="4827ACE7">
      <w:pPr>
        <w:rPr>
          <w:rFonts w:hint="eastAsia"/>
          <w:lang w:eastAsia="zh-CN"/>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E74750-EAE2-4784-AEDB-9BBD4E9F7A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02938D8-558F-49A3-A91C-49136A1031A4}"/>
  </w:font>
  <w:font w:name="Cambria">
    <w:panose1 w:val="02040503050406030204"/>
    <w:charset w:val="00"/>
    <w:family w:val="roman"/>
    <w:pitch w:val="default"/>
    <w:sig w:usb0="E00002FF" w:usb1="400004FF" w:usb2="00000000" w:usb3="00000000" w:csb0="2000019F" w:csb1="00000000"/>
    <w:embedRegular r:id="rId3" w:fontKey="{DC75EBBE-5AB3-4FDD-B369-1573E5A69E89}"/>
  </w:font>
  <w:font w:name="仿宋_GB2312">
    <w:panose1 w:val="02010609030101010101"/>
    <w:charset w:val="86"/>
    <w:family w:val="modern"/>
    <w:pitch w:val="default"/>
    <w:sig w:usb0="00000001" w:usb1="080E0000" w:usb2="00000000" w:usb3="00000000" w:csb0="00040000" w:csb1="00000000"/>
    <w:embedRegular r:id="rId4" w:fontKey="{CD4A71BE-BEAD-4ABC-835E-5341BBB03FA8}"/>
  </w:font>
  <w:font w:name="仿宋">
    <w:panose1 w:val="02010609060101010101"/>
    <w:charset w:val="86"/>
    <w:family w:val="modern"/>
    <w:pitch w:val="default"/>
    <w:sig w:usb0="800002BF" w:usb1="38CF7CFA" w:usb2="00000016" w:usb3="00000000" w:csb0="00040001" w:csb1="00000000"/>
    <w:embedRegular r:id="rId5" w:fontKey="{FCED5937-B7EF-4FEF-93C1-290E0A7794E8}"/>
  </w:font>
  <w:font w:nam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embedRegular r:id="rId6" w:fontKey="{C84C04C3-5A31-4831-8808-8B9064A6609E}"/>
  </w:font>
  <w:font w:name="华文中宋">
    <w:panose1 w:val="02010600040101010101"/>
    <w:charset w:val="86"/>
    <w:family w:val="auto"/>
    <w:pitch w:val="default"/>
    <w:sig w:usb0="00000287" w:usb1="080F0000" w:usb2="00000000" w:usb3="00000000" w:csb0="0004009F" w:csb1="DFD70000"/>
    <w:embedRegular r:id="rId7" w:fontKey="{45F2AED4-F7B3-4D6E-9052-22A6627C41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B9E52">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14885785">
                              <w:pPr>
                                <w:pStyle w:val="11"/>
                                <w:jc w:val="center"/>
                              </w:pPr>
                              <w:r>
                                <w:rPr>
                                  <w:sz w:val="28"/>
                                </w:rPr>
                                <w:fldChar w:fldCharType="begin"/>
                              </w:r>
                              <w:r>
                                <w:rPr>
                                  <w:sz w:val="28"/>
                                </w:rPr>
                                <w:instrText xml:space="preserve">PAGE   \* MERGEFORMAT</w:instrText>
                              </w:r>
                              <w:r>
                                <w:rPr>
                                  <w:sz w:val="28"/>
                                </w:rPr>
                                <w:fldChar w:fldCharType="separate"/>
                              </w:r>
                              <w:r>
                                <w:rPr>
                                  <w:sz w:val="28"/>
                                  <w:lang w:val="zh-CN"/>
                                </w:rPr>
                                <w:t>8</w:t>
                              </w:r>
                              <w:r>
                                <w:rPr>
                                  <w:sz w:val="28"/>
                                </w:rPr>
                                <w:fldChar w:fldCharType="end"/>
                              </w:r>
                            </w:p>
                          </w:sdtContent>
                        </w:sdt>
                        <w:p w14:paraId="68E23E57">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14885785">
                        <w:pPr>
                          <w:pStyle w:val="11"/>
                          <w:jc w:val="center"/>
                        </w:pPr>
                        <w:r>
                          <w:rPr>
                            <w:sz w:val="28"/>
                          </w:rPr>
                          <w:fldChar w:fldCharType="begin"/>
                        </w:r>
                        <w:r>
                          <w:rPr>
                            <w:sz w:val="28"/>
                          </w:rPr>
                          <w:instrText xml:space="preserve">PAGE   \* MERGEFORMAT</w:instrText>
                        </w:r>
                        <w:r>
                          <w:rPr>
                            <w:sz w:val="28"/>
                          </w:rPr>
                          <w:fldChar w:fldCharType="separate"/>
                        </w:r>
                        <w:r>
                          <w:rPr>
                            <w:sz w:val="28"/>
                            <w:lang w:val="zh-CN"/>
                          </w:rPr>
                          <w:t>8</w:t>
                        </w:r>
                        <w:r>
                          <w:rPr>
                            <w:sz w:val="28"/>
                          </w:rPr>
                          <w:fldChar w:fldCharType="end"/>
                        </w:r>
                      </w:p>
                    </w:sdtContent>
                  </w:sdt>
                  <w:p w14:paraId="68E23E57">
                    <w:pPr>
                      <w:pStyle w:val="14"/>
                    </w:pPr>
                  </w:p>
                </w:txbxContent>
              </v:textbox>
            </v:shape>
          </w:pict>
        </mc:Fallback>
      </mc:AlternateContent>
    </w:r>
  </w:p>
  <w:p w14:paraId="3CE9A54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7FF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6A54C">
                          <w:pPr>
                            <w:pStyle w:val="11"/>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86A54C">
                    <w:pPr>
                      <w:pStyle w:val="11"/>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177D1">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suff w:val="nothing"/>
      <w:lvlText w:val="%1、"/>
      <w:lvlJc w:val="left"/>
      <w:rPr>
        <w:rFonts w:hint="eastAsia"/>
      </w:rPr>
    </w:lvl>
  </w:abstractNum>
  <w:abstractNum w:abstractNumId="1">
    <w:nsid w:val="61EEB804"/>
    <w:multiLevelType w:val="singleLevel"/>
    <w:tmpl w:val="61EEB80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NjYyMTVkZDhiMjg2Nzg4ODFhN2FhZTczMTgzMW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5CB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13E7"/>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FEBE30"/>
    <w:rsid w:val="049F56E1"/>
    <w:rsid w:val="061E35DE"/>
    <w:rsid w:val="066E0107"/>
    <w:rsid w:val="073D3B00"/>
    <w:rsid w:val="07996F6E"/>
    <w:rsid w:val="07DFD8BA"/>
    <w:rsid w:val="08023F21"/>
    <w:rsid w:val="0A2032A3"/>
    <w:rsid w:val="0AE506BD"/>
    <w:rsid w:val="0B5A4560"/>
    <w:rsid w:val="0BC9463C"/>
    <w:rsid w:val="0BF7590B"/>
    <w:rsid w:val="0C42105E"/>
    <w:rsid w:val="0C8A2C23"/>
    <w:rsid w:val="0D35B1ED"/>
    <w:rsid w:val="0D785BAA"/>
    <w:rsid w:val="0DEE186B"/>
    <w:rsid w:val="0F98263C"/>
    <w:rsid w:val="101860EC"/>
    <w:rsid w:val="10C055FF"/>
    <w:rsid w:val="118107EC"/>
    <w:rsid w:val="11A66257"/>
    <w:rsid w:val="13B563E8"/>
    <w:rsid w:val="13D50BC4"/>
    <w:rsid w:val="149B6AAD"/>
    <w:rsid w:val="15097B50"/>
    <w:rsid w:val="15787A38"/>
    <w:rsid w:val="164344DD"/>
    <w:rsid w:val="16907088"/>
    <w:rsid w:val="16BB723D"/>
    <w:rsid w:val="170935AA"/>
    <w:rsid w:val="17CB16B1"/>
    <w:rsid w:val="185B4D74"/>
    <w:rsid w:val="186504BB"/>
    <w:rsid w:val="19B01685"/>
    <w:rsid w:val="1B7D37B6"/>
    <w:rsid w:val="1BE8440E"/>
    <w:rsid w:val="1BF75AD4"/>
    <w:rsid w:val="1C4E6E53"/>
    <w:rsid w:val="1C892C65"/>
    <w:rsid w:val="1D155CEE"/>
    <w:rsid w:val="1DB13524"/>
    <w:rsid w:val="1DF823F0"/>
    <w:rsid w:val="1E740ACF"/>
    <w:rsid w:val="1EAB5C3D"/>
    <w:rsid w:val="1F876F9E"/>
    <w:rsid w:val="1FF35744"/>
    <w:rsid w:val="1FF6BC77"/>
    <w:rsid w:val="2020147D"/>
    <w:rsid w:val="20644188"/>
    <w:rsid w:val="21DA7152"/>
    <w:rsid w:val="21E65C00"/>
    <w:rsid w:val="23860B96"/>
    <w:rsid w:val="23FB5893"/>
    <w:rsid w:val="240371BF"/>
    <w:rsid w:val="26211844"/>
    <w:rsid w:val="267F30AA"/>
    <w:rsid w:val="27C60B5C"/>
    <w:rsid w:val="281408E2"/>
    <w:rsid w:val="28F11654"/>
    <w:rsid w:val="29346155"/>
    <w:rsid w:val="29FD04D3"/>
    <w:rsid w:val="2A665852"/>
    <w:rsid w:val="2BFF7BC6"/>
    <w:rsid w:val="2C8A61B5"/>
    <w:rsid w:val="2CA168C1"/>
    <w:rsid w:val="2D6055AE"/>
    <w:rsid w:val="2D966F38"/>
    <w:rsid w:val="2DF04E50"/>
    <w:rsid w:val="2E0D2C58"/>
    <w:rsid w:val="2E661843"/>
    <w:rsid w:val="2E8E6087"/>
    <w:rsid w:val="2EF259DB"/>
    <w:rsid w:val="2F040D46"/>
    <w:rsid w:val="2F2C674C"/>
    <w:rsid w:val="2FAE5751"/>
    <w:rsid w:val="2FB1A395"/>
    <w:rsid w:val="2FCD6695"/>
    <w:rsid w:val="2FD9A7D8"/>
    <w:rsid w:val="2FF3452F"/>
    <w:rsid w:val="3037458D"/>
    <w:rsid w:val="30BA044C"/>
    <w:rsid w:val="312578D6"/>
    <w:rsid w:val="31525163"/>
    <w:rsid w:val="319F7F4E"/>
    <w:rsid w:val="32F52BCB"/>
    <w:rsid w:val="3304709D"/>
    <w:rsid w:val="332507E2"/>
    <w:rsid w:val="33540E03"/>
    <w:rsid w:val="349D6851"/>
    <w:rsid w:val="35205003"/>
    <w:rsid w:val="355D1186"/>
    <w:rsid w:val="36AA5135"/>
    <w:rsid w:val="36BE0DA7"/>
    <w:rsid w:val="376B6AA6"/>
    <w:rsid w:val="376D39B2"/>
    <w:rsid w:val="37E16F03"/>
    <w:rsid w:val="37F53A3B"/>
    <w:rsid w:val="389B6C89"/>
    <w:rsid w:val="38D469F0"/>
    <w:rsid w:val="38EC419A"/>
    <w:rsid w:val="39537885"/>
    <w:rsid w:val="397BAF1F"/>
    <w:rsid w:val="3AB79AF3"/>
    <w:rsid w:val="3B7EF35A"/>
    <w:rsid w:val="3B9FDB6C"/>
    <w:rsid w:val="3BA943C4"/>
    <w:rsid w:val="3BF5BC2F"/>
    <w:rsid w:val="3C6D082F"/>
    <w:rsid w:val="3C7F111E"/>
    <w:rsid w:val="3CEBA265"/>
    <w:rsid w:val="3D98207C"/>
    <w:rsid w:val="3E654F78"/>
    <w:rsid w:val="3E78745D"/>
    <w:rsid w:val="3EC11F0B"/>
    <w:rsid w:val="3EC126F9"/>
    <w:rsid w:val="3FF4CAE0"/>
    <w:rsid w:val="3FF7B227"/>
    <w:rsid w:val="40F25A08"/>
    <w:rsid w:val="43F71D59"/>
    <w:rsid w:val="443202B4"/>
    <w:rsid w:val="44C85FFD"/>
    <w:rsid w:val="44D725A8"/>
    <w:rsid w:val="44E268DA"/>
    <w:rsid w:val="457C3C63"/>
    <w:rsid w:val="45DE130F"/>
    <w:rsid w:val="46B8648E"/>
    <w:rsid w:val="46DC2693"/>
    <w:rsid w:val="4A627F82"/>
    <w:rsid w:val="4B0E749A"/>
    <w:rsid w:val="4B4F25DA"/>
    <w:rsid w:val="4BE068DB"/>
    <w:rsid w:val="4CB02346"/>
    <w:rsid w:val="4D0024B8"/>
    <w:rsid w:val="4D577224"/>
    <w:rsid w:val="4DBF1CEB"/>
    <w:rsid w:val="4E6F3429"/>
    <w:rsid w:val="4EAB630A"/>
    <w:rsid w:val="4ECE2238"/>
    <w:rsid w:val="4FE9BD67"/>
    <w:rsid w:val="4FFB052F"/>
    <w:rsid w:val="5012063C"/>
    <w:rsid w:val="505D432A"/>
    <w:rsid w:val="5124535E"/>
    <w:rsid w:val="515854E3"/>
    <w:rsid w:val="51EC0C8A"/>
    <w:rsid w:val="521A2837"/>
    <w:rsid w:val="537E6D0A"/>
    <w:rsid w:val="53F74C96"/>
    <w:rsid w:val="54050F0C"/>
    <w:rsid w:val="546239EA"/>
    <w:rsid w:val="555E710A"/>
    <w:rsid w:val="56E47B74"/>
    <w:rsid w:val="570650BB"/>
    <w:rsid w:val="57BD3DD4"/>
    <w:rsid w:val="57EF6BD3"/>
    <w:rsid w:val="58452D6C"/>
    <w:rsid w:val="587F351F"/>
    <w:rsid w:val="58D751FA"/>
    <w:rsid w:val="595D1D80"/>
    <w:rsid w:val="5AF92295"/>
    <w:rsid w:val="5BDD79E6"/>
    <w:rsid w:val="5BFF5DFC"/>
    <w:rsid w:val="5C712AAD"/>
    <w:rsid w:val="5CD71FC4"/>
    <w:rsid w:val="5D1F11B5"/>
    <w:rsid w:val="5DAE1B18"/>
    <w:rsid w:val="5DBD7190"/>
    <w:rsid w:val="5DE7D9E5"/>
    <w:rsid w:val="5E3574D4"/>
    <w:rsid w:val="5ECEC941"/>
    <w:rsid w:val="5F19011D"/>
    <w:rsid w:val="5F9267A7"/>
    <w:rsid w:val="5FBF9FF3"/>
    <w:rsid w:val="5FCD4E2C"/>
    <w:rsid w:val="5FEF394A"/>
    <w:rsid w:val="5FF67715"/>
    <w:rsid w:val="601E18C0"/>
    <w:rsid w:val="609360DE"/>
    <w:rsid w:val="61BC6B7B"/>
    <w:rsid w:val="62BF3928"/>
    <w:rsid w:val="647F5392"/>
    <w:rsid w:val="648B62CF"/>
    <w:rsid w:val="65562CA2"/>
    <w:rsid w:val="679C27B9"/>
    <w:rsid w:val="68685C0D"/>
    <w:rsid w:val="686B7CFD"/>
    <w:rsid w:val="6941184D"/>
    <w:rsid w:val="695966A7"/>
    <w:rsid w:val="6A484708"/>
    <w:rsid w:val="6A7C0E43"/>
    <w:rsid w:val="6A8D4E6D"/>
    <w:rsid w:val="6A9B454D"/>
    <w:rsid w:val="6B2C03AD"/>
    <w:rsid w:val="6C4A05C8"/>
    <w:rsid w:val="6C5B06F6"/>
    <w:rsid w:val="6C8742B8"/>
    <w:rsid w:val="6DBF5E93"/>
    <w:rsid w:val="6DFF077E"/>
    <w:rsid w:val="6E43718D"/>
    <w:rsid w:val="6E7E3605"/>
    <w:rsid w:val="6E7FDCC7"/>
    <w:rsid w:val="6ED6A62E"/>
    <w:rsid w:val="6EE00B15"/>
    <w:rsid w:val="6F2511F6"/>
    <w:rsid w:val="6F5A756F"/>
    <w:rsid w:val="6F6FB3EB"/>
    <w:rsid w:val="6F8731EA"/>
    <w:rsid w:val="6F8C2DBB"/>
    <w:rsid w:val="6FCE6052"/>
    <w:rsid w:val="6FD57C00"/>
    <w:rsid w:val="6FEFFFD8"/>
    <w:rsid w:val="6FF5CC65"/>
    <w:rsid w:val="6FFB47EC"/>
    <w:rsid w:val="6FFF034A"/>
    <w:rsid w:val="70004270"/>
    <w:rsid w:val="70484A87"/>
    <w:rsid w:val="710C194A"/>
    <w:rsid w:val="712A28F1"/>
    <w:rsid w:val="715C0E4B"/>
    <w:rsid w:val="72233669"/>
    <w:rsid w:val="72734D90"/>
    <w:rsid w:val="7332FE48"/>
    <w:rsid w:val="73AB61DA"/>
    <w:rsid w:val="73AD73D5"/>
    <w:rsid w:val="73B662BA"/>
    <w:rsid w:val="73B6EB34"/>
    <w:rsid w:val="73FA497D"/>
    <w:rsid w:val="744731E5"/>
    <w:rsid w:val="74813CBD"/>
    <w:rsid w:val="74BBD01D"/>
    <w:rsid w:val="74ED5379"/>
    <w:rsid w:val="75DEEEC2"/>
    <w:rsid w:val="76250E38"/>
    <w:rsid w:val="76E3355F"/>
    <w:rsid w:val="76FF5125"/>
    <w:rsid w:val="776F6FFA"/>
    <w:rsid w:val="778769C8"/>
    <w:rsid w:val="77DC22F5"/>
    <w:rsid w:val="790C7784"/>
    <w:rsid w:val="796B643A"/>
    <w:rsid w:val="79D7FD79"/>
    <w:rsid w:val="79EE5BA4"/>
    <w:rsid w:val="79FD52C6"/>
    <w:rsid w:val="7A894339"/>
    <w:rsid w:val="7AFF7572"/>
    <w:rsid w:val="7B6C7DFB"/>
    <w:rsid w:val="7BB3636A"/>
    <w:rsid w:val="7BBFBED0"/>
    <w:rsid w:val="7BC3E394"/>
    <w:rsid w:val="7C380B51"/>
    <w:rsid w:val="7CBFC87B"/>
    <w:rsid w:val="7CF02199"/>
    <w:rsid w:val="7CFE0F48"/>
    <w:rsid w:val="7D6E6F6F"/>
    <w:rsid w:val="7D7EC23E"/>
    <w:rsid w:val="7E887174"/>
    <w:rsid w:val="7E8ADEBF"/>
    <w:rsid w:val="7EEF11D3"/>
    <w:rsid w:val="7F3F679B"/>
    <w:rsid w:val="7F4FC4EF"/>
    <w:rsid w:val="7F5E4D54"/>
    <w:rsid w:val="7FA30C79"/>
    <w:rsid w:val="7FAF8ABF"/>
    <w:rsid w:val="7FB7269E"/>
    <w:rsid w:val="7FC96657"/>
    <w:rsid w:val="7FDA9588"/>
    <w:rsid w:val="7FDF220F"/>
    <w:rsid w:val="7FEDC5F7"/>
    <w:rsid w:val="7FEDD9DE"/>
    <w:rsid w:val="7FF5890D"/>
    <w:rsid w:val="7FF93490"/>
    <w:rsid w:val="99FF2014"/>
    <w:rsid w:val="A6DD0D7F"/>
    <w:rsid w:val="ADC6F725"/>
    <w:rsid w:val="B7CF06AB"/>
    <w:rsid w:val="B7CFA926"/>
    <w:rsid w:val="B7F8786B"/>
    <w:rsid w:val="BABB6AA1"/>
    <w:rsid w:val="BB2F4199"/>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FFA9E8"/>
    <w:rsid w:val="E5F4E9DC"/>
    <w:rsid w:val="E70FE695"/>
    <w:rsid w:val="ECFED1BC"/>
    <w:rsid w:val="ED1D69BB"/>
    <w:rsid w:val="ED7FD312"/>
    <w:rsid w:val="EF53993F"/>
    <w:rsid w:val="EFBFB2F4"/>
    <w:rsid w:val="EFBFFA21"/>
    <w:rsid w:val="F2BEBCB8"/>
    <w:rsid w:val="F36FB518"/>
    <w:rsid w:val="F3DE1A04"/>
    <w:rsid w:val="F3F722E5"/>
    <w:rsid w:val="FA5F1E70"/>
    <w:rsid w:val="FA5FDB97"/>
    <w:rsid w:val="FB7F486A"/>
    <w:rsid w:val="FBFF5B2E"/>
    <w:rsid w:val="FD7FFE2B"/>
    <w:rsid w:val="FDEE196B"/>
    <w:rsid w:val="FDFE6575"/>
    <w:rsid w:val="FEDFDDC2"/>
    <w:rsid w:val="FEED32F6"/>
    <w:rsid w:val="FEF781DD"/>
    <w:rsid w:val="FF3F7E3F"/>
    <w:rsid w:val="FFBA12D7"/>
    <w:rsid w:val="FFDFFAEE"/>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6">
    <w:name w:val="font71"/>
    <w:basedOn w:val="17"/>
    <w:qFormat/>
    <w:uiPriority w:val="0"/>
    <w:rPr>
      <w:rFonts w:ascii="黑体" w:hAnsi="宋体" w:eastAsia="黑体" w:cs="黑体"/>
      <w:color w:val="000000"/>
      <w:sz w:val="18"/>
      <w:szCs w:val="18"/>
      <w:u w:val="non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pjy\Desktop\&#20915;&#31639;&#30011;&#2227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pjy\Desktop\&#20915;&#31639;&#30011;&#2227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pjy\Desktop\&#20915;&#31639;&#30011;&#2227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pjy\Desktop\&#20915;&#31639;&#30011;&#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jy\Desktop\&#20915;&#31639;&#30011;&#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jy\Desktop\&#20915;&#31639;&#3001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收、支决算总计变动情况图（万元）</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[决算画图.xls]Sheet1!$C$30:$C$31</c:f>
              <c:strCache>
                <c:ptCount val="1"/>
                <c:pt idx="0">
                  <c:v>2022年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[决算画图.xls]Sheet1!$B$32:$B$33</c:f>
              <c:strCache>
                <c:ptCount val="2"/>
                <c:pt idx="0">
                  <c:v>收入</c:v>
                </c:pt>
                <c:pt idx="1">
                  <c:v>支出</c:v>
                </c:pt>
              </c:strCache>
            </c:strRef>
          </c:cat>
          <c:val>
            <c:numRef>
              <c:f>[决算画图.xls]Sheet1!$C$32:$C$33</c:f>
              <c:numCache>
                <c:formatCode>General</c:formatCode>
                <c:ptCount val="2"/>
                <c:pt idx="0">
                  <c:v>749.84</c:v>
                </c:pt>
                <c:pt idx="1">
                  <c:v>749.84</c:v>
                </c:pt>
              </c:numCache>
            </c:numRef>
          </c:val>
        </c:ser>
        <c:ser>
          <c:idx val="1"/>
          <c:order val="1"/>
          <c:tx>
            <c:strRef>
              <c:f>[决算画图.xls]Sheet1!$D$30:$D$31</c:f>
              <c:strCache>
                <c:ptCount val="1"/>
                <c:pt idx="0">
                  <c:v>2023年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[决算画图.xls]Sheet1!$B$32:$B$33</c:f>
              <c:strCache>
                <c:ptCount val="2"/>
                <c:pt idx="0">
                  <c:v>收入</c:v>
                </c:pt>
                <c:pt idx="1">
                  <c:v>支出</c:v>
                </c:pt>
              </c:strCache>
            </c:strRef>
          </c:cat>
          <c:val>
            <c:numRef>
              <c:f>[决算画图.xls]Sheet1!$D$32:$D$33</c:f>
              <c:numCache>
                <c:formatCode>General</c:formatCode>
                <c:ptCount val="2"/>
                <c:pt idx="0">
                  <c:v>1255.17</c:v>
                </c:pt>
                <c:pt idx="1">
                  <c:v>1255.17</c:v>
                </c:pt>
              </c:numCache>
            </c:numRef>
          </c:val>
        </c:ser>
        <c:dLbls>
          <c:showLegendKey val="0"/>
          <c:showVal val="0"/>
          <c:showCatName val="0"/>
          <c:showSerName val="0"/>
          <c:showPercent val="0"/>
          <c:showBubbleSize val="0"/>
        </c:dLbls>
        <c:gapWidth val="219"/>
        <c:overlap val="-27"/>
        <c:axId val="136774333"/>
        <c:axId val="937812023"/>
      </c:barChart>
      <c:catAx>
        <c:axId val="13677433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7812023"/>
        <c:crosses val="autoZero"/>
        <c:auto val="1"/>
        <c:lblAlgn val="ctr"/>
        <c:lblOffset val="100"/>
        <c:noMultiLvlLbl val="0"/>
      </c:catAx>
      <c:valAx>
        <c:axId val="93781202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7743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53.</a:t>
                    </a:r>
                    <a:r>
                      <a:rPr lang="en-US" altLang="zh-CN"/>
                      <a:t>8</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112367636584591"/>
                  <c:y val="-0.0080004540448198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46.2%</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[决算画图.xls]Sheet1!$B$4:$B$5</c:f>
              <c:strCache>
                <c:ptCount val="2"/>
                <c:pt idx="0">
                  <c:v>一般公共预算财政拨款收入</c:v>
                </c:pt>
                <c:pt idx="1">
                  <c:v>经营收入</c:v>
                </c:pt>
              </c:strCache>
            </c:strRef>
          </c:cat>
          <c:val>
            <c:numRef>
              <c:f>[决算画图.xls]Sheet1!$C$4:$C$5</c:f>
              <c:numCache>
                <c:formatCode>0.00%</c:formatCode>
                <c:ptCount val="2"/>
                <c:pt idx="0">
                  <c:v>0.5376</c:v>
                </c:pt>
                <c:pt idx="1">
                  <c:v>0.4624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b="0"/>
              <a:t>支出决算结构图</a:t>
            </a:r>
            <a:endParaRPr b="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a:t>
                    </a:r>
                    <a:r>
                      <a:rPr lang="en-US" altLang="zh-CN"/>
                      <a:t>9</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34.</a:t>
                    </a:r>
                    <a:r>
                      <a:rPr lang="en-US" altLang="zh-CN"/>
                      <a:t>6</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36.4%</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[决算画图.xls]Sheet1!$B$25:$B$27</c:f>
              <c:strCache>
                <c:ptCount val="3"/>
                <c:pt idx="0">
                  <c:v>基本支出</c:v>
                </c:pt>
                <c:pt idx="1">
                  <c:v>项目支出</c:v>
                </c:pt>
                <c:pt idx="2">
                  <c:v>经营支出</c:v>
                </c:pt>
              </c:strCache>
            </c:strRef>
          </c:cat>
          <c:val>
            <c:numRef>
              <c:f>[决算画图.xls]Sheet1!$C$25:$C$27</c:f>
              <c:numCache>
                <c:formatCode>0.00%</c:formatCode>
                <c:ptCount val="3"/>
                <c:pt idx="0">
                  <c:v>0.2897</c:v>
                </c:pt>
                <c:pt idx="1">
                  <c:v>0.3459</c:v>
                </c:pt>
                <c:pt idx="2">
                  <c:v>0.3644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b="0"/>
              <a:t>财政拨款收、支决算总计变动情况（万元）</a:t>
            </a:r>
            <a:endParaRPr b="0"/>
          </a:p>
        </c:rich>
      </c:tx>
      <c:layout/>
      <c:overlay val="0"/>
      <c:spPr>
        <a:noFill/>
        <a:ln>
          <a:noFill/>
        </a:ln>
        <a:effectLst/>
      </c:spPr>
    </c:title>
    <c:autoTitleDeleted val="0"/>
    <c:plotArea>
      <c:layout/>
      <c:barChart>
        <c:barDir val="col"/>
        <c:grouping val="clustered"/>
        <c:varyColors val="0"/>
        <c:ser>
          <c:idx val="0"/>
          <c:order val="0"/>
          <c:tx>
            <c:strRef>
              <c:f>[决算画图.xls]Sheet1!$B$53</c:f>
              <c:strCache>
                <c:ptCount val="1"/>
                <c:pt idx="0">
                  <c:v>一般公共预算财政拨款收入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[决算画图.xls]Sheet1!$C$52:$D$52</c:f>
              <c:strCache>
                <c:ptCount val="2"/>
                <c:pt idx="0">
                  <c:v>2022年</c:v>
                </c:pt>
                <c:pt idx="1">
                  <c:v>2023年</c:v>
                </c:pt>
              </c:strCache>
            </c:strRef>
          </c:cat>
          <c:val>
            <c:numRef>
              <c:f>[决算画图.xls]Sheet1!$C$53:$D$53</c:f>
              <c:numCache>
                <c:formatCode>General</c:formatCode>
                <c:ptCount val="2"/>
                <c:pt idx="0">
                  <c:v>775.37</c:v>
                </c:pt>
                <c:pt idx="1">
                  <c:v>896.03</c:v>
                </c:pt>
              </c:numCache>
            </c:numRef>
          </c:val>
        </c:ser>
        <c:ser>
          <c:idx val="1"/>
          <c:order val="1"/>
          <c:tx>
            <c:strRef>
              <c:f>[决算画图.xls]Sheet1!$B$54</c:f>
              <c:strCache>
                <c:ptCount val="1"/>
                <c:pt idx="0">
                  <c:v>一般公共预算财政拨款支出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[决算画图.xls]Sheet1!$C$52:$D$52</c:f>
              <c:strCache>
                <c:ptCount val="2"/>
                <c:pt idx="0">
                  <c:v>2022年</c:v>
                </c:pt>
                <c:pt idx="1">
                  <c:v>2023年</c:v>
                </c:pt>
              </c:strCache>
            </c:strRef>
          </c:cat>
          <c:val>
            <c:numRef>
              <c:f>[决算画图.xls]Sheet1!$C$54:$D$54</c:f>
              <c:numCache>
                <c:formatCode>General</c:formatCode>
                <c:ptCount val="2"/>
                <c:pt idx="0">
                  <c:v>775.37</c:v>
                </c:pt>
                <c:pt idx="1">
                  <c:v>896.03</c:v>
                </c:pt>
              </c:numCache>
            </c:numRef>
          </c:val>
        </c:ser>
        <c:dLbls>
          <c:showLegendKey val="0"/>
          <c:showVal val="1"/>
          <c:showCatName val="0"/>
          <c:showSerName val="0"/>
          <c:showPercent val="0"/>
          <c:showBubbleSize val="0"/>
        </c:dLbls>
        <c:gapWidth val="246"/>
        <c:overlap val="-28"/>
        <c:axId val="519581818"/>
        <c:axId val="252494828"/>
      </c:barChart>
      <c:catAx>
        <c:axId val="5195818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2494828"/>
        <c:crosses val="autoZero"/>
        <c:auto val="1"/>
        <c:lblAlgn val="ctr"/>
        <c:lblOffset val="100"/>
        <c:noMultiLvlLbl val="0"/>
      </c:catAx>
      <c:valAx>
        <c:axId val="25249482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95818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b="0"/>
              <a:t>一般公共预算财政拨款支出决算变动情况</a:t>
            </a:r>
            <a:r>
              <a:rPr lang="en-US" altLang="zh-CN" b="0"/>
              <a:t>(</a:t>
            </a:r>
            <a:r>
              <a:rPr altLang="en-US" b="0"/>
              <a:t>万元）</a:t>
            </a:r>
            <a:endParaRPr altLang="en-US" sz="1400" b="0"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[决算画图.xls]Sheet1!$B$91</c:f>
              <c:strCache>
                <c:ptCount val="1"/>
                <c:pt idx="0">
                  <c:v>一般公共预算财政拨款支出</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[决算画图.xls]Sheet1!$C$90:$D$90</c:f>
              <c:strCache>
                <c:ptCount val="2"/>
                <c:pt idx="0">
                  <c:v>2022年</c:v>
                </c:pt>
                <c:pt idx="1">
                  <c:v>2023年</c:v>
                </c:pt>
              </c:strCache>
            </c:strRef>
          </c:cat>
          <c:val>
            <c:numRef>
              <c:f>[决算画图.xls]Sheet1!$C$91:$D$91</c:f>
              <c:numCache>
                <c:formatCode>General</c:formatCode>
                <c:ptCount val="2"/>
                <c:pt idx="0">
                  <c:v>775.37</c:v>
                </c:pt>
                <c:pt idx="1">
                  <c:v>896.03</c:v>
                </c:pt>
              </c:numCache>
            </c:numRef>
          </c:val>
        </c:ser>
        <c:dLbls>
          <c:showLegendKey val="0"/>
          <c:showVal val="0"/>
          <c:showCatName val="0"/>
          <c:showSerName val="0"/>
          <c:showPercent val="0"/>
          <c:showBubbleSize val="0"/>
        </c:dLbls>
        <c:gapWidth val="246"/>
        <c:overlap val="-28"/>
        <c:axId val="298294938"/>
        <c:axId val="894372106"/>
      </c:barChart>
      <c:catAx>
        <c:axId val="2982949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4372106"/>
        <c:crosses val="autoZero"/>
        <c:auto val="1"/>
        <c:lblAlgn val="ctr"/>
        <c:lblOffset val="100"/>
        <c:noMultiLvlLbl val="0"/>
      </c:catAx>
      <c:valAx>
        <c:axId val="894372106"/>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82949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一般公共预算财政拨款支出决算结构（万元）</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dPt>
          <c:dLbls>
            <c:dLbl>
              <c:idx val="2"/>
              <c:layout>
                <c:manualLayout>
                  <c:x val="-0.0663178366082818"/>
                  <c:y val="-0.0020035070832909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91269304528064"/>
                  <c:y val="-0.04435273598115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70641432082834"/>
                  <c:y val="-0.0047944185224192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76632950659318"/>
                  <c:y val="0.00425358733420277"/>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7460317460317"/>
                      <c:h val="0.0548902195608782"/>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[决算画图.xls]Sheet1!$B$6:$B$11</c:f>
              <c:strCache>
                <c:ptCount val="6"/>
                <c:pt idx="0">
                  <c:v>教育支出</c:v>
                </c:pt>
                <c:pt idx="1">
                  <c:v>科学技术支出</c:v>
                </c:pt>
                <c:pt idx="2">
                  <c:v>文化旅游体育与传媒支出</c:v>
                </c:pt>
                <c:pt idx="3">
                  <c:v>社会保障和就业支出</c:v>
                </c:pt>
                <c:pt idx="4">
                  <c:v>卫生健康支出</c:v>
                </c:pt>
                <c:pt idx="5">
                  <c:v>住房保障支出</c:v>
                </c:pt>
              </c:strCache>
            </c:strRef>
          </c:cat>
          <c:val>
            <c:numRef>
              <c:f>[决算画图.xls]Sheet1!$C$6:$C$11</c:f>
              <c:numCache>
                <c:formatCode>General</c:formatCode>
                <c:ptCount val="6"/>
                <c:pt idx="0">
                  <c:v>2</c:v>
                </c:pt>
                <c:pt idx="1">
                  <c:v>553.25</c:v>
                </c:pt>
                <c:pt idx="2">
                  <c:v>209.01</c:v>
                </c:pt>
                <c:pt idx="3">
                  <c:v>83.43</c:v>
                </c:pt>
                <c:pt idx="4">
                  <c:v>18.28</c:v>
                </c:pt>
                <c:pt idx="5">
                  <c:v>30.07</c:v>
                </c:pt>
              </c:numCache>
            </c:numRef>
          </c:val>
        </c:ser>
        <c:ser>
          <c:idx val="1"/>
          <c:order val="1"/>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dPt>
          <c:dLbls>
            <c:delete val="1"/>
          </c:dLbls>
          <c:cat>
            <c:strRef>
              <c:f>[决算画图.xls]Sheet1!$B$6:$B$11</c:f>
              <c:strCache>
                <c:ptCount val="6"/>
                <c:pt idx="0">
                  <c:v>教育支出</c:v>
                </c:pt>
                <c:pt idx="1">
                  <c:v>科学技术支出</c:v>
                </c:pt>
                <c:pt idx="2">
                  <c:v>文化旅游体育与传媒支出</c:v>
                </c:pt>
                <c:pt idx="3">
                  <c:v>社会保障和就业支出</c:v>
                </c:pt>
                <c:pt idx="4">
                  <c:v>卫生健康支出</c:v>
                </c:pt>
                <c:pt idx="5">
                  <c:v>住房保障支出</c:v>
                </c:pt>
              </c:strCache>
            </c:strRef>
          </c:cat>
          <c:val>
            <c:numRef>
              <c:f>[决算画图.xls]Sheet1!$D$6:$D$11</c:f>
              <c:numCache>
                <c:formatCode>0.00%</c:formatCode>
                <c:ptCount val="6"/>
                <c:pt idx="0">
                  <c:v>0.002</c:v>
                </c:pt>
                <c:pt idx="1">
                  <c:v>0.6174</c:v>
                </c:pt>
                <c:pt idx="2">
                  <c:v>0.2333</c:v>
                </c:pt>
                <c:pt idx="3">
                  <c:v>0.0931</c:v>
                </c:pt>
                <c:pt idx="4">
                  <c:v>0.0204</c:v>
                </c:pt>
                <c:pt idx="5">
                  <c:v>0.0336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8903</Words>
  <Characters>9974</Characters>
  <Lines>61</Lines>
  <Paragraphs>17</Paragraphs>
  <TotalTime>36</TotalTime>
  <ScaleCrop>false</ScaleCrop>
  <LinksUpToDate>false</LinksUpToDate>
  <CharactersWithSpaces>10179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人在这</cp:lastModifiedBy>
  <cp:lastPrinted>2024-08-05T01:44:00Z</cp:lastPrinted>
  <dcterms:modified xsi:type="dcterms:W3CDTF">2024-09-12T08:03:41Z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1221090903714FC68169A3E42C5B0EC8_13</vt:lpwstr>
  </property>
</Properties>
</file>