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0" w:firstLineChars="0"/>
        <w:rPr>
          <w:rFonts w:eastAsia="黑体"/>
          <w:color w:val="000000"/>
          <w:szCs w:val="32"/>
        </w:rPr>
      </w:pPr>
      <w:r>
        <w:rPr>
          <w:rFonts w:eastAsia="黑体"/>
          <w:color w:val="000000"/>
        </w:rPr>
        <w:t>附件3</w:t>
      </w:r>
    </w:p>
    <w:p>
      <w:pPr>
        <w:overflowPunct w:val="0"/>
        <w:autoSpaceDE w:val="0"/>
        <w:autoSpaceDN w:val="0"/>
        <w:adjustRightInd w:val="0"/>
        <w:snapToGrid w:val="0"/>
        <w:spacing w:after="0" w:line="600" w:lineRule="exact"/>
        <w:ind w:firstLine="0" w:firstLineChars="0"/>
        <w:jc w:val="center"/>
        <w:rPr>
          <w:rFonts w:eastAsia="方正小标宋_GBK"/>
          <w:color w:val="000000"/>
          <w:sz w:val="44"/>
          <w:szCs w:val="44"/>
        </w:rPr>
      </w:pPr>
    </w:p>
    <w:p>
      <w:pPr>
        <w:overflowPunct w:val="0"/>
        <w:autoSpaceDE w:val="0"/>
        <w:autoSpaceDN w:val="0"/>
        <w:adjustRightInd w:val="0"/>
        <w:snapToGrid w:val="0"/>
        <w:spacing w:after="0" w:line="600" w:lineRule="exact"/>
        <w:ind w:firstLine="0" w:firstLineChars="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加力实施科技创新专项担保</w:t>
      </w:r>
    </w:p>
    <w:p>
      <w:pPr>
        <w:overflowPunct w:val="0"/>
        <w:autoSpaceDE w:val="0"/>
        <w:autoSpaceDN w:val="0"/>
        <w:adjustRightInd w:val="0"/>
        <w:snapToGrid w:val="0"/>
        <w:spacing w:after="0" w:line="600" w:lineRule="exact"/>
        <w:ind w:firstLine="0" w:firstLineChars="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激励实施细则</w:t>
      </w:r>
    </w:p>
    <w:p>
      <w:pPr>
        <w:overflowPunct w:val="0"/>
        <w:autoSpaceDE w:val="0"/>
        <w:autoSpaceDN w:val="0"/>
        <w:adjustRightInd w:val="0"/>
        <w:snapToGrid w:val="0"/>
        <w:spacing w:after="0" w:line="600" w:lineRule="exact"/>
        <w:ind w:firstLine="0" w:firstLineChars="0"/>
        <w:jc w:val="center"/>
        <w:rPr>
          <w:rFonts w:eastAsia="方正小标宋简体"/>
          <w:color w:val="000000"/>
          <w:sz w:val="44"/>
          <w:szCs w:val="44"/>
        </w:rPr>
      </w:pPr>
    </w:p>
    <w:p>
      <w:pPr>
        <w:pStyle w:val="2"/>
        <w:spacing w:after="0" w:line="600" w:lineRule="exact"/>
        <w:ind w:firstLine="0" w:firstLineChars="0"/>
        <w:jc w:val="center"/>
        <w:rPr>
          <w:rFonts w:ascii="Times New Roman" w:hAnsi="Times New Roman"/>
          <w:color w:val="000000"/>
        </w:rPr>
      </w:pPr>
      <w:r>
        <w:rPr>
          <w:rFonts w:ascii="Times New Roman" w:hAnsi="Times New Roman"/>
          <w:color w:val="000000"/>
        </w:rPr>
        <w:t>第一章 总则</w:t>
      </w:r>
    </w:p>
    <w:p>
      <w:pPr>
        <w:overflowPunct w:val="0"/>
        <w:autoSpaceDE w:val="0"/>
        <w:autoSpaceDN w:val="0"/>
        <w:adjustRightInd w:val="0"/>
        <w:snapToGrid w:val="0"/>
        <w:spacing w:after="0" w:line="600" w:lineRule="exact"/>
        <w:rPr>
          <w:color w:val="000000"/>
        </w:rPr>
      </w:pPr>
      <w:r>
        <w:rPr>
          <w:rFonts w:hint="eastAsia" w:ascii="黑体" w:hAnsi="黑体" w:eastAsia="黑体" w:cs="黑体"/>
          <w:color w:val="000000"/>
        </w:rPr>
        <w:t>第一条</w:t>
      </w:r>
      <w:r>
        <w:rPr>
          <w:rFonts w:hint="eastAsia"/>
          <w:color w:val="000000"/>
        </w:rPr>
        <w:t xml:space="preserve">  为深入贯彻</w:t>
      </w:r>
      <w:r>
        <w:rPr>
          <w:szCs w:val="32"/>
        </w:rPr>
        <w:t>《四川省人民政府</w:t>
      </w:r>
      <w:r>
        <w:rPr>
          <w:color w:val="000000"/>
        </w:rPr>
        <w:t>办公厅印发</w:t>
      </w:r>
      <w:r>
        <w:rPr>
          <w:rFonts w:hint="eastAsia"/>
          <w:color w:val="000000"/>
        </w:rPr>
        <w:t>〈</w:t>
      </w:r>
      <w:r>
        <w:rPr>
          <w:color w:val="000000"/>
        </w:rPr>
        <w:t>关于进一步推动经济运行回升向好的若干政策措施</w:t>
      </w:r>
      <w:r>
        <w:rPr>
          <w:rFonts w:hint="eastAsia"/>
          <w:color w:val="000000"/>
        </w:rPr>
        <w:t>〉</w:t>
      </w:r>
      <w:r>
        <w:rPr>
          <w:color w:val="000000"/>
        </w:rPr>
        <w:t>的</w:t>
      </w:r>
      <w:r>
        <w:rPr>
          <w:szCs w:val="32"/>
        </w:rPr>
        <w:t>通知》</w:t>
      </w:r>
      <w:r>
        <w:rPr>
          <w:color w:val="000000"/>
          <w:szCs w:val="32"/>
        </w:rPr>
        <w:t>（川办规〔2025〕3号）</w:t>
      </w:r>
      <w:r>
        <w:rPr>
          <w:rFonts w:hint="eastAsia"/>
          <w:color w:val="000000"/>
          <w:szCs w:val="32"/>
        </w:rPr>
        <w:t>要求，撬动更多政府性融资担保资源支持科技创新类企业发展</w:t>
      </w:r>
      <w:r>
        <w:rPr>
          <w:color w:val="000000"/>
          <w:szCs w:val="32"/>
        </w:rPr>
        <w:t>，</w:t>
      </w:r>
      <w:r>
        <w:rPr>
          <w:rFonts w:hint="eastAsia"/>
          <w:color w:val="000000"/>
          <w:szCs w:val="32"/>
        </w:rPr>
        <w:t>推动支持科技创新专项担保计划在我省落地落实，</w:t>
      </w:r>
      <w:r>
        <w:rPr>
          <w:color w:val="000000"/>
          <w:szCs w:val="32"/>
        </w:rPr>
        <w:t>制定本</w:t>
      </w:r>
      <w:r>
        <w:rPr>
          <w:rFonts w:hint="eastAsia"/>
          <w:color w:val="000000"/>
          <w:szCs w:val="32"/>
        </w:rPr>
        <w:t>实施细则</w:t>
      </w:r>
      <w:r>
        <w:rPr>
          <w:color w:val="000000"/>
          <w:szCs w:val="32"/>
        </w:rPr>
        <w:t>。</w:t>
      </w:r>
    </w:p>
    <w:p>
      <w:pPr>
        <w:overflowPunct w:val="0"/>
        <w:autoSpaceDE w:val="0"/>
        <w:autoSpaceDN w:val="0"/>
        <w:adjustRightInd w:val="0"/>
        <w:snapToGrid w:val="0"/>
        <w:spacing w:after="0" w:line="600" w:lineRule="exact"/>
        <w:rPr>
          <w:color w:val="000000"/>
        </w:rPr>
      </w:pPr>
      <w:r>
        <w:rPr>
          <w:rFonts w:hint="eastAsia" w:ascii="黑体" w:hAnsi="黑体" w:eastAsia="黑体" w:cs="黑体"/>
          <w:color w:val="000000"/>
        </w:rPr>
        <w:t>第二条</w:t>
      </w:r>
      <w:r>
        <w:rPr>
          <w:rFonts w:hint="eastAsia"/>
          <w:color w:val="000000"/>
        </w:rPr>
        <w:t xml:space="preserve">  </w:t>
      </w:r>
      <w:r>
        <w:rPr>
          <w:color w:val="000000"/>
        </w:rPr>
        <w:t>本</w:t>
      </w:r>
      <w:r>
        <w:rPr>
          <w:rFonts w:hint="eastAsia"/>
          <w:color w:val="000000"/>
        </w:rPr>
        <w:t>实施细则</w:t>
      </w:r>
      <w:r>
        <w:rPr>
          <w:color w:val="000000"/>
        </w:rPr>
        <w:t>所指</w:t>
      </w:r>
      <w:r>
        <w:rPr>
          <w:rFonts w:hint="eastAsia"/>
          <w:color w:val="000000"/>
        </w:rPr>
        <w:t>科技创新专项担保支持企业库</w:t>
      </w:r>
      <w:r>
        <w:rPr>
          <w:color w:val="000000"/>
        </w:rPr>
        <w:t>，</w:t>
      </w:r>
      <w:r>
        <w:rPr>
          <w:rFonts w:hint="eastAsia"/>
          <w:color w:val="000000"/>
        </w:rPr>
        <w:t>由省、市两级科技、经济和信息化部门建立，库内企业需符合财政部等四部门印发的《关于实施支持科技创新专项担保计划的通知》</w:t>
      </w:r>
      <w:r>
        <w:rPr>
          <w:color w:val="000000"/>
          <w:szCs w:val="32"/>
        </w:rPr>
        <w:t>（</w:t>
      </w:r>
      <w:r>
        <w:rPr>
          <w:rFonts w:hint="eastAsia"/>
          <w:color w:val="000000"/>
          <w:szCs w:val="32"/>
        </w:rPr>
        <w:t>财金</w:t>
      </w:r>
      <w:r>
        <w:rPr>
          <w:color w:val="000000"/>
          <w:szCs w:val="32"/>
        </w:rPr>
        <w:t>〔202</w:t>
      </w:r>
      <w:r>
        <w:rPr>
          <w:rFonts w:hint="eastAsia"/>
          <w:color w:val="000000"/>
          <w:szCs w:val="32"/>
        </w:rPr>
        <w:t>4</w:t>
      </w:r>
      <w:r>
        <w:rPr>
          <w:color w:val="000000"/>
          <w:szCs w:val="32"/>
        </w:rPr>
        <w:t>〕</w:t>
      </w:r>
      <w:r>
        <w:rPr>
          <w:rFonts w:hint="eastAsia"/>
          <w:color w:val="000000"/>
          <w:szCs w:val="32"/>
        </w:rPr>
        <w:t>60</w:t>
      </w:r>
      <w:r>
        <w:rPr>
          <w:color w:val="000000"/>
          <w:szCs w:val="32"/>
        </w:rPr>
        <w:t>号</w:t>
      </w:r>
      <w:r>
        <w:rPr>
          <w:rFonts w:hint="eastAsia"/>
          <w:color w:val="000000"/>
          <w:szCs w:val="32"/>
        </w:rPr>
        <w:t>，以下简称《通知》</w:t>
      </w:r>
      <w:r>
        <w:rPr>
          <w:color w:val="000000"/>
          <w:szCs w:val="32"/>
        </w:rPr>
        <w:t>）</w:t>
      </w:r>
      <w:r>
        <w:rPr>
          <w:rFonts w:hint="eastAsia"/>
          <w:color w:val="000000"/>
          <w:szCs w:val="32"/>
        </w:rPr>
        <w:t>支持对象条件，包括科技、经济和信息化部门管理的科技型中小企业和高新技术中小企业、专精特新“小巨人”企业、专精特新中小企业、创新型中小企业、承担国家科技项目的中小企业、依托“创新积分制”筛选出的科技型中小企业等</w:t>
      </w:r>
      <w:r>
        <w:rPr>
          <w:color w:val="000000"/>
        </w:rPr>
        <w:t>。</w:t>
      </w:r>
    </w:p>
    <w:p>
      <w:pPr>
        <w:overflowPunct w:val="0"/>
        <w:autoSpaceDE w:val="0"/>
        <w:autoSpaceDN w:val="0"/>
        <w:adjustRightInd w:val="0"/>
        <w:snapToGrid w:val="0"/>
        <w:spacing w:after="0" w:line="600" w:lineRule="exact"/>
        <w:rPr>
          <w:bCs/>
          <w:color w:val="000000"/>
          <w:szCs w:val="32"/>
        </w:rPr>
      </w:pPr>
      <w:r>
        <w:rPr>
          <w:rFonts w:hint="eastAsia"/>
          <w:color w:val="000000"/>
        </w:rPr>
        <w:t>本实施细则所指中型企业，需在四川省内工商注册登记、具有独立法人资格，符合工业和信息化部等四部门印发的《关于印发中小企业划型标准规定的通知》</w:t>
      </w:r>
      <w:r>
        <w:rPr>
          <w:color w:val="000000"/>
          <w:szCs w:val="32"/>
        </w:rPr>
        <w:t>（</w:t>
      </w:r>
      <w:r>
        <w:rPr>
          <w:rFonts w:hint="eastAsia"/>
          <w:color w:val="000000"/>
          <w:szCs w:val="32"/>
        </w:rPr>
        <w:t>工信部联企业</w:t>
      </w:r>
      <w:r>
        <w:rPr>
          <w:color w:val="000000"/>
          <w:szCs w:val="32"/>
        </w:rPr>
        <w:t>〔20</w:t>
      </w:r>
      <w:r>
        <w:rPr>
          <w:rFonts w:hint="eastAsia"/>
          <w:color w:val="000000"/>
          <w:szCs w:val="32"/>
        </w:rPr>
        <w:t>11</w:t>
      </w:r>
      <w:r>
        <w:rPr>
          <w:color w:val="000000"/>
          <w:szCs w:val="32"/>
        </w:rPr>
        <w:t>〕</w:t>
      </w:r>
      <w:r>
        <w:rPr>
          <w:rFonts w:hint="eastAsia"/>
          <w:color w:val="000000"/>
          <w:szCs w:val="32"/>
        </w:rPr>
        <w:t>300</w:t>
      </w:r>
      <w:r>
        <w:rPr>
          <w:color w:val="000000"/>
          <w:szCs w:val="32"/>
        </w:rPr>
        <w:t>号）</w:t>
      </w:r>
      <w:r>
        <w:rPr>
          <w:rFonts w:hint="eastAsia"/>
          <w:color w:val="000000"/>
          <w:szCs w:val="32"/>
        </w:rPr>
        <w:t>，不包括房地产业、金融业、投资与资产管理类、地方政府投融资平台类、地方国有企业资本运营平台类企业</w:t>
      </w:r>
      <w:r>
        <w:rPr>
          <w:bCs/>
          <w:color w:val="000000"/>
          <w:szCs w:val="32"/>
        </w:rPr>
        <w:t>。</w:t>
      </w:r>
    </w:p>
    <w:p>
      <w:pPr>
        <w:overflowPunct w:val="0"/>
        <w:autoSpaceDE w:val="0"/>
        <w:autoSpaceDN w:val="0"/>
        <w:adjustRightInd w:val="0"/>
        <w:snapToGrid w:val="0"/>
        <w:spacing w:after="0" w:line="600" w:lineRule="exact"/>
        <w:rPr>
          <w:bCs/>
          <w:color w:val="000000"/>
          <w:szCs w:val="32"/>
        </w:rPr>
      </w:pPr>
      <w:r>
        <w:rPr>
          <w:bCs/>
          <w:color w:val="000000"/>
          <w:szCs w:val="32"/>
        </w:rPr>
        <w:t>本实施细则所指科技创新专项担保</w:t>
      </w:r>
      <w:r>
        <w:rPr>
          <w:rFonts w:hint="eastAsia"/>
          <w:bCs/>
          <w:color w:val="000000"/>
          <w:szCs w:val="32"/>
        </w:rPr>
        <w:t>业务，特指在2025年4月1日至2025年9月30日期间，按照《通知》要求所开展的专项担保业务。</w:t>
      </w:r>
    </w:p>
    <w:p>
      <w:pPr>
        <w:overflowPunct w:val="0"/>
        <w:autoSpaceDE w:val="0"/>
        <w:autoSpaceDN w:val="0"/>
        <w:adjustRightInd w:val="0"/>
        <w:snapToGrid w:val="0"/>
        <w:spacing w:after="0" w:line="600" w:lineRule="exact"/>
        <w:ind w:firstLine="0" w:firstLineChars="0"/>
        <w:jc w:val="center"/>
        <w:rPr>
          <w:bCs/>
          <w:color w:val="000000"/>
          <w:szCs w:val="32"/>
        </w:rPr>
      </w:pPr>
    </w:p>
    <w:p>
      <w:pPr>
        <w:overflowPunct w:val="0"/>
        <w:autoSpaceDE w:val="0"/>
        <w:autoSpaceDN w:val="0"/>
        <w:adjustRightInd w:val="0"/>
        <w:snapToGrid w:val="0"/>
        <w:spacing w:after="0" w:line="600" w:lineRule="exact"/>
        <w:ind w:firstLine="0" w:firstLineChars="0"/>
        <w:jc w:val="center"/>
        <w:rPr>
          <w:rFonts w:hint="eastAsia" w:ascii="黑体" w:hAnsi="黑体" w:eastAsia="黑体" w:cs="黑体"/>
          <w:bCs/>
          <w:color w:val="000000"/>
          <w:szCs w:val="32"/>
        </w:rPr>
      </w:pPr>
      <w:r>
        <w:rPr>
          <w:rFonts w:hint="eastAsia" w:ascii="黑体" w:hAnsi="黑体" w:eastAsia="黑体" w:cs="黑体"/>
          <w:bCs/>
          <w:color w:val="000000"/>
          <w:szCs w:val="32"/>
        </w:rPr>
        <w:t>第二章  政策内容</w:t>
      </w:r>
    </w:p>
    <w:p>
      <w:pPr>
        <w:overflowPunct w:val="0"/>
        <w:autoSpaceDE w:val="0"/>
        <w:autoSpaceDN w:val="0"/>
        <w:adjustRightInd w:val="0"/>
        <w:snapToGrid w:val="0"/>
        <w:spacing w:after="0" w:line="600" w:lineRule="exact"/>
        <w:rPr>
          <w:bCs/>
          <w:color w:val="000000"/>
          <w:szCs w:val="32"/>
        </w:rPr>
      </w:pPr>
      <w:r>
        <w:rPr>
          <w:rFonts w:hint="eastAsia" w:ascii="黑体" w:hAnsi="黑体" w:eastAsia="黑体" w:cs="黑体"/>
          <w:bCs/>
          <w:color w:val="000000"/>
          <w:szCs w:val="32"/>
        </w:rPr>
        <w:t xml:space="preserve">第三条  </w:t>
      </w:r>
      <w:r>
        <w:rPr>
          <w:rFonts w:hint="eastAsia"/>
          <w:bCs/>
          <w:color w:val="000000"/>
          <w:szCs w:val="32"/>
        </w:rPr>
        <w:t>政策申请对象为在四川省内工商注册登记、具有独立法人资格，取得融资担保经营许可证，正常经营的融资担保机构。</w:t>
      </w:r>
    </w:p>
    <w:p>
      <w:pPr>
        <w:overflowPunct w:val="0"/>
        <w:autoSpaceDE w:val="0"/>
        <w:autoSpaceDN w:val="0"/>
        <w:adjustRightInd w:val="0"/>
        <w:snapToGrid w:val="0"/>
        <w:spacing w:after="0" w:line="600" w:lineRule="exact"/>
        <w:rPr>
          <w:bCs/>
          <w:color w:val="000000"/>
          <w:szCs w:val="32"/>
        </w:rPr>
      </w:pPr>
      <w:r>
        <w:rPr>
          <w:rFonts w:hint="eastAsia" w:ascii="黑体" w:hAnsi="黑体" w:eastAsia="黑体" w:cs="黑体"/>
          <w:bCs/>
          <w:color w:val="000000"/>
          <w:szCs w:val="32"/>
        </w:rPr>
        <w:t>第四条</w:t>
      </w:r>
      <w:r>
        <w:rPr>
          <w:rFonts w:hint="eastAsia"/>
          <w:bCs/>
          <w:color w:val="000000"/>
          <w:szCs w:val="32"/>
        </w:rPr>
        <w:t xml:space="preserve">  2025年4月1日至2025年9月30日期间，将全省科技创新专项担保支持企业库中的中型企业，纳入省级财政融资担保保费补贴支持范围，对融资担保机构开展的年化担保费率低于1%（含）的我省科技创新专项担保支持企业库中的中型企业新发生业务给予适当保费补贴，省级财政将年化担保费率补齐至不超过2%，其中：对批量业务，按照合同约定的融资担保机构分险比例所对应的融资担保额计算，支持更多科技创新类企业发展。</w:t>
      </w:r>
    </w:p>
    <w:p>
      <w:pPr>
        <w:overflowPunct w:val="0"/>
        <w:autoSpaceDE w:val="0"/>
        <w:autoSpaceDN w:val="0"/>
        <w:adjustRightInd w:val="0"/>
        <w:snapToGrid w:val="0"/>
        <w:spacing w:after="0" w:line="600" w:lineRule="exact"/>
        <w:ind w:firstLine="0" w:firstLineChars="0"/>
        <w:rPr>
          <w:color w:val="000000"/>
        </w:rPr>
      </w:pPr>
    </w:p>
    <w:p>
      <w:pPr>
        <w:overflowPunct w:val="0"/>
        <w:autoSpaceDE w:val="0"/>
        <w:autoSpaceDN w:val="0"/>
        <w:adjustRightInd w:val="0"/>
        <w:snapToGrid w:val="0"/>
        <w:spacing w:after="0" w:line="600" w:lineRule="exact"/>
        <w:ind w:firstLine="0" w:firstLineChars="0"/>
        <w:jc w:val="center"/>
        <w:rPr>
          <w:rFonts w:hint="eastAsia" w:ascii="黑体" w:hAnsi="黑体" w:eastAsia="黑体" w:cs="黑体"/>
          <w:color w:val="000000"/>
        </w:rPr>
      </w:pPr>
      <w:r>
        <w:rPr>
          <w:rFonts w:hint="eastAsia" w:ascii="黑体" w:hAnsi="黑体" w:eastAsia="黑体" w:cs="黑体"/>
          <w:color w:val="000000"/>
        </w:rPr>
        <w:t>第三章  申报审核流程</w:t>
      </w:r>
    </w:p>
    <w:p>
      <w:pPr>
        <w:overflowPunct w:val="0"/>
        <w:autoSpaceDE w:val="0"/>
        <w:autoSpaceDN w:val="0"/>
        <w:adjustRightInd w:val="0"/>
        <w:snapToGrid w:val="0"/>
        <w:spacing w:after="0" w:line="600" w:lineRule="exact"/>
        <w:rPr>
          <w:bCs/>
          <w:color w:val="000000"/>
          <w:szCs w:val="32"/>
        </w:rPr>
      </w:pPr>
      <w:r>
        <w:rPr>
          <w:rFonts w:hint="eastAsia" w:ascii="黑体" w:hAnsi="黑体" w:eastAsia="黑体" w:cs="黑体"/>
          <w:bCs/>
          <w:color w:val="000000"/>
          <w:szCs w:val="32"/>
        </w:rPr>
        <w:t>第五条</w:t>
      </w:r>
      <w:r>
        <w:rPr>
          <w:rFonts w:hint="eastAsia"/>
          <w:bCs/>
          <w:color w:val="000000"/>
          <w:szCs w:val="32"/>
        </w:rPr>
        <w:t xml:space="preserve">  </w:t>
      </w:r>
      <w:r>
        <w:rPr>
          <w:bCs/>
          <w:color w:val="000000"/>
          <w:szCs w:val="32"/>
        </w:rPr>
        <w:t>2025年11月30日前，</w:t>
      </w:r>
      <w:r>
        <w:rPr>
          <w:rFonts w:hint="eastAsia"/>
          <w:bCs/>
          <w:color w:val="000000"/>
          <w:szCs w:val="32"/>
        </w:rPr>
        <w:t>政策申请对象</w:t>
      </w:r>
      <w:r>
        <w:rPr>
          <w:bCs/>
          <w:color w:val="000000"/>
          <w:szCs w:val="32"/>
        </w:rPr>
        <w:t>向省担保集团报送申请材料（纸质版和电子版各一套），并同步通过财政金融互动奖补资金网络申报审核系统进行申报（申请端地址：http://182. 140.197.12:8081）</w:t>
      </w:r>
      <w:r>
        <w:rPr>
          <w:rFonts w:hint="eastAsia"/>
          <w:bCs/>
          <w:color w:val="000000"/>
          <w:szCs w:val="32"/>
        </w:rPr>
        <w:t>，申请材料如下：</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1.资金申请表（详见附件3-1）;</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2.营业执照副本：复印件加盖鲜章；</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3.符合条件的中型企业的2024年度纳税申报表；</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4.会计师事务所对附件3-1中的担保业务等情况的专项审计报告（须带二维码）；</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5.信用承诺书（详见附件</w:t>
      </w:r>
      <w:r>
        <w:rPr>
          <w:rFonts w:hint="eastAsia"/>
          <w:bCs/>
          <w:color w:val="000000"/>
          <w:szCs w:val="32"/>
          <w:lang w:val="en-US" w:eastAsia="zh-CN"/>
        </w:rPr>
        <w:t>3-2</w:t>
      </w:r>
      <w:r>
        <w:rPr>
          <w:rFonts w:hint="eastAsia"/>
          <w:bCs/>
          <w:color w:val="000000"/>
          <w:szCs w:val="32"/>
        </w:rPr>
        <w:t>）。</w:t>
      </w:r>
    </w:p>
    <w:p>
      <w:pPr>
        <w:overflowPunct w:val="0"/>
        <w:autoSpaceDE w:val="0"/>
        <w:autoSpaceDN w:val="0"/>
        <w:adjustRightInd w:val="0"/>
        <w:snapToGrid w:val="0"/>
        <w:spacing w:after="0" w:line="600" w:lineRule="exact"/>
        <w:rPr>
          <w:bCs/>
          <w:color w:val="000000"/>
          <w:szCs w:val="32"/>
        </w:rPr>
      </w:pPr>
      <w:r>
        <w:rPr>
          <w:rFonts w:hint="eastAsia"/>
          <w:bCs/>
          <w:color w:val="000000"/>
          <w:szCs w:val="32"/>
        </w:rPr>
        <w:t>6.省担保集团核实、主管部门认定及复核要求提供的其他资料。</w:t>
      </w:r>
    </w:p>
    <w:p>
      <w:pPr>
        <w:overflowPunct w:val="0"/>
        <w:autoSpaceDE w:val="0"/>
        <w:autoSpaceDN w:val="0"/>
        <w:adjustRightInd w:val="0"/>
        <w:snapToGrid w:val="0"/>
        <w:spacing w:after="0" w:line="600" w:lineRule="exact"/>
        <w:rPr>
          <w:bCs/>
          <w:color w:val="000000"/>
          <w:szCs w:val="32"/>
        </w:rPr>
      </w:pPr>
      <w:r>
        <w:rPr>
          <w:rFonts w:hint="eastAsia" w:ascii="黑体" w:hAnsi="黑体" w:eastAsia="黑体" w:cs="黑体"/>
          <w:bCs/>
          <w:color w:val="000000"/>
          <w:szCs w:val="32"/>
        </w:rPr>
        <w:t>第六条</w:t>
      </w:r>
      <w:r>
        <w:rPr>
          <w:rFonts w:hint="eastAsia"/>
          <w:bCs/>
          <w:color w:val="000000"/>
          <w:szCs w:val="32"/>
        </w:rPr>
        <w:t xml:space="preserve">  </w:t>
      </w:r>
      <w:r>
        <w:rPr>
          <w:bCs/>
          <w:color w:val="000000"/>
          <w:szCs w:val="32"/>
        </w:rPr>
        <w:t>省担保集团汇总核实</w:t>
      </w:r>
      <w:r>
        <w:rPr>
          <w:rFonts w:hint="eastAsia"/>
          <w:bCs/>
          <w:color w:val="000000"/>
          <w:szCs w:val="32"/>
        </w:rPr>
        <w:t>融资担保机构申请材料后</w:t>
      </w:r>
      <w:r>
        <w:rPr>
          <w:bCs/>
          <w:color w:val="000000"/>
          <w:szCs w:val="32"/>
        </w:rPr>
        <w:t>，于2025年12月</w:t>
      </w:r>
      <w:r>
        <w:rPr>
          <w:rFonts w:hint="eastAsia"/>
          <w:bCs/>
          <w:color w:val="000000"/>
          <w:szCs w:val="32"/>
          <w:lang w:val="en-US" w:eastAsia="zh-CN"/>
        </w:rPr>
        <w:t>15</w:t>
      </w:r>
      <w:r>
        <w:rPr>
          <w:bCs/>
          <w:color w:val="000000"/>
          <w:szCs w:val="32"/>
        </w:rPr>
        <w:t>日前报</w:t>
      </w:r>
      <w:r>
        <w:rPr>
          <w:rFonts w:hint="eastAsia"/>
          <w:bCs/>
          <w:color w:val="000000"/>
          <w:szCs w:val="32"/>
        </w:rPr>
        <w:t>经济和信息化厅、科技厅进行相关企业认定，并由经济和信息化厅牵头对企业划型进行复核</w:t>
      </w:r>
      <w:r>
        <w:rPr>
          <w:bCs/>
          <w:color w:val="000000"/>
          <w:szCs w:val="32"/>
        </w:rPr>
        <w:t>，于2026年1月</w:t>
      </w:r>
      <w:r>
        <w:rPr>
          <w:rFonts w:hint="eastAsia"/>
          <w:bCs/>
          <w:color w:val="000000"/>
          <w:szCs w:val="32"/>
        </w:rPr>
        <w:t>22</w:t>
      </w:r>
      <w:r>
        <w:rPr>
          <w:bCs/>
          <w:color w:val="000000"/>
          <w:szCs w:val="32"/>
        </w:rPr>
        <w:t>日前联合科技厅将名单企业认定和企业划型复核结果</w:t>
      </w:r>
      <w:r>
        <w:rPr>
          <w:rFonts w:hint="eastAsia"/>
          <w:bCs/>
          <w:color w:val="000000"/>
          <w:szCs w:val="32"/>
        </w:rPr>
        <w:t>反馈</w:t>
      </w:r>
      <w:r>
        <w:rPr>
          <w:bCs/>
          <w:color w:val="000000"/>
          <w:szCs w:val="32"/>
        </w:rPr>
        <w:t>至财政厅。</w:t>
      </w:r>
      <w:bookmarkStart w:id="0" w:name="_GoBack"/>
      <w:bookmarkEnd w:id="0"/>
    </w:p>
    <w:p>
      <w:pPr>
        <w:overflowPunct w:val="0"/>
        <w:autoSpaceDE w:val="0"/>
        <w:autoSpaceDN w:val="0"/>
        <w:adjustRightInd w:val="0"/>
        <w:snapToGrid w:val="0"/>
        <w:spacing w:after="0" w:line="600" w:lineRule="exact"/>
        <w:rPr>
          <w:bCs/>
          <w:color w:val="000000"/>
          <w:szCs w:val="32"/>
        </w:rPr>
      </w:pPr>
      <w:r>
        <w:rPr>
          <w:bCs/>
          <w:color w:val="000000"/>
          <w:szCs w:val="32"/>
        </w:rPr>
        <w:t>财政厅根据审核结果履行资金决策程序后，向省级融资担保机构和市县财政拨付资金</w:t>
      </w:r>
      <w:r>
        <w:rPr>
          <w:rFonts w:hint="eastAsia"/>
          <w:bCs/>
          <w:color w:val="000000"/>
          <w:szCs w:val="32"/>
        </w:rPr>
        <w:t>，</w:t>
      </w:r>
      <w:r>
        <w:rPr>
          <w:bCs/>
          <w:color w:val="000000"/>
          <w:szCs w:val="32"/>
        </w:rPr>
        <w:t>市县财政拨付至市县融资担保机构。</w:t>
      </w:r>
    </w:p>
    <w:p>
      <w:pPr>
        <w:spacing w:after="0" w:line="600" w:lineRule="exact"/>
      </w:pPr>
      <w:r>
        <w:rPr>
          <w:rFonts w:hint="eastAsia" w:ascii="黑体" w:hAnsi="黑体" w:eastAsia="黑体" w:cs="黑体"/>
          <w:bCs/>
          <w:color w:val="000000"/>
          <w:szCs w:val="32"/>
        </w:rPr>
        <w:t>第七条</w:t>
      </w:r>
      <w:r>
        <w:rPr>
          <w:rFonts w:hint="eastAsia"/>
          <w:bCs/>
          <w:color w:val="000000"/>
          <w:szCs w:val="32"/>
        </w:rPr>
        <w:t xml:space="preserve">  </w:t>
      </w:r>
      <w:r>
        <w:rPr>
          <w:color w:val="000000"/>
          <w:szCs w:val="32"/>
        </w:rPr>
        <w:t>申报</w:t>
      </w:r>
      <w:r>
        <w:rPr>
          <w:rFonts w:hint="eastAsia"/>
          <w:color w:val="000000"/>
          <w:szCs w:val="32"/>
        </w:rPr>
        <w:t>机构</w:t>
      </w:r>
      <w:r>
        <w:rPr>
          <w:color w:val="000000"/>
          <w:szCs w:val="32"/>
        </w:rPr>
        <w:t>如存在提供虚假资料骗取</w:t>
      </w:r>
      <w:r>
        <w:rPr>
          <w:rFonts w:hint="eastAsia"/>
          <w:color w:val="000000"/>
          <w:szCs w:val="32"/>
        </w:rPr>
        <w:t>融资担保保费补贴</w:t>
      </w:r>
      <w:r>
        <w:rPr>
          <w:color w:val="000000"/>
          <w:szCs w:val="32"/>
        </w:rPr>
        <w:t>资金等行为，将被取消申报资格，并按要求退回已发放的</w:t>
      </w:r>
      <w:r>
        <w:rPr>
          <w:rFonts w:hint="eastAsia"/>
          <w:color w:val="000000"/>
          <w:szCs w:val="32"/>
        </w:rPr>
        <w:t>补贴</w:t>
      </w:r>
      <w:r>
        <w:rPr>
          <w:color w:val="000000"/>
          <w:szCs w:val="32"/>
        </w:rPr>
        <w:t>资金，情节严重的将依法依规处理。</w:t>
      </w:r>
    </w:p>
    <w:p>
      <w:pPr>
        <w:spacing w:after="0" w:line="600" w:lineRule="exact"/>
        <w:rPr>
          <w:color w:val="000000"/>
          <w:szCs w:val="32"/>
        </w:rPr>
      </w:pPr>
    </w:p>
    <w:p>
      <w:pPr>
        <w:pStyle w:val="5"/>
        <w:tabs>
          <w:tab w:val="left" w:pos="0"/>
        </w:tabs>
        <w:spacing w:after="0" w:line="600" w:lineRule="exact"/>
        <w:ind w:left="0" w:leftChars="0" w:firstLine="0" w:firstLineChars="0"/>
        <w:jc w:val="center"/>
        <w:rPr>
          <w:rFonts w:hint="eastAsia" w:ascii="黑体" w:hAnsi="黑体" w:eastAsia="黑体" w:cs="黑体"/>
          <w:color w:val="000000"/>
          <w:szCs w:val="32"/>
        </w:rPr>
      </w:pPr>
      <w:r>
        <w:rPr>
          <w:rFonts w:hint="eastAsia" w:ascii="黑体" w:hAnsi="黑体" w:eastAsia="黑体" w:cs="黑体"/>
          <w:color w:val="000000"/>
          <w:szCs w:val="32"/>
        </w:rPr>
        <w:t>第四章 附则</w:t>
      </w:r>
    </w:p>
    <w:p>
      <w:pPr>
        <w:spacing w:after="0" w:line="600" w:lineRule="exact"/>
        <w:rPr>
          <w:color w:val="000000"/>
        </w:rPr>
      </w:pPr>
      <w:r>
        <w:rPr>
          <w:rFonts w:hint="eastAsia" w:ascii="黑体" w:hAnsi="黑体" w:eastAsia="黑体" w:cs="黑体"/>
          <w:color w:val="000000"/>
        </w:rPr>
        <w:t>第八条</w:t>
      </w:r>
      <w:r>
        <w:rPr>
          <w:rFonts w:hint="eastAsia"/>
          <w:color w:val="000000"/>
        </w:rPr>
        <w:t xml:space="preserve">  本实施细则由四川省财政厅会同经济和信息化厅、科技厅负责解释。</w:t>
      </w:r>
    </w:p>
    <w:p>
      <w:pPr>
        <w:spacing w:after="0" w:line="600" w:lineRule="exact"/>
        <w:rPr>
          <w:color w:val="000000"/>
        </w:rPr>
      </w:pPr>
      <w:r>
        <w:rPr>
          <w:rFonts w:hint="eastAsia" w:ascii="黑体" w:hAnsi="黑体" w:eastAsia="黑体" w:cs="黑体"/>
          <w:color w:val="000000"/>
        </w:rPr>
        <w:t>第九条</w:t>
      </w:r>
      <w:r>
        <w:rPr>
          <w:rFonts w:hint="eastAsia"/>
          <w:color w:val="000000"/>
        </w:rPr>
        <w:t xml:space="preserve">  本实施细则自印发之日起实施，政策执行完毕后自动废止。</w:t>
      </w:r>
    </w:p>
    <w:p>
      <w:pPr>
        <w:spacing w:after="0" w:line="600" w:lineRule="exact"/>
        <w:rPr>
          <w:color w:val="000000"/>
          <w:szCs w:val="32"/>
        </w:rPr>
      </w:pPr>
    </w:p>
    <w:p>
      <w:pPr>
        <w:spacing w:after="0" w:line="600" w:lineRule="exact"/>
        <w:rPr>
          <w:rFonts w:hint="eastAsia"/>
          <w:color w:val="000000"/>
          <w:szCs w:val="32"/>
        </w:rPr>
      </w:pPr>
      <w:r>
        <w:rPr>
          <w:rFonts w:hint="eastAsia"/>
          <w:color w:val="000000"/>
          <w:szCs w:val="32"/>
        </w:rPr>
        <w:t>附件：</w:t>
      </w:r>
      <w:r>
        <w:rPr>
          <w:rFonts w:hint="eastAsia"/>
          <w:color w:val="000000"/>
          <w:szCs w:val="32"/>
          <w:lang w:val="en-US" w:eastAsia="zh-CN"/>
        </w:rPr>
        <w:t>1.</w:t>
      </w:r>
      <w:r>
        <w:rPr>
          <w:rFonts w:hint="eastAsia"/>
          <w:color w:val="000000"/>
          <w:szCs w:val="32"/>
        </w:rPr>
        <w:t>加力实施科技创新专项担保激励政策资金申请表</w:t>
      </w:r>
    </w:p>
    <w:p>
      <w:pPr>
        <w:spacing w:after="0" w:line="600" w:lineRule="exact"/>
        <w:rPr>
          <w:rFonts w:hint="default" w:eastAsia="仿宋_GB2312"/>
          <w:color w:val="000000"/>
          <w:szCs w:val="32"/>
          <w:lang w:val="en-US" w:eastAsia="zh-CN"/>
        </w:rPr>
      </w:pPr>
      <w:r>
        <w:rPr>
          <w:rFonts w:hint="eastAsia"/>
          <w:color w:val="000000"/>
          <w:szCs w:val="32"/>
          <w:lang w:val="en-US" w:eastAsia="zh-CN"/>
        </w:rPr>
        <w:t xml:space="preserve">      2.信用承诺书</w:t>
      </w:r>
    </w:p>
    <w:sectPr>
      <w:headerReference r:id="rId5" w:type="first"/>
      <w:footerReference r:id="rId8" w:type="first"/>
      <w:headerReference r:id="rId3" w:type="default"/>
      <w:footerReference r:id="rId6" w:type="default"/>
      <w:headerReference r:id="rId4" w:type="even"/>
      <w:footerReference r:id="rId7" w:type="even"/>
      <w:pgSz w:w="11906" w:h="16838"/>
      <w:pgMar w:top="1757" w:right="1474" w:bottom="1871" w:left="1587" w:header="851" w:footer="992" w:gutter="0"/>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FB4B7"/>
    <w:rsid w:val="00696965"/>
    <w:rsid w:val="00CF7E1F"/>
    <w:rsid w:val="00EA7AC4"/>
    <w:rsid w:val="36FE12C3"/>
    <w:rsid w:val="3DBF732C"/>
    <w:rsid w:val="49FBF16A"/>
    <w:rsid w:val="4CE715C7"/>
    <w:rsid w:val="7B3B93E7"/>
    <w:rsid w:val="7D9FD44B"/>
    <w:rsid w:val="7EB38B63"/>
    <w:rsid w:val="9CBE8E78"/>
    <w:rsid w:val="BCFC8B96"/>
    <w:rsid w:val="BDEFB4B7"/>
    <w:rsid w:val="CFFB6233"/>
    <w:rsid w:val="DF7FE8CB"/>
    <w:rsid w:val="DFFC02B8"/>
    <w:rsid w:val="DFFD6380"/>
    <w:rsid w:val="F3D9B05A"/>
    <w:rsid w:val="F72F7784"/>
    <w:rsid w:val="FEFBC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outlineLvl w:val="0"/>
    </w:pPr>
    <w:rPr>
      <w:rFonts w:ascii="黑体" w:hAnsi="黑体" w:eastAsia="黑体"/>
      <w:kern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tabs>
        <w:tab w:val="center" w:pos="4153"/>
        <w:tab w:val="right" w:pos="8306"/>
      </w:tabs>
      <w:snapToGrid w:val="0"/>
      <w:spacing w:line="240" w:lineRule="atLeast"/>
      <w:jc w:val="center"/>
    </w:pPr>
    <w:rPr>
      <w:sz w:val="18"/>
      <w:szCs w:val="18"/>
    </w:rPr>
  </w:style>
  <w:style w:type="paragraph" w:styleId="5">
    <w:name w:val="table of figures"/>
    <w:basedOn w:val="1"/>
    <w:next w:val="1"/>
    <w:unhideWhenUsed/>
    <w:qFormat/>
    <w:uiPriority w:val="99"/>
    <w:pPr>
      <w:ind w:left="200" w:leftChars="200" w:hanging="200" w:hangingChars="200"/>
    </w:pPr>
  </w:style>
  <w:style w:type="character" w:customStyle="1" w:styleId="8">
    <w:name w:val="页眉 字符"/>
    <w:basedOn w:val="6"/>
    <w:link w:val="4"/>
    <w:qFormat/>
    <w:uiPriority w:val="0"/>
    <w:rPr>
      <w:rFonts w:ascii="Times New Roman" w:hAnsi="Times New Roman" w:eastAsia="仿宋_GB2312" w:cs="Times New Roman"/>
      <w:kern w:val="2"/>
      <w:sz w:val="18"/>
      <w:szCs w:val="18"/>
    </w:rPr>
  </w:style>
  <w:style w:type="character" w:customStyle="1" w:styleId="9">
    <w:name w:val="页脚 字符"/>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219</Words>
  <Characters>1251</Characters>
  <Lines>10</Lines>
  <Paragraphs>2</Paragraphs>
  <TotalTime>0</TotalTime>
  <ScaleCrop>false</ScaleCrop>
  <LinksUpToDate>false</LinksUpToDate>
  <CharactersWithSpaces>1468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2025-04-16T16:09:00Z</dcterms:created>
  <dc:creator>user</dc:creator>
  <cp:lastModifiedBy>Administrator</cp:lastModifiedBy>
  <cp:lastPrinted>2025-04-16T16:30:00Z</cp:lastPrinted>
  <dcterms:modified xsi:type="dcterms:W3CDTF">2025-04-23T07:30:31Z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