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0" w:lineRule="exact"/>
        <w:textAlignment w:val="auto"/>
        <w:outlineLvl w:val="0"/>
        <w:rPr>
          <w:rFonts w:hint="default" w:ascii="黑体" w:hAnsi="黑体" w:eastAsia="黑体"/>
          <w:sz w:val="32"/>
          <w:szCs w:val="32"/>
          <w:lang w:val="en" w:eastAsia="zh-CN"/>
        </w:rPr>
      </w:pP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ascii="方正小标宋_GBK" w:eastAsia="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2023年四川省政府再融资一般债券（七期）及再融资专项债券（十五至十七期）</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信息披露文件</w:t>
      </w:r>
    </w:p>
    <w:p>
      <w:pPr>
        <w:keepNext w:val="0"/>
        <w:keepLines w:val="0"/>
        <w:pageBreakBefore w:val="0"/>
        <w:widowControl w:val="0"/>
        <w:kinsoku/>
        <w:wordWrap/>
        <w:overflowPunct/>
        <w:topLinePunct w:val="0"/>
        <w:autoSpaceDE/>
        <w:autoSpaceDN/>
        <w:bidi w:val="0"/>
        <w:adjustRightInd/>
        <w:snapToGrid w:val="0"/>
        <w:spacing w:line="590" w:lineRule="exact"/>
        <w:ind w:firstLine="576" w:firstLineChars="192"/>
        <w:textAlignment w:val="auto"/>
        <w:outlineLvl w:val="0"/>
        <w:rPr>
          <w:szCs w:val="32"/>
        </w:rPr>
      </w:pPr>
    </w:p>
    <w:p>
      <w:pPr>
        <w:keepNext w:val="0"/>
        <w:keepLines w:val="0"/>
        <w:pageBreakBefore w:val="0"/>
        <w:widowControl w:val="0"/>
        <w:kinsoku/>
        <w:wordWrap/>
        <w:overflowPunct/>
        <w:topLinePunct w:val="0"/>
        <w:autoSpaceDE/>
        <w:autoSpaceDN/>
        <w:bidi w:val="0"/>
        <w:adjustRightInd/>
        <w:snapToGrid w:val="0"/>
        <w:spacing w:line="590" w:lineRule="exact"/>
        <w:ind w:firstLine="614" w:firstLineChars="192"/>
        <w:textAlignment w:val="auto"/>
        <w:outlineLvl w:val="0"/>
        <w:rPr>
          <w:rFonts w:ascii="黑体" w:hAnsi="黑体" w:eastAsia="黑体"/>
          <w:sz w:val="32"/>
          <w:szCs w:val="32"/>
        </w:rPr>
      </w:pPr>
      <w:r>
        <w:rPr>
          <w:rFonts w:hint="eastAsia" w:ascii="黑体" w:hAnsi="黑体" w:eastAsia="黑体"/>
          <w:sz w:val="32"/>
          <w:szCs w:val="32"/>
        </w:rPr>
        <w:t>一、债券概况</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14" w:firstLineChars="192"/>
        <w:textAlignment w:val="auto"/>
        <w:rPr>
          <w:rFonts w:ascii="楷体_GB2312" w:hAnsi="Times New Roman" w:eastAsia="楷体_GB2312"/>
          <w:sz w:val="32"/>
          <w:szCs w:val="32"/>
        </w:rPr>
      </w:pPr>
      <w:r>
        <w:rPr>
          <w:rFonts w:hint="eastAsia" w:ascii="楷体_GB2312" w:hAnsi="Times New Roman" w:eastAsia="楷体_GB2312"/>
          <w:sz w:val="32"/>
          <w:szCs w:val="32"/>
        </w:rPr>
        <w:t>（一）基本情况</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2023年四川省政府再融资一般债券（七期）及再融资专项债券（十五至十七期）发行总额177.3013亿元，期限为</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5年、7年、30年</w:t>
      </w:r>
      <w:r>
        <w:rPr>
          <w:rFonts w:hint="eastAsia" w:ascii="仿宋_GB2312" w:hAnsi="Times New Roman" w:eastAsia="仿宋_GB2312" w:cs="Times New Roman"/>
          <w:sz w:val="32"/>
          <w:szCs w:val="32"/>
        </w:rPr>
        <w:t>，其中</w:t>
      </w:r>
      <w:r>
        <w:rPr>
          <w:rFonts w:hint="eastAsia" w:ascii="仿宋_GB2312" w:hAnsi="Times New Roman" w:eastAsia="仿宋_GB2312" w:cs="Times New Roman"/>
          <w:sz w:val="32"/>
          <w:szCs w:val="32"/>
          <w:lang w:val="en-US" w:eastAsia="zh-CN"/>
        </w:rPr>
        <w:t>3年、5年、</w:t>
      </w:r>
      <w:r>
        <w:rPr>
          <w:rFonts w:hint="eastAsia" w:ascii="仿宋_GB2312" w:hAnsi="Times New Roman" w:eastAsia="仿宋_GB2312" w:cs="Times New Roman"/>
          <w:sz w:val="32"/>
          <w:szCs w:val="32"/>
        </w:rPr>
        <w:t>7年期债券利息按年支付，30年期债券利息按半年支付</w:t>
      </w:r>
      <w:r>
        <w:rPr>
          <w:rFonts w:hint="eastAsia" w:ascii="仿宋_GB2312" w:hAnsi="Times New Roman" w:eastAsia="仿宋_GB2312" w:cs="Times New Roman"/>
          <w:sz w:val="32"/>
          <w:szCs w:val="32"/>
          <w:lang w:eastAsia="zh-CN"/>
        </w:rPr>
        <w:t>，各期债券</w:t>
      </w:r>
      <w:r>
        <w:rPr>
          <w:rFonts w:hint="eastAsia" w:ascii="仿宋_GB2312" w:hAnsi="Times New Roman" w:eastAsia="仿宋_GB2312" w:cs="Times New Roman"/>
          <w:sz w:val="32"/>
          <w:szCs w:val="32"/>
        </w:rPr>
        <w:t>到期后一次性偿还本金并支付最后一次利息。各期债券发行后可按规定在全国银行间债券市场和证券交易所债券市场上市流通。各期债券具体情况详见《四川省财政厅关于发行2023年四川省政府再融资一般债券（七期）及再融资专项债券（十五至十七期）有关事项的通知》。</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（二）发行方式</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2023年四川省政府再融资一般债券（七期）及再融资专项债券（十五至十七期）通过招标方式发行。四川省财政厅于招标日通过财政部</w:t>
      </w:r>
      <w:r>
        <w:rPr>
          <w:rFonts w:hint="eastAsia" w:ascii="仿宋_GB2312" w:hAnsi="Times New Roman" w:eastAsia="仿宋_GB2312" w:cs="Times New Roman"/>
          <w:sz w:val="32"/>
          <w:szCs w:val="32"/>
          <w:lang w:eastAsia="zh-CN"/>
        </w:rPr>
        <w:t>深圳证券交易所</w:t>
      </w:r>
      <w:r>
        <w:rPr>
          <w:rFonts w:hint="eastAsia" w:ascii="仿宋_GB2312" w:hAnsi="Times New Roman" w:eastAsia="仿宋_GB2312" w:cs="Times New Roman"/>
          <w:sz w:val="32"/>
          <w:szCs w:val="32"/>
        </w:rPr>
        <w:t>政府债券发行系统组织招投标工作，参与机构为</w:t>
      </w:r>
      <w:r>
        <w:rPr>
          <w:rFonts w:hint="eastAsia" w:ascii="仿宋_GB2312" w:hAnsi="Times New Roman" w:eastAsia="仿宋_GB2312" w:cs="Times New Roman"/>
          <w:sz w:val="32"/>
          <w:szCs w:val="32"/>
          <w:lang w:val="en-US" w:eastAsia="zh-CN"/>
        </w:rPr>
        <w:t>202</w:t>
      </w:r>
      <w:r>
        <w:rPr>
          <w:rFonts w:hint="default" w:ascii="仿宋_GB2312" w:hAnsi="Times New Roman" w:eastAsia="仿宋_GB2312" w:cs="Times New Roman"/>
          <w:sz w:val="32"/>
          <w:szCs w:val="32"/>
          <w:lang w:val="en" w:eastAsia="zh-CN"/>
        </w:rPr>
        <w:t>3</w:t>
      </w:r>
      <w:r>
        <w:rPr>
          <w:rFonts w:hint="eastAsia" w:ascii="仿宋_GB2312" w:hAnsi="Times New Roman" w:eastAsia="仿宋_GB2312" w:cs="Times New Roman"/>
          <w:sz w:val="32"/>
          <w:szCs w:val="32"/>
        </w:rPr>
        <w:t>年四川省政府债券公开发行承销团成员。招标发行具体安排详见四川省财政厅《关于印发〈四川省政府债券公开招标发行与兑付管理办法〉的通知》《关于印发〈四川省政府债券招标发行规则〉的通知》《关于发行2023年四川省政府再融资一般债券（七期）及再融资专项债券（十五至十七期）有关事项的通知》等。</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（三）募集资金投向说明</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hint="eastAsia" w:ascii="仿宋_GB2312" w:hAnsi="Times New Roman" w:eastAsia="仿宋_GB2312" w:cs="Times New Roman"/>
          <w:sz w:val="32"/>
          <w:szCs w:val="32"/>
          <w:u w:val="none"/>
        </w:rPr>
        <w:t>按照财政部要求，</w:t>
      </w:r>
      <w:r>
        <w:rPr>
          <w:rFonts w:hint="eastAsia" w:ascii="仿宋_GB2312" w:hAnsi="Times New Roman" w:eastAsia="仿宋_GB2312" w:cs="Times New Roman"/>
          <w:sz w:val="32"/>
          <w:szCs w:val="32"/>
          <w:u w:val="none"/>
          <w:lang w:val="en-US" w:eastAsia="zh-CN"/>
        </w:rPr>
        <w:t>一般</w:t>
      </w:r>
      <w:r>
        <w:rPr>
          <w:rFonts w:hint="eastAsia" w:ascii="仿宋_GB2312" w:hAnsi="Times New Roman" w:eastAsia="仿宋_GB2312" w:cs="Times New Roman"/>
          <w:sz w:val="32"/>
          <w:szCs w:val="32"/>
          <w:highlight w:val="none"/>
          <w:u w:val="none"/>
          <w:lang w:eastAsia="zh-CN"/>
        </w:rPr>
        <w:t>债券纳入</w:t>
      </w:r>
      <w:r>
        <w:rPr>
          <w:rFonts w:hint="eastAsia" w:ascii="仿宋_GB2312" w:hAnsi="Times New Roman" w:eastAsia="仿宋_GB2312" w:cs="Times New Roman"/>
          <w:sz w:val="32"/>
          <w:szCs w:val="32"/>
          <w:highlight w:val="none"/>
          <w:u w:val="none"/>
          <w:lang w:val="en-US" w:eastAsia="zh-CN"/>
        </w:rPr>
        <w:t>一般公共</w:t>
      </w:r>
      <w:r>
        <w:rPr>
          <w:rFonts w:hint="eastAsia" w:ascii="仿宋_GB2312" w:hAnsi="Times New Roman" w:eastAsia="仿宋_GB2312" w:cs="Times New Roman"/>
          <w:sz w:val="32"/>
          <w:szCs w:val="32"/>
          <w:highlight w:val="none"/>
          <w:u w:val="none"/>
          <w:lang w:eastAsia="zh-CN"/>
        </w:rPr>
        <w:t>预算管理，专项债券纳入政府性基金预算管理。</w:t>
      </w:r>
      <w:r>
        <w:rPr>
          <w:rFonts w:hint="eastAsia" w:ascii="仿宋_GB2312" w:hAnsi="Times New Roman" w:eastAsia="仿宋_GB2312" w:cs="Times New Roman"/>
          <w:sz w:val="32"/>
          <w:szCs w:val="32"/>
          <w:highlight w:val="none"/>
          <w:u w:val="none"/>
          <w:lang w:val="en-US" w:eastAsia="zh-CN"/>
        </w:rPr>
        <w:t>2023年四川省政府</w:t>
      </w:r>
      <w:r>
        <w:rPr>
          <w:rFonts w:hint="eastAsia" w:ascii="仿宋_GB2312" w:hAnsi="Times New Roman" w:eastAsia="仿宋_GB2312" w:cs="Times New Roman"/>
          <w:sz w:val="32"/>
          <w:szCs w:val="32"/>
          <w:highlight w:val="none"/>
          <w:u w:val="none"/>
          <w:lang w:eastAsia="zh-CN"/>
        </w:rPr>
        <w:t>再融资</w:t>
      </w:r>
      <w:r>
        <w:rPr>
          <w:rFonts w:hint="eastAsia" w:ascii="仿宋_GB2312" w:hAnsi="Times New Roman" w:eastAsia="仿宋_GB2312" w:cs="Times New Roman"/>
          <w:sz w:val="32"/>
          <w:szCs w:val="32"/>
        </w:rPr>
        <w:t>一般债券（七期）</w:t>
      </w:r>
      <w:r>
        <w:rPr>
          <w:rFonts w:hint="eastAsia" w:ascii="仿宋_GB2312" w:hAnsi="Times New Roman" w:eastAsia="仿宋_GB2312" w:cs="Times New Roman"/>
          <w:sz w:val="32"/>
          <w:szCs w:val="32"/>
          <w:highlight w:val="none"/>
          <w:u w:val="none"/>
          <w:lang w:eastAsia="zh-CN"/>
        </w:rPr>
        <w:t>募集资金全部用于偿还</w:t>
      </w:r>
      <w:r>
        <w:rPr>
          <w:rFonts w:hint="eastAsia" w:ascii="仿宋_GB2312" w:hAnsi="Times New Roman" w:eastAsia="仿宋_GB2312" w:cs="Times New Roman"/>
          <w:sz w:val="32"/>
          <w:szCs w:val="32"/>
          <w:highlight w:val="none"/>
          <w:u w:val="none"/>
          <w:lang w:val="en-US" w:eastAsia="zh-CN"/>
        </w:rPr>
        <w:t>2020年四川省政府再融资一般债券（十一期）和2016年四川省政府一般债券（十九期）部分到期本金，2023年四川省政府</w:t>
      </w:r>
      <w:r>
        <w:rPr>
          <w:rFonts w:hint="eastAsia" w:ascii="仿宋_GB2312" w:hAnsi="Times New Roman" w:eastAsia="仿宋_GB2312" w:cs="Times New Roman"/>
          <w:sz w:val="32"/>
          <w:szCs w:val="32"/>
          <w:highlight w:val="none"/>
          <w:u w:val="none"/>
          <w:lang w:eastAsia="zh-CN"/>
        </w:rPr>
        <w:t>再融资专项债券</w:t>
      </w:r>
      <w:r>
        <w:rPr>
          <w:rFonts w:hint="eastAsia" w:ascii="仿宋_GB2312" w:hAnsi="Times New Roman" w:eastAsia="仿宋_GB2312" w:cs="Times New Roman"/>
          <w:sz w:val="32"/>
          <w:szCs w:val="32"/>
          <w:highlight w:val="none"/>
          <w:u w:val="none"/>
          <w:lang w:val="en-US" w:eastAsia="zh-CN"/>
        </w:rPr>
        <w:t>（十五期）</w:t>
      </w:r>
      <w:r>
        <w:rPr>
          <w:rFonts w:hint="eastAsia" w:ascii="仿宋_GB2312" w:hAnsi="Times New Roman" w:eastAsia="仿宋_GB2312" w:cs="Times New Roman"/>
          <w:sz w:val="32"/>
          <w:szCs w:val="32"/>
          <w:highlight w:val="none"/>
          <w:u w:val="none"/>
          <w:lang w:eastAsia="zh-CN"/>
        </w:rPr>
        <w:t>募集资金全部用于偿还</w:t>
      </w:r>
      <w:r>
        <w:rPr>
          <w:rFonts w:hint="eastAsia" w:ascii="仿宋_GB2312" w:hAnsi="Times New Roman" w:eastAsia="仿宋_GB2312" w:cs="Times New Roman"/>
          <w:sz w:val="32"/>
          <w:szCs w:val="32"/>
          <w:highlight w:val="none"/>
          <w:u w:val="none"/>
          <w:lang w:val="en-US" w:eastAsia="zh-CN"/>
        </w:rPr>
        <w:t>2018年四川省土地储备专项债券（五期）-2018年四川省政府专项债券（二十三期）部分</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到期本金，</w:t>
      </w:r>
      <w:r>
        <w:rPr>
          <w:rFonts w:hint="eastAsia" w:ascii="仿宋_GB2312" w:hAnsi="Times New Roman" w:eastAsia="仿宋_GB2312" w:cs="Times New Roman"/>
          <w:sz w:val="32"/>
          <w:szCs w:val="32"/>
          <w:highlight w:val="none"/>
          <w:u w:val="none"/>
          <w:lang w:val="en-US" w:eastAsia="zh-CN"/>
        </w:rPr>
        <w:t>2023年四川省政府</w:t>
      </w:r>
      <w:r>
        <w:rPr>
          <w:rFonts w:hint="eastAsia" w:ascii="仿宋_GB2312" w:hAnsi="Times New Roman" w:eastAsia="仿宋_GB2312" w:cs="Times New Roman"/>
          <w:sz w:val="32"/>
          <w:szCs w:val="32"/>
          <w:highlight w:val="none"/>
          <w:u w:val="none"/>
          <w:lang w:eastAsia="zh-CN"/>
        </w:rPr>
        <w:t>再融资专项债券（十六期）募集资金全部用于偿还</w:t>
      </w:r>
      <w:r>
        <w:rPr>
          <w:rFonts w:hint="eastAsia" w:ascii="仿宋_GB2312" w:hAnsi="Times New Roman" w:eastAsia="仿宋_GB2312" w:cs="Times New Roman"/>
          <w:sz w:val="32"/>
          <w:szCs w:val="32"/>
          <w:highlight w:val="none"/>
          <w:u w:val="none"/>
          <w:lang w:val="en-US" w:eastAsia="zh-CN"/>
        </w:rPr>
        <w:t>2018年四川省土地储备</w:t>
      </w:r>
      <w:r>
        <w:rPr>
          <w:rFonts w:hint="eastAsia" w:ascii="仿宋_GB2312" w:hAnsi="Times New Roman" w:eastAsia="仿宋_GB2312" w:cs="Times New Roman"/>
          <w:sz w:val="32"/>
          <w:szCs w:val="32"/>
          <w:highlight w:val="none"/>
          <w:u w:val="none"/>
          <w:lang w:eastAsia="zh-CN"/>
        </w:rPr>
        <w:t>专项</w:t>
      </w:r>
      <w:r>
        <w:rPr>
          <w:rFonts w:hint="eastAsia" w:ascii="仿宋_GB2312" w:hAnsi="Times New Roman" w:eastAsia="仿宋_GB2312" w:cs="Times New Roman"/>
          <w:sz w:val="32"/>
          <w:szCs w:val="32"/>
          <w:highlight w:val="none"/>
          <w:u w:val="none"/>
          <w:lang w:val="en-US" w:eastAsia="zh-CN"/>
        </w:rPr>
        <w:t>债券（五期）-2018年四川省政府专项债券（二十三期）、2018年四川省棚户区改造专项债券（三期）-2018年四川省政府专项债券（二十四期）和2018年四川省土地整理专项债券（一期）-2018年四川省政府专项债券（三十五期）部分到期本金，2023年四川省政府</w:t>
      </w:r>
      <w:r>
        <w:rPr>
          <w:rFonts w:hint="eastAsia" w:ascii="仿宋_GB2312" w:hAnsi="Times New Roman" w:eastAsia="仿宋_GB2312" w:cs="Times New Roman"/>
          <w:sz w:val="32"/>
          <w:szCs w:val="32"/>
          <w:highlight w:val="none"/>
          <w:u w:val="none"/>
          <w:lang w:eastAsia="zh-CN"/>
        </w:rPr>
        <w:t>再融资专项债券（十七期）募集资金全部用于偿还</w:t>
      </w:r>
      <w:r>
        <w:rPr>
          <w:rFonts w:hint="eastAsia" w:ascii="仿宋_GB2312" w:hAnsi="Times New Roman" w:eastAsia="仿宋_GB2312" w:cs="Times New Roman"/>
          <w:sz w:val="32"/>
          <w:szCs w:val="32"/>
          <w:highlight w:val="none"/>
          <w:u w:val="none"/>
          <w:lang w:val="en-US" w:eastAsia="zh-CN"/>
        </w:rPr>
        <w:t>2016年四川省政府专项债券（十五期）部分</w:t>
      </w:r>
      <w:r>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t>到期本金。到期债券具体情况如下：</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Times New Roman" w:eastAsia="仿宋_GB2312" w:cs="Times New Roman"/>
          <w:color w:val="000000" w:themeColor="text1"/>
          <w:sz w:val="32"/>
          <w:szCs w:val="32"/>
          <w:highlight w:val="none"/>
          <w:u w:val="none"/>
          <w:lang w:val="en-US" w:eastAsia="zh-CN"/>
          <w14:textFill>
            <w14:solidFill>
              <w14:schemeClr w14:val="tx1"/>
            </w14:solidFill>
          </w14:textFill>
        </w:rPr>
      </w:pPr>
    </w:p>
    <w:tbl>
      <w:tblPr>
        <w:tblStyle w:val="9"/>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964"/>
        <w:gridCol w:w="1365"/>
        <w:gridCol w:w="1005"/>
        <w:gridCol w:w="780"/>
        <w:gridCol w:w="1733"/>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债券名称</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债券代码</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债券简称</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发行规模（亿元）</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票面利率（%）</w:t>
            </w:r>
          </w:p>
        </w:tc>
        <w:tc>
          <w:tcPr>
            <w:tcW w:w="17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还本付息日</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发行再融资债券偿还金额（亿元）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2020年四川省政府再融资一般债券（十一期）</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2071001</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default" w:ascii="宋体" w:hAnsi="宋体" w:eastAsia="宋体" w:cs="宋体"/>
                <w:i w:val="0"/>
                <w:color w:val="000000"/>
                <w:kern w:val="0"/>
                <w:sz w:val="18"/>
                <w:szCs w:val="18"/>
                <w:highlight w:val="none"/>
                <w:u w:val="none"/>
                <w:lang w:val="en-US" w:eastAsia="zh-CN" w:bidi="ar"/>
              </w:rPr>
              <w:t>20四川债126</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25.8564</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3.26</w:t>
            </w:r>
          </w:p>
        </w:tc>
        <w:tc>
          <w:tcPr>
            <w:tcW w:w="17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2023年10月23日</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25.4805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2016年四川省政府一般债券（十九期）</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1605641</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16四川债31</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91</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2.7</w:t>
            </w:r>
          </w:p>
        </w:tc>
        <w:tc>
          <w:tcPr>
            <w:tcW w:w="17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2023年10月31日</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90.0257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2018年四川省土地储备专项债券（五期）-2018年四川省政府专项债券（二十三期）</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157511</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18四川34</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51.82</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3.77</w:t>
            </w:r>
          </w:p>
        </w:tc>
        <w:tc>
          <w:tcPr>
            <w:tcW w:w="17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2023年10月26日</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34.1844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2018年四川省棚户区改造专项债券（三期）-2018年四川省政府专项债券（二十四期）</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157512</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18四川35</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2.34</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3.77</w:t>
            </w:r>
          </w:p>
        </w:tc>
        <w:tc>
          <w:tcPr>
            <w:tcW w:w="17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2023年10月26日</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2018年四川省土地整理专项债券（一期）-2018年四川省政府专项债券（三十五期）</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157523</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18四川46</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1.79</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3.77</w:t>
            </w:r>
          </w:p>
        </w:tc>
        <w:tc>
          <w:tcPr>
            <w:tcW w:w="17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2023年10月26日</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2016年四川省政府专项债券（十五期）</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1605645</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16四川债35</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24</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2.7</w:t>
            </w:r>
          </w:p>
        </w:tc>
        <w:tc>
          <w:tcPr>
            <w:tcW w:w="17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2023年10月31日</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23.9101</w:t>
            </w:r>
          </w:p>
        </w:tc>
      </w:tr>
    </w:tbl>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0"/>
        <w:rPr>
          <w:rFonts w:eastAsia="黑体"/>
          <w:sz w:val="32"/>
          <w:szCs w:val="32"/>
        </w:rPr>
      </w:pPr>
      <w:r>
        <w:rPr>
          <w:rFonts w:hint="eastAsia" w:eastAsia="黑体"/>
          <w:sz w:val="32"/>
          <w:szCs w:val="32"/>
        </w:rPr>
        <w:t>二、信用评级情况</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w:t>
      </w:r>
      <w:r>
        <w:rPr>
          <w:rFonts w:hint="eastAsia" w:ascii="仿宋_GB2312" w:hAnsi="Times New Roman" w:eastAsia="仿宋_GB2312" w:cs="Times New Roman"/>
          <w:sz w:val="32"/>
          <w:szCs w:val="32"/>
          <w:lang w:eastAsia="zh-CN"/>
        </w:rPr>
        <w:t>联合</w:t>
      </w:r>
      <w:r>
        <w:rPr>
          <w:rFonts w:hint="eastAsia" w:ascii="仿宋_GB2312" w:hAnsi="Times New Roman" w:eastAsia="仿宋_GB2312" w:cs="Times New Roman"/>
          <w:sz w:val="32"/>
          <w:szCs w:val="32"/>
        </w:rPr>
        <w:t>资信评估</w:t>
      </w:r>
      <w:r>
        <w:rPr>
          <w:rFonts w:hint="eastAsia" w:ascii="仿宋_GB2312" w:hAnsi="Times New Roman" w:eastAsia="仿宋_GB2312" w:cs="Times New Roman"/>
          <w:sz w:val="32"/>
          <w:szCs w:val="32"/>
          <w:lang w:eastAsia="zh-CN"/>
        </w:rPr>
        <w:t>股份</w:t>
      </w:r>
      <w:r>
        <w:rPr>
          <w:rFonts w:hint="eastAsia" w:ascii="仿宋_GB2312" w:hAnsi="Times New Roman" w:eastAsia="仿宋_GB2312" w:cs="Times New Roman"/>
          <w:sz w:val="32"/>
          <w:szCs w:val="32"/>
        </w:rPr>
        <w:t>有限公司综合评定，2023年四川省政府再融资一般债券（七期）及再融资专项债券（十五至十七期）债券信用级别均为AAA。在2023年四川省政府再融资一般债券（七期）及再融资专项债券（十五至十七期）存续期内，四川省财政厅将委托</w:t>
      </w:r>
      <w:r>
        <w:rPr>
          <w:rFonts w:hint="eastAsia" w:ascii="仿宋_GB2312" w:hAnsi="Times New Roman" w:eastAsia="仿宋_GB2312" w:cs="Times New Roman"/>
          <w:sz w:val="32"/>
          <w:szCs w:val="32"/>
          <w:lang w:eastAsia="zh-CN"/>
        </w:rPr>
        <w:t>联合</w:t>
      </w:r>
      <w:r>
        <w:rPr>
          <w:rFonts w:hint="eastAsia" w:ascii="仿宋_GB2312" w:hAnsi="Times New Roman" w:eastAsia="仿宋_GB2312" w:cs="Times New Roman"/>
          <w:sz w:val="32"/>
          <w:szCs w:val="32"/>
        </w:rPr>
        <w:t>资信评估</w:t>
      </w:r>
      <w:r>
        <w:rPr>
          <w:rFonts w:hint="eastAsia" w:ascii="仿宋_GB2312" w:hAnsi="Times New Roman" w:eastAsia="仿宋_GB2312" w:cs="Times New Roman"/>
          <w:sz w:val="32"/>
          <w:szCs w:val="32"/>
          <w:lang w:eastAsia="zh-CN"/>
        </w:rPr>
        <w:t>股份</w:t>
      </w:r>
      <w:r>
        <w:rPr>
          <w:rFonts w:hint="eastAsia" w:ascii="仿宋_GB2312" w:hAnsi="Times New Roman" w:eastAsia="仿宋_GB2312" w:cs="Times New Roman"/>
          <w:sz w:val="32"/>
          <w:szCs w:val="32"/>
        </w:rPr>
        <w:t>有限公司每年开展一次跟踪评级。</w:t>
      </w:r>
    </w:p>
    <w:p>
      <w:pPr>
        <w:keepNext w:val="0"/>
        <w:keepLines w:val="0"/>
        <w:pageBreakBefore w:val="0"/>
        <w:widowControl w:val="0"/>
        <w:kinsoku/>
        <w:wordWrap/>
        <w:overflowPunct/>
        <w:topLinePunct w:val="0"/>
        <w:autoSpaceDE/>
        <w:autoSpaceDN/>
        <w:bidi w:val="0"/>
        <w:adjustRightInd/>
        <w:snapToGrid/>
        <w:spacing w:line="540" w:lineRule="exact"/>
        <w:ind w:firstLine="771" w:firstLineChars="241"/>
        <w:textAlignment w:val="auto"/>
        <w:outlineLvl w:val="0"/>
        <w:rPr>
          <w:rFonts w:ascii="黑体" w:hAnsi="黑体" w:eastAsia="黑体"/>
          <w:sz w:val="32"/>
          <w:szCs w:val="32"/>
        </w:rPr>
      </w:pPr>
      <w:r>
        <w:rPr>
          <w:rFonts w:hint="eastAsia" w:ascii="黑体" w:hAnsi="黑体" w:eastAsia="黑体"/>
          <w:sz w:val="32"/>
          <w:szCs w:val="32"/>
        </w:rPr>
        <w:t>三、全省中长期经济规划情况</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《四川省国民经济和社会发展第十四个五年规划和二</w:t>
      </w:r>
      <w:r>
        <w:rPr>
          <w:rFonts w:hint="eastAsia" w:ascii="仿宋_GB2312"/>
          <w:color w:val="000000" w:themeColor="text1"/>
          <w:sz w:val="32"/>
          <w:szCs w:val="32"/>
          <w14:textFill>
            <w14:solidFill>
              <w14:schemeClr w14:val="tx1"/>
            </w14:solidFill>
          </w14:textFill>
        </w:rPr>
        <w:t>〇</w:t>
      </w:r>
      <w:r>
        <w:rPr>
          <w:rFonts w:hint="eastAsia" w:ascii="仿宋_GB2312" w:eastAsia="仿宋_GB2312"/>
          <w:color w:val="000000" w:themeColor="text1"/>
          <w:sz w:val="32"/>
          <w:szCs w:val="32"/>
          <w14:textFill>
            <w14:solidFill>
              <w14:schemeClr w14:val="tx1"/>
            </w14:solidFill>
          </w14:textFill>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sz w:val="32"/>
          <w:szCs w:val="32"/>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rPr>
        <w:t>“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sz w:val="32"/>
          <w:szCs w:val="32"/>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Times New Roman" w:eastAsia="仿宋_GB2312" w:cs="Times New Roman"/>
          <w:sz w:val="32"/>
          <w:szCs w:val="32"/>
        </w:rPr>
        <w:t>二〇三五年远景目标：经济实力大幅跃升，人均地区生产总值在二〇二〇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黑体"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《四川省国民经济和社会发展第十四个五年规划和二</w:t>
      </w:r>
      <w:r>
        <w:rPr>
          <w:rFonts w:hint="eastAsia" w:ascii="仿宋_GB2312" w:hAnsi="宋体" w:cs="宋体"/>
          <w:color w:val="000000" w:themeColor="text1"/>
          <w:sz w:val="32"/>
          <w:szCs w:val="32"/>
          <w14:textFill>
            <w14:solidFill>
              <w14:schemeClr w14:val="tx1"/>
            </w14:solidFill>
          </w14:textFill>
        </w:rPr>
        <w:t>〇</w:t>
      </w:r>
      <w:r>
        <w:rPr>
          <w:rFonts w:hint="eastAsia" w:ascii="仿宋_GB2312" w:hAnsi="Times New Roman" w:eastAsia="仿宋_GB2312" w:cs="Times New Roman"/>
          <w:color w:val="000000" w:themeColor="text1"/>
          <w:sz w:val="32"/>
          <w:szCs w:val="32"/>
          <w14:textFill>
            <w14:solidFill>
              <w14:schemeClr w14:val="tx1"/>
            </w14:solidFill>
          </w14:textFill>
        </w:rPr>
        <w:t>三五年远景目标纲要》具体内容参见四川省发展和改革委员会网站。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eastAsia" w:ascii="黑体" w:hAnsi="黑体" w:eastAsia="黑体"/>
          <w:sz w:val="32"/>
          <w:szCs w:val="32"/>
        </w:rPr>
      </w:pPr>
      <w:r>
        <w:rPr>
          <w:rFonts w:hint="eastAsia" w:ascii="黑体" w:hAnsi="黑体" w:eastAsia="黑体"/>
          <w:sz w:val="32"/>
          <w:szCs w:val="32"/>
        </w:rPr>
        <w:t>四川省经济、财政和债务有关数据</w:t>
      </w:r>
    </w:p>
    <w:tbl>
      <w:tblPr>
        <w:tblStyle w:val="8"/>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ascii="仿宋_GB2312" w:hAnsi="宋体" w:cs="宋体"/>
                <w:b/>
                <w:kern w:val="0"/>
                <w:sz w:val="24"/>
              </w:rPr>
            </w:pPr>
            <w:r>
              <w:rPr>
                <w:rFonts w:hint="eastAsia" w:ascii="仿宋_GB2312" w:hAnsi="宋体" w:cs="宋体"/>
                <w:b/>
                <w:kern w:val="0"/>
                <w:sz w:val="24"/>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ascii="仿宋_GB2312" w:hAnsi="宋体" w:cs="宋体"/>
                <w:b/>
                <w:kern w:val="0"/>
                <w:sz w:val="24"/>
              </w:rPr>
            </w:pPr>
            <w:r>
              <w:rPr>
                <w:rFonts w:hint="eastAsia" w:ascii="Times New Roman" w:hAnsi="Times New Roman" w:eastAsia="仿宋_GB2312" w:cs="Times New Roman"/>
                <w:b/>
                <w:bCs/>
                <w:kern w:val="2"/>
                <w:sz w:val="24"/>
                <w:szCs w:val="21"/>
                <w:lang w:val="en-US" w:eastAsia="zh-CN" w:bidi="ar-SA"/>
              </w:rPr>
              <w:t>20</w:t>
            </w:r>
            <w:r>
              <w:rPr>
                <w:rFonts w:hint="eastAsia" w:cs="Times New Roman"/>
                <w:b/>
                <w:bCs/>
                <w:kern w:val="2"/>
                <w:sz w:val="24"/>
                <w:szCs w:val="21"/>
                <w:lang w:val="en-US" w:eastAsia="zh-CN" w:bidi="ar-SA"/>
              </w:rPr>
              <w:t>20</w:t>
            </w:r>
            <w:r>
              <w:rPr>
                <w:rFonts w:hint="eastAsia" w:ascii="Times New Roman" w:hAnsi="Times New Roman" w:eastAsia="仿宋_GB2312" w:cs="Times New Roman"/>
                <w:b/>
                <w:bCs/>
                <w:kern w:val="2"/>
                <w:sz w:val="24"/>
                <w:szCs w:val="21"/>
                <w:lang w:val="en-US" w:eastAsia="zh-CN" w:bidi="ar-SA"/>
              </w:rPr>
              <w:t>－202</w:t>
            </w:r>
            <w:r>
              <w:rPr>
                <w:rFonts w:hint="eastAsia" w:cs="Times New Roman"/>
                <w:b/>
                <w:bCs/>
                <w:kern w:val="2"/>
                <w:sz w:val="24"/>
                <w:szCs w:val="21"/>
                <w:lang w:val="en-US" w:eastAsia="zh-CN" w:bidi="ar-SA"/>
              </w:rPr>
              <w:t>2</w:t>
            </w:r>
            <w:r>
              <w:rPr>
                <w:rFonts w:hint="eastAsia" w:ascii="仿宋_GB2312" w:hAnsi="宋体" w:cs="宋体"/>
                <w:b/>
                <w:kern w:val="0"/>
                <w:sz w:val="24"/>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ascii="仿宋_GB2312" w:hAnsi="宋体" w:cs="宋体"/>
                <w:kern w:val="0"/>
                <w:sz w:val="24"/>
              </w:rPr>
            </w:pPr>
            <w:r>
              <w:rPr>
                <w:rFonts w:ascii="仿宋_GB2312"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eastAsia" w:ascii="仿宋_GB2312" w:hAnsi="宋体" w:cs="宋体"/>
                <w:kern w:val="0"/>
                <w:sz w:val="24"/>
              </w:rPr>
              <w:t>年份</w:t>
            </w:r>
          </w:p>
          <w:p>
            <w:pPr>
              <w:widowControl/>
              <w:spacing w:line="400" w:lineRule="exact"/>
              <w:ind w:firstLine="1320" w:firstLineChars="550"/>
              <w:rPr>
                <w:rFonts w:ascii="仿宋_GB2312" w:hAnsi="宋体" w:cs="宋体"/>
                <w:kern w:val="0"/>
                <w:sz w:val="24"/>
              </w:rPr>
            </w:pPr>
            <w:r>
              <w:rPr>
                <w:rFonts w:hint="eastAsia" w:ascii="仿宋_GB2312" w:hAnsi="宋体" w:cs="宋体"/>
                <w:kern w:val="0"/>
                <w:sz w:val="24"/>
              </w:rPr>
              <w:t>项目</w:t>
            </w:r>
          </w:p>
        </w:tc>
        <w:tc>
          <w:tcPr>
            <w:tcW w:w="1552" w:type="dxa"/>
            <w:gridSpan w:val="3"/>
            <w:shd w:val="clear" w:color="auto" w:fill="auto"/>
            <w:noWrap/>
            <w:vAlign w:val="center"/>
          </w:tcPr>
          <w:p>
            <w:pPr>
              <w:widowControl/>
              <w:spacing w:line="400" w:lineRule="exact"/>
              <w:jc w:val="center"/>
              <w:rPr>
                <w:rFonts w:ascii="仿宋_GB2312" w:hAnsi="宋体" w:eastAsia="仿宋_GB2312" w:cs="宋体"/>
                <w:kern w:val="0"/>
                <w:sz w:val="24"/>
                <w:szCs w:val="24"/>
                <w:lang w:val="en-US" w:eastAsia="zh-CN" w:bidi="ar-SA"/>
              </w:rPr>
            </w:pPr>
            <w:r>
              <w:rPr>
                <w:rFonts w:hint="eastAsia" w:ascii="仿宋_GB2312" w:hAnsi="宋体" w:cs="宋体"/>
                <w:kern w:val="0"/>
                <w:sz w:val="24"/>
              </w:rPr>
              <w:t>2020年</w:t>
            </w:r>
          </w:p>
        </w:tc>
        <w:tc>
          <w:tcPr>
            <w:tcW w:w="1722" w:type="dxa"/>
            <w:gridSpan w:val="2"/>
            <w:shd w:val="clear" w:color="auto" w:fill="auto"/>
            <w:noWrap/>
            <w:vAlign w:val="center"/>
          </w:tcPr>
          <w:p>
            <w:pPr>
              <w:widowControl/>
              <w:spacing w:line="400" w:lineRule="exact"/>
              <w:jc w:val="center"/>
              <w:rPr>
                <w:rFonts w:ascii="仿宋_GB2312" w:hAnsi="宋体" w:eastAsia="仿宋_GB2312" w:cs="宋体"/>
                <w:kern w:val="0"/>
                <w:sz w:val="24"/>
                <w:szCs w:val="24"/>
                <w:lang w:val="en-US" w:eastAsia="zh-CN" w:bidi="ar-SA"/>
              </w:rPr>
            </w:pPr>
            <w:r>
              <w:rPr>
                <w:rFonts w:hint="eastAsia" w:ascii="仿宋_GB2312" w:hAnsi="宋体" w:cs="宋体"/>
                <w:kern w:val="0"/>
                <w:sz w:val="24"/>
              </w:rPr>
              <w:t>202</w:t>
            </w:r>
            <w:r>
              <w:rPr>
                <w:rFonts w:hint="eastAsia" w:ascii="仿宋_GB2312" w:hAnsi="宋体" w:cs="宋体"/>
                <w:kern w:val="0"/>
                <w:sz w:val="24"/>
                <w:lang w:val="en-US" w:eastAsia="zh-CN"/>
              </w:rPr>
              <w:t>1</w:t>
            </w:r>
            <w:r>
              <w:rPr>
                <w:rFonts w:hint="eastAsia" w:ascii="仿宋_GB2312" w:hAnsi="宋体" w:cs="宋体"/>
                <w:kern w:val="0"/>
                <w:sz w:val="24"/>
              </w:rPr>
              <w:t>年</w:t>
            </w:r>
          </w:p>
        </w:tc>
        <w:tc>
          <w:tcPr>
            <w:tcW w:w="1534" w:type="dxa"/>
            <w:gridSpan w:val="3"/>
            <w:shd w:val="clear" w:color="auto" w:fill="auto"/>
            <w:noWrap/>
            <w:vAlign w:val="center"/>
          </w:tcPr>
          <w:p>
            <w:pPr>
              <w:widowControl/>
              <w:spacing w:line="400" w:lineRule="exact"/>
              <w:jc w:val="center"/>
              <w:rPr>
                <w:rFonts w:hint="eastAsia" w:ascii="仿宋_GB2312" w:hAnsi="宋体" w:eastAsia="仿宋_GB2312" w:cs="宋体"/>
                <w:kern w:val="0"/>
                <w:sz w:val="24"/>
                <w:lang w:val="en" w:eastAsia="zh-CN"/>
              </w:rPr>
            </w:pPr>
            <w:r>
              <w:rPr>
                <w:rFonts w:hint="default" w:ascii="仿宋_GB2312" w:hAnsi="宋体" w:cs="宋体"/>
                <w:kern w:val="0"/>
                <w:sz w:val="24"/>
                <w:lang w:val="en"/>
              </w:rPr>
              <w:t>2022</w:t>
            </w:r>
            <w:r>
              <w:rPr>
                <w:rFonts w:hint="eastAsia" w:ascii="仿宋_GB2312" w:hAnsi="宋体" w:cs="宋体"/>
                <w:kern w:val="0"/>
                <w:sz w:val="24"/>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地区生产总值（亿元）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48501.6</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53850.8</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56749.8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地区生产总值增速（%）</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3.8</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8.2</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第一产业增加值（亿元）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5556.</w:t>
            </w:r>
            <w:r>
              <w:rPr>
                <w:rFonts w:hint="eastAsia" w:ascii="仿宋_GB2312" w:hAnsi="仿宋_GB2312" w:eastAsia="仿宋_GB2312" w:cs="仿宋_GB2312"/>
                <w:sz w:val="24"/>
                <w:lang w:val="en-US" w:eastAsia="zh-CN"/>
              </w:rPr>
              <w:t>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5661.9</w:t>
            </w:r>
          </w:p>
          <w:p>
            <w:pPr>
              <w:spacing w:line="400" w:lineRule="exact"/>
              <w:jc w:val="right"/>
              <w:rPr>
                <w:rFonts w:hint="eastAsia" w:ascii="仿宋_GB2312" w:hAnsi="仿宋_GB2312" w:eastAsia="仿宋_GB2312" w:cs="仿宋_GB2312"/>
                <w:kern w:val="2"/>
                <w:sz w:val="24"/>
                <w:szCs w:val="24"/>
                <w:lang w:val="en-US" w:eastAsia="zh-CN" w:bidi="ar-SA"/>
              </w:rPr>
            </w:pP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5964.3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第二产业增加值（亿元）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17505.6</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19901.4</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21157.1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第三产业增加值（亿元）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25439.2</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28287.6</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29628.4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产业结构</w:t>
            </w:r>
          </w:p>
        </w:tc>
        <w:tc>
          <w:tcPr>
            <w:tcW w:w="1552" w:type="dxa"/>
            <w:gridSpan w:val="3"/>
            <w:shd w:val="clear" w:color="auto" w:fill="auto"/>
            <w:noWrap/>
            <w:vAlign w:val="center"/>
          </w:tcPr>
          <w:p>
            <w:pPr>
              <w:spacing w:line="400" w:lineRule="exact"/>
              <w:ind w:left="640" w:leftChars="0"/>
              <w:jc w:val="right"/>
              <w:rPr>
                <w:rFonts w:hint="eastAsia" w:ascii="仿宋_GB2312" w:hAnsi="仿宋_GB2312" w:eastAsia="仿宋_GB2312" w:cs="仿宋_GB2312"/>
                <w:kern w:val="2"/>
                <w:sz w:val="24"/>
                <w:szCs w:val="24"/>
                <w:lang w:val="en-US" w:eastAsia="zh-CN" w:bidi="ar-SA"/>
              </w:rPr>
            </w:pPr>
          </w:p>
        </w:tc>
        <w:tc>
          <w:tcPr>
            <w:tcW w:w="1722" w:type="dxa"/>
            <w:gridSpan w:val="2"/>
            <w:shd w:val="clear" w:color="auto" w:fill="auto"/>
            <w:noWrap/>
            <w:vAlign w:val="center"/>
          </w:tcPr>
          <w:p>
            <w:pPr>
              <w:spacing w:line="400" w:lineRule="exact"/>
              <w:ind w:left="640" w:leftChars="0"/>
              <w:jc w:val="right"/>
              <w:rPr>
                <w:rFonts w:hint="eastAsia" w:ascii="仿宋_GB2312" w:hAnsi="仿宋_GB2312" w:eastAsia="仿宋_GB2312" w:cs="仿宋_GB2312"/>
                <w:kern w:val="2"/>
                <w:sz w:val="24"/>
                <w:szCs w:val="24"/>
                <w:lang w:val="en-US" w:eastAsia="zh-CN" w:bidi="ar-SA"/>
              </w:rPr>
            </w:pPr>
          </w:p>
        </w:tc>
        <w:tc>
          <w:tcPr>
            <w:tcW w:w="1534" w:type="dxa"/>
            <w:gridSpan w:val="3"/>
            <w:shd w:val="clear" w:color="auto" w:fill="auto"/>
            <w:noWrap/>
            <w:vAlign w:val="center"/>
          </w:tcPr>
          <w:p>
            <w:pPr>
              <w:spacing w:line="400" w:lineRule="exact"/>
              <w:ind w:left="640"/>
              <w:jc w:val="righ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第一产业增加值比重（%）</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11.5</w:t>
            </w:r>
          </w:p>
          <w:p>
            <w:pPr>
              <w:spacing w:line="400" w:lineRule="exact"/>
              <w:jc w:val="right"/>
              <w:rPr>
                <w:rFonts w:hint="eastAsia" w:ascii="仿宋_GB2312" w:hAnsi="仿宋_GB2312" w:eastAsia="仿宋_GB2312" w:cs="仿宋_GB2312"/>
                <w:kern w:val="2"/>
                <w:sz w:val="24"/>
                <w:szCs w:val="24"/>
                <w:lang w:val="en-US" w:eastAsia="zh-CN" w:bidi="ar-SA"/>
              </w:rPr>
            </w:pP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第二产业增加值比重（%）</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36.1</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37.0</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第三产业增加值比重（%）</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52.4</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52.5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全社会固定资产投资增速（%）</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10.1</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进出口总额（亿美元）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1168</w:t>
            </w:r>
            <w:r>
              <w:rPr>
                <w:rFonts w:hint="eastAsia" w:ascii="仿宋_GB2312" w:hAnsi="仿宋_GB2312" w:eastAsia="仿宋_GB2312" w:cs="仿宋_GB2312"/>
                <w:sz w:val="24"/>
                <w:lang w:val="en-US" w:eastAsia="zh-CN"/>
              </w:rPr>
              <w:t>.0</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1473.2</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1511.7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出口额（亿美元）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672.5</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884.1</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931.5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 xml:space="preserve">    进口额（亿美元）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495.5</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589.1</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580.3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社会消费品零售总额（亿元）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20824.9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24133.2</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24104.6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城镇居民人均可支配收入（元）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38253</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41444</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43233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农村居民人均可支配收入（元）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15929</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17575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18672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居民消费价格指数（上年＝100）</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103.2</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100.3</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工业生产者出厂价格指数（上年＝100）</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98.8</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105.9</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工业生产者购进价格指数（上年＝100）</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98.1</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107.5</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金融机构各项存款余额（本外币）（亿元）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91835.8</w:t>
            </w: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100077.3</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111661.3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ascii="仿宋_GB2312" w:hAnsi="宋体" w:cs="宋体"/>
                <w:kern w:val="0"/>
                <w:sz w:val="24"/>
              </w:rPr>
            </w:pPr>
            <w:r>
              <w:rPr>
                <w:rFonts w:hint="eastAsia" w:ascii="仿宋_GB2312" w:hAnsi="宋体" w:cs="宋体"/>
                <w:kern w:val="0"/>
                <w:sz w:val="24"/>
              </w:rPr>
              <w:t>金融机构各项贷款余额（本外币）（亿元）</w:t>
            </w:r>
          </w:p>
        </w:tc>
        <w:tc>
          <w:tcPr>
            <w:tcW w:w="1552" w:type="dxa"/>
            <w:gridSpan w:val="3"/>
            <w:shd w:val="clear" w:color="auto" w:fill="auto"/>
            <w:noWrap/>
            <w:vAlign w:val="center"/>
          </w:tcPr>
          <w:p>
            <w:pPr>
              <w:spacing w:line="400" w:lineRule="exact"/>
              <w:jc w:val="righ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71026</w:t>
            </w:r>
            <w:r>
              <w:rPr>
                <w:rFonts w:hint="eastAsia" w:ascii="仿宋_GB2312" w:hAnsi="仿宋_GB2312" w:eastAsia="仿宋_GB2312" w:cs="仿宋_GB2312"/>
                <w:sz w:val="24"/>
                <w:lang w:val="en-US" w:eastAsia="zh-CN"/>
              </w:rPr>
              <w:t>.0</w:t>
            </w:r>
          </w:p>
          <w:p>
            <w:pPr>
              <w:spacing w:line="400" w:lineRule="exact"/>
              <w:jc w:val="right"/>
              <w:rPr>
                <w:rFonts w:hint="eastAsia" w:ascii="仿宋_GB2312" w:hAnsi="仿宋_GB2312" w:eastAsia="仿宋_GB2312" w:cs="仿宋_GB2312"/>
                <w:kern w:val="2"/>
                <w:sz w:val="24"/>
                <w:szCs w:val="24"/>
                <w:lang w:val="en-US" w:eastAsia="zh-CN" w:bidi="ar-SA"/>
              </w:rPr>
            </w:pPr>
          </w:p>
        </w:tc>
        <w:tc>
          <w:tcPr>
            <w:tcW w:w="1722" w:type="dxa"/>
            <w:gridSpan w:val="2"/>
            <w:shd w:val="clear" w:color="auto" w:fill="auto"/>
            <w:noWrap/>
            <w:vAlign w:val="center"/>
          </w:tcPr>
          <w:p>
            <w:pPr>
              <w:spacing w:line="400" w:lineRule="exact"/>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80340.4</w:t>
            </w:r>
          </w:p>
        </w:tc>
        <w:tc>
          <w:tcPr>
            <w:tcW w:w="1534" w:type="dxa"/>
            <w:gridSpan w:val="3"/>
            <w:shd w:val="clear" w:color="auto" w:fill="auto"/>
            <w:noWrap/>
            <w:vAlign w:val="center"/>
          </w:tcPr>
          <w:p>
            <w:pPr>
              <w:spacing w:line="400" w:lineRule="exact"/>
              <w:jc w:val="right"/>
              <w:rPr>
                <w:rFonts w:hint="default" w:ascii="仿宋_GB2312" w:hAnsi="仿宋_GB2312" w:eastAsia="仿宋_GB2312" w:cs="仿宋_GB2312"/>
                <w:sz w:val="24"/>
                <w:lang w:val="en" w:eastAsia="zh-CN"/>
              </w:rPr>
            </w:pPr>
            <w:r>
              <w:rPr>
                <w:rFonts w:hint="default" w:ascii="仿宋_GB2312" w:hAnsi="仿宋_GB2312" w:cs="仿宋_GB2312"/>
                <w:sz w:val="24"/>
                <w:lang w:val="en" w:eastAsia="zh-CN"/>
              </w:rPr>
              <w:t>92239.2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ascii="仿宋_GB2312" w:hAnsi="宋体" w:cs="宋体"/>
                <w:b/>
                <w:kern w:val="0"/>
                <w:sz w:val="24"/>
              </w:rPr>
            </w:pPr>
            <w:r>
              <w:rPr>
                <w:rFonts w:hint="eastAsia" w:ascii="仿宋_GB2312" w:hAnsi="宋体" w:cs="宋体"/>
                <w:b/>
                <w:kern w:val="0"/>
                <w:sz w:val="24"/>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eastAsia" w:ascii="仿宋_GB2312" w:hAnsi="仿宋_GB2312" w:eastAsia="仿宋_GB2312" w:cs="仿宋_GB2312"/>
                <w:kern w:val="0"/>
                <w:sz w:val="24"/>
              </w:rPr>
              <w:t xml:space="preserve">           年份</w:t>
            </w:r>
          </w:p>
          <w:p>
            <w:pPr>
              <w:spacing w:line="40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w:t>
            </w:r>
          </w:p>
        </w:tc>
        <w:tc>
          <w:tcPr>
            <w:tcW w:w="2282" w:type="dxa"/>
            <w:gridSpan w:val="5"/>
            <w:shd w:val="clear" w:color="auto" w:fill="auto"/>
            <w:noWrap/>
            <w:vAlign w:val="center"/>
          </w:tcPr>
          <w:p>
            <w:pPr>
              <w:widowControl/>
              <w:spacing w:line="400" w:lineRule="exact"/>
              <w:ind w:firstLine="480" w:firstLineChars="0"/>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2021年</w:t>
            </w:r>
          </w:p>
        </w:tc>
        <w:tc>
          <w:tcPr>
            <w:tcW w:w="2213" w:type="dxa"/>
            <w:gridSpan w:val="3"/>
            <w:shd w:val="clear" w:color="auto" w:fill="auto"/>
            <w:noWrap/>
            <w:vAlign w:val="center"/>
          </w:tcPr>
          <w:p>
            <w:pPr>
              <w:widowControl/>
              <w:spacing w:line="400" w:lineRule="exact"/>
              <w:ind w:firstLine="480" w:firstLineChars="0"/>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202</w:t>
            </w:r>
            <w:r>
              <w:rPr>
                <w:rFonts w:hint="eastAsia" w:ascii="仿宋_GB2312" w:hAnsi="仿宋_GB2312" w:eastAsia="仿宋_GB2312" w:cs="仿宋_GB2312"/>
                <w:kern w:val="0"/>
                <w:sz w:val="24"/>
                <w:highlight w:val="none"/>
                <w:lang w:val="en-US" w:eastAsia="zh-CN"/>
              </w:rPr>
              <w:t>2</w:t>
            </w:r>
            <w:r>
              <w:rPr>
                <w:rFonts w:hint="eastAsia" w:ascii="仿宋_GB2312" w:hAnsi="仿宋_GB2312" w:eastAsia="仿宋_GB2312" w:cs="仿宋_GB2312"/>
                <w:kern w:val="0"/>
                <w:sz w:val="24"/>
                <w:highlight w:val="none"/>
              </w:rPr>
              <w:t>年</w:t>
            </w:r>
          </w:p>
        </w:tc>
        <w:tc>
          <w:tcPr>
            <w:tcW w:w="2130" w:type="dxa"/>
            <w:gridSpan w:val="4"/>
            <w:shd w:val="clear" w:color="auto" w:fill="auto"/>
            <w:noWrap/>
            <w:vAlign w:val="center"/>
          </w:tcPr>
          <w:p>
            <w:pPr>
              <w:widowControl/>
              <w:spacing w:line="400" w:lineRule="exact"/>
              <w:ind w:firstLine="480"/>
              <w:jc w:val="center"/>
              <w:rPr>
                <w:rFonts w:hint="eastAsia" w:ascii="仿宋_GB2312" w:hAnsi="仿宋_GB2312" w:eastAsia="仿宋_GB2312" w:cs="仿宋_GB2312"/>
                <w:kern w:val="0"/>
                <w:sz w:val="24"/>
                <w:highlight w:val="lightGray"/>
                <w:lang w:val="en" w:eastAsia="zh-CN"/>
              </w:rPr>
            </w:pPr>
            <w:r>
              <w:rPr>
                <w:rFonts w:hint="default" w:ascii="仿宋_GB2312" w:hAnsi="仿宋_GB2312" w:cs="仿宋_GB2312"/>
                <w:kern w:val="0"/>
                <w:sz w:val="24"/>
                <w:highlight w:val="none"/>
                <w:lang w:val="en"/>
              </w:rPr>
              <w:t>2023</w:t>
            </w:r>
            <w:r>
              <w:rPr>
                <w:rFonts w:hint="eastAsia" w:ascii="仿宋_GB2312" w:hAnsi="仿宋_GB2312" w:cs="仿宋_GB2312"/>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eastAsia" w:ascii="仿宋_GB2312" w:hAnsi="仿宋_GB2312" w:eastAsia="仿宋_GB2312" w:cs="仿宋_GB2312"/>
                <w:kern w:val="0"/>
                <w:sz w:val="24"/>
              </w:rPr>
            </w:pPr>
          </w:p>
        </w:tc>
        <w:tc>
          <w:tcPr>
            <w:tcW w:w="1120" w:type="dxa"/>
            <w:shd w:val="clear" w:color="auto" w:fill="auto"/>
            <w:noWrap/>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省本级</w:t>
            </w:r>
          </w:p>
        </w:tc>
        <w:tc>
          <w:tcPr>
            <w:tcW w:w="1162" w:type="dxa"/>
            <w:gridSpan w:val="4"/>
            <w:shd w:val="clear" w:color="auto" w:fill="auto"/>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全省</w:t>
            </w:r>
          </w:p>
        </w:tc>
        <w:tc>
          <w:tcPr>
            <w:tcW w:w="1031" w:type="dxa"/>
            <w:shd w:val="clear" w:color="auto" w:fill="auto"/>
            <w:noWrap/>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省本级</w:t>
            </w:r>
          </w:p>
        </w:tc>
        <w:tc>
          <w:tcPr>
            <w:tcW w:w="1182" w:type="dxa"/>
            <w:gridSpan w:val="2"/>
            <w:shd w:val="clear" w:color="auto" w:fill="auto"/>
            <w:vAlign w:val="center"/>
          </w:tcPr>
          <w:p>
            <w:pPr>
              <w:widowControl/>
              <w:spacing w:line="4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全省</w:t>
            </w:r>
          </w:p>
        </w:tc>
        <w:tc>
          <w:tcPr>
            <w:tcW w:w="993" w:type="dxa"/>
            <w:gridSpan w:val="2"/>
            <w:shd w:val="clear" w:color="auto" w:fill="auto"/>
            <w:noWrap/>
            <w:vAlign w:val="center"/>
          </w:tcPr>
          <w:p>
            <w:pPr>
              <w:widowControl/>
              <w:spacing w:line="400" w:lineRule="exact"/>
              <w:jc w:val="center"/>
              <w:rPr>
                <w:rFonts w:hint="eastAsia" w:ascii="仿宋_GB2312" w:hAnsi="仿宋_GB2312" w:eastAsia="仿宋_GB2312" w:cs="仿宋_GB2312"/>
                <w:kern w:val="0"/>
                <w:sz w:val="24"/>
                <w:highlight w:val="lightGray"/>
              </w:rPr>
            </w:pPr>
            <w:r>
              <w:rPr>
                <w:rFonts w:hint="eastAsia" w:ascii="仿宋_GB2312" w:hAnsi="仿宋_GB2312" w:eastAsia="仿宋_GB2312" w:cs="仿宋_GB2312"/>
                <w:kern w:val="0"/>
                <w:sz w:val="24"/>
                <w:highlight w:val="none"/>
              </w:rPr>
              <w:t>省本级</w:t>
            </w:r>
          </w:p>
        </w:tc>
        <w:tc>
          <w:tcPr>
            <w:tcW w:w="1137" w:type="dxa"/>
            <w:gridSpan w:val="2"/>
            <w:shd w:val="clear" w:color="auto" w:fill="auto"/>
            <w:vAlign w:val="center"/>
          </w:tcPr>
          <w:p>
            <w:pPr>
              <w:widowControl/>
              <w:spacing w:line="400" w:lineRule="exact"/>
              <w:jc w:val="center"/>
              <w:rPr>
                <w:rFonts w:hint="eastAsia" w:ascii="仿宋_GB2312" w:hAnsi="仿宋_GB2312" w:eastAsia="仿宋_GB2312" w:cs="仿宋_GB2312"/>
                <w:kern w:val="0"/>
                <w:sz w:val="24"/>
                <w:highlight w:val="lightGray"/>
              </w:rPr>
            </w:pPr>
            <w:r>
              <w:rPr>
                <w:rFonts w:hint="eastAsia" w:ascii="仿宋_GB2312" w:hAnsi="仿宋_GB2312" w:eastAsia="仿宋_GB2312" w:cs="仿宋_GB2312"/>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一般公共预算收入</w:t>
            </w:r>
          </w:p>
        </w:tc>
        <w:tc>
          <w:tcPr>
            <w:tcW w:w="1120" w:type="dxa"/>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884.1</w:t>
            </w:r>
          </w:p>
        </w:tc>
        <w:tc>
          <w:tcPr>
            <w:tcW w:w="1162" w:type="dxa"/>
            <w:gridSpan w:val="4"/>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4773.</w:t>
            </w:r>
            <w:r>
              <w:rPr>
                <w:rFonts w:hint="default" w:ascii="仿宋_GB2312" w:hAnsi="仿宋_GB2312" w:cs="仿宋_GB2312"/>
                <w:kern w:val="0"/>
                <w:sz w:val="24"/>
                <w:highlight w:val="none"/>
                <w:lang w:val="en" w:eastAsia="zh-CN"/>
              </w:rPr>
              <w:t>2</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886.6</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4880.5</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988</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5358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一般公共预算支出</w:t>
            </w:r>
          </w:p>
        </w:tc>
        <w:tc>
          <w:tcPr>
            <w:tcW w:w="1120" w:type="dxa"/>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2087.</w:t>
            </w:r>
            <w:r>
              <w:rPr>
                <w:rFonts w:hint="default" w:ascii="仿宋_GB2312" w:hAnsi="仿宋_GB2312" w:cs="仿宋_GB2312"/>
                <w:kern w:val="0"/>
                <w:sz w:val="24"/>
                <w:highlight w:val="none"/>
                <w:lang w:val="en" w:eastAsia="zh-CN"/>
              </w:rPr>
              <w:t>6</w:t>
            </w:r>
          </w:p>
        </w:tc>
        <w:tc>
          <w:tcPr>
            <w:tcW w:w="1162" w:type="dxa"/>
            <w:gridSpan w:val="4"/>
            <w:shd w:val="clear" w:color="auto" w:fill="auto"/>
            <w:vAlign w:val="center"/>
          </w:tcPr>
          <w:p>
            <w:pPr>
              <w:widowControl/>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en-US" w:eastAsia="zh-CN"/>
              </w:rPr>
              <w:t>11215.</w:t>
            </w:r>
            <w:r>
              <w:rPr>
                <w:rFonts w:hint="default" w:ascii="仿宋_GB2312" w:hAnsi="仿宋_GB2312" w:cs="仿宋_GB2312"/>
                <w:kern w:val="0"/>
                <w:sz w:val="24"/>
                <w:highlight w:val="none"/>
                <w:lang w:val="en" w:eastAsia="zh-CN"/>
              </w:rPr>
              <w:t>7</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2257.4</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11914.7</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2265.9</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12438.9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转移性收入</w:t>
            </w:r>
          </w:p>
        </w:tc>
        <w:tc>
          <w:tcPr>
            <w:tcW w:w="1120" w:type="dxa"/>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6339.8</w:t>
            </w:r>
          </w:p>
        </w:tc>
        <w:tc>
          <w:tcPr>
            <w:tcW w:w="1162" w:type="dxa"/>
            <w:gridSpan w:val="4"/>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7649.8</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7321.7</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8633.6</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6184</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7004.4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转移性支出</w:t>
            </w:r>
          </w:p>
        </w:tc>
        <w:tc>
          <w:tcPr>
            <w:tcW w:w="1120" w:type="dxa"/>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6102.7</w:t>
            </w:r>
          </w:p>
        </w:tc>
        <w:tc>
          <w:tcPr>
            <w:tcW w:w="1162" w:type="dxa"/>
            <w:gridSpan w:val="4"/>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eastAsia="zh-CN"/>
              </w:rPr>
              <w:t>863.7</w:t>
            </w:r>
          </w:p>
        </w:tc>
        <w:tc>
          <w:tcPr>
            <w:tcW w:w="1031" w:type="dxa"/>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6835.5</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865.6</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5870.3</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地方政府一般债券收入</w:t>
            </w:r>
          </w:p>
        </w:tc>
        <w:tc>
          <w:tcPr>
            <w:tcW w:w="1120" w:type="dxa"/>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1281.3</w:t>
            </w:r>
          </w:p>
        </w:tc>
        <w:tc>
          <w:tcPr>
            <w:tcW w:w="1162" w:type="dxa"/>
            <w:gridSpan w:val="4"/>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1281.3</w:t>
            </w:r>
          </w:p>
        </w:tc>
        <w:tc>
          <w:tcPr>
            <w:tcW w:w="1031" w:type="dxa"/>
            <w:shd w:val="clear" w:color="auto" w:fill="auto"/>
            <w:noWrap/>
            <w:vAlign w:val="center"/>
          </w:tcPr>
          <w:p>
            <w:pPr>
              <w:spacing w:line="240" w:lineRule="exact"/>
              <w:jc w:val="right"/>
              <w:rPr>
                <w:rFonts w:hint="default" w:ascii="仿宋_GB2312" w:hAnsi="仿宋_GB2312" w:eastAsia="仿宋_GB2312" w:cs="仿宋_GB2312"/>
                <w:sz w:val="24"/>
                <w:highlight w:val="none"/>
                <w:lang w:val="en" w:eastAsia="zh-CN"/>
              </w:rPr>
            </w:pPr>
            <w:r>
              <w:rPr>
                <w:rFonts w:hint="default" w:ascii="仿宋_GB2312" w:hAnsi="仿宋_GB2312" w:cs="仿宋_GB2312"/>
                <w:sz w:val="24"/>
                <w:highlight w:val="none"/>
                <w:lang w:val="en"/>
              </w:rPr>
              <w:t>1184.1</w:t>
            </w:r>
          </w:p>
        </w:tc>
        <w:tc>
          <w:tcPr>
            <w:tcW w:w="1182"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1184.1</w:t>
            </w:r>
          </w:p>
        </w:tc>
        <w:tc>
          <w:tcPr>
            <w:tcW w:w="993" w:type="dxa"/>
            <w:gridSpan w:val="2"/>
            <w:shd w:val="clear" w:color="auto" w:fill="auto"/>
            <w:noWrap/>
            <w:vAlign w:val="center"/>
          </w:tcPr>
          <w:p>
            <w:pPr>
              <w:widowControl/>
              <w:spacing w:line="240" w:lineRule="exact"/>
              <w:jc w:val="right"/>
              <w:rPr>
                <w:rFonts w:hint="eastAsia"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eastAsia"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（二）近三年政府性基金</w:t>
            </w:r>
            <w:r>
              <w:rPr>
                <w:rFonts w:hint="eastAsia" w:ascii="仿宋_GB2312" w:hAnsi="仿宋_GB2312" w:cs="仿宋_GB2312"/>
                <w:b/>
                <w:kern w:val="0"/>
                <w:sz w:val="24"/>
                <w:lang w:eastAsia="zh-CN"/>
              </w:rPr>
              <w:t>预算</w:t>
            </w:r>
            <w:r>
              <w:rPr>
                <w:rFonts w:hint="eastAsia" w:ascii="仿宋_GB2312" w:hAnsi="仿宋_GB2312" w:eastAsia="仿宋_GB2312" w:cs="仿宋_GB2312"/>
                <w:b/>
                <w:kern w:val="0"/>
                <w:sz w:val="24"/>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政府性基金</w:t>
            </w:r>
            <w:r>
              <w:rPr>
                <w:rFonts w:hint="eastAsia" w:ascii="仿宋_GB2312" w:hAnsi="仿宋_GB2312" w:cs="仿宋_GB2312"/>
                <w:kern w:val="0"/>
                <w:sz w:val="24"/>
                <w:lang w:eastAsia="zh-CN"/>
              </w:rPr>
              <w:t>预算</w:t>
            </w:r>
            <w:r>
              <w:rPr>
                <w:rFonts w:hint="eastAsia" w:ascii="仿宋_GB2312" w:hAnsi="仿宋_GB2312" w:eastAsia="仿宋_GB2312" w:cs="仿宋_GB2312"/>
                <w:kern w:val="0"/>
                <w:sz w:val="24"/>
              </w:rPr>
              <w:t>收入</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76.2</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495</w:t>
            </w:r>
            <w:r>
              <w:rPr>
                <w:rFonts w:hint="default" w:ascii="仿宋_GB2312" w:hAnsi="仿宋_GB2312" w:cs="仿宋_GB2312"/>
                <w:kern w:val="0"/>
                <w:sz w:val="24"/>
                <w:highlight w:val="none"/>
                <w:lang w:val="en" w:eastAsia="zh-CN"/>
              </w:rPr>
              <w:t>1</w:t>
            </w:r>
            <w:r>
              <w:rPr>
                <w:rFonts w:hint="eastAsia" w:ascii="仿宋_GB2312" w:hAnsi="仿宋_GB2312" w:eastAsia="仿宋_GB2312" w:cs="仿宋_GB2312"/>
                <w:kern w:val="0"/>
                <w:sz w:val="24"/>
                <w:highlight w:val="none"/>
                <w:lang w:val="en-US" w:eastAsia="zh-CN"/>
              </w:rPr>
              <w:t>.</w:t>
            </w:r>
            <w:r>
              <w:rPr>
                <w:rFonts w:hint="default" w:ascii="仿宋_GB2312" w:hAnsi="仿宋_GB2312" w:cs="仿宋_GB2312"/>
                <w:kern w:val="0"/>
                <w:sz w:val="24"/>
                <w:highlight w:val="none"/>
                <w:lang w:val="en" w:eastAsia="zh-CN"/>
              </w:rPr>
              <w:t>5</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83.7</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4780.5</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85.4</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政府性基金</w:t>
            </w:r>
            <w:r>
              <w:rPr>
                <w:rFonts w:hint="eastAsia" w:ascii="仿宋_GB2312" w:hAnsi="仿宋_GB2312" w:cs="仿宋_GB2312"/>
                <w:kern w:val="0"/>
                <w:sz w:val="24"/>
                <w:lang w:eastAsia="zh-CN"/>
              </w:rPr>
              <w:t>预算</w:t>
            </w:r>
            <w:r>
              <w:rPr>
                <w:rFonts w:hint="eastAsia" w:ascii="仿宋_GB2312" w:hAnsi="仿宋_GB2312" w:eastAsia="仿宋_GB2312" w:cs="仿宋_GB2312"/>
                <w:kern w:val="0"/>
                <w:sz w:val="24"/>
              </w:rPr>
              <w:t>支出</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42.3</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571</w:t>
            </w:r>
            <w:r>
              <w:rPr>
                <w:rFonts w:hint="default" w:ascii="仿宋_GB2312" w:hAnsi="仿宋_GB2312" w:cs="仿宋_GB2312"/>
                <w:kern w:val="0"/>
                <w:sz w:val="24"/>
                <w:highlight w:val="none"/>
                <w:lang w:val="en" w:eastAsia="zh-CN"/>
              </w:rPr>
              <w:t>5</w:t>
            </w:r>
            <w:r>
              <w:rPr>
                <w:rFonts w:hint="eastAsia" w:ascii="仿宋_GB2312" w:hAnsi="仿宋_GB2312" w:eastAsia="仿宋_GB2312" w:cs="仿宋_GB2312"/>
                <w:kern w:val="0"/>
                <w:sz w:val="24"/>
                <w:highlight w:val="none"/>
                <w:lang w:val="en-US" w:eastAsia="zh-CN"/>
              </w:rPr>
              <w:t>.</w:t>
            </w:r>
            <w:r>
              <w:rPr>
                <w:rFonts w:hint="default" w:ascii="仿宋_GB2312" w:hAnsi="仿宋_GB2312" w:cs="仿宋_GB2312"/>
                <w:kern w:val="0"/>
                <w:sz w:val="24"/>
                <w:highlight w:val="none"/>
                <w:lang w:val="en" w:eastAsia="zh-CN"/>
              </w:rPr>
              <w:t>5</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36.7</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6595.8</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62.3</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4093.1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地方政府专项债券收入</w:t>
            </w:r>
          </w:p>
        </w:tc>
        <w:tc>
          <w:tcPr>
            <w:tcW w:w="1169"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2413.7</w:t>
            </w:r>
          </w:p>
        </w:tc>
        <w:tc>
          <w:tcPr>
            <w:tcW w:w="1113" w:type="dxa"/>
            <w:gridSpan w:val="3"/>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2413.7</w:t>
            </w:r>
          </w:p>
        </w:tc>
        <w:tc>
          <w:tcPr>
            <w:tcW w:w="1087" w:type="dxa"/>
            <w:gridSpan w:val="2"/>
            <w:shd w:val="clear" w:color="auto" w:fill="auto"/>
            <w:noWrap/>
            <w:vAlign w:val="center"/>
          </w:tcPr>
          <w:p>
            <w:pPr>
              <w:spacing w:line="240" w:lineRule="exact"/>
              <w:jc w:val="right"/>
              <w:rPr>
                <w:rFonts w:hint="default" w:ascii="仿宋_GB2312" w:hAnsi="仿宋_GB2312" w:eastAsia="仿宋_GB2312" w:cs="仿宋_GB2312"/>
                <w:sz w:val="24"/>
                <w:highlight w:val="none"/>
                <w:lang w:val="en" w:eastAsia="zh-CN"/>
              </w:rPr>
            </w:pPr>
            <w:r>
              <w:rPr>
                <w:rFonts w:hint="default" w:ascii="仿宋_GB2312" w:hAnsi="仿宋_GB2312" w:cs="仿宋_GB2312"/>
                <w:sz w:val="24"/>
                <w:highlight w:val="none"/>
                <w:lang w:val="en" w:eastAsia="zh-CN"/>
              </w:rPr>
              <w:t>2688.9</w:t>
            </w:r>
          </w:p>
        </w:tc>
        <w:tc>
          <w:tcPr>
            <w:tcW w:w="1126" w:type="dxa"/>
            <w:shd w:val="clear" w:color="auto" w:fill="auto"/>
            <w:vAlign w:val="center"/>
          </w:tcPr>
          <w:p>
            <w:pPr>
              <w:spacing w:line="240" w:lineRule="exact"/>
              <w:jc w:val="right"/>
              <w:rPr>
                <w:rFonts w:hint="default" w:ascii="仿宋_GB2312" w:hAnsi="仿宋_GB2312" w:eastAsia="仿宋_GB2312" w:cs="仿宋_GB2312"/>
                <w:sz w:val="24"/>
                <w:highlight w:val="none"/>
                <w:lang w:val="en" w:eastAsia="zh-CN"/>
              </w:rPr>
            </w:pPr>
            <w:r>
              <w:rPr>
                <w:rFonts w:hint="default" w:ascii="仿宋_GB2312" w:hAnsi="仿宋_GB2312" w:cs="仿宋_GB2312"/>
                <w:sz w:val="24"/>
                <w:highlight w:val="none"/>
                <w:lang w:val="en" w:eastAsia="zh-CN"/>
              </w:rPr>
              <w:t>2688.9</w:t>
            </w:r>
          </w:p>
        </w:tc>
        <w:tc>
          <w:tcPr>
            <w:tcW w:w="993" w:type="dxa"/>
            <w:gridSpan w:val="2"/>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国有资本经营预算收入</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18.2</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128.</w:t>
            </w:r>
            <w:r>
              <w:rPr>
                <w:rFonts w:hint="default" w:ascii="仿宋_GB2312" w:hAnsi="仿宋_GB2312" w:cs="仿宋_GB2312"/>
                <w:kern w:val="0"/>
                <w:sz w:val="24"/>
                <w:highlight w:val="none"/>
                <w:lang w:val="en" w:eastAsia="zh-CN"/>
              </w:rPr>
              <w:t>4</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31.7</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142.7</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25</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国有资本经营预算支出</w:t>
            </w:r>
          </w:p>
        </w:tc>
        <w:tc>
          <w:tcPr>
            <w:tcW w:w="1169" w:type="dxa"/>
            <w:gridSpan w:val="2"/>
            <w:shd w:val="clear" w:color="auto" w:fill="auto"/>
            <w:noWrap/>
            <w:vAlign w:val="center"/>
          </w:tcPr>
          <w:p>
            <w:pPr>
              <w:widowControl/>
              <w:spacing w:line="240" w:lineRule="exact"/>
              <w:jc w:val="right"/>
              <w:rPr>
                <w:rFonts w:hint="eastAsia" w:ascii="仿宋_GB2312" w:hAnsi="仿宋_GB2312" w:eastAsia="仿宋_GB2312" w:cs="仿宋_GB2312"/>
                <w:kern w:val="0"/>
                <w:sz w:val="24"/>
                <w:highlight w:val="none"/>
              </w:rPr>
            </w:pPr>
            <w:r>
              <w:rPr>
                <w:rFonts w:hint="default" w:ascii="仿宋_GB2312" w:hAnsi="仿宋_GB2312" w:cs="仿宋_GB2312"/>
                <w:kern w:val="0"/>
                <w:sz w:val="24"/>
                <w:highlight w:val="none"/>
                <w:lang w:val="en" w:eastAsia="zh-CN"/>
              </w:rPr>
              <w:t>11</w:t>
            </w:r>
          </w:p>
        </w:tc>
        <w:tc>
          <w:tcPr>
            <w:tcW w:w="1113" w:type="dxa"/>
            <w:gridSpan w:val="3"/>
            <w:shd w:val="clear" w:color="auto" w:fill="auto"/>
            <w:vAlign w:val="center"/>
          </w:tcPr>
          <w:p>
            <w:pPr>
              <w:widowControl/>
              <w:spacing w:line="240" w:lineRule="exact"/>
              <w:jc w:val="righ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65.</w:t>
            </w:r>
            <w:r>
              <w:rPr>
                <w:rFonts w:hint="default" w:ascii="仿宋_GB2312" w:hAnsi="仿宋_GB2312" w:cs="仿宋_GB2312"/>
                <w:kern w:val="0"/>
                <w:sz w:val="24"/>
                <w:highlight w:val="none"/>
                <w:lang w:val="en" w:eastAsia="zh-CN"/>
              </w:rPr>
              <w:t>3</w:t>
            </w:r>
          </w:p>
        </w:tc>
        <w:tc>
          <w:tcPr>
            <w:tcW w:w="1087" w:type="dxa"/>
            <w:gridSpan w:val="2"/>
            <w:shd w:val="clear" w:color="auto" w:fill="auto"/>
            <w:noWrap/>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15.2</w:t>
            </w:r>
          </w:p>
        </w:tc>
        <w:tc>
          <w:tcPr>
            <w:tcW w:w="1126" w:type="dxa"/>
            <w:shd w:val="clear" w:color="auto" w:fill="auto"/>
            <w:vAlign w:val="center"/>
          </w:tcPr>
          <w:p>
            <w:pPr>
              <w:widowControl/>
              <w:spacing w:line="240" w:lineRule="exact"/>
              <w:jc w:val="right"/>
              <w:rPr>
                <w:rFonts w:hint="default" w:ascii="仿宋_GB2312" w:hAnsi="仿宋_GB2312" w:eastAsia="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81.5</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21</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地方政府一般债券还本支出</w:t>
            </w:r>
          </w:p>
        </w:tc>
        <w:tc>
          <w:tcPr>
            <w:tcW w:w="1169"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86.5</w:t>
            </w:r>
          </w:p>
        </w:tc>
        <w:tc>
          <w:tcPr>
            <w:tcW w:w="1113" w:type="dxa"/>
            <w:gridSpan w:val="3"/>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777.1</w:t>
            </w:r>
          </w:p>
        </w:tc>
        <w:tc>
          <w:tcPr>
            <w:tcW w:w="1087"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67.4</w:t>
            </w:r>
          </w:p>
        </w:tc>
        <w:tc>
          <w:tcPr>
            <w:tcW w:w="1126" w:type="dxa"/>
            <w:shd w:val="clear" w:color="auto" w:fill="auto"/>
            <w:vAlign w:val="center"/>
          </w:tcPr>
          <w:p>
            <w:pPr>
              <w:widowControl/>
              <w:spacing w:line="240" w:lineRule="exact"/>
              <w:jc w:val="right"/>
              <w:rPr>
                <w:rFonts w:hint="eastAsia" w:ascii="仿宋_GB2312" w:hAnsi="仿宋_GB2312" w:cs="仿宋_GB2312"/>
                <w:kern w:val="0"/>
                <w:sz w:val="24"/>
                <w:highlight w:val="none"/>
                <w:lang w:val="en-US" w:eastAsia="zh-CN"/>
              </w:rPr>
            </w:pPr>
            <w:r>
              <w:rPr>
                <w:rFonts w:hint="eastAsia" w:ascii="仿宋_GB2312" w:hAnsi="仿宋_GB2312" w:cs="仿宋_GB2312"/>
                <w:kern w:val="0"/>
                <w:sz w:val="24"/>
                <w:highlight w:val="none"/>
                <w:lang w:val="en-US" w:eastAsia="zh-CN"/>
              </w:rPr>
              <w:t>848.5</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179.4</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地方政府专项债券还本支出</w:t>
            </w:r>
          </w:p>
        </w:tc>
        <w:tc>
          <w:tcPr>
            <w:tcW w:w="1169"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0</w:t>
            </w:r>
          </w:p>
        </w:tc>
        <w:tc>
          <w:tcPr>
            <w:tcW w:w="1113" w:type="dxa"/>
            <w:gridSpan w:val="3"/>
            <w:shd w:val="clear" w:color="auto" w:fill="auto"/>
            <w:vAlign w:val="center"/>
          </w:tcPr>
          <w:p>
            <w:pPr>
              <w:spacing w:line="240" w:lineRule="exact"/>
              <w:jc w:val="right"/>
              <w:rPr>
                <w:rFonts w:hint="eastAsia" w:ascii="仿宋_GB2312" w:hAnsi="仿宋_GB2312" w:eastAsia="仿宋_GB2312" w:cs="仿宋_GB2312"/>
                <w:sz w:val="24"/>
                <w:highlight w:val="none"/>
              </w:rPr>
            </w:pPr>
            <w:r>
              <w:rPr>
                <w:rFonts w:hint="default" w:ascii="仿宋_GB2312" w:hAnsi="仿宋_GB2312" w:cs="仿宋_GB2312"/>
                <w:sz w:val="24"/>
                <w:highlight w:val="none"/>
                <w:lang w:val="en"/>
              </w:rPr>
              <w:t>580.5</w:t>
            </w:r>
          </w:p>
        </w:tc>
        <w:tc>
          <w:tcPr>
            <w:tcW w:w="1087" w:type="dxa"/>
            <w:gridSpan w:val="2"/>
            <w:shd w:val="clear" w:color="auto" w:fill="auto"/>
            <w:noWrap/>
            <w:vAlign w:val="center"/>
          </w:tcPr>
          <w:p>
            <w:pPr>
              <w:spacing w:line="240" w:lineRule="exact"/>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0</w:t>
            </w:r>
          </w:p>
        </w:tc>
        <w:tc>
          <w:tcPr>
            <w:tcW w:w="1126" w:type="dxa"/>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eastAsia" w:ascii="仿宋_GB2312" w:hAnsi="仿宋_GB2312" w:cs="仿宋_GB2312"/>
                <w:kern w:val="0"/>
                <w:sz w:val="24"/>
                <w:highlight w:val="none"/>
                <w:lang w:val="en-US" w:eastAsia="zh-CN"/>
              </w:rPr>
              <w:t>560.7</w:t>
            </w:r>
          </w:p>
        </w:tc>
        <w:tc>
          <w:tcPr>
            <w:tcW w:w="1020" w:type="dxa"/>
            <w:gridSpan w:val="3"/>
            <w:shd w:val="clear" w:color="auto" w:fill="auto"/>
            <w:noWrap/>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0</w:t>
            </w:r>
          </w:p>
        </w:tc>
        <w:tc>
          <w:tcPr>
            <w:tcW w:w="1110" w:type="dxa"/>
            <w:shd w:val="clear" w:color="auto" w:fill="auto"/>
            <w:vAlign w:val="center"/>
          </w:tcPr>
          <w:p>
            <w:pPr>
              <w:widowControl/>
              <w:spacing w:line="240" w:lineRule="exact"/>
              <w:jc w:val="right"/>
              <w:rPr>
                <w:rFonts w:hint="default" w:ascii="仿宋_GB2312" w:hAnsi="仿宋_GB2312" w:cs="仿宋_GB2312"/>
                <w:kern w:val="0"/>
                <w:sz w:val="24"/>
                <w:highlight w:val="none"/>
                <w:lang w:val="en" w:eastAsia="zh-CN"/>
              </w:rPr>
            </w:pPr>
            <w:r>
              <w:rPr>
                <w:rFonts w:hint="default" w:ascii="仿宋_GB2312" w:hAnsi="仿宋_GB2312" w:cs="仿宋_GB2312"/>
                <w:kern w:val="0"/>
                <w:sz w:val="24"/>
                <w:highlight w:val="none"/>
                <w:lang w:val="en" w:eastAsia="zh-CN"/>
              </w:rPr>
              <w:t>925.2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截至202</w:t>
            </w: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rPr>
              <w:t>年底地方政府债务余额</w:t>
            </w:r>
          </w:p>
        </w:tc>
        <w:tc>
          <w:tcPr>
            <w:tcW w:w="4993" w:type="dxa"/>
            <w:gridSpan w:val="9"/>
            <w:shd w:val="clear" w:color="auto" w:fill="auto"/>
            <w:noWrap/>
            <w:vAlign w:val="center"/>
          </w:tcPr>
          <w:p>
            <w:pPr>
              <w:widowControl/>
              <w:spacing w:line="240" w:lineRule="exact"/>
              <w:ind w:firstLine="480"/>
              <w:jc w:val="center"/>
              <w:rPr>
                <w:rFonts w:hint="default"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17705.4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w:t>
            </w: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rPr>
              <w:t>年地方政府债务限额</w:t>
            </w:r>
          </w:p>
        </w:tc>
        <w:tc>
          <w:tcPr>
            <w:tcW w:w="4993" w:type="dxa"/>
            <w:gridSpan w:val="9"/>
            <w:shd w:val="clear" w:color="auto" w:fill="auto"/>
            <w:noWrap/>
            <w:vAlign w:val="center"/>
          </w:tcPr>
          <w:p>
            <w:pPr>
              <w:widowControl/>
              <w:spacing w:line="240" w:lineRule="exact"/>
              <w:ind w:firstLine="480"/>
              <w:jc w:val="center"/>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18507</w:t>
            </w:r>
          </w:p>
        </w:tc>
      </w:tr>
    </w:tbl>
    <w:p>
      <w:pPr>
        <w:pStyle w:val="2"/>
        <w:snapToGrid w:val="0"/>
        <w:spacing w:line="300" w:lineRule="exact"/>
        <w:ind w:left="735" w:hanging="735" w:hangingChars="350"/>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注：1、经济数据</w:t>
      </w:r>
      <w:r>
        <w:rPr>
          <w:rFonts w:hint="eastAsia" w:ascii="仿宋_GB2312" w:hAnsi="仿宋_GB2312" w:eastAsia="仿宋_GB2312" w:cs="仿宋_GB2312"/>
          <w:color w:val="000000" w:themeColor="text1"/>
          <w:lang w:eastAsia="zh-CN"/>
          <w14:textFill>
            <w14:solidFill>
              <w14:schemeClr w14:val="tx1"/>
            </w14:solidFill>
          </w14:textFill>
        </w:rPr>
        <w:t>来源于四川省统计局</w:t>
      </w:r>
    </w:p>
    <w:p>
      <w:pPr>
        <w:pStyle w:val="2"/>
        <w:snapToGrid w:val="0"/>
        <w:spacing w:line="3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color w:val="000000" w:themeColor="text1"/>
          <w14:textFill>
            <w14:solidFill>
              <w14:schemeClr w14:val="tx1"/>
            </w14:solidFill>
          </w14:textFill>
        </w:rPr>
        <w:t>2、财政数据中202</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年</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2022年</w:t>
      </w:r>
      <w:r>
        <w:rPr>
          <w:rFonts w:hint="eastAsia" w:ascii="仿宋_GB2312" w:hAnsi="仿宋_GB2312" w:eastAsia="仿宋_GB2312" w:cs="仿宋_GB2312"/>
          <w:color w:val="000000" w:themeColor="text1"/>
          <w14:textFill>
            <w14:solidFill>
              <w14:schemeClr w14:val="tx1"/>
            </w14:solidFill>
          </w14:textFill>
        </w:rPr>
        <w:t>为决算数</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2023年为预算数</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eastAsia="黑体"/>
          <w:sz w:val="32"/>
          <w:szCs w:val="32"/>
        </w:rPr>
      </w:pPr>
      <w:r>
        <w:rPr>
          <w:rFonts w:hint="eastAsia" w:eastAsia="黑体"/>
          <w:sz w:val="32"/>
          <w:szCs w:val="32"/>
        </w:rPr>
        <w:t>五、四川省地方政府债务管理情况</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eastAsia="楷体_GB2312"/>
          <w:sz w:val="32"/>
          <w:szCs w:val="32"/>
        </w:rPr>
      </w:pPr>
      <w:r>
        <w:rPr>
          <w:rFonts w:hint="eastAsia" w:eastAsia="楷体_GB2312"/>
          <w:sz w:val="32"/>
          <w:szCs w:val="32"/>
        </w:rPr>
        <w:t>（一）四川省地方政府债务基本情况。</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rPr>
        <w:t>全省</w:t>
      </w:r>
      <w:r>
        <w:rPr>
          <w:rFonts w:hint="eastAsia" w:ascii="仿宋_GB2312" w:hAnsi="Times New Roman" w:eastAsia="仿宋_GB2312" w:cs="Times New Roman"/>
          <w:sz w:val="32"/>
          <w:szCs w:val="32"/>
        </w:rPr>
        <w:t>债务余额为</w:t>
      </w:r>
      <w:r>
        <w:rPr>
          <w:rFonts w:hint="eastAsia" w:ascii="仿宋_GB2312" w:hAnsi="Times New Roman" w:eastAsia="仿宋_GB2312" w:cs="Times New Roman"/>
          <w:sz w:val="32"/>
          <w:szCs w:val="32"/>
          <w:lang w:val="en-US" w:eastAsia="zh-CN"/>
        </w:rPr>
        <w:t>17705.4</w:t>
      </w:r>
      <w:r>
        <w:rPr>
          <w:rFonts w:hint="eastAsia" w:ascii="仿宋_GB2312" w:hAnsi="Times New Roman" w:eastAsia="仿宋_GB2312" w:cs="Times New Roman"/>
          <w:sz w:val="32"/>
          <w:szCs w:val="32"/>
        </w:rPr>
        <w:t>亿元，控制在国务院</w:t>
      </w:r>
      <w:r>
        <w:rPr>
          <w:rFonts w:hint="eastAsia" w:ascii="仿宋_GB2312" w:hAnsi="Times New Roman" w:eastAsia="仿宋_GB2312" w:cs="Times New Roman"/>
          <w:sz w:val="32"/>
          <w:szCs w:val="32"/>
          <w:lang w:val="en-US" w:eastAsia="zh-CN"/>
        </w:rPr>
        <w:t>批准</w:t>
      </w:r>
      <w:r>
        <w:rPr>
          <w:rFonts w:hint="eastAsia" w:ascii="仿宋_GB2312" w:hAnsi="Times New Roman" w:eastAsia="仿宋_GB2312" w:cs="Times New Roman"/>
          <w:sz w:val="32"/>
          <w:szCs w:val="32"/>
        </w:rPr>
        <w:t>的</w:t>
      </w:r>
      <w:r>
        <w:rPr>
          <w:rFonts w:hint="eastAsia" w:ascii="仿宋_GB2312" w:hAnsi="Times New Roman" w:eastAsia="仿宋_GB2312" w:cs="Times New Roman"/>
          <w:sz w:val="32"/>
          <w:szCs w:val="32"/>
          <w:lang w:val="en-US" w:eastAsia="zh-CN"/>
        </w:rPr>
        <w:t>18507亿</w:t>
      </w:r>
      <w:r>
        <w:rPr>
          <w:rFonts w:hint="eastAsia" w:ascii="仿宋_GB2312" w:hAnsi="Times New Roman" w:eastAsia="仿宋_GB2312" w:cs="Times New Roman"/>
          <w:sz w:val="32"/>
          <w:szCs w:val="32"/>
        </w:rPr>
        <w:t>元限额内，债务风险总体可控。</w:t>
      </w:r>
      <w:r>
        <w:rPr>
          <w:rFonts w:hint="eastAsia" w:ascii="仿宋_GB2312" w:hAnsi="Times New Roman" w:eastAsia="仿宋_GB2312" w:cs="Times New Roman"/>
          <w:sz w:val="32"/>
          <w:szCs w:val="32"/>
          <w:lang w:val="en-US" w:eastAsia="zh-CN"/>
        </w:rPr>
        <w:t>分类型看：全省一般债务限额7640.9亿元，余额7177.3亿元；专项债务限额10866.1亿元，余额10528.1亿元。分级次看：省本级债务限额1585.1亿元，余额1285.3亿元；市县级债务限额16921.9亿元，余额16420.1亿元。</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2022年全省新增地方政府债务重点投向市政和产业园区基础设施、交通基础设施、社会事业、保障性安居工程、农林水利等方面</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30" w:lineRule="exact"/>
        <w:ind w:firstLine="640"/>
        <w:textAlignment w:val="auto"/>
        <w:rPr>
          <w:rFonts w:eastAsia="楷体_GB2312"/>
          <w:sz w:val="32"/>
          <w:szCs w:val="32"/>
        </w:rPr>
      </w:pPr>
      <w:r>
        <w:rPr>
          <w:rFonts w:hint="eastAsia" w:eastAsia="楷体_GB2312"/>
          <w:sz w:val="32"/>
          <w:szCs w:val="32"/>
        </w:rPr>
        <w:t>（二）四川省加强债务管理、防范化解政府</w:t>
      </w:r>
      <w:r>
        <w:rPr>
          <w:rFonts w:eastAsia="楷体_GB2312"/>
          <w:sz w:val="32"/>
          <w:szCs w:val="32"/>
        </w:rPr>
        <w:t>债务风险采取的主要措施</w:t>
      </w:r>
      <w:r>
        <w:rPr>
          <w:rFonts w:hint="eastAsia" w:eastAsia="楷体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四川省委、省政府高度重视政府债务管理工作，积极采取有效措施完善相关制度机制，切实防范和化解地方政府债务风险。</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加强统筹部署，完善政府债务管理。</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完善管理制度机制</w:t>
      </w:r>
      <w:r>
        <w:rPr>
          <w:rFonts w:hint="eastAsia" w:ascii="仿宋_GB2312" w:hAnsi="Times New Roman" w:eastAsia="仿宋_GB2312" w:cs="Times New Roman"/>
          <w:sz w:val="32"/>
          <w:szCs w:val="32"/>
        </w:rPr>
        <w:t>。印发《四川省地方政府专项债券全生命周期管理办法》，进一步明确专项债券</w:t>
      </w:r>
      <w:r>
        <w:rPr>
          <w:rFonts w:hint="eastAsia" w:ascii="仿宋_GB2312" w:hAnsi="Times New Roman" w:eastAsia="仿宋_GB2312" w:cs="Times New Roman"/>
          <w:sz w:val="32"/>
          <w:szCs w:val="32"/>
          <w:lang w:eastAsia="zh-CN"/>
        </w:rPr>
        <w:t>“借、用、管、还”管理要求及程序</w:t>
      </w:r>
      <w:r>
        <w:rPr>
          <w:rFonts w:hint="eastAsia" w:ascii="仿宋_GB2312" w:hAnsi="Times New Roman" w:eastAsia="仿宋_GB2312" w:cs="Times New Roman"/>
          <w:sz w:val="32"/>
          <w:szCs w:val="32"/>
        </w:rPr>
        <w:t>，为地方做好</w:t>
      </w:r>
      <w:r>
        <w:rPr>
          <w:rFonts w:hint="eastAsia" w:ascii="仿宋_GB2312" w:hAnsi="Times New Roman" w:eastAsia="仿宋_GB2312" w:cs="Times New Roman"/>
          <w:sz w:val="32"/>
          <w:szCs w:val="32"/>
          <w:lang w:eastAsia="zh-CN"/>
        </w:rPr>
        <w:t>专项债券</w:t>
      </w:r>
      <w:r>
        <w:rPr>
          <w:rFonts w:hint="eastAsia" w:ascii="仿宋_GB2312" w:hAnsi="Times New Roman" w:eastAsia="仿宋_GB2312" w:cs="Times New Roman"/>
          <w:sz w:val="32"/>
          <w:szCs w:val="32"/>
        </w:rPr>
        <w:t>全生命周期管理提供政策指导。创新建立专项债券资金监管账户管理制度，通过“</w:t>
      </w:r>
      <w:r>
        <w:rPr>
          <w:rFonts w:hint="eastAsia" w:ascii="仿宋_GB2312" w:hAnsi="Times New Roman" w:eastAsia="仿宋_GB2312" w:cs="Times New Roman"/>
          <w:sz w:val="32"/>
          <w:szCs w:val="32"/>
          <w:lang w:eastAsia="zh-CN"/>
        </w:rPr>
        <w:t>国库集中支付</w:t>
      </w:r>
      <w:r>
        <w:rPr>
          <w:rFonts w:hint="eastAsia" w:ascii="仿宋_GB2312" w:hAnsi="Times New Roman" w:eastAsia="仿宋_GB2312" w:cs="Times New Roman"/>
          <w:sz w:val="32"/>
          <w:szCs w:val="32"/>
          <w:lang w:val="en-US" w:eastAsia="zh-CN"/>
        </w:rPr>
        <w:t>+企业监管</w:t>
      </w:r>
      <w:r>
        <w:rPr>
          <w:rFonts w:hint="eastAsia" w:ascii="仿宋_GB2312" w:hAnsi="Times New Roman" w:eastAsia="仿宋_GB2312" w:cs="Times New Roman"/>
          <w:sz w:val="32"/>
          <w:szCs w:val="32"/>
        </w:rPr>
        <w:t>账户+管理系统”</w:t>
      </w:r>
      <w:r>
        <w:rPr>
          <w:rFonts w:hint="eastAsia" w:ascii="仿宋_GB2312" w:hAnsi="Times New Roman" w:eastAsia="仿宋_GB2312" w:cs="Times New Roman"/>
          <w:sz w:val="32"/>
          <w:szCs w:val="32"/>
          <w:lang w:val="en-US" w:eastAsia="zh-CN"/>
        </w:rPr>
        <w:t>方式</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对资金支付</w:t>
      </w:r>
      <w:r>
        <w:rPr>
          <w:rFonts w:hint="eastAsia" w:ascii="仿宋_GB2312" w:hAnsi="Times New Roman" w:eastAsia="仿宋_GB2312" w:cs="Times New Roman"/>
          <w:sz w:val="32"/>
          <w:szCs w:val="32"/>
        </w:rPr>
        <w:t>实现“一竿子插到底”穿透监管，最大限度消除监管盲区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严格债务预算管理。将债务收入、支出、还本、付息、发行全面纳入预算管理。督促省级部门和市县部门通过安排年度预算资金、盘活存量资金等偿还政府债务，发行适当规模再融资债券偿还到期债券本金。（3）推进债务管理绩效考核。健全专项债券项目资金绩效管理机制，印发《财政厅关于做好地方政府专项债券项目绩效目标申报和事前绩效评估的通知》，</w:t>
      </w:r>
      <w:r>
        <w:rPr>
          <w:rFonts w:hint="eastAsia" w:ascii="仿宋_GB2312" w:hAnsi="Times New Roman" w:eastAsia="仿宋_GB2312" w:cs="Times New Roman"/>
          <w:sz w:val="32"/>
          <w:szCs w:val="32"/>
        </w:rPr>
        <w:t>以绩效评价为抓手，引导地方政府树立“举债必问效，无效必问责”的资</w:t>
      </w:r>
      <w:r>
        <w:rPr>
          <w:rFonts w:hint="eastAsia" w:ascii="仿宋_GB2312" w:hAnsi="Times New Roman" w:eastAsia="仿宋_GB2312" w:cs="Times New Roman"/>
          <w:sz w:val="32"/>
          <w:szCs w:val="32"/>
          <w:lang w:val="en-US" w:eastAsia="zh-CN"/>
        </w:rPr>
        <w:t>金管理理念，有效避免出现“重争取、轻管理”的现象，促进债券资金安全高效使用，着力提高全省地方政府债务管理水平。</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2.聚焦重点领域，</w:t>
      </w:r>
      <w:r>
        <w:rPr>
          <w:rFonts w:hint="eastAsia" w:cs="Times New Roman"/>
          <w:kern w:val="2"/>
          <w:sz w:val="32"/>
          <w:szCs w:val="24"/>
          <w:lang w:val="en-US" w:eastAsia="zh-CN" w:bidi="ar-SA"/>
        </w:rPr>
        <w:t>加力促投资稳增长</w:t>
      </w:r>
      <w:r>
        <w:rPr>
          <w:rFonts w:hint="eastAsia" w:ascii="Times New Roman" w:hAnsi="Times New Roman" w:eastAsia="仿宋_GB2312" w:cs="Times New Roman"/>
          <w:kern w:val="2"/>
          <w:sz w:val="32"/>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积极落实中央和省委安排部署。坚持“资金跟着项目走”原则，聚焦成渝地区双城经济圈建设、乡村振兴等中央和省重大战略项目，优先支持省委省政府明确的铁路、三星堆等重点领域项目，积极向中央汇报，争取新增限额支持，增强对重大战略决策的支撑力度，充分发挥债券资金逆周期调节、“补短板、惠民生、促消费、扩内需”的积极作用。（2）精心优选债券发行项目。坚持专项债券用于有一定收益的公益性项目，融资规模与收益相平衡，联合省级相关行业主管部门、金融机构、发行场所、高校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3）加快债券使用进度。提前做好资金拨付方案，新增债券资金均在发行后三个工作日内拨付至市县；会同省级相关部门（单位）加强债券项目调度，督促市县加快债券资金拨付使用进度，新增专项债券使用进度进一步加快。</w:t>
      </w:r>
    </w:p>
    <w:p>
      <w:pPr>
        <w:keepNext w:val="0"/>
        <w:keepLines w:val="0"/>
        <w:pageBreakBefore w:val="0"/>
        <w:widowControl/>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3.强化风险防控，牢牢守住防范风险底线。</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持续开展监测预警。定期开展政府债务评估预警，对省、市、县三级政府债务风险进行评估，定期通报风险评估结果。加强风险评估预警结果应用，有效前移风险防控关口，对政府债务风险较高地区加强预期风险研判，限制新增债券额度。（2）全面完成到期政府债务偿还。依法落实法定债券偿还责任，按照“谁使用、谁偿还”的原则，严格落实偿债资金来源，提高自有资金偿债比例，切实维护了省政府信誉。（3）适时约谈高风险地区。适时约谈债务高风险地区政府主要负责人，对债务高风险地区进行实地督导调研，传达党中央和省相关部署，督促各地加快落实偿债资金来源，降低债务风险水平。（4）严格落实问责制度。坚决遏制隐性债务增量，严格落实政府举债终身问责制和债务问题倒查机制，对审计监督等发现的违法违规举债担保行为，协同配合纪委监委严肃问责。</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30" w:lineRule="exact"/>
        <w:ind w:right="770"/>
        <w:jc w:val="right"/>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line="530" w:lineRule="exact"/>
        <w:ind w:right="770"/>
        <w:jc w:val="right"/>
        <w:textAlignment w:val="auto"/>
        <w:rPr>
          <w:sz w:val="32"/>
          <w:szCs w:val="32"/>
        </w:rPr>
      </w:pPr>
      <w:r>
        <w:rPr>
          <w:rFonts w:hint="eastAsia"/>
          <w:sz w:val="32"/>
          <w:szCs w:val="32"/>
        </w:rPr>
        <w:t>四川省财政厅</w:t>
      </w:r>
    </w:p>
    <w:p>
      <w:pPr>
        <w:keepNext w:val="0"/>
        <w:keepLines w:val="0"/>
        <w:pageBreakBefore w:val="0"/>
        <w:kinsoku/>
        <w:wordWrap/>
        <w:overflowPunct/>
        <w:topLinePunct w:val="0"/>
        <w:autoSpaceDE/>
        <w:autoSpaceDN/>
        <w:bidi w:val="0"/>
        <w:adjustRightInd/>
        <w:snapToGrid/>
        <w:spacing w:line="530" w:lineRule="exact"/>
        <w:ind w:right="460"/>
        <w:jc w:val="right"/>
        <w:textAlignment w:val="auto"/>
        <w:rPr>
          <w:rFonts w:ascii="仿宋_GB2312"/>
          <w:sz w:val="32"/>
          <w:szCs w:val="32"/>
        </w:rPr>
      </w:pPr>
      <w:r>
        <w:rPr>
          <w:rFonts w:hint="eastAsia" w:ascii="仿宋_GB2312"/>
          <w:sz w:val="32"/>
          <w:szCs w:val="32"/>
          <w:lang w:eastAsia="zh-CN"/>
        </w:rPr>
        <w:t>202</w:t>
      </w:r>
      <w:r>
        <w:rPr>
          <w:rFonts w:hint="default" w:ascii="仿宋_GB2312"/>
          <w:sz w:val="32"/>
          <w:szCs w:val="32"/>
          <w:lang w:val="en" w:eastAsia="zh-CN"/>
        </w:rPr>
        <w:t>3</w:t>
      </w:r>
      <w:r>
        <w:rPr>
          <w:rFonts w:hint="eastAsia" w:ascii="仿宋_GB2312"/>
          <w:sz w:val="32"/>
          <w:szCs w:val="32"/>
          <w:lang w:eastAsia="zh-CN"/>
        </w:rPr>
        <w:t>年</w:t>
      </w:r>
      <w:r>
        <w:rPr>
          <w:rFonts w:hint="eastAsia" w:ascii="仿宋_GB2312"/>
          <w:sz w:val="32"/>
          <w:szCs w:val="32"/>
          <w:lang w:val="en-US" w:eastAsia="zh-CN"/>
        </w:rPr>
        <w:t>9</w:t>
      </w:r>
      <w:r>
        <w:rPr>
          <w:rFonts w:hint="eastAsia" w:ascii="仿宋_GB2312"/>
          <w:sz w:val="32"/>
          <w:szCs w:val="32"/>
        </w:rPr>
        <w:t>月</w:t>
      </w:r>
      <w:r>
        <w:rPr>
          <w:rFonts w:hint="eastAsia" w:ascii="仿宋_GB2312"/>
          <w:sz w:val="32"/>
          <w:szCs w:val="32"/>
          <w:lang w:val="en-US" w:eastAsia="zh-CN"/>
        </w:rPr>
        <w:t>21</w:t>
      </w:r>
      <w:bookmarkStart w:id="0" w:name="_GoBack"/>
      <w:bookmarkEnd w:id="0"/>
      <w:r>
        <w:rPr>
          <w:rFonts w:hint="eastAsia" w:ascii="仿宋_GB2312"/>
          <w:sz w:val="32"/>
          <w:szCs w:val="32"/>
        </w:rPr>
        <w:t>日</w:t>
      </w:r>
    </w:p>
    <w:sectPr>
      <w:footerReference r:id="rId3" w:type="default"/>
      <w:footerReference r:id="rId4" w:type="even"/>
      <w:pgSz w:w="11906" w:h="16838"/>
      <w:pgMar w:top="2098" w:right="1474" w:bottom="1985" w:left="1588" w:header="851" w:footer="992" w:gutter="0"/>
      <w:pgNumType w:fmt="numberInDash"/>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7E50E92"/>
    <w:rsid w:val="0FCAD5FD"/>
    <w:rsid w:val="15EFB84A"/>
    <w:rsid w:val="16BFDA76"/>
    <w:rsid w:val="177D3A52"/>
    <w:rsid w:val="17B6C2A3"/>
    <w:rsid w:val="17CE2129"/>
    <w:rsid w:val="17FFA77D"/>
    <w:rsid w:val="1B672BB3"/>
    <w:rsid w:val="1B67B585"/>
    <w:rsid w:val="1BFA4442"/>
    <w:rsid w:val="1BFFC1B4"/>
    <w:rsid w:val="1D3C0843"/>
    <w:rsid w:val="1E584D33"/>
    <w:rsid w:val="1EF3C8EF"/>
    <w:rsid w:val="1F7F37F3"/>
    <w:rsid w:val="1FF86D77"/>
    <w:rsid w:val="27FB4DFE"/>
    <w:rsid w:val="292BBD26"/>
    <w:rsid w:val="2A922F77"/>
    <w:rsid w:val="2C335417"/>
    <w:rsid w:val="2D2F22EB"/>
    <w:rsid w:val="2E7BB22E"/>
    <w:rsid w:val="2ED5C25D"/>
    <w:rsid w:val="3478FD3B"/>
    <w:rsid w:val="35FF6C41"/>
    <w:rsid w:val="35FFA103"/>
    <w:rsid w:val="365FE963"/>
    <w:rsid w:val="37C244FD"/>
    <w:rsid w:val="37F7809A"/>
    <w:rsid w:val="3ADDA097"/>
    <w:rsid w:val="3B7E7D56"/>
    <w:rsid w:val="3BF725E0"/>
    <w:rsid w:val="3BFBF273"/>
    <w:rsid w:val="3BFD26E4"/>
    <w:rsid w:val="3BFF0771"/>
    <w:rsid w:val="3D9DD624"/>
    <w:rsid w:val="3DAB5EBA"/>
    <w:rsid w:val="3DEFA9F2"/>
    <w:rsid w:val="3DF3C86E"/>
    <w:rsid w:val="3ECAC84C"/>
    <w:rsid w:val="3EFB41F2"/>
    <w:rsid w:val="3F5F4240"/>
    <w:rsid w:val="3F7BEE77"/>
    <w:rsid w:val="3FB668E4"/>
    <w:rsid w:val="3FEF23FA"/>
    <w:rsid w:val="3FF57F37"/>
    <w:rsid w:val="3FF71C72"/>
    <w:rsid w:val="3FFB5F92"/>
    <w:rsid w:val="3FFF50AD"/>
    <w:rsid w:val="45F8CE6B"/>
    <w:rsid w:val="47BF50EF"/>
    <w:rsid w:val="47DFF301"/>
    <w:rsid w:val="4D32FB4C"/>
    <w:rsid w:val="4EBF3093"/>
    <w:rsid w:val="4EDFAE00"/>
    <w:rsid w:val="4FAF7337"/>
    <w:rsid w:val="4FFAE02C"/>
    <w:rsid w:val="4FFF460D"/>
    <w:rsid w:val="536F073F"/>
    <w:rsid w:val="53E90DC1"/>
    <w:rsid w:val="54F3BD53"/>
    <w:rsid w:val="57BAD169"/>
    <w:rsid w:val="57DF3D15"/>
    <w:rsid w:val="57EB7B42"/>
    <w:rsid w:val="57FD754E"/>
    <w:rsid w:val="57FEF054"/>
    <w:rsid w:val="57FF76F9"/>
    <w:rsid w:val="5B27C3AC"/>
    <w:rsid w:val="5BABDEC5"/>
    <w:rsid w:val="5BDFA3DF"/>
    <w:rsid w:val="5BFD30E1"/>
    <w:rsid w:val="5D7BF844"/>
    <w:rsid w:val="5DBFCF28"/>
    <w:rsid w:val="5DFB2A50"/>
    <w:rsid w:val="5E7F692A"/>
    <w:rsid w:val="5EDF67C8"/>
    <w:rsid w:val="5EFF05BA"/>
    <w:rsid w:val="5F3E4F45"/>
    <w:rsid w:val="5F6F1C9E"/>
    <w:rsid w:val="5F7E92C4"/>
    <w:rsid w:val="5FAB9A0B"/>
    <w:rsid w:val="5FE12A79"/>
    <w:rsid w:val="5FEFBC4C"/>
    <w:rsid w:val="5FFD044C"/>
    <w:rsid w:val="5FFFFB39"/>
    <w:rsid w:val="63F53E4A"/>
    <w:rsid w:val="64112789"/>
    <w:rsid w:val="69DC461E"/>
    <w:rsid w:val="6AEF0117"/>
    <w:rsid w:val="6BCE4C44"/>
    <w:rsid w:val="6BDE6032"/>
    <w:rsid w:val="6BDF36B5"/>
    <w:rsid w:val="6BEE630D"/>
    <w:rsid w:val="6BF75424"/>
    <w:rsid w:val="6BFF8BC0"/>
    <w:rsid w:val="6D3E6A51"/>
    <w:rsid w:val="6D57D810"/>
    <w:rsid w:val="6DB123F6"/>
    <w:rsid w:val="6DE7862E"/>
    <w:rsid w:val="6DFC43BE"/>
    <w:rsid w:val="6DFD60E9"/>
    <w:rsid w:val="6DFF793F"/>
    <w:rsid w:val="6E7B86E4"/>
    <w:rsid w:val="6EB788C1"/>
    <w:rsid w:val="6EBB229C"/>
    <w:rsid w:val="6EDE8759"/>
    <w:rsid w:val="6EDEF351"/>
    <w:rsid w:val="6EFA30DF"/>
    <w:rsid w:val="6EFE97D7"/>
    <w:rsid w:val="6F75BB17"/>
    <w:rsid w:val="6F7D0098"/>
    <w:rsid w:val="6FBF8D8F"/>
    <w:rsid w:val="6FCF9866"/>
    <w:rsid w:val="6FDD6BFC"/>
    <w:rsid w:val="6FDFA035"/>
    <w:rsid w:val="6FF52F76"/>
    <w:rsid w:val="6FFDD9A5"/>
    <w:rsid w:val="6FFF0B70"/>
    <w:rsid w:val="71F33F0B"/>
    <w:rsid w:val="73577D8C"/>
    <w:rsid w:val="73F8844F"/>
    <w:rsid w:val="73FEF53F"/>
    <w:rsid w:val="74DEBB8B"/>
    <w:rsid w:val="74EFE397"/>
    <w:rsid w:val="755ABB90"/>
    <w:rsid w:val="757F2BD9"/>
    <w:rsid w:val="757F9695"/>
    <w:rsid w:val="75FFBE1C"/>
    <w:rsid w:val="769FD087"/>
    <w:rsid w:val="76F7792E"/>
    <w:rsid w:val="770F83CD"/>
    <w:rsid w:val="77BF985E"/>
    <w:rsid w:val="77EB0A30"/>
    <w:rsid w:val="77FD2DD1"/>
    <w:rsid w:val="77FFD227"/>
    <w:rsid w:val="77FFE042"/>
    <w:rsid w:val="786F6BBB"/>
    <w:rsid w:val="7955109C"/>
    <w:rsid w:val="79C33213"/>
    <w:rsid w:val="79F7D4A2"/>
    <w:rsid w:val="79FE0439"/>
    <w:rsid w:val="7AEC944A"/>
    <w:rsid w:val="7B1FA6F6"/>
    <w:rsid w:val="7B2AABAE"/>
    <w:rsid w:val="7B341286"/>
    <w:rsid w:val="7B56316B"/>
    <w:rsid w:val="7B6E1E1B"/>
    <w:rsid w:val="7BD72066"/>
    <w:rsid w:val="7BDDC4A3"/>
    <w:rsid w:val="7BF3C519"/>
    <w:rsid w:val="7BFFA358"/>
    <w:rsid w:val="7C7D4167"/>
    <w:rsid w:val="7CBDD19A"/>
    <w:rsid w:val="7CFCADF1"/>
    <w:rsid w:val="7CFF8BFD"/>
    <w:rsid w:val="7D397FB7"/>
    <w:rsid w:val="7D7377E8"/>
    <w:rsid w:val="7DBF6886"/>
    <w:rsid w:val="7DBFA8D5"/>
    <w:rsid w:val="7DDE0CEE"/>
    <w:rsid w:val="7DFC5C92"/>
    <w:rsid w:val="7DFFDAF8"/>
    <w:rsid w:val="7EB8A718"/>
    <w:rsid w:val="7EDC4E86"/>
    <w:rsid w:val="7EF2A455"/>
    <w:rsid w:val="7EF7AF70"/>
    <w:rsid w:val="7EFF3402"/>
    <w:rsid w:val="7F2BE7C6"/>
    <w:rsid w:val="7F3AB47F"/>
    <w:rsid w:val="7F3F12B6"/>
    <w:rsid w:val="7F57D7C8"/>
    <w:rsid w:val="7F5B6313"/>
    <w:rsid w:val="7F6D60C9"/>
    <w:rsid w:val="7F7EA3C0"/>
    <w:rsid w:val="7FA5CC08"/>
    <w:rsid w:val="7FAB911C"/>
    <w:rsid w:val="7FACE480"/>
    <w:rsid w:val="7FB11C79"/>
    <w:rsid w:val="7FBD1E61"/>
    <w:rsid w:val="7FBF1A1B"/>
    <w:rsid w:val="7FCE92E5"/>
    <w:rsid w:val="7FCF1F29"/>
    <w:rsid w:val="7FDD85A0"/>
    <w:rsid w:val="7FDD95D2"/>
    <w:rsid w:val="7FF3E1C0"/>
    <w:rsid w:val="7FF3F85B"/>
    <w:rsid w:val="7FF566CD"/>
    <w:rsid w:val="7FF75800"/>
    <w:rsid w:val="7FF7B62B"/>
    <w:rsid w:val="7FFAFB55"/>
    <w:rsid w:val="7FFB297B"/>
    <w:rsid w:val="7FFC5838"/>
    <w:rsid w:val="7FFD9899"/>
    <w:rsid w:val="7FFF633F"/>
    <w:rsid w:val="7FFF8903"/>
    <w:rsid w:val="7FFFAD8B"/>
    <w:rsid w:val="8EBF225C"/>
    <w:rsid w:val="8F5D59A4"/>
    <w:rsid w:val="8F5F6B2D"/>
    <w:rsid w:val="8FFB0B75"/>
    <w:rsid w:val="97BF2327"/>
    <w:rsid w:val="9B9C1F6C"/>
    <w:rsid w:val="9BDF3334"/>
    <w:rsid w:val="9C7EF351"/>
    <w:rsid w:val="9D7B2324"/>
    <w:rsid w:val="9F8F6FA3"/>
    <w:rsid w:val="9FCE4ACA"/>
    <w:rsid w:val="9FD4B984"/>
    <w:rsid w:val="9FFB9794"/>
    <w:rsid w:val="9FFFDB11"/>
    <w:rsid w:val="A5FE2FD1"/>
    <w:rsid w:val="A67C683F"/>
    <w:rsid w:val="ABBBED28"/>
    <w:rsid w:val="AD9F8C9A"/>
    <w:rsid w:val="ADEC83D2"/>
    <w:rsid w:val="ADFF10CC"/>
    <w:rsid w:val="AEFF80E1"/>
    <w:rsid w:val="AF7EFD40"/>
    <w:rsid w:val="AFEDA70A"/>
    <w:rsid w:val="AFFFE447"/>
    <w:rsid w:val="AFFFF3BB"/>
    <w:rsid w:val="B0F7249B"/>
    <w:rsid w:val="B2AB062D"/>
    <w:rsid w:val="B38ED6A9"/>
    <w:rsid w:val="B5C629E9"/>
    <w:rsid w:val="B5FFC808"/>
    <w:rsid w:val="B66DE0F3"/>
    <w:rsid w:val="B71F229D"/>
    <w:rsid w:val="B78EF67C"/>
    <w:rsid w:val="B7E93359"/>
    <w:rsid w:val="B7FC8FD4"/>
    <w:rsid w:val="B7FF31FE"/>
    <w:rsid w:val="BB6F226D"/>
    <w:rsid w:val="BEEB588E"/>
    <w:rsid w:val="BEFC921C"/>
    <w:rsid w:val="BEFF10AD"/>
    <w:rsid w:val="BF5E20FA"/>
    <w:rsid w:val="BFA33CA7"/>
    <w:rsid w:val="BFBDDB71"/>
    <w:rsid w:val="BFFDAF01"/>
    <w:rsid w:val="BFFF8EE6"/>
    <w:rsid w:val="BFFFACE1"/>
    <w:rsid w:val="BFFFCC8A"/>
    <w:rsid w:val="BFFFE75D"/>
    <w:rsid w:val="C7BBC6D6"/>
    <w:rsid w:val="C89ED9A7"/>
    <w:rsid w:val="CB26FCAB"/>
    <w:rsid w:val="CCDD36C3"/>
    <w:rsid w:val="CF7F0D62"/>
    <w:rsid w:val="D1F503FA"/>
    <w:rsid w:val="D3FF088E"/>
    <w:rsid w:val="D6EB119C"/>
    <w:rsid w:val="D77A959F"/>
    <w:rsid w:val="D97BE255"/>
    <w:rsid w:val="DACF21D7"/>
    <w:rsid w:val="DB5DBF45"/>
    <w:rsid w:val="DB7387A1"/>
    <w:rsid w:val="DBA799E2"/>
    <w:rsid w:val="DC7ABEE3"/>
    <w:rsid w:val="DC7F37B0"/>
    <w:rsid w:val="DC9E4C42"/>
    <w:rsid w:val="DD5FA653"/>
    <w:rsid w:val="DDC3496C"/>
    <w:rsid w:val="DDFB2394"/>
    <w:rsid w:val="DE77926B"/>
    <w:rsid w:val="DE7DE59B"/>
    <w:rsid w:val="DEE262E6"/>
    <w:rsid w:val="DF3F2014"/>
    <w:rsid w:val="DF9FAA1C"/>
    <w:rsid w:val="DFBBD75C"/>
    <w:rsid w:val="DFDD016C"/>
    <w:rsid w:val="DFDF029D"/>
    <w:rsid w:val="DFE61A72"/>
    <w:rsid w:val="DFF34AD3"/>
    <w:rsid w:val="DFFD31B0"/>
    <w:rsid w:val="DFFF47CA"/>
    <w:rsid w:val="DFFFAE61"/>
    <w:rsid w:val="E2DB5A87"/>
    <w:rsid w:val="E5FC02D1"/>
    <w:rsid w:val="E6BB69F9"/>
    <w:rsid w:val="E6EF37CC"/>
    <w:rsid w:val="E72F10DC"/>
    <w:rsid w:val="E778A862"/>
    <w:rsid w:val="E7DF50C1"/>
    <w:rsid w:val="E87B70A2"/>
    <w:rsid w:val="E8D76BCE"/>
    <w:rsid w:val="EBDECC2E"/>
    <w:rsid w:val="ECEAAF28"/>
    <w:rsid w:val="EDBFD3AA"/>
    <w:rsid w:val="EDFD232B"/>
    <w:rsid w:val="EDFE5F27"/>
    <w:rsid w:val="EDFFCF00"/>
    <w:rsid w:val="EE8AFE1C"/>
    <w:rsid w:val="EFADAA4C"/>
    <w:rsid w:val="EFD55489"/>
    <w:rsid w:val="EFE31411"/>
    <w:rsid w:val="EFEF0094"/>
    <w:rsid w:val="F1F395D8"/>
    <w:rsid w:val="F1FF3360"/>
    <w:rsid w:val="F2DEA05A"/>
    <w:rsid w:val="F2FF3A7A"/>
    <w:rsid w:val="F3794464"/>
    <w:rsid w:val="F3CF073D"/>
    <w:rsid w:val="F3FA869C"/>
    <w:rsid w:val="F4FF84A5"/>
    <w:rsid w:val="F5D77FD0"/>
    <w:rsid w:val="F5FE7683"/>
    <w:rsid w:val="F639FDF8"/>
    <w:rsid w:val="F7798D0D"/>
    <w:rsid w:val="F7BFF8A7"/>
    <w:rsid w:val="F7D76496"/>
    <w:rsid w:val="F7DB7B04"/>
    <w:rsid w:val="F7EDAF2A"/>
    <w:rsid w:val="F7F597CB"/>
    <w:rsid w:val="F7F715EE"/>
    <w:rsid w:val="F7FFD1F6"/>
    <w:rsid w:val="F8D04070"/>
    <w:rsid w:val="F8E8D507"/>
    <w:rsid w:val="F9841BE9"/>
    <w:rsid w:val="FA3D022F"/>
    <w:rsid w:val="FA7F6236"/>
    <w:rsid w:val="FABC5063"/>
    <w:rsid w:val="FB1FB846"/>
    <w:rsid w:val="FB770C10"/>
    <w:rsid w:val="FB9D71D8"/>
    <w:rsid w:val="FBA94DEF"/>
    <w:rsid w:val="FBDB2C9C"/>
    <w:rsid w:val="FBF758AD"/>
    <w:rsid w:val="FBF9AB6F"/>
    <w:rsid w:val="FBFC24EB"/>
    <w:rsid w:val="FBFF6260"/>
    <w:rsid w:val="FBFFB511"/>
    <w:rsid w:val="FBFFD543"/>
    <w:rsid w:val="FC6BECB3"/>
    <w:rsid w:val="FC798D9B"/>
    <w:rsid w:val="FCFF4F1C"/>
    <w:rsid w:val="FD3D36C1"/>
    <w:rsid w:val="FD59D062"/>
    <w:rsid w:val="FD5DE01D"/>
    <w:rsid w:val="FD7579DB"/>
    <w:rsid w:val="FD7AEB45"/>
    <w:rsid w:val="FDD5052B"/>
    <w:rsid w:val="FDE92824"/>
    <w:rsid w:val="FDED4FE7"/>
    <w:rsid w:val="FDEF0B21"/>
    <w:rsid w:val="FDF5B80F"/>
    <w:rsid w:val="FDFBE4BF"/>
    <w:rsid w:val="FDFD87BE"/>
    <w:rsid w:val="FDFF84B5"/>
    <w:rsid w:val="FDFFDA72"/>
    <w:rsid w:val="FE31A3AF"/>
    <w:rsid w:val="FE5D4482"/>
    <w:rsid w:val="FEB7EB15"/>
    <w:rsid w:val="FEDB0CBA"/>
    <w:rsid w:val="FEEFC20F"/>
    <w:rsid w:val="FEFB3EE1"/>
    <w:rsid w:val="FEFF92FD"/>
    <w:rsid w:val="FEFFF2F2"/>
    <w:rsid w:val="FF4F0527"/>
    <w:rsid w:val="FF5BCBA9"/>
    <w:rsid w:val="FF5FD35F"/>
    <w:rsid w:val="FF7C733A"/>
    <w:rsid w:val="FF9C3594"/>
    <w:rsid w:val="FFAF580F"/>
    <w:rsid w:val="FFBB58BA"/>
    <w:rsid w:val="FFCEDCEE"/>
    <w:rsid w:val="FFD7A69E"/>
    <w:rsid w:val="FFDD06B4"/>
    <w:rsid w:val="FFDE9A2D"/>
    <w:rsid w:val="FFECA782"/>
    <w:rsid w:val="FFED928B"/>
    <w:rsid w:val="FFEF5E18"/>
    <w:rsid w:val="FFF99E5D"/>
    <w:rsid w:val="FFFA308C"/>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 w:val="21"/>
      <w:szCs w:val="21"/>
    </w:rPr>
  </w:style>
  <w:style w:type="paragraph" w:styleId="3">
    <w:name w:val="Date"/>
    <w:basedOn w:val="1"/>
    <w:next w:val="1"/>
    <w:link w:val="15"/>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line="560" w:lineRule="exact"/>
    </w:pPr>
    <w:rPr>
      <w:rFonts w:eastAsia="宋体"/>
      <w:sz w:val="24"/>
    </w:rPr>
  </w:style>
  <w:style w:type="paragraph" w:styleId="7">
    <w:name w:val="Title"/>
    <w:basedOn w:val="1"/>
    <w:next w:val="1"/>
    <w:qFormat/>
    <w:uiPriority w:val="10"/>
    <w:pPr>
      <w:jc w:val="center"/>
      <w:outlineLvl w:val="0"/>
    </w:pPr>
    <w:rPr>
      <w:rFonts w:ascii="Arial" w:hAnsi="Arial"/>
      <w:b/>
      <w:sz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5"/>
    <w:semiHidden/>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纯文本 Char"/>
    <w:basedOn w:val="10"/>
    <w:link w:val="2"/>
    <w:qFormat/>
    <w:uiPriority w:val="0"/>
    <w:rPr>
      <w:rFonts w:ascii="宋体"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日期 Char"/>
    <w:basedOn w:val="10"/>
    <w:link w:val="3"/>
    <w:semiHidden/>
    <w:qFormat/>
    <w:uiPriority w:val="99"/>
    <w:rPr>
      <w:rFonts w:ascii="Times New Roman" w:hAnsi="Times New Roman" w:eastAsia="仿宋_GB2312" w:cs="Times New Roman"/>
      <w:sz w:val="30"/>
      <w:szCs w:val="24"/>
    </w:rPr>
  </w:style>
  <w:style w:type="character" w:customStyle="1" w:styleId="1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4003</Words>
  <Characters>4720</Characters>
  <Lines>38</Lines>
  <Paragraphs>10</Paragraphs>
  <TotalTime>64</TotalTime>
  <ScaleCrop>false</ScaleCrop>
  <LinksUpToDate>false</LinksUpToDate>
  <CharactersWithSpaces>4803</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2021-11-10T18:40:00Z</dcterms:created>
  <dc:creator>牟伶俐</dc:creator>
  <cp:lastModifiedBy>马钰杰</cp:lastModifiedBy>
  <cp:lastPrinted>2023-09-21T10:04:00Z</cp:lastPrinted>
  <dcterms:modified xsi:type="dcterms:W3CDTF">2023-09-25T02:37:55Z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47BB76FA37244270AEEE1B5355229B5D</vt:lpwstr>
  </property>
</Properties>
</file>