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90" w:lineRule="exact"/>
        <w:jc w:val="center"/>
        <w:textAlignment w:val="auto"/>
        <w:rPr>
          <w:rFonts w:hint="default" w:ascii="Times New Roman" w:hAnsi="Times New Roman" w:eastAsia="方正小标宋_GBK" w:cs="Times New Roman"/>
          <w:color w:val="auto"/>
          <w:sz w:val="44"/>
          <w:szCs w:val="44"/>
          <w:highlight w:val="none"/>
        </w:rPr>
      </w:pPr>
    </w:p>
    <w:p>
      <w:pPr>
        <w:pStyle w:val="2"/>
        <w:rPr>
          <w:rFonts w:hint="default"/>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highlight w:val="none"/>
        </w:rPr>
      </w:pPr>
      <w:r>
        <w:rPr>
          <w:rFonts w:hint="eastAsia" w:eastAsia="方正小标宋简体" w:cs="Times New Roman"/>
          <w:color w:val="auto"/>
          <w:kern w:val="0"/>
          <w:sz w:val="44"/>
          <w:szCs w:val="44"/>
          <w:lang w:eastAsia="zh-CN"/>
        </w:rPr>
        <w:t>2025年</w:t>
      </w:r>
      <w:r>
        <w:rPr>
          <w:rFonts w:hint="default" w:ascii="Times New Roman" w:hAnsi="Times New Roman" w:eastAsia="方正小标宋简体" w:cs="Times New Roman"/>
          <w:color w:val="auto"/>
          <w:kern w:val="0"/>
          <w:sz w:val="44"/>
          <w:szCs w:val="44"/>
        </w:rPr>
        <w:t>四川省政府</w:t>
      </w:r>
      <w:r>
        <w:rPr>
          <w:rFonts w:hint="default" w:ascii="Times New Roman" w:hAnsi="Times New Roman" w:eastAsia="方正小标宋简体" w:cs="Times New Roman"/>
          <w:color w:val="auto"/>
          <w:kern w:val="0"/>
          <w:sz w:val="44"/>
          <w:szCs w:val="44"/>
          <w:lang w:eastAsia="zh-CN"/>
        </w:rPr>
        <w:t>再融资</w:t>
      </w:r>
      <w:r>
        <w:rPr>
          <w:rFonts w:hint="eastAsia" w:eastAsia="方正小标宋简体" w:cs="Times New Roman"/>
          <w:color w:val="auto"/>
          <w:kern w:val="0"/>
          <w:sz w:val="44"/>
          <w:szCs w:val="44"/>
          <w:lang w:eastAsia="zh-CN"/>
        </w:rPr>
        <w:t>一般债券（一期）及再融资</w:t>
      </w:r>
      <w:r>
        <w:rPr>
          <w:rFonts w:hint="default" w:ascii="Times New Roman" w:hAnsi="Times New Roman" w:eastAsia="方正小标宋简体" w:cs="Times New Roman"/>
          <w:color w:val="auto"/>
          <w:kern w:val="0"/>
          <w:sz w:val="44"/>
          <w:szCs w:val="44"/>
          <w:lang w:eastAsia="zh-CN"/>
        </w:rPr>
        <w:t>专项债券（</w:t>
      </w:r>
      <w:r>
        <w:rPr>
          <w:rFonts w:hint="eastAsia" w:eastAsia="方正小标宋简体" w:cs="Times New Roman"/>
          <w:color w:val="auto"/>
          <w:kern w:val="0"/>
          <w:sz w:val="44"/>
          <w:szCs w:val="44"/>
          <w:lang w:eastAsia="zh-CN"/>
        </w:rPr>
        <w:t>一</w:t>
      </w:r>
      <w:r>
        <w:rPr>
          <w:rFonts w:hint="default" w:ascii="Times New Roman" w:hAnsi="Times New Roman" w:eastAsia="方正小标宋简体" w:cs="Times New Roman"/>
          <w:color w:val="auto"/>
          <w:kern w:val="0"/>
          <w:sz w:val="44"/>
          <w:szCs w:val="44"/>
          <w:lang w:eastAsia="zh-CN"/>
        </w:rPr>
        <w:t>期）</w:t>
      </w:r>
      <w:r>
        <w:rPr>
          <w:rFonts w:hint="default" w:ascii="Times New Roman" w:hAnsi="Times New Roman" w:eastAsia="方正小标宋简体" w:cs="Times New Roman"/>
          <w:color w:val="auto"/>
          <w:sz w:val="44"/>
          <w:szCs w:val="44"/>
          <w:highlight w:val="none"/>
        </w:rPr>
        <w:t>信息披露文件</w:t>
      </w:r>
    </w:p>
    <w:p>
      <w:pPr>
        <w:keepNext w:val="0"/>
        <w:keepLines w:val="0"/>
        <w:pageBreakBefore w:val="0"/>
        <w:widowControl w:val="0"/>
        <w:kinsoku/>
        <w:wordWrap/>
        <w:overflowPunct/>
        <w:topLinePunct w:val="0"/>
        <w:autoSpaceDE/>
        <w:autoSpaceDN/>
        <w:bidi w:val="0"/>
        <w:adjustRightInd/>
        <w:snapToGrid w:val="0"/>
        <w:spacing w:line="580" w:lineRule="exact"/>
        <w:ind w:firstLine="576" w:firstLineChars="192"/>
        <w:textAlignment w:val="auto"/>
        <w:outlineLvl w:val="0"/>
        <w:rPr>
          <w:rFonts w:hint="default" w:ascii="Times New Roman" w:hAnsi="Times New Roman" w:eastAsia="仿宋_GB2312"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80" w:lineRule="exact"/>
        <w:ind w:firstLine="614" w:firstLineChars="192"/>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一、债券概况</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16"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（一）基本情况</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2025年</w:t>
      </w:r>
      <w:r>
        <w:rPr>
          <w:rFonts w:hint="default" w:ascii="Times New Roman" w:hAnsi="Times New Roman" w:eastAsia="仿宋_GB2312" w:cs="Times New Roman"/>
          <w:color w:val="auto"/>
          <w:sz w:val="32"/>
          <w:szCs w:val="32"/>
          <w:highlight w:val="none"/>
          <w:lang w:val="en-US" w:eastAsia="zh-CN"/>
        </w:rPr>
        <w:t>四川省政府再融资</w:t>
      </w:r>
      <w:r>
        <w:rPr>
          <w:rFonts w:hint="eastAsia" w:ascii="Times New Roman" w:hAnsi="Times New Roman" w:eastAsia="仿宋_GB2312" w:cs="Times New Roman"/>
          <w:color w:val="auto"/>
          <w:sz w:val="32"/>
          <w:szCs w:val="32"/>
          <w:highlight w:val="none"/>
          <w:lang w:val="en-US" w:eastAsia="zh-CN"/>
        </w:rPr>
        <w:t>一般债券（一期）及再融资</w:t>
      </w:r>
      <w:r>
        <w:rPr>
          <w:rFonts w:hint="default" w:ascii="Times New Roman" w:hAnsi="Times New Roman" w:eastAsia="仿宋_GB2312" w:cs="Times New Roman"/>
          <w:color w:val="auto"/>
          <w:sz w:val="32"/>
          <w:szCs w:val="32"/>
          <w:highlight w:val="none"/>
          <w:lang w:val="en-US" w:eastAsia="zh-CN"/>
        </w:rPr>
        <w:t>专项债券（</w:t>
      </w:r>
      <w:r>
        <w:rPr>
          <w:rFonts w:hint="eastAsia"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lang w:val="en-US" w:eastAsia="zh-CN"/>
        </w:rPr>
        <w:t>期）</w:t>
      </w:r>
      <w:r>
        <w:rPr>
          <w:rFonts w:hint="default" w:ascii="Times New Roman" w:hAnsi="Times New Roman" w:eastAsia="仿宋_GB2312" w:cs="Times New Roman"/>
          <w:color w:val="auto"/>
          <w:sz w:val="32"/>
          <w:szCs w:val="32"/>
          <w:highlight w:val="none"/>
        </w:rPr>
        <w:t>发行总额</w:t>
      </w:r>
      <w:r>
        <w:rPr>
          <w:rFonts w:hint="eastAsia" w:ascii="Times New Roman" w:hAnsi="Times New Roman" w:eastAsia="仿宋_GB2312" w:cs="Times New Roman"/>
          <w:color w:val="auto"/>
          <w:sz w:val="32"/>
          <w:szCs w:val="32"/>
          <w:highlight w:val="none"/>
          <w:lang w:val="en-US" w:eastAsia="zh-CN"/>
        </w:rPr>
        <w:t>65.097</w:t>
      </w:r>
      <w:r>
        <w:rPr>
          <w:rFonts w:hint="default" w:ascii="Times New Roman" w:hAnsi="Times New Roman" w:eastAsia="仿宋_GB2312" w:cs="Times New Roman"/>
          <w:color w:val="auto"/>
          <w:sz w:val="32"/>
          <w:szCs w:val="32"/>
          <w:highlight w:val="none"/>
        </w:rPr>
        <w:t>亿元</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全部</w:t>
      </w:r>
      <w:r>
        <w:rPr>
          <w:rFonts w:hint="default" w:ascii="Times New Roman" w:hAnsi="Times New Roman" w:eastAsia="仿宋_GB2312" w:cs="Times New Roman"/>
          <w:color w:val="auto"/>
          <w:sz w:val="32"/>
          <w:szCs w:val="32"/>
        </w:rPr>
        <w:t>为</w:t>
      </w:r>
      <w:r>
        <w:rPr>
          <w:rFonts w:hint="default" w:ascii="Times New Roman" w:hAnsi="Times New Roman" w:eastAsia="仿宋_GB2312" w:cs="Times New Roman"/>
          <w:color w:val="auto"/>
          <w:sz w:val="32"/>
          <w:szCs w:val="32"/>
          <w:lang w:eastAsia="zh-CN"/>
        </w:rPr>
        <w:t>再融资</w:t>
      </w:r>
      <w:r>
        <w:rPr>
          <w:rFonts w:hint="default" w:ascii="Times New Roman" w:hAnsi="Times New Roman" w:eastAsia="仿宋_GB2312" w:cs="Times New Roman"/>
          <w:color w:val="auto"/>
          <w:sz w:val="32"/>
          <w:szCs w:val="32"/>
        </w:rPr>
        <w:t>债券</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期限</w:t>
      </w:r>
      <w:r>
        <w:rPr>
          <w:rFonts w:hint="eastAsia" w:ascii="Times New Roman" w:hAnsi="Times New Roman" w:eastAsia="仿宋_GB2312" w:cs="Times New Roman"/>
          <w:color w:val="auto"/>
          <w:sz w:val="32"/>
          <w:szCs w:val="32"/>
          <w:lang w:eastAsia="zh-CN"/>
        </w:rPr>
        <w:t>为</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年期</w:t>
      </w:r>
      <w:r>
        <w:rPr>
          <w:rFonts w:hint="default" w:ascii="Times New Roman" w:hAnsi="Times New Roman" w:eastAsia="仿宋_GB2312" w:cs="Times New Roman"/>
          <w:color w:val="auto"/>
          <w:sz w:val="32"/>
          <w:szCs w:val="32"/>
          <w:lang w:eastAsia="zh-CN"/>
        </w:rPr>
        <w:t>债券利息按年支付</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highlight w:val="none"/>
        </w:rPr>
        <w:t>债券发行后可按规定在全国银行间债券市场和证券交易所债券市场上市流通。各期债券具体情况详见《四川省财政厅关于发行</w:t>
      </w:r>
      <w:r>
        <w:rPr>
          <w:rFonts w:hint="eastAsia" w:ascii="Times New Roman" w:hAnsi="Times New Roman" w:eastAsia="仿宋_GB2312" w:cs="Times New Roman"/>
          <w:color w:val="auto"/>
          <w:sz w:val="32"/>
          <w:szCs w:val="32"/>
          <w:highlight w:val="none"/>
          <w:lang w:eastAsia="zh-CN"/>
        </w:rPr>
        <w:t>2025年</w:t>
      </w:r>
      <w:r>
        <w:rPr>
          <w:rFonts w:hint="default" w:ascii="Times New Roman" w:hAnsi="Times New Roman" w:eastAsia="仿宋_GB2312" w:cs="Times New Roman"/>
          <w:color w:val="auto"/>
          <w:sz w:val="32"/>
          <w:szCs w:val="32"/>
          <w:highlight w:val="none"/>
          <w:lang w:eastAsia="zh-CN"/>
        </w:rPr>
        <w:t>四川省政府再融资</w:t>
      </w:r>
      <w:r>
        <w:rPr>
          <w:rFonts w:hint="eastAsia" w:ascii="Times New Roman" w:hAnsi="Times New Roman" w:eastAsia="仿宋_GB2312" w:cs="Times New Roman"/>
          <w:color w:val="auto"/>
          <w:sz w:val="32"/>
          <w:szCs w:val="32"/>
          <w:highlight w:val="none"/>
          <w:lang w:eastAsia="zh-CN"/>
        </w:rPr>
        <w:t>一般债券</w:t>
      </w:r>
      <w:r>
        <w:rPr>
          <w:rFonts w:hint="default" w:ascii="Times New Roman" w:hAnsi="Times New Roman" w:eastAsia="仿宋_GB2312" w:cs="Times New Roman"/>
          <w:color w:val="auto"/>
          <w:sz w:val="32"/>
          <w:szCs w:val="32"/>
          <w:highlight w:val="none"/>
          <w:lang w:val="en" w:eastAsia="zh-CN"/>
        </w:rPr>
        <w:t>(</w:t>
      </w:r>
      <w:r>
        <w:rPr>
          <w:rFonts w:hint="eastAsia" w:ascii="Times New Roman" w:hAnsi="Times New Roman" w:eastAsia="仿宋_GB2312" w:cs="Times New Roman"/>
          <w:color w:val="auto"/>
          <w:sz w:val="32"/>
          <w:szCs w:val="32"/>
          <w:highlight w:val="none"/>
          <w:lang w:val="en" w:eastAsia="zh-CN"/>
        </w:rPr>
        <w:t>一期）及再融资</w:t>
      </w:r>
      <w:r>
        <w:rPr>
          <w:rFonts w:hint="default" w:ascii="Times New Roman" w:hAnsi="Times New Roman" w:eastAsia="仿宋_GB2312" w:cs="Times New Roman"/>
          <w:color w:val="auto"/>
          <w:sz w:val="32"/>
          <w:szCs w:val="32"/>
          <w:highlight w:val="none"/>
          <w:lang w:eastAsia="zh-CN"/>
        </w:rPr>
        <w:t>专项债券（</w:t>
      </w:r>
      <w:r>
        <w:rPr>
          <w:rFonts w:hint="eastAsia"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lang w:eastAsia="zh-CN"/>
        </w:rPr>
        <w:t>期）</w:t>
      </w:r>
      <w:r>
        <w:rPr>
          <w:rFonts w:hint="default" w:ascii="Times New Roman" w:hAnsi="Times New Roman" w:eastAsia="仿宋_GB2312" w:cs="Times New Roman"/>
          <w:color w:val="auto"/>
          <w:sz w:val="32"/>
          <w:szCs w:val="32"/>
          <w:highlight w:val="none"/>
        </w:rPr>
        <w:t>有关事项的通知》。</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16"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（二）发行方式</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2025年</w:t>
      </w:r>
      <w:r>
        <w:rPr>
          <w:rFonts w:hint="default" w:ascii="Times New Roman" w:hAnsi="Times New Roman" w:eastAsia="仿宋_GB2312" w:cs="Times New Roman"/>
          <w:color w:val="auto"/>
          <w:sz w:val="32"/>
          <w:szCs w:val="32"/>
          <w:highlight w:val="none"/>
          <w:lang w:eastAsia="zh-CN"/>
        </w:rPr>
        <w:t>四川省政府再融资</w:t>
      </w:r>
      <w:r>
        <w:rPr>
          <w:rFonts w:hint="eastAsia" w:ascii="Times New Roman" w:hAnsi="Times New Roman" w:eastAsia="仿宋_GB2312" w:cs="Times New Roman"/>
          <w:color w:val="auto"/>
          <w:sz w:val="32"/>
          <w:szCs w:val="32"/>
          <w:highlight w:val="none"/>
          <w:lang w:eastAsia="zh-CN"/>
        </w:rPr>
        <w:t>一般债券</w:t>
      </w:r>
      <w:r>
        <w:rPr>
          <w:rFonts w:hint="default" w:ascii="Times New Roman" w:hAnsi="Times New Roman" w:eastAsia="仿宋_GB2312" w:cs="Times New Roman"/>
          <w:color w:val="auto"/>
          <w:sz w:val="32"/>
          <w:szCs w:val="32"/>
          <w:highlight w:val="none"/>
          <w:lang w:val="en" w:eastAsia="zh-CN"/>
        </w:rPr>
        <w:t>(</w:t>
      </w:r>
      <w:r>
        <w:rPr>
          <w:rFonts w:hint="eastAsia" w:ascii="Times New Roman" w:hAnsi="Times New Roman" w:eastAsia="仿宋_GB2312" w:cs="Times New Roman"/>
          <w:color w:val="auto"/>
          <w:sz w:val="32"/>
          <w:szCs w:val="32"/>
          <w:highlight w:val="none"/>
          <w:lang w:val="en" w:eastAsia="zh-CN"/>
        </w:rPr>
        <w:t>一期）及再融资</w:t>
      </w:r>
      <w:r>
        <w:rPr>
          <w:rFonts w:hint="default" w:ascii="Times New Roman" w:hAnsi="Times New Roman" w:eastAsia="仿宋_GB2312" w:cs="Times New Roman"/>
          <w:color w:val="auto"/>
          <w:sz w:val="32"/>
          <w:szCs w:val="32"/>
          <w:highlight w:val="none"/>
          <w:lang w:eastAsia="zh-CN"/>
        </w:rPr>
        <w:t>专项债券（</w:t>
      </w:r>
      <w:r>
        <w:rPr>
          <w:rFonts w:hint="eastAsia"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lang w:eastAsia="zh-CN"/>
        </w:rPr>
        <w:t>期）</w:t>
      </w:r>
      <w:r>
        <w:rPr>
          <w:rFonts w:hint="default" w:ascii="Times New Roman" w:hAnsi="Times New Roman" w:eastAsia="仿宋_GB2312" w:cs="Times New Roman"/>
          <w:color w:val="auto"/>
          <w:sz w:val="32"/>
          <w:szCs w:val="32"/>
          <w:highlight w:val="none"/>
        </w:rPr>
        <w:t>通过招标方式发行。</w:t>
      </w:r>
      <w:r>
        <w:rPr>
          <w:rFonts w:hint="default" w:ascii="Times New Roman" w:hAnsi="Times New Roman" w:eastAsia="仿宋_GB2312" w:cs="Times New Roman"/>
          <w:sz w:val="32"/>
          <w:szCs w:val="32"/>
          <w:highlight w:val="none"/>
        </w:rPr>
        <w:t>四川省财政厅于招标日通过财政部政府债券发行系统组织招投标工作，</w:t>
      </w:r>
      <w:r>
        <w:rPr>
          <w:rFonts w:hint="default" w:ascii="Times New Roman" w:hAnsi="Times New Roman" w:eastAsia="仿宋_GB2312" w:cs="Times New Roman"/>
          <w:color w:val="auto"/>
          <w:sz w:val="32"/>
          <w:szCs w:val="32"/>
          <w:highlight w:val="none"/>
        </w:rPr>
        <w:t>参与机构为</w:t>
      </w:r>
      <w:r>
        <w:rPr>
          <w:rFonts w:hint="eastAsia" w:ascii="Times New Roman" w:hAnsi="Times New Roman" w:eastAsia="仿宋_GB2312" w:cs="Times New Roman"/>
          <w:color w:val="auto"/>
          <w:sz w:val="32"/>
          <w:szCs w:val="32"/>
          <w:highlight w:val="none"/>
          <w:lang w:val="en-US" w:eastAsia="zh-CN"/>
        </w:rPr>
        <w:t>2025年</w:t>
      </w:r>
      <w:r>
        <w:rPr>
          <w:rFonts w:hint="default" w:ascii="Times New Roman" w:hAnsi="Times New Roman" w:eastAsia="仿宋_GB2312" w:cs="Times New Roman"/>
          <w:color w:val="auto"/>
          <w:sz w:val="32"/>
          <w:szCs w:val="32"/>
          <w:highlight w:val="none"/>
        </w:rPr>
        <w:t>四川省政府债券承销团成员。招标发行具体安排详见四川省财政厅《关于印发〈四川省政府债券公开招标发行与兑付管理办法〉的通知》《关于印发〈四川省政府债券招标发行规则〉的通知》《关于发行</w:t>
      </w:r>
      <w:r>
        <w:rPr>
          <w:rFonts w:hint="eastAsia" w:ascii="Times New Roman" w:hAnsi="Times New Roman" w:eastAsia="仿宋_GB2312" w:cs="Times New Roman"/>
          <w:color w:val="auto"/>
          <w:sz w:val="32"/>
          <w:szCs w:val="32"/>
          <w:highlight w:val="none"/>
          <w:lang w:eastAsia="zh-CN"/>
        </w:rPr>
        <w:t>2025年</w:t>
      </w:r>
      <w:r>
        <w:rPr>
          <w:rFonts w:hint="default" w:ascii="Times New Roman" w:hAnsi="Times New Roman" w:eastAsia="仿宋_GB2312" w:cs="Times New Roman"/>
          <w:color w:val="auto"/>
          <w:sz w:val="32"/>
          <w:szCs w:val="32"/>
          <w:highlight w:val="none"/>
          <w:lang w:eastAsia="zh-CN"/>
        </w:rPr>
        <w:t>四川省政府再融资</w:t>
      </w:r>
      <w:r>
        <w:rPr>
          <w:rFonts w:hint="eastAsia" w:ascii="Times New Roman" w:hAnsi="Times New Roman" w:eastAsia="仿宋_GB2312" w:cs="Times New Roman"/>
          <w:color w:val="auto"/>
          <w:sz w:val="32"/>
          <w:szCs w:val="32"/>
          <w:highlight w:val="none"/>
          <w:lang w:eastAsia="zh-CN"/>
        </w:rPr>
        <w:t>一般债券（一期）及再融资</w:t>
      </w:r>
      <w:r>
        <w:rPr>
          <w:rFonts w:hint="default" w:ascii="Times New Roman" w:hAnsi="Times New Roman" w:eastAsia="仿宋_GB2312" w:cs="Times New Roman"/>
          <w:color w:val="auto"/>
          <w:sz w:val="32"/>
          <w:szCs w:val="32"/>
          <w:highlight w:val="none"/>
          <w:lang w:eastAsia="zh-CN"/>
        </w:rPr>
        <w:t>专项债券（</w:t>
      </w:r>
      <w:r>
        <w:rPr>
          <w:rFonts w:hint="eastAsia"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lang w:eastAsia="zh-CN"/>
        </w:rPr>
        <w:t>期）</w:t>
      </w:r>
      <w:r>
        <w:rPr>
          <w:rFonts w:hint="default" w:ascii="Times New Roman" w:hAnsi="Times New Roman" w:eastAsia="仿宋_GB2312" w:cs="Times New Roman"/>
          <w:color w:val="auto"/>
          <w:sz w:val="32"/>
          <w:szCs w:val="32"/>
          <w:highlight w:val="none"/>
        </w:rPr>
        <w:t>有关事项的通知》等。</w:t>
      </w:r>
    </w:p>
    <w:p>
      <w:pPr>
        <w:pStyle w:val="4"/>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firstLine="616"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募集资金投向说明</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80" w:lineRule="exact"/>
        <w:textAlignment w:val="auto"/>
        <w:rPr>
          <w:rFonts w:hint="default" w:ascii="Times New Roman" w:hAnsi="Times New Roman" w:eastAsia="楷体_GB2312" w:cs="Times New Roman"/>
          <w:b/>
          <w:bCs/>
          <w:color w:val="auto"/>
          <w:sz w:val="32"/>
          <w:szCs w:val="32"/>
          <w:highlight w:val="none"/>
          <w:lang w:val="en-US" w:eastAsia="zh-CN"/>
        </w:rPr>
      </w:pPr>
      <w:r>
        <w:rPr>
          <w:rFonts w:hint="eastAsia" w:ascii="Times New Roman" w:hAnsi="Times New Roman" w:eastAsia="楷体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按照财政部要求</w:t>
      </w:r>
      <w:r>
        <w:rPr>
          <w:rFonts w:hint="default" w:ascii="Times New Roman" w:hAnsi="Times New Roman" w:eastAsia="仿宋_GB2312" w:cs="Times New Roman"/>
          <w:color w:val="auto"/>
          <w:sz w:val="32"/>
          <w:szCs w:val="32"/>
          <w:highlight w:val="none"/>
          <w:lang w:eastAsia="zh-CN"/>
        </w:rPr>
        <w:t>，一般债券纳入一般公共预算管理，</w:t>
      </w:r>
      <w:r>
        <w:rPr>
          <w:rFonts w:hint="default" w:ascii="Times New Roman" w:hAnsi="Times New Roman" w:eastAsia="仿宋_GB2312" w:cs="Times New Roman"/>
          <w:color w:val="auto"/>
          <w:sz w:val="32"/>
          <w:szCs w:val="32"/>
          <w:highlight w:val="none"/>
        </w:rPr>
        <w:t>专项债券纳入政府性基金预算管理</w:t>
      </w:r>
      <w:r>
        <w:rPr>
          <w:rFonts w:hint="default" w:ascii="Times New Roman" w:hAnsi="Times New Roman" w:eastAsia="仿宋_GB2312" w:cs="Times New Roman"/>
          <w:color w:val="auto"/>
          <w:sz w:val="32"/>
          <w:szCs w:val="32"/>
          <w:highlight w:val="none"/>
          <w:lang w:val="en-US" w:eastAsia="zh-CN"/>
        </w:rPr>
        <w:t>。本批债券</w:t>
      </w:r>
      <w:r>
        <w:rPr>
          <w:rFonts w:hint="default" w:ascii="Times New Roman" w:hAnsi="Times New Roman" w:eastAsia="仿宋_GB2312" w:cs="Times New Roman"/>
          <w:color w:val="auto"/>
          <w:sz w:val="32"/>
          <w:szCs w:val="32"/>
          <w:highlight w:val="none"/>
          <w:lang w:eastAsia="zh-CN"/>
        </w:rPr>
        <w:t>募集资金全部用于偿还到期政府债券</w:t>
      </w:r>
      <w:r>
        <w:rPr>
          <w:rFonts w:hint="default" w:ascii="Times New Roman" w:hAnsi="Times New Roman" w:eastAsia="仿宋_GB2312" w:cs="Times New Roman"/>
          <w:color w:val="auto"/>
          <w:sz w:val="32"/>
          <w:szCs w:val="32"/>
          <w:highlight w:val="none"/>
          <w:lang w:val="en-US" w:eastAsia="zh-CN"/>
        </w:rPr>
        <w:t>本金，到期债券具体情况如下：</w:t>
      </w:r>
    </w:p>
    <w:tbl>
      <w:tblPr>
        <w:tblStyle w:val="12"/>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9"/>
        <w:gridCol w:w="1259"/>
        <w:gridCol w:w="1061"/>
        <w:gridCol w:w="877"/>
        <w:gridCol w:w="900"/>
        <w:gridCol w:w="1057"/>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29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6"/>
                <w:szCs w:val="16"/>
                <w:highlight w:val="none"/>
                <w:u w:val="none"/>
                <w:lang w:val="en-US" w:eastAsia="zh-CN" w:bidi="ar"/>
              </w:rPr>
            </w:pPr>
            <w:r>
              <w:rPr>
                <w:rFonts w:hint="default" w:ascii="Times New Roman" w:hAnsi="Times New Roman" w:eastAsia="宋体" w:cs="Times New Roman"/>
                <w:i w:val="0"/>
                <w:color w:val="auto"/>
                <w:kern w:val="0"/>
                <w:sz w:val="16"/>
                <w:szCs w:val="16"/>
                <w:highlight w:val="none"/>
                <w:u w:val="none"/>
                <w:lang w:val="en-US" w:eastAsia="zh-CN" w:bidi="ar"/>
              </w:rPr>
              <w:t>债券名称</w:t>
            </w:r>
          </w:p>
        </w:tc>
        <w:tc>
          <w:tcPr>
            <w:tcW w:w="125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6"/>
                <w:szCs w:val="16"/>
                <w:highlight w:val="none"/>
                <w:u w:val="none"/>
                <w:lang w:val="en-US" w:eastAsia="zh-CN" w:bidi="ar"/>
              </w:rPr>
            </w:pPr>
            <w:r>
              <w:rPr>
                <w:rFonts w:hint="default" w:ascii="Times New Roman" w:hAnsi="Times New Roman" w:eastAsia="宋体" w:cs="Times New Roman"/>
                <w:i w:val="0"/>
                <w:color w:val="auto"/>
                <w:kern w:val="0"/>
                <w:sz w:val="16"/>
                <w:szCs w:val="16"/>
                <w:highlight w:val="none"/>
                <w:u w:val="none"/>
                <w:lang w:val="en-US" w:eastAsia="zh-CN" w:bidi="ar"/>
              </w:rPr>
              <w:t>债券代码</w:t>
            </w:r>
          </w:p>
        </w:tc>
        <w:tc>
          <w:tcPr>
            <w:tcW w:w="106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6"/>
                <w:szCs w:val="16"/>
                <w:highlight w:val="none"/>
                <w:u w:val="none"/>
                <w:lang w:val="en-US" w:eastAsia="zh-CN" w:bidi="ar"/>
              </w:rPr>
            </w:pPr>
            <w:r>
              <w:rPr>
                <w:rFonts w:hint="default" w:ascii="Times New Roman" w:hAnsi="Times New Roman" w:eastAsia="宋体" w:cs="Times New Roman"/>
                <w:i w:val="0"/>
                <w:color w:val="auto"/>
                <w:kern w:val="0"/>
                <w:sz w:val="16"/>
                <w:szCs w:val="16"/>
                <w:highlight w:val="none"/>
                <w:u w:val="none"/>
                <w:lang w:val="en-US" w:eastAsia="zh-CN" w:bidi="ar"/>
              </w:rPr>
              <w:t>债券简称</w:t>
            </w:r>
          </w:p>
        </w:tc>
        <w:tc>
          <w:tcPr>
            <w:tcW w:w="8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6"/>
                <w:szCs w:val="16"/>
                <w:highlight w:val="none"/>
                <w:u w:val="none"/>
                <w:lang w:val="en-US" w:eastAsia="zh-CN" w:bidi="ar"/>
              </w:rPr>
            </w:pPr>
            <w:r>
              <w:rPr>
                <w:rFonts w:hint="default" w:ascii="Times New Roman" w:hAnsi="Times New Roman" w:eastAsia="宋体" w:cs="Times New Roman"/>
                <w:i w:val="0"/>
                <w:color w:val="auto"/>
                <w:kern w:val="0"/>
                <w:sz w:val="16"/>
                <w:szCs w:val="16"/>
                <w:highlight w:val="none"/>
                <w:u w:val="none"/>
                <w:lang w:val="en-US" w:eastAsia="zh-CN" w:bidi="ar"/>
              </w:rPr>
              <w:t>发行规模（亿元）</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6"/>
                <w:szCs w:val="16"/>
                <w:highlight w:val="none"/>
                <w:u w:val="none"/>
                <w:lang w:val="en-US" w:eastAsia="zh-CN" w:bidi="ar"/>
              </w:rPr>
            </w:pPr>
            <w:r>
              <w:rPr>
                <w:rFonts w:hint="default" w:ascii="Times New Roman" w:hAnsi="Times New Roman" w:eastAsia="宋体" w:cs="Times New Roman"/>
                <w:i w:val="0"/>
                <w:color w:val="auto"/>
                <w:kern w:val="0"/>
                <w:sz w:val="16"/>
                <w:szCs w:val="16"/>
                <w:highlight w:val="none"/>
                <w:u w:val="none"/>
                <w:lang w:val="en-US" w:eastAsia="zh-CN" w:bidi="ar"/>
              </w:rPr>
              <w:t>票面利率（%）</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6"/>
                <w:szCs w:val="16"/>
                <w:highlight w:val="none"/>
                <w:u w:val="none"/>
                <w:lang w:val="en-US" w:eastAsia="zh-CN" w:bidi="ar"/>
              </w:rPr>
            </w:pPr>
            <w:r>
              <w:rPr>
                <w:rFonts w:hint="default" w:ascii="Times New Roman" w:hAnsi="Times New Roman" w:eastAsia="宋体" w:cs="Times New Roman"/>
                <w:i w:val="0"/>
                <w:color w:val="auto"/>
                <w:kern w:val="0"/>
                <w:sz w:val="16"/>
                <w:szCs w:val="16"/>
                <w:highlight w:val="none"/>
                <w:u w:val="none"/>
                <w:lang w:val="en-US" w:eastAsia="zh-CN" w:bidi="ar"/>
              </w:rPr>
              <w:t>还本</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6"/>
                <w:szCs w:val="16"/>
                <w:highlight w:val="none"/>
                <w:u w:val="none"/>
                <w:lang w:val="en-US" w:eastAsia="zh-CN" w:bidi="ar"/>
              </w:rPr>
            </w:pPr>
            <w:r>
              <w:rPr>
                <w:rFonts w:hint="default" w:ascii="Times New Roman" w:hAnsi="Times New Roman" w:eastAsia="宋体" w:cs="Times New Roman"/>
                <w:i w:val="0"/>
                <w:color w:val="auto"/>
                <w:kern w:val="0"/>
                <w:sz w:val="16"/>
                <w:szCs w:val="16"/>
                <w:highlight w:val="none"/>
                <w:u w:val="none"/>
                <w:lang w:val="en-US" w:eastAsia="zh-CN" w:bidi="ar"/>
              </w:rPr>
              <w:t>付息日</w:t>
            </w:r>
          </w:p>
        </w:tc>
        <w:tc>
          <w:tcPr>
            <w:tcW w:w="10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6"/>
                <w:szCs w:val="16"/>
                <w:highlight w:val="none"/>
                <w:u w:val="none"/>
                <w:lang w:val="en-US" w:eastAsia="zh-CN" w:bidi="ar"/>
              </w:rPr>
            </w:pPr>
            <w:r>
              <w:rPr>
                <w:rFonts w:hint="default" w:ascii="Times New Roman" w:hAnsi="Times New Roman" w:eastAsia="宋体" w:cs="Times New Roman"/>
                <w:i w:val="0"/>
                <w:color w:val="auto"/>
                <w:kern w:val="0"/>
                <w:sz w:val="16"/>
                <w:szCs w:val="16"/>
                <w:highlight w:val="none"/>
                <w:u w:val="none"/>
                <w:lang w:val="en-US" w:eastAsia="zh-CN" w:bidi="ar"/>
              </w:rPr>
              <w:t>发行再融资债券偿还金额（亿元）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default" w:ascii="Times New Roman" w:hAnsi="Times New Roman" w:cs="Times New Roman" w:eastAsiaTheme="minorEastAsia"/>
                <w:i w:val="0"/>
                <w:color w:val="auto"/>
                <w:kern w:val="0"/>
                <w:sz w:val="16"/>
                <w:szCs w:val="16"/>
                <w:highlight w:val="none"/>
                <w:u w:val="none"/>
                <w:lang w:val="en-US" w:eastAsia="zh-CN" w:bidi="ar"/>
              </w:rPr>
              <w:t>2018年四川省政府定向承销置换一般债券（三期）</w:t>
            </w:r>
          </w:p>
        </w:tc>
        <w:tc>
          <w:tcPr>
            <w:tcW w:w="125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eastAsia" w:cs="Times New Roman" w:eastAsiaTheme="minorEastAsia"/>
                <w:i w:val="0"/>
                <w:color w:val="auto"/>
                <w:kern w:val="0"/>
                <w:sz w:val="16"/>
                <w:szCs w:val="16"/>
                <w:highlight w:val="none"/>
                <w:u w:val="none"/>
                <w:lang w:val="en-US" w:eastAsia="zh-CN" w:bidi="ar"/>
              </w:rPr>
              <w:t>1806005</w:t>
            </w:r>
          </w:p>
        </w:tc>
        <w:tc>
          <w:tcPr>
            <w:tcW w:w="106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default" w:ascii="Times New Roman" w:hAnsi="Times New Roman" w:cs="Times New Roman" w:eastAsiaTheme="minorEastAsia"/>
                <w:i w:val="0"/>
                <w:color w:val="auto"/>
                <w:kern w:val="0"/>
                <w:sz w:val="16"/>
                <w:szCs w:val="16"/>
                <w:highlight w:val="none"/>
                <w:u w:val="none"/>
                <w:lang w:val="en-US" w:eastAsia="zh-CN" w:bidi="ar"/>
              </w:rPr>
              <w:t>18四川定向03</w:t>
            </w:r>
          </w:p>
        </w:tc>
        <w:tc>
          <w:tcPr>
            <w:tcW w:w="8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eastAsia" w:cs="Times New Roman" w:eastAsiaTheme="minorEastAsia"/>
                <w:i w:val="0"/>
                <w:color w:val="auto"/>
                <w:kern w:val="0"/>
                <w:sz w:val="16"/>
                <w:szCs w:val="16"/>
                <w:highlight w:val="none"/>
                <w:u w:val="none"/>
                <w:lang w:val="en-US" w:eastAsia="zh-CN" w:bidi="ar"/>
              </w:rPr>
              <w:t>27.751</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default" w:ascii="Times New Roman" w:hAnsi="Times New Roman" w:cs="Times New Roman" w:eastAsiaTheme="minorEastAsia"/>
                <w:i w:val="0"/>
                <w:iCs w:val="0"/>
                <w:color w:val="000000"/>
                <w:kern w:val="0"/>
                <w:sz w:val="16"/>
                <w:szCs w:val="16"/>
                <w:u w:val="none"/>
                <w:lang w:val="en-US" w:eastAsia="zh-CN" w:bidi="ar"/>
              </w:rPr>
              <w:t>4.53</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default" w:ascii="Times New Roman" w:hAnsi="Times New Roman" w:cs="Times New Roman" w:eastAsiaTheme="minorEastAsia"/>
                <w:i w:val="0"/>
                <w:iCs w:val="0"/>
                <w:color w:val="000000"/>
                <w:kern w:val="0"/>
                <w:sz w:val="16"/>
                <w:szCs w:val="16"/>
                <w:u w:val="none"/>
                <w:lang w:val="en-US" w:eastAsia="zh-CN" w:bidi="ar"/>
              </w:rPr>
              <w:t>2025</w:t>
            </w:r>
            <w:r>
              <w:rPr>
                <w:rFonts w:hint="eastAsia" w:cs="Times New Roman" w:eastAsiaTheme="minorEastAsia"/>
                <w:i w:val="0"/>
                <w:iCs w:val="0"/>
                <w:color w:val="000000"/>
                <w:kern w:val="0"/>
                <w:sz w:val="16"/>
                <w:szCs w:val="16"/>
                <w:u w:val="none"/>
                <w:lang w:val="en-US" w:eastAsia="zh-CN" w:bidi="ar"/>
              </w:rPr>
              <w:t>/</w:t>
            </w:r>
            <w:r>
              <w:rPr>
                <w:rFonts w:hint="default" w:ascii="Times New Roman" w:hAnsi="Times New Roman" w:cs="Times New Roman" w:eastAsiaTheme="minorEastAsia"/>
                <w:i w:val="0"/>
                <w:iCs w:val="0"/>
                <w:color w:val="000000"/>
                <w:kern w:val="0"/>
                <w:sz w:val="16"/>
                <w:szCs w:val="16"/>
                <w:u w:val="none"/>
                <w:lang w:val="en-US" w:eastAsia="zh-CN" w:bidi="ar"/>
              </w:rPr>
              <w:t>2</w:t>
            </w:r>
            <w:r>
              <w:rPr>
                <w:rFonts w:hint="eastAsia" w:cs="Times New Roman" w:eastAsiaTheme="minorEastAsia"/>
                <w:i w:val="0"/>
                <w:iCs w:val="0"/>
                <w:color w:val="000000"/>
                <w:kern w:val="0"/>
                <w:sz w:val="16"/>
                <w:szCs w:val="16"/>
                <w:u w:val="none"/>
                <w:lang w:val="en-US" w:eastAsia="zh-CN" w:bidi="ar"/>
              </w:rPr>
              <w:t>/</w:t>
            </w:r>
            <w:r>
              <w:rPr>
                <w:rFonts w:hint="default" w:ascii="Times New Roman" w:hAnsi="Times New Roman" w:cs="Times New Roman" w:eastAsiaTheme="minorEastAsia"/>
                <w:i w:val="0"/>
                <w:iCs w:val="0"/>
                <w:color w:val="000000"/>
                <w:kern w:val="0"/>
                <w:sz w:val="16"/>
                <w:szCs w:val="16"/>
                <w:u w:val="none"/>
                <w:lang w:val="en-US" w:eastAsia="zh-CN" w:bidi="ar"/>
              </w:rPr>
              <w:t>9</w:t>
            </w:r>
          </w:p>
        </w:tc>
        <w:tc>
          <w:tcPr>
            <w:tcW w:w="10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default" w:ascii="Times New Roman" w:hAnsi="Times New Roman" w:cs="Times New Roman" w:eastAsiaTheme="minorEastAsia"/>
                <w:i w:val="0"/>
                <w:color w:val="auto"/>
                <w:kern w:val="0"/>
                <w:sz w:val="16"/>
                <w:szCs w:val="16"/>
                <w:highlight w:val="none"/>
                <w:u w:val="none"/>
                <w:lang w:val="en-US" w:eastAsia="zh-CN" w:bidi="ar"/>
              </w:rPr>
              <w:t>26.686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default" w:ascii="Times New Roman" w:hAnsi="Times New Roman" w:cs="Times New Roman" w:eastAsiaTheme="minorEastAsia"/>
                <w:i w:val="0"/>
                <w:color w:val="auto"/>
                <w:kern w:val="0"/>
                <w:sz w:val="16"/>
                <w:szCs w:val="16"/>
                <w:highlight w:val="none"/>
                <w:u w:val="none"/>
                <w:lang w:val="en-US" w:eastAsia="zh-CN" w:bidi="ar"/>
              </w:rPr>
              <w:t>2020年四川省政府一般债券（二期）</w:t>
            </w:r>
          </w:p>
        </w:tc>
        <w:tc>
          <w:tcPr>
            <w:tcW w:w="125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eastAsia" w:cs="Times New Roman" w:eastAsiaTheme="minorEastAsia"/>
                <w:i w:val="0"/>
                <w:color w:val="auto"/>
                <w:kern w:val="0"/>
                <w:sz w:val="16"/>
                <w:szCs w:val="16"/>
                <w:highlight w:val="none"/>
                <w:u w:val="none"/>
                <w:lang w:val="en-US" w:eastAsia="zh-CN" w:bidi="ar"/>
              </w:rPr>
              <w:t>2005177</w:t>
            </w:r>
          </w:p>
        </w:tc>
        <w:tc>
          <w:tcPr>
            <w:tcW w:w="106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default" w:ascii="Times New Roman" w:hAnsi="Times New Roman" w:cs="Times New Roman" w:eastAsiaTheme="minorEastAsia"/>
                <w:i w:val="0"/>
                <w:color w:val="auto"/>
                <w:kern w:val="0"/>
                <w:sz w:val="16"/>
                <w:szCs w:val="16"/>
                <w:highlight w:val="none"/>
                <w:u w:val="none"/>
                <w:lang w:val="en-US" w:eastAsia="zh-CN" w:bidi="ar"/>
              </w:rPr>
              <w:t>20四川债49</w:t>
            </w:r>
          </w:p>
        </w:tc>
        <w:tc>
          <w:tcPr>
            <w:tcW w:w="8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eastAsia" w:cs="Times New Roman" w:eastAsiaTheme="minorEastAsia"/>
                <w:i w:val="0"/>
                <w:color w:val="auto"/>
                <w:kern w:val="0"/>
                <w:sz w:val="16"/>
                <w:szCs w:val="16"/>
                <w:highlight w:val="none"/>
                <w:u w:val="none"/>
                <w:lang w:val="en-US" w:eastAsia="zh-CN" w:bidi="ar"/>
              </w:rPr>
              <w:t>20</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default" w:ascii="Times New Roman" w:hAnsi="Times New Roman" w:cs="Times New Roman" w:eastAsiaTheme="minorEastAsia"/>
                <w:i w:val="0"/>
                <w:iCs w:val="0"/>
                <w:color w:val="000000"/>
                <w:kern w:val="0"/>
                <w:sz w:val="16"/>
                <w:szCs w:val="16"/>
                <w:u w:val="none"/>
                <w:lang w:val="en-US" w:eastAsia="zh-CN" w:bidi="ar"/>
              </w:rPr>
              <w:t>2.9</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default" w:ascii="Times New Roman" w:hAnsi="Times New Roman" w:cs="Times New Roman" w:eastAsiaTheme="minorEastAsia"/>
                <w:i w:val="0"/>
                <w:iCs w:val="0"/>
                <w:color w:val="000000"/>
                <w:kern w:val="0"/>
                <w:sz w:val="16"/>
                <w:szCs w:val="16"/>
                <w:u w:val="none"/>
                <w:lang w:val="en-US" w:eastAsia="zh-CN" w:bidi="ar"/>
              </w:rPr>
              <w:t>2025</w:t>
            </w:r>
            <w:r>
              <w:rPr>
                <w:rFonts w:hint="eastAsia" w:cs="Times New Roman" w:eastAsiaTheme="minorEastAsia"/>
                <w:i w:val="0"/>
                <w:iCs w:val="0"/>
                <w:color w:val="000000"/>
                <w:kern w:val="0"/>
                <w:sz w:val="16"/>
                <w:szCs w:val="16"/>
                <w:u w:val="none"/>
                <w:lang w:val="en-US" w:eastAsia="zh-CN" w:bidi="ar"/>
              </w:rPr>
              <w:t>/</w:t>
            </w:r>
            <w:r>
              <w:rPr>
                <w:rFonts w:hint="default" w:ascii="Times New Roman" w:hAnsi="Times New Roman" w:cs="Times New Roman" w:eastAsiaTheme="minorEastAsia"/>
                <w:i w:val="0"/>
                <w:iCs w:val="0"/>
                <w:color w:val="000000"/>
                <w:kern w:val="0"/>
                <w:sz w:val="16"/>
                <w:szCs w:val="16"/>
                <w:u w:val="none"/>
                <w:lang w:val="en-US" w:eastAsia="zh-CN" w:bidi="ar"/>
              </w:rPr>
              <w:t>2</w:t>
            </w:r>
            <w:r>
              <w:rPr>
                <w:rFonts w:hint="eastAsia" w:cs="Times New Roman" w:eastAsiaTheme="minorEastAsia"/>
                <w:i w:val="0"/>
                <w:iCs w:val="0"/>
                <w:color w:val="000000"/>
                <w:kern w:val="0"/>
                <w:sz w:val="16"/>
                <w:szCs w:val="16"/>
                <w:u w:val="none"/>
                <w:lang w:val="en-US" w:eastAsia="zh-CN" w:bidi="ar"/>
              </w:rPr>
              <w:t>/</w:t>
            </w:r>
            <w:r>
              <w:rPr>
                <w:rFonts w:hint="default" w:ascii="Times New Roman" w:hAnsi="Times New Roman" w:cs="Times New Roman" w:eastAsiaTheme="minorEastAsia"/>
                <w:i w:val="0"/>
                <w:iCs w:val="0"/>
                <w:color w:val="000000"/>
                <w:kern w:val="0"/>
                <w:sz w:val="16"/>
                <w:szCs w:val="16"/>
                <w:u w:val="none"/>
                <w:lang w:val="en-US" w:eastAsia="zh-CN" w:bidi="ar"/>
              </w:rPr>
              <w:t>28</w:t>
            </w:r>
          </w:p>
        </w:tc>
        <w:tc>
          <w:tcPr>
            <w:tcW w:w="10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default" w:ascii="Times New Roman" w:hAnsi="Times New Roman" w:cs="Times New Roman" w:eastAsiaTheme="minorEastAsia"/>
                <w:i w:val="0"/>
                <w:color w:val="auto"/>
                <w:kern w:val="0"/>
                <w:sz w:val="16"/>
                <w:szCs w:val="16"/>
                <w:highlight w:val="none"/>
                <w:u w:val="none"/>
                <w:lang w:val="en-US" w:eastAsia="zh-CN" w:bidi="ar"/>
              </w:rPr>
              <w:t>13.283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default" w:ascii="Times New Roman" w:hAnsi="Times New Roman" w:cs="Times New Roman" w:eastAsiaTheme="minorEastAsia"/>
                <w:i w:val="0"/>
                <w:color w:val="auto"/>
                <w:kern w:val="0"/>
                <w:sz w:val="16"/>
                <w:szCs w:val="16"/>
                <w:highlight w:val="none"/>
                <w:u w:val="none"/>
                <w:lang w:val="en-US" w:eastAsia="zh-CN" w:bidi="ar"/>
              </w:rPr>
              <w:t>2020年四川省工业园区建设专项债券（四期）-2020年四川省政府专项债券（三十三期）</w:t>
            </w:r>
          </w:p>
        </w:tc>
        <w:tc>
          <w:tcPr>
            <w:tcW w:w="125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eastAsia" w:cs="Times New Roman" w:eastAsiaTheme="minorEastAsia"/>
                <w:i w:val="0"/>
                <w:color w:val="auto"/>
                <w:kern w:val="0"/>
                <w:sz w:val="16"/>
                <w:szCs w:val="16"/>
                <w:highlight w:val="none"/>
                <w:u w:val="none"/>
                <w:lang w:val="en-US" w:eastAsia="zh-CN" w:bidi="ar"/>
              </w:rPr>
              <w:t>160625</w:t>
            </w:r>
          </w:p>
        </w:tc>
        <w:tc>
          <w:tcPr>
            <w:tcW w:w="106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default" w:ascii="Times New Roman" w:hAnsi="Times New Roman" w:cs="Times New Roman" w:eastAsiaTheme="minorEastAsia"/>
                <w:i w:val="0"/>
                <w:color w:val="auto"/>
                <w:kern w:val="0"/>
                <w:sz w:val="16"/>
                <w:szCs w:val="16"/>
                <w:highlight w:val="none"/>
                <w:u w:val="none"/>
                <w:lang w:val="en-US" w:eastAsia="zh-CN" w:bidi="ar"/>
              </w:rPr>
              <w:t>20四川33</w:t>
            </w:r>
          </w:p>
        </w:tc>
        <w:tc>
          <w:tcPr>
            <w:tcW w:w="8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eastAsia" w:cs="Times New Roman" w:eastAsiaTheme="minorEastAsia"/>
                <w:i w:val="0"/>
                <w:color w:val="auto"/>
                <w:kern w:val="0"/>
                <w:sz w:val="16"/>
                <w:szCs w:val="16"/>
                <w:highlight w:val="none"/>
                <w:u w:val="none"/>
                <w:lang w:val="en-US" w:eastAsia="zh-CN" w:bidi="ar"/>
              </w:rPr>
              <w:t>3</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000000"/>
                <w:kern w:val="0"/>
                <w:sz w:val="16"/>
                <w:szCs w:val="16"/>
                <w:u w:val="none"/>
                <w:lang w:val="en-US" w:eastAsia="zh-CN" w:bidi="ar"/>
              </w:rPr>
            </w:pPr>
            <w:r>
              <w:rPr>
                <w:rFonts w:hint="default" w:ascii="Times New Roman" w:hAnsi="Times New Roman" w:cs="Times New Roman" w:eastAsiaTheme="minorEastAsia"/>
                <w:i w:val="0"/>
                <w:iCs w:val="0"/>
                <w:color w:val="000000"/>
                <w:kern w:val="0"/>
                <w:sz w:val="16"/>
                <w:szCs w:val="16"/>
                <w:u w:val="none"/>
                <w:lang w:val="en-US" w:eastAsia="zh-CN" w:bidi="ar"/>
              </w:rPr>
              <w:t>3.16</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000000"/>
                <w:kern w:val="0"/>
                <w:sz w:val="16"/>
                <w:szCs w:val="16"/>
                <w:u w:val="none"/>
                <w:lang w:val="en-US" w:eastAsia="zh-CN" w:bidi="ar"/>
              </w:rPr>
            </w:pPr>
            <w:r>
              <w:rPr>
                <w:rFonts w:hint="default" w:ascii="Times New Roman" w:hAnsi="Times New Roman" w:cs="Times New Roman" w:eastAsiaTheme="minorEastAsia"/>
                <w:i w:val="0"/>
                <w:iCs w:val="0"/>
                <w:color w:val="000000"/>
                <w:kern w:val="0"/>
                <w:sz w:val="16"/>
                <w:szCs w:val="16"/>
                <w:u w:val="none"/>
                <w:lang w:val="en-US" w:eastAsia="zh-CN" w:bidi="ar"/>
              </w:rPr>
              <w:t>2025</w:t>
            </w:r>
            <w:r>
              <w:rPr>
                <w:rFonts w:hint="eastAsia" w:cs="Times New Roman" w:eastAsiaTheme="minorEastAsia"/>
                <w:i w:val="0"/>
                <w:iCs w:val="0"/>
                <w:color w:val="000000"/>
                <w:kern w:val="0"/>
                <w:sz w:val="16"/>
                <w:szCs w:val="16"/>
                <w:u w:val="none"/>
                <w:lang w:val="en-US" w:eastAsia="zh-CN" w:bidi="ar"/>
              </w:rPr>
              <w:t>/</w:t>
            </w:r>
            <w:r>
              <w:rPr>
                <w:rFonts w:hint="default" w:ascii="Times New Roman" w:hAnsi="Times New Roman" w:cs="Times New Roman" w:eastAsiaTheme="minorEastAsia"/>
                <w:i w:val="0"/>
                <w:iCs w:val="0"/>
                <w:color w:val="000000"/>
                <w:kern w:val="0"/>
                <w:sz w:val="16"/>
                <w:szCs w:val="16"/>
                <w:u w:val="none"/>
                <w:lang w:val="en-US" w:eastAsia="zh-CN" w:bidi="ar"/>
              </w:rPr>
              <w:t>1</w:t>
            </w:r>
            <w:r>
              <w:rPr>
                <w:rFonts w:hint="eastAsia" w:cs="Times New Roman" w:eastAsiaTheme="minorEastAsia"/>
                <w:i w:val="0"/>
                <w:iCs w:val="0"/>
                <w:color w:val="000000"/>
                <w:kern w:val="0"/>
                <w:sz w:val="16"/>
                <w:szCs w:val="16"/>
                <w:u w:val="none"/>
                <w:lang w:val="en-US" w:eastAsia="zh-CN" w:bidi="ar"/>
              </w:rPr>
              <w:t>/</w:t>
            </w:r>
            <w:r>
              <w:rPr>
                <w:rFonts w:hint="default" w:ascii="Times New Roman" w:hAnsi="Times New Roman" w:cs="Times New Roman" w:eastAsiaTheme="minorEastAsia"/>
                <w:i w:val="0"/>
                <w:iCs w:val="0"/>
                <w:color w:val="000000"/>
                <w:kern w:val="0"/>
                <w:sz w:val="16"/>
                <w:szCs w:val="16"/>
                <w:u w:val="none"/>
                <w:lang w:val="en-US" w:eastAsia="zh-CN" w:bidi="ar"/>
              </w:rPr>
              <w:t>13</w:t>
            </w:r>
          </w:p>
        </w:tc>
        <w:tc>
          <w:tcPr>
            <w:tcW w:w="10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default" w:ascii="Times New Roman" w:hAnsi="Times New Roman" w:cs="Times New Roman" w:eastAsiaTheme="minorEastAsia"/>
                <w:i w:val="0"/>
                <w:color w:val="auto"/>
                <w:kern w:val="0"/>
                <w:sz w:val="16"/>
                <w:szCs w:val="16"/>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default" w:ascii="Times New Roman" w:hAnsi="Times New Roman" w:cs="Times New Roman" w:eastAsiaTheme="minorEastAsia"/>
                <w:i w:val="0"/>
                <w:color w:val="auto"/>
                <w:kern w:val="0"/>
                <w:sz w:val="16"/>
                <w:szCs w:val="16"/>
                <w:highlight w:val="none"/>
                <w:u w:val="none"/>
                <w:lang w:val="en-US" w:eastAsia="zh-CN" w:bidi="ar"/>
              </w:rPr>
              <w:t>2018年四川省政府定向承销置换专项债券（三期）</w:t>
            </w:r>
          </w:p>
        </w:tc>
        <w:tc>
          <w:tcPr>
            <w:tcW w:w="125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eastAsia" w:cs="Times New Roman" w:eastAsiaTheme="minorEastAsia"/>
                <w:i w:val="0"/>
                <w:color w:val="auto"/>
                <w:kern w:val="0"/>
                <w:sz w:val="16"/>
                <w:szCs w:val="16"/>
                <w:highlight w:val="none"/>
                <w:u w:val="none"/>
                <w:lang w:val="en-US" w:eastAsia="zh-CN" w:bidi="ar"/>
              </w:rPr>
              <w:t>1806009</w:t>
            </w:r>
          </w:p>
        </w:tc>
        <w:tc>
          <w:tcPr>
            <w:tcW w:w="106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default" w:ascii="Times New Roman" w:hAnsi="Times New Roman" w:cs="Times New Roman" w:eastAsiaTheme="minorEastAsia"/>
                <w:i w:val="0"/>
                <w:color w:val="auto"/>
                <w:kern w:val="0"/>
                <w:sz w:val="16"/>
                <w:szCs w:val="16"/>
                <w:highlight w:val="none"/>
                <w:u w:val="none"/>
                <w:lang w:val="en-US" w:eastAsia="zh-CN" w:bidi="ar"/>
              </w:rPr>
              <w:t>18四川定向0</w:t>
            </w:r>
            <w:r>
              <w:rPr>
                <w:rFonts w:hint="eastAsia" w:cs="Times New Roman" w:eastAsiaTheme="minorEastAsia"/>
                <w:i w:val="0"/>
                <w:color w:val="auto"/>
                <w:kern w:val="0"/>
                <w:sz w:val="16"/>
                <w:szCs w:val="16"/>
                <w:highlight w:val="none"/>
                <w:u w:val="none"/>
                <w:lang w:val="en-US" w:eastAsia="zh-CN" w:bidi="ar"/>
              </w:rPr>
              <w:t>7</w:t>
            </w:r>
          </w:p>
        </w:tc>
        <w:tc>
          <w:tcPr>
            <w:tcW w:w="8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eastAsia" w:cs="Times New Roman" w:eastAsiaTheme="minorEastAsia"/>
                <w:i w:val="0"/>
                <w:color w:val="auto"/>
                <w:kern w:val="0"/>
                <w:sz w:val="16"/>
                <w:szCs w:val="16"/>
                <w:highlight w:val="none"/>
                <w:u w:val="none"/>
                <w:lang w:val="en-US" w:eastAsia="zh-CN" w:bidi="ar"/>
              </w:rPr>
              <w:t>19.543</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000000"/>
                <w:kern w:val="0"/>
                <w:sz w:val="16"/>
                <w:szCs w:val="16"/>
                <w:u w:val="none"/>
                <w:lang w:val="en-US" w:eastAsia="zh-CN" w:bidi="ar"/>
              </w:rPr>
            </w:pPr>
            <w:r>
              <w:rPr>
                <w:rFonts w:hint="default" w:ascii="Times New Roman" w:hAnsi="Times New Roman" w:cs="Times New Roman" w:eastAsiaTheme="minorEastAsia"/>
                <w:i w:val="0"/>
                <w:iCs w:val="0"/>
                <w:color w:val="000000"/>
                <w:kern w:val="0"/>
                <w:sz w:val="16"/>
                <w:szCs w:val="16"/>
                <w:u w:val="none"/>
                <w:lang w:val="en-US" w:eastAsia="zh-CN" w:bidi="ar"/>
              </w:rPr>
              <w:t>4.53</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000000"/>
                <w:kern w:val="0"/>
                <w:sz w:val="16"/>
                <w:szCs w:val="16"/>
                <w:u w:val="none"/>
                <w:lang w:val="en-US" w:eastAsia="zh-CN" w:bidi="ar"/>
              </w:rPr>
            </w:pPr>
            <w:r>
              <w:rPr>
                <w:rFonts w:hint="default" w:ascii="Times New Roman" w:hAnsi="Times New Roman" w:cs="Times New Roman" w:eastAsiaTheme="minorEastAsia"/>
                <w:i w:val="0"/>
                <w:iCs w:val="0"/>
                <w:color w:val="000000"/>
                <w:kern w:val="0"/>
                <w:sz w:val="16"/>
                <w:szCs w:val="16"/>
                <w:u w:val="none"/>
                <w:lang w:val="en-US" w:eastAsia="zh-CN" w:bidi="ar"/>
              </w:rPr>
              <w:t>2025</w:t>
            </w:r>
            <w:r>
              <w:rPr>
                <w:rFonts w:hint="eastAsia" w:cs="Times New Roman" w:eastAsiaTheme="minorEastAsia"/>
                <w:i w:val="0"/>
                <w:iCs w:val="0"/>
                <w:color w:val="000000"/>
                <w:kern w:val="0"/>
                <w:sz w:val="16"/>
                <w:szCs w:val="16"/>
                <w:u w:val="none"/>
                <w:lang w:val="en-US" w:eastAsia="zh-CN" w:bidi="ar"/>
              </w:rPr>
              <w:t>/</w:t>
            </w:r>
            <w:r>
              <w:rPr>
                <w:rFonts w:hint="default" w:ascii="Times New Roman" w:hAnsi="Times New Roman" w:cs="Times New Roman" w:eastAsiaTheme="minorEastAsia"/>
                <w:i w:val="0"/>
                <w:iCs w:val="0"/>
                <w:color w:val="000000"/>
                <w:kern w:val="0"/>
                <w:sz w:val="16"/>
                <w:szCs w:val="16"/>
                <w:u w:val="none"/>
                <w:lang w:val="en-US" w:eastAsia="zh-CN" w:bidi="ar"/>
              </w:rPr>
              <w:t>2</w:t>
            </w:r>
            <w:r>
              <w:rPr>
                <w:rFonts w:hint="eastAsia" w:cs="Times New Roman" w:eastAsiaTheme="minorEastAsia"/>
                <w:i w:val="0"/>
                <w:iCs w:val="0"/>
                <w:color w:val="000000"/>
                <w:kern w:val="0"/>
                <w:sz w:val="16"/>
                <w:szCs w:val="16"/>
                <w:u w:val="none"/>
                <w:lang w:val="en-US" w:eastAsia="zh-CN" w:bidi="ar"/>
              </w:rPr>
              <w:t>/</w:t>
            </w:r>
            <w:r>
              <w:rPr>
                <w:rFonts w:hint="default" w:ascii="Times New Roman" w:hAnsi="Times New Roman" w:cs="Times New Roman" w:eastAsiaTheme="minorEastAsia"/>
                <w:i w:val="0"/>
                <w:iCs w:val="0"/>
                <w:color w:val="000000"/>
                <w:kern w:val="0"/>
                <w:sz w:val="16"/>
                <w:szCs w:val="16"/>
                <w:u w:val="none"/>
                <w:lang w:val="en-US" w:eastAsia="zh-CN" w:bidi="ar"/>
              </w:rPr>
              <w:t>9</w:t>
            </w:r>
          </w:p>
        </w:tc>
        <w:tc>
          <w:tcPr>
            <w:tcW w:w="10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default" w:ascii="Times New Roman" w:hAnsi="Times New Roman" w:cs="Times New Roman" w:eastAsiaTheme="minorEastAsia"/>
                <w:i w:val="0"/>
                <w:color w:val="auto"/>
                <w:kern w:val="0"/>
                <w:sz w:val="16"/>
                <w:szCs w:val="16"/>
                <w:highlight w:val="none"/>
                <w:u w:val="none"/>
                <w:lang w:val="en-US" w:eastAsia="zh-CN" w:bidi="ar"/>
              </w:rPr>
              <w:t>19.138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default" w:ascii="Times New Roman" w:hAnsi="Times New Roman" w:cs="Times New Roman" w:eastAsiaTheme="minorEastAsia"/>
                <w:i w:val="0"/>
                <w:color w:val="auto"/>
                <w:kern w:val="0"/>
                <w:sz w:val="16"/>
                <w:szCs w:val="16"/>
                <w:highlight w:val="none"/>
                <w:u w:val="none"/>
                <w:lang w:val="en-US" w:eastAsia="zh-CN" w:bidi="ar"/>
              </w:rPr>
              <w:t>2020年四川省城乡基础设施建设专项债券</w:t>
            </w:r>
            <w:r>
              <w:rPr>
                <w:rFonts w:hint="eastAsia" w:cs="Times New Roman" w:eastAsiaTheme="minorEastAsia"/>
                <w:i w:val="0"/>
                <w:color w:val="auto"/>
                <w:kern w:val="0"/>
                <w:sz w:val="16"/>
                <w:szCs w:val="16"/>
                <w:highlight w:val="none"/>
                <w:u w:val="none"/>
                <w:lang w:val="en-US" w:eastAsia="zh-CN" w:bidi="ar"/>
              </w:rPr>
              <w:t>（九）</w:t>
            </w:r>
            <w:r>
              <w:rPr>
                <w:rFonts w:hint="default" w:ascii="Times New Roman" w:hAnsi="Times New Roman" w:cs="Times New Roman" w:eastAsiaTheme="minorEastAsia"/>
                <w:i w:val="0"/>
                <w:color w:val="auto"/>
                <w:kern w:val="0"/>
                <w:sz w:val="16"/>
                <w:szCs w:val="16"/>
                <w:highlight w:val="none"/>
                <w:u w:val="none"/>
                <w:lang w:val="en-US" w:eastAsia="zh-CN" w:bidi="ar"/>
              </w:rPr>
              <w:t>期-2020年四川省政府专项债券（四十八期）</w:t>
            </w:r>
          </w:p>
        </w:tc>
        <w:tc>
          <w:tcPr>
            <w:tcW w:w="125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eastAsia" w:cs="Times New Roman" w:eastAsiaTheme="minorEastAsia"/>
                <w:i w:val="0"/>
                <w:color w:val="auto"/>
                <w:kern w:val="0"/>
                <w:sz w:val="16"/>
                <w:szCs w:val="16"/>
                <w:highlight w:val="none"/>
                <w:u w:val="none"/>
                <w:lang w:val="en-US" w:eastAsia="zh-CN" w:bidi="ar"/>
              </w:rPr>
              <w:t>2005179</w:t>
            </w:r>
          </w:p>
        </w:tc>
        <w:tc>
          <w:tcPr>
            <w:tcW w:w="106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default" w:ascii="Times New Roman" w:hAnsi="Times New Roman" w:cs="Times New Roman" w:eastAsiaTheme="minorEastAsia"/>
                <w:i w:val="0"/>
                <w:color w:val="auto"/>
                <w:kern w:val="0"/>
                <w:sz w:val="16"/>
                <w:szCs w:val="16"/>
                <w:highlight w:val="none"/>
                <w:u w:val="none"/>
                <w:lang w:val="en-US" w:eastAsia="zh-CN" w:bidi="ar"/>
              </w:rPr>
              <w:t>20四川债51</w:t>
            </w:r>
          </w:p>
        </w:tc>
        <w:tc>
          <w:tcPr>
            <w:tcW w:w="8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eastAsia" w:cs="Times New Roman" w:eastAsiaTheme="minorEastAsia"/>
                <w:i w:val="0"/>
                <w:color w:val="auto"/>
                <w:kern w:val="0"/>
                <w:sz w:val="16"/>
                <w:szCs w:val="16"/>
                <w:highlight w:val="none"/>
                <w:u w:val="none"/>
                <w:lang w:val="en-US" w:eastAsia="zh-CN" w:bidi="ar"/>
              </w:rPr>
              <w:t>1.78</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000000"/>
                <w:kern w:val="0"/>
                <w:sz w:val="16"/>
                <w:szCs w:val="16"/>
                <w:u w:val="none"/>
                <w:lang w:val="en-US" w:eastAsia="zh-CN" w:bidi="ar"/>
              </w:rPr>
            </w:pPr>
            <w:r>
              <w:rPr>
                <w:rFonts w:hint="default" w:ascii="Times New Roman" w:hAnsi="Times New Roman" w:cs="Times New Roman" w:eastAsiaTheme="minorEastAsia"/>
                <w:i w:val="0"/>
                <w:iCs w:val="0"/>
                <w:color w:val="000000"/>
                <w:kern w:val="0"/>
                <w:sz w:val="16"/>
                <w:szCs w:val="16"/>
                <w:u w:val="none"/>
                <w:lang w:val="en-US" w:eastAsia="zh-CN" w:bidi="ar"/>
              </w:rPr>
              <w:t>2.9</w:t>
            </w:r>
          </w:p>
        </w:tc>
        <w:tc>
          <w:tcPr>
            <w:tcW w:w="1057" w:type="dxa"/>
            <w:vAlign w:val="center"/>
          </w:tcPr>
          <w:p>
            <w:pPr>
              <w:keepNext w:val="0"/>
              <w:keepLines w:val="0"/>
              <w:pageBreakBefore w:val="0"/>
              <w:widowControl/>
              <w:suppressLineNumbers w:val="0"/>
              <w:tabs>
                <w:tab w:val="left" w:pos="295"/>
              </w:tabs>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iCs w:val="0"/>
                <w:color w:val="000000"/>
                <w:kern w:val="0"/>
                <w:sz w:val="16"/>
                <w:szCs w:val="16"/>
                <w:u w:val="none"/>
                <w:lang w:val="en-US" w:eastAsia="zh-CN" w:bidi="ar"/>
              </w:rPr>
            </w:pPr>
            <w:r>
              <w:rPr>
                <w:rFonts w:hint="eastAsia" w:cs="Times New Roman" w:eastAsiaTheme="minorEastAsia"/>
                <w:i w:val="0"/>
                <w:iCs w:val="0"/>
                <w:color w:val="000000"/>
                <w:kern w:val="0"/>
                <w:sz w:val="16"/>
                <w:szCs w:val="16"/>
                <w:u w:val="none"/>
                <w:lang w:val="en-US" w:eastAsia="zh-CN" w:bidi="ar"/>
              </w:rPr>
              <w:t>2025/2/28</w:t>
            </w:r>
          </w:p>
        </w:tc>
        <w:tc>
          <w:tcPr>
            <w:tcW w:w="10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default" w:ascii="Times New Roman" w:hAnsi="Times New Roman" w:cs="Times New Roman" w:eastAsiaTheme="minorEastAsia"/>
                <w:i w:val="0"/>
                <w:color w:val="auto"/>
                <w:kern w:val="0"/>
                <w:sz w:val="16"/>
                <w:szCs w:val="16"/>
                <w:highlight w:val="none"/>
                <w:u w:val="none"/>
                <w:lang w:val="en-US" w:eastAsia="zh-CN" w:bidi="ar"/>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default" w:ascii="Times New Roman" w:hAnsi="Times New Roman" w:cs="Times New Roman" w:eastAsiaTheme="minorEastAsia"/>
                <w:i w:val="0"/>
                <w:color w:val="auto"/>
                <w:kern w:val="0"/>
                <w:sz w:val="16"/>
                <w:szCs w:val="16"/>
                <w:highlight w:val="none"/>
                <w:u w:val="none"/>
                <w:lang w:val="en-US" w:eastAsia="zh-CN" w:bidi="ar"/>
              </w:rPr>
              <w:t>2020年四川省乡村振兴专项债券（五期）-2020年四川省政府专项债券（六十一期）</w:t>
            </w:r>
          </w:p>
        </w:tc>
        <w:tc>
          <w:tcPr>
            <w:tcW w:w="125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eastAsia" w:cs="Times New Roman" w:eastAsiaTheme="minorEastAsia"/>
                <w:i w:val="0"/>
                <w:color w:val="auto"/>
                <w:kern w:val="0"/>
                <w:sz w:val="16"/>
                <w:szCs w:val="16"/>
                <w:highlight w:val="none"/>
                <w:u w:val="none"/>
                <w:lang w:val="en-US" w:eastAsia="zh-CN" w:bidi="ar"/>
              </w:rPr>
              <w:t>2005192</w:t>
            </w:r>
          </w:p>
        </w:tc>
        <w:tc>
          <w:tcPr>
            <w:tcW w:w="106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default" w:ascii="Times New Roman" w:hAnsi="Times New Roman" w:cs="Times New Roman" w:eastAsiaTheme="minorEastAsia"/>
                <w:i w:val="0"/>
                <w:color w:val="auto"/>
                <w:kern w:val="0"/>
                <w:sz w:val="16"/>
                <w:szCs w:val="16"/>
                <w:highlight w:val="none"/>
                <w:u w:val="none"/>
                <w:lang w:val="en-US" w:eastAsia="zh-CN" w:bidi="ar"/>
              </w:rPr>
              <w:t>20四川债64</w:t>
            </w:r>
          </w:p>
        </w:tc>
        <w:tc>
          <w:tcPr>
            <w:tcW w:w="8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eastAsia" w:cs="Times New Roman" w:eastAsiaTheme="minorEastAsia"/>
                <w:i w:val="0"/>
                <w:color w:val="auto"/>
                <w:kern w:val="0"/>
                <w:sz w:val="16"/>
                <w:szCs w:val="16"/>
                <w:highlight w:val="none"/>
                <w:u w:val="none"/>
                <w:lang w:val="en-US" w:eastAsia="zh-CN" w:bidi="ar"/>
              </w:rPr>
              <w:t>1.21</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000000"/>
                <w:kern w:val="0"/>
                <w:sz w:val="16"/>
                <w:szCs w:val="16"/>
                <w:u w:val="none"/>
                <w:lang w:val="en-US" w:eastAsia="zh-CN" w:bidi="ar"/>
              </w:rPr>
            </w:pPr>
            <w:r>
              <w:rPr>
                <w:rFonts w:hint="default" w:ascii="Times New Roman" w:hAnsi="Times New Roman" w:cs="Times New Roman" w:eastAsiaTheme="minorEastAsia"/>
                <w:i w:val="0"/>
                <w:iCs w:val="0"/>
                <w:color w:val="000000"/>
                <w:kern w:val="0"/>
                <w:sz w:val="16"/>
                <w:szCs w:val="16"/>
                <w:u w:val="none"/>
                <w:lang w:val="en-US" w:eastAsia="zh-CN" w:bidi="ar"/>
              </w:rPr>
              <w:t>2.9</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iCs w:val="0"/>
                <w:color w:val="000000"/>
                <w:kern w:val="0"/>
                <w:sz w:val="16"/>
                <w:szCs w:val="16"/>
                <w:u w:val="none"/>
                <w:lang w:val="en-US" w:eastAsia="zh-CN" w:bidi="ar"/>
              </w:rPr>
            </w:pPr>
            <w:r>
              <w:rPr>
                <w:rFonts w:hint="default" w:ascii="Times New Roman" w:hAnsi="Times New Roman" w:cs="Times New Roman" w:eastAsiaTheme="minorEastAsia"/>
                <w:i w:val="0"/>
                <w:iCs w:val="0"/>
                <w:color w:val="000000"/>
                <w:kern w:val="0"/>
                <w:sz w:val="16"/>
                <w:szCs w:val="16"/>
                <w:u w:val="none"/>
                <w:lang w:val="en-US" w:eastAsia="zh-CN" w:bidi="ar"/>
              </w:rPr>
              <w:t>2025</w:t>
            </w:r>
            <w:r>
              <w:rPr>
                <w:rFonts w:hint="eastAsia" w:cs="Times New Roman" w:eastAsiaTheme="minorEastAsia"/>
                <w:i w:val="0"/>
                <w:iCs w:val="0"/>
                <w:color w:val="000000"/>
                <w:kern w:val="0"/>
                <w:sz w:val="16"/>
                <w:szCs w:val="16"/>
                <w:u w:val="none"/>
                <w:lang w:val="en-US" w:eastAsia="zh-CN" w:bidi="ar"/>
              </w:rPr>
              <w:t>/</w:t>
            </w:r>
            <w:r>
              <w:rPr>
                <w:rFonts w:hint="default" w:ascii="Times New Roman" w:hAnsi="Times New Roman" w:cs="Times New Roman" w:eastAsiaTheme="minorEastAsia"/>
                <w:i w:val="0"/>
                <w:iCs w:val="0"/>
                <w:color w:val="000000"/>
                <w:kern w:val="0"/>
                <w:sz w:val="16"/>
                <w:szCs w:val="16"/>
                <w:u w:val="none"/>
                <w:lang w:val="en-US" w:eastAsia="zh-CN" w:bidi="ar"/>
              </w:rPr>
              <w:t>2</w:t>
            </w:r>
            <w:r>
              <w:rPr>
                <w:rFonts w:hint="eastAsia" w:cs="Times New Roman" w:eastAsiaTheme="minorEastAsia"/>
                <w:i w:val="0"/>
                <w:iCs w:val="0"/>
                <w:color w:val="000000"/>
                <w:kern w:val="0"/>
                <w:sz w:val="16"/>
                <w:szCs w:val="16"/>
                <w:u w:val="none"/>
                <w:lang w:val="en-US" w:eastAsia="zh-CN" w:bidi="ar"/>
              </w:rPr>
              <w:t>/</w:t>
            </w:r>
            <w:r>
              <w:rPr>
                <w:rFonts w:hint="default" w:ascii="Times New Roman" w:hAnsi="Times New Roman" w:cs="Times New Roman" w:eastAsiaTheme="minorEastAsia"/>
                <w:i w:val="0"/>
                <w:iCs w:val="0"/>
                <w:color w:val="000000"/>
                <w:kern w:val="0"/>
                <w:sz w:val="16"/>
                <w:szCs w:val="16"/>
                <w:u w:val="none"/>
                <w:lang w:val="en-US" w:eastAsia="zh-CN" w:bidi="ar"/>
              </w:rPr>
              <w:t>28</w:t>
            </w:r>
          </w:p>
        </w:tc>
        <w:tc>
          <w:tcPr>
            <w:tcW w:w="10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default" w:ascii="Times New Roman" w:hAnsi="Times New Roman" w:cs="Times New Roman" w:eastAsiaTheme="minorEastAsia"/>
                <w:i w:val="0"/>
                <w:color w:val="auto"/>
                <w:kern w:val="0"/>
                <w:sz w:val="16"/>
                <w:szCs w:val="16"/>
                <w:highlight w:val="none"/>
                <w:u w:val="none"/>
                <w:lang w:val="en-US" w:eastAsia="zh-CN" w:bidi="ar"/>
              </w:rPr>
              <w:t>1.21</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二、信用评级情况</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经</w:t>
      </w:r>
      <w:r>
        <w:rPr>
          <w:rFonts w:hint="default" w:ascii="Times New Roman" w:hAnsi="Times New Roman" w:eastAsia="仿宋_GB2312" w:cs="Times New Roman"/>
          <w:color w:val="auto"/>
          <w:sz w:val="32"/>
          <w:szCs w:val="32"/>
          <w:highlight w:val="none"/>
          <w:lang w:eastAsia="zh-CN"/>
        </w:rPr>
        <w:t>联合</w:t>
      </w:r>
      <w:r>
        <w:rPr>
          <w:rFonts w:hint="default" w:ascii="Times New Roman" w:hAnsi="Times New Roman" w:eastAsia="仿宋_GB2312" w:cs="Times New Roman"/>
          <w:color w:val="auto"/>
          <w:sz w:val="32"/>
          <w:szCs w:val="32"/>
          <w:highlight w:val="none"/>
        </w:rPr>
        <w:t>资信评估</w:t>
      </w:r>
      <w:r>
        <w:rPr>
          <w:rFonts w:hint="default" w:ascii="Times New Roman" w:hAnsi="Times New Roman" w:eastAsia="仿宋_GB2312" w:cs="Times New Roman"/>
          <w:color w:val="auto"/>
          <w:sz w:val="32"/>
          <w:szCs w:val="32"/>
          <w:highlight w:val="none"/>
          <w:lang w:eastAsia="zh-CN"/>
        </w:rPr>
        <w:t>股份</w:t>
      </w:r>
      <w:r>
        <w:rPr>
          <w:rFonts w:hint="default" w:ascii="Times New Roman" w:hAnsi="Times New Roman" w:eastAsia="仿宋_GB2312" w:cs="Times New Roman"/>
          <w:color w:val="auto"/>
          <w:sz w:val="32"/>
          <w:szCs w:val="32"/>
          <w:highlight w:val="none"/>
        </w:rPr>
        <w:t>有限公司综合评定，</w:t>
      </w:r>
      <w:r>
        <w:rPr>
          <w:rFonts w:hint="eastAsia" w:ascii="Times New Roman" w:hAnsi="Times New Roman" w:eastAsia="仿宋_GB2312" w:cs="Times New Roman"/>
          <w:color w:val="auto"/>
          <w:sz w:val="32"/>
          <w:szCs w:val="32"/>
          <w:highlight w:val="none"/>
          <w:lang w:eastAsia="zh-CN"/>
        </w:rPr>
        <w:t>2025年</w:t>
      </w:r>
      <w:r>
        <w:rPr>
          <w:rFonts w:hint="default" w:ascii="Times New Roman" w:hAnsi="Times New Roman" w:eastAsia="仿宋_GB2312" w:cs="Times New Roman"/>
          <w:color w:val="auto"/>
          <w:sz w:val="32"/>
          <w:szCs w:val="32"/>
          <w:highlight w:val="none"/>
          <w:lang w:eastAsia="zh-CN"/>
        </w:rPr>
        <w:t>四川省政府再融资</w:t>
      </w:r>
      <w:r>
        <w:rPr>
          <w:rFonts w:hint="eastAsia" w:ascii="Times New Roman" w:hAnsi="Times New Roman" w:eastAsia="仿宋_GB2312" w:cs="Times New Roman"/>
          <w:color w:val="auto"/>
          <w:sz w:val="32"/>
          <w:szCs w:val="32"/>
          <w:highlight w:val="none"/>
          <w:lang w:eastAsia="zh-CN"/>
        </w:rPr>
        <w:t>再融资一般债券（一期）及再融资</w:t>
      </w:r>
      <w:r>
        <w:rPr>
          <w:rFonts w:hint="default" w:ascii="Times New Roman" w:hAnsi="Times New Roman" w:eastAsia="仿宋_GB2312" w:cs="Times New Roman"/>
          <w:color w:val="auto"/>
          <w:sz w:val="32"/>
          <w:szCs w:val="32"/>
          <w:highlight w:val="none"/>
          <w:lang w:eastAsia="zh-CN"/>
        </w:rPr>
        <w:t>专项债券（</w:t>
      </w:r>
      <w:r>
        <w:rPr>
          <w:rFonts w:hint="eastAsia"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lang w:eastAsia="zh-CN"/>
        </w:rPr>
        <w:t>期）</w:t>
      </w:r>
      <w:r>
        <w:rPr>
          <w:rFonts w:hint="default" w:ascii="Times New Roman" w:hAnsi="Times New Roman" w:eastAsia="仿宋_GB2312" w:cs="Times New Roman"/>
          <w:color w:val="auto"/>
          <w:sz w:val="32"/>
          <w:szCs w:val="32"/>
          <w:highlight w:val="none"/>
        </w:rPr>
        <w:t>债券信用级别均为AAA。在</w:t>
      </w:r>
      <w:r>
        <w:rPr>
          <w:rFonts w:hint="eastAsia" w:ascii="Times New Roman" w:hAnsi="Times New Roman" w:eastAsia="仿宋_GB2312" w:cs="Times New Roman"/>
          <w:color w:val="auto"/>
          <w:sz w:val="32"/>
          <w:szCs w:val="32"/>
          <w:highlight w:val="none"/>
          <w:lang w:eastAsia="zh-CN"/>
        </w:rPr>
        <w:t>2025年</w:t>
      </w:r>
      <w:r>
        <w:rPr>
          <w:rFonts w:hint="default" w:ascii="Times New Roman" w:hAnsi="Times New Roman" w:eastAsia="仿宋_GB2312" w:cs="Times New Roman"/>
          <w:color w:val="auto"/>
          <w:sz w:val="32"/>
          <w:szCs w:val="32"/>
          <w:highlight w:val="none"/>
          <w:lang w:eastAsia="zh-CN"/>
        </w:rPr>
        <w:t>四川省政府再融资</w:t>
      </w:r>
      <w:r>
        <w:rPr>
          <w:rFonts w:hint="eastAsia" w:ascii="Times New Roman" w:hAnsi="Times New Roman" w:eastAsia="仿宋_GB2312" w:cs="Times New Roman"/>
          <w:color w:val="auto"/>
          <w:sz w:val="32"/>
          <w:szCs w:val="32"/>
          <w:highlight w:val="none"/>
          <w:lang w:eastAsia="zh-CN"/>
        </w:rPr>
        <w:t>一般债券（一期）及再融资</w:t>
      </w:r>
      <w:r>
        <w:rPr>
          <w:rFonts w:hint="default" w:ascii="Times New Roman" w:hAnsi="Times New Roman" w:eastAsia="仿宋_GB2312" w:cs="Times New Roman"/>
          <w:color w:val="auto"/>
          <w:sz w:val="32"/>
          <w:szCs w:val="32"/>
          <w:highlight w:val="none"/>
          <w:lang w:eastAsia="zh-CN"/>
        </w:rPr>
        <w:t>专项债券（</w:t>
      </w:r>
      <w:r>
        <w:rPr>
          <w:rFonts w:hint="eastAsia"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lang w:eastAsia="zh-CN"/>
        </w:rPr>
        <w:t>期）</w:t>
      </w:r>
      <w:r>
        <w:rPr>
          <w:rFonts w:hint="default" w:ascii="Times New Roman" w:hAnsi="Times New Roman" w:eastAsia="仿宋_GB2312" w:cs="Times New Roman"/>
          <w:color w:val="auto"/>
          <w:sz w:val="32"/>
          <w:szCs w:val="32"/>
          <w:highlight w:val="none"/>
        </w:rPr>
        <w:t>存续期内，四川省财政厅将委托</w:t>
      </w:r>
      <w:r>
        <w:rPr>
          <w:rFonts w:hint="default" w:ascii="Times New Roman" w:hAnsi="Times New Roman" w:eastAsia="仿宋_GB2312" w:cs="Times New Roman"/>
          <w:color w:val="auto"/>
          <w:sz w:val="32"/>
          <w:szCs w:val="32"/>
          <w:highlight w:val="none"/>
          <w:lang w:eastAsia="zh-CN"/>
        </w:rPr>
        <w:t>联合</w:t>
      </w:r>
      <w:r>
        <w:rPr>
          <w:rFonts w:hint="default" w:ascii="Times New Roman" w:hAnsi="Times New Roman" w:eastAsia="仿宋_GB2312" w:cs="Times New Roman"/>
          <w:color w:val="auto"/>
          <w:sz w:val="32"/>
          <w:szCs w:val="32"/>
          <w:highlight w:val="none"/>
        </w:rPr>
        <w:t>资信评估</w:t>
      </w:r>
      <w:r>
        <w:rPr>
          <w:rFonts w:hint="default" w:ascii="Times New Roman" w:hAnsi="Times New Roman" w:eastAsia="仿宋_GB2312" w:cs="Times New Roman"/>
          <w:color w:val="auto"/>
          <w:sz w:val="32"/>
          <w:szCs w:val="32"/>
          <w:highlight w:val="none"/>
          <w:lang w:eastAsia="zh-CN"/>
        </w:rPr>
        <w:t>股份</w:t>
      </w:r>
      <w:r>
        <w:rPr>
          <w:rFonts w:hint="default" w:ascii="Times New Roman" w:hAnsi="Times New Roman" w:eastAsia="仿宋_GB2312" w:cs="Times New Roman"/>
          <w:color w:val="auto"/>
          <w:sz w:val="32"/>
          <w:szCs w:val="32"/>
          <w:highlight w:val="none"/>
        </w:rPr>
        <w:t>有限公司每年开展一次跟踪评级。</w:t>
      </w:r>
    </w:p>
    <w:p>
      <w:pPr>
        <w:keepNext w:val="0"/>
        <w:keepLines w:val="0"/>
        <w:pageBreakBefore w:val="0"/>
        <w:widowControl w:val="0"/>
        <w:kinsoku/>
        <w:wordWrap/>
        <w:overflowPunct/>
        <w:topLinePunct w:val="0"/>
        <w:autoSpaceDE/>
        <w:autoSpaceDN/>
        <w:bidi w:val="0"/>
        <w:adjustRightInd/>
        <w:snapToGrid/>
        <w:spacing w:line="580" w:lineRule="exact"/>
        <w:ind w:firstLine="771" w:firstLineChars="241"/>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三、全省中长期经济规划情况</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《四川省国民经济和社会发展第十四个五年规划和二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纲要》已经四川省第十三届人民代表大会第四次会议批准。“十四五”时期四川将深入落实习近平总书记对四川工作系列重要指示精神，加快推动成渝地区双城经济圈建设，主动融入以国内大循环为主体、国内国际双循环相互促进的新发展格局，统筹发展和安全，推进治理体系和治理能力现代化，实现经济行稳致远、社会安定和谐。</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十四五”时期，四川经济社会发展的主要目标是：经济持续平稳增长，经济总量再跨上两个万亿台阶、年均增长6%，人均地区生产总值与全国差距进一步缩小，经济结构持续优化，发展质量和效益明显提升。重点领域和关键环节改革取得重大进展，高标准市场体系基本建成，“四向拓展、全域开放”立体全面开放态势更加巩固，更高水平开放型经济新体制基本形成。公共文化服务体系和文化产业体系更加健全，人民精神文化生活日益丰富，文化强省旅游强省基本建成。环境治理效果显著增强，绿色低碳生产生活方式基本形成，城乡人居环境明显改善。居民收入增长和经济增长基本同步，城乡居民人均可支配收入增速高于全国，分配结构明显改善。社会主义民主法治更加健全，更高水平的法治四川平安四川建设扎实推进，城乡基层治理制度创新和能力建设取得新成效，防范化解重大风险体制机制不断健全。</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三五年远景目标：经济实力大幅跃升，人均地区生产总值在二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年基础上翻一番。科技实力跻身全国前列，科技强省基本建成。治理体系和治理能力现代化基本实现，法治四川、法治政府、法治社会基本建成。长江、黄河上游生态安全屏障更加牢固，美丽四川建设目标基本实现。交通强省基本建成，对外开放优势明显增强。基本公共服务实现均等化，人的全面发展、全体人民共同富裕取得更为明显的实质性进展。</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《四川省国民经济和社会发展第十四个五年规划和二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三五年远景目标纲要》具体内容参见四川省发展和改革委员会网站。</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640" w:leftChars="0" w:firstLine="0" w:firstLineChars="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四川省经济、财政和债务有关数据</w:t>
      </w:r>
    </w:p>
    <w:tbl>
      <w:tblPr>
        <w:tblStyle w:val="11"/>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8"/>
        <w:gridCol w:w="1120"/>
        <w:gridCol w:w="49"/>
        <w:gridCol w:w="463"/>
        <w:gridCol w:w="185"/>
        <w:gridCol w:w="465"/>
        <w:gridCol w:w="1031"/>
        <w:gridCol w:w="56"/>
        <w:gridCol w:w="1126"/>
        <w:gridCol w:w="596"/>
        <w:gridCol w:w="397"/>
        <w:gridCol w:w="27"/>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9723" w:type="dxa"/>
            <w:gridSpan w:val="13"/>
            <w:shd w:val="clear" w:color="auto" w:fill="auto"/>
            <w:noWrap/>
            <w:vAlign w:val="center"/>
          </w:tcPr>
          <w:p>
            <w:pPr>
              <w:widowControl/>
              <w:spacing w:line="400" w:lineRule="exact"/>
              <w:ind w:firstLine="482"/>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一、地方经济状况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9723" w:type="dxa"/>
            <w:gridSpan w:val="13"/>
            <w:shd w:val="clear" w:color="auto" w:fill="auto"/>
            <w:noWrap/>
            <w:vAlign w:val="center"/>
          </w:tcPr>
          <w:p>
            <w:pPr>
              <w:widowControl/>
              <w:spacing w:line="400" w:lineRule="exact"/>
              <w:ind w:firstLine="482"/>
              <w:jc w:val="center"/>
              <w:rPr>
                <w:rFonts w:hint="default" w:ascii="Times New Roman" w:hAnsi="Times New Roman" w:cs="Times New Roman"/>
                <w:b/>
                <w:kern w:val="0"/>
                <w:sz w:val="24"/>
                <w:highlight w:val="none"/>
              </w:rPr>
            </w:pPr>
            <w:r>
              <w:rPr>
                <w:rFonts w:hint="default" w:ascii="Times New Roman" w:hAnsi="Times New Roman" w:eastAsia="仿宋_GB2312" w:cs="Times New Roman"/>
                <w:b/>
                <w:bCs/>
                <w:kern w:val="2"/>
                <w:sz w:val="24"/>
                <w:szCs w:val="21"/>
                <w:highlight w:val="none"/>
                <w:lang w:val="en-US" w:eastAsia="zh-CN" w:bidi="ar-SA"/>
              </w:rPr>
              <w:t>20</w:t>
            </w:r>
            <w:r>
              <w:rPr>
                <w:rFonts w:hint="default" w:ascii="Times New Roman" w:hAnsi="Times New Roman" w:cs="Times New Roman"/>
                <w:b/>
                <w:bCs/>
                <w:kern w:val="2"/>
                <w:sz w:val="24"/>
                <w:szCs w:val="21"/>
                <w:highlight w:val="none"/>
                <w:lang w:val="en-US" w:eastAsia="zh-CN" w:bidi="ar-SA"/>
              </w:rPr>
              <w:t>21</w:t>
            </w:r>
            <w:r>
              <w:rPr>
                <w:rFonts w:hint="default" w:ascii="Times New Roman" w:hAnsi="Times New Roman" w:eastAsia="仿宋_GB2312" w:cs="Times New Roman"/>
                <w:b/>
                <w:bCs/>
                <w:kern w:val="2"/>
                <w:sz w:val="24"/>
                <w:szCs w:val="21"/>
                <w:highlight w:val="none"/>
                <w:lang w:val="en-US" w:eastAsia="zh-CN" w:bidi="ar-SA"/>
              </w:rPr>
              <w:t>－202</w:t>
            </w:r>
            <w:r>
              <w:rPr>
                <w:rFonts w:hint="default" w:ascii="Times New Roman" w:hAnsi="Times New Roman" w:cs="Times New Roman"/>
                <w:b/>
                <w:bCs/>
                <w:kern w:val="2"/>
                <w:sz w:val="24"/>
                <w:szCs w:val="21"/>
                <w:highlight w:val="none"/>
                <w:lang w:val="en-US" w:eastAsia="zh-CN" w:bidi="ar-SA"/>
              </w:rPr>
              <w:t>3</w:t>
            </w:r>
            <w:r>
              <w:rPr>
                <w:rFonts w:hint="default" w:ascii="Times New Roman" w:hAnsi="Times New Roman" w:cs="Times New Roman"/>
                <w:b/>
                <w:kern w:val="0"/>
                <w:sz w:val="24"/>
                <w:highlight w:val="none"/>
              </w:rPr>
              <w:t>年经济基本状况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jc w:val="center"/>
        </w:trPr>
        <w:tc>
          <w:tcPr>
            <w:tcW w:w="4915" w:type="dxa"/>
            <w:gridSpan w:val="5"/>
            <w:shd w:val="clear" w:color="auto" w:fill="auto"/>
            <w:noWrap/>
            <w:vAlign w:val="center"/>
          </w:tcPr>
          <w:p>
            <w:pPr>
              <w:widowControl/>
              <w:spacing w:line="400" w:lineRule="exact"/>
              <w:ind w:firstLine="2880" w:firstLineChars="120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3175</wp:posOffset>
                      </wp:positionV>
                      <wp:extent cx="3124835" cy="497840"/>
                      <wp:effectExtent l="635" t="4445" r="17780" b="12065"/>
                      <wp:wrapNone/>
                      <wp:docPr id="2" name="直接箭头连接符 2"/>
                      <wp:cNvGraphicFramePr/>
                      <a:graphic xmlns:a="http://schemas.openxmlformats.org/drawingml/2006/main">
                        <a:graphicData uri="http://schemas.microsoft.com/office/word/2010/wordprocessingShape">
                          <wps:wsp>
                            <wps:cNvCnPr/>
                            <wps:spPr>
                              <a:xfrm>
                                <a:off x="0" y="0"/>
                                <a:ext cx="3124835" cy="4978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15pt;margin-top:0.25pt;height:39.2pt;width:246.05pt;z-index:251659264;mso-width-relative:page;mso-height-relative:page;" filled="f" stroked="t" coordsize="21600,21600" o:gfxdata="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qUYeHWAAAABwEAAA8AAAAAAAAAAQAgAAAAOAAAAGRycy9kb3ducmV2&#10;LnhtbFBLAQIUABQAAAAIAIdO4kBMT29s6AEAAKMDAAAOAAAAAAAAAAEAIAAAADsBAABkcnMvZTJv&#10;RG9jLnhtbFBLBQYAAAAABgAGAFkBAACVBQAAAAA=&#10;">
                      <v:fill on="f" focussize="0,0"/>
                      <v:stroke color="#000000" joinstyle="round"/>
                      <v:imagedata o:title=""/>
                      <o:lock v:ext="edit" aspectratio="f"/>
                    </v:shape>
                  </w:pict>
                </mc:Fallback>
              </mc:AlternateContent>
            </w:r>
            <w:r>
              <w:rPr>
                <w:rFonts w:hint="default" w:ascii="Times New Roman" w:hAnsi="Times New Roman" w:cs="Times New Roman"/>
                <w:kern w:val="0"/>
                <w:sz w:val="24"/>
                <w:highlight w:val="none"/>
              </w:rPr>
              <w:t>年份</w:t>
            </w:r>
          </w:p>
          <w:p>
            <w:pPr>
              <w:widowControl/>
              <w:spacing w:line="400" w:lineRule="exact"/>
              <w:ind w:firstLine="1320" w:firstLineChars="55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项目</w:t>
            </w:r>
          </w:p>
        </w:tc>
        <w:tc>
          <w:tcPr>
            <w:tcW w:w="1552" w:type="dxa"/>
            <w:gridSpan w:val="3"/>
            <w:shd w:val="clear" w:color="auto" w:fill="auto"/>
            <w:noWrap/>
            <w:vAlign w:val="center"/>
          </w:tcPr>
          <w:p>
            <w:pPr>
              <w:widowControl/>
              <w:spacing w:line="400" w:lineRule="exact"/>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cs="Times New Roman"/>
                <w:kern w:val="0"/>
                <w:sz w:val="24"/>
                <w:highlight w:val="none"/>
              </w:rPr>
              <w:t>202</w:t>
            </w:r>
            <w:r>
              <w:rPr>
                <w:rFonts w:hint="default" w:ascii="Times New Roman" w:hAnsi="Times New Roman" w:cs="Times New Roman"/>
                <w:kern w:val="0"/>
                <w:sz w:val="24"/>
                <w:highlight w:val="none"/>
                <w:lang w:val="en-US" w:eastAsia="zh-CN"/>
              </w:rPr>
              <w:t>1</w:t>
            </w:r>
            <w:r>
              <w:rPr>
                <w:rFonts w:hint="default" w:ascii="Times New Roman" w:hAnsi="Times New Roman" w:cs="Times New Roman"/>
                <w:kern w:val="0"/>
                <w:sz w:val="24"/>
                <w:highlight w:val="none"/>
              </w:rPr>
              <w:t>年</w:t>
            </w:r>
          </w:p>
        </w:tc>
        <w:tc>
          <w:tcPr>
            <w:tcW w:w="1722" w:type="dxa"/>
            <w:gridSpan w:val="2"/>
            <w:shd w:val="clear" w:color="auto" w:fill="auto"/>
            <w:noWrap/>
            <w:vAlign w:val="center"/>
          </w:tcPr>
          <w:p>
            <w:pPr>
              <w:widowControl/>
              <w:spacing w:line="400" w:lineRule="exact"/>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cs="Times New Roman"/>
                <w:kern w:val="0"/>
                <w:sz w:val="24"/>
                <w:highlight w:val="none"/>
                <w:lang w:val="en"/>
              </w:rPr>
              <w:t>2022</w:t>
            </w:r>
            <w:r>
              <w:rPr>
                <w:rFonts w:hint="default" w:ascii="Times New Roman" w:hAnsi="Times New Roman" w:cs="Times New Roman"/>
                <w:kern w:val="0"/>
                <w:sz w:val="24"/>
                <w:highlight w:val="none"/>
                <w:lang w:val="en" w:eastAsia="zh-CN"/>
              </w:rPr>
              <w:t>年</w:t>
            </w:r>
          </w:p>
        </w:tc>
        <w:tc>
          <w:tcPr>
            <w:tcW w:w="1534" w:type="dxa"/>
            <w:gridSpan w:val="3"/>
            <w:shd w:val="clear" w:color="auto" w:fill="auto"/>
            <w:noWrap/>
            <w:vAlign w:val="center"/>
          </w:tcPr>
          <w:p>
            <w:pPr>
              <w:widowControl/>
              <w:spacing w:line="400" w:lineRule="exact"/>
              <w:jc w:val="center"/>
              <w:rPr>
                <w:rFonts w:hint="default" w:ascii="Times New Roman" w:hAnsi="Times New Roman" w:eastAsia="仿宋_GB2312" w:cs="Times New Roman"/>
                <w:kern w:val="0"/>
                <w:sz w:val="24"/>
                <w:highlight w:val="none"/>
                <w:lang w:val="en" w:eastAsia="zh-CN"/>
              </w:rPr>
            </w:pPr>
            <w:r>
              <w:rPr>
                <w:rFonts w:hint="default" w:ascii="Times New Roman" w:hAnsi="Times New Roman" w:cs="Times New Roman"/>
                <w:kern w:val="0"/>
                <w:sz w:val="24"/>
                <w:highlight w:val="none"/>
                <w:lang w:val="en"/>
              </w:rPr>
              <w:t>202</w:t>
            </w:r>
            <w:r>
              <w:rPr>
                <w:rFonts w:hint="default" w:ascii="Times New Roman" w:hAnsi="Times New Roman" w:cs="Times New Roman"/>
                <w:kern w:val="0"/>
                <w:sz w:val="24"/>
                <w:highlight w:val="none"/>
                <w:lang w:val="en-US" w:eastAsia="zh-CN"/>
              </w:rPr>
              <w:t>3</w:t>
            </w:r>
            <w:r>
              <w:rPr>
                <w:rFonts w:hint="default" w:ascii="Times New Roman" w:hAnsi="Times New Roman" w:cs="Times New Roman"/>
                <w:kern w:val="0"/>
                <w:sz w:val="24"/>
                <w:highlight w:val="none"/>
                <w:lang w:val="en"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地区生产总值（亿元）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53850.8</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56610.2</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 w:eastAsia="zh-CN"/>
              </w:rPr>
            </w:pPr>
            <w:r>
              <w:rPr>
                <w:rFonts w:hint="default" w:ascii="Times New Roman" w:hAnsi="Times New Roman" w:cs="Times New Roman"/>
                <w:sz w:val="24"/>
                <w:highlight w:val="none"/>
                <w:lang w:val="en-US" w:eastAsia="zh-CN"/>
              </w:rPr>
              <w:t>60132.</w:t>
            </w:r>
            <w:r>
              <w:rPr>
                <w:rFonts w:hint="default" w:ascii="Times New Roman" w:hAnsi="Times New Roman" w:cs="Times New Roman"/>
                <w:sz w:val="24"/>
                <w:highlight w:val="none"/>
                <w:lang w:val="en"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地区生产总值增速（%）</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8.2</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w:t>
            </w:r>
            <w:r>
              <w:rPr>
                <w:rFonts w:hint="default" w:ascii="Times New Roman" w:hAnsi="Times New Roman" w:cs="Times New Roman"/>
                <w:sz w:val="24"/>
                <w:highlight w:val="none"/>
                <w:lang w:val="en-US" w:eastAsia="zh-CN"/>
              </w:rPr>
              <w:t>8</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第一产业增加值（亿元）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val="en-US" w:eastAsia="zh-CN"/>
              </w:rPr>
              <w:t>5661.9</w:t>
            </w:r>
          </w:p>
          <w:p>
            <w:pPr>
              <w:spacing w:line="400" w:lineRule="exact"/>
              <w:jc w:val="right"/>
              <w:rPr>
                <w:rFonts w:hint="default" w:ascii="Times New Roman" w:hAnsi="Times New Roman" w:eastAsia="仿宋_GB2312" w:cs="Times New Roman"/>
                <w:kern w:val="2"/>
                <w:sz w:val="24"/>
                <w:szCs w:val="24"/>
                <w:highlight w:val="none"/>
                <w:lang w:val="en-US" w:eastAsia="zh-CN" w:bidi="ar-SA"/>
              </w:rPr>
            </w:pP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596</w:t>
            </w:r>
            <w:r>
              <w:rPr>
                <w:rFonts w:hint="default" w:ascii="Times New Roman" w:hAnsi="Times New Roman" w:cs="Times New Roman"/>
                <w:sz w:val="24"/>
                <w:highlight w:val="none"/>
                <w:lang w:val="en-US" w:eastAsia="zh-CN"/>
              </w:rPr>
              <w:t>5</w:t>
            </w:r>
            <w:r>
              <w:rPr>
                <w:rFonts w:hint="default" w:ascii="Times New Roman" w:hAnsi="Times New Roman" w:cs="Times New Roman"/>
                <w:sz w:val="24"/>
                <w:highlight w:val="none"/>
                <w:lang w:val="en" w:eastAsia="zh-CN"/>
              </w:rPr>
              <w:t>.</w:t>
            </w:r>
            <w:r>
              <w:rPr>
                <w:rFonts w:hint="default" w:ascii="Times New Roman" w:hAnsi="Times New Roman" w:cs="Times New Roman"/>
                <w:sz w:val="24"/>
                <w:highlight w:val="none"/>
                <w:lang w:val="en-US" w:eastAsia="zh-CN"/>
              </w:rPr>
              <w:t>5</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6056.64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第二产业增加值（亿元）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19901.4</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w:t>
            </w:r>
            <w:r>
              <w:rPr>
                <w:rFonts w:hint="default" w:ascii="Times New Roman" w:hAnsi="Times New Roman" w:cs="Times New Roman"/>
                <w:sz w:val="24"/>
                <w:highlight w:val="none"/>
                <w:lang w:val="en-US" w:eastAsia="zh-CN"/>
              </w:rPr>
              <w:t>0591.4</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21306.70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第三产业增加值（亿元）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28287.6</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30053.3</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32769.54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产业结构</w:t>
            </w:r>
          </w:p>
        </w:tc>
        <w:tc>
          <w:tcPr>
            <w:tcW w:w="1552" w:type="dxa"/>
            <w:gridSpan w:val="3"/>
            <w:shd w:val="clear" w:color="auto" w:fill="auto"/>
            <w:noWrap/>
            <w:vAlign w:val="center"/>
          </w:tcPr>
          <w:p>
            <w:pPr>
              <w:spacing w:line="400" w:lineRule="exact"/>
              <w:ind w:left="640" w:leftChars="0"/>
              <w:jc w:val="right"/>
              <w:rPr>
                <w:rFonts w:hint="default" w:ascii="Times New Roman" w:hAnsi="Times New Roman" w:eastAsia="仿宋_GB2312" w:cs="Times New Roman"/>
                <w:kern w:val="2"/>
                <w:sz w:val="24"/>
                <w:szCs w:val="24"/>
                <w:highlight w:val="none"/>
                <w:lang w:val="en-US" w:eastAsia="zh-CN" w:bidi="ar-SA"/>
              </w:rPr>
            </w:pPr>
          </w:p>
        </w:tc>
        <w:tc>
          <w:tcPr>
            <w:tcW w:w="1722" w:type="dxa"/>
            <w:gridSpan w:val="2"/>
            <w:shd w:val="clear" w:color="auto" w:fill="auto"/>
            <w:noWrap/>
            <w:vAlign w:val="center"/>
          </w:tcPr>
          <w:p>
            <w:pPr>
              <w:spacing w:line="400" w:lineRule="exact"/>
              <w:ind w:left="640" w:leftChars="0"/>
              <w:jc w:val="right"/>
              <w:rPr>
                <w:rFonts w:hint="default" w:ascii="Times New Roman" w:hAnsi="Times New Roman" w:eastAsia="仿宋_GB2312" w:cs="Times New Roman"/>
                <w:kern w:val="2"/>
                <w:sz w:val="24"/>
                <w:szCs w:val="24"/>
                <w:highlight w:val="none"/>
                <w:lang w:val="en-US" w:eastAsia="zh-CN" w:bidi="ar-SA"/>
              </w:rPr>
            </w:pPr>
          </w:p>
        </w:tc>
        <w:tc>
          <w:tcPr>
            <w:tcW w:w="1534" w:type="dxa"/>
            <w:gridSpan w:val="3"/>
            <w:shd w:val="clear" w:color="auto" w:fill="auto"/>
            <w:noWrap/>
            <w:vAlign w:val="center"/>
          </w:tcPr>
          <w:p>
            <w:pPr>
              <w:spacing w:line="400" w:lineRule="exact"/>
              <w:ind w:left="640"/>
              <w:jc w:val="right"/>
              <w:rPr>
                <w:rFonts w:hint="default"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第一产业增加值比重（%）</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10.5</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 w:eastAsia="zh-CN"/>
              </w:rPr>
              <w:t>10.5</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第二产业增加值比重（%）</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37.0</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36.</w:t>
            </w:r>
            <w:r>
              <w:rPr>
                <w:rFonts w:hint="default" w:ascii="Times New Roman" w:hAnsi="Times New Roman" w:cs="Times New Roman"/>
                <w:sz w:val="24"/>
                <w:highlight w:val="none"/>
                <w:lang w:val="en-US" w:eastAsia="zh-CN"/>
              </w:rPr>
              <w:t>4</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第三产业增加值比重（%）</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52.5</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5</w:t>
            </w:r>
            <w:r>
              <w:rPr>
                <w:rFonts w:hint="default" w:ascii="Times New Roman" w:hAnsi="Times New Roman" w:cs="Times New Roman"/>
                <w:sz w:val="24"/>
                <w:highlight w:val="none"/>
                <w:lang w:val="en-US" w:eastAsia="zh-CN"/>
              </w:rPr>
              <w:t>3</w:t>
            </w:r>
            <w:r>
              <w:rPr>
                <w:rFonts w:hint="default" w:ascii="Times New Roman" w:hAnsi="Times New Roman" w:cs="Times New Roman"/>
                <w:sz w:val="24"/>
                <w:highlight w:val="none"/>
                <w:lang w:val="en" w:eastAsia="zh-CN"/>
              </w:rPr>
              <w:t>.</w:t>
            </w:r>
            <w:r>
              <w:rPr>
                <w:rFonts w:hint="default" w:ascii="Times New Roman" w:hAnsi="Times New Roman" w:cs="Times New Roman"/>
                <w:sz w:val="24"/>
                <w:highlight w:val="none"/>
                <w:lang w:val="en-US" w:eastAsia="zh-CN"/>
              </w:rPr>
              <w:t>1</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全社会固定资产投资增速（%）</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10.1</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8.4</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进出口总额（亿美元）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1473.2</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1511.7</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1361.1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出口额（亿美元）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884.1</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931.5</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 w:eastAsia="zh-CN"/>
              </w:rPr>
            </w:pPr>
            <w:r>
              <w:rPr>
                <w:rFonts w:hint="default" w:ascii="Times New Roman" w:hAnsi="Times New Roman" w:cs="Times New Roman"/>
                <w:sz w:val="24"/>
                <w:highlight w:val="none"/>
                <w:lang w:val="en-US" w:eastAsia="zh-CN"/>
              </w:rPr>
              <w:t>858.</w:t>
            </w:r>
            <w:r>
              <w:rPr>
                <w:rFonts w:hint="default" w:ascii="Times New Roman" w:hAnsi="Times New Roman" w:cs="Times New Roman"/>
                <w:sz w:val="24"/>
                <w:highlight w:val="none"/>
                <w:lang w:val="en"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进口额（亿美元）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589.1</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580.3</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 w:eastAsia="zh-CN"/>
              </w:rPr>
            </w:pPr>
            <w:r>
              <w:rPr>
                <w:rFonts w:hint="default" w:ascii="Times New Roman" w:hAnsi="Times New Roman" w:cs="Times New Roman"/>
                <w:sz w:val="24"/>
                <w:highlight w:val="none"/>
                <w:lang w:val="en-US" w:eastAsia="zh-CN"/>
              </w:rPr>
              <w:t>503.</w:t>
            </w:r>
            <w:r>
              <w:rPr>
                <w:rFonts w:hint="default" w:ascii="Times New Roman" w:hAnsi="Times New Roman" w:cs="Times New Roman"/>
                <w:sz w:val="24"/>
                <w:highlight w:val="none"/>
                <w:lang w:val="en"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社会消费品零售总额（亿元）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24133.2</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24104.6</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26313.4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城镇居民人均可支配收入（元）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41444</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43233</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45227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农村居民人均可支配收入（元）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17575</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18672</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19978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居民消费价格指数（上年＝100）</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100.3</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102.0</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工业生产者出厂价格指数（上年＝100）</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105.9</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102.8</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工业生产者购进价格指数（上年＝100）</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107.5</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105.8</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金融机构各项存款余额（本外币）（亿元）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100077.3</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111661.3</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122980.74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金融机构各项贷款余额（本外币）（亿元）</w:t>
            </w:r>
          </w:p>
        </w:tc>
        <w:tc>
          <w:tcPr>
            <w:tcW w:w="1552" w:type="dxa"/>
            <w:gridSpan w:val="3"/>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80340.4</w:t>
            </w:r>
          </w:p>
        </w:tc>
        <w:tc>
          <w:tcPr>
            <w:tcW w:w="1722" w:type="dxa"/>
            <w:gridSpan w:val="2"/>
            <w:shd w:val="clear" w:color="auto" w:fill="auto"/>
            <w:noWrap/>
            <w:vAlign w:val="center"/>
          </w:tcPr>
          <w:p>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92239.2</w:t>
            </w:r>
          </w:p>
        </w:tc>
        <w:tc>
          <w:tcPr>
            <w:tcW w:w="1534" w:type="dxa"/>
            <w:gridSpan w:val="3"/>
            <w:shd w:val="clear" w:color="auto" w:fill="auto"/>
            <w:noWrap/>
            <w:vAlign w:val="center"/>
          </w:tcPr>
          <w:p>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105790.59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9723" w:type="dxa"/>
            <w:gridSpan w:val="13"/>
            <w:shd w:val="clear" w:color="auto" w:fill="auto"/>
            <w:vAlign w:val="center"/>
          </w:tcPr>
          <w:p>
            <w:pPr>
              <w:widowControl/>
              <w:spacing w:line="400" w:lineRule="exact"/>
              <w:ind w:firstLine="482"/>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 xml:space="preserve">  二、财政收支状况（亿元）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23" w:type="dxa"/>
            <w:gridSpan w:val="13"/>
            <w:shd w:val="clear" w:color="auto" w:fill="auto"/>
            <w:vAlign w:val="center"/>
          </w:tcPr>
          <w:p>
            <w:pPr>
              <w:widowControl/>
              <w:spacing w:line="400" w:lineRule="exact"/>
              <w:ind w:firstLine="482"/>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（一）近三年一般公共预算收支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3098" w:type="dxa"/>
            <w:vMerge w:val="restart"/>
            <w:shd w:val="clear" w:color="auto" w:fill="auto"/>
            <w:vAlign w:val="center"/>
          </w:tcPr>
          <w:p>
            <w:pPr>
              <w:widowControl/>
              <w:spacing w:line="400" w:lineRule="exact"/>
              <w:ind w:firstLine="480"/>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-6350</wp:posOffset>
                      </wp:positionV>
                      <wp:extent cx="1960245" cy="610870"/>
                      <wp:effectExtent l="1270" t="4445" r="19685" b="13335"/>
                      <wp:wrapNone/>
                      <wp:docPr id="3" name="直接箭头连接符 3"/>
                      <wp:cNvGraphicFramePr/>
                      <a:graphic xmlns:a="http://schemas.openxmlformats.org/drawingml/2006/main">
                        <a:graphicData uri="http://schemas.microsoft.com/office/word/2010/wordprocessingShape">
                          <wps:wsp>
                            <wps:cNvCnPr/>
                            <wps:spPr>
                              <a:xfrm>
                                <a:off x="0" y="0"/>
                                <a:ext cx="1960245" cy="6108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85pt;margin-top:-0.5pt;height:48.1pt;width:154.35pt;z-index:251660288;mso-width-relative:page;mso-height-relative:page;" filled="f" stroked="t" coordsize="21600,21600" o:gfxdata="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0VycJdcAAAAIAQAADwAAAAAAAAABACAAAAA4AAAAZHJzL2Rvd25y&#10;ZXYueG1sUEsBAhQAFAAAAAgAh07iQFuMgjLpAQAAowMAAA4AAAAAAAAAAQAgAAAAPAEAAGRycy9l&#10;Mm9Eb2MueG1sUEsFBgAAAAAGAAYAWQEAAJcFAAAAAA==&#10;">
                      <v:fill on="f" focussize="0,0"/>
                      <v:stroke color="#000000" joinstyle="round"/>
                      <v:imagedata o:title=""/>
                      <o:lock v:ext="edit" aspectratio="f"/>
                    </v:shape>
                  </w:pict>
                </mc:Fallback>
              </mc:AlternateContent>
            </w:r>
            <w:r>
              <w:rPr>
                <w:rFonts w:hint="default" w:ascii="Times New Roman" w:hAnsi="Times New Roman" w:eastAsia="仿宋_GB2312" w:cs="Times New Roman"/>
                <w:kern w:val="0"/>
                <w:sz w:val="24"/>
                <w:highlight w:val="none"/>
              </w:rPr>
              <w:t xml:space="preserve">           年份</w:t>
            </w:r>
          </w:p>
          <w:p>
            <w:pPr>
              <w:spacing w:line="40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项目</w:t>
            </w:r>
          </w:p>
        </w:tc>
        <w:tc>
          <w:tcPr>
            <w:tcW w:w="2282" w:type="dxa"/>
            <w:gridSpan w:val="5"/>
            <w:shd w:val="clear" w:color="auto" w:fill="auto"/>
            <w:noWrap/>
            <w:vAlign w:val="center"/>
          </w:tcPr>
          <w:p>
            <w:pPr>
              <w:widowControl/>
              <w:spacing w:line="400" w:lineRule="exact"/>
              <w:ind w:firstLine="480" w:firstLineChars="0"/>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202</w:t>
            </w:r>
            <w:r>
              <w:rPr>
                <w:rFonts w:hint="default" w:ascii="Times New Roman" w:hAnsi="Times New Roman" w:cs="Times New Roman"/>
                <w:kern w:val="0"/>
                <w:sz w:val="24"/>
                <w:highlight w:val="none"/>
                <w:lang w:val="en-US" w:eastAsia="zh-CN"/>
              </w:rPr>
              <w:t>2</w:t>
            </w:r>
            <w:r>
              <w:rPr>
                <w:rFonts w:hint="default" w:ascii="Times New Roman" w:hAnsi="Times New Roman" w:eastAsia="仿宋_GB2312" w:cs="Times New Roman"/>
                <w:kern w:val="0"/>
                <w:sz w:val="24"/>
                <w:highlight w:val="none"/>
              </w:rPr>
              <w:t>年</w:t>
            </w:r>
          </w:p>
        </w:tc>
        <w:tc>
          <w:tcPr>
            <w:tcW w:w="2213" w:type="dxa"/>
            <w:gridSpan w:val="3"/>
            <w:shd w:val="clear" w:color="auto" w:fill="auto"/>
            <w:noWrap/>
            <w:vAlign w:val="center"/>
          </w:tcPr>
          <w:p>
            <w:pPr>
              <w:widowControl/>
              <w:spacing w:line="400" w:lineRule="exact"/>
              <w:ind w:firstLine="480" w:firstLineChars="0"/>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202</w:t>
            </w:r>
            <w:r>
              <w:rPr>
                <w:rFonts w:hint="default" w:ascii="Times New Roman" w:hAnsi="Times New Roman" w:cs="Times New Roman"/>
                <w:kern w:val="0"/>
                <w:sz w:val="24"/>
                <w:highlight w:val="none"/>
                <w:lang w:val="en-US" w:eastAsia="zh-CN"/>
              </w:rPr>
              <w:t>3</w:t>
            </w:r>
            <w:r>
              <w:rPr>
                <w:rFonts w:hint="default" w:ascii="Times New Roman" w:hAnsi="Times New Roman" w:eastAsia="仿宋_GB2312" w:cs="Times New Roman"/>
                <w:kern w:val="0"/>
                <w:sz w:val="24"/>
                <w:highlight w:val="none"/>
              </w:rPr>
              <w:t>年</w:t>
            </w:r>
          </w:p>
        </w:tc>
        <w:tc>
          <w:tcPr>
            <w:tcW w:w="2130" w:type="dxa"/>
            <w:gridSpan w:val="4"/>
            <w:shd w:val="clear" w:color="auto" w:fill="auto"/>
            <w:noWrap/>
            <w:vAlign w:val="center"/>
          </w:tcPr>
          <w:p>
            <w:pPr>
              <w:widowControl/>
              <w:spacing w:line="400" w:lineRule="exact"/>
              <w:ind w:firstLine="480"/>
              <w:jc w:val="center"/>
              <w:rPr>
                <w:rFonts w:hint="eastAsia" w:ascii="Times New Roman" w:hAnsi="Times New Roman" w:eastAsia="仿宋_GB2312" w:cs="Times New Roman"/>
                <w:kern w:val="0"/>
                <w:sz w:val="24"/>
                <w:highlight w:val="none"/>
                <w:lang w:val="en" w:eastAsia="zh-CN"/>
              </w:rPr>
            </w:pPr>
            <w:r>
              <w:rPr>
                <w:rFonts w:hint="eastAsia" w:cs="Times New Roman"/>
                <w:kern w:val="0"/>
                <w:sz w:val="24"/>
                <w:highlight w:val="none"/>
                <w:lang w:val="en" w:eastAsia="zh-CN"/>
              </w:rPr>
              <w:t>202</w:t>
            </w:r>
            <w:r>
              <w:rPr>
                <w:rFonts w:hint="eastAsia" w:cs="Times New Roman"/>
                <w:kern w:val="0"/>
                <w:sz w:val="24"/>
                <w:highlight w:val="none"/>
                <w:lang w:val="en-US" w:eastAsia="zh-CN"/>
              </w:rPr>
              <w:t>4</w:t>
            </w:r>
            <w:r>
              <w:rPr>
                <w:rFonts w:hint="eastAsia" w:cs="Times New Roman"/>
                <w:kern w:val="0"/>
                <w:sz w:val="24"/>
                <w:highlight w:val="none"/>
                <w:lang w:val="en"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3098" w:type="dxa"/>
            <w:vMerge w:val="continue"/>
            <w:shd w:val="clear" w:color="auto" w:fill="auto"/>
            <w:vAlign w:val="center"/>
          </w:tcPr>
          <w:p>
            <w:pPr>
              <w:widowControl/>
              <w:spacing w:line="400" w:lineRule="exact"/>
              <w:ind w:firstLine="480"/>
              <w:jc w:val="center"/>
              <w:rPr>
                <w:rFonts w:hint="default" w:ascii="Times New Roman" w:hAnsi="Times New Roman" w:eastAsia="仿宋_GB2312" w:cs="Times New Roman"/>
                <w:kern w:val="0"/>
                <w:sz w:val="24"/>
                <w:highlight w:val="none"/>
              </w:rPr>
            </w:pPr>
          </w:p>
        </w:tc>
        <w:tc>
          <w:tcPr>
            <w:tcW w:w="1120" w:type="dxa"/>
            <w:shd w:val="clear" w:color="auto" w:fill="auto"/>
            <w:noWrap/>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62" w:type="dxa"/>
            <w:gridSpan w:val="4"/>
            <w:shd w:val="clear" w:color="auto" w:fill="auto"/>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c>
          <w:tcPr>
            <w:tcW w:w="1031" w:type="dxa"/>
            <w:shd w:val="clear" w:color="auto" w:fill="auto"/>
            <w:noWrap/>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82" w:type="dxa"/>
            <w:gridSpan w:val="2"/>
            <w:shd w:val="clear" w:color="auto" w:fill="auto"/>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c>
          <w:tcPr>
            <w:tcW w:w="993" w:type="dxa"/>
            <w:gridSpan w:val="2"/>
            <w:shd w:val="clear" w:color="auto" w:fill="auto"/>
            <w:noWrap/>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37" w:type="dxa"/>
            <w:gridSpan w:val="2"/>
            <w:shd w:val="clear" w:color="auto" w:fill="auto"/>
            <w:vAlign w:val="center"/>
          </w:tcPr>
          <w:p>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一般公共预算收入</w:t>
            </w:r>
          </w:p>
        </w:tc>
        <w:tc>
          <w:tcPr>
            <w:tcW w:w="1120" w:type="dxa"/>
            <w:shd w:val="clear" w:color="auto" w:fill="auto"/>
            <w:noWrap/>
            <w:vAlign w:val="center"/>
          </w:tcPr>
          <w:p>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886.6</w:t>
            </w:r>
          </w:p>
        </w:tc>
        <w:tc>
          <w:tcPr>
            <w:tcW w:w="1162" w:type="dxa"/>
            <w:gridSpan w:val="4"/>
            <w:shd w:val="clear" w:color="auto" w:fill="auto"/>
            <w:vAlign w:val="center"/>
          </w:tcPr>
          <w:p>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4880.5</w:t>
            </w:r>
          </w:p>
        </w:tc>
        <w:tc>
          <w:tcPr>
            <w:tcW w:w="1031" w:type="dxa"/>
            <w:shd w:val="clear" w:color="auto" w:fill="auto"/>
            <w:noWrap/>
            <w:vAlign w:val="center"/>
          </w:tcPr>
          <w:p>
            <w:pPr>
              <w:widowControl/>
              <w:jc w:val="right"/>
              <w:rPr>
                <w:rFonts w:hint="default" w:ascii="Times New Roman" w:hAnsi="Times New Roman" w:cs="Times New Roman"/>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993.</w:t>
            </w:r>
            <w:r>
              <w:rPr>
                <w:rFonts w:hint="default" w:ascii="Times New Roman" w:hAnsi="Times New Roman" w:cs="Times New Roman"/>
                <w:color w:val="auto"/>
                <w:kern w:val="0"/>
                <w:sz w:val="24"/>
                <w:highlight w:val="none"/>
                <w:lang w:val="en-US" w:eastAsia="zh-CN"/>
              </w:rPr>
              <w:t>5</w:t>
            </w:r>
          </w:p>
        </w:tc>
        <w:tc>
          <w:tcPr>
            <w:tcW w:w="1182" w:type="dxa"/>
            <w:gridSpan w:val="2"/>
            <w:shd w:val="clear" w:color="auto" w:fill="auto"/>
            <w:vAlign w:val="center"/>
          </w:tcPr>
          <w:p>
            <w:pPr>
              <w:widowControl/>
              <w:jc w:val="right"/>
              <w:rPr>
                <w:rFonts w:hint="default" w:ascii="Times New Roman" w:hAnsi="Times New Roman" w:cs="Times New Roman"/>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5529.1</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1013</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5778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一般公共预算支出</w:t>
            </w:r>
          </w:p>
        </w:tc>
        <w:tc>
          <w:tcPr>
            <w:tcW w:w="1120" w:type="dxa"/>
            <w:shd w:val="clear" w:color="auto" w:fill="auto"/>
            <w:noWrap/>
            <w:vAlign w:val="center"/>
          </w:tcPr>
          <w:p>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2257.4</w:t>
            </w:r>
          </w:p>
        </w:tc>
        <w:tc>
          <w:tcPr>
            <w:tcW w:w="1162" w:type="dxa"/>
            <w:gridSpan w:val="4"/>
            <w:shd w:val="clear" w:color="auto" w:fill="auto"/>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11914.7</w:t>
            </w:r>
          </w:p>
        </w:tc>
        <w:tc>
          <w:tcPr>
            <w:tcW w:w="1031" w:type="dxa"/>
            <w:shd w:val="clear" w:color="auto" w:fill="auto"/>
            <w:noWrap/>
            <w:vAlign w:val="center"/>
          </w:tcPr>
          <w:p>
            <w:pPr>
              <w:widowControl/>
              <w:jc w:val="right"/>
              <w:rPr>
                <w:rFonts w:hint="default" w:ascii="Times New Roman" w:hAnsi="Times New Roman" w:cs="Times New Roman"/>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2071</w:t>
            </w:r>
            <w:r>
              <w:rPr>
                <w:rFonts w:hint="default" w:ascii="Times New Roman" w:hAnsi="Times New Roman" w:cs="Times New Roman"/>
                <w:color w:val="auto"/>
                <w:kern w:val="0"/>
                <w:sz w:val="24"/>
                <w:highlight w:val="none"/>
                <w:lang w:val="en-US" w:eastAsia="zh-CN"/>
              </w:rPr>
              <w:t>.0</w:t>
            </w:r>
          </w:p>
        </w:tc>
        <w:tc>
          <w:tcPr>
            <w:tcW w:w="1182" w:type="dxa"/>
            <w:gridSpan w:val="2"/>
            <w:shd w:val="clear" w:color="auto" w:fill="auto"/>
            <w:vAlign w:val="center"/>
          </w:tcPr>
          <w:p>
            <w:pPr>
              <w:widowControl/>
              <w:jc w:val="right"/>
              <w:rPr>
                <w:rFonts w:hint="default" w:ascii="Times New Roman" w:hAnsi="Times New Roman" w:cs="Times New Roman"/>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1273</w:t>
            </w:r>
            <w:r>
              <w:rPr>
                <w:rFonts w:hint="default" w:ascii="Times New Roman" w:hAnsi="Times New Roman" w:cs="Times New Roman"/>
                <w:color w:val="auto"/>
                <w:kern w:val="0"/>
                <w:sz w:val="24"/>
                <w:highlight w:val="none"/>
                <w:lang w:val="en-US" w:eastAsia="zh-CN"/>
              </w:rPr>
              <w:t>2</w:t>
            </w:r>
            <w:r>
              <w:rPr>
                <w:rFonts w:hint="default" w:ascii="Times New Roman" w:hAnsi="Times New Roman" w:eastAsia="仿宋_GB2312" w:cs="Times New Roman"/>
                <w:color w:val="auto"/>
                <w:kern w:val="0"/>
                <w:sz w:val="24"/>
                <w:highlight w:val="none"/>
                <w:lang w:val="en-US" w:eastAsia="zh-CN"/>
              </w:rPr>
              <w:t>.</w:t>
            </w:r>
            <w:r>
              <w:rPr>
                <w:rFonts w:hint="default" w:ascii="Times New Roman" w:hAnsi="Times New Roman" w:cs="Times New Roman"/>
                <w:color w:val="auto"/>
                <w:kern w:val="0"/>
                <w:sz w:val="24"/>
                <w:highlight w:val="none"/>
                <w:lang w:val="en-US" w:eastAsia="zh-CN"/>
              </w:rPr>
              <w:t>8</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2262.8</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13531.5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转移性收入</w:t>
            </w:r>
          </w:p>
        </w:tc>
        <w:tc>
          <w:tcPr>
            <w:tcW w:w="1120" w:type="dxa"/>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7321.7</w:t>
            </w:r>
          </w:p>
        </w:tc>
        <w:tc>
          <w:tcPr>
            <w:tcW w:w="1162" w:type="dxa"/>
            <w:gridSpan w:val="4"/>
            <w:shd w:val="clear" w:color="auto" w:fill="auto"/>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8633.6</w:t>
            </w:r>
          </w:p>
        </w:tc>
        <w:tc>
          <w:tcPr>
            <w:tcW w:w="1031" w:type="dxa"/>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764</w:t>
            </w:r>
            <w:r>
              <w:rPr>
                <w:rFonts w:hint="default" w:ascii="Times New Roman" w:hAnsi="Times New Roman" w:cs="Times New Roman"/>
                <w:kern w:val="0"/>
                <w:sz w:val="24"/>
                <w:highlight w:val="none"/>
                <w:lang w:val="en-US" w:eastAsia="zh-CN"/>
              </w:rPr>
              <w:t>5</w:t>
            </w:r>
            <w:r>
              <w:rPr>
                <w:rFonts w:hint="default" w:ascii="Times New Roman" w:hAnsi="Times New Roman" w:cs="Times New Roman"/>
                <w:kern w:val="0"/>
                <w:sz w:val="24"/>
                <w:highlight w:val="none"/>
                <w:lang w:val="en" w:eastAsia="zh-CN"/>
              </w:rPr>
              <w:t>.</w:t>
            </w:r>
            <w:r>
              <w:rPr>
                <w:rFonts w:hint="default" w:ascii="Times New Roman" w:hAnsi="Times New Roman" w:cs="Times New Roman"/>
                <w:kern w:val="0"/>
                <w:sz w:val="24"/>
                <w:highlight w:val="none"/>
                <w:lang w:val="en-US" w:eastAsia="zh-CN"/>
              </w:rPr>
              <w:t>5</w:t>
            </w:r>
          </w:p>
        </w:tc>
        <w:tc>
          <w:tcPr>
            <w:tcW w:w="1182"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default" w:ascii="Times New Roman" w:hAnsi="Times New Roman" w:cs="Times New Roman"/>
                <w:kern w:val="0"/>
                <w:sz w:val="24"/>
                <w:highlight w:val="none"/>
                <w:lang w:val="en-US" w:eastAsia="zh-CN"/>
              </w:rPr>
              <w:t>9404.0</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6643.5</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7640.2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转移性支出</w:t>
            </w:r>
          </w:p>
        </w:tc>
        <w:tc>
          <w:tcPr>
            <w:tcW w:w="1120" w:type="dxa"/>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6835.5</w:t>
            </w:r>
          </w:p>
        </w:tc>
        <w:tc>
          <w:tcPr>
            <w:tcW w:w="1162" w:type="dxa"/>
            <w:gridSpan w:val="4"/>
            <w:shd w:val="clear" w:color="auto" w:fill="auto"/>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865.6</w:t>
            </w:r>
          </w:p>
        </w:tc>
        <w:tc>
          <w:tcPr>
            <w:tcW w:w="1031" w:type="dxa"/>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73</w:t>
            </w:r>
            <w:r>
              <w:rPr>
                <w:rFonts w:hint="default" w:ascii="Times New Roman" w:hAnsi="Times New Roman" w:cs="Times New Roman"/>
                <w:kern w:val="0"/>
                <w:sz w:val="24"/>
                <w:highlight w:val="none"/>
                <w:lang w:val="en-US" w:eastAsia="zh-CN"/>
              </w:rPr>
              <w:t>59.0</w:t>
            </w:r>
          </w:p>
        </w:tc>
        <w:tc>
          <w:tcPr>
            <w:tcW w:w="1182"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default" w:ascii="Times New Roman" w:hAnsi="Times New Roman" w:cs="Times New Roman"/>
                <w:kern w:val="0"/>
                <w:sz w:val="24"/>
                <w:highlight w:val="none"/>
                <w:lang w:val="en-US" w:eastAsia="zh-CN"/>
              </w:rPr>
              <w:t>1042.7</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6111</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地方政府一般债券收入</w:t>
            </w:r>
          </w:p>
        </w:tc>
        <w:tc>
          <w:tcPr>
            <w:tcW w:w="1120" w:type="dxa"/>
            <w:shd w:val="clear" w:color="auto" w:fill="auto"/>
            <w:noWrap/>
            <w:vAlign w:val="center"/>
          </w:tcPr>
          <w:p>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sz w:val="24"/>
                <w:highlight w:val="none"/>
                <w:lang w:val="en"/>
              </w:rPr>
              <w:t>1184.1</w:t>
            </w:r>
          </w:p>
        </w:tc>
        <w:tc>
          <w:tcPr>
            <w:tcW w:w="1162" w:type="dxa"/>
            <w:gridSpan w:val="4"/>
            <w:shd w:val="clear" w:color="auto" w:fill="auto"/>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1184.1</w:t>
            </w:r>
          </w:p>
        </w:tc>
        <w:tc>
          <w:tcPr>
            <w:tcW w:w="1031" w:type="dxa"/>
            <w:shd w:val="clear" w:color="auto" w:fill="auto"/>
            <w:noWrap/>
            <w:vAlign w:val="center"/>
          </w:tcPr>
          <w:p>
            <w:pPr>
              <w:spacing w:line="240" w:lineRule="exact"/>
              <w:jc w:val="right"/>
              <w:rPr>
                <w:rFonts w:hint="default" w:ascii="Times New Roman" w:hAnsi="Times New Roman" w:eastAsia="仿宋_GB2312" w:cs="Times New Roman"/>
                <w:sz w:val="24"/>
                <w:highlight w:val="none"/>
                <w:lang w:val="en" w:eastAsia="zh-CN"/>
              </w:rPr>
            </w:pPr>
            <w:r>
              <w:rPr>
                <w:rFonts w:hint="default" w:ascii="Times New Roman" w:hAnsi="Times New Roman" w:cs="Times New Roman"/>
                <w:sz w:val="24"/>
                <w:highlight w:val="none"/>
                <w:lang w:val="en" w:eastAsia="zh-CN"/>
              </w:rPr>
              <w:t>1417.2</w:t>
            </w:r>
          </w:p>
        </w:tc>
        <w:tc>
          <w:tcPr>
            <w:tcW w:w="1182"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1417.2</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default" w:ascii="Times New Roman" w:hAnsi="Times New Roman" w:cs="Times New Roman"/>
                <w:kern w:val="0"/>
                <w:sz w:val="24"/>
                <w:highlight w:val="none"/>
                <w:lang w:val="en-US" w:eastAsia="zh-CN"/>
              </w:rPr>
              <w:t>-</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default" w:ascii="Times New Roman" w:hAnsi="Times New Roman" w:cs="Times New Roman"/>
                <w:kern w:val="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9723" w:type="dxa"/>
            <w:gridSpan w:val="13"/>
            <w:shd w:val="clear" w:color="auto" w:fill="auto"/>
            <w:vAlign w:val="center"/>
          </w:tcPr>
          <w:p>
            <w:pPr>
              <w:widowControl/>
              <w:spacing w:line="240" w:lineRule="exact"/>
              <w:ind w:firstLine="482"/>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（二）近三年政府性基金</w:t>
            </w:r>
            <w:r>
              <w:rPr>
                <w:rFonts w:hint="default" w:ascii="Times New Roman" w:hAnsi="Times New Roman" w:cs="Times New Roman"/>
                <w:b/>
                <w:kern w:val="0"/>
                <w:sz w:val="24"/>
                <w:highlight w:val="none"/>
                <w:lang w:eastAsia="zh-CN"/>
              </w:rPr>
              <w:t>预算</w:t>
            </w:r>
            <w:r>
              <w:rPr>
                <w:rFonts w:hint="default" w:ascii="Times New Roman" w:hAnsi="Times New Roman" w:eastAsia="仿宋_GB2312" w:cs="Times New Roman"/>
                <w:b/>
                <w:kern w:val="0"/>
                <w:sz w:val="24"/>
                <w:highlight w:val="none"/>
              </w:rPr>
              <w:t>收支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政府性基金</w:t>
            </w:r>
            <w:r>
              <w:rPr>
                <w:rFonts w:hint="default" w:ascii="Times New Roman" w:hAnsi="Times New Roman" w:cs="Times New Roman"/>
                <w:kern w:val="0"/>
                <w:sz w:val="24"/>
                <w:highlight w:val="none"/>
                <w:lang w:eastAsia="zh-CN"/>
              </w:rPr>
              <w:t>预算</w:t>
            </w:r>
            <w:r>
              <w:rPr>
                <w:rFonts w:hint="default" w:ascii="Times New Roman" w:hAnsi="Times New Roman" w:eastAsia="仿宋_GB2312" w:cs="Times New Roman"/>
                <w:kern w:val="0"/>
                <w:sz w:val="24"/>
                <w:highlight w:val="none"/>
              </w:rPr>
              <w:t>收入</w:t>
            </w:r>
          </w:p>
        </w:tc>
        <w:tc>
          <w:tcPr>
            <w:tcW w:w="1169" w:type="dxa"/>
            <w:gridSpan w:val="2"/>
            <w:shd w:val="clear" w:color="auto" w:fill="auto"/>
            <w:noWrap/>
            <w:vAlign w:val="center"/>
          </w:tcPr>
          <w:p>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83.7</w:t>
            </w:r>
          </w:p>
        </w:tc>
        <w:tc>
          <w:tcPr>
            <w:tcW w:w="1113" w:type="dxa"/>
            <w:gridSpan w:val="3"/>
            <w:shd w:val="clear" w:color="auto" w:fill="auto"/>
            <w:vAlign w:val="center"/>
          </w:tcPr>
          <w:p>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4780.5</w:t>
            </w:r>
          </w:p>
        </w:tc>
        <w:tc>
          <w:tcPr>
            <w:tcW w:w="1087" w:type="dxa"/>
            <w:gridSpan w:val="2"/>
            <w:shd w:val="clear" w:color="auto" w:fill="auto"/>
            <w:noWrap/>
            <w:vAlign w:val="center"/>
          </w:tcPr>
          <w:p>
            <w:pPr>
              <w:widowControl/>
              <w:jc w:val="right"/>
              <w:rPr>
                <w:rFonts w:hint="default" w:ascii="Times New Roman" w:hAnsi="Times New Roman" w:eastAsia="仿宋_GB2312" w:cs="Times New Roman"/>
                <w:color w:val="auto"/>
                <w:kern w:val="0"/>
                <w:sz w:val="24"/>
                <w:highlight w:val="yellow"/>
                <w:lang w:val="en-US" w:eastAsia="zh-CN"/>
              </w:rPr>
            </w:pPr>
            <w:r>
              <w:rPr>
                <w:rFonts w:hint="default" w:ascii="Times New Roman" w:hAnsi="Times New Roman" w:eastAsia="仿宋_GB2312" w:cs="Times New Roman"/>
                <w:color w:val="auto"/>
                <w:kern w:val="0"/>
                <w:sz w:val="24"/>
                <w:highlight w:val="none"/>
                <w:lang w:val="en-US" w:eastAsia="zh-CN"/>
              </w:rPr>
              <w:t>129.1</w:t>
            </w:r>
          </w:p>
        </w:tc>
        <w:tc>
          <w:tcPr>
            <w:tcW w:w="1126" w:type="dxa"/>
            <w:shd w:val="clear" w:color="auto" w:fill="auto"/>
            <w:vAlign w:val="center"/>
          </w:tcPr>
          <w:p>
            <w:pPr>
              <w:widowControl/>
              <w:jc w:val="right"/>
              <w:rPr>
                <w:rFonts w:hint="default" w:ascii="Times New Roman" w:hAnsi="Times New Roman" w:eastAsia="仿宋_GB2312" w:cs="Times New Roman"/>
                <w:color w:val="auto"/>
                <w:kern w:val="0"/>
                <w:sz w:val="24"/>
                <w:highlight w:val="yellow"/>
                <w:lang w:val="en-US" w:eastAsia="zh-CN"/>
              </w:rPr>
            </w:pPr>
            <w:r>
              <w:rPr>
                <w:rFonts w:hint="default" w:ascii="Times New Roman" w:hAnsi="Times New Roman" w:eastAsia="仿宋_GB2312" w:cs="Times New Roman"/>
                <w:color w:val="auto"/>
                <w:kern w:val="0"/>
                <w:sz w:val="24"/>
                <w:highlight w:val="none"/>
                <w:lang w:val="en-US" w:eastAsia="zh-CN"/>
              </w:rPr>
              <w:t>4515.</w:t>
            </w:r>
            <w:r>
              <w:rPr>
                <w:rFonts w:hint="default" w:ascii="Times New Roman" w:hAnsi="Times New Roman" w:cs="Times New Roman"/>
                <w:color w:val="auto"/>
                <w:kern w:val="0"/>
                <w:sz w:val="24"/>
                <w:highlight w:val="none"/>
                <w:lang w:val="en-US" w:eastAsia="zh-CN"/>
              </w:rPr>
              <w:t>7</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114.3</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3910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政府性基金</w:t>
            </w:r>
            <w:r>
              <w:rPr>
                <w:rFonts w:hint="default" w:ascii="Times New Roman" w:hAnsi="Times New Roman" w:cs="Times New Roman"/>
                <w:kern w:val="0"/>
                <w:sz w:val="24"/>
                <w:highlight w:val="none"/>
                <w:lang w:eastAsia="zh-CN"/>
              </w:rPr>
              <w:t>预算</w:t>
            </w:r>
            <w:r>
              <w:rPr>
                <w:rFonts w:hint="default" w:ascii="Times New Roman" w:hAnsi="Times New Roman" w:eastAsia="仿宋_GB2312" w:cs="Times New Roman"/>
                <w:kern w:val="0"/>
                <w:sz w:val="24"/>
                <w:highlight w:val="none"/>
              </w:rPr>
              <w:t>支出</w:t>
            </w:r>
          </w:p>
        </w:tc>
        <w:tc>
          <w:tcPr>
            <w:tcW w:w="1169" w:type="dxa"/>
            <w:gridSpan w:val="2"/>
            <w:shd w:val="clear" w:color="auto" w:fill="auto"/>
            <w:noWrap/>
            <w:vAlign w:val="center"/>
          </w:tcPr>
          <w:p>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36.7</w:t>
            </w:r>
          </w:p>
        </w:tc>
        <w:tc>
          <w:tcPr>
            <w:tcW w:w="1113" w:type="dxa"/>
            <w:gridSpan w:val="3"/>
            <w:shd w:val="clear" w:color="auto" w:fill="auto"/>
            <w:vAlign w:val="center"/>
          </w:tcPr>
          <w:p>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6595.8</w:t>
            </w:r>
          </w:p>
        </w:tc>
        <w:tc>
          <w:tcPr>
            <w:tcW w:w="1087" w:type="dxa"/>
            <w:gridSpan w:val="2"/>
            <w:shd w:val="clear" w:color="auto" w:fill="auto"/>
            <w:noWrap/>
            <w:vAlign w:val="center"/>
          </w:tcPr>
          <w:p>
            <w:pPr>
              <w:widowControl/>
              <w:jc w:val="right"/>
              <w:rPr>
                <w:rFonts w:hint="default" w:ascii="Times New Roman" w:hAnsi="Times New Roman" w:eastAsia="仿宋_GB2312" w:cs="Times New Roman"/>
                <w:color w:val="auto"/>
                <w:kern w:val="0"/>
                <w:sz w:val="24"/>
                <w:highlight w:val="yellow"/>
                <w:lang w:val="en" w:eastAsia="zh-CN"/>
              </w:rPr>
            </w:pPr>
            <w:r>
              <w:rPr>
                <w:rFonts w:hint="default" w:ascii="Times New Roman" w:hAnsi="Times New Roman" w:eastAsia="仿宋_GB2312" w:cs="Times New Roman"/>
                <w:color w:val="auto"/>
                <w:kern w:val="0"/>
                <w:sz w:val="24"/>
                <w:highlight w:val="none"/>
                <w:lang w:val="en-US" w:eastAsia="zh-CN"/>
              </w:rPr>
              <w:t>56.</w:t>
            </w:r>
            <w:r>
              <w:rPr>
                <w:rFonts w:hint="default" w:ascii="Times New Roman" w:hAnsi="Times New Roman" w:cs="Times New Roman"/>
                <w:color w:val="auto"/>
                <w:kern w:val="0"/>
                <w:sz w:val="24"/>
                <w:highlight w:val="none"/>
                <w:lang w:val="en-US" w:eastAsia="zh-CN"/>
              </w:rPr>
              <w:t>2</w:t>
            </w:r>
          </w:p>
        </w:tc>
        <w:tc>
          <w:tcPr>
            <w:tcW w:w="1126" w:type="dxa"/>
            <w:shd w:val="clear" w:color="auto" w:fill="auto"/>
            <w:vAlign w:val="center"/>
          </w:tcPr>
          <w:p>
            <w:pPr>
              <w:widowControl/>
              <w:jc w:val="right"/>
              <w:rPr>
                <w:rFonts w:hint="default" w:ascii="Times New Roman" w:hAnsi="Times New Roman" w:eastAsia="仿宋_GB2312" w:cs="Times New Roman"/>
                <w:color w:val="auto"/>
                <w:kern w:val="0"/>
                <w:sz w:val="24"/>
                <w:highlight w:val="yellow"/>
                <w:lang w:val="en-US" w:eastAsia="zh-CN"/>
              </w:rPr>
            </w:pPr>
            <w:r>
              <w:rPr>
                <w:rFonts w:hint="default" w:ascii="Times New Roman" w:hAnsi="Times New Roman" w:eastAsia="仿宋_GB2312" w:cs="Times New Roman"/>
                <w:color w:val="auto"/>
                <w:kern w:val="0"/>
                <w:sz w:val="24"/>
                <w:highlight w:val="none"/>
                <w:lang w:val="en-US" w:eastAsia="zh-CN"/>
              </w:rPr>
              <w:t>6207</w:t>
            </w:r>
            <w:r>
              <w:rPr>
                <w:rFonts w:hint="default" w:ascii="Times New Roman" w:hAnsi="Times New Roman" w:cs="Times New Roman"/>
                <w:color w:val="auto"/>
                <w:kern w:val="0"/>
                <w:sz w:val="24"/>
                <w:highlight w:val="none"/>
                <w:lang w:val="en-US" w:eastAsia="zh-CN"/>
              </w:rPr>
              <w:t>.0</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67.3</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5907.8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地方政府专项债券收入</w:t>
            </w:r>
          </w:p>
        </w:tc>
        <w:tc>
          <w:tcPr>
            <w:tcW w:w="1169" w:type="dxa"/>
            <w:gridSpan w:val="2"/>
            <w:shd w:val="clear" w:color="auto" w:fill="auto"/>
            <w:noWrap/>
            <w:vAlign w:val="center"/>
          </w:tcPr>
          <w:p>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sz w:val="24"/>
                <w:highlight w:val="none"/>
                <w:lang w:val="en" w:eastAsia="zh-CN"/>
              </w:rPr>
              <w:t>2688.9</w:t>
            </w:r>
          </w:p>
        </w:tc>
        <w:tc>
          <w:tcPr>
            <w:tcW w:w="1113" w:type="dxa"/>
            <w:gridSpan w:val="3"/>
            <w:shd w:val="clear" w:color="auto" w:fill="auto"/>
            <w:vAlign w:val="center"/>
          </w:tcPr>
          <w:p>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sz w:val="24"/>
                <w:highlight w:val="none"/>
                <w:lang w:val="en" w:eastAsia="zh-CN"/>
              </w:rPr>
              <w:t>2688.9</w:t>
            </w:r>
          </w:p>
        </w:tc>
        <w:tc>
          <w:tcPr>
            <w:tcW w:w="1087" w:type="dxa"/>
            <w:gridSpan w:val="2"/>
            <w:shd w:val="clear" w:color="auto" w:fill="auto"/>
            <w:noWrap/>
            <w:vAlign w:val="center"/>
          </w:tcPr>
          <w:p>
            <w:pPr>
              <w:spacing w:line="240" w:lineRule="exact"/>
              <w:jc w:val="right"/>
              <w:rPr>
                <w:rFonts w:hint="default" w:ascii="Times New Roman" w:hAnsi="Times New Roman" w:eastAsia="仿宋_GB2312" w:cs="Times New Roman"/>
                <w:color w:val="auto"/>
                <w:sz w:val="24"/>
                <w:highlight w:val="none"/>
                <w:lang w:val="en" w:eastAsia="zh-CN"/>
              </w:rPr>
            </w:pPr>
            <w:r>
              <w:rPr>
                <w:rFonts w:hint="default" w:ascii="Times New Roman" w:hAnsi="Times New Roman" w:cs="Times New Roman"/>
                <w:color w:val="auto"/>
                <w:sz w:val="24"/>
                <w:highlight w:val="none"/>
                <w:lang w:val="en" w:eastAsia="zh-CN"/>
              </w:rPr>
              <w:t>3051.3</w:t>
            </w:r>
          </w:p>
        </w:tc>
        <w:tc>
          <w:tcPr>
            <w:tcW w:w="1126" w:type="dxa"/>
            <w:shd w:val="clear" w:color="auto" w:fill="auto"/>
            <w:vAlign w:val="center"/>
          </w:tcPr>
          <w:p>
            <w:pPr>
              <w:spacing w:line="240" w:lineRule="exact"/>
              <w:jc w:val="right"/>
              <w:rPr>
                <w:rFonts w:hint="default" w:ascii="Times New Roman" w:hAnsi="Times New Roman" w:eastAsia="仿宋_GB2312" w:cs="Times New Roman"/>
                <w:color w:val="auto"/>
                <w:sz w:val="24"/>
                <w:highlight w:val="none"/>
                <w:lang w:val="en" w:eastAsia="zh-CN"/>
              </w:rPr>
            </w:pPr>
            <w:r>
              <w:rPr>
                <w:rFonts w:hint="default" w:ascii="Times New Roman" w:hAnsi="Times New Roman" w:cs="Times New Roman"/>
                <w:color w:val="auto"/>
                <w:sz w:val="24"/>
                <w:highlight w:val="none"/>
                <w:lang w:val="en" w:eastAsia="zh-CN"/>
              </w:rPr>
              <w:t>3051.3</w:t>
            </w:r>
          </w:p>
        </w:tc>
        <w:tc>
          <w:tcPr>
            <w:tcW w:w="993" w:type="dxa"/>
            <w:gridSpan w:val="2"/>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default" w:ascii="Times New Roman" w:hAnsi="Times New Roman" w:cs="Times New Roman"/>
                <w:kern w:val="0"/>
                <w:sz w:val="24"/>
                <w:highlight w:val="none"/>
                <w:lang w:val="en-US" w:eastAsia="zh-CN"/>
              </w:rPr>
              <w:t>-</w:t>
            </w:r>
          </w:p>
        </w:tc>
        <w:tc>
          <w:tcPr>
            <w:tcW w:w="1137" w:type="dxa"/>
            <w:gridSpan w:val="2"/>
            <w:shd w:val="clear" w:color="auto" w:fill="auto"/>
            <w:vAlign w:val="center"/>
          </w:tcPr>
          <w:p>
            <w:pPr>
              <w:widowControl/>
              <w:spacing w:line="240" w:lineRule="exact"/>
              <w:jc w:val="right"/>
              <w:rPr>
                <w:rFonts w:hint="default" w:ascii="Times New Roman" w:hAnsi="Times New Roman" w:cs="Times New Roman"/>
                <w:kern w:val="0"/>
                <w:sz w:val="24"/>
                <w:highlight w:val="none"/>
                <w:lang w:val="en-US" w:eastAsia="zh-CN"/>
              </w:rPr>
            </w:pPr>
            <w:r>
              <w:rPr>
                <w:rFonts w:hint="default" w:ascii="Times New Roman" w:hAnsi="Times New Roman" w:cs="Times New Roman"/>
                <w:kern w:val="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9723" w:type="dxa"/>
            <w:gridSpan w:val="13"/>
            <w:shd w:val="clear" w:color="auto" w:fill="auto"/>
            <w:vAlign w:val="center"/>
          </w:tcPr>
          <w:p>
            <w:pPr>
              <w:widowControl/>
              <w:spacing w:line="240" w:lineRule="exact"/>
              <w:ind w:firstLine="482"/>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（三）近三年国有资本经营预算收支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国有资本经营预算收入</w:t>
            </w:r>
          </w:p>
        </w:tc>
        <w:tc>
          <w:tcPr>
            <w:tcW w:w="1169" w:type="dxa"/>
            <w:gridSpan w:val="2"/>
            <w:shd w:val="clear" w:color="auto" w:fill="auto"/>
            <w:noWrap/>
            <w:vAlign w:val="center"/>
          </w:tcPr>
          <w:p>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31.7</w:t>
            </w:r>
          </w:p>
        </w:tc>
        <w:tc>
          <w:tcPr>
            <w:tcW w:w="1113" w:type="dxa"/>
            <w:gridSpan w:val="3"/>
            <w:shd w:val="clear" w:color="auto" w:fill="auto"/>
            <w:vAlign w:val="center"/>
          </w:tcPr>
          <w:p>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142.7</w:t>
            </w:r>
          </w:p>
        </w:tc>
        <w:tc>
          <w:tcPr>
            <w:tcW w:w="1087" w:type="dxa"/>
            <w:gridSpan w:val="2"/>
            <w:shd w:val="clear" w:color="auto" w:fill="auto"/>
            <w:noWrap/>
            <w:vAlign w:val="center"/>
          </w:tcPr>
          <w:p>
            <w:pPr>
              <w:widowControl/>
              <w:jc w:val="right"/>
              <w:rPr>
                <w:rFonts w:hint="default" w:ascii="Times New Roman" w:hAnsi="Times New Roman" w:eastAsia="仿宋_GB2312" w:cs="Times New Roman"/>
                <w:kern w:val="0"/>
                <w:sz w:val="24"/>
                <w:highlight w:val="yellow"/>
                <w:lang w:val="en-US" w:eastAsia="zh-CN"/>
              </w:rPr>
            </w:pPr>
            <w:r>
              <w:rPr>
                <w:rFonts w:hint="default" w:ascii="Times New Roman" w:hAnsi="Times New Roman" w:eastAsia="仿宋_GB2312" w:cs="Times New Roman"/>
                <w:color w:val="auto"/>
                <w:kern w:val="0"/>
                <w:sz w:val="24"/>
                <w:highlight w:val="none"/>
                <w:lang w:val="en-US" w:eastAsia="zh-CN"/>
              </w:rPr>
              <w:t>30.6</w:t>
            </w:r>
          </w:p>
        </w:tc>
        <w:tc>
          <w:tcPr>
            <w:tcW w:w="1126" w:type="dxa"/>
            <w:shd w:val="clear" w:color="auto" w:fill="auto"/>
            <w:vAlign w:val="center"/>
          </w:tcPr>
          <w:p>
            <w:pPr>
              <w:widowControl/>
              <w:jc w:val="right"/>
              <w:rPr>
                <w:rFonts w:hint="default" w:ascii="Times New Roman" w:hAnsi="Times New Roman" w:eastAsia="仿宋_GB2312" w:cs="Times New Roman"/>
                <w:kern w:val="0"/>
                <w:sz w:val="24"/>
                <w:highlight w:val="yellow"/>
                <w:lang w:val="en-US" w:eastAsia="zh-CN"/>
              </w:rPr>
            </w:pPr>
            <w:r>
              <w:rPr>
                <w:rFonts w:hint="default" w:ascii="Times New Roman" w:hAnsi="Times New Roman" w:eastAsia="仿宋_GB2312" w:cs="Times New Roman"/>
                <w:color w:val="auto"/>
                <w:kern w:val="0"/>
                <w:sz w:val="24"/>
                <w:highlight w:val="none"/>
                <w:lang w:val="en-US" w:eastAsia="zh-CN"/>
              </w:rPr>
              <w:t>16</w:t>
            </w:r>
            <w:r>
              <w:rPr>
                <w:rFonts w:hint="default" w:ascii="Times New Roman" w:hAnsi="Times New Roman" w:cs="Times New Roman"/>
                <w:color w:val="auto"/>
                <w:kern w:val="0"/>
                <w:sz w:val="24"/>
                <w:highlight w:val="none"/>
                <w:lang w:val="en-US" w:eastAsia="zh-CN"/>
              </w:rPr>
              <w:t>4.0</w:t>
            </w:r>
          </w:p>
        </w:tc>
        <w:tc>
          <w:tcPr>
            <w:tcW w:w="1020" w:type="dxa"/>
            <w:gridSpan w:val="3"/>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25</w:t>
            </w:r>
          </w:p>
        </w:tc>
        <w:tc>
          <w:tcPr>
            <w:tcW w:w="1110" w:type="dxa"/>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142.1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国有资本经营预算支出</w:t>
            </w:r>
          </w:p>
        </w:tc>
        <w:tc>
          <w:tcPr>
            <w:tcW w:w="1169" w:type="dxa"/>
            <w:gridSpan w:val="2"/>
            <w:shd w:val="clear" w:color="auto" w:fill="auto"/>
            <w:noWrap/>
            <w:vAlign w:val="center"/>
          </w:tcPr>
          <w:p>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15.2</w:t>
            </w:r>
          </w:p>
        </w:tc>
        <w:tc>
          <w:tcPr>
            <w:tcW w:w="1113" w:type="dxa"/>
            <w:gridSpan w:val="3"/>
            <w:shd w:val="clear" w:color="auto" w:fill="auto"/>
            <w:vAlign w:val="center"/>
          </w:tcPr>
          <w:p>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81.5</w:t>
            </w:r>
          </w:p>
        </w:tc>
        <w:tc>
          <w:tcPr>
            <w:tcW w:w="1087" w:type="dxa"/>
            <w:gridSpan w:val="2"/>
            <w:shd w:val="clear" w:color="auto" w:fill="auto"/>
            <w:noWrap/>
            <w:vAlign w:val="center"/>
          </w:tcPr>
          <w:p>
            <w:pPr>
              <w:jc w:val="right"/>
              <w:rPr>
                <w:rFonts w:hint="default" w:ascii="Times New Roman" w:hAnsi="Times New Roman" w:eastAsia="仿宋_GB2312" w:cs="Times New Roman"/>
                <w:kern w:val="0"/>
                <w:sz w:val="24"/>
                <w:highlight w:val="yellow"/>
                <w:lang w:val="en-US" w:eastAsia="zh-CN"/>
              </w:rPr>
            </w:pPr>
            <w:r>
              <w:rPr>
                <w:rFonts w:hint="default" w:ascii="Times New Roman" w:hAnsi="Times New Roman" w:eastAsia="仿宋_GB2312" w:cs="Times New Roman"/>
                <w:color w:val="auto"/>
                <w:sz w:val="24"/>
                <w:highlight w:val="none"/>
                <w:lang w:val="en-US" w:eastAsia="zh-CN"/>
              </w:rPr>
              <w:t>23.0</w:t>
            </w:r>
          </w:p>
        </w:tc>
        <w:tc>
          <w:tcPr>
            <w:tcW w:w="1126" w:type="dxa"/>
            <w:shd w:val="clear" w:color="auto" w:fill="auto"/>
            <w:vAlign w:val="center"/>
          </w:tcPr>
          <w:p>
            <w:pPr>
              <w:widowControl/>
              <w:jc w:val="right"/>
              <w:rPr>
                <w:rFonts w:hint="default" w:ascii="Times New Roman" w:hAnsi="Times New Roman" w:eastAsia="仿宋_GB2312" w:cs="Times New Roman"/>
                <w:kern w:val="0"/>
                <w:sz w:val="24"/>
                <w:highlight w:val="yellow"/>
                <w:lang w:val="en-US" w:eastAsia="zh-CN"/>
              </w:rPr>
            </w:pPr>
            <w:r>
              <w:rPr>
                <w:rFonts w:hint="default" w:ascii="Times New Roman" w:hAnsi="Times New Roman" w:eastAsia="仿宋_GB2312" w:cs="Times New Roman"/>
                <w:color w:val="auto"/>
                <w:kern w:val="0"/>
                <w:sz w:val="24"/>
                <w:highlight w:val="none"/>
                <w:lang w:val="en-US" w:eastAsia="zh-CN"/>
              </w:rPr>
              <w:t>8</w:t>
            </w:r>
            <w:r>
              <w:rPr>
                <w:rFonts w:hint="default" w:ascii="Times New Roman" w:hAnsi="Times New Roman" w:cs="Times New Roman"/>
                <w:color w:val="auto"/>
                <w:kern w:val="0"/>
                <w:sz w:val="24"/>
                <w:highlight w:val="none"/>
                <w:lang w:val="en-US" w:eastAsia="zh-CN"/>
              </w:rPr>
              <w:t>1</w:t>
            </w:r>
            <w:r>
              <w:rPr>
                <w:rFonts w:hint="default" w:ascii="Times New Roman" w:hAnsi="Times New Roman" w:eastAsia="仿宋_GB2312" w:cs="Times New Roman"/>
                <w:color w:val="auto"/>
                <w:kern w:val="0"/>
                <w:sz w:val="24"/>
                <w:highlight w:val="none"/>
                <w:lang w:val="en-US" w:eastAsia="zh-CN"/>
              </w:rPr>
              <w:t>.</w:t>
            </w:r>
            <w:r>
              <w:rPr>
                <w:rFonts w:hint="default" w:ascii="Times New Roman" w:hAnsi="Times New Roman" w:cs="Times New Roman"/>
                <w:color w:val="auto"/>
                <w:kern w:val="0"/>
                <w:sz w:val="24"/>
                <w:highlight w:val="none"/>
                <w:lang w:val="en-US" w:eastAsia="zh-CN"/>
              </w:rPr>
              <w:t>3</w:t>
            </w:r>
          </w:p>
        </w:tc>
        <w:tc>
          <w:tcPr>
            <w:tcW w:w="1020" w:type="dxa"/>
            <w:gridSpan w:val="3"/>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16.9</w:t>
            </w:r>
          </w:p>
        </w:tc>
        <w:tc>
          <w:tcPr>
            <w:tcW w:w="1110" w:type="dxa"/>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117.5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9723" w:type="dxa"/>
            <w:gridSpan w:val="13"/>
            <w:shd w:val="clear" w:color="auto" w:fill="auto"/>
            <w:vAlign w:val="center"/>
          </w:tcPr>
          <w:p>
            <w:pPr>
              <w:widowControl/>
              <w:spacing w:line="240" w:lineRule="exact"/>
              <w:ind w:right="840" w:firstLine="472" w:firstLineChars="196"/>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（四）近三年地方政府债券还本支出情况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地方政府一般债券还本支出</w:t>
            </w:r>
          </w:p>
        </w:tc>
        <w:tc>
          <w:tcPr>
            <w:tcW w:w="1169" w:type="dxa"/>
            <w:gridSpan w:val="2"/>
            <w:shd w:val="clear" w:color="auto" w:fill="auto"/>
            <w:noWrap/>
            <w:vAlign w:val="center"/>
          </w:tcPr>
          <w:p>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lang w:val="en-US" w:eastAsia="zh-CN"/>
              </w:rPr>
              <w:t>67.4</w:t>
            </w:r>
          </w:p>
        </w:tc>
        <w:tc>
          <w:tcPr>
            <w:tcW w:w="1113" w:type="dxa"/>
            <w:gridSpan w:val="3"/>
            <w:shd w:val="clear" w:color="auto" w:fill="auto"/>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848.5</w:t>
            </w:r>
          </w:p>
        </w:tc>
        <w:tc>
          <w:tcPr>
            <w:tcW w:w="1087" w:type="dxa"/>
            <w:gridSpan w:val="2"/>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lang w:val="en-US"/>
              </w:rPr>
            </w:pPr>
            <w:r>
              <w:rPr>
                <w:rFonts w:hint="default" w:ascii="Times New Roman" w:hAnsi="Times New Roman" w:cs="Times New Roman"/>
                <w:kern w:val="0"/>
                <w:sz w:val="24"/>
                <w:highlight w:val="none"/>
                <w:lang w:val="en" w:eastAsia="zh-CN"/>
              </w:rPr>
              <w:t>179.</w:t>
            </w:r>
            <w:r>
              <w:rPr>
                <w:rFonts w:hint="default" w:ascii="Times New Roman" w:hAnsi="Times New Roman" w:cs="Times New Roman"/>
                <w:kern w:val="0"/>
                <w:sz w:val="24"/>
                <w:highlight w:val="none"/>
                <w:lang w:val="en-US" w:eastAsia="zh-CN"/>
              </w:rPr>
              <w:t>4</w:t>
            </w:r>
          </w:p>
        </w:tc>
        <w:tc>
          <w:tcPr>
            <w:tcW w:w="1126" w:type="dxa"/>
            <w:shd w:val="clear" w:color="auto" w:fill="auto"/>
            <w:vAlign w:val="center"/>
          </w:tcPr>
          <w:p>
            <w:pPr>
              <w:widowControl/>
              <w:spacing w:line="240" w:lineRule="exact"/>
              <w:jc w:val="right"/>
              <w:rPr>
                <w:rFonts w:hint="default" w:ascii="Times New Roman" w:hAnsi="Times New Roman" w:cs="Times New Roman"/>
                <w:color w:val="auto"/>
                <w:kern w:val="0"/>
                <w:sz w:val="24"/>
                <w:highlight w:val="none"/>
                <w:lang w:val="en" w:eastAsia="zh-CN"/>
              </w:rPr>
            </w:pPr>
            <w:r>
              <w:rPr>
                <w:rFonts w:hint="default" w:ascii="Times New Roman" w:hAnsi="Times New Roman" w:cs="Times New Roman"/>
                <w:color w:val="auto"/>
                <w:kern w:val="0"/>
                <w:sz w:val="24"/>
                <w:highlight w:val="none"/>
                <w:lang w:val="en" w:eastAsia="zh-CN"/>
              </w:rPr>
              <w:t>983.0</w:t>
            </w:r>
          </w:p>
        </w:tc>
        <w:tc>
          <w:tcPr>
            <w:tcW w:w="1020" w:type="dxa"/>
            <w:gridSpan w:val="3"/>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82.8</w:t>
            </w:r>
          </w:p>
        </w:tc>
        <w:tc>
          <w:tcPr>
            <w:tcW w:w="1110" w:type="dxa"/>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602.4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地方政府专项债券还本支出</w:t>
            </w:r>
          </w:p>
        </w:tc>
        <w:tc>
          <w:tcPr>
            <w:tcW w:w="1169" w:type="dxa"/>
            <w:gridSpan w:val="2"/>
            <w:shd w:val="clear" w:color="auto" w:fill="auto"/>
            <w:noWrap/>
            <w:vAlign w:val="center"/>
          </w:tcPr>
          <w:p>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lang w:val="en-US" w:eastAsia="zh-CN"/>
              </w:rPr>
              <w:t>0</w:t>
            </w:r>
          </w:p>
        </w:tc>
        <w:tc>
          <w:tcPr>
            <w:tcW w:w="1113" w:type="dxa"/>
            <w:gridSpan w:val="3"/>
            <w:shd w:val="clear" w:color="auto" w:fill="auto"/>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560.7</w:t>
            </w:r>
          </w:p>
        </w:tc>
        <w:tc>
          <w:tcPr>
            <w:tcW w:w="1087" w:type="dxa"/>
            <w:gridSpan w:val="2"/>
            <w:shd w:val="clear" w:color="auto" w:fill="auto"/>
            <w:noWrap/>
            <w:vAlign w:val="center"/>
          </w:tcPr>
          <w:p>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0</w:t>
            </w:r>
          </w:p>
        </w:tc>
        <w:tc>
          <w:tcPr>
            <w:tcW w:w="1126" w:type="dxa"/>
            <w:shd w:val="clear" w:color="auto" w:fill="auto"/>
            <w:vAlign w:val="center"/>
          </w:tcPr>
          <w:p>
            <w:pPr>
              <w:widowControl/>
              <w:spacing w:line="240" w:lineRule="exact"/>
              <w:jc w:val="right"/>
              <w:rPr>
                <w:rFonts w:hint="default" w:ascii="Times New Roman" w:hAnsi="Times New Roman" w:cs="Times New Roman"/>
                <w:color w:val="auto"/>
                <w:kern w:val="0"/>
                <w:sz w:val="24"/>
                <w:highlight w:val="none"/>
                <w:lang w:val="en" w:eastAsia="zh-CN"/>
              </w:rPr>
            </w:pPr>
            <w:r>
              <w:rPr>
                <w:rFonts w:hint="default" w:ascii="Times New Roman" w:hAnsi="Times New Roman" w:cs="Times New Roman"/>
                <w:color w:val="auto"/>
                <w:kern w:val="0"/>
                <w:sz w:val="24"/>
                <w:highlight w:val="none"/>
                <w:lang w:val="en" w:eastAsia="zh-CN"/>
              </w:rPr>
              <w:t>925.2</w:t>
            </w:r>
          </w:p>
        </w:tc>
        <w:tc>
          <w:tcPr>
            <w:tcW w:w="1020" w:type="dxa"/>
            <w:gridSpan w:val="3"/>
            <w:shd w:val="clear" w:color="auto" w:fill="auto"/>
            <w:noWrap/>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0</w:t>
            </w:r>
          </w:p>
        </w:tc>
        <w:tc>
          <w:tcPr>
            <w:tcW w:w="1110" w:type="dxa"/>
            <w:shd w:val="clear" w:color="auto" w:fill="auto"/>
            <w:vAlign w:val="center"/>
          </w:tcPr>
          <w:p>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717.1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9723" w:type="dxa"/>
            <w:gridSpan w:val="13"/>
            <w:shd w:val="clear" w:color="auto" w:fill="auto"/>
            <w:noWrap/>
            <w:vAlign w:val="center"/>
          </w:tcPr>
          <w:p>
            <w:pPr>
              <w:widowControl/>
              <w:spacing w:line="240" w:lineRule="exact"/>
              <w:ind w:firstLine="482"/>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三、地方政府债务状况（亿元）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0" w:type="dxa"/>
            <w:gridSpan w:val="4"/>
            <w:shd w:val="clear" w:color="auto" w:fill="auto"/>
            <w:noWrap/>
            <w:vAlign w:val="center"/>
          </w:tcPr>
          <w:p>
            <w:pPr>
              <w:widowControl/>
              <w:spacing w:line="24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截至202</w:t>
            </w:r>
            <w:r>
              <w:rPr>
                <w:rFonts w:hint="default" w:ascii="Times New Roman" w:hAnsi="Times New Roman" w:cs="Times New Roman"/>
                <w:kern w:val="0"/>
                <w:sz w:val="24"/>
                <w:highlight w:val="none"/>
                <w:lang w:val="en-US" w:eastAsia="zh-CN"/>
              </w:rPr>
              <w:t>3</w:t>
            </w:r>
            <w:r>
              <w:rPr>
                <w:rFonts w:hint="default" w:ascii="Times New Roman" w:hAnsi="Times New Roman" w:eastAsia="仿宋_GB2312" w:cs="Times New Roman"/>
                <w:kern w:val="0"/>
                <w:sz w:val="24"/>
                <w:highlight w:val="none"/>
              </w:rPr>
              <w:t>年底地方政府债务余额</w:t>
            </w:r>
          </w:p>
        </w:tc>
        <w:tc>
          <w:tcPr>
            <w:tcW w:w="4993" w:type="dxa"/>
            <w:gridSpan w:val="9"/>
            <w:shd w:val="clear" w:color="auto" w:fill="auto"/>
            <w:noWrap/>
            <w:vAlign w:val="center"/>
          </w:tcPr>
          <w:p>
            <w:pPr>
              <w:widowControl/>
              <w:spacing w:line="240" w:lineRule="exact"/>
              <w:ind w:firstLine="480"/>
              <w:jc w:val="right"/>
              <w:rPr>
                <w:rFonts w:hint="default" w:ascii="Times New Roman" w:hAnsi="Times New Roman" w:eastAsia="仿宋_GB2312" w:cs="Times New Roman"/>
                <w:kern w:val="0"/>
                <w:sz w:val="24"/>
                <w:highlight w:val="none"/>
                <w:lang w:val="en" w:eastAsia="zh-CN"/>
              </w:rPr>
            </w:pPr>
            <w:r>
              <w:rPr>
                <w:rFonts w:hint="default" w:ascii="Times New Roman" w:hAnsi="Times New Roman" w:cs="Times New Roman"/>
                <w:kern w:val="0"/>
                <w:sz w:val="24"/>
                <w:highlight w:val="none"/>
                <w:lang w:val="en" w:eastAsia="zh-CN"/>
              </w:rPr>
              <w:t>20269.7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0" w:type="dxa"/>
            <w:gridSpan w:val="4"/>
            <w:shd w:val="clear" w:color="auto" w:fill="auto"/>
            <w:noWrap/>
            <w:vAlign w:val="center"/>
          </w:tcPr>
          <w:p>
            <w:pPr>
              <w:widowControl/>
              <w:spacing w:line="24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202</w:t>
            </w:r>
            <w:r>
              <w:rPr>
                <w:rFonts w:hint="default" w:ascii="Times New Roman" w:hAnsi="Times New Roman" w:cs="Times New Roman"/>
                <w:kern w:val="0"/>
                <w:sz w:val="24"/>
                <w:highlight w:val="none"/>
                <w:lang w:val="en-US" w:eastAsia="zh-CN"/>
              </w:rPr>
              <w:t>3</w:t>
            </w:r>
            <w:r>
              <w:rPr>
                <w:rFonts w:hint="default" w:ascii="Times New Roman" w:hAnsi="Times New Roman" w:eastAsia="仿宋_GB2312" w:cs="Times New Roman"/>
                <w:kern w:val="0"/>
                <w:sz w:val="24"/>
                <w:highlight w:val="none"/>
              </w:rPr>
              <w:t>年地方政府债务限额</w:t>
            </w:r>
          </w:p>
        </w:tc>
        <w:tc>
          <w:tcPr>
            <w:tcW w:w="4993" w:type="dxa"/>
            <w:gridSpan w:val="9"/>
            <w:shd w:val="clear" w:color="auto" w:fill="auto"/>
            <w:noWrap/>
            <w:vAlign w:val="center"/>
          </w:tcPr>
          <w:p>
            <w:pPr>
              <w:widowControl/>
              <w:spacing w:line="240" w:lineRule="exact"/>
              <w:ind w:firstLine="480"/>
              <w:jc w:val="right"/>
              <w:rPr>
                <w:rFonts w:hint="default" w:ascii="Times New Roman" w:hAnsi="Times New Roman" w:eastAsia="仿宋_GB2312" w:cs="Times New Roman"/>
                <w:sz w:val="24"/>
                <w:highlight w:val="none"/>
                <w:lang w:val="en" w:eastAsia="zh-CN"/>
              </w:rPr>
            </w:pPr>
            <w:r>
              <w:rPr>
                <w:rFonts w:hint="default" w:ascii="Times New Roman" w:hAnsi="Times New Roman" w:cs="Times New Roman"/>
                <w:sz w:val="24"/>
                <w:highlight w:val="none"/>
                <w:lang w:val="en" w:eastAsia="zh-CN"/>
              </w:rPr>
              <w:t>20936.7</w:t>
            </w:r>
          </w:p>
        </w:tc>
      </w:tr>
    </w:tbl>
    <w:p>
      <w:pPr>
        <w:pStyle w:val="4"/>
        <w:snapToGrid w:val="0"/>
        <w:spacing w:line="300" w:lineRule="exact"/>
        <w:ind w:left="735" w:hanging="735" w:hangingChars="350"/>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Fonts w:hint="default" w:ascii="Times New Roman" w:hAnsi="Times New Roman" w:eastAsia="仿宋_GB2312" w:cs="Times New Roman"/>
          <w:color w:val="000000" w:themeColor="text1"/>
          <w:highlight w:val="none"/>
          <w14:textFill>
            <w14:solidFill>
              <w14:schemeClr w14:val="tx1"/>
            </w14:solidFill>
          </w14:textFill>
        </w:rPr>
        <w:t>注：1、经济数据</w:t>
      </w:r>
      <w:r>
        <w:rPr>
          <w:rFonts w:hint="default" w:ascii="Times New Roman" w:hAnsi="Times New Roman" w:eastAsia="仿宋_GB2312" w:cs="Times New Roman"/>
          <w:color w:val="000000" w:themeColor="text1"/>
          <w:highlight w:val="none"/>
          <w:lang w:eastAsia="zh-CN"/>
          <w14:textFill>
            <w14:solidFill>
              <w14:schemeClr w14:val="tx1"/>
            </w14:solidFill>
          </w14:textFill>
        </w:rPr>
        <w:t>来源于四川省统计局</w:t>
      </w:r>
    </w:p>
    <w:p>
      <w:pPr>
        <w:pStyle w:val="4"/>
        <w:snapToGrid w:val="0"/>
        <w:spacing w:line="300" w:lineRule="exact"/>
        <w:ind w:firstLine="420" w:firstLineChars="20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000000" w:themeColor="text1"/>
          <w:highlight w:val="none"/>
          <w14:textFill>
            <w14:solidFill>
              <w14:schemeClr w14:val="tx1"/>
            </w14:solidFill>
          </w14:textFill>
        </w:rPr>
        <w:t>2、财政数据中202</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highlight w:val="none"/>
          <w14:textFill>
            <w14:solidFill>
              <w14:schemeClr w14:val="tx1"/>
            </w14:solidFill>
          </w14:textFill>
        </w:rPr>
        <w:t>年</w:t>
      </w:r>
      <w:r>
        <w:rPr>
          <w:rFonts w:hint="default" w:ascii="Times New Roman" w:hAnsi="Times New Roman" w:eastAsia="仿宋_GB2312" w:cs="Times New Roman"/>
          <w:color w:val="000000" w:themeColor="text1"/>
          <w:highlight w:val="none"/>
          <w:lang w:eastAsia="zh-CN"/>
          <w14:textFill>
            <w14:solidFill>
              <w14:schemeClr w14:val="tx1"/>
            </w14:solidFill>
          </w14:textFill>
        </w:rPr>
        <w:t>为决算数，</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2023年</w:t>
      </w:r>
      <w:r>
        <w:rPr>
          <w:rFonts w:hint="default" w:ascii="Times New Roman" w:hAnsi="Times New Roman" w:eastAsia="仿宋_GB2312" w:cs="Times New Roman"/>
          <w:color w:val="000000" w:themeColor="text1"/>
          <w:highlight w:val="none"/>
          <w14:textFill>
            <w14:solidFill>
              <w14:schemeClr w14:val="tx1"/>
            </w14:solidFill>
          </w14:textFill>
        </w:rPr>
        <w:t>为</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决算</w:t>
      </w:r>
      <w:r>
        <w:rPr>
          <w:rFonts w:hint="default" w:ascii="Times New Roman" w:hAnsi="Times New Roman" w:eastAsia="仿宋_GB2312" w:cs="Times New Roman"/>
          <w:color w:val="000000" w:themeColor="text1"/>
          <w:highlight w:val="none"/>
          <w14:textFill>
            <w14:solidFill>
              <w14:schemeClr w14:val="tx1"/>
            </w14:solidFill>
          </w14:textFill>
        </w:rPr>
        <w:t>数</w:t>
      </w:r>
      <w:r>
        <w:rPr>
          <w:rFonts w:hint="default" w:ascii="Times New Roman" w:hAnsi="Times New Roman" w:eastAsia="仿宋_GB2312" w:cs="Times New Roman"/>
          <w:color w:val="000000" w:themeColor="text1"/>
          <w:highlight w:val="none"/>
          <w:lang w:eastAsia="zh-CN"/>
          <w14:textFill>
            <w14:solidFill>
              <w14:schemeClr w14:val="tx1"/>
            </w14:solidFill>
          </w14:textFill>
        </w:rPr>
        <w:t>，</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2024年</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为预算数</w:t>
      </w:r>
      <w:r>
        <w:rPr>
          <w:rFonts w:hint="default" w:ascii="Times New Roman" w:hAnsi="Times New Roman" w:eastAsia="仿宋_GB2312" w:cs="Times New Roman"/>
          <w:color w:val="000000" w:themeColor="text1"/>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五、四川省地方政府债务管理情况</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16"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（一）四川省地方政府债务基本情况。</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rPr>
        <w:t>全省</w:t>
      </w:r>
      <w:r>
        <w:rPr>
          <w:rFonts w:hint="default" w:ascii="Times New Roman" w:hAnsi="Times New Roman" w:eastAsia="仿宋_GB2312" w:cs="Times New Roman"/>
          <w:color w:val="auto"/>
          <w:sz w:val="32"/>
          <w:szCs w:val="32"/>
          <w:highlight w:val="none"/>
        </w:rPr>
        <w:t>债务余额为</w:t>
      </w:r>
      <w:r>
        <w:rPr>
          <w:rFonts w:hint="default" w:ascii="Times New Roman" w:hAnsi="Times New Roman" w:eastAsia="仿宋_GB2312" w:cs="Times New Roman"/>
          <w:color w:val="auto"/>
          <w:sz w:val="32"/>
          <w:szCs w:val="32"/>
          <w:highlight w:val="none"/>
          <w:lang w:val="en-US" w:eastAsia="zh-CN"/>
        </w:rPr>
        <w:t>20269.7</w:t>
      </w:r>
      <w:r>
        <w:rPr>
          <w:rFonts w:hint="default" w:ascii="Times New Roman" w:hAnsi="Times New Roman" w:eastAsia="仿宋_GB2312" w:cs="Times New Roman"/>
          <w:color w:val="auto"/>
          <w:sz w:val="32"/>
          <w:szCs w:val="32"/>
          <w:highlight w:val="none"/>
        </w:rPr>
        <w:t>亿元，控制在国务院</w:t>
      </w:r>
      <w:r>
        <w:rPr>
          <w:rFonts w:hint="default" w:ascii="Times New Roman" w:hAnsi="Times New Roman" w:eastAsia="仿宋_GB2312" w:cs="Times New Roman"/>
          <w:color w:val="auto"/>
          <w:sz w:val="32"/>
          <w:szCs w:val="32"/>
          <w:highlight w:val="none"/>
          <w:lang w:val="en-US" w:eastAsia="zh-CN"/>
        </w:rPr>
        <w:t>批准</w:t>
      </w:r>
      <w:r>
        <w:rPr>
          <w:rFonts w:hint="default" w:ascii="Times New Roman" w:hAnsi="Times New Roman" w:eastAsia="仿宋_GB2312" w:cs="Times New Roman"/>
          <w:color w:val="auto"/>
          <w:sz w:val="32"/>
          <w:szCs w:val="32"/>
          <w:highlight w:val="none"/>
        </w:rPr>
        <w:t>的</w:t>
      </w:r>
      <w:r>
        <w:rPr>
          <w:rFonts w:hint="default" w:ascii="Times New Roman" w:hAnsi="Times New Roman" w:eastAsia="仿宋_GB2312" w:cs="Times New Roman"/>
          <w:color w:val="auto"/>
          <w:sz w:val="32"/>
          <w:szCs w:val="32"/>
          <w:highlight w:val="none"/>
          <w:lang w:val="en" w:eastAsia="zh-CN"/>
        </w:rPr>
        <w:t>20936.7</w:t>
      </w:r>
      <w:r>
        <w:rPr>
          <w:rFonts w:hint="default" w:ascii="Times New Roman" w:hAnsi="Times New Roman" w:eastAsia="仿宋_GB2312" w:cs="Times New Roman"/>
          <w:color w:val="auto"/>
          <w:sz w:val="32"/>
          <w:szCs w:val="32"/>
          <w:highlight w:val="none"/>
          <w:lang w:val="en-US" w:eastAsia="zh-CN"/>
        </w:rPr>
        <w:t>亿</w:t>
      </w:r>
      <w:r>
        <w:rPr>
          <w:rFonts w:hint="default" w:ascii="Times New Roman" w:hAnsi="Times New Roman" w:eastAsia="仿宋_GB2312" w:cs="Times New Roman"/>
          <w:color w:val="auto"/>
          <w:sz w:val="32"/>
          <w:szCs w:val="32"/>
          <w:highlight w:val="none"/>
        </w:rPr>
        <w:t>元限额内，债务风险总体可控。</w:t>
      </w:r>
      <w:r>
        <w:rPr>
          <w:rFonts w:hint="default" w:ascii="Times New Roman" w:hAnsi="Times New Roman" w:eastAsia="仿宋_GB2312" w:cs="Times New Roman"/>
          <w:color w:val="auto"/>
          <w:sz w:val="32"/>
          <w:szCs w:val="32"/>
          <w:highlight w:val="none"/>
          <w:lang w:val="en-US" w:eastAsia="zh-CN"/>
        </w:rPr>
        <w:t>分类型看：全省一般债务限额</w:t>
      </w:r>
      <w:r>
        <w:rPr>
          <w:rFonts w:hint="default" w:ascii="Times New Roman" w:hAnsi="Times New Roman" w:eastAsia="仿宋_GB2312" w:cs="Times New Roman"/>
          <w:color w:val="auto"/>
          <w:sz w:val="32"/>
          <w:szCs w:val="32"/>
          <w:highlight w:val="none"/>
          <w:lang w:val="en" w:eastAsia="zh-CN"/>
        </w:rPr>
        <w:t>7905.4</w:t>
      </w:r>
      <w:r>
        <w:rPr>
          <w:rFonts w:hint="default" w:ascii="Times New Roman" w:hAnsi="Times New Roman" w:eastAsia="仿宋_GB2312" w:cs="Times New Roman"/>
          <w:color w:val="auto"/>
          <w:sz w:val="32"/>
          <w:szCs w:val="32"/>
          <w:highlight w:val="none"/>
          <w:lang w:val="en-US" w:eastAsia="zh-CN"/>
        </w:rPr>
        <w:t>亿元，余额7615.6亿元；专项债务限额</w:t>
      </w:r>
      <w:r>
        <w:rPr>
          <w:rFonts w:hint="default" w:ascii="Times New Roman" w:hAnsi="Times New Roman" w:eastAsia="仿宋_GB2312" w:cs="Times New Roman"/>
          <w:color w:val="auto"/>
          <w:sz w:val="32"/>
          <w:szCs w:val="32"/>
          <w:highlight w:val="none"/>
          <w:lang w:val="en" w:eastAsia="zh-CN"/>
        </w:rPr>
        <w:t>13031.3</w:t>
      </w:r>
      <w:r>
        <w:rPr>
          <w:rFonts w:hint="default" w:ascii="Times New Roman" w:hAnsi="Times New Roman" w:eastAsia="仿宋_GB2312" w:cs="Times New Roman"/>
          <w:color w:val="auto"/>
          <w:sz w:val="32"/>
          <w:szCs w:val="32"/>
          <w:highlight w:val="none"/>
          <w:lang w:val="en-US" w:eastAsia="zh-CN"/>
        </w:rPr>
        <w:t>亿元，余额12654.1亿元。分级次看：省级债务限额</w:t>
      </w:r>
      <w:r>
        <w:rPr>
          <w:rFonts w:hint="default" w:ascii="Times New Roman" w:hAnsi="Times New Roman" w:eastAsia="仿宋_GB2312" w:cs="Times New Roman"/>
          <w:color w:val="auto"/>
          <w:sz w:val="32"/>
          <w:szCs w:val="32"/>
          <w:highlight w:val="none"/>
          <w:lang w:val="en" w:eastAsia="zh-CN"/>
        </w:rPr>
        <w:t>1516.7</w:t>
      </w:r>
      <w:r>
        <w:rPr>
          <w:rFonts w:hint="default" w:ascii="Times New Roman" w:hAnsi="Times New Roman" w:eastAsia="仿宋_GB2312" w:cs="Times New Roman"/>
          <w:color w:val="auto"/>
          <w:sz w:val="32"/>
          <w:szCs w:val="32"/>
          <w:highlight w:val="none"/>
          <w:lang w:val="en-US" w:eastAsia="zh-CN"/>
        </w:rPr>
        <w:t>亿元，余额1329.2亿元；市级债务限额</w:t>
      </w:r>
      <w:r>
        <w:rPr>
          <w:rFonts w:hint="default" w:ascii="Times New Roman" w:hAnsi="Times New Roman" w:eastAsia="仿宋_GB2312" w:cs="Times New Roman"/>
          <w:color w:val="auto"/>
          <w:sz w:val="32"/>
          <w:szCs w:val="32"/>
          <w:highlight w:val="none"/>
          <w:lang w:val="en" w:eastAsia="zh-CN"/>
        </w:rPr>
        <w:t>6183.5</w:t>
      </w:r>
      <w:r>
        <w:rPr>
          <w:rFonts w:hint="default" w:ascii="Times New Roman" w:hAnsi="Times New Roman" w:eastAsia="仿宋_GB2312" w:cs="Times New Roman"/>
          <w:color w:val="auto"/>
          <w:sz w:val="32"/>
          <w:szCs w:val="32"/>
          <w:highlight w:val="none"/>
          <w:lang w:val="en-US" w:eastAsia="zh-CN"/>
        </w:rPr>
        <w:t>亿元，余额</w:t>
      </w:r>
      <w:r>
        <w:rPr>
          <w:rFonts w:hint="default" w:ascii="Times New Roman" w:hAnsi="Times New Roman" w:eastAsia="仿宋_GB2312" w:cs="Times New Roman"/>
          <w:color w:val="auto"/>
          <w:sz w:val="32"/>
          <w:szCs w:val="32"/>
          <w:highlight w:val="none"/>
          <w:lang w:val="en" w:eastAsia="zh-CN"/>
        </w:rPr>
        <w:t>5988.4</w:t>
      </w:r>
      <w:r>
        <w:rPr>
          <w:rFonts w:hint="default" w:ascii="Times New Roman" w:hAnsi="Times New Roman" w:eastAsia="仿宋_GB2312" w:cs="Times New Roman"/>
          <w:color w:val="auto"/>
          <w:sz w:val="32"/>
          <w:szCs w:val="32"/>
          <w:highlight w:val="none"/>
          <w:lang w:val="en-US" w:eastAsia="zh-CN"/>
        </w:rPr>
        <w:t>亿元</w:t>
      </w:r>
      <w:r>
        <w:rPr>
          <w:rFonts w:hint="default" w:ascii="Times New Roman" w:hAnsi="Times New Roman" w:eastAsia="仿宋_GB2312" w:cs="Times New Roman"/>
          <w:color w:val="auto"/>
          <w:sz w:val="32"/>
          <w:szCs w:val="32"/>
          <w:highlight w:val="none"/>
          <w:lang w:val="en" w:eastAsia="zh-CN"/>
        </w:rPr>
        <w:t>;县</w:t>
      </w:r>
      <w:r>
        <w:rPr>
          <w:rFonts w:hint="default" w:ascii="Times New Roman" w:hAnsi="Times New Roman" w:eastAsia="仿宋_GB2312" w:cs="Times New Roman"/>
          <w:color w:val="auto"/>
          <w:sz w:val="32"/>
          <w:szCs w:val="32"/>
          <w:highlight w:val="none"/>
          <w:lang w:val="en-US" w:eastAsia="zh-CN"/>
        </w:rPr>
        <w:t>级债务限额13236.5亿元，余额12952.1亿元。</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2023年，全省新增政府债券主要聚焦成渝地区双城经济圈建设、新型工业化、乡村振兴等领域，有力支持了西渝高铁、川藏铁路引入段、亭子口灌区、三星堆遗址保护等重大项目建设</w:t>
      </w:r>
      <w:r>
        <w:rPr>
          <w:rFonts w:hint="default" w:ascii="Times New Roman" w:hAnsi="Times New Roman" w:eastAsia="仿宋_GB2312" w:cs="Times New Roman"/>
          <w:color w:val="auto"/>
          <w:sz w:val="32"/>
          <w:szCs w:val="32"/>
          <w:highlight w:val="none"/>
        </w:rPr>
        <w:t>。</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16"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（二）四川省加强债务管理、防范化解政府债务风险采取的主要措施。</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四川省委、省政府高度重视政府债务管理工作，积极采取有效措施完善相关制度机制，切实防范和化解地方政府债务风险。</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b w:val="0"/>
          <w:bCs w:val="0"/>
          <w:color w:val="auto"/>
          <w:sz w:val="32"/>
          <w:szCs w:val="32"/>
          <w:highlight w:val="none"/>
          <w:lang w:val="en-US" w:eastAsia="zh-CN"/>
        </w:rPr>
        <w:t>1</w:t>
      </w:r>
      <w:r>
        <w:rPr>
          <w:rFonts w:hint="default" w:ascii="Times New Roman" w:hAnsi="Times New Roman" w:eastAsia="楷体_GB2312" w:cs="Times New Roman"/>
          <w:color w:val="auto"/>
          <w:sz w:val="32"/>
          <w:szCs w:val="32"/>
          <w:highlight w:val="none"/>
          <w:lang w:val="en-US" w:eastAsia="zh-CN"/>
        </w:rPr>
        <w:t>.</w:t>
      </w:r>
      <w:r>
        <w:rPr>
          <w:rFonts w:hint="default" w:ascii="Times New Roman" w:hAnsi="Times New Roman" w:eastAsia="楷体_GB2312" w:cs="Times New Roman"/>
          <w:color w:val="auto"/>
          <w:sz w:val="32"/>
          <w:szCs w:val="32"/>
          <w:highlight w:val="none"/>
        </w:rPr>
        <w:t>加强统筹部署，完善政府债务管理。</w:t>
      </w:r>
    </w:p>
    <w:p>
      <w:pPr>
        <w:pStyle w:val="4"/>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lang w:eastAsia="zh-CN"/>
        </w:rPr>
        <w:t>完善管理制度机制</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rPr>
        <w:t>印发《四川省地方政府专项债券全生命周期管理办法》，进一步明确专项债券</w:t>
      </w:r>
      <w:r>
        <w:rPr>
          <w:rFonts w:hint="default" w:ascii="Times New Roman" w:hAnsi="Times New Roman" w:eastAsia="仿宋_GB2312" w:cs="Times New Roman"/>
          <w:color w:val="auto"/>
          <w:sz w:val="32"/>
          <w:szCs w:val="32"/>
          <w:highlight w:val="none"/>
          <w:lang w:eastAsia="zh-CN"/>
        </w:rPr>
        <w:t>“借、用、管、还”管理要求及程序</w:t>
      </w:r>
      <w:r>
        <w:rPr>
          <w:rFonts w:hint="default" w:ascii="Times New Roman" w:hAnsi="Times New Roman" w:eastAsia="仿宋_GB2312" w:cs="Times New Roman"/>
          <w:color w:val="auto"/>
          <w:sz w:val="32"/>
          <w:szCs w:val="32"/>
          <w:highlight w:val="none"/>
        </w:rPr>
        <w:t>，为地方做好</w:t>
      </w:r>
      <w:r>
        <w:rPr>
          <w:rFonts w:hint="default" w:ascii="Times New Roman" w:hAnsi="Times New Roman" w:eastAsia="仿宋_GB2312" w:cs="Times New Roman"/>
          <w:color w:val="auto"/>
          <w:sz w:val="32"/>
          <w:szCs w:val="32"/>
          <w:highlight w:val="none"/>
          <w:lang w:eastAsia="zh-CN"/>
        </w:rPr>
        <w:t>专项债券</w:t>
      </w:r>
      <w:r>
        <w:rPr>
          <w:rFonts w:hint="default" w:ascii="Times New Roman" w:hAnsi="Times New Roman" w:eastAsia="仿宋_GB2312" w:cs="Times New Roman"/>
          <w:color w:val="auto"/>
          <w:sz w:val="32"/>
          <w:szCs w:val="32"/>
          <w:highlight w:val="none"/>
        </w:rPr>
        <w:t>全生命周期管理提供政策指导。创新建立专项债券资金监管账户管理制度，通过“</w:t>
      </w:r>
      <w:r>
        <w:rPr>
          <w:rFonts w:hint="default" w:ascii="Times New Roman" w:hAnsi="Times New Roman" w:eastAsia="仿宋_GB2312" w:cs="Times New Roman"/>
          <w:color w:val="auto"/>
          <w:sz w:val="32"/>
          <w:szCs w:val="32"/>
          <w:highlight w:val="none"/>
          <w:lang w:eastAsia="zh-CN"/>
        </w:rPr>
        <w:t>国库集中支付</w:t>
      </w:r>
      <w:r>
        <w:rPr>
          <w:rFonts w:hint="default" w:ascii="Times New Roman" w:hAnsi="Times New Roman" w:eastAsia="仿宋_GB2312" w:cs="Times New Roman"/>
          <w:color w:val="auto"/>
          <w:sz w:val="32"/>
          <w:szCs w:val="32"/>
          <w:highlight w:val="none"/>
          <w:lang w:val="en-US" w:eastAsia="zh-CN"/>
        </w:rPr>
        <w:t>+企业监管</w:t>
      </w:r>
      <w:r>
        <w:rPr>
          <w:rFonts w:hint="default" w:ascii="Times New Roman" w:hAnsi="Times New Roman" w:eastAsia="仿宋_GB2312" w:cs="Times New Roman"/>
          <w:color w:val="auto"/>
          <w:sz w:val="32"/>
          <w:szCs w:val="32"/>
          <w:highlight w:val="none"/>
        </w:rPr>
        <w:t>账户+管理系统”</w:t>
      </w:r>
      <w:r>
        <w:rPr>
          <w:rFonts w:hint="default" w:ascii="Times New Roman" w:hAnsi="Times New Roman" w:eastAsia="仿宋_GB2312" w:cs="Times New Roman"/>
          <w:color w:val="auto"/>
          <w:sz w:val="32"/>
          <w:szCs w:val="32"/>
          <w:highlight w:val="none"/>
          <w:lang w:val="en-US" w:eastAsia="zh-CN"/>
        </w:rPr>
        <w:t>方式</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对资金支付</w:t>
      </w:r>
      <w:r>
        <w:rPr>
          <w:rFonts w:hint="default" w:ascii="Times New Roman" w:hAnsi="Times New Roman" w:eastAsia="仿宋_GB2312" w:cs="Times New Roman"/>
          <w:color w:val="auto"/>
          <w:sz w:val="32"/>
          <w:szCs w:val="32"/>
          <w:highlight w:val="none"/>
        </w:rPr>
        <w:t>实现“一竿子插到底”穿透监管，最大限度消除监管盲区</w:t>
      </w:r>
      <w:r>
        <w:rPr>
          <w:rFonts w:hint="default" w:ascii="Times New Roman" w:hAnsi="Times New Roman" w:eastAsia="仿宋_GB2312" w:cs="Times New Roman"/>
          <w:color w:val="auto"/>
          <w:sz w:val="32"/>
          <w:szCs w:val="32"/>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（2）严格债务预算管理。</w:t>
      </w:r>
      <w:r>
        <w:rPr>
          <w:rFonts w:hint="default" w:ascii="Times New Roman" w:hAnsi="Times New Roman" w:eastAsia="仿宋_GB2312" w:cs="Times New Roman"/>
          <w:color w:val="auto"/>
          <w:sz w:val="32"/>
          <w:szCs w:val="32"/>
          <w:highlight w:val="none"/>
          <w:lang w:val="en-US" w:eastAsia="zh-CN"/>
        </w:rPr>
        <w:t>将债务收入、支出、还本、付息、发行全面纳入预算管理。督促省级部门和市县部门通过安排年度预算资金、盘活存量资金等偿还政府债务，发行适当规模再融资债券偿还到期债券本金。</w:t>
      </w:r>
    </w:p>
    <w:p>
      <w:pPr>
        <w:pStyle w:val="4"/>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（3）推进债务管理绩效考核。</w:t>
      </w:r>
      <w:r>
        <w:rPr>
          <w:rFonts w:hint="default" w:ascii="Times New Roman" w:hAnsi="Times New Roman" w:eastAsia="仿宋_GB2312" w:cs="Times New Roman"/>
          <w:b w:val="0"/>
          <w:bCs w:val="0"/>
          <w:color w:val="auto"/>
          <w:sz w:val="32"/>
          <w:szCs w:val="32"/>
          <w:highlight w:val="none"/>
          <w:lang w:val="en-US" w:eastAsia="zh-CN"/>
        </w:rPr>
        <w:t>省级财政每年选取部分重点领域开展重点绩效评价，并将评价结果纳入新增债务限额分配测算因素中，</w:t>
      </w:r>
      <w:r>
        <w:rPr>
          <w:rFonts w:hint="default" w:ascii="Times New Roman" w:hAnsi="Times New Roman" w:eastAsia="仿宋_GB2312" w:cs="Times New Roman"/>
          <w:b w:val="0"/>
          <w:bCs w:val="0"/>
          <w:color w:val="auto"/>
          <w:sz w:val="32"/>
          <w:szCs w:val="32"/>
          <w:highlight w:val="none"/>
        </w:rPr>
        <w:t>引导地方政府树立“举债必问效，无效必问责”的资</w:t>
      </w:r>
      <w:r>
        <w:rPr>
          <w:rFonts w:hint="default" w:ascii="Times New Roman" w:hAnsi="Times New Roman" w:eastAsia="仿宋_GB2312" w:cs="Times New Roman"/>
          <w:b w:val="0"/>
          <w:bCs w:val="0"/>
          <w:color w:val="auto"/>
          <w:sz w:val="32"/>
          <w:szCs w:val="32"/>
          <w:highlight w:val="none"/>
          <w:lang w:val="en-US" w:eastAsia="zh-CN"/>
        </w:rPr>
        <w:t>金管理理念，促进债券资金安全高效使用。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kern w:val="2"/>
          <w:sz w:val="32"/>
          <w:szCs w:val="32"/>
          <w:highlight w:val="none"/>
          <w:lang w:val="en-US" w:eastAsia="zh-CN" w:bidi="ar-SA"/>
        </w:rPr>
      </w:pPr>
      <w:r>
        <w:rPr>
          <w:rFonts w:hint="default" w:ascii="Times New Roman" w:hAnsi="Times New Roman" w:eastAsia="方正楷体简体" w:cs="Times New Roman"/>
          <w:color w:val="auto"/>
          <w:kern w:val="2"/>
          <w:sz w:val="32"/>
          <w:szCs w:val="32"/>
          <w:highlight w:val="none"/>
          <w:lang w:val="en-US" w:eastAsia="zh-CN" w:bidi="ar-SA"/>
        </w:rPr>
        <w:t>2</w:t>
      </w:r>
      <w:r>
        <w:rPr>
          <w:rFonts w:hint="default" w:ascii="Times New Roman" w:hAnsi="Times New Roman" w:eastAsia="楷体_GB2312" w:cs="Times New Roman"/>
          <w:color w:val="auto"/>
          <w:kern w:val="2"/>
          <w:sz w:val="32"/>
          <w:szCs w:val="32"/>
          <w:highlight w:val="none"/>
          <w:lang w:val="en-US" w:eastAsia="zh-CN" w:bidi="ar-SA"/>
        </w:rPr>
        <w:t>.聚焦重点领域，加力促投资稳增长。</w:t>
      </w:r>
    </w:p>
    <w:p>
      <w:pPr>
        <w:pStyle w:val="4"/>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（1）积极落实中央和省委安排部署。</w:t>
      </w:r>
      <w:r>
        <w:rPr>
          <w:rFonts w:hint="default" w:ascii="Times New Roman" w:hAnsi="Times New Roman" w:eastAsia="仿宋_GB2312" w:cs="Times New Roman"/>
          <w:color w:val="auto"/>
          <w:sz w:val="32"/>
          <w:szCs w:val="32"/>
          <w:highlight w:val="none"/>
          <w:lang w:val="en-US" w:eastAsia="zh-CN"/>
        </w:rPr>
        <w:t>坚持“资金跟着项目走”原则，聚焦成渝地区双城经济圈建设、乡村振兴等中央和省重大战略项目，优先支持省委省政府明确的铁路、三星堆等重点领域项目，积极向中央汇报，争取新增限额支持，增强对重大战略决策的支撑力度，充分发挥债券资金逆周期调节、“补短板、惠民生、促消费、扩内需”的积极作用。</w:t>
      </w:r>
    </w:p>
    <w:p>
      <w:pPr>
        <w:pStyle w:val="4"/>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（2）精心优选债券发行项目。</w:t>
      </w:r>
      <w:r>
        <w:rPr>
          <w:rFonts w:hint="default" w:ascii="Times New Roman" w:hAnsi="Times New Roman" w:eastAsia="仿宋_GB2312" w:cs="Times New Roman"/>
          <w:color w:val="auto"/>
          <w:sz w:val="32"/>
          <w:szCs w:val="32"/>
          <w:highlight w:val="none"/>
          <w:lang w:val="en-US" w:eastAsia="zh-CN"/>
        </w:rPr>
        <w:t>坚持专项债券用于有一定收益的公益性项目，融资规模与收益相平衡，联合省级相关行业主管部门、金融机构等相关专家，严格按照专项债券发行条件对拟发债项目进行联合把关，确保项目的可行性与专项债券资金安排合规性，切实把好“入口关”。统筹做好存量项目与新增项目发行，优先保障在建项目融资需求，坚决防止“撒胡椒面”和出现“半拉子工程”。</w:t>
      </w:r>
    </w:p>
    <w:p>
      <w:pPr>
        <w:pStyle w:val="4"/>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（3）加快债券使用进度。</w:t>
      </w:r>
      <w:r>
        <w:rPr>
          <w:rFonts w:hint="default" w:ascii="Times New Roman" w:hAnsi="Times New Roman" w:eastAsia="仿宋_GB2312" w:cs="Times New Roman"/>
          <w:color w:val="auto"/>
          <w:sz w:val="32"/>
          <w:szCs w:val="32"/>
          <w:highlight w:val="none"/>
          <w:lang w:val="en-US" w:eastAsia="zh-CN"/>
        </w:rPr>
        <w:t>提前做好资金拨付方案，确保新增债券资金及时拨付至市县；建立“日监测、周调度、月通报”机制，督促市县加快债券资金拨付使用进度，新增专项债券使用进度进一步加快。</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3.强化风险防控，牢牢守住防范风险底线。</w:t>
      </w:r>
    </w:p>
    <w:p>
      <w:pPr>
        <w:pStyle w:val="4"/>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（1）严格债务限额管理。</w:t>
      </w:r>
      <w:r>
        <w:rPr>
          <w:rFonts w:hint="default" w:ascii="Times New Roman" w:hAnsi="Times New Roman" w:eastAsia="仿宋_GB2312" w:cs="Times New Roman"/>
          <w:b w:val="0"/>
          <w:bCs w:val="0"/>
          <w:color w:val="auto"/>
          <w:sz w:val="32"/>
          <w:szCs w:val="32"/>
          <w:highlight w:val="none"/>
        </w:rPr>
        <w:t>根据</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风险等因素科学分配市县新增</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限额，对</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风险较高地区适当限制新增债券额度，引导地方政府加大化债力度，控制</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风险水平。</w:t>
      </w:r>
      <w:r>
        <w:rPr>
          <w:rFonts w:hint="default" w:ascii="Times New Roman" w:hAnsi="Times New Roman" w:eastAsia="仿宋_GB2312" w:cs="Times New Roman"/>
          <w:b w:val="0"/>
          <w:bCs w:val="0"/>
          <w:color w:val="auto"/>
          <w:sz w:val="32"/>
          <w:szCs w:val="32"/>
          <w:highlight w:val="none"/>
          <w:lang w:val="en-US" w:eastAsia="zh-CN"/>
        </w:rPr>
        <w:t>2023年</w:t>
      </w:r>
      <w:r>
        <w:rPr>
          <w:rFonts w:hint="default" w:ascii="Times New Roman" w:hAnsi="Times New Roman" w:eastAsia="仿宋_GB2312" w:cs="Times New Roman"/>
          <w:b w:val="0"/>
          <w:bCs w:val="0"/>
          <w:color w:val="auto"/>
          <w:sz w:val="32"/>
          <w:szCs w:val="32"/>
          <w:highlight w:val="none"/>
        </w:rPr>
        <w:t>全省政府</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余额严格控制在财政部核定我省</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限额以内，</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风险总体可控</w:t>
      </w:r>
      <w:r>
        <w:rPr>
          <w:rFonts w:hint="default" w:ascii="Times New Roman" w:hAnsi="Times New Roman" w:eastAsia="仿宋_GB2312" w:cs="Times New Roman"/>
          <w:color w:val="auto"/>
          <w:sz w:val="32"/>
          <w:szCs w:val="32"/>
          <w:highlight w:val="none"/>
          <w:lang w:val="en-US" w:eastAsia="zh-CN"/>
        </w:rPr>
        <w:t>。</w:t>
      </w:r>
    </w:p>
    <w:p>
      <w:pPr>
        <w:pStyle w:val="4"/>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（2）全面完成到期政府债务偿还。</w:t>
      </w:r>
      <w:r>
        <w:rPr>
          <w:rFonts w:hint="default" w:ascii="Times New Roman" w:hAnsi="Times New Roman" w:eastAsia="仿宋_GB2312" w:cs="Times New Roman"/>
          <w:color w:val="auto"/>
          <w:sz w:val="32"/>
          <w:szCs w:val="32"/>
          <w:highlight w:val="none"/>
          <w:lang w:val="en-US" w:eastAsia="zh-CN"/>
        </w:rPr>
        <w:t>依法落实法定债券偿还责任，按照“谁使用、谁偿还”的原则，严格落实偿债资金来源，提高自有资金偿债比例，切实维护了省政府信誉。</w:t>
      </w:r>
    </w:p>
    <w:p>
      <w:pPr>
        <w:pStyle w:val="4"/>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（3）强化债务风险监测预警。</w:t>
      </w:r>
      <w:r>
        <w:rPr>
          <w:rFonts w:hint="default" w:ascii="Times New Roman" w:hAnsi="Times New Roman" w:eastAsia="仿宋_GB2312" w:cs="Times New Roman"/>
          <w:b w:val="0"/>
          <w:bCs w:val="0"/>
          <w:color w:val="auto"/>
          <w:sz w:val="32"/>
          <w:szCs w:val="32"/>
          <w:highlight w:val="none"/>
        </w:rPr>
        <w:t>定期开展</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风险评估，及时通报评估结果</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用好发函提示、落实跟踪整改和约谈督促“两书一函”制度，</w:t>
      </w:r>
      <w:r>
        <w:rPr>
          <w:rFonts w:hint="default" w:ascii="Times New Roman" w:hAnsi="Times New Roman" w:eastAsia="仿宋_GB2312" w:cs="Times New Roman"/>
          <w:b w:val="0"/>
          <w:bCs w:val="0"/>
          <w:color w:val="auto"/>
          <w:sz w:val="32"/>
          <w:szCs w:val="32"/>
          <w:highlight w:val="none"/>
          <w:lang w:eastAsia="zh-CN"/>
        </w:rPr>
        <w:t>强化预警提示</w:t>
      </w:r>
      <w:r>
        <w:rPr>
          <w:rFonts w:hint="default" w:ascii="Times New Roman" w:hAnsi="Times New Roman" w:eastAsia="仿宋_GB2312" w:cs="Times New Roman"/>
          <w:color w:val="auto"/>
          <w:sz w:val="32"/>
          <w:szCs w:val="32"/>
          <w:highlight w:val="none"/>
          <w:lang w:val="en-US" w:eastAsia="zh-CN"/>
        </w:rPr>
        <w:t>。</w:t>
      </w:r>
    </w:p>
    <w:p>
      <w:pPr>
        <w:pStyle w:val="4"/>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（4）严格违规举债追责问责。</w:t>
      </w:r>
      <w:r>
        <w:rPr>
          <w:rFonts w:hint="default" w:ascii="Times New Roman" w:hAnsi="Times New Roman" w:eastAsia="仿宋_GB2312" w:cs="Times New Roman"/>
          <w:b w:val="0"/>
          <w:bCs w:val="0"/>
          <w:color w:val="auto"/>
          <w:sz w:val="32"/>
          <w:szCs w:val="32"/>
          <w:highlight w:val="none"/>
          <w:lang w:eastAsia="zh-CN"/>
        </w:rPr>
        <w:t>严格落实政府举债终身问责制和债务问题倒查机制，实施隐性债务问责闭环管理</w:t>
      </w:r>
      <w:r>
        <w:rPr>
          <w:rFonts w:hint="default" w:ascii="Times New Roman" w:hAnsi="Times New Roman" w:eastAsia="仿宋_GB2312" w:cs="Times New Roman"/>
          <w:b w:val="0"/>
          <w:bCs w:val="0"/>
          <w:color w:val="auto"/>
          <w:sz w:val="32"/>
          <w:szCs w:val="32"/>
          <w:highlight w:val="none"/>
        </w:rPr>
        <w:t>，积极配合省纪委监委对相关责任主体进行追责问责。</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（此页无正文）</w:t>
      </w:r>
    </w:p>
    <w:p>
      <w:pPr>
        <w:keepNext w:val="0"/>
        <w:keepLines w:val="0"/>
        <w:pageBreakBefore w:val="0"/>
        <w:kinsoku/>
        <w:wordWrap/>
        <w:overflowPunct/>
        <w:topLinePunct w:val="0"/>
        <w:autoSpaceDE/>
        <w:autoSpaceDN/>
        <w:bidi w:val="0"/>
        <w:adjustRightInd/>
        <w:snapToGrid/>
        <w:spacing w:line="580" w:lineRule="exact"/>
        <w:ind w:right="770"/>
        <w:jc w:val="right"/>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四川省财政厅</w:t>
      </w:r>
    </w:p>
    <w:p>
      <w:pPr>
        <w:keepNext w:val="0"/>
        <w:keepLines w:val="0"/>
        <w:pageBreakBefore w:val="0"/>
        <w:kinsoku/>
        <w:wordWrap/>
        <w:overflowPunct/>
        <w:topLinePunct w:val="0"/>
        <w:autoSpaceDE/>
        <w:autoSpaceDN/>
        <w:bidi w:val="0"/>
        <w:adjustRightInd/>
        <w:snapToGrid/>
        <w:spacing w:line="580" w:lineRule="exact"/>
        <w:ind w:right="460"/>
        <w:jc w:val="right"/>
        <w:textAlignment w:val="auto"/>
        <w:rPr>
          <w:rFonts w:hint="default" w:ascii="Times New Roman" w:hAnsi="Times New Roman" w:cs="Times New Roman"/>
          <w:color w:val="auto"/>
          <w:sz w:val="32"/>
          <w:szCs w:val="32"/>
          <w:highlight w:val="none"/>
        </w:rPr>
      </w:pPr>
      <w:r>
        <w:rPr>
          <w:rFonts w:hint="eastAsia" w:cs="Times New Roman"/>
          <w:color w:val="auto"/>
          <w:sz w:val="32"/>
          <w:szCs w:val="32"/>
          <w:highlight w:val="none"/>
          <w:lang w:eastAsia="zh-CN"/>
        </w:rPr>
        <w:t>2025年</w:t>
      </w:r>
      <w:r>
        <w:rPr>
          <w:rFonts w:hint="default" w:ascii="Times New Roman" w:hAnsi="Times New Roman" w:cs="Times New Roman"/>
          <w:color w:val="auto"/>
          <w:sz w:val="32"/>
          <w:szCs w:val="32"/>
          <w:highlight w:val="none"/>
          <w:lang w:val="en-US" w:eastAsia="zh-CN"/>
        </w:rPr>
        <w:t>1</w:t>
      </w:r>
      <w:r>
        <w:rPr>
          <w:rFonts w:hint="default" w:ascii="Times New Roman" w:hAnsi="Times New Roman" w:cs="Times New Roman"/>
          <w:color w:val="auto"/>
          <w:sz w:val="32"/>
          <w:szCs w:val="32"/>
          <w:highlight w:val="none"/>
        </w:rPr>
        <w:t>月</w:t>
      </w:r>
      <w:r>
        <w:rPr>
          <w:rFonts w:hint="eastAsia" w:cs="Times New Roman"/>
          <w:color w:val="auto"/>
          <w:sz w:val="32"/>
          <w:szCs w:val="32"/>
          <w:highlight w:val="none"/>
          <w:lang w:val="en-US" w:eastAsia="zh-CN"/>
        </w:rPr>
        <w:t>14</w:t>
      </w:r>
      <w:r>
        <w:rPr>
          <w:rFonts w:hint="default" w:ascii="Times New Roman" w:hAnsi="Times New Roman" w:cs="Times New Roman"/>
          <w:color w:val="auto"/>
          <w:sz w:val="32"/>
          <w:szCs w:val="32"/>
          <w:highlight w:val="none"/>
        </w:rPr>
        <w:t>日</w:t>
      </w:r>
    </w:p>
    <w:sectPr>
      <w:footerReference r:id="rId3" w:type="default"/>
      <w:footerReference r:id="rId4" w:type="even"/>
      <w:pgSz w:w="11906" w:h="16838"/>
      <w:pgMar w:top="1757" w:right="1474" w:bottom="1871" w:left="1588" w:header="851" w:footer="992" w:gutter="0"/>
      <w:pgNumType w:fmt="numberInDash"/>
      <w:cols w:space="0" w:num="1"/>
      <w:rtlGutter w:val="0"/>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1A0F3C52" w:usb2="00000010" w:usb3="00000000" w:csb0="0004001F" w:csb1="00000000"/>
  </w:font>
  <w:font w:name="汉仪舒同体简">
    <w:panose1 w:val="02010609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9278"/>
      <w:docPartObj>
        <w:docPartGallery w:val="autotext"/>
      </w:docPartObj>
    </w:sdtPr>
    <w:sdtEndPr>
      <w:rPr>
        <w:rFonts w:asciiTheme="minorEastAsia" w:hAnsiTheme="minorEastAsia"/>
        <w:sz w:val="28"/>
        <w:szCs w:val="28"/>
      </w:rPr>
    </w:sdtEndPr>
    <w:sdtContent>
      <w:p>
        <w:pPr>
          <w:pStyle w:val="6"/>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9 -</w:t>
        </w:r>
        <w:r>
          <w:rPr>
            <w:rFonts w:asciiTheme="minorEastAsia" w:hAnsiTheme="minorEastAsia"/>
            <w:sz w:val="28"/>
            <w:szCs w:val="28"/>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9279"/>
      <w:docPartObj>
        <w:docPartGallery w:val="autotext"/>
      </w:docPartObj>
    </w:sdtPr>
    <w:sdtEndPr>
      <w:rPr>
        <w:rFonts w:asciiTheme="minorEastAsia" w:hAnsiTheme="minorEastAsia"/>
        <w:sz w:val="28"/>
        <w:szCs w:val="28"/>
      </w:rPr>
    </w:sdtEndPr>
    <w:sdtContent>
      <w:p>
        <w:pPr>
          <w:pStyle w:val="6"/>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430BE2"/>
    <w:multiLevelType w:val="singleLevel"/>
    <w:tmpl w:val="EE430BE2"/>
    <w:lvl w:ilvl="0" w:tentative="0">
      <w:start w:val="4"/>
      <w:numFmt w:val="chineseCounting"/>
      <w:suff w:val="nothing"/>
      <w:lvlText w:val="%1、"/>
      <w:lvlJc w:val="left"/>
      <w:pPr>
        <w:ind w:left="640" w:leftChars="0" w:firstLine="0" w:firstLineChars="0"/>
      </w:pPr>
      <w:rPr>
        <w:rFonts w:hint="eastAsia"/>
      </w:rPr>
    </w:lvl>
  </w:abstractNum>
  <w:abstractNum w:abstractNumId="1">
    <w:nsid w:val="F7C65B72"/>
    <w:multiLevelType w:val="singleLevel"/>
    <w:tmpl w:val="F7C65B7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evenAndOddHeaders w:val="true"/>
  <w:drawingGridHorizontalSpacing w:val="150"/>
  <w:drawingGridVerticalSpacing w:val="204"/>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YzE3YWExNzRhZWE0NjUzYzc4ZjdjNzA2MWRkMjcifQ=="/>
  </w:docVars>
  <w:rsids>
    <w:rsidRoot w:val="00D75D48"/>
    <w:rsid w:val="00003E0D"/>
    <w:rsid w:val="0000494F"/>
    <w:rsid w:val="00006366"/>
    <w:rsid w:val="00011EFF"/>
    <w:rsid w:val="00013565"/>
    <w:rsid w:val="00014F5C"/>
    <w:rsid w:val="00042444"/>
    <w:rsid w:val="000434E1"/>
    <w:rsid w:val="0004465C"/>
    <w:rsid w:val="00050F45"/>
    <w:rsid w:val="0005104D"/>
    <w:rsid w:val="00051067"/>
    <w:rsid w:val="00064B6B"/>
    <w:rsid w:val="00072ECB"/>
    <w:rsid w:val="00076E3A"/>
    <w:rsid w:val="00086525"/>
    <w:rsid w:val="000B5961"/>
    <w:rsid w:val="000B5B7E"/>
    <w:rsid w:val="000B7854"/>
    <w:rsid w:val="000C057D"/>
    <w:rsid w:val="000C06BC"/>
    <w:rsid w:val="000C478F"/>
    <w:rsid w:val="000C61D3"/>
    <w:rsid w:val="000D26F6"/>
    <w:rsid w:val="000D2B72"/>
    <w:rsid w:val="000D6165"/>
    <w:rsid w:val="000E3A19"/>
    <w:rsid w:val="00100DFA"/>
    <w:rsid w:val="00103061"/>
    <w:rsid w:val="00111B35"/>
    <w:rsid w:val="00112550"/>
    <w:rsid w:val="00112C8E"/>
    <w:rsid w:val="00114227"/>
    <w:rsid w:val="00114AAC"/>
    <w:rsid w:val="0011601A"/>
    <w:rsid w:val="00122059"/>
    <w:rsid w:val="001304D1"/>
    <w:rsid w:val="001308F0"/>
    <w:rsid w:val="001313BE"/>
    <w:rsid w:val="0013220C"/>
    <w:rsid w:val="0013365E"/>
    <w:rsid w:val="00145A97"/>
    <w:rsid w:val="0015095B"/>
    <w:rsid w:val="00150AC6"/>
    <w:rsid w:val="001516FD"/>
    <w:rsid w:val="00152AC1"/>
    <w:rsid w:val="001604AA"/>
    <w:rsid w:val="00162AFA"/>
    <w:rsid w:val="00163296"/>
    <w:rsid w:val="00167196"/>
    <w:rsid w:val="00172DB6"/>
    <w:rsid w:val="00174E86"/>
    <w:rsid w:val="001771B7"/>
    <w:rsid w:val="001845A6"/>
    <w:rsid w:val="00191893"/>
    <w:rsid w:val="001967F2"/>
    <w:rsid w:val="001A1B79"/>
    <w:rsid w:val="001B15E9"/>
    <w:rsid w:val="001B2A8F"/>
    <w:rsid w:val="001B33BC"/>
    <w:rsid w:val="001C5458"/>
    <w:rsid w:val="001D0426"/>
    <w:rsid w:val="001E1271"/>
    <w:rsid w:val="001F2BD7"/>
    <w:rsid w:val="001F65CB"/>
    <w:rsid w:val="00201608"/>
    <w:rsid w:val="0021141B"/>
    <w:rsid w:val="002128A8"/>
    <w:rsid w:val="00214C8D"/>
    <w:rsid w:val="00215BF8"/>
    <w:rsid w:val="00224B21"/>
    <w:rsid w:val="00227533"/>
    <w:rsid w:val="00232C05"/>
    <w:rsid w:val="002357DE"/>
    <w:rsid w:val="0023682D"/>
    <w:rsid w:val="00240592"/>
    <w:rsid w:val="00240B03"/>
    <w:rsid w:val="0024109D"/>
    <w:rsid w:val="0025728B"/>
    <w:rsid w:val="002622FC"/>
    <w:rsid w:val="00266CD1"/>
    <w:rsid w:val="00267A87"/>
    <w:rsid w:val="00274608"/>
    <w:rsid w:val="00286EF0"/>
    <w:rsid w:val="00291577"/>
    <w:rsid w:val="002973D9"/>
    <w:rsid w:val="002979A1"/>
    <w:rsid w:val="002A1BF4"/>
    <w:rsid w:val="002A2309"/>
    <w:rsid w:val="002A3BC7"/>
    <w:rsid w:val="002A5445"/>
    <w:rsid w:val="002A5D72"/>
    <w:rsid w:val="002A729F"/>
    <w:rsid w:val="002B14F3"/>
    <w:rsid w:val="002B7582"/>
    <w:rsid w:val="002B7F17"/>
    <w:rsid w:val="002C08AD"/>
    <w:rsid w:val="002C0B80"/>
    <w:rsid w:val="002C2F9A"/>
    <w:rsid w:val="002D09F3"/>
    <w:rsid w:val="002D34DE"/>
    <w:rsid w:val="002D3E97"/>
    <w:rsid w:val="002D7B82"/>
    <w:rsid w:val="002E3BF3"/>
    <w:rsid w:val="002E3CAF"/>
    <w:rsid w:val="002E7F88"/>
    <w:rsid w:val="002F02C0"/>
    <w:rsid w:val="002F51FB"/>
    <w:rsid w:val="002F6DDA"/>
    <w:rsid w:val="00300299"/>
    <w:rsid w:val="003142FA"/>
    <w:rsid w:val="003201E1"/>
    <w:rsid w:val="00323F8A"/>
    <w:rsid w:val="00330ADC"/>
    <w:rsid w:val="0033296F"/>
    <w:rsid w:val="00334122"/>
    <w:rsid w:val="00334C10"/>
    <w:rsid w:val="00334EBB"/>
    <w:rsid w:val="00337972"/>
    <w:rsid w:val="00340EAF"/>
    <w:rsid w:val="00345D80"/>
    <w:rsid w:val="00345E5A"/>
    <w:rsid w:val="00347B91"/>
    <w:rsid w:val="0035563B"/>
    <w:rsid w:val="0037122D"/>
    <w:rsid w:val="00372C4C"/>
    <w:rsid w:val="00377FC2"/>
    <w:rsid w:val="00381216"/>
    <w:rsid w:val="003823B9"/>
    <w:rsid w:val="0038792C"/>
    <w:rsid w:val="00387BB4"/>
    <w:rsid w:val="003949A1"/>
    <w:rsid w:val="003968AB"/>
    <w:rsid w:val="003A2602"/>
    <w:rsid w:val="003A336F"/>
    <w:rsid w:val="003A376D"/>
    <w:rsid w:val="003A7080"/>
    <w:rsid w:val="003C1A8A"/>
    <w:rsid w:val="003C509D"/>
    <w:rsid w:val="003D16F1"/>
    <w:rsid w:val="003D2881"/>
    <w:rsid w:val="003D5824"/>
    <w:rsid w:val="003E5B33"/>
    <w:rsid w:val="003E7CBF"/>
    <w:rsid w:val="003F7949"/>
    <w:rsid w:val="004025DD"/>
    <w:rsid w:val="00405B5D"/>
    <w:rsid w:val="004244C3"/>
    <w:rsid w:val="00427BCA"/>
    <w:rsid w:val="00430B0B"/>
    <w:rsid w:val="00435BA4"/>
    <w:rsid w:val="0045340E"/>
    <w:rsid w:val="00464202"/>
    <w:rsid w:val="004665B7"/>
    <w:rsid w:val="00482921"/>
    <w:rsid w:val="00484B65"/>
    <w:rsid w:val="00493BA0"/>
    <w:rsid w:val="0049492E"/>
    <w:rsid w:val="00495E42"/>
    <w:rsid w:val="004C0034"/>
    <w:rsid w:val="004C4227"/>
    <w:rsid w:val="004C4C68"/>
    <w:rsid w:val="004C52D6"/>
    <w:rsid w:val="004C5559"/>
    <w:rsid w:val="004C68A8"/>
    <w:rsid w:val="004C6AB9"/>
    <w:rsid w:val="004D711D"/>
    <w:rsid w:val="004E4A3D"/>
    <w:rsid w:val="004E758F"/>
    <w:rsid w:val="004F3907"/>
    <w:rsid w:val="004F4EDC"/>
    <w:rsid w:val="005066EB"/>
    <w:rsid w:val="0051060A"/>
    <w:rsid w:val="00514186"/>
    <w:rsid w:val="005164E3"/>
    <w:rsid w:val="005266A3"/>
    <w:rsid w:val="00530BCF"/>
    <w:rsid w:val="0054212C"/>
    <w:rsid w:val="00547F50"/>
    <w:rsid w:val="00550728"/>
    <w:rsid w:val="00551339"/>
    <w:rsid w:val="00553278"/>
    <w:rsid w:val="005564ED"/>
    <w:rsid w:val="00560934"/>
    <w:rsid w:val="00562DBE"/>
    <w:rsid w:val="0057119A"/>
    <w:rsid w:val="00575715"/>
    <w:rsid w:val="00582986"/>
    <w:rsid w:val="00585D39"/>
    <w:rsid w:val="005939A3"/>
    <w:rsid w:val="00596800"/>
    <w:rsid w:val="005B7EF1"/>
    <w:rsid w:val="005C3F98"/>
    <w:rsid w:val="005C4897"/>
    <w:rsid w:val="005C5FE3"/>
    <w:rsid w:val="005D7486"/>
    <w:rsid w:val="005D77D3"/>
    <w:rsid w:val="005E428F"/>
    <w:rsid w:val="005F3BAA"/>
    <w:rsid w:val="00600229"/>
    <w:rsid w:val="00600D0F"/>
    <w:rsid w:val="00602DC6"/>
    <w:rsid w:val="00604732"/>
    <w:rsid w:val="00610FF1"/>
    <w:rsid w:val="0061500F"/>
    <w:rsid w:val="00626C40"/>
    <w:rsid w:val="00633023"/>
    <w:rsid w:val="00640201"/>
    <w:rsid w:val="00642D24"/>
    <w:rsid w:val="0064355D"/>
    <w:rsid w:val="00650C3F"/>
    <w:rsid w:val="00665F72"/>
    <w:rsid w:val="006740B9"/>
    <w:rsid w:val="00676073"/>
    <w:rsid w:val="00680AB5"/>
    <w:rsid w:val="0068465F"/>
    <w:rsid w:val="0068663E"/>
    <w:rsid w:val="00692FD2"/>
    <w:rsid w:val="00694C5B"/>
    <w:rsid w:val="00695408"/>
    <w:rsid w:val="006B060D"/>
    <w:rsid w:val="006B0DF3"/>
    <w:rsid w:val="006B2B7B"/>
    <w:rsid w:val="006C2963"/>
    <w:rsid w:val="006C5601"/>
    <w:rsid w:val="006C6E5C"/>
    <w:rsid w:val="006E36A4"/>
    <w:rsid w:val="006F1D06"/>
    <w:rsid w:val="006F3245"/>
    <w:rsid w:val="006F61C3"/>
    <w:rsid w:val="006F741D"/>
    <w:rsid w:val="00720087"/>
    <w:rsid w:val="0073154D"/>
    <w:rsid w:val="00735355"/>
    <w:rsid w:val="00736241"/>
    <w:rsid w:val="007439DF"/>
    <w:rsid w:val="00744D83"/>
    <w:rsid w:val="0074763B"/>
    <w:rsid w:val="00751DC4"/>
    <w:rsid w:val="00752172"/>
    <w:rsid w:val="0075416B"/>
    <w:rsid w:val="00755C05"/>
    <w:rsid w:val="00761AB3"/>
    <w:rsid w:val="0076444B"/>
    <w:rsid w:val="007649E4"/>
    <w:rsid w:val="00780DBC"/>
    <w:rsid w:val="00782D0A"/>
    <w:rsid w:val="0078416A"/>
    <w:rsid w:val="007923F9"/>
    <w:rsid w:val="007932C3"/>
    <w:rsid w:val="007A058B"/>
    <w:rsid w:val="007A06F5"/>
    <w:rsid w:val="007A14E8"/>
    <w:rsid w:val="007B35D3"/>
    <w:rsid w:val="007B6043"/>
    <w:rsid w:val="007C317A"/>
    <w:rsid w:val="007C69F9"/>
    <w:rsid w:val="007E1599"/>
    <w:rsid w:val="007E6026"/>
    <w:rsid w:val="007F1013"/>
    <w:rsid w:val="007F4D11"/>
    <w:rsid w:val="00805FEC"/>
    <w:rsid w:val="00823002"/>
    <w:rsid w:val="008277DF"/>
    <w:rsid w:val="008329C9"/>
    <w:rsid w:val="00842479"/>
    <w:rsid w:val="0085799F"/>
    <w:rsid w:val="00860197"/>
    <w:rsid w:val="008604DB"/>
    <w:rsid w:val="00875865"/>
    <w:rsid w:val="00882426"/>
    <w:rsid w:val="008A3224"/>
    <w:rsid w:val="008A34A3"/>
    <w:rsid w:val="008B05D3"/>
    <w:rsid w:val="008B315F"/>
    <w:rsid w:val="008C35ED"/>
    <w:rsid w:val="008C4FD4"/>
    <w:rsid w:val="008C6AE1"/>
    <w:rsid w:val="008D25AF"/>
    <w:rsid w:val="008D45E6"/>
    <w:rsid w:val="008E05EB"/>
    <w:rsid w:val="008E1B60"/>
    <w:rsid w:val="008E7510"/>
    <w:rsid w:val="008F5C66"/>
    <w:rsid w:val="008F6CA8"/>
    <w:rsid w:val="008F72BE"/>
    <w:rsid w:val="00903207"/>
    <w:rsid w:val="0090767E"/>
    <w:rsid w:val="009130BC"/>
    <w:rsid w:val="00914DD3"/>
    <w:rsid w:val="009206E8"/>
    <w:rsid w:val="0093170E"/>
    <w:rsid w:val="0093596A"/>
    <w:rsid w:val="0093659F"/>
    <w:rsid w:val="00937A19"/>
    <w:rsid w:val="0094120E"/>
    <w:rsid w:val="00941341"/>
    <w:rsid w:val="009453ED"/>
    <w:rsid w:val="00945FE3"/>
    <w:rsid w:val="00946E22"/>
    <w:rsid w:val="009476E0"/>
    <w:rsid w:val="00950A16"/>
    <w:rsid w:val="009522E0"/>
    <w:rsid w:val="0096257C"/>
    <w:rsid w:val="00962A38"/>
    <w:rsid w:val="009804C9"/>
    <w:rsid w:val="00983021"/>
    <w:rsid w:val="0098705B"/>
    <w:rsid w:val="009A0FE4"/>
    <w:rsid w:val="009A25EC"/>
    <w:rsid w:val="009A4DDB"/>
    <w:rsid w:val="009C34ED"/>
    <w:rsid w:val="009C3C74"/>
    <w:rsid w:val="009F1EEC"/>
    <w:rsid w:val="009F34D2"/>
    <w:rsid w:val="00A011C8"/>
    <w:rsid w:val="00A02AE3"/>
    <w:rsid w:val="00A07ACF"/>
    <w:rsid w:val="00A324CA"/>
    <w:rsid w:val="00A33145"/>
    <w:rsid w:val="00A3391E"/>
    <w:rsid w:val="00A35BC8"/>
    <w:rsid w:val="00A35D46"/>
    <w:rsid w:val="00A43D8B"/>
    <w:rsid w:val="00A47A81"/>
    <w:rsid w:val="00A561E2"/>
    <w:rsid w:val="00A56E82"/>
    <w:rsid w:val="00A719B0"/>
    <w:rsid w:val="00A7244E"/>
    <w:rsid w:val="00A82813"/>
    <w:rsid w:val="00A830EF"/>
    <w:rsid w:val="00AA43CF"/>
    <w:rsid w:val="00AA4A2D"/>
    <w:rsid w:val="00AB2401"/>
    <w:rsid w:val="00AB6350"/>
    <w:rsid w:val="00AC3112"/>
    <w:rsid w:val="00AC3A34"/>
    <w:rsid w:val="00AC419C"/>
    <w:rsid w:val="00AC624B"/>
    <w:rsid w:val="00AD05D7"/>
    <w:rsid w:val="00AD61CC"/>
    <w:rsid w:val="00AE6F6C"/>
    <w:rsid w:val="00AE714A"/>
    <w:rsid w:val="00AF40BE"/>
    <w:rsid w:val="00AF5CDA"/>
    <w:rsid w:val="00B06264"/>
    <w:rsid w:val="00B102AA"/>
    <w:rsid w:val="00B10D79"/>
    <w:rsid w:val="00B2135E"/>
    <w:rsid w:val="00B226F7"/>
    <w:rsid w:val="00B327F3"/>
    <w:rsid w:val="00B4000D"/>
    <w:rsid w:val="00B41E90"/>
    <w:rsid w:val="00B44C31"/>
    <w:rsid w:val="00B47F9D"/>
    <w:rsid w:val="00B53FB4"/>
    <w:rsid w:val="00B56F46"/>
    <w:rsid w:val="00B72F85"/>
    <w:rsid w:val="00B82AF9"/>
    <w:rsid w:val="00B87910"/>
    <w:rsid w:val="00B92CEE"/>
    <w:rsid w:val="00B93A57"/>
    <w:rsid w:val="00B95310"/>
    <w:rsid w:val="00BA167C"/>
    <w:rsid w:val="00BA6B94"/>
    <w:rsid w:val="00BA6E45"/>
    <w:rsid w:val="00BB2163"/>
    <w:rsid w:val="00BC2577"/>
    <w:rsid w:val="00BC3464"/>
    <w:rsid w:val="00BC51B9"/>
    <w:rsid w:val="00BD245A"/>
    <w:rsid w:val="00BE4337"/>
    <w:rsid w:val="00BE68E5"/>
    <w:rsid w:val="00BF4D15"/>
    <w:rsid w:val="00BF71C9"/>
    <w:rsid w:val="00C038DF"/>
    <w:rsid w:val="00C06861"/>
    <w:rsid w:val="00C20263"/>
    <w:rsid w:val="00C40314"/>
    <w:rsid w:val="00C444C7"/>
    <w:rsid w:val="00C47AA5"/>
    <w:rsid w:val="00C50294"/>
    <w:rsid w:val="00C529E7"/>
    <w:rsid w:val="00C6156D"/>
    <w:rsid w:val="00C62064"/>
    <w:rsid w:val="00C7589A"/>
    <w:rsid w:val="00C84294"/>
    <w:rsid w:val="00C852B6"/>
    <w:rsid w:val="00C9214A"/>
    <w:rsid w:val="00CA3232"/>
    <w:rsid w:val="00CA6E89"/>
    <w:rsid w:val="00CA77C9"/>
    <w:rsid w:val="00CB489A"/>
    <w:rsid w:val="00CC0E88"/>
    <w:rsid w:val="00CC2E85"/>
    <w:rsid w:val="00CC799C"/>
    <w:rsid w:val="00CF31CD"/>
    <w:rsid w:val="00CF3D74"/>
    <w:rsid w:val="00CF5696"/>
    <w:rsid w:val="00D00810"/>
    <w:rsid w:val="00D03452"/>
    <w:rsid w:val="00D104EB"/>
    <w:rsid w:val="00D11CB7"/>
    <w:rsid w:val="00D1781A"/>
    <w:rsid w:val="00D32A6E"/>
    <w:rsid w:val="00D504E8"/>
    <w:rsid w:val="00D5233B"/>
    <w:rsid w:val="00D7550D"/>
    <w:rsid w:val="00D7555B"/>
    <w:rsid w:val="00D75D48"/>
    <w:rsid w:val="00D77978"/>
    <w:rsid w:val="00D85504"/>
    <w:rsid w:val="00D8741B"/>
    <w:rsid w:val="00DB5AC3"/>
    <w:rsid w:val="00DC17D9"/>
    <w:rsid w:val="00DD1D62"/>
    <w:rsid w:val="00DD26A2"/>
    <w:rsid w:val="00DD3E1B"/>
    <w:rsid w:val="00DE6433"/>
    <w:rsid w:val="00E10F67"/>
    <w:rsid w:val="00E1148A"/>
    <w:rsid w:val="00E17D51"/>
    <w:rsid w:val="00E22020"/>
    <w:rsid w:val="00E235BC"/>
    <w:rsid w:val="00E32864"/>
    <w:rsid w:val="00E41D77"/>
    <w:rsid w:val="00E42997"/>
    <w:rsid w:val="00E4663D"/>
    <w:rsid w:val="00E47E28"/>
    <w:rsid w:val="00E5234B"/>
    <w:rsid w:val="00E56A3D"/>
    <w:rsid w:val="00E60E8A"/>
    <w:rsid w:val="00E71238"/>
    <w:rsid w:val="00E76861"/>
    <w:rsid w:val="00E772A1"/>
    <w:rsid w:val="00E772BF"/>
    <w:rsid w:val="00E90656"/>
    <w:rsid w:val="00E936E4"/>
    <w:rsid w:val="00EA26F8"/>
    <w:rsid w:val="00EA2AAD"/>
    <w:rsid w:val="00EA40C1"/>
    <w:rsid w:val="00EB5097"/>
    <w:rsid w:val="00EB5454"/>
    <w:rsid w:val="00ED1508"/>
    <w:rsid w:val="00ED6FE6"/>
    <w:rsid w:val="00EE6008"/>
    <w:rsid w:val="00EF1C60"/>
    <w:rsid w:val="00EF1CC2"/>
    <w:rsid w:val="00EF31C6"/>
    <w:rsid w:val="00EF3840"/>
    <w:rsid w:val="00F00E77"/>
    <w:rsid w:val="00F04C63"/>
    <w:rsid w:val="00F27D3E"/>
    <w:rsid w:val="00F42F48"/>
    <w:rsid w:val="00F462D4"/>
    <w:rsid w:val="00F471C3"/>
    <w:rsid w:val="00F51C62"/>
    <w:rsid w:val="00F5604D"/>
    <w:rsid w:val="00F608E6"/>
    <w:rsid w:val="00F63BBE"/>
    <w:rsid w:val="00F75EDA"/>
    <w:rsid w:val="00F77D70"/>
    <w:rsid w:val="00F83D49"/>
    <w:rsid w:val="00F9013C"/>
    <w:rsid w:val="00F95D94"/>
    <w:rsid w:val="00FB39F4"/>
    <w:rsid w:val="00FC695D"/>
    <w:rsid w:val="00FD07FC"/>
    <w:rsid w:val="00FD2A72"/>
    <w:rsid w:val="00FD3028"/>
    <w:rsid w:val="00FE0BEE"/>
    <w:rsid w:val="00FE2422"/>
    <w:rsid w:val="00FE5331"/>
    <w:rsid w:val="00FF1B46"/>
    <w:rsid w:val="00FF53BF"/>
    <w:rsid w:val="00FF57F6"/>
    <w:rsid w:val="00FF6F1F"/>
    <w:rsid w:val="07E50E92"/>
    <w:rsid w:val="0A365806"/>
    <w:rsid w:val="0AC319AC"/>
    <w:rsid w:val="0F5E2B9C"/>
    <w:rsid w:val="0FCAD5FD"/>
    <w:rsid w:val="12EB54C2"/>
    <w:rsid w:val="15EFB84A"/>
    <w:rsid w:val="16974C50"/>
    <w:rsid w:val="16BFDA76"/>
    <w:rsid w:val="177D3A52"/>
    <w:rsid w:val="17B6C2A3"/>
    <w:rsid w:val="17CE2129"/>
    <w:rsid w:val="17FFA77D"/>
    <w:rsid w:val="1B672BB3"/>
    <w:rsid w:val="1B67B585"/>
    <w:rsid w:val="1B7FC8E2"/>
    <w:rsid w:val="1BF15E06"/>
    <w:rsid w:val="1BFA4442"/>
    <w:rsid w:val="1BFFC1B4"/>
    <w:rsid w:val="1D3C0843"/>
    <w:rsid w:val="1E584D33"/>
    <w:rsid w:val="1EF3C8EF"/>
    <w:rsid w:val="1F7F37F3"/>
    <w:rsid w:val="1FB95731"/>
    <w:rsid w:val="1FEF0EED"/>
    <w:rsid w:val="1FF86D77"/>
    <w:rsid w:val="273A1534"/>
    <w:rsid w:val="27FB4DFE"/>
    <w:rsid w:val="292BBD26"/>
    <w:rsid w:val="29447E57"/>
    <w:rsid w:val="29EF41F0"/>
    <w:rsid w:val="2C335417"/>
    <w:rsid w:val="2D2F22EB"/>
    <w:rsid w:val="2DBF1862"/>
    <w:rsid w:val="2E7BB22E"/>
    <w:rsid w:val="2ED5C25D"/>
    <w:rsid w:val="2FFB7B0E"/>
    <w:rsid w:val="33BD96C9"/>
    <w:rsid w:val="3478FD3B"/>
    <w:rsid w:val="35FD6B84"/>
    <w:rsid w:val="35FF6C41"/>
    <w:rsid w:val="35FFA103"/>
    <w:rsid w:val="365FE963"/>
    <w:rsid w:val="37D270A9"/>
    <w:rsid w:val="37F7809A"/>
    <w:rsid w:val="399565E0"/>
    <w:rsid w:val="3ADDA097"/>
    <w:rsid w:val="3B7E7D56"/>
    <w:rsid w:val="3BA7D4A7"/>
    <w:rsid w:val="3BBE0F9A"/>
    <w:rsid w:val="3BCF7730"/>
    <w:rsid w:val="3BF725E0"/>
    <w:rsid w:val="3BFBF273"/>
    <w:rsid w:val="3BFD26E4"/>
    <w:rsid w:val="3BFF0771"/>
    <w:rsid w:val="3CFF72C5"/>
    <w:rsid w:val="3D9DD624"/>
    <w:rsid w:val="3DAB5EBA"/>
    <w:rsid w:val="3DEFA9F2"/>
    <w:rsid w:val="3DF3C86E"/>
    <w:rsid w:val="3ECAC84C"/>
    <w:rsid w:val="3EFB41F2"/>
    <w:rsid w:val="3F5F4240"/>
    <w:rsid w:val="3F7BEE77"/>
    <w:rsid w:val="3FB668E4"/>
    <w:rsid w:val="3FBFF260"/>
    <w:rsid w:val="3FD92A3E"/>
    <w:rsid w:val="3FEF23FA"/>
    <w:rsid w:val="3FF0DCC8"/>
    <w:rsid w:val="3FF57F37"/>
    <w:rsid w:val="3FF7137C"/>
    <w:rsid w:val="3FF71C72"/>
    <w:rsid w:val="3FFB5F92"/>
    <w:rsid w:val="3FFF50AD"/>
    <w:rsid w:val="408E73B5"/>
    <w:rsid w:val="4305631D"/>
    <w:rsid w:val="45F8CE6B"/>
    <w:rsid w:val="47BF50EF"/>
    <w:rsid w:val="47DFF301"/>
    <w:rsid w:val="48BFAD72"/>
    <w:rsid w:val="4D32FB4C"/>
    <w:rsid w:val="4EBF3093"/>
    <w:rsid w:val="4EDFAE00"/>
    <w:rsid w:val="4FAF7337"/>
    <w:rsid w:val="4FF6DB3D"/>
    <w:rsid w:val="4FFAE02C"/>
    <w:rsid w:val="4FFF460D"/>
    <w:rsid w:val="536F073F"/>
    <w:rsid w:val="53731939"/>
    <w:rsid w:val="53E90DC1"/>
    <w:rsid w:val="54680721"/>
    <w:rsid w:val="54F3BD53"/>
    <w:rsid w:val="54FF9442"/>
    <w:rsid w:val="554D5EAC"/>
    <w:rsid w:val="57BAD169"/>
    <w:rsid w:val="57DF3D15"/>
    <w:rsid w:val="57DFDC94"/>
    <w:rsid w:val="57EB7B42"/>
    <w:rsid w:val="57FD754E"/>
    <w:rsid w:val="57FEF054"/>
    <w:rsid w:val="57FF76F9"/>
    <w:rsid w:val="5B27C3AC"/>
    <w:rsid w:val="5BABDEC5"/>
    <w:rsid w:val="5BDFA3DF"/>
    <w:rsid w:val="5BEB01AA"/>
    <w:rsid w:val="5BFD30E1"/>
    <w:rsid w:val="5D5F4A20"/>
    <w:rsid w:val="5D7BF844"/>
    <w:rsid w:val="5DBFCF28"/>
    <w:rsid w:val="5DFB2A50"/>
    <w:rsid w:val="5E7F692A"/>
    <w:rsid w:val="5EDF67C8"/>
    <w:rsid w:val="5EF20EB4"/>
    <w:rsid w:val="5EFF05BA"/>
    <w:rsid w:val="5F1F31B7"/>
    <w:rsid w:val="5F3E4F45"/>
    <w:rsid w:val="5F6F1C9E"/>
    <w:rsid w:val="5F7E92C4"/>
    <w:rsid w:val="5FAB9A0B"/>
    <w:rsid w:val="5FE12A79"/>
    <w:rsid w:val="5FE56F25"/>
    <w:rsid w:val="5FEFBC4C"/>
    <w:rsid w:val="5FF339B5"/>
    <w:rsid w:val="5FF876FE"/>
    <w:rsid w:val="5FFD044C"/>
    <w:rsid w:val="5FFFD7D0"/>
    <w:rsid w:val="5FFFFB39"/>
    <w:rsid w:val="60D82ACC"/>
    <w:rsid w:val="616B1851"/>
    <w:rsid w:val="62FEF3EA"/>
    <w:rsid w:val="63F53E4A"/>
    <w:rsid w:val="64112789"/>
    <w:rsid w:val="671013B3"/>
    <w:rsid w:val="69DC461E"/>
    <w:rsid w:val="6AEF0117"/>
    <w:rsid w:val="6BCE4C44"/>
    <w:rsid w:val="6BDE6032"/>
    <w:rsid w:val="6BDF05C4"/>
    <w:rsid w:val="6BDF36B5"/>
    <w:rsid w:val="6BEE630D"/>
    <w:rsid w:val="6BF75424"/>
    <w:rsid w:val="6BFF8BC0"/>
    <w:rsid w:val="6C07ADE2"/>
    <w:rsid w:val="6D3E6A51"/>
    <w:rsid w:val="6D57D810"/>
    <w:rsid w:val="6DB123F6"/>
    <w:rsid w:val="6DE7862E"/>
    <w:rsid w:val="6DFC43BE"/>
    <w:rsid w:val="6DFD60E9"/>
    <w:rsid w:val="6DFE4A2C"/>
    <w:rsid w:val="6DFF793F"/>
    <w:rsid w:val="6E7B86E4"/>
    <w:rsid w:val="6EB788C1"/>
    <w:rsid w:val="6EBB229C"/>
    <w:rsid w:val="6EDE8759"/>
    <w:rsid w:val="6EDEF351"/>
    <w:rsid w:val="6EFA30DF"/>
    <w:rsid w:val="6EFE97D7"/>
    <w:rsid w:val="6F6FC48D"/>
    <w:rsid w:val="6F75BB17"/>
    <w:rsid w:val="6F7D0098"/>
    <w:rsid w:val="6F7FDBB2"/>
    <w:rsid w:val="6FBF8D8F"/>
    <w:rsid w:val="6FCF9866"/>
    <w:rsid w:val="6FDD6BFC"/>
    <w:rsid w:val="6FDFA035"/>
    <w:rsid w:val="6FF52F76"/>
    <w:rsid w:val="6FFDD9A5"/>
    <w:rsid w:val="6FFF0B70"/>
    <w:rsid w:val="6FFFA9D8"/>
    <w:rsid w:val="71775D74"/>
    <w:rsid w:val="71BA0C33"/>
    <w:rsid w:val="71F33F0B"/>
    <w:rsid w:val="72FF21FE"/>
    <w:rsid w:val="73577D8C"/>
    <w:rsid w:val="73F8844F"/>
    <w:rsid w:val="73FEF53F"/>
    <w:rsid w:val="74BF941C"/>
    <w:rsid w:val="74DEBB8B"/>
    <w:rsid w:val="74EFE397"/>
    <w:rsid w:val="75134281"/>
    <w:rsid w:val="755ABB90"/>
    <w:rsid w:val="7567AB9C"/>
    <w:rsid w:val="757F2BD9"/>
    <w:rsid w:val="757F9695"/>
    <w:rsid w:val="75ED567D"/>
    <w:rsid w:val="75FFBE1C"/>
    <w:rsid w:val="769FD087"/>
    <w:rsid w:val="76BE1A6C"/>
    <w:rsid w:val="76EEFE23"/>
    <w:rsid w:val="76F7792E"/>
    <w:rsid w:val="770F83CD"/>
    <w:rsid w:val="777D983C"/>
    <w:rsid w:val="77BF985E"/>
    <w:rsid w:val="77EB0A30"/>
    <w:rsid w:val="77FD2DD1"/>
    <w:rsid w:val="77FFD227"/>
    <w:rsid w:val="77FFE042"/>
    <w:rsid w:val="786F6BBB"/>
    <w:rsid w:val="789125A4"/>
    <w:rsid w:val="7955109C"/>
    <w:rsid w:val="79A96382"/>
    <w:rsid w:val="79C33213"/>
    <w:rsid w:val="79F72244"/>
    <w:rsid w:val="79F7D4A2"/>
    <w:rsid w:val="79FE0439"/>
    <w:rsid w:val="7AEC944A"/>
    <w:rsid w:val="7B1FA6F6"/>
    <w:rsid w:val="7B2AABAE"/>
    <w:rsid w:val="7B341286"/>
    <w:rsid w:val="7B56316B"/>
    <w:rsid w:val="7B6E1E1B"/>
    <w:rsid w:val="7BBE0771"/>
    <w:rsid w:val="7BD72066"/>
    <w:rsid w:val="7BDDC4A3"/>
    <w:rsid w:val="7BF3C519"/>
    <w:rsid w:val="7BFA144B"/>
    <w:rsid w:val="7BFFA358"/>
    <w:rsid w:val="7C54566E"/>
    <w:rsid w:val="7C5F8FDA"/>
    <w:rsid w:val="7C7D4167"/>
    <w:rsid w:val="7CBDD19A"/>
    <w:rsid w:val="7CFCADF1"/>
    <w:rsid w:val="7CFF8BFD"/>
    <w:rsid w:val="7D397FB7"/>
    <w:rsid w:val="7D7377E8"/>
    <w:rsid w:val="7DBF6886"/>
    <w:rsid w:val="7DBFA8D5"/>
    <w:rsid w:val="7DDDD8B2"/>
    <w:rsid w:val="7DDE0CEE"/>
    <w:rsid w:val="7DF56F8B"/>
    <w:rsid w:val="7DFC5C92"/>
    <w:rsid w:val="7DFE5D73"/>
    <w:rsid w:val="7DFF7E4E"/>
    <w:rsid w:val="7DFFDAF8"/>
    <w:rsid w:val="7E75964C"/>
    <w:rsid w:val="7EB8A718"/>
    <w:rsid w:val="7ED7E27B"/>
    <w:rsid w:val="7EDC4E86"/>
    <w:rsid w:val="7EDE09CB"/>
    <w:rsid w:val="7EF2A455"/>
    <w:rsid w:val="7EF7AF70"/>
    <w:rsid w:val="7EFF3402"/>
    <w:rsid w:val="7F2BE7C6"/>
    <w:rsid w:val="7F3AB47F"/>
    <w:rsid w:val="7F3F12B6"/>
    <w:rsid w:val="7F57A5AD"/>
    <w:rsid w:val="7F57D7C8"/>
    <w:rsid w:val="7F5B6313"/>
    <w:rsid w:val="7F6D60C9"/>
    <w:rsid w:val="7F7EA3C0"/>
    <w:rsid w:val="7FA5CC08"/>
    <w:rsid w:val="7FAB911C"/>
    <w:rsid w:val="7FACE480"/>
    <w:rsid w:val="7FB11C79"/>
    <w:rsid w:val="7FB56435"/>
    <w:rsid w:val="7FBD1E61"/>
    <w:rsid w:val="7FBF1A1B"/>
    <w:rsid w:val="7FCE92E5"/>
    <w:rsid w:val="7FCF1F29"/>
    <w:rsid w:val="7FD2D104"/>
    <w:rsid w:val="7FDD2C05"/>
    <w:rsid w:val="7FDD85A0"/>
    <w:rsid w:val="7FDD95D2"/>
    <w:rsid w:val="7FE993DB"/>
    <w:rsid w:val="7FEF9FD2"/>
    <w:rsid w:val="7FF3E1C0"/>
    <w:rsid w:val="7FF3F85B"/>
    <w:rsid w:val="7FF566CD"/>
    <w:rsid w:val="7FF75800"/>
    <w:rsid w:val="7FF7B62B"/>
    <w:rsid w:val="7FFAFB55"/>
    <w:rsid w:val="7FFB297B"/>
    <w:rsid w:val="7FFC5838"/>
    <w:rsid w:val="7FFD9899"/>
    <w:rsid w:val="7FFF1975"/>
    <w:rsid w:val="7FFF391B"/>
    <w:rsid w:val="7FFF633F"/>
    <w:rsid w:val="7FFF8903"/>
    <w:rsid w:val="7FFFAD8B"/>
    <w:rsid w:val="8EBF225C"/>
    <w:rsid w:val="8F5D59A4"/>
    <w:rsid w:val="8F5F6B2D"/>
    <w:rsid w:val="8FFB0B75"/>
    <w:rsid w:val="97BF2327"/>
    <w:rsid w:val="98B74015"/>
    <w:rsid w:val="9B9C1F6C"/>
    <w:rsid w:val="9BDF3334"/>
    <w:rsid w:val="9C7EF351"/>
    <w:rsid w:val="9D7B2324"/>
    <w:rsid w:val="9F8F6FA3"/>
    <w:rsid w:val="9FCE4ACA"/>
    <w:rsid w:val="9FD4B984"/>
    <w:rsid w:val="9FDFC2A7"/>
    <w:rsid w:val="9FFB9794"/>
    <w:rsid w:val="9FFC9604"/>
    <w:rsid w:val="9FFFDB11"/>
    <w:rsid w:val="A5FE2FD1"/>
    <w:rsid w:val="A67C683F"/>
    <w:rsid w:val="A7DBCE3C"/>
    <w:rsid w:val="ABBBED28"/>
    <w:rsid w:val="AD9F8C9A"/>
    <w:rsid w:val="ADEC83D2"/>
    <w:rsid w:val="ADFF10CC"/>
    <w:rsid w:val="AECFD7CF"/>
    <w:rsid w:val="AEFF80E1"/>
    <w:rsid w:val="AF7EFD40"/>
    <w:rsid w:val="AFEDA70A"/>
    <w:rsid w:val="AFFFE447"/>
    <w:rsid w:val="AFFFF3BB"/>
    <w:rsid w:val="B0F7249B"/>
    <w:rsid w:val="B2AB062D"/>
    <w:rsid w:val="B35B6153"/>
    <w:rsid w:val="B37B5FD8"/>
    <w:rsid w:val="B38ED6A9"/>
    <w:rsid w:val="B5BC6AC8"/>
    <w:rsid w:val="B5C629E9"/>
    <w:rsid w:val="B5FFC808"/>
    <w:rsid w:val="B66DE0F3"/>
    <w:rsid w:val="B71F229D"/>
    <w:rsid w:val="B78EF67C"/>
    <w:rsid w:val="B7E93359"/>
    <w:rsid w:val="B7FA287C"/>
    <w:rsid w:val="B7FC8FD4"/>
    <w:rsid w:val="B7FF31FE"/>
    <w:rsid w:val="BA774207"/>
    <w:rsid w:val="BB6F226D"/>
    <w:rsid w:val="BBF73F6B"/>
    <w:rsid w:val="BDFF14D8"/>
    <w:rsid w:val="BE7DF3AB"/>
    <w:rsid w:val="BEEB588E"/>
    <w:rsid w:val="BEFC921C"/>
    <w:rsid w:val="BEFF10AD"/>
    <w:rsid w:val="BF5E20FA"/>
    <w:rsid w:val="BF7D4196"/>
    <w:rsid w:val="BF7F1BD2"/>
    <w:rsid w:val="BF7F715B"/>
    <w:rsid w:val="BFA33CA7"/>
    <w:rsid w:val="BFB5558A"/>
    <w:rsid w:val="BFBDDB71"/>
    <w:rsid w:val="BFCFE54C"/>
    <w:rsid w:val="BFEFF3F7"/>
    <w:rsid w:val="BFFDAF01"/>
    <w:rsid w:val="BFFF8EE6"/>
    <w:rsid w:val="BFFFACE1"/>
    <w:rsid w:val="BFFFCC8A"/>
    <w:rsid w:val="BFFFE75D"/>
    <w:rsid w:val="C7BBC6D6"/>
    <w:rsid w:val="C89ED9A7"/>
    <w:rsid w:val="CB26FCAB"/>
    <w:rsid w:val="CBF60B7A"/>
    <w:rsid w:val="CCDD36C3"/>
    <w:rsid w:val="CF5B4DDC"/>
    <w:rsid w:val="CF7F0D62"/>
    <w:rsid w:val="CFF018E6"/>
    <w:rsid w:val="CFF445CF"/>
    <w:rsid w:val="D1F503FA"/>
    <w:rsid w:val="D3FF088E"/>
    <w:rsid w:val="D6BD08E7"/>
    <w:rsid w:val="D6EB119C"/>
    <w:rsid w:val="D6FDA787"/>
    <w:rsid w:val="D77A959F"/>
    <w:rsid w:val="D7B710EC"/>
    <w:rsid w:val="D97BE255"/>
    <w:rsid w:val="DACF21D7"/>
    <w:rsid w:val="DB5DBF45"/>
    <w:rsid w:val="DB7387A1"/>
    <w:rsid w:val="DBA799E2"/>
    <w:rsid w:val="DC7ABEE3"/>
    <w:rsid w:val="DC7F37B0"/>
    <w:rsid w:val="DC9E4C42"/>
    <w:rsid w:val="DD5FA653"/>
    <w:rsid w:val="DDC3496C"/>
    <w:rsid w:val="DDFB2394"/>
    <w:rsid w:val="DE77926B"/>
    <w:rsid w:val="DE7DE59B"/>
    <w:rsid w:val="DEE262E6"/>
    <w:rsid w:val="DEEFF9CF"/>
    <w:rsid w:val="DF3F2014"/>
    <w:rsid w:val="DF9FAA1C"/>
    <w:rsid w:val="DFBBD75C"/>
    <w:rsid w:val="DFD9770E"/>
    <w:rsid w:val="DFDD016C"/>
    <w:rsid w:val="DFDF029D"/>
    <w:rsid w:val="DFE61A72"/>
    <w:rsid w:val="DFF34AD3"/>
    <w:rsid w:val="DFF39B79"/>
    <w:rsid w:val="DFFB60A3"/>
    <w:rsid w:val="DFFD31B0"/>
    <w:rsid w:val="DFFF47CA"/>
    <w:rsid w:val="DFFFAE61"/>
    <w:rsid w:val="E2DB5A87"/>
    <w:rsid w:val="E5FC02D1"/>
    <w:rsid w:val="E6BB69F9"/>
    <w:rsid w:val="E6BB76AA"/>
    <w:rsid w:val="E6EF37CC"/>
    <w:rsid w:val="E72F10DC"/>
    <w:rsid w:val="E778A862"/>
    <w:rsid w:val="E7DF50C1"/>
    <w:rsid w:val="E87B70A2"/>
    <w:rsid w:val="E8D76BCE"/>
    <w:rsid w:val="E97F65EC"/>
    <w:rsid w:val="EADC83D7"/>
    <w:rsid w:val="EBDECC2E"/>
    <w:rsid w:val="ECEAAF28"/>
    <w:rsid w:val="EDBFD3AA"/>
    <w:rsid w:val="EDEF4004"/>
    <w:rsid w:val="EDFD232B"/>
    <w:rsid w:val="EDFE5F27"/>
    <w:rsid w:val="EDFFCF00"/>
    <w:rsid w:val="EE8AFE1C"/>
    <w:rsid w:val="EEFA5F6E"/>
    <w:rsid w:val="EFABB031"/>
    <w:rsid w:val="EFADAA4C"/>
    <w:rsid w:val="EFD55489"/>
    <w:rsid w:val="EFE31411"/>
    <w:rsid w:val="EFEF0094"/>
    <w:rsid w:val="F1F395D8"/>
    <w:rsid w:val="F1FF3360"/>
    <w:rsid w:val="F2DEA05A"/>
    <w:rsid w:val="F2FF3A7A"/>
    <w:rsid w:val="F3794464"/>
    <w:rsid w:val="F3CF073D"/>
    <w:rsid w:val="F3FA869C"/>
    <w:rsid w:val="F4FF43E7"/>
    <w:rsid w:val="F4FF84A5"/>
    <w:rsid w:val="F57D3FA1"/>
    <w:rsid w:val="F5D77FD0"/>
    <w:rsid w:val="F5FE7683"/>
    <w:rsid w:val="F639FDF8"/>
    <w:rsid w:val="F7798D0D"/>
    <w:rsid w:val="F7BAB1B9"/>
    <w:rsid w:val="F7BFF8A7"/>
    <w:rsid w:val="F7D76496"/>
    <w:rsid w:val="F7DB7B04"/>
    <w:rsid w:val="F7EDAF2A"/>
    <w:rsid w:val="F7EEC0BA"/>
    <w:rsid w:val="F7F597CB"/>
    <w:rsid w:val="F7F715EE"/>
    <w:rsid w:val="F7FF61F0"/>
    <w:rsid w:val="F7FFD1F6"/>
    <w:rsid w:val="F8D04070"/>
    <w:rsid w:val="F8E8D507"/>
    <w:rsid w:val="F93B35A3"/>
    <w:rsid w:val="F9841BE9"/>
    <w:rsid w:val="F9FA1080"/>
    <w:rsid w:val="FA3D022F"/>
    <w:rsid w:val="FA7F6236"/>
    <w:rsid w:val="FABC5063"/>
    <w:rsid w:val="FB1FB846"/>
    <w:rsid w:val="FB770C10"/>
    <w:rsid w:val="FB9D71D8"/>
    <w:rsid w:val="FBA94DEF"/>
    <w:rsid w:val="FBDB2C9C"/>
    <w:rsid w:val="FBDFBDCF"/>
    <w:rsid w:val="FBF758AD"/>
    <w:rsid w:val="FBF9AB6F"/>
    <w:rsid w:val="FBFC24EB"/>
    <w:rsid w:val="FBFF6260"/>
    <w:rsid w:val="FBFFB511"/>
    <w:rsid w:val="FBFFD543"/>
    <w:rsid w:val="FC6BECB3"/>
    <w:rsid w:val="FC798D9B"/>
    <w:rsid w:val="FCFF4F1C"/>
    <w:rsid w:val="FD3D36C1"/>
    <w:rsid w:val="FD59D062"/>
    <w:rsid w:val="FD5DE01D"/>
    <w:rsid w:val="FD7579DB"/>
    <w:rsid w:val="FD7AEB45"/>
    <w:rsid w:val="FDD5052B"/>
    <w:rsid w:val="FDDAC906"/>
    <w:rsid w:val="FDDFBC8D"/>
    <w:rsid w:val="FDE92824"/>
    <w:rsid w:val="FDED4FE7"/>
    <w:rsid w:val="FDEF0B21"/>
    <w:rsid w:val="FDEFFB1A"/>
    <w:rsid w:val="FDF5B80F"/>
    <w:rsid w:val="FDFBE4BF"/>
    <w:rsid w:val="FDFD87BE"/>
    <w:rsid w:val="FDFF3F11"/>
    <w:rsid w:val="FDFF84B5"/>
    <w:rsid w:val="FDFFDA72"/>
    <w:rsid w:val="FE31A3AF"/>
    <w:rsid w:val="FE5D4482"/>
    <w:rsid w:val="FEB7EB15"/>
    <w:rsid w:val="FEDB0CBA"/>
    <w:rsid w:val="FEE6C0E8"/>
    <w:rsid w:val="FEEFC20F"/>
    <w:rsid w:val="FEFB3EE1"/>
    <w:rsid w:val="FEFF92FD"/>
    <w:rsid w:val="FEFFF2F2"/>
    <w:rsid w:val="FF0F4F33"/>
    <w:rsid w:val="FF1FC617"/>
    <w:rsid w:val="FF4DFF11"/>
    <w:rsid w:val="FF4F0527"/>
    <w:rsid w:val="FF5BCBA9"/>
    <w:rsid w:val="FF5FD35F"/>
    <w:rsid w:val="FF7C733A"/>
    <w:rsid w:val="FF9C3594"/>
    <w:rsid w:val="FFAF580F"/>
    <w:rsid w:val="FFBB58BA"/>
    <w:rsid w:val="FFBBEB92"/>
    <w:rsid w:val="FFCEDCEE"/>
    <w:rsid w:val="FFD7A303"/>
    <w:rsid w:val="FFD7A69E"/>
    <w:rsid w:val="FFDB1E84"/>
    <w:rsid w:val="FFDD06B4"/>
    <w:rsid w:val="FFDE9A2D"/>
    <w:rsid w:val="FFE57E77"/>
    <w:rsid w:val="FFEB7DAB"/>
    <w:rsid w:val="FFEC12BB"/>
    <w:rsid w:val="FFECA782"/>
    <w:rsid w:val="FFED928B"/>
    <w:rsid w:val="FFEF5E18"/>
    <w:rsid w:val="FFF74132"/>
    <w:rsid w:val="FFF99E5D"/>
    <w:rsid w:val="FFFA308C"/>
    <w:rsid w:val="FFFB2AC2"/>
    <w:rsid w:val="FFFBEB14"/>
    <w:rsid w:val="FFFDC175"/>
    <w:rsid w:val="FFFE6FA3"/>
    <w:rsid w:val="FFFEB776"/>
    <w:rsid w:val="FFFF08E6"/>
    <w:rsid w:val="FFFF3D51"/>
    <w:rsid w:val="FFFF533E"/>
    <w:rsid w:val="FFFFC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ind w:left="420" w:leftChars="200" w:firstLine="420"/>
    </w:pPr>
  </w:style>
  <w:style w:type="paragraph" w:styleId="3">
    <w:name w:val="Body Text Indent"/>
    <w:basedOn w:val="1"/>
    <w:qFormat/>
    <w:uiPriority w:val="0"/>
    <w:pPr>
      <w:ind w:firstLine="630"/>
    </w:pPr>
    <w:rPr>
      <w:szCs w:val="20"/>
    </w:rPr>
  </w:style>
  <w:style w:type="paragraph" w:styleId="4">
    <w:name w:val="Plain Text"/>
    <w:basedOn w:val="1"/>
    <w:link w:val="16"/>
    <w:qFormat/>
    <w:uiPriority w:val="0"/>
    <w:rPr>
      <w:rFonts w:ascii="宋体" w:hAnsi="Courier New" w:eastAsia="宋体" w:cs="Courier New"/>
      <w:sz w:val="21"/>
      <w:szCs w:val="21"/>
    </w:rPr>
  </w:style>
  <w:style w:type="paragraph" w:styleId="5">
    <w:name w:val="Date"/>
    <w:basedOn w:val="1"/>
    <w:next w:val="1"/>
    <w:link w:val="18"/>
    <w:semiHidden/>
    <w:unhideWhenUsed/>
    <w:qFormat/>
    <w:uiPriority w:val="99"/>
    <w:pPr>
      <w:ind w:left="100" w:leftChars="2500"/>
    </w:p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spacing w:line="560" w:lineRule="exact"/>
    </w:pPr>
    <w:rPr>
      <w:rFonts w:eastAsia="宋体"/>
      <w:sz w:val="24"/>
    </w:rPr>
  </w:style>
  <w:style w:type="paragraph" w:styleId="10">
    <w:name w:val="Title"/>
    <w:basedOn w:val="1"/>
    <w:next w:val="1"/>
    <w:qFormat/>
    <w:uiPriority w:val="10"/>
    <w:pPr>
      <w:jc w:val="center"/>
      <w:outlineLvl w:val="0"/>
    </w:pPr>
    <w:rPr>
      <w:rFonts w:ascii="Arial" w:hAnsi="Arial"/>
      <w:b/>
      <w:sz w:val="32"/>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4">
    <w:name w:val="页眉 Char"/>
    <w:basedOn w:val="13"/>
    <w:link w:val="7"/>
    <w:semiHidden/>
    <w:qFormat/>
    <w:uiPriority w:val="99"/>
    <w:rPr>
      <w:sz w:val="18"/>
      <w:szCs w:val="18"/>
    </w:rPr>
  </w:style>
  <w:style w:type="character" w:customStyle="1" w:styleId="15">
    <w:name w:val="页脚 Char"/>
    <w:basedOn w:val="13"/>
    <w:link w:val="6"/>
    <w:qFormat/>
    <w:uiPriority w:val="99"/>
    <w:rPr>
      <w:sz w:val="18"/>
      <w:szCs w:val="18"/>
    </w:rPr>
  </w:style>
  <w:style w:type="character" w:customStyle="1" w:styleId="16">
    <w:name w:val="纯文本 Char"/>
    <w:basedOn w:val="13"/>
    <w:link w:val="4"/>
    <w:qFormat/>
    <w:uiPriority w:val="0"/>
    <w:rPr>
      <w:rFonts w:ascii="宋体" w:hAnsi="Courier New" w:eastAsia="宋体" w:cs="Courier New"/>
      <w:szCs w:val="21"/>
    </w:rPr>
  </w:style>
  <w:style w:type="paragraph" w:styleId="17">
    <w:name w:val="List Paragraph"/>
    <w:basedOn w:val="1"/>
    <w:qFormat/>
    <w:uiPriority w:val="34"/>
    <w:pPr>
      <w:ind w:firstLine="420" w:firstLineChars="200"/>
    </w:pPr>
  </w:style>
  <w:style w:type="character" w:customStyle="1" w:styleId="18">
    <w:name w:val="日期 Char"/>
    <w:basedOn w:val="13"/>
    <w:link w:val="5"/>
    <w:semiHidden/>
    <w:qFormat/>
    <w:uiPriority w:val="99"/>
    <w:rPr>
      <w:rFonts w:ascii="Times New Roman" w:hAnsi="Times New Roman" w:eastAsia="仿宋_GB2312" w:cs="Times New Roman"/>
      <w:sz w:val="30"/>
      <w:szCs w:val="24"/>
    </w:rPr>
  </w:style>
  <w:style w:type="character" w:customStyle="1" w:styleId="19">
    <w:name w:val="NormalCharacter"/>
    <w:qFormat/>
    <w:uiPriority w:val="0"/>
    <w:rPr>
      <w:rFonts w:ascii="Calibri" w:hAnsi="Calibri" w:eastAsia="宋体" w:cs="Times New Roman"/>
      <w:kern w:val="2"/>
      <w:sz w:val="21"/>
      <w:szCs w:val="24"/>
      <w:lang w:val="en-US" w:eastAsia="zh-CN" w:bidi="ar-SA"/>
    </w:rPr>
  </w:style>
  <w:style w:type="character" w:customStyle="1" w:styleId="20">
    <w:name w:val="font01"/>
    <w:basedOn w:val="13"/>
    <w:qFormat/>
    <w:uiPriority w:val="0"/>
    <w:rPr>
      <w:rFonts w:hint="eastAsia" w:ascii="宋体" w:hAnsi="宋体" w:eastAsia="宋体" w:cs="宋体"/>
      <w:color w:val="000000"/>
      <w:sz w:val="20"/>
      <w:szCs w:val="20"/>
      <w:u w:val="none"/>
    </w:rPr>
  </w:style>
  <w:style w:type="character" w:customStyle="1" w:styleId="21">
    <w:name w:val="font31"/>
    <w:basedOn w:val="13"/>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8</Pages>
  <Words>3648</Words>
  <Characters>4419</Characters>
  <Lines>38</Lines>
  <Paragraphs>10</Paragraphs>
  <TotalTime>9</TotalTime>
  <ScaleCrop>false</ScaleCrop>
  <LinksUpToDate>false</LinksUpToDate>
  <CharactersWithSpaces>4478</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2021-11-26T02:40:00Z</dcterms:created>
  <dc:creator>牟伶俐</dc:creator>
  <cp:lastModifiedBy>user</cp:lastModifiedBy>
  <cp:lastPrinted>2025-01-15T04:05:00Z</cp:lastPrinted>
  <dcterms:modified xsi:type="dcterms:W3CDTF">2025-01-14T20:16:18Z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47BB76FA37244270AEEE1B5355229B5D</vt:lpwstr>
  </property>
</Properties>
</file>