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lang w:val="en-US" w:eastAsia="zh-CN"/>
        </w:rPr>
      </w:pPr>
    </w:p>
    <w:p>
      <w:pPr>
        <w:rPr>
          <w:rFonts w:hint="default"/>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pacing w:line="590" w:lineRule="exact"/>
        <w:jc w:val="center"/>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highlight w:val="none"/>
        </w:rPr>
      </w:pPr>
      <w:r>
        <w:rPr>
          <w:rFonts w:hint="eastAsia" w:eastAsia="方正小标宋简体" w:cs="Times New Roman"/>
          <w:color w:val="auto"/>
          <w:kern w:val="0"/>
          <w:sz w:val="44"/>
          <w:szCs w:val="44"/>
          <w:highlight w:val="none"/>
          <w:lang w:eastAsia="zh-CN"/>
        </w:rPr>
        <w:t>2025年</w:t>
      </w:r>
      <w:r>
        <w:rPr>
          <w:rFonts w:hint="default" w:ascii="Times New Roman" w:hAnsi="Times New Roman" w:eastAsia="方正小标宋简体" w:cs="Times New Roman"/>
          <w:color w:val="auto"/>
          <w:kern w:val="0"/>
          <w:sz w:val="44"/>
          <w:szCs w:val="44"/>
          <w:highlight w:val="none"/>
        </w:rPr>
        <w:t>四川省政府</w:t>
      </w:r>
      <w:r>
        <w:rPr>
          <w:rFonts w:hint="eastAsia" w:eastAsia="方正小标宋简体" w:cs="Times New Roman"/>
          <w:color w:val="auto"/>
          <w:kern w:val="0"/>
          <w:sz w:val="44"/>
          <w:szCs w:val="44"/>
          <w:highlight w:val="none"/>
          <w:lang w:val="en-US" w:eastAsia="zh-CN"/>
        </w:rPr>
        <w:t>再融资一般债券（九期）及再融资专项债券（十四期）</w:t>
      </w:r>
      <w:r>
        <w:rPr>
          <w:rFonts w:hint="default" w:ascii="Times New Roman" w:hAnsi="Times New Roman" w:eastAsia="方正小标宋简体" w:cs="Times New Roman"/>
          <w:color w:val="auto"/>
          <w:sz w:val="44"/>
          <w:szCs w:val="44"/>
          <w:highlight w:val="none"/>
        </w:rPr>
        <w:t>信息披露文件</w:t>
      </w:r>
    </w:p>
    <w:p>
      <w:pPr>
        <w:keepNext w:val="0"/>
        <w:keepLines w:val="0"/>
        <w:pageBreakBefore w:val="0"/>
        <w:widowControl w:val="0"/>
        <w:kinsoku/>
        <w:wordWrap/>
        <w:overflowPunct/>
        <w:topLinePunct w:val="0"/>
        <w:autoSpaceDE/>
        <w:autoSpaceDN/>
        <w:bidi w:val="0"/>
        <w:adjustRightInd/>
        <w:snapToGrid w:val="0"/>
        <w:spacing w:line="580" w:lineRule="exact"/>
        <w:ind w:firstLine="576" w:firstLineChars="192"/>
        <w:textAlignment w:val="auto"/>
        <w:outlineLvl w:val="0"/>
        <w:rPr>
          <w:rFonts w:hint="default" w:ascii="Times New Roman" w:hAnsi="Times New Roman" w:eastAsia="仿宋_GB2312"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80" w:lineRule="exact"/>
        <w:ind w:firstLine="614" w:firstLineChars="192"/>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一、债券概况</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（一）基本情况</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年四川省政府</w:t>
      </w:r>
      <w:r>
        <w:rPr>
          <w:rFonts w:hint="eastAsia" w:ascii="Times New Roman" w:hAnsi="Times New Roman" w:eastAsia="仿宋_GB2312" w:cs="Times New Roman"/>
          <w:color w:val="auto"/>
          <w:sz w:val="32"/>
          <w:szCs w:val="32"/>
          <w:highlight w:val="none"/>
          <w:lang w:val="en-US" w:eastAsia="zh-CN"/>
        </w:rPr>
        <w:t>再融资一般债券（九期）及再融资专项债券（十四期）</w:t>
      </w:r>
      <w:r>
        <w:rPr>
          <w:rFonts w:hint="default" w:ascii="Times New Roman" w:hAnsi="Times New Roman" w:eastAsia="仿宋_GB2312" w:cs="Times New Roman"/>
          <w:color w:val="auto"/>
          <w:sz w:val="32"/>
          <w:szCs w:val="32"/>
          <w:highlight w:val="none"/>
        </w:rPr>
        <w:t>发行总额</w:t>
      </w:r>
      <w:r>
        <w:rPr>
          <w:rFonts w:hint="eastAsia" w:ascii="Times New Roman" w:hAnsi="Times New Roman" w:eastAsia="仿宋_GB2312" w:cs="Times New Roman"/>
          <w:color w:val="auto"/>
          <w:sz w:val="32"/>
          <w:szCs w:val="32"/>
          <w:highlight w:val="none"/>
          <w:lang w:val="en-US" w:eastAsia="zh-CN"/>
        </w:rPr>
        <w:t>87.9793亿</w:t>
      </w:r>
      <w:r>
        <w:rPr>
          <w:rFonts w:hint="default" w:ascii="Times New Roman" w:hAnsi="Times New Roman" w:eastAsia="仿宋_GB2312" w:cs="Times New Roman"/>
          <w:color w:val="auto"/>
          <w:sz w:val="32"/>
          <w:szCs w:val="32"/>
          <w:highlight w:val="none"/>
        </w:rPr>
        <w:t>元</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全部</w:t>
      </w:r>
      <w:r>
        <w:rPr>
          <w:rFonts w:hint="default" w:ascii="Times New Roman" w:hAnsi="Times New Roman" w:eastAsia="仿宋_GB2312" w:cs="Times New Roman"/>
          <w:color w:val="auto"/>
          <w:sz w:val="32"/>
          <w:szCs w:val="32"/>
          <w:highlight w:val="none"/>
        </w:rPr>
        <w:t>为</w:t>
      </w:r>
      <w:r>
        <w:rPr>
          <w:rFonts w:hint="eastAsia" w:ascii="Times New Roman" w:hAnsi="Times New Roman" w:eastAsia="仿宋_GB2312" w:cs="Times New Roman"/>
          <w:color w:val="auto"/>
          <w:sz w:val="32"/>
          <w:szCs w:val="32"/>
          <w:highlight w:val="none"/>
          <w:lang w:val="en-US" w:eastAsia="zh-CN"/>
        </w:rPr>
        <w:t>再融资</w:t>
      </w:r>
      <w:r>
        <w:rPr>
          <w:rFonts w:hint="default" w:ascii="Times New Roman" w:hAnsi="Times New Roman" w:eastAsia="仿宋_GB2312" w:cs="Times New Roman"/>
          <w:color w:val="auto"/>
          <w:sz w:val="32"/>
          <w:szCs w:val="32"/>
          <w:highlight w:val="none"/>
        </w:rPr>
        <w:t>债券</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期限</w:t>
      </w:r>
      <w:r>
        <w:rPr>
          <w:rFonts w:hint="eastAsia" w:ascii="Times New Roman" w:hAnsi="Times New Roman" w:eastAsia="仿宋_GB2312" w:cs="Times New Roman"/>
          <w:color w:val="auto"/>
          <w:sz w:val="32"/>
          <w:szCs w:val="32"/>
          <w:highlight w:val="none"/>
          <w:lang w:val="en-US" w:eastAsia="zh-CN"/>
        </w:rPr>
        <w:t>为10年，债券利息按半年支付</w:t>
      </w:r>
      <w:r>
        <w:rPr>
          <w:rFonts w:hint="default" w:ascii="Times New Roman" w:hAnsi="Times New Roman" w:eastAsia="仿宋_GB2312" w:cs="Times New Roman"/>
          <w:color w:val="auto"/>
          <w:sz w:val="32"/>
          <w:szCs w:val="32"/>
          <w:highlight w:val="none"/>
        </w:rPr>
        <w:t>。债券发行后可按规定在全国银行间债券市场和证券交易所债券市场上市流通。各期债券具体情况详见《四川省财政厅关于发行2025年四川省政府再融资一般债券（九期）及再融资专项债券（十四期）有关事项的通知》。</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（二）发行方式</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年四川省政府</w:t>
      </w:r>
      <w:r>
        <w:rPr>
          <w:rFonts w:hint="eastAsia" w:ascii="Times New Roman" w:hAnsi="Times New Roman" w:eastAsia="仿宋_GB2312" w:cs="Times New Roman"/>
          <w:color w:val="auto"/>
          <w:sz w:val="32"/>
          <w:szCs w:val="32"/>
          <w:highlight w:val="none"/>
          <w:lang w:val="en-US" w:eastAsia="zh-CN"/>
        </w:rPr>
        <w:t>再融资一般债券（九期）及再融资专项债券（十四期）</w:t>
      </w:r>
      <w:r>
        <w:rPr>
          <w:rFonts w:hint="default" w:ascii="Times New Roman" w:hAnsi="Times New Roman" w:eastAsia="仿宋_GB2312" w:cs="Times New Roman"/>
          <w:color w:val="auto"/>
          <w:sz w:val="32"/>
          <w:szCs w:val="32"/>
          <w:highlight w:val="none"/>
        </w:rPr>
        <w:t>通过招标方式发行。</w:t>
      </w:r>
      <w:r>
        <w:rPr>
          <w:rFonts w:hint="default" w:ascii="Times New Roman" w:hAnsi="Times New Roman" w:eastAsia="仿宋_GB2312" w:cs="Times New Roman"/>
          <w:sz w:val="32"/>
          <w:szCs w:val="32"/>
          <w:highlight w:val="none"/>
        </w:rPr>
        <w:t>四川省财政厅于招标日通过财政部政府债券发行系统组织招投标工作，</w:t>
      </w:r>
      <w:r>
        <w:rPr>
          <w:rFonts w:hint="default" w:ascii="Times New Roman" w:hAnsi="Times New Roman" w:eastAsia="仿宋_GB2312" w:cs="Times New Roman"/>
          <w:color w:val="auto"/>
          <w:sz w:val="32"/>
          <w:szCs w:val="32"/>
          <w:highlight w:val="none"/>
        </w:rPr>
        <w:t>参与机构为</w:t>
      </w: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四川省政府债券承销团成员。招标发行具体安排详见四川省财政厅《关于印发〈四川省政府债券公开招标发行与兑付管理办法〉的通知》《关于印发〈四川省政府债券招标发行规则〉的通知》《四川省财政厅关于发行2025年四川省政府再融资一般债券（九期）及再融资专项债券（十四期）有关事项的通知》等。</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58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募集资金投向说明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eastAsia" w:cs="Times New Roman"/>
          <w:sz w:val="32"/>
          <w:szCs w:val="32"/>
          <w:highlight w:val="none"/>
          <w:u w:val="none"/>
          <w:lang w:val="en-US" w:eastAsia="zh-CN"/>
        </w:rPr>
      </w:pPr>
      <w:r>
        <w:rPr>
          <w:rFonts w:hint="eastAsia" w:cs="Times New Roman"/>
          <w:sz w:val="32"/>
          <w:szCs w:val="32"/>
          <w:highlight w:val="none"/>
          <w:u w:val="none"/>
          <w:lang w:val="en-US" w:eastAsia="zh-CN"/>
        </w:rPr>
        <w:t>按照财政部要求，一般债券纳入一般公共预算管理，专项债券纳入政府性基金预算管理。本批债券募集资金全部用于偿还到期政府债券本金，到期债券具体情况如下:</w:t>
      </w:r>
    </w:p>
    <w:tbl>
      <w:tblPr>
        <w:tblStyle w:val="12"/>
        <w:tblW w:w="52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3"/>
        <w:gridCol w:w="732"/>
        <w:gridCol w:w="1084"/>
        <w:gridCol w:w="1003"/>
        <w:gridCol w:w="995"/>
        <w:gridCol w:w="1105"/>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717" w:type="pct"/>
            <w:vAlign w:val="center"/>
          </w:tcPr>
          <w:p>
            <w:pPr>
              <w:pStyle w:val="2"/>
              <w:keepNext w:val="0"/>
              <w:keepLines w:val="0"/>
              <w:pageBreakBefore w:val="0"/>
              <w:widowControl w:val="0"/>
              <w:kinsoku/>
              <w:wordWrap/>
              <w:overflowPunct/>
              <w:topLinePunct w:val="0"/>
              <w:autoSpaceDE/>
              <w:autoSpaceDN/>
              <w:bidi w:val="0"/>
              <w:adjustRightInd/>
              <w:snapToGrid/>
              <w:spacing w:after="0" w:afterLines="0" w:line="300" w:lineRule="exact"/>
              <w:ind w:left="0" w:leftChars="0" w:firstLine="0" w:firstLineChars="0"/>
              <w:jc w:val="center"/>
              <w:textAlignment w:val="auto"/>
              <w:rPr>
                <w:rFonts w:hint="default" w:ascii="Times New Roman" w:hAnsi="Times New Roman" w:eastAsia="仿宋_GB2312" w:cs="Times New Roman"/>
                <w:sz w:val="18"/>
                <w:szCs w:val="18"/>
                <w:highlight w:val="none"/>
                <w:vertAlign w:val="baseline"/>
                <w:lang w:val="en-US" w:eastAsia="zh-CN"/>
              </w:rPr>
            </w:pPr>
            <w:r>
              <w:rPr>
                <w:rFonts w:hint="default" w:ascii="Times New Roman" w:hAnsi="Times New Roman" w:eastAsia="仿宋_GB2312" w:cs="Times New Roman"/>
                <w:sz w:val="18"/>
                <w:szCs w:val="18"/>
                <w:highlight w:val="none"/>
                <w:vertAlign w:val="baseline"/>
                <w:lang w:val="en-US" w:eastAsia="zh-CN"/>
              </w:rPr>
              <w:t>债券名称</w:t>
            </w:r>
          </w:p>
        </w:tc>
        <w:tc>
          <w:tcPr>
            <w:tcW w:w="387" w:type="pct"/>
            <w:vAlign w:val="center"/>
          </w:tcPr>
          <w:p>
            <w:pPr>
              <w:pStyle w:val="2"/>
              <w:keepNext w:val="0"/>
              <w:keepLines w:val="0"/>
              <w:pageBreakBefore w:val="0"/>
              <w:widowControl w:val="0"/>
              <w:kinsoku/>
              <w:wordWrap/>
              <w:overflowPunct/>
              <w:topLinePunct w:val="0"/>
              <w:autoSpaceDE/>
              <w:autoSpaceDN/>
              <w:bidi w:val="0"/>
              <w:adjustRightInd/>
              <w:snapToGrid/>
              <w:spacing w:after="0" w:afterLines="0" w:line="300" w:lineRule="exact"/>
              <w:ind w:left="0" w:leftChars="0" w:firstLine="0" w:firstLineChars="0"/>
              <w:jc w:val="center"/>
              <w:textAlignment w:val="auto"/>
              <w:rPr>
                <w:rFonts w:hint="default" w:ascii="Times New Roman" w:hAnsi="Times New Roman" w:eastAsia="仿宋_GB2312" w:cs="Times New Roman"/>
                <w:sz w:val="18"/>
                <w:szCs w:val="18"/>
                <w:highlight w:val="none"/>
                <w:vertAlign w:val="baseline"/>
                <w:lang w:val="en-US" w:eastAsia="zh-CN"/>
              </w:rPr>
            </w:pPr>
            <w:r>
              <w:rPr>
                <w:rFonts w:hint="default" w:ascii="Times New Roman" w:hAnsi="Times New Roman" w:eastAsia="仿宋_GB2312" w:cs="Times New Roman"/>
                <w:sz w:val="18"/>
                <w:szCs w:val="18"/>
                <w:highlight w:val="none"/>
                <w:vertAlign w:val="baseline"/>
                <w:lang w:val="en-US" w:eastAsia="zh-CN"/>
              </w:rPr>
              <w:t>债券代码</w:t>
            </w:r>
          </w:p>
        </w:tc>
        <w:tc>
          <w:tcPr>
            <w:tcW w:w="573" w:type="pct"/>
            <w:vAlign w:val="center"/>
          </w:tcPr>
          <w:p>
            <w:pPr>
              <w:pStyle w:val="2"/>
              <w:keepNext w:val="0"/>
              <w:keepLines w:val="0"/>
              <w:pageBreakBefore w:val="0"/>
              <w:widowControl w:val="0"/>
              <w:kinsoku/>
              <w:wordWrap/>
              <w:overflowPunct/>
              <w:topLinePunct w:val="0"/>
              <w:autoSpaceDE/>
              <w:autoSpaceDN/>
              <w:bidi w:val="0"/>
              <w:adjustRightInd/>
              <w:snapToGrid/>
              <w:spacing w:after="0" w:afterLines="0" w:line="300" w:lineRule="exact"/>
              <w:ind w:left="0" w:leftChars="0" w:firstLine="0" w:firstLineChars="0"/>
              <w:jc w:val="center"/>
              <w:textAlignment w:val="auto"/>
              <w:rPr>
                <w:rFonts w:hint="default" w:ascii="Times New Roman" w:hAnsi="Times New Roman" w:eastAsia="仿宋_GB2312" w:cs="Times New Roman"/>
                <w:kern w:val="10"/>
                <w:sz w:val="18"/>
                <w:szCs w:val="18"/>
                <w:highlight w:val="none"/>
                <w:vertAlign w:val="baseline"/>
                <w:lang w:val="en-US" w:eastAsia="zh-CN"/>
              </w:rPr>
            </w:pPr>
            <w:r>
              <w:rPr>
                <w:rFonts w:hint="default" w:ascii="Times New Roman" w:hAnsi="Times New Roman" w:eastAsia="仿宋_GB2312" w:cs="Times New Roman"/>
                <w:kern w:val="2"/>
                <w:sz w:val="18"/>
                <w:szCs w:val="18"/>
                <w:highlight w:val="none"/>
                <w:vertAlign w:val="baseline"/>
                <w:lang w:val="en-US" w:eastAsia="zh-CN"/>
              </w:rPr>
              <w:t>债券简称</w:t>
            </w:r>
          </w:p>
        </w:tc>
        <w:tc>
          <w:tcPr>
            <w:tcW w:w="531" w:type="pct"/>
            <w:vAlign w:val="center"/>
          </w:tcPr>
          <w:p>
            <w:pPr>
              <w:pStyle w:val="2"/>
              <w:keepNext w:val="0"/>
              <w:keepLines w:val="0"/>
              <w:pageBreakBefore w:val="0"/>
              <w:widowControl w:val="0"/>
              <w:kinsoku/>
              <w:wordWrap/>
              <w:overflowPunct/>
              <w:topLinePunct w:val="0"/>
              <w:autoSpaceDE/>
              <w:autoSpaceDN/>
              <w:bidi w:val="0"/>
              <w:adjustRightInd/>
              <w:snapToGrid/>
              <w:spacing w:after="0" w:afterLines="0" w:line="300" w:lineRule="exact"/>
              <w:ind w:left="0" w:leftChars="0" w:firstLine="0" w:firstLineChars="0"/>
              <w:jc w:val="center"/>
              <w:textAlignment w:val="auto"/>
              <w:rPr>
                <w:rFonts w:hint="default" w:ascii="Times New Roman" w:hAnsi="Times New Roman" w:eastAsia="仿宋_GB2312" w:cs="Times New Roman"/>
                <w:kern w:val="10"/>
                <w:sz w:val="18"/>
                <w:szCs w:val="18"/>
                <w:highlight w:val="none"/>
                <w:vertAlign w:val="baseline"/>
                <w:lang w:val="en-US" w:eastAsia="zh-CN"/>
              </w:rPr>
            </w:pPr>
            <w:r>
              <w:rPr>
                <w:rFonts w:hint="default" w:ascii="Times New Roman" w:hAnsi="Times New Roman" w:eastAsia="仿宋_GB2312" w:cs="Times New Roman"/>
                <w:kern w:val="10"/>
                <w:sz w:val="18"/>
                <w:szCs w:val="18"/>
                <w:highlight w:val="none"/>
                <w:vertAlign w:val="baseline"/>
                <w:lang w:val="en-US" w:eastAsia="zh-CN"/>
              </w:rPr>
              <w:t>发行规模（亿元）</w:t>
            </w:r>
          </w:p>
        </w:tc>
        <w:tc>
          <w:tcPr>
            <w:tcW w:w="526" w:type="pct"/>
            <w:vAlign w:val="center"/>
          </w:tcPr>
          <w:p>
            <w:pPr>
              <w:pStyle w:val="2"/>
              <w:keepNext w:val="0"/>
              <w:keepLines w:val="0"/>
              <w:pageBreakBefore w:val="0"/>
              <w:widowControl w:val="0"/>
              <w:kinsoku/>
              <w:wordWrap/>
              <w:overflowPunct/>
              <w:topLinePunct w:val="0"/>
              <w:autoSpaceDE/>
              <w:autoSpaceDN/>
              <w:bidi w:val="0"/>
              <w:adjustRightInd/>
              <w:snapToGrid/>
              <w:spacing w:after="0" w:afterLines="0" w:line="300" w:lineRule="exact"/>
              <w:ind w:left="0" w:leftChars="0" w:firstLine="0" w:firstLineChars="0"/>
              <w:jc w:val="center"/>
              <w:textAlignment w:val="auto"/>
              <w:rPr>
                <w:rFonts w:hint="default" w:ascii="Times New Roman" w:hAnsi="Times New Roman" w:eastAsia="仿宋_GB2312" w:cs="Times New Roman"/>
                <w:kern w:val="10"/>
                <w:sz w:val="18"/>
                <w:szCs w:val="18"/>
                <w:highlight w:val="none"/>
                <w:vertAlign w:val="baseline"/>
                <w:lang w:val="en-US" w:eastAsia="zh-CN"/>
              </w:rPr>
            </w:pPr>
            <w:r>
              <w:rPr>
                <w:rFonts w:hint="default" w:ascii="Times New Roman" w:hAnsi="Times New Roman" w:eastAsia="仿宋_GB2312" w:cs="Times New Roman"/>
                <w:kern w:val="10"/>
                <w:sz w:val="18"/>
                <w:szCs w:val="18"/>
                <w:highlight w:val="none"/>
                <w:vertAlign w:val="baseline"/>
                <w:lang w:val="en-US" w:eastAsia="zh-CN"/>
              </w:rPr>
              <w:t>票面利率（%）</w:t>
            </w:r>
          </w:p>
        </w:tc>
        <w:tc>
          <w:tcPr>
            <w:tcW w:w="585" w:type="pct"/>
            <w:vAlign w:val="center"/>
          </w:tcPr>
          <w:p>
            <w:pPr>
              <w:pStyle w:val="2"/>
              <w:keepNext w:val="0"/>
              <w:keepLines w:val="0"/>
              <w:pageBreakBefore w:val="0"/>
              <w:widowControl w:val="0"/>
              <w:kinsoku/>
              <w:wordWrap/>
              <w:overflowPunct/>
              <w:topLinePunct w:val="0"/>
              <w:autoSpaceDE/>
              <w:autoSpaceDN/>
              <w:bidi w:val="0"/>
              <w:adjustRightInd/>
              <w:snapToGrid/>
              <w:spacing w:after="0" w:afterLines="0" w:line="300" w:lineRule="exact"/>
              <w:ind w:left="0" w:leftChars="0" w:firstLine="0" w:firstLineChars="0"/>
              <w:jc w:val="center"/>
              <w:textAlignment w:val="auto"/>
              <w:rPr>
                <w:rFonts w:hint="default" w:ascii="Times New Roman" w:hAnsi="Times New Roman" w:eastAsia="仿宋_GB2312" w:cs="Times New Roman"/>
                <w:kern w:val="10"/>
                <w:sz w:val="18"/>
                <w:szCs w:val="18"/>
                <w:highlight w:val="none"/>
                <w:vertAlign w:val="baseline"/>
                <w:lang w:val="en-US" w:eastAsia="zh-CN"/>
              </w:rPr>
            </w:pPr>
            <w:r>
              <w:rPr>
                <w:rFonts w:hint="default" w:ascii="Times New Roman" w:hAnsi="Times New Roman" w:eastAsia="仿宋_GB2312" w:cs="Times New Roman"/>
                <w:kern w:val="10"/>
                <w:sz w:val="18"/>
                <w:szCs w:val="18"/>
                <w:highlight w:val="none"/>
                <w:vertAlign w:val="baseline"/>
                <w:lang w:val="en-US" w:eastAsia="zh-CN"/>
              </w:rPr>
              <w:t>还本</w:t>
            </w:r>
          </w:p>
          <w:p>
            <w:pPr>
              <w:pStyle w:val="2"/>
              <w:keepNext w:val="0"/>
              <w:keepLines w:val="0"/>
              <w:pageBreakBefore w:val="0"/>
              <w:widowControl w:val="0"/>
              <w:kinsoku/>
              <w:wordWrap/>
              <w:overflowPunct/>
              <w:topLinePunct w:val="0"/>
              <w:autoSpaceDE/>
              <w:autoSpaceDN/>
              <w:bidi w:val="0"/>
              <w:adjustRightInd/>
              <w:snapToGrid/>
              <w:spacing w:after="0" w:afterLines="0" w:line="300" w:lineRule="exact"/>
              <w:ind w:left="0" w:leftChars="0" w:firstLine="0" w:firstLineChars="0"/>
              <w:jc w:val="center"/>
              <w:textAlignment w:val="auto"/>
              <w:rPr>
                <w:rFonts w:hint="default" w:ascii="Times New Roman" w:hAnsi="Times New Roman" w:eastAsia="仿宋_GB2312" w:cs="Times New Roman"/>
                <w:kern w:val="10"/>
                <w:sz w:val="18"/>
                <w:szCs w:val="18"/>
                <w:highlight w:val="none"/>
                <w:vertAlign w:val="baseline"/>
                <w:lang w:val="en-US" w:eastAsia="zh-CN"/>
              </w:rPr>
            </w:pPr>
            <w:r>
              <w:rPr>
                <w:rFonts w:hint="default" w:ascii="Times New Roman" w:hAnsi="Times New Roman" w:eastAsia="仿宋_GB2312" w:cs="Times New Roman"/>
                <w:kern w:val="10"/>
                <w:sz w:val="18"/>
                <w:szCs w:val="18"/>
                <w:highlight w:val="none"/>
                <w:vertAlign w:val="baseline"/>
                <w:lang w:val="en-US" w:eastAsia="zh-CN"/>
              </w:rPr>
              <w:t>付息日</w:t>
            </w:r>
          </w:p>
        </w:tc>
        <w:tc>
          <w:tcPr>
            <w:tcW w:w="678" w:type="pct"/>
            <w:vAlign w:val="center"/>
          </w:tcPr>
          <w:p>
            <w:pPr>
              <w:pStyle w:val="2"/>
              <w:keepNext w:val="0"/>
              <w:keepLines w:val="0"/>
              <w:pageBreakBefore w:val="0"/>
              <w:widowControl w:val="0"/>
              <w:kinsoku/>
              <w:wordWrap/>
              <w:overflowPunct/>
              <w:topLinePunct w:val="0"/>
              <w:autoSpaceDE/>
              <w:autoSpaceDN/>
              <w:bidi w:val="0"/>
              <w:adjustRightInd/>
              <w:snapToGrid/>
              <w:spacing w:after="0" w:afterLines="0" w:line="300" w:lineRule="exact"/>
              <w:ind w:left="0" w:leftChars="0" w:firstLine="0" w:firstLineChars="0"/>
              <w:jc w:val="center"/>
              <w:textAlignment w:val="auto"/>
              <w:rPr>
                <w:rFonts w:hint="default" w:ascii="Times New Roman" w:hAnsi="Times New Roman" w:eastAsia="仿宋_GB2312" w:cs="Times New Roman"/>
                <w:kern w:val="10"/>
                <w:sz w:val="18"/>
                <w:szCs w:val="18"/>
                <w:highlight w:val="none"/>
                <w:vertAlign w:val="baseline"/>
                <w:lang w:val="en-US" w:eastAsia="zh-CN"/>
              </w:rPr>
            </w:pPr>
            <w:r>
              <w:rPr>
                <w:rFonts w:hint="default" w:ascii="Times New Roman" w:hAnsi="Times New Roman" w:eastAsia="仿宋_GB2312" w:cs="Times New Roman"/>
                <w:kern w:val="10"/>
                <w:sz w:val="18"/>
                <w:szCs w:val="18"/>
                <w:highlight w:val="none"/>
                <w:vertAlign w:val="baseline"/>
                <w:lang w:val="en-US" w:eastAsia="zh-CN"/>
              </w:rPr>
              <w:t>发行再融资债券偿还金额（亿元）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17" w:type="pct"/>
            <w:vAlign w:val="center"/>
          </w:tcPr>
          <w:p>
            <w:pPr>
              <w:pStyle w:val="2"/>
              <w:keepNext w:val="0"/>
              <w:keepLines w:val="0"/>
              <w:pageBreakBefore w:val="0"/>
              <w:kinsoku/>
              <w:wordWrap/>
              <w:overflowPunct/>
              <w:topLinePunct w:val="0"/>
              <w:autoSpaceDE/>
              <w:autoSpaceDN/>
              <w:bidi w:val="0"/>
              <w:adjustRightInd/>
              <w:snapToGrid/>
              <w:spacing w:after="0" w:afterLines="0" w:line="320" w:lineRule="exact"/>
              <w:ind w:left="0" w:leftChars="0" w:firstLine="0" w:firstLineChars="0"/>
              <w:jc w:val="center"/>
              <w:rPr>
                <w:rFonts w:hint="default" w:ascii="Times New Roman" w:hAnsi="Times New Roman" w:eastAsia="仿宋_GB2312" w:cs="Times New Roman"/>
                <w:kern w:val="2"/>
                <w:sz w:val="18"/>
                <w:szCs w:val="18"/>
                <w:highlight w:val="none"/>
                <w:vertAlign w:val="baseline"/>
                <w:lang w:val="en-US" w:eastAsia="zh-CN" w:bidi="ar-SA"/>
              </w:rPr>
            </w:pPr>
            <w:r>
              <w:rPr>
                <w:rFonts w:hint="default" w:ascii="Times New Roman" w:hAnsi="Times New Roman" w:eastAsia="仿宋_GB2312" w:cs="Times New Roman"/>
                <w:kern w:val="2"/>
                <w:sz w:val="18"/>
                <w:szCs w:val="18"/>
                <w:highlight w:val="none"/>
                <w:vertAlign w:val="baseline"/>
                <w:lang w:val="en-US" w:eastAsia="zh-CN" w:bidi="ar-SA"/>
              </w:rPr>
              <w:t>2018年四川省政府一般债券（十</w:t>
            </w:r>
            <w:r>
              <w:rPr>
                <w:rFonts w:hint="eastAsia" w:ascii="Times New Roman" w:hAnsi="Times New Roman" w:eastAsia="仿宋_GB2312" w:cs="Times New Roman"/>
                <w:kern w:val="2"/>
                <w:sz w:val="18"/>
                <w:szCs w:val="18"/>
                <w:highlight w:val="none"/>
                <w:vertAlign w:val="baseline"/>
                <w:lang w:val="en-US" w:eastAsia="zh-CN" w:bidi="ar-SA"/>
              </w:rPr>
              <w:t>二</w:t>
            </w:r>
            <w:r>
              <w:rPr>
                <w:rFonts w:hint="default" w:ascii="Times New Roman" w:hAnsi="Times New Roman" w:eastAsia="仿宋_GB2312" w:cs="Times New Roman"/>
                <w:kern w:val="2"/>
                <w:sz w:val="18"/>
                <w:szCs w:val="18"/>
                <w:highlight w:val="none"/>
                <w:vertAlign w:val="baseline"/>
                <w:lang w:val="en-US" w:eastAsia="zh-CN" w:bidi="ar-SA"/>
              </w:rPr>
              <w:t>期）</w:t>
            </w:r>
          </w:p>
        </w:tc>
        <w:tc>
          <w:tcPr>
            <w:tcW w:w="387" w:type="pct"/>
            <w:vAlign w:val="center"/>
          </w:tcPr>
          <w:p>
            <w:pPr>
              <w:pStyle w:val="2"/>
              <w:keepNext w:val="0"/>
              <w:keepLines w:val="0"/>
              <w:pageBreakBefore w:val="0"/>
              <w:kinsoku/>
              <w:wordWrap/>
              <w:overflowPunct/>
              <w:topLinePunct w:val="0"/>
              <w:autoSpaceDE/>
              <w:autoSpaceDN/>
              <w:bidi w:val="0"/>
              <w:adjustRightInd/>
              <w:snapToGrid/>
              <w:spacing w:after="0" w:afterLines="0" w:line="320" w:lineRule="exact"/>
              <w:ind w:left="0" w:leftChars="0" w:firstLine="0" w:firstLineChars="0"/>
              <w:jc w:val="center"/>
              <w:rPr>
                <w:rFonts w:hint="default" w:ascii="Times New Roman" w:hAnsi="Times New Roman" w:eastAsia="仿宋_GB2312" w:cs="Times New Roman"/>
                <w:kern w:val="2"/>
                <w:sz w:val="18"/>
                <w:szCs w:val="18"/>
                <w:highlight w:val="none"/>
                <w:vertAlign w:val="baseline"/>
                <w:lang w:val="en-US" w:eastAsia="zh-CN" w:bidi="ar-SA"/>
              </w:rPr>
            </w:pPr>
            <w:r>
              <w:rPr>
                <w:rFonts w:hint="default" w:ascii="Times New Roman" w:hAnsi="Times New Roman" w:eastAsia="仿宋_GB2312" w:cs="Times New Roman"/>
                <w:kern w:val="2"/>
                <w:sz w:val="18"/>
                <w:szCs w:val="18"/>
                <w:highlight w:val="none"/>
                <w:vertAlign w:val="baseline"/>
                <w:lang w:val="en-US" w:eastAsia="zh-CN" w:bidi="ar-SA"/>
              </w:rPr>
              <w:t>1805365</w:t>
            </w:r>
          </w:p>
        </w:tc>
        <w:tc>
          <w:tcPr>
            <w:tcW w:w="573" w:type="pct"/>
            <w:vAlign w:val="center"/>
          </w:tcPr>
          <w:p>
            <w:pPr>
              <w:pStyle w:val="2"/>
              <w:keepNext w:val="0"/>
              <w:keepLines w:val="0"/>
              <w:pageBreakBefore w:val="0"/>
              <w:kinsoku/>
              <w:wordWrap/>
              <w:overflowPunct/>
              <w:topLinePunct w:val="0"/>
              <w:autoSpaceDE/>
              <w:autoSpaceDN/>
              <w:bidi w:val="0"/>
              <w:adjustRightInd/>
              <w:snapToGrid/>
              <w:spacing w:after="0" w:afterLines="0" w:line="320" w:lineRule="exact"/>
              <w:ind w:left="0" w:leftChars="0" w:firstLine="0" w:firstLineChars="0"/>
              <w:jc w:val="center"/>
              <w:rPr>
                <w:rFonts w:hint="default" w:ascii="Times New Roman" w:hAnsi="Times New Roman" w:eastAsia="仿宋_GB2312" w:cs="Times New Roman"/>
                <w:kern w:val="2"/>
                <w:sz w:val="18"/>
                <w:szCs w:val="18"/>
                <w:highlight w:val="none"/>
                <w:vertAlign w:val="baseline"/>
                <w:lang w:val="en-US" w:eastAsia="zh-CN" w:bidi="ar-SA"/>
              </w:rPr>
            </w:pPr>
            <w:r>
              <w:rPr>
                <w:rFonts w:hint="default" w:ascii="Times New Roman" w:hAnsi="Times New Roman" w:eastAsia="仿宋_GB2312" w:cs="Times New Roman"/>
                <w:kern w:val="2"/>
                <w:sz w:val="18"/>
                <w:szCs w:val="18"/>
                <w:highlight w:val="none"/>
                <w:vertAlign w:val="baseline"/>
                <w:lang w:val="en-US" w:eastAsia="zh-CN" w:bidi="ar-SA"/>
              </w:rPr>
              <w:t>18四川债50</w:t>
            </w:r>
          </w:p>
        </w:tc>
        <w:tc>
          <w:tcPr>
            <w:tcW w:w="531" w:type="pct"/>
            <w:vAlign w:val="center"/>
          </w:tcPr>
          <w:p>
            <w:pPr>
              <w:pStyle w:val="2"/>
              <w:keepNext w:val="0"/>
              <w:keepLines w:val="0"/>
              <w:pageBreakBefore w:val="0"/>
              <w:kinsoku/>
              <w:wordWrap/>
              <w:overflowPunct/>
              <w:topLinePunct w:val="0"/>
              <w:autoSpaceDE/>
              <w:autoSpaceDN/>
              <w:bidi w:val="0"/>
              <w:adjustRightInd/>
              <w:snapToGrid/>
              <w:spacing w:after="0" w:afterLines="0" w:line="320" w:lineRule="exact"/>
              <w:ind w:left="0" w:leftChars="0" w:firstLine="0" w:firstLineChars="0"/>
              <w:jc w:val="center"/>
              <w:rPr>
                <w:rFonts w:hint="default" w:ascii="Times New Roman" w:hAnsi="Times New Roman" w:eastAsia="仿宋_GB2312" w:cs="Times New Roman"/>
                <w:kern w:val="2"/>
                <w:sz w:val="18"/>
                <w:szCs w:val="18"/>
                <w:highlight w:val="none"/>
                <w:vertAlign w:val="baseline"/>
                <w:lang w:val="en-US" w:eastAsia="zh-CN" w:bidi="ar-SA"/>
              </w:rPr>
            </w:pPr>
            <w:r>
              <w:rPr>
                <w:rFonts w:hint="eastAsia" w:ascii="Times New Roman" w:hAnsi="Times New Roman" w:eastAsia="仿宋_GB2312" w:cs="Times New Roman"/>
                <w:kern w:val="2"/>
                <w:sz w:val="18"/>
                <w:szCs w:val="18"/>
                <w:highlight w:val="none"/>
                <w:vertAlign w:val="baseline"/>
                <w:lang w:val="en-US" w:eastAsia="zh-CN" w:bidi="ar-SA"/>
              </w:rPr>
              <w:t>40.0000</w:t>
            </w:r>
          </w:p>
        </w:tc>
        <w:tc>
          <w:tcPr>
            <w:tcW w:w="526" w:type="pct"/>
            <w:vAlign w:val="center"/>
          </w:tcPr>
          <w:p>
            <w:pPr>
              <w:pStyle w:val="2"/>
              <w:keepNext w:val="0"/>
              <w:keepLines w:val="0"/>
              <w:pageBreakBefore w:val="0"/>
              <w:kinsoku/>
              <w:wordWrap/>
              <w:overflowPunct/>
              <w:topLinePunct w:val="0"/>
              <w:autoSpaceDE/>
              <w:autoSpaceDN/>
              <w:bidi w:val="0"/>
              <w:adjustRightInd/>
              <w:snapToGrid/>
              <w:spacing w:after="0" w:afterLines="0" w:line="320" w:lineRule="exact"/>
              <w:ind w:left="0" w:leftChars="0" w:firstLine="0" w:firstLineChars="0"/>
              <w:jc w:val="center"/>
              <w:rPr>
                <w:rFonts w:hint="default" w:ascii="Times New Roman" w:hAnsi="Times New Roman" w:eastAsia="仿宋_GB2312" w:cs="Times New Roman"/>
                <w:kern w:val="2"/>
                <w:sz w:val="18"/>
                <w:szCs w:val="18"/>
                <w:highlight w:val="none"/>
                <w:vertAlign w:val="baseline"/>
                <w:lang w:val="en-US" w:eastAsia="zh-CN" w:bidi="ar-SA"/>
              </w:rPr>
            </w:pPr>
            <w:r>
              <w:rPr>
                <w:rFonts w:hint="eastAsia" w:ascii="Times New Roman" w:hAnsi="Times New Roman" w:eastAsia="仿宋_GB2312" w:cs="Times New Roman"/>
                <w:kern w:val="2"/>
                <w:sz w:val="18"/>
                <w:szCs w:val="18"/>
                <w:highlight w:val="none"/>
                <w:vertAlign w:val="baseline"/>
                <w:lang w:val="en-US" w:eastAsia="zh-CN" w:bidi="ar-SA"/>
              </w:rPr>
              <w:t>3.91</w:t>
            </w:r>
          </w:p>
        </w:tc>
        <w:tc>
          <w:tcPr>
            <w:tcW w:w="585" w:type="pct"/>
            <w:vAlign w:val="center"/>
          </w:tcPr>
          <w:p>
            <w:pPr>
              <w:pStyle w:val="2"/>
              <w:keepNext w:val="0"/>
              <w:keepLines w:val="0"/>
              <w:pageBreakBefore w:val="0"/>
              <w:kinsoku/>
              <w:wordWrap/>
              <w:overflowPunct/>
              <w:topLinePunct w:val="0"/>
              <w:autoSpaceDE/>
              <w:autoSpaceDN/>
              <w:bidi w:val="0"/>
              <w:adjustRightInd/>
              <w:snapToGrid/>
              <w:spacing w:after="0" w:afterLines="0" w:line="320" w:lineRule="exact"/>
              <w:ind w:left="0" w:leftChars="0" w:firstLine="0" w:firstLineChars="0"/>
              <w:jc w:val="center"/>
              <w:rPr>
                <w:rFonts w:hint="default" w:ascii="Times New Roman" w:hAnsi="Times New Roman" w:eastAsia="仿宋_GB2312" w:cs="Times New Roman"/>
                <w:kern w:val="2"/>
                <w:sz w:val="18"/>
                <w:szCs w:val="18"/>
                <w:highlight w:val="none"/>
                <w:vertAlign w:val="baseline"/>
                <w:lang w:val="en-US" w:eastAsia="zh-CN" w:bidi="ar-SA"/>
              </w:rPr>
            </w:pPr>
            <w:r>
              <w:rPr>
                <w:rFonts w:hint="default" w:ascii="Times New Roman" w:hAnsi="Times New Roman" w:eastAsia="仿宋_GB2312" w:cs="Times New Roman"/>
                <w:kern w:val="2"/>
                <w:sz w:val="18"/>
                <w:szCs w:val="18"/>
                <w:highlight w:val="none"/>
                <w:vertAlign w:val="baseline"/>
                <w:lang w:val="en-US" w:eastAsia="zh-CN" w:bidi="ar-SA"/>
              </w:rPr>
              <w:t>2025/</w:t>
            </w:r>
            <w:r>
              <w:rPr>
                <w:rFonts w:hint="eastAsia" w:ascii="Times New Roman" w:hAnsi="Times New Roman" w:eastAsia="仿宋_GB2312" w:cs="Times New Roman"/>
                <w:kern w:val="2"/>
                <w:sz w:val="18"/>
                <w:szCs w:val="18"/>
                <w:highlight w:val="none"/>
                <w:vertAlign w:val="baseline"/>
                <w:lang w:val="en-US" w:eastAsia="zh-CN" w:bidi="ar-SA"/>
              </w:rPr>
              <w:t>11</w:t>
            </w:r>
            <w:r>
              <w:rPr>
                <w:rFonts w:hint="default" w:ascii="Times New Roman" w:hAnsi="Times New Roman" w:eastAsia="仿宋_GB2312" w:cs="Times New Roman"/>
                <w:kern w:val="2"/>
                <w:sz w:val="18"/>
                <w:szCs w:val="18"/>
                <w:highlight w:val="none"/>
                <w:vertAlign w:val="baseline"/>
                <w:lang w:val="en-US" w:eastAsia="zh-CN" w:bidi="ar-SA"/>
              </w:rPr>
              <w:t>/</w:t>
            </w:r>
            <w:r>
              <w:rPr>
                <w:rFonts w:hint="eastAsia" w:ascii="Times New Roman" w:hAnsi="Times New Roman" w:eastAsia="仿宋_GB2312" w:cs="Times New Roman"/>
                <w:kern w:val="2"/>
                <w:sz w:val="18"/>
                <w:szCs w:val="18"/>
                <w:highlight w:val="none"/>
                <w:vertAlign w:val="baseline"/>
                <w:lang w:val="en-US" w:eastAsia="zh-CN" w:bidi="ar-SA"/>
              </w:rPr>
              <w:t>9</w:t>
            </w:r>
          </w:p>
        </w:tc>
        <w:tc>
          <w:tcPr>
            <w:tcW w:w="678" w:type="pct"/>
            <w:vAlign w:val="center"/>
          </w:tcPr>
          <w:p>
            <w:pPr>
              <w:pStyle w:val="2"/>
              <w:keepNext w:val="0"/>
              <w:keepLines w:val="0"/>
              <w:pageBreakBefore w:val="0"/>
              <w:kinsoku/>
              <w:wordWrap/>
              <w:overflowPunct/>
              <w:topLinePunct w:val="0"/>
              <w:autoSpaceDE/>
              <w:autoSpaceDN/>
              <w:bidi w:val="0"/>
              <w:adjustRightInd/>
              <w:snapToGrid/>
              <w:spacing w:after="0" w:afterLines="0" w:line="320" w:lineRule="exact"/>
              <w:ind w:left="0" w:leftChars="0" w:firstLine="0" w:firstLineChars="0"/>
              <w:jc w:val="center"/>
              <w:rPr>
                <w:rFonts w:hint="default" w:ascii="Times New Roman" w:hAnsi="Times New Roman" w:eastAsia="仿宋_GB2312" w:cs="Times New Roman"/>
                <w:kern w:val="2"/>
                <w:sz w:val="18"/>
                <w:szCs w:val="18"/>
                <w:highlight w:val="none"/>
                <w:vertAlign w:val="baseline"/>
                <w:lang w:val="en-US" w:eastAsia="zh-CN" w:bidi="ar-SA"/>
              </w:rPr>
            </w:pPr>
            <w:r>
              <w:rPr>
                <w:rFonts w:hint="default" w:ascii="Times New Roman" w:hAnsi="Times New Roman" w:eastAsia="仿宋_GB2312" w:cs="Times New Roman"/>
                <w:kern w:val="2"/>
                <w:sz w:val="18"/>
                <w:szCs w:val="18"/>
                <w:highlight w:val="none"/>
                <w:vertAlign w:val="baseline"/>
                <w:lang w:val="en-US" w:eastAsia="zh-CN" w:bidi="ar-SA"/>
              </w:rPr>
              <w:t>36.3164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pc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kern w:val="2"/>
                <w:sz w:val="18"/>
                <w:szCs w:val="18"/>
                <w:highlight w:val="none"/>
                <w:vertAlign w:val="baseline"/>
                <w:lang w:val="en-US" w:eastAsia="zh-CN" w:bidi="ar-SA"/>
              </w:rPr>
            </w:pPr>
            <w:r>
              <w:rPr>
                <w:rFonts w:hint="eastAsia" w:ascii="Times New Roman" w:hAnsi="Times New Roman" w:eastAsia="仿宋_GB2312" w:cs="Times New Roman"/>
                <w:kern w:val="2"/>
                <w:sz w:val="18"/>
                <w:szCs w:val="18"/>
                <w:highlight w:val="none"/>
                <w:vertAlign w:val="baseline"/>
                <w:lang w:val="en-US" w:eastAsia="zh-CN" w:bidi="ar-SA"/>
              </w:rPr>
              <w:t>2018年四川省棚户区改造专项债券</w:t>
            </w:r>
            <w:r>
              <w:rPr>
                <w:rFonts w:hint="eastAsia" w:cs="Times New Roman"/>
                <w:kern w:val="2"/>
                <w:sz w:val="18"/>
                <w:szCs w:val="18"/>
                <w:highlight w:val="none"/>
                <w:vertAlign w:val="baseline"/>
                <w:lang w:val="en-US" w:eastAsia="zh-CN" w:bidi="ar-SA"/>
              </w:rPr>
              <w:t>（</w:t>
            </w:r>
            <w:r>
              <w:rPr>
                <w:rFonts w:hint="eastAsia" w:ascii="Times New Roman" w:hAnsi="Times New Roman" w:eastAsia="仿宋_GB2312" w:cs="Times New Roman"/>
                <w:kern w:val="2"/>
                <w:sz w:val="18"/>
                <w:szCs w:val="18"/>
                <w:highlight w:val="none"/>
                <w:vertAlign w:val="baseline"/>
                <w:lang w:val="en-US" w:eastAsia="zh-CN" w:bidi="ar-SA"/>
              </w:rPr>
              <w:t>四期</w:t>
            </w:r>
            <w:r>
              <w:rPr>
                <w:rFonts w:hint="eastAsia" w:cs="Times New Roman"/>
                <w:kern w:val="2"/>
                <w:sz w:val="18"/>
                <w:szCs w:val="18"/>
                <w:highlight w:val="none"/>
                <w:vertAlign w:val="baseline"/>
                <w:lang w:val="en-US" w:eastAsia="zh-CN" w:bidi="ar-SA"/>
              </w:rPr>
              <w:t>）</w:t>
            </w:r>
            <w:r>
              <w:rPr>
                <w:rFonts w:hint="eastAsia" w:ascii="Times New Roman" w:hAnsi="Times New Roman" w:eastAsia="仿宋_GB2312" w:cs="Times New Roman"/>
                <w:kern w:val="2"/>
                <w:sz w:val="18"/>
                <w:szCs w:val="18"/>
                <w:highlight w:val="none"/>
                <w:vertAlign w:val="baseline"/>
                <w:lang w:val="en-US" w:eastAsia="zh-CN" w:bidi="ar-SA"/>
              </w:rPr>
              <w:t>-2018年四川省政府专项债券（二十五期）</w:t>
            </w:r>
          </w:p>
        </w:tc>
        <w:tc>
          <w:tcPr>
            <w:tcW w:w="387" w:type="pc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kern w:val="2"/>
                <w:sz w:val="18"/>
                <w:szCs w:val="18"/>
                <w:highlight w:val="none"/>
                <w:vertAlign w:val="baseline"/>
                <w:lang w:val="en-US" w:eastAsia="zh-CN" w:bidi="ar-SA"/>
              </w:rPr>
            </w:pPr>
            <w:r>
              <w:rPr>
                <w:rFonts w:hint="default" w:ascii="Times New Roman" w:hAnsi="Times New Roman" w:eastAsia="仿宋_GB2312" w:cs="Times New Roman"/>
                <w:kern w:val="2"/>
                <w:sz w:val="18"/>
                <w:szCs w:val="18"/>
                <w:highlight w:val="none"/>
                <w:vertAlign w:val="baseline"/>
                <w:lang w:val="en-US" w:eastAsia="zh-CN" w:bidi="ar-SA"/>
              </w:rPr>
              <w:t>157513</w:t>
            </w:r>
          </w:p>
        </w:tc>
        <w:tc>
          <w:tcPr>
            <w:tcW w:w="573" w:type="pc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kern w:val="2"/>
                <w:sz w:val="18"/>
                <w:szCs w:val="18"/>
                <w:highlight w:val="none"/>
                <w:vertAlign w:val="baseline"/>
                <w:lang w:val="en-US" w:eastAsia="zh-CN" w:bidi="ar-SA"/>
              </w:rPr>
            </w:pPr>
            <w:r>
              <w:rPr>
                <w:rFonts w:hint="default" w:ascii="Times New Roman" w:hAnsi="Times New Roman" w:eastAsia="仿宋_GB2312" w:cs="Times New Roman"/>
                <w:kern w:val="2"/>
                <w:sz w:val="18"/>
                <w:szCs w:val="18"/>
                <w:highlight w:val="none"/>
                <w:vertAlign w:val="baseline"/>
                <w:lang w:val="en-US" w:eastAsia="zh-CN" w:bidi="ar-SA"/>
              </w:rPr>
              <w:t>18四川36</w:t>
            </w:r>
          </w:p>
        </w:tc>
        <w:tc>
          <w:tcPr>
            <w:tcW w:w="531" w:type="pc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kern w:val="2"/>
                <w:sz w:val="18"/>
                <w:szCs w:val="18"/>
                <w:highlight w:val="none"/>
                <w:vertAlign w:val="baseline"/>
                <w:lang w:val="en-US" w:eastAsia="zh-CN" w:bidi="ar-SA"/>
              </w:rPr>
            </w:pPr>
            <w:r>
              <w:rPr>
                <w:rFonts w:hint="eastAsia" w:ascii="Times New Roman" w:hAnsi="Times New Roman" w:eastAsia="仿宋_GB2312" w:cs="Times New Roman"/>
                <w:kern w:val="2"/>
                <w:sz w:val="18"/>
                <w:szCs w:val="18"/>
                <w:highlight w:val="none"/>
                <w:vertAlign w:val="baseline"/>
                <w:lang w:val="en-US" w:eastAsia="zh-CN" w:bidi="ar-SA"/>
              </w:rPr>
              <w:t>6.5300</w:t>
            </w:r>
          </w:p>
        </w:tc>
        <w:tc>
          <w:tcPr>
            <w:tcW w:w="526" w:type="pc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kern w:val="2"/>
                <w:sz w:val="18"/>
                <w:szCs w:val="18"/>
                <w:highlight w:val="none"/>
                <w:vertAlign w:val="baseline"/>
                <w:lang w:val="en-US" w:eastAsia="zh-CN" w:bidi="ar-SA"/>
              </w:rPr>
            </w:pPr>
            <w:r>
              <w:rPr>
                <w:rFonts w:hint="eastAsia" w:ascii="Times New Roman" w:hAnsi="Times New Roman" w:eastAsia="仿宋_GB2312" w:cs="Times New Roman"/>
                <w:kern w:val="2"/>
                <w:sz w:val="18"/>
                <w:szCs w:val="18"/>
                <w:highlight w:val="none"/>
                <w:vertAlign w:val="baseline"/>
                <w:lang w:val="en-US" w:eastAsia="zh-CN" w:bidi="ar-SA"/>
              </w:rPr>
              <w:t>3.96</w:t>
            </w:r>
          </w:p>
        </w:tc>
        <w:tc>
          <w:tcPr>
            <w:tcW w:w="585" w:type="pc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kern w:val="2"/>
                <w:sz w:val="18"/>
                <w:szCs w:val="18"/>
                <w:highlight w:val="none"/>
                <w:vertAlign w:val="baseline"/>
                <w:lang w:val="en-US" w:eastAsia="zh-CN" w:bidi="ar-SA"/>
              </w:rPr>
            </w:pPr>
            <w:r>
              <w:rPr>
                <w:rFonts w:hint="eastAsia" w:ascii="Times New Roman" w:hAnsi="Times New Roman" w:eastAsia="仿宋_GB2312" w:cs="Times New Roman"/>
                <w:kern w:val="2"/>
                <w:sz w:val="18"/>
                <w:szCs w:val="18"/>
                <w:highlight w:val="none"/>
                <w:vertAlign w:val="baseline"/>
                <w:lang w:val="en-US" w:eastAsia="zh-CN" w:bidi="ar-SA"/>
              </w:rPr>
              <w:t>2025</w:t>
            </w:r>
            <w:r>
              <w:rPr>
                <w:rFonts w:hint="default" w:cs="Times New Roman"/>
                <w:kern w:val="2"/>
                <w:sz w:val="18"/>
                <w:szCs w:val="18"/>
                <w:highlight w:val="none"/>
                <w:vertAlign w:val="baseline"/>
                <w:lang w:val="en" w:eastAsia="zh-CN" w:bidi="ar-SA"/>
              </w:rPr>
              <w:t>/</w:t>
            </w:r>
            <w:r>
              <w:rPr>
                <w:rFonts w:hint="eastAsia" w:ascii="Times New Roman" w:hAnsi="Times New Roman" w:eastAsia="仿宋_GB2312" w:cs="Times New Roman"/>
                <w:kern w:val="2"/>
                <w:sz w:val="18"/>
                <w:szCs w:val="18"/>
                <w:highlight w:val="none"/>
                <w:vertAlign w:val="baseline"/>
                <w:lang w:val="en-US" w:eastAsia="zh-CN" w:bidi="ar-SA"/>
              </w:rPr>
              <w:t>10</w:t>
            </w:r>
            <w:r>
              <w:rPr>
                <w:rFonts w:hint="default" w:cs="Times New Roman"/>
                <w:kern w:val="2"/>
                <w:sz w:val="18"/>
                <w:szCs w:val="18"/>
                <w:highlight w:val="none"/>
                <w:vertAlign w:val="baseline"/>
                <w:lang w:val="en" w:eastAsia="zh-CN" w:bidi="ar-SA"/>
              </w:rPr>
              <w:t>/</w:t>
            </w:r>
            <w:r>
              <w:rPr>
                <w:rFonts w:hint="eastAsia" w:ascii="Times New Roman" w:hAnsi="Times New Roman" w:eastAsia="仿宋_GB2312" w:cs="Times New Roman"/>
                <w:kern w:val="2"/>
                <w:sz w:val="18"/>
                <w:szCs w:val="18"/>
                <w:highlight w:val="none"/>
                <w:vertAlign w:val="baseline"/>
                <w:lang w:val="en-US" w:eastAsia="zh-CN" w:bidi="ar-SA"/>
              </w:rPr>
              <w:t>26</w:t>
            </w:r>
          </w:p>
        </w:tc>
        <w:tc>
          <w:tcPr>
            <w:tcW w:w="678" w:type="pc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kern w:val="2"/>
                <w:sz w:val="18"/>
                <w:szCs w:val="18"/>
                <w:highlight w:val="none"/>
                <w:vertAlign w:val="baseline"/>
                <w:lang w:val="en-US" w:eastAsia="zh-CN" w:bidi="ar-SA"/>
              </w:rPr>
            </w:pPr>
            <w:r>
              <w:rPr>
                <w:rFonts w:hint="eastAsia" w:ascii="Times New Roman" w:hAnsi="Times New Roman" w:eastAsia="仿宋_GB2312" w:cs="Times New Roman"/>
                <w:kern w:val="2"/>
                <w:sz w:val="18"/>
                <w:szCs w:val="18"/>
                <w:highlight w:val="none"/>
                <w:vertAlign w:val="baseline"/>
                <w:lang w:val="en-US" w:eastAsia="zh-CN" w:bidi="ar-SA"/>
              </w:rPr>
              <w:t>5.9400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pct"/>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kern w:val="2"/>
                <w:sz w:val="18"/>
                <w:szCs w:val="18"/>
                <w:highlight w:val="none"/>
                <w:vertAlign w:val="baseline"/>
                <w:lang w:val="en-US" w:eastAsia="zh-CN" w:bidi="ar-SA"/>
              </w:rPr>
            </w:pPr>
            <w:r>
              <w:rPr>
                <w:rFonts w:hint="default" w:ascii="Times New Roman" w:hAnsi="Times New Roman" w:eastAsia="仿宋_GB2312" w:cs="Times New Roman"/>
                <w:kern w:val="2"/>
                <w:sz w:val="18"/>
                <w:szCs w:val="18"/>
                <w:highlight w:val="none"/>
                <w:vertAlign w:val="baseline"/>
                <w:lang w:val="en-US" w:eastAsia="zh-CN" w:bidi="ar-SA"/>
              </w:rPr>
              <w:t>2018</w:t>
            </w:r>
            <w:r>
              <w:rPr>
                <w:rFonts w:hint="eastAsia" w:cs="Times New Roman"/>
                <w:kern w:val="2"/>
                <w:sz w:val="18"/>
                <w:szCs w:val="18"/>
                <w:highlight w:val="none"/>
                <w:vertAlign w:val="baseline"/>
                <w:lang w:val="en-US" w:eastAsia="zh-CN" w:bidi="ar-SA"/>
              </w:rPr>
              <w:t>年</w:t>
            </w:r>
            <w:r>
              <w:rPr>
                <w:rFonts w:hint="default" w:ascii="Times New Roman" w:hAnsi="Times New Roman" w:eastAsia="仿宋_GB2312" w:cs="Times New Roman"/>
                <w:kern w:val="2"/>
                <w:sz w:val="18"/>
                <w:szCs w:val="18"/>
                <w:highlight w:val="none"/>
                <w:vertAlign w:val="baseline"/>
                <w:lang w:val="en-US" w:eastAsia="zh-CN" w:bidi="ar-SA"/>
              </w:rPr>
              <w:t>四川</w:t>
            </w:r>
            <w:r>
              <w:rPr>
                <w:rFonts w:hint="eastAsia" w:cs="Times New Roman"/>
                <w:kern w:val="2"/>
                <w:sz w:val="18"/>
                <w:szCs w:val="18"/>
                <w:highlight w:val="none"/>
                <w:vertAlign w:val="baseline"/>
                <w:lang w:val="en-US" w:eastAsia="zh-CN" w:bidi="ar-SA"/>
              </w:rPr>
              <w:t>省</w:t>
            </w:r>
            <w:r>
              <w:rPr>
                <w:rFonts w:hint="default" w:ascii="Times New Roman" w:hAnsi="Times New Roman" w:eastAsia="仿宋_GB2312" w:cs="Times New Roman"/>
                <w:kern w:val="2"/>
                <w:sz w:val="18"/>
                <w:szCs w:val="18"/>
                <w:highlight w:val="none"/>
                <w:vertAlign w:val="baseline"/>
                <w:lang w:val="en-US" w:eastAsia="zh-CN" w:bidi="ar-SA"/>
              </w:rPr>
              <w:t>眉山市东坡区乡镇振兴示范项目专项债券</w:t>
            </w:r>
            <w:r>
              <w:rPr>
                <w:rFonts w:hint="eastAsia" w:cs="Times New Roman"/>
                <w:kern w:val="2"/>
                <w:sz w:val="18"/>
                <w:szCs w:val="18"/>
                <w:highlight w:val="none"/>
                <w:vertAlign w:val="baseline"/>
                <w:lang w:val="en-US" w:eastAsia="zh-CN" w:bidi="ar-SA"/>
              </w:rPr>
              <w:t>（一</w:t>
            </w:r>
            <w:r>
              <w:rPr>
                <w:rFonts w:hint="default" w:ascii="Times New Roman" w:hAnsi="Times New Roman" w:eastAsia="仿宋_GB2312" w:cs="Times New Roman"/>
                <w:kern w:val="2"/>
                <w:sz w:val="18"/>
                <w:szCs w:val="18"/>
                <w:highlight w:val="none"/>
                <w:vertAlign w:val="baseline"/>
                <w:lang w:val="en-US" w:eastAsia="zh-CN" w:bidi="ar-SA"/>
              </w:rPr>
              <w:t>期</w:t>
            </w:r>
            <w:r>
              <w:rPr>
                <w:rFonts w:hint="eastAsia" w:cs="Times New Roman"/>
                <w:kern w:val="2"/>
                <w:sz w:val="18"/>
                <w:szCs w:val="18"/>
                <w:highlight w:val="none"/>
                <w:vertAlign w:val="baseline"/>
                <w:lang w:val="en-US" w:eastAsia="zh-CN" w:bidi="ar-SA"/>
              </w:rPr>
              <w:t>）</w:t>
            </w:r>
            <w:r>
              <w:rPr>
                <w:rFonts w:hint="default" w:ascii="Times New Roman" w:hAnsi="Times New Roman" w:eastAsia="仿宋_GB2312" w:cs="Times New Roman"/>
                <w:kern w:val="2"/>
                <w:sz w:val="18"/>
                <w:szCs w:val="18"/>
                <w:highlight w:val="none"/>
                <w:vertAlign w:val="baseline"/>
                <w:lang w:val="en-US" w:eastAsia="zh-CN" w:bidi="ar-SA"/>
              </w:rPr>
              <w:t>-2018</w:t>
            </w:r>
            <w:r>
              <w:rPr>
                <w:rFonts w:hint="eastAsia" w:cs="Times New Roman"/>
                <w:kern w:val="2"/>
                <w:sz w:val="18"/>
                <w:szCs w:val="18"/>
                <w:highlight w:val="none"/>
                <w:vertAlign w:val="baseline"/>
                <w:lang w:val="en-US" w:eastAsia="zh-CN" w:bidi="ar-SA"/>
              </w:rPr>
              <w:t>年</w:t>
            </w:r>
            <w:r>
              <w:rPr>
                <w:rFonts w:hint="default" w:ascii="Times New Roman" w:hAnsi="Times New Roman" w:eastAsia="仿宋_GB2312" w:cs="Times New Roman"/>
                <w:kern w:val="2"/>
                <w:sz w:val="18"/>
                <w:szCs w:val="18"/>
                <w:highlight w:val="none"/>
                <w:vertAlign w:val="baseline"/>
                <w:lang w:val="en-US" w:eastAsia="zh-CN" w:bidi="ar-SA"/>
              </w:rPr>
              <w:t>四川省政府专项债券</w:t>
            </w:r>
            <w:r>
              <w:rPr>
                <w:rFonts w:hint="eastAsia" w:cs="Times New Roman"/>
                <w:kern w:val="2"/>
                <w:sz w:val="18"/>
                <w:szCs w:val="18"/>
                <w:highlight w:val="none"/>
                <w:vertAlign w:val="baseline"/>
                <w:lang w:val="en-US" w:eastAsia="zh-CN" w:bidi="ar-SA"/>
              </w:rPr>
              <w:t>（二十八</w:t>
            </w:r>
            <w:r>
              <w:rPr>
                <w:rFonts w:hint="default" w:ascii="Times New Roman" w:hAnsi="Times New Roman" w:eastAsia="仿宋_GB2312" w:cs="Times New Roman"/>
                <w:kern w:val="2"/>
                <w:sz w:val="18"/>
                <w:szCs w:val="18"/>
                <w:highlight w:val="none"/>
                <w:vertAlign w:val="baseline"/>
                <w:lang w:val="en-US" w:eastAsia="zh-CN" w:bidi="ar-SA"/>
              </w:rPr>
              <w:t>期</w:t>
            </w:r>
            <w:r>
              <w:rPr>
                <w:rFonts w:hint="eastAsia" w:cs="Times New Roman"/>
                <w:kern w:val="2"/>
                <w:sz w:val="18"/>
                <w:szCs w:val="18"/>
                <w:highlight w:val="none"/>
                <w:vertAlign w:val="baseline"/>
                <w:lang w:val="en-US" w:eastAsia="zh-CN" w:bidi="ar-SA"/>
              </w:rPr>
              <w:t>）</w:t>
            </w:r>
          </w:p>
        </w:tc>
        <w:tc>
          <w:tcPr>
            <w:tcW w:w="387" w:type="pc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kern w:val="2"/>
                <w:sz w:val="18"/>
                <w:szCs w:val="18"/>
                <w:highlight w:val="none"/>
                <w:vertAlign w:val="baseline"/>
                <w:lang w:val="en-US" w:eastAsia="zh-CN" w:bidi="ar-SA"/>
              </w:rPr>
            </w:pPr>
            <w:r>
              <w:rPr>
                <w:rFonts w:hint="default" w:ascii="Times New Roman" w:hAnsi="Times New Roman" w:eastAsia="仿宋_GB2312" w:cs="Times New Roman"/>
                <w:kern w:val="2"/>
                <w:sz w:val="18"/>
                <w:szCs w:val="18"/>
                <w:highlight w:val="none"/>
                <w:vertAlign w:val="baseline"/>
                <w:lang w:val="en-US" w:eastAsia="zh-CN" w:bidi="ar-SA"/>
              </w:rPr>
              <w:t>157516</w:t>
            </w:r>
          </w:p>
        </w:tc>
        <w:tc>
          <w:tcPr>
            <w:tcW w:w="573" w:type="pc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kern w:val="2"/>
                <w:sz w:val="18"/>
                <w:szCs w:val="18"/>
                <w:highlight w:val="none"/>
                <w:vertAlign w:val="baseline"/>
                <w:lang w:val="en-US" w:eastAsia="zh-CN" w:bidi="ar-SA"/>
              </w:rPr>
            </w:pPr>
            <w:r>
              <w:rPr>
                <w:rFonts w:hint="default" w:ascii="Times New Roman" w:hAnsi="Times New Roman" w:eastAsia="仿宋_GB2312" w:cs="Times New Roman"/>
                <w:kern w:val="2"/>
                <w:sz w:val="18"/>
                <w:szCs w:val="18"/>
                <w:highlight w:val="none"/>
                <w:vertAlign w:val="baseline"/>
                <w:lang w:val="en-US" w:eastAsia="zh-CN" w:bidi="ar-SA"/>
              </w:rPr>
              <w:t>18四川39</w:t>
            </w:r>
          </w:p>
        </w:tc>
        <w:tc>
          <w:tcPr>
            <w:tcW w:w="531" w:type="pc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kern w:val="2"/>
                <w:sz w:val="18"/>
                <w:szCs w:val="18"/>
                <w:highlight w:val="none"/>
                <w:vertAlign w:val="baseline"/>
                <w:lang w:val="en-US" w:eastAsia="zh-CN" w:bidi="ar-SA"/>
              </w:rPr>
            </w:pPr>
            <w:r>
              <w:rPr>
                <w:rFonts w:hint="eastAsia" w:ascii="Times New Roman" w:hAnsi="Times New Roman" w:eastAsia="仿宋_GB2312" w:cs="Times New Roman"/>
                <w:kern w:val="2"/>
                <w:sz w:val="18"/>
                <w:szCs w:val="18"/>
                <w:highlight w:val="none"/>
                <w:vertAlign w:val="baseline"/>
                <w:lang w:val="en-US" w:eastAsia="zh-CN" w:bidi="ar-SA"/>
              </w:rPr>
              <w:t>0.7000</w:t>
            </w:r>
          </w:p>
        </w:tc>
        <w:tc>
          <w:tcPr>
            <w:tcW w:w="526" w:type="pc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kern w:val="2"/>
                <w:sz w:val="18"/>
                <w:szCs w:val="18"/>
                <w:highlight w:val="none"/>
                <w:vertAlign w:val="baseline"/>
                <w:lang w:val="en-US" w:eastAsia="zh-CN" w:bidi="ar-SA"/>
              </w:rPr>
            </w:pPr>
            <w:r>
              <w:rPr>
                <w:rFonts w:hint="eastAsia" w:ascii="Times New Roman" w:hAnsi="Times New Roman" w:eastAsia="仿宋_GB2312" w:cs="Times New Roman"/>
                <w:kern w:val="2"/>
                <w:sz w:val="18"/>
                <w:szCs w:val="18"/>
                <w:highlight w:val="none"/>
                <w:vertAlign w:val="baseline"/>
                <w:lang w:val="en-US" w:eastAsia="zh-CN" w:bidi="ar-SA"/>
              </w:rPr>
              <w:t>3.96</w:t>
            </w:r>
          </w:p>
        </w:tc>
        <w:tc>
          <w:tcPr>
            <w:tcW w:w="585" w:type="pc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kern w:val="2"/>
                <w:sz w:val="18"/>
                <w:szCs w:val="18"/>
                <w:highlight w:val="none"/>
                <w:vertAlign w:val="baseline"/>
                <w:lang w:val="en-US" w:eastAsia="zh-CN" w:bidi="ar-SA"/>
              </w:rPr>
            </w:pPr>
            <w:r>
              <w:rPr>
                <w:rFonts w:hint="eastAsia" w:ascii="Times New Roman" w:hAnsi="Times New Roman" w:eastAsia="仿宋_GB2312" w:cs="Times New Roman"/>
                <w:kern w:val="2"/>
                <w:sz w:val="18"/>
                <w:szCs w:val="18"/>
                <w:highlight w:val="none"/>
                <w:vertAlign w:val="baseline"/>
                <w:lang w:val="en-US" w:eastAsia="zh-CN" w:bidi="ar-SA"/>
              </w:rPr>
              <w:t>2025</w:t>
            </w:r>
            <w:r>
              <w:rPr>
                <w:rFonts w:hint="default" w:cs="Times New Roman"/>
                <w:kern w:val="2"/>
                <w:sz w:val="18"/>
                <w:szCs w:val="18"/>
                <w:highlight w:val="none"/>
                <w:vertAlign w:val="baseline"/>
                <w:lang w:val="en" w:eastAsia="zh-CN" w:bidi="ar-SA"/>
              </w:rPr>
              <w:t>/</w:t>
            </w:r>
            <w:r>
              <w:rPr>
                <w:rFonts w:hint="eastAsia" w:ascii="Times New Roman" w:hAnsi="Times New Roman" w:eastAsia="仿宋_GB2312" w:cs="Times New Roman"/>
                <w:kern w:val="2"/>
                <w:sz w:val="18"/>
                <w:szCs w:val="18"/>
                <w:highlight w:val="none"/>
                <w:vertAlign w:val="baseline"/>
                <w:lang w:val="en-US" w:eastAsia="zh-CN" w:bidi="ar-SA"/>
              </w:rPr>
              <w:t>10</w:t>
            </w:r>
            <w:r>
              <w:rPr>
                <w:rFonts w:hint="default" w:cs="Times New Roman"/>
                <w:kern w:val="2"/>
                <w:sz w:val="18"/>
                <w:szCs w:val="18"/>
                <w:highlight w:val="none"/>
                <w:vertAlign w:val="baseline"/>
                <w:lang w:val="en" w:eastAsia="zh-CN" w:bidi="ar-SA"/>
              </w:rPr>
              <w:t>/</w:t>
            </w:r>
            <w:r>
              <w:rPr>
                <w:rFonts w:hint="eastAsia" w:ascii="Times New Roman" w:hAnsi="Times New Roman" w:eastAsia="仿宋_GB2312" w:cs="Times New Roman"/>
                <w:kern w:val="2"/>
                <w:sz w:val="18"/>
                <w:szCs w:val="18"/>
                <w:highlight w:val="none"/>
                <w:vertAlign w:val="baseline"/>
                <w:lang w:val="en-US" w:eastAsia="zh-CN" w:bidi="ar-SA"/>
              </w:rPr>
              <w:t>26</w:t>
            </w:r>
          </w:p>
        </w:tc>
        <w:tc>
          <w:tcPr>
            <w:tcW w:w="678" w:type="pc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kern w:val="2"/>
                <w:sz w:val="18"/>
                <w:szCs w:val="18"/>
                <w:highlight w:val="none"/>
                <w:vertAlign w:val="baseline"/>
                <w:lang w:val="en-US" w:eastAsia="zh-CN" w:bidi="ar-SA"/>
              </w:rPr>
            </w:pPr>
            <w:r>
              <w:rPr>
                <w:rFonts w:hint="eastAsia" w:ascii="Times New Roman" w:hAnsi="Times New Roman" w:eastAsia="仿宋_GB2312" w:cs="Times New Roman"/>
                <w:kern w:val="2"/>
                <w:sz w:val="18"/>
                <w:szCs w:val="18"/>
                <w:highlight w:val="none"/>
                <w:vertAlign w:val="baseline"/>
                <w:lang w:val="en-US" w:eastAsia="zh-CN" w:bidi="ar-SA"/>
              </w:rPr>
              <w:t>0.6300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17" w:type="pc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kern w:val="2"/>
                <w:sz w:val="18"/>
                <w:szCs w:val="18"/>
                <w:highlight w:val="none"/>
                <w:vertAlign w:val="baseline"/>
                <w:lang w:val="en-US" w:eastAsia="zh-CN" w:bidi="ar-SA"/>
              </w:rPr>
            </w:pPr>
            <w:r>
              <w:rPr>
                <w:rFonts w:hint="eastAsia" w:ascii="Times New Roman" w:hAnsi="Times New Roman" w:eastAsia="仿宋_GB2312" w:cs="Times New Roman"/>
                <w:kern w:val="2"/>
                <w:sz w:val="18"/>
                <w:szCs w:val="18"/>
                <w:highlight w:val="none"/>
                <w:vertAlign w:val="baseline"/>
                <w:lang w:val="en-US" w:eastAsia="zh-CN" w:bidi="ar-SA"/>
              </w:rPr>
              <w:t>2018年四川省工业园区建设专项债券（二期）-2018年四川省政府专项债券（三十二期）</w:t>
            </w:r>
          </w:p>
        </w:tc>
        <w:tc>
          <w:tcPr>
            <w:tcW w:w="387" w:type="pc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kern w:val="2"/>
                <w:sz w:val="18"/>
                <w:szCs w:val="18"/>
                <w:highlight w:val="none"/>
                <w:vertAlign w:val="baseline"/>
                <w:lang w:val="en-US" w:eastAsia="zh-CN" w:bidi="ar-SA"/>
              </w:rPr>
            </w:pPr>
            <w:r>
              <w:rPr>
                <w:rFonts w:hint="default" w:ascii="Times New Roman" w:hAnsi="Times New Roman" w:eastAsia="仿宋_GB2312" w:cs="Times New Roman"/>
                <w:kern w:val="2"/>
                <w:sz w:val="18"/>
                <w:szCs w:val="18"/>
                <w:highlight w:val="none"/>
                <w:vertAlign w:val="baseline"/>
                <w:lang w:val="en-US" w:eastAsia="zh-CN" w:bidi="ar-SA"/>
              </w:rPr>
              <w:t>157520</w:t>
            </w:r>
          </w:p>
        </w:tc>
        <w:tc>
          <w:tcPr>
            <w:tcW w:w="573" w:type="pc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kern w:val="2"/>
                <w:sz w:val="18"/>
                <w:szCs w:val="18"/>
                <w:highlight w:val="none"/>
                <w:vertAlign w:val="baseline"/>
                <w:lang w:val="en-US" w:eastAsia="zh-CN" w:bidi="ar-SA"/>
              </w:rPr>
            </w:pPr>
            <w:r>
              <w:rPr>
                <w:rFonts w:hint="default" w:ascii="Times New Roman" w:hAnsi="Times New Roman" w:eastAsia="仿宋_GB2312" w:cs="Times New Roman"/>
                <w:kern w:val="2"/>
                <w:sz w:val="18"/>
                <w:szCs w:val="18"/>
                <w:highlight w:val="none"/>
                <w:vertAlign w:val="baseline"/>
                <w:lang w:val="en-US" w:eastAsia="zh-CN" w:bidi="ar-SA"/>
              </w:rPr>
              <w:t>18四川43</w:t>
            </w:r>
          </w:p>
        </w:tc>
        <w:tc>
          <w:tcPr>
            <w:tcW w:w="531" w:type="pc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kern w:val="2"/>
                <w:sz w:val="18"/>
                <w:szCs w:val="18"/>
                <w:highlight w:val="none"/>
                <w:vertAlign w:val="baseline"/>
                <w:lang w:val="en-US" w:eastAsia="zh-CN" w:bidi="ar-SA"/>
              </w:rPr>
            </w:pPr>
            <w:r>
              <w:rPr>
                <w:rFonts w:hint="eastAsia" w:ascii="Times New Roman" w:hAnsi="Times New Roman" w:eastAsia="仿宋_GB2312" w:cs="Times New Roman"/>
                <w:kern w:val="2"/>
                <w:sz w:val="18"/>
                <w:szCs w:val="18"/>
                <w:highlight w:val="none"/>
                <w:vertAlign w:val="baseline"/>
                <w:lang w:val="en-US" w:eastAsia="zh-CN" w:bidi="ar-SA"/>
              </w:rPr>
              <w:t>1.1900</w:t>
            </w:r>
          </w:p>
        </w:tc>
        <w:tc>
          <w:tcPr>
            <w:tcW w:w="526" w:type="pc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kern w:val="2"/>
                <w:sz w:val="18"/>
                <w:szCs w:val="18"/>
                <w:highlight w:val="none"/>
                <w:vertAlign w:val="baseline"/>
                <w:lang w:val="en-US" w:eastAsia="zh-CN" w:bidi="ar-SA"/>
              </w:rPr>
            </w:pPr>
            <w:r>
              <w:rPr>
                <w:rFonts w:hint="eastAsia" w:ascii="Times New Roman" w:hAnsi="Times New Roman" w:eastAsia="仿宋_GB2312" w:cs="Times New Roman"/>
                <w:kern w:val="2"/>
                <w:sz w:val="18"/>
                <w:szCs w:val="18"/>
                <w:highlight w:val="none"/>
                <w:vertAlign w:val="baseline"/>
                <w:lang w:val="en-US" w:eastAsia="zh-CN" w:bidi="ar-SA"/>
              </w:rPr>
              <w:t>3.96</w:t>
            </w:r>
          </w:p>
        </w:tc>
        <w:tc>
          <w:tcPr>
            <w:tcW w:w="585" w:type="pc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kern w:val="2"/>
                <w:sz w:val="18"/>
                <w:szCs w:val="18"/>
                <w:highlight w:val="none"/>
                <w:vertAlign w:val="baseline"/>
                <w:lang w:val="en-US" w:eastAsia="zh-CN" w:bidi="ar-SA"/>
              </w:rPr>
            </w:pPr>
            <w:r>
              <w:rPr>
                <w:rFonts w:hint="eastAsia" w:ascii="Times New Roman" w:hAnsi="Times New Roman" w:eastAsia="仿宋_GB2312" w:cs="Times New Roman"/>
                <w:kern w:val="2"/>
                <w:sz w:val="18"/>
                <w:szCs w:val="18"/>
                <w:highlight w:val="none"/>
                <w:vertAlign w:val="baseline"/>
                <w:lang w:val="en-US" w:eastAsia="zh-CN" w:bidi="ar-SA"/>
              </w:rPr>
              <w:t>2025</w:t>
            </w:r>
            <w:r>
              <w:rPr>
                <w:rFonts w:hint="default" w:cs="Times New Roman"/>
                <w:kern w:val="2"/>
                <w:sz w:val="18"/>
                <w:szCs w:val="18"/>
                <w:highlight w:val="none"/>
                <w:vertAlign w:val="baseline"/>
                <w:lang w:val="en" w:eastAsia="zh-CN" w:bidi="ar-SA"/>
              </w:rPr>
              <w:t>/</w:t>
            </w:r>
            <w:r>
              <w:rPr>
                <w:rFonts w:hint="eastAsia" w:ascii="Times New Roman" w:hAnsi="Times New Roman" w:eastAsia="仿宋_GB2312" w:cs="Times New Roman"/>
                <w:kern w:val="2"/>
                <w:sz w:val="18"/>
                <w:szCs w:val="18"/>
                <w:highlight w:val="none"/>
                <w:vertAlign w:val="baseline"/>
                <w:lang w:val="en-US" w:eastAsia="zh-CN" w:bidi="ar-SA"/>
              </w:rPr>
              <w:t>10</w:t>
            </w:r>
            <w:r>
              <w:rPr>
                <w:rFonts w:hint="default" w:cs="Times New Roman"/>
                <w:kern w:val="2"/>
                <w:sz w:val="18"/>
                <w:szCs w:val="18"/>
                <w:highlight w:val="none"/>
                <w:vertAlign w:val="baseline"/>
                <w:lang w:val="en" w:eastAsia="zh-CN" w:bidi="ar-SA"/>
              </w:rPr>
              <w:t>/</w:t>
            </w:r>
            <w:r>
              <w:rPr>
                <w:rFonts w:hint="eastAsia" w:ascii="Times New Roman" w:hAnsi="Times New Roman" w:eastAsia="仿宋_GB2312" w:cs="Times New Roman"/>
                <w:kern w:val="2"/>
                <w:sz w:val="18"/>
                <w:szCs w:val="18"/>
                <w:highlight w:val="none"/>
                <w:vertAlign w:val="baseline"/>
                <w:lang w:val="en-US" w:eastAsia="zh-CN" w:bidi="ar-SA"/>
              </w:rPr>
              <w:t>26</w:t>
            </w:r>
          </w:p>
        </w:tc>
        <w:tc>
          <w:tcPr>
            <w:tcW w:w="678" w:type="pc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kern w:val="2"/>
                <w:sz w:val="18"/>
                <w:szCs w:val="18"/>
                <w:highlight w:val="none"/>
                <w:vertAlign w:val="baseline"/>
                <w:lang w:val="en-US" w:eastAsia="zh-CN" w:bidi="ar-SA"/>
              </w:rPr>
            </w:pPr>
            <w:r>
              <w:rPr>
                <w:rFonts w:hint="eastAsia" w:ascii="Times New Roman" w:hAnsi="Times New Roman" w:eastAsia="仿宋_GB2312" w:cs="Times New Roman"/>
                <w:kern w:val="2"/>
                <w:sz w:val="18"/>
                <w:szCs w:val="18"/>
                <w:highlight w:val="none"/>
                <w:vertAlign w:val="baseline"/>
                <w:lang w:val="en-US" w:eastAsia="zh-CN" w:bidi="ar-SA"/>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pc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kern w:val="2"/>
                <w:sz w:val="18"/>
                <w:szCs w:val="18"/>
                <w:highlight w:val="none"/>
                <w:vertAlign w:val="baseline"/>
                <w:lang w:val="en-US" w:eastAsia="zh-CN" w:bidi="ar-SA"/>
              </w:rPr>
            </w:pPr>
            <w:r>
              <w:rPr>
                <w:rFonts w:hint="eastAsia" w:ascii="Times New Roman" w:hAnsi="Times New Roman" w:eastAsia="仿宋_GB2312" w:cs="Times New Roman"/>
                <w:kern w:val="2"/>
                <w:sz w:val="18"/>
                <w:szCs w:val="18"/>
                <w:highlight w:val="none"/>
                <w:vertAlign w:val="baseline"/>
                <w:lang w:val="en-US" w:eastAsia="zh-CN" w:bidi="ar-SA"/>
              </w:rPr>
              <w:t>2018年四川省医院建设专项债券（一期）-2018年四川省政府专项债券（三十三期）</w:t>
            </w:r>
          </w:p>
        </w:tc>
        <w:tc>
          <w:tcPr>
            <w:tcW w:w="387" w:type="pc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kern w:val="2"/>
                <w:sz w:val="18"/>
                <w:szCs w:val="18"/>
                <w:highlight w:val="none"/>
                <w:vertAlign w:val="baseline"/>
                <w:lang w:val="en-US" w:eastAsia="zh-CN" w:bidi="ar-SA"/>
              </w:rPr>
            </w:pPr>
            <w:r>
              <w:rPr>
                <w:rFonts w:hint="default" w:ascii="Times New Roman" w:hAnsi="Times New Roman" w:eastAsia="仿宋_GB2312" w:cs="Times New Roman"/>
                <w:kern w:val="2"/>
                <w:sz w:val="18"/>
                <w:szCs w:val="18"/>
                <w:highlight w:val="none"/>
                <w:vertAlign w:val="baseline"/>
                <w:lang w:val="en-US" w:eastAsia="zh-CN" w:bidi="ar-SA"/>
              </w:rPr>
              <w:t>157521</w:t>
            </w:r>
          </w:p>
        </w:tc>
        <w:tc>
          <w:tcPr>
            <w:tcW w:w="573" w:type="pc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kern w:val="2"/>
                <w:sz w:val="18"/>
                <w:szCs w:val="18"/>
                <w:highlight w:val="none"/>
                <w:vertAlign w:val="baseline"/>
                <w:lang w:val="en-US" w:eastAsia="zh-CN" w:bidi="ar-SA"/>
              </w:rPr>
            </w:pPr>
            <w:r>
              <w:rPr>
                <w:rFonts w:hint="default" w:ascii="Times New Roman" w:hAnsi="Times New Roman" w:eastAsia="仿宋_GB2312" w:cs="Times New Roman"/>
                <w:kern w:val="2"/>
                <w:sz w:val="18"/>
                <w:szCs w:val="18"/>
                <w:highlight w:val="none"/>
                <w:vertAlign w:val="baseline"/>
                <w:lang w:val="en-US" w:eastAsia="zh-CN" w:bidi="ar-SA"/>
              </w:rPr>
              <w:t>18四川44</w:t>
            </w:r>
          </w:p>
        </w:tc>
        <w:tc>
          <w:tcPr>
            <w:tcW w:w="531" w:type="pc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kern w:val="2"/>
                <w:sz w:val="18"/>
                <w:szCs w:val="18"/>
                <w:highlight w:val="none"/>
                <w:vertAlign w:val="baseline"/>
                <w:lang w:val="en-US" w:eastAsia="zh-CN" w:bidi="ar-SA"/>
              </w:rPr>
            </w:pPr>
            <w:r>
              <w:rPr>
                <w:rFonts w:hint="eastAsia" w:ascii="Times New Roman" w:hAnsi="Times New Roman" w:eastAsia="仿宋_GB2312" w:cs="Times New Roman"/>
                <w:kern w:val="2"/>
                <w:sz w:val="18"/>
                <w:szCs w:val="18"/>
                <w:highlight w:val="none"/>
                <w:vertAlign w:val="baseline"/>
                <w:lang w:val="en-US" w:eastAsia="zh-CN" w:bidi="ar-SA"/>
              </w:rPr>
              <w:t>1.3000</w:t>
            </w:r>
          </w:p>
        </w:tc>
        <w:tc>
          <w:tcPr>
            <w:tcW w:w="526" w:type="pc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kern w:val="2"/>
                <w:sz w:val="18"/>
                <w:szCs w:val="18"/>
                <w:highlight w:val="none"/>
                <w:vertAlign w:val="baseline"/>
                <w:lang w:val="en-US" w:eastAsia="zh-CN" w:bidi="ar-SA"/>
              </w:rPr>
            </w:pPr>
            <w:r>
              <w:rPr>
                <w:rFonts w:hint="eastAsia" w:ascii="Times New Roman" w:hAnsi="Times New Roman" w:eastAsia="仿宋_GB2312" w:cs="Times New Roman"/>
                <w:kern w:val="2"/>
                <w:sz w:val="18"/>
                <w:szCs w:val="18"/>
                <w:highlight w:val="none"/>
                <w:vertAlign w:val="baseline"/>
                <w:lang w:val="en-US" w:eastAsia="zh-CN" w:bidi="ar-SA"/>
              </w:rPr>
              <w:t>3.96</w:t>
            </w:r>
          </w:p>
        </w:tc>
        <w:tc>
          <w:tcPr>
            <w:tcW w:w="585" w:type="pc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kern w:val="2"/>
                <w:sz w:val="18"/>
                <w:szCs w:val="18"/>
                <w:highlight w:val="none"/>
                <w:vertAlign w:val="baseline"/>
                <w:lang w:val="en-US" w:eastAsia="zh-CN" w:bidi="ar-SA"/>
              </w:rPr>
            </w:pPr>
            <w:r>
              <w:rPr>
                <w:rFonts w:hint="eastAsia" w:ascii="Times New Roman" w:hAnsi="Times New Roman" w:eastAsia="仿宋_GB2312" w:cs="Times New Roman"/>
                <w:kern w:val="2"/>
                <w:sz w:val="18"/>
                <w:szCs w:val="18"/>
                <w:highlight w:val="none"/>
                <w:vertAlign w:val="baseline"/>
                <w:lang w:val="en-US" w:eastAsia="zh-CN" w:bidi="ar-SA"/>
              </w:rPr>
              <w:t>2025</w:t>
            </w:r>
            <w:r>
              <w:rPr>
                <w:rFonts w:hint="default" w:cs="Times New Roman"/>
                <w:kern w:val="2"/>
                <w:sz w:val="18"/>
                <w:szCs w:val="18"/>
                <w:highlight w:val="none"/>
                <w:vertAlign w:val="baseline"/>
                <w:lang w:val="en" w:eastAsia="zh-CN" w:bidi="ar-SA"/>
              </w:rPr>
              <w:t>/</w:t>
            </w:r>
            <w:r>
              <w:rPr>
                <w:rFonts w:hint="eastAsia" w:ascii="Times New Roman" w:hAnsi="Times New Roman" w:eastAsia="仿宋_GB2312" w:cs="Times New Roman"/>
                <w:kern w:val="2"/>
                <w:sz w:val="18"/>
                <w:szCs w:val="18"/>
                <w:highlight w:val="none"/>
                <w:vertAlign w:val="baseline"/>
                <w:lang w:val="en-US" w:eastAsia="zh-CN" w:bidi="ar-SA"/>
              </w:rPr>
              <w:t>10</w:t>
            </w:r>
            <w:r>
              <w:rPr>
                <w:rFonts w:hint="default" w:cs="Times New Roman"/>
                <w:kern w:val="2"/>
                <w:sz w:val="18"/>
                <w:szCs w:val="18"/>
                <w:highlight w:val="none"/>
                <w:vertAlign w:val="baseline"/>
                <w:lang w:val="en" w:eastAsia="zh-CN" w:bidi="ar-SA"/>
              </w:rPr>
              <w:t>/</w:t>
            </w:r>
            <w:r>
              <w:rPr>
                <w:rFonts w:hint="eastAsia" w:ascii="Times New Roman" w:hAnsi="Times New Roman" w:eastAsia="仿宋_GB2312" w:cs="Times New Roman"/>
                <w:kern w:val="2"/>
                <w:sz w:val="18"/>
                <w:szCs w:val="18"/>
                <w:highlight w:val="none"/>
                <w:vertAlign w:val="baseline"/>
                <w:lang w:val="en-US" w:eastAsia="zh-CN" w:bidi="ar-SA"/>
              </w:rPr>
              <w:t>26</w:t>
            </w:r>
          </w:p>
        </w:tc>
        <w:tc>
          <w:tcPr>
            <w:tcW w:w="678" w:type="pc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kern w:val="2"/>
                <w:sz w:val="18"/>
                <w:szCs w:val="18"/>
                <w:highlight w:val="none"/>
                <w:vertAlign w:val="baseline"/>
                <w:lang w:val="en-US" w:eastAsia="zh-CN" w:bidi="ar-SA"/>
              </w:rPr>
            </w:pPr>
            <w:r>
              <w:rPr>
                <w:rFonts w:hint="eastAsia" w:ascii="Times New Roman" w:hAnsi="Times New Roman" w:eastAsia="仿宋_GB2312" w:cs="Times New Roman"/>
                <w:kern w:val="2"/>
                <w:sz w:val="18"/>
                <w:szCs w:val="18"/>
                <w:highlight w:val="none"/>
                <w:vertAlign w:val="baseline"/>
                <w:lang w:val="en-US" w:eastAsia="zh-CN" w:bidi="ar-SA"/>
              </w:rPr>
              <w:t>0.9000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pc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kern w:val="2"/>
                <w:sz w:val="18"/>
                <w:szCs w:val="18"/>
                <w:highlight w:val="none"/>
                <w:vertAlign w:val="baseline"/>
                <w:lang w:val="en-US" w:eastAsia="zh-CN" w:bidi="ar-SA"/>
              </w:rPr>
            </w:pPr>
            <w:r>
              <w:rPr>
                <w:rFonts w:hint="eastAsia" w:ascii="Times New Roman" w:hAnsi="Times New Roman" w:eastAsia="仿宋_GB2312" w:cs="Times New Roman"/>
                <w:kern w:val="2"/>
                <w:sz w:val="18"/>
                <w:szCs w:val="18"/>
                <w:highlight w:val="none"/>
                <w:vertAlign w:val="baseline"/>
                <w:lang w:val="en-US" w:eastAsia="zh-CN" w:bidi="ar-SA"/>
              </w:rPr>
              <w:t>2018年四川省生态环保建设专项债券（一期）-2018年四川省政府专项债券（三十四期）</w:t>
            </w:r>
          </w:p>
        </w:tc>
        <w:tc>
          <w:tcPr>
            <w:tcW w:w="387" w:type="pc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kern w:val="2"/>
                <w:sz w:val="18"/>
                <w:szCs w:val="18"/>
                <w:highlight w:val="none"/>
                <w:vertAlign w:val="baseline"/>
                <w:lang w:val="en-US" w:eastAsia="zh-CN" w:bidi="ar-SA"/>
              </w:rPr>
            </w:pPr>
            <w:r>
              <w:rPr>
                <w:rFonts w:hint="default" w:ascii="Times New Roman" w:hAnsi="Times New Roman" w:eastAsia="仿宋_GB2312" w:cs="Times New Roman"/>
                <w:kern w:val="2"/>
                <w:sz w:val="18"/>
                <w:szCs w:val="18"/>
                <w:highlight w:val="none"/>
                <w:vertAlign w:val="baseline"/>
                <w:lang w:val="en-US" w:eastAsia="zh-CN" w:bidi="ar-SA"/>
              </w:rPr>
              <w:t>157522</w:t>
            </w:r>
          </w:p>
        </w:tc>
        <w:tc>
          <w:tcPr>
            <w:tcW w:w="573" w:type="pc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kern w:val="2"/>
                <w:sz w:val="18"/>
                <w:szCs w:val="18"/>
                <w:highlight w:val="none"/>
                <w:vertAlign w:val="baseline"/>
                <w:lang w:val="en-US" w:eastAsia="zh-CN" w:bidi="ar-SA"/>
              </w:rPr>
            </w:pPr>
            <w:r>
              <w:rPr>
                <w:rFonts w:hint="default" w:ascii="Times New Roman" w:hAnsi="Times New Roman" w:eastAsia="仿宋_GB2312" w:cs="Times New Roman"/>
                <w:kern w:val="2"/>
                <w:sz w:val="18"/>
                <w:szCs w:val="18"/>
                <w:highlight w:val="none"/>
                <w:vertAlign w:val="baseline"/>
                <w:lang w:val="en-US" w:eastAsia="zh-CN" w:bidi="ar-SA"/>
              </w:rPr>
              <w:t>18四川45</w:t>
            </w:r>
          </w:p>
        </w:tc>
        <w:tc>
          <w:tcPr>
            <w:tcW w:w="531" w:type="pc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kern w:val="2"/>
                <w:sz w:val="18"/>
                <w:szCs w:val="18"/>
                <w:highlight w:val="none"/>
                <w:vertAlign w:val="baseline"/>
                <w:lang w:val="en-US" w:eastAsia="zh-CN" w:bidi="ar-SA"/>
              </w:rPr>
            </w:pPr>
            <w:r>
              <w:rPr>
                <w:rFonts w:hint="eastAsia" w:ascii="Times New Roman" w:hAnsi="Times New Roman" w:eastAsia="仿宋_GB2312" w:cs="Times New Roman"/>
                <w:kern w:val="2"/>
                <w:sz w:val="18"/>
                <w:szCs w:val="18"/>
                <w:highlight w:val="none"/>
                <w:vertAlign w:val="baseline"/>
                <w:lang w:val="en-US" w:eastAsia="zh-CN" w:bidi="ar-SA"/>
              </w:rPr>
              <w:t>5.3600</w:t>
            </w:r>
          </w:p>
        </w:tc>
        <w:tc>
          <w:tcPr>
            <w:tcW w:w="526" w:type="pc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kern w:val="2"/>
                <w:sz w:val="18"/>
                <w:szCs w:val="18"/>
                <w:highlight w:val="none"/>
                <w:vertAlign w:val="baseline"/>
                <w:lang w:val="en-US" w:eastAsia="zh-CN" w:bidi="ar-SA"/>
              </w:rPr>
            </w:pPr>
            <w:r>
              <w:rPr>
                <w:rFonts w:hint="eastAsia" w:ascii="Times New Roman" w:hAnsi="Times New Roman" w:eastAsia="仿宋_GB2312" w:cs="Times New Roman"/>
                <w:kern w:val="2"/>
                <w:sz w:val="18"/>
                <w:szCs w:val="18"/>
                <w:highlight w:val="none"/>
                <w:vertAlign w:val="baseline"/>
                <w:lang w:val="en-US" w:eastAsia="zh-CN" w:bidi="ar-SA"/>
              </w:rPr>
              <w:t>3.96</w:t>
            </w:r>
          </w:p>
        </w:tc>
        <w:tc>
          <w:tcPr>
            <w:tcW w:w="585" w:type="pc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kern w:val="2"/>
                <w:sz w:val="18"/>
                <w:szCs w:val="18"/>
                <w:highlight w:val="none"/>
                <w:vertAlign w:val="baseline"/>
                <w:lang w:val="en-US" w:eastAsia="zh-CN" w:bidi="ar-SA"/>
              </w:rPr>
            </w:pPr>
            <w:r>
              <w:rPr>
                <w:rFonts w:hint="eastAsia" w:ascii="Times New Roman" w:hAnsi="Times New Roman" w:eastAsia="仿宋_GB2312" w:cs="Times New Roman"/>
                <w:kern w:val="2"/>
                <w:sz w:val="18"/>
                <w:szCs w:val="18"/>
                <w:highlight w:val="none"/>
                <w:vertAlign w:val="baseline"/>
                <w:lang w:val="en-US" w:eastAsia="zh-CN" w:bidi="ar-SA"/>
              </w:rPr>
              <w:t>2025</w:t>
            </w:r>
            <w:r>
              <w:rPr>
                <w:rFonts w:hint="default" w:cs="Times New Roman"/>
                <w:kern w:val="2"/>
                <w:sz w:val="18"/>
                <w:szCs w:val="18"/>
                <w:highlight w:val="none"/>
                <w:vertAlign w:val="baseline"/>
                <w:lang w:val="en" w:eastAsia="zh-CN" w:bidi="ar-SA"/>
              </w:rPr>
              <w:t>/</w:t>
            </w:r>
            <w:r>
              <w:rPr>
                <w:rFonts w:hint="eastAsia" w:ascii="Times New Roman" w:hAnsi="Times New Roman" w:eastAsia="仿宋_GB2312" w:cs="Times New Roman"/>
                <w:kern w:val="2"/>
                <w:sz w:val="18"/>
                <w:szCs w:val="18"/>
                <w:highlight w:val="none"/>
                <w:vertAlign w:val="baseline"/>
                <w:lang w:val="en-US" w:eastAsia="zh-CN" w:bidi="ar-SA"/>
              </w:rPr>
              <w:t>10</w:t>
            </w:r>
            <w:r>
              <w:rPr>
                <w:rFonts w:hint="default" w:cs="Times New Roman"/>
                <w:kern w:val="2"/>
                <w:sz w:val="18"/>
                <w:szCs w:val="18"/>
                <w:highlight w:val="none"/>
                <w:vertAlign w:val="baseline"/>
                <w:lang w:val="en" w:eastAsia="zh-CN" w:bidi="ar-SA"/>
              </w:rPr>
              <w:t>/</w:t>
            </w:r>
            <w:r>
              <w:rPr>
                <w:rFonts w:hint="eastAsia" w:ascii="Times New Roman" w:hAnsi="Times New Roman" w:eastAsia="仿宋_GB2312" w:cs="Times New Roman"/>
                <w:kern w:val="2"/>
                <w:sz w:val="18"/>
                <w:szCs w:val="18"/>
                <w:highlight w:val="none"/>
                <w:vertAlign w:val="baseline"/>
                <w:lang w:val="en-US" w:eastAsia="zh-CN" w:bidi="ar-SA"/>
              </w:rPr>
              <w:t>26</w:t>
            </w:r>
          </w:p>
        </w:tc>
        <w:tc>
          <w:tcPr>
            <w:tcW w:w="678" w:type="pc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kern w:val="2"/>
                <w:sz w:val="18"/>
                <w:szCs w:val="18"/>
                <w:highlight w:val="none"/>
                <w:vertAlign w:val="baseline"/>
                <w:lang w:val="en-US" w:eastAsia="zh-CN" w:bidi="ar-SA"/>
              </w:rPr>
            </w:pPr>
            <w:r>
              <w:rPr>
                <w:rFonts w:hint="eastAsia" w:ascii="Times New Roman" w:hAnsi="Times New Roman" w:eastAsia="仿宋_GB2312" w:cs="Times New Roman"/>
                <w:kern w:val="2"/>
                <w:sz w:val="18"/>
                <w:szCs w:val="18"/>
                <w:highlight w:val="none"/>
                <w:vertAlign w:val="baseline"/>
                <w:lang w:val="en-US" w:eastAsia="zh-CN" w:bidi="ar-SA"/>
              </w:rPr>
              <w:t>5.1400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pc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kern w:val="2"/>
                <w:sz w:val="18"/>
                <w:szCs w:val="18"/>
                <w:highlight w:val="none"/>
                <w:vertAlign w:val="baseline"/>
                <w:lang w:val="en-US" w:eastAsia="zh-CN" w:bidi="ar-SA"/>
              </w:rPr>
            </w:pPr>
            <w:r>
              <w:rPr>
                <w:rFonts w:hint="eastAsia" w:ascii="Times New Roman" w:hAnsi="Times New Roman" w:eastAsia="仿宋_GB2312" w:cs="Times New Roman"/>
                <w:kern w:val="2"/>
                <w:sz w:val="18"/>
                <w:szCs w:val="18"/>
                <w:highlight w:val="none"/>
                <w:vertAlign w:val="baseline"/>
                <w:lang w:val="en-US" w:eastAsia="zh-CN" w:bidi="ar-SA"/>
              </w:rPr>
              <w:t>2015年四川省政府专项债券（四期）</w:t>
            </w:r>
          </w:p>
        </w:tc>
        <w:tc>
          <w:tcPr>
            <w:tcW w:w="387" w:type="pc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kern w:val="2"/>
                <w:sz w:val="18"/>
                <w:szCs w:val="18"/>
                <w:highlight w:val="none"/>
                <w:vertAlign w:val="baseline"/>
                <w:lang w:val="en-US" w:eastAsia="zh-CN" w:bidi="ar-SA"/>
              </w:rPr>
            </w:pPr>
            <w:r>
              <w:rPr>
                <w:rFonts w:hint="default" w:ascii="Times New Roman" w:hAnsi="Times New Roman" w:eastAsia="仿宋_GB2312" w:cs="Times New Roman"/>
                <w:kern w:val="2"/>
                <w:sz w:val="18"/>
                <w:szCs w:val="18"/>
                <w:highlight w:val="none"/>
                <w:vertAlign w:val="baseline"/>
                <w:lang w:val="en-US" w:eastAsia="zh-CN" w:bidi="ar-SA"/>
              </w:rPr>
              <w:t>1568019</w:t>
            </w:r>
          </w:p>
        </w:tc>
        <w:tc>
          <w:tcPr>
            <w:tcW w:w="573" w:type="pc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kern w:val="2"/>
                <w:sz w:val="18"/>
                <w:szCs w:val="18"/>
                <w:highlight w:val="none"/>
                <w:vertAlign w:val="baseline"/>
                <w:lang w:val="en-US" w:eastAsia="zh-CN" w:bidi="ar-SA"/>
              </w:rPr>
            </w:pPr>
            <w:r>
              <w:rPr>
                <w:rFonts w:hint="default" w:ascii="Times New Roman" w:hAnsi="Times New Roman" w:eastAsia="仿宋_GB2312" w:cs="Times New Roman"/>
                <w:kern w:val="2"/>
                <w:sz w:val="18"/>
                <w:szCs w:val="18"/>
                <w:highlight w:val="none"/>
                <w:vertAlign w:val="baseline"/>
                <w:lang w:val="en-US" w:eastAsia="zh-CN" w:bidi="ar-SA"/>
              </w:rPr>
              <w:t>15四川债19</w:t>
            </w:r>
          </w:p>
        </w:tc>
        <w:tc>
          <w:tcPr>
            <w:tcW w:w="531" w:type="pc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kern w:val="2"/>
                <w:sz w:val="18"/>
                <w:szCs w:val="18"/>
                <w:highlight w:val="none"/>
                <w:vertAlign w:val="baseline"/>
                <w:lang w:val="en-US" w:eastAsia="zh-CN" w:bidi="ar-SA"/>
              </w:rPr>
            </w:pPr>
            <w:r>
              <w:rPr>
                <w:rFonts w:hint="eastAsia" w:ascii="Times New Roman" w:hAnsi="Times New Roman" w:eastAsia="仿宋_GB2312" w:cs="Times New Roman"/>
                <w:kern w:val="2"/>
                <w:sz w:val="18"/>
                <w:szCs w:val="18"/>
                <w:highlight w:val="none"/>
                <w:vertAlign w:val="baseline"/>
                <w:lang w:val="en-US" w:eastAsia="zh-CN" w:bidi="ar-SA"/>
              </w:rPr>
              <w:t>53.4200</w:t>
            </w:r>
          </w:p>
        </w:tc>
        <w:tc>
          <w:tcPr>
            <w:tcW w:w="526" w:type="pc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kern w:val="2"/>
                <w:sz w:val="18"/>
                <w:szCs w:val="18"/>
                <w:highlight w:val="none"/>
                <w:vertAlign w:val="baseline"/>
                <w:lang w:val="en-US" w:eastAsia="zh-CN" w:bidi="ar-SA"/>
              </w:rPr>
            </w:pPr>
            <w:r>
              <w:rPr>
                <w:rFonts w:hint="eastAsia" w:ascii="Times New Roman" w:hAnsi="Times New Roman" w:eastAsia="仿宋_GB2312" w:cs="Times New Roman"/>
                <w:kern w:val="2"/>
                <w:sz w:val="18"/>
                <w:szCs w:val="18"/>
                <w:highlight w:val="none"/>
                <w:vertAlign w:val="baseline"/>
                <w:lang w:val="en-US" w:eastAsia="zh-CN" w:bidi="ar-SA"/>
              </w:rPr>
              <w:t>3.37</w:t>
            </w:r>
          </w:p>
        </w:tc>
        <w:tc>
          <w:tcPr>
            <w:tcW w:w="585" w:type="pc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kern w:val="2"/>
                <w:sz w:val="18"/>
                <w:szCs w:val="18"/>
                <w:highlight w:val="none"/>
                <w:vertAlign w:val="baseline"/>
                <w:lang w:val="en" w:eastAsia="zh-CN" w:bidi="ar-SA"/>
              </w:rPr>
            </w:pPr>
            <w:r>
              <w:rPr>
                <w:rFonts w:hint="eastAsia" w:ascii="Times New Roman" w:hAnsi="Times New Roman" w:eastAsia="仿宋_GB2312" w:cs="Times New Roman"/>
                <w:kern w:val="2"/>
                <w:sz w:val="18"/>
                <w:szCs w:val="18"/>
                <w:highlight w:val="none"/>
                <w:vertAlign w:val="baseline"/>
                <w:lang w:val="en-US" w:eastAsia="zh-CN" w:bidi="ar-SA"/>
              </w:rPr>
              <w:t>2025</w:t>
            </w:r>
            <w:r>
              <w:rPr>
                <w:rFonts w:hint="default" w:cs="Times New Roman"/>
                <w:kern w:val="2"/>
                <w:sz w:val="18"/>
                <w:szCs w:val="18"/>
                <w:highlight w:val="none"/>
                <w:vertAlign w:val="baseline"/>
                <w:lang w:val="en" w:eastAsia="zh-CN" w:bidi="ar-SA"/>
              </w:rPr>
              <w:t>/</w:t>
            </w:r>
            <w:r>
              <w:rPr>
                <w:rFonts w:hint="eastAsia" w:ascii="Times New Roman" w:hAnsi="Times New Roman" w:eastAsia="仿宋_GB2312" w:cs="Times New Roman"/>
                <w:kern w:val="2"/>
                <w:sz w:val="18"/>
                <w:szCs w:val="18"/>
                <w:highlight w:val="none"/>
                <w:vertAlign w:val="baseline"/>
                <w:lang w:val="en-US" w:eastAsia="zh-CN" w:bidi="ar-SA"/>
              </w:rPr>
              <w:t>10</w:t>
            </w:r>
            <w:r>
              <w:rPr>
                <w:rFonts w:hint="default" w:cs="Times New Roman"/>
                <w:kern w:val="2"/>
                <w:sz w:val="18"/>
                <w:szCs w:val="18"/>
                <w:highlight w:val="none"/>
                <w:vertAlign w:val="baseline"/>
                <w:lang w:val="en" w:eastAsia="zh-CN" w:bidi="ar-SA"/>
              </w:rPr>
              <w:t>/</w:t>
            </w:r>
            <w:r>
              <w:rPr>
                <w:rFonts w:hint="eastAsia" w:ascii="Times New Roman" w:hAnsi="Times New Roman" w:eastAsia="仿宋_GB2312" w:cs="Times New Roman"/>
                <w:kern w:val="2"/>
                <w:sz w:val="18"/>
                <w:szCs w:val="18"/>
                <w:highlight w:val="none"/>
                <w:vertAlign w:val="baseline"/>
                <w:lang w:val="en-US" w:eastAsia="zh-CN" w:bidi="ar-SA"/>
              </w:rPr>
              <w:t>2</w:t>
            </w:r>
            <w:r>
              <w:rPr>
                <w:rFonts w:hint="default" w:cs="Times New Roman"/>
                <w:kern w:val="2"/>
                <w:sz w:val="18"/>
                <w:szCs w:val="18"/>
                <w:highlight w:val="none"/>
                <w:vertAlign w:val="baseline"/>
                <w:lang w:val="en" w:eastAsia="zh-CN" w:bidi="ar-SA"/>
              </w:rPr>
              <w:t>7</w:t>
            </w:r>
          </w:p>
        </w:tc>
        <w:tc>
          <w:tcPr>
            <w:tcW w:w="678" w:type="pc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kern w:val="2"/>
                <w:sz w:val="18"/>
                <w:szCs w:val="18"/>
                <w:highlight w:val="none"/>
                <w:vertAlign w:val="baseline"/>
                <w:lang w:val="en-US" w:eastAsia="zh-CN" w:bidi="ar-SA"/>
              </w:rPr>
            </w:pPr>
            <w:r>
              <w:rPr>
                <w:rFonts w:hint="eastAsia" w:ascii="Times New Roman" w:hAnsi="Times New Roman" w:eastAsia="仿宋_GB2312" w:cs="Times New Roman"/>
                <w:kern w:val="2"/>
                <w:sz w:val="18"/>
                <w:szCs w:val="18"/>
                <w:highlight w:val="none"/>
                <w:vertAlign w:val="baseline"/>
                <w:lang w:val="en-US" w:eastAsia="zh-CN" w:bidi="ar-SA"/>
              </w:rPr>
              <w:t>38.0529</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二、信用评级情况</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经</w:t>
      </w:r>
      <w:r>
        <w:rPr>
          <w:rFonts w:hint="default" w:ascii="Times New Roman" w:hAnsi="Times New Roman" w:eastAsia="仿宋_GB2312" w:cs="Times New Roman"/>
          <w:color w:val="auto"/>
          <w:sz w:val="32"/>
          <w:szCs w:val="32"/>
          <w:highlight w:val="none"/>
          <w:lang w:eastAsia="zh-CN"/>
        </w:rPr>
        <w:t>联合</w:t>
      </w:r>
      <w:r>
        <w:rPr>
          <w:rFonts w:hint="default" w:ascii="Times New Roman" w:hAnsi="Times New Roman" w:eastAsia="仿宋_GB2312" w:cs="Times New Roman"/>
          <w:color w:val="auto"/>
          <w:sz w:val="32"/>
          <w:szCs w:val="32"/>
          <w:highlight w:val="none"/>
        </w:rPr>
        <w:t>资信评估</w:t>
      </w:r>
      <w:r>
        <w:rPr>
          <w:rFonts w:hint="default" w:ascii="Times New Roman" w:hAnsi="Times New Roman" w:eastAsia="仿宋_GB2312" w:cs="Times New Roman"/>
          <w:color w:val="auto"/>
          <w:sz w:val="32"/>
          <w:szCs w:val="32"/>
          <w:highlight w:val="none"/>
          <w:lang w:eastAsia="zh-CN"/>
        </w:rPr>
        <w:t>股份</w:t>
      </w:r>
      <w:r>
        <w:rPr>
          <w:rFonts w:hint="default" w:ascii="Times New Roman" w:hAnsi="Times New Roman" w:eastAsia="仿宋_GB2312" w:cs="Times New Roman"/>
          <w:color w:val="auto"/>
          <w:sz w:val="32"/>
          <w:szCs w:val="32"/>
          <w:highlight w:val="none"/>
        </w:rPr>
        <w:t>有限公司综合评定，</w:t>
      </w: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年四川省政府</w:t>
      </w:r>
      <w:r>
        <w:rPr>
          <w:rFonts w:hint="eastAsia" w:ascii="Times New Roman" w:hAnsi="Times New Roman" w:eastAsia="仿宋_GB2312" w:cs="Times New Roman"/>
          <w:color w:val="auto"/>
          <w:sz w:val="32"/>
          <w:szCs w:val="32"/>
          <w:highlight w:val="none"/>
          <w:lang w:val="en-US" w:eastAsia="zh-CN"/>
        </w:rPr>
        <w:t>再融资一般债券（九期）及再融资专项债券（十四期）</w:t>
      </w:r>
      <w:r>
        <w:rPr>
          <w:rFonts w:hint="default" w:ascii="Times New Roman" w:hAnsi="Times New Roman" w:eastAsia="仿宋_GB2312" w:cs="Times New Roman"/>
          <w:color w:val="auto"/>
          <w:sz w:val="32"/>
          <w:szCs w:val="32"/>
          <w:highlight w:val="none"/>
        </w:rPr>
        <w:t>债券信用级别均为AAA。在</w:t>
      </w: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年四川省政府</w:t>
      </w:r>
      <w:r>
        <w:rPr>
          <w:rFonts w:hint="eastAsia" w:ascii="Times New Roman" w:hAnsi="Times New Roman" w:eastAsia="仿宋_GB2312" w:cs="Times New Roman"/>
          <w:color w:val="auto"/>
          <w:sz w:val="32"/>
          <w:szCs w:val="32"/>
          <w:highlight w:val="none"/>
          <w:lang w:val="en-US" w:eastAsia="zh-CN"/>
        </w:rPr>
        <w:t>再融资一般债券（九期）及再融资专项债券（十四期）</w:t>
      </w:r>
      <w:r>
        <w:rPr>
          <w:rFonts w:hint="default" w:ascii="Times New Roman" w:hAnsi="Times New Roman" w:eastAsia="仿宋_GB2312" w:cs="Times New Roman"/>
          <w:color w:val="auto"/>
          <w:sz w:val="32"/>
          <w:szCs w:val="32"/>
          <w:highlight w:val="none"/>
        </w:rPr>
        <w:t>存续期内，四川省财政厅将委托</w:t>
      </w:r>
      <w:r>
        <w:rPr>
          <w:rFonts w:hint="default" w:ascii="Times New Roman" w:hAnsi="Times New Roman" w:eastAsia="仿宋_GB2312" w:cs="Times New Roman"/>
          <w:color w:val="auto"/>
          <w:sz w:val="32"/>
          <w:szCs w:val="32"/>
          <w:highlight w:val="none"/>
          <w:lang w:eastAsia="zh-CN"/>
        </w:rPr>
        <w:t>联合</w:t>
      </w:r>
      <w:r>
        <w:rPr>
          <w:rFonts w:hint="default" w:ascii="Times New Roman" w:hAnsi="Times New Roman" w:eastAsia="仿宋_GB2312" w:cs="Times New Roman"/>
          <w:color w:val="auto"/>
          <w:sz w:val="32"/>
          <w:szCs w:val="32"/>
          <w:highlight w:val="none"/>
        </w:rPr>
        <w:t>资信评估</w:t>
      </w:r>
      <w:r>
        <w:rPr>
          <w:rFonts w:hint="default" w:ascii="Times New Roman" w:hAnsi="Times New Roman" w:eastAsia="仿宋_GB2312" w:cs="Times New Roman"/>
          <w:color w:val="auto"/>
          <w:sz w:val="32"/>
          <w:szCs w:val="32"/>
          <w:highlight w:val="none"/>
          <w:lang w:eastAsia="zh-CN"/>
        </w:rPr>
        <w:t>股份</w:t>
      </w:r>
      <w:r>
        <w:rPr>
          <w:rFonts w:hint="default" w:ascii="Times New Roman" w:hAnsi="Times New Roman" w:eastAsia="仿宋_GB2312" w:cs="Times New Roman"/>
          <w:color w:val="auto"/>
          <w:sz w:val="32"/>
          <w:szCs w:val="32"/>
          <w:highlight w:val="none"/>
        </w:rPr>
        <w:t>有限公司每年开展一次跟踪评级。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三、全省中长期经济规划情况</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《四川省国民经济和社会发展第十四个五年规划和二</w:t>
      </w:r>
      <w:r>
        <w:rPr>
          <w:rFonts w:hint="default" w:ascii="Times New Roman" w:hAnsi="Times New Roman" w:cs="Times New Roman"/>
          <w:color w:val="auto"/>
          <w:sz w:val="32"/>
          <w:szCs w:val="32"/>
          <w:highlight w:val="none"/>
        </w:rPr>
        <w:t>〇</w:t>
      </w:r>
      <w:r>
        <w:rPr>
          <w:rFonts w:hint="default" w:ascii="Times New Roman" w:hAnsi="Times New Roman" w:eastAsia="仿宋_GB2312" w:cs="Times New Roman"/>
          <w:color w:val="auto"/>
          <w:sz w:val="32"/>
          <w:szCs w:val="32"/>
          <w:highlight w:val="none"/>
        </w:rPr>
        <w:t>三五年远景目标纲要》已经四川省第十三届人民代表大会第四次会议批准。“十四五”时期四川将深入落实习近平总书记对四川工作系列重要指示精神，加快推动成渝地区双城经济圈建设，主动融入以国内大循环为主体、国内国际双循环相互促进的新发展格局，统筹发展和安全，推进治理体系和治理能力现代化，实现经济行稳致远、社会安定和谐。</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十四五”时期，四川经济社会发展的主要目标是：经济持续平稳增长，经济总量再跨上两个万亿台阶、年均增长6%，人均地区生产总值与全国差距进一步缩小，经济结构持续优化，发展质量和效益明显提升。重点领域和关键环节改革取得重大进展，高标准市场体系基本建成，“四向拓展、全域开放”立体全面开放态势更加巩固，更高水平开放型经济新体制基本形成。公共文化服务体系和文化产业体系更加健全，人民精神文化生活日益丰富，文化强省旅游强省基本建成。环境治理效果显著增强，绿色低碳生产生活方式基本形成，城乡人居环境明显改善。居民收入增长和经济增长基本同步，城乡居民人均可支配收入增速高于全国，分配结构明显改善。社会主义民主法治更加健全，更高水平的法治四川平安四川建设扎实推进，城乡基层治理制度创新和能力建设取得新成效，防范化解重大风险体制机制不断健全。</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二</w:t>
      </w:r>
      <w:r>
        <w:rPr>
          <w:rFonts w:hint="default" w:ascii="Times New Roman" w:hAnsi="Times New Roman" w:cs="Times New Roman"/>
          <w:color w:val="auto"/>
          <w:sz w:val="32"/>
          <w:szCs w:val="32"/>
          <w:highlight w:val="none"/>
        </w:rPr>
        <w:t>〇</w:t>
      </w:r>
      <w:r>
        <w:rPr>
          <w:rFonts w:hint="default" w:ascii="Times New Roman" w:hAnsi="Times New Roman" w:eastAsia="仿宋_GB2312" w:cs="Times New Roman"/>
          <w:color w:val="auto"/>
          <w:sz w:val="32"/>
          <w:szCs w:val="32"/>
          <w:highlight w:val="none"/>
        </w:rPr>
        <w:t>三五年远景目标：经济实力大幅跃升，人均地区生产总值在二</w:t>
      </w:r>
      <w:r>
        <w:rPr>
          <w:rFonts w:hint="default" w:ascii="Times New Roman" w:hAnsi="Times New Roman" w:cs="Times New Roman"/>
          <w:color w:val="auto"/>
          <w:sz w:val="32"/>
          <w:szCs w:val="32"/>
          <w:highlight w:val="none"/>
        </w:rPr>
        <w:t>〇</w:t>
      </w:r>
      <w:r>
        <w:rPr>
          <w:rFonts w:hint="default" w:ascii="Times New Roman" w:hAnsi="Times New Roman" w:eastAsia="仿宋_GB2312" w:cs="Times New Roman"/>
          <w:color w:val="auto"/>
          <w:sz w:val="32"/>
          <w:szCs w:val="32"/>
          <w:highlight w:val="none"/>
        </w:rPr>
        <w:t>二</w:t>
      </w:r>
      <w:r>
        <w:rPr>
          <w:rFonts w:hint="default" w:ascii="Times New Roman" w:hAnsi="Times New Roman" w:cs="Times New Roman"/>
          <w:color w:val="auto"/>
          <w:sz w:val="32"/>
          <w:szCs w:val="32"/>
          <w:highlight w:val="none"/>
        </w:rPr>
        <w:t>〇</w:t>
      </w:r>
      <w:r>
        <w:rPr>
          <w:rFonts w:hint="default" w:ascii="Times New Roman" w:hAnsi="Times New Roman" w:eastAsia="仿宋_GB2312" w:cs="Times New Roman"/>
          <w:color w:val="auto"/>
          <w:sz w:val="32"/>
          <w:szCs w:val="32"/>
          <w:highlight w:val="none"/>
        </w:rPr>
        <w:t>年基础上翻一番。科技实力跻身全国前列，科技强省基本建成。治理体系和治理能力现代化基本实现，法治四川、法治政府、法治社会基本建成。长江、黄河上游生态安全屏障更加牢固，美丽四川建设目标基本实现。交通强省基本建成，对外开放优势明显增强。基本公共服务实现均等化，人的全面发展、全体人民共同富裕取得更为明显的实质性进展。</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《四川省国民经济和社会发展第十四个五年规划和二</w:t>
      </w:r>
      <w:r>
        <w:rPr>
          <w:rFonts w:hint="default" w:ascii="Times New Roman" w:hAnsi="Times New Roman" w:cs="Times New Roman"/>
          <w:color w:val="auto"/>
          <w:sz w:val="32"/>
          <w:szCs w:val="32"/>
          <w:highlight w:val="none"/>
        </w:rPr>
        <w:t>〇</w:t>
      </w:r>
      <w:r>
        <w:rPr>
          <w:rFonts w:hint="default" w:ascii="Times New Roman" w:hAnsi="Times New Roman" w:eastAsia="仿宋_GB2312" w:cs="Times New Roman"/>
          <w:color w:val="auto"/>
          <w:sz w:val="32"/>
          <w:szCs w:val="32"/>
          <w:highlight w:val="none"/>
        </w:rPr>
        <w:t>三五年远景目标纲要》具体内容参见四川省发展和改革委员会网站。</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640" w:leftChars="0" w:firstLine="0" w:firstLineChars="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四川省经济、财政和债务有关数据</w:t>
      </w:r>
    </w:p>
    <w:tbl>
      <w:tblPr>
        <w:tblStyle w:val="11"/>
        <w:tblW w:w="9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8"/>
        <w:gridCol w:w="1120"/>
        <w:gridCol w:w="49"/>
        <w:gridCol w:w="463"/>
        <w:gridCol w:w="185"/>
        <w:gridCol w:w="465"/>
        <w:gridCol w:w="1031"/>
        <w:gridCol w:w="56"/>
        <w:gridCol w:w="1126"/>
        <w:gridCol w:w="596"/>
        <w:gridCol w:w="397"/>
        <w:gridCol w:w="27"/>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9723" w:type="dxa"/>
            <w:gridSpan w:val="13"/>
            <w:shd w:val="clear" w:color="auto" w:fill="auto"/>
            <w:noWrap/>
            <w:vAlign w:val="center"/>
          </w:tcPr>
          <w:p>
            <w:pPr>
              <w:widowControl/>
              <w:spacing w:line="400" w:lineRule="exact"/>
              <w:ind w:firstLine="482"/>
              <w:rPr>
                <w:rFonts w:hint="default" w:ascii="Times New Roman" w:hAnsi="Times New Roman" w:cs="Times New Roman"/>
                <w:b/>
                <w:kern w:val="0"/>
                <w:sz w:val="24"/>
                <w:highlight w:val="none"/>
              </w:rPr>
            </w:pPr>
            <w:r>
              <w:rPr>
                <w:rFonts w:hint="default" w:ascii="Times New Roman" w:hAnsi="Times New Roman" w:cs="Times New Roman"/>
                <w:b/>
                <w:kern w:val="0"/>
                <w:sz w:val="24"/>
                <w:highlight w:val="none"/>
              </w:rPr>
              <w:t>一、地方经济状况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9723" w:type="dxa"/>
            <w:gridSpan w:val="13"/>
            <w:shd w:val="clear" w:color="auto" w:fill="auto"/>
            <w:noWrap/>
            <w:vAlign w:val="center"/>
          </w:tcPr>
          <w:p>
            <w:pPr>
              <w:widowControl/>
              <w:spacing w:line="400" w:lineRule="exact"/>
              <w:ind w:firstLine="482"/>
              <w:jc w:val="center"/>
              <w:rPr>
                <w:rFonts w:hint="default" w:ascii="Times New Roman" w:hAnsi="Times New Roman" w:cs="Times New Roman"/>
                <w:b/>
                <w:kern w:val="0"/>
                <w:sz w:val="24"/>
                <w:highlight w:val="none"/>
              </w:rPr>
            </w:pPr>
            <w:r>
              <w:rPr>
                <w:rFonts w:hint="default" w:ascii="Times New Roman" w:hAnsi="Times New Roman" w:eastAsia="仿宋_GB2312" w:cs="Times New Roman"/>
                <w:b/>
                <w:bCs/>
                <w:kern w:val="2"/>
                <w:sz w:val="24"/>
                <w:szCs w:val="21"/>
                <w:highlight w:val="none"/>
                <w:lang w:val="en-US" w:eastAsia="zh-CN" w:bidi="ar-SA"/>
              </w:rPr>
              <w:t>20</w:t>
            </w:r>
            <w:r>
              <w:rPr>
                <w:rFonts w:hint="default" w:ascii="Times New Roman" w:hAnsi="Times New Roman" w:cs="Times New Roman"/>
                <w:b/>
                <w:bCs/>
                <w:kern w:val="2"/>
                <w:sz w:val="24"/>
                <w:szCs w:val="21"/>
                <w:highlight w:val="none"/>
                <w:lang w:val="en-US" w:eastAsia="zh-CN" w:bidi="ar-SA"/>
              </w:rPr>
              <w:t>2</w:t>
            </w:r>
            <w:r>
              <w:rPr>
                <w:rFonts w:hint="eastAsia" w:cs="Times New Roman"/>
                <w:b/>
                <w:bCs/>
                <w:kern w:val="2"/>
                <w:sz w:val="24"/>
                <w:szCs w:val="21"/>
                <w:highlight w:val="none"/>
                <w:lang w:val="en-US" w:eastAsia="zh-CN" w:bidi="ar-SA"/>
              </w:rPr>
              <w:t>2</w:t>
            </w:r>
            <w:r>
              <w:rPr>
                <w:rFonts w:hint="default" w:ascii="Times New Roman" w:hAnsi="Times New Roman" w:eastAsia="仿宋_GB2312" w:cs="Times New Roman"/>
                <w:b/>
                <w:bCs/>
                <w:kern w:val="2"/>
                <w:sz w:val="24"/>
                <w:szCs w:val="21"/>
                <w:highlight w:val="none"/>
                <w:lang w:val="en-US" w:eastAsia="zh-CN" w:bidi="ar-SA"/>
              </w:rPr>
              <w:t>－202</w:t>
            </w:r>
            <w:r>
              <w:rPr>
                <w:rFonts w:hint="eastAsia" w:cs="Times New Roman"/>
                <w:b/>
                <w:bCs/>
                <w:kern w:val="2"/>
                <w:sz w:val="24"/>
                <w:szCs w:val="21"/>
                <w:highlight w:val="none"/>
                <w:lang w:val="en-US" w:eastAsia="zh-CN" w:bidi="ar-SA"/>
              </w:rPr>
              <w:t>4</w:t>
            </w:r>
            <w:r>
              <w:rPr>
                <w:rFonts w:hint="default" w:ascii="Times New Roman" w:hAnsi="Times New Roman" w:cs="Times New Roman"/>
                <w:b/>
                <w:kern w:val="0"/>
                <w:sz w:val="24"/>
                <w:highlight w:val="none"/>
              </w:rPr>
              <w:t>年经济基本状况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exact"/>
          <w:jc w:val="center"/>
        </w:trPr>
        <w:tc>
          <w:tcPr>
            <w:tcW w:w="4915" w:type="dxa"/>
            <w:gridSpan w:val="5"/>
            <w:shd w:val="clear" w:color="auto" w:fill="auto"/>
            <w:noWrap/>
            <w:vAlign w:val="center"/>
          </w:tcPr>
          <w:p>
            <w:pPr>
              <w:widowControl/>
              <w:spacing w:line="400" w:lineRule="exact"/>
              <w:ind w:firstLine="2880" w:firstLineChars="1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3175</wp:posOffset>
                      </wp:positionV>
                      <wp:extent cx="3124835" cy="497840"/>
                      <wp:effectExtent l="635" t="4445" r="17780" b="12065"/>
                      <wp:wrapNone/>
                      <wp:docPr id="2" name="直接箭头连接符 2"/>
                      <wp:cNvGraphicFramePr/>
                      <a:graphic xmlns:a="http://schemas.openxmlformats.org/drawingml/2006/main">
                        <a:graphicData uri="http://schemas.microsoft.com/office/word/2010/wordprocessingShape">
                          <wps:wsp>
                            <wps:cNvCnPr/>
                            <wps:spPr>
                              <a:xfrm>
                                <a:off x="0" y="0"/>
                                <a:ext cx="3124835" cy="4978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15pt;margin-top:0.25pt;height:39.2pt;width:246.05pt;z-index:251659264;mso-width-relative:page;mso-height-relative:page;" filled="f" stroked="t" coordsize="21600,21600" o:gfxdata="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OqUYeHWAAAABwEAAA8AAAAAAAAAAQAgAAAAOAAAAGRycy9kb3ducmV2&#10;LnhtbFBLAQIUABQAAAAIAIdO4kBMT29s6AEAAKMDAAAOAAAAAAAAAAEAIAAAADsBAABkcnMvZTJv&#10;RG9jLnhtbFBLBQYAAAAABgAGAFkBAACVBQAAAAA=&#10;">
                      <v:fill on="f" focussize="0,0"/>
                      <v:stroke color="#000000" joinstyle="round"/>
                      <v:imagedata o:title=""/>
                      <o:lock v:ext="edit" aspectratio="f"/>
                    </v:shape>
                  </w:pict>
                </mc:Fallback>
              </mc:AlternateContent>
            </w:r>
            <w:r>
              <w:rPr>
                <w:rFonts w:hint="default" w:ascii="Times New Roman" w:hAnsi="Times New Roman" w:cs="Times New Roman"/>
                <w:kern w:val="0"/>
                <w:sz w:val="24"/>
                <w:highlight w:val="none"/>
              </w:rPr>
              <w:t>年份</w:t>
            </w:r>
          </w:p>
          <w:p>
            <w:pPr>
              <w:widowControl/>
              <w:spacing w:line="400" w:lineRule="exact"/>
              <w:ind w:firstLine="1320" w:firstLineChars="55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项目</w:t>
            </w:r>
          </w:p>
        </w:tc>
        <w:tc>
          <w:tcPr>
            <w:tcW w:w="1552" w:type="dxa"/>
            <w:gridSpan w:val="3"/>
            <w:shd w:val="clear" w:color="auto" w:fill="auto"/>
            <w:noWrap/>
            <w:vAlign w:val="center"/>
          </w:tcPr>
          <w:p>
            <w:pPr>
              <w:widowControl/>
              <w:spacing w:line="400" w:lineRule="exact"/>
              <w:jc w:val="center"/>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cs="Times New Roman"/>
                <w:kern w:val="0"/>
                <w:sz w:val="24"/>
                <w:highlight w:val="none"/>
                <w:lang w:val="en"/>
              </w:rPr>
              <w:t>2022</w:t>
            </w:r>
            <w:r>
              <w:rPr>
                <w:rFonts w:hint="default" w:ascii="Times New Roman" w:hAnsi="Times New Roman" w:cs="Times New Roman"/>
                <w:kern w:val="0"/>
                <w:sz w:val="24"/>
                <w:highlight w:val="none"/>
                <w:lang w:val="en" w:eastAsia="zh-CN"/>
              </w:rPr>
              <w:t>年</w:t>
            </w:r>
          </w:p>
        </w:tc>
        <w:tc>
          <w:tcPr>
            <w:tcW w:w="1722" w:type="dxa"/>
            <w:gridSpan w:val="2"/>
            <w:shd w:val="clear" w:color="auto" w:fill="auto"/>
            <w:noWrap/>
            <w:vAlign w:val="center"/>
          </w:tcPr>
          <w:p>
            <w:pPr>
              <w:widowControl/>
              <w:spacing w:line="400" w:lineRule="exact"/>
              <w:jc w:val="center"/>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cs="Times New Roman"/>
                <w:kern w:val="0"/>
                <w:sz w:val="24"/>
                <w:highlight w:val="none"/>
                <w:lang w:val="en"/>
              </w:rPr>
              <w:t>202</w:t>
            </w:r>
            <w:r>
              <w:rPr>
                <w:rFonts w:hint="default" w:ascii="Times New Roman" w:hAnsi="Times New Roman" w:cs="Times New Roman"/>
                <w:kern w:val="0"/>
                <w:sz w:val="24"/>
                <w:highlight w:val="none"/>
                <w:lang w:val="en-US" w:eastAsia="zh-CN"/>
              </w:rPr>
              <w:t>3</w:t>
            </w:r>
            <w:r>
              <w:rPr>
                <w:rFonts w:hint="default" w:ascii="Times New Roman" w:hAnsi="Times New Roman" w:cs="Times New Roman"/>
                <w:kern w:val="0"/>
                <w:sz w:val="24"/>
                <w:highlight w:val="none"/>
                <w:lang w:val="en" w:eastAsia="zh-CN"/>
              </w:rPr>
              <w:t>年</w:t>
            </w:r>
          </w:p>
        </w:tc>
        <w:tc>
          <w:tcPr>
            <w:tcW w:w="1534" w:type="dxa"/>
            <w:gridSpan w:val="3"/>
            <w:shd w:val="clear" w:color="auto" w:fill="auto"/>
            <w:noWrap/>
            <w:vAlign w:val="center"/>
          </w:tcPr>
          <w:p>
            <w:pPr>
              <w:widowControl/>
              <w:spacing w:line="400" w:lineRule="exact"/>
              <w:jc w:val="center"/>
              <w:rPr>
                <w:rFonts w:hint="default" w:ascii="Times New Roman" w:hAnsi="Times New Roman" w:eastAsia="仿宋_GB2312" w:cs="Times New Roman"/>
                <w:kern w:val="0"/>
                <w:sz w:val="24"/>
                <w:highlight w:val="none"/>
                <w:lang w:val="en" w:eastAsia="zh-CN"/>
              </w:rPr>
            </w:pPr>
            <w:r>
              <w:rPr>
                <w:rFonts w:hint="default" w:ascii="Times New Roman" w:hAnsi="Times New Roman" w:cs="Times New Roman"/>
                <w:kern w:val="0"/>
                <w:sz w:val="24"/>
                <w:highlight w:val="none"/>
                <w:lang w:val="en"/>
              </w:rPr>
              <w:t>202</w:t>
            </w:r>
            <w:r>
              <w:rPr>
                <w:rFonts w:hint="eastAsia" w:cs="Times New Roman"/>
                <w:kern w:val="0"/>
                <w:sz w:val="24"/>
                <w:highlight w:val="none"/>
                <w:lang w:val="en-US" w:eastAsia="zh-CN"/>
              </w:rPr>
              <w:t>4</w:t>
            </w:r>
            <w:r>
              <w:rPr>
                <w:rFonts w:hint="default" w:ascii="Times New Roman" w:hAnsi="Times New Roman" w:cs="Times New Roman"/>
                <w:kern w:val="0"/>
                <w:sz w:val="24"/>
                <w:highlight w:val="none"/>
                <w:lang w:val="en"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地区生产总值（亿元）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56610.2</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60132.</w:t>
            </w:r>
            <w:r>
              <w:rPr>
                <w:rFonts w:hint="default" w:ascii="Times New Roman" w:hAnsi="Times New Roman" w:cs="Times New Roman"/>
                <w:sz w:val="24"/>
                <w:highlight w:val="none"/>
                <w:lang w:val="en" w:eastAsia="zh-CN"/>
              </w:rPr>
              <w:t>9</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 w:eastAsia="zh-CN"/>
              </w:rPr>
            </w:pPr>
            <w:r>
              <w:rPr>
                <w:rFonts w:hint="eastAsia" w:cs="Times New Roman"/>
                <w:sz w:val="24"/>
                <w:highlight w:val="none"/>
                <w:lang w:val="en-US" w:eastAsia="zh-CN"/>
              </w:rPr>
              <w:t>64697.0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地区生产总值增速（%）</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 w:eastAsia="zh-CN" w:bidi="ar-SA"/>
              </w:rPr>
            </w:pPr>
            <w:r>
              <w:rPr>
                <w:rFonts w:hint="default" w:ascii="Times New Roman" w:hAnsi="Times New Roman" w:cs="Times New Roman"/>
                <w:sz w:val="24"/>
                <w:highlight w:val="none"/>
                <w:lang w:val="en" w:eastAsia="zh-CN"/>
              </w:rPr>
              <w:t>2.</w:t>
            </w:r>
            <w:r>
              <w:rPr>
                <w:rFonts w:hint="default" w:cs="Times New Roman"/>
                <w:sz w:val="24"/>
                <w:highlight w:val="none"/>
                <w:lang w:val="en" w:eastAsia="zh-CN"/>
              </w:rPr>
              <w:t>9</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6.0</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第一产业增加值（亿元）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596</w:t>
            </w:r>
            <w:r>
              <w:rPr>
                <w:rFonts w:hint="default" w:ascii="Times New Roman" w:hAnsi="Times New Roman" w:cs="Times New Roman"/>
                <w:sz w:val="24"/>
                <w:highlight w:val="none"/>
                <w:lang w:val="en-US" w:eastAsia="zh-CN"/>
              </w:rPr>
              <w:t>5</w:t>
            </w:r>
            <w:r>
              <w:rPr>
                <w:rFonts w:hint="default" w:ascii="Times New Roman" w:hAnsi="Times New Roman" w:cs="Times New Roman"/>
                <w:sz w:val="24"/>
                <w:highlight w:val="none"/>
                <w:lang w:val="en" w:eastAsia="zh-CN"/>
              </w:rPr>
              <w:t>.</w:t>
            </w:r>
            <w:r>
              <w:rPr>
                <w:rFonts w:hint="default" w:ascii="Times New Roman" w:hAnsi="Times New Roman" w:cs="Times New Roman"/>
                <w:sz w:val="24"/>
                <w:highlight w:val="none"/>
                <w:lang w:val="en-US" w:eastAsia="zh-CN"/>
              </w:rPr>
              <w:t>5</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6056.64</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5619.9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第二产业增加值（亿元）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2</w:t>
            </w:r>
            <w:r>
              <w:rPr>
                <w:rFonts w:hint="default" w:ascii="Times New Roman" w:hAnsi="Times New Roman" w:cs="Times New Roman"/>
                <w:sz w:val="24"/>
                <w:highlight w:val="none"/>
                <w:lang w:val="en-US" w:eastAsia="zh-CN"/>
              </w:rPr>
              <w:t>0591.4</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21306.70</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22816.9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第三产业增加值（亿元）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kern w:val="2"/>
                <w:sz w:val="24"/>
                <w:szCs w:val="24"/>
                <w:highlight w:val="none"/>
                <w:lang w:val="en-US" w:eastAsia="zh-CN" w:bidi="ar-SA"/>
              </w:rPr>
              <w:t>30053.3</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32769.54</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36260.2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产业结构</w:t>
            </w:r>
          </w:p>
        </w:tc>
        <w:tc>
          <w:tcPr>
            <w:tcW w:w="1552" w:type="dxa"/>
            <w:gridSpan w:val="3"/>
            <w:shd w:val="clear" w:color="auto" w:fill="auto"/>
            <w:noWrap/>
            <w:vAlign w:val="center"/>
          </w:tcPr>
          <w:p>
            <w:pPr>
              <w:spacing w:line="400" w:lineRule="exact"/>
              <w:ind w:left="640" w:leftChars="0"/>
              <w:jc w:val="right"/>
              <w:rPr>
                <w:rFonts w:hint="default" w:ascii="Times New Roman" w:hAnsi="Times New Roman" w:eastAsia="仿宋_GB2312" w:cs="Times New Roman"/>
                <w:kern w:val="2"/>
                <w:sz w:val="24"/>
                <w:szCs w:val="24"/>
                <w:highlight w:val="none"/>
                <w:lang w:val="en-US" w:eastAsia="zh-CN" w:bidi="ar-SA"/>
              </w:rPr>
            </w:pPr>
          </w:p>
        </w:tc>
        <w:tc>
          <w:tcPr>
            <w:tcW w:w="1722" w:type="dxa"/>
            <w:gridSpan w:val="2"/>
            <w:shd w:val="clear" w:color="auto" w:fill="auto"/>
            <w:noWrap/>
            <w:vAlign w:val="center"/>
          </w:tcPr>
          <w:p>
            <w:pPr>
              <w:spacing w:line="400" w:lineRule="exact"/>
              <w:ind w:left="640" w:leftChars="0"/>
              <w:jc w:val="right"/>
              <w:rPr>
                <w:rFonts w:hint="default" w:ascii="Times New Roman" w:hAnsi="Times New Roman" w:eastAsia="仿宋_GB2312" w:cs="Times New Roman"/>
                <w:kern w:val="2"/>
                <w:sz w:val="24"/>
                <w:szCs w:val="24"/>
                <w:highlight w:val="none"/>
                <w:lang w:val="en-US" w:eastAsia="zh-CN" w:bidi="ar-SA"/>
              </w:rPr>
            </w:pPr>
          </w:p>
        </w:tc>
        <w:tc>
          <w:tcPr>
            <w:tcW w:w="1534" w:type="dxa"/>
            <w:gridSpan w:val="3"/>
            <w:shd w:val="clear" w:color="auto" w:fill="auto"/>
            <w:noWrap/>
            <w:vAlign w:val="center"/>
          </w:tcPr>
          <w:p>
            <w:pPr>
              <w:spacing w:line="400" w:lineRule="exact"/>
              <w:ind w:left="640"/>
              <w:jc w:val="right"/>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第一产业增加值比重（%）</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10.5</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10.1</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第二产业增加值比重（%）</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36.</w:t>
            </w:r>
            <w:r>
              <w:rPr>
                <w:rFonts w:hint="default" w:ascii="Times New Roman" w:hAnsi="Times New Roman" w:cs="Times New Roman"/>
                <w:sz w:val="24"/>
                <w:highlight w:val="none"/>
                <w:lang w:val="en-US" w:eastAsia="zh-CN"/>
              </w:rPr>
              <w:t>4</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35.4</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第三产业增加值比重（%）</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5</w:t>
            </w:r>
            <w:r>
              <w:rPr>
                <w:rFonts w:hint="default" w:ascii="Times New Roman" w:hAnsi="Times New Roman" w:cs="Times New Roman"/>
                <w:sz w:val="24"/>
                <w:highlight w:val="none"/>
                <w:lang w:val="en-US" w:eastAsia="zh-CN"/>
              </w:rPr>
              <w:t>3</w:t>
            </w:r>
            <w:r>
              <w:rPr>
                <w:rFonts w:hint="default" w:ascii="Times New Roman" w:hAnsi="Times New Roman" w:cs="Times New Roman"/>
                <w:sz w:val="24"/>
                <w:highlight w:val="none"/>
                <w:lang w:val="en" w:eastAsia="zh-CN"/>
              </w:rPr>
              <w:t>.</w:t>
            </w:r>
            <w:r>
              <w:rPr>
                <w:rFonts w:hint="default" w:ascii="Times New Roman" w:hAnsi="Times New Roman" w:cs="Times New Roman"/>
                <w:sz w:val="24"/>
                <w:highlight w:val="none"/>
                <w:lang w:val="en-US" w:eastAsia="zh-CN"/>
              </w:rPr>
              <w:t>1</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54.5</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全社会固定资产投资增速（%）</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8.4</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4.4</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进出口总额（亿元）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kern w:val="2"/>
                <w:sz w:val="24"/>
                <w:szCs w:val="24"/>
                <w:highlight w:val="none"/>
                <w:lang w:val="en-US" w:eastAsia="zh-CN" w:bidi="ar-SA"/>
              </w:rPr>
              <w:t>10076.8</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9574.9</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10457.2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出口额（亿元）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kern w:val="2"/>
                <w:sz w:val="24"/>
                <w:szCs w:val="24"/>
                <w:highlight w:val="none"/>
                <w:lang w:val="en-US" w:eastAsia="zh-CN" w:bidi="ar-SA"/>
              </w:rPr>
              <w:t>6215.2</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6033.9</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 w:eastAsia="zh-CN" w:bidi="ar-SA"/>
              </w:rPr>
            </w:pPr>
            <w:r>
              <w:rPr>
                <w:rFonts w:hint="eastAsia" w:cs="Times New Roman"/>
                <w:sz w:val="24"/>
                <w:highlight w:val="none"/>
                <w:lang w:val="en-US" w:eastAsia="zh-CN"/>
              </w:rPr>
              <w:t>6177.7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进口额（亿元）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kern w:val="2"/>
                <w:sz w:val="24"/>
                <w:szCs w:val="24"/>
                <w:highlight w:val="none"/>
                <w:lang w:val="en-US" w:eastAsia="zh-CN" w:bidi="ar-SA"/>
              </w:rPr>
              <w:t>3861.6</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3541.0</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 w:eastAsia="zh-CN" w:bidi="ar-SA"/>
              </w:rPr>
            </w:pPr>
            <w:r>
              <w:rPr>
                <w:rFonts w:hint="eastAsia" w:cs="Times New Roman"/>
                <w:sz w:val="24"/>
                <w:highlight w:val="none"/>
                <w:lang w:val="en-US" w:eastAsia="zh-CN"/>
              </w:rPr>
              <w:t>4279.5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社会消费品零售总额（亿元）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24104.6</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26313.4</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8"/>
                <w:szCs w:val="28"/>
                <w:highlight w:val="yellow"/>
                <w:lang w:val="en-US" w:eastAsia="zh-CN" w:bidi="ar-SA"/>
              </w:rPr>
            </w:pPr>
            <w:r>
              <w:rPr>
                <w:rFonts w:hint="eastAsia" w:cs="Times New Roman"/>
                <w:sz w:val="24"/>
                <w:highlight w:val="none"/>
                <w:lang w:val="en-US" w:eastAsia="zh-CN"/>
              </w:rPr>
              <w:t>27709.8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城镇居民人均可支配收入（元）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43233</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45227</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47336.0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农村居民人均可支配收入（元）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18672</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19978</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21303.0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居民消费价格指数（上年＝100）</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102.0</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100.0</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工业生产者出厂价格指数（上年＝100）</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102.8</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97.6</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工业生产者购进价格指数（上年＝100）</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105.8</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97.1</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金融机构各项存款余额（本外币）（</w:t>
            </w:r>
            <w:r>
              <w:rPr>
                <w:rFonts w:hint="eastAsia" w:cs="Times New Roman"/>
                <w:kern w:val="0"/>
                <w:sz w:val="24"/>
                <w:highlight w:val="none"/>
                <w:lang w:val="en-US" w:eastAsia="zh-CN"/>
              </w:rPr>
              <w:t>万</w:t>
            </w:r>
            <w:r>
              <w:rPr>
                <w:rFonts w:hint="default" w:ascii="Times New Roman" w:hAnsi="Times New Roman" w:cs="Times New Roman"/>
                <w:kern w:val="0"/>
                <w:sz w:val="24"/>
                <w:highlight w:val="none"/>
              </w:rPr>
              <w:t>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kern w:val="2"/>
                <w:sz w:val="24"/>
                <w:szCs w:val="24"/>
                <w:highlight w:val="none"/>
                <w:lang w:val="en-US" w:eastAsia="zh-CN" w:bidi="ar-SA"/>
              </w:rPr>
              <w:t>11</w:t>
            </w:r>
            <w:r>
              <w:rPr>
                <w:rFonts w:hint="eastAsia" w:cs="Times New Roman"/>
                <w:kern w:val="2"/>
                <w:sz w:val="24"/>
                <w:szCs w:val="24"/>
                <w:highlight w:val="none"/>
                <w:lang w:val="en-US" w:eastAsia="zh-CN" w:bidi="ar-SA"/>
              </w:rPr>
              <w:t>.2</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12</w:t>
            </w:r>
            <w:r>
              <w:rPr>
                <w:rFonts w:hint="eastAsia" w:cs="Times New Roman"/>
                <w:sz w:val="24"/>
                <w:highlight w:val="none"/>
                <w:lang w:val="en-US" w:eastAsia="zh-CN"/>
              </w:rPr>
              <w:t>.3</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shd w:val="clear" w:color="auto" w:fill="auto"/>
            <w:noWrap/>
            <w:vAlign w:val="center"/>
          </w:tcPr>
          <w:p>
            <w:pPr>
              <w:widowControl/>
              <w:spacing w:line="40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金融机构各项贷款余额（本外币）（</w:t>
            </w:r>
            <w:r>
              <w:rPr>
                <w:rFonts w:hint="eastAsia" w:cs="Times New Roman"/>
                <w:kern w:val="0"/>
                <w:sz w:val="24"/>
                <w:highlight w:val="none"/>
                <w:lang w:val="en-US" w:eastAsia="zh-CN"/>
              </w:rPr>
              <w:t>万</w:t>
            </w:r>
            <w:r>
              <w:rPr>
                <w:rFonts w:hint="default" w:ascii="Times New Roman" w:hAnsi="Times New Roman" w:cs="Times New Roman"/>
                <w:kern w:val="0"/>
                <w:sz w:val="24"/>
                <w:highlight w:val="none"/>
              </w:rPr>
              <w:t>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kern w:val="2"/>
                <w:sz w:val="24"/>
                <w:szCs w:val="24"/>
                <w:highlight w:val="none"/>
                <w:lang w:val="en-US" w:eastAsia="zh-CN" w:bidi="ar-SA"/>
              </w:rPr>
              <w:t>9</w:t>
            </w:r>
            <w:r>
              <w:rPr>
                <w:rFonts w:hint="eastAsia" w:cs="Times New Roman"/>
                <w:kern w:val="2"/>
                <w:sz w:val="24"/>
                <w:szCs w:val="24"/>
                <w:highlight w:val="none"/>
                <w:lang w:val="en-US" w:eastAsia="zh-CN" w:bidi="ar-SA"/>
              </w:rPr>
              <w:t>.</w:t>
            </w:r>
            <w:r>
              <w:rPr>
                <w:rFonts w:hint="default" w:ascii="Times New Roman" w:hAnsi="Times New Roman" w:cs="Times New Roman"/>
                <w:kern w:val="2"/>
                <w:sz w:val="24"/>
                <w:szCs w:val="24"/>
                <w:highlight w:val="none"/>
                <w:lang w:val="en-US" w:eastAsia="zh-CN" w:bidi="ar-SA"/>
              </w:rPr>
              <w:t>2</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10</w:t>
            </w:r>
            <w:r>
              <w:rPr>
                <w:rFonts w:hint="eastAsia" w:cs="Times New Roman"/>
                <w:sz w:val="24"/>
                <w:highlight w:val="none"/>
                <w:lang w:val="en-US" w:eastAsia="zh-CN"/>
              </w:rPr>
              <w:t>.6</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9723" w:type="dxa"/>
            <w:gridSpan w:val="13"/>
            <w:shd w:val="clear" w:color="auto" w:fill="auto"/>
            <w:vAlign w:val="center"/>
          </w:tcPr>
          <w:p>
            <w:pPr>
              <w:widowControl/>
              <w:spacing w:line="400" w:lineRule="exact"/>
              <w:ind w:firstLine="482"/>
              <w:rPr>
                <w:rFonts w:hint="default" w:ascii="Times New Roman" w:hAnsi="Times New Roman" w:cs="Times New Roman"/>
                <w:b/>
                <w:kern w:val="0"/>
                <w:sz w:val="24"/>
                <w:highlight w:val="none"/>
              </w:rPr>
            </w:pPr>
            <w:r>
              <w:rPr>
                <w:rFonts w:hint="default" w:ascii="Times New Roman" w:hAnsi="Times New Roman" w:cs="Times New Roman"/>
                <w:b/>
                <w:kern w:val="0"/>
                <w:sz w:val="24"/>
                <w:highlight w:val="none"/>
              </w:rPr>
              <w:t xml:space="preserve">  二、财政收支状况（亿元）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723" w:type="dxa"/>
            <w:gridSpan w:val="13"/>
            <w:shd w:val="clear" w:color="auto" w:fill="auto"/>
            <w:vAlign w:val="center"/>
          </w:tcPr>
          <w:p>
            <w:pPr>
              <w:widowControl/>
              <w:spacing w:line="400" w:lineRule="exact"/>
              <w:ind w:firstLine="482"/>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（一）近三年一般公共预算收支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3098" w:type="dxa"/>
            <w:vMerge w:val="restart"/>
            <w:shd w:val="clear" w:color="auto" w:fill="auto"/>
            <w:vAlign w:val="center"/>
          </w:tcPr>
          <w:p>
            <w:pPr>
              <w:widowControl/>
              <w:spacing w:line="400" w:lineRule="exact"/>
              <w:ind w:firstLine="480"/>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mc:AlternateContent>
                <mc:Choice Requires="wps">
                  <w:drawing>
                    <wp:anchor distT="0" distB="0" distL="114300" distR="114300" simplePos="0" relativeHeight="251660288" behindDoc="0" locked="0" layoutInCell="1" allowOverlap="1">
                      <wp:simplePos x="0" y="0"/>
                      <wp:positionH relativeFrom="column">
                        <wp:posOffset>-61595</wp:posOffset>
                      </wp:positionH>
                      <wp:positionV relativeFrom="paragraph">
                        <wp:posOffset>-6350</wp:posOffset>
                      </wp:positionV>
                      <wp:extent cx="1960245" cy="610870"/>
                      <wp:effectExtent l="1270" t="4445" r="19685" b="13335"/>
                      <wp:wrapNone/>
                      <wp:docPr id="3" name="直接箭头连接符 3"/>
                      <wp:cNvGraphicFramePr/>
                      <a:graphic xmlns:a="http://schemas.openxmlformats.org/drawingml/2006/main">
                        <a:graphicData uri="http://schemas.microsoft.com/office/word/2010/wordprocessingShape">
                          <wps:wsp>
                            <wps:cNvCnPr/>
                            <wps:spPr>
                              <a:xfrm>
                                <a:off x="0" y="0"/>
                                <a:ext cx="1960245" cy="6108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85pt;margin-top:-0.5pt;height:48.1pt;width:154.35pt;z-index:251660288;mso-width-relative:page;mso-height-relative:page;" filled="f" stroked="t" coordsize="21600,21600" o:gfxdata="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0VycJdcAAAAIAQAADwAAAAAAAAABACAAAAA4AAAAZHJzL2Rvd25y&#10;ZXYueG1sUEsBAhQAFAAAAAgAh07iQFuMgjLpAQAAowMAAA4AAAAAAAAAAQAgAAAAPAEAAGRycy9l&#10;Mm9Eb2MueG1sUEsFBgAAAAAGAAYAWQEAAJcFAAAAAA==&#10;">
                      <v:fill on="f" focussize="0,0"/>
                      <v:stroke color="#000000" joinstyle="round"/>
                      <v:imagedata o:title=""/>
                      <o:lock v:ext="edit" aspectratio="f"/>
                    </v:shape>
                  </w:pict>
                </mc:Fallback>
              </mc:AlternateContent>
            </w:r>
            <w:r>
              <w:rPr>
                <w:rFonts w:hint="default" w:ascii="Times New Roman" w:hAnsi="Times New Roman" w:eastAsia="仿宋_GB2312" w:cs="Times New Roman"/>
                <w:kern w:val="0"/>
                <w:sz w:val="24"/>
                <w:highlight w:val="none"/>
              </w:rPr>
              <w:t xml:space="preserve">           年份</w:t>
            </w:r>
          </w:p>
          <w:p>
            <w:pPr>
              <w:spacing w:line="400" w:lineRule="exact"/>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项目</w:t>
            </w:r>
          </w:p>
        </w:tc>
        <w:tc>
          <w:tcPr>
            <w:tcW w:w="2282" w:type="dxa"/>
            <w:gridSpan w:val="5"/>
            <w:shd w:val="clear" w:color="auto" w:fill="auto"/>
            <w:noWrap/>
            <w:vAlign w:val="center"/>
          </w:tcPr>
          <w:p>
            <w:pPr>
              <w:widowControl/>
              <w:spacing w:line="400" w:lineRule="exact"/>
              <w:ind w:firstLine="480" w:firstLineChars="0"/>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202</w:t>
            </w:r>
            <w:r>
              <w:rPr>
                <w:rFonts w:hint="default" w:ascii="Times New Roman" w:hAnsi="Times New Roman" w:cs="Times New Roman"/>
                <w:kern w:val="0"/>
                <w:sz w:val="24"/>
                <w:highlight w:val="none"/>
                <w:lang w:val="en-US" w:eastAsia="zh-CN"/>
              </w:rPr>
              <w:t>3</w:t>
            </w:r>
            <w:r>
              <w:rPr>
                <w:rFonts w:hint="default" w:ascii="Times New Roman" w:hAnsi="Times New Roman" w:eastAsia="仿宋_GB2312" w:cs="Times New Roman"/>
                <w:kern w:val="0"/>
                <w:sz w:val="24"/>
                <w:highlight w:val="none"/>
              </w:rPr>
              <w:t>年</w:t>
            </w:r>
          </w:p>
        </w:tc>
        <w:tc>
          <w:tcPr>
            <w:tcW w:w="2213" w:type="dxa"/>
            <w:gridSpan w:val="3"/>
            <w:shd w:val="clear" w:color="auto" w:fill="auto"/>
            <w:noWrap/>
            <w:vAlign w:val="center"/>
          </w:tcPr>
          <w:p>
            <w:pPr>
              <w:widowControl/>
              <w:spacing w:line="400" w:lineRule="exact"/>
              <w:ind w:firstLine="480" w:firstLineChars="0"/>
              <w:jc w:val="center"/>
              <w:rPr>
                <w:rFonts w:hint="default" w:ascii="Times New Roman" w:hAnsi="Times New Roman" w:eastAsia="仿宋_GB2312" w:cs="Times New Roman"/>
                <w:kern w:val="0"/>
                <w:sz w:val="24"/>
                <w:highlight w:val="none"/>
              </w:rPr>
            </w:pPr>
            <w:r>
              <w:rPr>
                <w:rFonts w:hint="eastAsia" w:cs="Times New Roman"/>
                <w:kern w:val="0"/>
                <w:sz w:val="24"/>
                <w:highlight w:val="none"/>
                <w:lang w:val="en" w:eastAsia="zh-CN"/>
              </w:rPr>
              <w:t>202</w:t>
            </w:r>
            <w:r>
              <w:rPr>
                <w:rFonts w:hint="eastAsia" w:cs="Times New Roman"/>
                <w:kern w:val="0"/>
                <w:sz w:val="24"/>
                <w:highlight w:val="none"/>
                <w:lang w:val="en-US" w:eastAsia="zh-CN"/>
              </w:rPr>
              <w:t>4</w:t>
            </w:r>
            <w:r>
              <w:rPr>
                <w:rFonts w:hint="eastAsia" w:cs="Times New Roman"/>
                <w:kern w:val="0"/>
                <w:sz w:val="24"/>
                <w:highlight w:val="none"/>
                <w:lang w:val="en" w:eastAsia="zh-CN"/>
              </w:rPr>
              <w:t>年</w:t>
            </w:r>
          </w:p>
        </w:tc>
        <w:tc>
          <w:tcPr>
            <w:tcW w:w="2130" w:type="dxa"/>
            <w:gridSpan w:val="4"/>
            <w:shd w:val="clear" w:color="auto" w:fill="auto"/>
            <w:noWrap/>
            <w:vAlign w:val="center"/>
          </w:tcPr>
          <w:p>
            <w:pPr>
              <w:widowControl/>
              <w:spacing w:line="400" w:lineRule="exact"/>
              <w:ind w:firstLine="480" w:firstLineChars="0"/>
              <w:jc w:val="center"/>
              <w:rPr>
                <w:rFonts w:hint="eastAsia" w:ascii="Times New Roman" w:hAnsi="Times New Roman" w:eastAsia="仿宋_GB2312" w:cs="Times New Roman"/>
                <w:kern w:val="0"/>
                <w:sz w:val="24"/>
                <w:highlight w:val="none"/>
                <w:lang w:val="en" w:eastAsia="zh-CN"/>
              </w:rPr>
            </w:pPr>
            <w:r>
              <w:rPr>
                <w:rFonts w:hint="eastAsia" w:cs="Times New Roman"/>
                <w:kern w:val="0"/>
                <w:sz w:val="24"/>
                <w:highlight w:val="none"/>
                <w:lang w:val="en" w:eastAsia="zh-CN"/>
              </w:rPr>
              <w:t>202</w:t>
            </w:r>
            <w:r>
              <w:rPr>
                <w:rFonts w:hint="eastAsia" w:cs="Times New Roman"/>
                <w:kern w:val="0"/>
                <w:sz w:val="24"/>
                <w:highlight w:val="none"/>
                <w:lang w:val="en-US" w:eastAsia="zh-CN"/>
              </w:rPr>
              <w:t>5</w:t>
            </w:r>
            <w:r>
              <w:rPr>
                <w:rFonts w:hint="eastAsia" w:cs="Times New Roman"/>
                <w:kern w:val="0"/>
                <w:sz w:val="24"/>
                <w:highlight w:val="none"/>
                <w:lang w:val="en"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exact"/>
          <w:jc w:val="center"/>
        </w:trPr>
        <w:tc>
          <w:tcPr>
            <w:tcW w:w="3098" w:type="dxa"/>
            <w:vMerge w:val="continue"/>
            <w:shd w:val="clear" w:color="auto" w:fill="auto"/>
            <w:vAlign w:val="center"/>
          </w:tcPr>
          <w:p>
            <w:pPr>
              <w:widowControl/>
              <w:spacing w:line="400" w:lineRule="exact"/>
              <w:ind w:firstLine="480"/>
              <w:jc w:val="center"/>
              <w:rPr>
                <w:rFonts w:hint="default" w:ascii="Times New Roman" w:hAnsi="Times New Roman" w:eastAsia="仿宋_GB2312" w:cs="Times New Roman"/>
                <w:kern w:val="0"/>
                <w:sz w:val="24"/>
                <w:highlight w:val="none"/>
              </w:rPr>
            </w:pPr>
          </w:p>
        </w:tc>
        <w:tc>
          <w:tcPr>
            <w:tcW w:w="1120" w:type="dxa"/>
            <w:shd w:val="clear" w:color="auto" w:fill="auto"/>
            <w:noWrap/>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省本级</w:t>
            </w:r>
          </w:p>
        </w:tc>
        <w:tc>
          <w:tcPr>
            <w:tcW w:w="1162" w:type="dxa"/>
            <w:gridSpan w:val="4"/>
            <w:shd w:val="clear" w:color="auto" w:fill="auto"/>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全省</w:t>
            </w:r>
          </w:p>
        </w:tc>
        <w:tc>
          <w:tcPr>
            <w:tcW w:w="1031" w:type="dxa"/>
            <w:shd w:val="clear" w:color="auto" w:fill="auto"/>
            <w:noWrap/>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省本级</w:t>
            </w:r>
          </w:p>
        </w:tc>
        <w:tc>
          <w:tcPr>
            <w:tcW w:w="1182" w:type="dxa"/>
            <w:gridSpan w:val="2"/>
            <w:shd w:val="clear" w:color="auto" w:fill="auto"/>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全省</w:t>
            </w:r>
          </w:p>
        </w:tc>
        <w:tc>
          <w:tcPr>
            <w:tcW w:w="993" w:type="dxa"/>
            <w:gridSpan w:val="2"/>
            <w:shd w:val="clear" w:color="auto" w:fill="auto"/>
            <w:noWrap/>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省本级</w:t>
            </w:r>
          </w:p>
        </w:tc>
        <w:tc>
          <w:tcPr>
            <w:tcW w:w="1137" w:type="dxa"/>
            <w:gridSpan w:val="2"/>
            <w:shd w:val="clear" w:color="auto" w:fill="auto"/>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全省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一般公共预算收入</w:t>
            </w:r>
          </w:p>
        </w:tc>
        <w:tc>
          <w:tcPr>
            <w:tcW w:w="1120" w:type="dxa"/>
            <w:shd w:val="clear" w:color="auto" w:fill="auto"/>
            <w:noWrap/>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993.</w:t>
            </w:r>
            <w:r>
              <w:rPr>
                <w:rFonts w:hint="default" w:ascii="Times New Roman" w:hAnsi="Times New Roman" w:cs="Times New Roman"/>
                <w:color w:val="auto"/>
                <w:kern w:val="0"/>
                <w:sz w:val="24"/>
                <w:highlight w:val="none"/>
                <w:lang w:val="en-US" w:eastAsia="zh-CN"/>
              </w:rPr>
              <w:t>5</w:t>
            </w:r>
          </w:p>
        </w:tc>
        <w:tc>
          <w:tcPr>
            <w:tcW w:w="1162" w:type="dxa"/>
            <w:gridSpan w:val="4"/>
            <w:shd w:val="clear" w:color="auto" w:fill="auto"/>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5529.1</w:t>
            </w:r>
          </w:p>
        </w:tc>
        <w:tc>
          <w:tcPr>
            <w:tcW w:w="1031" w:type="dxa"/>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975.</w:t>
            </w:r>
            <w:r>
              <w:rPr>
                <w:rFonts w:hint="default" w:cs="Times New Roman"/>
                <w:kern w:val="0"/>
                <w:sz w:val="24"/>
                <w:highlight w:val="none"/>
                <w:lang w:val="en" w:eastAsia="zh-CN"/>
              </w:rPr>
              <w:t>7</w:t>
            </w:r>
          </w:p>
        </w:tc>
        <w:tc>
          <w:tcPr>
            <w:tcW w:w="1182"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5635.</w:t>
            </w:r>
            <w:r>
              <w:rPr>
                <w:rFonts w:hint="default" w:cs="Times New Roman"/>
                <w:kern w:val="0"/>
                <w:sz w:val="24"/>
                <w:highlight w:val="none"/>
                <w:lang w:val="en" w:eastAsia="zh-CN"/>
              </w:rPr>
              <w:t>6</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963.0</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5748.0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一般公共预算支出</w:t>
            </w:r>
          </w:p>
        </w:tc>
        <w:tc>
          <w:tcPr>
            <w:tcW w:w="1120" w:type="dxa"/>
            <w:shd w:val="clear" w:color="auto" w:fill="auto"/>
            <w:noWrap/>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2071</w:t>
            </w:r>
            <w:r>
              <w:rPr>
                <w:rFonts w:hint="default" w:ascii="Times New Roman" w:hAnsi="Times New Roman" w:cs="Times New Roman"/>
                <w:color w:val="auto"/>
                <w:kern w:val="0"/>
                <w:sz w:val="24"/>
                <w:highlight w:val="none"/>
                <w:lang w:val="en-US" w:eastAsia="zh-CN"/>
              </w:rPr>
              <w:t>.0</w:t>
            </w:r>
          </w:p>
        </w:tc>
        <w:tc>
          <w:tcPr>
            <w:tcW w:w="1162" w:type="dxa"/>
            <w:gridSpan w:val="4"/>
            <w:shd w:val="clear" w:color="auto" w:fill="auto"/>
            <w:vAlign w:val="center"/>
          </w:tcPr>
          <w:p>
            <w:pPr>
              <w:widowControl/>
              <w:jc w:val="right"/>
              <w:rPr>
                <w:rFonts w:hint="default" w:ascii="Times New Roman" w:hAnsi="Times New Roman" w:eastAsia="仿宋_GB2312" w:cs="Times New Roman"/>
                <w:sz w:val="24"/>
                <w:highlight w:val="none"/>
              </w:rPr>
            </w:pPr>
            <w:r>
              <w:rPr>
                <w:rFonts w:hint="default" w:ascii="Times New Roman" w:hAnsi="Times New Roman" w:eastAsia="仿宋_GB2312" w:cs="Times New Roman"/>
                <w:color w:val="auto"/>
                <w:kern w:val="0"/>
                <w:sz w:val="24"/>
                <w:highlight w:val="none"/>
                <w:lang w:val="en-US" w:eastAsia="zh-CN"/>
              </w:rPr>
              <w:t>1273</w:t>
            </w:r>
            <w:r>
              <w:rPr>
                <w:rFonts w:hint="default" w:ascii="Times New Roman" w:hAnsi="Times New Roman" w:cs="Times New Roman"/>
                <w:color w:val="auto"/>
                <w:kern w:val="0"/>
                <w:sz w:val="24"/>
                <w:highlight w:val="none"/>
                <w:lang w:val="en-US" w:eastAsia="zh-CN"/>
              </w:rPr>
              <w:t>2</w:t>
            </w:r>
            <w:r>
              <w:rPr>
                <w:rFonts w:hint="default" w:ascii="Times New Roman" w:hAnsi="Times New Roman" w:eastAsia="仿宋_GB2312" w:cs="Times New Roman"/>
                <w:color w:val="auto"/>
                <w:kern w:val="0"/>
                <w:sz w:val="24"/>
                <w:highlight w:val="none"/>
                <w:lang w:val="en-US" w:eastAsia="zh-CN"/>
              </w:rPr>
              <w:t>.</w:t>
            </w:r>
            <w:r>
              <w:rPr>
                <w:rFonts w:hint="default" w:ascii="Times New Roman" w:hAnsi="Times New Roman" w:cs="Times New Roman"/>
                <w:color w:val="auto"/>
                <w:kern w:val="0"/>
                <w:sz w:val="24"/>
                <w:highlight w:val="none"/>
                <w:lang w:val="en-US" w:eastAsia="zh-CN"/>
              </w:rPr>
              <w:t>8</w:t>
            </w:r>
          </w:p>
        </w:tc>
        <w:tc>
          <w:tcPr>
            <w:tcW w:w="1031" w:type="dxa"/>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2241.</w:t>
            </w:r>
            <w:r>
              <w:rPr>
                <w:rFonts w:hint="default" w:cs="Times New Roman"/>
                <w:kern w:val="0"/>
                <w:sz w:val="24"/>
                <w:highlight w:val="none"/>
                <w:lang w:val="en" w:eastAsia="zh-CN"/>
              </w:rPr>
              <w:t>9</w:t>
            </w:r>
          </w:p>
        </w:tc>
        <w:tc>
          <w:tcPr>
            <w:tcW w:w="1182"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1344</w:t>
            </w:r>
            <w:r>
              <w:rPr>
                <w:rFonts w:hint="default" w:cs="Times New Roman"/>
                <w:kern w:val="0"/>
                <w:sz w:val="24"/>
                <w:highlight w:val="none"/>
                <w:lang w:val="en" w:eastAsia="zh-CN"/>
              </w:rPr>
              <w:t>7</w:t>
            </w:r>
            <w:r>
              <w:rPr>
                <w:rFonts w:hint="eastAsia" w:cs="Times New Roman"/>
                <w:kern w:val="0"/>
                <w:sz w:val="24"/>
                <w:highlight w:val="none"/>
                <w:lang w:val="en-US" w:eastAsia="zh-CN"/>
              </w:rPr>
              <w:t>.</w:t>
            </w:r>
            <w:r>
              <w:rPr>
                <w:rFonts w:hint="default" w:cs="Times New Roman"/>
                <w:kern w:val="0"/>
                <w:sz w:val="24"/>
                <w:highlight w:val="none"/>
                <w:lang w:val="en" w:eastAsia="zh-CN"/>
              </w:rPr>
              <w:t>2</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2245.7</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13425.9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转移性收入</w:t>
            </w:r>
          </w:p>
        </w:tc>
        <w:tc>
          <w:tcPr>
            <w:tcW w:w="1120" w:type="dxa"/>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 w:eastAsia="zh-CN"/>
              </w:rPr>
              <w:t>764</w:t>
            </w:r>
            <w:r>
              <w:rPr>
                <w:rFonts w:hint="default" w:ascii="Times New Roman" w:hAnsi="Times New Roman" w:cs="Times New Roman"/>
                <w:kern w:val="0"/>
                <w:sz w:val="24"/>
                <w:highlight w:val="none"/>
                <w:lang w:val="en-US" w:eastAsia="zh-CN"/>
              </w:rPr>
              <w:t>5</w:t>
            </w:r>
            <w:r>
              <w:rPr>
                <w:rFonts w:hint="default" w:ascii="Times New Roman" w:hAnsi="Times New Roman" w:cs="Times New Roman"/>
                <w:kern w:val="0"/>
                <w:sz w:val="24"/>
                <w:highlight w:val="none"/>
                <w:lang w:val="en" w:eastAsia="zh-CN"/>
              </w:rPr>
              <w:t>.</w:t>
            </w:r>
            <w:r>
              <w:rPr>
                <w:rFonts w:hint="default" w:ascii="Times New Roman" w:hAnsi="Times New Roman" w:cs="Times New Roman"/>
                <w:kern w:val="0"/>
                <w:sz w:val="24"/>
                <w:highlight w:val="none"/>
                <w:lang w:val="en-US" w:eastAsia="zh-CN"/>
              </w:rPr>
              <w:t>5</w:t>
            </w:r>
          </w:p>
        </w:tc>
        <w:tc>
          <w:tcPr>
            <w:tcW w:w="1162" w:type="dxa"/>
            <w:gridSpan w:val="4"/>
            <w:shd w:val="clear" w:color="auto" w:fill="auto"/>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US" w:eastAsia="zh-CN"/>
              </w:rPr>
              <w:t>9404.0</w:t>
            </w:r>
          </w:p>
        </w:tc>
        <w:tc>
          <w:tcPr>
            <w:tcW w:w="1031" w:type="dxa"/>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7863.</w:t>
            </w:r>
            <w:r>
              <w:rPr>
                <w:rFonts w:hint="default" w:cs="Times New Roman"/>
                <w:kern w:val="0"/>
                <w:sz w:val="24"/>
                <w:highlight w:val="none"/>
                <w:lang w:val="en" w:eastAsia="zh-CN"/>
              </w:rPr>
              <w:t>8</w:t>
            </w:r>
          </w:p>
        </w:tc>
        <w:tc>
          <w:tcPr>
            <w:tcW w:w="1182"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default" w:cs="Times New Roman"/>
                <w:kern w:val="0"/>
                <w:sz w:val="24"/>
                <w:highlight w:val="none"/>
                <w:lang w:val="en" w:eastAsia="zh-CN"/>
              </w:rPr>
              <w:t>9803.1</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6593.7</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7615.2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转移性支出</w:t>
            </w:r>
          </w:p>
        </w:tc>
        <w:tc>
          <w:tcPr>
            <w:tcW w:w="1120" w:type="dxa"/>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 w:eastAsia="zh-CN"/>
              </w:rPr>
              <w:t>73</w:t>
            </w:r>
            <w:r>
              <w:rPr>
                <w:rFonts w:hint="default" w:ascii="Times New Roman" w:hAnsi="Times New Roman" w:cs="Times New Roman"/>
                <w:kern w:val="0"/>
                <w:sz w:val="24"/>
                <w:highlight w:val="none"/>
                <w:lang w:val="en-US" w:eastAsia="zh-CN"/>
              </w:rPr>
              <w:t>59.0</w:t>
            </w:r>
          </w:p>
        </w:tc>
        <w:tc>
          <w:tcPr>
            <w:tcW w:w="1162" w:type="dxa"/>
            <w:gridSpan w:val="4"/>
            <w:shd w:val="clear" w:color="auto" w:fill="auto"/>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US" w:eastAsia="zh-CN"/>
              </w:rPr>
              <w:t>1042.7</w:t>
            </w:r>
          </w:p>
        </w:tc>
        <w:tc>
          <w:tcPr>
            <w:tcW w:w="1031" w:type="dxa"/>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default" w:cs="Times New Roman"/>
                <w:kern w:val="0"/>
                <w:sz w:val="24"/>
                <w:highlight w:val="none"/>
                <w:lang w:val="en" w:eastAsia="zh-CN"/>
              </w:rPr>
              <w:t>7197.8</w:t>
            </w:r>
          </w:p>
        </w:tc>
        <w:tc>
          <w:tcPr>
            <w:tcW w:w="1182"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default" w:cs="Times New Roman"/>
                <w:kern w:val="0"/>
                <w:sz w:val="24"/>
                <w:highlight w:val="none"/>
                <w:lang w:val="en" w:eastAsia="zh-CN"/>
              </w:rPr>
              <w:t>929.8</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6223.4</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地方政府一般债券收入</w:t>
            </w:r>
          </w:p>
        </w:tc>
        <w:tc>
          <w:tcPr>
            <w:tcW w:w="1120" w:type="dxa"/>
            <w:shd w:val="clear" w:color="auto" w:fill="auto"/>
            <w:noWrap/>
            <w:vAlign w:val="center"/>
          </w:tcPr>
          <w:p>
            <w:pPr>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sz w:val="24"/>
                <w:highlight w:val="none"/>
                <w:lang w:val="en" w:eastAsia="zh-CN"/>
              </w:rPr>
              <w:t>1417.2</w:t>
            </w:r>
          </w:p>
        </w:tc>
        <w:tc>
          <w:tcPr>
            <w:tcW w:w="1162" w:type="dxa"/>
            <w:gridSpan w:val="4"/>
            <w:shd w:val="clear" w:color="auto" w:fill="auto"/>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 w:eastAsia="zh-CN"/>
              </w:rPr>
              <w:t>1417.2</w:t>
            </w:r>
          </w:p>
        </w:tc>
        <w:tc>
          <w:tcPr>
            <w:tcW w:w="1031" w:type="dxa"/>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lang w:val="en" w:eastAsia="zh-CN"/>
              </w:rPr>
            </w:pPr>
            <w:r>
              <w:rPr>
                <w:rFonts w:hint="eastAsia" w:cs="Times New Roman"/>
                <w:sz w:val="24"/>
                <w:highlight w:val="none"/>
                <w:lang w:val="en-US" w:eastAsia="zh-CN"/>
              </w:rPr>
              <w:t>1061.7</w:t>
            </w:r>
          </w:p>
        </w:tc>
        <w:tc>
          <w:tcPr>
            <w:tcW w:w="1182"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1061.7</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9723" w:type="dxa"/>
            <w:gridSpan w:val="13"/>
            <w:shd w:val="clear" w:color="auto" w:fill="auto"/>
            <w:vAlign w:val="center"/>
          </w:tcPr>
          <w:p>
            <w:pPr>
              <w:widowControl/>
              <w:spacing w:line="240" w:lineRule="exact"/>
              <w:ind w:firstLine="482"/>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b/>
                <w:kern w:val="0"/>
                <w:sz w:val="24"/>
                <w:highlight w:val="none"/>
              </w:rPr>
              <w:t>（二）近三年政府性基金</w:t>
            </w:r>
            <w:r>
              <w:rPr>
                <w:rFonts w:hint="default" w:ascii="Times New Roman" w:hAnsi="Times New Roman" w:eastAsia="仿宋_GB2312" w:cs="Times New Roman"/>
                <w:b/>
                <w:kern w:val="0"/>
                <w:sz w:val="24"/>
                <w:highlight w:val="none"/>
                <w:lang w:eastAsia="zh-CN"/>
              </w:rPr>
              <w:t>预算</w:t>
            </w:r>
            <w:r>
              <w:rPr>
                <w:rFonts w:hint="default" w:ascii="Times New Roman" w:hAnsi="Times New Roman" w:eastAsia="仿宋_GB2312" w:cs="Times New Roman"/>
                <w:b/>
                <w:kern w:val="0"/>
                <w:sz w:val="24"/>
                <w:highlight w:val="none"/>
              </w:rPr>
              <w:t>收支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政府性基金</w:t>
            </w:r>
            <w:r>
              <w:rPr>
                <w:rFonts w:hint="default" w:ascii="Times New Roman" w:hAnsi="Times New Roman" w:cs="Times New Roman"/>
                <w:kern w:val="0"/>
                <w:sz w:val="24"/>
                <w:highlight w:val="none"/>
                <w:lang w:eastAsia="zh-CN"/>
              </w:rPr>
              <w:t>预算</w:t>
            </w:r>
            <w:r>
              <w:rPr>
                <w:rFonts w:hint="default" w:ascii="Times New Roman" w:hAnsi="Times New Roman" w:eastAsia="仿宋_GB2312" w:cs="Times New Roman"/>
                <w:kern w:val="0"/>
                <w:sz w:val="24"/>
                <w:highlight w:val="none"/>
              </w:rPr>
              <w:t>收入</w:t>
            </w:r>
          </w:p>
        </w:tc>
        <w:tc>
          <w:tcPr>
            <w:tcW w:w="1169" w:type="dxa"/>
            <w:gridSpan w:val="2"/>
            <w:shd w:val="clear" w:color="auto" w:fill="auto"/>
            <w:noWrap/>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129.1</w:t>
            </w:r>
          </w:p>
        </w:tc>
        <w:tc>
          <w:tcPr>
            <w:tcW w:w="1113" w:type="dxa"/>
            <w:gridSpan w:val="3"/>
            <w:shd w:val="clear" w:color="auto" w:fill="auto"/>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4515.</w:t>
            </w:r>
            <w:r>
              <w:rPr>
                <w:rFonts w:hint="default" w:ascii="Times New Roman" w:hAnsi="Times New Roman" w:cs="Times New Roman"/>
                <w:color w:val="auto"/>
                <w:kern w:val="0"/>
                <w:sz w:val="24"/>
                <w:highlight w:val="none"/>
                <w:lang w:val="en-US" w:eastAsia="zh-CN"/>
              </w:rPr>
              <w:t>7</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color w:val="auto"/>
                <w:kern w:val="0"/>
                <w:sz w:val="24"/>
                <w:highlight w:val="yellow"/>
                <w:lang w:val="en-US" w:eastAsia="zh-CN"/>
              </w:rPr>
            </w:pPr>
            <w:r>
              <w:rPr>
                <w:rFonts w:hint="eastAsia" w:cs="Times New Roman"/>
                <w:color w:val="auto"/>
                <w:kern w:val="0"/>
                <w:sz w:val="24"/>
                <w:highlight w:val="none"/>
                <w:lang w:val="en-US" w:eastAsia="zh-CN"/>
              </w:rPr>
              <w:t>131.9</w:t>
            </w:r>
          </w:p>
        </w:tc>
        <w:tc>
          <w:tcPr>
            <w:tcW w:w="1126" w:type="dxa"/>
            <w:shd w:val="clear" w:color="auto" w:fill="auto"/>
            <w:vAlign w:val="center"/>
          </w:tcPr>
          <w:p>
            <w:pPr>
              <w:widowControl/>
              <w:spacing w:line="240" w:lineRule="exact"/>
              <w:jc w:val="right"/>
              <w:rPr>
                <w:rFonts w:hint="default" w:ascii="Times New Roman" w:hAnsi="Times New Roman" w:eastAsia="仿宋_GB2312" w:cs="Times New Roman"/>
                <w:color w:val="auto"/>
                <w:kern w:val="0"/>
                <w:sz w:val="24"/>
                <w:highlight w:val="yellow"/>
                <w:lang w:val="en" w:eastAsia="zh-CN"/>
              </w:rPr>
            </w:pPr>
            <w:r>
              <w:rPr>
                <w:rFonts w:hint="eastAsia" w:cs="Times New Roman"/>
                <w:color w:val="auto"/>
                <w:kern w:val="0"/>
                <w:sz w:val="24"/>
                <w:highlight w:val="none"/>
                <w:lang w:val="en-US" w:eastAsia="zh-CN"/>
              </w:rPr>
              <w:t>3761.</w:t>
            </w:r>
            <w:r>
              <w:rPr>
                <w:rFonts w:hint="default" w:cs="Times New Roman"/>
                <w:color w:val="auto"/>
                <w:kern w:val="0"/>
                <w:sz w:val="24"/>
                <w:highlight w:val="none"/>
                <w:lang w:val="en" w:eastAsia="zh-CN"/>
              </w:rPr>
              <w:t>2</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121.7</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3173.2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政府性基金</w:t>
            </w:r>
            <w:r>
              <w:rPr>
                <w:rFonts w:hint="default" w:ascii="Times New Roman" w:hAnsi="Times New Roman" w:cs="Times New Roman"/>
                <w:kern w:val="0"/>
                <w:sz w:val="24"/>
                <w:highlight w:val="none"/>
                <w:lang w:eastAsia="zh-CN"/>
              </w:rPr>
              <w:t>预算</w:t>
            </w:r>
            <w:r>
              <w:rPr>
                <w:rFonts w:hint="default" w:ascii="Times New Roman" w:hAnsi="Times New Roman" w:eastAsia="仿宋_GB2312" w:cs="Times New Roman"/>
                <w:kern w:val="0"/>
                <w:sz w:val="24"/>
                <w:highlight w:val="none"/>
              </w:rPr>
              <w:t>支出</w:t>
            </w:r>
          </w:p>
        </w:tc>
        <w:tc>
          <w:tcPr>
            <w:tcW w:w="1169" w:type="dxa"/>
            <w:gridSpan w:val="2"/>
            <w:shd w:val="clear" w:color="auto" w:fill="auto"/>
            <w:noWrap/>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56.</w:t>
            </w:r>
            <w:r>
              <w:rPr>
                <w:rFonts w:hint="default" w:ascii="Times New Roman" w:hAnsi="Times New Roman" w:cs="Times New Roman"/>
                <w:color w:val="auto"/>
                <w:kern w:val="0"/>
                <w:sz w:val="24"/>
                <w:highlight w:val="none"/>
                <w:lang w:val="en-US" w:eastAsia="zh-CN"/>
              </w:rPr>
              <w:t>2</w:t>
            </w:r>
          </w:p>
        </w:tc>
        <w:tc>
          <w:tcPr>
            <w:tcW w:w="1113" w:type="dxa"/>
            <w:gridSpan w:val="3"/>
            <w:shd w:val="clear" w:color="auto" w:fill="auto"/>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6207</w:t>
            </w:r>
            <w:r>
              <w:rPr>
                <w:rFonts w:hint="default" w:ascii="Times New Roman" w:hAnsi="Times New Roman" w:cs="Times New Roman"/>
                <w:color w:val="auto"/>
                <w:kern w:val="0"/>
                <w:sz w:val="24"/>
                <w:highlight w:val="none"/>
                <w:lang w:val="en-US" w:eastAsia="zh-CN"/>
              </w:rPr>
              <w:t>.0</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color w:val="auto"/>
                <w:kern w:val="0"/>
                <w:sz w:val="24"/>
                <w:highlight w:val="yellow"/>
                <w:lang w:val="en" w:eastAsia="zh-CN"/>
              </w:rPr>
            </w:pPr>
            <w:r>
              <w:rPr>
                <w:rFonts w:hint="eastAsia" w:cs="Times New Roman"/>
                <w:color w:val="auto"/>
                <w:kern w:val="0"/>
                <w:sz w:val="24"/>
                <w:highlight w:val="none"/>
                <w:lang w:val="en-US" w:eastAsia="zh-CN"/>
              </w:rPr>
              <w:t>160.8</w:t>
            </w:r>
          </w:p>
        </w:tc>
        <w:tc>
          <w:tcPr>
            <w:tcW w:w="1126" w:type="dxa"/>
            <w:shd w:val="clear" w:color="auto" w:fill="auto"/>
            <w:vAlign w:val="center"/>
          </w:tcPr>
          <w:p>
            <w:pPr>
              <w:widowControl/>
              <w:spacing w:line="240" w:lineRule="exact"/>
              <w:jc w:val="right"/>
              <w:rPr>
                <w:rFonts w:hint="default" w:ascii="Times New Roman" w:hAnsi="Times New Roman" w:eastAsia="仿宋_GB2312" w:cs="Times New Roman"/>
                <w:color w:val="auto"/>
                <w:kern w:val="0"/>
                <w:sz w:val="24"/>
                <w:highlight w:val="yellow"/>
                <w:lang w:val="en" w:eastAsia="zh-CN"/>
              </w:rPr>
            </w:pPr>
            <w:r>
              <w:rPr>
                <w:rFonts w:hint="eastAsia" w:cs="Times New Roman"/>
                <w:color w:val="auto"/>
                <w:kern w:val="0"/>
                <w:sz w:val="24"/>
                <w:highlight w:val="none"/>
                <w:lang w:val="en-US" w:eastAsia="zh-CN"/>
              </w:rPr>
              <w:t>60</w:t>
            </w:r>
            <w:r>
              <w:rPr>
                <w:rFonts w:hint="default" w:cs="Times New Roman"/>
                <w:color w:val="auto"/>
                <w:kern w:val="0"/>
                <w:sz w:val="24"/>
                <w:highlight w:val="none"/>
                <w:lang w:val="en" w:eastAsia="zh-CN"/>
              </w:rPr>
              <w:t>25.5</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234</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5096.3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地方政府专项债券收入</w:t>
            </w:r>
          </w:p>
        </w:tc>
        <w:tc>
          <w:tcPr>
            <w:tcW w:w="1169" w:type="dxa"/>
            <w:gridSpan w:val="2"/>
            <w:shd w:val="clear" w:color="auto" w:fill="auto"/>
            <w:noWrap/>
            <w:vAlign w:val="center"/>
          </w:tcPr>
          <w:p>
            <w:pPr>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color w:val="auto"/>
                <w:sz w:val="24"/>
                <w:highlight w:val="none"/>
                <w:lang w:val="en" w:eastAsia="zh-CN"/>
              </w:rPr>
              <w:t>3051.3</w:t>
            </w:r>
          </w:p>
        </w:tc>
        <w:tc>
          <w:tcPr>
            <w:tcW w:w="1113" w:type="dxa"/>
            <w:gridSpan w:val="3"/>
            <w:shd w:val="clear" w:color="auto" w:fill="auto"/>
            <w:vAlign w:val="center"/>
          </w:tcPr>
          <w:p>
            <w:pPr>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color w:val="auto"/>
                <w:sz w:val="24"/>
                <w:highlight w:val="none"/>
                <w:lang w:val="en" w:eastAsia="zh-CN"/>
              </w:rPr>
              <w:t>3051.3</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color w:val="auto"/>
                <w:sz w:val="24"/>
                <w:highlight w:val="none"/>
                <w:lang w:val="en" w:eastAsia="zh-CN"/>
              </w:rPr>
            </w:pPr>
            <w:r>
              <w:rPr>
                <w:rFonts w:hint="eastAsia" w:cs="Times New Roman"/>
                <w:color w:val="auto"/>
                <w:sz w:val="24"/>
                <w:highlight w:val="none"/>
                <w:lang w:val="en-US" w:eastAsia="zh-CN"/>
              </w:rPr>
              <w:t>4017.5</w:t>
            </w:r>
          </w:p>
        </w:tc>
        <w:tc>
          <w:tcPr>
            <w:tcW w:w="1126" w:type="dxa"/>
            <w:shd w:val="clear" w:color="auto" w:fill="auto"/>
            <w:vAlign w:val="center"/>
          </w:tcPr>
          <w:p>
            <w:pPr>
              <w:widowControl/>
              <w:spacing w:line="240" w:lineRule="exact"/>
              <w:jc w:val="right"/>
              <w:rPr>
                <w:rFonts w:hint="default" w:ascii="Times New Roman" w:hAnsi="Times New Roman" w:eastAsia="仿宋_GB2312" w:cs="Times New Roman"/>
                <w:color w:val="auto"/>
                <w:sz w:val="24"/>
                <w:highlight w:val="none"/>
                <w:lang w:val="en" w:eastAsia="zh-CN"/>
              </w:rPr>
            </w:pPr>
            <w:r>
              <w:rPr>
                <w:rFonts w:hint="eastAsia" w:cs="Times New Roman"/>
                <w:color w:val="auto"/>
                <w:sz w:val="24"/>
                <w:highlight w:val="none"/>
                <w:lang w:val="en-US" w:eastAsia="zh-CN"/>
              </w:rPr>
              <w:t>4017.5</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exact"/>
          <w:jc w:val="center"/>
        </w:trPr>
        <w:tc>
          <w:tcPr>
            <w:tcW w:w="9723" w:type="dxa"/>
            <w:gridSpan w:val="13"/>
            <w:shd w:val="clear" w:color="auto" w:fill="auto"/>
            <w:vAlign w:val="center"/>
          </w:tcPr>
          <w:p>
            <w:pPr>
              <w:widowControl/>
              <w:spacing w:line="240" w:lineRule="exact"/>
              <w:ind w:firstLine="482"/>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b/>
                <w:kern w:val="0"/>
                <w:sz w:val="24"/>
                <w:highlight w:val="none"/>
              </w:rPr>
              <w:t>（三）近三年国有资本经营预算收支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国有资本经营预算收入</w:t>
            </w:r>
          </w:p>
        </w:tc>
        <w:tc>
          <w:tcPr>
            <w:tcW w:w="1169" w:type="dxa"/>
            <w:gridSpan w:val="2"/>
            <w:shd w:val="clear" w:color="auto" w:fill="auto"/>
            <w:noWrap/>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30.6</w:t>
            </w:r>
          </w:p>
        </w:tc>
        <w:tc>
          <w:tcPr>
            <w:tcW w:w="1113" w:type="dxa"/>
            <w:gridSpan w:val="3"/>
            <w:shd w:val="clear" w:color="auto" w:fill="auto"/>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16</w:t>
            </w:r>
            <w:r>
              <w:rPr>
                <w:rFonts w:hint="default" w:ascii="Times New Roman" w:hAnsi="Times New Roman" w:cs="Times New Roman"/>
                <w:color w:val="auto"/>
                <w:kern w:val="0"/>
                <w:sz w:val="24"/>
                <w:highlight w:val="none"/>
                <w:lang w:val="en-US" w:eastAsia="zh-CN"/>
              </w:rPr>
              <w:t>4.0</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kern w:val="0"/>
                <w:sz w:val="24"/>
                <w:highlight w:val="yellow"/>
                <w:lang w:val="en-US" w:eastAsia="zh-CN"/>
              </w:rPr>
            </w:pPr>
            <w:r>
              <w:rPr>
                <w:rFonts w:hint="eastAsia" w:cs="Times New Roman"/>
                <w:kern w:val="0"/>
                <w:sz w:val="24"/>
                <w:highlight w:val="none"/>
                <w:lang w:val="en-US" w:eastAsia="zh-CN"/>
              </w:rPr>
              <w:t>31.3</w:t>
            </w:r>
          </w:p>
        </w:tc>
        <w:tc>
          <w:tcPr>
            <w:tcW w:w="1126" w:type="dxa"/>
            <w:shd w:val="clear" w:color="auto" w:fill="auto"/>
            <w:vAlign w:val="center"/>
          </w:tcPr>
          <w:p>
            <w:pPr>
              <w:widowControl/>
              <w:spacing w:line="240" w:lineRule="exact"/>
              <w:jc w:val="right"/>
              <w:rPr>
                <w:rFonts w:hint="default" w:ascii="Times New Roman" w:hAnsi="Times New Roman" w:eastAsia="仿宋_GB2312" w:cs="Times New Roman"/>
                <w:kern w:val="0"/>
                <w:sz w:val="24"/>
                <w:highlight w:val="yellow"/>
                <w:lang w:val="en" w:eastAsia="zh-CN"/>
              </w:rPr>
            </w:pPr>
            <w:r>
              <w:rPr>
                <w:rFonts w:hint="default" w:cs="Times New Roman"/>
                <w:kern w:val="0"/>
                <w:sz w:val="24"/>
                <w:highlight w:val="none"/>
                <w:lang w:val="en" w:eastAsia="zh-CN"/>
              </w:rPr>
              <w:t>201.78</w:t>
            </w:r>
          </w:p>
        </w:tc>
        <w:tc>
          <w:tcPr>
            <w:tcW w:w="1020" w:type="dxa"/>
            <w:gridSpan w:val="3"/>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27</w:t>
            </w:r>
          </w:p>
        </w:tc>
        <w:tc>
          <w:tcPr>
            <w:tcW w:w="1110" w:type="dxa"/>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226.7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国有资本经营预算支出</w:t>
            </w:r>
          </w:p>
        </w:tc>
        <w:tc>
          <w:tcPr>
            <w:tcW w:w="1169" w:type="dxa"/>
            <w:gridSpan w:val="2"/>
            <w:shd w:val="clear" w:color="auto" w:fill="auto"/>
            <w:noWrap/>
            <w:vAlign w:val="center"/>
          </w:tcPr>
          <w:p>
            <w:pPr>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sz w:val="24"/>
                <w:highlight w:val="none"/>
                <w:lang w:val="en-US" w:eastAsia="zh-CN"/>
              </w:rPr>
              <w:t>23.0</w:t>
            </w:r>
          </w:p>
        </w:tc>
        <w:tc>
          <w:tcPr>
            <w:tcW w:w="1113" w:type="dxa"/>
            <w:gridSpan w:val="3"/>
            <w:shd w:val="clear" w:color="auto" w:fill="auto"/>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8</w:t>
            </w:r>
            <w:r>
              <w:rPr>
                <w:rFonts w:hint="default" w:ascii="Times New Roman" w:hAnsi="Times New Roman" w:cs="Times New Roman"/>
                <w:color w:val="auto"/>
                <w:kern w:val="0"/>
                <w:sz w:val="24"/>
                <w:highlight w:val="none"/>
                <w:lang w:val="en-US" w:eastAsia="zh-CN"/>
              </w:rPr>
              <w:t>1</w:t>
            </w:r>
            <w:r>
              <w:rPr>
                <w:rFonts w:hint="default" w:ascii="Times New Roman" w:hAnsi="Times New Roman" w:eastAsia="仿宋_GB2312" w:cs="Times New Roman"/>
                <w:color w:val="auto"/>
                <w:kern w:val="0"/>
                <w:sz w:val="24"/>
                <w:highlight w:val="none"/>
                <w:lang w:val="en-US" w:eastAsia="zh-CN"/>
              </w:rPr>
              <w:t>.</w:t>
            </w:r>
            <w:r>
              <w:rPr>
                <w:rFonts w:hint="default" w:ascii="Times New Roman" w:hAnsi="Times New Roman" w:cs="Times New Roman"/>
                <w:color w:val="auto"/>
                <w:kern w:val="0"/>
                <w:sz w:val="24"/>
                <w:highlight w:val="none"/>
                <w:lang w:val="en-US" w:eastAsia="zh-CN"/>
              </w:rPr>
              <w:t>3</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kern w:val="0"/>
                <w:sz w:val="24"/>
                <w:highlight w:val="yellow"/>
                <w:lang w:val="en-US" w:eastAsia="zh-CN"/>
              </w:rPr>
            </w:pPr>
            <w:r>
              <w:rPr>
                <w:rFonts w:hint="eastAsia" w:cs="Times New Roman"/>
                <w:kern w:val="0"/>
                <w:sz w:val="24"/>
                <w:highlight w:val="none"/>
                <w:lang w:val="en-US" w:eastAsia="zh-CN"/>
              </w:rPr>
              <w:t>16.4</w:t>
            </w:r>
          </w:p>
        </w:tc>
        <w:tc>
          <w:tcPr>
            <w:tcW w:w="1126" w:type="dxa"/>
            <w:shd w:val="clear" w:color="auto" w:fill="auto"/>
            <w:vAlign w:val="center"/>
          </w:tcPr>
          <w:p>
            <w:pPr>
              <w:widowControl/>
              <w:spacing w:line="240" w:lineRule="exact"/>
              <w:jc w:val="right"/>
              <w:rPr>
                <w:rFonts w:hint="default" w:ascii="Times New Roman" w:hAnsi="Times New Roman" w:eastAsia="仿宋_GB2312" w:cs="Times New Roman"/>
                <w:kern w:val="0"/>
                <w:sz w:val="24"/>
                <w:highlight w:val="yellow"/>
                <w:lang w:val="en" w:eastAsia="zh-CN"/>
              </w:rPr>
            </w:pPr>
            <w:r>
              <w:rPr>
                <w:rFonts w:hint="default" w:cs="Times New Roman"/>
                <w:kern w:val="0"/>
                <w:sz w:val="24"/>
                <w:highlight w:val="none"/>
                <w:lang w:val="en" w:eastAsia="zh-CN"/>
              </w:rPr>
              <w:t>90.8</w:t>
            </w:r>
          </w:p>
        </w:tc>
        <w:tc>
          <w:tcPr>
            <w:tcW w:w="1020" w:type="dxa"/>
            <w:gridSpan w:val="3"/>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20</w:t>
            </w:r>
          </w:p>
        </w:tc>
        <w:tc>
          <w:tcPr>
            <w:tcW w:w="1110" w:type="dxa"/>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9723" w:type="dxa"/>
            <w:gridSpan w:val="13"/>
            <w:shd w:val="clear" w:color="auto" w:fill="auto"/>
            <w:vAlign w:val="center"/>
          </w:tcPr>
          <w:p>
            <w:pPr>
              <w:widowControl/>
              <w:spacing w:line="240" w:lineRule="exact"/>
              <w:ind w:right="840" w:firstLine="472" w:firstLineChars="196"/>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b/>
                <w:kern w:val="0"/>
                <w:sz w:val="24"/>
                <w:highlight w:val="none"/>
              </w:rPr>
              <w:t>（四）近三年地方政府</w:t>
            </w:r>
            <w:r>
              <w:rPr>
                <w:rFonts w:hint="eastAsia" w:cs="Times New Roman"/>
                <w:b/>
                <w:kern w:val="0"/>
                <w:sz w:val="24"/>
                <w:highlight w:val="none"/>
                <w:lang w:eastAsia="zh-CN"/>
              </w:rPr>
              <w:t>债务</w:t>
            </w:r>
            <w:r>
              <w:rPr>
                <w:rFonts w:hint="default" w:ascii="Times New Roman" w:hAnsi="Times New Roman" w:eastAsia="仿宋_GB2312" w:cs="Times New Roman"/>
                <w:b/>
                <w:kern w:val="0"/>
                <w:sz w:val="24"/>
                <w:highlight w:val="none"/>
              </w:rPr>
              <w:t>还本支出情况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地方政府一般</w:t>
            </w:r>
            <w:r>
              <w:rPr>
                <w:rFonts w:hint="eastAsia" w:cs="Times New Roman"/>
                <w:kern w:val="0"/>
                <w:sz w:val="24"/>
                <w:highlight w:val="none"/>
                <w:lang w:eastAsia="zh-CN"/>
              </w:rPr>
              <w:t>债务</w:t>
            </w:r>
            <w:r>
              <w:rPr>
                <w:rFonts w:hint="default" w:ascii="Times New Roman" w:hAnsi="Times New Roman" w:eastAsia="仿宋_GB2312" w:cs="Times New Roman"/>
                <w:kern w:val="0"/>
                <w:sz w:val="24"/>
                <w:highlight w:val="none"/>
              </w:rPr>
              <w:t>还本支出</w:t>
            </w:r>
          </w:p>
        </w:tc>
        <w:tc>
          <w:tcPr>
            <w:tcW w:w="1169" w:type="dxa"/>
            <w:gridSpan w:val="2"/>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 w:eastAsia="zh-CN"/>
              </w:rPr>
              <w:t>179.</w:t>
            </w:r>
            <w:r>
              <w:rPr>
                <w:rFonts w:hint="default" w:ascii="Times New Roman" w:hAnsi="Times New Roman" w:cs="Times New Roman"/>
                <w:kern w:val="0"/>
                <w:sz w:val="24"/>
                <w:highlight w:val="none"/>
                <w:lang w:val="en-US" w:eastAsia="zh-CN"/>
              </w:rPr>
              <w:t>4</w:t>
            </w:r>
          </w:p>
        </w:tc>
        <w:tc>
          <w:tcPr>
            <w:tcW w:w="1113" w:type="dxa"/>
            <w:gridSpan w:val="3"/>
            <w:shd w:val="clear" w:color="auto" w:fill="auto"/>
            <w:vAlign w:val="center"/>
          </w:tcPr>
          <w:p>
            <w:pPr>
              <w:widowControl/>
              <w:spacing w:line="240" w:lineRule="exact"/>
              <w:jc w:val="right"/>
              <w:rPr>
                <w:rFonts w:hint="default" w:ascii="Times New Roman" w:hAnsi="Times New Roman" w:eastAsia="仿宋_GB2312" w:cs="Times New Roman"/>
                <w:sz w:val="24"/>
                <w:highlight w:val="none"/>
                <w:lang w:val="en-US"/>
              </w:rPr>
            </w:pPr>
            <w:r>
              <w:rPr>
                <w:rFonts w:hint="eastAsia" w:cs="Times New Roman"/>
                <w:color w:val="auto"/>
                <w:kern w:val="0"/>
                <w:sz w:val="24"/>
                <w:highlight w:val="none"/>
                <w:lang w:val="en-US" w:eastAsia="zh-CN"/>
              </w:rPr>
              <w:t>1097.3</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lang w:val="en-US"/>
              </w:rPr>
            </w:pPr>
            <w:r>
              <w:rPr>
                <w:rFonts w:hint="eastAsia" w:cs="Times New Roman"/>
                <w:sz w:val="24"/>
                <w:highlight w:val="none"/>
                <w:lang w:val="en-US" w:eastAsia="zh-CN"/>
              </w:rPr>
              <w:t>82.8</w:t>
            </w:r>
          </w:p>
        </w:tc>
        <w:tc>
          <w:tcPr>
            <w:tcW w:w="1126" w:type="dxa"/>
            <w:shd w:val="clear" w:color="auto" w:fill="auto"/>
            <w:vAlign w:val="center"/>
          </w:tcPr>
          <w:p>
            <w:pPr>
              <w:widowControl/>
              <w:spacing w:line="240" w:lineRule="exact"/>
              <w:jc w:val="center"/>
              <w:rPr>
                <w:rFonts w:hint="default" w:ascii="Times New Roman" w:hAnsi="Times New Roman" w:cs="Times New Roman"/>
                <w:color w:val="auto"/>
                <w:kern w:val="0"/>
                <w:sz w:val="24"/>
                <w:highlight w:val="none"/>
                <w:lang w:val="en-US" w:eastAsia="zh-CN"/>
              </w:rPr>
            </w:pPr>
            <w:r>
              <w:rPr>
                <w:rFonts w:hint="eastAsia" w:cs="Times New Roman"/>
                <w:color w:val="auto"/>
                <w:kern w:val="0"/>
                <w:sz w:val="24"/>
                <w:highlight w:val="none"/>
                <w:lang w:val="en-US" w:eastAsia="zh-CN"/>
              </w:rPr>
              <w:t xml:space="preserve">  731.7</w:t>
            </w:r>
          </w:p>
        </w:tc>
        <w:tc>
          <w:tcPr>
            <w:tcW w:w="1020" w:type="dxa"/>
            <w:gridSpan w:val="3"/>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109.3</w:t>
            </w:r>
          </w:p>
        </w:tc>
        <w:tc>
          <w:tcPr>
            <w:tcW w:w="1110" w:type="dxa"/>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908.7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地方政府专项</w:t>
            </w:r>
            <w:r>
              <w:rPr>
                <w:rFonts w:hint="eastAsia" w:cs="Times New Roman"/>
                <w:kern w:val="0"/>
                <w:sz w:val="24"/>
                <w:highlight w:val="none"/>
                <w:lang w:eastAsia="zh-CN"/>
              </w:rPr>
              <w:t>债务</w:t>
            </w:r>
            <w:r>
              <w:rPr>
                <w:rFonts w:hint="default" w:ascii="Times New Roman" w:hAnsi="Times New Roman" w:eastAsia="仿宋_GB2312" w:cs="Times New Roman"/>
                <w:kern w:val="0"/>
                <w:sz w:val="24"/>
                <w:highlight w:val="none"/>
              </w:rPr>
              <w:t>还本支出</w:t>
            </w:r>
          </w:p>
        </w:tc>
        <w:tc>
          <w:tcPr>
            <w:tcW w:w="1169" w:type="dxa"/>
            <w:gridSpan w:val="2"/>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 w:eastAsia="zh-CN"/>
              </w:rPr>
              <w:t>0</w:t>
            </w:r>
          </w:p>
        </w:tc>
        <w:tc>
          <w:tcPr>
            <w:tcW w:w="1113" w:type="dxa"/>
            <w:gridSpan w:val="3"/>
            <w:shd w:val="clear" w:color="auto" w:fill="auto"/>
            <w:vAlign w:val="center"/>
          </w:tcPr>
          <w:p>
            <w:pPr>
              <w:widowControl/>
              <w:spacing w:line="240" w:lineRule="exact"/>
              <w:jc w:val="right"/>
              <w:rPr>
                <w:rFonts w:hint="default" w:ascii="Times New Roman" w:hAnsi="Times New Roman" w:eastAsia="仿宋_GB2312" w:cs="Times New Roman"/>
                <w:sz w:val="24"/>
                <w:highlight w:val="none"/>
                <w:lang w:val="en-US"/>
              </w:rPr>
            </w:pPr>
            <w:r>
              <w:rPr>
                <w:rFonts w:hint="eastAsia" w:cs="Times New Roman"/>
                <w:color w:val="auto"/>
                <w:kern w:val="0"/>
                <w:sz w:val="24"/>
                <w:highlight w:val="none"/>
                <w:lang w:val="en-US" w:eastAsia="zh-CN"/>
              </w:rPr>
              <w:t>1067.5</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rPr>
            </w:pPr>
            <w:r>
              <w:rPr>
                <w:rFonts w:hint="eastAsia" w:cs="Times New Roman"/>
                <w:sz w:val="24"/>
                <w:highlight w:val="none"/>
                <w:lang w:val="en-US" w:eastAsia="zh-CN"/>
              </w:rPr>
              <w:t>0</w:t>
            </w:r>
          </w:p>
        </w:tc>
        <w:tc>
          <w:tcPr>
            <w:tcW w:w="1126" w:type="dxa"/>
            <w:shd w:val="clear" w:color="auto" w:fill="auto"/>
            <w:vAlign w:val="center"/>
          </w:tcPr>
          <w:p>
            <w:pPr>
              <w:widowControl/>
              <w:spacing w:line="240" w:lineRule="exact"/>
              <w:jc w:val="right"/>
              <w:rPr>
                <w:rFonts w:hint="default" w:ascii="Times New Roman" w:hAnsi="Times New Roman" w:cs="Times New Roman"/>
                <w:color w:val="auto"/>
                <w:kern w:val="0"/>
                <w:sz w:val="24"/>
                <w:highlight w:val="none"/>
                <w:lang w:val="en" w:eastAsia="zh-CN"/>
              </w:rPr>
            </w:pPr>
            <w:r>
              <w:rPr>
                <w:rFonts w:hint="default" w:cs="Times New Roman"/>
                <w:color w:val="auto"/>
                <w:kern w:val="0"/>
                <w:sz w:val="24"/>
                <w:highlight w:val="none"/>
                <w:lang w:val="en" w:eastAsia="zh-CN"/>
              </w:rPr>
              <w:t>1977.4</w:t>
            </w:r>
          </w:p>
        </w:tc>
        <w:tc>
          <w:tcPr>
            <w:tcW w:w="1020" w:type="dxa"/>
            <w:gridSpan w:val="3"/>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0</w:t>
            </w:r>
          </w:p>
        </w:tc>
        <w:tc>
          <w:tcPr>
            <w:tcW w:w="1110" w:type="dxa"/>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1530.4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exact"/>
          <w:jc w:val="center"/>
        </w:trPr>
        <w:tc>
          <w:tcPr>
            <w:tcW w:w="9723" w:type="dxa"/>
            <w:gridSpan w:val="13"/>
            <w:shd w:val="clear" w:color="auto" w:fill="auto"/>
            <w:noWrap/>
            <w:vAlign w:val="center"/>
          </w:tcPr>
          <w:p>
            <w:pPr>
              <w:widowControl/>
              <w:spacing w:line="240" w:lineRule="exact"/>
              <w:ind w:firstLine="482"/>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三、地方政府债务状况（亿元）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730" w:type="dxa"/>
            <w:gridSpan w:val="4"/>
            <w:shd w:val="clear" w:color="auto" w:fill="auto"/>
            <w:noWrap/>
            <w:vAlign w:val="center"/>
          </w:tcPr>
          <w:p>
            <w:pPr>
              <w:widowControl/>
              <w:spacing w:line="240" w:lineRule="exact"/>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截至202</w:t>
            </w:r>
            <w:r>
              <w:rPr>
                <w:rFonts w:hint="eastAsia" w:cs="Times New Roman"/>
                <w:kern w:val="0"/>
                <w:sz w:val="24"/>
                <w:highlight w:val="none"/>
                <w:lang w:val="en-US" w:eastAsia="zh-CN"/>
              </w:rPr>
              <w:t>4</w:t>
            </w:r>
            <w:r>
              <w:rPr>
                <w:rFonts w:hint="default" w:ascii="Times New Roman" w:hAnsi="Times New Roman" w:eastAsia="仿宋_GB2312" w:cs="Times New Roman"/>
                <w:kern w:val="0"/>
                <w:sz w:val="24"/>
                <w:highlight w:val="none"/>
              </w:rPr>
              <w:t>年底地方政府债务余额</w:t>
            </w:r>
          </w:p>
        </w:tc>
        <w:tc>
          <w:tcPr>
            <w:tcW w:w="4993" w:type="dxa"/>
            <w:gridSpan w:val="9"/>
            <w:shd w:val="clear" w:color="auto" w:fill="auto"/>
            <w:noWrap/>
            <w:vAlign w:val="center"/>
          </w:tcPr>
          <w:p>
            <w:pPr>
              <w:widowControl/>
              <w:spacing w:line="240" w:lineRule="exact"/>
              <w:ind w:firstLine="480"/>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24028.9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730" w:type="dxa"/>
            <w:gridSpan w:val="4"/>
            <w:shd w:val="clear" w:color="auto" w:fill="auto"/>
            <w:noWrap/>
            <w:vAlign w:val="center"/>
          </w:tcPr>
          <w:p>
            <w:pPr>
              <w:widowControl/>
              <w:spacing w:line="240" w:lineRule="exact"/>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202</w:t>
            </w:r>
            <w:r>
              <w:rPr>
                <w:rFonts w:hint="eastAsia" w:cs="Times New Roman"/>
                <w:kern w:val="0"/>
                <w:sz w:val="24"/>
                <w:highlight w:val="none"/>
                <w:lang w:val="en-US" w:eastAsia="zh-CN"/>
              </w:rPr>
              <w:t>4</w:t>
            </w:r>
            <w:r>
              <w:rPr>
                <w:rFonts w:hint="default" w:ascii="Times New Roman" w:hAnsi="Times New Roman" w:eastAsia="仿宋_GB2312" w:cs="Times New Roman"/>
                <w:kern w:val="0"/>
                <w:sz w:val="24"/>
                <w:highlight w:val="none"/>
              </w:rPr>
              <w:t>年地方政府债务限额</w:t>
            </w:r>
          </w:p>
        </w:tc>
        <w:tc>
          <w:tcPr>
            <w:tcW w:w="4993" w:type="dxa"/>
            <w:gridSpan w:val="9"/>
            <w:shd w:val="clear" w:color="auto" w:fill="auto"/>
            <w:noWrap/>
            <w:vAlign w:val="center"/>
          </w:tcPr>
          <w:p>
            <w:pPr>
              <w:widowControl/>
              <w:spacing w:line="240" w:lineRule="exact"/>
              <w:ind w:firstLine="480"/>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26902.7</w:t>
            </w:r>
          </w:p>
        </w:tc>
      </w:tr>
    </w:tbl>
    <w:p>
      <w:pPr>
        <w:pStyle w:val="4"/>
        <w:snapToGrid w:val="0"/>
        <w:spacing w:line="300" w:lineRule="exact"/>
        <w:ind w:left="735" w:hanging="735" w:hangingChars="350"/>
        <w:rPr>
          <w:rFonts w:hint="default" w:ascii="Times New Roman" w:hAnsi="Times New Roman" w:eastAsia="仿宋_GB2312" w:cs="Times New Roman"/>
          <w:color w:val="000000" w:themeColor="text1"/>
          <w:highlight w:val="none"/>
          <w:lang w:eastAsia="zh-CN"/>
          <w14:textFill>
            <w14:solidFill>
              <w14:schemeClr w14:val="tx1"/>
            </w14:solidFill>
          </w14:textFill>
        </w:rPr>
      </w:pPr>
      <w:r>
        <w:rPr>
          <w:rFonts w:hint="default" w:ascii="Times New Roman" w:hAnsi="Times New Roman" w:eastAsia="仿宋_GB2312" w:cs="Times New Roman"/>
          <w:color w:val="000000" w:themeColor="text1"/>
          <w:highlight w:val="none"/>
          <w14:textFill>
            <w14:solidFill>
              <w14:schemeClr w14:val="tx1"/>
            </w14:solidFill>
          </w14:textFill>
        </w:rPr>
        <w:t>注：1、经济数据</w:t>
      </w:r>
      <w:r>
        <w:rPr>
          <w:rFonts w:hint="default" w:ascii="Times New Roman" w:hAnsi="Times New Roman" w:eastAsia="仿宋_GB2312" w:cs="Times New Roman"/>
          <w:color w:val="000000" w:themeColor="text1"/>
          <w:highlight w:val="none"/>
          <w:lang w:eastAsia="zh-CN"/>
          <w14:textFill>
            <w14:solidFill>
              <w14:schemeClr w14:val="tx1"/>
            </w14:solidFill>
          </w14:textFill>
        </w:rPr>
        <w:t>来源于四川省统计局</w:t>
      </w:r>
    </w:p>
    <w:p>
      <w:pPr>
        <w:pStyle w:val="4"/>
        <w:snapToGrid w:val="0"/>
        <w:spacing w:line="300" w:lineRule="exact"/>
        <w:ind w:firstLine="420"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000000" w:themeColor="text1"/>
          <w:highlight w:val="none"/>
          <w14:textFill>
            <w14:solidFill>
              <w14:schemeClr w14:val="tx1"/>
            </w14:solidFill>
          </w14:textFill>
        </w:rPr>
        <w:t>2、财政数据中202</w:t>
      </w: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highlight w:val="none"/>
          <w14:textFill>
            <w14:solidFill>
              <w14:schemeClr w14:val="tx1"/>
            </w14:solidFill>
          </w14:textFill>
        </w:rPr>
        <w:t>年</w:t>
      </w:r>
      <w:r>
        <w:rPr>
          <w:rFonts w:hint="default" w:ascii="Times New Roman" w:hAnsi="Times New Roman" w:eastAsia="仿宋_GB2312" w:cs="Times New Roman"/>
          <w:color w:val="000000" w:themeColor="text1"/>
          <w:highlight w:val="none"/>
          <w:lang w:eastAsia="zh-CN"/>
          <w14:textFill>
            <w14:solidFill>
              <w14:schemeClr w14:val="tx1"/>
            </w14:solidFill>
          </w14:textFill>
        </w:rPr>
        <w:t>为决算数，</w:t>
      </w:r>
      <w:r>
        <w:rPr>
          <w:rFonts w:hint="default" w:ascii="Times New Roman" w:hAnsi="Times New Roman" w:eastAsia="仿宋_GB2312" w:cs="Times New Roman"/>
          <w:color w:val="000000" w:themeColor="text1"/>
          <w:highlight w:val="none"/>
          <w:lang w:val="en-US" w:eastAsia="zh-CN"/>
          <w14:textFill>
            <w14:solidFill>
              <w14:schemeClr w14:val="tx1"/>
            </w14:solidFill>
          </w14:textFill>
        </w:rPr>
        <w:t>202</w:t>
      </w: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highlight w:val="none"/>
          <w:lang w:val="en-US" w:eastAsia="zh-CN"/>
          <w14:textFill>
            <w14:solidFill>
              <w14:schemeClr w14:val="tx1"/>
            </w14:solidFill>
          </w14:textFill>
        </w:rPr>
        <w:t>年</w:t>
      </w:r>
      <w:r>
        <w:rPr>
          <w:rFonts w:hint="default" w:ascii="Times New Roman" w:hAnsi="Times New Roman" w:eastAsia="仿宋_GB2312" w:cs="Times New Roman"/>
          <w:color w:val="000000" w:themeColor="text1"/>
          <w:highlight w:val="none"/>
          <w14:textFill>
            <w14:solidFill>
              <w14:schemeClr w14:val="tx1"/>
            </w14:solidFill>
          </w14:textFill>
        </w:rPr>
        <w:t>为</w:t>
      </w:r>
      <w:r>
        <w:rPr>
          <w:rFonts w:hint="eastAsia" w:ascii="Times New Roman" w:hAnsi="Times New Roman" w:eastAsia="仿宋_GB2312" w:cs="Times New Roman"/>
          <w:color w:val="000000" w:themeColor="text1"/>
          <w:highlight w:val="none"/>
          <w:lang w:eastAsia="zh-CN"/>
          <w14:textFill>
            <w14:solidFill>
              <w14:schemeClr w14:val="tx1"/>
            </w14:solidFill>
          </w14:textFill>
        </w:rPr>
        <w:t>决算数</w:t>
      </w:r>
      <w:r>
        <w:rPr>
          <w:rFonts w:hint="default" w:ascii="Times New Roman" w:hAnsi="Times New Roman" w:eastAsia="仿宋_GB2312" w:cs="Times New Roman"/>
          <w:color w:val="000000" w:themeColor="text1"/>
          <w:highlight w:val="none"/>
          <w:lang w:eastAsia="zh-CN"/>
          <w14:textFill>
            <w14:solidFill>
              <w14:schemeClr w14:val="tx1"/>
            </w14:solidFill>
          </w14:textFill>
        </w:rPr>
        <w:t>，</w:t>
      </w: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2025年</w:t>
      </w:r>
      <w:r>
        <w:rPr>
          <w:rFonts w:hint="default" w:ascii="Times New Roman" w:hAnsi="Times New Roman" w:eastAsia="仿宋_GB2312" w:cs="Times New Roman"/>
          <w:color w:val="000000" w:themeColor="text1"/>
          <w:highlight w:val="none"/>
          <w:lang w:val="en-US" w:eastAsia="zh-CN"/>
          <w14:textFill>
            <w14:solidFill>
              <w14:schemeClr w14:val="tx1"/>
            </w14:solidFill>
          </w14:textFill>
        </w:rPr>
        <w:t>为预算数</w:t>
      </w:r>
      <w:r>
        <w:rPr>
          <w:rFonts w:hint="default" w:ascii="Times New Roman" w:hAnsi="Times New Roman" w:eastAsia="仿宋_GB2312" w:cs="Times New Roman"/>
          <w:color w:val="000000" w:themeColor="text1"/>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五、四川省地方政府债务管理情况</w:t>
      </w:r>
    </w:p>
    <w:p>
      <w:pPr>
        <w:pStyle w:val="4"/>
        <w:keepNext w:val="0"/>
        <w:keepLines w:val="0"/>
        <w:pageBreakBefore w:val="0"/>
        <w:widowControl w:val="0"/>
        <w:kinsoku/>
        <w:wordWrap/>
        <w:overflowPunct/>
        <w:topLinePunct w:val="0"/>
        <w:autoSpaceDE/>
        <w:autoSpaceDN/>
        <w:bidi w:val="0"/>
        <w:adjustRightInd/>
        <w:snapToGrid w:val="0"/>
        <w:spacing w:line="56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（一）四川省地方政府债务基本情况。</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rPr>
        <w:t>全省</w:t>
      </w:r>
      <w:r>
        <w:rPr>
          <w:rFonts w:hint="default" w:ascii="Times New Roman" w:hAnsi="Times New Roman" w:eastAsia="仿宋_GB2312" w:cs="Times New Roman"/>
          <w:color w:val="auto"/>
          <w:sz w:val="32"/>
          <w:szCs w:val="32"/>
          <w:highlight w:val="none"/>
        </w:rPr>
        <w:t>债务余额为</w:t>
      </w:r>
      <w:r>
        <w:rPr>
          <w:rFonts w:hint="eastAsia" w:ascii="Times New Roman" w:hAnsi="Times New Roman" w:eastAsia="仿宋_GB2312" w:cs="Times New Roman"/>
          <w:color w:val="auto"/>
          <w:sz w:val="32"/>
          <w:szCs w:val="32"/>
          <w:highlight w:val="none"/>
          <w:lang w:val="en-US" w:eastAsia="zh-CN"/>
        </w:rPr>
        <w:t>24028.9</w:t>
      </w:r>
      <w:r>
        <w:rPr>
          <w:rFonts w:hint="default" w:ascii="Times New Roman" w:hAnsi="Times New Roman" w:eastAsia="仿宋_GB2312" w:cs="Times New Roman"/>
          <w:color w:val="auto"/>
          <w:sz w:val="32"/>
          <w:szCs w:val="32"/>
          <w:highlight w:val="none"/>
        </w:rPr>
        <w:t>亿元，控制在国务院</w:t>
      </w:r>
      <w:r>
        <w:rPr>
          <w:rFonts w:hint="default" w:ascii="Times New Roman" w:hAnsi="Times New Roman" w:eastAsia="仿宋_GB2312" w:cs="Times New Roman"/>
          <w:color w:val="auto"/>
          <w:sz w:val="32"/>
          <w:szCs w:val="32"/>
          <w:highlight w:val="none"/>
          <w:lang w:val="en-US" w:eastAsia="zh-CN"/>
        </w:rPr>
        <w:t>批准</w:t>
      </w:r>
      <w:r>
        <w:rPr>
          <w:rFonts w:hint="default" w:ascii="Times New Roman" w:hAnsi="Times New Roman" w:eastAsia="仿宋_GB2312" w:cs="Times New Roman"/>
          <w:color w:val="auto"/>
          <w:sz w:val="32"/>
          <w:szCs w:val="32"/>
          <w:highlight w:val="none"/>
        </w:rPr>
        <w:t>的</w:t>
      </w:r>
      <w:r>
        <w:rPr>
          <w:rFonts w:hint="eastAsia" w:ascii="Times New Roman" w:hAnsi="Times New Roman" w:eastAsia="仿宋_GB2312" w:cs="Times New Roman"/>
          <w:color w:val="auto"/>
          <w:sz w:val="32"/>
          <w:szCs w:val="32"/>
          <w:highlight w:val="none"/>
          <w:lang w:val="en-US" w:eastAsia="zh-CN"/>
        </w:rPr>
        <w:t>26902.7</w:t>
      </w:r>
      <w:r>
        <w:rPr>
          <w:rFonts w:hint="default" w:ascii="Times New Roman" w:hAnsi="Times New Roman" w:eastAsia="仿宋_GB2312" w:cs="Times New Roman"/>
          <w:color w:val="auto"/>
          <w:sz w:val="32"/>
          <w:szCs w:val="32"/>
          <w:highlight w:val="none"/>
          <w:lang w:val="en-US" w:eastAsia="zh-CN"/>
        </w:rPr>
        <w:t>亿</w:t>
      </w:r>
      <w:r>
        <w:rPr>
          <w:rFonts w:hint="default" w:ascii="Times New Roman" w:hAnsi="Times New Roman" w:eastAsia="仿宋_GB2312" w:cs="Times New Roman"/>
          <w:color w:val="auto"/>
          <w:sz w:val="32"/>
          <w:szCs w:val="32"/>
          <w:highlight w:val="none"/>
        </w:rPr>
        <w:t>元限额内，债务风险总体可控。</w:t>
      </w:r>
      <w:r>
        <w:rPr>
          <w:rFonts w:hint="default" w:ascii="Times New Roman" w:hAnsi="Times New Roman" w:eastAsia="仿宋_GB2312" w:cs="Times New Roman"/>
          <w:color w:val="auto"/>
          <w:sz w:val="32"/>
          <w:szCs w:val="32"/>
          <w:highlight w:val="none"/>
          <w:lang w:val="en-US" w:eastAsia="zh-CN"/>
        </w:rPr>
        <w:t>分类型看：全省一般债务限额</w:t>
      </w:r>
      <w:r>
        <w:rPr>
          <w:rFonts w:hint="eastAsia" w:ascii="Times New Roman" w:hAnsi="Times New Roman" w:eastAsia="仿宋_GB2312" w:cs="Times New Roman"/>
          <w:color w:val="auto"/>
          <w:sz w:val="32"/>
          <w:szCs w:val="32"/>
          <w:highlight w:val="none"/>
          <w:lang w:val="en-US" w:eastAsia="zh-CN"/>
        </w:rPr>
        <w:t>8301.4</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8074.3</w:t>
      </w:r>
      <w:r>
        <w:rPr>
          <w:rFonts w:hint="default" w:ascii="Times New Roman" w:hAnsi="Times New Roman" w:eastAsia="仿宋_GB2312" w:cs="Times New Roman"/>
          <w:color w:val="auto"/>
          <w:sz w:val="32"/>
          <w:szCs w:val="32"/>
          <w:highlight w:val="none"/>
          <w:lang w:val="en-US" w:eastAsia="zh-CN"/>
        </w:rPr>
        <w:t>亿元；专项债务限额</w:t>
      </w:r>
      <w:r>
        <w:rPr>
          <w:rFonts w:hint="eastAsia" w:ascii="Times New Roman" w:hAnsi="Times New Roman" w:eastAsia="仿宋_GB2312" w:cs="Times New Roman"/>
          <w:color w:val="auto"/>
          <w:sz w:val="32"/>
          <w:szCs w:val="32"/>
          <w:highlight w:val="none"/>
          <w:lang w:val="en-US" w:eastAsia="zh-CN"/>
        </w:rPr>
        <w:t>18601.3</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15954.6</w:t>
      </w:r>
      <w:r>
        <w:rPr>
          <w:rFonts w:hint="default" w:ascii="Times New Roman" w:hAnsi="Times New Roman" w:eastAsia="仿宋_GB2312" w:cs="Times New Roman"/>
          <w:color w:val="auto"/>
          <w:sz w:val="32"/>
          <w:szCs w:val="32"/>
          <w:highlight w:val="none"/>
          <w:lang w:val="en-US" w:eastAsia="zh-CN"/>
        </w:rPr>
        <w:t>亿元。分级次看：省级债务限额</w:t>
      </w:r>
      <w:r>
        <w:rPr>
          <w:rFonts w:hint="eastAsia" w:ascii="Times New Roman" w:hAnsi="Times New Roman" w:eastAsia="仿宋_GB2312" w:cs="Times New Roman"/>
          <w:color w:val="auto"/>
          <w:sz w:val="32"/>
          <w:szCs w:val="32"/>
          <w:highlight w:val="none"/>
          <w:lang w:val="en-US" w:eastAsia="zh-CN"/>
        </w:rPr>
        <w:t>1536.8</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1406.5</w:t>
      </w:r>
      <w:r>
        <w:rPr>
          <w:rFonts w:hint="default" w:ascii="Times New Roman" w:hAnsi="Times New Roman" w:eastAsia="仿宋_GB2312" w:cs="Times New Roman"/>
          <w:color w:val="auto"/>
          <w:sz w:val="32"/>
          <w:szCs w:val="32"/>
          <w:highlight w:val="none"/>
          <w:lang w:val="en-US" w:eastAsia="zh-CN"/>
        </w:rPr>
        <w:t>亿元；市级债务限额</w:t>
      </w:r>
      <w:r>
        <w:rPr>
          <w:rFonts w:hint="eastAsia" w:ascii="Times New Roman" w:hAnsi="Times New Roman" w:eastAsia="仿宋_GB2312" w:cs="Times New Roman"/>
          <w:color w:val="auto"/>
          <w:sz w:val="32"/>
          <w:szCs w:val="32"/>
          <w:highlight w:val="none"/>
          <w:lang w:val="en-US" w:eastAsia="zh-CN"/>
        </w:rPr>
        <w:t>7504.1</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6866.8</w:t>
      </w:r>
      <w:r>
        <w:rPr>
          <w:rFonts w:hint="default" w:ascii="Times New Roman" w:hAnsi="Times New Roman" w:eastAsia="仿宋_GB2312" w:cs="Times New Roman"/>
          <w:color w:val="auto"/>
          <w:sz w:val="32"/>
          <w:szCs w:val="32"/>
          <w:highlight w:val="none"/>
          <w:lang w:val="en-US" w:eastAsia="zh-CN"/>
        </w:rPr>
        <w:t>亿元</w:t>
      </w:r>
      <w:r>
        <w:rPr>
          <w:rFonts w:hint="default" w:ascii="Times New Roman" w:hAnsi="Times New Roman" w:eastAsia="仿宋_GB2312" w:cs="Times New Roman"/>
          <w:color w:val="auto"/>
          <w:sz w:val="32"/>
          <w:szCs w:val="32"/>
          <w:highlight w:val="none"/>
          <w:lang w:val="en" w:eastAsia="zh-CN"/>
        </w:rPr>
        <w:t>;县</w:t>
      </w:r>
      <w:r>
        <w:rPr>
          <w:rFonts w:hint="default" w:ascii="Times New Roman" w:hAnsi="Times New Roman" w:eastAsia="仿宋_GB2312" w:cs="Times New Roman"/>
          <w:color w:val="auto"/>
          <w:sz w:val="32"/>
          <w:szCs w:val="32"/>
          <w:highlight w:val="none"/>
          <w:lang w:val="en-US" w:eastAsia="zh-CN"/>
        </w:rPr>
        <w:t>级债务限额</w:t>
      </w:r>
      <w:r>
        <w:rPr>
          <w:rFonts w:hint="eastAsia" w:ascii="Times New Roman" w:hAnsi="Times New Roman" w:eastAsia="仿宋_GB2312" w:cs="Times New Roman"/>
          <w:color w:val="auto"/>
          <w:sz w:val="32"/>
          <w:szCs w:val="32"/>
          <w:highlight w:val="none"/>
          <w:lang w:val="en-US" w:eastAsia="zh-CN"/>
        </w:rPr>
        <w:t>17861.8</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15755.6</w:t>
      </w:r>
      <w:r>
        <w:rPr>
          <w:rFonts w:hint="default" w:ascii="Times New Roman" w:hAnsi="Times New Roman" w:eastAsia="仿宋_GB2312" w:cs="Times New Roman"/>
          <w:color w:val="auto"/>
          <w:sz w:val="32"/>
          <w:szCs w:val="32"/>
          <w:highlight w:val="none"/>
          <w:lang w:val="en-US" w:eastAsia="zh-CN"/>
        </w:rPr>
        <w:t>亿元。</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年，全省新增政府债券主要聚焦</w:t>
      </w:r>
      <w:r>
        <w:rPr>
          <w:rFonts w:hint="eastAsia" w:ascii="Times New Roman" w:hAnsi="Times New Roman" w:eastAsia="仿宋_GB2312" w:cs="Times New Roman"/>
          <w:color w:val="auto"/>
          <w:sz w:val="32"/>
          <w:szCs w:val="32"/>
          <w:highlight w:val="none"/>
          <w:lang w:val="en-US" w:eastAsia="zh-CN"/>
        </w:rPr>
        <w:t>交通、社会事业、产业园区</w:t>
      </w:r>
      <w:r>
        <w:rPr>
          <w:rFonts w:hint="default" w:ascii="Times New Roman" w:hAnsi="Times New Roman" w:eastAsia="仿宋_GB2312" w:cs="Times New Roman"/>
          <w:color w:val="auto"/>
          <w:sz w:val="32"/>
          <w:szCs w:val="32"/>
          <w:highlight w:val="none"/>
          <w:lang w:val="en-US" w:eastAsia="zh-CN"/>
        </w:rPr>
        <w:t>等领域，有力支持了</w:t>
      </w:r>
      <w:r>
        <w:rPr>
          <w:rFonts w:hint="eastAsia" w:ascii="Times New Roman" w:hAnsi="Times New Roman" w:eastAsia="仿宋_GB2312" w:cs="Times New Roman"/>
          <w:color w:val="auto"/>
          <w:sz w:val="32"/>
          <w:szCs w:val="32"/>
          <w:highlight w:val="none"/>
          <w:lang w:val="en-US" w:eastAsia="zh-CN"/>
        </w:rPr>
        <w:t>成达万铁路、岷江龙溪口航电枢纽</w:t>
      </w:r>
      <w:r>
        <w:rPr>
          <w:rFonts w:hint="default" w:ascii="Times New Roman" w:hAnsi="Times New Roman" w:eastAsia="仿宋_GB2312" w:cs="Times New Roman"/>
          <w:color w:val="auto"/>
          <w:sz w:val="32"/>
          <w:szCs w:val="32"/>
          <w:highlight w:val="none"/>
          <w:lang w:val="en-US" w:eastAsia="zh-CN"/>
        </w:rPr>
        <w:t>等重大项目建设</w:t>
      </w:r>
      <w:r>
        <w:rPr>
          <w:rFonts w:hint="default" w:ascii="Times New Roman" w:hAnsi="Times New Roman" w:eastAsia="仿宋_GB2312" w:cs="Times New Roman"/>
          <w:color w:val="auto"/>
          <w:sz w:val="32"/>
          <w:szCs w:val="32"/>
          <w:highlight w:val="none"/>
        </w:rPr>
        <w:t>。</w:t>
      </w:r>
    </w:p>
    <w:p>
      <w:pPr>
        <w:pStyle w:val="4"/>
        <w:keepNext w:val="0"/>
        <w:keepLines w:val="0"/>
        <w:pageBreakBefore w:val="0"/>
        <w:widowControl w:val="0"/>
        <w:kinsoku/>
        <w:wordWrap/>
        <w:overflowPunct/>
        <w:topLinePunct w:val="0"/>
        <w:autoSpaceDE/>
        <w:autoSpaceDN/>
        <w:bidi w:val="0"/>
        <w:adjustRightInd/>
        <w:snapToGrid w:val="0"/>
        <w:spacing w:line="56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（二）四川省加强债务管理、防范化解政府债务风险采取的主要措施。</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四川省委、省政府高度重视政府债务管理工作，积极采取有效措施完善相关制度机制，切实防范和化解地方政府债务风险。</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b w:val="0"/>
          <w:bCs w:val="0"/>
          <w:color w:val="auto"/>
          <w:sz w:val="32"/>
          <w:szCs w:val="32"/>
          <w:highlight w:val="none"/>
          <w:lang w:val="en-US" w:eastAsia="zh-CN"/>
        </w:rPr>
        <w:t>1</w:t>
      </w:r>
      <w:r>
        <w:rPr>
          <w:rFonts w:hint="default" w:ascii="Times New Roman" w:hAnsi="Times New Roman" w:eastAsia="楷体_GB2312" w:cs="Times New Roman"/>
          <w:color w:val="auto"/>
          <w:sz w:val="32"/>
          <w:szCs w:val="32"/>
          <w:highlight w:val="none"/>
          <w:lang w:val="en-US" w:eastAsia="zh-CN"/>
        </w:rPr>
        <w:t>.</w:t>
      </w:r>
      <w:r>
        <w:rPr>
          <w:rFonts w:hint="default" w:ascii="Times New Roman" w:hAnsi="Times New Roman" w:eastAsia="楷体_GB2312" w:cs="Times New Roman"/>
          <w:color w:val="auto"/>
          <w:sz w:val="32"/>
          <w:szCs w:val="32"/>
          <w:highlight w:val="none"/>
        </w:rPr>
        <w:t>加强统筹部署，完善政府债务管理。</w:t>
      </w:r>
    </w:p>
    <w:p>
      <w:pPr>
        <w:pStyle w:val="4"/>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lang w:eastAsia="zh-CN"/>
        </w:rPr>
        <w:t>完善管理制度机制</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rPr>
        <w:t>印发《四川省地方政府专项债券全生命周期管理办法》，进一步明确专项债券</w:t>
      </w:r>
      <w:r>
        <w:rPr>
          <w:rFonts w:hint="default" w:ascii="Times New Roman" w:hAnsi="Times New Roman" w:eastAsia="仿宋_GB2312" w:cs="Times New Roman"/>
          <w:color w:val="auto"/>
          <w:sz w:val="32"/>
          <w:szCs w:val="32"/>
          <w:highlight w:val="none"/>
          <w:lang w:eastAsia="zh-CN"/>
        </w:rPr>
        <w:t>“借、用、管、还”管理要求及程序</w:t>
      </w:r>
      <w:r>
        <w:rPr>
          <w:rFonts w:hint="default" w:ascii="Times New Roman" w:hAnsi="Times New Roman" w:eastAsia="仿宋_GB2312" w:cs="Times New Roman"/>
          <w:color w:val="auto"/>
          <w:sz w:val="32"/>
          <w:szCs w:val="32"/>
          <w:highlight w:val="none"/>
        </w:rPr>
        <w:t>，为地方做好</w:t>
      </w:r>
      <w:r>
        <w:rPr>
          <w:rFonts w:hint="default" w:ascii="Times New Roman" w:hAnsi="Times New Roman" w:eastAsia="仿宋_GB2312" w:cs="Times New Roman"/>
          <w:color w:val="auto"/>
          <w:sz w:val="32"/>
          <w:szCs w:val="32"/>
          <w:highlight w:val="none"/>
          <w:lang w:eastAsia="zh-CN"/>
        </w:rPr>
        <w:t>专项债券</w:t>
      </w:r>
      <w:r>
        <w:rPr>
          <w:rFonts w:hint="default" w:ascii="Times New Roman" w:hAnsi="Times New Roman" w:eastAsia="仿宋_GB2312" w:cs="Times New Roman"/>
          <w:color w:val="auto"/>
          <w:sz w:val="32"/>
          <w:szCs w:val="32"/>
          <w:highlight w:val="none"/>
        </w:rPr>
        <w:t>全生命周期管理提供政策指导。创新建立专项债券资金监管账户管理制度，通过“</w:t>
      </w:r>
      <w:r>
        <w:rPr>
          <w:rFonts w:hint="default" w:ascii="Times New Roman" w:hAnsi="Times New Roman" w:eastAsia="仿宋_GB2312" w:cs="Times New Roman"/>
          <w:color w:val="auto"/>
          <w:sz w:val="32"/>
          <w:szCs w:val="32"/>
          <w:highlight w:val="none"/>
          <w:lang w:eastAsia="zh-CN"/>
        </w:rPr>
        <w:t>国库集中支付</w:t>
      </w:r>
      <w:r>
        <w:rPr>
          <w:rFonts w:hint="default" w:ascii="Times New Roman" w:hAnsi="Times New Roman" w:eastAsia="仿宋_GB2312" w:cs="Times New Roman"/>
          <w:color w:val="auto"/>
          <w:sz w:val="32"/>
          <w:szCs w:val="32"/>
          <w:highlight w:val="none"/>
          <w:lang w:val="en-US" w:eastAsia="zh-CN"/>
        </w:rPr>
        <w:t>+企业监管</w:t>
      </w:r>
      <w:r>
        <w:rPr>
          <w:rFonts w:hint="default" w:ascii="Times New Roman" w:hAnsi="Times New Roman" w:eastAsia="仿宋_GB2312" w:cs="Times New Roman"/>
          <w:color w:val="auto"/>
          <w:sz w:val="32"/>
          <w:szCs w:val="32"/>
          <w:highlight w:val="none"/>
        </w:rPr>
        <w:t>账户+管理系统”</w:t>
      </w:r>
      <w:r>
        <w:rPr>
          <w:rFonts w:hint="default" w:ascii="Times New Roman" w:hAnsi="Times New Roman" w:eastAsia="仿宋_GB2312" w:cs="Times New Roman"/>
          <w:color w:val="auto"/>
          <w:sz w:val="32"/>
          <w:szCs w:val="32"/>
          <w:highlight w:val="none"/>
          <w:lang w:val="en-US" w:eastAsia="zh-CN"/>
        </w:rPr>
        <w:t>方式</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对资金支付</w:t>
      </w:r>
      <w:r>
        <w:rPr>
          <w:rFonts w:hint="default" w:ascii="Times New Roman" w:hAnsi="Times New Roman" w:eastAsia="仿宋_GB2312" w:cs="Times New Roman"/>
          <w:color w:val="auto"/>
          <w:sz w:val="32"/>
          <w:szCs w:val="32"/>
          <w:highlight w:val="none"/>
        </w:rPr>
        <w:t>实现“一竿子插到底”穿透监管，最大限度消除监管盲区</w:t>
      </w:r>
      <w:r>
        <w:rPr>
          <w:rFonts w:hint="default" w:ascii="Times New Roman" w:hAnsi="Times New Roman" w:eastAsia="仿宋_GB2312" w:cs="Times New Roman"/>
          <w:color w:val="auto"/>
          <w:sz w:val="32"/>
          <w:szCs w:val="32"/>
          <w:highlight w:val="none"/>
          <w:lang w:eastAsia="zh-CN"/>
        </w:rPr>
        <w:t>。</w:t>
      </w:r>
    </w:p>
    <w:p>
      <w:pPr>
        <w:pStyle w:val="4"/>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（2）严格债务预算管理。</w:t>
      </w:r>
      <w:r>
        <w:rPr>
          <w:rFonts w:hint="default" w:ascii="Times New Roman" w:hAnsi="Times New Roman" w:eastAsia="仿宋_GB2312" w:cs="Times New Roman"/>
          <w:color w:val="auto"/>
          <w:sz w:val="32"/>
          <w:szCs w:val="32"/>
          <w:highlight w:val="none"/>
          <w:lang w:val="en-US" w:eastAsia="zh-CN"/>
        </w:rPr>
        <w:t>将债务收入、支出、还本、付息、发行全面纳入预算管理。督促省级部门和市县部门通过安排年度预算资金、盘活存量资金等偿还政府债务，发行适当规模债券偿还到期债券本金。</w:t>
      </w:r>
    </w:p>
    <w:p>
      <w:pPr>
        <w:pStyle w:val="4"/>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（3）推进债务管理绩效考核。</w:t>
      </w:r>
      <w:r>
        <w:rPr>
          <w:rFonts w:hint="default" w:ascii="Times New Roman" w:hAnsi="Times New Roman" w:eastAsia="仿宋_GB2312" w:cs="Times New Roman"/>
          <w:b w:val="0"/>
          <w:bCs w:val="0"/>
          <w:color w:val="auto"/>
          <w:sz w:val="32"/>
          <w:szCs w:val="32"/>
          <w:highlight w:val="none"/>
          <w:lang w:val="en-US" w:eastAsia="zh-CN"/>
        </w:rPr>
        <w:t>省级财政每年选取部分重点领域开展重点绩效评价，并将评价结果纳入新增债务限额分配测算因素中，</w:t>
      </w:r>
      <w:r>
        <w:rPr>
          <w:rFonts w:hint="default" w:ascii="Times New Roman" w:hAnsi="Times New Roman" w:eastAsia="仿宋_GB2312" w:cs="Times New Roman"/>
          <w:b w:val="0"/>
          <w:bCs w:val="0"/>
          <w:color w:val="auto"/>
          <w:sz w:val="32"/>
          <w:szCs w:val="32"/>
          <w:highlight w:val="none"/>
        </w:rPr>
        <w:t>引导地方政府树立“举债必问效，无效必问责”的资</w:t>
      </w:r>
      <w:r>
        <w:rPr>
          <w:rFonts w:hint="default" w:ascii="Times New Roman" w:hAnsi="Times New Roman" w:eastAsia="仿宋_GB2312" w:cs="Times New Roman"/>
          <w:b w:val="0"/>
          <w:bCs w:val="0"/>
          <w:color w:val="auto"/>
          <w:sz w:val="32"/>
          <w:szCs w:val="32"/>
          <w:highlight w:val="none"/>
          <w:lang w:val="en-US" w:eastAsia="zh-CN"/>
        </w:rPr>
        <w:t>金管理理念，促进债券资金安全高效使用。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kern w:val="2"/>
          <w:sz w:val="32"/>
          <w:szCs w:val="32"/>
          <w:highlight w:val="none"/>
          <w:lang w:val="en-US" w:eastAsia="zh-CN" w:bidi="ar-SA"/>
        </w:rPr>
      </w:pPr>
      <w:r>
        <w:rPr>
          <w:rFonts w:hint="default" w:ascii="Times New Roman" w:hAnsi="Times New Roman" w:eastAsia="方正楷体简体" w:cs="Times New Roman"/>
          <w:color w:val="auto"/>
          <w:kern w:val="2"/>
          <w:sz w:val="32"/>
          <w:szCs w:val="32"/>
          <w:highlight w:val="none"/>
          <w:lang w:val="en-US" w:eastAsia="zh-CN" w:bidi="ar-SA"/>
        </w:rPr>
        <w:t>2</w:t>
      </w:r>
      <w:r>
        <w:rPr>
          <w:rFonts w:hint="default" w:ascii="Times New Roman" w:hAnsi="Times New Roman" w:eastAsia="楷体_GB2312" w:cs="Times New Roman"/>
          <w:color w:val="auto"/>
          <w:kern w:val="2"/>
          <w:sz w:val="32"/>
          <w:szCs w:val="32"/>
          <w:highlight w:val="none"/>
          <w:lang w:val="en-US" w:eastAsia="zh-CN" w:bidi="ar-SA"/>
        </w:rPr>
        <w:t>.聚焦重点领域，加力促投资稳增长。</w:t>
      </w:r>
    </w:p>
    <w:p>
      <w:pPr>
        <w:pStyle w:val="4"/>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（1）积极落实中央和省委安排部署。</w:t>
      </w:r>
      <w:r>
        <w:rPr>
          <w:rFonts w:hint="default" w:ascii="Times New Roman" w:hAnsi="Times New Roman" w:eastAsia="仿宋_GB2312" w:cs="Times New Roman"/>
          <w:color w:val="auto"/>
          <w:sz w:val="32"/>
          <w:szCs w:val="32"/>
          <w:highlight w:val="none"/>
          <w:lang w:val="en-US" w:eastAsia="zh-CN"/>
        </w:rPr>
        <w:t>坚持“资金跟着项目走”原则，聚焦成渝地区双城经济圈建设、乡村振兴等中央和省重大战略项目，优先支持省委省政府明确的</w:t>
      </w:r>
      <w:r>
        <w:rPr>
          <w:rFonts w:hint="eastAsia" w:ascii="Times New Roman" w:hAnsi="Times New Roman" w:eastAsia="仿宋_GB2312" w:cs="Times New Roman"/>
          <w:color w:val="auto"/>
          <w:sz w:val="32"/>
          <w:szCs w:val="32"/>
          <w:highlight w:val="none"/>
          <w:lang w:val="en-US" w:eastAsia="zh-CN"/>
        </w:rPr>
        <w:t>重大项目</w:t>
      </w:r>
      <w:r>
        <w:rPr>
          <w:rFonts w:hint="default" w:ascii="Times New Roman" w:hAnsi="Times New Roman" w:eastAsia="仿宋_GB2312" w:cs="Times New Roman"/>
          <w:color w:val="auto"/>
          <w:sz w:val="32"/>
          <w:szCs w:val="32"/>
          <w:highlight w:val="none"/>
          <w:lang w:val="en-US" w:eastAsia="zh-CN"/>
        </w:rPr>
        <w:t>，积极向中央汇报，争取新增限额支持，增强对重大战略决策的支撑力度，充分发挥债券资金逆周期调节、“补短板、惠民生、促消费、扩内需”的积极作用。</w:t>
      </w:r>
    </w:p>
    <w:p>
      <w:pPr>
        <w:pStyle w:val="4"/>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（2）精心优选债券发行项目。</w:t>
      </w:r>
      <w:r>
        <w:rPr>
          <w:rFonts w:hint="default" w:ascii="Times New Roman" w:hAnsi="Times New Roman" w:eastAsia="仿宋_GB2312" w:cs="Times New Roman"/>
          <w:color w:val="auto"/>
          <w:sz w:val="32"/>
          <w:szCs w:val="32"/>
          <w:highlight w:val="none"/>
          <w:lang w:val="en-US" w:eastAsia="zh-CN"/>
        </w:rPr>
        <w:t>坚持专项债券用于有一定收益的公益性项目，融资规模与收益相平衡，联合省级相关行业主管部门、金融机构等相关专家，严格按照专项债券发行条件对拟发债项目进行联合把关，确保项目的可行性与专项债券资金安排合规性，切实把好“入口关”。统筹做好存量项目与新增项目发行，优先保障在建项目融资需求，坚决防止“撒胡椒面”和出现“半拉子工程”。</w:t>
      </w:r>
    </w:p>
    <w:p>
      <w:pPr>
        <w:pStyle w:val="4"/>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（3）加快债券使用进度。</w:t>
      </w:r>
      <w:r>
        <w:rPr>
          <w:rFonts w:hint="default" w:ascii="Times New Roman" w:hAnsi="Times New Roman" w:eastAsia="仿宋_GB2312" w:cs="Times New Roman"/>
          <w:color w:val="auto"/>
          <w:sz w:val="32"/>
          <w:szCs w:val="32"/>
          <w:highlight w:val="none"/>
          <w:lang w:val="en-US" w:eastAsia="zh-CN"/>
        </w:rPr>
        <w:t>提前做好资金拨付方案，确保新增债券资金及时拨付至市县；建立“</w:t>
      </w:r>
      <w:r>
        <w:rPr>
          <w:rFonts w:hint="eastAsia" w:ascii="Times New Roman" w:hAnsi="Times New Roman" w:eastAsia="仿宋_GB2312" w:cs="Times New Roman"/>
          <w:color w:val="auto"/>
          <w:sz w:val="32"/>
          <w:szCs w:val="32"/>
          <w:highlight w:val="none"/>
          <w:lang w:val="en-US" w:eastAsia="zh-CN"/>
        </w:rPr>
        <w:t>按日监测、按周调度、按旬通报</w:t>
      </w:r>
      <w:r>
        <w:rPr>
          <w:rFonts w:hint="default" w:ascii="Times New Roman" w:hAnsi="Times New Roman" w:eastAsia="仿宋_GB2312" w:cs="Times New Roman"/>
          <w:color w:val="auto"/>
          <w:sz w:val="32"/>
          <w:szCs w:val="32"/>
          <w:highlight w:val="none"/>
          <w:lang w:val="en-US" w:eastAsia="zh-CN"/>
        </w:rPr>
        <w:t>”机制，督促市县加快债券资金拨付使用进度，新增专项债券使用进度进一步加快。</w:t>
      </w:r>
    </w:p>
    <w:p>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3.强化风险防控，牢牢守住防范风险底线。</w:t>
      </w:r>
    </w:p>
    <w:p>
      <w:pPr>
        <w:pStyle w:val="4"/>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（1）严格债务限额管理。</w:t>
      </w:r>
      <w:r>
        <w:rPr>
          <w:rFonts w:hint="default" w:ascii="Times New Roman" w:hAnsi="Times New Roman" w:eastAsia="仿宋_GB2312" w:cs="Times New Roman"/>
          <w:b w:val="0"/>
          <w:bCs w:val="0"/>
          <w:color w:val="auto"/>
          <w:sz w:val="32"/>
          <w:szCs w:val="32"/>
          <w:highlight w:val="none"/>
        </w:rPr>
        <w:t>根据</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风险等因素科学分配市县新增</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限额，对</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风险较高地区适当限制新增债券额度，引导地方政府加大化债力度，控制</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风险水平。</w:t>
      </w:r>
      <w:r>
        <w:rPr>
          <w:rFonts w:hint="default" w:ascii="Times New Roman" w:hAnsi="Times New Roman" w:eastAsia="仿宋_GB2312" w:cs="Times New Roman"/>
          <w:b w:val="0"/>
          <w:bCs w:val="0"/>
          <w:color w:val="auto"/>
          <w:sz w:val="32"/>
          <w:szCs w:val="32"/>
          <w:highlight w:val="none"/>
          <w:lang w:val="en-US" w:eastAsia="zh-CN"/>
        </w:rPr>
        <w:t>202</w:t>
      </w:r>
      <w:r>
        <w:rPr>
          <w:rFonts w:hint="eastAsia"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lang w:val="en-US" w:eastAsia="zh-CN"/>
        </w:rPr>
        <w:t>年</w:t>
      </w:r>
      <w:r>
        <w:rPr>
          <w:rFonts w:hint="default" w:ascii="Times New Roman" w:hAnsi="Times New Roman" w:eastAsia="仿宋_GB2312" w:cs="Times New Roman"/>
          <w:b w:val="0"/>
          <w:bCs w:val="0"/>
          <w:color w:val="auto"/>
          <w:sz w:val="32"/>
          <w:szCs w:val="32"/>
          <w:highlight w:val="none"/>
        </w:rPr>
        <w:t>全省政府</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余额严格控制在财政部核定我省</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限额以内，</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风险总体可控</w:t>
      </w:r>
      <w:r>
        <w:rPr>
          <w:rFonts w:hint="default" w:ascii="Times New Roman" w:hAnsi="Times New Roman" w:eastAsia="仿宋_GB2312" w:cs="Times New Roman"/>
          <w:color w:val="auto"/>
          <w:sz w:val="32"/>
          <w:szCs w:val="32"/>
          <w:highlight w:val="none"/>
          <w:lang w:val="en-US" w:eastAsia="zh-CN"/>
        </w:rPr>
        <w:t>。</w:t>
      </w:r>
    </w:p>
    <w:p>
      <w:pPr>
        <w:pStyle w:val="4"/>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（2）全面完成到期政府债务偿还。</w:t>
      </w:r>
      <w:r>
        <w:rPr>
          <w:rFonts w:hint="default" w:ascii="Times New Roman" w:hAnsi="Times New Roman" w:eastAsia="仿宋_GB2312" w:cs="Times New Roman"/>
          <w:color w:val="auto"/>
          <w:sz w:val="32"/>
          <w:szCs w:val="32"/>
          <w:highlight w:val="none"/>
          <w:lang w:val="en-US" w:eastAsia="zh-CN"/>
        </w:rPr>
        <w:t>依法落实法定债券偿还责任，按照“谁使用、谁偿还”的原则，严格落实偿债资金来源，提高自有资金偿债比例，切实维护了省政府信誉。</w:t>
      </w:r>
    </w:p>
    <w:p>
      <w:pPr>
        <w:pStyle w:val="4"/>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（3）强化债务风险监测预警。</w:t>
      </w:r>
      <w:r>
        <w:rPr>
          <w:rFonts w:hint="eastAsia" w:ascii="Times New Roman" w:hAnsi="Times New Roman" w:eastAsia="仿宋_GB2312" w:cs="Times New Roman"/>
          <w:b w:val="0"/>
          <w:bCs w:val="0"/>
          <w:color w:val="auto"/>
          <w:sz w:val="32"/>
          <w:szCs w:val="32"/>
          <w:highlight w:val="none"/>
          <w:lang w:val="en-US" w:eastAsia="zh-CN"/>
        </w:rPr>
        <w:t>实施全口径地方债务监测监管，</w:t>
      </w:r>
      <w:r>
        <w:rPr>
          <w:rFonts w:hint="default" w:ascii="Times New Roman" w:hAnsi="Times New Roman" w:eastAsia="仿宋_GB2312" w:cs="Times New Roman"/>
          <w:b w:val="0"/>
          <w:bCs w:val="0"/>
          <w:color w:val="auto"/>
          <w:sz w:val="32"/>
          <w:szCs w:val="32"/>
          <w:highlight w:val="none"/>
        </w:rPr>
        <w:t>定期开展</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风险评估，及时通报评估结果</w:t>
      </w:r>
      <w:r>
        <w:rPr>
          <w:rFonts w:hint="default"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eastAsia="zh-CN"/>
        </w:rPr>
        <w:t>统筹用好国家一揽子化债增量政策，化解高风险高成本债务，筑牢防爆雷底线，坚决遏制新增隐性债务</w:t>
      </w:r>
      <w:r>
        <w:rPr>
          <w:rFonts w:hint="default" w:ascii="Times New Roman" w:hAnsi="Times New Roman" w:eastAsia="仿宋_GB2312" w:cs="Times New Roman"/>
          <w:color w:val="auto"/>
          <w:sz w:val="32"/>
          <w:szCs w:val="32"/>
          <w:highlight w:val="none"/>
          <w:lang w:val="en-US" w:eastAsia="zh-CN"/>
        </w:rPr>
        <w:t>。</w:t>
      </w:r>
    </w:p>
    <w:p>
      <w:pPr>
        <w:pStyle w:val="4"/>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（4）严格违规举债追责问责。</w:t>
      </w:r>
      <w:r>
        <w:rPr>
          <w:rFonts w:hint="default" w:ascii="Times New Roman" w:hAnsi="Times New Roman" w:eastAsia="仿宋_GB2312" w:cs="Times New Roman"/>
          <w:b w:val="0"/>
          <w:bCs w:val="0"/>
          <w:color w:val="auto"/>
          <w:sz w:val="32"/>
          <w:szCs w:val="32"/>
          <w:highlight w:val="none"/>
          <w:lang w:eastAsia="zh-CN"/>
        </w:rPr>
        <w:t>严格落实</w:t>
      </w:r>
      <w:r>
        <w:rPr>
          <w:rFonts w:hint="eastAsia" w:ascii="Times New Roman" w:hAnsi="Times New Roman" w:eastAsia="仿宋_GB2312" w:cs="Times New Roman"/>
          <w:b w:val="0"/>
          <w:bCs w:val="0"/>
          <w:color w:val="auto"/>
          <w:sz w:val="32"/>
          <w:szCs w:val="32"/>
          <w:highlight w:val="none"/>
          <w:lang w:eastAsia="zh-CN"/>
        </w:rPr>
        <w:t>违规</w:t>
      </w:r>
      <w:r>
        <w:rPr>
          <w:rFonts w:hint="default" w:ascii="Times New Roman" w:hAnsi="Times New Roman" w:eastAsia="仿宋_GB2312" w:cs="Times New Roman"/>
          <w:b w:val="0"/>
          <w:bCs w:val="0"/>
          <w:color w:val="auto"/>
          <w:sz w:val="32"/>
          <w:szCs w:val="32"/>
          <w:highlight w:val="none"/>
          <w:lang w:eastAsia="zh-CN"/>
        </w:rPr>
        <w:t>举债终身问责制和债务问题倒查机制，实施隐性债务问责闭环管理</w:t>
      </w:r>
      <w:r>
        <w:rPr>
          <w:rFonts w:hint="default"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eastAsia="zh-CN"/>
        </w:rPr>
        <w:t>将不新增隐性债务作为铁的纪律，加强政府支出事项和政府投资项目预算管理，对违规举债严肃追责问责</w:t>
      </w:r>
      <w:r>
        <w:rPr>
          <w:rFonts w:hint="default" w:ascii="Times New Roman" w:hAnsi="Times New Roman" w:eastAsia="仿宋_GB2312" w:cs="Times New Roman"/>
          <w:b w:val="0"/>
          <w:bCs w:val="0"/>
          <w:color w:val="auto"/>
          <w:sz w:val="32"/>
          <w:szCs w:val="32"/>
          <w:highlight w:val="none"/>
        </w:rPr>
        <w:t>。</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770"/>
        <w:jc w:val="righ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四川省财政厅</w:t>
      </w:r>
    </w:p>
    <w:p>
      <w:pPr>
        <w:keepNext w:val="0"/>
        <w:keepLines w:val="0"/>
        <w:pageBreakBefore w:val="0"/>
        <w:widowControl w:val="0"/>
        <w:kinsoku/>
        <w:wordWrap/>
        <w:overflowPunct/>
        <w:topLinePunct w:val="0"/>
        <w:autoSpaceDE/>
        <w:autoSpaceDN/>
        <w:bidi w:val="0"/>
        <w:adjustRightInd/>
        <w:snapToGrid/>
        <w:spacing w:line="560" w:lineRule="exact"/>
        <w:ind w:right="460"/>
        <w:jc w:val="right"/>
        <w:textAlignment w:val="auto"/>
        <w:rPr>
          <w:rFonts w:hint="default" w:ascii="Times New Roman" w:hAnsi="Times New Roman" w:cs="Times New Roman"/>
          <w:color w:val="auto"/>
          <w:sz w:val="32"/>
          <w:szCs w:val="32"/>
          <w:highlight w:val="none"/>
        </w:rPr>
      </w:pPr>
      <w:r>
        <w:rPr>
          <w:rFonts w:hint="eastAsia" w:cs="Times New Roman"/>
          <w:color w:val="auto"/>
          <w:sz w:val="32"/>
          <w:szCs w:val="32"/>
          <w:highlight w:val="none"/>
          <w:lang w:val="en-US" w:eastAsia="zh-CN"/>
        </w:rPr>
        <w:t xml:space="preserve">  </w:t>
      </w:r>
      <w:r>
        <w:rPr>
          <w:rFonts w:hint="eastAsia" w:cs="Times New Roman"/>
          <w:color w:val="auto"/>
          <w:sz w:val="32"/>
          <w:szCs w:val="32"/>
          <w:highlight w:val="none"/>
          <w:lang w:eastAsia="zh-CN"/>
        </w:rPr>
        <w:t>2025年</w:t>
      </w:r>
      <w:r>
        <w:rPr>
          <w:rFonts w:hint="eastAsia" w:cs="Times New Roman"/>
          <w:color w:val="auto"/>
          <w:sz w:val="32"/>
          <w:szCs w:val="32"/>
          <w:highlight w:val="none"/>
          <w:lang w:val="en-US" w:eastAsia="zh-CN"/>
        </w:rPr>
        <w:t>10</w:t>
      </w:r>
      <w:r>
        <w:rPr>
          <w:rFonts w:hint="default" w:ascii="Times New Roman" w:hAnsi="Times New Roman" w:cs="Times New Roman"/>
          <w:color w:val="auto"/>
          <w:sz w:val="32"/>
          <w:szCs w:val="32"/>
          <w:highlight w:val="none"/>
        </w:rPr>
        <w:t>月</w:t>
      </w:r>
      <w:r>
        <w:rPr>
          <w:rFonts w:hint="eastAsia" w:cs="Times New Roman"/>
          <w:color w:val="auto"/>
          <w:sz w:val="32"/>
          <w:szCs w:val="32"/>
          <w:highlight w:val="none"/>
          <w:lang w:val="en-US" w:eastAsia="zh-CN"/>
        </w:rPr>
        <w:t>14</w:t>
      </w:r>
      <w:r>
        <w:rPr>
          <w:rFonts w:hint="default" w:ascii="Times New Roman" w:hAnsi="Times New Roman" w:cs="Times New Roman"/>
          <w:color w:val="auto"/>
          <w:sz w:val="32"/>
          <w:szCs w:val="32"/>
          <w:highlight w:val="none"/>
        </w:rPr>
        <w:t>日</w:t>
      </w:r>
    </w:p>
    <w:sectPr>
      <w:footerReference r:id="rId3" w:type="default"/>
      <w:footerReference r:id="rId4" w:type="even"/>
      <w:pgSz w:w="11906" w:h="16838"/>
      <w:pgMar w:top="1757" w:right="1474" w:bottom="1871" w:left="1588" w:header="851" w:footer="992" w:gutter="0"/>
      <w:pgNumType w:fmt="numberInDash"/>
      <w:cols w:space="0" w:num="1"/>
      <w:rtlGutter w:val="0"/>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429278"/>
      <w:docPartObj>
        <w:docPartGallery w:val="autotext"/>
      </w:docPartObj>
    </w:sdtPr>
    <w:sdtEndPr>
      <w:rPr>
        <w:rFonts w:asciiTheme="minorEastAsia" w:hAnsiTheme="minorEastAsia"/>
        <w:sz w:val="28"/>
        <w:szCs w:val="28"/>
      </w:rPr>
    </w:sdtEndPr>
    <w:sdtContent>
      <w:p>
        <w:pPr>
          <w:pStyle w:val="6"/>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9 -</w:t>
        </w:r>
        <w:r>
          <w:rPr>
            <w:rFonts w:asciiTheme="minorEastAsia" w:hAnsiTheme="minorEastAsia"/>
            <w:sz w:val="28"/>
            <w:szCs w:val="28"/>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429279"/>
      <w:docPartObj>
        <w:docPartGallery w:val="autotext"/>
      </w:docPartObj>
    </w:sdtPr>
    <w:sdtEndPr>
      <w:rPr>
        <w:rFonts w:asciiTheme="minorEastAsia" w:hAnsiTheme="minorEastAsia"/>
        <w:sz w:val="28"/>
        <w:szCs w:val="28"/>
      </w:rPr>
    </w:sdtEndPr>
    <w:sdtContent>
      <w:p>
        <w:pPr>
          <w:pStyle w:val="6"/>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8 -</w:t>
        </w:r>
        <w:r>
          <w:rPr>
            <w:rFonts w:asciiTheme="minorEastAsia" w:hAnsiTheme="minorEastAsia"/>
            <w:sz w:val="28"/>
            <w:szCs w:val="28"/>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430BE2"/>
    <w:multiLevelType w:val="singleLevel"/>
    <w:tmpl w:val="EE430BE2"/>
    <w:lvl w:ilvl="0" w:tentative="0">
      <w:start w:val="4"/>
      <w:numFmt w:val="chineseCounting"/>
      <w:suff w:val="nothing"/>
      <w:lvlText w:val="%1、"/>
      <w:lvlJc w:val="left"/>
      <w:pPr>
        <w:ind w:left="640" w:leftChars="0" w:firstLine="0" w:firstLineChars="0"/>
      </w:pPr>
      <w:rPr>
        <w:rFonts w:hint="eastAsia"/>
      </w:rPr>
    </w:lvl>
  </w:abstractNum>
  <w:abstractNum w:abstractNumId="1">
    <w:nsid w:val="F7C65B72"/>
    <w:multiLevelType w:val="singleLevel"/>
    <w:tmpl w:val="F7C65B72"/>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evenAndOddHeaders w:val="true"/>
  <w:drawingGridHorizontalSpacing w:val="150"/>
  <w:drawingGridVerticalSpacing w:val="204"/>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wYzQzMTIyMTgxODA5MjE3ZDRkMGI5NTVkYzNiMjIifQ=="/>
  </w:docVars>
  <w:rsids>
    <w:rsidRoot w:val="00D75D48"/>
    <w:rsid w:val="00003E0D"/>
    <w:rsid w:val="0000494F"/>
    <w:rsid w:val="00006366"/>
    <w:rsid w:val="00011EFF"/>
    <w:rsid w:val="00013565"/>
    <w:rsid w:val="00014F5C"/>
    <w:rsid w:val="00042444"/>
    <w:rsid w:val="000434E1"/>
    <w:rsid w:val="0004465C"/>
    <w:rsid w:val="00050F45"/>
    <w:rsid w:val="0005104D"/>
    <w:rsid w:val="00051067"/>
    <w:rsid w:val="00064B6B"/>
    <w:rsid w:val="00072ECB"/>
    <w:rsid w:val="00076E3A"/>
    <w:rsid w:val="00086525"/>
    <w:rsid w:val="000B5961"/>
    <w:rsid w:val="000B5B7E"/>
    <w:rsid w:val="000B7854"/>
    <w:rsid w:val="000C057D"/>
    <w:rsid w:val="000C06BC"/>
    <w:rsid w:val="000C478F"/>
    <w:rsid w:val="000C61D3"/>
    <w:rsid w:val="000D26F6"/>
    <w:rsid w:val="000D2B72"/>
    <w:rsid w:val="000D6165"/>
    <w:rsid w:val="000E3A19"/>
    <w:rsid w:val="00100DFA"/>
    <w:rsid w:val="00103061"/>
    <w:rsid w:val="00111B35"/>
    <w:rsid w:val="00112550"/>
    <w:rsid w:val="00112C8E"/>
    <w:rsid w:val="00114227"/>
    <w:rsid w:val="00114AAC"/>
    <w:rsid w:val="0011601A"/>
    <w:rsid w:val="00122059"/>
    <w:rsid w:val="001304D1"/>
    <w:rsid w:val="001308F0"/>
    <w:rsid w:val="001313BE"/>
    <w:rsid w:val="0013220C"/>
    <w:rsid w:val="0013365E"/>
    <w:rsid w:val="00145A97"/>
    <w:rsid w:val="0015095B"/>
    <w:rsid w:val="00150AC6"/>
    <w:rsid w:val="001516FD"/>
    <w:rsid w:val="00152AC1"/>
    <w:rsid w:val="001604AA"/>
    <w:rsid w:val="00162AFA"/>
    <w:rsid w:val="00163296"/>
    <w:rsid w:val="00167196"/>
    <w:rsid w:val="00172DB6"/>
    <w:rsid w:val="00174E86"/>
    <w:rsid w:val="001771B7"/>
    <w:rsid w:val="001845A6"/>
    <w:rsid w:val="00191893"/>
    <w:rsid w:val="001967F2"/>
    <w:rsid w:val="001A1B79"/>
    <w:rsid w:val="001B15E9"/>
    <w:rsid w:val="001B2A8F"/>
    <w:rsid w:val="001B33BC"/>
    <w:rsid w:val="001C5458"/>
    <w:rsid w:val="001D0426"/>
    <w:rsid w:val="001E1271"/>
    <w:rsid w:val="001F2BD7"/>
    <w:rsid w:val="001F65CB"/>
    <w:rsid w:val="00201608"/>
    <w:rsid w:val="0021141B"/>
    <w:rsid w:val="002128A8"/>
    <w:rsid w:val="00214C8D"/>
    <w:rsid w:val="00215BF8"/>
    <w:rsid w:val="00224B21"/>
    <w:rsid w:val="00227533"/>
    <w:rsid w:val="00232C05"/>
    <w:rsid w:val="002357DE"/>
    <w:rsid w:val="0023682D"/>
    <w:rsid w:val="00240592"/>
    <w:rsid w:val="00240B03"/>
    <w:rsid w:val="0024109D"/>
    <w:rsid w:val="0025728B"/>
    <w:rsid w:val="002622FC"/>
    <w:rsid w:val="00266CD1"/>
    <w:rsid w:val="00267A87"/>
    <w:rsid w:val="00274608"/>
    <w:rsid w:val="00286EF0"/>
    <w:rsid w:val="00291577"/>
    <w:rsid w:val="002973D9"/>
    <w:rsid w:val="002979A1"/>
    <w:rsid w:val="002A1BF4"/>
    <w:rsid w:val="002A2309"/>
    <w:rsid w:val="002A3BC7"/>
    <w:rsid w:val="002A5445"/>
    <w:rsid w:val="002A5D72"/>
    <w:rsid w:val="002A729F"/>
    <w:rsid w:val="002B14F3"/>
    <w:rsid w:val="002B7582"/>
    <w:rsid w:val="002B7F17"/>
    <w:rsid w:val="002C08AD"/>
    <w:rsid w:val="002C0B80"/>
    <w:rsid w:val="002C2F9A"/>
    <w:rsid w:val="002D09F3"/>
    <w:rsid w:val="002D34DE"/>
    <w:rsid w:val="002D3E97"/>
    <w:rsid w:val="002D7B82"/>
    <w:rsid w:val="002E3BF3"/>
    <w:rsid w:val="002E3CAF"/>
    <w:rsid w:val="002E7F88"/>
    <w:rsid w:val="002F02C0"/>
    <w:rsid w:val="002F51FB"/>
    <w:rsid w:val="002F6DDA"/>
    <w:rsid w:val="00300299"/>
    <w:rsid w:val="003142FA"/>
    <w:rsid w:val="003201E1"/>
    <w:rsid w:val="00323F8A"/>
    <w:rsid w:val="00330ADC"/>
    <w:rsid w:val="0033296F"/>
    <w:rsid w:val="00334122"/>
    <w:rsid w:val="00334C10"/>
    <w:rsid w:val="00334EBB"/>
    <w:rsid w:val="00337972"/>
    <w:rsid w:val="00340EAF"/>
    <w:rsid w:val="00345D80"/>
    <w:rsid w:val="00345E5A"/>
    <w:rsid w:val="00347B91"/>
    <w:rsid w:val="0035563B"/>
    <w:rsid w:val="0037122D"/>
    <w:rsid w:val="00372C4C"/>
    <w:rsid w:val="00377FC2"/>
    <w:rsid w:val="00381216"/>
    <w:rsid w:val="003823B9"/>
    <w:rsid w:val="0038792C"/>
    <w:rsid w:val="00387BB4"/>
    <w:rsid w:val="003949A1"/>
    <w:rsid w:val="003968AB"/>
    <w:rsid w:val="003A2602"/>
    <w:rsid w:val="003A336F"/>
    <w:rsid w:val="003A376D"/>
    <w:rsid w:val="003A7080"/>
    <w:rsid w:val="003C1A8A"/>
    <w:rsid w:val="003C509D"/>
    <w:rsid w:val="003D16F1"/>
    <w:rsid w:val="003D2881"/>
    <w:rsid w:val="003D5824"/>
    <w:rsid w:val="003E5B33"/>
    <w:rsid w:val="003E7CBF"/>
    <w:rsid w:val="003F7949"/>
    <w:rsid w:val="004025DD"/>
    <w:rsid w:val="00405B5D"/>
    <w:rsid w:val="004244C3"/>
    <w:rsid w:val="00427BCA"/>
    <w:rsid w:val="00430B0B"/>
    <w:rsid w:val="00435BA4"/>
    <w:rsid w:val="0045340E"/>
    <w:rsid w:val="00464202"/>
    <w:rsid w:val="004665B7"/>
    <w:rsid w:val="00482921"/>
    <w:rsid w:val="00484B65"/>
    <w:rsid w:val="00493BA0"/>
    <w:rsid w:val="0049492E"/>
    <w:rsid w:val="00495E42"/>
    <w:rsid w:val="004C0034"/>
    <w:rsid w:val="004C4227"/>
    <w:rsid w:val="004C4C68"/>
    <w:rsid w:val="004C52D6"/>
    <w:rsid w:val="004C5559"/>
    <w:rsid w:val="004C68A8"/>
    <w:rsid w:val="004C6AB9"/>
    <w:rsid w:val="004D711D"/>
    <w:rsid w:val="004E4A3D"/>
    <w:rsid w:val="004E758F"/>
    <w:rsid w:val="004F3907"/>
    <w:rsid w:val="004F4EDC"/>
    <w:rsid w:val="005066EB"/>
    <w:rsid w:val="0051060A"/>
    <w:rsid w:val="00514186"/>
    <w:rsid w:val="005164E3"/>
    <w:rsid w:val="005266A3"/>
    <w:rsid w:val="00530BCF"/>
    <w:rsid w:val="0054212C"/>
    <w:rsid w:val="00547F50"/>
    <w:rsid w:val="00550728"/>
    <w:rsid w:val="00551339"/>
    <w:rsid w:val="00553278"/>
    <w:rsid w:val="005564ED"/>
    <w:rsid w:val="00560934"/>
    <w:rsid w:val="00562DBE"/>
    <w:rsid w:val="0057119A"/>
    <w:rsid w:val="00575715"/>
    <w:rsid w:val="00582986"/>
    <w:rsid w:val="00585D39"/>
    <w:rsid w:val="005939A3"/>
    <w:rsid w:val="00596800"/>
    <w:rsid w:val="005B7EF1"/>
    <w:rsid w:val="005C3F98"/>
    <w:rsid w:val="005C4897"/>
    <w:rsid w:val="005C5FE3"/>
    <w:rsid w:val="005D7486"/>
    <w:rsid w:val="005D77D3"/>
    <w:rsid w:val="005E428F"/>
    <w:rsid w:val="005F3BAA"/>
    <w:rsid w:val="00600229"/>
    <w:rsid w:val="00600D0F"/>
    <w:rsid w:val="00602DC6"/>
    <w:rsid w:val="00604732"/>
    <w:rsid w:val="00610FF1"/>
    <w:rsid w:val="0061500F"/>
    <w:rsid w:val="00626C40"/>
    <w:rsid w:val="00633023"/>
    <w:rsid w:val="00640201"/>
    <w:rsid w:val="00642D24"/>
    <w:rsid w:val="0064355D"/>
    <w:rsid w:val="00650C3F"/>
    <w:rsid w:val="00665F72"/>
    <w:rsid w:val="006740B9"/>
    <w:rsid w:val="00676073"/>
    <w:rsid w:val="00680AB5"/>
    <w:rsid w:val="0068465F"/>
    <w:rsid w:val="0068663E"/>
    <w:rsid w:val="00692FD2"/>
    <w:rsid w:val="00694C5B"/>
    <w:rsid w:val="00695408"/>
    <w:rsid w:val="006B060D"/>
    <w:rsid w:val="006B0DF3"/>
    <w:rsid w:val="006B2B7B"/>
    <w:rsid w:val="006C2963"/>
    <w:rsid w:val="006C5601"/>
    <w:rsid w:val="006C6E5C"/>
    <w:rsid w:val="006E36A4"/>
    <w:rsid w:val="006F1D06"/>
    <w:rsid w:val="006F3245"/>
    <w:rsid w:val="006F61C3"/>
    <w:rsid w:val="006F741D"/>
    <w:rsid w:val="00720087"/>
    <w:rsid w:val="0073154D"/>
    <w:rsid w:val="00735355"/>
    <w:rsid w:val="00736241"/>
    <w:rsid w:val="007439DF"/>
    <w:rsid w:val="00744D83"/>
    <w:rsid w:val="0074763B"/>
    <w:rsid w:val="00751DC4"/>
    <w:rsid w:val="00752172"/>
    <w:rsid w:val="0075416B"/>
    <w:rsid w:val="00755C05"/>
    <w:rsid w:val="00761AB3"/>
    <w:rsid w:val="0076444B"/>
    <w:rsid w:val="007649E4"/>
    <w:rsid w:val="00780DBC"/>
    <w:rsid w:val="00782D0A"/>
    <w:rsid w:val="0078416A"/>
    <w:rsid w:val="007923F9"/>
    <w:rsid w:val="007932C3"/>
    <w:rsid w:val="007A058B"/>
    <w:rsid w:val="007A06F5"/>
    <w:rsid w:val="007A14E8"/>
    <w:rsid w:val="007B35D3"/>
    <w:rsid w:val="007B6043"/>
    <w:rsid w:val="007C317A"/>
    <w:rsid w:val="007C69F9"/>
    <w:rsid w:val="007E1599"/>
    <w:rsid w:val="007E6026"/>
    <w:rsid w:val="007F1013"/>
    <w:rsid w:val="007F4D11"/>
    <w:rsid w:val="00805FEC"/>
    <w:rsid w:val="00823002"/>
    <w:rsid w:val="008277DF"/>
    <w:rsid w:val="008329C9"/>
    <w:rsid w:val="00842479"/>
    <w:rsid w:val="0085799F"/>
    <w:rsid w:val="00860197"/>
    <w:rsid w:val="008604DB"/>
    <w:rsid w:val="00875865"/>
    <w:rsid w:val="00882426"/>
    <w:rsid w:val="008A3224"/>
    <w:rsid w:val="008A34A3"/>
    <w:rsid w:val="008B05D3"/>
    <w:rsid w:val="008B315F"/>
    <w:rsid w:val="008C35ED"/>
    <w:rsid w:val="008C4FD4"/>
    <w:rsid w:val="008C6AE1"/>
    <w:rsid w:val="008D25AF"/>
    <w:rsid w:val="008D45E6"/>
    <w:rsid w:val="008E05EB"/>
    <w:rsid w:val="008E1B60"/>
    <w:rsid w:val="008E7510"/>
    <w:rsid w:val="008F5C66"/>
    <w:rsid w:val="008F6CA8"/>
    <w:rsid w:val="008F72BE"/>
    <w:rsid w:val="00903207"/>
    <w:rsid w:val="0090767E"/>
    <w:rsid w:val="009130BC"/>
    <w:rsid w:val="00914DD3"/>
    <w:rsid w:val="009206E8"/>
    <w:rsid w:val="0093170E"/>
    <w:rsid w:val="0093596A"/>
    <w:rsid w:val="0093659F"/>
    <w:rsid w:val="00937A19"/>
    <w:rsid w:val="0094120E"/>
    <w:rsid w:val="00941341"/>
    <w:rsid w:val="009453ED"/>
    <w:rsid w:val="00945FE3"/>
    <w:rsid w:val="00946E22"/>
    <w:rsid w:val="009476E0"/>
    <w:rsid w:val="00950A16"/>
    <w:rsid w:val="009522E0"/>
    <w:rsid w:val="0096257C"/>
    <w:rsid w:val="00962A38"/>
    <w:rsid w:val="009804C9"/>
    <w:rsid w:val="00983021"/>
    <w:rsid w:val="0098705B"/>
    <w:rsid w:val="009A0FE4"/>
    <w:rsid w:val="009A25EC"/>
    <w:rsid w:val="009A4DDB"/>
    <w:rsid w:val="009C34ED"/>
    <w:rsid w:val="009C3C74"/>
    <w:rsid w:val="009F1EEC"/>
    <w:rsid w:val="009F34D2"/>
    <w:rsid w:val="00A011C8"/>
    <w:rsid w:val="00A02AE3"/>
    <w:rsid w:val="00A07ACF"/>
    <w:rsid w:val="00A324CA"/>
    <w:rsid w:val="00A33145"/>
    <w:rsid w:val="00A3391E"/>
    <w:rsid w:val="00A35BC8"/>
    <w:rsid w:val="00A35D46"/>
    <w:rsid w:val="00A43D8B"/>
    <w:rsid w:val="00A47A81"/>
    <w:rsid w:val="00A561E2"/>
    <w:rsid w:val="00A56E82"/>
    <w:rsid w:val="00A719B0"/>
    <w:rsid w:val="00A7244E"/>
    <w:rsid w:val="00A82813"/>
    <w:rsid w:val="00A830EF"/>
    <w:rsid w:val="00AA43CF"/>
    <w:rsid w:val="00AA4A2D"/>
    <w:rsid w:val="00AB2401"/>
    <w:rsid w:val="00AB6350"/>
    <w:rsid w:val="00AC3112"/>
    <w:rsid w:val="00AC3A34"/>
    <w:rsid w:val="00AC419C"/>
    <w:rsid w:val="00AC624B"/>
    <w:rsid w:val="00AD05D7"/>
    <w:rsid w:val="00AD61CC"/>
    <w:rsid w:val="00AE6F6C"/>
    <w:rsid w:val="00AE714A"/>
    <w:rsid w:val="00AF40BE"/>
    <w:rsid w:val="00AF5CDA"/>
    <w:rsid w:val="00B06264"/>
    <w:rsid w:val="00B102AA"/>
    <w:rsid w:val="00B10D79"/>
    <w:rsid w:val="00B2135E"/>
    <w:rsid w:val="00B226F7"/>
    <w:rsid w:val="00B327F3"/>
    <w:rsid w:val="00B4000D"/>
    <w:rsid w:val="00B41E90"/>
    <w:rsid w:val="00B44C31"/>
    <w:rsid w:val="00B47F9D"/>
    <w:rsid w:val="00B53FB4"/>
    <w:rsid w:val="00B56F46"/>
    <w:rsid w:val="00B72F85"/>
    <w:rsid w:val="00B82AF9"/>
    <w:rsid w:val="00B87910"/>
    <w:rsid w:val="00B92CEE"/>
    <w:rsid w:val="00B93A57"/>
    <w:rsid w:val="00B95310"/>
    <w:rsid w:val="00BA167C"/>
    <w:rsid w:val="00BA6B94"/>
    <w:rsid w:val="00BA6E45"/>
    <w:rsid w:val="00BB2163"/>
    <w:rsid w:val="00BC2577"/>
    <w:rsid w:val="00BC3464"/>
    <w:rsid w:val="00BC51B9"/>
    <w:rsid w:val="00BD245A"/>
    <w:rsid w:val="00BE4337"/>
    <w:rsid w:val="00BE68E5"/>
    <w:rsid w:val="00BF4D15"/>
    <w:rsid w:val="00BF71C9"/>
    <w:rsid w:val="00C038DF"/>
    <w:rsid w:val="00C06861"/>
    <w:rsid w:val="00C20263"/>
    <w:rsid w:val="00C40314"/>
    <w:rsid w:val="00C444C7"/>
    <w:rsid w:val="00C47AA5"/>
    <w:rsid w:val="00C50294"/>
    <w:rsid w:val="00C529E7"/>
    <w:rsid w:val="00C6156D"/>
    <w:rsid w:val="00C62064"/>
    <w:rsid w:val="00C7589A"/>
    <w:rsid w:val="00C84294"/>
    <w:rsid w:val="00C852B6"/>
    <w:rsid w:val="00C9214A"/>
    <w:rsid w:val="00CA3232"/>
    <w:rsid w:val="00CA6E89"/>
    <w:rsid w:val="00CA77C9"/>
    <w:rsid w:val="00CB489A"/>
    <w:rsid w:val="00CC0E88"/>
    <w:rsid w:val="00CC2E85"/>
    <w:rsid w:val="00CC799C"/>
    <w:rsid w:val="00CF31CD"/>
    <w:rsid w:val="00CF3D74"/>
    <w:rsid w:val="00CF5696"/>
    <w:rsid w:val="00D00810"/>
    <w:rsid w:val="00D03452"/>
    <w:rsid w:val="00D104EB"/>
    <w:rsid w:val="00D11CB7"/>
    <w:rsid w:val="00D1781A"/>
    <w:rsid w:val="00D32A6E"/>
    <w:rsid w:val="00D504E8"/>
    <w:rsid w:val="00D5233B"/>
    <w:rsid w:val="00D7550D"/>
    <w:rsid w:val="00D7555B"/>
    <w:rsid w:val="00D75D48"/>
    <w:rsid w:val="00D77978"/>
    <w:rsid w:val="00D85504"/>
    <w:rsid w:val="00D8741B"/>
    <w:rsid w:val="00DB5AC3"/>
    <w:rsid w:val="00DC17D9"/>
    <w:rsid w:val="00DD1D62"/>
    <w:rsid w:val="00DD26A2"/>
    <w:rsid w:val="00DD3E1B"/>
    <w:rsid w:val="00DE6433"/>
    <w:rsid w:val="00E10F67"/>
    <w:rsid w:val="00E1148A"/>
    <w:rsid w:val="00E17D51"/>
    <w:rsid w:val="00E22020"/>
    <w:rsid w:val="00E235BC"/>
    <w:rsid w:val="00E32864"/>
    <w:rsid w:val="00E41D77"/>
    <w:rsid w:val="00E42997"/>
    <w:rsid w:val="00E4663D"/>
    <w:rsid w:val="00E47E28"/>
    <w:rsid w:val="00E5234B"/>
    <w:rsid w:val="00E56A3D"/>
    <w:rsid w:val="00E60E8A"/>
    <w:rsid w:val="00E71238"/>
    <w:rsid w:val="00E76861"/>
    <w:rsid w:val="00E772A1"/>
    <w:rsid w:val="00E772BF"/>
    <w:rsid w:val="00E90656"/>
    <w:rsid w:val="00E936E4"/>
    <w:rsid w:val="00EA26F8"/>
    <w:rsid w:val="00EA2AAD"/>
    <w:rsid w:val="00EA40C1"/>
    <w:rsid w:val="00EB5097"/>
    <w:rsid w:val="00EB5454"/>
    <w:rsid w:val="00ED1508"/>
    <w:rsid w:val="00ED6FE6"/>
    <w:rsid w:val="00EE6008"/>
    <w:rsid w:val="00EF1C60"/>
    <w:rsid w:val="00EF1CC2"/>
    <w:rsid w:val="00EF31C6"/>
    <w:rsid w:val="00EF3840"/>
    <w:rsid w:val="00F00E77"/>
    <w:rsid w:val="00F04C63"/>
    <w:rsid w:val="00F27D3E"/>
    <w:rsid w:val="00F42F48"/>
    <w:rsid w:val="00F462D4"/>
    <w:rsid w:val="00F471C3"/>
    <w:rsid w:val="00F51C62"/>
    <w:rsid w:val="00F5604D"/>
    <w:rsid w:val="00F608E6"/>
    <w:rsid w:val="00F63BBE"/>
    <w:rsid w:val="00F75EDA"/>
    <w:rsid w:val="00F77D70"/>
    <w:rsid w:val="00F83D49"/>
    <w:rsid w:val="00F9013C"/>
    <w:rsid w:val="00F95D94"/>
    <w:rsid w:val="00FB39F4"/>
    <w:rsid w:val="00FC695D"/>
    <w:rsid w:val="00FD07FC"/>
    <w:rsid w:val="00FD2A72"/>
    <w:rsid w:val="00FD3028"/>
    <w:rsid w:val="00FE0BEE"/>
    <w:rsid w:val="00FE2422"/>
    <w:rsid w:val="00FE5331"/>
    <w:rsid w:val="00FF1B46"/>
    <w:rsid w:val="00FF53BF"/>
    <w:rsid w:val="00FF57F6"/>
    <w:rsid w:val="00FF6F1F"/>
    <w:rsid w:val="01646E7C"/>
    <w:rsid w:val="01CC1A40"/>
    <w:rsid w:val="021B4775"/>
    <w:rsid w:val="06692FBA"/>
    <w:rsid w:val="07E50E92"/>
    <w:rsid w:val="096F7247"/>
    <w:rsid w:val="0A365806"/>
    <w:rsid w:val="0AC319AC"/>
    <w:rsid w:val="0F5E2B9C"/>
    <w:rsid w:val="0F7F3A2A"/>
    <w:rsid w:val="0FCAD5FD"/>
    <w:rsid w:val="12EB54C2"/>
    <w:rsid w:val="13540A79"/>
    <w:rsid w:val="13CB7D91"/>
    <w:rsid w:val="14847F58"/>
    <w:rsid w:val="159675EB"/>
    <w:rsid w:val="15EFB84A"/>
    <w:rsid w:val="16974C50"/>
    <w:rsid w:val="16BFDA76"/>
    <w:rsid w:val="177D3A52"/>
    <w:rsid w:val="17B6C2A3"/>
    <w:rsid w:val="17BBC06E"/>
    <w:rsid w:val="17CE2129"/>
    <w:rsid w:val="17EF3D38"/>
    <w:rsid w:val="17FFA77D"/>
    <w:rsid w:val="1A085187"/>
    <w:rsid w:val="1A77A2C6"/>
    <w:rsid w:val="1AEB4D19"/>
    <w:rsid w:val="1B526075"/>
    <w:rsid w:val="1B672BB3"/>
    <w:rsid w:val="1B67B585"/>
    <w:rsid w:val="1B7FC8E2"/>
    <w:rsid w:val="1BF15E06"/>
    <w:rsid w:val="1BFA4442"/>
    <w:rsid w:val="1BFFC1B4"/>
    <w:rsid w:val="1D3C0843"/>
    <w:rsid w:val="1E584D33"/>
    <w:rsid w:val="1E7948A6"/>
    <w:rsid w:val="1EF3C8EF"/>
    <w:rsid w:val="1EFF6F52"/>
    <w:rsid w:val="1F7F37F3"/>
    <w:rsid w:val="1FB95731"/>
    <w:rsid w:val="1FEF0EED"/>
    <w:rsid w:val="1FF86D77"/>
    <w:rsid w:val="1FFD8871"/>
    <w:rsid w:val="21BFC2C1"/>
    <w:rsid w:val="23F6F97E"/>
    <w:rsid w:val="242A0480"/>
    <w:rsid w:val="273A1534"/>
    <w:rsid w:val="27EF5ADE"/>
    <w:rsid w:val="27FB4DFE"/>
    <w:rsid w:val="292BBD26"/>
    <w:rsid w:val="29447E57"/>
    <w:rsid w:val="2A75E0DA"/>
    <w:rsid w:val="2C335417"/>
    <w:rsid w:val="2C3A71FC"/>
    <w:rsid w:val="2D2F22EB"/>
    <w:rsid w:val="2DBF1862"/>
    <w:rsid w:val="2E7BB22E"/>
    <w:rsid w:val="2ED5C25D"/>
    <w:rsid w:val="2FC77AE7"/>
    <w:rsid w:val="2FFB7B0E"/>
    <w:rsid w:val="30ED4397"/>
    <w:rsid w:val="30F51B0D"/>
    <w:rsid w:val="31512748"/>
    <w:rsid w:val="32A53D10"/>
    <w:rsid w:val="32E75215"/>
    <w:rsid w:val="33446DD8"/>
    <w:rsid w:val="33964A43"/>
    <w:rsid w:val="33BD96C9"/>
    <w:rsid w:val="3478FD3B"/>
    <w:rsid w:val="34C545EA"/>
    <w:rsid w:val="350B691C"/>
    <w:rsid w:val="35FD6B84"/>
    <w:rsid w:val="35FF6C41"/>
    <w:rsid w:val="35FFA103"/>
    <w:rsid w:val="365FE963"/>
    <w:rsid w:val="367B0418"/>
    <w:rsid w:val="36C7A795"/>
    <w:rsid w:val="37D270A9"/>
    <w:rsid w:val="37D31E82"/>
    <w:rsid w:val="37F7809A"/>
    <w:rsid w:val="399565E0"/>
    <w:rsid w:val="3ADDA097"/>
    <w:rsid w:val="3B7E7D56"/>
    <w:rsid w:val="3BBE0F9A"/>
    <w:rsid w:val="3BCF7730"/>
    <w:rsid w:val="3BF725E0"/>
    <w:rsid w:val="3BFBF273"/>
    <w:rsid w:val="3BFD26E4"/>
    <w:rsid w:val="3BFF0771"/>
    <w:rsid w:val="3C12216A"/>
    <w:rsid w:val="3CFF72C5"/>
    <w:rsid w:val="3D9DD624"/>
    <w:rsid w:val="3DAB5EBA"/>
    <w:rsid w:val="3DEFA9F2"/>
    <w:rsid w:val="3DF3C86E"/>
    <w:rsid w:val="3ECAC84C"/>
    <w:rsid w:val="3EF76ACB"/>
    <w:rsid w:val="3EFB41F2"/>
    <w:rsid w:val="3F5F4240"/>
    <w:rsid w:val="3F7BEE77"/>
    <w:rsid w:val="3FB668E4"/>
    <w:rsid w:val="3FBFF260"/>
    <w:rsid w:val="3FD92A3E"/>
    <w:rsid w:val="3FDF1933"/>
    <w:rsid w:val="3FEF23FA"/>
    <w:rsid w:val="3FF0DCC8"/>
    <w:rsid w:val="3FF3B7B5"/>
    <w:rsid w:val="3FF57F37"/>
    <w:rsid w:val="3FF7137C"/>
    <w:rsid w:val="3FF71C72"/>
    <w:rsid w:val="3FFB5F92"/>
    <w:rsid w:val="3FFF50AD"/>
    <w:rsid w:val="40583BC3"/>
    <w:rsid w:val="408E73B5"/>
    <w:rsid w:val="40D53766"/>
    <w:rsid w:val="427D32F3"/>
    <w:rsid w:val="4305631D"/>
    <w:rsid w:val="43A055EF"/>
    <w:rsid w:val="45F8CE6B"/>
    <w:rsid w:val="47BF50EF"/>
    <w:rsid w:val="47DFF301"/>
    <w:rsid w:val="48BFAD72"/>
    <w:rsid w:val="49AC2B81"/>
    <w:rsid w:val="4A35F3AD"/>
    <w:rsid w:val="4BD07A86"/>
    <w:rsid w:val="4D32FB4C"/>
    <w:rsid w:val="4D50AE54"/>
    <w:rsid w:val="4EBF3093"/>
    <w:rsid w:val="4EDFAE00"/>
    <w:rsid w:val="4F9B4BDA"/>
    <w:rsid w:val="4FAF7337"/>
    <w:rsid w:val="4FFAE02C"/>
    <w:rsid w:val="4FFF460D"/>
    <w:rsid w:val="50ED1619"/>
    <w:rsid w:val="516FDEC3"/>
    <w:rsid w:val="51D13AD5"/>
    <w:rsid w:val="535624E4"/>
    <w:rsid w:val="536F073F"/>
    <w:rsid w:val="53731939"/>
    <w:rsid w:val="53B10062"/>
    <w:rsid w:val="53E90DC1"/>
    <w:rsid w:val="54680721"/>
    <w:rsid w:val="54F3BD53"/>
    <w:rsid w:val="54FF9442"/>
    <w:rsid w:val="554D5EAC"/>
    <w:rsid w:val="57B37079"/>
    <w:rsid w:val="57BAD169"/>
    <w:rsid w:val="57DF3D15"/>
    <w:rsid w:val="57DFDC94"/>
    <w:rsid w:val="57EB7B42"/>
    <w:rsid w:val="57FD754E"/>
    <w:rsid w:val="57FEF054"/>
    <w:rsid w:val="57FF76F9"/>
    <w:rsid w:val="59FEBA82"/>
    <w:rsid w:val="5A1C3CD6"/>
    <w:rsid w:val="5A7F7588"/>
    <w:rsid w:val="5AB65F05"/>
    <w:rsid w:val="5B27C3AC"/>
    <w:rsid w:val="5BABDEC5"/>
    <w:rsid w:val="5BDFA3DF"/>
    <w:rsid w:val="5BE74B81"/>
    <w:rsid w:val="5BEB01AA"/>
    <w:rsid w:val="5BF9AAF9"/>
    <w:rsid w:val="5BFD30E1"/>
    <w:rsid w:val="5D5F4A20"/>
    <w:rsid w:val="5D7BF844"/>
    <w:rsid w:val="5DBFCF28"/>
    <w:rsid w:val="5DFB2A50"/>
    <w:rsid w:val="5E7F692A"/>
    <w:rsid w:val="5E7F7C59"/>
    <w:rsid w:val="5EDF67C8"/>
    <w:rsid w:val="5EFF05BA"/>
    <w:rsid w:val="5F1F31B7"/>
    <w:rsid w:val="5F3E4F45"/>
    <w:rsid w:val="5F6F1C9E"/>
    <w:rsid w:val="5F7C409A"/>
    <w:rsid w:val="5F7E92C4"/>
    <w:rsid w:val="5FAB9A0B"/>
    <w:rsid w:val="5FE12A79"/>
    <w:rsid w:val="5FE56F25"/>
    <w:rsid w:val="5FEFBC4C"/>
    <w:rsid w:val="5FF876FE"/>
    <w:rsid w:val="5FFD044C"/>
    <w:rsid w:val="5FFFD7D0"/>
    <w:rsid w:val="5FFFFB39"/>
    <w:rsid w:val="60D82ACC"/>
    <w:rsid w:val="60F31AED"/>
    <w:rsid w:val="61470B4D"/>
    <w:rsid w:val="614921AA"/>
    <w:rsid w:val="616B1851"/>
    <w:rsid w:val="626D2A76"/>
    <w:rsid w:val="62FEF3EA"/>
    <w:rsid w:val="633BC343"/>
    <w:rsid w:val="63A07454"/>
    <w:rsid w:val="63F53E4A"/>
    <w:rsid w:val="64112789"/>
    <w:rsid w:val="65FA4BFF"/>
    <w:rsid w:val="66C67529"/>
    <w:rsid w:val="671013B3"/>
    <w:rsid w:val="677E777D"/>
    <w:rsid w:val="67845196"/>
    <w:rsid w:val="67BB4BB4"/>
    <w:rsid w:val="68BF6F8E"/>
    <w:rsid w:val="692176FC"/>
    <w:rsid w:val="6953D380"/>
    <w:rsid w:val="696BCE12"/>
    <w:rsid w:val="69DC461E"/>
    <w:rsid w:val="6ADC036A"/>
    <w:rsid w:val="6AEF0117"/>
    <w:rsid w:val="6BCE4C44"/>
    <w:rsid w:val="6BDE6032"/>
    <w:rsid w:val="6BDF05C4"/>
    <w:rsid w:val="6BDF36B5"/>
    <w:rsid w:val="6BEE630D"/>
    <w:rsid w:val="6BEFA911"/>
    <w:rsid w:val="6BF75424"/>
    <w:rsid w:val="6BFF8BC0"/>
    <w:rsid w:val="6C07ADE2"/>
    <w:rsid w:val="6D3E6A51"/>
    <w:rsid w:val="6D57D810"/>
    <w:rsid w:val="6DB123F6"/>
    <w:rsid w:val="6DE7862E"/>
    <w:rsid w:val="6DFC43BE"/>
    <w:rsid w:val="6DFD60E9"/>
    <w:rsid w:val="6DFE4A2C"/>
    <w:rsid w:val="6DFF793F"/>
    <w:rsid w:val="6E7B86E4"/>
    <w:rsid w:val="6EB788C1"/>
    <w:rsid w:val="6EBB229C"/>
    <w:rsid w:val="6EDE8759"/>
    <w:rsid w:val="6EDEF351"/>
    <w:rsid w:val="6EFA30DF"/>
    <w:rsid w:val="6EFE97D7"/>
    <w:rsid w:val="6F223039"/>
    <w:rsid w:val="6F6FC48D"/>
    <w:rsid w:val="6F75BB17"/>
    <w:rsid w:val="6F7D0098"/>
    <w:rsid w:val="6FBF8D8F"/>
    <w:rsid w:val="6FCD9F65"/>
    <w:rsid w:val="6FCF9866"/>
    <w:rsid w:val="6FDD6BFC"/>
    <w:rsid w:val="6FDFA035"/>
    <w:rsid w:val="6FF39D12"/>
    <w:rsid w:val="6FF52F76"/>
    <w:rsid w:val="6FFDD9A5"/>
    <w:rsid w:val="6FFF0B70"/>
    <w:rsid w:val="6FFF1F46"/>
    <w:rsid w:val="6FFFA9D8"/>
    <w:rsid w:val="70473489"/>
    <w:rsid w:val="70FD42BC"/>
    <w:rsid w:val="71775D74"/>
    <w:rsid w:val="71B371E3"/>
    <w:rsid w:val="71BA0C33"/>
    <w:rsid w:val="71F33F0B"/>
    <w:rsid w:val="72FF21FE"/>
    <w:rsid w:val="73577D8C"/>
    <w:rsid w:val="73EB48F5"/>
    <w:rsid w:val="73F8844F"/>
    <w:rsid w:val="73FEF53F"/>
    <w:rsid w:val="74BF941C"/>
    <w:rsid w:val="74DEBB8B"/>
    <w:rsid w:val="74EF161B"/>
    <w:rsid w:val="74EFE397"/>
    <w:rsid w:val="75134281"/>
    <w:rsid w:val="755ABB90"/>
    <w:rsid w:val="756267BD"/>
    <w:rsid w:val="7567AB9C"/>
    <w:rsid w:val="757F2BD9"/>
    <w:rsid w:val="757F9695"/>
    <w:rsid w:val="75CEBED0"/>
    <w:rsid w:val="75ED567D"/>
    <w:rsid w:val="75FEC880"/>
    <w:rsid w:val="75FFBE1C"/>
    <w:rsid w:val="75FFC9BA"/>
    <w:rsid w:val="761A3C81"/>
    <w:rsid w:val="76861D13"/>
    <w:rsid w:val="769FD087"/>
    <w:rsid w:val="76B32B23"/>
    <w:rsid w:val="76BE1A6C"/>
    <w:rsid w:val="76EEFE23"/>
    <w:rsid w:val="76F7792E"/>
    <w:rsid w:val="770F83CD"/>
    <w:rsid w:val="777D983C"/>
    <w:rsid w:val="77BF985E"/>
    <w:rsid w:val="77BFB381"/>
    <w:rsid w:val="77DF6751"/>
    <w:rsid w:val="77EB0A30"/>
    <w:rsid w:val="77F7A577"/>
    <w:rsid w:val="77FD2DD1"/>
    <w:rsid w:val="77FDA77E"/>
    <w:rsid w:val="77FFD227"/>
    <w:rsid w:val="77FFE042"/>
    <w:rsid w:val="786F6BBB"/>
    <w:rsid w:val="789125A4"/>
    <w:rsid w:val="78A551F0"/>
    <w:rsid w:val="7955109C"/>
    <w:rsid w:val="79A96382"/>
    <w:rsid w:val="79C33213"/>
    <w:rsid w:val="79D3C3D0"/>
    <w:rsid w:val="79F72244"/>
    <w:rsid w:val="79F7D4A2"/>
    <w:rsid w:val="79FE0439"/>
    <w:rsid w:val="7AEC944A"/>
    <w:rsid w:val="7B1FA6F6"/>
    <w:rsid w:val="7B2AABAE"/>
    <w:rsid w:val="7B341286"/>
    <w:rsid w:val="7B56316B"/>
    <w:rsid w:val="7B6E1E1B"/>
    <w:rsid w:val="7BBE0771"/>
    <w:rsid w:val="7BD72066"/>
    <w:rsid w:val="7BDDC4A3"/>
    <w:rsid w:val="7BF3C519"/>
    <w:rsid w:val="7BFA144B"/>
    <w:rsid w:val="7BFFA358"/>
    <w:rsid w:val="7C3763A2"/>
    <w:rsid w:val="7C54566E"/>
    <w:rsid w:val="7C5F8FDA"/>
    <w:rsid w:val="7C7D4167"/>
    <w:rsid w:val="7CBDD19A"/>
    <w:rsid w:val="7CFCADF1"/>
    <w:rsid w:val="7CFF8BFD"/>
    <w:rsid w:val="7D397FB7"/>
    <w:rsid w:val="7D6736E3"/>
    <w:rsid w:val="7D7377E8"/>
    <w:rsid w:val="7D8116E4"/>
    <w:rsid w:val="7DBF6886"/>
    <w:rsid w:val="7DBFA8D5"/>
    <w:rsid w:val="7DDDD8B2"/>
    <w:rsid w:val="7DDE0CEE"/>
    <w:rsid w:val="7DFC5C92"/>
    <w:rsid w:val="7DFE5D73"/>
    <w:rsid w:val="7DFF7E4E"/>
    <w:rsid w:val="7DFFDAF8"/>
    <w:rsid w:val="7E787EB7"/>
    <w:rsid w:val="7EB8A718"/>
    <w:rsid w:val="7ED7E27B"/>
    <w:rsid w:val="7EDC4E86"/>
    <w:rsid w:val="7EDE09CB"/>
    <w:rsid w:val="7EEB91CC"/>
    <w:rsid w:val="7EF2A455"/>
    <w:rsid w:val="7EF7AF70"/>
    <w:rsid w:val="7EFF3402"/>
    <w:rsid w:val="7F179CF0"/>
    <w:rsid w:val="7F2BE7C6"/>
    <w:rsid w:val="7F3AB47F"/>
    <w:rsid w:val="7F3F12B6"/>
    <w:rsid w:val="7F57D7C8"/>
    <w:rsid w:val="7F5B6313"/>
    <w:rsid w:val="7F6D60C9"/>
    <w:rsid w:val="7F7EA3C0"/>
    <w:rsid w:val="7FA5CC08"/>
    <w:rsid w:val="7FAB911C"/>
    <w:rsid w:val="7FACE480"/>
    <w:rsid w:val="7FB11C79"/>
    <w:rsid w:val="7FB56435"/>
    <w:rsid w:val="7FBD1E61"/>
    <w:rsid w:val="7FBF1A1B"/>
    <w:rsid w:val="7FCE92E5"/>
    <w:rsid w:val="7FCF1F29"/>
    <w:rsid w:val="7FD2D104"/>
    <w:rsid w:val="7FD72413"/>
    <w:rsid w:val="7FD9955F"/>
    <w:rsid w:val="7FDD2C05"/>
    <w:rsid w:val="7FDD85A0"/>
    <w:rsid w:val="7FDD95D2"/>
    <w:rsid w:val="7FDFECA9"/>
    <w:rsid w:val="7FE5FD1C"/>
    <w:rsid w:val="7FE993DB"/>
    <w:rsid w:val="7FEF9FD2"/>
    <w:rsid w:val="7FF3E1C0"/>
    <w:rsid w:val="7FF3F85B"/>
    <w:rsid w:val="7FF566CD"/>
    <w:rsid w:val="7FF75800"/>
    <w:rsid w:val="7FF7B62B"/>
    <w:rsid w:val="7FFAFB55"/>
    <w:rsid w:val="7FFB297B"/>
    <w:rsid w:val="7FFC5838"/>
    <w:rsid w:val="7FFD9899"/>
    <w:rsid w:val="7FFEEE55"/>
    <w:rsid w:val="7FFF1975"/>
    <w:rsid w:val="7FFF391B"/>
    <w:rsid w:val="7FFF633F"/>
    <w:rsid w:val="7FFF8903"/>
    <w:rsid w:val="7FFFAD8B"/>
    <w:rsid w:val="7FFFBCF7"/>
    <w:rsid w:val="8EBF225C"/>
    <w:rsid w:val="8F5D59A4"/>
    <w:rsid w:val="8F5F6B2D"/>
    <w:rsid w:val="8FFB0B75"/>
    <w:rsid w:val="97BF2327"/>
    <w:rsid w:val="98B74015"/>
    <w:rsid w:val="9B9C1F6C"/>
    <w:rsid w:val="9BDF3334"/>
    <w:rsid w:val="9C7EF351"/>
    <w:rsid w:val="9D7B2324"/>
    <w:rsid w:val="9F8F6FA3"/>
    <w:rsid w:val="9FBEF124"/>
    <w:rsid w:val="9FCE4ACA"/>
    <w:rsid w:val="9FD4B984"/>
    <w:rsid w:val="9FF99F35"/>
    <w:rsid w:val="9FFB9794"/>
    <w:rsid w:val="9FFC9604"/>
    <w:rsid w:val="9FFFDB11"/>
    <w:rsid w:val="A5FE2FD1"/>
    <w:rsid w:val="A67C683F"/>
    <w:rsid w:val="A6EBA1AE"/>
    <w:rsid w:val="A7DBCE3C"/>
    <w:rsid w:val="A8F6BCE3"/>
    <w:rsid w:val="ABBBED28"/>
    <w:rsid w:val="AD9F8C9A"/>
    <w:rsid w:val="ADEC83D2"/>
    <w:rsid w:val="ADFF10CC"/>
    <w:rsid w:val="AE3F0DDE"/>
    <w:rsid w:val="AE5E2D17"/>
    <w:rsid w:val="AECFD7CF"/>
    <w:rsid w:val="AEFF80E1"/>
    <w:rsid w:val="AF7EFD40"/>
    <w:rsid w:val="AFEDA70A"/>
    <w:rsid w:val="AFF7119B"/>
    <w:rsid w:val="AFFB44B1"/>
    <w:rsid w:val="AFFFE447"/>
    <w:rsid w:val="AFFFF3BB"/>
    <w:rsid w:val="B0F7249B"/>
    <w:rsid w:val="B2AB062D"/>
    <w:rsid w:val="B2FFB3C6"/>
    <w:rsid w:val="B35B6153"/>
    <w:rsid w:val="B37B5FD8"/>
    <w:rsid w:val="B38ED6A9"/>
    <w:rsid w:val="B3EA47A7"/>
    <w:rsid w:val="B5BC6AC8"/>
    <w:rsid w:val="B5C629E9"/>
    <w:rsid w:val="B5FFC808"/>
    <w:rsid w:val="B66DE0F3"/>
    <w:rsid w:val="B71F229D"/>
    <w:rsid w:val="B78EF67C"/>
    <w:rsid w:val="B7E93359"/>
    <w:rsid w:val="B7FA287C"/>
    <w:rsid w:val="B7FC8FD4"/>
    <w:rsid w:val="B7FF31FE"/>
    <w:rsid w:val="BA774207"/>
    <w:rsid w:val="BB6F226D"/>
    <w:rsid w:val="BB7C7785"/>
    <w:rsid w:val="BBEEDED0"/>
    <w:rsid w:val="BBF73F6B"/>
    <w:rsid w:val="BD5F48BC"/>
    <w:rsid w:val="BDFF14D8"/>
    <w:rsid w:val="BE7DF3AB"/>
    <w:rsid w:val="BEEB588E"/>
    <w:rsid w:val="BEFC921C"/>
    <w:rsid w:val="BEFF10AD"/>
    <w:rsid w:val="BF5E20FA"/>
    <w:rsid w:val="BF5FCF62"/>
    <w:rsid w:val="BF79FF19"/>
    <w:rsid w:val="BF7D4196"/>
    <w:rsid w:val="BF7F1BD2"/>
    <w:rsid w:val="BFA33CA7"/>
    <w:rsid w:val="BFB5558A"/>
    <w:rsid w:val="BFBDDB71"/>
    <w:rsid w:val="BFEFF3F7"/>
    <w:rsid w:val="BFFDAF01"/>
    <w:rsid w:val="BFFF8EE6"/>
    <w:rsid w:val="BFFFACE1"/>
    <w:rsid w:val="BFFFCC8A"/>
    <w:rsid w:val="BFFFE75D"/>
    <w:rsid w:val="C7BBC6D6"/>
    <w:rsid w:val="C89ED9A7"/>
    <w:rsid w:val="C972A14F"/>
    <w:rsid w:val="CB26FCAB"/>
    <w:rsid w:val="CBF60B7A"/>
    <w:rsid w:val="CCDD36C3"/>
    <w:rsid w:val="CF6F4FE5"/>
    <w:rsid w:val="CF7F0D62"/>
    <w:rsid w:val="D1F503FA"/>
    <w:rsid w:val="D3FF088E"/>
    <w:rsid w:val="D5FC47EA"/>
    <w:rsid w:val="D6BD08E7"/>
    <w:rsid w:val="D6EB119C"/>
    <w:rsid w:val="D6FB60DE"/>
    <w:rsid w:val="D6FDA787"/>
    <w:rsid w:val="D75DA396"/>
    <w:rsid w:val="D77A959F"/>
    <w:rsid w:val="D77F9707"/>
    <w:rsid w:val="D7B710EC"/>
    <w:rsid w:val="D7F00430"/>
    <w:rsid w:val="D7FE7EB6"/>
    <w:rsid w:val="D97BE255"/>
    <w:rsid w:val="DACF21D7"/>
    <w:rsid w:val="DB5DBF45"/>
    <w:rsid w:val="DB7387A1"/>
    <w:rsid w:val="DBA799E2"/>
    <w:rsid w:val="DBEEED63"/>
    <w:rsid w:val="DC7ABEE3"/>
    <w:rsid w:val="DC7F37B0"/>
    <w:rsid w:val="DC9E4C42"/>
    <w:rsid w:val="DD5FA653"/>
    <w:rsid w:val="DDC3496C"/>
    <w:rsid w:val="DDDD97DD"/>
    <w:rsid w:val="DDFB2394"/>
    <w:rsid w:val="DE77926B"/>
    <w:rsid w:val="DE7DE59B"/>
    <w:rsid w:val="DEE262E6"/>
    <w:rsid w:val="DEEFF9CF"/>
    <w:rsid w:val="DEFB13D7"/>
    <w:rsid w:val="DF3F2014"/>
    <w:rsid w:val="DF7D9D54"/>
    <w:rsid w:val="DF9FAA1C"/>
    <w:rsid w:val="DFBBD75C"/>
    <w:rsid w:val="DFD9770E"/>
    <w:rsid w:val="DFDD016C"/>
    <w:rsid w:val="DFDD4036"/>
    <w:rsid w:val="DFDF029D"/>
    <w:rsid w:val="DFE3F1F5"/>
    <w:rsid w:val="DFE61A72"/>
    <w:rsid w:val="DFF34AD3"/>
    <w:rsid w:val="DFF39B79"/>
    <w:rsid w:val="DFF720EC"/>
    <w:rsid w:val="DFFB60A3"/>
    <w:rsid w:val="DFFD31B0"/>
    <w:rsid w:val="DFFF47CA"/>
    <w:rsid w:val="DFFFAE61"/>
    <w:rsid w:val="DFFFFB80"/>
    <w:rsid w:val="E2DB5A87"/>
    <w:rsid w:val="E5FC02D1"/>
    <w:rsid w:val="E6BB69F9"/>
    <w:rsid w:val="E6EF37CC"/>
    <w:rsid w:val="E6EF91AE"/>
    <w:rsid w:val="E72F10DC"/>
    <w:rsid w:val="E778A862"/>
    <w:rsid w:val="E7DF50C1"/>
    <w:rsid w:val="E87B70A2"/>
    <w:rsid w:val="E8D76BCE"/>
    <w:rsid w:val="E97F65EC"/>
    <w:rsid w:val="EADC83D7"/>
    <w:rsid w:val="EB7B6DE1"/>
    <w:rsid w:val="EBDECC2E"/>
    <w:rsid w:val="EBEFA9BB"/>
    <w:rsid w:val="ECEAAF28"/>
    <w:rsid w:val="ED5F8965"/>
    <w:rsid w:val="EDBFD3AA"/>
    <w:rsid w:val="EDEF4004"/>
    <w:rsid w:val="EDFD232B"/>
    <w:rsid w:val="EDFE5F27"/>
    <w:rsid w:val="EDFF7865"/>
    <w:rsid w:val="EDFFCF00"/>
    <w:rsid w:val="EE8AFE1C"/>
    <w:rsid w:val="EEFA5F6E"/>
    <w:rsid w:val="EF3FE0F5"/>
    <w:rsid w:val="EF5DC768"/>
    <w:rsid w:val="EF7F2C56"/>
    <w:rsid w:val="EFABB031"/>
    <w:rsid w:val="EFADAA4C"/>
    <w:rsid w:val="EFD55489"/>
    <w:rsid w:val="EFDD93C1"/>
    <w:rsid w:val="EFE31411"/>
    <w:rsid w:val="EFEF0094"/>
    <w:rsid w:val="EFFB6E67"/>
    <w:rsid w:val="EFFB89B2"/>
    <w:rsid w:val="EFFDE6FA"/>
    <w:rsid w:val="F1BF1DBA"/>
    <w:rsid w:val="F1EDC61B"/>
    <w:rsid w:val="F1F395D8"/>
    <w:rsid w:val="F1FF3360"/>
    <w:rsid w:val="F279CBAD"/>
    <w:rsid w:val="F2DEA05A"/>
    <w:rsid w:val="F2FF3A7A"/>
    <w:rsid w:val="F3794464"/>
    <w:rsid w:val="F3CF073D"/>
    <w:rsid w:val="F3EF9127"/>
    <w:rsid w:val="F3FA869C"/>
    <w:rsid w:val="F4FF43E7"/>
    <w:rsid w:val="F4FF84A5"/>
    <w:rsid w:val="F57D3FA1"/>
    <w:rsid w:val="F5D77FD0"/>
    <w:rsid w:val="F5FE7683"/>
    <w:rsid w:val="F60B0D17"/>
    <w:rsid w:val="F639FDF8"/>
    <w:rsid w:val="F7798D0D"/>
    <w:rsid w:val="F7BFF8A7"/>
    <w:rsid w:val="F7D76496"/>
    <w:rsid w:val="F7DB7B04"/>
    <w:rsid w:val="F7DEACCC"/>
    <w:rsid w:val="F7EDAF2A"/>
    <w:rsid w:val="F7EEC0BA"/>
    <w:rsid w:val="F7F597CB"/>
    <w:rsid w:val="F7F715EE"/>
    <w:rsid w:val="F7F938C5"/>
    <w:rsid w:val="F7FF38DD"/>
    <w:rsid w:val="F7FF61F0"/>
    <w:rsid w:val="F7FFD1F6"/>
    <w:rsid w:val="F8A1B925"/>
    <w:rsid w:val="F8D04070"/>
    <w:rsid w:val="F8E8D507"/>
    <w:rsid w:val="F93B35A3"/>
    <w:rsid w:val="F9841BE9"/>
    <w:rsid w:val="F9FA1080"/>
    <w:rsid w:val="F9FF5BC4"/>
    <w:rsid w:val="FA3D022F"/>
    <w:rsid w:val="FA7F6236"/>
    <w:rsid w:val="FABC5063"/>
    <w:rsid w:val="FB1FB846"/>
    <w:rsid w:val="FB770C10"/>
    <w:rsid w:val="FB9D71D8"/>
    <w:rsid w:val="FBA94DEF"/>
    <w:rsid w:val="FBDB2C9C"/>
    <w:rsid w:val="FBDFBDCF"/>
    <w:rsid w:val="FBF758AD"/>
    <w:rsid w:val="FBF9AB6F"/>
    <w:rsid w:val="FBFC24EB"/>
    <w:rsid w:val="FBFF6260"/>
    <w:rsid w:val="FBFFB511"/>
    <w:rsid w:val="FBFFD543"/>
    <w:rsid w:val="FC6BECB3"/>
    <w:rsid w:val="FC798D9B"/>
    <w:rsid w:val="FCFC698F"/>
    <w:rsid w:val="FCFF4F1C"/>
    <w:rsid w:val="FCFF7AD7"/>
    <w:rsid w:val="FCFFC361"/>
    <w:rsid w:val="FD3D36C1"/>
    <w:rsid w:val="FD59D062"/>
    <w:rsid w:val="FD5DE01D"/>
    <w:rsid w:val="FD6D1428"/>
    <w:rsid w:val="FD7579DB"/>
    <w:rsid w:val="FD7AEB45"/>
    <w:rsid w:val="FDB6432C"/>
    <w:rsid w:val="FDD5052B"/>
    <w:rsid w:val="FDDAC906"/>
    <w:rsid w:val="FDDFBC8D"/>
    <w:rsid w:val="FDE92824"/>
    <w:rsid w:val="FDED4FE7"/>
    <w:rsid w:val="FDEF0B21"/>
    <w:rsid w:val="FDEFFB1A"/>
    <w:rsid w:val="FDF5B80F"/>
    <w:rsid w:val="FDFBE4BF"/>
    <w:rsid w:val="FDFD87BE"/>
    <w:rsid w:val="FDFF84B5"/>
    <w:rsid w:val="FDFFDA72"/>
    <w:rsid w:val="FE31A3AF"/>
    <w:rsid w:val="FE550C2D"/>
    <w:rsid w:val="FE5D4482"/>
    <w:rsid w:val="FEB7EB15"/>
    <w:rsid w:val="FEDB0CBA"/>
    <w:rsid w:val="FEEFC20F"/>
    <w:rsid w:val="FEFA5691"/>
    <w:rsid w:val="FEFB3EE1"/>
    <w:rsid w:val="FEFF92FD"/>
    <w:rsid w:val="FEFFF2F2"/>
    <w:rsid w:val="FF1FC617"/>
    <w:rsid w:val="FF3FBEA1"/>
    <w:rsid w:val="FF3FD0B3"/>
    <w:rsid w:val="FF4DFF11"/>
    <w:rsid w:val="FF4F0527"/>
    <w:rsid w:val="FF5BCBA9"/>
    <w:rsid w:val="FF5BE0C2"/>
    <w:rsid w:val="FF5FD35F"/>
    <w:rsid w:val="FF7C733A"/>
    <w:rsid w:val="FF8A1E4E"/>
    <w:rsid w:val="FF9C3594"/>
    <w:rsid w:val="FFAF580F"/>
    <w:rsid w:val="FFBB58BA"/>
    <w:rsid w:val="FFBBEB92"/>
    <w:rsid w:val="FFBDA195"/>
    <w:rsid w:val="FFCEDCEE"/>
    <w:rsid w:val="FFD7A303"/>
    <w:rsid w:val="FFD7A69E"/>
    <w:rsid w:val="FFDB1E84"/>
    <w:rsid w:val="FFDC3DD8"/>
    <w:rsid w:val="FFDD06B4"/>
    <w:rsid w:val="FFDE9A2D"/>
    <w:rsid w:val="FFE57E77"/>
    <w:rsid w:val="FFEB7DAB"/>
    <w:rsid w:val="FFEC12BB"/>
    <w:rsid w:val="FFECA782"/>
    <w:rsid w:val="FFED928B"/>
    <w:rsid w:val="FFEF5E18"/>
    <w:rsid w:val="FFF74132"/>
    <w:rsid w:val="FFF74AA8"/>
    <w:rsid w:val="FFF99E5D"/>
    <w:rsid w:val="FFFA308C"/>
    <w:rsid w:val="FFFB2AC2"/>
    <w:rsid w:val="FFFBCE47"/>
    <w:rsid w:val="FFFBEB14"/>
    <w:rsid w:val="FFFDC175"/>
    <w:rsid w:val="FFFE6FA3"/>
    <w:rsid w:val="FFFEB776"/>
    <w:rsid w:val="FFFF08E6"/>
    <w:rsid w:val="FFFF3D51"/>
    <w:rsid w:val="FFFF533E"/>
    <w:rsid w:val="FFFFC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afterLines="0"/>
      <w:ind w:left="420" w:leftChars="200" w:firstLine="420"/>
    </w:pPr>
  </w:style>
  <w:style w:type="paragraph" w:styleId="3">
    <w:name w:val="Body Text Indent"/>
    <w:basedOn w:val="1"/>
    <w:qFormat/>
    <w:uiPriority w:val="0"/>
    <w:pPr>
      <w:ind w:firstLine="630"/>
    </w:pPr>
    <w:rPr>
      <w:szCs w:val="20"/>
    </w:rPr>
  </w:style>
  <w:style w:type="paragraph" w:styleId="4">
    <w:name w:val="Plain Text"/>
    <w:basedOn w:val="1"/>
    <w:link w:val="16"/>
    <w:qFormat/>
    <w:uiPriority w:val="0"/>
    <w:rPr>
      <w:rFonts w:ascii="宋体" w:hAnsi="Courier New" w:eastAsia="宋体" w:cs="Courier New"/>
      <w:sz w:val="21"/>
      <w:szCs w:val="21"/>
    </w:rPr>
  </w:style>
  <w:style w:type="paragraph" w:styleId="5">
    <w:name w:val="Date"/>
    <w:basedOn w:val="1"/>
    <w:next w:val="1"/>
    <w:link w:val="18"/>
    <w:semiHidden/>
    <w:unhideWhenUsed/>
    <w:qFormat/>
    <w:uiPriority w:val="99"/>
    <w:pPr>
      <w:ind w:left="100" w:leftChars="2500"/>
    </w:p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99"/>
    <w:pPr>
      <w:spacing w:line="560" w:lineRule="exact"/>
    </w:pPr>
    <w:rPr>
      <w:rFonts w:eastAsia="宋体"/>
      <w:sz w:val="24"/>
    </w:rPr>
  </w:style>
  <w:style w:type="paragraph" w:styleId="10">
    <w:name w:val="Title"/>
    <w:basedOn w:val="1"/>
    <w:next w:val="1"/>
    <w:qFormat/>
    <w:uiPriority w:val="10"/>
    <w:pPr>
      <w:jc w:val="center"/>
      <w:outlineLvl w:val="0"/>
    </w:pPr>
    <w:rPr>
      <w:rFonts w:ascii="Arial" w:hAnsi="Arial"/>
      <w:b/>
      <w:sz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4">
    <w:name w:val="页眉 Char"/>
    <w:basedOn w:val="13"/>
    <w:link w:val="7"/>
    <w:semiHidden/>
    <w:qFormat/>
    <w:uiPriority w:val="99"/>
    <w:rPr>
      <w:sz w:val="18"/>
      <w:szCs w:val="18"/>
    </w:rPr>
  </w:style>
  <w:style w:type="character" w:customStyle="1" w:styleId="15">
    <w:name w:val="页脚 Char"/>
    <w:basedOn w:val="13"/>
    <w:link w:val="6"/>
    <w:qFormat/>
    <w:uiPriority w:val="99"/>
    <w:rPr>
      <w:sz w:val="18"/>
      <w:szCs w:val="18"/>
    </w:rPr>
  </w:style>
  <w:style w:type="character" w:customStyle="1" w:styleId="16">
    <w:name w:val="纯文本 Char"/>
    <w:basedOn w:val="13"/>
    <w:link w:val="4"/>
    <w:qFormat/>
    <w:uiPriority w:val="0"/>
    <w:rPr>
      <w:rFonts w:ascii="宋体" w:hAnsi="Courier New" w:eastAsia="宋体" w:cs="Courier New"/>
      <w:szCs w:val="21"/>
    </w:rPr>
  </w:style>
  <w:style w:type="paragraph" w:styleId="17">
    <w:name w:val="List Paragraph"/>
    <w:basedOn w:val="1"/>
    <w:qFormat/>
    <w:uiPriority w:val="34"/>
    <w:pPr>
      <w:ind w:firstLine="420" w:firstLineChars="200"/>
    </w:pPr>
  </w:style>
  <w:style w:type="character" w:customStyle="1" w:styleId="18">
    <w:name w:val="日期 Char"/>
    <w:basedOn w:val="13"/>
    <w:link w:val="5"/>
    <w:semiHidden/>
    <w:qFormat/>
    <w:uiPriority w:val="99"/>
    <w:rPr>
      <w:rFonts w:ascii="Times New Roman" w:hAnsi="Times New Roman" w:eastAsia="仿宋_GB2312" w:cs="Times New Roman"/>
      <w:sz w:val="30"/>
      <w:szCs w:val="24"/>
    </w:rPr>
  </w:style>
  <w:style w:type="character" w:customStyle="1" w:styleId="19">
    <w:name w:val="NormalCharacter"/>
    <w:qFormat/>
    <w:uiPriority w:val="0"/>
    <w:rPr>
      <w:rFonts w:ascii="Calibri" w:hAnsi="Calibri" w:eastAsia="宋体" w:cs="Times New Roman"/>
      <w:kern w:val="2"/>
      <w:sz w:val="21"/>
      <w:szCs w:val="24"/>
      <w:lang w:val="en-US" w:eastAsia="zh-CN" w:bidi="ar-SA"/>
    </w:rPr>
  </w:style>
  <w:style w:type="character" w:customStyle="1" w:styleId="20">
    <w:name w:val="font01"/>
    <w:basedOn w:val="13"/>
    <w:qFormat/>
    <w:uiPriority w:val="0"/>
    <w:rPr>
      <w:rFonts w:hint="eastAsia" w:ascii="宋体" w:hAnsi="宋体" w:eastAsia="宋体" w:cs="宋体"/>
      <w:color w:val="000000"/>
      <w:sz w:val="20"/>
      <w:szCs w:val="20"/>
      <w:u w:val="none"/>
    </w:rPr>
  </w:style>
  <w:style w:type="character" w:customStyle="1" w:styleId="21">
    <w:name w:val="font31"/>
    <w:basedOn w:val="13"/>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9</Pages>
  <Words>4051</Words>
  <Characters>5016</Characters>
  <Lines>38</Lines>
  <Paragraphs>10</Paragraphs>
  <TotalTime>16</TotalTime>
  <ScaleCrop>false</ScaleCrop>
  <LinksUpToDate>false</LinksUpToDate>
  <CharactersWithSpaces>5078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2021-12-06T10:40:00Z</dcterms:created>
  <dc:creator>牟伶俐</dc:creator>
  <cp:lastModifiedBy>牟伶俐</cp:lastModifiedBy>
  <cp:lastPrinted>2025-10-14T18:00:00Z</cp:lastPrinted>
  <dcterms:modified xsi:type="dcterms:W3CDTF">2025-10-14T16:37:50Z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47BB76FA37244270AEEE1B5355229B5D</vt:lpwstr>
  </property>
  <property fmtid="{D5CDD505-2E9C-101B-9397-08002B2CF9AE}" pid="4" name="KSOTemplateDocerSaveRecord">
    <vt:lpwstr>eyJoZGlkIjoiMzYzODM0YWNiMDM0YjQ5MmI5ZmRjZTI1YTExY2MxNWUiLCJ1c2VySWQiOiI1MzkyNTE0OTEifQ==</vt:lpwstr>
  </property>
</Properties>
</file>