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587E8">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bookmarkStart w:id="0" w:name="_GoBack"/>
      <w:bookmarkEnd w:id="0"/>
    </w:p>
    <w:p w14:paraId="1AA2E3C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cs="Times New Roman"/>
          <w:color w:val="auto"/>
          <w:kern w:val="0"/>
          <w:sz w:val="44"/>
          <w:szCs w:val="44"/>
          <w:highlight w:val="none"/>
          <w:lang w:val="en-US" w:eastAsia="zh-CN"/>
        </w:rPr>
      </w:pPr>
      <w:r>
        <w:rPr>
          <w:rFonts w:hint="eastAsia" w:eastAsia="方正小标宋简体" w:cs="Times New Roman"/>
          <w:color w:val="auto"/>
          <w:kern w:val="0"/>
          <w:sz w:val="44"/>
          <w:szCs w:val="44"/>
          <w:highlight w:val="none"/>
          <w:lang w:eastAsia="zh-CN"/>
        </w:rPr>
        <w:t>2025年</w:t>
      </w:r>
      <w:r>
        <w:rPr>
          <w:rFonts w:hint="default" w:ascii="Times New Roman" w:hAnsi="Times New Roman" w:eastAsia="方正小标宋简体" w:cs="Times New Roman"/>
          <w:color w:val="auto"/>
          <w:kern w:val="0"/>
          <w:sz w:val="44"/>
          <w:szCs w:val="44"/>
          <w:highlight w:val="none"/>
        </w:rPr>
        <w:t>四川省政府</w:t>
      </w:r>
      <w:r>
        <w:rPr>
          <w:rFonts w:hint="eastAsia" w:eastAsia="方正小标宋简体" w:cs="Times New Roman"/>
          <w:color w:val="auto"/>
          <w:kern w:val="0"/>
          <w:sz w:val="44"/>
          <w:szCs w:val="44"/>
          <w:highlight w:val="none"/>
          <w:lang w:val="en-US" w:eastAsia="zh-CN"/>
        </w:rPr>
        <w:t>再融资专项债券</w:t>
      </w:r>
    </w:p>
    <w:p w14:paraId="188CDB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eastAsia" w:eastAsia="方正小标宋简体" w:cs="Times New Roman"/>
          <w:color w:val="auto"/>
          <w:kern w:val="0"/>
          <w:sz w:val="44"/>
          <w:szCs w:val="44"/>
          <w:highlight w:val="none"/>
          <w:lang w:val="en-US" w:eastAsia="zh-CN"/>
        </w:rPr>
        <w:t>（五至七期）</w:t>
      </w:r>
      <w:r>
        <w:rPr>
          <w:rFonts w:hint="default" w:ascii="Times New Roman" w:hAnsi="Times New Roman" w:eastAsia="方正小标宋简体" w:cs="Times New Roman"/>
          <w:color w:val="auto"/>
          <w:sz w:val="44"/>
          <w:szCs w:val="44"/>
          <w:highlight w:val="none"/>
        </w:rPr>
        <w:t>信息披露文件</w:t>
      </w:r>
    </w:p>
    <w:p w14:paraId="5FB72B38">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14:paraId="57E47F15">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14:paraId="6B1FB05C">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14:paraId="724E344C">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年四川省政府</w:t>
      </w:r>
      <w:r>
        <w:rPr>
          <w:rFonts w:hint="eastAsia" w:ascii="Times New Roman" w:hAnsi="Times New Roman" w:eastAsia="仿宋_GB2312" w:cs="Times New Roman"/>
          <w:color w:val="auto"/>
          <w:sz w:val="32"/>
          <w:szCs w:val="32"/>
          <w:highlight w:val="none"/>
          <w:lang w:val="en-US" w:eastAsia="zh-CN"/>
        </w:rPr>
        <w:t>再融资专项债券（五至七期）</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362.05亿</w:t>
      </w:r>
      <w:r>
        <w:rPr>
          <w:rFonts w:hint="default" w:ascii="Times New Roman" w:hAnsi="Times New Roman" w:eastAsia="仿宋_GB2312" w:cs="Times New Roman"/>
          <w:color w:val="auto"/>
          <w:sz w:val="32"/>
          <w:szCs w:val="32"/>
          <w:highlight w:val="none"/>
        </w:rPr>
        <w:t>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全部</w:t>
      </w:r>
      <w:r>
        <w:rPr>
          <w:rFonts w:hint="default" w:ascii="Times New Roman" w:hAnsi="Times New Roman" w:eastAsia="仿宋_GB2312" w:cs="Times New Roman"/>
          <w:color w:val="auto"/>
          <w:sz w:val="32"/>
          <w:szCs w:val="32"/>
          <w:highlight w:val="none"/>
        </w:rPr>
        <w:t>为</w:t>
      </w:r>
      <w:r>
        <w:rPr>
          <w:rFonts w:hint="eastAsia" w:ascii="Times New Roman" w:hAnsi="Times New Roman" w:eastAsia="仿宋_GB2312" w:cs="Times New Roman"/>
          <w:color w:val="auto"/>
          <w:sz w:val="32"/>
          <w:szCs w:val="32"/>
          <w:highlight w:val="none"/>
          <w:lang w:val="en-US" w:eastAsia="zh-CN"/>
        </w:rPr>
        <w:t>再融资</w:t>
      </w:r>
      <w:r>
        <w:rPr>
          <w:rFonts w:hint="default" w:ascii="Times New Roman" w:hAnsi="Times New Roman" w:eastAsia="仿宋_GB2312" w:cs="Times New Roman"/>
          <w:color w:val="auto"/>
          <w:sz w:val="32"/>
          <w:szCs w:val="32"/>
          <w:highlight w:val="none"/>
        </w:rPr>
        <w:t>债券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期限</w:t>
      </w:r>
      <w:r>
        <w:rPr>
          <w:rFonts w:hint="eastAsia" w:ascii="Times New Roman" w:hAnsi="Times New Roman" w:eastAsia="仿宋_GB2312" w:cs="Times New Roman"/>
          <w:color w:val="auto"/>
          <w:sz w:val="32"/>
          <w:szCs w:val="32"/>
          <w:highlight w:val="none"/>
          <w:lang w:val="en-US" w:eastAsia="zh-CN"/>
        </w:rPr>
        <w:t>分别为10年、20年和30年，债券利息均按半年支付</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再融资专项债券（五至七期）</w:t>
      </w:r>
      <w:r>
        <w:rPr>
          <w:rFonts w:hint="default" w:ascii="Times New Roman" w:hAnsi="Times New Roman" w:eastAsia="仿宋_GB2312" w:cs="Times New Roman"/>
          <w:color w:val="auto"/>
          <w:sz w:val="32"/>
          <w:szCs w:val="32"/>
          <w:highlight w:val="none"/>
        </w:rPr>
        <w:t>有关事项的通知》。</w:t>
      </w:r>
    </w:p>
    <w:p w14:paraId="00BD4F7B">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14:paraId="61DBC5C7">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再融资专项债券（五至七期）</w:t>
      </w:r>
      <w:r>
        <w:rPr>
          <w:rFonts w:hint="default" w:ascii="Times New Roman" w:hAnsi="Times New Roman" w:eastAsia="仿宋_GB2312" w:cs="Times New Roman"/>
          <w:color w:val="auto"/>
          <w:sz w:val="32"/>
          <w:szCs w:val="32"/>
          <w:highlight w:val="none"/>
        </w:rPr>
        <w:t>通过招标方式发行。</w:t>
      </w:r>
      <w:r>
        <w:rPr>
          <w:rFonts w:hint="default" w:ascii="Times New Roman" w:hAnsi="Times New Roman" w:eastAsia="仿宋_GB2312" w:cs="Times New Roman"/>
          <w:sz w:val="32"/>
          <w:szCs w:val="32"/>
          <w:highlight w:val="none"/>
        </w:rPr>
        <w:t>四川省财政厅于招标日通过财政部</w:t>
      </w:r>
      <w:r>
        <w:rPr>
          <w:rFonts w:hint="eastAsia" w:ascii="Times New Roman" w:hAnsi="Times New Roman" w:eastAsia="仿宋_GB2312" w:cs="Times New Roman"/>
          <w:sz w:val="32"/>
          <w:szCs w:val="32"/>
          <w:highlight w:val="none"/>
          <w:lang w:val="en-US" w:eastAsia="zh-CN"/>
        </w:rPr>
        <w:t>深圳证券交易所</w:t>
      </w:r>
      <w:r>
        <w:rPr>
          <w:rFonts w:hint="default" w:ascii="Times New Roman" w:hAnsi="Times New Roman" w:eastAsia="仿宋_GB2312" w:cs="Times New Roman"/>
          <w:sz w:val="32"/>
          <w:szCs w:val="32"/>
          <w:highlight w:val="none"/>
        </w:rPr>
        <w:t>政府债券发行系统组织招投标工作，</w:t>
      </w:r>
      <w:r>
        <w:rPr>
          <w:rFonts w:hint="default" w:ascii="Times New Roman" w:hAnsi="Times New Roman" w:eastAsia="仿宋_GB2312" w:cs="Times New Roman"/>
          <w:color w:val="auto"/>
          <w:sz w:val="32"/>
          <w:szCs w:val="32"/>
          <w:highlight w:val="none"/>
        </w:rPr>
        <w:t>参与机构为</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再融资专项债券（五至七期）</w:t>
      </w:r>
      <w:r>
        <w:rPr>
          <w:rFonts w:hint="default" w:ascii="Times New Roman" w:hAnsi="Times New Roman" w:eastAsia="仿宋_GB2312" w:cs="Times New Roman"/>
          <w:color w:val="auto"/>
          <w:sz w:val="32"/>
          <w:szCs w:val="32"/>
          <w:highlight w:val="none"/>
        </w:rPr>
        <w:t>有关事项的通知》等。</w:t>
      </w:r>
    </w:p>
    <w:p w14:paraId="7D3A4DCA">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14:paraId="41B280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_GB2312" w:cs="Times New Roman"/>
          <w:sz w:val="32"/>
          <w:szCs w:val="32"/>
          <w:highlight w:val="none"/>
          <w:u w:val="none"/>
          <w:lang w:val="en-US" w:eastAsia="zh-CN"/>
        </w:rPr>
      </w:pPr>
      <w:r>
        <w:rPr>
          <w:rFonts w:hint="eastAsia" w:cs="Times New Roman"/>
          <w:sz w:val="32"/>
          <w:szCs w:val="32"/>
          <w:highlight w:val="none"/>
          <w:u w:val="none"/>
          <w:lang w:val="en-US" w:eastAsia="zh-CN"/>
        </w:rPr>
        <w:t>置换存量隐性债务。</w:t>
      </w:r>
    </w:p>
    <w:p w14:paraId="20CE994D">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二、信用评级情况</w:t>
      </w:r>
    </w:p>
    <w:p w14:paraId="4066235F">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再融资专项债券（五至七期）</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w:t>
      </w:r>
      <w:r>
        <w:rPr>
          <w:rFonts w:hint="eastAsia" w:ascii="Times New Roman" w:hAnsi="Times New Roman" w:eastAsia="仿宋_GB2312" w:cs="Times New Roman"/>
          <w:color w:val="auto"/>
          <w:sz w:val="32"/>
          <w:szCs w:val="32"/>
          <w:highlight w:val="none"/>
          <w:lang w:eastAsia="zh-CN"/>
        </w:rPr>
        <w:t>再融资专项债券（五至七期）</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14:paraId="7D4B65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14:paraId="2F91D307">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14:paraId="10B7620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14:paraId="5A91817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14:paraId="0234C229">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14:paraId="2E4F87B9">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14:paraId="4F0F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14:paraId="5F100581">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14:paraId="12E1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14:paraId="7D0F1E15">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w:t>
            </w:r>
            <w:r>
              <w:rPr>
                <w:rFonts w:hint="eastAsia" w:cs="Times New Roman"/>
                <w:b/>
                <w:bCs/>
                <w:kern w:val="2"/>
                <w:sz w:val="24"/>
                <w:szCs w:val="21"/>
                <w:highlight w:val="none"/>
                <w:lang w:val="en-US" w:eastAsia="zh-CN" w:bidi="ar-SA"/>
              </w:rPr>
              <w:t>2</w:t>
            </w:r>
            <w:r>
              <w:rPr>
                <w:rFonts w:hint="default" w:ascii="Times New Roman" w:hAnsi="Times New Roman" w:eastAsia="仿宋_GB2312" w:cs="Times New Roman"/>
                <w:b/>
                <w:bCs/>
                <w:kern w:val="2"/>
                <w:sz w:val="24"/>
                <w:szCs w:val="21"/>
                <w:highlight w:val="none"/>
                <w:lang w:val="en-US" w:eastAsia="zh-CN" w:bidi="ar-SA"/>
              </w:rPr>
              <w:t>－202</w:t>
            </w:r>
            <w:r>
              <w:rPr>
                <w:rFonts w:hint="eastAsia" w:cs="Times New Roman"/>
                <w:b/>
                <w:bCs/>
                <w:kern w:val="2"/>
                <w:sz w:val="24"/>
                <w:szCs w:val="21"/>
                <w:highlight w:val="none"/>
                <w:lang w:val="en-US" w:eastAsia="zh-CN" w:bidi="ar-SA"/>
              </w:rPr>
              <w:t>4</w:t>
            </w:r>
            <w:r>
              <w:rPr>
                <w:rFonts w:hint="default" w:ascii="Times New Roman" w:hAnsi="Times New Roman" w:cs="Times New Roman"/>
                <w:b/>
                <w:kern w:val="0"/>
                <w:sz w:val="24"/>
                <w:highlight w:val="none"/>
              </w:rPr>
              <w:t>年经济基本状况</w:t>
            </w:r>
          </w:p>
        </w:tc>
      </w:tr>
      <w:tr w14:paraId="7F7D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14:paraId="63CFB9D8">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pRh4dYAAAAHAQAADwAAAAAAAAABACAAAAAiAAAAZHJzL2Rv&#10;d25yZXYueG1sUEsBAhQAFAAAAAgAh07iQEvAzi8DAgAA8QMAAA4AAAAAAAAAAQAgAAAAJQ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14:paraId="1F932F44">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14:paraId="6C9BDBE5">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722" w:type="dxa"/>
            <w:gridSpan w:val="2"/>
            <w:shd w:val="clear" w:color="auto" w:fill="auto"/>
            <w:noWrap/>
            <w:vAlign w:val="center"/>
          </w:tcPr>
          <w:p w14:paraId="165FE8FC">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14:paraId="1FE55D19">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eastAsia" w:cs="Times New Roman"/>
                <w:kern w:val="0"/>
                <w:sz w:val="24"/>
                <w:highlight w:val="none"/>
                <w:lang w:val="en-US" w:eastAsia="zh-CN"/>
              </w:rPr>
              <w:t>4</w:t>
            </w:r>
            <w:r>
              <w:rPr>
                <w:rFonts w:hint="default" w:ascii="Times New Roman" w:hAnsi="Times New Roman" w:cs="Times New Roman"/>
                <w:kern w:val="0"/>
                <w:sz w:val="24"/>
                <w:highlight w:val="none"/>
                <w:lang w:val="en" w:eastAsia="zh-CN"/>
              </w:rPr>
              <w:t>年</w:t>
            </w:r>
          </w:p>
        </w:tc>
      </w:tr>
      <w:tr w14:paraId="49D6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29617E">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14:paraId="7406626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722" w:type="dxa"/>
            <w:gridSpan w:val="2"/>
            <w:shd w:val="clear" w:color="auto" w:fill="auto"/>
            <w:noWrap/>
            <w:vAlign w:val="center"/>
          </w:tcPr>
          <w:p w14:paraId="5C5CD8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c>
          <w:tcPr>
            <w:tcW w:w="1534" w:type="dxa"/>
            <w:gridSpan w:val="3"/>
            <w:shd w:val="clear" w:color="auto" w:fill="auto"/>
            <w:noWrap/>
            <w:vAlign w:val="center"/>
          </w:tcPr>
          <w:p w14:paraId="2D9193FE">
            <w:pPr>
              <w:spacing w:line="40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64697.0</w:t>
            </w:r>
          </w:p>
        </w:tc>
      </w:tr>
      <w:tr w14:paraId="1192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E1F03B">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14:paraId="3D7D10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722" w:type="dxa"/>
            <w:gridSpan w:val="2"/>
            <w:shd w:val="clear" w:color="auto" w:fill="auto"/>
            <w:noWrap/>
            <w:vAlign w:val="center"/>
          </w:tcPr>
          <w:p w14:paraId="0F199C8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w:t>
            </w:r>
          </w:p>
        </w:tc>
        <w:tc>
          <w:tcPr>
            <w:tcW w:w="1534" w:type="dxa"/>
            <w:gridSpan w:val="3"/>
            <w:shd w:val="clear" w:color="auto" w:fill="auto"/>
            <w:noWrap/>
            <w:vAlign w:val="center"/>
          </w:tcPr>
          <w:p w14:paraId="5918E4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5.7</w:t>
            </w:r>
          </w:p>
        </w:tc>
      </w:tr>
      <w:tr w14:paraId="17F1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8994F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14:paraId="72E0400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722" w:type="dxa"/>
            <w:gridSpan w:val="2"/>
            <w:shd w:val="clear" w:color="auto" w:fill="auto"/>
            <w:noWrap/>
            <w:vAlign w:val="center"/>
          </w:tcPr>
          <w:p w14:paraId="36E0465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6056.64</w:t>
            </w:r>
          </w:p>
        </w:tc>
        <w:tc>
          <w:tcPr>
            <w:tcW w:w="1534" w:type="dxa"/>
            <w:gridSpan w:val="3"/>
            <w:shd w:val="clear" w:color="auto" w:fill="auto"/>
            <w:noWrap/>
            <w:vAlign w:val="center"/>
          </w:tcPr>
          <w:p w14:paraId="71F34427">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5619.9</w:t>
            </w:r>
          </w:p>
        </w:tc>
      </w:tr>
      <w:tr w14:paraId="7B5C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FBED16A">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14:paraId="625876E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722" w:type="dxa"/>
            <w:gridSpan w:val="2"/>
            <w:shd w:val="clear" w:color="auto" w:fill="auto"/>
            <w:noWrap/>
            <w:vAlign w:val="center"/>
          </w:tcPr>
          <w:p w14:paraId="53C18B0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21306.70</w:t>
            </w:r>
          </w:p>
        </w:tc>
        <w:tc>
          <w:tcPr>
            <w:tcW w:w="1534" w:type="dxa"/>
            <w:gridSpan w:val="3"/>
            <w:shd w:val="clear" w:color="auto" w:fill="auto"/>
            <w:noWrap/>
            <w:vAlign w:val="center"/>
          </w:tcPr>
          <w:p w14:paraId="3859DEBE">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22816.9</w:t>
            </w:r>
          </w:p>
        </w:tc>
      </w:tr>
      <w:tr w14:paraId="681E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175669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14:paraId="09B5296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722" w:type="dxa"/>
            <w:gridSpan w:val="2"/>
            <w:shd w:val="clear" w:color="auto" w:fill="auto"/>
            <w:noWrap/>
            <w:vAlign w:val="center"/>
          </w:tcPr>
          <w:p w14:paraId="32B7474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32769.54</w:t>
            </w:r>
          </w:p>
        </w:tc>
        <w:tc>
          <w:tcPr>
            <w:tcW w:w="1534" w:type="dxa"/>
            <w:gridSpan w:val="3"/>
            <w:shd w:val="clear" w:color="auto" w:fill="auto"/>
            <w:noWrap/>
            <w:vAlign w:val="center"/>
          </w:tcPr>
          <w:p w14:paraId="40BFA6E4">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36260.2</w:t>
            </w:r>
          </w:p>
        </w:tc>
      </w:tr>
      <w:tr w14:paraId="2054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93AEAC2">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14:paraId="04DA080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14:paraId="5289E9D1">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14:paraId="633022A8">
            <w:pPr>
              <w:spacing w:line="400" w:lineRule="exact"/>
              <w:ind w:left="640"/>
              <w:jc w:val="right"/>
              <w:rPr>
                <w:rFonts w:hint="default" w:ascii="Times New Roman" w:hAnsi="Times New Roman" w:eastAsia="仿宋_GB2312" w:cs="Times New Roman"/>
                <w:sz w:val="24"/>
                <w:highlight w:val="none"/>
              </w:rPr>
            </w:pPr>
          </w:p>
        </w:tc>
      </w:tr>
      <w:tr w14:paraId="7F4A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724E2D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14:paraId="13C800B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w:t>
            </w:r>
          </w:p>
        </w:tc>
        <w:tc>
          <w:tcPr>
            <w:tcW w:w="1722" w:type="dxa"/>
            <w:gridSpan w:val="2"/>
            <w:shd w:val="clear" w:color="auto" w:fill="auto"/>
            <w:noWrap/>
            <w:vAlign w:val="center"/>
          </w:tcPr>
          <w:p w14:paraId="4792923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10.1</w:t>
            </w:r>
          </w:p>
        </w:tc>
        <w:tc>
          <w:tcPr>
            <w:tcW w:w="1534" w:type="dxa"/>
            <w:gridSpan w:val="3"/>
            <w:shd w:val="clear" w:color="auto" w:fill="auto"/>
            <w:noWrap/>
            <w:vAlign w:val="center"/>
          </w:tcPr>
          <w:p w14:paraId="41CEE1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8.7</w:t>
            </w:r>
          </w:p>
        </w:tc>
      </w:tr>
      <w:tr w14:paraId="5286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629ED1F">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14:paraId="525D5E28">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722" w:type="dxa"/>
            <w:gridSpan w:val="2"/>
            <w:shd w:val="clear" w:color="auto" w:fill="auto"/>
            <w:noWrap/>
            <w:vAlign w:val="center"/>
          </w:tcPr>
          <w:p w14:paraId="378C8C1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35.4</w:t>
            </w:r>
          </w:p>
        </w:tc>
        <w:tc>
          <w:tcPr>
            <w:tcW w:w="1534" w:type="dxa"/>
            <w:gridSpan w:val="3"/>
            <w:shd w:val="clear" w:color="auto" w:fill="auto"/>
            <w:noWrap/>
            <w:vAlign w:val="center"/>
          </w:tcPr>
          <w:p w14:paraId="58676C5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35.3</w:t>
            </w:r>
          </w:p>
        </w:tc>
      </w:tr>
      <w:tr w14:paraId="725A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1923E61">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14:paraId="5F51C80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722" w:type="dxa"/>
            <w:gridSpan w:val="2"/>
            <w:shd w:val="clear" w:color="auto" w:fill="auto"/>
            <w:noWrap/>
            <w:vAlign w:val="center"/>
          </w:tcPr>
          <w:p w14:paraId="1309DC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54.5</w:t>
            </w:r>
          </w:p>
        </w:tc>
        <w:tc>
          <w:tcPr>
            <w:tcW w:w="1534" w:type="dxa"/>
            <w:gridSpan w:val="3"/>
            <w:shd w:val="clear" w:color="auto" w:fill="auto"/>
            <w:noWrap/>
            <w:vAlign w:val="center"/>
          </w:tcPr>
          <w:p w14:paraId="29FAE2B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56.0</w:t>
            </w:r>
          </w:p>
        </w:tc>
      </w:tr>
      <w:tr w14:paraId="048D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A90558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14:paraId="29B6228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722" w:type="dxa"/>
            <w:gridSpan w:val="2"/>
            <w:shd w:val="clear" w:color="auto" w:fill="auto"/>
            <w:noWrap/>
            <w:vAlign w:val="center"/>
          </w:tcPr>
          <w:p w14:paraId="54FF201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4.4</w:t>
            </w:r>
          </w:p>
        </w:tc>
        <w:tc>
          <w:tcPr>
            <w:tcW w:w="1534" w:type="dxa"/>
            <w:gridSpan w:val="3"/>
            <w:shd w:val="clear" w:color="auto" w:fill="auto"/>
            <w:noWrap/>
            <w:vAlign w:val="center"/>
          </w:tcPr>
          <w:p w14:paraId="288D356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2.4</w:t>
            </w:r>
          </w:p>
        </w:tc>
      </w:tr>
      <w:tr w14:paraId="5C75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C1EC6E6">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进出口总额（亿元）</w:t>
            </w:r>
          </w:p>
        </w:tc>
        <w:tc>
          <w:tcPr>
            <w:tcW w:w="1552" w:type="dxa"/>
            <w:gridSpan w:val="3"/>
            <w:shd w:val="clear" w:color="auto" w:fill="auto"/>
            <w:noWrap/>
            <w:vAlign w:val="center"/>
          </w:tcPr>
          <w:p w14:paraId="243029E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10076.8</w:t>
            </w:r>
          </w:p>
        </w:tc>
        <w:tc>
          <w:tcPr>
            <w:tcW w:w="1722" w:type="dxa"/>
            <w:gridSpan w:val="2"/>
            <w:shd w:val="clear" w:color="auto" w:fill="auto"/>
            <w:noWrap/>
            <w:vAlign w:val="center"/>
          </w:tcPr>
          <w:p w14:paraId="21C9B99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9574.9</w:t>
            </w:r>
          </w:p>
        </w:tc>
        <w:tc>
          <w:tcPr>
            <w:tcW w:w="1534" w:type="dxa"/>
            <w:gridSpan w:val="3"/>
            <w:shd w:val="clear" w:color="auto" w:fill="auto"/>
            <w:noWrap/>
            <w:vAlign w:val="center"/>
          </w:tcPr>
          <w:p w14:paraId="39D4DE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10457.2</w:t>
            </w:r>
          </w:p>
        </w:tc>
      </w:tr>
      <w:tr w14:paraId="7128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D351A2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出口额（亿元）</w:t>
            </w:r>
          </w:p>
        </w:tc>
        <w:tc>
          <w:tcPr>
            <w:tcW w:w="1552" w:type="dxa"/>
            <w:gridSpan w:val="3"/>
            <w:shd w:val="clear" w:color="auto" w:fill="auto"/>
            <w:noWrap/>
            <w:vAlign w:val="center"/>
          </w:tcPr>
          <w:p w14:paraId="7BB31C4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6215.2</w:t>
            </w:r>
          </w:p>
        </w:tc>
        <w:tc>
          <w:tcPr>
            <w:tcW w:w="1722" w:type="dxa"/>
            <w:gridSpan w:val="2"/>
            <w:shd w:val="clear" w:color="auto" w:fill="auto"/>
            <w:noWrap/>
            <w:vAlign w:val="center"/>
          </w:tcPr>
          <w:p w14:paraId="2710858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6033.9</w:t>
            </w:r>
          </w:p>
        </w:tc>
        <w:tc>
          <w:tcPr>
            <w:tcW w:w="1534" w:type="dxa"/>
            <w:gridSpan w:val="3"/>
            <w:shd w:val="clear" w:color="auto" w:fill="auto"/>
            <w:noWrap/>
            <w:vAlign w:val="center"/>
          </w:tcPr>
          <w:p w14:paraId="464F4D9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6177.7</w:t>
            </w:r>
          </w:p>
        </w:tc>
      </w:tr>
      <w:tr w14:paraId="3CE7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BDAA19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进口额（亿元）</w:t>
            </w:r>
          </w:p>
        </w:tc>
        <w:tc>
          <w:tcPr>
            <w:tcW w:w="1552" w:type="dxa"/>
            <w:gridSpan w:val="3"/>
            <w:shd w:val="clear" w:color="auto" w:fill="auto"/>
            <w:noWrap/>
            <w:vAlign w:val="center"/>
          </w:tcPr>
          <w:p w14:paraId="0B39057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kern w:val="2"/>
                <w:sz w:val="24"/>
                <w:szCs w:val="24"/>
                <w:highlight w:val="none"/>
                <w:lang w:val="en-US" w:eastAsia="zh-CN" w:bidi="ar-SA"/>
              </w:rPr>
              <w:t>3861.6</w:t>
            </w:r>
          </w:p>
        </w:tc>
        <w:tc>
          <w:tcPr>
            <w:tcW w:w="1722" w:type="dxa"/>
            <w:gridSpan w:val="2"/>
            <w:shd w:val="clear" w:color="auto" w:fill="auto"/>
            <w:noWrap/>
            <w:vAlign w:val="center"/>
          </w:tcPr>
          <w:p w14:paraId="6BB79D8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3541.0</w:t>
            </w:r>
          </w:p>
        </w:tc>
        <w:tc>
          <w:tcPr>
            <w:tcW w:w="1534" w:type="dxa"/>
            <w:gridSpan w:val="3"/>
            <w:shd w:val="clear" w:color="auto" w:fill="auto"/>
            <w:noWrap/>
            <w:vAlign w:val="center"/>
          </w:tcPr>
          <w:p w14:paraId="10CB6DBE">
            <w:pPr>
              <w:spacing w:line="400" w:lineRule="exact"/>
              <w:jc w:val="right"/>
              <w:rPr>
                <w:rFonts w:hint="default" w:ascii="Times New Roman" w:hAnsi="Times New Roman" w:eastAsia="仿宋_GB2312" w:cs="Times New Roman"/>
                <w:kern w:val="2"/>
                <w:sz w:val="24"/>
                <w:szCs w:val="24"/>
                <w:highlight w:val="none"/>
                <w:lang w:val="en" w:eastAsia="zh-CN" w:bidi="ar-SA"/>
              </w:rPr>
            </w:pPr>
            <w:r>
              <w:rPr>
                <w:rFonts w:hint="eastAsia" w:cs="Times New Roman"/>
                <w:sz w:val="24"/>
                <w:highlight w:val="none"/>
                <w:lang w:val="en-US" w:eastAsia="zh-CN"/>
              </w:rPr>
              <w:t>4279.5</w:t>
            </w:r>
          </w:p>
        </w:tc>
      </w:tr>
      <w:tr w14:paraId="5477E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63C5EA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14:paraId="383EF97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722" w:type="dxa"/>
            <w:gridSpan w:val="2"/>
            <w:shd w:val="clear" w:color="auto" w:fill="auto"/>
            <w:noWrap/>
            <w:vAlign w:val="center"/>
          </w:tcPr>
          <w:p w14:paraId="0C63CED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26313.4</w:t>
            </w:r>
          </w:p>
        </w:tc>
        <w:tc>
          <w:tcPr>
            <w:tcW w:w="1534" w:type="dxa"/>
            <w:gridSpan w:val="3"/>
            <w:shd w:val="clear" w:color="auto" w:fill="auto"/>
            <w:noWrap/>
            <w:vAlign w:val="center"/>
          </w:tcPr>
          <w:p w14:paraId="6525088C">
            <w:pPr>
              <w:spacing w:line="400" w:lineRule="exact"/>
              <w:jc w:val="right"/>
              <w:rPr>
                <w:rFonts w:hint="default" w:ascii="Times New Roman" w:hAnsi="Times New Roman" w:eastAsia="仿宋_GB2312" w:cs="Times New Roman"/>
                <w:kern w:val="2"/>
                <w:sz w:val="28"/>
                <w:szCs w:val="28"/>
                <w:highlight w:val="yellow"/>
                <w:lang w:val="en-US" w:eastAsia="zh-CN" w:bidi="ar-SA"/>
              </w:rPr>
            </w:pPr>
            <w:r>
              <w:rPr>
                <w:rFonts w:hint="eastAsia" w:cs="Times New Roman"/>
                <w:sz w:val="24"/>
                <w:highlight w:val="none"/>
                <w:lang w:val="en-US" w:eastAsia="zh-CN"/>
              </w:rPr>
              <w:t>27709.8</w:t>
            </w:r>
          </w:p>
        </w:tc>
      </w:tr>
      <w:tr w14:paraId="25D4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1A71C9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14:paraId="7D86116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722" w:type="dxa"/>
            <w:gridSpan w:val="2"/>
            <w:shd w:val="clear" w:color="auto" w:fill="auto"/>
            <w:noWrap/>
            <w:vAlign w:val="center"/>
          </w:tcPr>
          <w:p w14:paraId="0B0FCA71">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45227</w:t>
            </w:r>
          </w:p>
        </w:tc>
        <w:tc>
          <w:tcPr>
            <w:tcW w:w="1534" w:type="dxa"/>
            <w:gridSpan w:val="3"/>
            <w:shd w:val="clear" w:color="auto" w:fill="auto"/>
            <w:noWrap/>
            <w:vAlign w:val="center"/>
          </w:tcPr>
          <w:p w14:paraId="26DF1FB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47336.0</w:t>
            </w:r>
          </w:p>
        </w:tc>
      </w:tr>
      <w:tr w14:paraId="5F0B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B8A3D8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14:paraId="196C42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722" w:type="dxa"/>
            <w:gridSpan w:val="2"/>
            <w:shd w:val="clear" w:color="auto" w:fill="auto"/>
            <w:noWrap/>
            <w:vAlign w:val="center"/>
          </w:tcPr>
          <w:p w14:paraId="3DD94C1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19978</w:t>
            </w:r>
          </w:p>
        </w:tc>
        <w:tc>
          <w:tcPr>
            <w:tcW w:w="1534" w:type="dxa"/>
            <w:gridSpan w:val="3"/>
            <w:shd w:val="clear" w:color="auto" w:fill="auto"/>
            <w:noWrap/>
            <w:vAlign w:val="center"/>
          </w:tcPr>
          <w:p w14:paraId="4035B48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21303.0</w:t>
            </w:r>
          </w:p>
        </w:tc>
      </w:tr>
      <w:tr w14:paraId="6EE8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B96E3C9">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14:paraId="769CE5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722" w:type="dxa"/>
            <w:gridSpan w:val="2"/>
            <w:shd w:val="clear" w:color="auto" w:fill="auto"/>
            <w:noWrap/>
            <w:vAlign w:val="center"/>
          </w:tcPr>
          <w:p w14:paraId="752C963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100.0</w:t>
            </w:r>
          </w:p>
        </w:tc>
        <w:tc>
          <w:tcPr>
            <w:tcW w:w="1534" w:type="dxa"/>
            <w:gridSpan w:val="3"/>
            <w:shd w:val="clear" w:color="auto" w:fill="auto"/>
            <w:noWrap/>
            <w:vAlign w:val="center"/>
          </w:tcPr>
          <w:p w14:paraId="1ECE303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eastAsia" w:cs="Times New Roman"/>
                <w:sz w:val="24"/>
                <w:highlight w:val="none"/>
                <w:lang w:val="en-US" w:eastAsia="zh-CN"/>
              </w:rPr>
              <w:t>100.0</w:t>
            </w:r>
          </w:p>
        </w:tc>
      </w:tr>
      <w:tr w14:paraId="03B4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4056750">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14:paraId="64729D1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722" w:type="dxa"/>
            <w:gridSpan w:val="2"/>
            <w:shd w:val="clear" w:color="auto" w:fill="auto"/>
            <w:noWrap/>
            <w:vAlign w:val="center"/>
          </w:tcPr>
          <w:p w14:paraId="1208D099">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97.6</w:t>
            </w:r>
          </w:p>
        </w:tc>
        <w:tc>
          <w:tcPr>
            <w:tcW w:w="1534" w:type="dxa"/>
            <w:gridSpan w:val="3"/>
            <w:shd w:val="clear" w:color="auto" w:fill="auto"/>
            <w:noWrap/>
            <w:vAlign w:val="center"/>
          </w:tcPr>
          <w:p w14:paraId="6A7CB6B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97.9</w:t>
            </w:r>
          </w:p>
        </w:tc>
      </w:tr>
      <w:tr w14:paraId="339B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CF7CAB7">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14:paraId="165DD3CB">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722" w:type="dxa"/>
            <w:gridSpan w:val="2"/>
            <w:shd w:val="clear" w:color="auto" w:fill="auto"/>
            <w:noWrap/>
            <w:vAlign w:val="center"/>
          </w:tcPr>
          <w:p w14:paraId="2BB9708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97.1</w:t>
            </w:r>
          </w:p>
        </w:tc>
        <w:tc>
          <w:tcPr>
            <w:tcW w:w="1534" w:type="dxa"/>
            <w:gridSpan w:val="3"/>
            <w:shd w:val="clear" w:color="auto" w:fill="auto"/>
            <w:noWrap/>
            <w:vAlign w:val="center"/>
          </w:tcPr>
          <w:p w14:paraId="27533715">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97.3</w:t>
            </w:r>
          </w:p>
        </w:tc>
      </w:tr>
      <w:tr w14:paraId="5EE2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F4FFAD1">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5A8332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w:t>
            </w:r>
            <w:r>
              <w:rPr>
                <w:rFonts w:hint="eastAsia" w:cs="Times New Roman"/>
                <w:kern w:val="2"/>
                <w:sz w:val="24"/>
                <w:szCs w:val="24"/>
                <w:highlight w:val="none"/>
                <w:lang w:val="en-US" w:eastAsia="zh-CN" w:bidi="ar-SA"/>
              </w:rPr>
              <w:t>.2</w:t>
            </w:r>
          </w:p>
        </w:tc>
        <w:tc>
          <w:tcPr>
            <w:tcW w:w="1722" w:type="dxa"/>
            <w:gridSpan w:val="2"/>
            <w:shd w:val="clear" w:color="auto" w:fill="auto"/>
            <w:noWrap/>
            <w:vAlign w:val="center"/>
          </w:tcPr>
          <w:p w14:paraId="3593558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12</w:t>
            </w:r>
            <w:r>
              <w:rPr>
                <w:rFonts w:hint="eastAsia" w:cs="Times New Roman"/>
                <w:sz w:val="24"/>
                <w:highlight w:val="none"/>
                <w:lang w:val="en-US" w:eastAsia="zh-CN"/>
              </w:rPr>
              <w:t>.3</w:t>
            </w:r>
          </w:p>
        </w:tc>
        <w:tc>
          <w:tcPr>
            <w:tcW w:w="1534" w:type="dxa"/>
            <w:gridSpan w:val="3"/>
            <w:shd w:val="clear" w:color="auto" w:fill="auto"/>
            <w:noWrap/>
            <w:vAlign w:val="center"/>
          </w:tcPr>
          <w:p w14:paraId="3F8B9A3B">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13.3</w:t>
            </w:r>
          </w:p>
        </w:tc>
      </w:tr>
      <w:tr w14:paraId="0331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AA1F41E">
            <w:pPr>
              <w:widowControl/>
              <w:spacing w:line="40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w:t>
            </w:r>
            <w:r>
              <w:rPr>
                <w:rFonts w:hint="eastAsia" w:cs="Times New Roman"/>
                <w:kern w:val="0"/>
                <w:sz w:val="24"/>
                <w:highlight w:val="none"/>
                <w:lang w:val="en-US" w:eastAsia="zh-CN"/>
              </w:rPr>
              <w:t>万</w:t>
            </w:r>
            <w:r>
              <w:rPr>
                <w:rFonts w:hint="default" w:ascii="Times New Roman" w:hAnsi="Times New Roman" w:cs="Times New Roman"/>
                <w:kern w:val="0"/>
                <w:sz w:val="24"/>
                <w:highlight w:val="none"/>
              </w:rPr>
              <w:t>亿元）</w:t>
            </w:r>
          </w:p>
        </w:tc>
        <w:tc>
          <w:tcPr>
            <w:tcW w:w="1552" w:type="dxa"/>
            <w:gridSpan w:val="3"/>
            <w:shd w:val="clear" w:color="auto" w:fill="auto"/>
            <w:noWrap/>
            <w:vAlign w:val="center"/>
          </w:tcPr>
          <w:p w14:paraId="77A35AA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w:t>
            </w:r>
            <w:r>
              <w:rPr>
                <w:rFonts w:hint="eastAsia" w:cs="Times New Roman"/>
                <w:kern w:val="2"/>
                <w:sz w:val="24"/>
                <w:szCs w:val="24"/>
                <w:highlight w:val="none"/>
                <w:lang w:val="en-US" w:eastAsia="zh-CN" w:bidi="ar-SA"/>
              </w:rPr>
              <w:t>.</w:t>
            </w:r>
            <w:r>
              <w:rPr>
                <w:rFonts w:hint="default" w:ascii="Times New Roman" w:hAnsi="Times New Roman" w:cs="Times New Roman"/>
                <w:kern w:val="2"/>
                <w:sz w:val="24"/>
                <w:szCs w:val="24"/>
                <w:highlight w:val="none"/>
                <w:lang w:val="en-US" w:eastAsia="zh-CN" w:bidi="ar-SA"/>
              </w:rPr>
              <w:t>2</w:t>
            </w:r>
          </w:p>
        </w:tc>
        <w:tc>
          <w:tcPr>
            <w:tcW w:w="1722" w:type="dxa"/>
            <w:gridSpan w:val="2"/>
            <w:shd w:val="clear" w:color="auto" w:fill="auto"/>
            <w:noWrap/>
            <w:vAlign w:val="center"/>
          </w:tcPr>
          <w:p w14:paraId="35106CF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10</w:t>
            </w:r>
            <w:r>
              <w:rPr>
                <w:rFonts w:hint="eastAsia" w:cs="Times New Roman"/>
                <w:sz w:val="24"/>
                <w:highlight w:val="none"/>
                <w:lang w:val="en-US" w:eastAsia="zh-CN"/>
              </w:rPr>
              <w:t>.6</w:t>
            </w:r>
          </w:p>
        </w:tc>
        <w:tc>
          <w:tcPr>
            <w:tcW w:w="1534" w:type="dxa"/>
            <w:gridSpan w:val="3"/>
            <w:shd w:val="clear" w:color="auto" w:fill="auto"/>
            <w:noWrap/>
            <w:vAlign w:val="center"/>
          </w:tcPr>
          <w:p w14:paraId="7AED7998">
            <w:pPr>
              <w:spacing w:line="400" w:lineRule="exact"/>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11.7</w:t>
            </w:r>
          </w:p>
        </w:tc>
      </w:tr>
      <w:tr w14:paraId="5281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14:paraId="0DB7A506">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14:paraId="1D0C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14:paraId="576D8D0A">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14:paraId="0D73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14:paraId="4716A0D3">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XJwl1wAAAAgBAAAPAAAAAAAAAAEAIAAAACIAAABkcnMv&#10;ZG93bnJldi54bWxQSwECFAAUAAAACACHTuJAXAMjcQQCAADxAwAADgAAAAAAAAABACAAAAAm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14:paraId="5A2705BF">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14:paraId="4701B960">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14:paraId="14AA3747">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c>
          <w:tcPr>
            <w:tcW w:w="2130" w:type="dxa"/>
            <w:gridSpan w:val="4"/>
            <w:shd w:val="clear" w:color="auto" w:fill="auto"/>
            <w:noWrap/>
            <w:vAlign w:val="center"/>
          </w:tcPr>
          <w:p w14:paraId="41688ABB">
            <w:pPr>
              <w:widowControl/>
              <w:spacing w:line="400" w:lineRule="exact"/>
              <w:ind w:firstLine="480" w:firstLineChars="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5</w:t>
            </w:r>
            <w:r>
              <w:rPr>
                <w:rFonts w:hint="eastAsia" w:cs="Times New Roman"/>
                <w:kern w:val="0"/>
                <w:sz w:val="24"/>
                <w:highlight w:val="none"/>
                <w:lang w:val="en" w:eastAsia="zh-CN"/>
              </w:rPr>
              <w:t>年</w:t>
            </w:r>
          </w:p>
        </w:tc>
      </w:tr>
      <w:tr w14:paraId="367F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14:paraId="6FC35206">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14:paraId="5DEF88CE">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14:paraId="7661573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14:paraId="04119DA6">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14:paraId="34D67D40">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14:paraId="4F58759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14:paraId="3F5342E3">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14:paraId="61894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7F52338">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14:paraId="0BDA97F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62" w:type="dxa"/>
            <w:gridSpan w:val="4"/>
            <w:shd w:val="clear" w:color="auto" w:fill="auto"/>
            <w:vAlign w:val="center"/>
          </w:tcPr>
          <w:p w14:paraId="59F10C0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5529.1</w:t>
            </w:r>
          </w:p>
        </w:tc>
        <w:tc>
          <w:tcPr>
            <w:tcW w:w="1031" w:type="dxa"/>
            <w:shd w:val="clear" w:color="auto" w:fill="auto"/>
            <w:noWrap/>
            <w:vAlign w:val="center"/>
          </w:tcPr>
          <w:p w14:paraId="658251E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975.1</w:t>
            </w:r>
          </w:p>
        </w:tc>
        <w:tc>
          <w:tcPr>
            <w:tcW w:w="1182" w:type="dxa"/>
            <w:gridSpan w:val="2"/>
            <w:shd w:val="clear" w:color="auto" w:fill="auto"/>
            <w:vAlign w:val="center"/>
          </w:tcPr>
          <w:p w14:paraId="716DC77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5635.1</w:t>
            </w:r>
          </w:p>
        </w:tc>
        <w:tc>
          <w:tcPr>
            <w:tcW w:w="993" w:type="dxa"/>
            <w:gridSpan w:val="2"/>
            <w:shd w:val="clear" w:color="auto" w:fill="auto"/>
            <w:noWrap/>
            <w:vAlign w:val="center"/>
          </w:tcPr>
          <w:p w14:paraId="6F2806B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963.0</w:t>
            </w:r>
          </w:p>
        </w:tc>
        <w:tc>
          <w:tcPr>
            <w:tcW w:w="1137" w:type="dxa"/>
            <w:gridSpan w:val="2"/>
            <w:shd w:val="clear" w:color="auto" w:fill="auto"/>
            <w:vAlign w:val="center"/>
          </w:tcPr>
          <w:p w14:paraId="2B6EF9D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5748.0</w:t>
            </w:r>
          </w:p>
        </w:tc>
      </w:tr>
      <w:tr w14:paraId="599F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15404D53">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14:paraId="7D566504">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62" w:type="dxa"/>
            <w:gridSpan w:val="4"/>
            <w:shd w:val="clear" w:color="auto" w:fill="auto"/>
            <w:vAlign w:val="center"/>
          </w:tcPr>
          <w:p w14:paraId="1511D3B4">
            <w:pPr>
              <w:widowControl/>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1031" w:type="dxa"/>
            <w:shd w:val="clear" w:color="auto" w:fill="auto"/>
            <w:noWrap/>
            <w:vAlign w:val="center"/>
          </w:tcPr>
          <w:p w14:paraId="0F61AFD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2241.8</w:t>
            </w:r>
          </w:p>
        </w:tc>
        <w:tc>
          <w:tcPr>
            <w:tcW w:w="1182" w:type="dxa"/>
            <w:gridSpan w:val="2"/>
            <w:shd w:val="clear" w:color="auto" w:fill="auto"/>
            <w:vAlign w:val="center"/>
          </w:tcPr>
          <w:p w14:paraId="56B85ACD">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13445.3</w:t>
            </w:r>
          </w:p>
        </w:tc>
        <w:tc>
          <w:tcPr>
            <w:tcW w:w="993" w:type="dxa"/>
            <w:gridSpan w:val="2"/>
            <w:shd w:val="clear" w:color="auto" w:fill="auto"/>
            <w:noWrap/>
            <w:vAlign w:val="center"/>
          </w:tcPr>
          <w:p w14:paraId="52F7313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2245.7</w:t>
            </w:r>
          </w:p>
        </w:tc>
        <w:tc>
          <w:tcPr>
            <w:tcW w:w="1137" w:type="dxa"/>
            <w:gridSpan w:val="2"/>
            <w:shd w:val="clear" w:color="auto" w:fill="auto"/>
            <w:vAlign w:val="center"/>
          </w:tcPr>
          <w:p w14:paraId="4F57EDA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13425.9</w:t>
            </w:r>
          </w:p>
        </w:tc>
      </w:tr>
      <w:tr w14:paraId="1978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14:paraId="560FE1A1">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14:paraId="6CC2BA33">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62" w:type="dxa"/>
            <w:gridSpan w:val="4"/>
            <w:shd w:val="clear" w:color="auto" w:fill="auto"/>
            <w:vAlign w:val="center"/>
          </w:tcPr>
          <w:p w14:paraId="5C47C8EA">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9404.0</w:t>
            </w:r>
          </w:p>
        </w:tc>
        <w:tc>
          <w:tcPr>
            <w:tcW w:w="1031" w:type="dxa"/>
            <w:shd w:val="clear" w:color="auto" w:fill="auto"/>
            <w:noWrap/>
            <w:vAlign w:val="center"/>
          </w:tcPr>
          <w:p w14:paraId="44DBB81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7863.4</w:t>
            </w:r>
          </w:p>
        </w:tc>
        <w:tc>
          <w:tcPr>
            <w:tcW w:w="1182" w:type="dxa"/>
            <w:gridSpan w:val="2"/>
            <w:shd w:val="clear" w:color="auto" w:fill="auto"/>
            <w:vAlign w:val="center"/>
          </w:tcPr>
          <w:p w14:paraId="275B6C0A">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9736.5</w:t>
            </w:r>
          </w:p>
        </w:tc>
        <w:tc>
          <w:tcPr>
            <w:tcW w:w="993" w:type="dxa"/>
            <w:gridSpan w:val="2"/>
            <w:shd w:val="clear" w:color="auto" w:fill="auto"/>
            <w:noWrap/>
            <w:vAlign w:val="center"/>
          </w:tcPr>
          <w:p w14:paraId="3ADEFC6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6593.7</w:t>
            </w:r>
          </w:p>
        </w:tc>
        <w:tc>
          <w:tcPr>
            <w:tcW w:w="1137" w:type="dxa"/>
            <w:gridSpan w:val="2"/>
            <w:shd w:val="clear" w:color="auto" w:fill="auto"/>
            <w:vAlign w:val="center"/>
          </w:tcPr>
          <w:p w14:paraId="3DB5DF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7615.2</w:t>
            </w:r>
          </w:p>
        </w:tc>
      </w:tr>
      <w:tr w14:paraId="49B0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14:paraId="24F6AAF6">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14:paraId="6C680BCF">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62" w:type="dxa"/>
            <w:gridSpan w:val="4"/>
            <w:shd w:val="clear" w:color="auto" w:fill="auto"/>
            <w:vAlign w:val="center"/>
          </w:tcPr>
          <w:p w14:paraId="1694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1042.7</w:t>
            </w:r>
          </w:p>
        </w:tc>
        <w:tc>
          <w:tcPr>
            <w:tcW w:w="1031" w:type="dxa"/>
            <w:shd w:val="clear" w:color="auto" w:fill="auto"/>
            <w:noWrap/>
            <w:vAlign w:val="center"/>
          </w:tcPr>
          <w:p w14:paraId="382ADBFF">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7170.3</w:t>
            </w:r>
          </w:p>
        </w:tc>
        <w:tc>
          <w:tcPr>
            <w:tcW w:w="1182" w:type="dxa"/>
            <w:gridSpan w:val="2"/>
            <w:shd w:val="clear" w:color="auto" w:fill="auto"/>
            <w:vAlign w:val="center"/>
          </w:tcPr>
          <w:p w14:paraId="137C0CEB">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844.5</w:t>
            </w:r>
          </w:p>
        </w:tc>
        <w:tc>
          <w:tcPr>
            <w:tcW w:w="993" w:type="dxa"/>
            <w:gridSpan w:val="2"/>
            <w:shd w:val="clear" w:color="auto" w:fill="auto"/>
            <w:noWrap/>
            <w:vAlign w:val="center"/>
          </w:tcPr>
          <w:p w14:paraId="0D8ED3BE">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6223.4</w:t>
            </w:r>
          </w:p>
        </w:tc>
        <w:tc>
          <w:tcPr>
            <w:tcW w:w="1137" w:type="dxa"/>
            <w:gridSpan w:val="2"/>
            <w:shd w:val="clear" w:color="auto" w:fill="auto"/>
            <w:vAlign w:val="center"/>
          </w:tcPr>
          <w:p w14:paraId="498B99E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81.6</w:t>
            </w:r>
          </w:p>
        </w:tc>
      </w:tr>
      <w:tr w14:paraId="7F48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14:paraId="2C0C899F">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14:paraId="7F98105A">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1417.2</w:t>
            </w:r>
          </w:p>
        </w:tc>
        <w:tc>
          <w:tcPr>
            <w:tcW w:w="1162" w:type="dxa"/>
            <w:gridSpan w:val="4"/>
            <w:shd w:val="clear" w:color="auto" w:fill="auto"/>
            <w:vAlign w:val="center"/>
          </w:tcPr>
          <w:p w14:paraId="0802675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1417.2</w:t>
            </w:r>
          </w:p>
        </w:tc>
        <w:tc>
          <w:tcPr>
            <w:tcW w:w="1031" w:type="dxa"/>
            <w:shd w:val="clear" w:color="auto" w:fill="auto"/>
            <w:noWrap/>
            <w:vAlign w:val="center"/>
          </w:tcPr>
          <w:p w14:paraId="3AE2A8B0">
            <w:pPr>
              <w:widowControl/>
              <w:spacing w:line="240" w:lineRule="exact"/>
              <w:jc w:val="right"/>
              <w:rPr>
                <w:rFonts w:hint="default" w:ascii="Times New Roman" w:hAnsi="Times New Roman" w:eastAsia="仿宋_GB2312" w:cs="Times New Roman"/>
                <w:sz w:val="24"/>
                <w:highlight w:val="none"/>
                <w:lang w:val="en" w:eastAsia="zh-CN"/>
              </w:rPr>
            </w:pPr>
            <w:r>
              <w:rPr>
                <w:rFonts w:hint="eastAsia" w:cs="Times New Roman"/>
                <w:sz w:val="24"/>
                <w:highlight w:val="none"/>
                <w:lang w:val="en-US" w:eastAsia="zh-CN"/>
              </w:rPr>
              <w:t>1061.7</w:t>
            </w:r>
          </w:p>
        </w:tc>
        <w:tc>
          <w:tcPr>
            <w:tcW w:w="1182" w:type="dxa"/>
            <w:gridSpan w:val="2"/>
            <w:shd w:val="clear" w:color="auto" w:fill="auto"/>
            <w:vAlign w:val="center"/>
          </w:tcPr>
          <w:p w14:paraId="3C117C6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1061.7</w:t>
            </w:r>
          </w:p>
        </w:tc>
        <w:tc>
          <w:tcPr>
            <w:tcW w:w="993" w:type="dxa"/>
            <w:gridSpan w:val="2"/>
            <w:shd w:val="clear" w:color="auto" w:fill="auto"/>
            <w:noWrap/>
            <w:vAlign w:val="center"/>
          </w:tcPr>
          <w:p w14:paraId="345121C8">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388F1D9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EF5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14:paraId="0F0A8916">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14:paraId="40C0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F9814C">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14:paraId="1E7FE45E">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129.1</w:t>
            </w:r>
          </w:p>
        </w:tc>
        <w:tc>
          <w:tcPr>
            <w:tcW w:w="1113" w:type="dxa"/>
            <w:gridSpan w:val="3"/>
            <w:shd w:val="clear" w:color="auto" w:fill="auto"/>
            <w:vAlign w:val="center"/>
          </w:tcPr>
          <w:p w14:paraId="7133E590">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1087" w:type="dxa"/>
            <w:gridSpan w:val="2"/>
            <w:shd w:val="clear" w:color="auto" w:fill="auto"/>
            <w:noWrap/>
            <w:vAlign w:val="center"/>
          </w:tcPr>
          <w:p w14:paraId="6A664CB1">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131.9</w:t>
            </w:r>
          </w:p>
        </w:tc>
        <w:tc>
          <w:tcPr>
            <w:tcW w:w="1126" w:type="dxa"/>
            <w:shd w:val="clear" w:color="auto" w:fill="auto"/>
            <w:vAlign w:val="center"/>
          </w:tcPr>
          <w:p w14:paraId="359739DF">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3761.0</w:t>
            </w:r>
          </w:p>
        </w:tc>
        <w:tc>
          <w:tcPr>
            <w:tcW w:w="993" w:type="dxa"/>
            <w:gridSpan w:val="2"/>
            <w:shd w:val="clear" w:color="auto" w:fill="auto"/>
            <w:noWrap/>
            <w:vAlign w:val="center"/>
          </w:tcPr>
          <w:p w14:paraId="50C81D5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121.7</w:t>
            </w:r>
          </w:p>
        </w:tc>
        <w:tc>
          <w:tcPr>
            <w:tcW w:w="1137" w:type="dxa"/>
            <w:gridSpan w:val="2"/>
            <w:shd w:val="clear" w:color="auto" w:fill="auto"/>
            <w:vAlign w:val="center"/>
          </w:tcPr>
          <w:p w14:paraId="1E21FA6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3173.2</w:t>
            </w:r>
          </w:p>
        </w:tc>
      </w:tr>
      <w:tr w14:paraId="7EF6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20598430">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14:paraId="5A94154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13" w:type="dxa"/>
            <w:gridSpan w:val="3"/>
            <w:shd w:val="clear" w:color="auto" w:fill="auto"/>
            <w:vAlign w:val="center"/>
          </w:tcPr>
          <w:p w14:paraId="3941DCE9">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1087" w:type="dxa"/>
            <w:gridSpan w:val="2"/>
            <w:shd w:val="clear" w:color="auto" w:fill="auto"/>
            <w:noWrap/>
            <w:vAlign w:val="center"/>
          </w:tcPr>
          <w:p w14:paraId="04314078">
            <w:pPr>
              <w:widowControl/>
              <w:spacing w:line="240" w:lineRule="exact"/>
              <w:jc w:val="right"/>
              <w:rPr>
                <w:rFonts w:hint="default" w:ascii="Times New Roman" w:hAnsi="Times New Roman" w:eastAsia="仿宋_GB2312" w:cs="Times New Roman"/>
                <w:color w:val="auto"/>
                <w:kern w:val="0"/>
                <w:sz w:val="24"/>
                <w:highlight w:val="yellow"/>
                <w:lang w:val="en" w:eastAsia="zh-CN"/>
              </w:rPr>
            </w:pPr>
            <w:r>
              <w:rPr>
                <w:rFonts w:hint="eastAsia" w:cs="Times New Roman"/>
                <w:color w:val="auto"/>
                <w:kern w:val="0"/>
                <w:sz w:val="24"/>
                <w:highlight w:val="none"/>
                <w:lang w:val="en-US" w:eastAsia="zh-CN"/>
              </w:rPr>
              <w:t>160.8</w:t>
            </w:r>
          </w:p>
        </w:tc>
        <w:tc>
          <w:tcPr>
            <w:tcW w:w="1126" w:type="dxa"/>
            <w:shd w:val="clear" w:color="auto" w:fill="auto"/>
            <w:vAlign w:val="center"/>
          </w:tcPr>
          <w:p w14:paraId="4038CD30">
            <w:pPr>
              <w:widowControl/>
              <w:spacing w:line="240" w:lineRule="exact"/>
              <w:jc w:val="right"/>
              <w:rPr>
                <w:rFonts w:hint="default" w:ascii="Times New Roman" w:hAnsi="Times New Roman" w:eastAsia="仿宋_GB2312" w:cs="Times New Roman"/>
                <w:color w:val="auto"/>
                <w:kern w:val="0"/>
                <w:sz w:val="24"/>
                <w:highlight w:val="yellow"/>
                <w:lang w:val="en-US" w:eastAsia="zh-CN"/>
              </w:rPr>
            </w:pPr>
            <w:r>
              <w:rPr>
                <w:rFonts w:hint="eastAsia" w:cs="Times New Roman"/>
                <w:color w:val="auto"/>
                <w:kern w:val="0"/>
                <w:sz w:val="24"/>
                <w:highlight w:val="none"/>
                <w:lang w:val="en-US" w:eastAsia="zh-CN"/>
              </w:rPr>
              <w:t>6036.3</w:t>
            </w:r>
          </w:p>
        </w:tc>
        <w:tc>
          <w:tcPr>
            <w:tcW w:w="993" w:type="dxa"/>
            <w:gridSpan w:val="2"/>
            <w:shd w:val="clear" w:color="auto" w:fill="auto"/>
            <w:noWrap/>
            <w:vAlign w:val="center"/>
          </w:tcPr>
          <w:p w14:paraId="5528DC8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234</w:t>
            </w:r>
          </w:p>
        </w:tc>
        <w:tc>
          <w:tcPr>
            <w:tcW w:w="1137" w:type="dxa"/>
            <w:gridSpan w:val="2"/>
            <w:shd w:val="clear" w:color="auto" w:fill="auto"/>
            <w:vAlign w:val="center"/>
          </w:tcPr>
          <w:p w14:paraId="41B3391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5096.3</w:t>
            </w:r>
          </w:p>
        </w:tc>
      </w:tr>
      <w:tr w14:paraId="5E12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14:paraId="237B778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14:paraId="2725F1DF">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113" w:type="dxa"/>
            <w:gridSpan w:val="3"/>
            <w:shd w:val="clear" w:color="auto" w:fill="auto"/>
            <w:vAlign w:val="center"/>
          </w:tcPr>
          <w:p w14:paraId="335740DB">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sz w:val="24"/>
                <w:highlight w:val="none"/>
                <w:lang w:val="en" w:eastAsia="zh-CN"/>
              </w:rPr>
              <w:t>3051.3</w:t>
            </w:r>
          </w:p>
        </w:tc>
        <w:tc>
          <w:tcPr>
            <w:tcW w:w="1087" w:type="dxa"/>
            <w:gridSpan w:val="2"/>
            <w:shd w:val="clear" w:color="auto" w:fill="auto"/>
            <w:noWrap/>
            <w:vAlign w:val="center"/>
          </w:tcPr>
          <w:p w14:paraId="55FAAFE4">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1126" w:type="dxa"/>
            <w:shd w:val="clear" w:color="auto" w:fill="auto"/>
            <w:vAlign w:val="center"/>
          </w:tcPr>
          <w:p w14:paraId="2C48435F">
            <w:pPr>
              <w:widowControl/>
              <w:spacing w:line="240" w:lineRule="exact"/>
              <w:jc w:val="right"/>
              <w:rPr>
                <w:rFonts w:hint="default" w:ascii="Times New Roman" w:hAnsi="Times New Roman" w:eastAsia="仿宋_GB2312" w:cs="Times New Roman"/>
                <w:color w:val="auto"/>
                <w:sz w:val="24"/>
                <w:highlight w:val="none"/>
                <w:lang w:val="en" w:eastAsia="zh-CN"/>
              </w:rPr>
            </w:pPr>
            <w:r>
              <w:rPr>
                <w:rFonts w:hint="eastAsia" w:cs="Times New Roman"/>
                <w:color w:val="auto"/>
                <w:sz w:val="24"/>
                <w:highlight w:val="none"/>
                <w:lang w:val="en-US" w:eastAsia="zh-CN"/>
              </w:rPr>
              <w:t>4017.5</w:t>
            </w:r>
          </w:p>
        </w:tc>
        <w:tc>
          <w:tcPr>
            <w:tcW w:w="993" w:type="dxa"/>
            <w:gridSpan w:val="2"/>
            <w:shd w:val="clear" w:color="auto" w:fill="auto"/>
            <w:noWrap/>
            <w:vAlign w:val="center"/>
          </w:tcPr>
          <w:p w14:paraId="7774FEC0">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c>
          <w:tcPr>
            <w:tcW w:w="1137" w:type="dxa"/>
            <w:gridSpan w:val="2"/>
            <w:shd w:val="clear" w:color="auto" w:fill="auto"/>
            <w:vAlign w:val="center"/>
          </w:tcPr>
          <w:p w14:paraId="280185C4">
            <w:pPr>
              <w:widowControl/>
              <w:spacing w:line="240" w:lineRule="exact"/>
              <w:jc w:val="right"/>
              <w:rPr>
                <w:rFonts w:hint="default" w:ascii="Times New Roman" w:hAnsi="Times New Roman" w:cs="Times New Roman"/>
                <w:kern w:val="0"/>
                <w:sz w:val="24"/>
                <w:highlight w:val="none"/>
                <w:lang w:val="en-US" w:eastAsia="zh-CN"/>
              </w:rPr>
            </w:pPr>
            <w:r>
              <w:rPr>
                <w:rFonts w:hint="eastAsia" w:cs="Times New Roman"/>
                <w:kern w:val="0"/>
                <w:sz w:val="24"/>
                <w:highlight w:val="none"/>
                <w:lang w:val="en-US" w:eastAsia="zh-CN"/>
              </w:rPr>
              <w:t>-</w:t>
            </w:r>
          </w:p>
        </w:tc>
      </w:tr>
      <w:tr w14:paraId="1B2B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14:paraId="7FC94510">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14:paraId="2EF1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DD077A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14:paraId="5EDD5E28">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30.6</w:t>
            </w:r>
          </w:p>
        </w:tc>
        <w:tc>
          <w:tcPr>
            <w:tcW w:w="1113" w:type="dxa"/>
            <w:gridSpan w:val="3"/>
            <w:shd w:val="clear" w:color="auto" w:fill="auto"/>
            <w:vAlign w:val="center"/>
          </w:tcPr>
          <w:p w14:paraId="37DA4DEC">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87" w:type="dxa"/>
            <w:gridSpan w:val="2"/>
            <w:shd w:val="clear" w:color="auto" w:fill="auto"/>
            <w:noWrap/>
            <w:vAlign w:val="center"/>
          </w:tcPr>
          <w:p w14:paraId="0B2B67A1">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31.3</w:t>
            </w:r>
          </w:p>
        </w:tc>
        <w:tc>
          <w:tcPr>
            <w:tcW w:w="1126" w:type="dxa"/>
            <w:shd w:val="clear" w:color="auto" w:fill="auto"/>
            <w:vAlign w:val="center"/>
          </w:tcPr>
          <w:p w14:paraId="31F14A2D">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201.8</w:t>
            </w:r>
          </w:p>
        </w:tc>
        <w:tc>
          <w:tcPr>
            <w:tcW w:w="1020" w:type="dxa"/>
            <w:gridSpan w:val="3"/>
            <w:shd w:val="clear" w:color="auto" w:fill="auto"/>
            <w:noWrap/>
            <w:vAlign w:val="center"/>
          </w:tcPr>
          <w:p w14:paraId="51B8B05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27</w:t>
            </w:r>
          </w:p>
        </w:tc>
        <w:tc>
          <w:tcPr>
            <w:tcW w:w="1110" w:type="dxa"/>
            <w:shd w:val="clear" w:color="auto" w:fill="auto"/>
            <w:vAlign w:val="center"/>
          </w:tcPr>
          <w:p w14:paraId="295E8513">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226.7</w:t>
            </w:r>
          </w:p>
        </w:tc>
      </w:tr>
      <w:tr w14:paraId="6EDA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5129047">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14:paraId="28723EC9">
            <w:pPr>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sz w:val="24"/>
                <w:highlight w:val="none"/>
                <w:lang w:val="en-US" w:eastAsia="zh-CN"/>
              </w:rPr>
              <w:t>23.0</w:t>
            </w:r>
          </w:p>
        </w:tc>
        <w:tc>
          <w:tcPr>
            <w:tcW w:w="1113" w:type="dxa"/>
            <w:gridSpan w:val="3"/>
            <w:shd w:val="clear" w:color="auto" w:fill="auto"/>
            <w:vAlign w:val="center"/>
          </w:tcPr>
          <w:p w14:paraId="4FFEC156">
            <w:pPr>
              <w:widowControl/>
              <w:jc w:val="righ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87" w:type="dxa"/>
            <w:gridSpan w:val="2"/>
            <w:shd w:val="clear" w:color="auto" w:fill="auto"/>
            <w:noWrap/>
            <w:vAlign w:val="center"/>
          </w:tcPr>
          <w:p w14:paraId="31A2E3AE">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16.4</w:t>
            </w:r>
          </w:p>
        </w:tc>
        <w:tc>
          <w:tcPr>
            <w:tcW w:w="1126" w:type="dxa"/>
            <w:shd w:val="clear" w:color="auto" w:fill="auto"/>
            <w:vAlign w:val="center"/>
          </w:tcPr>
          <w:p w14:paraId="0736BA53">
            <w:pPr>
              <w:widowControl/>
              <w:spacing w:line="240" w:lineRule="exact"/>
              <w:jc w:val="right"/>
              <w:rPr>
                <w:rFonts w:hint="default" w:ascii="Times New Roman" w:hAnsi="Times New Roman" w:eastAsia="仿宋_GB2312" w:cs="Times New Roman"/>
                <w:kern w:val="0"/>
                <w:sz w:val="24"/>
                <w:highlight w:val="yellow"/>
                <w:lang w:val="en-US" w:eastAsia="zh-CN"/>
              </w:rPr>
            </w:pPr>
            <w:r>
              <w:rPr>
                <w:rFonts w:hint="eastAsia" w:cs="Times New Roman"/>
                <w:kern w:val="0"/>
                <w:sz w:val="24"/>
                <w:highlight w:val="none"/>
                <w:lang w:val="en-US" w:eastAsia="zh-CN"/>
              </w:rPr>
              <w:t>91.2</w:t>
            </w:r>
          </w:p>
        </w:tc>
        <w:tc>
          <w:tcPr>
            <w:tcW w:w="1020" w:type="dxa"/>
            <w:gridSpan w:val="3"/>
            <w:shd w:val="clear" w:color="auto" w:fill="auto"/>
            <w:noWrap/>
            <w:vAlign w:val="center"/>
          </w:tcPr>
          <w:p w14:paraId="6B5B7C41">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20</w:t>
            </w:r>
          </w:p>
        </w:tc>
        <w:tc>
          <w:tcPr>
            <w:tcW w:w="1110" w:type="dxa"/>
            <w:shd w:val="clear" w:color="auto" w:fill="auto"/>
            <w:vAlign w:val="center"/>
          </w:tcPr>
          <w:p w14:paraId="53BDD2CD">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147.1</w:t>
            </w:r>
          </w:p>
        </w:tc>
      </w:tr>
      <w:tr w14:paraId="2E60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14:paraId="3B27BCE5">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14:paraId="5267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71531769">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14:paraId="3B151C4B">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13" w:type="dxa"/>
            <w:gridSpan w:val="3"/>
            <w:shd w:val="clear" w:color="auto" w:fill="auto"/>
            <w:vAlign w:val="center"/>
          </w:tcPr>
          <w:p w14:paraId="638FBA7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983.0</w:t>
            </w:r>
          </w:p>
        </w:tc>
        <w:tc>
          <w:tcPr>
            <w:tcW w:w="1087" w:type="dxa"/>
            <w:gridSpan w:val="2"/>
            <w:shd w:val="clear" w:color="auto" w:fill="auto"/>
            <w:noWrap/>
            <w:vAlign w:val="center"/>
          </w:tcPr>
          <w:p w14:paraId="3641D8C0">
            <w:pPr>
              <w:widowControl/>
              <w:spacing w:line="240" w:lineRule="exact"/>
              <w:jc w:val="right"/>
              <w:rPr>
                <w:rFonts w:hint="default" w:ascii="Times New Roman" w:hAnsi="Times New Roman" w:eastAsia="仿宋_GB2312" w:cs="Times New Roman"/>
                <w:sz w:val="24"/>
                <w:highlight w:val="none"/>
                <w:lang w:val="en-US"/>
              </w:rPr>
            </w:pPr>
            <w:r>
              <w:rPr>
                <w:rFonts w:hint="eastAsia" w:cs="Times New Roman"/>
                <w:sz w:val="24"/>
                <w:highlight w:val="none"/>
                <w:lang w:val="en-US" w:eastAsia="zh-CN"/>
              </w:rPr>
              <w:t>82.8</w:t>
            </w:r>
          </w:p>
        </w:tc>
        <w:tc>
          <w:tcPr>
            <w:tcW w:w="1126" w:type="dxa"/>
            <w:shd w:val="clear" w:color="auto" w:fill="auto"/>
            <w:vAlign w:val="center"/>
          </w:tcPr>
          <w:p w14:paraId="763BCE5D">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602.4</w:t>
            </w:r>
          </w:p>
        </w:tc>
        <w:tc>
          <w:tcPr>
            <w:tcW w:w="1020" w:type="dxa"/>
            <w:gridSpan w:val="3"/>
            <w:shd w:val="clear" w:color="auto" w:fill="auto"/>
            <w:noWrap/>
            <w:vAlign w:val="center"/>
          </w:tcPr>
          <w:p w14:paraId="3E72DD08">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109.3</w:t>
            </w:r>
          </w:p>
        </w:tc>
        <w:tc>
          <w:tcPr>
            <w:tcW w:w="1110" w:type="dxa"/>
            <w:shd w:val="clear" w:color="auto" w:fill="auto"/>
            <w:vAlign w:val="center"/>
          </w:tcPr>
          <w:p w14:paraId="7B67CB7B">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908.7</w:t>
            </w:r>
          </w:p>
        </w:tc>
      </w:tr>
      <w:tr w14:paraId="1064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15A347D">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14:paraId="3661A1B5">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13" w:type="dxa"/>
            <w:gridSpan w:val="3"/>
            <w:shd w:val="clear" w:color="auto" w:fill="auto"/>
            <w:vAlign w:val="center"/>
          </w:tcPr>
          <w:p w14:paraId="44D4FA08">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color w:val="auto"/>
                <w:kern w:val="0"/>
                <w:sz w:val="24"/>
                <w:highlight w:val="none"/>
                <w:lang w:val="en" w:eastAsia="zh-CN"/>
              </w:rPr>
              <w:t>925.2</w:t>
            </w:r>
          </w:p>
        </w:tc>
        <w:tc>
          <w:tcPr>
            <w:tcW w:w="1087" w:type="dxa"/>
            <w:gridSpan w:val="2"/>
            <w:shd w:val="clear" w:color="auto" w:fill="auto"/>
            <w:noWrap/>
            <w:vAlign w:val="center"/>
          </w:tcPr>
          <w:p w14:paraId="3A791A44">
            <w:pPr>
              <w:widowControl/>
              <w:spacing w:line="240" w:lineRule="exact"/>
              <w:jc w:val="right"/>
              <w:rPr>
                <w:rFonts w:hint="default" w:ascii="Times New Roman" w:hAnsi="Times New Roman" w:eastAsia="仿宋_GB2312" w:cs="Times New Roman"/>
                <w:sz w:val="24"/>
                <w:highlight w:val="none"/>
              </w:rPr>
            </w:pPr>
            <w:r>
              <w:rPr>
                <w:rFonts w:hint="eastAsia" w:cs="Times New Roman"/>
                <w:sz w:val="24"/>
                <w:highlight w:val="none"/>
                <w:lang w:val="en-US" w:eastAsia="zh-CN"/>
              </w:rPr>
              <w:t>0</w:t>
            </w:r>
          </w:p>
        </w:tc>
        <w:tc>
          <w:tcPr>
            <w:tcW w:w="1126" w:type="dxa"/>
            <w:shd w:val="clear" w:color="auto" w:fill="auto"/>
            <w:vAlign w:val="center"/>
          </w:tcPr>
          <w:p w14:paraId="70F3A49C">
            <w:pPr>
              <w:widowControl/>
              <w:spacing w:line="240" w:lineRule="exact"/>
              <w:jc w:val="right"/>
              <w:rPr>
                <w:rFonts w:hint="default" w:ascii="Times New Roman" w:hAnsi="Times New Roman" w:cs="Times New Roman"/>
                <w:color w:val="auto"/>
                <w:kern w:val="0"/>
                <w:sz w:val="24"/>
                <w:highlight w:val="none"/>
                <w:lang w:val="en" w:eastAsia="zh-CN"/>
              </w:rPr>
            </w:pPr>
            <w:r>
              <w:rPr>
                <w:rFonts w:hint="eastAsia" w:cs="Times New Roman"/>
                <w:color w:val="auto"/>
                <w:kern w:val="0"/>
                <w:sz w:val="24"/>
                <w:highlight w:val="none"/>
                <w:lang w:val="en-US" w:eastAsia="zh-CN"/>
              </w:rPr>
              <w:t>1982.6</w:t>
            </w:r>
          </w:p>
        </w:tc>
        <w:tc>
          <w:tcPr>
            <w:tcW w:w="1020" w:type="dxa"/>
            <w:gridSpan w:val="3"/>
            <w:shd w:val="clear" w:color="auto" w:fill="auto"/>
            <w:noWrap/>
            <w:vAlign w:val="center"/>
          </w:tcPr>
          <w:p w14:paraId="7E6C3CD7">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0</w:t>
            </w:r>
          </w:p>
        </w:tc>
        <w:tc>
          <w:tcPr>
            <w:tcW w:w="1110" w:type="dxa"/>
            <w:shd w:val="clear" w:color="auto" w:fill="auto"/>
            <w:vAlign w:val="center"/>
          </w:tcPr>
          <w:p w14:paraId="7CC19494">
            <w:pPr>
              <w:widowControl/>
              <w:spacing w:line="240" w:lineRule="exact"/>
              <w:jc w:val="right"/>
              <w:rPr>
                <w:rFonts w:hint="default" w:ascii="Times New Roman" w:hAnsi="Times New Roman" w:cs="Times New Roman"/>
                <w:kern w:val="0"/>
                <w:sz w:val="24"/>
                <w:highlight w:val="none"/>
                <w:lang w:val="en" w:eastAsia="zh-CN"/>
              </w:rPr>
            </w:pPr>
            <w:r>
              <w:rPr>
                <w:rFonts w:hint="eastAsia" w:cs="Times New Roman"/>
                <w:kern w:val="0"/>
                <w:sz w:val="24"/>
                <w:highlight w:val="none"/>
                <w:lang w:val="en-US" w:eastAsia="zh-CN"/>
              </w:rPr>
              <w:t>1530.4</w:t>
            </w:r>
          </w:p>
        </w:tc>
      </w:tr>
      <w:tr w14:paraId="39AD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14:paraId="0D5ECF5A">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14:paraId="133E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3F8C9F72">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14:paraId="1845399F">
            <w:pPr>
              <w:widowControl/>
              <w:spacing w:line="240" w:lineRule="exact"/>
              <w:ind w:firstLine="480"/>
              <w:jc w:val="right"/>
              <w:rPr>
                <w:rFonts w:hint="default" w:ascii="Times New Roman" w:hAnsi="Times New Roman" w:eastAsia="仿宋_GB2312" w:cs="Times New Roman"/>
                <w:kern w:val="0"/>
                <w:sz w:val="24"/>
                <w:highlight w:val="none"/>
                <w:lang w:val="en-US" w:eastAsia="zh-CN"/>
              </w:rPr>
            </w:pPr>
            <w:r>
              <w:rPr>
                <w:rFonts w:hint="eastAsia" w:cs="Times New Roman"/>
                <w:kern w:val="0"/>
                <w:sz w:val="24"/>
                <w:highlight w:val="none"/>
                <w:lang w:val="en-US" w:eastAsia="zh-CN"/>
              </w:rPr>
              <w:t>24028.9</w:t>
            </w:r>
          </w:p>
        </w:tc>
      </w:tr>
      <w:tr w14:paraId="0BF3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4D79C0A6">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eastAsia" w:cs="Times New Roman"/>
                <w:kern w:val="0"/>
                <w:sz w:val="24"/>
                <w:highlight w:val="none"/>
                <w:lang w:val="en-US" w:eastAsia="zh-CN"/>
              </w:rPr>
              <w:t>4</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14:paraId="2192A182">
            <w:pPr>
              <w:widowControl/>
              <w:spacing w:line="240" w:lineRule="exact"/>
              <w:ind w:firstLine="480"/>
              <w:jc w:val="right"/>
              <w:rPr>
                <w:rFonts w:hint="default" w:ascii="Times New Roman" w:hAnsi="Times New Roman" w:eastAsia="仿宋_GB2312" w:cs="Times New Roman"/>
                <w:sz w:val="24"/>
                <w:highlight w:val="none"/>
                <w:lang w:val="en-US" w:eastAsia="zh-CN"/>
              </w:rPr>
            </w:pPr>
            <w:r>
              <w:rPr>
                <w:rFonts w:hint="eastAsia" w:cs="Times New Roman"/>
                <w:sz w:val="24"/>
                <w:highlight w:val="none"/>
                <w:lang w:val="en-US" w:eastAsia="zh-CN"/>
              </w:rPr>
              <w:t>26902.7</w:t>
            </w:r>
          </w:p>
        </w:tc>
      </w:tr>
    </w:tbl>
    <w:p w14:paraId="24C46DCA">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14:paraId="117EAD49">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4</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eastAsia" w:ascii="Times New Roman" w:hAnsi="Times New Roman" w:eastAsia="仿宋_GB2312" w:cs="Times New Roman"/>
          <w:color w:val="000000" w:themeColor="text1"/>
          <w:highlight w:val="none"/>
          <w:lang w:eastAsia="zh-CN"/>
          <w14:textFill>
            <w14:solidFill>
              <w14:schemeClr w14:val="tx1"/>
            </w14:solidFill>
          </w14:textFill>
        </w:rPr>
        <w:t>预算执行</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2025年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14:paraId="41B1BA71">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14:paraId="19AF7193">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14:paraId="2EA3747E">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eastAsia" w:ascii="Times New Roman" w:hAnsi="Times New Roman" w:eastAsia="仿宋_GB2312" w:cs="Times New Roman"/>
          <w:color w:val="auto"/>
          <w:sz w:val="32"/>
          <w:szCs w:val="32"/>
          <w:highlight w:val="none"/>
          <w:lang w:val="en-US" w:eastAsia="zh-CN"/>
        </w:rPr>
        <w:t>24028.9</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26902.7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eastAsia" w:ascii="Times New Roman" w:hAnsi="Times New Roman" w:eastAsia="仿宋_GB2312" w:cs="Times New Roman"/>
          <w:color w:val="auto"/>
          <w:sz w:val="32"/>
          <w:szCs w:val="32"/>
          <w:highlight w:val="none"/>
          <w:lang w:val="en-US" w:eastAsia="zh-CN"/>
        </w:rPr>
        <w:t>8301.4</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8074.3</w:t>
      </w:r>
      <w:r>
        <w:rPr>
          <w:rFonts w:hint="default" w:ascii="Times New Roman" w:hAnsi="Times New Roman" w:eastAsia="仿宋_GB2312" w:cs="Times New Roman"/>
          <w:color w:val="auto"/>
          <w:sz w:val="32"/>
          <w:szCs w:val="32"/>
          <w:highlight w:val="none"/>
          <w:lang w:val="en-US" w:eastAsia="zh-CN"/>
        </w:rPr>
        <w:t>亿元；专项债务限额</w:t>
      </w:r>
      <w:r>
        <w:rPr>
          <w:rFonts w:hint="eastAsia" w:ascii="Times New Roman" w:hAnsi="Times New Roman" w:eastAsia="仿宋_GB2312" w:cs="Times New Roman"/>
          <w:color w:val="auto"/>
          <w:sz w:val="32"/>
          <w:szCs w:val="32"/>
          <w:highlight w:val="none"/>
          <w:lang w:val="en-US" w:eastAsia="zh-CN"/>
        </w:rPr>
        <w:t>18601.3</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15954.6</w:t>
      </w:r>
      <w:r>
        <w:rPr>
          <w:rFonts w:hint="default" w:ascii="Times New Roman" w:hAnsi="Times New Roman" w:eastAsia="仿宋_GB2312" w:cs="Times New Roman"/>
          <w:color w:val="auto"/>
          <w:sz w:val="32"/>
          <w:szCs w:val="32"/>
          <w:highlight w:val="none"/>
          <w:lang w:val="en-US" w:eastAsia="zh-CN"/>
        </w:rPr>
        <w:t>亿元。分级次看：省级债务限额</w:t>
      </w:r>
      <w:r>
        <w:rPr>
          <w:rFonts w:hint="eastAsia" w:ascii="Times New Roman" w:hAnsi="Times New Roman" w:eastAsia="仿宋_GB2312" w:cs="Times New Roman"/>
          <w:color w:val="auto"/>
          <w:sz w:val="32"/>
          <w:szCs w:val="32"/>
          <w:highlight w:val="none"/>
          <w:lang w:val="en-US" w:eastAsia="zh-CN"/>
        </w:rPr>
        <w:t>1536.8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1406.5</w:t>
      </w:r>
      <w:r>
        <w:rPr>
          <w:rFonts w:hint="default" w:ascii="Times New Roman" w:hAnsi="Times New Roman" w:eastAsia="仿宋_GB2312" w:cs="Times New Roman"/>
          <w:color w:val="auto"/>
          <w:sz w:val="32"/>
          <w:szCs w:val="32"/>
          <w:highlight w:val="none"/>
          <w:lang w:val="en-US" w:eastAsia="zh-CN"/>
        </w:rPr>
        <w:t>亿元；市级债务限额</w:t>
      </w:r>
      <w:r>
        <w:rPr>
          <w:rFonts w:hint="eastAsia" w:ascii="Times New Roman" w:hAnsi="Times New Roman" w:eastAsia="仿宋_GB2312" w:cs="Times New Roman"/>
          <w:color w:val="auto"/>
          <w:sz w:val="32"/>
          <w:szCs w:val="32"/>
          <w:highlight w:val="none"/>
          <w:lang w:val="en-US" w:eastAsia="zh-CN"/>
        </w:rPr>
        <w:t>7504.1</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6866.8</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w:t>
      </w:r>
      <w:r>
        <w:rPr>
          <w:rFonts w:hint="eastAsia" w:ascii="Times New Roman" w:hAnsi="Times New Roman" w:eastAsia="仿宋_GB2312" w:cs="Times New Roman"/>
          <w:color w:val="auto"/>
          <w:sz w:val="32"/>
          <w:szCs w:val="32"/>
          <w:highlight w:val="none"/>
          <w:lang w:val="en-US" w:eastAsia="zh-CN"/>
        </w:rPr>
        <w:t>17861.8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15755.6</w:t>
      </w:r>
      <w:r>
        <w:rPr>
          <w:rFonts w:hint="default" w:ascii="Times New Roman" w:hAnsi="Times New Roman" w:eastAsia="仿宋_GB2312" w:cs="Times New Roman"/>
          <w:color w:val="auto"/>
          <w:sz w:val="32"/>
          <w:szCs w:val="32"/>
          <w:highlight w:val="none"/>
          <w:lang w:val="en-US" w:eastAsia="zh-CN"/>
        </w:rPr>
        <w:t>亿元。</w:t>
      </w:r>
    </w:p>
    <w:p w14:paraId="6AAEF4F9">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年，全省新增政府债券主要聚焦</w:t>
      </w:r>
      <w:r>
        <w:rPr>
          <w:rFonts w:hint="eastAsia" w:ascii="Times New Roman" w:hAnsi="Times New Roman" w:eastAsia="仿宋_GB2312" w:cs="Times New Roman"/>
          <w:color w:val="auto"/>
          <w:sz w:val="32"/>
          <w:szCs w:val="32"/>
          <w:highlight w:val="none"/>
          <w:lang w:val="en-US" w:eastAsia="zh-CN"/>
        </w:rPr>
        <w:t>交通、社会事业、产业园区</w:t>
      </w:r>
      <w:r>
        <w:rPr>
          <w:rFonts w:hint="default" w:ascii="Times New Roman" w:hAnsi="Times New Roman" w:eastAsia="仿宋_GB2312" w:cs="Times New Roman"/>
          <w:color w:val="auto"/>
          <w:sz w:val="32"/>
          <w:szCs w:val="32"/>
          <w:highlight w:val="none"/>
          <w:lang w:val="en-US" w:eastAsia="zh-CN"/>
        </w:rPr>
        <w:t>等领域，有力支持了</w:t>
      </w:r>
      <w:r>
        <w:rPr>
          <w:rFonts w:hint="eastAsia" w:ascii="Times New Roman" w:hAnsi="Times New Roman" w:eastAsia="仿宋_GB2312" w:cs="Times New Roman"/>
          <w:color w:val="auto"/>
          <w:sz w:val="32"/>
          <w:szCs w:val="32"/>
          <w:highlight w:val="none"/>
          <w:lang w:val="en-US" w:eastAsia="zh-CN"/>
        </w:rPr>
        <w:t>成达万铁路、岷江龙溪口航电枢纽</w:t>
      </w:r>
      <w:r>
        <w:rPr>
          <w:rFonts w:hint="default" w:ascii="Times New Roman" w:hAnsi="Times New Roman" w:eastAsia="仿宋_GB2312" w:cs="Times New Roman"/>
          <w:color w:val="auto"/>
          <w:sz w:val="32"/>
          <w:szCs w:val="32"/>
          <w:highlight w:val="none"/>
          <w:lang w:val="en-US" w:eastAsia="zh-CN"/>
        </w:rPr>
        <w:t>等重大项目建设</w:t>
      </w:r>
      <w:r>
        <w:rPr>
          <w:rFonts w:hint="default" w:ascii="Times New Roman" w:hAnsi="Times New Roman" w:eastAsia="仿宋_GB2312" w:cs="Times New Roman"/>
          <w:color w:val="auto"/>
          <w:sz w:val="32"/>
          <w:szCs w:val="32"/>
          <w:highlight w:val="none"/>
        </w:rPr>
        <w:t>。</w:t>
      </w:r>
    </w:p>
    <w:p w14:paraId="0BBC91F9">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14:paraId="1EB9A6B6">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14:paraId="7C8B175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14:paraId="3E371B0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14:paraId="1DD4C3C4">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将债务收入、支出、还本、付息、发行全面纳入预算管理。督促省级部门和市县部门通过安排年度预算资金、盘活存量资金等偿还政府债务，发行适当规模债券偿还到期债券本金。</w:t>
      </w:r>
    </w:p>
    <w:p w14:paraId="1A26384D">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14:paraId="1BD91EE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14:paraId="7955E7A5">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w:t>
      </w:r>
      <w:r>
        <w:rPr>
          <w:rFonts w:hint="eastAsia" w:ascii="Times New Roman" w:hAnsi="Times New Roman" w:eastAsia="仿宋_GB2312" w:cs="Times New Roman"/>
          <w:color w:val="auto"/>
          <w:sz w:val="32"/>
          <w:szCs w:val="32"/>
          <w:highlight w:val="none"/>
          <w:lang w:val="en-US" w:eastAsia="zh-CN"/>
        </w:rPr>
        <w:t>重大项目</w:t>
      </w:r>
      <w:r>
        <w:rPr>
          <w:rFonts w:hint="default" w:ascii="Times New Roman" w:hAnsi="Times New Roman" w:eastAsia="仿宋_GB2312" w:cs="Times New Roman"/>
          <w:color w:val="auto"/>
          <w:sz w:val="32"/>
          <w:szCs w:val="32"/>
          <w:highlight w:val="none"/>
          <w:lang w:val="en-US" w:eastAsia="zh-CN"/>
        </w:rPr>
        <w:t>，积极向中央汇报，争取新增限额支持，增强对重大战略决策的支撑力度，充分发挥债券资金逆周期调节、“补短板、惠民生、促消费、扩内需”的积极作用。</w:t>
      </w:r>
    </w:p>
    <w:p w14:paraId="0F9BAC37">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14:paraId="0DCB112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w:t>
      </w:r>
      <w:r>
        <w:rPr>
          <w:rFonts w:hint="eastAsia" w:ascii="Times New Roman" w:hAnsi="Times New Roman" w:eastAsia="仿宋_GB2312" w:cs="Times New Roman"/>
          <w:color w:val="auto"/>
          <w:sz w:val="32"/>
          <w:szCs w:val="32"/>
          <w:highlight w:val="none"/>
          <w:lang w:val="en-US" w:eastAsia="zh-CN"/>
        </w:rPr>
        <w:t>按日监测、按周调度、按旬通报</w:t>
      </w:r>
      <w:r>
        <w:rPr>
          <w:rFonts w:hint="default" w:ascii="Times New Roman" w:hAnsi="Times New Roman" w:eastAsia="仿宋_GB2312" w:cs="Times New Roman"/>
          <w:color w:val="auto"/>
          <w:sz w:val="32"/>
          <w:szCs w:val="32"/>
          <w:highlight w:val="none"/>
          <w:lang w:val="en-US" w:eastAsia="zh-CN"/>
        </w:rPr>
        <w:t>”机制，督促市县加快债券资金拨付使用进度，新增专项债券使用进度进一步加快。</w:t>
      </w:r>
    </w:p>
    <w:p w14:paraId="36359FE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14:paraId="7FA06EA3">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14:paraId="504B4940">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14:paraId="7A94AC36">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eastAsia" w:ascii="Times New Roman" w:hAnsi="Times New Roman" w:eastAsia="仿宋_GB2312" w:cs="Times New Roman"/>
          <w:b w:val="0"/>
          <w:bCs w:val="0"/>
          <w:color w:val="auto"/>
          <w:sz w:val="32"/>
          <w:szCs w:val="32"/>
          <w:highlight w:val="none"/>
          <w:lang w:val="en-US" w:eastAsia="zh-CN"/>
        </w:rPr>
        <w:t>实施全口径地方债务监测监管，</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统筹用好国家一揽子化债增量政策，化解高风险高成本债务，筑牢防爆雷底线，坚决遏制新增隐性债务</w:t>
      </w:r>
      <w:r>
        <w:rPr>
          <w:rFonts w:hint="default" w:ascii="Times New Roman" w:hAnsi="Times New Roman" w:eastAsia="仿宋_GB2312" w:cs="Times New Roman"/>
          <w:color w:val="auto"/>
          <w:sz w:val="32"/>
          <w:szCs w:val="32"/>
          <w:highlight w:val="none"/>
          <w:lang w:val="en-US" w:eastAsia="zh-CN"/>
        </w:rPr>
        <w:t>。</w:t>
      </w:r>
    </w:p>
    <w:p w14:paraId="050E14E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w:t>
      </w:r>
      <w:r>
        <w:rPr>
          <w:rFonts w:hint="eastAsia" w:ascii="Times New Roman" w:hAnsi="Times New Roman" w:eastAsia="仿宋_GB2312" w:cs="Times New Roman"/>
          <w:b w:val="0"/>
          <w:bCs w:val="0"/>
          <w:color w:val="auto"/>
          <w:sz w:val="32"/>
          <w:szCs w:val="32"/>
          <w:highlight w:val="none"/>
          <w:lang w:eastAsia="zh-CN"/>
        </w:rPr>
        <w:t>违规</w:t>
      </w:r>
      <w:r>
        <w:rPr>
          <w:rFonts w:hint="default" w:ascii="Times New Roman" w:hAnsi="Times New Roman" w:eastAsia="仿宋_GB2312" w:cs="Times New Roman"/>
          <w:b w:val="0"/>
          <w:bCs w:val="0"/>
          <w:color w:val="auto"/>
          <w:sz w:val="32"/>
          <w:szCs w:val="32"/>
          <w:highlight w:val="none"/>
          <w:lang w:eastAsia="zh-CN"/>
        </w:rPr>
        <w:t>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将不新增隐性债务作为铁的纪律，加强政府支出事项和政府投资项目预算管理，对违规举债严肃追责问责</w:t>
      </w:r>
      <w:r>
        <w:rPr>
          <w:rFonts w:hint="default" w:ascii="Times New Roman" w:hAnsi="Times New Roman" w:eastAsia="仿宋_GB2312" w:cs="Times New Roman"/>
          <w:b w:val="0"/>
          <w:bCs w:val="0"/>
          <w:color w:val="auto"/>
          <w:sz w:val="32"/>
          <w:szCs w:val="32"/>
          <w:highlight w:val="none"/>
        </w:rPr>
        <w:t>。</w:t>
      </w:r>
    </w:p>
    <w:p w14:paraId="68BAB15A">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14:paraId="1E1DEB25">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14:paraId="4F1B61DD">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2025年</w:t>
      </w:r>
      <w:r>
        <w:rPr>
          <w:rFonts w:hint="eastAsia"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8</w:t>
      </w:r>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72D3DE-DE6F-4D4A-97E1-CE289BF54B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6DD4E405-7D1F-41C0-B42D-5240ADFB1995}"/>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050A9B7C-5906-40D0-B403-54A5243BDD78}"/>
  </w:font>
  <w:font w:name="方正小标宋简体">
    <w:panose1 w:val="02010600010101010101"/>
    <w:charset w:val="86"/>
    <w:family w:val="auto"/>
    <w:pitch w:val="default"/>
    <w:sig w:usb0="00000001" w:usb1="080E0000" w:usb2="00000000" w:usb3="00000000" w:csb0="00040000" w:csb1="00000000"/>
    <w:embedRegular r:id="rId4" w:fontKey="{3FDBBFD3-C6E8-4513-957D-D2AEA4459ED3}"/>
  </w:font>
  <w:font w:name="楷体_GB2312">
    <w:altName w:val="楷体"/>
    <w:panose1 w:val="02010609030101010101"/>
    <w:charset w:val="86"/>
    <w:family w:val="auto"/>
    <w:pitch w:val="default"/>
    <w:sig w:usb0="00000000" w:usb1="00000000" w:usb2="00000000" w:usb3="00000000" w:csb0="00040000" w:csb1="00000000"/>
    <w:embedRegular r:id="rId5" w:fontKey="{4385135B-05AD-4910-9612-55A00B440BF0}"/>
  </w:font>
  <w:font w:name="楷体">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embedRegular r:id="rId6" w:fontKey="{8AEF6AD0-7465-4A9A-8025-B7B8629EE7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14:paraId="43A36A5B">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14:paraId="622C126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14:paraId="1D440FB7">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14:paraId="570116C1">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1CC1A40"/>
    <w:rsid w:val="021B4775"/>
    <w:rsid w:val="06692FBA"/>
    <w:rsid w:val="07E50E92"/>
    <w:rsid w:val="0A155E67"/>
    <w:rsid w:val="0A365806"/>
    <w:rsid w:val="0AC319AC"/>
    <w:rsid w:val="0F5E2B9C"/>
    <w:rsid w:val="0F7F3A2A"/>
    <w:rsid w:val="0FCAD5FD"/>
    <w:rsid w:val="12EB54C2"/>
    <w:rsid w:val="14847F58"/>
    <w:rsid w:val="159675EB"/>
    <w:rsid w:val="15EFB84A"/>
    <w:rsid w:val="16974C50"/>
    <w:rsid w:val="16BFDA76"/>
    <w:rsid w:val="177D3A52"/>
    <w:rsid w:val="17B6C2A3"/>
    <w:rsid w:val="17BBC06E"/>
    <w:rsid w:val="17CE2129"/>
    <w:rsid w:val="17EF3D38"/>
    <w:rsid w:val="17FFA77D"/>
    <w:rsid w:val="1A085187"/>
    <w:rsid w:val="1AEB4D19"/>
    <w:rsid w:val="1B526075"/>
    <w:rsid w:val="1B672BB3"/>
    <w:rsid w:val="1B67B585"/>
    <w:rsid w:val="1B7FC8E2"/>
    <w:rsid w:val="1BF15E06"/>
    <w:rsid w:val="1BFA4442"/>
    <w:rsid w:val="1BFFC1B4"/>
    <w:rsid w:val="1D3C0843"/>
    <w:rsid w:val="1E584D33"/>
    <w:rsid w:val="1E7948A6"/>
    <w:rsid w:val="1EF3C8EF"/>
    <w:rsid w:val="1EFF6F52"/>
    <w:rsid w:val="1F7F37F3"/>
    <w:rsid w:val="1FB95731"/>
    <w:rsid w:val="1FEF0EED"/>
    <w:rsid w:val="1FF86D77"/>
    <w:rsid w:val="1FFD8871"/>
    <w:rsid w:val="21BFC2C1"/>
    <w:rsid w:val="273A1534"/>
    <w:rsid w:val="27EF5ADE"/>
    <w:rsid w:val="27FB4DFE"/>
    <w:rsid w:val="292BBD26"/>
    <w:rsid w:val="29447E57"/>
    <w:rsid w:val="2A75E0DA"/>
    <w:rsid w:val="2C335417"/>
    <w:rsid w:val="2D2F22EB"/>
    <w:rsid w:val="2DBF1862"/>
    <w:rsid w:val="2E7BB22E"/>
    <w:rsid w:val="2ED5C25D"/>
    <w:rsid w:val="2FFB7B0E"/>
    <w:rsid w:val="30ED4397"/>
    <w:rsid w:val="30F51B0D"/>
    <w:rsid w:val="32E75215"/>
    <w:rsid w:val="33964A43"/>
    <w:rsid w:val="33BD96C9"/>
    <w:rsid w:val="3478FD3B"/>
    <w:rsid w:val="350B691C"/>
    <w:rsid w:val="35FD6B84"/>
    <w:rsid w:val="35FF6C41"/>
    <w:rsid w:val="35FFA103"/>
    <w:rsid w:val="365FE963"/>
    <w:rsid w:val="36C7A795"/>
    <w:rsid w:val="37D270A9"/>
    <w:rsid w:val="37D31E82"/>
    <w:rsid w:val="37F7809A"/>
    <w:rsid w:val="399565E0"/>
    <w:rsid w:val="3ADDA097"/>
    <w:rsid w:val="3B7E7D56"/>
    <w:rsid w:val="3BBE0F9A"/>
    <w:rsid w:val="3BCF7730"/>
    <w:rsid w:val="3BF725E0"/>
    <w:rsid w:val="3BFBF273"/>
    <w:rsid w:val="3BFD26E4"/>
    <w:rsid w:val="3BFF0771"/>
    <w:rsid w:val="3CFF72C5"/>
    <w:rsid w:val="3D9DD624"/>
    <w:rsid w:val="3DAB5EBA"/>
    <w:rsid w:val="3DEFA9F2"/>
    <w:rsid w:val="3DF3C86E"/>
    <w:rsid w:val="3ECAC84C"/>
    <w:rsid w:val="3EF76ACB"/>
    <w:rsid w:val="3EFB41F2"/>
    <w:rsid w:val="3F5F4240"/>
    <w:rsid w:val="3F7BEE77"/>
    <w:rsid w:val="3FB668E4"/>
    <w:rsid w:val="3FBFF260"/>
    <w:rsid w:val="3FD92A3E"/>
    <w:rsid w:val="3FEF23FA"/>
    <w:rsid w:val="3FF0DCC8"/>
    <w:rsid w:val="3FF57F37"/>
    <w:rsid w:val="3FF7137C"/>
    <w:rsid w:val="3FF71C72"/>
    <w:rsid w:val="3FFB5F92"/>
    <w:rsid w:val="3FFF50AD"/>
    <w:rsid w:val="40583BC3"/>
    <w:rsid w:val="408E73B5"/>
    <w:rsid w:val="40D53766"/>
    <w:rsid w:val="4305631D"/>
    <w:rsid w:val="45F8CE6B"/>
    <w:rsid w:val="47BF50EF"/>
    <w:rsid w:val="47DFF301"/>
    <w:rsid w:val="48BFAD72"/>
    <w:rsid w:val="4A35F3AD"/>
    <w:rsid w:val="4D32FB4C"/>
    <w:rsid w:val="4EBF3093"/>
    <w:rsid w:val="4EDFAE00"/>
    <w:rsid w:val="4F9B4BDA"/>
    <w:rsid w:val="4FAF7337"/>
    <w:rsid w:val="4FFAE02C"/>
    <w:rsid w:val="4FFF460D"/>
    <w:rsid w:val="50ED1619"/>
    <w:rsid w:val="516FDEC3"/>
    <w:rsid w:val="535624E4"/>
    <w:rsid w:val="536F073F"/>
    <w:rsid w:val="53731939"/>
    <w:rsid w:val="53E90DC1"/>
    <w:rsid w:val="54680721"/>
    <w:rsid w:val="54F3BD53"/>
    <w:rsid w:val="54FF9442"/>
    <w:rsid w:val="554D5EAC"/>
    <w:rsid w:val="57BAD169"/>
    <w:rsid w:val="57DF3D15"/>
    <w:rsid w:val="57DFDC94"/>
    <w:rsid w:val="57EB7B42"/>
    <w:rsid w:val="57FD754E"/>
    <w:rsid w:val="57FEF054"/>
    <w:rsid w:val="57FF76F9"/>
    <w:rsid w:val="59FEBA82"/>
    <w:rsid w:val="5B27C3AC"/>
    <w:rsid w:val="5BABDEC5"/>
    <w:rsid w:val="5BDFA3DF"/>
    <w:rsid w:val="5BE74B81"/>
    <w:rsid w:val="5BEB01AA"/>
    <w:rsid w:val="5BF9AAF9"/>
    <w:rsid w:val="5BFD30E1"/>
    <w:rsid w:val="5D5F4A20"/>
    <w:rsid w:val="5D7BF844"/>
    <w:rsid w:val="5DBFCF28"/>
    <w:rsid w:val="5DFB2A50"/>
    <w:rsid w:val="5E7F692A"/>
    <w:rsid w:val="5EDF67C8"/>
    <w:rsid w:val="5EFF05BA"/>
    <w:rsid w:val="5F1F31B7"/>
    <w:rsid w:val="5F3E4F45"/>
    <w:rsid w:val="5F6F1C9E"/>
    <w:rsid w:val="5F7C409A"/>
    <w:rsid w:val="5F7E92C4"/>
    <w:rsid w:val="5FAB9A0B"/>
    <w:rsid w:val="5FE12A79"/>
    <w:rsid w:val="5FE56F25"/>
    <w:rsid w:val="5FEFBC4C"/>
    <w:rsid w:val="5FF876FE"/>
    <w:rsid w:val="5FFD044C"/>
    <w:rsid w:val="5FFFD7D0"/>
    <w:rsid w:val="5FFFFB39"/>
    <w:rsid w:val="60D82ACC"/>
    <w:rsid w:val="61470B4D"/>
    <w:rsid w:val="616B1851"/>
    <w:rsid w:val="626D2A76"/>
    <w:rsid w:val="62FEF3EA"/>
    <w:rsid w:val="633BC343"/>
    <w:rsid w:val="63F53E4A"/>
    <w:rsid w:val="64112789"/>
    <w:rsid w:val="65FA4BFF"/>
    <w:rsid w:val="671013B3"/>
    <w:rsid w:val="677E777D"/>
    <w:rsid w:val="68BF6F8E"/>
    <w:rsid w:val="692176FC"/>
    <w:rsid w:val="6953D380"/>
    <w:rsid w:val="696BCE12"/>
    <w:rsid w:val="69DC461E"/>
    <w:rsid w:val="6AEF0117"/>
    <w:rsid w:val="6BCE4C44"/>
    <w:rsid w:val="6BDE6032"/>
    <w:rsid w:val="6BDF05C4"/>
    <w:rsid w:val="6BDF36B5"/>
    <w:rsid w:val="6BEE630D"/>
    <w:rsid w:val="6BEFA911"/>
    <w:rsid w:val="6BF75424"/>
    <w:rsid w:val="6BFF8BC0"/>
    <w:rsid w:val="6C07AD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6FC48D"/>
    <w:rsid w:val="6F75BB17"/>
    <w:rsid w:val="6F7D0098"/>
    <w:rsid w:val="6FBF8D8F"/>
    <w:rsid w:val="6FCD9F65"/>
    <w:rsid w:val="6FCF9866"/>
    <w:rsid w:val="6FDD6BFC"/>
    <w:rsid w:val="6FDFA035"/>
    <w:rsid w:val="6FF52F76"/>
    <w:rsid w:val="6FFDD9A5"/>
    <w:rsid w:val="6FFF0B70"/>
    <w:rsid w:val="6FFFA9D8"/>
    <w:rsid w:val="70FD42BC"/>
    <w:rsid w:val="71775D74"/>
    <w:rsid w:val="71B371E3"/>
    <w:rsid w:val="71BA0C33"/>
    <w:rsid w:val="71F33F0B"/>
    <w:rsid w:val="72FF21FE"/>
    <w:rsid w:val="73577D8C"/>
    <w:rsid w:val="73F8844F"/>
    <w:rsid w:val="73FEF53F"/>
    <w:rsid w:val="74BF941C"/>
    <w:rsid w:val="74DEBB8B"/>
    <w:rsid w:val="74EFE397"/>
    <w:rsid w:val="75134281"/>
    <w:rsid w:val="755ABB90"/>
    <w:rsid w:val="756267BD"/>
    <w:rsid w:val="7567AB9C"/>
    <w:rsid w:val="757F2BD9"/>
    <w:rsid w:val="757F9695"/>
    <w:rsid w:val="75CEBED0"/>
    <w:rsid w:val="75ED567D"/>
    <w:rsid w:val="75FEC880"/>
    <w:rsid w:val="75FFBE1C"/>
    <w:rsid w:val="75FFC9BA"/>
    <w:rsid w:val="761A3C81"/>
    <w:rsid w:val="769FD087"/>
    <w:rsid w:val="76BE1A6C"/>
    <w:rsid w:val="76EEFE23"/>
    <w:rsid w:val="76F7792E"/>
    <w:rsid w:val="770F83CD"/>
    <w:rsid w:val="777D983C"/>
    <w:rsid w:val="77BF985E"/>
    <w:rsid w:val="77BFB381"/>
    <w:rsid w:val="77EB0A30"/>
    <w:rsid w:val="77F7A577"/>
    <w:rsid w:val="77FD2DD1"/>
    <w:rsid w:val="77FFD227"/>
    <w:rsid w:val="77FFE042"/>
    <w:rsid w:val="786F6BBB"/>
    <w:rsid w:val="789125A4"/>
    <w:rsid w:val="78A551F0"/>
    <w:rsid w:val="7955109C"/>
    <w:rsid w:val="79A96382"/>
    <w:rsid w:val="79C33213"/>
    <w:rsid w:val="79D3C3D0"/>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54566E"/>
    <w:rsid w:val="7C5F8FDA"/>
    <w:rsid w:val="7C7D4167"/>
    <w:rsid w:val="7CBDD19A"/>
    <w:rsid w:val="7CFCADF1"/>
    <w:rsid w:val="7CFF8BFD"/>
    <w:rsid w:val="7D397FB7"/>
    <w:rsid w:val="7D6736E3"/>
    <w:rsid w:val="7D7377E8"/>
    <w:rsid w:val="7D8116E4"/>
    <w:rsid w:val="7DBF6886"/>
    <w:rsid w:val="7DBFA8D5"/>
    <w:rsid w:val="7DDDD8B2"/>
    <w:rsid w:val="7DDE0CEE"/>
    <w:rsid w:val="7DFC5C92"/>
    <w:rsid w:val="7DFE5D73"/>
    <w:rsid w:val="7DFF7E4E"/>
    <w:rsid w:val="7DFFDAF8"/>
    <w:rsid w:val="7E787EB7"/>
    <w:rsid w:val="7EB8A718"/>
    <w:rsid w:val="7ED7E27B"/>
    <w:rsid w:val="7EDC4E86"/>
    <w:rsid w:val="7EDE09CB"/>
    <w:rsid w:val="7EEB91CC"/>
    <w:rsid w:val="7EF2A455"/>
    <w:rsid w:val="7EF7AF70"/>
    <w:rsid w:val="7EFF3402"/>
    <w:rsid w:val="7F179CF0"/>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72413"/>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EEE55"/>
    <w:rsid w:val="7FFF1975"/>
    <w:rsid w:val="7FFF391B"/>
    <w:rsid w:val="7FFF633F"/>
    <w:rsid w:val="7FFF8903"/>
    <w:rsid w:val="7FFFAD8B"/>
    <w:rsid w:val="7FFFBCF7"/>
    <w:rsid w:val="8EBF225C"/>
    <w:rsid w:val="8F5D59A4"/>
    <w:rsid w:val="8F5F6B2D"/>
    <w:rsid w:val="8FFB0B75"/>
    <w:rsid w:val="97BF2327"/>
    <w:rsid w:val="98B74015"/>
    <w:rsid w:val="9B9C1F6C"/>
    <w:rsid w:val="9BDF3334"/>
    <w:rsid w:val="9C7EF351"/>
    <w:rsid w:val="9D7B2324"/>
    <w:rsid w:val="9F8F6FA3"/>
    <w:rsid w:val="9FCE4ACA"/>
    <w:rsid w:val="9FD4B984"/>
    <w:rsid w:val="9FF99F35"/>
    <w:rsid w:val="9FFB9794"/>
    <w:rsid w:val="9FFC9604"/>
    <w:rsid w:val="9FFFDB11"/>
    <w:rsid w:val="A5FE2FD1"/>
    <w:rsid w:val="A67C683F"/>
    <w:rsid w:val="A7DBCE3C"/>
    <w:rsid w:val="ABBBED28"/>
    <w:rsid w:val="AD9F8C9A"/>
    <w:rsid w:val="ADEC83D2"/>
    <w:rsid w:val="ADFF10CC"/>
    <w:rsid w:val="AE3F0DDE"/>
    <w:rsid w:val="AE5E2D17"/>
    <w:rsid w:val="AECFD7CF"/>
    <w:rsid w:val="AEFF80E1"/>
    <w:rsid w:val="AF7EFD40"/>
    <w:rsid w:val="AFEDA70A"/>
    <w:rsid w:val="AFF7119B"/>
    <w:rsid w:val="AFFB44B1"/>
    <w:rsid w:val="AFFFE447"/>
    <w:rsid w:val="AFFFF3BB"/>
    <w:rsid w:val="B0F7249B"/>
    <w:rsid w:val="B2AB062D"/>
    <w:rsid w:val="B2FFB3C6"/>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7C7785"/>
    <w:rsid w:val="BBF73F6B"/>
    <w:rsid w:val="BD5F48BC"/>
    <w:rsid w:val="BDFF14D8"/>
    <w:rsid w:val="BE7DF3AB"/>
    <w:rsid w:val="BEEB588E"/>
    <w:rsid w:val="BEFC921C"/>
    <w:rsid w:val="BEFF10AD"/>
    <w:rsid w:val="BF5E20FA"/>
    <w:rsid w:val="BF5FCF62"/>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6F4FE5"/>
    <w:rsid w:val="CF7F0D62"/>
    <w:rsid w:val="D1F503FA"/>
    <w:rsid w:val="D3FF088E"/>
    <w:rsid w:val="D5FC47EA"/>
    <w:rsid w:val="D6BD08E7"/>
    <w:rsid w:val="D6EB119C"/>
    <w:rsid w:val="D6FB60DE"/>
    <w:rsid w:val="D6FDA787"/>
    <w:rsid w:val="D75DA396"/>
    <w:rsid w:val="D77A959F"/>
    <w:rsid w:val="D77F9707"/>
    <w:rsid w:val="D7B710EC"/>
    <w:rsid w:val="D7F00430"/>
    <w:rsid w:val="D7FE7EB6"/>
    <w:rsid w:val="D97BE255"/>
    <w:rsid w:val="DACF21D7"/>
    <w:rsid w:val="DB5DBF45"/>
    <w:rsid w:val="DB7387A1"/>
    <w:rsid w:val="DBA799E2"/>
    <w:rsid w:val="DBEEED63"/>
    <w:rsid w:val="DC7ABEE3"/>
    <w:rsid w:val="DC7F37B0"/>
    <w:rsid w:val="DC9E4C42"/>
    <w:rsid w:val="DD5FA653"/>
    <w:rsid w:val="DDC3496C"/>
    <w:rsid w:val="DDFB2394"/>
    <w:rsid w:val="DE77926B"/>
    <w:rsid w:val="DE7DE59B"/>
    <w:rsid w:val="DEE262E6"/>
    <w:rsid w:val="DEEFF9CF"/>
    <w:rsid w:val="DEFB13D7"/>
    <w:rsid w:val="DF3F2014"/>
    <w:rsid w:val="DF9FAA1C"/>
    <w:rsid w:val="DFBBD75C"/>
    <w:rsid w:val="DFD9770E"/>
    <w:rsid w:val="DFDD016C"/>
    <w:rsid w:val="DFDF029D"/>
    <w:rsid w:val="DFE3F1F5"/>
    <w:rsid w:val="DFE61A72"/>
    <w:rsid w:val="DFF34AD3"/>
    <w:rsid w:val="DFF39B79"/>
    <w:rsid w:val="DFF720EC"/>
    <w:rsid w:val="DFFB60A3"/>
    <w:rsid w:val="DFFD31B0"/>
    <w:rsid w:val="DFFF47CA"/>
    <w:rsid w:val="DFFFAE61"/>
    <w:rsid w:val="DFFFFB80"/>
    <w:rsid w:val="E2DB5A87"/>
    <w:rsid w:val="E5FC02D1"/>
    <w:rsid w:val="E6BB69F9"/>
    <w:rsid w:val="E6EF37CC"/>
    <w:rsid w:val="E6EF91AE"/>
    <w:rsid w:val="E72F10DC"/>
    <w:rsid w:val="E778A862"/>
    <w:rsid w:val="E7DF50C1"/>
    <w:rsid w:val="E87B70A2"/>
    <w:rsid w:val="E8D76BCE"/>
    <w:rsid w:val="E97F65EC"/>
    <w:rsid w:val="EADC83D7"/>
    <w:rsid w:val="EB7B6DE1"/>
    <w:rsid w:val="EBDECC2E"/>
    <w:rsid w:val="EBEFA9BB"/>
    <w:rsid w:val="ECEAAF28"/>
    <w:rsid w:val="EDBFD3AA"/>
    <w:rsid w:val="EDEF4004"/>
    <w:rsid w:val="EDFD232B"/>
    <w:rsid w:val="EDFE5F27"/>
    <w:rsid w:val="EDFF7865"/>
    <w:rsid w:val="EDFFCF00"/>
    <w:rsid w:val="EE8AFE1C"/>
    <w:rsid w:val="EEFA5F6E"/>
    <w:rsid w:val="EF3FE0F5"/>
    <w:rsid w:val="EF5DC768"/>
    <w:rsid w:val="EF7F2C56"/>
    <w:rsid w:val="EFABB031"/>
    <w:rsid w:val="EFADAA4C"/>
    <w:rsid w:val="EFD55489"/>
    <w:rsid w:val="EFDD93C1"/>
    <w:rsid w:val="EFE31411"/>
    <w:rsid w:val="EFEF0094"/>
    <w:rsid w:val="EFFB89B2"/>
    <w:rsid w:val="EFFDE6FA"/>
    <w:rsid w:val="F1BF1DBA"/>
    <w:rsid w:val="F1EDC61B"/>
    <w:rsid w:val="F1F395D8"/>
    <w:rsid w:val="F1FF3360"/>
    <w:rsid w:val="F2DEA05A"/>
    <w:rsid w:val="F2FF3A7A"/>
    <w:rsid w:val="F3794464"/>
    <w:rsid w:val="F3CF073D"/>
    <w:rsid w:val="F3EF9127"/>
    <w:rsid w:val="F3FA869C"/>
    <w:rsid w:val="F4FF43E7"/>
    <w:rsid w:val="F4FF84A5"/>
    <w:rsid w:val="F57D3FA1"/>
    <w:rsid w:val="F5D77FD0"/>
    <w:rsid w:val="F5FE7683"/>
    <w:rsid w:val="F60B0D17"/>
    <w:rsid w:val="F639FDF8"/>
    <w:rsid w:val="F7798D0D"/>
    <w:rsid w:val="F7BFF8A7"/>
    <w:rsid w:val="F7D76496"/>
    <w:rsid w:val="F7DB7B04"/>
    <w:rsid w:val="F7DEACCC"/>
    <w:rsid w:val="F7EDAF2A"/>
    <w:rsid w:val="F7EEC0BA"/>
    <w:rsid w:val="F7F597CB"/>
    <w:rsid w:val="F7F715EE"/>
    <w:rsid w:val="F7F938C5"/>
    <w:rsid w:val="F7FF38DD"/>
    <w:rsid w:val="F7FF61F0"/>
    <w:rsid w:val="F7FFD1F6"/>
    <w:rsid w:val="F8A1B925"/>
    <w:rsid w:val="F8D04070"/>
    <w:rsid w:val="F8E8D507"/>
    <w:rsid w:val="F93B35A3"/>
    <w:rsid w:val="F9841BE9"/>
    <w:rsid w:val="F9FA1080"/>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C698F"/>
    <w:rsid w:val="FCFF4F1C"/>
    <w:rsid w:val="FCFFC361"/>
    <w:rsid w:val="FD3D36C1"/>
    <w:rsid w:val="FD59D062"/>
    <w:rsid w:val="FD5DE01D"/>
    <w:rsid w:val="FD6D1428"/>
    <w:rsid w:val="FD7579DB"/>
    <w:rsid w:val="FD7AEB45"/>
    <w:rsid w:val="FDD5052B"/>
    <w:rsid w:val="FDDAC906"/>
    <w:rsid w:val="FDDFBC8D"/>
    <w:rsid w:val="FDE92824"/>
    <w:rsid w:val="FDED4FE7"/>
    <w:rsid w:val="FDEF0B21"/>
    <w:rsid w:val="FDEFFB1A"/>
    <w:rsid w:val="FDF5B80F"/>
    <w:rsid w:val="FDFBE4BF"/>
    <w:rsid w:val="FDFD87BE"/>
    <w:rsid w:val="FDFF84B5"/>
    <w:rsid w:val="FDFFDA72"/>
    <w:rsid w:val="FE31A3AF"/>
    <w:rsid w:val="FE5D4482"/>
    <w:rsid w:val="FEB7EB15"/>
    <w:rsid w:val="FEDB0CBA"/>
    <w:rsid w:val="FEEFC20F"/>
    <w:rsid w:val="FEFA5691"/>
    <w:rsid w:val="FEFB3EE1"/>
    <w:rsid w:val="FEFF92FD"/>
    <w:rsid w:val="FEFFF2F2"/>
    <w:rsid w:val="FF1FC617"/>
    <w:rsid w:val="FF3FD0B3"/>
    <w:rsid w:val="FF4DFF11"/>
    <w:rsid w:val="FF4F0527"/>
    <w:rsid w:val="FF5BCBA9"/>
    <w:rsid w:val="FF5FD35F"/>
    <w:rsid w:val="FF7C733A"/>
    <w:rsid w:val="FF8A1E4E"/>
    <w:rsid w:val="FF9C3594"/>
    <w:rsid w:val="FFAF580F"/>
    <w:rsid w:val="FFBB58BA"/>
    <w:rsid w:val="FFBBEB92"/>
    <w:rsid w:val="FFBDA195"/>
    <w:rsid w:val="FFCEDCEE"/>
    <w:rsid w:val="FFD7A303"/>
    <w:rsid w:val="FFD7A69E"/>
    <w:rsid w:val="FFDB1E84"/>
    <w:rsid w:val="FFDC3DD8"/>
    <w:rsid w:val="FFDD06B4"/>
    <w:rsid w:val="FFDE9A2D"/>
    <w:rsid w:val="FFE57E77"/>
    <w:rsid w:val="FFEB7DAB"/>
    <w:rsid w:val="FFEC12BB"/>
    <w:rsid w:val="FFECA782"/>
    <w:rsid w:val="FFED928B"/>
    <w:rsid w:val="FFEF5E18"/>
    <w:rsid w:val="FFF74132"/>
    <w:rsid w:val="FFF74AA8"/>
    <w:rsid w:val="FFF99E5D"/>
    <w:rsid w:val="FFFA308C"/>
    <w:rsid w:val="FFFB2AC2"/>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1775</Words>
  <Characters>2209</Characters>
  <Lines>38</Lines>
  <Paragraphs>10</Paragraphs>
  <TotalTime>150</TotalTime>
  <ScaleCrop>false</ScaleCrop>
  <LinksUpToDate>false</LinksUpToDate>
  <CharactersWithSpaces>2271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2021-12-02T18:40:00Z</dcterms:created>
  <dc:creator>牟伶俐</dc:creator>
  <cp:lastModifiedBy>无形的手</cp:lastModifiedBy>
  <cp:lastPrinted>2025-03-10T17:54:00Z</cp:lastPrinted>
  <dcterms:modified xsi:type="dcterms:W3CDTF">2025-04-08T06:46:20Z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47BB76FA37244270AEEE1B5355229B5D</vt:lpwstr>
  </property>
  <property fmtid="{D5CDD505-2E9C-101B-9397-08002B2CF9AE}" pid="4" name="KSOTemplateDocerSaveRecord">
    <vt:lpwstr>eyJoZGlkIjoiMTAyMzJkOGNiMDEyZDQzM2FkNGM4ODJmZGE4NDczMDMiLCJ1c2VySWQiOiIzOTcwMzg5MTcifQ==</vt:lpwstr>
  </property>
</Properties>
</file>