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9587E8">
      <w:pPr>
        <w:keepNext w:val="0"/>
        <w:keepLines w:val="0"/>
        <w:pageBreakBefore w:val="0"/>
        <w:widowControl w:val="0"/>
        <w:kinsoku/>
        <w:wordWrap/>
        <w:overflowPunct/>
        <w:topLinePunct w:val="0"/>
        <w:autoSpaceDE/>
        <w:autoSpaceDN/>
        <w:bidi w:val="0"/>
        <w:adjustRightInd/>
        <w:spacing w:line="590" w:lineRule="exact"/>
        <w:jc w:val="center"/>
        <w:textAlignment w:val="auto"/>
        <w:rPr>
          <w:rFonts w:hint="default" w:ascii="Times New Roman" w:hAnsi="Times New Roman" w:eastAsia="方正小标宋_GBK" w:cs="Times New Roman"/>
          <w:color w:val="auto"/>
          <w:sz w:val="44"/>
          <w:szCs w:val="44"/>
          <w:highlight w:val="none"/>
        </w:rPr>
      </w:pPr>
      <w:bookmarkStart w:id="0" w:name="_GoBack"/>
      <w:bookmarkEnd w:id="0"/>
    </w:p>
    <w:p w14:paraId="7370978A">
      <w:pPr>
        <w:pStyle w:val="2"/>
        <w:rPr>
          <w:rFonts w:hint="default"/>
        </w:rPr>
      </w:pPr>
    </w:p>
    <w:p w14:paraId="7252AFC4">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eastAsia="方正小标宋简体" w:cs="Times New Roman"/>
          <w:color w:val="auto"/>
          <w:kern w:val="0"/>
          <w:sz w:val="44"/>
          <w:szCs w:val="44"/>
          <w:highlight w:val="none"/>
          <w:lang w:val="en-US" w:eastAsia="zh-CN"/>
        </w:rPr>
      </w:pPr>
      <w:r>
        <w:rPr>
          <w:rFonts w:hint="eastAsia" w:eastAsia="方正小标宋简体" w:cs="Times New Roman"/>
          <w:color w:val="auto"/>
          <w:kern w:val="0"/>
          <w:sz w:val="44"/>
          <w:szCs w:val="44"/>
          <w:highlight w:val="none"/>
          <w:lang w:eastAsia="zh-CN"/>
        </w:rPr>
        <w:t>2025年</w:t>
      </w:r>
      <w:r>
        <w:rPr>
          <w:rFonts w:hint="default" w:ascii="Times New Roman" w:hAnsi="Times New Roman" w:eastAsia="方正小标宋简体" w:cs="Times New Roman"/>
          <w:color w:val="auto"/>
          <w:kern w:val="0"/>
          <w:sz w:val="44"/>
          <w:szCs w:val="44"/>
          <w:highlight w:val="none"/>
        </w:rPr>
        <w:t>四川省政府</w:t>
      </w:r>
      <w:r>
        <w:rPr>
          <w:rFonts w:hint="eastAsia" w:eastAsia="方正小标宋简体" w:cs="Times New Roman"/>
          <w:color w:val="auto"/>
          <w:kern w:val="0"/>
          <w:sz w:val="44"/>
          <w:szCs w:val="44"/>
          <w:highlight w:val="none"/>
          <w:lang w:val="en-US" w:eastAsia="zh-CN"/>
        </w:rPr>
        <w:t>再融资一般债券（四期）</w:t>
      </w:r>
    </w:p>
    <w:p w14:paraId="188CDBAB">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color w:val="auto"/>
          <w:sz w:val="44"/>
          <w:szCs w:val="44"/>
          <w:highlight w:val="none"/>
        </w:rPr>
      </w:pPr>
      <w:r>
        <w:rPr>
          <w:rFonts w:hint="default" w:ascii="Times New Roman" w:hAnsi="Times New Roman" w:eastAsia="方正小标宋简体" w:cs="Times New Roman"/>
          <w:color w:val="auto"/>
          <w:sz w:val="44"/>
          <w:szCs w:val="44"/>
          <w:highlight w:val="none"/>
        </w:rPr>
        <w:t>信息披露文件</w:t>
      </w:r>
    </w:p>
    <w:p w14:paraId="5FB72B38">
      <w:pPr>
        <w:keepNext w:val="0"/>
        <w:keepLines w:val="0"/>
        <w:pageBreakBefore w:val="0"/>
        <w:widowControl w:val="0"/>
        <w:kinsoku/>
        <w:wordWrap/>
        <w:overflowPunct/>
        <w:topLinePunct w:val="0"/>
        <w:autoSpaceDE/>
        <w:autoSpaceDN/>
        <w:bidi w:val="0"/>
        <w:adjustRightInd/>
        <w:snapToGrid w:val="0"/>
        <w:spacing w:line="580" w:lineRule="exact"/>
        <w:ind w:firstLine="576" w:firstLineChars="192"/>
        <w:textAlignment w:val="auto"/>
        <w:outlineLvl w:val="0"/>
        <w:rPr>
          <w:rFonts w:hint="default" w:ascii="Times New Roman" w:hAnsi="Times New Roman" w:eastAsia="仿宋_GB2312" w:cs="Times New Roman"/>
          <w:color w:val="auto"/>
          <w:szCs w:val="32"/>
          <w:highlight w:val="none"/>
          <w:lang w:val="en-US" w:eastAsia="zh-CN"/>
        </w:rPr>
      </w:pPr>
      <w:r>
        <w:rPr>
          <w:rFonts w:hint="default" w:ascii="Times New Roman" w:hAnsi="Times New Roman" w:cs="Times New Roman"/>
          <w:color w:val="auto"/>
          <w:szCs w:val="32"/>
          <w:highlight w:val="none"/>
          <w:lang w:val="en-US" w:eastAsia="zh-CN"/>
        </w:rPr>
        <w:t xml:space="preserve"> </w:t>
      </w:r>
    </w:p>
    <w:p w14:paraId="57E47F15">
      <w:pPr>
        <w:keepNext w:val="0"/>
        <w:keepLines w:val="0"/>
        <w:pageBreakBefore w:val="0"/>
        <w:widowControl w:val="0"/>
        <w:kinsoku/>
        <w:wordWrap/>
        <w:overflowPunct/>
        <w:topLinePunct w:val="0"/>
        <w:autoSpaceDE/>
        <w:autoSpaceDN/>
        <w:bidi w:val="0"/>
        <w:adjustRightInd/>
        <w:snapToGrid w:val="0"/>
        <w:spacing w:line="580" w:lineRule="exact"/>
        <w:ind w:firstLine="614" w:firstLineChars="192"/>
        <w:textAlignment w:val="auto"/>
        <w:outlineLvl w:val="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一、债券概况</w:t>
      </w:r>
    </w:p>
    <w:p w14:paraId="6B1FB05C">
      <w:pPr>
        <w:pStyle w:val="4"/>
        <w:keepNext w:val="0"/>
        <w:keepLines w:val="0"/>
        <w:pageBreakBefore w:val="0"/>
        <w:widowControl w:val="0"/>
        <w:kinsoku/>
        <w:wordWrap/>
        <w:overflowPunct/>
        <w:topLinePunct w:val="0"/>
        <w:autoSpaceDE/>
        <w:autoSpaceDN/>
        <w:bidi w:val="0"/>
        <w:adjustRightInd/>
        <w:snapToGrid w:val="0"/>
        <w:spacing w:line="580" w:lineRule="exact"/>
        <w:ind w:firstLine="617" w:firstLineChars="192"/>
        <w:textAlignment w:val="auto"/>
        <w:rPr>
          <w:rFonts w:hint="default" w:ascii="Times New Roman" w:hAnsi="Times New Roman" w:eastAsia="楷体_GB2312" w:cs="Times New Roman"/>
          <w:b/>
          <w:bCs/>
          <w:color w:val="auto"/>
          <w:sz w:val="32"/>
          <w:szCs w:val="32"/>
          <w:highlight w:val="none"/>
        </w:rPr>
      </w:pPr>
      <w:r>
        <w:rPr>
          <w:rFonts w:hint="default" w:ascii="Times New Roman" w:hAnsi="Times New Roman" w:eastAsia="楷体_GB2312" w:cs="Times New Roman"/>
          <w:b/>
          <w:bCs/>
          <w:color w:val="auto"/>
          <w:sz w:val="32"/>
          <w:szCs w:val="32"/>
          <w:highlight w:val="none"/>
        </w:rPr>
        <w:t>（一）基本情况</w:t>
      </w:r>
    </w:p>
    <w:p w14:paraId="724E344C">
      <w:pPr>
        <w:pStyle w:val="4"/>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202</w:t>
      </w:r>
      <w:r>
        <w:rPr>
          <w:rFonts w:hint="eastAsia"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lang w:val="en-US" w:eastAsia="zh-CN"/>
        </w:rPr>
        <w:t>年四川省政府</w:t>
      </w:r>
      <w:r>
        <w:rPr>
          <w:rFonts w:hint="eastAsia" w:ascii="Times New Roman" w:hAnsi="Times New Roman" w:eastAsia="仿宋_GB2312" w:cs="Times New Roman"/>
          <w:color w:val="auto"/>
          <w:sz w:val="32"/>
          <w:szCs w:val="32"/>
          <w:highlight w:val="none"/>
          <w:lang w:val="en-US" w:eastAsia="zh-CN"/>
        </w:rPr>
        <w:t>再融资一般债券（四期）</w:t>
      </w:r>
      <w:r>
        <w:rPr>
          <w:rFonts w:hint="default" w:ascii="Times New Roman" w:hAnsi="Times New Roman" w:eastAsia="仿宋_GB2312" w:cs="Times New Roman"/>
          <w:color w:val="auto"/>
          <w:sz w:val="32"/>
          <w:szCs w:val="32"/>
          <w:highlight w:val="none"/>
        </w:rPr>
        <w:t>发行总额</w:t>
      </w:r>
      <w:r>
        <w:rPr>
          <w:rFonts w:hint="eastAsia" w:ascii="Times New Roman" w:hAnsi="Times New Roman" w:eastAsia="仿宋_GB2312" w:cs="Times New Roman"/>
          <w:color w:val="auto"/>
          <w:sz w:val="32"/>
          <w:szCs w:val="32"/>
          <w:highlight w:val="none"/>
          <w:lang w:val="en-US" w:eastAsia="zh-CN"/>
        </w:rPr>
        <w:t>39.3082亿</w:t>
      </w:r>
      <w:r>
        <w:rPr>
          <w:rFonts w:hint="default" w:ascii="Times New Roman" w:hAnsi="Times New Roman" w:eastAsia="仿宋_GB2312" w:cs="Times New Roman"/>
          <w:color w:val="auto"/>
          <w:sz w:val="32"/>
          <w:szCs w:val="32"/>
          <w:highlight w:val="none"/>
        </w:rPr>
        <w:t>元</w:t>
      </w:r>
      <w:r>
        <w:rPr>
          <w:rFonts w:hint="default"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品种为再融资</w:t>
      </w:r>
      <w:r>
        <w:rPr>
          <w:rFonts w:hint="default" w:ascii="Times New Roman" w:hAnsi="Times New Roman" w:eastAsia="仿宋_GB2312" w:cs="Times New Roman"/>
          <w:color w:val="auto"/>
          <w:sz w:val="32"/>
          <w:szCs w:val="32"/>
          <w:highlight w:val="none"/>
        </w:rPr>
        <w:t>债券</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期限</w:t>
      </w:r>
      <w:r>
        <w:rPr>
          <w:rFonts w:hint="eastAsia" w:ascii="Times New Roman" w:hAnsi="Times New Roman" w:eastAsia="仿宋_GB2312" w:cs="Times New Roman"/>
          <w:color w:val="auto"/>
          <w:sz w:val="32"/>
          <w:szCs w:val="32"/>
          <w:highlight w:val="none"/>
          <w:lang w:val="en-US" w:eastAsia="zh-CN"/>
        </w:rPr>
        <w:t>为10年，债券利息按半年支付</w:t>
      </w:r>
      <w:r>
        <w:rPr>
          <w:rFonts w:hint="default" w:ascii="Times New Roman" w:hAnsi="Times New Roman" w:eastAsia="仿宋_GB2312" w:cs="Times New Roman"/>
          <w:color w:val="auto"/>
          <w:sz w:val="32"/>
          <w:szCs w:val="32"/>
          <w:highlight w:val="none"/>
        </w:rPr>
        <w:t>。债券发行后可按规定在全国银行间债券市场和证券交易所债券市场上市流通。各期债券具体情况详见《四川省财政厅关于发行</w:t>
      </w:r>
      <w:r>
        <w:rPr>
          <w:rFonts w:hint="default" w:ascii="Times New Roman" w:hAnsi="Times New Roman" w:eastAsia="仿宋_GB2312" w:cs="Times New Roman"/>
          <w:color w:val="auto"/>
          <w:sz w:val="32"/>
          <w:szCs w:val="32"/>
          <w:highlight w:val="none"/>
          <w:lang w:eastAsia="zh-CN"/>
        </w:rPr>
        <w:t>202</w:t>
      </w:r>
      <w:r>
        <w:rPr>
          <w:rFonts w:hint="eastAsia"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lang w:eastAsia="zh-CN"/>
        </w:rPr>
        <w:t>年四川省政府</w:t>
      </w:r>
      <w:r>
        <w:rPr>
          <w:rFonts w:hint="eastAsia" w:ascii="Times New Roman" w:hAnsi="Times New Roman" w:eastAsia="仿宋_GB2312" w:cs="Times New Roman"/>
          <w:color w:val="auto"/>
          <w:sz w:val="32"/>
          <w:szCs w:val="32"/>
          <w:highlight w:val="none"/>
          <w:lang w:eastAsia="zh-CN"/>
        </w:rPr>
        <w:t>再融资一般债券（四期）</w:t>
      </w:r>
      <w:r>
        <w:rPr>
          <w:rFonts w:hint="default" w:ascii="Times New Roman" w:hAnsi="Times New Roman" w:eastAsia="仿宋_GB2312" w:cs="Times New Roman"/>
          <w:color w:val="auto"/>
          <w:sz w:val="32"/>
          <w:szCs w:val="32"/>
          <w:highlight w:val="none"/>
        </w:rPr>
        <w:t>有关事项的通知》。</w:t>
      </w:r>
    </w:p>
    <w:p w14:paraId="00BD4F7B">
      <w:pPr>
        <w:pStyle w:val="4"/>
        <w:keepNext w:val="0"/>
        <w:keepLines w:val="0"/>
        <w:pageBreakBefore w:val="0"/>
        <w:widowControl w:val="0"/>
        <w:kinsoku/>
        <w:wordWrap/>
        <w:overflowPunct/>
        <w:topLinePunct w:val="0"/>
        <w:autoSpaceDE/>
        <w:autoSpaceDN/>
        <w:bidi w:val="0"/>
        <w:adjustRightInd/>
        <w:snapToGrid w:val="0"/>
        <w:spacing w:line="580" w:lineRule="exact"/>
        <w:ind w:firstLine="617" w:firstLineChars="192"/>
        <w:textAlignment w:val="auto"/>
        <w:rPr>
          <w:rFonts w:hint="default" w:ascii="Times New Roman" w:hAnsi="Times New Roman" w:eastAsia="楷体_GB2312" w:cs="Times New Roman"/>
          <w:b/>
          <w:bCs/>
          <w:color w:val="auto"/>
          <w:sz w:val="32"/>
          <w:szCs w:val="32"/>
          <w:highlight w:val="none"/>
        </w:rPr>
      </w:pPr>
      <w:r>
        <w:rPr>
          <w:rFonts w:hint="default" w:ascii="Times New Roman" w:hAnsi="Times New Roman" w:eastAsia="楷体_GB2312" w:cs="Times New Roman"/>
          <w:b/>
          <w:bCs/>
          <w:color w:val="auto"/>
          <w:sz w:val="32"/>
          <w:szCs w:val="32"/>
          <w:highlight w:val="none"/>
        </w:rPr>
        <w:t>（二）发行方式</w:t>
      </w:r>
    </w:p>
    <w:p w14:paraId="61DBC5C7">
      <w:pPr>
        <w:pStyle w:val="4"/>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202</w:t>
      </w:r>
      <w:r>
        <w:rPr>
          <w:rFonts w:hint="eastAsia"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lang w:eastAsia="zh-CN"/>
        </w:rPr>
        <w:t>年四川省政府</w:t>
      </w:r>
      <w:r>
        <w:rPr>
          <w:rFonts w:hint="eastAsia" w:ascii="Times New Roman" w:hAnsi="Times New Roman" w:eastAsia="仿宋_GB2312" w:cs="Times New Roman"/>
          <w:color w:val="auto"/>
          <w:sz w:val="32"/>
          <w:szCs w:val="32"/>
          <w:highlight w:val="none"/>
          <w:lang w:eastAsia="zh-CN"/>
        </w:rPr>
        <w:t>再融资一般债券（四期）</w:t>
      </w:r>
      <w:r>
        <w:rPr>
          <w:rFonts w:hint="default" w:ascii="Times New Roman" w:hAnsi="Times New Roman" w:eastAsia="仿宋_GB2312" w:cs="Times New Roman"/>
          <w:color w:val="auto"/>
          <w:sz w:val="32"/>
          <w:szCs w:val="32"/>
          <w:highlight w:val="none"/>
        </w:rPr>
        <w:t>通过招标方式发行。</w:t>
      </w:r>
      <w:r>
        <w:rPr>
          <w:rFonts w:hint="default" w:ascii="Times New Roman" w:hAnsi="Times New Roman" w:eastAsia="仿宋_GB2312" w:cs="Times New Roman"/>
          <w:sz w:val="32"/>
          <w:szCs w:val="32"/>
          <w:highlight w:val="none"/>
        </w:rPr>
        <w:t>四川省财政厅于招标日通过财政部</w:t>
      </w:r>
      <w:r>
        <w:rPr>
          <w:rFonts w:hint="eastAsia" w:ascii="Times New Roman" w:hAnsi="Times New Roman" w:eastAsia="仿宋_GB2312" w:cs="Times New Roman"/>
          <w:sz w:val="32"/>
          <w:szCs w:val="32"/>
          <w:highlight w:val="none"/>
          <w:lang w:val="en-US" w:eastAsia="zh-CN"/>
        </w:rPr>
        <w:t>深圳证券交易所</w:t>
      </w:r>
      <w:r>
        <w:rPr>
          <w:rFonts w:hint="default" w:ascii="Times New Roman" w:hAnsi="Times New Roman" w:eastAsia="仿宋_GB2312" w:cs="Times New Roman"/>
          <w:sz w:val="32"/>
          <w:szCs w:val="32"/>
          <w:highlight w:val="none"/>
        </w:rPr>
        <w:t>政府债券发行系统组织招投标工作，</w:t>
      </w:r>
      <w:r>
        <w:rPr>
          <w:rFonts w:hint="default" w:ascii="Times New Roman" w:hAnsi="Times New Roman" w:eastAsia="仿宋_GB2312" w:cs="Times New Roman"/>
          <w:color w:val="auto"/>
          <w:sz w:val="32"/>
          <w:szCs w:val="32"/>
          <w:highlight w:val="none"/>
        </w:rPr>
        <w:t>参与机构为</w:t>
      </w:r>
      <w:r>
        <w:rPr>
          <w:rFonts w:hint="default" w:ascii="Times New Roman" w:hAnsi="Times New Roman" w:eastAsia="仿宋_GB2312" w:cs="Times New Roman"/>
          <w:color w:val="auto"/>
          <w:sz w:val="32"/>
          <w:szCs w:val="32"/>
          <w:highlight w:val="none"/>
          <w:lang w:val="en-US" w:eastAsia="zh-CN"/>
        </w:rPr>
        <w:t>202</w:t>
      </w:r>
      <w:r>
        <w:rPr>
          <w:rFonts w:hint="eastAsia"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年四川省政府债券承销团成员。招标发行具体安排详见四川省财政厅《关于印发〈四川省政府债券公开招标发行与兑付管理办法〉的通知》《关于印发〈四川省政府债券招标发行规则〉的通知》《关于发行</w:t>
      </w:r>
      <w:r>
        <w:rPr>
          <w:rFonts w:hint="default" w:ascii="Times New Roman" w:hAnsi="Times New Roman" w:eastAsia="仿宋_GB2312" w:cs="Times New Roman"/>
          <w:color w:val="auto"/>
          <w:sz w:val="32"/>
          <w:szCs w:val="32"/>
          <w:highlight w:val="none"/>
          <w:lang w:eastAsia="zh-CN"/>
        </w:rPr>
        <w:t>202</w:t>
      </w:r>
      <w:r>
        <w:rPr>
          <w:rFonts w:hint="eastAsia"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lang w:eastAsia="zh-CN"/>
        </w:rPr>
        <w:t>年四川省政府</w:t>
      </w:r>
      <w:r>
        <w:rPr>
          <w:rFonts w:hint="eastAsia" w:ascii="Times New Roman" w:hAnsi="Times New Roman" w:eastAsia="仿宋_GB2312" w:cs="Times New Roman"/>
          <w:color w:val="auto"/>
          <w:sz w:val="32"/>
          <w:szCs w:val="32"/>
          <w:highlight w:val="none"/>
          <w:lang w:eastAsia="zh-CN"/>
        </w:rPr>
        <w:t>再融资一般债券（四期）</w:t>
      </w:r>
      <w:r>
        <w:rPr>
          <w:rFonts w:hint="default" w:ascii="Times New Roman" w:hAnsi="Times New Roman" w:eastAsia="仿宋_GB2312" w:cs="Times New Roman"/>
          <w:color w:val="auto"/>
          <w:sz w:val="32"/>
          <w:szCs w:val="32"/>
          <w:highlight w:val="none"/>
        </w:rPr>
        <w:t>有关事项的通知》等。</w:t>
      </w:r>
    </w:p>
    <w:p w14:paraId="7D3A4DCA">
      <w:pPr>
        <w:pStyle w:val="4"/>
        <w:keepNext w:val="0"/>
        <w:keepLines w:val="0"/>
        <w:pageBreakBefore w:val="0"/>
        <w:widowControl w:val="0"/>
        <w:numPr>
          <w:ilvl w:val="0"/>
          <w:numId w:val="1"/>
        </w:numPr>
        <w:kinsoku/>
        <w:wordWrap/>
        <w:overflowPunct/>
        <w:topLinePunct w:val="0"/>
        <w:autoSpaceDE/>
        <w:autoSpaceDN/>
        <w:bidi w:val="0"/>
        <w:adjustRightInd/>
        <w:snapToGrid w:val="0"/>
        <w:spacing w:line="580" w:lineRule="exact"/>
        <w:ind w:firstLine="617" w:firstLineChars="192"/>
        <w:textAlignment w:val="auto"/>
        <w:rPr>
          <w:rFonts w:hint="default" w:ascii="Times New Roman" w:hAnsi="Times New Roman" w:eastAsia="楷体_GB2312" w:cs="Times New Roman"/>
          <w:b/>
          <w:bCs/>
          <w:color w:val="auto"/>
          <w:sz w:val="32"/>
          <w:szCs w:val="32"/>
          <w:highlight w:val="none"/>
        </w:rPr>
      </w:pPr>
      <w:r>
        <w:rPr>
          <w:rFonts w:hint="default" w:ascii="Times New Roman" w:hAnsi="Times New Roman" w:eastAsia="楷体_GB2312" w:cs="Times New Roman"/>
          <w:b/>
          <w:bCs/>
          <w:color w:val="auto"/>
          <w:sz w:val="32"/>
          <w:szCs w:val="32"/>
          <w:highlight w:val="none"/>
        </w:rPr>
        <w:t>募集资金投向说明</w:t>
      </w:r>
    </w:p>
    <w:p w14:paraId="41B280D1">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eastAsia" w:cs="Times New Roman"/>
          <w:sz w:val="32"/>
          <w:szCs w:val="32"/>
          <w:highlight w:val="none"/>
          <w:u w:val="none"/>
          <w:lang w:val="en-US" w:eastAsia="zh-CN"/>
        </w:rPr>
      </w:pPr>
      <w:r>
        <w:rPr>
          <w:rFonts w:hint="eastAsia" w:cs="Times New Roman"/>
          <w:sz w:val="32"/>
          <w:szCs w:val="32"/>
          <w:highlight w:val="none"/>
          <w:u w:val="none"/>
          <w:lang w:val="en-US" w:eastAsia="zh-CN"/>
        </w:rPr>
        <w:t>按照财政部要求，一般债券纳入一般公共预算管理。本批债券募集资金全部用于偿还到期政府债券本金，到期债券具体情况如下:</w:t>
      </w:r>
    </w:p>
    <w:tbl>
      <w:tblPr>
        <w:tblStyle w:val="12"/>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12"/>
        <w:gridCol w:w="891"/>
        <w:gridCol w:w="1150"/>
        <w:gridCol w:w="934"/>
        <w:gridCol w:w="883"/>
        <w:gridCol w:w="917"/>
        <w:gridCol w:w="1068"/>
      </w:tblGrid>
      <w:tr w14:paraId="2C4E6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trPr>
        <w:tc>
          <w:tcPr>
            <w:tcW w:w="1773" w:type="pct"/>
            <w:vAlign w:val="center"/>
          </w:tcPr>
          <w:p w14:paraId="6CD03E44">
            <w:pPr>
              <w:pStyle w:val="2"/>
              <w:ind w:left="0" w:leftChars="0" w:firstLine="0" w:firstLineChars="0"/>
              <w:jc w:val="center"/>
              <w:rPr>
                <w:rFonts w:hint="eastAsia" w:ascii="方正仿宋_GBK" w:hAnsi="方正仿宋_GBK" w:eastAsia="方正仿宋_GBK" w:cs="方正仿宋_GBK"/>
                <w:sz w:val="16"/>
                <w:szCs w:val="16"/>
                <w:vertAlign w:val="baseline"/>
                <w:lang w:val="en-US" w:eastAsia="zh-CN"/>
              </w:rPr>
            </w:pPr>
            <w:r>
              <w:rPr>
                <w:rFonts w:hint="eastAsia" w:ascii="方正仿宋_GBK" w:hAnsi="方正仿宋_GBK" w:eastAsia="方正仿宋_GBK" w:cs="方正仿宋_GBK"/>
                <w:sz w:val="16"/>
                <w:szCs w:val="16"/>
                <w:vertAlign w:val="baseline"/>
                <w:lang w:val="en-US" w:eastAsia="zh-CN"/>
              </w:rPr>
              <w:t>债券名称</w:t>
            </w:r>
          </w:p>
        </w:tc>
        <w:tc>
          <w:tcPr>
            <w:tcW w:w="491" w:type="pct"/>
            <w:vAlign w:val="center"/>
          </w:tcPr>
          <w:p w14:paraId="20C04D2F">
            <w:pPr>
              <w:pStyle w:val="2"/>
              <w:ind w:left="0" w:leftChars="0" w:firstLine="0" w:firstLineChars="0"/>
              <w:jc w:val="center"/>
              <w:rPr>
                <w:rFonts w:hint="eastAsia" w:ascii="方正仿宋_GBK" w:hAnsi="方正仿宋_GBK" w:eastAsia="方正仿宋_GBK" w:cs="方正仿宋_GBK"/>
                <w:sz w:val="16"/>
                <w:szCs w:val="16"/>
                <w:vertAlign w:val="baseline"/>
                <w:lang w:val="en-US" w:eastAsia="zh-CN"/>
              </w:rPr>
            </w:pPr>
            <w:r>
              <w:rPr>
                <w:rFonts w:hint="eastAsia" w:ascii="方正仿宋_GBK" w:hAnsi="方正仿宋_GBK" w:eastAsia="方正仿宋_GBK" w:cs="方正仿宋_GBK"/>
                <w:sz w:val="16"/>
                <w:szCs w:val="16"/>
                <w:vertAlign w:val="baseline"/>
                <w:lang w:val="en-US" w:eastAsia="zh-CN"/>
              </w:rPr>
              <w:t>债券代码</w:t>
            </w:r>
          </w:p>
        </w:tc>
        <w:tc>
          <w:tcPr>
            <w:tcW w:w="635" w:type="pct"/>
            <w:vAlign w:val="center"/>
          </w:tcPr>
          <w:p w14:paraId="4F7EEB0E">
            <w:pPr>
              <w:pStyle w:val="2"/>
              <w:ind w:left="0" w:leftChars="0" w:firstLine="0" w:firstLineChars="0"/>
              <w:jc w:val="center"/>
              <w:rPr>
                <w:rFonts w:hint="eastAsia" w:ascii="方正仿宋_GBK" w:hAnsi="方正仿宋_GBK" w:eastAsia="方正仿宋_GBK" w:cs="方正仿宋_GBK"/>
                <w:kern w:val="10"/>
                <w:sz w:val="16"/>
                <w:szCs w:val="16"/>
                <w:vertAlign w:val="baseline"/>
                <w:lang w:val="en-US" w:eastAsia="zh-CN"/>
              </w:rPr>
            </w:pPr>
            <w:r>
              <w:rPr>
                <w:rFonts w:hint="eastAsia" w:ascii="方正仿宋_GBK" w:hAnsi="方正仿宋_GBK" w:eastAsia="方正仿宋_GBK" w:cs="方正仿宋_GBK"/>
                <w:kern w:val="2"/>
                <w:sz w:val="16"/>
                <w:szCs w:val="16"/>
                <w:vertAlign w:val="baseline"/>
                <w:lang w:val="en-US" w:eastAsia="zh-CN"/>
              </w:rPr>
              <w:t>债券简称</w:t>
            </w:r>
          </w:p>
        </w:tc>
        <w:tc>
          <w:tcPr>
            <w:tcW w:w="515" w:type="pct"/>
            <w:vAlign w:val="center"/>
          </w:tcPr>
          <w:p w14:paraId="7EE49374">
            <w:pPr>
              <w:pStyle w:val="2"/>
              <w:ind w:left="0" w:leftChars="0" w:firstLine="0" w:firstLineChars="0"/>
              <w:jc w:val="center"/>
              <w:rPr>
                <w:rFonts w:hint="eastAsia" w:ascii="方正仿宋_GBK" w:hAnsi="方正仿宋_GBK" w:eastAsia="方正仿宋_GBK" w:cs="方正仿宋_GBK"/>
                <w:kern w:val="10"/>
                <w:sz w:val="16"/>
                <w:szCs w:val="16"/>
                <w:vertAlign w:val="baseline"/>
                <w:lang w:val="en-US" w:eastAsia="zh-CN"/>
              </w:rPr>
            </w:pPr>
            <w:r>
              <w:rPr>
                <w:rFonts w:hint="eastAsia" w:ascii="方正仿宋_GBK" w:hAnsi="方正仿宋_GBK" w:eastAsia="方正仿宋_GBK" w:cs="方正仿宋_GBK"/>
                <w:kern w:val="10"/>
                <w:sz w:val="16"/>
                <w:szCs w:val="16"/>
                <w:vertAlign w:val="baseline"/>
                <w:lang w:val="en-US" w:eastAsia="zh-CN"/>
              </w:rPr>
              <w:t>发行规模（亿元）</w:t>
            </w:r>
          </w:p>
        </w:tc>
        <w:tc>
          <w:tcPr>
            <w:tcW w:w="487" w:type="pct"/>
            <w:vAlign w:val="center"/>
          </w:tcPr>
          <w:p w14:paraId="2F7E622E">
            <w:pPr>
              <w:pStyle w:val="2"/>
              <w:ind w:left="0" w:leftChars="0" w:firstLine="0" w:firstLineChars="0"/>
              <w:jc w:val="center"/>
              <w:rPr>
                <w:rFonts w:hint="eastAsia" w:ascii="方正仿宋_GBK" w:hAnsi="方正仿宋_GBK" w:eastAsia="方正仿宋_GBK" w:cs="方正仿宋_GBK"/>
                <w:kern w:val="10"/>
                <w:sz w:val="16"/>
                <w:szCs w:val="16"/>
                <w:vertAlign w:val="baseline"/>
                <w:lang w:val="en-US" w:eastAsia="zh-CN"/>
              </w:rPr>
            </w:pPr>
            <w:r>
              <w:rPr>
                <w:rFonts w:hint="eastAsia" w:ascii="方正仿宋_GBK" w:hAnsi="方正仿宋_GBK" w:eastAsia="方正仿宋_GBK" w:cs="方正仿宋_GBK"/>
                <w:kern w:val="10"/>
                <w:sz w:val="16"/>
                <w:szCs w:val="16"/>
                <w:vertAlign w:val="baseline"/>
                <w:lang w:val="en-US" w:eastAsia="zh-CN"/>
              </w:rPr>
              <w:t>票面利率（%）</w:t>
            </w:r>
          </w:p>
        </w:tc>
        <w:tc>
          <w:tcPr>
            <w:tcW w:w="506" w:type="pct"/>
            <w:vAlign w:val="center"/>
          </w:tcPr>
          <w:p w14:paraId="0B161BFE">
            <w:pPr>
              <w:pStyle w:val="2"/>
              <w:ind w:left="0" w:leftChars="0" w:firstLine="0" w:firstLineChars="0"/>
              <w:jc w:val="center"/>
              <w:rPr>
                <w:rFonts w:hint="eastAsia" w:ascii="方正仿宋_GBK" w:hAnsi="方正仿宋_GBK" w:eastAsia="方正仿宋_GBK" w:cs="方正仿宋_GBK"/>
                <w:kern w:val="10"/>
                <w:sz w:val="16"/>
                <w:szCs w:val="16"/>
                <w:vertAlign w:val="baseline"/>
                <w:lang w:val="en-US" w:eastAsia="zh-CN"/>
              </w:rPr>
            </w:pPr>
            <w:r>
              <w:rPr>
                <w:rFonts w:hint="eastAsia" w:ascii="方正仿宋_GBK" w:hAnsi="方正仿宋_GBK" w:eastAsia="方正仿宋_GBK" w:cs="方正仿宋_GBK"/>
                <w:kern w:val="10"/>
                <w:sz w:val="16"/>
                <w:szCs w:val="16"/>
                <w:vertAlign w:val="baseline"/>
                <w:lang w:val="en-US" w:eastAsia="zh-CN"/>
              </w:rPr>
              <w:t>还本</w:t>
            </w:r>
          </w:p>
          <w:p w14:paraId="38383F2A">
            <w:pPr>
              <w:pStyle w:val="2"/>
              <w:ind w:left="0" w:leftChars="0" w:firstLine="0" w:firstLineChars="0"/>
              <w:jc w:val="center"/>
              <w:rPr>
                <w:rFonts w:hint="eastAsia" w:ascii="方正仿宋_GBK" w:hAnsi="方正仿宋_GBK" w:eastAsia="方正仿宋_GBK" w:cs="方正仿宋_GBK"/>
                <w:kern w:val="10"/>
                <w:sz w:val="16"/>
                <w:szCs w:val="16"/>
                <w:vertAlign w:val="baseline"/>
                <w:lang w:val="en-US" w:eastAsia="zh-CN"/>
              </w:rPr>
            </w:pPr>
            <w:r>
              <w:rPr>
                <w:rFonts w:hint="eastAsia" w:ascii="方正仿宋_GBK" w:hAnsi="方正仿宋_GBK" w:eastAsia="方正仿宋_GBK" w:cs="方正仿宋_GBK"/>
                <w:kern w:val="10"/>
                <w:sz w:val="16"/>
                <w:szCs w:val="16"/>
                <w:vertAlign w:val="baseline"/>
                <w:lang w:val="en-US" w:eastAsia="zh-CN"/>
              </w:rPr>
              <w:t>付息日</w:t>
            </w:r>
          </w:p>
        </w:tc>
        <w:tc>
          <w:tcPr>
            <w:tcW w:w="589" w:type="pct"/>
            <w:vAlign w:val="center"/>
          </w:tcPr>
          <w:p w14:paraId="587313B2">
            <w:pPr>
              <w:pStyle w:val="2"/>
              <w:ind w:left="0" w:leftChars="0" w:firstLine="0" w:firstLineChars="0"/>
              <w:jc w:val="center"/>
              <w:rPr>
                <w:rFonts w:hint="eastAsia" w:ascii="方正仿宋_GBK" w:hAnsi="方正仿宋_GBK" w:eastAsia="方正仿宋_GBK" w:cs="方正仿宋_GBK"/>
                <w:kern w:val="10"/>
                <w:sz w:val="16"/>
                <w:szCs w:val="16"/>
                <w:vertAlign w:val="baseline"/>
                <w:lang w:val="en-US" w:eastAsia="zh-CN"/>
              </w:rPr>
            </w:pPr>
            <w:r>
              <w:rPr>
                <w:rFonts w:hint="eastAsia" w:ascii="方正仿宋_GBK" w:hAnsi="方正仿宋_GBK" w:eastAsia="方正仿宋_GBK" w:cs="方正仿宋_GBK"/>
                <w:kern w:val="10"/>
                <w:sz w:val="16"/>
                <w:szCs w:val="16"/>
                <w:vertAlign w:val="baseline"/>
                <w:lang w:val="en-US" w:eastAsia="zh-CN"/>
              </w:rPr>
              <w:t>发行再融资债券偿还金额（亿元）</w:t>
            </w:r>
          </w:p>
        </w:tc>
      </w:tr>
      <w:tr w14:paraId="2D9B6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3" w:type="pct"/>
          </w:tcPr>
          <w:p w14:paraId="44A5A111">
            <w:pPr>
              <w:pStyle w:val="2"/>
              <w:ind w:left="0" w:leftChars="0" w:firstLine="0" w:firstLineChars="0"/>
              <w:rPr>
                <w:rFonts w:hint="default" w:ascii="方正仿宋_GBK" w:hAnsi="方正仿宋_GBK" w:eastAsia="方正仿宋_GBK" w:cs="方正仿宋_GBK"/>
                <w:sz w:val="16"/>
                <w:szCs w:val="16"/>
                <w:vertAlign w:val="baseline"/>
                <w:lang w:val="en-US" w:eastAsia="zh-CN"/>
              </w:rPr>
            </w:pPr>
            <w:r>
              <w:rPr>
                <w:rFonts w:hint="eastAsia" w:ascii="方正仿宋_GBK" w:hAnsi="方正仿宋_GBK" w:eastAsia="方正仿宋_GBK" w:cs="方正仿宋_GBK"/>
                <w:sz w:val="16"/>
                <w:szCs w:val="16"/>
                <w:vertAlign w:val="baseline"/>
                <w:lang w:val="en-US" w:eastAsia="zh-CN"/>
              </w:rPr>
              <w:t>2015年四川省政府一般债券（四期）</w:t>
            </w:r>
          </w:p>
        </w:tc>
        <w:tc>
          <w:tcPr>
            <w:tcW w:w="491" w:type="pct"/>
            <w:vAlign w:val="center"/>
          </w:tcPr>
          <w:p w14:paraId="57A99B23">
            <w:pPr>
              <w:pStyle w:val="2"/>
              <w:ind w:left="0" w:leftChars="0" w:firstLine="0" w:firstLineChars="0"/>
              <w:jc w:val="center"/>
              <w:rPr>
                <w:rFonts w:hint="eastAsia" w:ascii="方正仿宋_GBK" w:hAnsi="方正仿宋_GBK" w:eastAsia="方正仿宋_GBK" w:cs="方正仿宋_GBK"/>
                <w:sz w:val="16"/>
                <w:szCs w:val="16"/>
                <w:vertAlign w:val="baseline"/>
                <w:lang w:val="en-US" w:eastAsia="zh-CN"/>
              </w:rPr>
            </w:pPr>
            <w:r>
              <w:rPr>
                <w:rFonts w:hint="eastAsia" w:ascii="方正仿宋_GBK" w:hAnsi="方正仿宋_GBK" w:eastAsia="方正仿宋_GBK" w:cs="方正仿宋_GBK"/>
                <w:sz w:val="16"/>
                <w:szCs w:val="16"/>
                <w:vertAlign w:val="baseline"/>
                <w:lang w:val="en-US" w:eastAsia="zh-CN"/>
              </w:rPr>
              <w:t>1568004</w:t>
            </w:r>
          </w:p>
        </w:tc>
        <w:tc>
          <w:tcPr>
            <w:tcW w:w="635" w:type="pct"/>
            <w:vAlign w:val="center"/>
          </w:tcPr>
          <w:p w14:paraId="7AC8041E">
            <w:pPr>
              <w:pStyle w:val="2"/>
              <w:ind w:left="0" w:leftChars="0" w:firstLine="0" w:firstLineChars="0"/>
              <w:jc w:val="center"/>
              <w:rPr>
                <w:rFonts w:hint="eastAsia" w:ascii="方正仿宋_GBK" w:hAnsi="方正仿宋_GBK" w:eastAsia="方正仿宋_GBK" w:cs="方正仿宋_GBK"/>
                <w:sz w:val="16"/>
                <w:szCs w:val="16"/>
                <w:vertAlign w:val="baseline"/>
                <w:lang w:val="en-US" w:eastAsia="zh-CN"/>
              </w:rPr>
            </w:pPr>
            <w:r>
              <w:rPr>
                <w:rFonts w:hint="eastAsia" w:ascii="方正仿宋_GBK" w:hAnsi="方正仿宋_GBK" w:eastAsia="方正仿宋_GBK" w:cs="方正仿宋_GBK"/>
                <w:sz w:val="16"/>
                <w:szCs w:val="16"/>
                <w:vertAlign w:val="baseline"/>
                <w:lang w:val="en-US" w:eastAsia="zh-CN"/>
              </w:rPr>
              <w:t>15四川债04</w:t>
            </w:r>
          </w:p>
        </w:tc>
        <w:tc>
          <w:tcPr>
            <w:tcW w:w="515" w:type="pct"/>
            <w:vAlign w:val="center"/>
          </w:tcPr>
          <w:p w14:paraId="62FE8A33">
            <w:pPr>
              <w:pStyle w:val="2"/>
              <w:ind w:left="0" w:leftChars="0" w:firstLine="0" w:firstLineChars="0"/>
              <w:jc w:val="center"/>
              <w:rPr>
                <w:rFonts w:hint="default" w:ascii="方正仿宋_GBK" w:hAnsi="方正仿宋_GBK" w:eastAsia="方正仿宋_GBK" w:cs="方正仿宋_GBK"/>
                <w:sz w:val="16"/>
                <w:szCs w:val="16"/>
                <w:vertAlign w:val="baseline"/>
                <w:lang w:val="en-US" w:eastAsia="zh-CN"/>
              </w:rPr>
            </w:pPr>
            <w:r>
              <w:rPr>
                <w:rFonts w:hint="eastAsia" w:ascii="方正仿宋_GBK" w:hAnsi="方正仿宋_GBK" w:eastAsia="方正仿宋_GBK" w:cs="方正仿宋_GBK"/>
                <w:sz w:val="16"/>
                <w:szCs w:val="16"/>
                <w:vertAlign w:val="baseline"/>
                <w:lang w:val="en-US" w:eastAsia="zh-CN"/>
              </w:rPr>
              <w:t>45</w:t>
            </w:r>
          </w:p>
        </w:tc>
        <w:tc>
          <w:tcPr>
            <w:tcW w:w="487" w:type="pct"/>
            <w:vAlign w:val="center"/>
          </w:tcPr>
          <w:p w14:paraId="4E41D3A5">
            <w:pPr>
              <w:pStyle w:val="2"/>
              <w:ind w:left="0" w:leftChars="0" w:firstLine="0" w:firstLineChars="0"/>
              <w:jc w:val="center"/>
              <w:rPr>
                <w:rFonts w:hint="default" w:ascii="方正仿宋_GBK" w:hAnsi="方正仿宋_GBK" w:eastAsia="方正仿宋_GBK" w:cs="方正仿宋_GBK"/>
                <w:sz w:val="16"/>
                <w:szCs w:val="16"/>
                <w:vertAlign w:val="baseline"/>
                <w:lang w:val="en-US" w:eastAsia="zh-CN"/>
              </w:rPr>
            </w:pPr>
            <w:r>
              <w:rPr>
                <w:rFonts w:hint="eastAsia" w:ascii="方正仿宋_GBK" w:hAnsi="方正仿宋_GBK" w:eastAsia="方正仿宋_GBK" w:cs="方正仿宋_GBK"/>
                <w:sz w:val="16"/>
                <w:szCs w:val="16"/>
                <w:vertAlign w:val="baseline"/>
                <w:lang w:val="en-US" w:eastAsia="zh-CN"/>
              </w:rPr>
              <w:t>3.62</w:t>
            </w:r>
          </w:p>
        </w:tc>
        <w:tc>
          <w:tcPr>
            <w:tcW w:w="506" w:type="pct"/>
            <w:vAlign w:val="center"/>
          </w:tcPr>
          <w:p w14:paraId="1F36937F">
            <w:pPr>
              <w:pStyle w:val="2"/>
              <w:ind w:left="0" w:leftChars="0" w:firstLine="0" w:firstLineChars="0"/>
              <w:jc w:val="center"/>
              <w:rPr>
                <w:rFonts w:hint="default" w:ascii="方正仿宋_GBK" w:hAnsi="方正仿宋_GBK" w:eastAsia="方正仿宋_GBK" w:cs="方正仿宋_GBK"/>
                <w:sz w:val="16"/>
                <w:szCs w:val="16"/>
                <w:vertAlign w:val="baseline"/>
                <w:lang w:val="en-US" w:eastAsia="zh-CN"/>
              </w:rPr>
            </w:pPr>
            <w:r>
              <w:rPr>
                <w:rFonts w:hint="eastAsia" w:ascii="方正仿宋_GBK" w:hAnsi="方正仿宋_GBK" w:eastAsia="方正仿宋_GBK" w:cs="方正仿宋_GBK"/>
                <w:sz w:val="16"/>
                <w:szCs w:val="16"/>
                <w:vertAlign w:val="baseline"/>
                <w:lang w:val="en-US" w:eastAsia="zh-CN"/>
              </w:rPr>
              <w:t>2025/6/17</w:t>
            </w:r>
          </w:p>
        </w:tc>
        <w:tc>
          <w:tcPr>
            <w:tcW w:w="589" w:type="pct"/>
            <w:vAlign w:val="center"/>
          </w:tcPr>
          <w:p w14:paraId="2897E54B">
            <w:pPr>
              <w:pStyle w:val="2"/>
              <w:ind w:left="0" w:leftChars="0" w:firstLine="0" w:firstLineChars="0"/>
              <w:jc w:val="center"/>
              <w:rPr>
                <w:rFonts w:hint="default" w:ascii="方正仿宋_GBK" w:hAnsi="方正仿宋_GBK" w:eastAsia="方正仿宋_GBK" w:cs="方正仿宋_GBK"/>
                <w:sz w:val="16"/>
                <w:szCs w:val="16"/>
                <w:vertAlign w:val="baseline"/>
                <w:lang w:val="en-US" w:eastAsia="zh-CN"/>
              </w:rPr>
            </w:pPr>
            <w:r>
              <w:rPr>
                <w:rFonts w:hint="eastAsia" w:ascii="方正仿宋_GBK" w:hAnsi="方正仿宋_GBK" w:eastAsia="方正仿宋_GBK" w:cs="方正仿宋_GBK"/>
                <w:sz w:val="16"/>
                <w:szCs w:val="16"/>
                <w:vertAlign w:val="baseline"/>
                <w:lang w:val="en-US" w:eastAsia="zh-CN"/>
              </w:rPr>
              <w:t>39.3082</w:t>
            </w:r>
          </w:p>
        </w:tc>
      </w:tr>
    </w:tbl>
    <w:p w14:paraId="20CE994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二、信用评级情况</w:t>
      </w:r>
    </w:p>
    <w:p w14:paraId="4066235F">
      <w:pPr>
        <w:pStyle w:val="4"/>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经</w:t>
      </w:r>
      <w:r>
        <w:rPr>
          <w:rFonts w:hint="default" w:ascii="Times New Roman" w:hAnsi="Times New Roman" w:eastAsia="仿宋_GB2312" w:cs="Times New Roman"/>
          <w:color w:val="auto"/>
          <w:sz w:val="32"/>
          <w:szCs w:val="32"/>
          <w:highlight w:val="none"/>
          <w:lang w:eastAsia="zh-CN"/>
        </w:rPr>
        <w:t>联合</w:t>
      </w:r>
      <w:r>
        <w:rPr>
          <w:rFonts w:hint="default" w:ascii="Times New Roman" w:hAnsi="Times New Roman" w:eastAsia="仿宋_GB2312" w:cs="Times New Roman"/>
          <w:color w:val="auto"/>
          <w:sz w:val="32"/>
          <w:szCs w:val="32"/>
          <w:highlight w:val="none"/>
        </w:rPr>
        <w:t>资信评估</w:t>
      </w:r>
      <w:r>
        <w:rPr>
          <w:rFonts w:hint="default" w:ascii="Times New Roman" w:hAnsi="Times New Roman" w:eastAsia="仿宋_GB2312" w:cs="Times New Roman"/>
          <w:color w:val="auto"/>
          <w:sz w:val="32"/>
          <w:szCs w:val="32"/>
          <w:highlight w:val="none"/>
          <w:lang w:eastAsia="zh-CN"/>
        </w:rPr>
        <w:t>股份</w:t>
      </w:r>
      <w:r>
        <w:rPr>
          <w:rFonts w:hint="default" w:ascii="Times New Roman" w:hAnsi="Times New Roman" w:eastAsia="仿宋_GB2312" w:cs="Times New Roman"/>
          <w:color w:val="auto"/>
          <w:sz w:val="32"/>
          <w:szCs w:val="32"/>
          <w:highlight w:val="none"/>
        </w:rPr>
        <w:t>有限公司综合评定，</w:t>
      </w:r>
      <w:r>
        <w:rPr>
          <w:rFonts w:hint="default" w:ascii="Times New Roman" w:hAnsi="Times New Roman" w:eastAsia="仿宋_GB2312" w:cs="Times New Roman"/>
          <w:color w:val="auto"/>
          <w:sz w:val="32"/>
          <w:szCs w:val="32"/>
          <w:highlight w:val="none"/>
          <w:lang w:eastAsia="zh-CN"/>
        </w:rPr>
        <w:t>202</w:t>
      </w:r>
      <w:r>
        <w:rPr>
          <w:rFonts w:hint="eastAsia"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lang w:eastAsia="zh-CN"/>
        </w:rPr>
        <w:t>年四川省政府</w:t>
      </w:r>
      <w:r>
        <w:rPr>
          <w:rFonts w:hint="eastAsia" w:ascii="Times New Roman" w:hAnsi="Times New Roman" w:eastAsia="仿宋_GB2312" w:cs="Times New Roman"/>
          <w:color w:val="auto"/>
          <w:sz w:val="32"/>
          <w:szCs w:val="32"/>
          <w:highlight w:val="none"/>
          <w:lang w:eastAsia="zh-CN"/>
        </w:rPr>
        <w:t>再融资一般债券（四期）</w:t>
      </w:r>
      <w:r>
        <w:rPr>
          <w:rFonts w:hint="default" w:ascii="Times New Roman" w:hAnsi="Times New Roman" w:eastAsia="仿宋_GB2312" w:cs="Times New Roman"/>
          <w:color w:val="auto"/>
          <w:sz w:val="32"/>
          <w:szCs w:val="32"/>
          <w:highlight w:val="none"/>
        </w:rPr>
        <w:t>债券信用级别均为AAA。在</w:t>
      </w:r>
      <w:r>
        <w:rPr>
          <w:rFonts w:hint="default" w:ascii="Times New Roman" w:hAnsi="Times New Roman" w:eastAsia="仿宋_GB2312" w:cs="Times New Roman"/>
          <w:color w:val="auto"/>
          <w:sz w:val="32"/>
          <w:szCs w:val="32"/>
          <w:highlight w:val="none"/>
          <w:lang w:eastAsia="zh-CN"/>
        </w:rPr>
        <w:t>202</w:t>
      </w:r>
      <w:r>
        <w:rPr>
          <w:rFonts w:hint="eastAsia"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lang w:eastAsia="zh-CN"/>
        </w:rPr>
        <w:t>年四川省政府</w:t>
      </w:r>
      <w:r>
        <w:rPr>
          <w:rFonts w:hint="eastAsia" w:ascii="Times New Roman" w:hAnsi="Times New Roman" w:eastAsia="仿宋_GB2312" w:cs="Times New Roman"/>
          <w:color w:val="auto"/>
          <w:sz w:val="32"/>
          <w:szCs w:val="32"/>
          <w:highlight w:val="none"/>
          <w:lang w:eastAsia="zh-CN"/>
        </w:rPr>
        <w:t>再融资一般债券（四期）</w:t>
      </w:r>
      <w:r>
        <w:rPr>
          <w:rFonts w:hint="default" w:ascii="Times New Roman" w:hAnsi="Times New Roman" w:eastAsia="仿宋_GB2312" w:cs="Times New Roman"/>
          <w:color w:val="auto"/>
          <w:sz w:val="32"/>
          <w:szCs w:val="32"/>
          <w:highlight w:val="none"/>
        </w:rPr>
        <w:t>存续期内，四川省财政厅将委托</w:t>
      </w:r>
      <w:r>
        <w:rPr>
          <w:rFonts w:hint="default" w:ascii="Times New Roman" w:hAnsi="Times New Roman" w:eastAsia="仿宋_GB2312" w:cs="Times New Roman"/>
          <w:color w:val="auto"/>
          <w:sz w:val="32"/>
          <w:szCs w:val="32"/>
          <w:highlight w:val="none"/>
          <w:lang w:eastAsia="zh-CN"/>
        </w:rPr>
        <w:t>联合</w:t>
      </w:r>
      <w:r>
        <w:rPr>
          <w:rFonts w:hint="default" w:ascii="Times New Roman" w:hAnsi="Times New Roman" w:eastAsia="仿宋_GB2312" w:cs="Times New Roman"/>
          <w:color w:val="auto"/>
          <w:sz w:val="32"/>
          <w:szCs w:val="32"/>
          <w:highlight w:val="none"/>
        </w:rPr>
        <w:t>资信评估</w:t>
      </w:r>
      <w:r>
        <w:rPr>
          <w:rFonts w:hint="default" w:ascii="Times New Roman" w:hAnsi="Times New Roman" w:eastAsia="仿宋_GB2312" w:cs="Times New Roman"/>
          <w:color w:val="auto"/>
          <w:sz w:val="32"/>
          <w:szCs w:val="32"/>
          <w:highlight w:val="none"/>
          <w:lang w:eastAsia="zh-CN"/>
        </w:rPr>
        <w:t>股份</w:t>
      </w:r>
      <w:r>
        <w:rPr>
          <w:rFonts w:hint="default" w:ascii="Times New Roman" w:hAnsi="Times New Roman" w:eastAsia="仿宋_GB2312" w:cs="Times New Roman"/>
          <w:color w:val="auto"/>
          <w:sz w:val="32"/>
          <w:szCs w:val="32"/>
          <w:highlight w:val="none"/>
        </w:rPr>
        <w:t>有限公司每年开展一次跟踪评级。</w:t>
      </w:r>
    </w:p>
    <w:p w14:paraId="7D4B65AE">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三、全省中长期经济规划情况</w:t>
      </w:r>
    </w:p>
    <w:p w14:paraId="2F91D307">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《四川省国民经济和社会发展第十四个五年规划和二</w:t>
      </w:r>
      <w:r>
        <w:rPr>
          <w:rFonts w:hint="default" w:ascii="Times New Roman" w:hAnsi="Times New Roman" w:cs="Times New Roman"/>
          <w:color w:val="auto"/>
          <w:sz w:val="32"/>
          <w:szCs w:val="32"/>
          <w:highlight w:val="none"/>
        </w:rPr>
        <w:t>〇</w:t>
      </w:r>
      <w:r>
        <w:rPr>
          <w:rFonts w:hint="default" w:ascii="Times New Roman" w:hAnsi="Times New Roman" w:eastAsia="仿宋_GB2312" w:cs="Times New Roman"/>
          <w:color w:val="auto"/>
          <w:sz w:val="32"/>
          <w:szCs w:val="32"/>
          <w:highlight w:val="none"/>
        </w:rPr>
        <w:t>三五年远景目标纲要》已经四川省第十三届人民代表大会第四次会议批准。“十四五”时期四川将深入落实习近平总书记对四川工作系列重要指示精神，加快推动成渝地区双城经济圈建设，主动融入以国内大循环为主体、国内国际双循环相互促进的新发展格局，统筹发展和安全，推进治理体系和治理能力现代化，实现经济行稳致远、社会安定和谐。</w:t>
      </w:r>
    </w:p>
    <w:p w14:paraId="10B7620D">
      <w:pPr>
        <w:pStyle w:val="4"/>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xml:space="preserve">    “十四五”时期，四川经济社会发展的主要目标是：经济持续平稳增长，经济总量再跨上两个万亿台阶、年均增长6%，人均地区生产总值与全国差距进一步缩小，经济结构持续优化，发展质量和效益明显提升。重点领域和关键环节改革取得重大进展，高标准市场体系基本建成，“四向拓展、全域开放”立体全面开放态势更加巩固，更高水平开放型经济新体制基本形成。公共文化服务体系和文化产业体系更加健全，人民精神文化生活日益丰富，文化强省旅游强省基本建成。环境治理效果显著增强，绿色低碳生产生活方式基本形成，城乡人居环境明显改善。居民收入增长和经济增长基本同步，城乡居民人均可支配收入增速高于全国，分配结构明显改善。社会主义民主法治更加健全，更高水平的法治四川平安四川建设扎实推进，城乡基层治理制度创新和能力建设取得新成效，防范化解重大风险体制机制不断健全。</w:t>
      </w:r>
    </w:p>
    <w:p w14:paraId="5A91817D">
      <w:pPr>
        <w:pStyle w:val="4"/>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xml:space="preserve">    二</w:t>
      </w:r>
      <w:r>
        <w:rPr>
          <w:rFonts w:hint="default" w:ascii="Times New Roman" w:hAnsi="Times New Roman" w:cs="Times New Roman"/>
          <w:color w:val="auto"/>
          <w:sz w:val="32"/>
          <w:szCs w:val="32"/>
          <w:highlight w:val="none"/>
        </w:rPr>
        <w:t>〇</w:t>
      </w:r>
      <w:r>
        <w:rPr>
          <w:rFonts w:hint="default" w:ascii="Times New Roman" w:hAnsi="Times New Roman" w:eastAsia="仿宋_GB2312" w:cs="Times New Roman"/>
          <w:color w:val="auto"/>
          <w:sz w:val="32"/>
          <w:szCs w:val="32"/>
          <w:highlight w:val="none"/>
        </w:rPr>
        <w:t>三五年远景目标：经济实力大幅跃升，人均地区生产总值在二</w:t>
      </w:r>
      <w:r>
        <w:rPr>
          <w:rFonts w:hint="default" w:ascii="Times New Roman" w:hAnsi="Times New Roman" w:cs="Times New Roman"/>
          <w:color w:val="auto"/>
          <w:sz w:val="32"/>
          <w:szCs w:val="32"/>
          <w:highlight w:val="none"/>
        </w:rPr>
        <w:t>〇</w:t>
      </w:r>
      <w:r>
        <w:rPr>
          <w:rFonts w:hint="default" w:ascii="Times New Roman" w:hAnsi="Times New Roman" w:eastAsia="仿宋_GB2312" w:cs="Times New Roman"/>
          <w:color w:val="auto"/>
          <w:sz w:val="32"/>
          <w:szCs w:val="32"/>
          <w:highlight w:val="none"/>
        </w:rPr>
        <w:t>二</w:t>
      </w:r>
      <w:r>
        <w:rPr>
          <w:rFonts w:hint="default" w:ascii="Times New Roman" w:hAnsi="Times New Roman" w:cs="Times New Roman"/>
          <w:color w:val="auto"/>
          <w:sz w:val="32"/>
          <w:szCs w:val="32"/>
          <w:highlight w:val="none"/>
        </w:rPr>
        <w:t>〇</w:t>
      </w:r>
      <w:r>
        <w:rPr>
          <w:rFonts w:hint="default" w:ascii="Times New Roman" w:hAnsi="Times New Roman" w:eastAsia="仿宋_GB2312" w:cs="Times New Roman"/>
          <w:color w:val="auto"/>
          <w:sz w:val="32"/>
          <w:szCs w:val="32"/>
          <w:highlight w:val="none"/>
        </w:rPr>
        <w:t>年基础上翻一番。科技实力跻身全国前列，科技强省基本建成。治理体系和治理能力现代化基本实现，法治四川、法治政府、法治社会基本建成。长江、黄河上游生态安全屏障更加牢固，美丽四川建设目标基本实现。交通强省基本建成，对外开放优势明显增强。基本公共服务实现均等化，人的全面发展、全体人民共同富裕取得更为明显的实质性进展。</w:t>
      </w:r>
    </w:p>
    <w:p w14:paraId="3173AFFB">
      <w:pPr>
        <w:pStyle w:val="4"/>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《四川省国民经济和社会发展第十四个五年规划和二</w:t>
      </w:r>
      <w:r>
        <w:rPr>
          <w:rFonts w:hint="default" w:ascii="Times New Roman" w:hAnsi="Times New Roman" w:cs="Times New Roman"/>
          <w:color w:val="auto"/>
          <w:sz w:val="32"/>
          <w:szCs w:val="32"/>
          <w:highlight w:val="none"/>
        </w:rPr>
        <w:t>〇</w:t>
      </w:r>
      <w:r>
        <w:rPr>
          <w:rFonts w:hint="default" w:ascii="Times New Roman" w:hAnsi="Times New Roman" w:eastAsia="仿宋_GB2312" w:cs="Times New Roman"/>
          <w:color w:val="auto"/>
          <w:sz w:val="32"/>
          <w:szCs w:val="32"/>
          <w:highlight w:val="none"/>
        </w:rPr>
        <w:t>三五年远景目标纲要》具体内容参见四川省发展和改革委员会网站。</w:t>
      </w:r>
    </w:p>
    <w:p w14:paraId="2E4F87B9">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640" w:leftChars="0" w:firstLine="0" w:firstLineChars="0"/>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四川省经济、财政和债务有关数据</w:t>
      </w:r>
    </w:p>
    <w:tbl>
      <w:tblPr>
        <w:tblStyle w:val="11"/>
        <w:tblW w:w="97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98"/>
        <w:gridCol w:w="1120"/>
        <w:gridCol w:w="49"/>
        <w:gridCol w:w="463"/>
        <w:gridCol w:w="185"/>
        <w:gridCol w:w="465"/>
        <w:gridCol w:w="1031"/>
        <w:gridCol w:w="56"/>
        <w:gridCol w:w="1126"/>
        <w:gridCol w:w="596"/>
        <w:gridCol w:w="397"/>
        <w:gridCol w:w="27"/>
        <w:gridCol w:w="1110"/>
      </w:tblGrid>
      <w:tr w14:paraId="4F0FD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exact"/>
          <w:jc w:val="center"/>
        </w:trPr>
        <w:tc>
          <w:tcPr>
            <w:tcW w:w="9723" w:type="dxa"/>
            <w:gridSpan w:val="13"/>
            <w:shd w:val="clear" w:color="auto" w:fill="auto"/>
            <w:noWrap/>
            <w:vAlign w:val="center"/>
          </w:tcPr>
          <w:p w14:paraId="5F100581">
            <w:pPr>
              <w:widowControl/>
              <w:spacing w:line="400" w:lineRule="exact"/>
              <w:ind w:firstLine="482"/>
              <w:rPr>
                <w:rFonts w:hint="default" w:ascii="Times New Roman" w:hAnsi="Times New Roman" w:cs="Times New Roman"/>
                <w:b/>
                <w:kern w:val="0"/>
                <w:sz w:val="24"/>
                <w:highlight w:val="none"/>
              </w:rPr>
            </w:pPr>
            <w:r>
              <w:rPr>
                <w:rFonts w:hint="default" w:ascii="Times New Roman" w:hAnsi="Times New Roman" w:cs="Times New Roman"/>
                <w:b/>
                <w:kern w:val="0"/>
                <w:sz w:val="24"/>
                <w:highlight w:val="none"/>
              </w:rPr>
              <w:t>一、地方经济状况</w:t>
            </w:r>
          </w:p>
        </w:tc>
      </w:tr>
      <w:tr w14:paraId="12E18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exact"/>
          <w:jc w:val="center"/>
        </w:trPr>
        <w:tc>
          <w:tcPr>
            <w:tcW w:w="9723" w:type="dxa"/>
            <w:gridSpan w:val="13"/>
            <w:shd w:val="clear" w:color="auto" w:fill="auto"/>
            <w:noWrap/>
            <w:vAlign w:val="center"/>
          </w:tcPr>
          <w:p w14:paraId="7D0F1E15">
            <w:pPr>
              <w:widowControl/>
              <w:spacing w:line="400" w:lineRule="exact"/>
              <w:ind w:firstLine="482"/>
              <w:jc w:val="center"/>
              <w:rPr>
                <w:rFonts w:hint="default" w:ascii="Times New Roman" w:hAnsi="Times New Roman" w:cs="Times New Roman"/>
                <w:b/>
                <w:kern w:val="0"/>
                <w:sz w:val="24"/>
                <w:highlight w:val="none"/>
              </w:rPr>
            </w:pPr>
            <w:r>
              <w:rPr>
                <w:rFonts w:hint="default" w:ascii="Times New Roman" w:hAnsi="Times New Roman" w:eastAsia="仿宋_GB2312" w:cs="Times New Roman"/>
                <w:b/>
                <w:bCs/>
                <w:kern w:val="2"/>
                <w:sz w:val="24"/>
                <w:szCs w:val="21"/>
                <w:highlight w:val="none"/>
                <w:lang w:val="en-US" w:eastAsia="zh-CN" w:bidi="ar-SA"/>
              </w:rPr>
              <w:t>20</w:t>
            </w:r>
            <w:r>
              <w:rPr>
                <w:rFonts w:hint="default" w:ascii="Times New Roman" w:hAnsi="Times New Roman" w:cs="Times New Roman"/>
                <w:b/>
                <w:bCs/>
                <w:kern w:val="2"/>
                <w:sz w:val="24"/>
                <w:szCs w:val="21"/>
                <w:highlight w:val="none"/>
                <w:lang w:val="en-US" w:eastAsia="zh-CN" w:bidi="ar-SA"/>
              </w:rPr>
              <w:t>2</w:t>
            </w:r>
            <w:r>
              <w:rPr>
                <w:rFonts w:hint="eastAsia" w:cs="Times New Roman"/>
                <w:b/>
                <w:bCs/>
                <w:kern w:val="2"/>
                <w:sz w:val="24"/>
                <w:szCs w:val="21"/>
                <w:highlight w:val="none"/>
                <w:lang w:val="en-US" w:eastAsia="zh-CN" w:bidi="ar-SA"/>
              </w:rPr>
              <w:t>2</w:t>
            </w:r>
            <w:r>
              <w:rPr>
                <w:rFonts w:hint="default" w:ascii="Times New Roman" w:hAnsi="Times New Roman" w:eastAsia="仿宋_GB2312" w:cs="Times New Roman"/>
                <w:b/>
                <w:bCs/>
                <w:kern w:val="2"/>
                <w:sz w:val="24"/>
                <w:szCs w:val="21"/>
                <w:highlight w:val="none"/>
                <w:lang w:val="en-US" w:eastAsia="zh-CN" w:bidi="ar-SA"/>
              </w:rPr>
              <w:t>－202</w:t>
            </w:r>
            <w:r>
              <w:rPr>
                <w:rFonts w:hint="eastAsia" w:cs="Times New Roman"/>
                <w:b/>
                <w:bCs/>
                <w:kern w:val="2"/>
                <w:sz w:val="24"/>
                <w:szCs w:val="21"/>
                <w:highlight w:val="none"/>
                <w:lang w:val="en-US" w:eastAsia="zh-CN" w:bidi="ar-SA"/>
              </w:rPr>
              <w:t>4</w:t>
            </w:r>
            <w:r>
              <w:rPr>
                <w:rFonts w:hint="default" w:ascii="Times New Roman" w:hAnsi="Times New Roman" w:cs="Times New Roman"/>
                <w:b/>
                <w:kern w:val="0"/>
                <w:sz w:val="24"/>
                <w:highlight w:val="none"/>
              </w:rPr>
              <w:t>年经济基本状况</w:t>
            </w:r>
          </w:p>
        </w:tc>
      </w:tr>
      <w:tr w14:paraId="7F7D9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exact"/>
          <w:jc w:val="center"/>
        </w:trPr>
        <w:tc>
          <w:tcPr>
            <w:tcW w:w="4915" w:type="dxa"/>
            <w:gridSpan w:val="5"/>
            <w:shd w:val="clear" w:color="auto" w:fill="auto"/>
            <w:noWrap/>
            <w:vAlign w:val="center"/>
          </w:tcPr>
          <w:p w14:paraId="63CFB9D8">
            <w:pPr>
              <w:widowControl/>
              <w:spacing w:line="400" w:lineRule="exact"/>
              <w:ind w:firstLine="2880" w:firstLineChars="120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mc:AlternateContent>
                <mc:Choice Requires="wps">
                  <w:drawing>
                    <wp:anchor distT="0" distB="0" distL="114300" distR="114300" simplePos="0" relativeHeight="251659264" behindDoc="0" locked="0" layoutInCell="1" allowOverlap="1">
                      <wp:simplePos x="0" y="0"/>
                      <wp:positionH relativeFrom="column">
                        <wp:posOffset>-65405</wp:posOffset>
                      </wp:positionH>
                      <wp:positionV relativeFrom="paragraph">
                        <wp:posOffset>3175</wp:posOffset>
                      </wp:positionV>
                      <wp:extent cx="3124835" cy="497840"/>
                      <wp:effectExtent l="635" t="4445" r="17780" b="12065"/>
                      <wp:wrapNone/>
                      <wp:docPr id="2" name="直接箭头连接符 2"/>
                      <wp:cNvGraphicFramePr/>
                      <a:graphic xmlns:a="http://schemas.openxmlformats.org/drawingml/2006/main">
                        <a:graphicData uri="http://schemas.microsoft.com/office/word/2010/wordprocessingShape">
                          <wps:wsp>
                            <wps:cNvCnPr/>
                            <wps:spPr>
                              <a:xfrm>
                                <a:off x="0" y="0"/>
                                <a:ext cx="3124835" cy="49784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5.15pt;margin-top:0.25pt;height:39.2pt;width:246.05pt;z-index:251659264;mso-width-relative:page;mso-height-relative:page;" filled="f" stroked="t" coordsize="21600,21600" o:gfxdata="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6pRh4dYAAAAHAQAADwAAAAAAAAABACAAAAAiAAAAZHJzL2Rv&#10;d25yZXYueG1sUEsBAhQAFAAAAAgAh07iQEvAzi8DAgAA8QMAAA4AAAAAAAAAAQAgAAAAJQEAAGRy&#10;cy9lMm9Eb2MueG1sUEsFBgAAAAAGAAYAWQEAAJoFAAAAAA==&#10;">
                      <v:fill on="f" focussize="0,0"/>
                      <v:stroke color="#000000" joinstyle="round"/>
                      <v:imagedata o:title=""/>
                      <o:lock v:ext="edit" aspectratio="f"/>
                    </v:shape>
                  </w:pict>
                </mc:Fallback>
              </mc:AlternateContent>
            </w:r>
            <w:r>
              <w:rPr>
                <w:rFonts w:hint="default" w:ascii="Times New Roman" w:hAnsi="Times New Roman" w:cs="Times New Roman"/>
                <w:kern w:val="0"/>
                <w:sz w:val="24"/>
                <w:highlight w:val="none"/>
              </w:rPr>
              <w:t>年份</w:t>
            </w:r>
          </w:p>
          <w:p w14:paraId="1F932F44">
            <w:pPr>
              <w:widowControl/>
              <w:spacing w:line="400" w:lineRule="exact"/>
              <w:ind w:firstLine="1320" w:firstLineChars="55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项目</w:t>
            </w:r>
          </w:p>
        </w:tc>
        <w:tc>
          <w:tcPr>
            <w:tcW w:w="1552" w:type="dxa"/>
            <w:gridSpan w:val="3"/>
            <w:shd w:val="clear" w:color="auto" w:fill="auto"/>
            <w:noWrap/>
            <w:vAlign w:val="center"/>
          </w:tcPr>
          <w:p w14:paraId="6C9BDBE5">
            <w:pPr>
              <w:widowControl/>
              <w:spacing w:line="400" w:lineRule="exact"/>
              <w:jc w:val="center"/>
              <w:rPr>
                <w:rFonts w:hint="default" w:ascii="Times New Roman" w:hAnsi="Times New Roman" w:eastAsia="仿宋_GB2312" w:cs="Times New Roman"/>
                <w:kern w:val="0"/>
                <w:sz w:val="24"/>
                <w:szCs w:val="24"/>
                <w:highlight w:val="none"/>
                <w:lang w:val="en-US" w:eastAsia="zh-CN" w:bidi="ar-SA"/>
              </w:rPr>
            </w:pPr>
            <w:r>
              <w:rPr>
                <w:rFonts w:hint="default" w:ascii="Times New Roman" w:hAnsi="Times New Roman" w:cs="Times New Roman"/>
                <w:kern w:val="0"/>
                <w:sz w:val="24"/>
                <w:highlight w:val="none"/>
                <w:lang w:val="en"/>
              </w:rPr>
              <w:t>2022</w:t>
            </w:r>
            <w:r>
              <w:rPr>
                <w:rFonts w:hint="default" w:ascii="Times New Roman" w:hAnsi="Times New Roman" w:cs="Times New Roman"/>
                <w:kern w:val="0"/>
                <w:sz w:val="24"/>
                <w:highlight w:val="none"/>
                <w:lang w:val="en" w:eastAsia="zh-CN"/>
              </w:rPr>
              <w:t>年</w:t>
            </w:r>
          </w:p>
        </w:tc>
        <w:tc>
          <w:tcPr>
            <w:tcW w:w="1722" w:type="dxa"/>
            <w:gridSpan w:val="2"/>
            <w:shd w:val="clear" w:color="auto" w:fill="auto"/>
            <w:noWrap/>
            <w:vAlign w:val="center"/>
          </w:tcPr>
          <w:p w14:paraId="165FE8FC">
            <w:pPr>
              <w:widowControl/>
              <w:spacing w:line="400" w:lineRule="exact"/>
              <w:jc w:val="center"/>
              <w:rPr>
                <w:rFonts w:hint="default" w:ascii="Times New Roman" w:hAnsi="Times New Roman" w:eastAsia="仿宋_GB2312" w:cs="Times New Roman"/>
                <w:kern w:val="0"/>
                <w:sz w:val="24"/>
                <w:szCs w:val="24"/>
                <w:highlight w:val="none"/>
                <w:lang w:val="en-US" w:eastAsia="zh-CN" w:bidi="ar-SA"/>
              </w:rPr>
            </w:pPr>
            <w:r>
              <w:rPr>
                <w:rFonts w:hint="default" w:ascii="Times New Roman" w:hAnsi="Times New Roman" w:cs="Times New Roman"/>
                <w:kern w:val="0"/>
                <w:sz w:val="24"/>
                <w:highlight w:val="none"/>
                <w:lang w:val="en"/>
              </w:rPr>
              <w:t>202</w:t>
            </w:r>
            <w:r>
              <w:rPr>
                <w:rFonts w:hint="default" w:ascii="Times New Roman" w:hAnsi="Times New Roman" w:cs="Times New Roman"/>
                <w:kern w:val="0"/>
                <w:sz w:val="24"/>
                <w:highlight w:val="none"/>
                <w:lang w:val="en-US" w:eastAsia="zh-CN"/>
              </w:rPr>
              <w:t>3</w:t>
            </w:r>
            <w:r>
              <w:rPr>
                <w:rFonts w:hint="default" w:ascii="Times New Roman" w:hAnsi="Times New Roman" w:cs="Times New Roman"/>
                <w:kern w:val="0"/>
                <w:sz w:val="24"/>
                <w:highlight w:val="none"/>
                <w:lang w:val="en" w:eastAsia="zh-CN"/>
              </w:rPr>
              <w:t>年</w:t>
            </w:r>
          </w:p>
        </w:tc>
        <w:tc>
          <w:tcPr>
            <w:tcW w:w="1534" w:type="dxa"/>
            <w:gridSpan w:val="3"/>
            <w:shd w:val="clear" w:color="auto" w:fill="auto"/>
            <w:noWrap/>
            <w:vAlign w:val="center"/>
          </w:tcPr>
          <w:p w14:paraId="1FE55D19">
            <w:pPr>
              <w:widowControl/>
              <w:spacing w:line="400" w:lineRule="exact"/>
              <w:jc w:val="center"/>
              <w:rPr>
                <w:rFonts w:hint="default" w:ascii="Times New Roman" w:hAnsi="Times New Roman" w:eastAsia="仿宋_GB2312" w:cs="Times New Roman"/>
                <w:kern w:val="0"/>
                <w:sz w:val="24"/>
                <w:highlight w:val="none"/>
                <w:lang w:val="en" w:eastAsia="zh-CN"/>
              </w:rPr>
            </w:pPr>
            <w:r>
              <w:rPr>
                <w:rFonts w:hint="default" w:ascii="Times New Roman" w:hAnsi="Times New Roman" w:cs="Times New Roman"/>
                <w:kern w:val="0"/>
                <w:sz w:val="24"/>
                <w:highlight w:val="none"/>
                <w:lang w:val="en"/>
              </w:rPr>
              <w:t>202</w:t>
            </w:r>
            <w:r>
              <w:rPr>
                <w:rFonts w:hint="eastAsia" w:cs="Times New Roman"/>
                <w:kern w:val="0"/>
                <w:sz w:val="24"/>
                <w:highlight w:val="none"/>
                <w:lang w:val="en-US" w:eastAsia="zh-CN"/>
              </w:rPr>
              <w:t>4</w:t>
            </w:r>
            <w:r>
              <w:rPr>
                <w:rFonts w:hint="default" w:ascii="Times New Roman" w:hAnsi="Times New Roman" w:cs="Times New Roman"/>
                <w:kern w:val="0"/>
                <w:sz w:val="24"/>
                <w:highlight w:val="none"/>
                <w:lang w:val="en" w:eastAsia="zh-CN"/>
              </w:rPr>
              <w:t>年</w:t>
            </w:r>
          </w:p>
        </w:tc>
      </w:tr>
      <w:tr w14:paraId="49D62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14:paraId="2A29617E">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地区生产总值（亿元）</w:t>
            </w:r>
          </w:p>
        </w:tc>
        <w:tc>
          <w:tcPr>
            <w:tcW w:w="1552" w:type="dxa"/>
            <w:gridSpan w:val="3"/>
            <w:shd w:val="clear" w:color="auto" w:fill="auto"/>
            <w:noWrap/>
            <w:vAlign w:val="center"/>
          </w:tcPr>
          <w:p w14:paraId="74066264">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US" w:eastAsia="zh-CN"/>
              </w:rPr>
              <w:t>56610.2</w:t>
            </w:r>
          </w:p>
        </w:tc>
        <w:tc>
          <w:tcPr>
            <w:tcW w:w="1722" w:type="dxa"/>
            <w:gridSpan w:val="2"/>
            <w:shd w:val="clear" w:color="auto" w:fill="auto"/>
            <w:noWrap/>
            <w:vAlign w:val="center"/>
          </w:tcPr>
          <w:p w14:paraId="5C5CD88F">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US" w:eastAsia="zh-CN"/>
              </w:rPr>
              <w:t>60132.</w:t>
            </w:r>
            <w:r>
              <w:rPr>
                <w:rFonts w:hint="default" w:ascii="Times New Roman" w:hAnsi="Times New Roman" w:cs="Times New Roman"/>
                <w:sz w:val="24"/>
                <w:highlight w:val="none"/>
                <w:lang w:val="en" w:eastAsia="zh-CN"/>
              </w:rPr>
              <w:t>9</w:t>
            </w:r>
          </w:p>
        </w:tc>
        <w:tc>
          <w:tcPr>
            <w:tcW w:w="1534" w:type="dxa"/>
            <w:gridSpan w:val="3"/>
            <w:shd w:val="clear" w:color="auto" w:fill="auto"/>
            <w:noWrap/>
            <w:vAlign w:val="center"/>
          </w:tcPr>
          <w:p w14:paraId="2D9193FE">
            <w:pPr>
              <w:spacing w:line="400" w:lineRule="exact"/>
              <w:jc w:val="right"/>
              <w:rPr>
                <w:rFonts w:hint="default" w:ascii="Times New Roman" w:hAnsi="Times New Roman" w:eastAsia="仿宋_GB2312" w:cs="Times New Roman"/>
                <w:sz w:val="24"/>
                <w:highlight w:val="none"/>
                <w:lang w:val="en" w:eastAsia="zh-CN"/>
              </w:rPr>
            </w:pPr>
            <w:r>
              <w:rPr>
                <w:rFonts w:hint="eastAsia" w:cs="Times New Roman"/>
                <w:sz w:val="24"/>
                <w:highlight w:val="none"/>
                <w:lang w:val="en-US" w:eastAsia="zh-CN"/>
              </w:rPr>
              <w:t>64697.0</w:t>
            </w:r>
          </w:p>
        </w:tc>
      </w:tr>
      <w:tr w14:paraId="1192F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14:paraId="01E1F03B">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 xml:space="preserve">    地区生产总值增速（%）</w:t>
            </w:r>
          </w:p>
        </w:tc>
        <w:tc>
          <w:tcPr>
            <w:tcW w:w="1552" w:type="dxa"/>
            <w:gridSpan w:val="3"/>
            <w:shd w:val="clear" w:color="auto" w:fill="auto"/>
            <w:noWrap/>
            <w:vAlign w:val="center"/>
          </w:tcPr>
          <w:p w14:paraId="3D7D100B">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 w:eastAsia="zh-CN"/>
              </w:rPr>
              <w:t>2.</w:t>
            </w:r>
            <w:r>
              <w:rPr>
                <w:rFonts w:hint="default" w:ascii="Times New Roman" w:hAnsi="Times New Roman" w:cs="Times New Roman"/>
                <w:sz w:val="24"/>
                <w:highlight w:val="none"/>
                <w:lang w:val="en-US" w:eastAsia="zh-CN"/>
              </w:rPr>
              <w:t>8</w:t>
            </w:r>
          </w:p>
        </w:tc>
        <w:tc>
          <w:tcPr>
            <w:tcW w:w="1722" w:type="dxa"/>
            <w:gridSpan w:val="2"/>
            <w:shd w:val="clear" w:color="auto" w:fill="auto"/>
            <w:noWrap/>
            <w:vAlign w:val="center"/>
          </w:tcPr>
          <w:p w14:paraId="0F199C85">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US" w:eastAsia="zh-CN"/>
              </w:rPr>
              <w:t>6.0</w:t>
            </w:r>
          </w:p>
        </w:tc>
        <w:tc>
          <w:tcPr>
            <w:tcW w:w="1534" w:type="dxa"/>
            <w:gridSpan w:val="3"/>
            <w:shd w:val="clear" w:color="auto" w:fill="auto"/>
            <w:noWrap/>
            <w:vAlign w:val="center"/>
          </w:tcPr>
          <w:p w14:paraId="5918E498">
            <w:pPr>
              <w:spacing w:line="400" w:lineRule="exact"/>
              <w:jc w:val="right"/>
              <w:rPr>
                <w:rFonts w:hint="default" w:ascii="Times New Roman" w:hAnsi="Times New Roman" w:eastAsia="仿宋_GB2312" w:cs="Times New Roman"/>
                <w:sz w:val="24"/>
                <w:highlight w:val="none"/>
                <w:lang w:val="en-US" w:eastAsia="zh-CN"/>
              </w:rPr>
            </w:pPr>
            <w:r>
              <w:rPr>
                <w:rFonts w:hint="eastAsia" w:cs="Times New Roman"/>
                <w:sz w:val="24"/>
                <w:highlight w:val="none"/>
                <w:lang w:val="en-US" w:eastAsia="zh-CN"/>
              </w:rPr>
              <w:t>5.7</w:t>
            </w:r>
          </w:p>
        </w:tc>
      </w:tr>
      <w:tr w14:paraId="17F14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14:paraId="4D8994F1">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 xml:space="preserve">    第一产业增加值（亿元）</w:t>
            </w:r>
          </w:p>
        </w:tc>
        <w:tc>
          <w:tcPr>
            <w:tcW w:w="1552" w:type="dxa"/>
            <w:gridSpan w:val="3"/>
            <w:shd w:val="clear" w:color="auto" w:fill="auto"/>
            <w:noWrap/>
            <w:vAlign w:val="center"/>
          </w:tcPr>
          <w:p w14:paraId="72E0400E">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 w:eastAsia="zh-CN"/>
              </w:rPr>
              <w:t>596</w:t>
            </w:r>
            <w:r>
              <w:rPr>
                <w:rFonts w:hint="default" w:ascii="Times New Roman" w:hAnsi="Times New Roman" w:cs="Times New Roman"/>
                <w:sz w:val="24"/>
                <w:highlight w:val="none"/>
                <w:lang w:val="en-US" w:eastAsia="zh-CN"/>
              </w:rPr>
              <w:t>5</w:t>
            </w:r>
            <w:r>
              <w:rPr>
                <w:rFonts w:hint="default" w:ascii="Times New Roman" w:hAnsi="Times New Roman" w:cs="Times New Roman"/>
                <w:sz w:val="24"/>
                <w:highlight w:val="none"/>
                <w:lang w:val="en" w:eastAsia="zh-CN"/>
              </w:rPr>
              <w:t>.</w:t>
            </w:r>
            <w:r>
              <w:rPr>
                <w:rFonts w:hint="default" w:ascii="Times New Roman" w:hAnsi="Times New Roman" w:cs="Times New Roman"/>
                <w:sz w:val="24"/>
                <w:highlight w:val="none"/>
                <w:lang w:val="en-US" w:eastAsia="zh-CN"/>
              </w:rPr>
              <w:t>5</w:t>
            </w:r>
          </w:p>
        </w:tc>
        <w:tc>
          <w:tcPr>
            <w:tcW w:w="1722" w:type="dxa"/>
            <w:gridSpan w:val="2"/>
            <w:shd w:val="clear" w:color="auto" w:fill="auto"/>
            <w:noWrap/>
            <w:vAlign w:val="center"/>
          </w:tcPr>
          <w:p w14:paraId="36E04657">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US" w:eastAsia="zh-CN"/>
              </w:rPr>
              <w:t>6056.64</w:t>
            </w:r>
          </w:p>
        </w:tc>
        <w:tc>
          <w:tcPr>
            <w:tcW w:w="1534" w:type="dxa"/>
            <w:gridSpan w:val="3"/>
            <w:shd w:val="clear" w:color="auto" w:fill="auto"/>
            <w:noWrap/>
            <w:vAlign w:val="center"/>
          </w:tcPr>
          <w:p w14:paraId="71F34427">
            <w:pPr>
              <w:spacing w:line="400" w:lineRule="exact"/>
              <w:jc w:val="right"/>
              <w:rPr>
                <w:rFonts w:hint="default" w:ascii="Times New Roman" w:hAnsi="Times New Roman" w:eastAsia="仿宋_GB2312" w:cs="Times New Roman"/>
                <w:sz w:val="24"/>
                <w:highlight w:val="none"/>
                <w:lang w:val="en-US" w:eastAsia="zh-CN"/>
              </w:rPr>
            </w:pPr>
            <w:r>
              <w:rPr>
                <w:rFonts w:hint="eastAsia" w:cs="Times New Roman"/>
                <w:sz w:val="24"/>
                <w:highlight w:val="none"/>
                <w:lang w:val="en-US" w:eastAsia="zh-CN"/>
              </w:rPr>
              <w:t>5619.9</w:t>
            </w:r>
          </w:p>
        </w:tc>
      </w:tr>
      <w:tr w14:paraId="7B5C2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14:paraId="4FBED16A">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 xml:space="preserve">    第二产业增加值（亿元）</w:t>
            </w:r>
          </w:p>
        </w:tc>
        <w:tc>
          <w:tcPr>
            <w:tcW w:w="1552" w:type="dxa"/>
            <w:gridSpan w:val="3"/>
            <w:shd w:val="clear" w:color="auto" w:fill="auto"/>
            <w:noWrap/>
            <w:vAlign w:val="center"/>
          </w:tcPr>
          <w:p w14:paraId="625876E3">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 w:eastAsia="zh-CN"/>
              </w:rPr>
              <w:t>2</w:t>
            </w:r>
            <w:r>
              <w:rPr>
                <w:rFonts w:hint="default" w:ascii="Times New Roman" w:hAnsi="Times New Roman" w:cs="Times New Roman"/>
                <w:sz w:val="24"/>
                <w:highlight w:val="none"/>
                <w:lang w:val="en-US" w:eastAsia="zh-CN"/>
              </w:rPr>
              <w:t>0591.4</w:t>
            </w:r>
          </w:p>
        </w:tc>
        <w:tc>
          <w:tcPr>
            <w:tcW w:w="1722" w:type="dxa"/>
            <w:gridSpan w:val="2"/>
            <w:shd w:val="clear" w:color="auto" w:fill="auto"/>
            <w:noWrap/>
            <w:vAlign w:val="center"/>
          </w:tcPr>
          <w:p w14:paraId="53C18B03">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US" w:eastAsia="zh-CN"/>
              </w:rPr>
              <w:t>21306.70</w:t>
            </w:r>
          </w:p>
        </w:tc>
        <w:tc>
          <w:tcPr>
            <w:tcW w:w="1534" w:type="dxa"/>
            <w:gridSpan w:val="3"/>
            <w:shd w:val="clear" w:color="auto" w:fill="auto"/>
            <w:noWrap/>
            <w:vAlign w:val="center"/>
          </w:tcPr>
          <w:p w14:paraId="3859DEBE">
            <w:pPr>
              <w:spacing w:line="400" w:lineRule="exact"/>
              <w:jc w:val="right"/>
              <w:rPr>
                <w:rFonts w:hint="default" w:ascii="Times New Roman" w:hAnsi="Times New Roman" w:eastAsia="仿宋_GB2312" w:cs="Times New Roman"/>
                <w:sz w:val="24"/>
                <w:highlight w:val="none"/>
                <w:lang w:val="en-US" w:eastAsia="zh-CN"/>
              </w:rPr>
            </w:pPr>
            <w:r>
              <w:rPr>
                <w:rFonts w:hint="eastAsia" w:cs="Times New Roman"/>
                <w:sz w:val="24"/>
                <w:highlight w:val="none"/>
                <w:lang w:val="en-US" w:eastAsia="zh-CN"/>
              </w:rPr>
              <w:t>22816.9</w:t>
            </w:r>
          </w:p>
        </w:tc>
      </w:tr>
      <w:tr w14:paraId="681E4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14:paraId="41756695">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 xml:space="preserve">    第三产业增加值（亿元）</w:t>
            </w:r>
          </w:p>
        </w:tc>
        <w:tc>
          <w:tcPr>
            <w:tcW w:w="1552" w:type="dxa"/>
            <w:gridSpan w:val="3"/>
            <w:shd w:val="clear" w:color="auto" w:fill="auto"/>
            <w:noWrap/>
            <w:vAlign w:val="center"/>
          </w:tcPr>
          <w:p w14:paraId="09B52966">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kern w:val="2"/>
                <w:sz w:val="24"/>
                <w:szCs w:val="24"/>
                <w:highlight w:val="none"/>
                <w:lang w:val="en-US" w:eastAsia="zh-CN" w:bidi="ar-SA"/>
              </w:rPr>
              <w:t>30053.3</w:t>
            </w:r>
          </w:p>
        </w:tc>
        <w:tc>
          <w:tcPr>
            <w:tcW w:w="1722" w:type="dxa"/>
            <w:gridSpan w:val="2"/>
            <w:shd w:val="clear" w:color="auto" w:fill="auto"/>
            <w:noWrap/>
            <w:vAlign w:val="center"/>
          </w:tcPr>
          <w:p w14:paraId="32B7474B">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US" w:eastAsia="zh-CN"/>
              </w:rPr>
              <w:t>32769.54</w:t>
            </w:r>
          </w:p>
        </w:tc>
        <w:tc>
          <w:tcPr>
            <w:tcW w:w="1534" w:type="dxa"/>
            <w:gridSpan w:val="3"/>
            <w:shd w:val="clear" w:color="auto" w:fill="auto"/>
            <w:noWrap/>
            <w:vAlign w:val="center"/>
          </w:tcPr>
          <w:p w14:paraId="40BFA6E4">
            <w:pPr>
              <w:spacing w:line="400" w:lineRule="exact"/>
              <w:jc w:val="right"/>
              <w:rPr>
                <w:rFonts w:hint="default" w:ascii="Times New Roman" w:hAnsi="Times New Roman" w:eastAsia="仿宋_GB2312" w:cs="Times New Roman"/>
                <w:sz w:val="24"/>
                <w:highlight w:val="none"/>
                <w:lang w:val="en-US" w:eastAsia="zh-CN"/>
              </w:rPr>
            </w:pPr>
            <w:r>
              <w:rPr>
                <w:rFonts w:hint="eastAsia" w:cs="Times New Roman"/>
                <w:sz w:val="24"/>
                <w:highlight w:val="none"/>
                <w:lang w:val="en-US" w:eastAsia="zh-CN"/>
              </w:rPr>
              <w:t>36260.2</w:t>
            </w:r>
          </w:p>
        </w:tc>
      </w:tr>
      <w:tr w14:paraId="2054E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14:paraId="693AEAC2">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产业结构</w:t>
            </w:r>
          </w:p>
        </w:tc>
        <w:tc>
          <w:tcPr>
            <w:tcW w:w="1552" w:type="dxa"/>
            <w:gridSpan w:val="3"/>
            <w:shd w:val="clear" w:color="auto" w:fill="auto"/>
            <w:noWrap/>
            <w:vAlign w:val="center"/>
          </w:tcPr>
          <w:p w14:paraId="04DA0801">
            <w:pPr>
              <w:spacing w:line="400" w:lineRule="exact"/>
              <w:ind w:left="640" w:leftChars="0"/>
              <w:jc w:val="right"/>
              <w:rPr>
                <w:rFonts w:hint="default" w:ascii="Times New Roman" w:hAnsi="Times New Roman" w:eastAsia="仿宋_GB2312" w:cs="Times New Roman"/>
                <w:kern w:val="2"/>
                <w:sz w:val="24"/>
                <w:szCs w:val="24"/>
                <w:highlight w:val="none"/>
                <w:lang w:val="en-US" w:eastAsia="zh-CN" w:bidi="ar-SA"/>
              </w:rPr>
            </w:pPr>
          </w:p>
        </w:tc>
        <w:tc>
          <w:tcPr>
            <w:tcW w:w="1722" w:type="dxa"/>
            <w:gridSpan w:val="2"/>
            <w:shd w:val="clear" w:color="auto" w:fill="auto"/>
            <w:noWrap/>
            <w:vAlign w:val="center"/>
          </w:tcPr>
          <w:p w14:paraId="5289E9D1">
            <w:pPr>
              <w:spacing w:line="400" w:lineRule="exact"/>
              <w:ind w:left="640" w:leftChars="0"/>
              <w:jc w:val="right"/>
              <w:rPr>
                <w:rFonts w:hint="default" w:ascii="Times New Roman" w:hAnsi="Times New Roman" w:eastAsia="仿宋_GB2312" w:cs="Times New Roman"/>
                <w:kern w:val="2"/>
                <w:sz w:val="24"/>
                <w:szCs w:val="24"/>
                <w:highlight w:val="none"/>
                <w:lang w:val="en-US" w:eastAsia="zh-CN" w:bidi="ar-SA"/>
              </w:rPr>
            </w:pPr>
          </w:p>
        </w:tc>
        <w:tc>
          <w:tcPr>
            <w:tcW w:w="1534" w:type="dxa"/>
            <w:gridSpan w:val="3"/>
            <w:shd w:val="clear" w:color="auto" w:fill="auto"/>
            <w:noWrap/>
            <w:vAlign w:val="center"/>
          </w:tcPr>
          <w:p w14:paraId="633022A8">
            <w:pPr>
              <w:spacing w:line="400" w:lineRule="exact"/>
              <w:ind w:left="640"/>
              <w:jc w:val="right"/>
              <w:rPr>
                <w:rFonts w:hint="default" w:ascii="Times New Roman" w:hAnsi="Times New Roman" w:eastAsia="仿宋_GB2312" w:cs="Times New Roman"/>
                <w:sz w:val="24"/>
                <w:highlight w:val="none"/>
              </w:rPr>
            </w:pPr>
          </w:p>
        </w:tc>
      </w:tr>
      <w:tr w14:paraId="7F4AB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14:paraId="3724E2D8">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 xml:space="preserve">    第一产业增加值比重（%）</w:t>
            </w:r>
          </w:p>
        </w:tc>
        <w:tc>
          <w:tcPr>
            <w:tcW w:w="1552" w:type="dxa"/>
            <w:gridSpan w:val="3"/>
            <w:shd w:val="clear" w:color="auto" w:fill="auto"/>
            <w:noWrap/>
            <w:vAlign w:val="center"/>
          </w:tcPr>
          <w:p w14:paraId="13C800B3">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 w:eastAsia="zh-CN"/>
              </w:rPr>
              <w:t>10.5</w:t>
            </w:r>
          </w:p>
        </w:tc>
        <w:tc>
          <w:tcPr>
            <w:tcW w:w="1722" w:type="dxa"/>
            <w:gridSpan w:val="2"/>
            <w:shd w:val="clear" w:color="auto" w:fill="auto"/>
            <w:noWrap/>
            <w:vAlign w:val="center"/>
          </w:tcPr>
          <w:p w14:paraId="47929237">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US" w:eastAsia="zh-CN"/>
              </w:rPr>
              <w:t>10.1</w:t>
            </w:r>
          </w:p>
        </w:tc>
        <w:tc>
          <w:tcPr>
            <w:tcW w:w="1534" w:type="dxa"/>
            <w:gridSpan w:val="3"/>
            <w:shd w:val="clear" w:color="auto" w:fill="auto"/>
            <w:noWrap/>
            <w:vAlign w:val="center"/>
          </w:tcPr>
          <w:p w14:paraId="41CEE173">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eastAsia" w:cs="Times New Roman"/>
                <w:sz w:val="24"/>
                <w:highlight w:val="none"/>
                <w:lang w:val="en-US" w:eastAsia="zh-CN"/>
              </w:rPr>
              <w:t>8.7</w:t>
            </w:r>
          </w:p>
        </w:tc>
      </w:tr>
      <w:tr w14:paraId="52862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14:paraId="1629ED1F">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 xml:space="preserve">    第二产业增加值比重（%）</w:t>
            </w:r>
          </w:p>
        </w:tc>
        <w:tc>
          <w:tcPr>
            <w:tcW w:w="1552" w:type="dxa"/>
            <w:gridSpan w:val="3"/>
            <w:shd w:val="clear" w:color="auto" w:fill="auto"/>
            <w:noWrap/>
            <w:vAlign w:val="center"/>
          </w:tcPr>
          <w:p w14:paraId="525D5E28">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 w:eastAsia="zh-CN"/>
              </w:rPr>
              <w:t>36.</w:t>
            </w:r>
            <w:r>
              <w:rPr>
                <w:rFonts w:hint="default" w:ascii="Times New Roman" w:hAnsi="Times New Roman" w:cs="Times New Roman"/>
                <w:sz w:val="24"/>
                <w:highlight w:val="none"/>
                <w:lang w:val="en-US" w:eastAsia="zh-CN"/>
              </w:rPr>
              <w:t>4</w:t>
            </w:r>
          </w:p>
        </w:tc>
        <w:tc>
          <w:tcPr>
            <w:tcW w:w="1722" w:type="dxa"/>
            <w:gridSpan w:val="2"/>
            <w:shd w:val="clear" w:color="auto" w:fill="auto"/>
            <w:noWrap/>
            <w:vAlign w:val="center"/>
          </w:tcPr>
          <w:p w14:paraId="378C8C1B">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US" w:eastAsia="zh-CN"/>
              </w:rPr>
              <w:t>35.4</w:t>
            </w:r>
          </w:p>
        </w:tc>
        <w:tc>
          <w:tcPr>
            <w:tcW w:w="1534" w:type="dxa"/>
            <w:gridSpan w:val="3"/>
            <w:shd w:val="clear" w:color="auto" w:fill="auto"/>
            <w:noWrap/>
            <w:vAlign w:val="center"/>
          </w:tcPr>
          <w:p w14:paraId="58676C50">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eastAsia" w:cs="Times New Roman"/>
                <w:sz w:val="24"/>
                <w:highlight w:val="none"/>
                <w:lang w:val="en-US" w:eastAsia="zh-CN"/>
              </w:rPr>
              <w:t>35.3</w:t>
            </w:r>
          </w:p>
        </w:tc>
      </w:tr>
      <w:tr w14:paraId="725A8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14:paraId="01923E61">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 xml:space="preserve">    第三产业增加值比重（%）</w:t>
            </w:r>
          </w:p>
        </w:tc>
        <w:tc>
          <w:tcPr>
            <w:tcW w:w="1552" w:type="dxa"/>
            <w:gridSpan w:val="3"/>
            <w:shd w:val="clear" w:color="auto" w:fill="auto"/>
            <w:noWrap/>
            <w:vAlign w:val="center"/>
          </w:tcPr>
          <w:p w14:paraId="5F51C80B">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 w:eastAsia="zh-CN"/>
              </w:rPr>
              <w:t>5</w:t>
            </w:r>
            <w:r>
              <w:rPr>
                <w:rFonts w:hint="default" w:ascii="Times New Roman" w:hAnsi="Times New Roman" w:cs="Times New Roman"/>
                <w:sz w:val="24"/>
                <w:highlight w:val="none"/>
                <w:lang w:val="en-US" w:eastAsia="zh-CN"/>
              </w:rPr>
              <w:t>3</w:t>
            </w:r>
            <w:r>
              <w:rPr>
                <w:rFonts w:hint="default" w:ascii="Times New Roman" w:hAnsi="Times New Roman" w:cs="Times New Roman"/>
                <w:sz w:val="24"/>
                <w:highlight w:val="none"/>
                <w:lang w:val="en" w:eastAsia="zh-CN"/>
              </w:rPr>
              <w:t>.</w:t>
            </w:r>
            <w:r>
              <w:rPr>
                <w:rFonts w:hint="default" w:ascii="Times New Roman" w:hAnsi="Times New Roman" w:cs="Times New Roman"/>
                <w:sz w:val="24"/>
                <w:highlight w:val="none"/>
                <w:lang w:val="en-US" w:eastAsia="zh-CN"/>
              </w:rPr>
              <w:t>1</w:t>
            </w:r>
          </w:p>
        </w:tc>
        <w:tc>
          <w:tcPr>
            <w:tcW w:w="1722" w:type="dxa"/>
            <w:gridSpan w:val="2"/>
            <w:shd w:val="clear" w:color="auto" w:fill="auto"/>
            <w:noWrap/>
            <w:vAlign w:val="center"/>
          </w:tcPr>
          <w:p w14:paraId="1309DCDD">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US" w:eastAsia="zh-CN"/>
              </w:rPr>
              <w:t>54.5</w:t>
            </w:r>
          </w:p>
        </w:tc>
        <w:tc>
          <w:tcPr>
            <w:tcW w:w="1534" w:type="dxa"/>
            <w:gridSpan w:val="3"/>
            <w:shd w:val="clear" w:color="auto" w:fill="auto"/>
            <w:noWrap/>
            <w:vAlign w:val="center"/>
          </w:tcPr>
          <w:p w14:paraId="29FAE2B2">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eastAsia" w:cs="Times New Roman"/>
                <w:sz w:val="24"/>
                <w:highlight w:val="none"/>
                <w:lang w:val="en-US" w:eastAsia="zh-CN"/>
              </w:rPr>
              <w:t>56.0</w:t>
            </w:r>
          </w:p>
        </w:tc>
      </w:tr>
      <w:tr w14:paraId="048D7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14:paraId="2A90558D">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全社会固定资产投资增速（%）</w:t>
            </w:r>
          </w:p>
        </w:tc>
        <w:tc>
          <w:tcPr>
            <w:tcW w:w="1552" w:type="dxa"/>
            <w:gridSpan w:val="3"/>
            <w:shd w:val="clear" w:color="auto" w:fill="auto"/>
            <w:noWrap/>
            <w:vAlign w:val="center"/>
          </w:tcPr>
          <w:p w14:paraId="29B6228F">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 w:eastAsia="zh-CN"/>
              </w:rPr>
              <w:t>8.4</w:t>
            </w:r>
          </w:p>
        </w:tc>
        <w:tc>
          <w:tcPr>
            <w:tcW w:w="1722" w:type="dxa"/>
            <w:gridSpan w:val="2"/>
            <w:shd w:val="clear" w:color="auto" w:fill="auto"/>
            <w:noWrap/>
            <w:vAlign w:val="center"/>
          </w:tcPr>
          <w:p w14:paraId="54FF201E">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US" w:eastAsia="zh-CN"/>
              </w:rPr>
              <w:t>4.4</w:t>
            </w:r>
          </w:p>
        </w:tc>
        <w:tc>
          <w:tcPr>
            <w:tcW w:w="1534" w:type="dxa"/>
            <w:gridSpan w:val="3"/>
            <w:shd w:val="clear" w:color="auto" w:fill="auto"/>
            <w:noWrap/>
            <w:vAlign w:val="center"/>
          </w:tcPr>
          <w:p w14:paraId="288D356E">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eastAsia" w:cs="Times New Roman"/>
                <w:sz w:val="24"/>
                <w:highlight w:val="none"/>
                <w:lang w:val="en-US" w:eastAsia="zh-CN"/>
              </w:rPr>
              <w:t>2.4</w:t>
            </w:r>
          </w:p>
        </w:tc>
      </w:tr>
      <w:tr w14:paraId="5C751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14:paraId="3C1EC6E6">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进出口总额（亿元）</w:t>
            </w:r>
          </w:p>
        </w:tc>
        <w:tc>
          <w:tcPr>
            <w:tcW w:w="1552" w:type="dxa"/>
            <w:gridSpan w:val="3"/>
            <w:shd w:val="clear" w:color="auto" w:fill="auto"/>
            <w:noWrap/>
            <w:vAlign w:val="center"/>
          </w:tcPr>
          <w:p w14:paraId="243029ED">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eastAsia" w:cs="Times New Roman"/>
                <w:kern w:val="2"/>
                <w:sz w:val="24"/>
                <w:szCs w:val="24"/>
                <w:highlight w:val="none"/>
                <w:lang w:val="en-US" w:eastAsia="zh-CN" w:bidi="ar-SA"/>
              </w:rPr>
              <w:t>10076.8</w:t>
            </w:r>
          </w:p>
        </w:tc>
        <w:tc>
          <w:tcPr>
            <w:tcW w:w="1722" w:type="dxa"/>
            <w:gridSpan w:val="2"/>
            <w:shd w:val="clear" w:color="auto" w:fill="auto"/>
            <w:noWrap/>
            <w:vAlign w:val="center"/>
          </w:tcPr>
          <w:p w14:paraId="21C9B996">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eastAsia" w:cs="Times New Roman"/>
                <w:sz w:val="24"/>
                <w:highlight w:val="none"/>
                <w:lang w:val="en-US" w:eastAsia="zh-CN"/>
              </w:rPr>
              <w:t>9574.9</w:t>
            </w:r>
          </w:p>
        </w:tc>
        <w:tc>
          <w:tcPr>
            <w:tcW w:w="1534" w:type="dxa"/>
            <w:gridSpan w:val="3"/>
            <w:shd w:val="clear" w:color="auto" w:fill="auto"/>
            <w:noWrap/>
            <w:vAlign w:val="center"/>
          </w:tcPr>
          <w:p w14:paraId="39D4DE8D">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eastAsia" w:cs="Times New Roman"/>
                <w:sz w:val="24"/>
                <w:highlight w:val="none"/>
                <w:lang w:val="en-US" w:eastAsia="zh-CN"/>
              </w:rPr>
              <w:t>10457.2</w:t>
            </w:r>
          </w:p>
        </w:tc>
      </w:tr>
      <w:tr w14:paraId="71283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14:paraId="4D351A2D">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 xml:space="preserve">    出口额（亿元）</w:t>
            </w:r>
          </w:p>
        </w:tc>
        <w:tc>
          <w:tcPr>
            <w:tcW w:w="1552" w:type="dxa"/>
            <w:gridSpan w:val="3"/>
            <w:shd w:val="clear" w:color="auto" w:fill="auto"/>
            <w:noWrap/>
            <w:vAlign w:val="center"/>
          </w:tcPr>
          <w:p w14:paraId="7BB31C4E">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eastAsia" w:cs="Times New Roman"/>
                <w:kern w:val="2"/>
                <w:sz w:val="24"/>
                <w:szCs w:val="24"/>
                <w:highlight w:val="none"/>
                <w:lang w:val="en-US" w:eastAsia="zh-CN" w:bidi="ar-SA"/>
              </w:rPr>
              <w:t>6215.2</w:t>
            </w:r>
          </w:p>
        </w:tc>
        <w:tc>
          <w:tcPr>
            <w:tcW w:w="1722" w:type="dxa"/>
            <w:gridSpan w:val="2"/>
            <w:shd w:val="clear" w:color="auto" w:fill="auto"/>
            <w:noWrap/>
            <w:vAlign w:val="center"/>
          </w:tcPr>
          <w:p w14:paraId="2710858B">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eastAsia" w:cs="Times New Roman"/>
                <w:sz w:val="24"/>
                <w:highlight w:val="none"/>
                <w:lang w:val="en-US" w:eastAsia="zh-CN"/>
              </w:rPr>
              <w:t>6033.9</w:t>
            </w:r>
          </w:p>
        </w:tc>
        <w:tc>
          <w:tcPr>
            <w:tcW w:w="1534" w:type="dxa"/>
            <w:gridSpan w:val="3"/>
            <w:shd w:val="clear" w:color="auto" w:fill="auto"/>
            <w:noWrap/>
            <w:vAlign w:val="center"/>
          </w:tcPr>
          <w:p w14:paraId="464F4D9E">
            <w:pPr>
              <w:spacing w:line="400" w:lineRule="exact"/>
              <w:jc w:val="right"/>
              <w:rPr>
                <w:rFonts w:hint="default" w:ascii="Times New Roman" w:hAnsi="Times New Roman" w:eastAsia="仿宋_GB2312" w:cs="Times New Roman"/>
                <w:kern w:val="2"/>
                <w:sz w:val="24"/>
                <w:szCs w:val="24"/>
                <w:highlight w:val="none"/>
                <w:lang w:val="en" w:eastAsia="zh-CN" w:bidi="ar-SA"/>
              </w:rPr>
            </w:pPr>
            <w:r>
              <w:rPr>
                <w:rFonts w:hint="eastAsia" w:cs="Times New Roman"/>
                <w:sz w:val="24"/>
                <w:highlight w:val="none"/>
                <w:lang w:val="en-US" w:eastAsia="zh-CN"/>
              </w:rPr>
              <w:t>6177.7</w:t>
            </w:r>
          </w:p>
        </w:tc>
      </w:tr>
      <w:tr w14:paraId="3CE72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14:paraId="1BDAA19D">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 xml:space="preserve">    进口额（亿元）</w:t>
            </w:r>
          </w:p>
        </w:tc>
        <w:tc>
          <w:tcPr>
            <w:tcW w:w="1552" w:type="dxa"/>
            <w:gridSpan w:val="3"/>
            <w:shd w:val="clear" w:color="auto" w:fill="auto"/>
            <w:noWrap/>
            <w:vAlign w:val="center"/>
          </w:tcPr>
          <w:p w14:paraId="0B39057F">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eastAsia" w:cs="Times New Roman"/>
                <w:kern w:val="2"/>
                <w:sz w:val="24"/>
                <w:szCs w:val="24"/>
                <w:highlight w:val="none"/>
                <w:lang w:val="en-US" w:eastAsia="zh-CN" w:bidi="ar-SA"/>
              </w:rPr>
              <w:t>3861.6</w:t>
            </w:r>
          </w:p>
        </w:tc>
        <w:tc>
          <w:tcPr>
            <w:tcW w:w="1722" w:type="dxa"/>
            <w:gridSpan w:val="2"/>
            <w:shd w:val="clear" w:color="auto" w:fill="auto"/>
            <w:noWrap/>
            <w:vAlign w:val="center"/>
          </w:tcPr>
          <w:p w14:paraId="6BB79D84">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eastAsia" w:cs="Times New Roman"/>
                <w:sz w:val="24"/>
                <w:highlight w:val="none"/>
                <w:lang w:val="en-US" w:eastAsia="zh-CN"/>
              </w:rPr>
              <w:t>3541.0</w:t>
            </w:r>
          </w:p>
        </w:tc>
        <w:tc>
          <w:tcPr>
            <w:tcW w:w="1534" w:type="dxa"/>
            <w:gridSpan w:val="3"/>
            <w:shd w:val="clear" w:color="auto" w:fill="auto"/>
            <w:noWrap/>
            <w:vAlign w:val="center"/>
          </w:tcPr>
          <w:p w14:paraId="10CB6DBE">
            <w:pPr>
              <w:spacing w:line="400" w:lineRule="exact"/>
              <w:jc w:val="right"/>
              <w:rPr>
                <w:rFonts w:hint="default" w:ascii="Times New Roman" w:hAnsi="Times New Roman" w:eastAsia="仿宋_GB2312" w:cs="Times New Roman"/>
                <w:kern w:val="2"/>
                <w:sz w:val="24"/>
                <w:szCs w:val="24"/>
                <w:highlight w:val="none"/>
                <w:lang w:val="en" w:eastAsia="zh-CN" w:bidi="ar-SA"/>
              </w:rPr>
            </w:pPr>
            <w:r>
              <w:rPr>
                <w:rFonts w:hint="eastAsia" w:cs="Times New Roman"/>
                <w:sz w:val="24"/>
                <w:highlight w:val="none"/>
                <w:lang w:val="en-US" w:eastAsia="zh-CN"/>
              </w:rPr>
              <w:t>4279.5</w:t>
            </w:r>
          </w:p>
        </w:tc>
      </w:tr>
      <w:tr w14:paraId="5477E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14:paraId="463C5EA5">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社会消费品零售总额（亿元）</w:t>
            </w:r>
          </w:p>
        </w:tc>
        <w:tc>
          <w:tcPr>
            <w:tcW w:w="1552" w:type="dxa"/>
            <w:gridSpan w:val="3"/>
            <w:shd w:val="clear" w:color="auto" w:fill="auto"/>
            <w:noWrap/>
            <w:vAlign w:val="center"/>
          </w:tcPr>
          <w:p w14:paraId="383EF973">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 w:eastAsia="zh-CN"/>
              </w:rPr>
              <w:t>24104.6</w:t>
            </w:r>
          </w:p>
        </w:tc>
        <w:tc>
          <w:tcPr>
            <w:tcW w:w="1722" w:type="dxa"/>
            <w:gridSpan w:val="2"/>
            <w:shd w:val="clear" w:color="auto" w:fill="auto"/>
            <w:noWrap/>
            <w:vAlign w:val="center"/>
          </w:tcPr>
          <w:p w14:paraId="0C63CEDD">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US" w:eastAsia="zh-CN"/>
              </w:rPr>
              <w:t>26313.4</w:t>
            </w:r>
          </w:p>
        </w:tc>
        <w:tc>
          <w:tcPr>
            <w:tcW w:w="1534" w:type="dxa"/>
            <w:gridSpan w:val="3"/>
            <w:shd w:val="clear" w:color="auto" w:fill="auto"/>
            <w:noWrap/>
            <w:vAlign w:val="center"/>
          </w:tcPr>
          <w:p w14:paraId="6525088C">
            <w:pPr>
              <w:spacing w:line="400" w:lineRule="exact"/>
              <w:jc w:val="right"/>
              <w:rPr>
                <w:rFonts w:hint="default" w:ascii="Times New Roman" w:hAnsi="Times New Roman" w:eastAsia="仿宋_GB2312" w:cs="Times New Roman"/>
                <w:kern w:val="2"/>
                <w:sz w:val="28"/>
                <w:szCs w:val="28"/>
                <w:highlight w:val="yellow"/>
                <w:lang w:val="en-US" w:eastAsia="zh-CN" w:bidi="ar-SA"/>
              </w:rPr>
            </w:pPr>
            <w:r>
              <w:rPr>
                <w:rFonts w:hint="eastAsia" w:cs="Times New Roman"/>
                <w:sz w:val="24"/>
                <w:highlight w:val="none"/>
                <w:lang w:val="en-US" w:eastAsia="zh-CN"/>
              </w:rPr>
              <w:t>27709.8</w:t>
            </w:r>
          </w:p>
        </w:tc>
      </w:tr>
      <w:tr w14:paraId="25D4F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14:paraId="21A71C98">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城镇居民人均可支配收入（元）</w:t>
            </w:r>
          </w:p>
        </w:tc>
        <w:tc>
          <w:tcPr>
            <w:tcW w:w="1552" w:type="dxa"/>
            <w:gridSpan w:val="3"/>
            <w:shd w:val="clear" w:color="auto" w:fill="auto"/>
            <w:noWrap/>
            <w:vAlign w:val="center"/>
          </w:tcPr>
          <w:p w14:paraId="7D861165">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 w:eastAsia="zh-CN"/>
              </w:rPr>
              <w:t>43233</w:t>
            </w:r>
          </w:p>
        </w:tc>
        <w:tc>
          <w:tcPr>
            <w:tcW w:w="1722" w:type="dxa"/>
            <w:gridSpan w:val="2"/>
            <w:shd w:val="clear" w:color="auto" w:fill="auto"/>
            <w:noWrap/>
            <w:vAlign w:val="center"/>
          </w:tcPr>
          <w:p w14:paraId="0B0FCA71">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US" w:eastAsia="zh-CN"/>
              </w:rPr>
              <w:t>45227</w:t>
            </w:r>
          </w:p>
        </w:tc>
        <w:tc>
          <w:tcPr>
            <w:tcW w:w="1534" w:type="dxa"/>
            <w:gridSpan w:val="3"/>
            <w:shd w:val="clear" w:color="auto" w:fill="auto"/>
            <w:noWrap/>
            <w:vAlign w:val="center"/>
          </w:tcPr>
          <w:p w14:paraId="26DF1FBB">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eastAsia" w:cs="Times New Roman"/>
                <w:sz w:val="24"/>
                <w:highlight w:val="none"/>
                <w:lang w:val="en-US" w:eastAsia="zh-CN"/>
              </w:rPr>
              <w:t>47336.0</w:t>
            </w:r>
          </w:p>
        </w:tc>
      </w:tr>
      <w:tr w14:paraId="5F0BA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14:paraId="3B8A3D8C">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农村居民人均可支配收入（元）</w:t>
            </w:r>
          </w:p>
        </w:tc>
        <w:tc>
          <w:tcPr>
            <w:tcW w:w="1552" w:type="dxa"/>
            <w:gridSpan w:val="3"/>
            <w:shd w:val="clear" w:color="auto" w:fill="auto"/>
            <w:noWrap/>
            <w:vAlign w:val="center"/>
          </w:tcPr>
          <w:p w14:paraId="196C4234">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 w:eastAsia="zh-CN"/>
              </w:rPr>
              <w:t>18672</w:t>
            </w:r>
          </w:p>
        </w:tc>
        <w:tc>
          <w:tcPr>
            <w:tcW w:w="1722" w:type="dxa"/>
            <w:gridSpan w:val="2"/>
            <w:shd w:val="clear" w:color="auto" w:fill="auto"/>
            <w:noWrap/>
            <w:vAlign w:val="center"/>
          </w:tcPr>
          <w:p w14:paraId="3DD94C1D">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US" w:eastAsia="zh-CN"/>
              </w:rPr>
              <w:t>19978</w:t>
            </w:r>
          </w:p>
        </w:tc>
        <w:tc>
          <w:tcPr>
            <w:tcW w:w="1534" w:type="dxa"/>
            <w:gridSpan w:val="3"/>
            <w:shd w:val="clear" w:color="auto" w:fill="auto"/>
            <w:noWrap/>
            <w:vAlign w:val="center"/>
          </w:tcPr>
          <w:p w14:paraId="4035B48C">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eastAsia" w:cs="Times New Roman"/>
                <w:sz w:val="24"/>
                <w:highlight w:val="none"/>
                <w:lang w:val="en-US" w:eastAsia="zh-CN"/>
              </w:rPr>
              <w:t>21303.0</w:t>
            </w:r>
          </w:p>
        </w:tc>
      </w:tr>
      <w:tr w14:paraId="6EE84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14:paraId="6B96E3C9">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居民消费价格指数（上年＝100）</w:t>
            </w:r>
          </w:p>
        </w:tc>
        <w:tc>
          <w:tcPr>
            <w:tcW w:w="1552" w:type="dxa"/>
            <w:gridSpan w:val="3"/>
            <w:shd w:val="clear" w:color="auto" w:fill="auto"/>
            <w:noWrap/>
            <w:vAlign w:val="center"/>
          </w:tcPr>
          <w:p w14:paraId="769CE500">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 w:eastAsia="zh-CN"/>
              </w:rPr>
              <w:t>102.0</w:t>
            </w:r>
          </w:p>
        </w:tc>
        <w:tc>
          <w:tcPr>
            <w:tcW w:w="1722" w:type="dxa"/>
            <w:gridSpan w:val="2"/>
            <w:shd w:val="clear" w:color="auto" w:fill="auto"/>
            <w:noWrap/>
            <w:vAlign w:val="center"/>
          </w:tcPr>
          <w:p w14:paraId="752C963C">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US" w:eastAsia="zh-CN"/>
              </w:rPr>
              <w:t>100.0</w:t>
            </w:r>
          </w:p>
        </w:tc>
        <w:tc>
          <w:tcPr>
            <w:tcW w:w="1534" w:type="dxa"/>
            <w:gridSpan w:val="3"/>
            <w:shd w:val="clear" w:color="auto" w:fill="auto"/>
            <w:noWrap/>
            <w:vAlign w:val="center"/>
          </w:tcPr>
          <w:p w14:paraId="1ECE3034">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eastAsia" w:cs="Times New Roman"/>
                <w:sz w:val="24"/>
                <w:highlight w:val="none"/>
                <w:lang w:val="en-US" w:eastAsia="zh-CN"/>
              </w:rPr>
              <w:t>100.0</w:t>
            </w:r>
          </w:p>
        </w:tc>
      </w:tr>
      <w:tr w14:paraId="03B48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14:paraId="24056750">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工业生产者出厂价格指数（上年＝100）</w:t>
            </w:r>
          </w:p>
        </w:tc>
        <w:tc>
          <w:tcPr>
            <w:tcW w:w="1552" w:type="dxa"/>
            <w:gridSpan w:val="3"/>
            <w:shd w:val="clear" w:color="auto" w:fill="auto"/>
            <w:noWrap/>
            <w:vAlign w:val="center"/>
          </w:tcPr>
          <w:p w14:paraId="64729D17">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 w:eastAsia="zh-CN"/>
              </w:rPr>
              <w:t>102.8</w:t>
            </w:r>
          </w:p>
        </w:tc>
        <w:tc>
          <w:tcPr>
            <w:tcW w:w="1722" w:type="dxa"/>
            <w:gridSpan w:val="2"/>
            <w:shd w:val="clear" w:color="auto" w:fill="auto"/>
            <w:noWrap/>
            <w:vAlign w:val="center"/>
          </w:tcPr>
          <w:p w14:paraId="1208D099">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US" w:eastAsia="zh-CN"/>
              </w:rPr>
              <w:t>97.6</w:t>
            </w:r>
          </w:p>
        </w:tc>
        <w:tc>
          <w:tcPr>
            <w:tcW w:w="1534" w:type="dxa"/>
            <w:gridSpan w:val="3"/>
            <w:shd w:val="clear" w:color="auto" w:fill="auto"/>
            <w:noWrap/>
            <w:vAlign w:val="center"/>
          </w:tcPr>
          <w:p w14:paraId="6A7CB6B5">
            <w:pPr>
              <w:spacing w:line="400" w:lineRule="exact"/>
              <w:jc w:val="right"/>
              <w:rPr>
                <w:rFonts w:hint="default" w:ascii="Times New Roman" w:hAnsi="Times New Roman" w:eastAsia="仿宋_GB2312" w:cs="Times New Roman"/>
                <w:sz w:val="24"/>
                <w:highlight w:val="none"/>
                <w:lang w:val="en-US" w:eastAsia="zh-CN"/>
              </w:rPr>
            </w:pPr>
            <w:r>
              <w:rPr>
                <w:rFonts w:hint="eastAsia" w:cs="Times New Roman"/>
                <w:sz w:val="24"/>
                <w:highlight w:val="none"/>
                <w:lang w:val="en-US" w:eastAsia="zh-CN"/>
              </w:rPr>
              <w:t>97.9</w:t>
            </w:r>
          </w:p>
        </w:tc>
      </w:tr>
      <w:tr w14:paraId="339BC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14:paraId="2CF7CAB7">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工业生产者购进价格指数（上年＝100）</w:t>
            </w:r>
          </w:p>
        </w:tc>
        <w:tc>
          <w:tcPr>
            <w:tcW w:w="1552" w:type="dxa"/>
            <w:gridSpan w:val="3"/>
            <w:shd w:val="clear" w:color="auto" w:fill="auto"/>
            <w:noWrap/>
            <w:vAlign w:val="center"/>
          </w:tcPr>
          <w:p w14:paraId="165DD3CB">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 w:eastAsia="zh-CN"/>
              </w:rPr>
              <w:t>105.8</w:t>
            </w:r>
          </w:p>
        </w:tc>
        <w:tc>
          <w:tcPr>
            <w:tcW w:w="1722" w:type="dxa"/>
            <w:gridSpan w:val="2"/>
            <w:shd w:val="clear" w:color="auto" w:fill="auto"/>
            <w:noWrap/>
            <w:vAlign w:val="center"/>
          </w:tcPr>
          <w:p w14:paraId="2BB9708D">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US" w:eastAsia="zh-CN"/>
              </w:rPr>
              <w:t>97.1</w:t>
            </w:r>
          </w:p>
        </w:tc>
        <w:tc>
          <w:tcPr>
            <w:tcW w:w="1534" w:type="dxa"/>
            <w:gridSpan w:val="3"/>
            <w:shd w:val="clear" w:color="auto" w:fill="auto"/>
            <w:noWrap/>
            <w:vAlign w:val="center"/>
          </w:tcPr>
          <w:p w14:paraId="27533715">
            <w:pPr>
              <w:spacing w:line="400" w:lineRule="exact"/>
              <w:jc w:val="right"/>
              <w:rPr>
                <w:rFonts w:hint="default" w:ascii="Times New Roman" w:hAnsi="Times New Roman" w:eastAsia="仿宋_GB2312" w:cs="Times New Roman"/>
                <w:sz w:val="24"/>
                <w:highlight w:val="none"/>
                <w:lang w:val="en-US" w:eastAsia="zh-CN"/>
              </w:rPr>
            </w:pPr>
            <w:r>
              <w:rPr>
                <w:rFonts w:hint="eastAsia" w:cs="Times New Roman"/>
                <w:sz w:val="24"/>
                <w:highlight w:val="none"/>
                <w:lang w:val="en-US" w:eastAsia="zh-CN"/>
              </w:rPr>
              <w:t>97.3</w:t>
            </w:r>
          </w:p>
        </w:tc>
      </w:tr>
      <w:tr w14:paraId="5EE21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14:paraId="3F4FFAD1">
            <w:pPr>
              <w:widowControl/>
              <w:spacing w:line="400" w:lineRule="exact"/>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金融机构各项存款余额（本外币）（</w:t>
            </w:r>
            <w:r>
              <w:rPr>
                <w:rFonts w:hint="eastAsia" w:cs="Times New Roman"/>
                <w:kern w:val="0"/>
                <w:sz w:val="24"/>
                <w:highlight w:val="none"/>
                <w:lang w:val="en-US" w:eastAsia="zh-CN"/>
              </w:rPr>
              <w:t>万</w:t>
            </w:r>
            <w:r>
              <w:rPr>
                <w:rFonts w:hint="default" w:ascii="Times New Roman" w:hAnsi="Times New Roman" w:cs="Times New Roman"/>
                <w:kern w:val="0"/>
                <w:sz w:val="24"/>
                <w:highlight w:val="none"/>
              </w:rPr>
              <w:t>亿元）</w:t>
            </w:r>
          </w:p>
        </w:tc>
        <w:tc>
          <w:tcPr>
            <w:tcW w:w="1552" w:type="dxa"/>
            <w:gridSpan w:val="3"/>
            <w:shd w:val="clear" w:color="auto" w:fill="auto"/>
            <w:noWrap/>
            <w:vAlign w:val="center"/>
          </w:tcPr>
          <w:p w14:paraId="5A833200">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kern w:val="2"/>
                <w:sz w:val="24"/>
                <w:szCs w:val="24"/>
                <w:highlight w:val="none"/>
                <w:lang w:val="en-US" w:eastAsia="zh-CN" w:bidi="ar-SA"/>
              </w:rPr>
              <w:t>11</w:t>
            </w:r>
            <w:r>
              <w:rPr>
                <w:rFonts w:hint="eastAsia" w:cs="Times New Roman"/>
                <w:kern w:val="2"/>
                <w:sz w:val="24"/>
                <w:szCs w:val="24"/>
                <w:highlight w:val="none"/>
                <w:lang w:val="en-US" w:eastAsia="zh-CN" w:bidi="ar-SA"/>
              </w:rPr>
              <w:t>.2</w:t>
            </w:r>
          </w:p>
        </w:tc>
        <w:tc>
          <w:tcPr>
            <w:tcW w:w="1722" w:type="dxa"/>
            <w:gridSpan w:val="2"/>
            <w:shd w:val="clear" w:color="auto" w:fill="auto"/>
            <w:noWrap/>
            <w:vAlign w:val="center"/>
          </w:tcPr>
          <w:p w14:paraId="35935582">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US" w:eastAsia="zh-CN"/>
              </w:rPr>
              <w:t>12</w:t>
            </w:r>
            <w:r>
              <w:rPr>
                <w:rFonts w:hint="eastAsia" w:cs="Times New Roman"/>
                <w:sz w:val="24"/>
                <w:highlight w:val="none"/>
                <w:lang w:val="en-US" w:eastAsia="zh-CN"/>
              </w:rPr>
              <w:t>.3</w:t>
            </w:r>
          </w:p>
        </w:tc>
        <w:tc>
          <w:tcPr>
            <w:tcW w:w="1534" w:type="dxa"/>
            <w:gridSpan w:val="3"/>
            <w:shd w:val="clear" w:color="auto" w:fill="auto"/>
            <w:noWrap/>
            <w:vAlign w:val="center"/>
          </w:tcPr>
          <w:p w14:paraId="3F8B9A3B">
            <w:pPr>
              <w:spacing w:line="400" w:lineRule="exact"/>
              <w:jc w:val="right"/>
              <w:rPr>
                <w:rFonts w:hint="default" w:ascii="Times New Roman" w:hAnsi="Times New Roman" w:eastAsia="仿宋_GB2312" w:cs="Times New Roman"/>
                <w:sz w:val="24"/>
                <w:highlight w:val="none"/>
                <w:lang w:val="en-US" w:eastAsia="zh-CN"/>
              </w:rPr>
            </w:pPr>
            <w:r>
              <w:rPr>
                <w:rFonts w:hint="eastAsia" w:cs="Times New Roman"/>
                <w:sz w:val="24"/>
                <w:highlight w:val="none"/>
                <w:lang w:val="en-US" w:eastAsia="zh-CN"/>
              </w:rPr>
              <w:t>13.3</w:t>
            </w:r>
          </w:p>
        </w:tc>
      </w:tr>
      <w:tr w14:paraId="03310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14:paraId="0AA1F41E">
            <w:pPr>
              <w:widowControl/>
              <w:spacing w:line="400" w:lineRule="exact"/>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金融机构各项贷款余额（本外币）（</w:t>
            </w:r>
            <w:r>
              <w:rPr>
                <w:rFonts w:hint="eastAsia" w:cs="Times New Roman"/>
                <w:kern w:val="0"/>
                <w:sz w:val="24"/>
                <w:highlight w:val="none"/>
                <w:lang w:val="en-US" w:eastAsia="zh-CN"/>
              </w:rPr>
              <w:t>万</w:t>
            </w:r>
            <w:r>
              <w:rPr>
                <w:rFonts w:hint="default" w:ascii="Times New Roman" w:hAnsi="Times New Roman" w:cs="Times New Roman"/>
                <w:kern w:val="0"/>
                <w:sz w:val="24"/>
                <w:highlight w:val="none"/>
              </w:rPr>
              <w:t>亿元）</w:t>
            </w:r>
          </w:p>
        </w:tc>
        <w:tc>
          <w:tcPr>
            <w:tcW w:w="1552" w:type="dxa"/>
            <w:gridSpan w:val="3"/>
            <w:shd w:val="clear" w:color="auto" w:fill="auto"/>
            <w:noWrap/>
            <w:vAlign w:val="center"/>
          </w:tcPr>
          <w:p w14:paraId="77A35AAF">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kern w:val="2"/>
                <w:sz w:val="24"/>
                <w:szCs w:val="24"/>
                <w:highlight w:val="none"/>
                <w:lang w:val="en-US" w:eastAsia="zh-CN" w:bidi="ar-SA"/>
              </w:rPr>
              <w:t>9</w:t>
            </w:r>
            <w:r>
              <w:rPr>
                <w:rFonts w:hint="eastAsia" w:cs="Times New Roman"/>
                <w:kern w:val="2"/>
                <w:sz w:val="24"/>
                <w:szCs w:val="24"/>
                <w:highlight w:val="none"/>
                <w:lang w:val="en-US" w:eastAsia="zh-CN" w:bidi="ar-SA"/>
              </w:rPr>
              <w:t>.</w:t>
            </w:r>
            <w:r>
              <w:rPr>
                <w:rFonts w:hint="default" w:ascii="Times New Roman" w:hAnsi="Times New Roman" w:cs="Times New Roman"/>
                <w:kern w:val="2"/>
                <w:sz w:val="24"/>
                <w:szCs w:val="24"/>
                <w:highlight w:val="none"/>
                <w:lang w:val="en-US" w:eastAsia="zh-CN" w:bidi="ar-SA"/>
              </w:rPr>
              <w:t>2</w:t>
            </w:r>
          </w:p>
        </w:tc>
        <w:tc>
          <w:tcPr>
            <w:tcW w:w="1722" w:type="dxa"/>
            <w:gridSpan w:val="2"/>
            <w:shd w:val="clear" w:color="auto" w:fill="auto"/>
            <w:noWrap/>
            <w:vAlign w:val="center"/>
          </w:tcPr>
          <w:p w14:paraId="35106CF2">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US" w:eastAsia="zh-CN"/>
              </w:rPr>
              <w:t>10</w:t>
            </w:r>
            <w:r>
              <w:rPr>
                <w:rFonts w:hint="eastAsia" w:cs="Times New Roman"/>
                <w:sz w:val="24"/>
                <w:highlight w:val="none"/>
                <w:lang w:val="en-US" w:eastAsia="zh-CN"/>
              </w:rPr>
              <w:t>.6</w:t>
            </w:r>
          </w:p>
        </w:tc>
        <w:tc>
          <w:tcPr>
            <w:tcW w:w="1534" w:type="dxa"/>
            <w:gridSpan w:val="3"/>
            <w:shd w:val="clear" w:color="auto" w:fill="auto"/>
            <w:noWrap/>
            <w:vAlign w:val="center"/>
          </w:tcPr>
          <w:p w14:paraId="7AED7998">
            <w:pPr>
              <w:spacing w:line="400" w:lineRule="exact"/>
              <w:jc w:val="right"/>
              <w:rPr>
                <w:rFonts w:hint="default" w:ascii="Times New Roman" w:hAnsi="Times New Roman" w:eastAsia="仿宋_GB2312" w:cs="Times New Roman"/>
                <w:sz w:val="24"/>
                <w:highlight w:val="none"/>
                <w:lang w:val="en-US" w:eastAsia="zh-CN"/>
              </w:rPr>
            </w:pPr>
            <w:r>
              <w:rPr>
                <w:rFonts w:hint="eastAsia" w:cs="Times New Roman"/>
                <w:sz w:val="24"/>
                <w:highlight w:val="none"/>
                <w:lang w:val="en-US" w:eastAsia="zh-CN"/>
              </w:rPr>
              <w:t>11.7</w:t>
            </w:r>
          </w:p>
        </w:tc>
      </w:tr>
      <w:tr w14:paraId="52817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exact"/>
          <w:jc w:val="center"/>
        </w:trPr>
        <w:tc>
          <w:tcPr>
            <w:tcW w:w="9723" w:type="dxa"/>
            <w:gridSpan w:val="13"/>
            <w:shd w:val="clear" w:color="auto" w:fill="auto"/>
            <w:vAlign w:val="center"/>
          </w:tcPr>
          <w:p w14:paraId="0DB7A506">
            <w:pPr>
              <w:widowControl/>
              <w:spacing w:line="400" w:lineRule="exact"/>
              <w:ind w:firstLine="482"/>
              <w:rPr>
                <w:rFonts w:hint="default" w:ascii="Times New Roman" w:hAnsi="Times New Roman" w:cs="Times New Roman"/>
                <w:b/>
                <w:kern w:val="0"/>
                <w:sz w:val="24"/>
                <w:highlight w:val="none"/>
              </w:rPr>
            </w:pPr>
            <w:r>
              <w:rPr>
                <w:rFonts w:hint="default" w:ascii="Times New Roman" w:hAnsi="Times New Roman" w:cs="Times New Roman"/>
                <w:b/>
                <w:kern w:val="0"/>
                <w:sz w:val="24"/>
                <w:highlight w:val="none"/>
              </w:rPr>
              <w:t xml:space="preserve">  二、财政收支状况（亿元）</w:t>
            </w:r>
          </w:p>
        </w:tc>
      </w:tr>
      <w:tr w14:paraId="1D0C7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723" w:type="dxa"/>
            <w:gridSpan w:val="13"/>
            <w:shd w:val="clear" w:color="auto" w:fill="auto"/>
            <w:vAlign w:val="center"/>
          </w:tcPr>
          <w:p w14:paraId="576D8D0A">
            <w:pPr>
              <w:widowControl/>
              <w:spacing w:line="400" w:lineRule="exact"/>
              <w:ind w:firstLine="482"/>
              <w:rPr>
                <w:rFonts w:hint="default" w:ascii="Times New Roman" w:hAnsi="Times New Roman" w:eastAsia="仿宋_GB2312" w:cs="Times New Roman"/>
                <w:b/>
                <w:kern w:val="0"/>
                <w:sz w:val="24"/>
                <w:highlight w:val="none"/>
              </w:rPr>
            </w:pPr>
            <w:r>
              <w:rPr>
                <w:rFonts w:hint="default" w:ascii="Times New Roman" w:hAnsi="Times New Roman" w:eastAsia="仿宋_GB2312" w:cs="Times New Roman"/>
                <w:b/>
                <w:kern w:val="0"/>
                <w:sz w:val="24"/>
                <w:highlight w:val="none"/>
              </w:rPr>
              <w:t>（一）近三年一般公共预算收支</w:t>
            </w:r>
          </w:p>
        </w:tc>
      </w:tr>
      <w:tr w14:paraId="0D73B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exact"/>
          <w:jc w:val="center"/>
        </w:trPr>
        <w:tc>
          <w:tcPr>
            <w:tcW w:w="3098" w:type="dxa"/>
            <w:vMerge w:val="restart"/>
            <w:shd w:val="clear" w:color="auto" w:fill="auto"/>
            <w:vAlign w:val="center"/>
          </w:tcPr>
          <w:p w14:paraId="4716A0D3">
            <w:pPr>
              <w:widowControl/>
              <w:spacing w:line="400" w:lineRule="exact"/>
              <w:ind w:firstLine="480"/>
              <w:jc w:val="center"/>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mc:AlternateContent>
                <mc:Choice Requires="wps">
                  <w:drawing>
                    <wp:anchor distT="0" distB="0" distL="114300" distR="114300" simplePos="0" relativeHeight="251660288" behindDoc="0" locked="0" layoutInCell="1" allowOverlap="1">
                      <wp:simplePos x="0" y="0"/>
                      <wp:positionH relativeFrom="column">
                        <wp:posOffset>-61595</wp:posOffset>
                      </wp:positionH>
                      <wp:positionV relativeFrom="paragraph">
                        <wp:posOffset>-6350</wp:posOffset>
                      </wp:positionV>
                      <wp:extent cx="1960245" cy="610870"/>
                      <wp:effectExtent l="1270" t="4445" r="19685" b="13335"/>
                      <wp:wrapNone/>
                      <wp:docPr id="3" name="直接箭头连接符 3"/>
                      <wp:cNvGraphicFramePr/>
                      <a:graphic xmlns:a="http://schemas.openxmlformats.org/drawingml/2006/main">
                        <a:graphicData uri="http://schemas.microsoft.com/office/word/2010/wordprocessingShape">
                          <wps:wsp>
                            <wps:cNvCnPr/>
                            <wps:spPr>
                              <a:xfrm>
                                <a:off x="0" y="0"/>
                                <a:ext cx="1960245" cy="61087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4.85pt;margin-top:-0.5pt;height:48.1pt;width:154.35pt;z-index:251660288;mso-width-relative:page;mso-height-relative:page;" filled="f" stroked="t" coordsize="21600,21600" o:gfxdata="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RXJwl1wAAAAgBAAAPAAAAAAAAAAEAIAAAACIAAABkcnMv&#10;ZG93bnJldi54bWxQSwECFAAUAAAACACHTuJAXAMjcQQCAADxAwAADgAAAAAAAAABACAAAAAmAQAA&#10;ZHJzL2Uyb0RvYy54bWxQSwUGAAAAAAYABgBZAQAAnAUAAAAA&#10;">
                      <v:fill on="f" focussize="0,0"/>
                      <v:stroke color="#000000" joinstyle="round"/>
                      <v:imagedata o:title=""/>
                      <o:lock v:ext="edit" aspectratio="f"/>
                    </v:shape>
                  </w:pict>
                </mc:Fallback>
              </mc:AlternateContent>
            </w:r>
            <w:r>
              <w:rPr>
                <w:rFonts w:hint="default" w:ascii="Times New Roman" w:hAnsi="Times New Roman" w:eastAsia="仿宋_GB2312" w:cs="Times New Roman"/>
                <w:kern w:val="0"/>
                <w:sz w:val="24"/>
                <w:highlight w:val="none"/>
              </w:rPr>
              <w:t xml:space="preserve">           年份</w:t>
            </w:r>
          </w:p>
          <w:p w14:paraId="5A2705BF">
            <w:pPr>
              <w:spacing w:line="400" w:lineRule="exact"/>
              <w:ind w:firstLine="480"/>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项目</w:t>
            </w:r>
          </w:p>
        </w:tc>
        <w:tc>
          <w:tcPr>
            <w:tcW w:w="2282" w:type="dxa"/>
            <w:gridSpan w:val="5"/>
            <w:shd w:val="clear" w:color="auto" w:fill="auto"/>
            <w:noWrap/>
            <w:vAlign w:val="center"/>
          </w:tcPr>
          <w:p w14:paraId="4701B960">
            <w:pPr>
              <w:widowControl/>
              <w:spacing w:line="400" w:lineRule="exact"/>
              <w:ind w:firstLine="480" w:firstLineChars="0"/>
              <w:jc w:val="center"/>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202</w:t>
            </w:r>
            <w:r>
              <w:rPr>
                <w:rFonts w:hint="default" w:ascii="Times New Roman" w:hAnsi="Times New Roman" w:cs="Times New Roman"/>
                <w:kern w:val="0"/>
                <w:sz w:val="24"/>
                <w:highlight w:val="none"/>
                <w:lang w:val="en-US" w:eastAsia="zh-CN"/>
              </w:rPr>
              <w:t>3</w:t>
            </w:r>
            <w:r>
              <w:rPr>
                <w:rFonts w:hint="default" w:ascii="Times New Roman" w:hAnsi="Times New Roman" w:eastAsia="仿宋_GB2312" w:cs="Times New Roman"/>
                <w:kern w:val="0"/>
                <w:sz w:val="24"/>
                <w:highlight w:val="none"/>
              </w:rPr>
              <w:t>年</w:t>
            </w:r>
          </w:p>
        </w:tc>
        <w:tc>
          <w:tcPr>
            <w:tcW w:w="2213" w:type="dxa"/>
            <w:gridSpan w:val="3"/>
            <w:shd w:val="clear" w:color="auto" w:fill="auto"/>
            <w:noWrap/>
            <w:vAlign w:val="center"/>
          </w:tcPr>
          <w:p w14:paraId="14AA3747">
            <w:pPr>
              <w:widowControl/>
              <w:spacing w:line="400" w:lineRule="exact"/>
              <w:ind w:firstLine="480" w:firstLineChars="0"/>
              <w:jc w:val="center"/>
              <w:rPr>
                <w:rFonts w:hint="default" w:ascii="Times New Roman" w:hAnsi="Times New Roman" w:eastAsia="仿宋_GB2312" w:cs="Times New Roman"/>
                <w:kern w:val="0"/>
                <w:sz w:val="24"/>
                <w:highlight w:val="none"/>
              </w:rPr>
            </w:pPr>
            <w:r>
              <w:rPr>
                <w:rFonts w:hint="eastAsia" w:cs="Times New Roman"/>
                <w:kern w:val="0"/>
                <w:sz w:val="24"/>
                <w:highlight w:val="none"/>
                <w:lang w:val="en" w:eastAsia="zh-CN"/>
              </w:rPr>
              <w:t>202</w:t>
            </w:r>
            <w:r>
              <w:rPr>
                <w:rFonts w:hint="eastAsia" w:cs="Times New Roman"/>
                <w:kern w:val="0"/>
                <w:sz w:val="24"/>
                <w:highlight w:val="none"/>
                <w:lang w:val="en-US" w:eastAsia="zh-CN"/>
              </w:rPr>
              <w:t>4</w:t>
            </w:r>
            <w:r>
              <w:rPr>
                <w:rFonts w:hint="eastAsia" w:cs="Times New Roman"/>
                <w:kern w:val="0"/>
                <w:sz w:val="24"/>
                <w:highlight w:val="none"/>
                <w:lang w:val="en" w:eastAsia="zh-CN"/>
              </w:rPr>
              <w:t>年</w:t>
            </w:r>
          </w:p>
        </w:tc>
        <w:tc>
          <w:tcPr>
            <w:tcW w:w="2130" w:type="dxa"/>
            <w:gridSpan w:val="4"/>
            <w:shd w:val="clear" w:color="auto" w:fill="auto"/>
            <w:noWrap/>
            <w:vAlign w:val="center"/>
          </w:tcPr>
          <w:p w14:paraId="41688ABB">
            <w:pPr>
              <w:widowControl/>
              <w:spacing w:line="400" w:lineRule="exact"/>
              <w:ind w:firstLine="480" w:firstLineChars="0"/>
              <w:jc w:val="center"/>
              <w:rPr>
                <w:rFonts w:hint="eastAsia" w:ascii="Times New Roman" w:hAnsi="Times New Roman" w:eastAsia="仿宋_GB2312" w:cs="Times New Roman"/>
                <w:kern w:val="0"/>
                <w:sz w:val="24"/>
                <w:highlight w:val="none"/>
                <w:lang w:val="en" w:eastAsia="zh-CN"/>
              </w:rPr>
            </w:pPr>
            <w:r>
              <w:rPr>
                <w:rFonts w:hint="eastAsia" w:cs="Times New Roman"/>
                <w:kern w:val="0"/>
                <w:sz w:val="24"/>
                <w:highlight w:val="none"/>
                <w:lang w:val="en" w:eastAsia="zh-CN"/>
              </w:rPr>
              <w:t>202</w:t>
            </w:r>
            <w:r>
              <w:rPr>
                <w:rFonts w:hint="eastAsia" w:cs="Times New Roman"/>
                <w:kern w:val="0"/>
                <w:sz w:val="24"/>
                <w:highlight w:val="none"/>
                <w:lang w:val="en-US" w:eastAsia="zh-CN"/>
              </w:rPr>
              <w:t>5</w:t>
            </w:r>
            <w:r>
              <w:rPr>
                <w:rFonts w:hint="eastAsia" w:cs="Times New Roman"/>
                <w:kern w:val="0"/>
                <w:sz w:val="24"/>
                <w:highlight w:val="none"/>
                <w:lang w:val="en" w:eastAsia="zh-CN"/>
              </w:rPr>
              <w:t>年</w:t>
            </w:r>
          </w:p>
        </w:tc>
      </w:tr>
      <w:tr w14:paraId="367FA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exact"/>
          <w:jc w:val="center"/>
        </w:trPr>
        <w:tc>
          <w:tcPr>
            <w:tcW w:w="3098" w:type="dxa"/>
            <w:vMerge w:val="continue"/>
            <w:shd w:val="clear" w:color="auto" w:fill="auto"/>
            <w:vAlign w:val="center"/>
          </w:tcPr>
          <w:p w14:paraId="6FC35206">
            <w:pPr>
              <w:widowControl/>
              <w:spacing w:line="400" w:lineRule="exact"/>
              <w:ind w:firstLine="480"/>
              <w:jc w:val="center"/>
              <w:rPr>
                <w:rFonts w:hint="default" w:ascii="Times New Roman" w:hAnsi="Times New Roman" w:eastAsia="仿宋_GB2312" w:cs="Times New Roman"/>
                <w:kern w:val="0"/>
                <w:sz w:val="24"/>
                <w:highlight w:val="none"/>
              </w:rPr>
            </w:pPr>
          </w:p>
        </w:tc>
        <w:tc>
          <w:tcPr>
            <w:tcW w:w="1120" w:type="dxa"/>
            <w:shd w:val="clear" w:color="auto" w:fill="auto"/>
            <w:noWrap/>
            <w:vAlign w:val="center"/>
          </w:tcPr>
          <w:p w14:paraId="5DEF88CE">
            <w:pPr>
              <w:widowControl/>
              <w:spacing w:line="400" w:lineRule="exact"/>
              <w:jc w:val="center"/>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省本级</w:t>
            </w:r>
          </w:p>
        </w:tc>
        <w:tc>
          <w:tcPr>
            <w:tcW w:w="1162" w:type="dxa"/>
            <w:gridSpan w:val="4"/>
            <w:shd w:val="clear" w:color="auto" w:fill="auto"/>
            <w:vAlign w:val="center"/>
          </w:tcPr>
          <w:p w14:paraId="76615736">
            <w:pPr>
              <w:widowControl/>
              <w:spacing w:line="400" w:lineRule="exact"/>
              <w:jc w:val="center"/>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全省</w:t>
            </w:r>
          </w:p>
        </w:tc>
        <w:tc>
          <w:tcPr>
            <w:tcW w:w="1031" w:type="dxa"/>
            <w:shd w:val="clear" w:color="auto" w:fill="auto"/>
            <w:noWrap/>
            <w:vAlign w:val="center"/>
          </w:tcPr>
          <w:p w14:paraId="04119DA6">
            <w:pPr>
              <w:widowControl/>
              <w:spacing w:line="400" w:lineRule="exact"/>
              <w:jc w:val="center"/>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省本级</w:t>
            </w:r>
          </w:p>
        </w:tc>
        <w:tc>
          <w:tcPr>
            <w:tcW w:w="1182" w:type="dxa"/>
            <w:gridSpan w:val="2"/>
            <w:shd w:val="clear" w:color="auto" w:fill="auto"/>
            <w:vAlign w:val="center"/>
          </w:tcPr>
          <w:p w14:paraId="34D67D40">
            <w:pPr>
              <w:widowControl/>
              <w:spacing w:line="400" w:lineRule="exact"/>
              <w:jc w:val="center"/>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全省</w:t>
            </w:r>
          </w:p>
        </w:tc>
        <w:tc>
          <w:tcPr>
            <w:tcW w:w="993" w:type="dxa"/>
            <w:gridSpan w:val="2"/>
            <w:shd w:val="clear" w:color="auto" w:fill="auto"/>
            <w:noWrap/>
            <w:vAlign w:val="center"/>
          </w:tcPr>
          <w:p w14:paraId="4F587593">
            <w:pPr>
              <w:widowControl/>
              <w:spacing w:line="400" w:lineRule="exact"/>
              <w:jc w:val="center"/>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省本级</w:t>
            </w:r>
          </w:p>
        </w:tc>
        <w:tc>
          <w:tcPr>
            <w:tcW w:w="1137" w:type="dxa"/>
            <w:gridSpan w:val="2"/>
            <w:shd w:val="clear" w:color="auto" w:fill="auto"/>
            <w:vAlign w:val="center"/>
          </w:tcPr>
          <w:p w14:paraId="3F5342E3">
            <w:pPr>
              <w:widowControl/>
              <w:spacing w:line="400" w:lineRule="exact"/>
              <w:jc w:val="center"/>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全省</w:t>
            </w:r>
          </w:p>
        </w:tc>
      </w:tr>
      <w:tr w14:paraId="61894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098" w:type="dxa"/>
            <w:shd w:val="clear" w:color="auto" w:fill="auto"/>
            <w:vAlign w:val="center"/>
          </w:tcPr>
          <w:p w14:paraId="77F52338">
            <w:pPr>
              <w:widowControl/>
              <w:spacing w:line="240" w:lineRule="exac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一般公共预算收入</w:t>
            </w:r>
          </w:p>
        </w:tc>
        <w:tc>
          <w:tcPr>
            <w:tcW w:w="1120" w:type="dxa"/>
            <w:shd w:val="clear" w:color="auto" w:fill="auto"/>
            <w:noWrap/>
            <w:vAlign w:val="center"/>
          </w:tcPr>
          <w:p w14:paraId="0BDA97F0">
            <w:pPr>
              <w:widowControl/>
              <w:jc w:val="righ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color w:val="auto"/>
                <w:kern w:val="0"/>
                <w:sz w:val="24"/>
                <w:highlight w:val="none"/>
                <w:lang w:val="en-US" w:eastAsia="zh-CN"/>
              </w:rPr>
              <w:t>993.</w:t>
            </w:r>
            <w:r>
              <w:rPr>
                <w:rFonts w:hint="default" w:ascii="Times New Roman" w:hAnsi="Times New Roman" w:cs="Times New Roman"/>
                <w:color w:val="auto"/>
                <w:kern w:val="0"/>
                <w:sz w:val="24"/>
                <w:highlight w:val="none"/>
                <w:lang w:val="en-US" w:eastAsia="zh-CN"/>
              </w:rPr>
              <w:t>5</w:t>
            </w:r>
          </w:p>
        </w:tc>
        <w:tc>
          <w:tcPr>
            <w:tcW w:w="1162" w:type="dxa"/>
            <w:gridSpan w:val="4"/>
            <w:shd w:val="clear" w:color="auto" w:fill="auto"/>
            <w:vAlign w:val="center"/>
          </w:tcPr>
          <w:p w14:paraId="59F10C08">
            <w:pPr>
              <w:widowControl/>
              <w:jc w:val="righ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color w:val="auto"/>
                <w:kern w:val="0"/>
                <w:sz w:val="24"/>
                <w:highlight w:val="none"/>
                <w:lang w:val="en-US" w:eastAsia="zh-CN"/>
              </w:rPr>
              <w:t>5529.1</w:t>
            </w:r>
          </w:p>
        </w:tc>
        <w:tc>
          <w:tcPr>
            <w:tcW w:w="1031" w:type="dxa"/>
            <w:shd w:val="clear" w:color="auto" w:fill="auto"/>
            <w:noWrap/>
            <w:vAlign w:val="center"/>
          </w:tcPr>
          <w:p w14:paraId="658251E8">
            <w:pPr>
              <w:widowControl/>
              <w:spacing w:line="240" w:lineRule="exact"/>
              <w:jc w:val="right"/>
              <w:rPr>
                <w:rFonts w:hint="default" w:ascii="Times New Roman" w:hAnsi="Times New Roman" w:cs="Times New Roman"/>
                <w:kern w:val="0"/>
                <w:sz w:val="24"/>
                <w:highlight w:val="none"/>
                <w:lang w:val="en-US" w:eastAsia="zh-CN"/>
              </w:rPr>
            </w:pPr>
            <w:r>
              <w:rPr>
                <w:rFonts w:hint="eastAsia" w:cs="Times New Roman"/>
                <w:kern w:val="0"/>
                <w:sz w:val="24"/>
                <w:highlight w:val="none"/>
                <w:lang w:val="en-US" w:eastAsia="zh-CN"/>
              </w:rPr>
              <w:t>975.1</w:t>
            </w:r>
          </w:p>
        </w:tc>
        <w:tc>
          <w:tcPr>
            <w:tcW w:w="1182" w:type="dxa"/>
            <w:gridSpan w:val="2"/>
            <w:shd w:val="clear" w:color="auto" w:fill="auto"/>
            <w:vAlign w:val="center"/>
          </w:tcPr>
          <w:p w14:paraId="716DC774">
            <w:pPr>
              <w:widowControl/>
              <w:spacing w:line="240" w:lineRule="exact"/>
              <w:jc w:val="right"/>
              <w:rPr>
                <w:rFonts w:hint="default" w:ascii="Times New Roman" w:hAnsi="Times New Roman" w:cs="Times New Roman"/>
                <w:kern w:val="0"/>
                <w:sz w:val="24"/>
                <w:highlight w:val="none"/>
                <w:lang w:val="en-US" w:eastAsia="zh-CN"/>
              </w:rPr>
            </w:pPr>
            <w:r>
              <w:rPr>
                <w:rFonts w:hint="eastAsia" w:cs="Times New Roman"/>
                <w:kern w:val="0"/>
                <w:sz w:val="24"/>
                <w:highlight w:val="none"/>
                <w:lang w:val="en-US" w:eastAsia="zh-CN"/>
              </w:rPr>
              <w:t>5635.1</w:t>
            </w:r>
          </w:p>
        </w:tc>
        <w:tc>
          <w:tcPr>
            <w:tcW w:w="993" w:type="dxa"/>
            <w:gridSpan w:val="2"/>
            <w:shd w:val="clear" w:color="auto" w:fill="auto"/>
            <w:noWrap/>
            <w:vAlign w:val="center"/>
          </w:tcPr>
          <w:p w14:paraId="6F2806B4">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963.0</w:t>
            </w:r>
          </w:p>
        </w:tc>
        <w:tc>
          <w:tcPr>
            <w:tcW w:w="1137" w:type="dxa"/>
            <w:gridSpan w:val="2"/>
            <w:shd w:val="clear" w:color="auto" w:fill="auto"/>
            <w:vAlign w:val="center"/>
          </w:tcPr>
          <w:p w14:paraId="2B6EF9DB">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5748.0</w:t>
            </w:r>
          </w:p>
        </w:tc>
      </w:tr>
      <w:tr w14:paraId="599F3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098" w:type="dxa"/>
            <w:shd w:val="clear" w:color="auto" w:fill="auto"/>
            <w:vAlign w:val="center"/>
          </w:tcPr>
          <w:p w14:paraId="15404D53">
            <w:pPr>
              <w:widowControl/>
              <w:spacing w:line="240" w:lineRule="exac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一般公共预算支出</w:t>
            </w:r>
          </w:p>
        </w:tc>
        <w:tc>
          <w:tcPr>
            <w:tcW w:w="1120" w:type="dxa"/>
            <w:shd w:val="clear" w:color="auto" w:fill="auto"/>
            <w:noWrap/>
            <w:vAlign w:val="center"/>
          </w:tcPr>
          <w:p w14:paraId="7D566504">
            <w:pPr>
              <w:widowControl/>
              <w:jc w:val="righ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color w:val="auto"/>
                <w:kern w:val="0"/>
                <w:sz w:val="24"/>
                <w:highlight w:val="none"/>
                <w:lang w:val="en-US" w:eastAsia="zh-CN"/>
              </w:rPr>
              <w:t>2071</w:t>
            </w:r>
            <w:r>
              <w:rPr>
                <w:rFonts w:hint="default" w:ascii="Times New Roman" w:hAnsi="Times New Roman" w:cs="Times New Roman"/>
                <w:color w:val="auto"/>
                <w:kern w:val="0"/>
                <w:sz w:val="24"/>
                <w:highlight w:val="none"/>
                <w:lang w:val="en-US" w:eastAsia="zh-CN"/>
              </w:rPr>
              <w:t>.0</w:t>
            </w:r>
          </w:p>
        </w:tc>
        <w:tc>
          <w:tcPr>
            <w:tcW w:w="1162" w:type="dxa"/>
            <w:gridSpan w:val="4"/>
            <w:shd w:val="clear" w:color="auto" w:fill="auto"/>
            <w:vAlign w:val="center"/>
          </w:tcPr>
          <w:p w14:paraId="1511D3B4">
            <w:pPr>
              <w:widowControl/>
              <w:jc w:val="right"/>
              <w:rPr>
                <w:rFonts w:hint="default" w:ascii="Times New Roman" w:hAnsi="Times New Roman" w:eastAsia="仿宋_GB2312" w:cs="Times New Roman"/>
                <w:sz w:val="24"/>
                <w:highlight w:val="none"/>
              </w:rPr>
            </w:pPr>
            <w:r>
              <w:rPr>
                <w:rFonts w:hint="default" w:ascii="Times New Roman" w:hAnsi="Times New Roman" w:eastAsia="仿宋_GB2312" w:cs="Times New Roman"/>
                <w:color w:val="auto"/>
                <w:kern w:val="0"/>
                <w:sz w:val="24"/>
                <w:highlight w:val="none"/>
                <w:lang w:val="en-US" w:eastAsia="zh-CN"/>
              </w:rPr>
              <w:t>1273</w:t>
            </w:r>
            <w:r>
              <w:rPr>
                <w:rFonts w:hint="default" w:ascii="Times New Roman" w:hAnsi="Times New Roman" w:cs="Times New Roman"/>
                <w:color w:val="auto"/>
                <w:kern w:val="0"/>
                <w:sz w:val="24"/>
                <w:highlight w:val="none"/>
                <w:lang w:val="en-US" w:eastAsia="zh-CN"/>
              </w:rPr>
              <w:t>2</w:t>
            </w:r>
            <w:r>
              <w:rPr>
                <w:rFonts w:hint="default" w:ascii="Times New Roman" w:hAnsi="Times New Roman" w:eastAsia="仿宋_GB2312" w:cs="Times New Roman"/>
                <w:color w:val="auto"/>
                <w:kern w:val="0"/>
                <w:sz w:val="24"/>
                <w:highlight w:val="none"/>
                <w:lang w:val="en-US" w:eastAsia="zh-CN"/>
              </w:rPr>
              <w:t>.</w:t>
            </w:r>
            <w:r>
              <w:rPr>
                <w:rFonts w:hint="default" w:ascii="Times New Roman" w:hAnsi="Times New Roman" w:cs="Times New Roman"/>
                <w:color w:val="auto"/>
                <w:kern w:val="0"/>
                <w:sz w:val="24"/>
                <w:highlight w:val="none"/>
                <w:lang w:val="en-US" w:eastAsia="zh-CN"/>
              </w:rPr>
              <w:t>8</w:t>
            </w:r>
          </w:p>
        </w:tc>
        <w:tc>
          <w:tcPr>
            <w:tcW w:w="1031" w:type="dxa"/>
            <w:shd w:val="clear" w:color="auto" w:fill="auto"/>
            <w:noWrap/>
            <w:vAlign w:val="center"/>
          </w:tcPr>
          <w:p w14:paraId="0F61AFD0">
            <w:pPr>
              <w:widowControl/>
              <w:spacing w:line="240" w:lineRule="exact"/>
              <w:jc w:val="right"/>
              <w:rPr>
                <w:rFonts w:hint="default" w:ascii="Times New Roman" w:hAnsi="Times New Roman" w:cs="Times New Roman"/>
                <w:kern w:val="0"/>
                <w:sz w:val="24"/>
                <w:highlight w:val="none"/>
                <w:lang w:val="en-US" w:eastAsia="zh-CN"/>
              </w:rPr>
            </w:pPr>
            <w:r>
              <w:rPr>
                <w:rFonts w:hint="eastAsia" w:cs="Times New Roman"/>
                <w:kern w:val="0"/>
                <w:sz w:val="24"/>
                <w:highlight w:val="none"/>
                <w:lang w:val="en-US" w:eastAsia="zh-CN"/>
              </w:rPr>
              <w:t>2241.8</w:t>
            </w:r>
          </w:p>
        </w:tc>
        <w:tc>
          <w:tcPr>
            <w:tcW w:w="1182" w:type="dxa"/>
            <w:gridSpan w:val="2"/>
            <w:shd w:val="clear" w:color="auto" w:fill="auto"/>
            <w:vAlign w:val="center"/>
          </w:tcPr>
          <w:p w14:paraId="56B85ACD">
            <w:pPr>
              <w:widowControl/>
              <w:spacing w:line="240" w:lineRule="exact"/>
              <w:jc w:val="right"/>
              <w:rPr>
                <w:rFonts w:hint="default" w:ascii="Times New Roman" w:hAnsi="Times New Roman" w:cs="Times New Roman"/>
                <w:kern w:val="0"/>
                <w:sz w:val="24"/>
                <w:highlight w:val="none"/>
                <w:lang w:val="en-US" w:eastAsia="zh-CN"/>
              </w:rPr>
            </w:pPr>
            <w:r>
              <w:rPr>
                <w:rFonts w:hint="eastAsia" w:cs="Times New Roman"/>
                <w:kern w:val="0"/>
                <w:sz w:val="24"/>
                <w:highlight w:val="none"/>
                <w:lang w:val="en-US" w:eastAsia="zh-CN"/>
              </w:rPr>
              <w:t>13445.3</w:t>
            </w:r>
          </w:p>
        </w:tc>
        <w:tc>
          <w:tcPr>
            <w:tcW w:w="993" w:type="dxa"/>
            <w:gridSpan w:val="2"/>
            <w:shd w:val="clear" w:color="auto" w:fill="auto"/>
            <w:noWrap/>
            <w:vAlign w:val="center"/>
          </w:tcPr>
          <w:p w14:paraId="52F73134">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2245.7</w:t>
            </w:r>
          </w:p>
        </w:tc>
        <w:tc>
          <w:tcPr>
            <w:tcW w:w="1137" w:type="dxa"/>
            <w:gridSpan w:val="2"/>
            <w:shd w:val="clear" w:color="auto" w:fill="auto"/>
            <w:vAlign w:val="center"/>
          </w:tcPr>
          <w:p w14:paraId="4F57EDA1">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13425.9</w:t>
            </w:r>
          </w:p>
        </w:tc>
      </w:tr>
      <w:tr w14:paraId="1978A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exact"/>
          <w:jc w:val="center"/>
        </w:trPr>
        <w:tc>
          <w:tcPr>
            <w:tcW w:w="3098" w:type="dxa"/>
            <w:shd w:val="clear" w:color="auto" w:fill="auto"/>
            <w:vAlign w:val="center"/>
          </w:tcPr>
          <w:p w14:paraId="560FE1A1">
            <w:pPr>
              <w:widowControl/>
              <w:spacing w:line="240" w:lineRule="exac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转移性收入</w:t>
            </w:r>
          </w:p>
        </w:tc>
        <w:tc>
          <w:tcPr>
            <w:tcW w:w="1120" w:type="dxa"/>
            <w:shd w:val="clear" w:color="auto" w:fill="auto"/>
            <w:noWrap/>
            <w:vAlign w:val="center"/>
          </w:tcPr>
          <w:p w14:paraId="6CC2BA33">
            <w:pPr>
              <w:widowControl/>
              <w:spacing w:line="240" w:lineRule="exact"/>
              <w:jc w:val="right"/>
              <w:rPr>
                <w:rFonts w:hint="default" w:ascii="Times New Roman" w:hAnsi="Times New Roman" w:eastAsia="仿宋_GB2312" w:cs="Times New Roman"/>
                <w:sz w:val="24"/>
                <w:highlight w:val="none"/>
              </w:rPr>
            </w:pPr>
            <w:r>
              <w:rPr>
                <w:rFonts w:hint="default" w:ascii="Times New Roman" w:hAnsi="Times New Roman" w:cs="Times New Roman"/>
                <w:kern w:val="0"/>
                <w:sz w:val="24"/>
                <w:highlight w:val="none"/>
                <w:lang w:val="en" w:eastAsia="zh-CN"/>
              </w:rPr>
              <w:t>764</w:t>
            </w:r>
            <w:r>
              <w:rPr>
                <w:rFonts w:hint="default" w:ascii="Times New Roman" w:hAnsi="Times New Roman" w:cs="Times New Roman"/>
                <w:kern w:val="0"/>
                <w:sz w:val="24"/>
                <w:highlight w:val="none"/>
                <w:lang w:val="en-US" w:eastAsia="zh-CN"/>
              </w:rPr>
              <w:t>5</w:t>
            </w:r>
            <w:r>
              <w:rPr>
                <w:rFonts w:hint="default" w:ascii="Times New Roman" w:hAnsi="Times New Roman" w:cs="Times New Roman"/>
                <w:kern w:val="0"/>
                <w:sz w:val="24"/>
                <w:highlight w:val="none"/>
                <w:lang w:val="en" w:eastAsia="zh-CN"/>
              </w:rPr>
              <w:t>.</w:t>
            </w:r>
            <w:r>
              <w:rPr>
                <w:rFonts w:hint="default" w:ascii="Times New Roman" w:hAnsi="Times New Roman" w:cs="Times New Roman"/>
                <w:kern w:val="0"/>
                <w:sz w:val="24"/>
                <w:highlight w:val="none"/>
                <w:lang w:val="en-US" w:eastAsia="zh-CN"/>
              </w:rPr>
              <w:t>5</w:t>
            </w:r>
          </w:p>
        </w:tc>
        <w:tc>
          <w:tcPr>
            <w:tcW w:w="1162" w:type="dxa"/>
            <w:gridSpan w:val="4"/>
            <w:shd w:val="clear" w:color="auto" w:fill="auto"/>
            <w:vAlign w:val="center"/>
          </w:tcPr>
          <w:p w14:paraId="5C47C8EA">
            <w:pPr>
              <w:widowControl/>
              <w:spacing w:line="240" w:lineRule="exact"/>
              <w:jc w:val="right"/>
              <w:rPr>
                <w:rFonts w:hint="default" w:ascii="Times New Roman" w:hAnsi="Times New Roman" w:eastAsia="仿宋_GB2312" w:cs="Times New Roman"/>
                <w:sz w:val="24"/>
                <w:highlight w:val="none"/>
              </w:rPr>
            </w:pPr>
            <w:r>
              <w:rPr>
                <w:rFonts w:hint="default" w:ascii="Times New Roman" w:hAnsi="Times New Roman" w:cs="Times New Roman"/>
                <w:kern w:val="0"/>
                <w:sz w:val="24"/>
                <w:highlight w:val="none"/>
                <w:lang w:val="en-US" w:eastAsia="zh-CN"/>
              </w:rPr>
              <w:t>9404.0</w:t>
            </w:r>
          </w:p>
        </w:tc>
        <w:tc>
          <w:tcPr>
            <w:tcW w:w="1031" w:type="dxa"/>
            <w:shd w:val="clear" w:color="auto" w:fill="auto"/>
            <w:noWrap/>
            <w:vAlign w:val="center"/>
          </w:tcPr>
          <w:p w14:paraId="44DBB818">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7863.4</w:t>
            </w:r>
          </w:p>
        </w:tc>
        <w:tc>
          <w:tcPr>
            <w:tcW w:w="1182" w:type="dxa"/>
            <w:gridSpan w:val="2"/>
            <w:shd w:val="clear" w:color="auto" w:fill="auto"/>
            <w:vAlign w:val="center"/>
          </w:tcPr>
          <w:p w14:paraId="275B6C0A">
            <w:pPr>
              <w:widowControl/>
              <w:spacing w:line="240" w:lineRule="exact"/>
              <w:jc w:val="right"/>
              <w:rPr>
                <w:rFonts w:hint="default" w:ascii="Times New Roman" w:hAnsi="Times New Roman" w:cs="Times New Roman"/>
                <w:kern w:val="0"/>
                <w:sz w:val="24"/>
                <w:highlight w:val="none"/>
                <w:lang w:val="en-US" w:eastAsia="zh-CN"/>
              </w:rPr>
            </w:pPr>
            <w:r>
              <w:rPr>
                <w:rFonts w:hint="eastAsia" w:cs="Times New Roman"/>
                <w:kern w:val="0"/>
                <w:sz w:val="24"/>
                <w:highlight w:val="none"/>
                <w:lang w:val="en-US" w:eastAsia="zh-CN"/>
              </w:rPr>
              <w:t>9736.5</w:t>
            </w:r>
          </w:p>
        </w:tc>
        <w:tc>
          <w:tcPr>
            <w:tcW w:w="993" w:type="dxa"/>
            <w:gridSpan w:val="2"/>
            <w:shd w:val="clear" w:color="auto" w:fill="auto"/>
            <w:noWrap/>
            <w:vAlign w:val="center"/>
          </w:tcPr>
          <w:p w14:paraId="3ADEFC64">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6593.7</w:t>
            </w:r>
          </w:p>
        </w:tc>
        <w:tc>
          <w:tcPr>
            <w:tcW w:w="1137" w:type="dxa"/>
            <w:gridSpan w:val="2"/>
            <w:shd w:val="clear" w:color="auto" w:fill="auto"/>
            <w:vAlign w:val="center"/>
          </w:tcPr>
          <w:p w14:paraId="3DB5DFBE">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7615.2</w:t>
            </w:r>
          </w:p>
        </w:tc>
      </w:tr>
      <w:tr w14:paraId="49B0E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exact"/>
          <w:jc w:val="center"/>
        </w:trPr>
        <w:tc>
          <w:tcPr>
            <w:tcW w:w="3098" w:type="dxa"/>
            <w:shd w:val="clear" w:color="auto" w:fill="auto"/>
            <w:vAlign w:val="center"/>
          </w:tcPr>
          <w:p w14:paraId="24F6AAF6">
            <w:pPr>
              <w:widowControl/>
              <w:spacing w:line="240" w:lineRule="exac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转移性支出</w:t>
            </w:r>
          </w:p>
        </w:tc>
        <w:tc>
          <w:tcPr>
            <w:tcW w:w="1120" w:type="dxa"/>
            <w:shd w:val="clear" w:color="auto" w:fill="auto"/>
            <w:noWrap/>
            <w:vAlign w:val="center"/>
          </w:tcPr>
          <w:p w14:paraId="6C680BCF">
            <w:pPr>
              <w:widowControl/>
              <w:spacing w:line="240" w:lineRule="exact"/>
              <w:jc w:val="right"/>
              <w:rPr>
                <w:rFonts w:hint="default" w:ascii="Times New Roman" w:hAnsi="Times New Roman" w:eastAsia="仿宋_GB2312" w:cs="Times New Roman"/>
                <w:sz w:val="24"/>
                <w:highlight w:val="none"/>
              </w:rPr>
            </w:pPr>
            <w:r>
              <w:rPr>
                <w:rFonts w:hint="default" w:ascii="Times New Roman" w:hAnsi="Times New Roman" w:cs="Times New Roman"/>
                <w:kern w:val="0"/>
                <w:sz w:val="24"/>
                <w:highlight w:val="none"/>
                <w:lang w:val="en" w:eastAsia="zh-CN"/>
              </w:rPr>
              <w:t>73</w:t>
            </w:r>
            <w:r>
              <w:rPr>
                <w:rFonts w:hint="default" w:ascii="Times New Roman" w:hAnsi="Times New Roman" w:cs="Times New Roman"/>
                <w:kern w:val="0"/>
                <w:sz w:val="24"/>
                <w:highlight w:val="none"/>
                <w:lang w:val="en-US" w:eastAsia="zh-CN"/>
              </w:rPr>
              <w:t>59.0</w:t>
            </w:r>
          </w:p>
        </w:tc>
        <w:tc>
          <w:tcPr>
            <w:tcW w:w="1162" w:type="dxa"/>
            <w:gridSpan w:val="4"/>
            <w:shd w:val="clear" w:color="auto" w:fill="auto"/>
            <w:vAlign w:val="center"/>
          </w:tcPr>
          <w:p w14:paraId="16946758">
            <w:pPr>
              <w:widowControl/>
              <w:spacing w:line="240" w:lineRule="exact"/>
              <w:jc w:val="right"/>
              <w:rPr>
                <w:rFonts w:hint="default" w:ascii="Times New Roman" w:hAnsi="Times New Roman" w:eastAsia="仿宋_GB2312" w:cs="Times New Roman"/>
                <w:sz w:val="24"/>
                <w:highlight w:val="none"/>
              </w:rPr>
            </w:pPr>
            <w:r>
              <w:rPr>
                <w:rFonts w:hint="default" w:ascii="Times New Roman" w:hAnsi="Times New Roman" w:cs="Times New Roman"/>
                <w:kern w:val="0"/>
                <w:sz w:val="24"/>
                <w:highlight w:val="none"/>
                <w:lang w:val="en-US" w:eastAsia="zh-CN"/>
              </w:rPr>
              <w:t>1042.7</w:t>
            </w:r>
          </w:p>
        </w:tc>
        <w:tc>
          <w:tcPr>
            <w:tcW w:w="1031" w:type="dxa"/>
            <w:shd w:val="clear" w:color="auto" w:fill="auto"/>
            <w:noWrap/>
            <w:vAlign w:val="center"/>
          </w:tcPr>
          <w:p w14:paraId="382ADBFF">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7170.3</w:t>
            </w:r>
          </w:p>
        </w:tc>
        <w:tc>
          <w:tcPr>
            <w:tcW w:w="1182" w:type="dxa"/>
            <w:gridSpan w:val="2"/>
            <w:shd w:val="clear" w:color="auto" w:fill="auto"/>
            <w:vAlign w:val="center"/>
          </w:tcPr>
          <w:p w14:paraId="137C0CEB">
            <w:pPr>
              <w:widowControl/>
              <w:spacing w:line="240" w:lineRule="exact"/>
              <w:jc w:val="right"/>
              <w:rPr>
                <w:rFonts w:hint="default" w:ascii="Times New Roman" w:hAnsi="Times New Roman" w:cs="Times New Roman"/>
                <w:kern w:val="0"/>
                <w:sz w:val="24"/>
                <w:highlight w:val="none"/>
                <w:lang w:val="en-US" w:eastAsia="zh-CN"/>
              </w:rPr>
            </w:pPr>
            <w:r>
              <w:rPr>
                <w:rFonts w:hint="eastAsia" w:cs="Times New Roman"/>
                <w:kern w:val="0"/>
                <w:sz w:val="24"/>
                <w:highlight w:val="none"/>
                <w:lang w:val="en-US" w:eastAsia="zh-CN"/>
              </w:rPr>
              <w:t>844.5</w:t>
            </w:r>
          </w:p>
        </w:tc>
        <w:tc>
          <w:tcPr>
            <w:tcW w:w="993" w:type="dxa"/>
            <w:gridSpan w:val="2"/>
            <w:shd w:val="clear" w:color="auto" w:fill="auto"/>
            <w:noWrap/>
            <w:vAlign w:val="center"/>
          </w:tcPr>
          <w:p w14:paraId="0D8ED3BE">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6223.4</w:t>
            </w:r>
          </w:p>
        </w:tc>
        <w:tc>
          <w:tcPr>
            <w:tcW w:w="1137" w:type="dxa"/>
            <w:gridSpan w:val="2"/>
            <w:shd w:val="clear" w:color="auto" w:fill="auto"/>
            <w:vAlign w:val="center"/>
          </w:tcPr>
          <w:p w14:paraId="498B99E1">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81.6</w:t>
            </w:r>
          </w:p>
        </w:tc>
      </w:tr>
      <w:tr w14:paraId="7F48D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exact"/>
          <w:jc w:val="center"/>
        </w:trPr>
        <w:tc>
          <w:tcPr>
            <w:tcW w:w="3098" w:type="dxa"/>
            <w:shd w:val="clear" w:color="auto" w:fill="auto"/>
            <w:vAlign w:val="center"/>
          </w:tcPr>
          <w:p w14:paraId="2C0C899F">
            <w:pPr>
              <w:widowControl/>
              <w:spacing w:line="240" w:lineRule="exac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地方政府一般债券收入</w:t>
            </w:r>
          </w:p>
        </w:tc>
        <w:tc>
          <w:tcPr>
            <w:tcW w:w="1120" w:type="dxa"/>
            <w:shd w:val="clear" w:color="auto" w:fill="auto"/>
            <w:noWrap/>
            <w:vAlign w:val="center"/>
          </w:tcPr>
          <w:p w14:paraId="7F98105A">
            <w:pPr>
              <w:spacing w:line="240" w:lineRule="exact"/>
              <w:jc w:val="right"/>
              <w:rPr>
                <w:rFonts w:hint="default" w:ascii="Times New Roman" w:hAnsi="Times New Roman" w:eastAsia="仿宋_GB2312" w:cs="Times New Roman"/>
                <w:sz w:val="24"/>
                <w:highlight w:val="none"/>
              </w:rPr>
            </w:pPr>
            <w:r>
              <w:rPr>
                <w:rFonts w:hint="default" w:ascii="Times New Roman" w:hAnsi="Times New Roman" w:cs="Times New Roman"/>
                <w:sz w:val="24"/>
                <w:highlight w:val="none"/>
                <w:lang w:val="en" w:eastAsia="zh-CN"/>
              </w:rPr>
              <w:t>1417.2</w:t>
            </w:r>
          </w:p>
        </w:tc>
        <w:tc>
          <w:tcPr>
            <w:tcW w:w="1162" w:type="dxa"/>
            <w:gridSpan w:val="4"/>
            <w:shd w:val="clear" w:color="auto" w:fill="auto"/>
            <w:vAlign w:val="center"/>
          </w:tcPr>
          <w:p w14:paraId="08026758">
            <w:pPr>
              <w:widowControl/>
              <w:spacing w:line="240" w:lineRule="exact"/>
              <w:jc w:val="right"/>
              <w:rPr>
                <w:rFonts w:hint="default" w:ascii="Times New Roman" w:hAnsi="Times New Roman" w:eastAsia="仿宋_GB2312" w:cs="Times New Roman"/>
                <w:sz w:val="24"/>
                <w:highlight w:val="none"/>
              </w:rPr>
            </w:pPr>
            <w:r>
              <w:rPr>
                <w:rFonts w:hint="default" w:ascii="Times New Roman" w:hAnsi="Times New Roman" w:cs="Times New Roman"/>
                <w:kern w:val="0"/>
                <w:sz w:val="24"/>
                <w:highlight w:val="none"/>
                <w:lang w:val="en" w:eastAsia="zh-CN"/>
              </w:rPr>
              <w:t>1417.2</w:t>
            </w:r>
          </w:p>
        </w:tc>
        <w:tc>
          <w:tcPr>
            <w:tcW w:w="1031" w:type="dxa"/>
            <w:shd w:val="clear" w:color="auto" w:fill="auto"/>
            <w:noWrap/>
            <w:vAlign w:val="center"/>
          </w:tcPr>
          <w:p w14:paraId="3AE2A8B0">
            <w:pPr>
              <w:widowControl/>
              <w:spacing w:line="240" w:lineRule="exact"/>
              <w:jc w:val="right"/>
              <w:rPr>
                <w:rFonts w:hint="default" w:ascii="Times New Roman" w:hAnsi="Times New Roman" w:eastAsia="仿宋_GB2312" w:cs="Times New Roman"/>
                <w:sz w:val="24"/>
                <w:highlight w:val="none"/>
                <w:lang w:val="en" w:eastAsia="zh-CN"/>
              </w:rPr>
            </w:pPr>
            <w:r>
              <w:rPr>
                <w:rFonts w:hint="eastAsia" w:cs="Times New Roman"/>
                <w:sz w:val="24"/>
                <w:highlight w:val="none"/>
                <w:lang w:val="en-US" w:eastAsia="zh-CN"/>
              </w:rPr>
              <w:t>1061.7</w:t>
            </w:r>
          </w:p>
        </w:tc>
        <w:tc>
          <w:tcPr>
            <w:tcW w:w="1182" w:type="dxa"/>
            <w:gridSpan w:val="2"/>
            <w:shd w:val="clear" w:color="auto" w:fill="auto"/>
            <w:vAlign w:val="center"/>
          </w:tcPr>
          <w:p w14:paraId="3C117C68">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1061.7</w:t>
            </w:r>
          </w:p>
        </w:tc>
        <w:tc>
          <w:tcPr>
            <w:tcW w:w="993" w:type="dxa"/>
            <w:gridSpan w:val="2"/>
            <w:shd w:val="clear" w:color="auto" w:fill="auto"/>
            <w:noWrap/>
            <w:vAlign w:val="center"/>
          </w:tcPr>
          <w:p w14:paraId="345121C8">
            <w:pPr>
              <w:widowControl/>
              <w:spacing w:line="240" w:lineRule="exact"/>
              <w:jc w:val="right"/>
              <w:rPr>
                <w:rFonts w:hint="default" w:ascii="Times New Roman" w:hAnsi="Times New Roman" w:cs="Times New Roman"/>
                <w:kern w:val="0"/>
                <w:sz w:val="24"/>
                <w:highlight w:val="none"/>
                <w:lang w:val="en-US" w:eastAsia="zh-CN"/>
              </w:rPr>
            </w:pPr>
            <w:r>
              <w:rPr>
                <w:rFonts w:hint="eastAsia" w:cs="Times New Roman"/>
                <w:kern w:val="0"/>
                <w:sz w:val="24"/>
                <w:highlight w:val="none"/>
                <w:lang w:val="en-US" w:eastAsia="zh-CN"/>
              </w:rPr>
              <w:t>-</w:t>
            </w:r>
          </w:p>
        </w:tc>
        <w:tc>
          <w:tcPr>
            <w:tcW w:w="1137" w:type="dxa"/>
            <w:gridSpan w:val="2"/>
            <w:shd w:val="clear" w:color="auto" w:fill="auto"/>
            <w:vAlign w:val="center"/>
          </w:tcPr>
          <w:p w14:paraId="388F1D94">
            <w:pPr>
              <w:widowControl/>
              <w:spacing w:line="240" w:lineRule="exact"/>
              <w:jc w:val="right"/>
              <w:rPr>
                <w:rFonts w:hint="default" w:ascii="Times New Roman" w:hAnsi="Times New Roman" w:cs="Times New Roman"/>
                <w:kern w:val="0"/>
                <w:sz w:val="24"/>
                <w:highlight w:val="none"/>
                <w:lang w:val="en-US" w:eastAsia="zh-CN"/>
              </w:rPr>
            </w:pPr>
            <w:r>
              <w:rPr>
                <w:rFonts w:hint="eastAsia" w:cs="Times New Roman"/>
                <w:kern w:val="0"/>
                <w:sz w:val="24"/>
                <w:highlight w:val="none"/>
                <w:lang w:val="en-US" w:eastAsia="zh-CN"/>
              </w:rPr>
              <w:t>-</w:t>
            </w:r>
          </w:p>
        </w:tc>
      </w:tr>
      <w:tr w14:paraId="1EF58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jc w:val="center"/>
        </w:trPr>
        <w:tc>
          <w:tcPr>
            <w:tcW w:w="9723" w:type="dxa"/>
            <w:gridSpan w:val="13"/>
            <w:shd w:val="clear" w:color="auto" w:fill="auto"/>
            <w:vAlign w:val="center"/>
          </w:tcPr>
          <w:p w14:paraId="0F0A8916">
            <w:pPr>
              <w:widowControl/>
              <w:spacing w:line="240" w:lineRule="exact"/>
              <w:ind w:firstLine="482"/>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b/>
                <w:kern w:val="0"/>
                <w:sz w:val="24"/>
                <w:highlight w:val="none"/>
              </w:rPr>
              <w:t>（二）近三年政府性基金</w:t>
            </w:r>
            <w:r>
              <w:rPr>
                <w:rFonts w:hint="default" w:ascii="Times New Roman" w:hAnsi="Times New Roman" w:cs="Times New Roman"/>
                <w:b/>
                <w:kern w:val="0"/>
                <w:sz w:val="24"/>
                <w:highlight w:val="none"/>
                <w:lang w:eastAsia="zh-CN"/>
              </w:rPr>
              <w:t>预算</w:t>
            </w:r>
            <w:r>
              <w:rPr>
                <w:rFonts w:hint="default" w:ascii="Times New Roman" w:hAnsi="Times New Roman" w:eastAsia="仿宋_GB2312" w:cs="Times New Roman"/>
                <w:b/>
                <w:kern w:val="0"/>
                <w:sz w:val="24"/>
                <w:highlight w:val="none"/>
              </w:rPr>
              <w:t>收支</w:t>
            </w:r>
          </w:p>
        </w:tc>
      </w:tr>
      <w:tr w14:paraId="40C08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098" w:type="dxa"/>
            <w:shd w:val="clear" w:color="auto" w:fill="auto"/>
            <w:vAlign w:val="center"/>
          </w:tcPr>
          <w:p w14:paraId="71F9814C">
            <w:pPr>
              <w:widowControl/>
              <w:spacing w:line="240" w:lineRule="exac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政府性基金</w:t>
            </w:r>
            <w:r>
              <w:rPr>
                <w:rFonts w:hint="default" w:ascii="Times New Roman" w:hAnsi="Times New Roman" w:cs="Times New Roman"/>
                <w:kern w:val="0"/>
                <w:sz w:val="24"/>
                <w:highlight w:val="none"/>
                <w:lang w:eastAsia="zh-CN"/>
              </w:rPr>
              <w:t>预算</w:t>
            </w:r>
            <w:r>
              <w:rPr>
                <w:rFonts w:hint="default" w:ascii="Times New Roman" w:hAnsi="Times New Roman" w:eastAsia="仿宋_GB2312" w:cs="Times New Roman"/>
                <w:kern w:val="0"/>
                <w:sz w:val="24"/>
                <w:highlight w:val="none"/>
              </w:rPr>
              <w:t>收入</w:t>
            </w:r>
          </w:p>
        </w:tc>
        <w:tc>
          <w:tcPr>
            <w:tcW w:w="1169" w:type="dxa"/>
            <w:gridSpan w:val="2"/>
            <w:shd w:val="clear" w:color="auto" w:fill="auto"/>
            <w:noWrap/>
            <w:vAlign w:val="center"/>
          </w:tcPr>
          <w:p w14:paraId="1E7FE45E">
            <w:pPr>
              <w:widowControl/>
              <w:jc w:val="righ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color w:val="auto"/>
                <w:kern w:val="0"/>
                <w:sz w:val="24"/>
                <w:highlight w:val="none"/>
                <w:lang w:val="en-US" w:eastAsia="zh-CN"/>
              </w:rPr>
              <w:t>129.1</w:t>
            </w:r>
          </w:p>
        </w:tc>
        <w:tc>
          <w:tcPr>
            <w:tcW w:w="1113" w:type="dxa"/>
            <w:gridSpan w:val="3"/>
            <w:shd w:val="clear" w:color="auto" w:fill="auto"/>
            <w:vAlign w:val="center"/>
          </w:tcPr>
          <w:p w14:paraId="7133E590">
            <w:pPr>
              <w:widowControl/>
              <w:jc w:val="righ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color w:val="auto"/>
                <w:kern w:val="0"/>
                <w:sz w:val="24"/>
                <w:highlight w:val="none"/>
                <w:lang w:val="en-US" w:eastAsia="zh-CN"/>
              </w:rPr>
              <w:t>4515.</w:t>
            </w:r>
            <w:r>
              <w:rPr>
                <w:rFonts w:hint="default" w:ascii="Times New Roman" w:hAnsi="Times New Roman" w:cs="Times New Roman"/>
                <w:color w:val="auto"/>
                <w:kern w:val="0"/>
                <w:sz w:val="24"/>
                <w:highlight w:val="none"/>
                <w:lang w:val="en-US" w:eastAsia="zh-CN"/>
              </w:rPr>
              <w:t>7</w:t>
            </w:r>
          </w:p>
        </w:tc>
        <w:tc>
          <w:tcPr>
            <w:tcW w:w="1087" w:type="dxa"/>
            <w:gridSpan w:val="2"/>
            <w:shd w:val="clear" w:color="auto" w:fill="auto"/>
            <w:noWrap/>
            <w:vAlign w:val="center"/>
          </w:tcPr>
          <w:p w14:paraId="6A664CB1">
            <w:pPr>
              <w:widowControl/>
              <w:spacing w:line="240" w:lineRule="exact"/>
              <w:jc w:val="right"/>
              <w:rPr>
                <w:rFonts w:hint="default" w:ascii="Times New Roman" w:hAnsi="Times New Roman" w:eastAsia="仿宋_GB2312" w:cs="Times New Roman"/>
                <w:color w:val="auto"/>
                <w:kern w:val="0"/>
                <w:sz w:val="24"/>
                <w:highlight w:val="yellow"/>
                <w:lang w:val="en-US" w:eastAsia="zh-CN"/>
              </w:rPr>
            </w:pPr>
            <w:r>
              <w:rPr>
                <w:rFonts w:hint="eastAsia" w:cs="Times New Roman"/>
                <w:color w:val="auto"/>
                <w:kern w:val="0"/>
                <w:sz w:val="24"/>
                <w:highlight w:val="none"/>
                <w:lang w:val="en-US" w:eastAsia="zh-CN"/>
              </w:rPr>
              <w:t>131.9</w:t>
            </w:r>
          </w:p>
        </w:tc>
        <w:tc>
          <w:tcPr>
            <w:tcW w:w="1126" w:type="dxa"/>
            <w:shd w:val="clear" w:color="auto" w:fill="auto"/>
            <w:vAlign w:val="center"/>
          </w:tcPr>
          <w:p w14:paraId="359739DF">
            <w:pPr>
              <w:widowControl/>
              <w:spacing w:line="240" w:lineRule="exact"/>
              <w:jc w:val="right"/>
              <w:rPr>
                <w:rFonts w:hint="default" w:ascii="Times New Roman" w:hAnsi="Times New Roman" w:eastAsia="仿宋_GB2312" w:cs="Times New Roman"/>
                <w:color w:val="auto"/>
                <w:kern w:val="0"/>
                <w:sz w:val="24"/>
                <w:highlight w:val="yellow"/>
                <w:lang w:val="en-US" w:eastAsia="zh-CN"/>
              </w:rPr>
            </w:pPr>
            <w:r>
              <w:rPr>
                <w:rFonts w:hint="eastAsia" w:cs="Times New Roman"/>
                <w:color w:val="auto"/>
                <w:kern w:val="0"/>
                <w:sz w:val="24"/>
                <w:highlight w:val="none"/>
                <w:lang w:val="en-US" w:eastAsia="zh-CN"/>
              </w:rPr>
              <w:t>3761.0</w:t>
            </w:r>
          </w:p>
        </w:tc>
        <w:tc>
          <w:tcPr>
            <w:tcW w:w="993" w:type="dxa"/>
            <w:gridSpan w:val="2"/>
            <w:shd w:val="clear" w:color="auto" w:fill="auto"/>
            <w:noWrap/>
            <w:vAlign w:val="center"/>
          </w:tcPr>
          <w:p w14:paraId="50C81D53">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121.7</w:t>
            </w:r>
          </w:p>
        </w:tc>
        <w:tc>
          <w:tcPr>
            <w:tcW w:w="1137" w:type="dxa"/>
            <w:gridSpan w:val="2"/>
            <w:shd w:val="clear" w:color="auto" w:fill="auto"/>
            <w:vAlign w:val="center"/>
          </w:tcPr>
          <w:p w14:paraId="1E21FA6B">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3173.2</w:t>
            </w:r>
          </w:p>
        </w:tc>
      </w:tr>
      <w:tr w14:paraId="7EF6F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098" w:type="dxa"/>
            <w:shd w:val="clear" w:color="auto" w:fill="auto"/>
            <w:vAlign w:val="center"/>
          </w:tcPr>
          <w:p w14:paraId="20598430">
            <w:pPr>
              <w:widowControl/>
              <w:spacing w:line="240" w:lineRule="exac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政府性基金</w:t>
            </w:r>
            <w:r>
              <w:rPr>
                <w:rFonts w:hint="default" w:ascii="Times New Roman" w:hAnsi="Times New Roman" w:cs="Times New Roman"/>
                <w:kern w:val="0"/>
                <w:sz w:val="24"/>
                <w:highlight w:val="none"/>
                <w:lang w:eastAsia="zh-CN"/>
              </w:rPr>
              <w:t>预算</w:t>
            </w:r>
            <w:r>
              <w:rPr>
                <w:rFonts w:hint="default" w:ascii="Times New Roman" w:hAnsi="Times New Roman" w:eastAsia="仿宋_GB2312" w:cs="Times New Roman"/>
                <w:kern w:val="0"/>
                <w:sz w:val="24"/>
                <w:highlight w:val="none"/>
              </w:rPr>
              <w:t>支出</w:t>
            </w:r>
          </w:p>
        </w:tc>
        <w:tc>
          <w:tcPr>
            <w:tcW w:w="1169" w:type="dxa"/>
            <w:gridSpan w:val="2"/>
            <w:shd w:val="clear" w:color="auto" w:fill="auto"/>
            <w:noWrap/>
            <w:vAlign w:val="center"/>
          </w:tcPr>
          <w:p w14:paraId="5A941548">
            <w:pPr>
              <w:widowControl/>
              <w:jc w:val="righ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color w:val="auto"/>
                <w:kern w:val="0"/>
                <w:sz w:val="24"/>
                <w:highlight w:val="none"/>
                <w:lang w:val="en-US" w:eastAsia="zh-CN"/>
              </w:rPr>
              <w:t>56.</w:t>
            </w:r>
            <w:r>
              <w:rPr>
                <w:rFonts w:hint="default" w:ascii="Times New Roman" w:hAnsi="Times New Roman" w:cs="Times New Roman"/>
                <w:color w:val="auto"/>
                <w:kern w:val="0"/>
                <w:sz w:val="24"/>
                <w:highlight w:val="none"/>
                <w:lang w:val="en-US" w:eastAsia="zh-CN"/>
              </w:rPr>
              <w:t>2</w:t>
            </w:r>
          </w:p>
        </w:tc>
        <w:tc>
          <w:tcPr>
            <w:tcW w:w="1113" w:type="dxa"/>
            <w:gridSpan w:val="3"/>
            <w:shd w:val="clear" w:color="auto" w:fill="auto"/>
            <w:vAlign w:val="center"/>
          </w:tcPr>
          <w:p w14:paraId="3941DCE9">
            <w:pPr>
              <w:widowControl/>
              <w:jc w:val="righ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color w:val="auto"/>
                <w:kern w:val="0"/>
                <w:sz w:val="24"/>
                <w:highlight w:val="none"/>
                <w:lang w:val="en-US" w:eastAsia="zh-CN"/>
              </w:rPr>
              <w:t>6207</w:t>
            </w:r>
            <w:r>
              <w:rPr>
                <w:rFonts w:hint="default" w:ascii="Times New Roman" w:hAnsi="Times New Roman" w:cs="Times New Roman"/>
                <w:color w:val="auto"/>
                <w:kern w:val="0"/>
                <w:sz w:val="24"/>
                <w:highlight w:val="none"/>
                <w:lang w:val="en-US" w:eastAsia="zh-CN"/>
              </w:rPr>
              <w:t>.0</w:t>
            </w:r>
          </w:p>
        </w:tc>
        <w:tc>
          <w:tcPr>
            <w:tcW w:w="1087" w:type="dxa"/>
            <w:gridSpan w:val="2"/>
            <w:shd w:val="clear" w:color="auto" w:fill="auto"/>
            <w:noWrap/>
            <w:vAlign w:val="center"/>
          </w:tcPr>
          <w:p w14:paraId="04314078">
            <w:pPr>
              <w:widowControl/>
              <w:spacing w:line="240" w:lineRule="exact"/>
              <w:jc w:val="right"/>
              <w:rPr>
                <w:rFonts w:hint="default" w:ascii="Times New Roman" w:hAnsi="Times New Roman" w:eastAsia="仿宋_GB2312" w:cs="Times New Roman"/>
                <w:color w:val="auto"/>
                <w:kern w:val="0"/>
                <w:sz w:val="24"/>
                <w:highlight w:val="yellow"/>
                <w:lang w:val="en" w:eastAsia="zh-CN"/>
              </w:rPr>
            </w:pPr>
            <w:r>
              <w:rPr>
                <w:rFonts w:hint="eastAsia" w:cs="Times New Roman"/>
                <w:color w:val="auto"/>
                <w:kern w:val="0"/>
                <w:sz w:val="24"/>
                <w:highlight w:val="none"/>
                <w:lang w:val="en-US" w:eastAsia="zh-CN"/>
              </w:rPr>
              <w:t>160.8</w:t>
            </w:r>
          </w:p>
        </w:tc>
        <w:tc>
          <w:tcPr>
            <w:tcW w:w="1126" w:type="dxa"/>
            <w:shd w:val="clear" w:color="auto" w:fill="auto"/>
            <w:vAlign w:val="center"/>
          </w:tcPr>
          <w:p w14:paraId="4038CD30">
            <w:pPr>
              <w:widowControl/>
              <w:spacing w:line="240" w:lineRule="exact"/>
              <w:jc w:val="right"/>
              <w:rPr>
                <w:rFonts w:hint="default" w:ascii="Times New Roman" w:hAnsi="Times New Roman" w:eastAsia="仿宋_GB2312" w:cs="Times New Roman"/>
                <w:color w:val="auto"/>
                <w:kern w:val="0"/>
                <w:sz w:val="24"/>
                <w:highlight w:val="yellow"/>
                <w:lang w:val="en-US" w:eastAsia="zh-CN"/>
              </w:rPr>
            </w:pPr>
            <w:r>
              <w:rPr>
                <w:rFonts w:hint="eastAsia" w:cs="Times New Roman"/>
                <w:color w:val="auto"/>
                <w:kern w:val="0"/>
                <w:sz w:val="24"/>
                <w:highlight w:val="none"/>
                <w:lang w:val="en-US" w:eastAsia="zh-CN"/>
              </w:rPr>
              <w:t>6036.3</w:t>
            </w:r>
          </w:p>
        </w:tc>
        <w:tc>
          <w:tcPr>
            <w:tcW w:w="993" w:type="dxa"/>
            <w:gridSpan w:val="2"/>
            <w:shd w:val="clear" w:color="auto" w:fill="auto"/>
            <w:noWrap/>
            <w:vAlign w:val="center"/>
          </w:tcPr>
          <w:p w14:paraId="5528DC8D">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234</w:t>
            </w:r>
          </w:p>
        </w:tc>
        <w:tc>
          <w:tcPr>
            <w:tcW w:w="1137" w:type="dxa"/>
            <w:gridSpan w:val="2"/>
            <w:shd w:val="clear" w:color="auto" w:fill="auto"/>
            <w:vAlign w:val="center"/>
          </w:tcPr>
          <w:p w14:paraId="41B33917">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5096.3</w:t>
            </w:r>
          </w:p>
        </w:tc>
      </w:tr>
      <w:tr w14:paraId="5E122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exact"/>
          <w:jc w:val="center"/>
        </w:trPr>
        <w:tc>
          <w:tcPr>
            <w:tcW w:w="3098" w:type="dxa"/>
            <w:shd w:val="clear" w:color="auto" w:fill="auto"/>
            <w:vAlign w:val="center"/>
          </w:tcPr>
          <w:p w14:paraId="237B778E">
            <w:pPr>
              <w:widowControl/>
              <w:spacing w:line="240" w:lineRule="exac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地方政府专项债券收入</w:t>
            </w:r>
          </w:p>
        </w:tc>
        <w:tc>
          <w:tcPr>
            <w:tcW w:w="1169" w:type="dxa"/>
            <w:gridSpan w:val="2"/>
            <w:shd w:val="clear" w:color="auto" w:fill="auto"/>
            <w:noWrap/>
            <w:vAlign w:val="center"/>
          </w:tcPr>
          <w:p w14:paraId="2725F1DF">
            <w:pPr>
              <w:spacing w:line="240" w:lineRule="exact"/>
              <w:jc w:val="right"/>
              <w:rPr>
                <w:rFonts w:hint="default" w:ascii="Times New Roman" w:hAnsi="Times New Roman" w:eastAsia="仿宋_GB2312" w:cs="Times New Roman"/>
                <w:sz w:val="24"/>
                <w:highlight w:val="none"/>
              </w:rPr>
            </w:pPr>
            <w:r>
              <w:rPr>
                <w:rFonts w:hint="default" w:ascii="Times New Roman" w:hAnsi="Times New Roman" w:cs="Times New Roman"/>
                <w:color w:val="auto"/>
                <w:sz w:val="24"/>
                <w:highlight w:val="none"/>
                <w:lang w:val="en" w:eastAsia="zh-CN"/>
              </w:rPr>
              <w:t>3051.3</w:t>
            </w:r>
          </w:p>
        </w:tc>
        <w:tc>
          <w:tcPr>
            <w:tcW w:w="1113" w:type="dxa"/>
            <w:gridSpan w:val="3"/>
            <w:shd w:val="clear" w:color="auto" w:fill="auto"/>
            <w:vAlign w:val="center"/>
          </w:tcPr>
          <w:p w14:paraId="335740DB">
            <w:pPr>
              <w:spacing w:line="240" w:lineRule="exact"/>
              <w:jc w:val="right"/>
              <w:rPr>
                <w:rFonts w:hint="default" w:ascii="Times New Roman" w:hAnsi="Times New Roman" w:eastAsia="仿宋_GB2312" w:cs="Times New Roman"/>
                <w:sz w:val="24"/>
                <w:highlight w:val="none"/>
              </w:rPr>
            </w:pPr>
            <w:r>
              <w:rPr>
                <w:rFonts w:hint="default" w:ascii="Times New Roman" w:hAnsi="Times New Roman" w:cs="Times New Roman"/>
                <w:color w:val="auto"/>
                <w:sz w:val="24"/>
                <w:highlight w:val="none"/>
                <w:lang w:val="en" w:eastAsia="zh-CN"/>
              </w:rPr>
              <w:t>3051.3</w:t>
            </w:r>
          </w:p>
        </w:tc>
        <w:tc>
          <w:tcPr>
            <w:tcW w:w="1087" w:type="dxa"/>
            <w:gridSpan w:val="2"/>
            <w:shd w:val="clear" w:color="auto" w:fill="auto"/>
            <w:noWrap/>
            <w:vAlign w:val="center"/>
          </w:tcPr>
          <w:p w14:paraId="55FAAFE4">
            <w:pPr>
              <w:widowControl/>
              <w:spacing w:line="240" w:lineRule="exact"/>
              <w:jc w:val="right"/>
              <w:rPr>
                <w:rFonts w:hint="default" w:ascii="Times New Roman" w:hAnsi="Times New Roman" w:eastAsia="仿宋_GB2312" w:cs="Times New Roman"/>
                <w:color w:val="auto"/>
                <w:sz w:val="24"/>
                <w:highlight w:val="none"/>
                <w:lang w:val="en" w:eastAsia="zh-CN"/>
              </w:rPr>
            </w:pPr>
            <w:r>
              <w:rPr>
                <w:rFonts w:hint="eastAsia" w:cs="Times New Roman"/>
                <w:color w:val="auto"/>
                <w:sz w:val="24"/>
                <w:highlight w:val="none"/>
                <w:lang w:val="en-US" w:eastAsia="zh-CN"/>
              </w:rPr>
              <w:t>4017.5</w:t>
            </w:r>
          </w:p>
        </w:tc>
        <w:tc>
          <w:tcPr>
            <w:tcW w:w="1126" w:type="dxa"/>
            <w:shd w:val="clear" w:color="auto" w:fill="auto"/>
            <w:vAlign w:val="center"/>
          </w:tcPr>
          <w:p w14:paraId="2C48435F">
            <w:pPr>
              <w:widowControl/>
              <w:spacing w:line="240" w:lineRule="exact"/>
              <w:jc w:val="right"/>
              <w:rPr>
                <w:rFonts w:hint="default" w:ascii="Times New Roman" w:hAnsi="Times New Roman" w:eastAsia="仿宋_GB2312" w:cs="Times New Roman"/>
                <w:color w:val="auto"/>
                <w:sz w:val="24"/>
                <w:highlight w:val="none"/>
                <w:lang w:val="en" w:eastAsia="zh-CN"/>
              </w:rPr>
            </w:pPr>
            <w:r>
              <w:rPr>
                <w:rFonts w:hint="eastAsia" w:cs="Times New Roman"/>
                <w:color w:val="auto"/>
                <w:sz w:val="24"/>
                <w:highlight w:val="none"/>
                <w:lang w:val="en-US" w:eastAsia="zh-CN"/>
              </w:rPr>
              <w:t>4017.5</w:t>
            </w:r>
          </w:p>
        </w:tc>
        <w:tc>
          <w:tcPr>
            <w:tcW w:w="993" w:type="dxa"/>
            <w:gridSpan w:val="2"/>
            <w:shd w:val="clear" w:color="auto" w:fill="auto"/>
            <w:noWrap/>
            <w:vAlign w:val="center"/>
          </w:tcPr>
          <w:p w14:paraId="7774FEC0">
            <w:pPr>
              <w:widowControl/>
              <w:spacing w:line="240" w:lineRule="exact"/>
              <w:jc w:val="right"/>
              <w:rPr>
                <w:rFonts w:hint="default" w:ascii="Times New Roman" w:hAnsi="Times New Roman" w:cs="Times New Roman"/>
                <w:kern w:val="0"/>
                <w:sz w:val="24"/>
                <w:highlight w:val="none"/>
                <w:lang w:val="en-US" w:eastAsia="zh-CN"/>
              </w:rPr>
            </w:pPr>
            <w:r>
              <w:rPr>
                <w:rFonts w:hint="eastAsia" w:cs="Times New Roman"/>
                <w:kern w:val="0"/>
                <w:sz w:val="24"/>
                <w:highlight w:val="none"/>
                <w:lang w:val="en-US" w:eastAsia="zh-CN"/>
              </w:rPr>
              <w:t>-</w:t>
            </w:r>
          </w:p>
        </w:tc>
        <w:tc>
          <w:tcPr>
            <w:tcW w:w="1137" w:type="dxa"/>
            <w:gridSpan w:val="2"/>
            <w:shd w:val="clear" w:color="auto" w:fill="auto"/>
            <w:vAlign w:val="center"/>
          </w:tcPr>
          <w:p w14:paraId="280185C4">
            <w:pPr>
              <w:widowControl/>
              <w:spacing w:line="240" w:lineRule="exact"/>
              <w:jc w:val="right"/>
              <w:rPr>
                <w:rFonts w:hint="default" w:ascii="Times New Roman" w:hAnsi="Times New Roman" w:cs="Times New Roman"/>
                <w:kern w:val="0"/>
                <w:sz w:val="24"/>
                <w:highlight w:val="none"/>
                <w:lang w:val="en-US" w:eastAsia="zh-CN"/>
              </w:rPr>
            </w:pPr>
            <w:r>
              <w:rPr>
                <w:rFonts w:hint="eastAsia" w:cs="Times New Roman"/>
                <w:kern w:val="0"/>
                <w:sz w:val="24"/>
                <w:highlight w:val="none"/>
                <w:lang w:val="en-US" w:eastAsia="zh-CN"/>
              </w:rPr>
              <w:t>-</w:t>
            </w:r>
          </w:p>
        </w:tc>
      </w:tr>
      <w:tr w14:paraId="1B2B3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exact"/>
          <w:jc w:val="center"/>
        </w:trPr>
        <w:tc>
          <w:tcPr>
            <w:tcW w:w="9723" w:type="dxa"/>
            <w:gridSpan w:val="13"/>
            <w:shd w:val="clear" w:color="auto" w:fill="auto"/>
            <w:vAlign w:val="center"/>
          </w:tcPr>
          <w:p w14:paraId="7FC94510">
            <w:pPr>
              <w:widowControl/>
              <w:spacing w:line="240" w:lineRule="exact"/>
              <w:ind w:firstLine="482"/>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b/>
                <w:kern w:val="0"/>
                <w:sz w:val="24"/>
                <w:highlight w:val="none"/>
              </w:rPr>
              <w:t>（三）近三年国有资本经营预算收支</w:t>
            </w:r>
          </w:p>
        </w:tc>
      </w:tr>
      <w:tr w14:paraId="2EF11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098" w:type="dxa"/>
            <w:shd w:val="clear" w:color="auto" w:fill="auto"/>
            <w:vAlign w:val="center"/>
          </w:tcPr>
          <w:p w14:paraId="5DD077AE">
            <w:pPr>
              <w:widowControl/>
              <w:spacing w:line="240" w:lineRule="exac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国有资本经营预算收入</w:t>
            </w:r>
          </w:p>
        </w:tc>
        <w:tc>
          <w:tcPr>
            <w:tcW w:w="1169" w:type="dxa"/>
            <w:gridSpan w:val="2"/>
            <w:shd w:val="clear" w:color="auto" w:fill="auto"/>
            <w:noWrap/>
            <w:vAlign w:val="center"/>
          </w:tcPr>
          <w:p w14:paraId="5EDD5E28">
            <w:pPr>
              <w:widowControl/>
              <w:jc w:val="righ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color w:val="auto"/>
                <w:kern w:val="0"/>
                <w:sz w:val="24"/>
                <w:highlight w:val="none"/>
                <w:lang w:val="en-US" w:eastAsia="zh-CN"/>
              </w:rPr>
              <w:t>30.6</w:t>
            </w:r>
          </w:p>
        </w:tc>
        <w:tc>
          <w:tcPr>
            <w:tcW w:w="1113" w:type="dxa"/>
            <w:gridSpan w:val="3"/>
            <w:shd w:val="clear" w:color="auto" w:fill="auto"/>
            <w:vAlign w:val="center"/>
          </w:tcPr>
          <w:p w14:paraId="37DA4DEC">
            <w:pPr>
              <w:widowControl/>
              <w:jc w:val="righ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color w:val="auto"/>
                <w:kern w:val="0"/>
                <w:sz w:val="24"/>
                <w:highlight w:val="none"/>
                <w:lang w:val="en-US" w:eastAsia="zh-CN"/>
              </w:rPr>
              <w:t>16</w:t>
            </w:r>
            <w:r>
              <w:rPr>
                <w:rFonts w:hint="default" w:ascii="Times New Roman" w:hAnsi="Times New Roman" w:cs="Times New Roman"/>
                <w:color w:val="auto"/>
                <w:kern w:val="0"/>
                <w:sz w:val="24"/>
                <w:highlight w:val="none"/>
                <w:lang w:val="en-US" w:eastAsia="zh-CN"/>
              </w:rPr>
              <w:t>4.0</w:t>
            </w:r>
          </w:p>
        </w:tc>
        <w:tc>
          <w:tcPr>
            <w:tcW w:w="1087" w:type="dxa"/>
            <w:gridSpan w:val="2"/>
            <w:shd w:val="clear" w:color="auto" w:fill="auto"/>
            <w:noWrap/>
            <w:vAlign w:val="center"/>
          </w:tcPr>
          <w:p w14:paraId="0B2B67A1">
            <w:pPr>
              <w:widowControl/>
              <w:spacing w:line="240" w:lineRule="exact"/>
              <w:jc w:val="right"/>
              <w:rPr>
                <w:rFonts w:hint="default" w:ascii="Times New Roman" w:hAnsi="Times New Roman" w:eastAsia="仿宋_GB2312" w:cs="Times New Roman"/>
                <w:kern w:val="0"/>
                <w:sz w:val="24"/>
                <w:highlight w:val="yellow"/>
                <w:lang w:val="en-US" w:eastAsia="zh-CN"/>
              </w:rPr>
            </w:pPr>
            <w:r>
              <w:rPr>
                <w:rFonts w:hint="eastAsia" w:cs="Times New Roman"/>
                <w:kern w:val="0"/>
                <w:sz w:val="24"/>
                <w:highlight w:val="none"/>
                <w:lang w:val="en-US" w:eastAsia="zh-CN"/>
              </w:rPr>
              <w:t>31.3</w:t>
            </w:r>
          </w:p>
        </w:tc>
        <w:tc>
          <w:tcPr>
            <w:tcW w:w="1126" w:type="dxa"/>
            <w:shd w:val="clear" w:color="auto" w:fill="auto"/>
            <w:vAlign w:val="center"/>
          </w:tcPr>
          <w:p w14:paraId="31F14A2D">
            <w:pPr>
              <w:widowControl/>
              <w:spacing w:line="240" w:lineRule="exact"/>
              <w:jc w:val="right"/>
              <w:rPr>
                <w:rFonts w:hint="default" w:ascii="Times New Roman" w:hAnsi="Times New Roman" w:eastAsia="仿宋_GB2312" w:cs="Times New Roman"/>
                <w:kern w:val="0"/>
                <w:sz w:val="24"/>
                <w:highlight w:val="yellow"/>
                <w:lang w:val="en-US" w:eastAsia="zh-CN"/>
              </w:rPr>
            </w:pPr>
            <w:r>
              <w:rPr>
                <w:rFonts w:hint="eastAsia" w:cs="Times New Roman"/>
                <w:kern w:val="0"/>
                <w:sz w:val="24"/>
                <w:highlight w:val="none"/>
                <w:lang w:val="en-US" w:eastAsia="zh-CN"/>
              </w:rPr>
              <w:t>201.8</w:t>
            </w:r>
          </w:p>
        </w:tc>
        <w:tc>
          <w:tcPr>
            <w:tcW w:w="1020" w:type="dxa"/>
            <w:gridSpan w:val="3"/>
            <w:shd w:val="clear" w:color="auto" w:fill="auto"/>
            <w:noWrap/>
            <w:vAlign w:val="center"/>
          </w:tcPr>
          <w:p w14:paraId="51B8B05B">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27</w:t>
            </w:r>
          </w:p>
        </w:tc>
        <w:tc>
          <w:tcPr>
            <w:tcW w:w="1110" w:type="dxa"/>
            <w:shd w:val="clear" w:color="auto" w:fill="auto"/>
            <w:vAlign w:val="center"/>
          </w:tcPr>
          <w:p w14:paraId="295E8513">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226.7</w:t>
            </w:r>
          </w:p>
        </w:tc>
      </w:tr>
      <w:tr w14:paraId="6EDA8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098" w:type="dxa"/>
            <w:shd w:val="clear" w:color="auto" w:fill="auto"/>
            <w:vAlign w:val="center"/>
          </w:tcPr>
          <w:p w14:paraId="55129047">
            <w:pPr>
              <w:widowControl/>
              <w:spacing w:line="240" w:lineRule="exac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国有资本经营预算支出</w:t>
            </w:r>
          </w:p>
        </w:tc>
        <w:tc>
          <w:tcPr>
            <w:tcW w:w="1169" w:type="dxa"/>
            <w:gridSpan w:val="2"/>
            <w:shd w:val="clear" w:color="auto" w:fill="auto"/>
            <w:noWrap/>
            <w:vAlign w:val="center"/>
          </w:tcPr>
          <w:p w14:paraId="28723EC9">
            <w:pPr>
              <w:jc w:val="righ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color w:val="auto"/>
                <w:sz w:val="24"/>
                <w:highlight w:val="none"/>
                <w:lang w:val="en-US" w:eastAsia="zh-CN"/>
              </w:rPr>
              <w:t>23.0</w:t>
            </w:r>
          </w:p>
        </w:tc>
        <w:tc>
          <w:tcPr>
            <w:tcW w:w="1113" w:type="dxa"/>
            <w:gridSpan w:val="3"/>
            <w:shd w:val="clear" w:color="auto" w:fill="auto"/>
            <w:vAlign w:val="center"/>
          </w:tcPr>
          <w:p w14:paraId="4FFEC156">
            <w:pPr>
              <w:widowControl/>
              <w:jc w:val="righ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color w:val="auto"/>
                <w:kern w:val="0"/>
                <w:sz w:val="24"/>
                <w:highlight w:val="none"/>
                <w:lang w:val="en-US" w:eastAsia="zh-CN"/>
              </w:rPr>
              <w:t>8</w:t>
            </w:r>
            <w:r>
              <w:rPr>
                <w:rFonts w:hint="default" w:ascii="Times New Roman" w:hAnsi="Times New Roman" w:cs="Times New Roman"/>
                <w:color w:val="auto"/>
                <w:kern w:val="0"/>
                <w:sz w:val="24"/>
                <w:highlight w:val="none"/>
                <w:lang w:val="en-US" w:eastAsia="zh-CN"/>
              </w:rPr>
              <w:t>1</w:t>
            </w:r>
            <w:r>
              <w:rPr>
                <w:rFonts w:hint="default" w:ascii="Times New Roman" w:hAnsi="Times New Roman" w:eastAsia="仿宋_GB2312" w:cs="Times New Roman"/>
                <w:color w:val="auto"/>
                <w:kern w:val="0"/>
                <w:sz w:val="24"/>
                <w:highlight w:val="none"/>
                <w:lang w:val="en-US" w:eastAsia="zh-CN"/>
              </w:rPr>
              <w:t>.</w:t>
            </w:r>
            <w:r>
              <w:rPr>
                <w:rFonts w:hint="default" w:ascii="Times New Roman" w:hAnsi="Times New Roman" w:cs="Times New Roman"/>
                <w:color w:val="auto"/>
                <w:kern w:val="0"/>
                <w:sz w:val="24"/>
                <w:highlight w:val="none"/>
                <w:lang w:val="en-US" w:eastAsia="zh-CN"/>
              </w:rPr>
              <w:t>3</w:t>
            </w:r>
          </w:p>
        </w:tc>
        <w:tc>
          <w:tcPr>
            <w:tcW w:w="1087" w:type="dxa"/>
            <w:gridSpan w:val="2"/>
            <w:shd w:val="clear" w:color="auto" w:fill="auto"/>
            <w:noWrap/>
            <w:vAlign w:val="center"/>
          </w:tcPr>
          <w:p w14:paraId="31A2E3AE">
            <w:pPr>
              <w:widowControl/>
              <w:spacing w:line="240" w:lineRule="exact"/>
              <w:jc w:val="right"/>
              <w:rPr>
                <w:rFonts w:hint="default" w:ascii="Times New Roman" w:hAnsi="Times New Roman" w:eastAsia="仿宋_GB2312" w:cs="Times New Roman"/>
                <w:kern w:val="0"/>
                <w:sz w:val="24"/>
                <w:highlight w:val="yellow"/>
                <w:lang w:val="en-US" w:eastAsia="zh-CN"/>
              </w:rPr>
            </w:pPr>
            <w:r>
              <w:rPr>
                <w:rFonts w:hint="eastAsia" w:cs="Times New Roman"/>
                <w:kern w:val="0"/>
                <w:sz w:val="24"/>
                <w:highlight w:val="none"/>
                <w:lang w:val="en-US" w:eastAsia="zh-CN"/>
              </w:rPr>
              <w:t>16.4</w:t>
            </w:r>
          </w:p>
        </w:tc>
        <w:tc>
          <w:tcPr>
            <w:tcW w:w="1126" w:type="dxa"/>
            <w:shd w:val="clear" w:color="auto" w:fill="auto"/>
            <w:vAlign w:val="center"/>
          </w:tcPr>
          <w:p w14:paraId="0736BA53">
            <w:pPr>
              <w:widowControl/>
              <w:spacing w:line="240" w:lineRule="exact"/>
              <w:jc w:val="right"/>
              <w:rPr>
                <w:rFonts w:hint="default" w:ascii="Times New Roman" w:hAnsi="Times New Roman" w:eastAsia="仿宋_GB2312" w:cs="Times New Roman"/>
                <w:kern w:val="0"/>
                <w:sz w:val="24"/>
                <w:highlight w:val="yellow"/>
                <w:lang w:val="en-US" w:eastAsia="zh-CN"/>
              </w:rPr>
            </w:pPr>
            <w:r>
              <w:rPr>
                <w:rFonts w:hint="eastAsia" w:cs="Times New Roman"/>
                <w:kern w:val="0"/>
                <w:sz w:val="24"/>
                <w:highlight w:val="none"/>
                <w:lang w:val="en-US" w:eastAsia="zh-CN"/>
              </w:rPr>
              <w:t>91.2</w:t>
            </w:r>
          </w:p>
        </w:tc>
        <w:tc>
          <w:tcPr>
            <w:tcW w:w="1020" w:type="dxa"/>
            <w:gridSpan w:val="3"/>
            <w:shd w:val="clear" w:color="auto" w:fill="auto"/>
            <w:noWrap/>
            <w:vAlign w:val="center"/>
          </w:tcPr>
          <w:p w14:paraId="6B5B7C41">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20</w:t>
            </w:r>
          </w:p>
        </w:tc>
        <w:tc>
          <w:tcPr>
            <w:tcW w:w="1110" w:type="dxa"/>
            <w:shd w:val="clear" w:color="auto" w:fill="auto"/>
            <w:vAlign w:val="center"/>
          </w:tcPr>
          <w:p w14:paraId="53BDD2CD">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147.1</w:t>
            </w:r>
          </w:p>
        </w:tc>
      </w:tr>
      <w:tr w14:paraId="2E601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jc w:val="center"/>
        </w:trPr>
        <w:tc>
          <w:tcPr>
            <w:tcW w:w="9723" w:type="dxa"/>
            <w:gridSpan w:val="13"/>
            <w:shd w:val="clear" w:color="auto" w:fill="auto"/>
            <w:vAlign w:val="center"/>
          </w:tcPr>
          <w:p w14:paraId="3B27BCE5">
            <w:pPr>
              <w:widowControl/>
              <w:spacing w:line="240" w:lineRule="exact"/>
              <w:ind w:right="840" w:firstLine="472" w:firstLineChars="196"/>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b/>
                <w:kern w:val="0"/>
                <w:sz w:val="24"/>
                <w:highlight w:val="none"/>
              </w:rPr>
              <w:t>（四）近三年地方政府债券还本支出情况</w:t>
            </w:r>
          </w:p>
        </w:tc>
      </w:tr>
      <w:tr w14:paraId="5267A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098" w:type="dxa"/>
            <w:shd w:val="clear" w:color="auto" w:fill="auto"/>
            <w:vAlign w:val="center"/>
          </w:tcPr>
          <w:p w14:paraId="71531769">
            <w:pPr>
              <w:widowControl/>
              <w:spacing w:line="240" w:lineRule="exac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地方政府一般债券还本支出</w:t>
            </w:r>
          </w:p>
        </w:tc>
        <w:tc>
          <w:tcPr>
            <w:tcW w:w="1169" w:type="dxa"/>
            <w:gridSpan w:val="2"/>
            <w:shd w:val="clear" w:color="auto" w:fill="auto"/>
            <w:noWrap/>
            <w:vAlign w:val="center"/>
          </w:tcPr>
          <w:p w14:paraId="3B151C4B">
            <w:pPr>
              <w:widowControl/>
              <w:spacing w:line="240" w:lineRule="exact"/>
              <w:jc w:val="right"/>
              <w:rPr>
                <w:rFonts w:hint="default" w:ascii="Times New Roman" w:hAnsi="Times New Roman" w:eastAsia="仿宋_GB2312" w:cs="Times New Roman"/>
                <w:sz w:val="24"/>
                <w:highlight w:val="none"/>
              </w:rPr>
            </w:pPr>
            <w:r>
              <w:rPr>
                <w:rFonts w:hint="default" w:ascii="Times New Roman" w:hAnsi="Times New Roman" w:cs="Times New Roman"/>
                <w:kern w:val="0"/>
                <w:sz w:val="24"/>
                <w:highlight w:val="none"/>
                <w:lang w:val="en" w:eastAsia="zh-CN"/>
              </w:rPr>
              <w:t>179.</w:t>
            </w:r>
            <w:r>
              <w:rPr>
                <w:rFonts w:hint="default" w:ascii="Times New Roman" w:hAnsi="Times New Roman" w:cs="Times New Roman"/>
                <w:kern w:val="0"/>
                <w:sz w:val="24"/>
                <w:highlight w:val="none"/>
                <w:lang w:val="en-US" w:eastAsia="zh-CN"/>
              </w:rPr>
              <w:t>4</w:t>
            </w:r>
          </w:p>
        </w:tc>
        <w:tc>
          <w:tcPr>
            <w:tcW w:w="1113" w:type="dxa"/>
            <w:gridSpan w:val="3"/>
            <w:shd w:val="clear" w:color="auto" w:fill="auto"/>
            <w:vAlign w:val="center"/>
          </w:tcPr>
          <w:p w14:paraId="638FBA78">
            <w:pPr>
              <w:widowControl/>
              <w:spacing w:line="240" w:lineRule="exact"/>
              <w:jc w:val="right"/>
              <w:rPr>
                <w:rFonts w:hint="default" w:ascii="Times New Roman" w:hAnsi="Times New Roman" w:eastAsia="仿宋_GB2312" w:cs="Times New Roman"/>
                <w:sz w:val="24"/>
                <w:highlight w:val="none"/>
              </w:rPr>
            </w:pPr>
            <w:r>
              <w:rPr>
                <w:rFonts w:hint="default" w:ascii="Times New Roman" w:hAnsi="Times New Roman" w:cs="Times New Roman"/>
                <w:color w:val="auto"/>
                <w:kern w:val="0"/>
                <w:sz w:val="24"/>
                <w:highlight w:val="none"/>
                <w:lang w:val="en" w:eastAsia="zh-CN"/>
              </w:rPr>
              <w:t>983.0</w:t>
            </w:r>
          </w:p>
        </w:tc>
        <w:tc>
          <w:tcPr>
            <w:tcW w:w="1087" w:type="dxa"/>
            <w:gridSpan w:val="2"/>
            <w:shd w:val="clear" w:color="auto" w:fill="auto"/>
            <w:noWrap/>
            <w:vAlign w:val="center"/>
          </w:tcPr>
          <w:p w14:paraId="3641D8C0">
            <w:pPr>
              <w:widowControl/>
              <w:spacing w:line="240" w:lineRule="exact"/>
              <w:jc w:val="right"/>
              <w:rPr>
                <w:rFonts w:hint="default" w:ascii="Times New Roman" w:hAnsi="Times New Roman" w:eastAsia="仿宋_GB2312" w:cs="Times New Roman"/>
                <w:sz w:val="24"/>
                <w:highlight w:val="none"/>
                <w:lang w:val="en-US"/>
              </w:rPr>
            </w:pPr>
            <w:r>
              <w:rPr>
                <w:rFonts w:hint="eastAsia" w:cs="Times New Roman"/>
                <w:sz w:val="24"/>
                <w:highlight w:val="none"/>
                <w:lang w:val="en-US" w:eastAsia="zh-CN"/>
              </w:rPr>
              <w:t>82.8</w:t>
            </w:r>
          </w:p>
        </w:tc>
        <w:tc>
          <w:tcPr>
            <w:tcW w:w="1126" w:type="dxa"/>
            <w:shd w:val="clear" w:color="auto" w:fill="auto"/>
            <w:vAlign w:val="center"/>
          </w:tcPr>
          <w:p w14:paraId="763BCE5D">
            <w:pPr>
              <w:widowControl/>
              <w:spacing w:line="240" w:lineRule="exact"/>
              <w:jc w:val="right"/>
              <w:rPr>
                <w:rFonts w:hint="default" w:ascii="Times New Roman" w:hAnsi="Times New Roman" w:cs="Times New Roman"/>
                <w:color w:val="auto"/>
                <w:kern w:val="0"/>
                <w:sz w:val="24"/>
                <w:highlight w:val="none"/>
                <w:lang w:val="en" w:eastAsia="zh-CN"/>
              </w:rPr>
            </w:pPr>
            <w:r>
              <w:rPr>
                <w:rFonts w:hint="eastAsia" w:cs="Times New Roman"/>
                <w:color w:val="auto"/>
                <w:kern w:val="0"/>
                <w:sz w:val="24"/>
                <w:highlight w:val="none"/>
                <w:lang w:val="en-US" w:eastAsia="zh-CN"/>
              </w:rPr>
              <w:t>602.4</w:t>
            </w:r>
          </w:p>
        </w:tc>
        <w:tc>
          <w:tcPr>
            <w:tcW w:w="1020" w:type="dxa"/>
            <w:gridSpan w:val="3"/>
            <w:shd w:val="clear" w:color="auto" w:fill="auto"/>
            <w:noWrap/>
            <w:vAlign w:val="center"/>
          </w:tcPr>
          <w:p w14:paraId="3E72DD08">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109.3</w:t>
            </w:r>
          </w:p>
        </w:tc>
        <w:tc>
          <w:tcPr>
            <w:tcW w:w="1110" w:type="dxa"/>
            <w:shd w:val="clear" w:color="auto" w:fill="auto"/>
            <w:vAlign w:val="center"/>
          </w:tcPr>
          <w:p w14:paraId="7B67CB7B">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908.7</w:t>
            </w:r>
          </w:p>
        </w:tc>
      </w:tr>
      <w:tr w14:paraId="10648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098" w:type="dxa"/>
            <w:shd w:val="clear" w:color="auto" w:fill="auto"/>
            <w:vAlign w:val="center"/>
          </w:tcPr>
          <w:p w14:paraId="515A347D">
            <w:pPr>
              <w:widowControl/>
              <w:spacing w:line="240" w:lineRule="exac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地方政府专项债券还本支出</w:t>
            </w:r>
          </w:p>
        </w:tc>
        <w:tc>
          <w:tcPr>
            <w:tcW w:w="1169" w:type="dxa"/>
            <w:gridSpan w:val="2"/>
            <w:shd w:val="clear" w:color="auto" w:fill="auto"/>
            <w:noWrap/>
            <w:vAlign w:val="center"/>
          </w:tcPr>
          <w:p w14:paraId="3661A1B5">
            <w:pPr>
              <w:widowControl/>
              <w:spacing w:line="240" w:lineRule="exact"/>
              <w:jc w:val="right"/>
              <w:rPr>
                <w:rFonts w:hint="default" w:ascii="Times New Roman" w:hAnsi="Times New Roman" w:eastAsia="仿宋_GB2312" w:cs="Times New Roman"/>
                <w:sz w:val="24"/>
                <w:highlight w:val="none"/>
              </w:rPr>
            </w:pPr>
            <w:r>
              <w:rPr>
                <w:rFonts w:hint="default" w:ascii="Times New Roman" w:hAnsi="Times New Roman" w:cs="Times New Roman"/>
                <w:kern w:val="0"/>
                <w:sz w:val="24"/>
                <w:highlight w:val="none"/>
                <w:lang w:val="en" w:eastAsia="zh-CN"/>
              </w:rPr>
              <w:t>0</w:t>
            </w:r>
          </w:p>
        </w:tc>
        <w:tc>
          <w:tcPr>
            <w:tcW w:w="1113" w:type="dxa"/>
            <w:gridSpan w:val="3"/>
            <w:shd w:val="clear" w:color="auto" w:fill="auto"/>
            <w:vAlign w:val="center"/>
          </w:tcPr>
          <w:p w14:paraId="44D4FA08">
            <w:pPr>
              <w:widowControl/>
              <w:spacing w:line="240" w:lineRule="exact"/>
              <w:jc w:val="right"/>
              <w:rPr>
                <w:rFonts w:hint="default" w:ascii="Times New Roman" w:hAnsi="Times New Roman" w:eastAsia="仿宋_GB2312" w:cs="Times New Roman"/>
                <w:sz w:val="24"/>
                <w:highlight w:val="none"/>
              </w:rPr>
            </w:pPr>
            <w:r>
              <w:rPr>
                <w:rFonts w:hint="default" w:ascii="Times New Roman" w:hAnsi="Times New Roman" w:cs="Times New Roman"/>
                <w:color w:val="auto"/>
                <w:kern w:val="0"/>
                <w:sz w:val="24"/>
                <w:highlight w:val="none"/>
                <w:lang w:val="en" w:eastAsia="zh-CN"/>
              </w:rPr>
              <w:t>925.2</w:t>
            </w:r>
          </w:p>
        </w:tc>
        <w:tc>
          <w:tcPr>
            <w:tcW w:w="1087" w:type="dxa"/>
            <w:gridSpan w:val="2"/>
            <w:shd w:val="clear" w:color="auto" w:fill="auto"/>
            <w:noWrap/>
            <w:vAlign w:val="center"/>
          </w:tcPr>
          <w:p w14:paraId="3A791A44">
            <w:pPr>
              <w:widowControl/>
              <w:spacing w:line="240" w:lineRule="exact"/>
              <w:jc w:val="right"/>
              <w:rPr>
                <w:rFonts w:hint="default" w:ascii="Times New Roman" w:hAnsi="Times New Roman" w:eastAsia="仿宋_GB2312" w:cs="Times New Roman"/>
                <w:sz w:val="24"/>
                <w:highlight w:val="none"/>
              </w:rPr>
            </w:pPr>
            <w:r>
              <w:rPr>
                <w:rFonts w:hint="eastAsia" w:cs="Times New Roman"/>
                <w:sz w:val="24"/>
                <w:highlight w:val="none"/>
                <w:lang w:val="en-US" w:eastAsia="zh-CN"/>
              </w:rPr>
              <w:t>0</w:t>
            </w:r>
          </w:p>
        </w:tc>
        <w:tc>
          <w:tcPr>
            <w:tcW w:w="1126" w:type="dxa"/>
            <w:shd w:val="clear" w:color="auto" w:fill="auto"/>
            <w:vAlign w:val="center"/>
          </w:tcPr>
          <w:p w14:paraId="70F3A49C">
            <w:pPr>
              <w:widowControl/>
              <w:spacing w:line="240" w:lineRule="exact"/>
              <w:jc w:val="right"/>
              <w:rPr>
                <w:rFonts w:hint="default" w:ascii="Times New Roman" w:hAnsi="Times New Roman" w:cs="Times New Roman"/>
                <w:color w:val="auto"/>
                <w:kern w:val="0"/>
                <w:sz w:val="24"/>
                <w:highlight w:val="none"/>
                <w:lang w:val="en" w:eastAsia="zh-CN"/>
              </w:rPr>
            </w:pPr>
            <w:r>
              <w:rPr>
                <w:rFonts w:hint="eastAsia" w:cs="Times New Roman"/>
                <w:color w:val="auto"/>
                <w:kern w:val="0"/>
                <w:sz w:val="24"/>
                <w:highlight w:val="none"/>
                <w:lang w:val="en-US" w:eastAsia="zh-CN"/>
              </w:rPr>
              <w:t>1982.6</w:t>
            </w:r>
          </w:p>
        </w:tc>
        <w:tc>
          <w:tcPr>
            <w:tcW w:w="1020" w:type="dxa"/>
            <w:gridSpan w:val="3"/>
            <w:shd w:val="clear" w:color="auto" w:fill="auto"/>
            <w:noWrap/>
            <w:vAlign w:val="center"/>
          </w:tcPr>
          <w:p w14:paraId="7E6C3CD7">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0</w:t>
            </w:r>
          </w:p>
        </w:tc>
        <w:tc>
          <w:tcPr>
            <w:tcW w:w="1110" w:type="dxa"/>
            <w:shd w:val="clear" w:color="auto" w:fill="auto"/>
            <w:vAlign w:val="center"/>
          </w:tcPr>
          <w:p w14:paraId="7CC19494">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1530.4</w:t>
            </w:r>
          </w:p>
        </w:tc>
      </w:tr>
      <w:tr w14:paraId="39AD8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exact"/>
          <w:jc w:val="center"/>
        </w:trPr>
        <w:tc>
          <w:tcPr>
            <w:tcW w:w="9723" w:type="dxa"/>
            <w:gridSpan w:val="13"/>
            <w:shd w:val="clear" w:color="auto" w:fill="auto"/>
            <w:noWrap/>
            <w:vAlign w:val="center"/>
          </w:tcPr>
          <w:p w14:paraId="0D5ECF5A">
            <w:pPr>
              <w:widowControl/>
              <w:spacing w:line="240" w:lineRule="exact"/>
              <w:ind w:firstLine="482"/>
              <w:rPr>
                <w:rFonts w:hint="default" w:ascii="Times New Roman" w:hAnsi="Times New Roman" w:eastAsia="仿宋_GB2312" w:cs="Times New Roman"/>
                <w:b/>
                <w:kern w:val="0"/>
                <w:sz w:val="24"/>
                <w:highlight w:val="none"/>
              </w:rPr>
            </w:pPr>
            <w:r>
              <w:rPr>
                <w:rFonts w:hint="default" w:ascii="Times New Roman" w:hAnsi="Times New Roman" w:eastAsia="仿宋_GB2312" w:cs="Times New Roman"/>
                <w:b/>
                <w:kern w:val="0"/>
                <w:sz w:val="24"/>
                <w:highlight w:val="none"/>
              </w:rPr>
              <w:t>三、地方政府债务状况（亿元）</w:t>
            </w:r>
          </w:p>
        </w:tc>
      </w:tr>
      <w:tr w14:paraId="133E3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730" w:type="dxa"/>
            <w:gridSpan w:val="4"/>
            <w:shd w:val="clear" w:color="auto" w:fill="auto"/>
            <w:noWrap/>
            <w:vAlign w:val="center"/>
          </w:tcPr>
          <w:p w14:paraId="3F8C9F72">
            <w:pPr>
              <w:widowControl/>
              <w:spacing w:line="240" w:lineRule="exact"/>
              <w:ind w:firstLine="480"/>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截至202</w:t>
            </w:r>
            <w:r>
              <w:rPr>
                <w:rFonts w:hint="eastAsia" w:cs="Times New Roman"/>
                <w:kern w:val="0"/>
                <w:sz w:val="24"/>
                <w:highlight w:val="none"/>
                <w:lang w:val="en-US" w:eastAsia="zh-CN"/>
              </w:rPr>
              <w:t>4</w:t>
            </w:r>
            <w:r>
              <w:rPr>
                <w:rFonts w:hint="default" w:ascii="Times New Roman" w:hAnsi="Times New Roman" w:eastAsia="仿宋_GB2312" w:cs="Times New Roman"/>
                <w:kern w:val="0"/>
                <w:sz w:val="24"/>
                <w:highlight w:val="none"/>
              </w:rPr>
              <w:t>年底地方政府债务余额</w:t>
            </w:r>
          </w:p>
        </w:tc>
        <w:tc>
          <w:tcPr>
            <w:tcW w:w="4993" w:type="dxa"/>
            <w:gridSpan w:val="9"/>
            <w:shd w:val="clear" w:color="auto" w:fill="auto"/>
            <w:noWrap/>
            <w:vAlign w:val="center"/>
          </w:tcPr>
          <w:p w14:paraId="1845399F">
            <w:pPr>
              <w:widowControl/>
              <w:spacing w:line="240" w:lineRule="exact"/>
              <w:ind w:firstLine="480"/>
              <w:jc w:val="right"/>
              <w:rPr>
                <w:rFonts w:hint="default" w:ascii="Times New Roman" w:hAnsi="Times New Roman" w:eastAsia="仿宋_GB2312" w:cs="Times New Roman"/>
                <w:kern w:val="0"/>
                <w:sz w:val="24"/>
                <w:highlight w:val="none"/>
                <w:lang w:val="en-US" w:eastAsia="zh-CN"/>
              </w:rPr>
            </w:pPr>
            <w:r>
              <w:rPr>
                <w:rFonts w:hint="eastAsia" w:cs="Times New Roman"/>
                <w:kern w:val="0"/>
                <w:sz w:val="24"/>
                <w:highlight w:val="none"/>
                <w:lang w:val="en-US" w:eastAsia="zh-CN"/>
              </w:rPr>
              <w:t>24028.9</w:t>
            </w:r>
          </w:p>
        </w:tc>
      </w:tr>
      <w:tr w14:paraId="0BF3A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730" w:type="dxa"/>
            <w:gridSpan w:val="4"/>
            <w:shd w:val="clear" w:color="auto" w:fill="auto"/>
            <w:noWrap/>
            <w:vAlign w:val="center"/>
          </w:tcPr>
          <w:p w14:paraId="4D79C0A6">
            <w:pPr>
              <w:widowControl/>
              <w:spacing w:line="240" w:lineRule="exact"/>
              <w:ind w:firstLine="480"/>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202</w:t>
            </w:r>
            <w:r>
              <w:rPr>
                <w:rFonts w:hint="eastAsia" w:cs="Times New Roman"/>
                <w:kern w:val="0"/>
                <w:sz w:val="24"/>
                <w:highlight w:val="none"/>
                <w:lang w:val="en-US" w:eastAsia="zh-CN"/>
              </w:rPr>
              <w:t>4</w:t>
            </w:r>
            <w:r>
              <w:rPr>
                <w:rFonts w:hint="default" w:ascii="Times New Roman" w:hAnsi="Times New Roman" w:eastAsia="仿宋_GB2312" w:cs="Times New Roman"/>
                <w:kern w:val="0"/>
                <w:sz w:val="24"/>
                <w:highlight w:val="none"/>
              </w:rPr>
              <w:t>年地方政府债务限额</w:t>
            </w:r>
          </w:p>
        </w:tc>
        <w:tc>
          <w:tcPr>
            <w:tcW w:w="4993" w:type="dxa"/>
            <w:gridSpan w:val="9"/>
            <w:shd w:val="clear" w:color="auto" w:fill="auto"/>
            <w:noWrap/>
            <w:vAlign w:val="center"/>
          </w:tcPr>
          <w:p w14:paraId="2192A182">
            <w:pPr>
              <w:widowControl/>
              <w:spacing w:line="240" w:lineRule="exact"/>
              <w:ind w:firstLine="480"/>
              <w:jc w:val="right"/>
              <w:rPr>
                <w:rFonts w:hint="default" w:ascii="Times New Roman" w:hAnsi="Times New Roman" w:eastAsia="仿宋_GB2312" w:cs="Times New Roman"/>
                <w:sz w:val="24"/>
                <w:highlight w:val="none"/>
                <w:lang w:val="en-US" w:eastAsia="zh-CN"/>
              </w:rPr>
            </w:pPr>
            <w:r>
              <w:rPr>
                <w:rFonts w:hint="eastAsia" w:cs="Times New Roman"/>
                <w:sz w:val="24"/>
                <w:highlight w:val="none"/>
                <w:lang w:val="en-US" w:eastAsia="zh-CN"/>
              </w:rPr>
              <w:t>26902.7</w:t>
            </w:r>
          </w:p>
        </w:tc>
      </w:tr>
    </w:tbl>
    <w:p w14:paraId="24C46DCA">
      <w:pPr>
        <w:pStyle w:val="4"/>
        <w:snapToGrid w:val="0"/>
        <w:spacing w:line="300" w:lineRule="exact"/>
        <w:ind w:left="735" w:hanging="735" w:hangingChars="350"/>
        <w:rPr>
          <w:rFonts w:hint="default" w:ascii="Times New Roman" w:hAnsi="Times New Roman" w:eastAsia="仿宋_GB2312" w:cs="Times New Roman"/>
          <w:color w:val="000000" w:themeColor="text1"/>
          <w:highlight w:val="none"/>
          <w:lang w:eastAsia="zh-CN"/>
          <w14:textFill>
            <w14:solidFill>
              <w14:schemeClr w14:val="tx1"/>
            </w14:solidFill>
          </w14:textFill>
        </w:rPr>
      </w:pPr>
      <w:r>
        <w:rPr>
          <w:rFonts w:hint="default" w:ascii="Times New Roman" w:hAnsi="Times New Roman" w:eastAsia="仿宋_GB2312" w:cs="Times New Roman"/>
          <w:color w:val="000000" w:themeColor="text1"/>
          <w:highlight w:val="none"/>
          <w14:textFill>
            <w14:solidFill>
              <w14:schemeClr w14:val="tx1"/>
            </w14:solidFill>
          </w14:textFill>
        </w:rPr>
        <w:t>注：1、经济数据</w:t>
      </w:r>
      <w:r>
        <w:rPr>
          <w:rFonts w:hint="default" w:ascii="Times New Roman" w:hAnsi="Times New Roman" w:eastAsia="仿宋_GB2312" w:cs="Times New Roman"/>
          <w:color w:val="000000" w:themeColor="text1"/>
          <w:highlight w:val="none"/>
          <w:lang w:eastAsia="zh-CN"/>
          <w14:textFill>
            <w14:solidFill>
              <w14:schemeClr w14:val="tx1"/>
            </w14:solidFill>
          </w14:textFill>
        </w:rPr>
        <w:t>来源于四川省统计局</w:t>
      </w:r>
    </w:p>
    <w:p w14:paraId="117EAD49">
      <w:pPr>
        <w:pStyle w:val="4"/>
        <w:snapToGrid w:val="0"/>
        <w:spacing w:line="300" w:lineRule="exact"/>
        <w:ind w:firstLine="420" w:firstLineChars="200"/>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000000" w:themeColor="text1"/>
          <w:highlight w:val="none"/>
          <w14:textFill>
            <w14:solidFill>
              <w14:schemeClr w14:val="tx1"/>
            </w14:solidFill>
          </w14:textFill>
        </w:rPr>
        <w:t>2、财政数据中202</w:t>
      </w:r>
      <w:r>
        <w:rPr>
          <w:rFonts w:hint="eastAsia" w:ascii="Times New Roman" w:hAnsi="Times New Roman" w:eastAsia="仿宋_GB2312" w:cs="Times New Roman"/>
          <w:color w:val="000000" w:themeColor="text1"/>
          <w:highlight w:val="none"/>
          <w:lang w:val="en-US" w:eastAsia="zh-CN"/>
          <w14:textFill>
            <w14:solidFill>
              <w14:schemeClr w14:val="tx1"/>
            </w14:solidFill>
          </w14:textFill>
        </w:rPr>
        <w:t>3</w:t>
      </w:r>
      <w:r>
        <w:rPr>
          <w:rFonts w:hint="default" w:ascii="Times New Roman" w:hAnsi="Times New Roman" w:eastAsia="仿宋_GB2312" w:cs="Times New Roman"/>
          <w:color w:val="000000" w:themeColor="text1"/>
          <w:highlight w:val="none"/>
          <w14:textFill>
            <w14:solidFill>
              <w14:schemeClr w14:val="tx1"/>
            </w14:solidFill>
          </w14:textFill>
        </w:rPr>
        <w:t>年</w:t>
      </w:r>
      <w:r>
        <w:rPr>
          <w:rFonts w:hint="default" w:ascii="Times New Roman" w:hAnsi="Times New Roman" w:eastAsia="仿宋_GB2312" w:cs="Times New Roman"/>
          <w:color w:val="000000" w:themeColor="text1"/>
          <w:highlight w:val="none"/>
          <w:lang w:eastAsia="zh-CN"/>
          <w14:textFill>
            <w14:solidFill>
              <w14:schemeClr w14:val="tx1"/>
            </w14:solidFill>
          </w14:textFill>
        </w:rPr>
        <w:t>为决算数，</w:t>
      </w:r>
      <w:r>
        <w:rPr>
          <w:rFonts w:hint="default" w:ascii="Times New Roman" w:hAnsi="Times New Roman" w:eastAsia="仿宋_GB2312" w:cs="Times New Roman"/>
          <w:color w:val="000000" w:themeColor="text1"/>
          <w:highlight w:val="none"/>
          <w:lang w:val="en-US" w:eastAsia="zh-CN"/>
          <w14:textFill>
            <w14:solidFill>
              <w14:schemeClr w14:val="tx1"/>
            </w14:solidFill>
          </w14:textFill>
        </w:rPr>
        <w:t>202</w:t>
      </w:r>
      <w:r>
        <w:rPr>
          <w:rFonts w:hint="eastAsia" w:ascii="Times New Roman" w:hAnsi="Times New Roman" w:eastAsia="仿宋_GB2312" w:cs="Times New Roman"/>
          <w:color w:val="000000" w:themeColor="text1"/>
          <w:highlight w:val="none"/>
          <w:lang w:val="en-US" w:eastAsia="zh-CN"/>
          <w14:textFill>
            <w14:solidFill>
              <w14:schemeClr w14:val="tx1"/>
            </w14:solidFill>
          </w14:textFill>
        </w:rPr>
        <w:t>4</w:t>
      </w:r>
      <w:r>
        <w:rPr>
          <w:rFonts w:hint="default" w:ascii="Times New Roman" w:hAnsi="Times New Roman" w:eastAsia="仿宋_GB2312" w:cs="Times New Roman"/>
          <w:color w:val="000000" w:themeColor="text1"/>
          <w:highlight w:val="none"/>
          <w:lang w:val="en-US" w:eastAsia="zh-CN"/>
          <w14:textFill>
            <w14:solidFill>
              <w14:schemeClr w14:val="tx1"/>
            </w14:solidFill>
          </w14:textFill>
        </w:rPr>
        <w:t>年</w:t>
      </w:r>
      <w:r>
        <w:rPr>
          <w:rFonts w:hint="default" w:ascii="Times New Roman" w:hAnsi="Times New Roman" w:eastAsia="仿宋_GB2312" w:cs="Times New Roman"/>
          <w:color w:val="000000" w:themeColor="text1"/>
          <w:highlight w:val="none"/>
          <w14:textFill>
            <w14:solidFill>
              <w14:schemeClr w14:val="tx1"/>
            </w14:solidFill>
          </w14:textFill>
        </w:rPr>
        <w:t>为</w:t>
      </w:r>
      <w:r>
        <w:rPr>
          <w:rFonts w:hint="eastAsia" w:ascii="Times New Roman" w:hAnsi="Times New Roman" w:eastAsia="仿宋_GB2312" w:cs="Times New Roman"/>
          <w:color w:val="000000" w:themeColor="text1"/>
          <w:highlight w:val="none"/>
          <w:lang w:eastAsia="zh-CN"/>
          <w14:textFill>
            <w14:solidFill>
              <w14:schemeClr w14:val="tx1"/>
            </w14:solidFill>
          </w14:textFill>
        </w:rPr>
        <w:t>预算执行</w:t>
      </w:r>
      <w:r>
        <w:rPr>
          <w:rFonts w:hint="default" w:ascii="Times New Roman" w:hAnsi="Times New Roman" w:eastAsia="仿宋_GB2312" w:cs="Times New Roman"/>
          <w:color w:val="000000" w:themeColor="text1"/>
          <w:highlight w:val="none"/>
          <w14:textFill>
            <w14:solidFill>
              <w14:schemeClr w14:val="tx1"/>
            </w14:solidFill>
          </w14:textFill>
        </w:rPr>
        <w:t>数</w:t>
      </w:r>
      <w:r>
        <w:rPr>
          <w:rFonts w:hint="default" w:ascii="Times New Roman" w:hAnsi="Times New Roman" w:eastAsia="仿宋_GB2312" w:cs="Times New Roman"/>
          <w:color w:val="000000" w:themeColor="text1"/>
          <w:highlight w:val="none"/>
          <w:lang w:eastAsia="zh-CN"/>
          <w14:textFill>
            <w14:solidFill>
              <w14:schemeClr w14:val="tx1"/>
            </w14:solidFill>
          </w14:textFill>
        </w:rPr>
        <w:t>，</w:t>
      </w:r>
      <w:r>
        <w:rPr>
          <w:rFonts w:hint="eastAsia" w:ascii="Times New Roman" w:hAnsi="Times New Roman" w:eastAsia="仿宋_GB2312" w:cs="Times New Roman"/>
          <w:color w:val="000000" w:themeColor="text1"/>
          <w:highlight w:val="none"/>
          <w:lang w:val="en-US" w:eastAsia="zh-CN"/>
          <w14:textFill>
            <w14:solidFill>
              <w14:schemeClr w14:val="tx1"/>
            </w14:solidFill>
          </w14:textFill>
        </w:rPr>
        <w:t>2025年</w:t>
      </w:r>
      <w:r>
        <w:rPr>
          <w:rFonts w:hint="default" w:ascii="Times New Roman" w:hAnsi="Times New Roman" w:eastAsia="仿宋_GB2312" w:cs="Times New Roman"/>
          <w:color w:val="000000" w:themeColor="text1"/>
          <w:highlight w:val="none"/>
          <w:lang w:val="en-US" w:eastAsia="zh-CN"/>
          <w14:textFill>
            <w14:solidFill>
              <w14:schemeClr w14:val="tx1"/>
            </w14:solidFill>
          </w14:textFill>
        </w:rPr>
        <w:t>为预算数</w:t>
      </w:r>
      <w:r>
        <w:rPr>
          <w:rFonts w:hint="default" w:ascii="Times New Roman" w:hAnsi="Times New Roman" w:eastAsia="仿宋_GB2312" w:cs="Times New Roman"/>
          <w:color w:val="000000" w:themeColor="text1"/>
          <w:highlight w:val="none"/>
          <w14:textFill>
            <w14:solidFill>
              <w14:schemeClr w14:val="tx1"/>
            </w14:solidFill>
          </w14:textFill>
        </w:rPr>
        <w:t>。</w:t>
      </w:r>
    </w:p>
    <w:p w14:paraId="41B1BA71">
      <w:pPr>
        <w:keepNext w:val="0"/>
        <w:keepLines w:val="0"/>
        <w:pageBreakBefore w:val="0"/>
        <w:kinsoku/>
        <w:wordWrap/>
        <w:overflowPunct/>
        <w:topLinePunct w:val="0"/>
        <w:autoSpaceDE/>
        <w:autoSpaceDN/>
        <w:bidi w:val="0"/>
        <w:adjustRightInd/>
        <w:snapToGrid/>
        <w:spacing w:line="580" w:lineRule="exact"/>
        <w:ind w:firstLine="640"/>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五、四川省地方政府债务管理情况</w:t>
      </w:r>
    </w:p>
    <w:p w14:paraId="19AF7193">
      <w:pPr>
        <w:pStyle w:val="4"/>
        <w:keepNext w:val="0"/>
        <w:keepLines w:val="0"/>
        <w:pageBreakBefore w:val="0"/>
        <w:widowControl w:val="0"/>
        <w:kinsoku/>
        <w:wordWrap/>
        <w:overflowPunct/>
        <w:topLinePunct w:val="0"/>
        <w:autoSpaceDE/>
        <w:autoSpaceDN/>
        <w:bidi w:val="0"/>
        <w:adjustRightInd/>
        <w:snapToGrid w:val="0"/>
        <w:spacing w:line="580" w:lineRule="exact"/>
        <w:ind w:firstLine="617" w:firstLineChars="192"/>
        <w:textAlignment w:val="auto"/>
        <w:rPr>
          <w:rFonts w:hint="default" w:ascii="Times New Roman" w:hAnsi="Times New Roman" w:eastAsia="楷体_GB2312" w:cs="Times New Roman"/>
          <w:b/>
          <w:bCs/>
          <w:color w:val="auto"/>
          <w:sz w:val="32"/>
          <w:szCs w:val="32"/>
          <w:highlight w:val="none"/>
        </w:rPr>
      </w:pPr>
      <w:r>
        <w:rPr>
          <w:rFonts w:hint="default" w:ascii="Times New Roman" w:hAnsi="Times New Roman" w:eastAsia="楷体_GB2312" w:cs="Times New Roman"/>
          <w:b/>
          <w:bCs/>
          <w:color w:val="auto"/>
          <w:sz w:val="32"/>
          <w:szCs w:val="32"/>
          <w:highlight w:val="none"/>
        </w:rPr>
        <w:t>（一）四川省地方政府债务基本情况。</w:t>
      </w:r>
    </w:p>
    <w:p w14:paraId="2EA3747E">
      <w:pPr>
        <w:pStyle w:val="4"/>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202</w:t>
      </w:r>
      <w:r>
        <w:rPr>
          <w:rFonts w:hint="eastAsia"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rPr>
        <w:t>年</w:t>
      </w:r>
      <w:r>
        <w:rPr>
          <w:rFonts w:hint="default" w:ascii="Times New Roman" w:hAnsi="Times New Roman" w:eastAsia="仿宋_GB2312" w:cs="Times New Roman"/>
          <w:color w:val="auto"/>
          <w:sz w:val="32"/>
          <w:szCs w:val="32"/>
          <w:highlight w:val="none"/>
          <w:lang w:val="en-US"/>
        </w:rPr>
        <w:t>全省</w:t>
      </w:r>
      <w:r>
        <w:rPr>
          <w:rFonts w:hint="default" w:ascii="Times New Roman" w:hAnsi="Times New Roman" w:eastAsia="仿宋_GB2312" w:cs="Times New Roman"/>
          <w:color w:val="auto"/>
          <w:sz w:val="32"/>
          <w:szCs w:val="32"/>
          <w:highlight w:val="none"/>
        </w:rPr>
        <w:t>债务余额为</w:t>
      </w:r>
      <w:r>
        <w:rPr>
          <w:rFonts w:hint="eastAsia" w:ascii="Times New Roman" w:hAnsi="Times New Roman" w:eastAsia="仿宋_GB2312" w:cs="Times New Roman"/>
          <w:color w:val="auto"/>
          <w:sz w:val="32"/>
          <w:szCs w:val="32"/>
          <w:highlight w:val="none"/>
          <w:lang w:val="en-US" w:eastAsia="zh-CN"/>
        </w:rPr>
        <w:t>24028.9</w:t>
      </w:r>
      <w:r>
        <w:rPr>
          <w:rFonts w:hint="default" w:ascii="Times New Roman" w:hAnsi="Times New Roman" w:eastAsia="仿宋_GB2312" w:cs="Times New Roman"/>
          <w:color w:val="auto"/>
          <w:sz w:val="32"/>
          <w:szCs w:val="32"/>
          <w:highlight w:val="none"/>
        </w:rPr>
        <w:t>亿元，控制在国务院</w:t>
      </w:r>
      <w:r>
        <w:rPr>
          <w:rFonts w:hint="default" w:ascii="Times New Roman" w:hAnsi="Times New Roman" w:eastAsia="仿宋_GB2312" w:cs="Times New Roman"/>
          <w:color w:val="auto"/>
          <w:sz w:val="32"/>
          <w:szCs w:val="32"/>
          <w:highlight w:val="none"/>
          <w:lang w:val="en-US" w:eastAsia="zh-CN"/>
        </w:rPr>
        <w:t>批准</w:t>
      </w:r>
      <w:r>
        <w:rPr>
          <w:rFonts w:hint="default" w:ascii="Times New Roman" w:hAnsi="Times New Roman" w:eastAsia="仿宋_GB2312" w:cs="Times New Roman"/>
          <w:color w:val="auto"/>
          <w:sz w:val="32"/>
          <w:szCs w:val="32"/>
          <w:highlight w:val="none"/>
        </w:rPr>
        <w:t>的</w:t>
      </w:r>
      <w:r>
        <w:rPr>
          <w:rFonts w:hint="eastAsia" w:ascii="Times New Roman" w:hAnsi="Times New Roman" w:eastAsia="仿宋_GB2312" w:cs="Times New Roman"/>
          <w:color w:val="auto"/>
          <w:sz w:val="32"/>
          <w:szCs w:val="32"/>
          <w:highlight w:val="none"/>
          <w:lang w:val="en-US" w:eastAsia="zh-CN"/>
        </w:rPr>
        <w:t>26902.7</w:t>
      </w:r>
      <w:r>
        <w:rPr>
          <w:rFonts w:hint="default" w:ascii="Times New Roman" w:hAnsi="Times New Roman" w:eastAsia="仿宋_GB2312" w:cs="Times New Roman"/>
          <w:color w:val="auto"/>
          <w:sz w:val="32"/>
          <w:szCs w:val="32"/>
          <w:highlight w:val="none"/>
          <w:lang w:val="en-US" w:eastAsia="zh-CN"/>
        </w:rPr>
        <w:t>亿</w:t>
      </w:r>
      <w:r>
        <w:rPr>
          <w:rFonts w:hint="default" w:ascii="Times New Roman" w:hAnsi="Times New Roman" w:eastAsia="仿宋_GB2312" w:cs="Times New Roman"/>
          <w:color w:val="auto"/>
          <w:sz w:val="32"/>
          <w:szCs w:val="32"/>
          <w:highlight w:val="none"/>
        </w:rPr>
        <w:t>元限额内，债务风险总体可控。</w:t>
      </w:r>
      <w:r>
        <w:rPr>
          <w:rFonts w:hint="default" w:ascii="Times New Roman" w:hAnsi="Times New Roman" w:eastAsia="仿宋_GB2312" w:cs="Times New Roman"/>
          <w:color w:val="auto"/>
          <w:sz w:val="32"/>
          <w:szCs w:val="32"/>
          <w:highlight w:val="none"/>
          <w:lang w:val="en-US" w:eastAsia="zh-CN"/>
        </w:rPr>
        <w:t>分类型看：全省一般债务限额</w:t>
      </w:r>
      <w:r>
        <w:rPr>
          <w:rFonts w:hint="eastAsia" w:ascii="Times New Roman" w:hAnsi="Times New Roman" w:eastAsia="仿宋_GB2312" w:cs="Times New Roman"/>
          <w:color w:val="auto"/>
          <w:sz w:val="32"/>
          <w:szCs w:val="32"/>
          <w:highlight w:val="none"/>
          <w:lang w:val="en-US" w:eastAsia="zh-CN"/>
        </w:rPr>
        <w:t>8301.4</w:t>
      </w:r>
      <w:r>
        <w:rPr>
          <w:rFonts w:hint="default" w:ascii="Times New Roman" w:hAnsi="Times New Roman" w:eastAsia="仿宋_GB2312" w:cs="Times New Roman"/>
          <w:color w:val="auto"/>
          <w:sz w:val="32"/>
          <w:szCs w:val="32"/>
          <w:highlight w:val="none"/>
          <w:lang w:val="en-US" w:eastAsia="zh-CN"/>
        </w:rPr>
        <w:t>亿元，余额</w:t>
      </w:r>
      <w:r>
        <w:rPr>
          <w:rFonts w:hint="eastAsia" w:ascii="Times New Roman" w:hAnsi="Times New Roman" w:eastAsia="仿宋_GB2312" w:cs="Times New Roman"/>
          <w:color w:val="auto"/>
          <w:sz w:val="32"/>
          <w:szCs w:val="32"/>
          <w:highlight w:val="none"/>
          <w:lang w:val="en-US" w:eastAsia="zh-CN"/>
        </w:rPr>
        <w:t>8074.3</w:t>
      </w:r>
      <w:r>
        <w:rPr>
          <w:rFonts w:hint="default" w:ascii="Times New Roman" w:hAnsi="Times New Roman" w:eastAsia="仿宋_GB2312" w:cs="Times New Roman"/>
          <w:color w:val="auto"/>
          <w:sz w:val="32"/>
          <w:szCs w:val="32"/>
          <w:highlight w:val="none"/>
          <w:lang w:val="en-US" w:eastAsia="zh-CN"/>
        </w:rPr>
        <w:t>亿元；专项债务限额</w:t>
      </w:r>
      <w:r>
        <w:rPr>
          <w:rFonts w:hint="eastAsia" w:ascii="Times New Roman" w:hAnsi="Times New Roman" w:eastAsia="仿宋_GB2312" w:cs="Times New Roman"/>
          <w:color w:val="auto"/>
          <w:sz w:val="32"/>
          <w:szCs w:val="32"/>
          <w:highlight w:val="none"/>
          <w:lang w:val="en-US" w:eastAsia="zh-CN"/>
        </w:rPr>
        <w:t>18601.3</w:t>
      </w:r>
      <w:r>
        <w:rPr>
          <w:rFonts w:hint="default" w:ascii="Times New Roman" w:hAnsi="Times New Roman" w:eastAsia="仿宋_GB2312" w:cs="Times New Roman"/>
          <w:color w:val="auto"/>
          <w:sz w:val="32"/>
          <w:szCs w:val="32"/>
          <w:highlight w:val="none"/>
          <w:lang w:val="en-US" w:eastAsia="zh-CN"/>
        </w:rPr>
        <w:t>亿元，余额</w:t>
      </w:r>
      <w:r>
        <w:rPr>
          <w:rFonts w:hint="eastAsia" w:ascii="Times New Roman" w:hAnsi="Times New Roman" w:eastAsia="仿宋_GB2312" w:cs="Times New Roman"/>
          <w:color w:val="auto"/>
          <w:sz w:val="32"/>
          <w:szCs w:val="32"/>
          <w:highlight w:val="none"/>
          <w:lang w:val="en-US" w:eastAsia="zh-CN"/>
        </w:rPr>
        <w:t>15954.6</w:t>
      </w:r>
      <w:r>
        <w:rPr>
          <w:rFonts w:hint="default" w:ascii="Times New Roman" w:hAnsi="Times New Roman" w:eastAsia="仿宋_GB2312" w:cs="Times New Roman"/>
          <w:color w:val="auto"/>
          <w:sz w:val="32"/>
          <w:szCs w:val="32"/>
          <w:highlight w:val="none"/>
          <w:lang w:val="en-US" w:eastAsia="zh-CN"/>
        </w:rPr>
        <w:t>亿元。分级次看：省级债务限额</w:t>
      </w:r>
      <w:r>
        <w:rPr>
          <w:rFonts w:hint="eastAsia" w:ascii="Times New Roman" w:hAnsi="Times New Roman" w:eastAsia="仿宋_GB2312" w:cs="Times New Roman"/>
          <w:color w:val="auto"/>
          <w:sz w:val="32"/>
          <w:szCs w:val="32"/>
          <w:highlight w:val="none"/>
          <w:lang w:val="en-US" w:eastAsia="zh-CN"/>
        </w:rPr>
        <w:t>1536.8</w:t>
      </w:r>
      <w:r>
        <w:rPr>
          <w:rFonts w:hint="default" w:ascii="Times New Roman" w:hAnsi="Times New Roman" w:eastAsia="仿宋_GB2312" w:cs="Times New Roman"/>
          <w:color w:val="auto"/>
          <w:sz w:val="32"/>
          <w:szCs w:val="32"/>
          <w:highlight w:val="none"/>
          <w:lang w:val="en-US" w:eastAsia="zh-CN"/>
        </w:rPr>
        <w:t>亿元，余额</w:t>
      </w:r>
      <w:r>
        <w:rPr>
          <w:rFonts w:hint="eastAsia" w:ascii="Times New Roman" w:hAnsi="Times New Roman" w:eastAsia="仿宋_GB2312" w:cs="Times New Roman"/>
          <w:color w:val="auto"/>
          <w:sz w:val="32"/>
          <w:szCs w:val="32"/>
          <w:highlight w:val="none"/>
          <w:lang w:val="en-US" w:eastAsia="zh-CN"/>
        </w:rPr>
        <w:t>1406.5</w:t>
      </w:r>
      <w:r>
        <w:rPr>
          <w:rFonts w:hint="default" w:ascii="Times New Roman" w:hAnsi="Times New Roman" w:eastAsia="仿宋_GB2312" w:cs="Times New Roman"/>
          <w:color w:val="auto"/>
          <w:sz w:val="32"/>
          <w:szCs w:val="32"/>
          <w:highlight w:val="none"/>
          <w:lang w:val="en-US" w:eastAsia="zh-CN"/>
        </w:rPr>
        <w:t>亿元；市级债务限额</w:t>
      </w:r>
      <w:r>
        <w:rPr>
          <w:rFonts w:hint="eastAsia" w:ascii="Times New Roman" w:hAnsi="Times New Roman" w:eastAsia="仿宋_GB2312" w:cs="Times New Roman"/>
          <w:color w:val="auto"/>
          <w:sz w:val="32"/>
          <w:szCs w:val="32"/>
          <w:highlight w:val="none"/>
          <w:lang w:val="en-US" w:eastAsia="zh-CN"/>
        </w:rPr>
        <w:t>7504.1</w:t>
      </w:r>
      <w:r>
        <w:rPr>
          <w:rFonts w:hint="default" w:ascii="Times New Roman" w:hAnsi="Times New Roman" w:eastAsia="仿宋_GB2312" w:cs="Times New Roman"/>
          <w:color w:val="auto"/>
          <w:sz w:val="32"/>
          <w:szCs w:val="32"/>
          <w:highlight w:val="none"/>
          <w:lang w:val="en-US" w:eastAsia="zh-CN"/>
        </w:rPr>
        <w:t>亿元，余额</w:t>
      </w:r>
      <w:r>
        <w:rPr>
          <w:rFonts w:hint="eastAsia" w:ascii="Times New Roman" w:hAnsi="Times New Roman" w:eastAsia="仿宋_GB2312" w:cs="Times New Roman"/>
          <w:color w:val="auto"/>
          <w:sz w:val="32"/>
          <w:szCs w:val="32"/>
          <w:highlight w:val="none"/>
          <w:lang w:val="en-US" w:eastAsia="zh-CN"/>
        </w:rPr>
        <w:t>6866.8</w:t>
      </w:r>
      <w:r>
        <w:rPr>
          <w:rFonts w:hint="default" w:ascii="Times New Roman" w:hAnsi="Times New Roman" w:eastAsia="仿宋_GB2312" w:cs="Times New Roman"/>
          <w:color w:val="auto"/>
          <w:sz w:val="32"/>
          <w:szCs w:val="32"/>
          <w:highlight w:val="none"/>
          <w:lang w:val="en-US" w:eastAsia="zh-CN"/>
        </w:rPr>
        <w:t>亿元</w:t>
      </w:r>
      <w:r>
        <w:rPr>
          <w:rFonts w:hint="default" w:ascii="Times New Roman" w:hAnsi="Times New Roman" w:eastAsia="仿宋_GB2312" w:cs="Times New Roman"/>
          <w:color w:val="auto"/>
          <w:sz w:val="32"/>
          <w:szCs w:val="32"/>
          <w:highlight w:val="none"/>
          <w:lang w:val="en" w:eastAsia="zh-CN"/>
        </w:rPr>
        <w:t>;县</w:t>
      </w:r>
      <w:r>
        <w:rPr>
          <w:rFonts w:hint="default" w:ascii="Times New Roman" w:hAnsi="Times New Roman" w:eastAsia="仿宋_GB2312" w:cs="Times New Roman"/>
          <w:color w:val="auto"/>
          <w:sz w:val="32"/>
          <w:szCs w:val="32"/>
          <w:highlight w:val="none"/>
          <w:lang w:val="en-US" w:eastAsia="zh-CN"/>
        </w:rPr>
        <w:t>级债务限额</w:t>
      </w:r>
      <w:r>
        <w:rPr>
          <w:rFonts w:hint="eastAsia" w:ascii="Times New Roman" w:hAnsi="Times New Roman" w:eastAsia="仿宋_GB2312" w:cs="Times New Roman"/>
          <w:color w:val="auto"/>
          <w:sz w:val="32"/>
          <w:szCs w:val="32"/>
          <w:highlight w:val="none"/>
          <w:lang w:val="en-US" w:eastAsia="zh-CN"/>
        </w:rPr>
        <w:t>17861.8</w:t>
      </w:r>
      <w:r>
        <w:rPr>
          <w:rFonts w:hint="default" w:ascii="Times New Roman" w:hAnsi="Times New Roman" w:eastAsia="仿宋_GB2312" w:cs="Times New Roman"/>
          <w:color w:val="auto"/>
          <w:sz w:val="32"/>
          <w:szCs w:val="32"/>
          <w:highlight w:val="none"/>
          <w:lang w:val="en-US" w:eastAsia="zh-CN"/>
        </w:rPr>
        <w:t>亿元，余额</w:t>
      </w:r>
      <w:r>
        <w:rPr>
          <w:rFonts w:hint="eastAsia" w:ascii="Times New Roman" w:hAnsi="Times New Roman" w:eastAsia="仿宋_GB2312" w:cs="Times New Roman"/>
          <w:color w:val="auto"/>
          <w:sz w:val="32"/>
          <w:szCs w:val="32"/>
          <w:highlight w:val="none"/>
          <w:lang w:val="en-US" w:eastAsia="zh-CN"/>
        </w:rPr>
        <w:t>15755.6</w:t>
      </w:r>
      <w:r>
        <w:rPr>
          <w:rFonts w:hint="default" w:ascii="Times New Roman" w:hAnsi="Times New Roman" w:eastAsia="仿宋_GB2312" w:cs="Times New Roman"/>
          <w:color w:val="auto"/>
          <w:sz w:val="32"/>
          <w:szCs w:val="32"/>
          <w:highlight w:val="none"/>
          <w:lang w:val="en-US" w:eastAsia="zh-CN"/>
        </w:rPr>
        <w:t>亿元。</w:t>
      </w:r>
    </w:p>
    <w:p w14:paraId="6AAEF4F9">
      <w:pPr>
        <w:pStyle w:val="4"/>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202</w:t>
      </w:r>
      <w:r>
        <w:rPr>
          <w:rFonts w:hint="eastAsia"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lang w:val="en-US" w:eastAsia="zh-CN"/>
        </w:rPr>
        <w:t>年，全省新增政府债券主要聚焦</w:t>
      </w:r>
      <w:r>
        <w:rPr>
          <w:rFonts w:hint="eastAsia" w:ascii="Times New Roman" w:hAnsi="Times New Roman" w:eastAsia="仿宋_GB2312" w:cs="Times New Roman"/>
          <w:color w:val="auto"/>
          <w:sz w:val="32"/>
          <w:szCs w:val="32"/>
          <w:highlight w:val="none"/>
          <w:lang w:val="en-US" w:eastAsia="zh-CN"/>
        </w:rPr>
        <w:t>交通、社会事业、产业园区</w:t>
      </w:r>
      <w:r>
        <w:rPr>
          <w:rFonts w:hint="default" w:ascii="Times New Roman" w:hAnsi="Times New Roman" w:eastAsia="仿宋_GB2312" w:cs="Times New Roman"/>
          <w:color w:val="auto"/>
          <w:sz w:val="32"/>
          <w:szCs w:val="32"/>
          <w:highlight w:val="none"/>
          <w:lang w:val="en-US" w:eastAsia="zh-CN"/>
        </w:rPr>
        <w:t>等领域，有力支持了</w:t>
      </w:r>
      <w:r>
        <w:rPr>
          <w:rFonts w:hint="eastAsia" w:ascii="Times New Roman" w:hAnsi="Times New Roman" w:eastAsia="仿宋_GB2312" w:cs="Times New Roman"/>
          <w:color w:val="auto"/>
          <w:sz w:val="32"/>
          <w:szCs w:val="32"/>
          <w:highlight w:val="none"/>
          <w:lang w:val="en-US" w:eastAsia="zh-CN"/>
        </w:rPr>
        <w:t>成达万铁路、岷江龙溪口航电枢纽</w:t>
      </w:r>
      <w:r>
        <w:rPr>
          <w:rFonts w:hint="default" w:ascii="Times New Roman" w:hAnsi="Times New Roman" w:eastAsia="仿宋_GB2312" w:cs="Times New Roman"/>
          <w:color w:val="auto"/>
          <w:sz w:val="32"/>
          <w:szCs w:val="32"/>
          <w:highlight w:val="none"/>
          <w:lang w:val="en-US" w:eastAsia="zh-CN"/>
        </w:rPr>
        <w:t>等重大项目建设</w:t>
      </w:r>
      <w:r>
        <w:rPr>
          <w:rFonts w:hint="default" w:ascii="Times New Roman" w:hAnsi="Times New Roman" w:eastAsia="仿宋_GB2312" w:cs="Times New Roman"/>
          <w:color w:val="auto"/>
          <w:sz w:val="32"/>
          <w:szCs w:val="32"/>
          <w:highlight w:val="none"/>
        </w:rPr>
        <w:t>。</w:t>
      </w:r>
    </w:p>
    <w:p w14:paraId="0BBC91F9">
      <w:pPr>
        <w:pStyle w:val="4"/>
        <w:keepNext w:val="0"/>
        <w:keepLines w:val="0"/>
        <w:pageBreakBefore w:val="0"/>
        <w:widowControl w:val="0"/>
        <w:kinsoku/>
        <w:wordWrap/>
        <w:overflowPunct/>
        <w:topLinePunct w:val="0"/>
        <w:autoSpaceDE/>
        <w:autoSpaceDN/>
        <w:bidi w:val="0"/>
        <w:adjustRightInd/>
        <w:snapToGrid w:val="0"/>
        <w:spacing w:line="580" w:lineRule="exact"/>
        <w:ind w:firstLine="617" w:firstLineChars="192"/>
        <w:textAlignment w:val="auto"/>
        <w:rPr>
          <w:rFonts w:hint="default" w:ascii="Times New Roman" w:hAnsi="Times New Roman" w:eastAsia="楷体_GB2312" w:cs="Times New Roman"/>
          <w:b/>
          <w:bCs/>
          <w:color w:val="auto"/>
          <w:sz w:val="32"/>
          <w:szCs w:val="32"/>
          <w:highlight w:val="none"/>
        </w:rPr>
      </w:pPr>
      <w:r>
        <w:rPr>
          <w:rFonts w:hint="default" w:ascii="Times New Roman" w:hAnsi="Times New Roman" w:eastAsia="楷体_GB2312" w:cs="Times New Roman"/>
          <w:b/>
          <w:bCs/>
          <w:color w:val="auto"/>
          <w:sz w:val="32"/>
          <w:szCs w:val="32"/>
          <w:highlight w:val="none"/>
        </w:rPr>
        <w:t>（二）四川省加强债务管理、防范化解政府债务风险采取的主要措施。</w:t>
      </w:r>
    </w:p>
    <w:p w14:paraId="1EB9A6B6">
      <w:pPr>
        <w:pStyle w:val="4"/>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四川省委、省政府高度重视政府债务管理工作，积极采取有效措施完善相关制度机制，切实防范和化解地方政府债务风险。</w:t>
      </w:r>
    </w:p>
    <w:p w14:paraId="7C8B1752">
      <w:pPr>
        <w:pStyle w:val="4"/>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b w:val="0"/>
          <w:bCs w:val="0"/>
          <w:color w:val="auto"/>
          <w:sz w:val="32"/>
          <w:szCs w:val="32"/>
          <w:highlight w:val="none"/>
          <w:lang w:val="en-US" w:eastAsia="zh-CN"/>
        </w:rPr>
        <w:t>1</w:t>
      </w:r>
      <w:r>
        <w:rPr>
          <w:rFonts w:hint="default" w:ascii="Times New Roman" w:hAnsi="Times New Roman" w:eastAsia="楷体_GB2312" w:cs="Times New Roman"/>
          <w:color w:val="auto"/>
          <w:sz w:val="32"/>
          <w:szCs w:val="32"/>
          <w:highlight w:val="none"/>
          <w:lang w:val="en-US" w:eastAsia="zh-CN"/>
        </w:rPr>
        <w:t>.</w:t>
      </w:r>
      <w:r>
        <w:rPr>
          <w:rFonts w:hint="default" w:ascii="Times New Roman" w:hAnsi="Times New Roman" w:eastAsia="楷体_GB2312" w:cs="Times New Roman"/>
          <w:color w:val="auto"/>
          <w:sz w:val="32"/>
          <w:szCs w:val="32"/>
          <w:highlight w:val="none"/>
        </w:rPr>
        <w:t>加强统筹部署，完善政府债务管理。</w:t>
      </w:r>
    </w:p>
    <w:p w14:paraId="3E371B0F">
      <w:pPr>
        <w:pStyle w:val="4"/>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b/>
          <w:bCs/>
          <w:color w:val="auto"/>
          <w:sz w:val="32"/>
          <w:szCs w:val="32"/>
          <w:highlight w:val="none"/>
          <w:lang w:val="en-US" w:eastAsia="zh-CN"/>
        </w:rPr>
        <w:t>（1）</w:t>
      </w:r>
      <w:r>
        <w:rPr>
          <w:rFonts w:hint="default" w:ascii="Times New Roman" w:hAnsi="Times New Roman" w:eastAsia="仿宋_GB2312" w:cs="Times New Roman"/>
          <w:b/>
          <w:bCs/>
          <w:color w:val="auto"/>
          <w:sz w:val="32"/>
          <w:szCs w:val="32"/>
          <w:highlight w:val="none"/>
          <w:lang w:eastAsia="zh-CN"/>
        </w:rPr>
        <w:t>完善管理制度机制</w:t>
      </w:r>
      <w:r>
        <w:rPr>
          <w:rFonts w:hint="default" w:ascii="Times New Roman" w:hAnsi="Times New Roman" w:eastAsia="仿宋_GB2312" w:cs="Times New Roman"/>
          <w:b/>
          <w:bCs/>
          <w:color w:val="auto"/>
          <w:sz w:val="32"/>
          <w:szCs w:val="32"/>
          <w:highlight w:val="none"/>
        </w:rPr>
        <w:t>。</w:t>
      </w:r>
      <w:r>
        <w:rPr>
          <w:rFonts w:hint="default" w:ascii="Times New Roman" w:hAnsi="Times New Roman" w:eastAsia="仿宋_GB2312" w:cs="Times New Roman"/>
          <w:color w:val="auto"/>
          <w:sz w:val="32"/>
          <w:szCs w:val="32"/>
          <w:highlight w:val="none"/>
        </w:rPr>
        <w:t>印发《四川省地方政府专项债券全生命周期管理办法》，进一步明确专项债券</w:t>
      </w:r>
      <w:r>
        <w:rPr>
          <w:rFonts w:hint="default" w:ascii="Times New Roman" w:hAnsi="Times New Roman" w:eastAsia="仿宋_GB2312" w:cs="Times New Roman"/>
          <w:color w:val="auto"/>
          <w:sz w:val="32"/>
          <w:szCs w:val="32"/>
          <w:highlight w:val="none"/>
          <w:lang w:eastAsia="zh-CN"/>
        </w:rPr>
        <w:t>“借、用、管、还”管理要求及程序</w:t>
      </w:r>
      <w:r>
        <w:rPr>
          <w:rFonts w:hint="default" w:ascii="Times New Roman" w:hAnsi="Times New Roman" w:eastAsia="仿宋_GB2312" w:cs="Times New Roman"/>
          <w:color w:val="auto"/>
          <w:sz w:val="32"/>
          <w:szCs w:val="32"/>
          <w:highlight w:val="none"/>
        </w:rPr>
        <w:t>，为地方做好</w:t>
      </w:r>
      <w:r>
        <w:rPr>
          <w:rFonts w:hint="default" w:ascii="Times New Roman" w:hAnsi="Times New Roman" w:eastAsia="仿宋_GB2312" w:cs="Times New Roman"/>
          <w:color w:val="auto"/>
          <w:sz w:val="32"/>
          <w:szCs w:val="32"/>
          <w:highlight w:val="none"/>
          <w:lang w:eastAsia="zh-CN"/>
        </w:rPr>
        <w:t>专项债券</w:t>
      </w:r>
      <w:r>
        <w:rPr>
          <w:rFonts w:hint="default" w:ascii="Times New Roman" w:hAnsi="Times New Roman" w:eastAsia="仿宋_GB2312" w:cs="Times New Roman"/>
          <w:color w:val="auto"/>
          <w:sz w:val="32"/>
          <w:szCs w:val="32"/>
          <w:highlight w:val="none"/>
        </w:rPr>
        <w:t>全生命周期管理提供政策指导。创新建立专项债券资金监管账户管理制度，通过“</w:t>
      </w:r>
      <w:r>
        <w:rPr>
          <w:rFonts w:hint="default" w:ascii="Times New Roman" w:hAnsi="Times New Roman" w:eastAsia="仿宋_GB2312" w:cs="Times New Roman"/>
          <w:color w:val="auto"/>
          <w:sz w:val="32"/>
          <w:szCs w:val="32"/>
          <w:highlight w:val="none"/>
          <w:lang w:eastAsia="zh-CN"/>
        </w:rPr>
        <w:t>国库集中支付</w:t>
      </w:r>
      <w:r>
        <w:rPr>
          <w:rFonts w:hint="default" w:ascii="Times New Roman" w:hAnsi="Times New Roman" w:eastAsia="仿宋_GB2312" w:cs="Times New Roman"/>
          <w:color w:val="auto"/>
          <w:sz w:val="32"/>
          <w:szCs w:val="32"/>
          <w:highlight w:val="none"/>
          <w:lang w:val="en-US" w:eastAsia="zh-CN"/>
        </w:rPr>
        <w:t>+企业监管</w:t>
      </w:r>
      <w:r>
        <w:rPr>
          <w:rFonts w:hint="default" w:ascii="Times New Roman" w:hAnsi="Times New Roman" w:eastAsia="仿宋_GB2312" w:cs="Times New Roman"/>
          <w:color w:val="auto"/>
          <w:sz w:val="32"/>
          <w:szCs w:val="32"/>
          <w:highlight w:val="none"/>
        </w:rPr>
        <w:t>账户+管理系统”</w:t>
      </w:r>
      <w:r>
        <w:rPr>
          <w:rFonts w:hint="default" w:ascii="Times New Roman" w:hAnsi="Times New Roman" w:eastAsia="仿宋_GB2312" w:cs="Times New Roman"/>
          <w:color w:val="auto"/>
          <w:sz w:val="32"/>
          <w:szCs w:val="32"/>
          <w:highlight w:val="none"/>
          <w:lang w:val="en-US" w:eastAsia="zh-CN"/>
        </w:rPr>
        <w:t>方式</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对资金支付</w:t>
      </w:r>
      <w:r>
        <w:rPr>
          <w:rFonts w:hint="default" w:ascii="Times New Roman" w:hAnsi="Times New Roman" w:eastAsia="仿宋_GB2312" w:cs="Times New Roman"/>
          <w:color w:val="auto"/>
          <w:sz w:val="32"/>
          <w:szCs w:val="32"/>
          <w:highlight w:val="none"/>
        </w:rPr>
        <w:t>实现“一竿子插到底”穿透监管，最大限度消除监管盲区</w:t>
      </w:r>
      <w:r>
        <w:rPr>
          <w:rFonts w:hint="default" w:ascii="Times New Roman" w:hAnsi="Times New Roman" w:eastAsia="仿宋_GB2312" w:cs="Times New Roman"/>
          <w:color w:val="auto"/>
          <w:sz w:val="32"/>
          <w:szCs w:val="32"/>
          <w:highlight w:val="none"/>
          <w:lang w:eastAsia="zh-CN"/>
        </w:rPr>
        <w:t>。</w:t>
      </w:r>
    </w:p>
    <w:p w14:paraId="1DD4C3C4">
      <w:pPr>
        <w:pStyle w:val="4"/>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（2）严格债务预算管理。</w:t>
      </w:r>
      <w:r>
        <w:rPr>
          <w:rFonts w:hint="default" w:ascii="Times New Roman" w:hAnsi="Times New Roman" w:eastAsia="仿宋_GB2312" w:cs="Times New Roman"/>
          <w:color w:val="auto"/>
          <w:sz w:val="32"/>
          <w:szCs w:val="32"/>
          <w:highlight w:val="none"/>
          <w:lang w:val="en-US" w:eastAsia="zh-CN"/>
        </w:rPr>
        <w:t>将债务收入、支出、还本、付息、发行全面纳入预算管理。督促省级部门和市县部门通过安排年度预算资金、盘活存量资金等偿还政府债务，发行适当规模债券偿还到期债券本金。</w:t>
      </w:r>
    </w:p>
    <w:p w14:paraId="1A26384D">
      <w:pPr>
        <w:pStyle w:val="4"/>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（3）推进债务管理绩效考核。</w:t>
      </w:r>
      <w:r>
        <w:rPr>
          <w:rFonts w:hint="default" w:ascii="Times New Roman" w:hAnsi="Times New Roman" w:eastAsia="仿宋_GB2312" w:cs="Times New Roman"/>
          <w:b w:val="0"/>
          <w:bCs w:val="0"/>
          <w:color w:val="auto"/>
          <w:sz w:val="32"/>
          <w:szCs w:val="32"/>
          <w:highlight w:val="none"/>
          <w:lang w:val="en-US" w:eastAsia="zh-CN"/>
        </w:rPr>
        <w:t>省级财政每年选取部分重点领域开展重点绩效评价，并将评价结果纳入新增债务限额分配测算因素中，</w:t>
      </w:r>
      <w:r>
        <w:rPr>
          <w:rFonts w:hint="default" w:ascii="Times New Roman" w:hAnsi="Times New Roman" w:eastAsia="仿宋_GB2312" w:cs="Times New Roman"/>
          <w:b w:val="0"/>
          <w:bCs w:val="0"/>
          <w:color w:val="auto"/>
          <w:sz w:val="32"/>
          <w:szCs w:val="32"/>
          <w:highlight w:val="none"/>
        </w:rPr>
        <w:t>引导地方政府树立“举债必问效，无效必问责”的资</w:t>
      </w:r>
      <w:r>
        <w:rPr>
          <w:rFonts w:hint="default" w:ascii="Times New Roman" w:hAnsi="Times New Roman" w:eastAsia="仿宋_GB2312" w:cs="Times New Roman"/>
          <w:b w:val="0"/>
          <w:bCs w:val="0"/>
          <w:color w:val="auto"/>
          <w:sz w:val="32"/>
          <w:szCs w:val="32"/>
          <w:highlight w:val="none"/>
          <w:lang w:val="en-US" w:eastAsia="zh-CN"/>
        </w:rPr>
        <w:t>金管理理念，促进债券资金安全高效使用。</w:t>
      </w:r>
    </w:p>
    <w:p w14:paraId="1BD91EE3">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color w:val="auto"/>
          <w:kern w:val="2"/>
          <w:sz w:val="32"/>
          <w:szCs w:val="32"/>
          <w:highlight w:val="none"/>
          <w:lang w:val="en-US" w:eastAsia="zh-CN" w:bidi="ar-SA"/>
        </w:rPr>
      </w:pPr>
      <w:r>
        <w:rPr>
          <w:rFonts w:hint="default" w:ascii="Times New Roman" w:hAnsi="Times New Roman" w:eastAsia="方正楷体简体" w:cs="Times New Roman"/>
          <w:color w:val="auto"/>
          <w:kern w:val="2"/>
          <w:sz w:val="32"/>
          <w:szCs w:val="32"/>
          <w:highlight w:val="none"/>
          <w:lang w:val="en-US" w:eastAsia="zh-CN" w:bidi="ar-SA"/>
        </w:rPr>
        <w:t>2</w:t>
      </w:r>
      <w:r>
        <w:rPr>
          <w:rFonts w:hint="default" w:ascii="Times New Roman" w:hAnsi="Times New Roman" w:eastAsia="楷体_GB2312" w:cs="Times New Roman"/>
          <w:color w:val="auto"/>
          <w:kern w:val="2"/>
          <w:sz w:val="32"/>
          <w:szCs w:val="32"/>
          <w:highlight w:val="none"/>
          <w:lang w:val="en-US" w:eastAsia="zh-CN" w:bidi="ar-SA"/>
        </w:rPr>
        <w:t>.聚焦重点领域，加力促投资稳增长。</w:t>
      </w:r>
    </w:p>
    <w:p w14:paraId="7955E7A5">
      <w:pPr>
        <w:pStyle w:val="4"/>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（1）积极落实中央和省委安排部署。</w:t>
      </w:r>
      <w:r>
        <w:rPr>
          <w:rFonts w:hint="default" w:ascii="Times New Roman" w:hAnsi="Times New Roman" w:eastAsia="仿宋_GB2312" w:cs="Times New Roman"/>
          <w:color w:val="auto"/>
          <w:sz w:val="32"/>
          <w:szCs w:val="32"/>
          <w:highlight w:val="none"/>
          <w:lang w:val="en-US" w:eastAsia="zh-CN"/>
        </w:rPr>
        <w:t>坚持“资金跟着项目走”原则，聚焦成渝地区双城经济圈建设、乡村振兴等中央和省重大战略项目，优先支持省委省政府明确的</w:t>
      </w:r>
      <w:r>
        <w:rPr>
          <w:rFonts w:hint="eastAsia" w:ascii="Times New Roman" w:hAnsi="Times New Roman" w:eastAsia="仿宋_GB2312" w:cs="Times New Roman"/>
          <w:color w:val="auto"/>
          <w:sz w:val="32"/>
          <w:szCs w:val="32"/>
          <w:highlight w:val="none"/>
          <w:lang w:val="en-US" w:eastAsia="zh-CN"/>
        </w:rPr>
        <w:t>重大项目</w:t>
      </w:r>
      <w:r>
        <w:rPr>
          <w:rFonts w:hint="default" w:ascii="Times New Roman" w:hAnsi="Times New Roman" w:eastAsia="仿宋_GB2312" w:cs="Times New Roman"/>
          <w:color w:val="auto"/>
          <w:sz w:val="32"/>
          <w:szCs w:val="32"/>
          <w:highlight w:val="none"/>
          <w:lang w:val="en-US" w:eastAsia="zh-CN"/>
        </w:rPr>
        <w:t>，积极向中央汇报，争取新增限额支持，增强对重大战略决策的支撑力度，充分发挥债券资金逆周期调节、“补短板、惠民生、促消费、扩内需”的积极作用。</w:t>
      </w:r>
    </w:p>
    <w:p w14:paraId="0F9BAC37">
      <w:pPr>
        <w:pStyle w:val="4"/>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（2）精心优选债券发行项目。</w:t>
      </w:r>
      <w:r>
        <w:rPr>
          <w:rFonts w:hint="default" w:ascii="Times New Roman" w:hAnsi="Times New Roman" w:eastAsia="仿宋_GB2312" w:cs="Times New Roman"/>
          <w:color w:val="auto"/>
          <w:sz w:val="32"/>
          <w:szCs w:val="32"/>
          <w:highlight w:val="none"/>
          <w:lang w:val="en-US" w:eastAsia="zh-CN"/>
        </w:rPr>
        <w:t>坚持专项债券用于有一定收益的公益性项目，融资规模与收益相平衡，联合省级相关行业主管部门、金融机构等相关专家，严格按照专项债券发行条件对拟发债项目进行联合把关，确保项目的可行性与专项债券资金安排合规性，切实把好“入口关”。统筹做好存量项目与新增项目发行，优先保障在建项目融资需求，坚决防止“撒胡椒面”和出现“半拉子工程”。</w:t>
      </w:r>
    </w:p>
    <w:p w14:paraId="0DCB112F">
      <w:pPr>
        <w:pStyle w:val="4"/>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（3）加快债券使用进度。</w:t>
      </w:r>
      <w:r>
        <w:rPr>
          <w:rFonts w:hint="default" w:ascii="Times New Roman" w:hAnsi="Times New Roman" w:eastAsia="仿宋_GB2312" w:cs="Times New Roman"/>
          <w:color w:val="auto"/>
          <w:sz w:val="32"/>
          <w:szCs w:val="32"/>
          <w:highlight w:val="none"/>
          <w:lang w:val="en-US" w:eastAsia="zh-CN"/>
        </w:rPr>
        <w:t>提前做好资金拨付方案，确保新增债券资金及时拨付至市县；建立“</w:t>
      </w:r>
      <w:r>
        <w:rPr>
          <w:rFonts w:hint="eastAsia" w:ascii="Times New Roman" w:hAnsi="Times New Roman" w:eastAsia="仿宋_GB2312" w:cs="Times New Roman"/>
          <w:color w:val="auto"/>
          <w:sz w:val="32"/>
          <w:szCs w:val="32"/>
          <w:highlight w:val="none"/>
          <w:lang w:val="en-US" w:eastAsia="zh-CN"/>
        </w:rPr>
        <w:t>按日监测、按周调度、按旬通报</w:t>
      </w:r>
      <w:r>
        <w:rPr>
          <w:rFonts w:hint="default" w:ascii="Times New Roman" w:hAnsi="Times New Roman" w:eastAsia="仿宋_GB2312" w:cs="Times New Roman"/>
          <w:color w:val="auto"/>
          <w:sz w:val="32"/>
          <w:szCs w:val="32"/>
          <w:highlight w:val="none"/>
          <w:lang w:val="en-US" w:eastAsia="zh-CN"/>
        </w:rPr>
        <w:t>”机制，督促市县加快债券资金拨付使用进度，新增专项债券使用进度进一步加快。</w:t>
      </w:r>
    </w:p>
    <w:p w14:paraId="36359FE2">
      <w:pPr>
        <w:pStyle w:val="4"/>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color w:val="auto"/>
          <w:sz w:val="32"/>
          <w:szCs w:val="32"/>
          <w:highlight w:val="none"/>
          <w:lang w:val="en-US" w:eastAsia="zh-CN"/>
        </w:rPr>
      </w:pPr>
      <w:r>
        <w:rPr>
          <w:rFonts w:hint="default" w:ascii="Times New Roman" w:hAnsi="Times New Roman" w:eastAsia="楷体_GB2312" w:cs="Times New Roman"/>
          <w:color w:val="auto"/>
          <w:sz w:val="32"/>
          <w:szCs w:val="32"/>
          <w:highlight w:val="none"/>
          <w:lang w:val="en-US" w:eastAsia="zh-CN"/>
        </w:rPr>
        <w:t>3.强化风险防控，牢牢守住防范风险底线。</w:t>
      </w:r>
    </w:p>
    <w:p w14:paraId="7FA06EA3">
      <w:pPr>
        <w:pStyle w:val="4"/>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（1）严格债务限额管理。</w:t>
      </w:r>
      <w:r>
        <w:rPr>
          <w:rFonts w:hint="default" w:ascii="Times New Roman" w:hAnsi="Times New Roman" w:eastAsia="仿宋_GB2312" w:cs="Times New Roman"/>
          <w:b w:val="0"/>
          <w:bCs w:val="0"/>
          <w:color w:val="auto"/>
          <w:sz w:val="32"/>
          <w:szCs w:val="32"/>
          <w:highlight w:val="none"/>
        </w:rPr>
        <w:t>根据</w:t>
      </w:r>
      <w:r>
        <w:rPr>
          <w:rFonts w:hint="default" w:ascii="Times New Roman" w:hAnsi="Times New Roman" w:eastAsia="仿宋_GB2312" w:cs="Times New Roman"/>
          <w:b w:val="0"/>
          <w:bCs w:val="0"/>
          <w:color w:val="auto"/>
          <w:sz w:val="32"/>
          <w:szCs w:val="32"/>
          <w:highlight w:val="none"/>
          <w:lang w:eastAsia="zh-CN"/>
        </w:rPr>
        <w:t>债务</w:t>
      </w:r>
      <w:r>
        <w:rPr>
          <w:rFonts w:hint="default" w:ascii="Times New Roman" w:hAnsi="Times New Roman" w:eastAsia="仿宋_GB2312" w:cs="Times New Roman"/>
          <w:b w:val="0"/>
          <w:bCs w:val="0"/>
          <w:color w:val="auto"/>
          <w:sz w:val="32"/>
          <w:szCs w:val="32"/>
          <w:highlight w:val="none"/>
        </w:rPr>
        <w:t>风险等因素科学分配市县新增</w:t>
      </w:r>
      <w:r>
        <w:rPr>
          <w:rFonts w:hint="default" w:ascii="Times New Roman" w:hAnsi="Times New Roman" w:eastAsia="仿宋_GB2312" w:cs="Times New Roman"/>
          <w:b w:val="0"/>
          <w:bCs w:val="0"/>
          <w:color w:val="auto"/>
          <w:sz w:val="32"/>
          <w:szCs w:val="32"/>
          <w:highlight w:val="none"/>
          <w:lang w:eastAsia="zh-CN"/>
        </w:rPr>
        <w:t>债务</w:t>
      </w:r>
      <w:r>
        <w:rPr>
          <w:rFonts w:hint="default" w:ascii="Times New Roman" w:hAnsi="Times New Roman" w:eastAsia="仿宋_GB2312" w:cs="Times New Roman"/>
          <w:b w:val="0"/>
          <w:bCs w:val="0"/>
          <w:color w:val="auto"/>
          <w:sz w:val="32"/>
          <w:szCs w:val="32"/>
          <w:highlight w:val="none"/>
        </w:rPr>
        <w:t>限额，对</w:t>
      </w:r>
      <w:r>
        <w:rPr>
          <w:rFonts w:hint="default" w:ascii="Times New Roman" w:hAnsi="Times New Roman" w:eastAsia="仿宋_GB2312" w:cs="Times New Roman"/>
          <w:b w:val="0"/>
          <w:bCs w:val="0"/>
          <w:color w:val="auto"/>
          <w:sz w:val="32"/>
          <w:szCs w:val="32"/>
          <w:highlight w:val="none"/>
          <w:lang w:eastAsia="zh-CN"/>
        </w:rPr>
        <w:t>债务</w:t>
      </w:r>
      <w:r>
        <w:rPr>
          <w:rFonts w:hint="default" w:ascii="Times New Roman" w:hAnsi="Times New Roman" w:eastAsia="仿宋_GB2312" w:cs="Times New Roman"/>
          <w:b w:val="0"/>
          <w:bCs w:val="0"/>
          <w:color w:val="auto"/>
          <w:sz w:val="32"/>
          <w:szCs w:val="32"/>
          <w:highlight w:val="none"/>
        </w:rPr>
        <w:t>风险较高地区适当限制新增债券额度，引导地方政府加大化债力度，控制</w:t>
      </w:r>
      <w:r>
        <w:rPr>
          <w:rFonts w:hint="default" w:ascii="Times New Roman" w:hAnsi="Times New Roman" w:eastAsia="仿宋_GB2312" w:cs="Times New Roman"/>
          <w:b w:val="0"/>
          <w:bCs w:val="0"/>
          <w:color w:val="auto"/>
          <w:sz w:val="32"/>
          <w:szCs w:val="32"/>
          <w:highlight w:val="none"/>
          <w:lang w:eastAsia="zh-CN"/>
        </w:rPr>
        <w:t>债务</w:t>
      </w:r>
      <w:r>
        <w:rPr>
          <w:rFonts w:hint="default" w:ascii="Times New Roman" w:hAnsi="Times New Roman" w:eastAsia="仿宋_GB2312" w:cs="Times New Roman"/>
          <w:b w:val="0"/>
          <w:bCs w:val="0"/>
          <w:color w:val="auto"/>
          <w:sz w:val="32"/>
          <w:szCs w:val="32"/>
          <w:highlight w:val="none"/>
        </w:rPr>
        <w:t>风险水平。</w:t>
      </w:r>
      <w:r>
        <w:rPr>
          <w:rFonts w:hint="default" w:ascii="Times New Roman" w:hAnsi="Times New Roman" w:eastAsia="仿宋_GB2312" w:cs="Times New Roman"/>
          <w:b w:val="0"/>
          <w:bCs w:val="0"/>
          <w:color w:val="auto"/>
          <w:sz w:val="32"/>
          <w:szCs w:val="32"/>
          <w:highlight w:val="none"/>
          <w:lang w:val="en-US" w:eastAsia="zh-CN"/>
        </w:rPr>
        <w:t>202</w:t>
      </w:r>
      <w:r>
        <w:rPr>
          <w:rFonts w:hint="eastAsia" w:ascii="Times New Roman" w:hAnsi="Times New Roman" w:eastAsia="仿宋_GB2312" w:cs="Times New Roman"/>
          <w:b w:val="0"/>
          <w:bCs w:val="0"/>
          <w:color w:val="auto"/>
          <w:sz w:val="32"/>
          <w:szCs w:val="32"/>
          <w:highlight w:val="none"/>
          <w:lang w:val="en-US" w:eastAsia="zh-CN"/>
        </w:rPr>
        <w:t>4</w:t>
      </w:r>
      <w:r>
        <w:rPr>
          <w:rFonts w:hint="default" w:ascii="Times New Roman" w:hAnsi="Times New Roman" w:eastAsia="仿宋_GB2312" w:cs="Times New Roman"/>
          <w:b w:val="0"/>
          <w:bCs w:val="0"/>
          <w:color w:val="auto"/>
          <w:sz w:val="32"/>
          <w:szCs w:val="32"/>
          <w:highlight w:val="none"/>
          <w:lang w:val="en-US" w:eastAsia="zh-CN"/>
        </w:rPr>
        <w:t>年</w:t>
      </w:r>
      <w:r>
        <w:rPr>
          <w:rFonts w:hint="default" w:ascii="Times New Roman" w:hAnsi="Times New Roman" w:eastAsia="仿宋_GB2312" w:cs="Times New Roman"/>
          <w:b w:val="0"/>
          <w:bCs w:val="0"/>
          <w:color w:val="auto"/>
          <w:sz w:val="32"/>
          <w:szCs w:val="32"/>
          <w:highlight w:val="none"/>
        </w:rPr>
        <w:t>全省政府</w:t>
      </w:r>
      <w:r>
        <w:rPr>
          <w:rFonts w:hint="default" w:ascii="Times New Roman" w:hAnsi="Times New Roman" w:eastAsia="仿宋_GB2312" w:cs="Times New Roman"/>
          <w:b w:val="0"/>
          <w:bCs w:val="0"/>
          <w:color w:val="auto"/>
          <w:sz w:val="32"/>
          <w:szCs w:val="32"/>
          <w:highlight w:val="none"/>
          <w:lang w:eastAsia="zh-CN"/>
        </w:rPr>
        <w:t>债务</w:t>
      </w:r>
      <w:r>
        <w:rPr>
          <w:rFonts w:hint="default" w:ascii="Times New Roman" w:hAnsi="Times New Roman" w:eastAsia="仿宋_GB2312" w:cs="Times New Roman"/>
          <w:b w:val="0"/>
          <w:bCs w:val="0"/>
          <w:color w:val="auto"/>
          <w:sz w:val="32"/>
          <w:szCs w:val="32"/>
          <w:highlight w:val="none"/>
        </w:rPr>
        <w:t>余额严格控制在财政部核定我省</w:t>
      </w:r>
      <w:r>
        <w:rPr>
          <w:rFonts w:hint="default" w:ascii="Times New Roman" w:hAnsi="Times New Roman" w:eastAsia="仿宋_GB2312" w:cs="Times New Roman"/>
          <w:b w:val="0"/>
          <w:bCs w:val="0"/>
          <w:color w:val="auto"/>
          <w:sz w:val="32"/>
          <w:szCs w:val="32"/>
          <w:highlight w:val="none"/>
          <w:lang w:eastAsia="zh-CN"/>
        </w:rPr>
        <w:t>债务</w:t>
      </w:r>
      <w:r>
        <w:rPr>
          <w:rFonts w:hint="default" w:ascii="Times New Roman" w:hAnsi="Times New Roman" w:eastAsia="仿宋_GB2312" w:cs="Times New Roman"/>
          <w:b w:val="0"/>
          <w:bCs w:val="0"/>
          <w:color w:val="auto"/>
          <w:sz w:val="32"/>
          <w:szCs w:val="32"/>
          <w:highlight w:val="none"/>
        </w:rPr>
        <w:t>限额以内，</w:t>
      </w:r>
      <w:r>
        <w:rPr>
          <w:rFonts w:hint="default" w:ascii="Times New Roman" w:hAnsi="Times New Roman" w:eastAsia="仿宋_GB2312" w:cs="Times New Roman"/>
          <w:b w:val="0"/>
          <w:bCs w:val="0"/>
          <w:color w:val="auto"/>
          <w:sz w:val="32"/>
          <w:szCs w:val="32"/>
          <w:highlight w:val="none"/>
          <w:lang w:eastAsia="zh-CN"/>
        </w:rPr>
        <w:t>债务</w:t>
      </w:r>
      <w:r>
        <w:rPr>
          <w:rFonts w:hint="default" w:ascii="Times New Roman" w:hAnsi="Times New Roman" w:eastAsia="仿宋_GB2312" w:cs="Times New Roman"/>
          <w:b w:val="0"/>
          <w:bCs w:val="0"/>
          <w:color w:val="auto"/>
          <w:sz w:val="32"/>
          <w:szCs w:val="32"/>
          <w:highlight w:val="none"/>
        </w:rPr>
        <w:t>风险总体可控</w:t>
      </w:r>
      <w:r>
        <w:rPr>
          <w:rFonts w:hint="default" w:ascii="Times New Roman" w:hAnsi="Times New Roman" w:eastAsia="仿宋_GB2312" w:cs="Times New Roman"/>
          <w:color w:val="auto"/>
          <w:sz w:val="32"/>
          <w:szCs w:val="32"/>
          <w:highlight w:val="none"/>
          <w:lang w:val="en-US" w:eastAsia="zh-CN"/>
        </w:rPr>
        <w:t>。</w:t>
      </w:r>
    </w:p>
    <w:p w14:paraId="504B4940">
      <w:pPr>
        <w:pStyle w:val="4"/>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（2）全面完成到期政府债务偿还。</w:t>
      </w:r>
      <w:r>
        <w:rPr>
          <w:rFonts w:hint="default" w:ascii="Times New Roman" w:hAnsi="Times New Roman" w:eastAsia="仿宋_GB2312" w:cs="Times New Roman"/>
          <w:color w:val="auto"/>
          <w:sz w:val="32"/>
          <w:szCs w:val="32"/>
          <w:highlight w:val="none"/>
          <w:lang w:val="en-US" w:eastAsia="zh-CN"/>
        </w:rPr>
        <w:t>依法落实法定债券偿还责任，按照“谁使用、谁偿还”的原则，严格落实偿债资金来源，提高自有资金偿债比例，切实维护了省政府信誉。</w:t>
      </w:r>
    </w:p>
    <w:p w14:paraId="7A94AC36">
      <w:pPr>
        <w:pStyle w:val="4"/>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（3）强化债务风险监测预警。</w:t>
      </w:r>
      <w:r>
        <w:rPr>
          <w:rFonts w:hint="eastAsia" w:ascii="Times New Roman" w:hAnsi="Times New Roman" w:eastAsia="仿宋_GB2312" w:cs="Times New Roman"/>
          <w:b w:val="0"/>
          <w:bCs w:val="0"/>
          <w:color w:val="auto"/>
          <w:sz w:val="32"/>
          <w:szCs w:val="32"/>
          <w:highlight w:val="none"/>
          <w:lang w:val="en-US" w:eastAsia="zh-CN"/>
        </w:rPr>
        <w:t>实施全口径地方债务监测监管，</w:t>
      </w:r>
      <w:r>
        <w:rPr>
          <w:rFonts w:hint="default" w:ascii="Times New Roman" w:hAnsi="Times New Roman" w:eastAsia="仿宋_GB2312" w:cs="Times New Roman"/>
          <w:b w:val="0"/>
          <w:bCs w:val="0"/>
          <w:color w:val="auto"/>
          <w:sz w:val="32"/>
          <w:szCs w:val="32"/>
          <w:highlight w:val="none"/>
        </w:rPr>
        <w:t>定期开展</w:t>
      </w:r>
      <w:r>
        <w:rPr>
          <w:rFonts w:hint="default" w:ascii="Times New Roman" w:hAnsi="Times New Roman" w:eastAsia="仿宋_GB2312" w:cs="Times New Roman"/>
          <w:b w:val="0"/>
          <w:bCs w:val="0"/>
          <w:color w:val="auto"/>
          <w:sz w:val="32"/>
          <w:szCs w:val="32"/>
          <w:highlight w:val="none"/>
          <w:lang w:eastAsia="zh-CN"/>
        </w:rPr>
        <w:t>债务</w:t>
      </w:r>
      <w:r>
        <w:rPr>
          <w:rFonts w:hint="default" w:ascii="Times New Roman" w:hAnsi="Times New Roman" w:eastAsia="仿宋_GB2312" w:cs="Times New Roman"/>
          <w:b w:val="0"/>
          <w:bCs w:val="0"/>
          <w:color w:val="auto"/>
          <w:sz w:val="32"/>
          <w:szCs w:val="32"/>
          <w:highlight w:val="none"/>
        </w:rPr>
        <w:t>风险评估，及时通报评估结果</w:t>
      </w:r>
      <w:r>
        <w:rPr>
          <w:rFonts w:hint="default" w:ascii="Times New Roman" w:hAnsi="Times New Roman" w:eastAsia="仿宋_GB2312" w:cs="Times New Roman"/>
          <w:b w:val="0"/>
          <w:bCs w:val="0"/>
          <w:color w:val="auto"/>
          <w:sz w:val="32"/>
          <w:szCs w:val="32"/>
          <w:highlight w:val="none"/>
          <w:lang w:eastAsia="zh-CN"/>
        </w:rPr>
        <w:t>，</w:t>
      </w:r>
      <w:r>
        <w:rPr>
          <w:rFonts w:hint="eastAsia" w:ascii="Times New Roman" w:hAnsi="Times New Roman" w:eastAsia="仿宋_GB2312" w:cs="Times New Roman"/>
          <w:b w:val="0"/>
          <w:bCs w:val="0"/>
          <w:color w:val="auto"/>
          <w:sz w:val="32"/>
          <w:szCs w:val="32"/>
          <w:highlight w:val="none"/>
          <w:lang w:eastAsia="zh-CN"/>
        </w:rPr>
        <w:t>统筹用好国家一揽子化债增量政策，化解高风险高成本债务，筑牢防爆雷底线，坚决遏制新增隐性债务</w:t>
      </w:r>
      <w:r>
        <w:rPr>
          <w:rFonts w:hint="default" w:ascii="Times New Roman" w:hAnsi="Times New Roman" w:eastAsia="仿宋_GB2312" w:cs="Times New Roman"/>
          <w:color w:val="auto"/>
          <w:sz w:val="32"/>
          <w:szCs w:val="32"/>
          <w:highlight w:val="none"/>
          <w:lang w:val="en-US" w:eastAsia="zh-CN"/>
        </w:rPr>
        <w:t>。</w:t>
      </w:r>
    </w:p>
    <w:p w14:paraId="050E14EF">
      <w:pPr>
        <w:pStyle w:val="4"/>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bCs/>
          <w:color w:val="auto"/>
          <w:sz w:val="32"/>
          <w:szCs w:val="32"/>
          <w:highlight w:val="none"/>
          <w:lang w:val="en-US" w:eastAsia="zh-CN"/>
        </w:rPr>
        <w:t>（4）严格违规举债追责问责。</w:t>
      </w:r>
      <w:r>
        <w:rPr>
          <w:rFonts w:hint="default" w:ascii="Times New Roman" w:hAnsi="Times New Roman" w:eastAsia="仿宋_GB2312" w:cs="Times New Roman"/>
          <w:b w:val="0"/>
          <w:bCs w:val="0"/>
          <w:color w:val="auto"/>
          <w:sz w:val="32"/>
          <w:szCs w:val="32"/>
          <w:highlight w:val="none"/>
          <w:lang w:eastAsia="zh-CN"/>
        </w:rPr>
        <w:t>严格落实</w:t>
      </w:r>
      <w:r>
        <w:rPr>
          <w:rFonts w:hint="eastAsia" w:ascii="Times New Roman" w:hAnsi="Times New Roman" w:eastAsia="仿宋_GB2312" w:cs="Times New Roman"/>
          <w:b w:val="0"/>
          <w:bCs w:val="0"/>
          <w:color w:val="auto"/>
          <w:sz w:val="32"/>
          <w:szCs w:val="32"/>
          <w:highlight w:val="none"/>
          <w:lang w:eastAsia="zh-CN"/>
        </w:rPr>
        <w:t>违规</w:t>
      </w:r>
      <w:r>
        <w:rPr>
          <w:rFonts w:hint="default" w:ascii="Times New Roman" w:hAnsi="Times New Roman" w:eastAsia="仿宋_GB2312" w:cs="Times New Roman"/>
          <w:b w:val="0"/>
          <w:bCs w:val="0"/>
          <w:color w:val="auto"/>
          <w:sz w:val="32"/>
          <w:szCs w:val="32"/>
          <w:highlight w:val="none"/>
          <w:lang w:eastAsia="zh-CN"/>
        </w:rPr>
        <w:t>举债终身问责制和债务问题倒查机制，实施隐性债务问责闭环管理</w:t>
      </w:r>
      <w:r>
        <w:rPr>
          <w:rFonts w:hint="default" w:ascii="Times New Roman" w:hAnsi="Times New Roman" w:eastAsia="仿宋_GB2312" w:cs="Times New Roman"/>
          <w:b w:val="0"/>
          <w:bCs w:val="0"/>
          <w:color w:val="auto"/>
          <w:sz w:val="32"/>
          <w:szCs w:val="32"/>
          <w:highlight w:val="none"/>
        </w:rPr>
        <w:t>，</w:t>
      </w:r>
      <w:r>
        <w:rPr>
          <w:rFonts w:hint="eastAsia" w:ascii="Times New Roman" w:hAnsi="Times New Roman" w:eastAsia="仿宋_GB2312" w:cs="Times New Roman"/>
          <w:b w:val="0"/>
          <w:bCs w:val="0"/>
          <w:color w:val="auto"/>
          <w:sz w:val="32"/>
          <w:szCs w:val="32"/>
          <w:highlight w:val="none"/>
          <w:lang w:eastAsia="zh-CN"/>
        </w:rPr>
        <w:t>将不新增隐性债务作为铁的纪律，加强政府支出事项和政府投资项目预算管理，对违规举债严肃追责问责</w:t>
      </w:r>
      <w:r>
        <w:rPr>
          <w:rFonts w:hint="default" w:ascii="Times New Roman" w:hAnsi="Times New Roman" w:eastAsia="仿宋_GB2312" w:cs="Times New Roman"/>
          <w:b w:val="0"/>
          <w:bCs w:val="0"/>
          <w:color w:val="auto"/>
          <w:sz w:val="32"/>
          <w:szCs w:val="32"/>
          <w:highlight w:val="none"/>
        </w:rPr>
        <w:t>。</w:t>
      </w:r>
    </w:p>
    <w:p w14:paraId="6D410187">
      <w:pPr>
        <w:pStyle w:val="4"/>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b w:val="0"/>
          <w:bCs w:val="0"/>
          <w:color w:val="auto"/>
          <w:sz w:val="32"/>
          <w:szCs w:val="32"/>
          <w:highlight w:val="none"/>
          <w:lang w:eastAsia="zh-CN"/>
        </w:rPr>
      </w:pPr>
    </w:p>
    <w:p w14:paraId="4714AB02">
      <w:pPr>
        <w:pStyle w:val="4"/>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color w:val="auto"/>
          <w:sz w:val="32"/>
          <w:szCs w:val="32"/>
          <w:highlight w:val="none"/>
        </w:rPr>
      </w:pPr>
    </w:p>
    <w:p w14:paraId="1E1DEB25">
      <w:pPr>
        <w:keepNext w:val="0"/>
        <w:keepLines w:val="0"/>
        <w:pageBreakBefore w:val="0"/>
        <w:kinsoku/>
        <w:wordWrap/>
        <w:overflowPunct/>
        <w:topLinePunct w:val="0"/>
        <w:autoSpaceDE/>
        <w:autoSpaceDN/>
        <w:bidi w:val="0"/>
        <w:adjustRightInd/>
        <w:snapToGrid/>
        <w:spacing w:line="580" w:lineRule="exact"/>
        <w:ind w:right="770"/>
        <w:jc w:val="right"/>
        <w:textAlignment w:val="auto"/>
        <w:rPr>
          <w:rFonts w:hint="default"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rPr>
        <w:t>四川省财政厅</w:t>
      </w:r>
    </w:p>
    <w:p w14:paraId="4F1B61DD">
      <w:pPr>
        <w:keepNext w:val="0"/>
        <w:keepLines w:val="0"/>
        <w:pageBreakBefore w:val="0"/>
        <w:kinsoku/>
        <w:wordWrap/>
        <w:overflowPunct/>
        <w:topLinePunct w:val="0"/>
        <w:autoSpaceDE/>
        <w:autoSpaceDN/>
        <w:bidi w:val="0"/>
        <w:adjustRightInd/>
        <w:snapToGrid/>
        <w:spacing w:line="580" w:lineRule="exact"/>
        <w:ind w:right="460"/>
        <w:jc w:val="right"/>
        <w:textAlignment w:val="auto"/>
        <w:rPr>
          <w:rFonts w:hint="default" w:ascii="Times New Roman" w:hAnsi="Times New Roman" w:cs="Times New Roman"/>
          <w:color w:val="auto"/>
          <w:sz w:val="32"/>
          <w:szCs w:val="32"/>
          <w:highlight w:val="none"/>
        </w:rPr>
      </w:pPr>
      <w:r>
        <w:rPr>
          <w:rFonts w:hint="eastAsia" w:cs="Times New Roman"/>
          <w:color w:val="auto"/>
          <w:sz w:val="32"/>
          <w:szCs w:val="32"/>
          <w:highlight w:val="none"/>
          <w:lang w:eastAsia="zh-CN"/>
        </w:rPr>
        <w:t>2025年</w:t>
      </w:r>
      <w:r>
        <w:rPr>
          <w:rFonts w:hint="eastAsia" w:cs="Times New Roman"/>
          <w:color w:val="auto"/>
          <w:sz w:val="32"/>
          <w:szCs w:val="32"/>
          <w:highlight w:val="none"/>
          <w:lang w:val="en-US" w:eastAsia="zh-CN"/>
        </w:rPr>
        <w:t>5</w:t>
      </w:r>
      <w:r>
        <w:rPr>
          <w:rFonts w:hint="default" w:ascii="Times New Roman" w:hAnsi="Times New Roman" w:cs="Times New Roman"/>
          <w:color w:val="auto"/>
          <w:sz w:val="32"/>
          <w:szCs w:val="32"/>
          <w:highlight w:val="none"/>
        </w:rPr>
        <w:t>月</w:t>
      </w:r>
      <w:r>
        <w:rPr>
          <w:rFonts w:hint="eastAsia" w:cs="Times New Roman"/>
          <w:color w:val="auto"/>
          <w:sz w:val="32"/>
          <w:szCs w:val="32"/>
          <w:highlight w:val="none"/>
          <w:lang w:val="en-US" w:eastAsia="zh-CN"/>
        </w:rPr>
        <w:t>23</w:t>
      </w:r>
      <w:r>
        <w:rPr>
          <w:rFonts w:hint="default" w:ascii="Times New Roman" w:hAnsi="Times New Roman" w:cs="Times New Roman"/>
          <w:color w:val="auto"/>
          <w:sz w:val="32"/>
          <w:szCs w:val="32"/>
          <w:highlight w:val="none"/>
        </w:rPr>
        <w:t>日</w:t>
      </w:r>
    </w:p>
    <w:sectPr>
      <w:footerReference r:id="rId3" w:type="default"/>
      <w:footerReference r:id="rId4" w:type="even"/>
      <w:pgSz w:w="11906" w:h="16838"/>
      <w:pgMar w:top="1757" w:right="1474" w:bottom="1871" w:left="1588" w:header="851" w:footer="992" w:gutter="0"/>
      <w:pgNumType w:fmt="numberInDash"/>
      <w:cols w:space="0" w:num="1"/>
      <w:rtlGutter w:val="0"/>
      <w:docGrid w:type="lines" w:linePitch="40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180E6F7-EF60-4A03-9328-A8F8319AB78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embedRegular r:id="rId2" w:fontKey="{C2B328EB-EF79-448E-B033-0E3B2003BAA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embedRegular r:id="rId3" w:fontKey="{33876B45-03CD-444D-BC73-B2AD78EC33F6}"/>
  </w:font>
  <w:font w:name="方正小标宋简体">
    <w:panose1 w:val="02010600010101010101"/>
    <w:charset w:val="86"/>
    <w:family w:val="auto"/>
    <w:pitch w:val="default"/>
    <w:sig w:usb0="00000001" w:usb1="080E0000" w:usb2="00000000" w:usb3="00000000" w:csb0="00040000" w:csb1="00000000"/>
    <w:embedRegular r:id="rId4" w:fontKey="{2B4DBF94-F59E-45F3-8C54-DB44DD00A55F}"/>
  </w:font>
  <w:font w:name="楷体_GB2312">
    <w:altName w:val="楷体"/>
    <w:panose1 w:val="02010609030101010101"/>
    <w:charset w:val="86"/>
    <w:family w:val="auto"/>
    <w:pitch w:val="default"/>
    <w:sig w:usb0="00000000" w:usb1="00000000" w:usb2="00000000" w:usb3="00000000" w:csb0="00040000" w:csb1="00000000"/>
    <w:embedRegular r:id="rId5" w:fontKey="{0858AE5F-D970-4B7A-90FD-1C83CC1EC330}"/>
  </w:font>
  <w:font w:name="楷体">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embedRegular r:id="rId6" w:fontKey="{270EE660-C628-4C64-870C-805C7F574810}"/>
  </w:font>
  <w:font w:name="方正楷体简体">
    <w:altName w:val="宋体"/>
    <w:panose1 w:val="02010601030101010101"/>
    <w:charset w:val="86"/>
    <w:family w:val="auto"/>
    <w:pitch w:val="default"/>
    <w:sig w:usb0="00000000" w:usb1="00000000" w:usb2="00000000" w:usb3="00000000" w:csb0="00040000" w:csb1="00000000"/>
    <w:embedRegular r:id="rId7" w:fontKey="{AEE78869-A523-43C3-857D-E5885201EC3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5429278"/>
      <w:docPartObj>
        <w:docPartGallery w:val="autotext"/>
      </w:docPartObj>
    </w:sdtPr>
    <w:sdtEndPr>
      <w:rPr>
        <w:rFonts w:asciiTheme="minorEastAsia" w:hAnsiTheme="minorEastAsia"/>
        <w:sz w:val="28"/>
        <w:szCs w:val="28"/>
      </w:rPr>
    </w:sdtEndPr>
    <w:sdtContent>
      <w:p w14:paraId="43A36A5B">
        <w:pPr>
          <w:pStyle w:val="6"/>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9 -</w:t>
        </w:r>
        <w:r>
          <w:rPr>
            <w:rFonts w:asciiTheme="minorEastAsia" w:hAnsiTheme="minorEastAsia"/>
            <w:sz w:val="28"/>
            <w:szCs w:val="28"/>
          </w:rPr>
          <w:fldChar w:fldCharType="end"/>
        </w:r>
      </w:p>
    </w:sdtContent>
  </w:sdt>
  <w:p w14:paraId="622C1262">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5429279"/>
      <w:docPartObj>
        <w:docPartGallery w:val="autotext"/>
      </w:docPartObj>
    </w:sdtPr>
    <w:sdtEndPr>
      <w:rPr>
        <w:rFonts w:asciiTheme="minorEastAsia" w:hAnsiTheme="minorEastAsia"/>
        <w:sz w:val="28"/>
        <w:szCs w:val="28"/>
      </w:rPr>
    </w:sdtEndPr>
    <w:sdtContent>
      <w:p w14:paraId="1D440FB7">
        <w:pPr>
          <w:pStyle w:val="6"/>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8 -</w:t>
        </w:r>
        <w:r>
          <w:rPr>
            <w:rFonts w:asciiTheme="minorEastAsia" w:hAnsiTheme="minorEastAsia"/>
            <w:sz w:val="28"/>
            <w:szCs w:val="28"/>
          </w:rPr>
          <w:fldChar w:fldCharType="end"/>
        </w:r>
      </w:p>
    </w:sdtContent>
  </w:sdt>
  <w:p w14:paraId="570116C1">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430BE2"/>
    <w:multiLevelType w:val="singleLevel"/>
    <w:tmpl w:val="EE430BE2"/>
    <w:lvl w:ilvl="0" w:tentative="0">
      <w:start w:val="4"/>
      <w:numFmt w:val="chineseCounting"/>
      <w:suff w:val="nothing"/>
      <w:lvlText w:val="%1、"/>
      <w:lvlJc w:val="left"/>
      <w:pPr>
        <w:ind w:left="640" w:leftChars="0" w:firstLine="0" w:firstLineChars="0"/>
      </w:pPr>
      <w:rPr>
        <w:rFonts w:hint="eastAsia"/>
      </w:rPr>
    </w:lvl>
  </w:abstractNum>
  <w:abstractNum w:abstractNumId="1">
    <w:nsid w:val="F7C65B72"/>
    <w:multiLevelType w:val="singleLevel"/>
    <w:tmpl w:val="F7C65B72"/>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evenAndOddHeaders w:val="1"/>
  <w:drawingGridHorizontalSpacing w:val="150"/>
  <w:drawingGridVerticalSpacing w:val="204"/>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wYzE3YWExNzRhZWE0NjUzYzc4ZjdjNzA2MWRkMjcifQ=="/>
  </w:docVars>
  <w:rsids>
    <w:rsidRoot w:val="00D75D48"/>
    <w:rsid w:val="00003E0D"/>
    <w:rsid w:val="0000494F"/>
    <w:rsid w:val="00006366"/>
    <w:rsid w:val="00011EFF"/>
    <w:rsid w:val="00013565"/>
    <w:rsid w:val="00014F5C"/>
    <w:rsid w:val="00042444"/>
    <w:rsid w:val="000434E1"/>
    <w:rsid w:val="0004465C"/>
    <w:rsid w:val="00050F45"/>
    <w:rsid w:val="0005104D"/>
    <w:rsid w:val="00051067"/>
    <w:rsid w:val="00064B6B"/>
    <w:rsid w:val="00072ECB"/>
    <w:rsid w:val="00076E3A"/>
    <w:rsid w:val="00086525"/>
    <w:rsid w:val="000B5961"/>
    <w:rsid w:val="000B5B7E"/>
    <w:rsid w:val="000B7854"/>
    <w:rsid w:val="000C057D"/>
    <w:rsid w:val="000C06BC"/>
    <w:rsid w:val="000C478F"/>
    <w:rsid w:val="000C61D3"/>
    <w:rsid w:val="000D26F6"/>
    <w:rsid w:val="000D2B72"/>
    <w:rsid w:val="000D6165"/>
    <w:rsid w:val="000E3A19"/>
    <w:rsid w:val="00100DFA"/>
    <w:rsid w:val="00103061"/>
    <w:rsid w:val="00111B35"/>
    <w:rsid w:val="00112550"/>
    <w:rsid w:val="00112C8E"/>
    <w:rsid w:val="00114227"/>
    <w:rsid w:val="00114AAC"/>
    <w:rsid w:val="0011601A"/>
    <w:rsid w:val="00122059"/>
    <w:rsid w:val="001304D1"/>
    <w:rsid w:val="001308F0"/>
    <w:rsid w:val="001313BE"/>
    <w:rsid w:val="0013220C"/>
    <w:rsid w:val="0013365E"/>
    <w:rsid w:val="00145A97"/>
    <w:rsid w:val="0015095B"/>
    <w:rsid w:val="00150AC6"/>
    <w:rsid w:val="001516FD"/>
    <w:rsid w:val="00152AC1"/>
    <w:rsid w:val="001604AA"/>
    <w:rsid w:val="00162AFA"/>
    <w:rsid w:val="00163296"/>
    <w:rsid w:val="00167196"/>
    <w:rsid w:val="00172DB6"/>
    <w:rsid w:val="00174E86"/>
    <w:rsid w:val="001771B7"/>
    <w:rsid w:val="001845A6"/>
    <w:rsid w:val="00191893"/>
    <w:rsid w:val="001967F2"/>
    <w:rsid w:val="001A1B79"/>
    <w:rsid w:val="001B15E9"/>
    <w:rsid w:val="001B2A8F"/>
    <w:rsid w:val="001B33BC"/>
    <w:rsid w:val="001C5458"/>
    <w:rsid w:val="001D0426"/>
    <w:rsid w:val="001E1271"/>
    <w:rsid w:val="001F2BD7"/>
    <w:rsid w:val="001F65CB"/>
    <w:rsid w:val="00201608"/>
    <w:rsid w:val="0021141B"/>
    <w:rsid w:val="002128A8"/>
    <w:rsid w:val="00214C8D"/>
    <w:rsid w:val="00215BF8"/>
    <w:rsid w:val="00224B21"/>
    <w:rsid w:val="00227533"/>
    <w:rsid w:val="00232C05"/>
    <w:rsid w:val="002357DE"/>
    <w:rsid w:val="0023682D"/>
    <w:rsid w:val="00240592"/>
    <w:rsid w:val="00240B03"/>
    <w:rsid w:val="0024109D"/>
    <w:rsid w:val="0025728B"/>
    <w:rsid w:val="002622FC"/>
    <w:rsid w:val="00266CD1"/>
    <w:rsid w:val="00267A87"/>
    <w:rsid w:val="00274608"/>
    <w:rsid w:val="00286EF0"/>
    <w:rsid w:val="00291577"/>
    <w:rsid w:val="002973D9"/>
    <w:rsid w:val="002979A1"/>
    <w:rsid w:val="002A1BF4"/>
    <w:rsid w:val="002A2309"/>
    <w:rsid w:val="002A3BC7"/>
    <w:rsid w:val="002A5445"/>
    <w:rsid w:val="002A5D72"/>
    <w:rsid w:val="002A729F"/>
    <w:rsid w:val="002B14F3"/>
    <w:rsid w:val="002B7582"/>
    <w:rsid w:val="002B7F17"/>
    <w:rsid w:val="002C08AD"/>
    <w:rsid w:val="002C0B80"/>
    <w:rsid w:val="002C2F9A"/>
    <w:rsid w:val="002D09F3"/>
    <w:rsid w:val="002D34DE"/>
    <w:rsid w:val="002D3E97"/>
    <w:rsid w:val="002D7B82"/>
    <w:rsid w:val="002E3BF3"/>
    <w:rsid w:val="002E3CAF"/>
    <w:rsid w:val="002E7F88"/>
    <w:rsid w:val="002F02C0"/>
    <w:rsid w:val="002F51FB"/>
    <w:rsid w:val="002F6DDA"/>
    <w:rsid w:val="00300299"/>
    <w:rsid w:val="003142FA"/>
    <w:rsid w:val="003201E1"/>
    <w:rsid w:val="00323F8A"/>
    <w:rsid w:val="00330ADC"/>
    <w:rsid w:val="0033296F"/>
    <w:rsid w:val="00334122"/>
    <w:rsid w:val="00334C10"/>
    <w:rsid w:val="00334EBB"/>
    <w:rsid w:val="00337972"/>
    <w:rsid w:val="00340EAF"/>
    <w:rsid w:val="00345D80"/>
    <w:rsid w:val="00345E5A"/>
    <w:rsid w:val="00347B91"/>
    <w:rsid w:val="0035563B"/>
    <w:rsid w:val="0037122D"/>
    <w:rsid w:val="00372C4C"/>
    <w:rsid w:val="00377FC2"/>
    <w:rsid w:val="00381216"/>
    <w:rsid w:val="003823B9"/>
    <w:rsid w:val="0038792C"/>
    <w:rsid w:val="00387BB4"/>
    <w:rsid w:val="003949A1"/>
    <w:rsid w:val="003968AB"/>
    <w:rsid w:val="003A2602"/>
    <w:rsid w:val="003A336F"/>
    <w:rsid w:val="003A376D"/>
    <w:rsid w:val="003A7080"/>
    <w:rsid w:val="003C1A8A"/>
    <w:rsid w:val="003C509D"/>
    <w:rsid w:val="003D16F1"/>
    <w:rsid w:val="003D2881"/>
    <w:rsid w:val="003D5824"/>
    <w:rsid w:val="003E5B33"/>
    <w:rsid w:val="003E7CBF"/>
    <w:rsid w:val="003F7949"/>
    <w:rsid w:val="004025DD"/>
    <w:rsid w:val="00405B5D"/>
    <w:rsid w:val="004244C3"/>
    <w:rsid w:val="00427BCA"/>
    <w:rsid w:val="00430B0B"/>
    <w:rsid w:val="00435BA4"/>
    <w:rsid w:val="0045340E"/>
    <w:rsid w:val="00464202"/>
    <w:rsid w:val="004665B7"/>
    <w:rsid w:val="00482921"/>
    <w:rsid w:val="00484B65"/>
    <w:rsid w:val="00493BA0"/>
    <w:rsid w:val="0049492E"/>
    <w:rsid w:val="00495E42"/>
    <w:rsid w:val="004C0034"/>
    <w:rsid w:val="004C4227"/>
    <w:rsid w:val="004C4C68"/>
    <w:rsid w:val="004C52D6"/>
    <w:rsid w:val="004C5559"/>
    <w:rsid w:val="004C68A8"/>
    <w:rsid w:val="004C6AB9"/>
    <w:rsid w:val="004D711D"/>
    <w:rsid w:val="004E4A3D"/>
    <w:rsid w:val="004E758F"/>
    <w:rsid w:val="004F3907"/>
    <w:rsid w:val="004F4EDC"/>
    <w:rsid w:val="005066EB"/>
    <w:rsid w:val="0051060A"/>
    <w:rsid w:val="00514186"/>
    <w:rsid w:val="005164E3"/>
    <w:rsid w:val="005266A3"/>
    <w:rsid w:val="00530BCF"/>
    <w:rsid w:val="0054212C"/>
    <w:rsid w:val="00547F50"/>
    <w:rsid w:val="00550728"/>
    <w:rsid w:val="00551339"/>
    <w:rsid w:val="00553278"/>
    <w:rsid w:val="005564ED"/>
    <w:rsid w:val="00560934"/>
    <w:rsid w:val="00562DBE"/>
    <w:rsid w:val="0057119A"/>
    <w:rsid w:val="00575715"/>
    <w:rsid w:val="00582986"/>
    <w:rsid w:val="00585D39"/>
    <w:rsid w:val="005939A3"/>
    <w:rsid w:val="00596800"/>
    <w:rsid w:val="005B7EF1"/>
    <w:rsid w:val="005C3F98"/>
    <w:rsid w:val="005C4897"/>
    <w:rsid w:val="005C5FE3"/>
    <w:rsid w:val="005D7486"/>
    <w:rsid w:val="005D77D3"/>
    <w:rsid w:val="005E428F"/>
    <w:rsid w:val="005F3BAA"/>
    <w:rsid w:val="00600229"/>
    <w:rsid w:val="00600D0F"/>
    <w:rsid w:val="00602DC6"/>
    <w:rsid w:val="00604732"/>
    <w:rsid w:val="00610FF1"/>
    <w:rsid w:val="0061500F"/>
    <w:rsid w:val="00626C40"/>
    <w:rsid w:val="00633023"/>
    <w:rsid w:val="00640201"/>
    <w:rsid w:val="00642D24"/>
    <w:rsid w:val="0064355D"/>
    <w:rsid w:val="00650C3F"/>
    <w:rsid w:val="00665F72"/>
    <w:rsid w:val="006740B9"/>
    <w:rsid w:val="00676073"/>
    <w:rsid w:val="00680AB5"/>
    <w:rsid w:val="0068465F"/>
    <w:rsid w:val="0068663E"/>
    <w:rsid w:val="00692FD2"/>
    <w:rsid w:val="00694C5B"/>
    <w:rsid w:val="00695408"/>
    <w:rsid w:val="006B060D"/>
    <w:rsid w:val="006B0DF3"/>
    <w:rsid w:val="006B2B7B"/>
    <w:rsid w:val="006C2963"/>
    <w:rsid w:val="006C5601"/>
    <w:rsid w:val="006C6E5C"/>
    <w:rsid w:val="006E36A4"/>
    <w:rsid w:val="006F1D06"/>
    <w:rsid w:val="006F3245"/>
    <w:rsid w:val="006F61C3"/>
    <w:rsid w:val="006F741D"/>
    <w:rsid w:val="00720087"/>
    <w:rsid w:val="0073154D"/>
    <w:rsid w:val="00735355"/>
    <w:rsid w:val="00736241"/>
    <w:rsid w:val="007439DF"/>
    <w:rsid w:val="00744D83"/>
    <w:rsid w:val="0074763B"/>
    <w:rsid w:val="00751DC4"/>
    <w:rsid w:val="00752172"/>
    <w:rsid w:val="0075416B"/>
    <w:rsid w:val="00755C05"/>
    <w:rsid w:val="00761AB3"/>
    <w:rsid w:val="0076444B"/>
    <w:rsid w:val="007649E4"/>
    <w:rsid w:val="00780DBC"/>
    <w:rsid w:val="00782D0A"/>
    <w:rsid w:val="0078416A"/>
    <w:rsid w:val="007923F9"/>
    <w:rsid w:val="007932C3"/>
    <w:rsid w:val="007A058B"/>
    <w:rsid w:val="007A06F5"/>
    <w:rsid w:val="007A14E8"/>
    <w:rsid w:val="007B35D3"/>
    <w:rsid w:val="007B6043"/>
    <w:rsid w:val="007C317A"/>
    <w:rsid w:val="007C69F9"/>
    <w:rsid w:val="007E1599"/>
    <w:rsid w:val="007E6026"/>
    <w:rsid w:val="007F1013"/>
    <w:rsid w:val="007F4D11"/>
    <w:rsid w:val="00805FEC"/>
    <w:rsid w:val="00823002"/>
    <w:rsid w:val="008277DF"/>
    <w:rsid w:val="008329C9"/>
    <w:rsid w:val="00842479"/>
    <w:rsid w:val="0085799F"/>
    <w:rsid w:val="00860197"/>
    <w:rsid w:val="008604DB"/>
    <w:rsid w:val="00875865"/>
    <w:rsid w:val="00882426"/>
    <w:rsid w:val="008A3224"/>
    <w:rsid w:val="008A34A3"/>
    <w:rsid w:val="008B05D3"/>
    <w:rsid w:val="008B315F"/>
    <w:rsid w:val="008C35ED"/>
    <w:rsid w:val="008C4FD4"/>
    <w:rsid w:val="008C6AE1"/>
    <w:rsid w:val="008D25AF"/>
    <w:rsid w:val="008D45E6"/>
    <w:rsid w:val="008E05EB"/>
    <w:rsid w:val="008E1B60"/>
    <w:rsid w:val="008E7510"/>
    <w:rsid w:val="008F5C66"/>
    <w:rsid w:val="008F6CA8"/>
    <w:rsid w:val="008F72BE"/>
    <w:rsid w:val="00903207"/>
    <w:rsid w:val="0090767E"/>
    <w:rsid w:val="009130BC"/>
    <w:rsid w:val="00914DD3"/>
    <w:rsid w:val="009206E8"/>
    <w:rsid w:val="0093170E"/>
    <w:rsid w:val="0093596A"/>
    <w:rsid w:val="0093659F"/>
    <w:rsid w:val="00937A19"/>
    <w:rsid w:val="0094120E"/>
    <w:rsid w:val="00941341"/>
    <w:rsid w:val="009453ED"/>
    <w:rsid w:val="00945FE3"/>
    <w:rsid w:val="00946E22"/>
    <w:rsid w:val="009476E0"/>
    <w:rsid w:val="00950A16"/>
    <w:rsid w:val="009522E0"/>
    <w:rsid w:val="0096257C"/>
    <w:rsid w:val="00962A38"/>
    <w:rsid w:val="009804C9"/>
    <w:rsid w:val="00983021"/>
    <w:rsid w:val="0098705B"/>
    <w:rsid w:val="009A0FE4"/>
    <w:rsid w:val="009A25EC"/>
    <w:rsid w:val="009A4DDB"/>
    <w:rsid w:val="009C34ED"/>
    <w:rsid w:val="009C3C74"/>
    <w:rsid w:val="009F1EEC"/>
    <w:rsid w:val="009F34D2"/>
    <w:rsid w:val="00A011C8"/>
    <w:rsid w:val="00A02AE3"/>
    <w:rsid w:val="00A07ACF"/>
    <w:rsid w:val="00A324CA"/>
    <w:rsid w:val="00A33145"/>
    <w:rsid w:val="00A3391E"/>
    <w:rsid w:val="00A35BC8"/>
    <w:rsid w:val="00A35D46"/>
    <w:rsid w:val="00A43D8B"/>
    <w:rsid w:val="00A47A81"/>
    <w:rsid w:val="00A561E2"/>
    <w:rsid w:val="00A56E82"/>
    <w:rsid w:val="00A719B0"/>
    <w:rsid w:val="00A7244E"/>
    <w:rsid w:val="00A82813"/>
    <w:rsid w:val="00A830EF"/>
    <w:rsid w:val="00AA43CF"/>
    <w:rsid w:val="00AA4A2D"/>
    <w:rsid w:val="00AB2401"/>
    <w:rsid w:val="00AB6350"/>
    <w:rsid w:val="00AC3112"/>
    <w:rsid w:val="00AC3A34"/>
    <w:rsid w:val="00AC419C"/>
    <w:rsid w:val="00AC624B"/>
    <w:rsid w:val="00AD05D7"/>
    <w:rsid w:val="00AD61CC"/>
    <w:rsid w:val="00AE6F6C"/>
    <w:rsid w:val="00AE714A"/>
    <w:rsid w:val="00AF40BE"/>
    <w:rsid w:val="00AF5CDA"/>
    <w:rsid w:val="00B06264"/>
    <w:rsid w:val="00B102AA"/>
    <w:rsid w:val="00B10D79"/>
    <w:rsid w:val="00B2135E"/>
    <w:rsid w:val="00B226F7"/>
    <w:rsid w:val="00B327F3"/>
    <w:rsid w:val="00B4000D"/>
    <w:rsid w:val="00B41E90"/>
    <w:rsid w:val="00B44C31"/>
    <w:rsid w:val="00B47F9D"/>
    <w:rsid w:val="00B53FB4"/>
    <w:rsid w:val="00B56F46"/>
    <w:rsid w:val="00B72F85"/>
    <w:rsid w:val="00B82AF9"/>
    <w:rsid w:val="00B87910"/>
    <w:rsid w:val="00B92CEE"/>
    <w:rsid w:val="00B93A57"/>
    <w:rsid w:val="00B95310"/>
    <w:rsid w:val="00BA167C"/>
    <w:rsid w:val="00BA6B94"/>
    <w:rsid w:val="00BA6E45"/>
    <w:rsid w:val="00BB2163"/>
    <w:rsid w:val="00BC2577"/>
    <w:rsid w:val="00BC3464"/>
    <w:rsid w:val="00BC51B9"/>
    <w:rsid w:val="00BD245A"/>
    <w:rsid w:val="00BE4337"/>
    <w:rsid w:val="00BE68E5"/>
    <w:rsid w:val="00BF4D15"/>
    <w:rsid w:val="00BF71C9"/>
    <w:rsid w:val="00C038DF"/>
    <w:rsid w:val="00C06861"/>
    <w:rsid w:val="00C20263"/>
    <w:rsid w:val="00C40314"/>
    <w:rsid w:val="00C444C7"/>
    <w:rsid w:val="00C47AA5"/>
    <w:rsid w:val="00C50294"/>
    <w:rsid w:val="00C529E7"/>
    <w:rsid w:val="00C6156D"/>
    <w:rsid w:val="00C62064"/>
    <w:rsid w:val="00C7589A"/>
    <w:rsid w:val="00C84294"/>
    <w:rsid w:val="00C852B6"/>
    <w:rsid w:val="00C9214A"/>
    <w:rsid w:val="00CA3232"/>
    <w:rsid w:val="00CA6E89"/>
    <w:rsid w:val="00CA77C9"/>
    <w:rsid w:val="00CB489A"/>
    <w:rsid w:val="00CC0E88"/>
    <w:rsid w:val="00CC2E85"/>
    <w:rsid w:val="00CC799C"/>
    <w:rsid w:val="00CF31CD"/>
    <w:rsid w:val="00CF3D74"/>
    <w:rsid w:val="00CF5696"/>
    <w:rsid w:val="00D00810"/>
    <w:rsid w:val="00D03452"/>
    <w:rsid w:val="00D104EB"/>
    <w:rsid w:val="00D11CB7"/>
    <w:rsid w:val="00D1781A"/>
    <w:rsid w:val="00D32A6E"/>
    <w:rsid w:val="00D504E8"/>
    <w:rsid w:val="00D5233B"/>
    <w:rsid w:val="00D7550D"/>
    <w:rsid w:val="00D7555B"/>
    <w:rsid w:val="00D75D48"/>
    <w:rsid w:val="00D77978"/>
    <w:rsid w:val="00D85504"/>
    <w:rsid w:val="00D8741B"/>
    <w:rsid w:val="00DB5AC3"/>
    <w:rsid w:val="00DC17D9"/>
    <w:rsid w:val="00DD1D62"/>
    <w:rsid w:val="00DD26A2"/>
    <w:rsid w:val="00DD3E1B"/>
    <w:rsid w:val="00DE6433"/>
    <w:rsid w:val="00E10F67"/>
    <w:rsid w:val="00E1148A"/>
    <w:rsid w:val="00E17D51"/>
    <w:rsid w:val="00E22020"/>
    <w:rsid w:val="00E235BC"/>
    <w:rsid w:val="00E32864"/>
    <w:rsid w:val="00E41D77"/>
    <w:rsid w:val="00E42997"/>
    <w:rsid w:val="00E4663D"/>
    <w:rsid w:val="00E47E28"/>
    <w:rsid w:val="00E5234B"/>
    <w:rsid w:val="00E56A3D"/>
    <w:rsid w:val="00E60E8A"/>
    <w:rsid w:val="00E71238"/>
    <w:rsid w:val="00E76861"/>
    <w:rsid w:val="00E772A1"/>
    <w:rsid w:val="00E772BF"/>
    <w:rsid w:val="00E90656"/>
    <w:rsid w:val="00E936E4"/>
    <w:rsid w:val="00EA26F8"/>
    <w:rsid w:val="00EA2AAD"/>
    <w:rsid w:val="00EA40C1"/>
    <w:rsid w:val="00EB5097"/>
    <w:rsid w:val="00EB5454"/>
    <w:rsid w:val="00ED1508"/>
    <w:rsid w:val="00ED6FE6"/>
    <w:rsid w:val="00EE6008"/>
    <w:rsid w:val="00EF1C60"/>
    <w:rsid w:val="00EF1CC2"/>
    <w:rsid w:val="00EF31C6"/>
    <w:rsid w:val="00EF3840"/>
    <w:rsid w:val="00F00E77"/>
    <w:rsid w:val="00F04C63"/>
    <w:rsid w:val="00F27D3E"/>
    <w:rsid w:val="00F42F48"/>
    <w:rsid w:val="00F462D4"/>
    <w:rsid w:val="00F471C3"/>
    <w:rsid w:val="00F51C62"/>
    <w:rsid w:val="00F5604D"/>
    <w:rsid w:val="00F608E6"/>
    <w:rsid w:val="00F63BBE"/>
    <w:rsid w:val="00F75EDA"/>
    <w:rsid w:val="00F77D70"/>
    <w:rsid w:val="00F83D49"/>
    <w:rsid w:val="00F9013C"/>
    <w:rsid w:val="00F95D94"/>
    <w:rsid w:val="00FB39F4"/>
    <w:rsid w:val="00FC695D"/>
    <w:rsid w:val="00FD07FC"/>
    <w:rsid w:val="00FD2A72"/>
    <w:rsid w:val="00FD3028"/>
    <w:rsid w:val="00FE0BEE"/>
    <w:rsid w:val="00FE2422"/>
    <w:rsid w:val="00FE5331"/>
    <w:rsid w:val="00FF1B46"/>
    <w:rsid w:val="00FF53BF"/>
    <w:rsid w:val="00FF57F6"/>
    <w:rsid w:val="00FF6F1F"/>
    <w:rsid w:val="01CC1A40"/>
    <w:rsid w:val="021B4775"/>
    <w:rsid w:val="03146FD4"/>
    <w:rsid w:val="06692FBA"/>
    <w:rsid w:val="07E50E92"/>
    <w:rsid w:val="08DA426D"/>
    <w:rsid w:val="0A365806"/>
    <w:rsid w:val="0AC319AC"/>
    <w:rsid w:val="0F5E2B9C"/>
    <w:rsid w:val="0F7F3A2A"/>
    <w:rsid w:val="0FCAD5FD"/>
    <w:rsid w:val="12EB54C2"/>
    <w:rsid w:val="14847F58"/>
    <w:rsid w:val="159675EB"/>
    <w:rsid w:val="15EFB84A"/>
    <w:rsid w:val="16974C50"/>
    <w:rsid w:val="16BFDA76"/>
    <w:rsid w:val="177D3A52"/>
    <w:rsid w:val="17B6C2A3"/>
    <w:rsid w:val="17BBC06E"/>
    <w:rsid w:val="17CE2129"/>
    <w:rsid w:val="17EF3D38"/>
    <w:rsid w:val="17FFA77D"/>
    <w:rsid w:val="1A085187"/>
    <w:rsid w:val="1AEB4D19"/>
    <w:rsid w:val="1B526075"/>
    <w:rsid w:val="1B672BB3"/>
    <w:rsid w:val="1B67B585"/>
    <w:rsid w:val="1B7FC8E2"/>
    <w:rsid w:val="1BF15E06"/>
    <w:rsid w:val="1BFA4442"/>
    <w:rsid w:val="1BFFC1B4"/>
    <w:rsid w:val="1D3C0843"/>
    <w:rsid w:val="1E584D33"/>
    <w:rsid w:val="1E7948A6"/>
    <w:rsid w:val="1EF3C8EF"/>
    <w:rsid w:val="1EFF6F52"/>
    <w:rsid w:val="1F7F37F3"/>
    <w:rsid w:val="1FB95731"/>
    <w:rsid w:val="1FEF0EED"/>
    <w:rsid w:val="1FF86D77"/>
    <w:rsid w:val="1FFD8871"/>
    <w:rsid w:val="21BFC2C1"/>
    <w:rsid w:val="242A0480"/>
    <w:rsid w:val="257021CC"/>
    <w:rsid w:val="273A1534"/>
    <w:rsid w:val="27EF5ADE"/>
    <w:rsid w:val="27FB4DFE"/>
    <w:rsid w:val="292BBD26"/>
    <w:rsid w:val="29447E57"/>
    <w:rsid w:val="2A75E0DA"/>
    <w:rsid w:val="2AC31896"/>
    <w:rsid w:val="2C335417"/>
    <w:rsid w:val="2D2F22EB"/>
    <w:rsid w:val="2DBF1862"/>
    <w:rsid w:val="2E7BB22E"/>
    <w:rsid w:val="2ED5C25D"/>
    <w:rsid w:val="2FFB7B0E"/>
    <w:rsid w:val="30ED4397"/>
    <w:rsid w:val="30F51B0D"/>
    <w:rsid w:val="31512748"/>
    <w:rsid w:val="32A53D10"/>
    <w:rsid w:val="32E75215"/>
    <w:rsid w:val="33446DD8"/>
    <w:rsid w:val="33964A43"/>
    <w:rsid w:val="33BD96C9"/>
    <w:rsid w:val="3478FD3B"/>
    <w:rsid w:val="34C545EA"/>
    <w:rsid w:val="350B691C"/>
    <w:rsid w:val="35FD6B84"/>
    <w:rsid w:val="35FF6C41"/>
    <w:rsid w:val="35FFA103"/>
    <w:rsid w:val="365FE963"/>
    <w:rsid w:val="36C7A795"/>
    <w:rsid w:val="37D270A9"/>
    <w:rsid w:val="37D31E82"/>
    <w:rsid w:val="37F7809A"/>
    <w:rsid w:val="38A12752"/>
    <w:rsid w:val="399565E0"/>
    <w:rsid w:val="3ADDA097"/>
    <w:rsid w:val="3B7E7D56"/>
    <w:rsid w:val="3BBE0F9A"/>
    <w:rsid w:val="3BCF7730"/>
    <w:rsid w:val="3BF725E0"/>
    <w:rsid w:val="3BFBF273"/>
    <w:rsid w:val="3BFD26E4"/>
    <w:rsid w:val="3BFF0771"/>
    <w:rsid w:val="3C12216A"/>
    <w:rsid w:val="3CFF72C5"/>
    <w:rsid w:val="3D9DD624"/>
    <w:rsid w:val="3DAB5EBA"/>
    <w:rsid w:val="3DEFA9F2"/>
    <w:rsid w:val="3DF3C86E"/>
    <w:rsid w:val="3ECAC84C"/>
    <w:rsid w:val="3EF76ACB"/>
    <w:rsid w:val="3EFB41F2"/>
    <w:rsid w:val="3F5F4240"/>
    <w:rsid w:val="3F7BEE77"/>
    <w:rsid w:val="3FB668E4"/>
    <w:rsid w:val="3FBFF260"/>
    <w:rsid w:val="3FD92A3E"/>
    <w:rsid w:val="3FEF23FA"/>
    <w:rsid w:val="3FF0DCC8"/>
    <w:rsid w:val="3FF57F37"/>
    <w:rsid w:val="3FF7137C"/>
    <w:rsid w:val="3FF71C72"/>
    <w:rsid w:val="3FFB5F92"/>
    <w:rsid w:val="3FFF50AD"/>
    <w:rsid w:val="40583BC3"/>
    <w:rsid w:val="408E73B5"/>
    <w:rsid w:val="40D53766"/>
    <w:rsid w:val="42083BED"/>
    <w:rsid w:val="4305631D"/>
    <w:rsid w:val="43A055EF"/>
    <w:rsid w:val="45F8CE6B"/>
    <w:rsid w:val="47BF50EF"/>
    <w:rsid w:val="47DFF301"/>
    <w:rsid w:val="48BFAD72"/>
    <w:rsid w:val="49AC2B81"/>
    <w:rsid w:val="4A35F3AD"/>
    <w:rsid w:val="4BD07A86"/>
    <w:rsid w:val="4D32FB4C"/>
    <w:rsid w:val="4EBF3093"/>
    <w:rsid w:val="4EDFAE00"/>
    <w:rsid w:val="4F9B4BDA"/>
    <w:rsid w:val="4FAF7337"/>
    <w:rsid w:val="4FFAE02C"/>
    <w:rsid w:val="4FFF460D"/>
    <w:rsid w:val="50ED1619"/>
    <w:rsid w:val="516FDEC3"/>
    <w:rsid w:val="51D13AD5"/>
    <w:rsid w:val="535624E4"/>
    <w:rsid w:val="536F073F"/>
    <w:rsid w:val="53731939"/>
    <w:rsid w:val="53E90DC1"/>
    <w:rsid w:val="54680721"/>
    <w:rsid w:val="54F3BD53"/>
    <w:rsid w:val="54FF9442"/>
    <w:rsid w:val="554D5EAC"/>
    <w:rsid w:val="57BAD169"/>
    <w:rsid w:val="57DF3D15"/>
    <w:rsid w:val="57DFDC94"/>
    <w:rsid w:val="57EB7B42"/>
    <w:rsid w:val="57FD754E"/>
    <w:rsid w:val="57FEF054"/>
    <w:rsid w:val="57FF76F9"/>
    <w:rsid w:val="59FEBA82"/>
    <w:rsid w:val="5B27C3AC"/>
    <w:rsid w:val="5BABDEC5"/>
    <w:rsid w:val="5BDFA3DF"/>
    <w:rsid w:val="5BE74B81"/>
    <w:rsid w:val="5BEB01AA"/>
    <w:rsid w:val="5BF9AAF9"/>
    <w:rsid w:val="5BFD30E1"/>
    <w:rsid w:val="5D5F4A20"/>
    <w:rsid w:val="5D7BF844"/>
    <w:rsid w:val="5DBFCF28"/>
    <w:rsid w:val="5DFB2A50"/>
    <w:rsid w:val="5E7F692A"/>
    <w:rsid w:val="5EDF67C8"/>
    <w:rsid w:val="5EFF05BA"/>
    <w:rsid w:val="5F1F31B7"/>
    <w:rsid w:val="5F3E4F45"/>
    <w:rsid w:val="5F6F1C9E"/>
    <w:rsid w:val="5F7C409A"/>
    <w:rsid w:val="5F7E92C4"/>
    <w:rsid w:val="5FAB9A0B"/>
    <w:rsid w:val="5FE12A79"/>
    <w:rsid w:val="5FE56F25"/>
    <w:rsid w:val="5FEFBC4C"/>
    <w:rsid w:val="5FF876FE"/>
    <w:rsid w:val="5FFD044C"/>
    <w:rsid w:val="5FFFD7D0"/>
    <w:rsid w:val="5FFFFB39"/>
    <w:rsid w:val="60D82ACC"/>
    <w:rsid w:val="61470B4D"/>
    <w:rsid w:val="616B1851"/>
    <w:rsid w:val="626D2A76"/>
    <w:rsid w:val="62FEF3EA"/>
    <w:rsid w:val="633BC343"/>
    <w:rsid w:val="63F53E4A"/>
    <w:rsid w:val="64112789"/>
    <w:rsid w:val="65FA4BFF"/>
    <w:rsid w:val="66C67529"/>
    <w:rsid w:val="671013B3"/>
    <w:rsid w:val="677E777D"/>
    <w:rsid w:val="67BB4BB4"/>
    <w:rsid w:val="68BF6F8E"/>
    <w:rsid w:val="692176FC"/>
    <w:rsid w:val="6953D380"/>
    <w:rsid w:val="696BCE12"/>
    <w:rsid w:val="69DC461E"/>
    <w:rsid w:val="6ADC036A"/>
    <w:rsid w:val="6AEF0117"/>
    <w:rsid w:val="6BCE4C44"/>
    <w:rsid w:val="6BDE6032"/>
    <w:rsid w:val="6BDF05C4"/>
    <w:rsid w:val="6BDF36B5"/>
    <w:rsid w:val="6BEE630D"/>
    <w:rsid w:val="6BEFA911"/>
    <w:rsid w:val="6BF75424"/>
    <w:rsid w:val="6BFF8BC0"/>
    <w:rsid w:val="6C07ADE2"/>
    <w:rsid w:val="6D3E6A51"/>
    <w:rsid w:val="6D57D810"/>
    <w:rsid w:val="6DB123F6"/>
    <w:rsid w:val="6DE7862E"/>
    <w:rsid w:val="6DFC43BE"/>
    <w:rsid w:val="6DFD60E9"/>
    <w:rsid w:val="6DFE4A2C"/>
    <w:rsid w:val="6DFF793F"/>
    <w:rsid w:val="6E7B86E4"/>
    <w:rsid w:val="6EB788C1"/>
    <w:rsid w:val="6EBB229C"/>
    <w:rsid w:val="6EDE8759"/>
    <w:rsid w:val="6EDEF351"/>
    <w:rsid w:val="6EFA30DF"/>
    <w:rsid w:val="6EFE97D7"/>
    <w:rsid w:val="6F223039"/>
    <w:rsid w:val="6F6FC48D"/>
    <w:rsid w:val="6F75BB17"/>
    <w:rsid w:val="6F7D0098"/>
    <w:rsid w:val="6FBF8D8F"/>
    <w:rsid w:val="6FCD9F65"/>
    <w:rsid w:val="6FCF9866"/>
    <w:rsid w:val="6FDD6BFC"/>
    <w:rsid w:val="6FDFA035"/>
    <w:rsid w:val="6FF52F76"/>
    <w:rsid w:val="6FFDD9A5"/>
    <w:rsid w:val="6FFF0B70"/>
    <w:rsid w:val="6FFFA9D8"/>
    <w:rsid w:val="70473489"/>
    <w:rsid w:val="70FD42BC"/>
    <w:rsid w:val="71775D74"/>
    <w:rsid w:val="71B371E3"/>
    <w:rsid w:val="71BA0C33"/>
    <w:rsid w:val="71F33F0B"/>
    <w:rsid w:val="72FF21FE"/>
    <w:rsid w:val="73577D8C"/>
    <w:rsid w:val="73F8844F"/>
    <w:rsid w:val="73FEF53F"/>
    <w:rsid w:val="74BF941C"/>
    <w:rsid w:val="74DEBB8B"/>
    <w:rsid w:val="74EFE397"/>
    <w:rsid w:val="75134281"/>
    <w:rsid w:val="755ABB90"/>
    <w:rsid w:val="756267BD"/>
    <w:rsid w:val="7567AB9C"/>
    <w:rsid w:val="757F2BD9"/>
    <w:rsid w:val="757F9695"/>
    <w:rsid w:val="75CEBED0"/>
    <w:rsid w:val="75ED567D"/>
    <w:rsid w:val="75FEC880"/>
    <w:rsid w:val="75FFBE1C"/>
    <w:rsid w:val="75FFC9BA"/>
    <w:rsid w:val="761A3C81"/>
    <w:rsid w:val="76861D13"/>
    <w:rsid w:val="769FD087"/>
    <w:rsid w:val="76BE1A6C"/>
    <w:rsid w:val="76EEFE23"/>
    <w:rsid w:val="76F7792E"/>
    <w:rsid w:val="770F83CD"/>
    <w:rsid w:val="777D983C"/>
    <w:rsid w:val="77BF985E"/>
    <w:rsid w:val="77BFB381"/>
    <w:rsid w:val="77EB0A30"/>
    <w:rsid w:val="77F7A577"/>
    <w:rsid w:val="77FD2DD1"/>
    <w:rsid w:val="77FFD227"/>
    <w:rsid w:val="77FFE042"/>
    <w:rsid w:val="786F6BBB"/>
    <w:rsid w:val="788B7F7E"/>
    <w:rsid w:val="789125A4"/>
    <w:rsid w:val="78A551F0"/>
    <w:rsid w:val="7955109C"/>
    <w:rsid w:val="79A96382"/>
    <w:rsid w:val="79C33213"/>
    <w:rsid w:val="79D3C3D0"/>
    <w:rsid w:val="79F72244"/>
    <w:rsid w:val="79F7D4A2"/>
    <w:rsid w:val="79FE0439"/>
    <w:rsid w:val="7AEC944A"/>
    <w:rsid w:val="7B1FA6F6"/>
    <w:rsid w:val="7B2AABAE"/>
    <w:rsid w:val="7B341286"/>
    <w:rsid w:val="7B56316B"/>
    <w:rsid w:val="7B6E1E1B"/>
    <w:rsid w:val="7BBE0771"/>
    <w:rsid w:val="7BD72066"/>
    <w:rsid w:val="7BDDC4A3"/>
    <w:rsid w:val="7BF3C519"/>
    <w:rsid w:val="7BFA144B"/>
    <w:rsid w:val="7BFFA358"/>
    <w:rsid w:val="7C54566E"/>
    <w:rsid w:val="7C5F8FDA"/>
    <w:rsid w:val="7C7D4167"/>
    <w:rsid w:val="7CBDD19A"/>
    <w:rsid w:val="7CFCADF1"/>
    <w:rsid w:val="7CFF8BFD"/>
    <w:rsid w:val="7D397FB7"/>
    <w:rsid w:val="7D6736E3"/>
    <w:rsid w:val="7D7377E8"/>
    <w:rsid w:val="7D8116E4"/>
    <w:rsid w:val="7DBF6886"/>
    <w:rsid w:val="7DBFA8D5"/>
    <w:rsid w:val="7DDDD8B2"/>
    <w:rsid w:val="7DDE0CEE"/>
    <w:rsid w:val="7DFC5C92"/>
    <w:rsid w:val="7DFE5D73"/>
    <w:rsid w:val="7DFF7E4E"/>
    <w:rsid w:val="7DFFDAF8"/>
    <w:rsid w:val="7E787EB7"/>
    <w:rsid w:val="7EB8A718"/>
    <w:rsid w:val="7ED7E27B"/>
    <w:rsid w:val="7EDC4E86"/>
    <w:rsid w:val="7EDE09CB"/>
    <w:rsid w:val="7EEB91CC"/>
    <w:rsid w:val="7EF2A455"/>
    <w:rsid w:val="7EF7AF70"/>
    <w:rsid w:val="7EFD4694"/>
    <w:rsid w:val="7EFF3402"/>
    <w:rsid w:val="7F179CF0"/>
    <w:rsid w:val="7F2BE7C6"/>
    <w:rsid w:val="7F3AB47F"/>
    <w:rsid w:val="7F3F12B6"/>
    <w:rsid w:val="7F57D7C8"/>
    <w:rsid w:val="7F5B6313"/>
    <w:rsid w:val="7F6D60C9"/>
    <w:rsid w:val="7F7EA3C0"/>
    <w:rsid w:val="7FA5CC08"/>
    <w:rsid w:val="7FAB911C"/>
    <w:rsid w:val="7FACE480"/>
    <w:rsid w:val="7FB11C79"/>
    <w:rsid w:val="7FB56435"/>
    <w:rsid w:val="7FBD1E61"/>
    <w:rsid w:val="7FBF1A1B"/>
    <w:rsid w:val="7FCE92E5"/>
    <w:rsid w:val="7FCF1F29"/>
    <w:rsid w:val="7FD2D104"/>
    <w:rsid w:val="7FD72413"/>
    <w:rsid w:val="7FDD2C05"/>
    <w:rsid w:val="7FDD85A0"/>
    <w:rsid w:val="7FDD95D2"/>
    <w:rsid w:val="7FE993DB"/>
    <w:rsid w:val="7FEF9FD2"/>
    <w:rsid w:val="7FF3E1C0"/>
    <w:rsid w:val="7FF3F85B"/>
    <w:rsid w:val="7FF566CD"/>
    <w:rsid w:val="7FF75800"/>
    <w:rsid w:val="7FF7B62B"/>
    <w:rsid w:val="7FFAFB55"/>
    <w:rsid w:val="7FFB297B"/>
    <w:rsid w:val="7FFC5838"/>
    <w:rsid w:val="7FFD9899"/>
    <w:rsid w:val="7FFEEE55"/>
    <w:rsid w:val="7FFF1975"/>
    <w:rsid w:val="7FFF391B"/>
    <w:rsid w:val="7FFF633F"/>
    <w:rsid w:val="7FFF8903"/>
    <w:rsid w:val="7FFFAD8B"/>
    <w:rsid w:val="7FFFBCF7"/>
    <w:rsid w:val="8EBF225C"/>
    <w:rsid w:val="8F5D59A4"/>
    <w:rsid w:val="8F5F6B2D"/>
    <w:rsid w:val="8FFB0B75"/>
    <w:rsid w:val="97BF2327"/>
    <w:rsid w:val="98B74015"/>
    <w:rsid w:val="9B9C1F6C"/>
    <w:rsid w:val="9BDF3334"/>
    <w:rsid w:val="9C7EF351"/>
    <w:rsid w:val="9D7B2324"/>
    <w:rsid w:val="9F8F6FA3"/>
    <w:rsid w:val="9FCE4ACA"/>
    <w:rsid w:val="9FD4B984"/>
    <w:rsid w:val="9FF99F35"/>
    <w:rsid w:val="9FFB9794"/>
    <w:rsid w:val="9FFC9604"/>
    <w:rsid w:val="9FFFDB11"/>
    <w:rsid w:val="A5FE2FD1"/>
    <w:rsid w:val="A67C683F"/>
    <w:rsid w:val="A7DBCE3C"/>
    <w:rsid w:val="ABBBED28"/>
    <w:rsid w:val="AD9F8C9A"/>
    <w:rsid w:val="ADEC83D2"/>
    <w:rsid w:val="ADFF10CC"/>
    <w:rsid w:val="AE3F0DDE"/>
    <w:rsid w:val="AE5E2D17"/>
    <w:rsid w:val="AECFD7CF"/>
    <w:rsid w:val="AEFF80E1"/>
    <w:rsid w:val="AF7EFD40"/>
    <w:rsid w:val="AFEDA70A"/>
    <w:rsid w:val="AFF7119B"/>
    <w:rsid w:val="AFFB44B1"/>
    <w:rsid w:val="AFFFE447"/>
    <w:rsid w:val="AFFFF3BB"/>
    <w:rsid w:val="B0F7249B"/>
    <w:rsid w:val="B2AB062D"/>
    <w:rsid w:val="B2FFB3C6"/>
    <w:rsid w:val="B35B6153"/>
    <w:rsid w:val="B37B5FD8"/>
    <w:rsid w:val="B38ED6A9"/>
    <w:rsid w:val="B5BC6AC8"/>
    <w:rsid w:val="B5C629E9"/>
    <w:rsid w:val="B5FFC808"/>
    <w:rsid w:val="B66DE0F3"/>
    <w:rsid w:val="B71F229D"/>
    <w:rsid w:val="B78EF67C"/>
    <w:rsid w:val="B7E93359"/>
    <w:rsid w:val="B7FA287C"/>
    <w:rsid w:val="B7FC8FD4"/>
    <w:rsid w:val="B7FF31FE"/>
    <w:rsid w:val="BA774207"/>
    <w:rsid w:val="BB6F226D"/>
    <w:rsid w:val="BB7C7785"/>
    <w:rsid w:val="BBF73F6B"/>
    <w:rsid w:val="BD5F48BC"/>
    <w:rsid w:val="BDFF14D8"/>
    <w:rsid w:val="BE7DF3AB"/>
    <w:rsid w:val="BEEB588E"/>
    <w:rsid w:val="BEFC921C"/>
    <w:rsid w:val="BEFF10AD"/>
    <w:rsid w:val="BF5E20FA"/>
    <w:rsid w:val="BF5FCF62"/>
    <w:rsid w:val="BF7D4196"/>
    <w:rsid w:val="BF7F1BD2"/>
    <w:rsid w:val="BFA33CA7"/>
    <w:rsid w:val="BFB5558A"/>
    <w:rsid w:val="BFBDDB71"/>
    <w:rsid w:val="BFEFF3F7"/>
    <w:rsid w:val="BFFDAF01"/>
    <w:rsid w:val="BFFF8EE6"/>
    <w:rsid w:val="BFFFACE1"/>
    <w:rsid w:val="BFFFCC8A"/>
    <w:rsid w:val="BFFFE75D"/>
    <w:rsid w:val="C7BBC6D6"/>
    <w:rsid w:val="C89ED9A7"/>
    <w:rsid w:val="CB26FCAB"/>
    <w:rsid w:val="CBF60B7A"/>
    <w:rsid w:val="CCDD36C3"/>
    <w:rsid w:val="CF6F4FE5"/>
    <w:rsid w:val="CF7F0D62"/>
    <w:rsid w:val="D1F503FA"/>
    <w:rsid w:val="D3FF088E"/>
    <w:rsid w:val="D5FC47EA"/>
    <w:rsid w:val="D6BD08E7"/>
    <w:rsid w:val="D6EB119C"/>
    <w:rsid w:val="D6FB60DE"/>
    <w:rsid w:val="D6FDA787"/>
    <w:rsid w:val="D75DA396"/>
    <w:rsid w:val="D77A959F"/>
    <w:rsid w:val="D77F9707"/>
    <w:rsid w:val="D7B710EC"/>
    <w:rsid w:val="D7F00430"/>
    <w:rsid w:val="D7FE7EB6"/>
    <w:rsid w:val="D97BE255"/>
    <w:rsid w:val="DACF21D7"/>
    <w:rsid w:val="DB5DBF45"/>
    <w:rsid w:val="DB7387A1"/>
    <w:rsid w:val="DBA799E2"/>
    <w:rsid w:val="DBEEED63"/>
    <w:rsid w:val="DC7ABEE3"/>
    <w:rsid w:val="DC7F37B0"/>
    <w:rsid w:val="DC9E4C42"/>
    <w:rsid w:val="DD5FA653"/>
    <w:rsid w:val="DDC3496C"/>
    <w:rsid w:val="DDFB2394"/>
    <w:rsid w:val="DE77926B"/>
    <w:rsid w:val="DE7DE59B"/>
    <w:rsid w:val="DEE262E6"/>
    <w:rsid w:val="DEEFF9CF"/>
    <w:rsid w:val="DEFB13D7"/>
    <w:rsid w:val="DF3F2014"/>
    <w:rsid w:val="DF9FAA1C"/>
    <w:rsid w:val="DFBBD75C"/>
    <w:rsid w:val="DFD9770E"/>
    <w:rsid w:val="DFDD016C"/>
    <w:rsid w:val="DFDF029D"/>
    <w:rsid w:val="DFE3F1F5"/>
    <w:rsid w:val="DFE61A72"/>
    <w:rsid w:val="DFF34AD3"/>
    <w:rsid w:val="DFF39B79"/>
    <w:rsid w:val="DFF720EC"/>
    <w:rsid w:val="DFFB60A3"/>
    <w:rsid w:val="DFFD31B0"/>
    <w:rsid w:val="DFFF47CA"/>
    <w:rsid w:val="DFFFAE61"/>
    <w:rsid w:val="DFFFFB80"/>
    <w:rsid w:val="E2DB5A87"/>
    <w:rsid w:val="E5FC02D1"/>
    <w:rsid w:val="E6BB69F9"/>
    <w:rsid w:val="E6EF37CC"/>
    <w:rsid w:val="E6EF91AE"/>
    <w:rsid w:val="E72F10DC"/>
    <w:rsid w:val="E778A862"/>
    <w:rsid w:val="E7DF50C1"/>
    <w:rsid w:val="E87B70A2"/>
    <w:rsid w:val="E8D76BCE"/>
    <w:rsid w:val="E97F65EC"/>
    <w:rsid w:val="EADC83D7"/>
    <w:rsid w:val="EB7B6DE1"/>
    <w:rsid w:val="EBDECC2E"/>
    <w:rsid w:val="EBEFA9BB"/>
    <w:rsid w:val="ECEAAF28"/>
    <w:rsid w:val="EDBFD3AA"/>
    <w:rsid w:val="EDEF4004"/>
    <w:rsid w:val="EDFD232B"/>
    <w:rsid w:val="EDFE5F27"/>
    <w:rsid w:val="EDFF7865"/>
    <w:rsid w:val="EDFFCF00"/>
    <w:rsid w:val="EE8AFE1C"/>
    <w:rsid w:val="EEFA5F6E"/>
    <w:rsid w:val="EF3FE0F5"/>
    <w:rsid w:val="EF5DC768"/>
    <w:rsid w:val="EF7F2C56"/>
    <w:rsid w:val="EFABB031"/>
    <w:rsid w:val="EFADAA4C"/>
    <w:rsid w:val="EFD55489"/>
    <w:rsid w:val="EFDD93C1"/>
    <w:rsid w:val="EFE31411"/>
    <w:rsid w:val="EFEF0094"/>
    <w:rsid w:val="EFFB89B2"/>
    <w:rsid w:val="EFFDE6FA"/>
    <w:rsid w:val="F1BF1DBA"/>
    <w:rsid w:val="F1EDC61B"/>
    <w:rsid w:val="F1F395D8"/>
    <w:rsid w:val="F1FF3360"/>
    <w:rsid w:val="F2DEA05A"/>
    <w:rsid w:val="F2FF3A7A"/>
    <w:rsid w:val="F3794464"/>
    <w:rsid w:val="F3CF073D"/>
    <w:rsid w:val="F3EF9127"/>
    <w:rsid w:val="F3FA869C"/>
    <w:rsid w:val="F4FF43E7"/>
    <w:rsid w:val="F4FF84A5"/>
    <w:rsid w:val="F57D3FA1"/>
    <w:rsid w:val="F5D77FD0"/>
    <w:rsid w:val="F5FE7683"/>
    <w:rsid w:val="F60B0D17"/>
    <w:rsid w:val="F639FDF8"/>
    <w:rsid w:val="F7798D0D"/>
    <w:rsid w:val="F7BFF8A7"/>
    <w:rsid w:val="F7D76496"/>
    <w:rsid w:val="F7DB7B04"/>
    <w:rsid w:val="F7DEACCC"/>
    <w:rsid w:val="F7EDAF2A"/>
    <w:rsid w:val="F7EEC0BA"/>
    <w:rsid w:val="F7F597CB"/>
    <w:rsid w:val="F7F715EE"/>
    <w:rsid w:val="F7F938C5"/>
    <w:rsid w:val="F7FF38DD"/>
    <w:rsid w:val="F7FF61F0"/>
    <w:rsid w:val="F7FFD1F6"/>
    <w:rsid w:val="F8A1B925"/>
    <w:rsid w:val="F8D04070"/>
    <w:rsid w:val="F8E8D507"/>
    <w:rsid w:val="F93B35A3"/>
    <w:rsid w:val="F9841BE9"/>
    <w:rsid w:val="F9FA1080"/>
    <w:rsid w:val="FA3D022F"/>
    <w:rsid w:val="FA7F6236"/>
    <w:rsid w:val="FABC5063"/>
    <w:rsid w:val="FB1FB846"/>
    <w:rsid w:val="FB770C10"/>
    <w:rsid w:val="FB9D71D8"/>
    <w:rsid w:val="FBA94DEF"/>
    <w:rsid w:val="FBDB2C9C"/>
    <w:rsid w:val="FBDFBDCF"/>
    <w:rsid w:val="FBF758AD"/>
    <w:rsid w:val="FBF9AB6F"/>
    <w:rsid w:val="FBFC24EB"/>
    <w:rsid w:val="FBFF6260"/>
    <w:rsid w:val="FBFFB511"/>
    <w:rsid w:val="FBFFD543"/>
    <w:rsid w:val="FC6BECB3"/>
    <w:rsid w:val="FC798D9B"/>
    <w:rsid w:val="FCFC698F"/>
    <w:rsid w:val="FCFF4F1C"/>
    <w:rsid w:val="FCFFC361"/>
    <w:rsid w:val="FD3D36C1"/>
    <w:rsid w:val="FD59D062"/>
    <w:rsid w:val="FD5DE01D"/>
    <w:rsid w:val="FD6D1428"/>
    <w:rsid w:val="FD7579DB"/>
    <w:rsid w:val="FD7AEB45"/>
    <w:rsid w:val="FDD5052B"/>
    <w:rsid w:val="FDDAC906"/>
    <w:rsid w:val="FDDFBC8D"/>
    <w:rsid w:val="FDE92824"/>
    <w:rsid w:val="FDED4FE7"/>
    <w:rsid w:val="FDEF0B21"/>
    <w:rsid w:val="FDEFFB1A"/>
    <w:rsid w:val="FDF5B80F"/>
    <w:rsid w:val="FDFBE4BF"/>
    <w:rsid w:val="FDFD87BE"/>
    <w:rsid w:val="FDFF84B5"/>
    <w:rsid w:val="FDFFDA72"/>
    <w:rsid w:val="FE31A3AF"/>
    <w:rsid w:val="FE5D4482"/>
    <w:rsid w:val="FEB7EB15"/>
    <w:rsid w:val="FEDB0CBA"/>
    <w:rsid w:val="FEEFC20F"/>
    <w:rsid w:val="FEFA5691"/>
    <w:rsid w:val="FEFB3EE1"/>
    <w:rsid w:val="FEFF92FD"/>
    <w:rsid w:val="FEFFF2F2"/>
    <w:rsid w:val="FF1FC617"/>
    <w:rsid w:val="FF3FD0B3"/>
    <w:rsid w:val="FF4DFF11"/>
    <w:rsid w:val="FF4F0527"/>
    <w:rsid w:val="FF5BCBA9"/>
    <w:rsid w:val="FF5FD35F"/>
    <w:rsid w:val="FF7C733A"/>
    <w:rsid w:val="FF8A1E4E"/>
    <w:rsid w:val="FF9C3594"/>
    <w:rsid w:val="FFAF580F"/>
    <w:rsid w:val="FFBB58BA"/>
    <w:rsid w:val="FFBBEB92"/>
    <w:rsid w:val="FFBDA195"/>
    <w:rsid w:val="FFCEDCEE"/>
    <w:rsid w:val="FFD7A303"/>
    <w:rsid w:val="FFD7A69E"/>
    <w:rsid w:val="FFDB1E84"/>
    <w:rsid w:val="FFDC3DD8"/>
    <w:rsid w:val="FFDD06B4"/>
    <w:rsid w:val="FFDE9A2D"/>
    <w:rsid w:val="FFE57E77"/>
    <w:rsid w:val="FFEB7DAB"/>
    <w:rsid w:val="FFEC12BB"/>
    <w:rsid w:val="FFECA782"/>
    <w:rsid w:val="FFED928B"/>
    <w:rsid w:val="FFEF5E18"/>
    <w:rsid w:val="FFF74132"/>
    <w:rsid w:val="FFF74AA8"/>
    <w:rsid w:val="FFF99E5D"/>
    <w:rsid w:val="FFFA308C"/>
    <w:rsid w:val="FFFB2AC2"/>
    <w:rsid w:val="FFFBEB14"/>
    <w:rsid w:val="FFFDC175"/>
    <w:rsid w:val="FFFE6FA3"/>
    <w:rsid w:val="FFFEB776"/>
    <w:rsid w:val="FFFF08E6"/>
    <w:rsid w:val="FFFF3D51"/>
    <w:rsid w:val="FFFF533E"/>
    <w:rsid w:val="FFFFC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0"/>
      <w:szCs w:val="24"/>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spacing w:after="120" w:afterLines="0"/>
      <w:ind w:left="420" w:leftChars="200" w:firstLine="420"/>
    </w:pPr>
  </w:style>
  <w:style w:type="paragraph" w:styleId="3">
    <w:name w:val="Body Text Indent"/>
    <w:basedOn w:val="1"/>
    <w:qFormat/>
    <w:uiPriority w:val="0"/>
    <w:pPr>
      <w:ind w:firstLine="630"/>
    </w:pPr>
    <w:rPr>
      <w:szCs w:val="20"/>
    </w:rPr>
  </w:style>
  <w:style w:type="paragraph" w:styleId="4">
    <w:name w:val="Plain Text"/>
    <w:basedOn w:val="1"/>
    <w:link w:val="16"/>
    <w:qFormat/>
    <w:uiPriority w:val="0"/>
    <w:rPr>
      <w:rFonts w:ascii="宋体" w:hAnsi="Courier New" w:eastAsia="宋体" w:cs="Courier New"/>
      <w:sz w:val="21"/>
      <w:szCs w:val="21"/>
    </w:rPr>
  </w:style>
  <w:style w:type="paragraph" w:styleId="5">
    <w:name w:val="Date"/>
    <w:basedOn w:val="1"/>
    <w:next w:val="1"/>
    <w:link w:val="18"/>
    <w:semiHidden/>
    <w:unhideWhenUsed/>
    <w:qFormat/>
    <w:uiPriority w:val="99"/>
    <w:pPr>
      <w:ind w:left="100" w:leftChars="2500"/>
    </w:pPr>
  </w:style>
  <w:style w:type="paragraph" w:styleId="6">
    <w:name w:val="footer"/>
    <w:basedOn w:val="1"/>
    <w:link w:val="15"/>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4"/>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unhideWhenUsed/>
    <w:qFormat/>
    <w:uiPriority w:val="99"/>
    <w:pPr>
      <w:spacing w:line="560" w:lineRule="exact"/>
    </w:pPr>
    <w:rPr>
      <w:rFonts w:eastAsia="宋体"/>
      <w:sz w:val="24"/>
    </w:rPr>
  </w:style>
  <w:style w:type="paragraph" w:styleId="10">
    <w:name w:val="Title"/>
    <w:basedOn w:val="1"/>
    <w:next w:val="1"/>
    <w:qFormat/>
    <w:uiPriority w:val="10"/>
    <w:pPr>
      <w:jc w:val="center"/>
      <w:outlineLvl w:val="0"/>
    </w:pPr>
    <w:rPr>
      <w:rFonts w:ascii="Arial" w:hAnsi="Arial"/>
      <w:b/>
      <w:sz w:val="32"/>
    </w:rPr>
  </w:style>
  <w:style w:type="table" w:styleId="12">
    <w:name w:val="Table Grid"/>
    <w:basedOn w:val="11"/>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4">
    <w:name w:val="页眉 Char"/>
    <w:basedOn w:val="13"/>
    <w:link w:val="7"/>
    <w:semiHidden/>
    <w:qFormat/>
    <w:uiPriority w:val="99"/>
    <w:rPr>
      <w:sz w:val="18"/>
      <w:szCs w:val="18"/>
    </w:rPr>
  </w:style>
  <w:style w:type="character" w:customStyle="1" w:styleId="15">
    <w:name w:val="页脚 Char"/>
    <w:basedOn w:val="13"/>
    <w:link w:val="6"/>
    <w:qFormat/>
    <w:uiPriority w:val="99"/>
    <w:rPr>
      <w:sz w:val="18"/>
      <w:szCs w:val="18"/>
    </w:rPr>
  </w:style>
  <w:style w:type="character" w:customStyle="1" w:styleId="16">
    <w:name w:val="纯文本 Char"/>
    <w:basedOn w:val="13"/>
    <w:link w:val="4"/>
    <w:qFormat/>
    <w:uiPriority w:val="0"/>
    <w:rPr>
      <w:rFonts w:ascii="宋体" w:hAnsi="Courier New" w:eastAsia="宋体" w:cs="Courier New"/>
      <w:szCs w:val="21"/>
    </w:rPr>
  </w:style>
  <w:style w:type="paragraph" w:styleId="17">
    <w:name w:val="List Paragraph"/>
    <w:basedOn w:val="1"/>
    <w:qFormat/>
    <w:uiPriority w:val="34"/>
    <w:pPr>
      <w:ind w:firstLine="420" w:firstLineChars="200"/>
    </w:pPr>
  </w:style>
  <w:style w:type="character" w:customStyle="1" w:styleId="18">
    <w:name w:val="日期 Char"/>
    <w:basedOn w:val="13"/>
    <w:link w:val="5"/>
    <w:semiHidden/>
    <w:qFormat/>
    <w:uiPriority w:val="99"/>
    <w:rPr>
      <w:rFonts w:ascii="Times New Roman" w:hAnsi="Times New Roman" w:eastAsia="仿宋_GB2312" w:cs="Times New Roman"/>
      <w:sz w:val="30"/>
      <w:szCs w:val="24"/>
    </w:rPr>
  </w:style>
  <w:style w:type="character" w:customStyle="1" w:styleId="19">
    <w:name w:val="NormalCharacter"/>
    <w:qFormat/>
    <w:uiPriority w:val="0"/>
    <w:rPr>
      <w:rFonts w:ascii="Calibri" w:hAnsi="Calibri" w:eastAsia="宋体" w:cs="Times New Roman"/>
      <w:kern w:val="2"/>
      <w:sz w:val="21"/>
      <w:szCs w:val="24"/>
      <w:lang w:val="en-US" w:eastAsia="zh-CN" w:bidi="ar-SA"/>
    </w:rPr>
  </w:style>
  <w:style w:type="character" w:customStyle="1" w:styleId="20">
    <w:name w:val="font01"/>
    <w:basedOn w:val="13"/>
    <w:qFormat/>
    <w:uiPriority w:val="0"/>
    <w:rPr>
      <w:rFonts w:hint="eastAsia" w:ascii="宋体" w:hAnsi="宋体" w:eastAsia="宋体" w:cs="宋体"/>
      <w:color w:val="000000"/>
      <w:sz w:val="20"/>
      <w:szCs w:val="20"/>
      <w:u w:val="none"/>
    </w:rPr>
  </w:style>
  <w:style w:type="character" w:customStyle="1" w:styleId="21">
    <w:name w:val="font31"/>
    <w:basedOn w:val="13"/>
    <w:qFormat/>
    <w:uiPriority w:val="0"/>
    <w:rPr>
      <w:rFonts w:hint="default" w:ascii="Arial" w:hAnsi="Arial" w:cs="Arial"/>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8</Pages>
  <Words>3657</Words>
  <Characters>4392</Characters>
  <Lines>38</Lines>
  <Paragraphs>10</Paragraphs>
  <TotalTime>7</TotalTime>
  <ScaleCrop>false</ScaleCrop>
  <LinksUpToDate>false</LinksUpToDate>
  <CharactersWithSpaces>4450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2021-12-02T18:40:00Z</dcterms:created>
  <dc:creator>牟伶俐</dc:creator>
  <cp:lastModifiedBy>无形的手</cp:lastModifiedBy>
  <cp:lastPrinted>2025-03-10T17:54:00Z</cp:lastPrinted>
  <dcterms:modified xsi:type="dcterms:W3CDTF">2025-05-23T11:13:41Z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47BB76FA37244270AEEE1B5355229B5D</vt:lpwstr>
  </property>
  <property fmtid="{D5CDD505-2E9C-101B-9397-08002B2CF9AE}" pid="4" name="KSOTemplateDocerSaveRecord">
    <vt:lpwstr>eyJoZGlkIjoiMTAyMzJkOGNiMDEyZDQzM2FkNGM4ODJmZGE4NDczMDMiLCJ1c2VySWQiOiIzOTcwMzg5MTcifQ==</vt:lpwstr>
  </property>
</Properties>
</file>