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C0C0C"/>
          <w:kern w:val="0"/>
        </w:rPr>
      </w:pPr>
      <w:r>
        <w:rPr>
          <w:rFonts w:hint="eastAsia" w:ascii="黑体" w:hAnsi="黑体" w:eastAsia="黑体" w:cs="仿宋_GB2312"/>
          <w:color w:val="0C0C0C"/>
          <w:kern w:val="0"/>
        </w:rPr>
        <w:t xml:space="preserve">附件6  </w:t>
      </w:r>
    </w:p>
    <w:p>
      <w:pP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</w:rPr>
      </w:pP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C0C0C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44"/>
          <w:szCs w:val="44"/>
        </w:rPr>
        <w:t>XX(单位)关于财政票据使用管理情况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C0C0C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44"/>
          <w:szCs w:val="44"/>
        </w:rPr>
        <w:t>的自查报告（模板）</w:t>
      </w:r>
    </w:p>
    <w:p>
      <w:pPr>
        <w:spacing w:line="540" w:lineRule="exact"/>
        <w:rPr>
          <w:rFonts w:hint="eastAsia" w:ascii="仿宋_GB2312" w:hAnsi="仿宋_GB2312" w:cs="仿宋_GB2312"/>
          <w:color w:val="0C0C0C"/>
          <w:kern w:val="0"/>
        </w:rPr>
      </w:pPr>
    </w:p>
    <w:p>
      <w:pPr>
        <w:spacing w:line="540" w:lineRule="exact"/>
        <w:rPr>
          <w:rFonts w:hint="eastAsia" w:ascii="仿宋_GB2312" w:hAnsi="仿宋_GB2312" w:cs="仿宋_GB2312"/>
          <w:color w:val="0C0C0C"/>
          <w:kern w:val="0"/>
        </w:rPr>
      </w:pPr>
      <w:r>
        <w:rPr>
          <w:rFonts w:hint="eastAsia" w:ascii="仿宋_GB2312" w:hAnsi="仿宋_GB2312" w:cs="仿宋_GB2312"/>
          <w:color w:val="0C0C0C"/>
          <w:kern w:val="0"/>
        </w:rPr>
        <w:t>财政厅：</w:t>
      </w:r>
    </w:p>
    <w:p>
      <w:pPr>
        <w:spacing w:line="540" w:lineRule="exact"/>
        <w:ind w:firstLine="640"/>
        <w:rPr>
          <w:rFonts w:ascii="仿宋_GB2312" w:hAnsi="仿宋_GB2312" w:cs="仿宋_GB2312"/>
          <w:color w:val="0C0C0C"/>
          <w:kern w:val="0"/>
        </w:rPr>
      </w:pPr>
      <w:r>
        <w:rPr>
          <w:rFonts w:hint="eastAsia" w:ascii="仿宋_GB2312" w:hAnsi="仿宋_GB2312" w:cs="仿宋_GB2312"/>
          <w:color w:val="0C0C0C"/>
          <w:kern w:val="0"/>
        </w:rPr>
        <w:t>按照《四川省财政厅关于进一步加强省级财政票据监督检查工作的通知》要求，我单位认真组织自查自纠工作，自查范围为xx年xx月xx日至xx年xx月xx日已使用的各类财政票据。现将有关情况报告如下：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黑体" w:hAnsi="黑体" w:eastAsia="黑体" w:cs="黑体"/>
          <w:color w:val="0C0C0C"/>
        </w:rPr>
      </w:pPr>
      <w:r>
        <w:rPr>
          <w:rFonts w:hint="eastAsia" w:ascii="黑体" w:hAnsi="黑体" w:eastAsia="黑体" w:cs="黑体"/>
          <w:color w:val="0C0C0C"/>
        </w:rPr>
        <w:t>基本情况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财政票据管理情况</w:t>
      </w:r>
    </w:p>
    <w:p>
      <w:pPr>
        <w:spacing w:line="54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财政票据管理制度建立完善情况，财政票据管理台账设立和登记情况，财政票据年度用票计划的编报情况，财政票据存根的清理、核销情况，专人负责管理制度落实情况等。</w:t>
      </w:r>
    </w:p>
    <w:p>
      <w:pPr>
        <w:numPr>
          <w:ilvl w:val="0"/>
          <w:numId w:val="2"/>
        </w:numPr>
        <w:spacing w:line="540" w:lineRule="exact"/>
        <w:ind w:firstLine="643" w:firstLineChars="200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财政票据使用情况</w:t>
      </w:r>
    </w:p>
    <w:p>
      <w:pPr>
        <w:spacing w:line="54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票据所开金额与收取金额是否一致，有无混用、串用、代开财政票据的情况，有无使用财政票据收取经营性收费的情况，有无擅自印制、买卖、转让、转借、涂改、伪造、销毁票据的情况，作废的财政票据保存是否完整并加盖“作废”戳记或者注明“作废”字样。发现财政票据或存根丢失，是否按照规定在新闻媒体登报申明作废并向财政厅票据中心备案。有无违反财政票据管理规定的其他行为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color w:val="0C0C0C"/>
        </w:rPr>
      </w:pPr>
      <w:r>
        <w:rPr>
          <w:rFonts w:hint="eastAsia" w:ascii="黑体" w:hAnsi="黑体" w:eastAsia="黑体" w:cs="黑体"/>
          <w:color w:val="0C0C0C"/>
        </w:rPr>
        <w:t>二、存在问题及原因</w:t>
      </w:r>
    </w:p>
    <w:p>
      <w:pPr>
        <w:spacing w:line="540" w:lineRule="exact"/>
        <w:ind w:firstLine="640" w:firstLineChars="200"/>
        <w:rPr>
          <w:rFonts w:hint="eastAsia" w:ascii="Arial" w:hAnsi="Arial" w:cs="Arial"/>
          <w:color w:val="0C0C0C"/>
        </w:rPr>
      </w:pPr>
      <w:r>
        <w:rPr>
          <w:rFonts w:hint="eastAsia" w:ascii="仿宋_GB2312" w:hAnsi="仿宋_GB2312" w:cs="仿宋_GB2312"/>
          <w:color w:val="0C0C0C"/>
        </w:rPr>
        <w:t>（一）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。</w:t>
      </w:r>
    </w:p>
    <w:p>
      <w:pPr>
        <w:spacing w:line="540" w:lineRule="exact"/>
        <w:ind w:firstLine="640" w:firstLineChars="200"/>
        <w:rPr>
          <w:rFonts w:hint="eastAsia" w:ascii="Arial" w:hAnsi="Arial" w:cs="Arial"/>
          <w:color w:val="0C0C0C"/>
        </w:rPr>
      </w:pPr>
      <w:r>
        <w:rPr>
          <w:rFonts w:hint="eastAsia" w:ascii="仿宋_GB2312" w:hAnsi="仿宋_GB2312" w:cs="仿宋_GB2312"/>
          <w:color w:val="0C0C0C"/>
        </w:rPr>
        <w:t>（二）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color w:val="0C0C0C"/>
        </w:rPr>
      </w:pPr>
      <w:r>
        <w:rPr>
          <w:rFonts w:hint="eastAsia" w:ascii="黑体" w:hAnsi="黑体" w:eastAsia="黑体" w:cs="黑体"/>
          <w:color w:val="0C0C0C"/>
        </w:rPr>
        <w:t>三、整改措施</w:t>
      </w:r>
    </w:p>
    <w:p>
      <w:pPr>
        <w:spacing w:line="540" w:lineRule="exact"/>
        <w:ind w:firstLine="640" w:firstLineChars="200"/>
        <w:rPr>
          <w:rFonts w:hint="eastAsia" w:ascii="Arial" w:hAnsi="Arial" w:cs="Arial"/>
          <w:color w:val="0C0C0C"/>
        </w:rPr>
      </w:pPr>
      <w:r>
        <w:rPr>
          <w:rFonts w:hint="eastAsia" w:ascii="仿宋_GB2312" w:hAnsi="仿宋_GB2312" w:cs="仿宋_GB2312"/>
          <w:color w:val="0C0C0C"/>
        </w:rPr>
        <w:t>（一）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。</w:t>
      </w:r>
    </w:p>
    <w:p>
      <w:pPr>
        <w:spacing w:line="540" w:lineRule="exact"/>
        <w:ind w:firstLine="640" w:firstLineChars="200"/>
        <w:rPr>
          <w:rFonts w:hint="eastAsia" w:ascii="Arial" w:hAnsi="Arial" w:cs="Arial"/>
          <w:color w:val="0C0C0C"/>
        </w:rPr>
      </w:pPr>
      <w:r>
        <w:rPr>
          <w:rFonts w:hint="eastAsia" w:ascii="仿宋_GB2312" w:hAnsi="仿宋_GB2312" w:cs="仿宋_GB2312"/>
          <w:color w:val="0C0C0C"/>
        </w:rPr>
        <w:t>（二）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。</w:t>
      </w:r>
    </w:p>
    <w:p>
      <w:pPr>
        <w:spacing w:line="540" w:lineRule="exact"/>
        <w:ind w:firstLine="640" w:firstLineChars="200"/>
        <w:rPr>
          <w:rFonts w:ascii="Arial" w:hAnsi="Arial" w:cs="Arial"/>
          <w:color w:val="0C0C0C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cs="仿宋_GB2312"/>
          <w:color w:val="0C0C0C"/>
        </w:rPr>
      </w:pPr>
      <w:r>
        <w:rPr>
          <w:rFonts w:hint="eastAsia" w:ascii="仿宋_GB2312" w:hAnsi="仿宋_GB2312" w:cs="仿宋_GB2312"/>
          <w:color w:val="0C0C0C"/>
        </w:rPr>
        <w:t>附件：1.省本级用票单位财政票据检查登记表</w:t>
      </w:r>
    </w:p>
    <w:p>
      <w:pPr>
        <w:spacing w:line="540" w:lineRule="exact"/>
        <w:ind w:firstLine="1600" w:firstLineChars="500"/>
        <w:rPr>
          <w:rFonts w:hint="eastAsia" w:ascii="仿宋_GB2312" w:hAnsi="仿宋_GB2312" w:cs="仿宋_GB2312"/>
          <w:color w:val="0C0C0C"/>
        </w:rPr>
      </w:pPr>
      <w:r>
        <w:rPr>
          <w:rFonts w:hint="eastAsia" w:ascii="仿宋_GB2312" w:hAnsi="仿宋_GB2312" w:cs="仿宋_GB2312"/>
          <w:color w:val="0C0C0C"/>
        </w:rPr>
        <w:t>2.省本级用票单位非税收入票据检查表</w:t>
      </w:r>
    </w:p>
    <w:p>
      <w:pPr>
        <w:spacing w:line="540" w:lineRule="exact"/>
        <w:ind w:firstLine="1600" w:firstLineChars="500"/>
        <w:rPr>
          <w:rFonts w:hint="eastAsia" w:ascii="仿宋_GB2312" w:hAnsi="仿宋_GB2312" w:cs="仿宋_GB2312"/>
          <w:color w:val="0C0C0C"/>
        </w:rPr>
      </w:pPr>
      <w:r>
        <w:rPr>
          <w:rFonts w:hint="eastAsia" w:ascii="仿宋_GB2312" w:hAnsi="仿宋_GB2312" w:cs="仿宋_GB2312"/>
          <w:color w:val="0C0C0C"/>
        </w:rPr>
        <w:t>3.省本级用票单位其他财政票据检查表</w:t>
      </w:r>
    </w:p>
    <w:p>
      <w:pPr>
        <w:spacing w:line="540" w:lineRule="exact"/>
        <w:ind w:firstLine="1600" w:firstLineChars="500"/>
        <w:rPr>
          <w:rFonts w:hint="eastAsia" w:ascii="仿宋_GB2312" w:hAnsi="仿宋_GB2312" w:cs="仿宋_GB2312"/>
          <w:color w:val="0C0C0C"/>
        </w:rPr>
      </w:pPr>
      <w:r>
        <w:rPr>
          <w:rFonts w:hint="eastAsia" w:ascii="仿宋_GB2312" w:hAnsi="仿宋_GB2312" w:cs="仿宋_GB2312"/>
          <w:color w:val="0C0C0C"/>
        </w:rPr>
        <w:t>4.省本级用票单位财政票据检查自查自纠情况表</w:t>
      </w:r>
    </w:p>
    <w:p>
      <w:pPr>
        <w:spacing w:line="540" w:lineRule="exact"/>
        <w:ind w:firstLine="640" w:firstLineChars="200"/>
        <w:rPr>
          <w:rFonts w:hint="eastAsia" w:ascii="仿宋_GB2312" w:hAnsi="仿宋_GB2312" w:cs="仿宋_GB2312"/>
          <w:color w:val="0C0C0C"/>
        </w:rPr>
      </w:pPr>
    </w:p>
    <w:p>
      <w:pPr>
        <w:spacing w:line="540" w:lineRule="exact"/>
        <w:rPr>
          <w:rFonts w:hint="eastAsia" w:ascii="仿宋_GB2312" w:hAnsi="仿宋_GB2312" w:cs="仿宋_GB2312"/>
          <w:color w:val="0C0C0C"/>
          <w:kern w:val="0"/>
          <w:sz w:val="24"/>
          <w:szCs w:val="24"/>
        </w:rPr>
      </w:pPr>
    </w:p>
    <w:p>
      <w:pPr>
        <w:spacing w:line="540" w:lineRule="exact"/>
        <w:rPr>
          <w:rFonts w:hint="eastAsia" w:ascii="仿宋_GB2312" w:hAnsi="仿宋_GB2312" w:cs="仿宋_GB2312"/>
          <w:color w:val="0C0C0C"/>
          <w:kern w:val="0"/>
          <w:sz w:val="24"/>
          <w:szCs w:val="24"/>
        </w:rPr>
      </w:pPr>
    </w:p>
    <w:p>
      <w:pPr>
        <w:tabs>
          <w:tab w:val="left" w:pos="7763"/>
        </w:tabs>
        <w:spacing w:line="540" w:lineRule="exact"/>
        <w:rPr>
          <w:rFonts w:hint="eastAsia" w:ascii="仿宋_GB2312" w:hAnsi="仿宋_GB2312" w:cs="仿宋_GB2312"/>
          <w:color w:val="0C0C0C"/>
          <w:kern w:val="0"/>
        </w:rPr>
      </w:pPr>
      <w:r>
        <w:rPr>
          <w:rFonts w:hint="eastAsia" w:ascii="仿宋_GB2312" w:hAnsi="仿宋_GB2312" w:cs="仿宋_GB2312"/>
          <w:color w:val="0C0C0C"/>
          <w:kern w:val="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C0C0C"/>
        </w:rPr>
        <w:t>×</w:t>
      </w:r>
      <w:r>
        <w:rPr>
          <w:rFonts w:hint="eastAsia"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×</w:t>
      </w:r>
      <w:r>
        <w:rPr>
          <w:rFonts w:hint="eastAsia" w:ascii="仿宋_GB2312" w:hAnsi="仿宋_GB2312" w:cs="仿宋_GB2312"/>
          <w:color w:val="0C0C0C"/>
          <w:kern w:val="0"/>
        </w:rPr>
        <w:t>单位（公章）</w:t>
      </w:r>
    </w:p>
    <w:p>
      <w:pPr>
        <w:tabs>
          <w:tab w:val="left" w:pos="7763"/>
        </w:tabs>
        <w:spacing w:line="540" w:lineRule="exact"/>
        <w:ind w:left="960" w:hanging="960" w:hangingChars="300"/>
        <w:rPr>
          <w:rFonts w:hint="eastAsia" w:ascii="仿宋_GB2312" w:hAnsi="仿宋_GB2312" w:cs="仿宋_GB2312"/>
          <w:color w:val="0C0C0C"/>
          <w:kern w:val="0"/>
          <w:sz w:val="24"/>
          <w:szCs w:val="24"/>
        </w:rPr>
      </w:pPr>
      <w:r>
        <w:rPr>
          <w:rFonts w:hint="eastAsia" w:ascii="仿宋_GB2312" w:hAnsi="仿宋_GB2312" w:cs="仿宋_GB2312"/>
          <w:color w:val="0C0C0C"/>
          <w:kern w:val="0"/>
        </w:rPr>
        <w:t xml:space="preserve">                                  年   月   日</w:t>
      </w:r>
    </w:p>
    <w:p>
      <w:pPr>
        <w:tabs>
          <w:tab w:val="left" w:pos="7763"/>
        </w:tabs>
        <w:spacing w:line="540" w:lineRule="exact"/>
        <w:ind w:left="720" w:hanging="720" w:hangingChars="300"/>
        <w:rPr>
          <w:rFonts w:hint="eastAsia" w:ascii="仿宋_GB2312" w:hAnsi="仿宋_GB2312" w:cs="仿宋_GB2312"/>
          <w:color w:val="0C0C0C"/>
          <w:kern w:val="0"/>
          <w:sz w:val="24"/>
          <w:szCs w:val="24"/>
        </w:rPr>
      </w:pPr>
    </w:p>
    <w:p>
      <w:pPr>
        <w:tabs>
          <w:tab w:val="left" w:pos="7763"/>
        </w:tabs>
        <w:spacing w:line="540" w:lineRule="exact"/>
        <w:ind w:left="720" w:hanging="720" w:hangingChars="300"/>
        <w:rPr>
          <w:rFonts w:hint="eastAsia" w:ascii="仿宋_GB2312" w:hAnsi="仿宋_GB2312" w:cs="仿宋_GB2312"/>
          <w:color w:val="0C0C0C"/>
          <w:kern w:val="0"/>
          <w:sz w:val="24"/>
          <w:szCs w:val="24"/>
        </w:rPr>
      </w:pPr>
    </w:p>
    <w:p>
      <w:pPr>
        <w:tabs>
          <w:tab w:val="left" w:pos="7763"/>
        </w:tabs>
        <w:spacing w:line="540" w:lineRule="exact"/>
        <w:ind w:left="960" w:hanging="960" w:hangingChars="300"/>
        <w:rPr>
          <w:rFonts w:hint="eastAsia" w:ascii="仿宋_GB2312" w:hAnsi="仿宋_GB2312" w:cs="仿宋_GB2312"/>
        </w:rPr>
      </w:pPr>
    </w:p>
    <w:p>
      <w:pPr>
        <w:pStyle w:val="2"/>
        <w:bidi w:val="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pgNumType w:fmt="numberInDash" w:start="1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227"/>
        <w:tab w:val="clear" w:pos="4153"/>
      </w:tabs>
      <w:rPr>
        <w:sz w:val="24"/>
        <w:szCs w:val="24"/>
      </w:rPr>
    </w:pPr>
    <w:r>
      <w:rPr>
        <w:rFonts w:hint="eastAsia" w:eastAsia="宋体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4973320</wp:posOffset>
              </wp:positionH>
              <wp:positionV relativeFrom="paragraph">
                <wp:posOffset>-283210</wp:posOffset>
              </wp:positionV>
              <wp:extent cx="495300" cy="2851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6pt;margin-top:-22.3pt;height:22.45pt;width:39pt;mso-position-horizontal-relative:margin;z-index:251658240;mso-width-relative:page;mso-height-relative:page;" filled="f" stroked="f" coordsize="21600,21600" o:gfxdata="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ULu7m1wAAAAgBAAAP&#10;AAAAAAAAAAEAIAAAACIAAABkcnMvZG93bnJldi54bWxQSwECFAAUAAAACACHTuJAWlQyZKcBAAAs&#10;AwAADgAAAAAAAAABACAAAAAmAQAAZHJzL2Uyb0RvYy54bWxQSwUGAAAAAAYABgBZAQAAP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715CE"/>
    <w:multiLevelType w:val="singleLevel"/>
    <w:tmpl w:val="967715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B97F057"/>
    <w:multiLevelType w:val="singleLevel"/>
    <w:tmpl w:val="7B97F0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4C9B"/>
    <w:rsid w:val="03CB7267"/>
    <w:rsid w:val="227C5555"/>
    <w:rsid w:val="46C013ED"/>
    <w:rsid w:val="50F547A6"/>
    <w:rsid w:val="5938287F"/>
    <w:rsid w:val="69EF3409"/>
    <w:rsid w:val="6BF362D0"/>
    <w:rsid w:val="797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2020-04-30T07:05:00Z</dcterms:created>
  <dc:creator>李玟瑶</dc:creator>
  <cp:lastModifiedBy>李玟瑶</cp:lastModifiedBy>
  <dcterms:modified xsi:type="dcterms:W3CDTF">2020-04-30T07:05:58Z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