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8BA44">
      <w:pPr>
        <w:pStyle w:val="16"/>
      </w:pPr>
      <w:bookmarkStart w:id="0" w:name="_Toc15306267"/>
      <w:bookmarkStart w:id="40" w:name="_GoBack"/>
      <w:bookmarkEnd w:id="40"/>
    </w:p>
    <w:p w14:paraId="281FFB6E">
      <w:pPr>
        <w:pStyle w:val="2"/>
        <w:spacing w:before="93"/>
      </w:pPr>
    </w:p>
    <w:p w14:paraId="4217920B">
      <w:pPr>
        <w:spacing w:line="600" w:lineRule="exact"/>
        <w:jc w:val="center"/>
        <w:outlineLvl w:val="0"/>
        <w:rPr>
          <w:rFonts w:ascii="方正小标宋简体" w:hAnsi="宋体" w:eastAsia="方正小标宋简体"/>
          <w:sz w:val="72"/>
          <w:szCs w:val="72"/>
        </w:rPr>
      </w:pPr>
    </w:p>
    <w:p w14:paraId="5EF1EEE8">
      <w:pPr>
        <w:spacing w:line="600" w:lineRule="exact"/>
        <w:jc w:val="center"/>
        <w:outlineLvl w:val="0"/>
        <w:rPr>
          <w:rFonts w:ascii="方正小标宋简体" w:hAnsi="宋体" w:eastAsia="方正小标宋简体"/>
          <w:sz w:val="72"/>
          <w:szCs w:val="72"/>
        </w:rPr>
      </w:pPr>
    </w:p>
    <w:p w14:paraId="2D5DF458">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597"/>
      <w:bookmarkStart w:id="2" w:name="_Toc15377193"/>
      <w:bookmarkStart w:id="3" w:name="_Toc15378441"/>
      <w:bookmarkStart w:id="4" w:name="_Toc15377425"/>
      <w:bookmarkStart w:id="5" w:name="_Toc15396475"/>
      <w:r>
        <w:rPr>
          <w:rFonts w:hint="eastAsia" w:ascii="方正小标宋简体" w:hAnsi="方正小标宋简体" w:eastAsia="方正小标宋简体" w:cs="方正小标宋简体"/>
          <w:sz w:val="72"/>
          <w:szCs w:val="72"/>
        </w:rPr>
        <w:t>202</w:t>
      </w:r>
      <w:r>
        <w:rPr>
          <w:rFonts w:ascii="方正小标宋简体" w:hAnsi="方正小标宋简体" w:eastAsia="方正小标宋简体" w:cs="方正小标宋简体"/>
          <w:sz w:val="72"/>
          <w:szCs w:val="72"/>
        </w:rPr>
        <w:t>4</w:t>
      </w:r>
      <w:r>
        <w:rPr>
          <w:rFonts w:hint="eastAsia" w:ascii="方正小标宋简体" w:hAnsi="方正小标宋简体" w:eastAsia="方正小标宋简体" w:cs="方正小标宋简体"/>
          <w:sz w:val="72"/>
          <w:szCs w:val="72"/>
        </w:rPr>
        <w:t>年度</w:t>
      </w:r>
      <w:bookmarkEnd w:id="1"/>
      <w:bookmarkEnd w:id="2"/>
      <w:bookmarkEnd w:id="3"/>
      <w:bookmarkEnd w:id="4"/>
      <w:bookmarkEnd w:id="5"/>
    </w:p>
    <w:p w14:paraId="378B379A">
      <w:pPr>
        <w:adjustRightInd w:val="0"/>
        <w:snapToGrid w:val="0"/>
        <w:spacing w:line="360" w:lineRule="auto"/>
        <w:jc w:val="center"/>
        <w:outlineLvl w:val="0"/>
        <w:rPr>
          <w:rFonts w:ascii="方正小标宋简体" w:hAnsi="方正小标宋简体" w:eastAsia="方正小标宋简体" w:cs="方正小标宋简体"/>
          <w:spacing w:val="-23"/>
          <w:sz w:val="72"/>
          <w:szCs w:val="72"/>
        </w:rPr>
      </w:pPr>
      <w:bookmarkStart w:id="6" w:name="_Toc15377194"/>
      <w:bookmarkStart w:id="7" w:name="_Toc15396476"/>
      <w:bookmarkStart w:id="8" w:name="_Toc15378442"/>
      <w:bookmarkStart w:id="9" w:name="_Toc15377426"/>
      <w:bookmarkStart w:id="10" w:name="_Toc15396598"/>
      <w:r>
        <w:rPr>
          <w:rFonts w:hint="eastAsia" w:ascii="方正小标宋简体" w:hAnsi="方正小标宋简体" w:eastAsia="方正小标宋简体" w:cs="方正小标宋简体"/>
          <w:spacing w:val="-23"/>
          <w:sz w:val="72"/>
          <w:szCs w:val="72"/>
        </w:rPr>
        <w:t>四川省</w:t>
      </w:r>
      <w:bookmarkEnd w:id="0"/>
      <w:bookmarkStart w:id="11" w:name="_Toc15306268"/>
      <w:r>
        <w:rPr>
          <w:rFonts w:hint="eastAsia" w:ascii="方正小标宋简体" w:hAnsi="方正小标宋简体" w:eastAsia="方正小标宋简体" w:cs="方正小标宋简体"/>
          <w:spacing w:val="-23"/>
          <w:sz w:val="72"/>
          <w:szCs w:val="72"/>
        </w:rPr>
        <w:t>药品监督管理局</w:t>
      </w:r>
    </w:p>
    <w:p w14:paraId="04D7F7EB">
      <w:pPr>
        <w:adjustRightInd w:val="0"/>
        <w:snapToGrid w:val="0"/>
        <w:spacing w:line="360" w:lineRule="auto"/>
        <w:jc w:val="center"/>
        <w:outlineLvl w:val="0"/>
        <w:rPr>
          <w:rFonts w:ascii="方正小标宋简体" w:hAnsi="方正小标宋简体" w:eastAsia="方正小标宋简体" w:cs="方正小标宋简体"/>
          <w:spacing w:val="-23"/>
          <w:sz w:val="72"/>
          <w:szCs w:val="72"/>
        </w:rPr>
      </w:pPr>
      <w:r>
        <w:rPr>
          <w:rFonts w:hint="eastAsia" w:ascii="方正小标宋简体" w:hAnsi="方正小标宋简体" w:eastAsia="方正小标宋简体" w:cs="方正小标宋简体"/>
          <w:spacing w:val="-23"/>
          <w:sz w:val="72"/>
          <w:szCs w:val="72"/>
        </w:rPr>
        <w:t>机关服务中心</w:t>
      </w:r>
      <w:r>
        <w:rPr>
          <w:rFonts w:hint="eastAsia" w:ascii="方正小标宋简体" w:hAnsi="方正小标宋简体" w:eastAsia="方正小标宋简体" w:cs="方正小标宋简体"/>
          <w:sz w:val="72"/>
          <w:szCs w:val="72"/>
        </w:rPr>
        <w:t>单位决算</w:t>
      </w:r>
      <w:bookmarkEnd w:id="6"/>
      <w:bookmarkEnd w:id="7"/>
      <w:bookmarkEnd w:id="8"/>
      <w:bookmarkEnd w:id="9"/>
      <w:bookmarkEnd w:id="10"/>
      <w:bookmarkEnd w:id="11"/>
    </w:p>
    <w:p w14:paraId="63858B98">
      <w:pPr>
        <w:widowControl/>
        <w:jc w:val="center"/>
        <w:rPr>
          <w:rFonts w:ascii="黑体" w:hAnsi="黑体" w:eastAsia="黑体"/>
          <w:sz w:val="48"/>
          <w:szCs w:val="48"/>
        </w:rPr>
      </w:pPr>
      <w:r>
        <w:rPr>
          <w:rFonts w:ascii="方正小标宋简体" w:hAnsi="宋体" w:eastAsia="方正小标宋简体"/>
          <w:sz w:val="36"/>
          <w:szCs w:val="36"/>
        </w:rPr>
        <w:br w:type="page"/>
      </w:r>
    </w:p>
    <w:p w14:paraId="00D2EFEF">
      <w:pPr>
        <w:widowControl/>
        <w:jc w:val="center"/>
        <w:rPr>
          <w:rFonts w:ascii="黑体" w:hAnsi="黑体" w:eastAsia="黑体"/>
          <w:sz w:val="48"/>
          <w:szCs w:val="48"/>
        </w:rPr>
      </w:pPr>
      <w:r>
        <w:rPr>
          <w:rFonts w:hint="eastAsia" w:ascii="黑体" w:hAnsi="黑体" w:eastAsia="黑体"/>
          <w:sz w:val="48"/>
          <w:szCs w:val="48"/>
        </w:rPr>
        <w:t>目录</w:t>
      </w:r>
    </w:p>
    <w:p w14:paraId="4CA7E735">
      <w:pPr>
        <w:pStyle w:val="7"/>
      </w:pPr>
      <w:r>
        <w:rPr>
          <w:rFonts w:hint="eastAsia"/>
        </w:rPr>
        <w:t>公开时间：202</w:t>
      </w:r>
      <w:r>
        <w:t>5</w:t>
      </w:r>
      <w:r>
        <w:rPr>
          <w:rFonts w:hint="eastAsia"/>
        </w:rPr>
        <w:t>年9月</w:t>
      </w:r>
      <w:r>
        <w:t>12</w:t>
      </w:r>
      <w:r>
        <w:rPr>
          <w:rFonts w:hint="eastAsia"/>
        </w:rPr>
        <w:t>日</w:t>
      </w:r>
    </w:p>
    <w:p w14:paraId="0A996064">
      <w:pPr>
        <w:pStyle w:val="8"/>
        <w:widowControl/>
        <w:spacing w:beforeAutospacing="0" w:afterAutospacing="0" w:line="480" w:lineRule="atLeast"/>
        <w:rPr>
          <w:color w:val="000000"/>
        </w:rPr>
      </w:pPr>
      <w:r>
        <w:rPr>
          <w:color w:val="000000"/>
        </w:rPr>
        <w:t> </w:t>
      </w:r>
    </w:p>
    <w:p w14:paraId="588EE3DF">
      <w:pPr>
        <w:pStyle w:val="7"/>
        <w:adjustRightInd w:val="0"/>
        <w:snapToGrid w:val="0"/>
        <w:spacing w:before="0" w:line="440" w:lineRule="exact"/>
        <w:jc w:val="left"/>
        <w:rPr>
          <w:rFonts w:cs="Times New Roman"/>
          <w:sz w:val="24"/>
        </w:rPr>
      </w:pPr>
      <w:r>
        <w:rPr>
          <w:rFonts w:hint="eastAsia" w:cs="Times New Roman"/>
          <w:sz w:val="24"/>
        </w:rPr>
        <w:t>第一部分 单位概况</w:t>
      </w:r>
    </w:p>
    <w:p w14:paraId="1E84FB4E">
      <w:pPr>
        <w:pStyle w:val="8"/>
        <w:widowControl/>
        <w:spacing w:beforeAutospacing="0" w:afterAutospacing="0" w:line="480" w:lineRule="atLeast"/>
        <w:ind w:firstLine="240" w:firstLineChars="100"/>
        <w:rPr>
          <w:color w:val="000000"/>
        </w:rPr>
      </w:pPr>
      <w:r>
        <w:rPr>
          <w:color w:val="000000"/>
        </w:rPr>
        <w:t>一、</w:t>
      </w:r>
      <w:r>
        <w:rPr>
          <w:rFonts w:hint="eastAsia"/>
          <w:color w:val="000000"/>
        </w:rPr>
        <w:t>主要职责</w:t>
      </w:r>
    </w:p>
    <w:p w14:paraId="7B688795">
      <w:pPr>
        <w:pStyle w:val="8"/>
        <w:widowControl/>
        <w:spacing w:beforeAutospacing="0" w:afterAutospacing="0" w:line="480" w:lineRule="atLeast"/>
        <w:ind w:firstLine="240" w:firstLineChars="100"/>
        <w:rPr>
          <w:color w:val="000000"/>
        </w:rPr>
      </w:pPr>
      <w:r>
        <w:rPr>
          <w:rFonts w:hint="eastAsia"/>
          <w:color w:val="000000"/>
        </w:rPr>
        <w:t>二</w:t>
      </w:r>
      <w:r>
        <w:rPr>
          <w:color w:val="000000"/>
        </w:rPr>
        <w:t>、机构设置</w:t>
      </w:r>
    </w:p>
    <w:p w14:paraId="2E9E2D08">
      <w:pPr>
        <w:pStyle w:val="7"/>
        <w:adjustRightInd w:val="0"/>
        <w:snapToGrid w:val="0"/>
        <w:spacing w:before="0" w:line="440" w:lineRule="exact"/>
        <w:jc w:val="left"/>
        <w:rPr>
          <w:rFonts w:cs="Times New Roman"/>
          <w:sz w:val="24"/>
        </w:rPr>
      </w:pPr>
      <w:r>
        <w:rPr>
          <w:rFonts w:hint="eastAsia" w:cs="Times New Roman"/>
          <w:sz w:val="24"/>
        </w:rPr>
        <w:t>第二部分 202</w:t>
      </w:r>
      <w:r>
        <w:rPr>
          <w:rFonts w:cs="Times New Roman"/>
          <w:sz w:val="24"/>
        </w:rPr>
        <w:t>4</w:t>
      </w:r>
      <w:r>
        <w:rPr>
          <w:rFonts w:hint="eastAsia" w:cs="Times New Roman"/>
          <w:sz w:val="24"/>
        </w:rPr>
        <w:t>年度单位决算情况说明</w:t>
      </w:r>
    </w:p>
    <w:p w14:paraId="411635D9">
      <w:pPr>
        <w:pStyle w:val="8"/>
        <w:widowControl/>
        <w:spacing w:beforeAutospacing="0" w:afterAutospacing="0" w:line="480" w:lineRule="atLeast"/>
        <w:ind w:firstLine="240" w:firstLineChars="100"/>
        <w:rPr>
          <w:color w:val="000000"/>
        </w:rPr>
      </w:pPr>
      <w:r>
        <w:rPr>
          <w:color w:val="000000"/>
        </w:rPr>
        <w:t>一、收入支出决算总体情况说明</w:t>
      </w:r>
    </w:p>
    <w:p w14:paraId="5AAA261B">
      <w:pPr>
        <w:pStyle w:val="8"/>
        <w:widowControl/>
        <w:spacing w:beforeAutospacing="0" w:afterAutospacing="0" w:line="480" w:lineRule="atLeast"/>
        <w:ind w:firstLine="240" w:firstLineChars="100"/>
        <w:rPr>
          <w:color w:val="000000"/>
        </w:rPr>
      </w:pPr>
      <w:r>
        <w:rPr>
          <w:color w:val="000000"/>
        </w:rPr>
        <w:t>二、收入决算情况说明</w:t>
      </w:r>
    </w:p>
    <w:p w14:paraId="0B043F72">
      <w:pPr>
        <w:pStyle w:val="8"/>
        <w:widowControl/>
        <w:spacing w:beforeAutospacing="0" w:afterAutospacing="0" w:line="480" w:lineRule="atLeast"/>
        <w:ind w:firstLine="240" w:firstLineChars="100"/>
        <w:rPr>
          <w:color w:val="000000"/>
        </w:rPr>
      </w:pPr>
      <w:r>
        <w:rPr>
          <w:color w:val="000000"/>
        </w:rPr>
        <w:t>三、支出决算情况说明</w:t>
      </w:r>
    </w:p>
    <w:p w14:paraId="5FB779C0">
      <w:pPr>
        <w:pStyle w:val="8"/>
        <w:widowControl/>
        <w:spacing w:beforeAutospacing="0" w:afterAutospacing="0" w:line="480" w:lineRule="atLeast"/>
        <w:ind w:firstLine="240" w:firstLineChars="100"/>
        <w:rPr>
          <w:color w:val="000000"/>
        </w:rPr>
      </w:pPr>
      <w:r>
        <w:rPr>
          <w:color w:val="000000"/>
        </w:rPr>
        <w:t>四、财政拨款收入支出决算总体情况说明</w:t>
      </w:r>
    </w:p>
    <w:p w14:paraId="4AF1F1B5">
      <w:pPr>
        <w:pStyle w:val="8"/>
        <w:widowControl/>
        <w:spacing w:beforeAutospacing="0" w:afterAutospacing="0" w:line="480" w:lineRule="atLeast"/>
        <w:ind w:firstLine="240" w:firstLineChars="100"/>
        <w:rPr>
          <w:color w:val="000000"/>
        </w:rPr>
      </w:pPr>
      <w:r>
        <w:rPr>
          <w:color w:val="000000"/>
        </w:rPr>
        <w:t>五、一般公共预算财政拨款支出决算情况说明</w:t>
      </w:r>
    </w:p>
    <w:p w14:paraId="261FADD0">
      <w:pPr>
        <w:pStyle w:val="8"/>
        <w:widowControl/>
        <w:spacing w:beforeAutospacing="0" w:afterAutospacing="0" w:line="480" w:lineRule="atLeast"/>
        <w:ind w:firstLine="240" w:firstLineChars="100"/>
        <w:rPr>
          <w:color w:val="000000"/>
        </w:rPr>
      </w:pPr>
      <w:r>
        <w:rPr>
          <w:color w:val="000000"/>
        </w:rPr>
        <w:t>六、一般公共预算财政拨款基本支出决算情况说明</w:t>
      </w:r>
    </w:p>
    <w:p w14:paraId="5F74858F">
      <w:pPr>
        <w:pStyle w:val="8"/>
        <w:widowControl/>
        <w:spacing w:beforeAutospacing="0" w:afterAutospacing="0" w:line="480" w:lineRule="atLeast"/>
        <w:ind w:firstLine="240" w:firstLineChars="100"/>
        <w:rPr>
          <w:color w:val="000000"/>
        </w:rPr>
      </w:pPr>
      <w:r>
        <w:rPr>
          <w:color w:val="000000"/>
        </w:rPr>
        <w:t>七、财政拨款“三公”经费支出决算情况说明</w:t>
      </w:r>
    </w:p>
    <w:p w14:paraId="125833E2">
      <w:pPr>
        <w:pStyle w:val="8"/>
        <w:widowControl/>
        <w:spacing w:beforeAutospacing="0" w:afterAutospacing="0" w:line="480" w:lineRule="atLeast"/>
        <w:ind w:firstLine="240" w:firstLineChars="100"/>
        <w:rPr>
          <w:color w:val="000000"/>
        </w:rPr>
      </w:pPr>
      <w:r>
        <w:rPr>
          <w:color w:val="000000"/>
        </w:rPr>
        <w:t>八、政府性基金预算支出决算情况说明</w:t>
      </w:r>
    </w:p>
    <w:p w14:paraId="3BA10CCE">
      <w:pPr>
        <w:pStyle w:val="8"/>
        <w:widowControl/>
        <w:spacing w:beforeAutospacing="0" w:afterAutospacing="0" w:line="480" w:lineRule="atLeast"/>
        <w:ind w:firstLine="240" w:firstLineChars="100"/>
        <w:rPr>
          <w:color w:val="000000"/>
        </w:rPr>
      </w:pPr>
      <w:r>
        <w:rPr>
          <w:color w:val="000000"/>
        </w:rPr>
        <w:t>九、国有资本经营预算支出决算情况说明</w:t>
      </w:r>
    </w:p>
    <w:p w14:paraId="28E1CEBF">
      <w:pPr>
        <w:pStyle w:val="8"/>
        <w:widowControl/>
        <w:spacing w:beforeAutospacing="0" w:afterAutospacing="0" w:line="480" w:lineRule="atLeast"/>
        <w:ind w:firstLine="240" w:firstLineChars="100"/>
        <w:rPr>
          <w:color w:val="000000"/>
        </w:rPr>
      </w:pPr>
      <w:r>
        <w:rPr>
          <w:color w:val="000000"/>
        </w:rPr>
        <w:t>十、其他重要事项的情况说明</w:t>
      </w:r>
    </w:p>
    <w:p w14:paraId="0E4CD3BC">
      <w:pPr>
        <w:pStyle w:val="7"/>
        <w:adjustRightInd w:val="0"/>
        <w:snapToGrid w:val="0"/>
        <w:spacing w:before="0" w:line="440" w:lineRule="exact"/>
        <w:jc w:val="left"/>
        <w:rPr>
          <w:rFonts w:cs="Times New Roman"/>
          <w:sz w:val="24"/>
        </w:rPr>
      </w:pPr>
      <w:r>
        <w:rPr>
          <w:rFonts w:hint="eastAsia" w:cs="Times New Roman"/>
          <w:sz w:val="24"/>
        </w:rPr>
        <w:t>第三部分 名词解释</w:t>
      </w:r>
    </w:p>
    <w:p w14:paraId="2C74F8B6">
      <w:pPr>
        <w:rPr>
          <w:rFonts w:ascii="仿宋" w:hAnsi="仿宋" w:eastAsia="仿宋" w:cs="Times New Roman"/>
          <w:sz w:val="24"/>
          <w:szCs w:val="28"/>
        </w:rPr>
      </w:pPr>
      <w:r>
        <w:rPr>
          <w:rFonts w:hint="eastAsia" w:ascii="仿宋" w:hAnsi="仿宋" w:eastAsia="仿宋" w:cs="Times New Roman"/>
          <w:sz w:val="24"/>
          <w:szCs w:val="28"/>
        </w:rPr>
        <w:t>第四部分 附件</w:t>
      </w:r>
    </w:p>
    <w:p w14:paraId="50121C6E">
      <w:pPr>
        <w:pStyle w:val="7"/>
        <w:adjustRightInd w:val="0"/>
        <w:snapToGrid w:val="0"/>
        <w:spacing w:before="0" w:line="440" w:lineRule="exact"/>
        <w:jc w:val="left"/>
        <w:rPr>
          <w:rFonts w:cs="Times New Roman"/>
          <w:sz w:val="24"/>
        </w:rPr>
      </w:pPr>
      <w:r>
        <w:rPr>
          <w:rFonts w:hint="eastAsia" w:cs="Times New Roman"/>
          <w:sz w:val="24"/>
        </w:rPr>
        <w:t>第五部分 附表</w:t>
      </w:r>
    </w:p>
    <w:p w14:paraId="4F7738AB">
      <w:pPr>
        <w:pStyle w:val="8"/>
        <w:widowControl/>
        <w:spacing w:beforeAutospacing="0" w:afterAutospacing="0" w:line="480" w:lineRule="atLeast"/>
        <w:ind w:firstLine="240" w:firstLineChars="100"/>
        <w:rPr>
          <w:color w:val="000000"/>
        </w:rPr>
      </w:pPr>
      <w:r>
        <w:rPr>
          <w:color w:val="000000"/>
        </w:rPr>
        <w:t>一、收入支出决算总表</w:t>
      </w:r>
    </w:p>
    <w:p w14:paraId="013F5907">
      <w:pPr>
        <w:pStyle w:val="8"/>
        <w:widowControl/>
        <w:spacing w:beforeAutospacing="0" w:afterAutospacing="0" w:line="480" w:lineRule="atLeast"/>
        <w:ind w:firstLine="240" w:firstLineChars="100"/>
        <w:rPr>
          <w:color w:val="000000"/>
        </w:rPr>
      </w:pPr>
      <w:r>
        <w:rPr>
          <w:color w:val="000000"/>
        </w:rPr>
        <w:t>二、收入决算表</w:t>
      </w:r>
    </w:p>
    <w:p w14:paraId="53C4B60C">
      <w:pPr>
        <w:pStyle w:val="8"/>
        <w:widowControl/>
        <w:spacing w:beforeAutospacing="0" w:afterAutospacing="0" w:line="480" w:lineRule="atLeast"/>
        <w:ind w:firstLine="240" w:firstLineChars="100"/>
        <w:rPr>
          <w:color w:val="000000"/>
        </w:rPr>
      </w:pPr>
      <w:r>
        <w:rPr>
          <w:color w:val="000000"/>
        </w:rPr>
        <w:t>三、支出决算表</w:t>
      </w:r>
    </w:p>
    <w:p w14:paraId="2AA876A2">
      <w:pPr>
        <w:pStyle w:val="8"/>
        <w:widowControl/>
        <w:spacing w:beforeAutospacing="0" w:afterAutospacing="0" w:line="480" w:lineRule="atLeast"/>
        <w:ind w:firstLine="240" w:firstLineChars="100"/>
        <w:rPr>
          <w:color w:val="000000"/>
        </w:rPr>
      </w:pPr>
      <w:r>
        <w:rPr>
          <w:color w:val="000000"/>
        </w:rPr>
        <w:t>四、财政拨款收入支出决算总表</w:t>
      </w:r>
    </w:p>
    <w:p w14:paraId="0C68E28B">
      <w:pPr>
        <w:pStyle w:val="8"/>
        <w:widowControl/>
        <w:spacing w:beforeAutospacing="0" w:afterAutospacing="0" w:line="480" w:lineRule="atLeast"/>
        <w:ind w:firstLine="240" w:firstLineChars="100"/>
        <w:rPr>
          <w:color w:val="000000"/>
        </w:rPr>
      </w:pPr>
      <w:r>
        <w:rPr>
          <w:color w:val="000000"/>
        </w:rPr>
        <w:t>五、财政拨款支出决算明细表</w:t>
      </w:r>
    </w:p>
    <w:p w14:paraId="5932F682">
      <w:pPr>
        <w:pStyle w:val="8"/>
        <w:widowControl/>
        <w:spacing w:beforeAutospacing="0" w:afterAutospacing="0" w:line="480" w:lineRule="atLeast"/>
        <w:ind w:firstLine="240" w:firstLineChars="100"/>
        <w:rPr>
          <w:color w:val="000000"/>
        </w:rPr>
      </w:pPr>
      <w:r>
        <w:rPr>
          <w:color w:val="000000"/>
        </w:rPr>
        <w:t>六、一般公共预算财政拨款支出决算表</w:t>
      </w:r>
    </w:p>
    <w:p w14:paraId="6C904680">
      <w:pPr>
        <w:pStyle w:val="8"/>
        <w:widowControl/>
        <w:spacing w:beforeAutospacing="0" w:afterAutospacing="0" w:line="480" w:lineRule="atLeast"/>
        <w:ind w:firstLine="240" w:firstLineChars="100"/>
        <w:rPr>
          <w:color w:val="000000"/>
        </w:rPr>
      </w:pPr>
      <w:r>
        <w:rPr>
          <w:color w:val="000000"/>
        </w:rPr>
        <w:t>七、一般公共预算财政拨款支出决算明细表</w:t>
      </w:r>
    </w:p>
    <w:p w14:paraId="22EF76E4">
      <w:pPr>
        <w:pStyle w:val="8"/>
        <w:widowControl/>
        <w:spacing w:beforeAutospacing="0" w:afterAutospacing="0" w:line="480" w:lineRule="atLeast"/>
        <w:ind w:firstLine="240" w:firstLineChars="100"/>
        <w:rPr>
          <w:color w:val="000000"/>
        </w:rPr>
      </w:pPr>
      <w:r>
        <w:rPr>
          <w:color w:val="000000"/>
        </w:rPr>
        <w:t>八、一般公共预算财政拨款基本支出决算</w:t>
      </w:r>
      <w:r>
        <w:rPr>
          <w:rFonts w:hint="eastAsia"/>
          <w:color w:val="000000"/>
        </w:rPr>
        <w:t>明细</w:t>
      </w:r>
      <w:r>
        <w:rPr>
          <w:color w:val="000000"/>
        </w:rPr>
        <w:t>表</w:t>
      </w:r>
    </w:p>
    <w:p w14:paraId="438691A5">
      <w:pPr>
        <w:pStyle w:val="8"/>
        <w:widowControl/>
        <w:spacing w:beforeAutospacing="0" w:afterAutospacing="0" w:line="480" w:lineRule="atLeast"/>
        <w:ind w:firstLine="240" w:firstLineChars="100"/>
        <w:rPr>
          <w:color w:val="000000"/>
        </w:rPr>
      </w:pPr>
      <w:r>
        <w:rPr>
          <w:color w:val="000000"/>
        </w:rPr>
        <w:t>九、一般公共预算财政拨款项目支出决算表</w:t>
      </w:r>
    </w:p>
    <w:p w14:paraId="3CCD17EB">
      <w:pPr>
        <w:pStyle w:val="8"/>
        <w:widowControl/>
        <w:spacing w:beforeAutospacing="0" w:afterAutospacing="0" w:line="480" w:lineRule="atLeast"/>
        <w:ind w:firstLine="240" w:firstLineChars="100"/>
        <w:rPr>
          <w:color w:val="000000"/>
        </w:rPr>
      </w:pPr>
      <w:r>
        <w:rPr>
          <w:color w:val="000000"/>
        </w:rPr>
        <w:t>十、政府性基金预算财政拨款收入支出决算表</w:t>
      </w:r>
    </w:p>
    <w:p w14:paraId="24C7FA1E">
      <w:pPr>
        <w:pStyle w:val="8"/>
        <w:widowControl/>
        <w:spacing w:beforeAutospacing="0" w:afterAutospacing="0" w:line="480" w:lineRule="atLeast"/>
        <w:ind w:firstLine="240" w:firstLineChars="100"/>
        <w:rPr>
          <w:color w:val="000000"/>
        </w:rPr>
      </w:pPr>
      <w:r>
        <w:rPr>
          <w:rFonts w:hint="eastAsia"/>
          <w:color w:val="000000"/>
        </w:rPr>
        <w:t>十一</w:t>
      </w:r>
      <w:r>
        <w:rPr>
          <w:color w:val="000000"/>
        </w:rPr>
        <w:t>、国有资本经营预算财政拨款收入支出决算表</w:t>
      </w:r>
    </w:p>
    <w:p w14:paraId="7F5CEFA1">
      <w:pPr>
        <w:pStyle w:val="8"/>
        <w:widowControl/>
        <w:spacing w:beforeAutospacing="0" w:afterAutospacing="0" w:line="480" w:lineRule="atLeast"/>
        <w:ind w:firstLine="240" w:firstLineChars="100"/>
        <w:rPr>
          <w:color w:val="000000"/>
        </w:rPr>
      </w:pPr>
      <w:r>
        <w:rPr>
          <w:rFonts w:hint="eastAsia"/>
          <w:color w:val="000000"/>
        </w:rPr>
        <w:t>十二</w:t>
      </w:r>
      <w:r>
        <w:rPr>
          <w:color w:val="000000"/>
        </w:rPr>
        <w:t>、国有资本经营预算财政拨款支出决算表</w:t>
      </w:r>
    </w:p>
    <w:p w14:paraId="56CD6030">
      <w:pPr>
        <w:pStyle w:val="8"/>
        <w:widowControl/>
        <w:spacing w:beforeAutospacing="0" w:afterAutospacing="0" w:line="480" w:lineRule="atLeast"/>
        <w:ind w:firstLine="240" w:firstLineChars="100"/>
        <w:rPr>
          <w:color w:val="000000"/>
        </w:rPr>
      </w:pPr>
      <w:r>
        <w:rPr>
          <w:color w:val="000000"/>
        </w:rPr>
        <w:t>十</w:t>
      </w:r>
      <w:r>
        <w:rPr>
          <w:rFonts w:hint="eastAsia"/>
          <w:color w:val="000000"/>
        </w:rPr>
        <w:t>三</w:t>
      </w:r>
      <w:r>
        <w:rPr>
          <w:color w:val="000000"/>
        </w:rPr>
        <w:t>、财政拨款“三公”经费支出决算表</w:t>
      </w:r>
    </w:p>
    <w:p w14:paraId="1D885F66">
      <w:pPr>
        <w:widowControl/>
        <w:jc w:val="left"/>
      </w:pPr>
    </w:p>
    <w:p w14:paraId="71ADF199">
      <w:pPr>
        <w:pStyle w:val="8"/>
        <w:widowControl/>
        <w:spacing w:beforeAutospacing="0" w:afterAutospacing="0" w:line="480" w:lineRule="atLeast"/>
        <w:rPr>
          <w:color w:val="000000"/>
        </w:rPr>
      </w:pPr>
      <w:r>
        <w:rPr>
          <w:color w:val="000000"/>
        </w:rPr>
        <w:t> </w:t>
      </w:r>
    </w:p>
    <w:p w14:paraId="60175015">
      <w:pPr>
        <w:pStyle w:val="8"/>
        <w:widowControl/>
        <w:spacing w:beforeAutospacing="0" w:afterAutospacing="0" w:line="480" w:lineRule="atLeast"/>
        <w:rPr>
          <w:color w:val="000000"/>
        </w:rPr>
      </w:pPr>
    </w:p>
    <w:p w14:paraId="6A79243E">
      <w:pPr>
        <w:pStyle w:val="8"/>
        <w:widowControl/>
        <w:spacing w:beforeAutospacing="0" w:afterAutospacing="0" w:line="480" w:lineRule="atLeast"/>
        <w:rPr>
          <w:color w:val="000000"/>
        </w:rPr>
      </w:pPr>
    </w:p>
    <w:p w14:paraId="39D3ED96">
      <w:pPr>
        <w:pStyle w:val="8"/>
        <w:widowControl/>
        <w:spacing w:beforeAutospacing="0" w:afterAutospacing="0" w:line="480" w:lineRule="atLeast"/>
        <w:rPr>
          <w:color w:val="000000"/>
        </w:rPr>
      </w:pPr>
    </w:p>
    <w:p w14:paraId="1561F7BA">
      <w:pPr>
        <w:pStyle w:val="8"/>
        <w:widowControl/>
        <w:spacing w:beforeAutospacing="0" w:afterAutospacing="0" w:line="480" w:lineRule="atLeast"/>
        <w:rPr>
          <w:color w:val="000000"/>
        </w:rPr>
      </w:pPr>
    </w:p>
    <w:p w14:paraId="345B667C">
      <w:pPr>
        <w:pStyle w:val="8"/>
        <w:widowControl/>
        <w:spacing w:beforeAutospacing="0" w:afterAutospacing="0" w:line="480" w:lineRule="atLeast"/>
        <w:rPr>
          <w:color w:val="000000"/>
        </w:rPr>
      </w:pPr>
    </w:p>
    <w:p w14:paraId="13045DDC">
      <w:pPr>
        <w:pStyle w:val="8"/>
        <w:widowControl/>
        <w:spacing w:beforeAutospacing="0" w:afterAutospacing="0" w:line="480" w:lineRule="atLeast"/>
        <w:rPr>
          <w:color w:val="000000"/>
        </w:rPr>
      </w:pPr>
    </w:p>
    <w:p w14:paraId="4D63E242">
      <w:pPr>
        <w:pStyle w:val="8"/>
        <w:widowControl/>
        <w:spacing w:beforeAutospacing="0" w:afterAutospacing="0" w:line="480" w:lineRule="atLeast"/>
        <w:rPr>
          <w:color w:val="000000"/>
        </w:rPr>
      </w:pPr>
    </w:p>
    <w:p w14:paraId="754DDC88">
      <w:pPr>
        <w:pStyle w:val="8"/>
        <w:widowControl/>
        <w:spacing w:beforeAutospacing="0" w:afterAutospacing="0" w:line="480" w:lineRule="atLeast"/>
        <w:rPr>
          <w:color w:val="000000"/>
        </w:rPr>
      </w:pPr>
    </w:p>
    <w:p w14:paraId="38700373">
      <w:pPr>
        <w:pStyle w:val="8"/>
        <w:widowControl/>
        <w:spacing w:beforeAutospacing="0" w:afterAutospacing="0" w:line="480" w:lineRule="atLeast"/>
        <w:rPr>
          <w:color w:val="000000"/>
        </w:rPr>
      </w:pPr>
    </w:p>
    <w:p w14:paraId="17135D23">
      <w:pPr>
        <w:pStyle w:val="8"/>
        <w:widowControl/>
        <w:spacing w:beforeAutospacing="0" w:afterAutospacing="0" w:line="480" w:lineRule="atLeast"/>
        <w:rPr>
          <w:color w:val="000000"/>
        </w:rPr>
      </w:pPr>
    </w:p>
    <w:p w14:paraId="33DF9F92">
      <w:pPr>
        <w:pStyle w:val="8"/>
        <w:widowControl/>
        <w:spacing w:beforeAutospacing="0" w:afterAutospacing="0" w:line="480" w:lineRule="atLeast"/>
        <w:rPr>
          <w:color w:val="000000"/>
        </w:rPr>
      </w:pPr>
    </w:p>
    <w:p w14:paraId="2A34E532">
      <w:pPr>
        <w:pStyle w:val="8"/>
        <w:widowControl/>
        <w:spacing w:beforeAutospacing="0" w:afterAutospacing="0" w:line="480" w:lineRule="atLeast"/>
        <w:rPr>
          <w:color w:val="000000"/>
        </w:rPr>
      </w:pPr>
    </w:p>
    <w:p w14:paraId="4FDDA8C4">
      <w:pPr>
        <w:pStyle w:val="8"/>
        <w:widowControl/>
        <w:spacing w:beforeAutospacing="0" w:afterAutospacing="0" w:line="480" w:lineRule="atLeast"/>
        <w:rPr>
          <w:color w:val="000000"/>
        </w:rPr>
      </w:pPr>
    </w:p>
    <w:p w14:paraId="3C0D1A75">
      <w:pPr>
        <w:pStyle w:val="8"/>
        <w:widowControl/>
        <w:spacing w:beforeAutospacing="0" w:afterAutospacing="0" w:line="480" w:lineRule="atLeast"/>
        <w:rPr>
          <w:color w:val="000000"/>
        </w:rPr>
      </w:pPr>
    </w:p>
    <w:p w14:paraId="083D27D3">
      <w:pPr>
        <w:pStyle w:val="8"/>
        <w:widowControl/>
        <w:spacing w:beforeAutospacing="0" w:afterAutospacing="0" w:line="480" w:lineRule="atLeast"/>
        <w:rPr>
          <w:color w:val="000000"/>
        </w:rPr>
      </w:pPr>
    </w:p>
    <w:p w14:paraId="19022785">
      <w:pPr>
        <w:pStyle w:val="8"/>
        <w:widowControl/>
        <w:spacing w:beforeAutospacing="0" w:afterAutospacing="0" w:line="480" w:lineRule="atLeast"/>
        <w:rPr>
          <w:color w:val="000000"/>
        </w:rPr>
      </w:pPr>
    </w:p>
    <w:p w14:paraId="01B9B4A3">
      <w:pPr>
        <w:pStyle w:val="8"/>
        <w:widowControl/>
        <w:spacing w:beforeAutospacing="0" w:afterAutospacing="0" w:line="480" w:lineRule="atLeast"/>
        <w:rPr>
          <w:color w:val="000000"/>
        </w:rPr>
      </w:pPr>
    </w:p>
    <w:p w14:paraId="559584C0">
      <w:pPr>
        <w:pStyle w:val="8"/>
        <w:widowControl/>
        <w:spacing w:beforeAutospacing="0" w:afterAutospacing="0" w:line="480" w:lineRule="atLeast"/>
        <w:rPr>
          <w:color w:val="000000"/>
        </w:rPr>
      </w:pPr>
    </w:p>
    <w:p w14:paraId="7F006DCA">
      <w:pPr>
        <w:pStyle w:val="8"/>
        <w:widowControl/>
        <w:spacing w:beforeAutospacing="0" w:afterAutospacing="0" w:line="480" w:lineRule="atLeast"/>
        <w:rPr>
          <w:color w:val="000000"/>
        </w:rPr>
      </w:pPr>
    </w:p>
    <w:p w14:paraId="7A70A5F6">
      <w:pPr>
        <w:pStyle w:val="8"/>
        <w:widowControl/>
        <w:spacing w:beforeAutospacing="0" w:afterAutospacing="0" w:line="480" w:lineRule="atLeast"/>
        <w:rPr>
          <w:color w:val="000000"/>
        </w:rPr>
      </w:pPr>
    </w:p>
    <w:p w14:paraId="0471CB43">
      <w:pPr>
        <w:pStyle w:val="3"/>
        <w:jc w:val="center"/>
        <w:rPr>
          <w:rStyle w:val="14"/>
          <w:rFonts w:ascii="黑体" w:hAnsi="黑体" w:eastAsia="黑体"/>
          <w:b/>
          <w:bCs w:val="0"/>
        </w:rPr>
      </w:pPr>
      <w:r>
        <w:rPr>
          <w:rFonts w:hint="eastAsia" w:ascii="黑体" w:hAnsi="黑体" w:eastAsia="黑体"/>
          <w:b w:val="0"/>
        </w:rPr>
        <w:t>第一部分 单位</w:t>
      </w:r>
      <w:r>
        <w:rPr>
          <w:rStyle w:val="14"/>
          <w:rFonts w:hint="eastAsia" w:ascii="黑体" w:hAnsi="黑体" w:eastAsia="黑体"/>
          <w:b w:val="0"/>
          <w:bCs w:val="0"/>
        </w:rPr>
        <w:t>概况</w:t>
      </w:r>
    </w:p>
    <w:p w14:paraId="29764396">
      <w:pPr>
        <w:pStyle w:val="8"/>
        <w:widowControl/>
        <w:spacing w:beforeAutospacing="0" w:afterAutospacing="0" w:line="480" w:lineRule="atLeast"/>
        <w:rPr>
          <w:color w:val="000000"/>
        </w:rPr>
      </w:pPr>
      <w:r>
        <w:rPr>
          <w:color w:val="000000"/>
        </w:rPr>
        <w:t> </w:t>
      </w:r>
    </w:p>
    <w:p w14:paraId="6A96BE57">
      <w:pPr>
        <w:pStyle w:val="4"/>
        <w:numPr>
          <w:ilvl w:val="0"/>
          <w:numId w:val="1"/>
        </w:numPr>
        <w:spacing w:before="0" w:after="0" w:line="240" w:lineRule="auto"/>
        <w:rPr>
          <w:rStyle w:val="15"/>
          <w:rFonts w:ascii="黑体" w:hAnsi="黑体" w:eastAsia="黑体"/>
          <w:b w:val="0"/>
          <w:bCs w:val="0"/>
        </w:rPr>
      </w:pPr>
      <w:r>
        <w:rPr>
          <w:rStyle w:val="15"/>
          <w:rFonts w:hint="eastAsia" w:ascii="黑体" w:hAnsi="黑体" w:eastAsia="黑体"/>
          <w:b w:val="0"/>
          <w:bCs w:val="0"/>
        </w:rPr>
        <w:t>主要职责</w:t>
      </w:r>
    </w:p>
    <w:p w14:paraId="66C681E3">
      <w:pPr>
        <w:ind w:firstLine="640" w:firstLineChars="200"/>
        <w:rPr>
          <w:rFonts w:ascii="仿宋" w:hAnsi="仿宋" w:eastAsia="仿宋" w:cs="Times New Roman"/>
          <w:sz w:val="32"/>
          <w:szCs w:val="32"/>
        </w:rPr>
      </w:pPr>
      <w:r>
        <w:rPr>
          <w:rFonts w:hint="eastAsia" w:ascii="仿宋" w:hAnsi="仿宋" w:eastAsia="仿宋" w:cs="Times New Roman"/>
          <w:sz w:val="32"/>
          <w:szCs w:val="32"/>
        </w:rPr>
        <w:t>省药监局</w:t>
      </w:r>
      <w:r>
        <w:rPr>
          <w:rFonts w:ascii="仿宋" w:hAnsi="仿宋" w:eastAsia="仿宋" w:cs="Times New Roman"/>
          <w:sz w:val="32"/>
          <w:szCs w:val="32"/>
        </w:rPr>
        <w:t>机关服务中心</w:t>
      </w:r>
      <w:r>
        <w:rPr>
          <w:rFonts w:hint="eastAsia" w:ascii="仿宋" w:hAnsi="仿宋" w:eastAsia="仿宋" w:cs="Times New Roman"/>
          <w:sz w:val="32"/>
          <w:szCs w:val="32"/>
        </w:rPr>
        <w:t>负责省</w:t>
      </w:r>
      <w:r>
        <w:rPr>
          <w:rFonts w:ascii="仿宋" w:hAnsi="仿宋" w:eastAsia="仿宋" w:cs="Times New Roman"/>
          <w:sz w:val="32"/>
          <w:szCs w:val="32"/>
        </w:rPr>
        <w:t>药监</w:t>
      </w:r>
      <w:r>
        <w:rPr>
          <w:rFonts w:hint="eastAsia" w:ascii="仿宋" w:hAnsi="仿宋" w:eastAsia="仿宋" w:cs="Times New Roman"/>
          <w:sz w:val="32"/>
          <w:szCs w:val="32"/>
        </w:rPr>
        <w:t>局机关车辆、文印</w:t>
      </w:r>
      <w:r>
        <w:rPr>
          <w:rFonts w:ascii="仿宋" w:hAnsi="仿宋" w:eastAsia="仿宋" w:cs="Times New Roman"/>
          <w:sz w:val="32"/>
          <w:szCs w:val="32"/>
        </w:rPr>
        <w:t>、</w:t>
      </w:r>
      <w:r>
        <w:rPr>
          <w:rFonts w:hint="eastAsia" w:ascii="仿宋" w:hAnsi="仿宋" w:eastAsia="仿宋" w:cs="Times New Roman"/>
          <w:sz w:val="32"/>
          <w:szCs w:val="32"/>
        </w:rPr>
        <w:t>通讯、消防、安全</w:t>
      </w:r>
      <w:r>
        <w:rPr>
          <w:rFonts w:ascii="仿宋" w:hAnsi="仿宋" w:eastAsia="仿宋" w:cs="Times New Roman"/>
          <w:sz w:val="32"/>
          <w:szCs w:val="32"/>
        </w:rPr>
        <w:t>、环卫、房管</w:t>
      </w:r>
      <w:r>
        <w:rPr>
          <w:rFonts w:hint="eastAsia" w:ascii="仿宋" w:hAnsi="仿宋" w:eastAsia="仿宋" w:cs="Times New Roman"/>
          <w:sz w:val="32"/>
          <w:szCs w:val="32"/>
        </w:rPr>
        <w:t>等服务保障工作，承办局机关有关会务和接待工作；承担局机关委托</w:t>
      </w:r>
      <w:r>
        <w:rPr>
          <w:rFonts w:ascii="仿宋" w:hAnsi="仿宋" w:eastAsia="仿宋" w:cs="Times New Roman"/>
          <w:sz w:val="32"/>
          <w:szCs w:val="32"/>
        </w:rPr>
        <w:t>的部分行政管理和</w:t>
      </w:r>
      <w:r>
        <w:rPr>
          <w:rFonts w:hint="eastAsia" w:ascii="仿宋" w:hAnsi="仿宋" w:eastAsia="仿宋" w:cs="Times New Roman"/>
          <w:sz w:val="32"/>
          <w:szCs w:val="32"/>
        </w:rPr>
        <w:t>固定资产管理工作；负责局领导交办的其他工作。</w:t>
      </w:r>
    </w:p>
    <w:p w14:paraId="321818DF">
      <w:pPr>
        <w:pStyle w:val="4"/>
        <w:spacing w:before="0" w:after="0" w:line="240" w:lineRule="auto"/>
        <w:rPr>
          <w:rFonts w:ascii="黑体" w:hAnsi="黑体" w:eastAsia="黑体"/>
          <w:b w:val="0"/>
        </w:rPr>
      </w:pPr>
      <w:r>
        <w:rPr>
          <w:rFonts w:hint="eastAsia" w:ascii="黑体" w:hAnsi="黑体" w:eastAsia="黑体"/>
          <w:b w:val="0"/>
        </w:rPr>
        <w:t>二、机构设置</w:t>
      </w:r>
    </w:p>
    <w:p w14:paraId="59D9A16D">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省药监局机关服务中心无内设机构。</w:t>
      </w:r>
    </w:p>
    <w:p w14:paraId="551730F3">
      <w:pPr>
        <w:pStyle w:val="8"/>
        <w:widowControl/>
        <w:spacing w:beforeAutospacing="0" w:afterAutospacing="0" w:line="480" w:lineRule="atLeast"/>
        <w:ind w:firstLine="420"/>
        <w:rPr>
          <w:rFonts w:ascii="微软雅黑" w:hAnsi="微软雅黑" w:eastAsia="微软雅黑" w:cs="微软雅黑"/>
          <w:color w:val="000000"/>
        </w:rPr>
      </w:pPr>
    </w:p>
    <w:p w14:paraId="25304EF4">
      <w:pPr>
        <w:pStyle w:val="3"/>
        <w:ind w:right="440"/>
        <w:jc w:val="center"/>
        <w:rPr>
          <w:rFonts w:ascii="黑体" w:hAnsi="黑体" w:eastAsia="黑体"/>
          <w:b w:val="0"/>
        </w:rPr>
      </w:pPr>
      <w:bookmarkStart w:id="12" w:name="_Toc15377204"/>
      <w:bookmarkStart w:id="13" w:name="_Toc15396602"/>
    </w:p>
    <w:p w14:paraId="7592E5F0">
      <w:pPr>
        <w:pStyle w:val="3"/>
        <w:ind w:right="440"/>
        <w:jc w:val="center"/>
        <w:rPr>
          <w:rFonts w:ascii="黑体" w:hAnsi="黑体" w:eastAsia="黑体"/>
          <w:b w:val="0"/>
        </w:rPr>
      </w:pPr>
    </w:p>
    <w:p w14:paraId="50F3A516">
      <w:pPr>
        <w:pStyle w:val="3"/>
        <w:ind w:right="440"/>
        <w:jc w:val="center"/>
        <w:rPr>
          <w:rFonts w:ascii="黑体" w:hAnsi="黑体" w:eastAsia="黑体"/>
          <w:b w:val="0"/>
        </w:rPr>
      </w:pPr>
    </w:p>
    <w:p w14:paraId="659FCB06">
      <w:pPr>
        <w:pStyle w:val="3"/>
        <w:ind w:right="440"/>
        <w:jc w:val="center"/>
        <w:rPr>
          <w:rFonts w:ascii="黑体" w:hAnsi="黑体" w:eastAsia="黑体"/>
          <w:b w:val="0"/>
        </w:rPr>
      </w:pPr>
    </w:p>
    <w:p w14:paraId="0395C41D">
      <w:pPr>
        <w:pStyle w:val="3"/>
        <w:ind w:right="440"/>
        <w:jc w:val="center"/>
        <w:rPr>
          <w:rFonts w:ascii="黑体" w:hAnsi="黑体" w:eastAsia="黑体"/>
          <w:b w:val="0"/>
        </w:rPr>
      </w:pPr>
    </w:p>
    <w:p w14:paraId="4109AB3C">
      <w:pPr>
        <w:pStyle w:val="3"/>
        <w:ind w:right="440"/>
        <w:rPr>
          <w:rFonts w:ascii="黑体" w:hAnsi="黑体" w:eastAsia="黑体"/>
          <w:b w:val="0"/>
        </w:rPr>
      </w:pPr>
    </w:p>
    <w:p w14:paraId="0C410A3D"/>
    <w:p w14:paraId="01160F3D">
      <w:pPr>
        <w:pStyle w:val="3"/>
        <w:numPr>
          <w:ilvl w:val="0"/>
          <w:numId w:val="2"/>
        </w:numPr>
        <w:spacing w:before="0" w:after="0" w:line="240" w:lineRule="auto"/>
        <w:jc w:val="center"/>
        <w:rPr>
          <w:rStyle w:val="14"/>
          <w:rFonts w:ascii="黑体" w:hAnsi="黑体" w:eastAsia="黑体"/>
          <w:b w:val="0"/>
          <w:bCs/>
        </w:rPr>
      </w:pPr>
      <w:r>
        <w:rPr>
          <w:rFonts w:hint="eastAsia" w:ascii="黑体" w:hAnsi="黑体" w:eastAsia="黑体"/>
          <w:b w:val="0"/>
        </w:rPr>
        <w:t>202</w:t>
      </w:r>
      <w:r>
        <w:rPr>
          <w:rFonts w:ascii="黑体" w:hAnsi="黑体" w:eastAsia="黑体"/>
          <w:b w:val="0"/>
        </w:rPr>
        <w:t>4</w:t>
      </w:r>
      <w:r>
        <w:rPr>
          <w:rFonts w:hint="eastAsia" w:ascii="黑体" w:hAnsi="黑体" w:eastAsia="黑体"/>
          <w:b w:val="0"/>
        </w:rPr>
        <w:t>年度</w:t>
      </w:r>
      <w:r>
        <w:rPr>
          <w:rStyle w:val="14"/>
          <w:rFonts w:hint="eastAsia" w:ascii="黑体" w:hAnsi="黑体" w:eastAsia="黑体"/>
          <w:b w:val="0"/>
          <w:bCs/>
        </w:rPr>
        <w:t>单位决算情况说明</w:t>
      </w:r>
      <w:bookmarkEnd w:id="12"/>
      <w:bookmarkEnd w:id="13"/>
    </w:p>
    <w:p w14:paraId="79CB4DEC"/>
    <w:p w14:paraId="2BEE2E2D">
      <w:pPr>
        <w:pStyle w:val="16"/>
        <w:numPr>
          <w:ilvl w:val="0"/>
          <w:numId w:val="3"/>
        </w:numPr>
        <w:spacing w:line="600" w:lineRule="exact"/>
        <w:ind w:firstLineChars="0"/>
        <w:outlineLvl w:val="1"/>
        <w:rPr>
          <w:rStyle w:val="15"/>
          <w:rFonts w:ascii="黑体" w:hAnsi="黑体" w:eastAsia="黑体"/>
          <w:b w:val="0"/>
        </w:rPr>
      </w:pPr>
      <w:bookmarkStart w:id="14" w:name="_Toc15396603"/>
      <w:bookmarkStart w:id="15" w:name="_Toc15377205"/>
      <w:r>
        <w:rPr>
          <w:rFonts w:hint="eastAsia" w:ascii="黑体" w:hAnsi="黑体" w:eastAsia="黑体"/>
          <w:sz w:val="32"/>
          <w:szCs w:val="32"/>
        </w:rPr>
        <w:t>收</w:t>
      </w:r>
      <w:r>
        <w:rPr>
          <w:rStyle w:val="15"/>
          <w:rFonts w:hint="eastAsia" w:ascii="黑体" w:hAnsi="黑体" w:eastAsia="黑体"/>
          <w:b w:val="0"/>
        </w:rPr>
        <w:t>入支出决算总体情况说明</w:t>
      </w:r>
      <w:bookmarkEnd w:id="14"/>
      <w:bookmarkEnd w:id="15"/>
    </w:p>
    <w:p w14:paraId="6CAAD10E">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202</w:t>
      </w:r>
      <w:r>
        <w:rPr>
          <w:rFonts w:ascii="仿宋" w:hAnsi="仿宋" w:eastAsia="仿宋" w:cs="Times New Roman"/>
          <w:sz w:val="32"/>
          <w:szCs w:val="32"/>
        </w:rPr>
        <w:t>4</w:t>
      </w:r>
      <w:r>
        <w:rPr>
          <w:rFonts w:hint="eastAsia" w:ascii="仿宋" w:hAnsi="仿宋" w:eastAsia="仿宋" w:cs="Times New Roman"/>
          <w:sz w:val="32"/>
          <w:szCs w:val="32"/>
        </w:rPr>
        <w:t>年度收支总计</w:t>
      </w:r>
      <w:r>
        <w:rPr>
          <w:rFonts w:ascii="仿宋" w:hAnsi="仿宋" w:eastAsia="仿宋" w:cs="Times New Roman"/>
          <w:sz w:val="32"/>
          <w:szCs w:val="32"/>
        </w:rPr>
        <w:t>1044.61</w:t>
      </w:r>
      <w:r>
        <w:rPr>
          <w:rFonts w:hint="eastAsia" w:ascii="仿宋" w:hAnsi="仿宋" w:eastAsia="仿宋" w:cs="Times New Roman"/>
          <w:sz w:val="32"/>
          <w:szCs w:val="32"/>
        </w:rPr>
        <w:t>万元。与202</w:t>
      </w:r>
      <w:r>
        <w:rPr>
          <w:rFonts w:ascii="仿宋" w:hAnsi="仿宋" w:eastAsia="仿宋" w:cs="Times New Roman"/>
          <w:sz w:val="32"/>
          <w:szCs w:val="32"/>
        </w:rPr>
        <w:t>3</w:t>
      </w:r>
      <w:r>
        <w:rPr>
          <w:rFonts w:hint="eastAsia" w:ascii="仿宋" w:hAnsi="仿宋" w:eastAsia="仿宋" w:cs="Times New Roman"/>
          <w:sz w:val="32"/>
          <w:szCs w:val="32"/>
        </w:rPr>
        <w:t>年相比，收、支总计各减少3</w:t>
      </w:r>
      <w:r>
        <w:rPr>
          <w:rFonts w:ascii="仿宋" w:hAnsi="仿宋" w:eastAsia="仿宋" w:cs="Times New Roman"/>
          <w:sz w:val="32"/>
          <w:szCs w:val="32"/>
        </w:rPr>
        <w:t>.8</w:t>
      </w:r>
      <w:r>
        <w:rPr>
          <w:rFonts w:hint="eastAsia" w:ascii="仿宋" w:hAnsi="仿宋" w:eastAsia="仿宋" w:cs="Times New Roman"/>
          <w:sz w:val="32"/>
          <w:szCs w:val="32"/>
        </w:rPr>
        <w:t>万元，下降</w:t>
      </w:r>
      <w:r>
        <w:rPr>
          <w:rFonts w:ascii="仿宋" w:hAnsi="仿宋" w:eastAsia="仿宋" w:cs="Times New Roman"/>
          <w:sz w:val="32"/>
          <w:szCs w:val="32"/>
        </w:rPr>
        <w:t>0.36</w:t>
      </w:r>
      <w:r>
        <w:rPr>
          <w:rFonts w:hint="eastAsia" w:ascii="仿宋" w:hAnsi="仿宋" w:eastAsia="仿宋" w:cs="Times New Roman"/>
          <w:sz w:val="32"/>
          <w:szCs w:val="32"/>
        </w:rPr>
        <w:t>%。主要变动原因是省局工作调整，房屋租赁保障费用减少。（图1：收、支决算总计变动情况）</w:t>
      </w:r>
    </w:p>
    <w:p w14:paraId="6EF96E3F">
      <w:pPr>
        <w:pStyle w:val="8"/>
        <w:widowControl/>
        <w:spacing w:beforeAutospacing="0" w:afterAutospacing="0" w:line="480" w:lineRule="atLeast"/>
        <w:rPr>
          <w:color w:val="000000"/>
        </w:rPr>
      </w:pPr>
      <w:r>
        <w:rPr>
          <w:rFonts w:hint="eastAsia" w:ascii="微软雅黑" w:hAnsi="微软雅黑" w:eastAsia="微软雅黑" w:cs="微软雅黑"/>
          <w:color w:val="000000"/>
        </w:rPr>
        <w:drawing>
          <wp:inline distT="0" distB="0" distL="114300" distR="114300">
            <wp:extent cx="5147945" cy="1601470"/>
            <wp:effectExtent l="0" t="0" r="14605" b="1778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64D4C505">
      <w:pPr>
        <w:pStyle w:val="16"/>
        <w:numPr>
          <w:ilvl w:val="0"/>
          <w:numId w:val="3"/>
        </w:numPr>
        <w:spacing w:line="600" w:lineRule="exact"/>
        <w:ind w:firstLineChars="0"/>
        <w:outlineLvl w:val="1"/>
        <w:rPr>
          <w:rStyle w:val="15"/>
          <w:rFonts w:ascii="黑体" w:hAnsi="黑体" w:eastAsia="黑体"/>
          <w:b w:val="0"/>
        </w:rPr>
      </w:pPr>
      <w:bookmarkStart w:id="16" w:name="_Toc15396604"/>
      <w:bookmarkStart w:id="17" w:name="_Toc15377206"/>
      <w:r>
        <w:rPr>
          <w:rFonts w:hint="eastAsia" w:ascii="黑体" w:hAnsi="黑体" w:eastAsia="黑体"/>
          <w:sz w:val="32"/>
          <w:szCs w:val="32"/>
        </w:rPr>
        <w:t>收</w:t>
      </w:r>
      <w:r>
        <w:rPr>
          <w:rStyle w:val="15"/>
          <w:rFonts w:hint="eastAsia" w:ascii="黑体" w:hAnsi="黑体" w:eastAsia="黑体"/>
          <w:b w:val="0"/>
        </w:rPr>
        <w:t>入决算情况说明</w:t>
      </w:r>
      <w:bookmarkEnd w:id="16"/>
      <w:bookmarkEnd w:id="17"/>
    </w:p>
    <w:p w14:paraId="2EE493C0">
      <w:pPr>
        <w:pStyle w:val="8"/>
        <w:widowControl/>
        <w:spacing w:beforeAutospacing="0" w:afterAutospacing="0" w:line="480" w:lineRule="atLeast"/>
        <w:ind w:firstLine="640" w:firstLineChars="200"/>
        <w:rPr>
          <w:rFonts w:ascii="仿宋" w:hAnsi="仿宋" w:eastAsia="仿宋"/>
          <w:color w:val="FF0000"/>
          <w:kern w:val="2"/>
          <w:sz w:val="32"/>
          <w:szCs w:val="32"/>
        </w:rPr>
      </w:pPr>
      <w:r>
        <w:rPr>
          <w:rFonts w:hint="eastAsia" w:ascii="仿宋" w:hAnsi="仿宋" w:eastAsia="仿宋"/>
          <w:kern w:val="2"/>
          <w:sz w:val="32"/>
          <w:szCs w:val="32"/>
        </w:rPr>
        <w:t>202</w:t>
      </w:r>
      <w:r>
        <w:rPr>
          <w:rFonts w:ascii="仿宋" w:hAnsi="仿宋" w:eastAsia="仿宋"/>
          <w:kern w:val="2"/>
          <w:sz w:val="32"/>
          <w:szCs w:val="32"/>
        </w:rPr>
        <w:t>4</w:t>
      </w:r>
      <w:r>
        <w:rPr>
          <w:rFonts w:hint="eastAsia" w:ascii="仿宋" w:hAnsi="仿宋" w:eastAsia="仿宋"/>
          <w:kern w:val="2"/>
          <w:sz w:val="32"/>
          <w:szCs w:val="32"/>
        </w:rPr>
        <w:t>年收入合计</w:t>
      </w:r>
      <w:r>
        <w:rPr>
          <w:rFonts w:ascii="仿宋" w:hAnsi="仿宋" w:eastAsia="仿宋"/>
          <w:color w:val="000000" w:themeColor="text1"/>
          <w:kern w:val="2"/>
          <w:sz w:val="32"/>
          <w:szCs w:val="32"/>
          <w14:textFill>
            <w14:solidFill>
              <w14:schemeClr w14:val="tx1"/>
            </w14:solidFill>
          </w14:textFill>
        </w:rPr>
        <w:t>1044.61</w:t>
      </w:r>
      <w:r>
        <w:rPr>
          <w:rFonts w:hint="eastAsia" w:ascii="仿宋" w:hAnsi="仿宋" w:eastAsia="仿宋"/>
          <w:color w:val="000000" w:themeColor="text1"/>
          <w:kern w:val="2"/>
          <w:sz w:val="32"/>
          <w:szCs w:val="32"/>
          <w14:textFill>
            <w14:solidFill>
              <w14:schemeClr w14:val="tx1"/>
            </w14:solidFill>
          </w14:textFill>
        </w:rPr>
        <w:t>万元，其中：一般公共预算财政拨款收入</w:t>
      </w:r>
      <w:r>
        <w:rPr>
          <w:rFonts w:ascii="仿宋" w:hAnsi="仿宋" w:eastAsia="仿宋"/>
          <w:color w:val="000000" w:themeColor="text1"/>
          <w:kern w:val="2"/>
          <w:sz w:val="32"/>
          <w:szCs w:val="32"/>
          <w14:textFill>
            <w14:solidFill>
              <w14:schemeClr w14:val="tx1"/>
            </w14:solidFill>
          </w14:textFill>
        </w:rPr>
        <w:t>1044.61</w:t>
      </w:r>
      <w:r>
        <w:rPr>
          <w:rFonts w:hint="eastAsia" w:ascii="仿宋" w:hAnsi="仿宋" w:eastAsia="仿宋"/>
          <w:color w:val="000000" w:themeColor="text1"/>
          <w:kern w:val="2"/>
          <w:sz w:val="32"/>
          <w:szCs w:val="32"/>
          <w14:textFill>
            <w14:solidFill>
              <w14:schemeClr w14:val="tx1"/>
            </w14:solidFill>
          </w14:textFill>
        </w:rPr>
        <w:t>万元，占</w:t>
      </w:r>
      <w:r>
        <w:rPr>
          <w:rFonts w:ascii="仿宋" w:hAnsi="仿宋" w:eastAsia="仿宋"/>
          <w:color w:val="000000" w:themeColor="text1"/>
          <w:kern w:val="2"/>
          <w:sz w:val="32"/>
          <w:szCs w:val="32"/>
          <w14:textFill>
            <w14:solidFill>
              <w14:schemeClr w14:val="tx1"/>
            </w14:solidFill>
          </w14:textFill>
        </w:rPr>
        <w:t>100</w:t>
      </w:r>
      <w:r>
        <w:rPr>
          <w:rFonts w:hint="eastAsia" w:ascii="仿宋" w:hAnsi="仿宋" w:eastAsia="仿宋"/>
          <w:color w:val="000000" w:themeColor="text1"/>
          <w:kern w:val="2"/>
          <w:sz w:val="32"/>
          <w:szCs w:val="32"/>
          <w14:textFill>
            <w14:solidFill>
              <w14:schemeClr w14:val="tx1"/>
            </w14:solidFill>
          </w14:textFill>
        </w:rPr>
        <w:t>%；</w:t>
      </w:r>
      <w:r>
        <w:rPr>
          <w:rFonts w:hint="eastAsia" w:ascii="仿宋" w:hAnsi="仿宋" w:eastAsia="仿宋"/>
          <w:kern w:val="2"/>
          <w:sz w:val="32"/>
          <w:szCs w:val="32"/>
        </w:rPr>
        <w:t>政府性基金预算财政拨款收入0万元，占0%；国有资本经营预算财政拨款收入0万元，占0%；上级补助收入0万元，占0%；事业收入0万元，占0%；经营收入0万元，占0%；附属单位上缴收入0万元，占0%；其他收入</w:t>
      </w:r>
      <w:r>
        <w:rPr>
          <w:rFonts w:ascii="仿宋" w:hAnsi="仿宋" w:eastAsia="仿宋"/>
          <w:kern w:val="2"/>
          <w:sz w:val="32"/>
          <w:szCs w:val="32"/>
        </w:rPr>
        <w:t>0</w:t>
      </w:r>
      <w:r>
        <w:rPr>
          <w:rFonts w:hint="eastAsia" w:ascii="仿宋" w:hAnsi="仿宋" w:eastAsia="仿宋"/>
          <w:kern w:val="2"/>
          <w:sz w:val="32"/>
          <w:szCs w:val="32"/>
        </w:rPr>
        <w:t>万元，占</w:t>
      </w:r>
      <w:r>
        <w:rPr>
          <w:rFonts w:ascii="仿宋" w:hAnsi="仿宋" w:eastAsia="仿宋"/>
          <w:kern w:val="2"/>
          <w:sz w:val="32"/>
          <w:szCs w:val="32"/>
        </w:rPr>
        <w:t>0</w:t>
      </w:r>
      <w:r>
        <w:rPr>
          <w:rFonts w:hint="eastAsia" w:ascii="仿宋" w:hAnsi="仿宋" w:eastAsia="仿宋"/>
          <w:kern w:val="2"/>
          <w:sz w:val="32"/>
          <w:szCs w:val="32"/>
        </w:rPr>
        <w:t>%。</w:t>
      </w:r>
      <w:r>
        <w:rPr>
          <w:rFonts w:hint="eastAsia" w:ascii="仿宋" w:hAnsi="仿宋" w:eastAsia="仿宋"/>
          <w:sz w:val="32"/>
          <w:szCs w:val="32"/>
        </w:rPr>
        <w:t>（图2：收入决算结构）</w:t>
      </w:r>
    </w:p>
    <w:p w14:paraId="7FC9187F">
      <w:pPr>
        <w:pStyle w:val="8"/>
        <w:widowControl/>
        <w:spacing w:beforeAutospacing="0" w:afterAutospacing="0" w:line="480" w:lineRule="atLeast"/>
        <w:rPr>
          <w:color w:val="000000"/>
        </w:rPr>
      </w:pPr>
      <w:r>
        <w:rPr>
          <w:rFonts w:hint="eastAsia" w:ascii="微软雅黑" w:hAnsi="微软雅黑" w:eastAsia="微软雅黑" w:cs="微软雅黑"/>
          <w:color w:val="000000"/>
        </w:rPr>
        <w:drawing>
          <wp:inline distT="0" distB="0" distL="114300" distR="114300">
            <wp:extent cx="5288915" cy="1866900"/>
            <wp:effectExtent l="0" t="0" r="6985"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0E5C1D1A">
      <w:pPr>
        <w:pStyle w:val="16"/>
        <w:numPr>
          <w:ilvl w:val="0"/>
          <w:numId w:val="3"/>
        </w:numPr>
        <w:spacing w:line="600" w:lineRule="exact"/>
        <w:ind w:firstLineChars="0"/>
        <w:outlineLvl w:val="1"/>
        <w:rPr>
          <w:rStyle w:val="15"/>
          <w:rFonts w:ascii="黑体" w:hAnsi="黑体" w:eastAsia="黑体"/>
          <w:b w:val="0"/>
        </w:rPr>
      </w:pPr>
      <w:bookmarkStart w:id="18" w:name="_Toc15396605"/>
      <w:bookmarkStart w:id="19" w:name="_Toc15377207"/>
      <w:r>
        <w:rPr>
          <w:rFonts w:hint="eastAsia" w:ascii="黑体" w:hAnsi="黑体" w:eastAsia="黑体"/>
          <w:sz w:val="32"/>
          <w:szCs w:val="32"/>
        </w:rPr>
        <w:t>支</w:t>
      </w:r>
      <w:r>
        <w:rPr>
          <w:rStyle w:val="15"/>
          <w:rFonts w:hint="eastAsia" w:ascii="黑体" w:hAnsi="黑体" w:eastAsia="黑体"/>
          <w:b w:val="0"/>
        </w:rPr>
        <w:t>出决算情况说明</w:t>
      </w:r>
      <w:bookmarkEnd w:id="18"/>
      <w:bookmarkEnd w:id="19"/>
    </w:p>
    <w:p w14:paraId="45854B1F">
      <w:pPr>
        <w:pStyle w:val="8"/>
        <w:widowControl/>
        <w:spacing w:beforeAutospacing="0" w:afterAutospacing="0"/>
        <w:ind w:firstLine="640" w:firstLineChars="200"/>
        <w:rPr>
          <w:rFonts w:ascii="仿宋" w:hAnsi="仿宋" w:eastAsia="仿宋"/>
          <w:color w:val="FF0000"/>
          <w:kern w:val="2"/>
          <w:sz w:val="32"/>
          <w:szCs w:val="32"/>
        </w:rPr>
      </w:pPr>
      <w:r>
        <w:rPr>
          <w:rFonts w:hint="eastAsia" w:ascii="仿宋" w:hAnsi="仿宋" w:eastAsia="仿宋"/>
          <w:color w:val="000000" w:themeColor="text1"/>
          <w:kern w:val="2"/>
          <w:sz w:val="32"/>
          <w:szCs w:val="32"/>
          <w14:textFill>
            <w14:solidFill>
              <w14:schemeClr w14:val="tx1"/>
            </w14:solidFill>
          </w14:textFill>
        </w:rPr>
        <w:t>202</w:t>
      </w:r>
      <w:r>
        <w:rPr>
          <w:rFonts w:ascii="仿宋" w:hAnsi="仿宋" w:eastAsia="仿宋"/>
          <w:color w:val="000000" w:themeColor="text1"/>
          <w:kern w:val="2"/>
          <w:sz w:val="32"/>
          <w:szCs w:val="32"/>
          <w14:textFill>
            <w14:solidFill>
              <w14:schemeClr w14:val="tx1"/>
            </w14:solidFill>
          </w14:textFill>
        </w:rPr>
        <w:t>4</w:t>
      </w:r>
      <w:r>
        <w:rPr>
          <w:rFonts w:hint="eastAsia" w:ascii="仿宋" w:hAnsi="仿宋" w:eastAsia="仿宋"/>
          <w:color w:val="000000" w:themeColor="text1"/>
          <w:kern w:val="2"/>
          <w:sz w:val="32"/>
          <w:szCs w:val="32"/>
          <w14:textFill>
            <w14:solidFill>
              <w14:schemeClr w14:val="tx1"/>
            </w14:solidFill>
          </w14:textFill>
        </w:rPr>
        <w:t>年度本年支出合计</w:t>
      </w:r>
      <w:r>
        <w:rPr>
          <w:rFonts w:ascii="仿宋" w:hAnsi="仿宋" w:eastAsia="仿宋"/>
          <w:color w:val="000000" w:themeColor="text1"/>
          <w:kern w:val="2"/>
          <w:sz w:val="32"/>
          <w:szCs w:val="32"/>
          <w14:textFill>
            <w14:solidFill>
              <w14:schemeClr w14:val="tx1"/>
            </w14:solidFill>
          </w14:textFill>
        </w:rPr>
        <w:t>1044.61</w:t>
      </w:r>
      <w:r>
        <w:rPr>
          <w:rFonts w:hint="eastAsia" w:ascii="仿宋" w:hAnsi="仿宋" w:eastAsia="仿宋"/>
          <w:color w:val="000000" w:themeColor="text1"/>
          <w:kern w:val="2"/>
          <w:sz w:val="32"/>
          <w:szCs w:val="32"/>
          <w14:textFill>
            <w14:solidFill>
              <w14:schemeClr w14:val="tx1"/>
            </w14:solidFill>
          </w14:textFill>
        </w:rPr>
        <w:t>万元，其中：基本支出</w:t>
      </w:r>
      <w:r>
        <w:rPr>
          <w:rFonts w:ascii="仿宋" w:hAnsi="仿宋" w:eastAsia="仿宋"/>
          <w:color w:val="000000" w:themeColor="text1"/>
          <w:kern w:val="2"/>
          <w:sz w:val="32"/>
          <w:szCs w:val="32"/>
          <w14:textFill>
            <w14:solidFill>
              <w14:schemeClr w14:val="tx1"/>
            </w14:solidFill>
          </w14:textFill>
        </w:rPr>
        <w:t>606.25</w:t>
      </w:r>
      <w:r>
        <w:rPr>
          <w:rFonts w:hint="eastAsia" w:ascii="仿宋" w:hAnsi="仿宋" w:eastAsia="仿宋"/>
          <w:color w:val="000000" w:themeColor="text1"/>
          <w:kern w:val="2"/>
          <w:sz w:val="32"/>
          <w:szCs w:val="32"/>
          <w14:textFill>
            <w14:solidFill>
              <w14:schemeClr w14:val="tx1"/>
            </w14:solidFill>
          </w14:textFill>
        </w:rPr>
        <w:t>万元，占</w:t>
      </w:r>
      <w:r>
        <w:rPr>
          <w:rFonts w:ascii="仿宋" w:hAnsi="仿宋" w:eastAsia="仿宋"/>
          <w:color w:val="000000" w:themeColor="text1"/>
          <w:kern w:val="2"/>
          <w:sz w:val="32"/>
          <w:szCs w:val="32"/>
          <w14:textFill>
            <w14:solidFill>
              <w14:schemeClr w14:val="tx1"/>
            </w14:solidFill>
          </w14:textFill>
        </w:rPr>
        <w:t>58.04</w:t>
      </w:r>
      <w:r>
        <w:rPr>
          <w:rFonts w:hint="eastAsia" w:ascii="仿宋" w:hAnsi="仿宋" w:eastAsia="仿宋"/>
          <w:color w:val="000000" w:themeColor="text1"/>
          <w:kern w:val="2"/>
          <w:sz w:val="32"/>
          <w:szCs w:val="32"/>
          <w14:textFill>
            <w14:solidFill>
              <w14:schemeClr w14:val="tx1"/>
            </w14:solidFill>
          </w14:textFill>
        </w:rPr>
        <w:t>%；项目支出</w:t>
      </w:r>
      <w:r>
        <w:rPr>
          <w:rFonts w:ascii="仿宋" w:hAnsi="仿宋" w:eastAsia="仿宋"/>
          <w:color w:val="000000" w:themeColor="text1"/>
          <w:kern w:val="2"/>
          <w:sz w:val="32"/>
          <w:szCs w:val="32"/>
          <w14:textFill>
            <w14:solidFill>
              <w14:schemeClr w14:val="tx1"/>
            </w14:solidFill>
          </w14:textFill>
        </w:rPr>
        <w:t>438.35</w:t>
      </w:r>
      <w:r>
        <w:rPr>
          <w:rFonts w:hint="eastAsia" w:ascii="仿宋" w:hAnsi="仿宋" w:eastAsia="仿宋"/>
          <w:color w:val="000000" w:themeColor="text1"/>
          <w:kern w:val="2"/>
          <w:sz w:val="32"/>
          <w:szCs w:val="32"/>
          <w14:textFill>
            <w14:solidFill>
              <w14:schemeClr w14:val="tx1"/>
            </w14:solidFill>
          </w14:textFill>
        </w:rPr>
        <w:t>万元，占</w:t>
      </w:r>
      <w:r>
        <w:rPr>
          <w:rFonts w:ascii="仿宋" w:hAnsi="仿宋" w:eastAsia="仿宋"/>
          <w:color w:val="000000" w:themeColor="text1"/>
          <w:kern w:val="2"/>
          <w:sz w:val="32"/>
          <w:szCs w:val="32"/>
          <w14:textFill>
            <w14:solidFill>
              <w14:schemeClr w14:val="tx1"/>
            </w14:solidFill>
          </w14:textFill>
        </w:rPr>
        <w:t>41.96</w:t>
      </w:r>
      <w:r>
        <w:rPr>
          <w:rFonts w:hint="eastAsia" w:ascii="仿宋" w:hAnsi="仿宋" w:eastAsia="仿宋"/>
          <w:color w:val="000000" w:themeColor="text1"/>
          <w:kern w:val="2"/>
          <w:sz w:val="32"/>
          <w:szCs w:val="32"/>
          <w14:textFill>
            <w14:solidFill>
              <w14:schemeClr w14:val="tx1"/>
            </w14:solidFill>
          </w14:textFill>
        </w:rPr>
        <w:t>%；上缴上级支出0万元，占0%；经营支出0万元，占0%；对</w:t>
      </w:r>
      <w:r>
        <w:rPr>
          <w:rFonts w:hint="eastAsia" w:ascii="仿宋" w:hAnsi="仿宋" w:eastAsia="仿宋"/>
          <w:kern w:val="2"/>
          <w:sz w:val="32"/>
          <w:szCs w:val="32"/>
        </w:rPr>
        <w:t>附属单位补助支出0万元，占0%。</w:t>
      </w:r>
      <w:r>
        <w:rPr>
          <w:rFonts w:hint="eastAsia" w:ascii="仿宋" w:hAnsi="仿宋" w:eastAsia="仿宋"/>
          <w:sz w:val="32"/>
          <w:szCs w:val="32"/>
        </w:rPr>
        <w:t>（图3：支出决算结构）</w:t>
      </w:r>
    </w:p>
    <w:p w14:paraId="1582F820">
      <w:pPr>
        <w:pStyle w:val="8"/>
        <w:widowControl/>
        <w:spacing w:beforeAutospacing="0" w:afterAutospacing="0" w:line="480" w:lineRule="atLeast"/>
        <w:rPr>
          <w:color w:val="000000"/>
        </w:rPr>
      </w:pPr>
      <w:r>
        <w:rPr>
          <w:rFonts w:hint="eastAsia" w:ascii="微软雅黑" w:hAnsi="微软雅黑" w:eastAsia="微软雅黑" w:cs="微软雅黑"/>
          <w:color w:val="000000"/>
        </w:rPr>
        <w:drawing>
          <wp:inline distT="0" distB="0" distL="114300" distR="114300">
            <wp:extent cx="5353050" cy="1905635"/>
            <wp:effectExtent l="0" t="0" r="0" b="1841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4E96D6E">
      <w:pPr>
        <w:spacing w:line="600" w:lineRule="exact"/>
        <w:ind w:firstLine="640" w:firstLineChars="200"/>
        <w:outlineLvl w:val="1"/>
        <w:rPr>
          <w:rStyle w:val="15"/>
          <w:rFonts w:ascii="黑体" w:hAnsi="黑体" w:eastAsia="黑体"/>
          <w:b w:val="0"/>
        </w:rPr>
      </w:pPr>
      <w:bookmarkStart w:id="20" w:name="_Toc15396606"/>
      <w:bookmarkStart w:id="21" w:name="_Toc15377208"/>
      <w:r>
        <w:rPr>
          <w:rFonts w:hint="eastAsia" w:ascii="黑体" w:hAnsi="黑体" w:eastAsia="黑体"/>
          <w:sz w:val="32"/>
          <w:szCs w:val="32"/>
        </w:rPr>
        <w:t>四、财</w:t>
      </w:r>
      <w:r>
        <w:rPr>
          <w:rStyle w:val="15"/>
          <w:rFonts w:hint="eastAsia" w:ascii="黑体" w:hAnsi="黑体" w:eastAsia="黑体"/>
          <w:b w:val="0"/>
        </w:rPr>
        <w:t>政拨款收入支出决算总体情况说明</w:t>
      </w:r>
      <w:bookmarkEnd w:id="20"/>
      <w:bookmarkEnd w:id="21"/>
    </w:p>
    <w:p w14:paraId="1FA49898">
      <w:pPr>
        <w:spacing w:line="600" w:lineRule="exact"/>
        <w:ind w:firstLine="640" w:firstLineChars="200"/>
        <w:rPr>
          <w:rFonts w:ascii="仿宋" w:hAnsi="仿宋" w:eastAsia="仿宋" w:cs="Times New Roman"/>
          <w:sz w:val="32"/>
          <w:szCs w:val="32"/>
        </w:rPr>
      </w:pPr>
      <w:r>
        <w:rPr>
          <w:rFonts w:hint="eastAsia" w:ascii="仿宋" w:hAnsi="仿宋" w:eastAsia="仿宋"/>
          <w:sz w:val="32"/>
          <w:szCs w:val="32"/>
        </w:rPr>
        <w:t>202</w:t>
      </w:r>
      <w:r>
        <w:rPr>
          <w:rFonts w:ascii="仿宋" w:hAnsi="仿宋" w:eastAsia="仿宋"/>
          <w:sz w:val="32"/>
          <w:szCs w:val="32"/>
        </w:rPr>
        <w:t>4</w:t>
      </w:r>
      <w:r>
        <w:rPr>
          <w:rFonts w:hint="eastAsia" w:ascii="仿宋" w:hAnsi="仿宋" w:eastAsia="仿宋"/>
          <w:sz w:val="32"/>
          <w:szCs w:val="32"/>
        </w:rPr>
        <w:t>年财政拨款收、支总计均为</w:t>
      </w:r>
      <w:r>
        <w:rPr>
          <w:rFonts w:ascii="仿宋" w:hAnsi="仿宋" w:eastAsia="仿宋"/>
          <w:color w:val="000000" w:themeColor="text1"/>
          <w:sz w:val="32"/>
          <w:szCs w:val="32"/>
          <w14:textFill>
            <w14:solidFill>
              <w14:schemeClr w14:val="tx1"/>
            </w14:solidFill>
          </w14:textFill>
        </w:rPr>
        <w:t>1044.61</w:t>
      </w:r>
      <w:r>
        <w:rPr>
          <w:rFonts w:hint="eastAsia" w:ascii="仿宋" w:hAnsi="仿宋" w:eastAsia="仿宋"/>
          <w:color w:val="000000" w:themeColor="text1"/>
          <w:sz w:val="32"/>
          <w:szCs w:val="32"/>
          <w14:textFill>
            <w14:solidFill>
              <w14:schemeClr w14:val="tx1"/>
            </w14:solidFill>
          </w14:textFill>
        </w:rPr>
        <w:t>万元。与202</w:t>
      </w: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年相比，财政拨款收、支总计各减少</w:t>
      </w:r>
      <w:r>
        <w:rPr>
          <w:rFonts w:ascii="仿宋" w:hAnsi="仿宋" w:eastAsia="仿宋"/>
          <w:color w:val="000000" w:themeColor="text1"/>
          <w:sz w:val="32"/>
          <w:szCs w:val="32"/>
          <w14:textFill>
            <w14:solidFill>
              <w14:schemeClr w14:val="tx1"/>
            </w14:solidFill>
          </w14:textFill>
        </w:rPr>
        <w:t>3.8</w:t>
      </w:r>
      <w:r>
        <w:rPr>
          <w:rFonts w:hint="eastAsia" w:ascii="仿宋" w:hAnsi="仿宋" w:eastAsia="仿宋"/>
          <w:color w:val="000000" w:themeColor="text1"/>
          <w:sz w:val="32"/>
          <w:szCs w:val="32"/>
          <w14:textFill>
            <w14:solidFill>
              <w14:schemeClr w14:val="tx1"/>
            </w14:solidFill>
          </w14:textFill>
        </w:rPr>
        <w:t>万元</w:t>
      </w:r>
      <w:r>
        <w:rPr>
          <w:rFonts w:hint="eastAsia" w:ascii="仿宋" w:hAnsi="仿宋" w:eastAsia="仿宋"/>
          <w:sz w:val="32"/>
          <w:szCs w:val="32"/>
        </w:rPr>
        <w:t>，下降</w:t>
      </w:r>
      <w:r>
        <w:rPr>
          <w:rFonts w:ascii="仿宋" w:hAnsi="仿宋" w:eastAsia="仿宋"/>
          <w:sz w:val="32"/>
          <w:szCs w:val="32"/>
        </w:rPr>
        <w:t>0.36</w:t>
      </w:r>
      <w:r>
        <w:rPr>
          <w:rFonts w:hint="eastAsia" w:ascii="仿宋" w:hAnsi="仿宋" w:eastAsia="仿宋"/>
          <w:sz w:val="32"/>
          <w:szCs w:val="32"/>
        </w:rPr>
        <w:t>%。</w:t>
      </w:r>
      <w:r>
        <w:rPr>
          <w:rFonts w:hint="eastAsia" w:ascii="仿宋" w:hAnsi="仿宋" w:eastAsia="仿宋" w:cs="Times New Roman"/>
          <w:sz w:val="32"/>
          <w:szCs w:val="32"/>
        </w:rPr>
        <w:t>主要变动原因是省局工作调整，房屋租赁保障费用减少</w:t>
      </w:r>
      <w:r>
        <w:rPr>
          <w:rFonts w:hint="eastAsia" w:ascii="仿宋" w:hAnsi="仿宋" w:eastAsia="仿宋"/>
          <w:sz w:val="32"/>
          <w:szCs w:val="32"/>
        </w:rPr>
        <w:t>。（</w:t>
      </w:r>
      <w:r>
        <w:rPr>
          <w:rFonts w:hint="eastAsia" w:ascii="仿宋" w:hAnsi="仿宋" w:eastAsia="仿宋"/>
          <w:color w:val="000000" w:themeColor="text1"/>
          <w:sz w:val="32"/>
          <w:szCs w:val="32"/>
          <w14:textFill>
            <w14:solidFill>
              <w14:schemeClr w14:val="tx1"/>
            </w14:solidFill>
          </w14:textFill>
        </w:rPr>
        <w:t>图4：</w:t>
      </w:r>
      <w:bookmarkStart w:id="22" w:name="OLE_LINK3"/>
      <w:bookmarkStart w:id="23" w:name="OLE_LINK4"/>
      <w:r>
        <w:rPr>
          <w:rFonts w:hint="eastAsia" w:ascii="仿宋" w:hAnsi="仿宋" w:eastAsia="仿宋"/>
          <w:color w:val="000000" w:themeColor="text1"/>
          <w:sz w:val="32"/>
          <w:szCs w:val="32"/>
          <w14:textFill>
            <w14:solidFill>
              <w14:schemeClr w14:val="tx1"/>
            </w14:solidFill>
          </w14:textFill>
        </w:rPr>
        <w:t>财政</w:t>
      </w:r>
      <w:r>
        <w:rPr>
          <w:rFonts w:hint="eastAsia" w:ascii="仿宋" w:hAnsi="仿宋" w:eastAsia="仿宋"/>
          <w:sz w:val="32"/>
          <w:szCs w:val="32"/>
        </w:rPr>
        <w:t>拨款收、支决算总计变动情况</w:t>
      </w:r>
      <w:bookmarkEnd w:id="22"/>
      <w:bookmarkEnd w:id="23"/>
      <w:r>
        <w:rPr>
          <w:rFonts w:hint="eastAsia" w:ascii="仿宋" w:hAnsi="仿宋" w:eastAsia="仿宋"/>
          <w:sz w:val="32"/>
          <w:szCs w:val="32"/>
        </w:rPr>
        <w:t>）</w:t>
      </w:r>
    </w:p>
    <w:p w14:paraId="42B40E70">
      <w:pPr>
        <w:pStyle w:val="8"/>
        <w:widowControl/>
        <w:spacing w:beforeAutospacing="0" w:afterAutospacing="0" w:line="480" w:lineRule="atLeast"/>
        <w:jc w:val="center"/>
        <w:rPr>
          <w:color w:val="000000"/>
        </w:rPr>
      </w:pPr>
      <w:r>
        <w:rPr>
          <w:rFonts w:hint="eastAsia" w:ascii="微软雅黑" w:hAnsi="微软雅黑" w:eastAsia="微软雅黑" w:cs="微软雅黑"/>
          <w:color w:val="000000"/>
        </w:rPr>
        <w:drawing>
          <wp:inline distT="0" distB="0" distL="114300" distR="114300">
            <wp:extent cx="5381625" cy="1888490"/>
            <wp:effectExtent l="0" t="0" r="9525"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F13AFFA">
      <w:pPr>
        <w:spacing w:line="600" w:lineRule="exact"/>
        <w:ind w:firstLine="640" w:firstLineChars="200"/>
        <w:outlineLvl w:val="1"/>
        <w:rPr>
          <w:rFonts w:ascii="黑体" w:hAnsi="黑体" w:eastAsia="黑体" w:cs="Times New Roman"/>
          <w:sz w:val="32"/>
          <w:szCs w:val="32"/>
        </w:rPr>
      </w:pPr>
      <w:r>
        <w:rPr>
          <w:rFonts w:hint="eastAsia" w:ascii="黑体" w:hAnsi="黑体" w:eastAsia="黑体" w:cs="Times New Roman"/>
          <w:sz w:val="32"/>
          <w:szCs w:val="32"/>
        </w:rPr>
        <w:t>五、一般公共预算财政拨款支出决算情况说明</w:t>
      </w:r>
    </w:p>
    <w:p w14:paraId="5E8F8D9A">
      <w:pPr>
        <w:spacing w:line="600" w:lineRule="exact"/>
        <w:ind w:firstLine="643" w:firstLineChars="200"/>
        <w:outlineLvl w:val="2"/>
        <w:rPr>
          <w:rFonts w:ascii="仿宋" w:hAnsi="仿宋" w:eastAsia="仿宋" w:cs="Times New Roman"/>
          <w:b/>
          <w:sz w:val="32"/>
          <w:szCs w:val="32"/>
        </w:rPr>
      </w:pPr>
      <w:r>
        <w:rPr>
          <w:rFonts w:hint="eastAsia" w:ascii="仿宋" w:hAnsi="仿宋" w:eastAsia="仿宋" w:cs="Times New Roman"/>
          <w:b/>
          <w:sz w:val="32"/>
          <w:szCs w:val="32"/>
        </w:rPr>
        <w:t>（一）一般公共预算财政拨款支出决算总体情况</w:t>
      </w:r>
    </w:p>
    <w:p w14:paraId="50CEA28E">
      <w:pPr>
        <w:spacing w:line="600" w:lineRule="exact"/>
        <w:ind w:firstLine="420" w:firstLineChars="200"/>
        <w:rPr>
          <w:rFonts w:ascii="仿宋" w:hAnsi="仿宋" w:eastAsia="仿宋" w:cs="Times New Roman"/>
          <w:sz w:val="32"/>
          <w:szCs w:val="32"/>
        </w:rPr>
      </w:pPr>
      <w:r>
        <w:rPr>
          <w:rFonts w:hint="eastAsia" w:ascii="微软雅黑" w:hAnsi="微软雅黑" w:eastAsia="微软雅黑" w:cs="微软雅黑"/>
          <w:color w:val="000000"/>
        </w:rPr>
        <w:drawing>
          <wp:anchor distT="0" distB="0" distL="114300" distR="114300" simplePos="0" relativeHeight="251659264" behindDoc="1" locked="0" layoutInCell="1" allowOverlap="1">
            <wp:simplePos x="0" y="0"/>
            <wp:positionH relativeFrom="column">
              <wp:posOffset>-123825</wp:posOffset>
            </wp:positionH>
            <wp:positionV relativeFrom="paragraph">
              <wp:posOffset>2000250</wp:posOffset>
            </wp:positionV>
            <wp:extent cx="5715000" cy="2190750"/>
            <wp:effectExtent l="0" t="0" r="0" b="0"/>
            <wp:wrapThrough wrapText="bothSides">
              <wp:wrapPolygon>
                <wp:start x="0" y="0"/>
                <wp:lineTo x="0" y="21412"/>
                <wp:lineTo x="21528" y="21412"/>
                <wp:lineTo x="21528" y="0"/>
                <wp:lineTo x="0" y="0"/>
              </wp:wrapPolygon>
            </wp:wrapThrough>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cs="Times New Roman"/>
          <w:color w:val="000000" w:themeColor="text1"/>
          <w:sz w:val="32"/>
          <w:szCs w:val="32"/>
          <w14:textFill>
            <w14:solidFill>
              <w14:schemeClr w14:val="tx1"/>
            </w14:solidFill>
          </w14:textFill>
        </w:rPr>
        <w:t>202</w:t>
      </w:r>
      <w:r>
        <w:rPr>
          <w:rFonts w:ascii="仿宋" w:hAnsi="仿宋" w:eastAsia="仿宋" w:cs="Times New Roman"/>
          <w:color w:val="000000" w:themeColor="text1"/>
          <w:sz w:val="32"/>
          <w:szCs w:val="32"/>
          <w14:textFill>
            <w14:solidFill>
              <w14:schemeClr w14:val="tx1"/>
            </w14:solidFill>
          </w14:textFill>
        </w:rPr>
        <w:t>4</w:t>
      </w:r>
      <w:r>
        <w:rPr>
          <w:rFonts w:hint="eastAsia" w:ascii="仿宋" w:hAnsi="仿宋" w:eastAsia="仿宋" w:cs="Times New Roman"/>
          <w:color w:val="000000" w:themeColor="text1"/>
          <w:sz w:val="32"/>
          <w:szCs w:val="32"/>
          <w14:textFill>
            <w14:solidFill>
              <w14:schemeClr w14:val="tx1"/>
            </w14:solidFill>
          </w14:textFill>
        </w:rPr>
        <w:t>年一般公共预算财政拨款支出</w:t>
      </w:r>
      <w:r>
        <w:rPr>
          <w:rFonts w:ascii="仿宋" w:hAnsi="仿宋" w:eastAsia="仿宋" w:cs="Times New Roman"/>
          <w:color w:val="000000" w:themeColor="text1"/>
          <w:sz w:val="32"/>
          <w:szCs w:val="32"/>
          <w14:textFill>
            <w14:solidFill>
              <w14:schemeClr w14:val="tx1"/>
            </w14:solidFill>
          </w14:textFill>
        </w:rPr>
        <w:t>1044.61</w:t>
      </w:r>
      <w:r>
        <w:rPr>
          <w:rFonts w:hint="eastAsia" w:ascii="仿宋" w:hAnsi="仿宋" w:eastAsia="仿宋" w:cs="Times New Roman"/>
          <w:color w:val="000000" w:themeColor="text1"/>
          <w:sz w:val="32"/>
          <w:szCs w:val="32"/>
          <w14:textFill>
            <w14:solidFill>
              <w14:schemeClr w14:val="tx1"/>
            </w14:solidFill>
          </w14:textFill>
        </w:rPr>
        <w:t>万元，占本年支出合计的</w:t>
      </w:r>
      <w:r>
        <w:rPr>
          <w:rFonts w:ascii="仿宋" w:hAnsi="仿宋" w:eastAsia="仿宋" w:cs="Times New Roman"/>
          <w:color w:val="000000" w:themeColor="text1"/>
          <w:sz w:val="32"/>
          <w:szCs w:val="32"/>
          <w14:textFill>
            <w14:solidFill>
              <w14:schemeClr w14:val="tx1"/>
            </w14:solidFill>
          </w14:textFill>
        </w:rPr>
        <w:t>100</w:t>
      </w:r>
      <w:r>
        <w:rPr>
          <w:rFonts w:hint="eastAsia" w:ascii="仿宋" w:hAnsi="仿宋" w:eastAsia="仿宋" w:cs="Times New Roman"/>
          <w:color w:val="000000" w:themeColor="text1"/>
          <w:sz w:val="32"/>
          <w:szCs w:val="32"/>
          <w14:textFill>
            <w14:solidFill>
              <w14:schemeClr w14:val="tx1"/>
            </w14:solidFill>
          </w14:textFill>
        </w:rPr>
        <w:t>%。与202</w:t>
      </w:r>
      <w:r>
        <w:rPr>
          <w:rFonts w:ascii="仿宋" w:hAnsi="仿宋" w:eastAsia="仿宋" w:cs="Times New Roman"/>
          <w:color w:val="000000" w:themeColor="text1"/>
          <w:sz w:val="32"/>
          <w:szCs w:val="32"/>
          <w14:textFill>
            <w14:solidFill>
              <w14:schemeClr w14:val="tx1"/>
            </w14:solidFill>
          </w14:textFill>
        </w:rPr>
        <w:t>3</w:t>
      </w:r>
      <w:r>
        <w:rPr>
          <w:rFonts w:hint="eastAsia" w:ascii="仿宋" w:hAnsi="仿宋" w:eastAsia="仿宋" w:cs="Times New Roman"/>
          <w:color w:val="000000" w:themeColor="text1"/>
          <w:sz w:val="32"/>
          <w:szCs w:val="32"/>
          <w14:textFill>
            <w14:solidFill>
              <w14:schemeClr w14:val="tx1"/>
            </w14:solidFill>
          </w14:textFill>
        </w:rPr>
        <w:t>年相比，一般公共预算财政拨款支出减少</w:t>
      </w:r>
      <w:r>
        <w:rPr>
          <w:rFonts w:ascii="仿宋" w:hAnsi="仿宋" w:eastAsia="仿宋" w:cs="Times New Roman"/>
          <w:color w:val="000000" w:themeColor="text1"/>
          <w:sz w:val="32"/>
          <w:szCs w:val="32"/>
          <w14:textFill>
            <w14:solidFill>
              <w14:schemeClr w14:val="tx1"/>
            </w14:solidFill>
          </w14:textFill>
        </w:rPr>
        <w:t>3.8</w:t>
      </w:r>
      <w:r>
        <w:rPr>
          <w:rFonts w:hint="eastAsia" w:ascii="仿宋" w:hAnsi="仿宋" w:eastAsia="仿宋" w:cs="Times New Roman"/>
          <w:color w:val="000000" w:themeColor="text1"/>
          <w:sz w:val="32"/>
          <w:szCs w:val="32"/>
          <w14:textFill>
            <w14:solidFill>
              <w14:schemeClr w14:val="tx1"/>
            </w14:solidFill>
          </w14:textFill>
        </w:rPr>
        <w:t>万元，降低0</w:t>
      </w:r>
      <w:r>
        <w:rPr>
          <w:rFonts w:ascii="仿宋" w:hAnsi="仿宋" w:eastAsia="仿宋" w:cs="Times New Roman"/>
          <w:color w:val="000000" w:themeColor="text1"/>
          <w:sz w:val="32"/>
          <w:szCs w:val="32"/>
          <w14:textFill>
            <w14:solidFill>
              <w14:schemeClr w14:val="tx1"/>
            </w14:solidFill>
          </w14:textFill>
        </w:rPr>
        <w:t>.36</w:t>
      </w:r>
      <w:r>
        <w:rPr>
          <w:rFonts w:hint="eastAsia" w:ascii="仿宋" w:hAnsi="仿宋" w:eastAsia="仿宋" w:cs="Times New Roman"/>
          <w:color w:val="000000" w:themeColor="text1"/>
          <w:sz w:val="32"/>
          <w:szCs w:val="32"/>
          <w14:textFill>
            <w14:solidFill>
              <w14:schemeClr w14:val="tx1"/>
            </w14:solidFill>
          </w14:textFill>
        </w:rPr>
        <w:t>%。</w:t>
      </w:r>
      <w:r>
        <w:rPr>
          <w:rFonts w:hint="eastAsia" w:ascii="仿宋" w:hAnsi="仿宋" w:eastAsia="仿宋" w:cs="Times New Roman"/>
          <w:sz w:val="32"/>
          <w:szCs w:val="32"/>
        </w:rPr>
        <w:t>主要变动原因是省局工作调整，房屋租赁保障费用减少。（图5：一般公共预算财政拨款支出</w:t>
      </w:r>
      <w:bookmarkStart w:id="24" w:name="OLE_LINK5"/>
      <w:bookmarkStart w:id="25" w:name="OLE_LINK6"/>
      <w:r>
        <w:rPr>
          <w:rFonts w:hint="eastAsia" w:ascii="仿宋" w:hAnsi="仿宋" w:eastAsia="仿宋" w:cs="Times New Roman"/>
          <w:sz w:val="32"/>
          <w:szCs w:val="32"/>
        </w:rPr>
        <w:t>决算变动情况</w:t>
      </w:r>
      <w:bookmarkEnd w:id="24"/>
      <w:bookmarkEnd w:id="25"/>
      <w:r>
        <w:rPr>
          <w:rFonts w:hint="eastAsia" w:ascii="仿宋" w:hAnsi="仿宋" w:eastAsia="仿宋" w:cs="Times New Roman"/>
          <w:sz w:val="32"/>
          <w:szCs w:val="32"/>
        </w:rPr>
        <w:t>）</w:t>
      </w:r>
    </w:p>
    <w:p w14:paraId="3765614F">
      <w:pPr>
        <w:pStyle w:val="8"/>
        <w:widowControl/>
        <w:spacing w:beforeAutospacing="0" w:afterAutospacing="0" w:line="480" w:lineRule="atLeast"/>
        <w:jc w:val="center"/>
        <w:rPr>
          <w:color w:val="000000"/>
        </w:rPr>
      </w:pPr>
    </w:p>
    <w:p w14:paraId="56FA51D8">
      <w:pPr>
        <w:spacing w:line="600" w:lineRule="exact"/>
        <w:ind w:firstLine="643" w:firstLineChars="200"/>
        <w:outlineLvl w:val="2"/>
        <w:rPr>
          <w:rFonts w:ascii="仿宋" w:hAnsi="仿宋" w:eastAsia="仿宋" w:cs="Times New Roman"/>
          <w:b/>
          <w:sz w:val="32"/>
          <w:szCs w:val="32"/>
        </w:rPr>
      </w:pPr>
      <w:r>
        <w:rPr>
          <w:rFonts w:hint="eastAsia" w:ascii="仿宋" w:hAnsi="仿宋" w:eastAsia="仿宋" w:cs="Times New Roman"/>
          <w:b/>
          <w:sz w:val="32"/>
          <w:szCs w:val="32"/>
        </w:rPr>
        <w:t>（二）一般公共预算财政拨款支出决算结构情况</w:t>
      </w:r>
    </w:p>
    <w:p w14:paraId="446F9E1D">
      <w:pPr>
        <w:spacing w:line="600" w:lineRule="exact"/>
        <w:ind w:firstLine="640"/>
        <w:rPr>
          <w:rFonts w:ascii="仿宋" w:hAnsi="仿宋" w:eastAsia="仿宋" w:cs="Times New Roman"/>
          <w:sz w:val="32"/>
          <w:szCs w:val="32"/>
        </w:rPr>
      </w:pPr>
      <w:r>
        <w:rPr>
          <w:rFonts w:hint="eastAsia" w:ascii="仿宋" w:hAnsi="仿宋" w:eastAsia="仿宋" w:cs="Times New Roman"/>
          <w:color w:val="000000" w:themeColor="text1"/>
          <w:sz w:val="32"/>
          <w:szCs w:val="32"/>
          <w14:textFill>
            <w14:solidFill>
              <w14:schemeClr w14:val="tx1"/>
            </w14:solidFill>
          </w14:textFill>
        </w:rPr>
        <w:t>202</w:t>
      </w:r>
      <w:r>
        <w:rPr>
          <w:rFonts w:ascii="仿宋" w:hAnsi="仿宋" w:eastAsia="仿宋" w:cs="Times New Roman"/>
          <w:color w:val="000000" w:themeColor="text1"/>
          <w:sz w:val="32"/>
          <w:szCs w:val="32"/>
          <w14:textFill>
            <w14:solidFill>
              <w14:schemeClr w14:val="tx1"/>
            </w14:solidFill>
          </w14:textFill>
        </w:rPr>
        <w:t>4</w:t>
      </w:r>
      <w:r>
        <w:rPr>
          <w:rFonts w:hint="eastAsia" w:ascii="仿宋" w:hAnsi="仿宋" w:eastAsia="仿宋" w:cs="Times New Roman"/>
          <w:color w:val="000000" w:themeColor="text1"/>
          <w:sz w:val="32"/>
          <w:szCs w:val="32"/>
          <w14:textFill>
            <w14:solidFill>
              <w14:schemeClr w14:val="tx1"/>
            </w14:solidFill>
          </w14:textFill>
        </w:rPr>
        <w:t>年一般公共预算财政拨款支出</w:t>
      </w:r>
      <w:r>
        <w:rPr>
          <w:rFonts w:ascii="仿宋" w:hAnsi="仿宋" w:eastAsia="仿宋" w:cs="Times New Roman"/>
          <w:color w:val="000000" w:themeColor="text1"/>
          <w:sz w:val="32"/>
          <w:szCs w:val="32"/>
          <w14:textFill>
            <w14:solidFill>
              <w14:schemeClr w14:val="tx1"/>
            </w14:solidFill>
          </w14:textFill>
        </w:rPr>
        <w:t>1044.61</w:t>
      </w:r>
      <w:r>
        <w:rPr>
          <w:rFonts w:hint="eastAsia" w:ascii="仿宋" w:hAnsi="仿宋" w:eastAsia="仿宋" w:cs="Times New Roman"/>
          <w:color w:val="000000" w:themeColor="text1"/>
          <w:sz w:val="32"/>
          <w:szCs w:val="32"/>
          <w14:textFill>
            <w14:solidFill>
              <w14:schemeClr w14:val="tx1"/>
            </w14:solidFill>
          </w14:textFill>
        </w:rPr>
        <w:t>万元，主要用于以下方面:一般公共服务支出</w:t>
      </w:r>
      <w:r>
        <w:rPr>
          <w:rFonts w:ascii="仿宋" w:hAnsi="仿宋" w:eastAsia="仿宋" w:cs="Times New Roman"/>
          <w:color w:val="000000" w:themeColor="text1"/>
          <w:sz w:val="32"/>
          <w:szCs w:val="32"/>
          <w14:textFill>
            <w14:solidFill>
              <w14:schemeClr w14:val="tx1"/>
            </w14:solidFill>
          </w14:textFill>
        </w:rPr>
        <w:t>965.20</w:t>
      </w:r>
      <w:r>
        <w:rPr>
          <w:rFonts w:hint="eastAsia" w:ascii="仿宋" w:hAnsi="仿宋" w:eastAsia="仿宋" w:cs="Times New Roman"/>
          <w:color w:val="000000" w:themeColor="text1"/>
          <w:sz w:val="32"/>
          <w:szCs w:val="32"/>
          <w14:textFill>
            <w14:solidFill>
              <w14:schemeClr w14:val="tx1"/>
            </w14:solidFill>
          </w14:textFill>
        </w:rPr>
        <w:t>万元，占</w:t>
      </w:r>
      <w:r>
        <w:rPr>
          <w:rFonts w:ascii="仿宋" w:hAnsi="仿宋" w:eastAsia="仿宋" w:cs="Times New Roman"/>
          <w:color w:val="000000" w:themeColor="text1"/>
          <w:sz w:val="32"/>
          <w:szCs w:val="32"/>
          <w14:textFill>
            <w14:solidFill>
              <w14:schemeClr w14:val="tx1"/>
            </w14:solidFill>
          </w14:textFill>
        </w:rPr>
        <w:t>92.40</w:t>
      </w:r>
      <w:r>
        <w:rPr>
          <w:rFonts w:hint="eastAsia" w:ascii="仿宋" w:hAnsi="仿宋" w:eastAsia="仿宋" w:cs="Times New Roman"/>
          <w:color w:val="000000" w:themeColor="text1"/>
          <w:sz w:val="32"/>
          <w:szCs w:val="32"/>
          <w14:textFill>
            <w14:solidFill>
              <w14:schemeClr w14:val="tx1"/>
            </w14:solidFill>
          </w14:textFill>
        </w:rPr>
        <w:t>%；</w:t>
      </w:r>
      <w:r>
        <w:rPr>
          <w:rFonts w:hint="eastAsia" w:ascii="仿宋" w:hAnsi="仿宋" w:eastAsia="仿宋" w:cs="Times New Roman"/>
          <w:sz w:val="32"/>
          <w:szCs w:val="32"/>
        </w:rPr>
        <w:t>社会保障和就业支出</w:t>
      </w:r>
      <w:r>
        <w:rPr>
          <w:rFonts w:ascii="仿宋" w:hAnsi="仿宋" w:eastAsia="仿宋" w:cs="Times New Roman"/>
          <w:sz w:val="32"/>
          <w:szCs w:val="32"/>
        </w:rPr>
        <w:t>33.27</w:t>
      </w:r>
      <w:r>
        <w:rPr>
          <w:rFonts w:hint="eastAsia" w:ascii="仿宋" w:hAnsi="仿宋" w:eastAsia="仿宋" w:cs="Times New Roman"/>
          <w:sz w:val="32"/>
          <w:szCs w:val="32"/>
        </w:rPr>
        <w:t>万元，占</w:t>
      </w:r>
      <w:r>
        <w:rPr>
          <w:rFonts w:ascii="仿宋" w:hAnsi="仿宋" w:eastAsia="仿宋" w:cs="Times New Roman"/>
          <w:sz w:val="32"/>
          <w:szCs w:val="32"/>
        </w:rPr>
        <w:t>3.18</w:t>
      </w:r>
      <w:r>
        <w:rPr>
          <w:rFonts w:hint="eastAsia" w:ascii="仿宋" w:hAnsi="仿宋" w:eastAsia="仿宋" w:cs="Times New Roman"/>
          <w:sz w:val="32"/>
          <w:szCs w:val="32"/>
        </w:rPr>
        <w:t>%；卫生健康支出</w:t>
      </w:r>
      <w:r>
        <w:rPr>
          <w:rFonts w:ascii="仿宋" w:hAnsi="仿宋" w:eastAsia="仿宋" w:cs="Times New Roman"/>
          <w:sz w:val="32"/>
          <w:szCs w:val="32"/>
        </w:rPr>
        <w:t>16.47</w:t>
      </w:r>
      <w:r>
        <w:rPr>
          <w:rFonts w:hint="eastAsia" w:ascii="仿宋" w:hAnsi="仿宋" w:eastAsia="仿宋" w:cs="Times New Roman"/>
          <w:sz w:val="32"/>
          <w:szCs w:val="32"/>
        </w:rPr>
        <w:t>万元，占</w:t>
      </w:r>
      <w:r>
        <w:rPr>
          <w:rFonts w:ascii="仿宋" w:hAnsi="仿宋" w:eastAsia="仿宋" w:cs="Times New Roman"/>
          <w:sz w:val="32"/>
          <w:szCs w:val="32"/>
        </w:rPr>
        <w:t>1.58</w:t>
      </w:r>
      <w:r>
        <w:rPr>
          <w:rFonts w:hint="eastAsia" w:ascii="仿宋" w:hAnsi="仿宋" w:eastAsia="仿宋" w:cs="Times New Roman"/>
          <w:sz w:val="32"/>
          <w:szCs w:val="32"/>
        </w:rPr>
        <w:t>%；住房保障支出</w:t>
      </w:r>
      <w:r>
        <w:rPr>
          <w:rFonts w:ascii="仿宋" w:hAnsi="仿宋" w:eastAsia="仿宋" w:cs="Times New Roman"/>
          <w:sz w:val="32"/>
          <w:szCs w:val="32"/>
        </w:rPr>
        <w:t>29.67</w:t>
      </w:r>
      <w:r>
        <w:rPr>
          <w:rFonts w:hint="eastAsia" w:ascii="仿宋" w:hAnsi="仿宋" w:eastAsia="仿宋" w:cs="Times New Roman"/>
          <w:sz w:val="32"/>
          <w:szCs w:val="32"/>
        </w:rPr>
        <w:t>万元，占</w:t>
      </w:r>
      <w:r>
        <w:rPr>
          <w:rFonts w:ascii="仿宋" w:hAnsi="仿宋" w:eastAsia="仿宋" w:cs="Times New Roman"/>
          <w:sz w:val="32"/>
          <w:szCs w:val="32"/>
        </w:rPr>
        <w:t>2.84</w:t>
      </w:r>
      <w:r>
        <w:rPr>
          <w:rFonts w:hint="eastAsia" w:ascii="仿宋" w:hAnsi="仿宋" w:eastAsia="仿宋" w:cs="Times New Roman"/>
          <w:sz w:val="32"/>
          <w:szCs w:val="32"/>
        </w:rPr>
        <w:t>%。</w:t>
      </w:r>
    </w:p>
    <w:p w14:paraId="7C112415">
      <w:pPr>
        <w:spacing w:line="600" w:lineRule="exact"/>
        <w:rPr>
          <w:rFonts w:ascii="仿宋" w:hAnsi="仿宋" w:eastAsia="仿宋" w:cs="Times New Roman"/>
          <w:sz w:val="32"/>
          <w:szCs w:val="32"/>
        </w:rPr>
      </w:pPr>
      <w:r>
        <w:rPr>
          <w:rFonts w:hint="eastAsia" w:ascii="仿宋" w:hAnsi="仿宋" w:eastAsia="仿宋" w:cs="Times New Roman"/>
          <w:sz w:val="32"/>
          <w:szCs w:val="32"/>
        </w:rPr>
        <w:t>（图6：一般公共预算财政拨款支出决算结构）</w:t>
      </w:r>
    </w:p>
    <w:p w14:paraId="0F7BE5A4">
      <w:pPr>
        <w:pStyle w:val="8"/>
        <w:widowControl/>
        <w:spacing w:beforeAutospacing="0" w:afterAutospacing="0" w:line="480" w:lineRule="atLeast"/>
        <w:rPr>
          <w:color w:val="000000"/>
        </w:rPr>
      </w:pPr>
      <w:r>
        <w:rPr>
          <w:rFonts w:hint="eastAsia" w:ascii="微软雅黑" w:hAnsi="微软雅黑" w:eastAsia="微软雅黑" w:cs="微软雅黑"/>
          <w:color w:val="000000"/>
        </w:rPr>
        <w:drawing>
          <wp:inline distT="0" distB="0" distL="114300" distR="114300">
            <wp:extent cx="5775960" cy="2872105"/>
            <wp:effectExtent l="4445" t="4445" r="10795" b="1905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3E6ADF6">
      <w:pPr>
        <w:spacing w:line="600" w:lineRule="exact"/>
        <w:ind w:firstLine="643" w:firstLineChars="200"/>
        <w:outlineLvl w:val="2"/>
        <w:rPr>
          <w:rFonts w:ascii="仿宋" w:hAnsi="仿宋" w:eastAsia="仿宋" w:cs="Times New Roman"/>
          <w:b/>
          <w:sz w:val="32"/>
          <w:szCs w:val="32"/>
        </w:rPr>
      </w:pPr>
      <w:r>
        <w:rPr>
          <w:rFonts w:hint="eastAsia" w:ascii="仿宋" w:hAnsi="仿宋" w:eastAsia="仿宋" w:cs="Times New Roman"/>
          <w:b/>
          <w:sz w:val="32"/>
          <w:szCs w:val="32"/>
        </w:rPr>
        <w:t>（三）一般公共预算财政拨款支出决算具体情况</w:t>
      </w:r>
    </w:p>
    <w:p w14:paraId="41BAC126">
      <w:pPr>
        <w:spacing w:line="600" w:lineRule="exact"/>
        <w:ind w:firstLine="643" w:firstLineChars="200"/>
        <w:outlineLvl w:val="2"/>
        <w:rPr>
          <w:rFonts w:ascii="仿宋" w:hAnsi="仿宋" w:eastAsia="仿宋" w:cs="Times New Roman"/>
          <w:b/>
          <w:sz w:val="32"/>
          <w:szCs w:val="32"/>
        </w:rPr>
      </w:pPr>
      <w:r>
        <w:rPr>
          <w:rFonts w:hint="eastAsia" w:ascii="仿宋" w:hAnsi="仿宋" w:eastAsia="仿宋" w:cs="Times New Roman"/>
          <w:b/>
          <w:sz w:val="32"/>
          <w:szCs w:val="32"/>
        </w:rPr>
        <w:t>202</w:t>
      </w:r>
      <w:r>
        <w:rPr>
          <w:rFonts w:ascii="仿宋" w:hAnsi="仿宋" w:eastAsia="仿宋" w:cs="Times New Roman"/>
          <w:b/>
          <w:sz w:val="32"/>
          <w:szCs w:val="32"/>
        </w:rPr>
        <w:t>4</w:t>
      </w:r>
      <w:r>
        <w:rPr>
          <w:rFonts w:hint="eastAsia" w:ascii="仿宋" w:hAnsi="仿宋" w:eastAsia="仿宋" w:cs="Times New Roman"/>
          <w:b/>
          <w:sz w:val="32"/>
          <w:szCs w:val="32"/>
        </w:rPr>
        <w:t>年一般公共预算支出决算数为</w:t>
      </w:r>
      <w:r>
        <w:rPr>
          <w:rFonts w:ascii="仿宋" w:hAnsi="仿宋" w:eastAsia="仿宋" w:cs="Times New Roman"/>
          <w:b/>
          <w:sz w:val="32"/>
          <w:szCs w:val="32"/>
        </w:rPr>
        <w:t>1044.61</w:t>
      </w:r>
      <w:r>
        <w:rPr>
          <w:rFonts w:hint="eastAsia" w:ascii="仿宋" w:hAnsi="仿宋" w:eastAsia="仿宋" w:cs="Times New Roman"/>
          <w:b/>
          <w:sz w:val="32"/>
          <w:szCs w:val="32"/>
        </w:rPr>
        <w:t>万元，完成预算</w:t>
      </w:r>
      <w:r>
        <w:rPr>
          <w:rFonts w:ascii="仿宋" w:hAnsi="仿宋" w:eastAsia="仿宋" w:cs="Times New Roman"/>
          <w:b/>
          <w:sz w:val="32"/>
          <w:szCs w:val="32"/>
        </w:rPr>
        <w:t>100</w:t>
      </w:r>
      <w:r>
        <w:rPr>
          <w:rFonts w:hint="eastAsia" w:ascii="仿宋" w:hAnsi="仿宋" w:eastAsia="仿宋" w:cs="Times New Roman"/>
          <w:b/>
          <w:sz w:val="32"/>
          <w:szCs w:val="32"/>
        </w:rPr>
        <w:t>%。其中：</w:t>
      </w:r>
    </w:p>
    <w:p w14:paraId="11BC4979">
      <w:pPr>
        <w:pStyle w:val="8"/>
        <w:widowControl/>
        <w:spacing w:beforeAutospacing="0" w:afterAutospacing="0"/>
        <w:ind w:firstLine="643" w:firstLineChars="200"/>
        <w:rPr>
          <w:rStyle w:val="11"/>
          <w:rFonts w:ascii="仿宋" w:hAnsi="仿宋" w:eastAsia="仿宋" w:cstheme="minorBidi"/>
          <w:b w:val="0"/>
          <w:bCs/>
          <w:kern w:val="2"/>
          <w:sz w:val="32"/>
          <w:szCs w:val="32"/>
        </w:rPr>
      </w:pPr>
      <w:r>
        <w:rPr>
          <w:rStyle w:val="11"/>
          <w:rFonts w:hint="eastAsia" w:ascii="仿宋" w:hAnsi="仿宋" w:eastAsia="仿宋" w:cstheme="minorBidi"/>
          <w:bCs/>
          <w:kern w:val="2"/>
          <w:sz w:val="32"/>
          <w:szCs w:val="32"/>
        </w:rPr>
        <w:t>1.一般公共服务支出（类）市场监督管理事务（款）机关服务（项）</w:t>
      </w:r>
      <w:r>
        <w:rPr>
          <w:rStyle w:val="11"/>
          <w:rFonts w:hint="eastAsia" w:ascii="仿宋" w:hAnsi="仿宋" w:eastAsia="仿宋" w:cstheme="minorBidi"/>
          <w:b w:val="0"/>
          <w:bCs/>
          <w:kern w:val="2"/>
          <w:sz w:val="32"/>
          <w:szCs w:val="32"/>
        </w:rPr>
        <w:t>:</w:t>
      </w:r>
      <w:r>
        <w:rPr>
          <w:rStyle w:val="11"/>
          <w:rFonts w:hint="eastAsia" w:ascii="仿宋" w:hAnsi="仿宋" w:eastAsia="仿宋" w:cstheme="minorBidi"/>
          <w:bCs/>
          <w:kern w:val="2"/>
          <w:sz w:val="32"/>
          <w:szCs w:val="32"/>
        </w:rPr>
        <w:t xml:space="preserve"> </w:t>
      </w:r>
      <w:r>
        <w:rPr>
          <w:rStyle w:val="11"/>
          <w:rFonts w:hint="eastAsia" w:ascii="仿宋" w:hAnsi="仿宋" w:eastAsia="仿宋" w:cstheme="minorBidi"/>
          <w:b w:val="0"/>
          <w:bCs/>
          <w:kern w:val="2"/>
          <w:sz w:val="32"/>
          <w:szCs w:val="32"/>
        </w:rPr>
        <w:t>支出决算为</w:t>
      </w:r>
      <w:r>
        <w:rPr>
          <w:rStyle w:val="11"/>
          <w:rFonts w:ascii="仿宋" w:hAnsi="仿宋" w:eastAsia="仿宋" w:cstheme="minorBidi"/>
          <w:b w:val="0"/>
          <w:bCs/>
          <w:kern w:val="2"/>
          <w:sz w:val="32"/>
          <w:szCs w:val="32"/>
        </w:rPr>
        <w:t>666.50</w:t>
      </w:r>
      <w:r>
        <w:rPr>
          <w:rStyle w:val="11"/>
          <w:rFonts w:hint="eastAsia" w:ascii="仿宋" w:hAnsi="仿宋" w:eastAsia="仿宋" w:cstheme="minorBidi"/>
          <w:b w:val="0"/>
          <w:bCs/>
          <w:kern w:val="2"/>
          <w:sz w:val="32"/>
          <w:szCs w:val="32"/>
        </w:rPr>
        <w:t>万元，完成预算</w:t>
      </w:r>
      <w:r>
        <w:rPr>
          <w:rStyle w:val="11"/>
          <w:rFonts w:ascii="仿宋" w:hAnsi="仿宋" w:eastAsia="仿宋" w:cstheme="minorBidi"/>
          <w:b w:val="0"/>
          <w:bCs/>
          <w:kern w:val="2"/>
          <w:sz w:val="32"/>
          <w:szCs w:val="32"/>
        </w:rPr>
        <w:t>100</w:t>
      </w:r>
      <w:r>
        <w:rPr>
          <w:rStyle w:val="11"/>
          <w:rFonts w:hint="eastAsia" w:ascii="仿宋" w:hAnsi="仿宋" w:eastAsia="仿宋" w:cstheme="minorBidi"/>
          <w:b w:val="0"/>
          <w:bCs/>
          <w:kern w:val="2"/>
          <w:sz w:val="32"/>
          <w:szCs w:val="32"/>
        </w:rPr>
        <w:t>%。</w:t>
      </w:r>
    </w:p>
    <w:p w14:paraId="46D62EDD">
      <w:pPr>
        <w:pStyle w:val="8"/>
        <w:widowControl/>
        <w:spacing w:beforeAutospacing="0" w:afterAutospacing="0"/>
        <w:ind w:firstLine="643" w:firstLineChars="200"/>
        <w:rPr>
          <w:rStyle w:val="11"/>
          <w:rFonts w:ascii="仿宋" w:hAnsi="仿宋" w:eastAsia="仿宋" w:cstheme="minorBidi"/>
          <w:b w:val="0"/>
          <w:bCs/>
          <w:color w:val="FF0000"/>
          <w:kern w:val="2"/>
          <w:sz w:val="32"/>
          <w:szCs w:val="32"/>
        </w:rPr>
      </w:pPr>
      <w:r>
        <w:rPr>
          <w:rStyle w:val="11"/>
          <w:rFonts w:ascii="仿宋" w:hAnsi="仿宋" w:eastAsia="仿宋" w:cstheme="minorBidi"/>
          <w:bCs/>
          <w:color w:val="000000" w:themeColor="text1"/>
          <w:kern w:val="2"/>
          <w:sz w:val="32"/>
          <w:szCs w:val="32"/>
          <w14:textFill>
            <w14:solidFill>
              <w14:schemeClr w14:val="tx1"/>
            </w14:solidFill>
          </w14:textFill>
        </w:rPr>
        <w:t>2</w:t>
      </w:r>
      <w:r>
        <w:rPr>
          <w:rStyle w:val="11"/>
          <w:rFonts w:hint="eastAsia" w:ascii="仿宋" w:hAnsi="仿宋" w:eastAsia="仿宋" w:cstheme="minorBidi"/>
          <w:bCs/>
          <w:color w:val="000000" w:themeColor="text1"/>
          <w:kern w:val="2"/>
          <w:sz w:val="32"/>
          <w:szCs w:val="32"/>
          <w14:textFill>
            <w14:solidFill>
              <w14:schemeClr w14:val="tx1"/>
            </w14:solidFill>
          </w14:textFill>
        </w:rPr>
        <w:t>.一般公共服务（类）市场监督管理事务（款）其他市场监督管理事务（项）</w:t>
      </w:r>
      <w:r>
        <w:rPr>
          <w:rStyle w:val="11"/>
          <w:rFonts w:hint="eastAsia" w:ascii="仿宋" w:hAnsi="仿宋" w:eastAsia="仿宋" w:cstheme="minorBidi"/>
          <w:b w:val="0"/>
          <w:bCs/>
          <w:color w:val="000000" w:themeColor="text1"/>
          <w:kern w:val="2"/>
          <w:sz w:val="32"/>
          <w:szCs w:val="32"/>
          <w14:textFill>
            <w14:solidFill>
              <w14:schemeClr w14:val="tx1"/>
            </w14:solidFill>
          </w14:textFill>
        </w:rPr>
        <w:t>:支出决算为</w:t>
      </w:r>
      <w:r>
        <w:rPr>
          <w:rStyle w:val="11"/>
          <w:rFonts w:ascii="仿宋" w:hAnsi="仿宋" w:eastAsia="仿宋" w:cstheme="minorBidi"/>
          <w:b w:val="0"/>
          <w:bCs/>
          <w:color w:val="000000" w:themeColor="text1"/>
          <w:kern w:val="2"/>
          <w:sz w:val="32"/>
          <w:szCs w:val="32"/>
          <w14:textFill>
            <w14:solidFill>
              <w14:schemeClr w14:val="tx1"/>
            </w14:solidFill>
          </w14:textFill>
        </w:rPr>
        <w:t>298.70</w:t>
      </w:r>
      <w:r>
        <w:rPr>
          <w:rStyle w:val="11"/>
          <w:rFonts w:hint="eastAsia" w:ascii="仿宋" w:hAnsi="仿宋" w:eastAsia="仿宋" w:cstheme="minorBidi"/>
          <w:b w:val="0"/>
          <w:bCs/>
          <w:color w:val="000000" w:themeColor="text1"/>
          <w:kern w:val="2"/>
          <w:sz w:val="32"/>
          <w:szCs w:val="32"/>
          <w14:textFill>
            <w14:solidFill>
              <w14:schemeClr w14:val="tx1"/>
            </w14:solidFill>
          </w14:textFill>
        </w:rPr>
        <w:t>万元，完成预算</w:t>
      </w:r>
      <w:r>
        <w:rPr>
          <w:rStyle w:val="11"/>
          <w:rFonts w:ascii="仿宋" w:hAnsi="仿宋" w:eastAsia="仿宋" w:cstheme="minorBidi"/>
          <w:b w:val="0"/>
          <w:bCs/>
          <w:color w:val="000000" w:themeColor="text1"/>
          <w:kern w:val="2"/>
          <w:sz w:val="32"/>
          <w:szCs w:val="32"/>
          <w14:textFill>
            <w14:solidFill>
              <w14:schemeClr w14:val="tx1"/>
            </w14:solidFill>
          </w14:textFill>
        </w:rPr>
        <w:t>100</w:t>
      </w:r>
      <w:r>
        <w:rPr>
          <w:rStyle w:val="11"/>
          <w:rFonts w:hint="eastAsia" w:ascii="仿宋" w:hAnsi="仿宋" w:eastAsia="仿宋" w:cstheme="minorBidi"/>
          <w:b w:val="0"/>
          <w:bCs/>
          <w:kern w:val="2"/>
          <w:sz w:val="32"/>
          <w:szCs w:val="32"/>
        </w:rPr>
        <w:t>%。</w:t>
      </w:r>
    </w:p>
    <w:p w14:paraId="2134031F">
      <w:pPr>
        <w:pStyle w:val="8"/>
        <w:widowControl/>
        <w:spacing w:beforeAutospacing="0" w:afterAutospacing="0" w:line="480" w:lineRule="atLeast"/>
        <w:ind w:firstLine="643" w:firstLineChars="200"/>
        <w:rPr>
          <w:rStyle w:val="11"/>
          <w:rFonts w:ascii="仿宋" w:hAnsi="仿宋" w:eastAsia="仿宋" w:cstheme="minorBidi"/>
          <w:b w:val="0"/>
          <w:bCs/>
          <w:kern w:val="2"/>
          <w:sz w:val="32"/>
          <w:szCs w:val="32"/>
        </w:rPr>
      </w:pPr>
      <w:r>
        <w:rPr>
          <w:rStyle w:val="11"/>
          <w:rFonts w:ascii="仿宋" w:hAnsi="仿宋" w:eastAsia="仿宋" w:cstheme="minorBidi"/>
          <w:bCs/>
          <w:color w:val="000000" w:themeColor="text1"/>
          <w:kern w:val="2"/>
          <w:sz w:val="32"/>
          <w:szCs w:val="32"/>
          <w14:textFill>
            <w14:solidFill>
              <w14:schemeClr w14:val="tx1"/>
            </w14:solidFill>
          </w14:textFill>
        </w:rPr>
        <w:t>3</w:t>
      </w:r>
      <w:r>
        <w:rPr>
          <w:rStyle w:val="11"/>
          <w:rFonts w:hint="eastAsia" w:ascii="仿宋" w:hAnsi="仿宋" w:eastAsia="仿宋" w:cstheme="minorBidi"/>
          <w:bCs/>
          <w:color w:val="000000" w:themeColor="text1"/>
          <w:kern w:val="2"/>
          <w:sz w:val="32"/>
          <w:szCs w:val="32"/>
          <w14:textFill>
            <w14:solidFill>
              <w14:schemeClr w14:val="tx1"/>
            </w14:solidFill>
          </w14:textFill>
        </w:rPr>
        <w:t>.社会保障和就业支出（类）行政事业单位养老支出（款）事业单位离退休（项）</w:t>
      </w:r>
      <w:r>
        <w:rPr>
          <w:rStyle w:val="11"/>
          <w:rFonts w:hint="eastAsia" w:ascii="仿宋" w:hAnsi="仿宋" w:eastAsia="仿宋" w:cstheme="minorBidi"/>
          <w:b w:val="0"/>
          <w:bCs/>
          <w:color w:val="000000" w:themeColor="text1"/>
          <w:kern w:val="2"/>
          <w:sz w:val="32"/>
          <w:szCs w:val="32"/>
          <w14:textFill>
            <w14:solidFill>
              <w14:schemeClr w14:val="tx1"/>
            </w14:solidFill>
          </w14:textFill>
        </w:rPr>
        <w:t>:</w:t>
      </w:r>
      <w:r>
        <w:rPr>
          <w:rFonts w:hint="eastAsia" w:ascii="微软雅黑" w:hAnsi="微软雅黑" w:eastAsia="微软雅黑" w:cs="微软雅黑"/>
          <w:color w:val="000000" w:themeColor="text1"/>
          <w14:textFill>
            <w14:solidFill>
              <w14:schemeClr w14:val="tx1"/>
            </w14:solidFill>
          </w14:textFill>
        </w:rPr>
        <w:t xml:space="preserve"> </w:t>
      </w:r>
      <w:r>
        <w:rPr>
          <w:rStyle w:val="11"/>
          <w:rFonts w:hint="eastAsia" w:ascii="仿宋" w:hAnsi="仿宋" w:eastAsia="仿宋" w:cstheme="minorBidi"/>
          <w:b w:val="0"/>
          <w:bCs/>
          <w:color w:val="000000" w:themeColor="text1"/>
          <w:kern w:val="2"/>
          <w:sz w:val="32"/>
          <w:szCs w:val="32"/>
          <w14:textFill>
            <w14:solidFill>
              <w14:schemeClr w14:val="tx1"/>
            </w14:solidFill>
          </w14:textFill>
        </w:rPr>
        <w:t>支出决算为</w:t>
      </w:r>
      <w:r>
        <w:rPr>
          <w:rStyle w:val="11"/>
          <w:rFonts w:ascii="仿宋" w:hAnsi="仿宋" w:eastAsia="仿宋" w:cstheme="minorBidi"/>
          <w:b w:val="0"/>
          <w:bCs/>
          <w:color w:val="000000" w:themeColor="text1"/>
          <w:kern w:val="2"/>
          <w:sz w:val="32"/>
          <w:szCs w:val="32"/>
          <w14:textFill>
            <w14:solidFill>
              <w14:schemeClr w14:val="tx1"/>
            </w14:solidFill>
          </w14:textFill>
        </w:rPr>
        <w:t>12.64</w:t>
      </w:r>
      <w:r>
        <w:rPr>
          <w:rStyle w:val="11"/>
          <w:rFonts w:hint="eastAsia" w:ascii="仿宋" w:hAnsi="仿宋" w:eastAsia="仿宋" w:cstheme="minorBidi"/>
          <w:b w:val="0"/>
          <w:bCs/>
          <w:color w:val="000000" w:themeColor="text1"/>
          <w:kern w:val="2"/>
          <w:sz w:val="32"/>
          <w:szCs w:val="32"/>
          <w14:textFill>
            <w14:solidFill>
              <w14:schemeClr w14:val="tx1"/>
            </w14:solidFill>
          </w14:textFill>
        </w:rPr>
        <w:t>万元，完成预算</w:t>
      </w:r>
      <w:r>
        <w:rPr>
          <w:rStyle w:val="11"/>
          <w:rFonts w:ascii="仿宋" w:hAnsi="仿宋" w:eastAsia="仿宋" w:cstheme="minorBidi"/>
          <w:b w:val="0"/>
          <w:bCs/>
          <w:color w:val="000000" w:themeColor="text1"/>
          <w:kern w:val="2"/>
          <w:sz w:val="32"/>
          <w:szCs w:val="32"/>
          <w14:textFill>
            <w14:solidFill>
              <w14:schemeClr w14:val="tx1"/>
            </w14:solidFill>
          </w14:textFill>
        </w:rPr>
        <w:t>100</w:t>
      </w:r>
      <w:r>
        <w:rPr>
          <w:rStyle w:val="11"/>
          <w:rFonts w:hint="eastAsia" w:ascii="仿宋" w:hAnsi="仿宋" w:eastAsia="仿宋" w:cstheme="minorBidi"/>
          <w:b w:val="0"/>
          <w:bCs/>
          <w:kern w:val="2"/>
          <w:sz w:val="32"/>
          <w:szCs w:val="32"/>
        </w:rPr>
        <w:t>%</w:t>
      </w:r>
      <w:bookmarkStart w:id="26" w:name="OLE_LINK1"/>
      <w:bookmarkStart w:id="27" w:name="OLE_LINK2"/>
      <w:r>
        <w:rPr>
          <w:rStyle w:val="11"/>
          <w:rFonts w:hint="eastAsia" w:ascii="仿宋" w:hAnsi="仿宋" w:eastAsia="仿宋" w:cstheme="minorBidi"/>
          <w:b w:val="0"/>
          <w:bCs/>
          <w:kern w:val="2"/>
          <w:sz w:val="32"/>
          <w:szCs w:val="32"/>
        </w:rPr>
        <w:t>。</w:t>
      </w:r>
      <w:bookmarkEnd w:id="26"/>
      <w:bookmarkEnd w:id="27"/>
    </w:p>
    <w:p w14:paraId="5628CFCF">
      <w:pPr>
        <w:pStyle w:val="8"/>
        <w:widowControl/>
        <w:spacing w:beforeAutospacing="0" w:afterAutospacing="0" w:line="480" w:lineRule="atLeast"/>
        <w:ind w:firstLine="643" w:firstLineChars="200"/>
        <w:rPr>
          <w:rStyle w:val="11"/>
          <w:rFonts w:ascii="仿宋" w:hAnsi="仿宋" w:eastAsia="仿宋" w:cstheme="minorBidi"/>
          <w:b w:val="0"/>
          <w:bCs/>
          <w:color w:val="000000" w:themeColor="text1"/>
          <w:kern w:val="2"/>
          <w:sz w:val="32"/>
          <w:szCs w:val="32"/>
          <w14:textFill>
            <w14:solidFill>
              <w14:schemeClr w14:val="tx1"/>
            </w14:solidFill>
          </w14:textFill>
        </w:rPr>
      </w:pPr>
      <w:r>
        <w:rPr>
          <w:rStyle w:val="11"/>
          <w:rFonts w:ascii="仿宋" w:hAnsi="仿宋" w:eastAsia="仿宋" w:cstheme="minorBidi"/>
          <w:bCs/>
          <w:kern w:val="2"/>
          <w:sz w:val="32"/>
          <w:szCs w:val="32"/>
        </w:rPr>
        <w:t>4</w:t>
      </w:r>
      <w:r>
        <w:rPr>
          <w:rStyle w:val="11"/>
          <w:rFonts w:hint="eastAsia" w:ascii="仿宋" w:hAnsi="仿宋" w:eastAsia="仿宋" w:cstheme="minorBidi"/>
          <w:bCs/>
          <w:kern w:val="2"/>
          <w:sz w:val="32"/>
          <w:szCs w:val="32"/>
        </w:rPr>
        <w:t>.社会保障和就业（类）行政事业单位养老支出（款）机关事业单位基本养老保险缴费支出（项）</w:t>
      </w:r>
      <w:r>
        <w:rPr>
          <w:rStyle w:val="11"/>
          <w:rFonts w:hint="eastAsia" w:ascii="仿宋" w:hAnsi="仿宋" w:eastAsia="仿宋" w:cstheme="minorBidi"/>
          <w:b w:val="0"/>
          <w:bCs/>
          <w:kern w:val="2"/>
          <w:sz w:val="32"/>
          <w:szCs w:val="32"/>
        </w:rPr>
        <w:t>: 支出决算为</w:t>
      </w:r>
      <w:r>
        <w:rPr>
          <w:rStyle w:val="11"/>
          <w:rFonts w:ascii="仿宋" w:hAnsi="仿宋" w:eastAsia="仿宋" w:cstheme="minorBidi"/>
          <w:b w:val="0"/>
          <w:bCs/>
          <w:kern w:val="2"/>
          <w:sz w:val="32"/>
          <w:szCs w:val="32"/>
        </w:rPr>
        <w:t>20.63</w:t>
      </w:r>
      <w:r>
        <w:rPr>
          <w:rStyle w:val="11"/>
          <w:rFonts w:hint="eastAsia" w:ascii="仿宋" w:hAnsi="仿宋" w:eastAsia="仿宋" w:cstheme="minorBidi"/>
          <w:b w:val="0"/>
          <w:bCs/>
          <w:kern w:val="2"/>
          <w:sz w:val="32"/>
          <w:szCs w:val="32"/>
        </w:rPr>
        <w:t>万元</w:t>
      </w:r>
      <w:r>
        <w:rPr>
          <w:rStyle w:val="11"/>
          <w:rFonts w:hint="eastAsia" w:ascii="仿宋" w:hAnsi="仿宋" w:eastAsia="仿宋" w:cstheme="minorBidi"/>
          <w:b w:val="0"/>
          <w:bCs/>
          <w:color w:val="00B050"/>
          <w:kern w:val="2"/>
          <w:sz w:val="32"/>
          <w:szCs w:val="32"/>
        </w:rPr>
        <w:t>，</w:t>
      </w:r>
      <w:r>
        <w:rPr>
          <w:rStyle w:val="11"/>
          <w:rFonts w:hint="eastAsia" w:ascii="仿宋" w:hAnsi="仿宋" w:eastAsia="仿宋" w:cstheme="minorBidi"/>
          <w:b w:val="0"/>
          <w:bCs/>
          <w:color w:val="000000" w:themeColor="text1"/>
          <w:kern w:val="2"/>
          <w:sz w:val="32"/>
          <w:szCs w:val="32"/>
          <w14:textFill>
            <w14:solidFill>
              <w14:schemeClr w14:val="tx1"/>
            </w14:solidFill>
          </w14:textFill>
        </w:rPr>
        <w:t>完成预算</w:t>
      </w:r>
      <w:r>
        <w:rPr>
          <w:rStyle w:val="11"/>
          <w:rFonts w:ascii="仿宋" w:hAnsi="仿宋" w:eastAsia="仿宋" w:cstheme="minorBidi"/>
          <w:b w:val="0"/>
          <w:bCs/>
          <w:color w:val="000000" w:themeColor="text1"/>
          <w:kern w:val="2"/>
          <w:sz w:val="32"/>
          <w:szCs w:val="32"/>
          <w14:textFill>
            <w14:solidFill>
              <w14:schemeClr w14:val="tx1"/>
            </w14:solidFill>
          </w14:textFill>
        </w:rPr>
        <w:t>100</w:t>
      </w:r>
      <w:r>
        <w:rPr>
          <w:rStyle w:val="11"/>
          <w:rFonts w:hint="eastAsia" w:ascii="仿宋" w:hAnsi="仿宋" w:eastAsia="仿宋" w:cstheme="minorBidi"/>
          <w:b w:val="0"/>
          <w:bCs/>
          <w:color w:val="000000" w:themeColor="text1"/>
          <w:kern w:val="2"/>
          <w:sz w:val="32"/>
          <w:szCs w:val="32"/>
          <w14:textFill>
            <w14:solidFill>
              <w14:schemeClr w14:val="tx1"/>
            </w14:solidFill>
          </w14:textFill>
        </w:rPr>
        <w:t>%。</w:t>
      </w:r>
    </w:p>
    <w:p w14:paraId="2D899C13">
      <w:pPr>
        <w:pStyle w:val="8"/>
        <w:widowControl/>
        <w:spacing w:beforeAutospacing="0" w:afterAutospacing="0" w:line="480" w:lineRule="atLeast"/>
        <w:ind w:firstLine="643" w:firstLineChars="200"/>
        <w:rPr>
          <w:rStyle w:val="11"/>
          <w:rFonts w:ascii="仿宋" w:hAnsi="仿宋" w:eastAsia="仿宋" w:cstheme="minorBidi"/>
          <w:bCs/>
          <w:color w:val="000000" w:themeColor="text1"/>
          <w:kern w:val="2"/>
          <w:sz w:val="32"/>
          <w:szCs w:val="32"/>
          <w14:textFill>
            <w14:solidFill>
              <w14:schemeClr w14:val="tx1"/>
            </w14:solidFill>
          </w14:textFill>
        </w:rPr>
      </w:pPr>
      <w:r>
        <w:rPr>
          <w:rStyle w:val="11"/>
          <w:rFonts w:ascii="仿宋" w:hAnsi="仿宋" w:eastAsia="仿宋" w:cstheme="minorBidi"/>
          <w:bCs/>
          <w:color w:val="000000" w:themeColor="text1"/>
          <w:kern w:val="2"/>
          <w:sz w:val="32"/>
          <w:szCs w:val="32"/>
          <w14:textFill>
            <w14:solidFill>
              <w14:schemeClr w14:val="tx1"/>
            </w14:solidFill>
          </w14:textFill>
        </w:rPr>
        <w:t>5</w:t>
      </w:r>
      <w:r>
        <w:rPr>
          <w:rStyle w:val="11"/>
          <w:rFonts w:hint="eastAsia" w:ascii="仿宋" w:hAnsi="仿宋" w:eastAsia="仿宋" w:cstheme="minorBidi"/>
          <w:bCs/>
          <w:color w:val="000000" w:themeColor="text1"/>
          <w:kern w:val="2"/>
          <w:sz w:val="32"/>
          <w:szCs w:val="32"/>
          <w14:textFill>
            <w14:solidFill>
              <w14:schemeClr w14:val="tx1"/>
            </w14:solidFill>
          </w14:textFill>
        </w:rPr>
        <w:t>.卫生健康支出（类）行政事业单位医疗（款）事业单位医疗（项）</w:t>
      </w:r>
      <w:r>
        <w:rPr>
          <w:rStyle w:val="11"/>
          <w:rFonts w:hint="eastAsia" w:ascii="仿宋" w:hAnsi="仿宋" w:eastAsia="仿宋" w:cstheme="minorBidi"/>
          <w:b w:val="0"/>
          <w:bCs/>
          <w:color w:val="000000" w:themeColor="text1"/>
          <w:kern w:val="2"/>
          <w:sz w:val="32"/>
          <w:szCs w:val="32"/>
          <w14:textFill>
            <w14:solidFill>
              <w14:schemeClr w14:val="tx1"/>
            </w14:solidFill>
          </w14:textFill>
        </w:rPr>
        <w:t>:支出决算为</w:t>
      </w:r>
      <w:r>
        <w:rPr>
          <w:rStyle w:val="11"/>
          <w:rFonts w:ascii="仿宋" w:hAnsi="仿宋" w:eastAsia="仿宋" w:cstheme="minorBidi"/>
          <w:b w:val="0"/>
          <w:bCs/>
          <w:color w:val="000000" w:themeColor="text1"/>
          <w:kern w:val="2"/>
          <w:sz w:val="32"/>
          <w:szCs w:val="32"/>
          <w14:textFill>
            <w14:solidFill>
              <w14:schemeClr w14:val="tx1"/>
            </w14:solidFill>
          </w14:textFill>
        </w:rPr>
        <w:t>16.47</w:t>
      </w:r>
      <w:r>
        <w:rPr>
          <w:rStyle w:val="11"/>
          <w:rFonts w:hint="eastAsia" w:ascii="仿宋" w:hAnsi="仿宋" w:eastAsia="仿宋" w:cstheme="minorBidi"/>
          <w:b w:val="0"/>
          <w:bCs/>
          <w:color w:val="000000" w:themeColor="text1"/>
          <w:kern w:val="2"/>
          <w:sz w:val="32"/>
          <w:szCs w:val="32"/>
          <w14:textFill>
            <w14:solidFill>
              <w14:schemeClr w14:val="tx1"/>
            </w14:solidFill>
          </w14:textFill>
        </w:rPr>
        <w:t>万元，完成预算</w:t>
      </w:r>
      <w:r>
        <w:rPr>
          <w:rStyle w:val="11"/>
          <w:rFonts w:ascii="仿宋" w:hAnsi="仿宋" w:eastAsia="仿宋" w:cstheme="minorBidi"/>
          <w:b w:val="0"/>
          <w:bCs/>
          <w:color w:val="000000" w:themeColor="text1"/>
          <w:kern w:val="2"/>
          <w:sz w:val="32"/>
          <w:szCs w:val="32"/>
          <w14:textFill>
            <w14:solidFill>
              <w14:schemeClr w14:val="tx1"/>
            </w14:solidFill>
          </w14:textFill>
        </w:rPr>
        <w:t>100</w:t>
      </w:r>
      <w:r>
        <w:rPr>
          <w:rStyle w:val="11"/>
          <w:rFonts w:hint="eastAsia" w:ascii="仿宋" w:hAnsi="仿宋" w:eastAsia="仿宋" w:cstheme="minorBidi"/>
          <w:b w:val="0"/>
          <w:bCs/>
          <w:color w:val="000000" w:themeColor="text1"/>
          <w:kern w:val="2"/>
          <w:sz w:val="32"/>
          <w:szCs w:val="32"/>
          <w14:textFill>
            <w14:solidFill>
              <w14:schemeClr w14:val="tx1"/>
            </w14:solidFill>
          </w14:textFill>
        </w:rPr>
        <w:t>%，决算数与预算数基本持平。</w:t>
      </w:r>
    </w:p>
    <w:p w14:paraId="38E3A816">
      <w:pPr>
        <w:pStyle w:val="8"/>
        <w:widowControl/>
        <w:spacing w:beforeAutospacing="0" w:afterAutospacing="0" w:line="480" w:lineRule="atLeast"/>
        <w:ind w:firstLine="643" w:firstLineChars="200"/>
        <w:rPr>
          <w:rFonts w:ascii="仿宋" w:hAnsi="仿宋" w:eastAsia="仿宋" w:cstheme="minorBidi"/>
          <w:b/>
          <w:bCs/>
          <w:color w:val="000000" w:themeColor="text1"/>
          <w:kern w:val="2"/>
          <w:sz w:val="32"/>
          <w:szCs w:val="32"/>
          <w14:textFill>
            <w14:solidFill>
              <w14:schemeClr w14:val="tx1"/>
            </w14:solidFill>
          </w14:textFill>
        </w:rPr>
      </w:pPr>
      <w:r>
        <w:rPr>
          <w:rStyle w:val="11"/>
          <w:rFonts w:ascii="仿宋" w:hAnsi="仿宋" w:eastAsia="仿宋" w:cstheme="minorBidi"/>
          <w:bCs/>
          <w:kern w:val="2"/>
          <w:sz w:val="32"/>
          <w:szCs w:val="32"/>
        </w:rPr>
        <w:t>6</w:t>
      </w:r>
      <w:r>
        <w:rPr>
          <w:rStyle w:val="11"/>
          <w:rFonts w:hint="eastAsia" w:ascii="仿宋" w:hAnsi="仿宋" w:eastAsia="仿宋" w:cstheme="minorBidi"/>
          <w:bCs/>
          <w:kern w:val="2"/>
          <w:sz w:val="32"/>
          <w:szCs w:val="32"/>
        </w:rPr>
        <w:t>.住房保障支出（类）住房改革支出（款）住房公积金（项）</w:t>
      </w:r>
      <w:r>
        <w:rPr>
          <w:rStyle w:val="11"/>
          <w:rFonts w:hint="eastAsia" w:ascii="仿宋" w:hAnsi="仿宋" w:eastAsia="仿宋" w:cstheme="minorBidi"/>
          <w:b w:val="0"/>
          <w:bCs/>
          <w:kern w:val="2"/>
          <w:sz w:val="32"/>
          <w:szCs w:val="32"/>
        </w:rPr>
        <w:t>：支出决算为</w:t>
      </w:r>
      <w:r>
        <w:rPr>
          <w:rStyle w:val="11"/>
          <w:rFonts w:ascii="仿宋" w:hAnsi="仿宋" w:eastAsia="仿宋" w:cstheme="minorBidi"/>
          <w:b w:val="0"/>
          <w:bCs/>
          <w:kern w:val="2"/>
          <w:sz w:val="32"/>
          <w:szCs w:val="32"/>
        </w:rPr>
        <w:t>18.07</w:t>
      </w:r>
      <w:r>
        <w:rPr>
          <w:rStyle w:val="11"/>
          <w:rFonts w:hint="eastAsia" w:ascii="仿宋" w:hAnsi="仿宋" w:eastAsia="仿宋" w:cstheme="minorBidi"/>
          <w:b w:val="0"/>
          <w:bCs/>
          <w:kern w:val="2"/>
          <w:sz w:val="32"/>
          <w:szCs w:val="32"/>
        </w:rPr>
        <w:t>万元 ，</w:t>
      </w:r>
      <w:r>
        <w:rPr>
          <w:rStyle w:val="11"/>
          <w:rFonts w:hint="eastAsia" w:ascii="仿宋" w:hAnsi="仿宋" w:eastAsia="仿宋" w:cstheme="minorBidi"/>
          <w:b w:val="0"/>
          <w:bCs/>
          <w:color w:val="000000" w:themeColor="text1"/>
          <w:kern w:val="2"/>
          <w:sz w:val="32"/>
          <w:szCs w:val="32"/>
          <w14:textFill>
            <w14:solidFill>
              <w14:schemeClr w14:val="tx1"/>
            </w14:solidFill>
          </w14:textFill>
        </w:rPr>
        <w:t>完成预算</w:t>
      </w:r>
      <w:r>
        <w:rPr>
          <w:rStyle w:val="11"/>
          <w:rFonts w:ascii="仿宋" w:hAnsi="仿宋" w:eastAsia="仿宋" w:cstheme="minorBidi"/>
          <w:b w:val="0"/>
          <w:bCs/>
          <w:color w:val="000000" w:themeColor="text1"/>
          <w:kern w:val="2"/>
          <w:sz w:val="32"/>
          <w:szCs w:val="32"/>
          <w14:textFill>
            <w14:solidFill>
              <w14:schemeClr w14:val="tx1"/>
            </w14:solidFill>
          </w14:textFill>
        </w:rPr>
        <w:t>100</w:t>
      </w:r>
      <w:r>
        <w:rPr>
          <w:rStyle w:val="11"/>
          <w:rFonts w:hint="eastAsia" w:ascii="仿宋" w:hAnsi="仿宋" w:eastAsia="仿宋" w:cstheme="minorBidi"/>
          <w:b w:val="0"/>
          <w:bCs/>
          <w:color w:val="000000" w:themeColor="text1"/>
          <w:kern w:val="2"/>
          <w:sz w:val="32"/>
          <w:szCs w:val="32"/>
          <w14:textFill>
            <w14:solidFill>
              <w14:schemeClr w14:val="tx1"/>
            </w14:solidFill>
          </w14:textFill>
        </w:rPr>
        <w:t>%。</w:t>
      </w:r>
    </w:p>
    <w:p w14:paraId="08F5D8CA">
      <w:pPr>
        <w:pStyle w:val="8"/>
        <w:widowControl/>
        <w:spacing w:beforeAutospacing="0" w:afterAutospacing="0" w:line="480" w:lineRule="atLeast"/>
        <w:ind w:firstLine="643" w:firstLineChars="200"/>
        <w:rPr>
          <w:rStyle w:val="11"/>
          <w:rFonts w:ascii="仿宋" w:hAnsi="仿宋" w:eastAsia="仿宋" w:cstheme="minorBidi"/>
          <w:b w:val="0"/>
          <w:bCs/>
          <w:color w:val="FF0000"/>
          <w:kern w:val="2"/>
          <w:sz w:val="32"/>
          <w:szCs w:val="32"/>
        </w:rPr>
      </w:pPr>
      <w:r>
        <w:rPr>
          <w:rStyle w:val="11"/>
          <w:rFonts w:ascii="仿宋" w:hAnsi="仿宋" w:eastAsia="仿宋" w:cstheme="minorBidi"/>
          <w:bCs/>
          <w:kern w:val="2"/>
          <w:sz w:val="32"/>
          <w:szCs w:val="32"/>
        </w:rPr>
        <w:t>7</w:t>
      </w:r>
      <w:r>
        <w:rPr>
          <w:rStyle w:val="11"/>
          <w:rFonts w:hint="eastAsia" w:ascii="仿宋" w:hAnsi="仿宋" w:eastAsia="仿宋" w:cstheme="minorBidi"/>
          <w:bCs/>
          <w:kern w:val="2"/>
          <w:sz w:val="32"/>
          <w:szCs w:val="32"/>
        </w:rPr>
        <w:t>.住房</w:t>
      </w:r>
      <w:r>
        <w:rPr>
          <w:rStyle w:val="11"/>
          <w:rFonts w:hint="eastAsia" w:ascii="仿宋" w:hAnsi="仿宋" w:eastAsia="仿宋" w:cstheme="minorBidi"/>
          <w:bCs/>
          <w:color w:val="000000" w:themeColor="text1"/>
          <w:kern w:val="2"/>
          <w:sz w:val="32"/>
          <w:szCs w:val="32"/>
          <w14:textFill>
            <w14:solidFill>
              <w14:schemeClr w14:val="tx1"/>
            </w14:solidFill>
          </w14:textFill>
        </w:rPr>
        <w:t>保障支出（类）住房改革支出（款）购房补贴（项）</w:t>
      </w:r>
      <w:r>
        <w:rPr>
          <w:rStyle w:val="11"/>
          <w:rFonts w:hint="eastAsia" w:ascii="仿宋" w:hAnsi="仿宋" w:eastAsia="仿宋" w:cstheme="minorBidi"/>
          <w:b w:val="0"/>
          <w:bCs/>
          <w:color w:val="000000" w:themeColor="text1"/>
          <w:kern w:val="2"/>
          <w:sz w:val="32"/>
          <w:szCs w:val="32"/>
          <w14:textFill>
            <w14:solidFill>
              <w14:schemeClr w14:val="tx1"/>
            </w14:solidFill>
          </w14:textFill>
        </w:rPr>
        <w:t>：支出决算为</w:t>
      </w:r>
      <w:r>
        <w:rPr>
          <w:rStyle w:val="11"/>
          <w:rFonts w:ascii="仿宋" w:hAnsi="仿宋" w:eastAsia="仿宋" w:cstheme="minorBidi"/>
          <w:b w:val="0"/>
          <w:bCs/>
          <w:color w:val="000000" w:themeColor="text1"/>
          <w:kern w:val="2"/>
          <w:sz w:val="32"/>
          <w:szCs w:val="32"/>
          <w14:textFill>
            <w14:solidFill>
              <w14:schemeClr w14:val="tx1"/>
            </w14:solidFill>
          </w14:textFill>
        </w:rPr>
        <w:t>11.60</w:t>
      </w:r>
      <w:r>
        <w:rPr>
          <w:rStyle w:val="11"/>
          <w:rFonts w:hint="eastAsia" w:ascii="仿宋" w:hAnsi="仿宋" w:eastAsia="仿宋" w:cstheme="minorBidi"/>
          <w:b w:val="0"/>
          <w:bCs/>
          <w:color w:val="000000" w:themeColor="text1"/>
          <w:kern w:val="2"/>
          <w:sz w:val="32"/>
          <w:szCs w:val="32"/>
          <w14:textFill>
            <w14:solidFill>
              <w14:schemeClr w14:val="tx1"/>
            </w14:solidFill>
          </w14:textFill>
        </w:rPr>
        <w:t>万元，完成预算</w:t>
      </w:r>
      <w:r>
        <w:rPr>
          <w:rStyle w:val="11"/>
          <w:rFonts w:ascii="仿宋" w:hAnsi="仿宋" w:eastAsia="仿宋" w:cstheme="minorBidi"/>
          <w:b w:val="0"/>
          <w:bCs/>
          <w:color w:val="000000" w:themeColor="text1"/>
          <w:kern w:val="2"/>
          <w:sz w:val="32"/>
          <w:szCs w:val="32"/>
          <w14:textFill>
            <w14:solidFill>
              <w14:schemeClr w14:val="tx1"/>
            </w14:solidFill>
          </w14:textFill>
        </w:rPr>
        <w:t>100</w:t>
      </w:r>
      <w:r>
        <w:rPr>
          <w:rStyle w:val="11"/>
          <w:rFonts w:hint="eastAsia" w:ascii="仿宋" w:hAnsi="仿宋" w:eastAsia="仿宋" w:cstheme="minorBidi"/>
          <w:b w:val="0"/>
          <w:bCs/>
          <w:color w:val="000000" w:themeColor="text1"/>
          <w:kern w:val="2"/>
          <w:sz w:val="32"/>
          <w:szCs w:val="32"/>
          <w14:textFill>
            <w14:solidFill>
              <w14:schemeClr w14:val="tx1"/>
            </w14:solidFill>
          </w14:textFill>
        </w:rPr>
        <w:t>%。</w:t>
      </w:r>
    </w:p>
    <w:p w14:paraId="0B7E4B04">
      <w:pPr>
        <w:pStyle w:val="8"/>
        <w:widowControl/>
        <w:spacing w:beforeAutospacing="0" w:afterAutospacing="0"/>
        <w:ind w:firstLine="640" w:firstLineChars="200"/>
        <w:rPr>
          <w:color w:val="000000"/>
        </w:rPr>
      </w:pPr>
      <w:r>
        <w:rPr>
          <w:rFonts w:hint="eastAsia" w:ascii="黑体" w:hAnsi="Times New Roman" w:eastAsia="黑体"/>
          <w:kern w:val="2"/>
          <w:sz w:val="32"/>
          <w:szCs w:val="32"/>
        </w:rPr>
        <w:t>六、一般公共预算财政拨款基本支出决算情况说明</w:t>
      </w:r>
    </w:p>
    <w:p w14:paraId="4109D9F8">
      <w:pPr>
        <w:spacing w:line="600" w:lineRule="exact"/>
        <w:ind w:firstLine="645"/>
        <w:rPr>
          <w:rFonts w:ascii="仿宋" w:hAnsi="仿宋" w:eastAsia="仿宋" w:cs="Times New Roman"/>
          <w:sz w:val="32"/>
          <w:szCs w:val="32"/>
        </w:rPr>
      </w:pPr>
      <w:r>
        <w:rPr>
          <w:rFonts w:hint="eastAsia" w:ascii="仿宋" w:hAnsi="仿宋" w:eastAsia="仿宋" w:cs="Times New Roman"/>
          <w:sz w:val="32"/>
          <w:szCs w:val="32"/>
        </w:rPr>
        <w:t>202</w:t>
      </w:r>
      <w:r>
        <w:rPr>
          <w:rFonts w:ascii="仿宋" w:hAnsi="仿宋" w:eastAsia="仿宋" w:cs="Times New Roman"/>
          <w:sz w:val="32"/>
          <w:szCs w:val="32"/>
        </w:rPr>
        <w:t>4</w:t>
      </w:r>
      <w:r>
        <w:rPr>
          <w:rFonts w:hint="eastAsia" w:ascii="仿宋" w:hAnsi="仿宋" w:eastAsia="仿宋" w:cs="Times New Roman"/>
          <w:sz w:val="32"/>
          <w:szCs w:val="32"/>
        </w:rPr>
        <w:t>年一般公共预算财政拨款基本支出</w:t>
      </w:r>
      <w:r>
        <w:rPr>
          <w:rFonts w:ascii="仿宋" w:hAnsi="仿宋" w:eastAsia="仿宋" w:cs="Times New Roman"/>
          <w:color w:val="000000" w:themeColor="text1"/>
          <w:sz w:val="32"/>
          <w:szCs w:val="32"/>
          <w14:textFill>
            <w14:solidFill>
              <w14:schemeClr w14:val="tx1"/>
            </w14:solidFill>
          </w14:textFill>
        </w:rPr>
        <w:t>606.26</w:t>
      </w:r>
      <w:r>
        <w:rPr>
          <w:rFonts w:hint="eastAsia" w:ascii="仿宋" w:hAnsi="仿宋" w:eastAsia="仿宋" w:cs="Times New Roman"/>
          <w:sz w:val="32"/>
          <w:szCs w:val="32"/>
        </w:rPr>
        <w:t>万元，其中：</w:t>
      </w:r>
    </w:p>
    <w:p w14:paraId="3BA716DC">
      <w:pPr>
        <w:spacing w:line="600" w:lineRule="exact"/>
        <w:ind w:firstLine="645"/>
        <w:rPr>
          <w:rFonts w:ascii="仿宋" w:hAnsi="仿宋" w:eastAsia="仿宋" w:cs="Times New Roman"/>
          <w:sz w:val="32"/>
          <w:szCs w:val="32"/>
        </w:rPr>
      </w:pPr>
      <w:r>
        <w:rPr>
          <w:rFonts w:hint="eastAsia" w:ascii="仿宋" w:hAnsi="仿宋" w:eastAsia="仿宋" w:cs="Times New Roman"/>
          <w:sz w:val="32"/>
          <w:szCs w:val="32"/>
        </w:rPr>
        <w:t>人员经费</w:t>
      </w:r>
      <w:r>
        <w:rPr>
          <w:rFonts w:ascii="仿宋" w:hAnsi="仿宋" w:eastAsia="仿宋" w:cs="Times New Roman"/>
          <w:sz w:val="32"/>
          <w:szCs w:val="32"/>
        </w:rPr>
        <w:t>234.78</w:t>
      </w:r>
      <w:r>
        <w:rPr>
          <w:rFonts w:hint="eastAsia" w:ascii="仿宋" w:hAnsi="仿宋" w:eastAsia="仿宋" w:cs="Times New Roman"/>
          <w:sz w:val="32"/>
          <w:szCs w:val="32"/>
        </w:rPr>
        <w:t>万元，主要包括：</w:t>
      </w:r>
      <w:r>
        <w:rPr>
          <w:rFonts w:hint="eastAsia" w:ascii="仿宋" w:hAnsi="仿宋" w:eastAsia="仿宋"/>
          <w:sz w:val="32"/>
          <w:szCs w:val="32"/>
        </w:rPr>
        <w:t>基本工资、津贴补贴、奖金、伙食补助费、绩效工资、机关事业单位基本养老保险缴费、职工基本医疗保险缴费、其他社会保障缴费、其他工资福利支出、生活补助、住房公积金、其他对个人和家庭的补助支出等。</w:t>
      </w:r>
    </w:p>
    <w:p w14:paraId="4781A589">
      <w:pPr>
        <w:spacing w:line="600" w:lineRule="exact"/>
        <w:ind w:firstLine="645"/>
        <w:rPr>
          <w:rFonts w:ascii="仿宋" w:hAnsi="仿宋" w:eastAsia="仿宋"/>
          <w:sz w:val="32"/>
          <w:szCs w:val="32"/>
        </w:rPr>
      </w:pPr>
      <w:r>
        <w:rPr>
          <w:rFonts w:hint="eastAsia" w:ascii="仿宋" w:hAnsi="仿宋" w:eastAsia="仿宋" w:cs="Times New Roman"/>
          <w:color w:val="000000" w:themeColor="text1"/>
          <w:sz w:val="32"/>
          <w:szCs w:val="32"/>
          <w14:textFill>
            <w14:solidFill>
              <w14:schemeClr w14:val="tx1"/>
            </w14:solidFill>
          </w14:textFill>
        </w:rPr>
        <w:t>公用经费</w:t>
      </w:r>
      <w:r>
        <w:rPr>
          <w:rFonts w:ascii="仿宋" w:hAnsi="仿宋" w:eastAsia="仿宋" w:cs="Times New Roman"/>
          <w:color w:val="000000" w:themeColor="text1"/>
          <w:sz w:val="32"/>
          <w:szCs w:val="32"/>
          <w14:textFill>
            <w14:solidFill>
              <w14:schemeClr w14:val="tx1"/>
            </w14:solidFill>
          </w14:textFill>
        </w:rPr>
        <w:t>371.48</w:t>
      </w:r>
      <w:r>
        <w:rPr>
          <w:rFonts w:hint="eastAsia" w:ascii="仿宋" w:hAnsi="仿宋" w:eastAsia="仿宋" w:cs="Times New Roman"/>
          <w:color w:val="000000" w:themeColor="text1"/>
          <w:sz w:val="32"/>
          <w:szCs w:val="32"/>
          <w14:textFill>
            <w14:solidFill>
              <w14:schemeClr w14:val="tx1"/>
            </w14:solidFill>
          </w14:textFill>
        </w:rPr>
        <w:t>万元，主要包括</w:t>
      </w:r>
      <w:r>
        <w:rPr>
          <w:rFonts w:hint="eastAsia" w:ascii="仿宋" w:hAnsi="仿宋" w:eastAsia="仿宋" w:cs="Times New Roman"/>
          <w:sz w:val="32"/>
          <w:szCs w:val="32"/>
        </w:rPr>
        <w:t>：</w:t>
      </w:r>
      <w:r>
        <w:rPr>
          <w:rFonts w:hint="eastAsia" w:ascii="仿宋" w:hAnsi="仿宋" w:eastAsia="仿宋"/>
          <w:sz w:val="32"/>
          <w:szCs w:val="32"/>
        </w:rPr>
        <w:t>办公费、水费、电费、邮电费、物业管理费、差旅费、培训费、劳务费、工会经费、福利费、公务用车运行维护费、其他商品和服务支出、等。</w:t>
      </w:r>
    </w:p>
    <w:p w14:paraId="4F46E124">
      <w:pPr>
        <w:spacing w:line="600" w:lineRule="exact"/>
        <w:ind w:firstLine="640"/>
        <w:outlineLvl w:val="1"/>
        <w:rPr>
          <w:rFonts w:ascii="黑体" w:hAnsi="Times New Roman" w:eastAsia="黑体" w:cs="Times New Roman"/>
          <w:sz w:val="32"/>
          <w:szCs w:val="32"/>
        </w:rPr>
      </w:pPr>
      <w:r>
        <w:rPr>
          <w:rFonts w:hint="eastAsia" w:ascii="黑体" w:hAnsi="Times New Roman" w:eastAsia="黑体" w:cs="Times New Roman"/>
          <w:sz w:val="32"/>
          <w:szCs w:val="32"/>
        </w:rPr>
        <w:t>七、财政拨款“三公”经费支出决算情况说明</w:t>
      </w:r>
    </w:p>
    <w:p w14:paraId="6AD6FD0D">
      <w:pPr>
        <w:spacing w:line="600" w:lineRule="exact"/>
        <w:ind w:firstLine="640"/>
        <w:outlineLvl w:val="2"/>
        <w:rPr>
          <w:rFonts w:ascii="仿宋" w:hAnsi="仿宋" w:eastAsia="仿宋" w:cs="Times New Roman"/>
          <w:b/>
          <w:sz w:val="32"/>
          <w:szCs w:val="32"/>
        </w:rPr>
      </w:pPr>
      <w:r>
        <w:rPr>
          <w:rFonts w:hint="eastAsia" w:ascii="仿宋" w:hAnsi="仿宋" w:eastAsia="仿宋" w:cs="Times New Roman"/>
          <w:b/>
          <w:sz w:val="32"/>
          <w:szCs w:val="32"/>
        </w:rPr>
        <w:t>（一）“三公”经费财政拨款支出决算总体情况说明</w:t>
      </w:r>
    </w:p>
    <w:p w14:paraId="53522D3E">
      <w:pPr>
        <w:pStyle w:val="8"/>
        <w:widowControl/>
        <w:spacing w:beforeAutospacing="0" w:afterAutospacing="0" w:line="480" w:lineRule="atLeast"/>
        <w:ind w:firstLine="640" w:firstLineChars="200"/>
        <w:rPr>
          <w:rFonts w:ascii="仿宋_GB2312" w:hAnsi="Times New Roman" w:eastAsia="仿宋_GB2312"/>
          <w:kern w:val="2"/>
          <w:sz w:val="32"/>
          <w:szCs w:val="32"/>
        </w:rPr>
      </w:pPr>
      <w:r>
        <w:rPr>
          <w:rFonts w:hint="eastAsia" w:ascii="仿宋" w:hAnsi="仿宋" w:eastAsia="仿宋"/>
          <w:kern w:val="2"/>
          <w:sz w:val="32"/>
          <w:szCs w:val="32"/>
        </w:rPr>
        <w:t>202</w:t>
      </w:r>
      <w:r>
        <w:rPr>
          <w:rFonts w:ascii="仿宋" w:hAnsi="仿宋" w:eastAsia="仿宋"/>
          <w:kern w:val="2"/>
          <w:sz w:val="32"/>
          <w:szCs w:val="32"/>
        </w:rPr>
        <w:t>4</w:t>
      </w:r>
      <w:r>
        <w:rPr>
          <w:rFonts w:hint="eastAsia" w:ascii="仿宋" w:hAnsi="仿宋" w:eastAsia="仿宋"/>
          <w:kern w:val="2"/>
          <w:sz w:val="32"/>
          <w:szCs w:val="32"/>
        </w:rPr>
        <w:t>年“三公”经费财政拨款支出决算为</w:t>
      </w:r>
      <w:r>
        <w:rPr>
          <w:rFonts w:ascii="仿宋" w:hAnsi="仿宋" w:eastAsia="仿宋"/>
          <w:kern w:val="2"/>
          <w:sz w:val="32"/>
          <w:szCs w:val="32"/>
        </w:rPr>
        <w:t>69.50</w:t>
      </w:r>
      <w:r>
        <w:rPr>
          <w:rFonts w:hint="eastAsia" w:ascii="仿宋" w:hAnsi="仿宋" w:eastAsia="仿宋"/>
          <w:kern w:val="2"/>
          <w:sz w:val="32"/>
          <w:szCs w:val="32"/>
        </w:rPr>
        <w:t>万元，完成预算</w:t>
      </w:r>
      <w:r>
        <w:rPr>
          <w:rFonts w:ascii="仿宋" w:hAnsi="仿宋" w:eastAsia="仿宋"/>
          <w:kern w:val="2"/>
          <w:sz w:val="32"/>
          <w:szCs w:val="32"/>
        </w:rPr>
        <w:t>86.86</w:t>
      </w:r>
      <w:r>
        <w:rPr>
          <w:rFonts w:hint="eastAsia" w:ascii="仿宋" w:hAnsi="仿宋" w:eastAsia="仿宋"/>
          <w:kern w:val="2"/>
          <w:sz w:val="32"/>
          <w:szCs w:val="32"/>
        </w:rPr>
        <w:t>%，较上年减少</w:t>
      </w:r>
      <w:r>
        <w:rPr>
          <w:rFonts w:ascii="仿宋" w:hAnsi="仿宋" w:eastAsia="仿宋"/>
          <w:kern w:val="2"/>
          <w:sz w:val="32"/>
          <w:szCs w:val="32"/>
        </w:rPr>
        <w:t>14.68</w:t>
      </w:r>
      <w:r>
        <w:rPr>
          <w:rFonts w:hint="eastAsia" w:ascii="仿宋" w:hAnsi="仿宋" w:eastAsia="仿宋"/>
          <w:kern w:val="2"/>
          <w:sz w:val="32"/>
          <w:szCs w:val="32"/>
        </w:rPr>
        <w:t>万元，下降</w:t>
      </w:r>
      <w:r>
        <w:rPr>
          <w:rFonts w:ascii="仿宋" w:hAnsi="仿宋" w:eastAsia="仿宋"/>
          <w:kern w:val="2"/>
          <w:sz w:val="32"/>
          <w:szCs w:val="32"/>
        </w:rPr>
        <w:t>17.44%</w:t>
      </w:r>
      <w:r>
        <w:rPr>
          <w:rFonts w:hint="eastAsia" w:ascii="仿宋" w:hAnsi="仿宋" w:eastAsia="仿宋"/>
          <w:kern w:val="2"/>
          <w:sz w:val="32"/>
          <w:szCs w:val="32"/>
        </w:rPr>
        <w:t>。决算数小于预算数的主要原因是2</w:t>
      </w:r>
      <w:r>
        <w:rPr>
          <w:rFonts w:ascii="仿宋" w:hAnsi="仿宋" w:eastAsia="仿宋"/>
          <w:kern w:val="2"/>
          <w:sz w:val="32"/>
          <w:szCs w:val="32"/>
        </w:rPr>
        <w:t>024</w:t>
      </w:r>
      <w:r>
        <w:rPr>
          <w:rFonts w:hint="eastAsia" w:ascii="仿宋" w:hAnsi="仿宋" w:eastAsia="仿宋"/>
          <w:kern w:val="2"/>
          <w:sz w:val="32"/>
          <w:szCs w:val="32"/>
        </w:rPr>
        <w:t>年燃油及其他费用支出减少。</w:t>
      </w:r>
    </w:p>
    <w:p w14:paraId="49E1079A">
      <w:pPr>
        <w:spacing w:line="600" w:lineRule="exact"/>
        <w:ind w:firstLine="640"/>
        <w:outlineLvl w:val="2"/>
        <w:rPr>
          <w:rFonts w:ascii="仿宋" w:hAnsi="仿宋" w:eastAsia="仿宋" w:cs="Times New Roman"/>
          <w:b/>
          <w:sz w:val="32"/>
          <w:szCs w:val="32"/>
        </w:rPr>
      </w:pPr>
      <w:r>
        <w:rPr>
          <w:rFonts w:hint="eastAsia" w:ascii="仿宋" w:hAnsi="仿宋" w:eastAsia="仿宋" w:cs="Times New Roman"/>
          <w:b/>
          <w:sz w:val="32"/>
          <w:szCs w:val="32"/>
        </w:rPr>
        <w:t>（二）“三公”经费财政拨款支出决算具体情况说明</w:t>
      </w:r>
    </w:p>
    <w:p w14:paraId="28D37C5B">
      <w:pPr>
        <w:spacing w:line="600" w:lineRule="exact"/>
        <w:ind w:firstLine="640"/>
        <w:rPr>
          <w:rFonts w:ascii="仿宋" w:hAnsi="仿宋" w:eastAsia="仿宋" w:cs="Times New Roman"/>
          <w:sz w:val="32"/>
          <w:szCs w:val="32"/>
        </w:rPr>
      </w:pPr>
      <w:r>
        <w:rPr>
          <w:rFonts w:hint="eastAsia" w:ascii="仿宋" w:hAnsi="仿宋" w:eastAsia="仿宋" w:cs="Times New Roman"/>
          <w:sz w:val="32"/>
          <w:szCs w:val="32"/>
        </w:rPr>
        <w:t>202</w:t>
      </w:r>
      <w:r>
        <w:rPr>
          <w:rFonts w:ascii="仿宋" w:hAnsi="仿宋" w:eastAsia="仿宋" w:cs="Times New Roman"/>
          <w:sz w:val="32"/>
          <w:szCs w:val="32"/>
        </w:rPr>
        <w:t>4</w:t>
      </w:r>
      <w:r>
        <w:rPr>
          <w:rFonts w:hint="eastAsia" w:ascii="仿宋" w:hAnsi="仿宋" w:eastAsia="仿宋" w:cs="Times New Roman"/>
          <w:sz w:val="32"/>
          <w:szCs w:val="32"/>
        </w:rPr>
        <w:t>年“三公”经费财政拨款支出决算中，因公出国（境）费支出决算0万元，占0%；公务用车购置及运行维护费支出决算</w:t>
      </w:r>
      <w:r>
        <w:rPr>
          <w:rFonts w:ascii="仿宋" w:hAnsi="仿宋" w:eastAsia="仿宋" w:cs="Times New Roman"/>
          <w:sz w:val="32"/>
          <w:szCs w:val="32"/>
        </w:rPr>
        <w:t>69.50</w:t>
      </w:r>
      <w:r>
        <w:rPr>
          <w:rFonts w:hint="eastAsia" w:ascii="仿宋" w:hAnsi="仿宋" w:eastAsia="仿宋" w:cs="Times New Roman"/>
          <w:sz w:val="32"/>
          <w:szCs w:val="32"/>
        </w:rPr>
        <w:t>万元，占100%；公务接待费支出决算0万元，占0%。具体情况如下：（图7：“三公”经费财政拨款支出结构）</w:t>
      </w:r>
    </w:p>
    <w:p w14:paraId="2A87F3E4">
      <w:pPr>
        <w:pStyle w:val="8"/>
        <w:widowControl/>
        <w:spacing w:beforeAutospacing="0" w:afterAutospacing="0" w:line="480" w:lineRule="atLeast"/>
        <w:rPr>
          <w:color w:val="000000"/>
        </w:rPr>
      </w:pPr>
      <w:r>
        <w:rPr>
          <w:rFonts w:hint="eastAsia" w:ascii="微软雅黑" w:hAnsi="微软雅黑" w:eastAsia="微软雅黑" w:cs="微软雅黑"/>
          <w:color w:val="000000"/>
        </w:rPr>
        <w:drawing>
          <wp:inline distT="0" distB="0" distL="114300" distR="114300">
            <wp:extent cx="5282565" cy="2135505"/>
            <wp:effectExtent l="0" t="0" r="13335" b="1714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D891905">
      <w:pPr>
        <w:pStyle w:val="8"/>
        <w:widowControl/>
        <w:spacing w:beforeAutospacing="0" w:afterAutospacing="0" w:line="480" w:lineRule="atLeast"/>
        <w:ind w:firstLine="643" w:firstLineChars="200"/>
        <w:rPr>
          <w:rFonts w:ascii="仿宋_GB2312" w:hAnsi="Times New Roman" w:eastAsia="仿宋_GB2312"/>
          <w:kern w:val="2"/>
          <w:sz w:val="32"/>
          <w:szCs w:val="32"/>
        </w:rPr>
      </w:pPr>
      <w:r>
        <w:rPr>
          <w:rFonts w:hint="eastAsia" w:ascii="仿宋_GB2312" w:hAnsi="Times New Roman" w:eastAsia="仿宋_GB2312"/>
          <w:b/>
          <w:kern w:val="2"/>
          <w:sz w:val="32"/>
          <w:szCs w:val="32"/>
        </w:rPr>
        <w:t>1.因公出国（境）经费支出</w:t>
      </w:r>
      <w:r>
        <w:rPr>
          <w:rFonts w:hint="eastAsia" w:ascii="仿宋_GB2312" w:hAnsi="Times New Roman" w:eastAsia="仿宋_GB2312"/>
          <w:kern w:val="2"/>
          <w:sz w:val="32"/>
          <w:szCs w:val="32"/>
        </w:rPr>
        <w:t>0万元，完成预算0%。全年安排因公出国（境）团组0次，出国（境）0人。因公出国（境）支出决算与202</w:t>
      </w:r>
      <w:r>
        <w:rPr>
          <w:rFonts w:ascii="仿宋_GB2312" w:hAnsi="Times New Roman" w:eastAsia="仿宋_GB2312"/>
          <w:kern w:val="2"/>
          <w:sz w:val="32"/>
          <w:szCs w:val="32"/>
        </w:rPr>
        <w:t>3</w:t>
      </w:r>
      <w:r>
        <w:rPr>
          <w:rFonts w:hint="eastAsia" w:ascii="仿宋_GB2312" w:hAnsi="Times New Roman" w:eastAsia="仿宋_GB2312"/>
          <w:kern w:val="2"/>
          <w:sz w:val="32"/>
          <w:szCs w:val="32"/>
        </w:rPr>
        <w:t>年度持平。主要原因是均未下达因公出国经费预算。</w:t>
      </w:r>
    </w:p>
    <w:p w14:paraId="0C514030">
      <w:pPr>
        <w:pStyle w:val="8"/>
        <w:widowControl/>
        <w:spacing w:beforeAutospacing="0" w:afterAutospacing="0" w:line="480" w:lineRule="atLeast"/>
        <w:ind w:firstLine="643" w:firstLineChars="200"/>
        <w:rPr>
          <w:rFonts w:ascii="仿宋_GB2312" w:hAnsi="Times New Roman" w:eastAsia="仿宋_GB2312"/>
          <w:kern w:val="2"/>
          <w:sz w:val="32"/>
          <w:szCs w:val="32"/>
        </w:rPr>
      </w:pPr>
      <w:r>
        <w:rPr>
          <w:rFonts w:hint="eastAsia" w:ascii="仿宋_GB2312" w:hAnsi="Times New Roman" w:eastAsia="仿宋_GB2312"/>
          <w:b/>
          <w:kern w:val="2"/>
          <w:sz w:val="32"/>
          <w:szCs w:val="32"/>
        </w:rPr>
        <w:t>2.公务用车购置及运行维护费支出</w:t>
      </w:r>
      <w:r>
        <w:rPr>
          <w:rFonts w:ascii="仿宋_GB2312" w:hAnsi="Times New Roman" w:eastAsia="仿宋_GB2312"/>
          <w:kern w:val="2"/>
          <w:sz w:val="32"/>
          <w:szCs w:val="32"/>
        </w:rPr>
        <w:t>69.50</w:t>
      </w:r>
      <w:r>
        <w:rPr>
          <w:rFonts w:hint="eastAsia" w:ascii="仿宋_GB2312" w:hAnsi="Times New Roman" w:eastAsia="仿宋_GB2312"/>
          <w:kern w:val="2"/>
          <w:sz w:val="32"/>
          <w:szCs w:val="32"/>
        </w:rPr>
        <w:t>万元,完成预算</w:t>
      </w:r>
      <w:r>
        <w:rPr>
          <w:rFonts w:ascii="仿宋_GB2312" w:hAnsi="Times New Roman" w:eastAsia="仿宋_GB2312"/>
          <w:kern w:val="2"/>
          <w:sz w:val="32"/>
          <w:szCs w:val="32"/>
        </w:rPr>
        <w:t>86.86</w:t>
      </w:r>
      <w:r>
        <w:rPr>
          <w:rFonts w:hint="eastAsia" w:ascii="仿宋_GB2312" w:hAnsi="Times New Roman" w:eastAsia="仿宋_GB2312"/>
          <w:kern w:val="2"/>
          <w:sz w:val="32"/>
          <w:szCs w:val="32"/>
        </w:rPr>
        <w:t>%。公务用车购置及运行维护费支出决算比202</w:t>
      </w:r>
      <w:r>
        <w:rPr>
          <w:rFonts w:ascii="仿宋_GB2312" w:hAnsi="Times New Roman" w:eastAsia="仿宋_GB2312"/>
          <w:kern w:val="2"/>
          <w:sz w:val="32"/>
          <w:szCs w:val="32"/>
        </w:rPr>
        <w:t>3</w:t>
      </w:r>
      <w:r>
        <w:rPr>
          <w:rFonts w:hint="eastAsia" w:ascii="仿宋_GB2312" w:hAnsi="Times New Roman" w:eastAsia="仿宋_GB2312"/>
          <w:kern w:val="2"/>
          <w:sz w:val="32"/>
          <w:szCs w:val="32"/>
        </w:rPr>
        <w:t>年度减少</w:t>
      </w:r>
      <w:r>
        <w:rPr>
          <w:rFonts w:ascii="仿宋_GB2312" w:hAnsi="Times New Roman" w:eastAsia="仿宋_GB2312"/>
          <w:color w:val="000000" w:themeColor="text1"/>
          <w:kern w:val="2"/>
          <w:sz w:val="32"/>
          <w:szCs w:val="32"/>
          <w14:textFill>
            <w14:solidFill>
              <w14:schemeClr w14:val="tx1"/>
            </w14:solidFill>
          </w14:textFill>
        </w:rPr>
        <w:t>14.68</w:t>
      </w:r>
      <w:r>
        <w:rPr>
          <w:rFonts w:hint="eastAsia" w:ascii="仿宋_GB2312" w:hAnsi="Times New Roman" w:eastAsia="仿宋_GB2312"/>
          <w:color w:val="000000" w:themeColor="text1"/>
          <w:kern w:val="2"/>
          <w:sz w:val="32"/>
          <w:szCs w:val="32"/>
          <w14:textFill>
            <w14:solidFill>
              <w14:schemeClr w14:val="tx1"/>
            </w14:solidFill>
          </w14:textFill>
        </w:rPr>
        <w:t>万元，下降1</w:t>
      </w:r>
      <w:r>
        <w:rPr>
          <w:rFonts w:ascii="仿宋_GB2312" w:hAnsi="Times New Roman" w:eastAsia="仿宋_GB2312"/>
          <w:color w:val="000000" w:themeColor="text1"/>
          <w:kern w:val="2"/>
          <w:sz w:val="32"/>
          <w:szCs w:val="32"/>
          <w14:textFill>
            <w14:solidFill>
              <w14:schemeClr w14:val="tx1"/>
            </w14:solidFill>
          </w14:textFill>
        </w:rPr>
        <w:t>7.44</w:t>
      </w:r>
      <w:r>
        <w:rPr>
          <w:rFonts w:hint="eastAsia" w:ascii="仿宋_GB2312" w:hAnsi="Times New Roman" w:eastAsia="仿宋_GB2312"/>
          <w:color w:val="000000" w:themeColor="text1"/>
          <w:kern w:val="2"/>
          <w:sz w:val="32"/>
          <w:szCs w:val="32"/>
          <w14:textFill>
            <w14:solidFill>
              <w14:schemeClr w14:val="tx1"/>
            </w14:solidFill>
          </w14:textFill>
        </w:rPr>
        <w:t>%</w:t>
      </w:r>
      <w:r>
        <w:rPr>
          <w:rFonts w:hint="eastAsia" w:ascii="仿宋_GB2312" w:hAnsi="Times New Roman" w:eastAsia="仿宋_GB2312"/>
          <w:kern w:val="2"/>
          <w:sz w:val="32"/>
          <w:szCs w:val="32"/>
        </w:rPr>
        <w:t>。</w:t>
      </w:r>
      <w:r>
        <w:rPr>
          <w:rFonts w:hint="eastAsia" w:ascii="仿宋" w:hAnsi="仿宋" w:eastAsia="仿宋"/>
          <w:kern w:val="2"/>
          <w:sz w:val="32"/>
          <w:szCs w:val="32"/>
        </w:rPr>
        <w:t>主要原因是2</w:t>
      </w:r>
      <w:r>
        <w:rPr>
          <w:rFonts w:ascii="仿宋" w:hAnsi="仿宋" w:eastAsia="仿宋"/>
          <w:kern w:val="2"/>
          <w:sz w:val="32"/>
          <w:szCs w:val="32"/>
        </w:rPr>
        <w:t>024</w:t>
      </w:r>
      <w:r>
        <w:rPr>
          <w:rFonts w:hint="eastAsia" w:ascii="仿宋" w:hAnsi="仿宋" w:eastAsia="仿宋"/>
          <w:kern w:val="2"/>
          <w:sz w:val="32"/>
          <w:szCs w:val="32"/>
        </w:rPr>
        <w:t>年燃油及其他费用支出减少。</w:t>
      </w:r>
    </w:p>
    <w:p w14:paraId="7B2D7795">
      <w:pPr>
        <w:pStyle w:val="8"/>
        <w:widowControl/>
        <w:spacing w:beforeAutospacing="0" w:afterAutospacing="0" w:line="480" w:lineRule="atLeas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其中：</w:t>
      </w:r>
      <w:r>
        <w:rPr>
          <w:rFonts w:hint="eastAsia" w:ascii="仿宋_GB2312" w:hAnsi="Times New Roman" w:eastAsia="仿宋_GB2312"/>
          <w:b/>
          <w:kern w:val="2"/>
          <w:sz w:val="32"/>
          <w:szCs w:val="32"/>
        </w:rPr>
        <w:t>公务用车购置支出</w:t>
      </w:r>
      <w:r>
        <w:rPr>
          <w:rFonts w:hint="eastAsia" w:ascii="仿宋_GB2312" w:hAnsi="Times New Roman" w:eastAsia="仿宋_GB2312"/>
          <w:kern w:val="2"/>
          <w:sz w:val="32"/>
          <w:szCs w:val="32"/>
        </w:rPr>
        <w:t>0万元。全年按规定更新购置公务用车0辆。截至2</w:t>
      </w:r>
      <w:r>
        <w:rPr>
          <w:rFonts w:ascii="仿宋_GB2312" w:hAnsi="Times New Roman" w:eastAsia="仿宋_GB2312"/>
          <w:kern w:val="2"/>
          <w:sz w:val="32"/>
          <w:szCs w:val="32"/>
        </w:rPr>
        <w:t>024</w:t>
      </w:r>
      <w:r>
        <w:rPr>
          <w:rFonts w:hint="eastAsia" w:ascii="仿宋_GB2312" w:hAnsi="Times New Roman" w:eastAsia="仿宋_GB2312"/>
          <w:kern w:val="2"/>
          <w:sz w:val="32"/>
          <w:szCs w:val="32"/>
        </w:rPr>
        <w:t>年1</w:t>
      </w:r>
      <w:r>
        <w:rPr>
          <w:rFonts w:ascii="仿宋_GB2312" w:hAnsi="Times New Roman" w:eastAsia="仿宋_GB2312"/>
          <w:kern w:val="2"/>
          <w:sz w:val="32"/>
          <w:szCs w:val="32"/>
        </w:rPr>
        <w:t>2</w:t>
      </w:r>
      <w:r>
        <w:rPr>
          <w:rFonts w:hint="eastAsia" w:ascii="仿宋_GB2312" w:hAnsi="Times New Roman" w:eastAsia="仿宋_GB2312"/>
          <w:kern w:val="2"/>
          <w:sz w:val="32"/>
          <w:szCs w:val="32"/>
        </w:rPr>
        <w:t>月3</w:t>
      </w:r>
      <w:r>
        <w:rPr>
          <w:rFonts w:ascii="仿宋_GB2312" w:hAnsi="Times New Roman" w:eastAsia="仿宋_GB2312"/>
          <w:kern w:val="2"/>
          <w:sz w:val="32"/>
          <w:szCs w:val="32"/>
        </w:rPr>
        <w:t>1</w:t>
      </w:r>
      <w:r>
        <w:rPr>
          <w:rFonts w:hint="eastAsia" w:ascii="仿宋_GB2312" w:hAnsi="Times New Roman" w:eastAsia="仿宋_GB2312"/>
          <w:kern w:val="2"/>
          <w:sz w:val="32"/>
          <w:szCs w:val="32"/>
        </w:rPr>
        <w:t>日，单位共有公务用车</w:t>
      </w:r>
      <w:r>
        <w:rPr>
          <w:rFonts w:ascii="仿宋_GB2312" w:hAnsi="Times New Roman" w:eastAsia="仿宋_GB2312"/>
          <w:kern w:val="2"/>
          <w:sz w:val="32"/>
          <w:szCs w:val="32"/>
        </w:rPr>
        <w:t>1</w:t>
      </w:r>
      <w:r>
        <w:rPr>
          <w:rFonts w:hint="eastAsia" w:ascii="仿宋_GB2312" w:hAnsi="Times New Roman" w:eastAsia="仿宋_GB2312"/>
          <w:kern w:val="2"/>
          <w:sz w:val="32"/>
          <w:szCs w:val="32"/>
        </w:rPr>
        <w:t>辆，其中：轿车</w:t>
      </w:r>
      <w:r>
        <w:rPr>
          <w:rFonts w:ascii="仿宋_GB2312" w:hAnsi="Times New Roman" w:eastAsia="仿宋_GB2312"/>
          <w:kern w:val="2"/>
          <w:sz w:val="32"/>
          <w:szCs w:val="32"/>
        </w:rPr>
        <w:t>0</w:t>
      </w:r>
      <w:r>
        <w:rPr>
          <w:rFonts w:hint="eastAsia" w:ascii="仿宋_GB2312" w:hAnsi="Times New Roman" w:eastAsia="仿宋_GB2312"/>
          <w:kern w:val="2"/>
          <w:sz w:val="32"/>
          <w:szCs w:val="32"/>
        </w:rPr>
        <w:t>辆、小型客车</w:t>
      </w:r>
      <w:r>
        <w:rPr>
          <w:rFonts w:ascii="仿宋_GB2312" w:hAnsi="Times New Roman" w:eastAsia="仿宋_GB2312"/>
          <w:kern w:val="2"/>
          <w:sz w:val="32"/>
          <w:szCs w:val="32"/>
        </w:rPr>
        <w:t>1</w:t>
      </w:r>
      <w:r>
        <w:rPr>
          <w:rFonts w:hint="eastAsia" w:ascii="仿宋_GB2312" w:hAnsi="Times New Roman" w:eastAsia="仿宋_GB2312"/>
          <w:kern w:val="2"/>
          <w:sz w:val="32"/>
          <w:szCs w:val="32"/>
        </w:rPr>
        <w:t>辆，载客汽车0辆。</w:t>
      </w:r>
    </w:p>
    <w:p w14:paraId="43F0B421">
      <w:pPr>
        <w:pStyle w:val="8"/>
        <w:widowControl/>
        <w:spacing w:beforeAutospacing="0" w:afterAutospacing="0" w:line="480" w:lineRule="atLeast"/>
        <w:ind w:firstLine="643" w:firstLineChars="200"/>
        <w:rPr>
          <w:rFonts w:ascii="仿宋_GB2312" w:hAnsi="Times New Roman" w:eastAsia="仿宋_GB2312"/>
          <w:kern w:val="2"/>
          <w:sz w:val="32"/>
          <w:szCs w:val="32"/>
        </w:rPr>
      </w:pPr>
      <w:r>
        <w:rPr>
          <w:rFonts w:hint="eastAsia" w:ascii="仿宋_GB2312" w:hAnsi="Times New Roman" w:eastAsia="仿宋_GB2312"/>
          <w:b/>
          <w:kern w:val="2"/>
          <w:sz w:val="32"/>
          <w:szCs w:val="32"/>
        </w:rPr>
        <w:t>公务用车运行维护费</w:t>
      </w:r>
      <w:r>
        <w:rPr>
          <w:rFonts w:hint="eastAsia" w:ascii="仿宋_GB2312" w:hAnsi="Times New Roman" w:eastAsia="仿宋_GB2312"/>
          <w:kern w:val="2"/>
          <w:sz w:val="32"/>
          <w:szCs w:val="32"/>
        </w:rPr>
        <w:t>支出</w:t>
      </w:r>
      <w:r>
        <w:rPr>
          <w:rFonts w:ascii="仿宋_GB2312" w:hAnsi="Times New Roman" w:eastAsia="仿宋_GB2312"/>
          <w:kern w:val="2"/>
          <w:sz w:val="32"/>
          <w:szCs w:val="32"/>
        </w:rPr>
        <w:t>69.50</w:t>
      </w:r>
      <w:r>
        <w:rPr>
          <w:rFonts w:hint="eastAsia" w:ascii="仿宋_GB2312" w:hAnsi="Times New Roman" w:eastAsia="仿宋_GB2312"/>
          <w:kern w:val="2"/>
          <w:sz w:val="32"/>
          <w:szCs w:val="32"/>
        </w:rPr>
        <w:t>万元。主要用于全省药械化监管、</w:t>
      </w:r>
      <w:r>
        <w:rPr>
          <w:rFonts w:hint="eastAsia" w:ascii="仿宋_GB2312" w:hAnsi="Times New Roman" w:eastAsia="仿宋_GB2312"/>
          <w:color w:val="000000" w:themeColor="text1"/>
          <w:kern w:val="2"/>
          <w:sz w:val="32"/>
          <w:szCs w:val="32"/>
          <w14:textFill>
            <w14:solidFill>
              <w14:schemeClr w14:val="tx1"/>
            </w14:solidFill>
          </w14:textFill>
        </w:rPr>
        <w:t>执法检查等工作</w:t>
      </w:r>
      <w:r>
        <w:rPr>
          <w:rFonts w:hint="eastAsia" w:ascii="仿宋_GB2312" w:hAnsi="Times New Roman" w:eastAsia="仿宋_GB2312"/>
          <w:kern w:val="2"/>
          <w:sz w:val="32"/>
          <w:szCs w:val="32"/>
        </w:rPr>
        <w:t>所需的公务用车燃油料费、维修费、过路过桥费、保险费等支出。</w:t>
      </w:r>
    </w:p>
    <w:p w14:paraId="2B3A6DB0">
      <w:pPr>
        <w:pStyle w:val="8"/>
        <w:widowControl/>
        <w:spacing w:beforeAutospacing="0" w:afterAutospacing="0" w:line="480" w:lineRule="atLeast"/>
        <w:ind w:firstLine="643" w:firstLineChars="200"/>
        <w:rPr>
          <w:rFonts w:ascii="仿宋_GB2312" w:hAnsi="Times New Roman" w:eastAsia="仿宋_GB2312"/>
          <w:color w:val="FF0000"/>
          <w:kern w:val="2"/>
          <w:sz w:val="32"/>
          <w:szCs w:val="32"/>
        </w:rPr>
      </w:pPr>
      <w:r>
        <w:rPr>
          <w:rFonts w:hint="eastAsia" w:ascii="仿宋_GB2312" w:hAnsi="Times New Roman" w:eastAsia="仿宋_GB2312"/>
          <w:b/>
          <w:kern w:val="2"/>
          <w:sz w:val="32"/>
          <w:szCs w:val="32"/>
        </w:rPr>
        <w:t>3.公务接待费支出</w:t>
      </w:r>
      <w:r>
        <w:rPr>
          <w:rFonts w:ascii="仿宋_GB2312" w:hAnsi="Times New Roman" w:eastAsia="仿宋_GB2312"/>
          <w:kern w:val="2"/>
          <w:sz w:val="32"/>
          <w:szCs w:val="32"/>
        </w:rPr>
        <w:t>0</w:t>
      </w:r>
      <w:r>
        <w:rPr>
          <w:rFonts w:hint="eastAsia" w:ascii="仿宋_GB2312" w:hAnsi="Times New Roman" w:eastAsia="仿宋_GB2312"/>
          <w:kern w:val="2"/>
          <w:sz w:val="32"/>
          <w:szCs w:val="32"/>
        </w:rPr>
        <w:t>万元。公务接待费支出决算与202</w:t>
      </w:r>
      <w:r>
        <w:rPr>
          <w:rFonts w:ascii="仿宋_GB2312" w:hAnsi="Times New Roman" w:eastAsia="仿宋_GB2312"/>
          <w:kern w:val="2"/>
          <w:sz w:val="32"/>
          <w:szCs w:val="32"/>
        </w:rPr>
        <w:t>3</w:t>
      </w:r>
      <w:r>
        <w:rPr>
          <w:rFonts w:hint="eastAsia" w:ascii="仿宋_GB2312" w:hAnsi="Times New Roman" w:eastAsia="仿宋_GB2312"/>
          <w:kern w:val="2"/>
          <w:sz w:val="32"/>
          <w:szCs w:val="32"/>
        </w:rPr>
        <w:t>年度持平。主要原因是均未下达公务接待费费用。</w:t>
      </w:r>
    </w:p>
    <w:p w14:paraId="28A599C1">
      <w:pPr>
        <w:spacing w:line="600" w:lineRule="exact"/>
        <w:ind w:firstLine="640"/>
        <w:outlineLvl w:val="1"/>
        <w:rPr>
          <w:rFonts w:ascii="黑体" w:hAnsi="Times New Roman" w:eastAsia="黑体" w:cs="Times New Roman"/>
          <w:sz w:val="32"/>
          <w:szCs w:val="32"/>
        </w:rPr>
      </w:pPr>
      <w:r>
        <w:rPr>
          <w:rFonts w:hint="eastAsia" w:ascii="黑体" w:hAnsi="Times New Roman" w:eastAsia="黑体" w:cs="Times New Roman"/>
          <w:sz w:val="32"/>
          <w:szCs w:val="32"/>
        </w:rPr>
        <w:t>八、政府性基金预算支出决算情况说明</w:t>
      </w:r>
    </w:p>
    <w:p w14:paraId="4C89C7BC">
      <w:pPr>
        <w:spacing w:line="600" w:lineRule="exact"/>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202</w:t>
      </w:r>
      <w:r>
        <w:rPr>
          <w:rFonts w:ascii="仿宋_GB2312" w:hAnsi="Times New Roman" w:eastAsia="仿宋_GB2312" w:cs="Times New Roman"/>
          <w:sz w:val="32"/>
          <w:szCs w:val="32"/>
        </w:rPr>
        <w:t>4</w:t>
      </w:r>
      <w:r>
        <w:rPr>
          <w:rFonts w:hint="eastAsia" w:ascii="仿宋_GB2312" w:hAnsi="Times New Roman" w:eastAsia="仿宋_GB2312" w:cs="Times New Roman"/>
          <w:sz w:val="32"/>
          <w:szCs w:val="32"/>
        </w:rPr>
        <w:t>年政府性基金预算财政拨款支出0万元。</w:t>
      </w:r>
    </w:p>
    <w:p w14:paraId="05A8265D">
      <w:pPr>
        <w:spacing w:line="600" w:lineRule="exact"/>
        <w:ind w:firstLine="640" w:firstLineChars="200"/>
        <w:outlineLvl w:val="1"/>
        <w:rPr>
          <w:rStyle w:val="15"/>
          <w:rFonts w:ascii="黑体" w:hAnsi="黑体" w:eastAsia="黑体"/>
          <w:b w:val="0"/>
        </w:rPr>
      </w:pPr>
      <w:r>
        <w:rPr>
          <w:rStyle w:val="15"/>
          <w:rFonts w:hint="eastAsia" w:ascii="黑体" w:hAnsi="黑体" w:eastAsia="黑体"/>
          <w:b w:val="0"/>
        </w:rPr>
        <w:t>九、国有资本经营预算支出决算情况说明</w:t>
      </w:r>
    </w:p>
    <w:p w14:paraId="3FC906BA">
      <w:pPr>
        <w:spacing w:line="600" w:lineRule="exact"/>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202</w:t>
      </w:r>
      <w:r>
        <w:rPr>
          <w:rFonts w:ascii="仿宋_GB2312" w:hAnsi="Times New Roman" w:eastAsia="仿宋_GB2312" w:cs="Times New Roman"/>
          <w:sz w:val="32"/>
          <w:szCs w:val="32"/>
        </w:rPr>
        <w:t>4</w:t>
      </w:r>
      <w:r>
        <w:rPr>
          <w:rFonts w:hint="eastAsia" w:ascii="仿宋_GB2312" w:hAnsi="Times New Roman" w:eastAsia="仿宋_GB2312" w:cs="Times New Roman"/>
          <w:sz w:val="32"/>
          <w:szCs w:val="32"/>
        </w:rPr>
        <w:t>年国有资本经营预算财政拨款支出0万元。</w:t>
      </w:r>
    </w:p>
    <w:p w14:paraId="09F2C759">
      <w:pPr>
        <w:spacing w:line="600" w:lineRule="exact"/>
        <w:ind w:firstLine="640" w:firstLineChars="200"/>
        <w:outlineLvl w:val="1"/>
        <w:rPr>
          <w:rStyle w:val="15"/>
          <w:rFonts w:ascii="黑体" w:hAnsi="黑体" w:eastAsia="黑体"/>
          <w:b w:val="0"/>
        </w:rPr>
      </w:pPr>
      <w:r>
        <w:rPr>
          <w:rStyle w:val="15"/>
          <w:rFonts w:hint="eastAsia" w:ascii="黑体" w:hAnsi="黑体" w:eastAsia="黑体"/>
          <w:b w:val="0"/>
        </w:rPr>
        <w:t>十、其他重要事项的情况说明</w:t>
      </w:r>
    </w:p>
    <w:p w14:paraId="00544EF1">
      <w:pPr>
        <w:spacing w:line="600" w:lineRule="exact"/>
        <w:ind w:firstLine="643" w:firstLineChars="200"/>
        <w:outlineLvl w:val="2"/>
        <w:rPr>
          <w:rFonts w:ascii="仿宋" w:hAnsi="仿宋" w:eastAsia="仿宋" w:cs="Times New Roman"/>
          <w:b/>
          <w:sz w:val="32"/>
          <w:szCs w:val="32"/>
        </w:rPr>
      </w:pPr>
      <w:r>
        <w:rPr>
          <w:rFonts w:hint="eastAsia" w:ascii="仿宋" w:hAnsi="仿宋" w:eastAsia="仿宋" w:cs="Times New Roman"/>
          <w:b/>
          <w:sz w:val="32"/>
          <w:szCs w:val="32"/>
        </w:rPr>
        <w:t>（一）机关运行经费支出情况</w:t>
      </w:r>
    </w:p>
    <w:p w14:paraId="068FF846">
      <w:pPr>
        <w:spacing w:line="600" w:lineRule="exact"/>
        <w:ind w:firstLine="640" w:firstLineChars="200"/>
        <w:rPr>
          <w:rFonts w:ascii="仿宋_GB2312" w:hAnsi="Times New Roman" w:eastAsia="仿宋_GB2312" w:cs="Times New Roman"/>
          <w:color w:val="000000" w:themeColor="text1"/>
          <w:sz w:val="32"/>
          <w:szCs w:val="32"/>
          <w14:textFill>
            <w14:solidFill>
              <w14:schemeClr w14:val="tx1"/>
            </w14:solidFill>
          </w14:textFill>
        </w:rPr>
      </w:pPr>
      <w:r>
        <w:rPr>
          <w:rFonts w:hint="eastAsia" w:ascii="仿宋_GB2312" w:hAnsi="Times New Roman" w:eastAsia="仿宋_GB2312" w:cs="Times New Roman"/>
          <w:sz w:val="32"/>
          <w:szCs w:val="32"/>
        </w:rPr>
        <w:t>202</w:t>
      </w:r>
      <w:r>
        <w:rPr>
          <w:rFonts w:ascii="仿宋_GB2312" w:hAnsi="Times New Roman" w:eastAsia="仿宋_GB2312" w:cs="Times New Roman"/>
          <w:sz w:val="32"/>
          <w:szCs w:val="32"/>
        </w:rPr>
        <w:t>4</w:t>
      </w:r>
      <w:r>
        <w:rPr>
          <w:rFonts w:hint="eastAsia" w:ascii="仿宋_GB2312" w:hAnsi="Times New Roman" w:eastAsia="仿宋_GB2312" w:cs="Times New Roman"/>
          <w:sz w:val="32"/>
          <w:szCs w:val="32"/>
        </w:rPr>
        <w:t>年，省药监局机关服务中心运行经费支出0万元，与2</w:t>
      </w:r>
      <w:r>
        <w:rPr>
          <w:rFonts w:ascii="仿宋_GB2312" w:hAnsi="Times New Roman" w:eastAsia="仿宋_GB2312" w:cs="Times New Roman"/>
          <w:sz w:val="32"/>
          <w:szCs w:val="32"/>
        </w:rPr>
        <w:t>023</w:t>
      </w:r>
      <w:r>
        <w:rPr>
          <w:rFonts w:hint="eastAsia" w:ascii="仿宋_GB2312" w:hAnsi="Times New Roman" w:eastAsia="仿宋_GB2312" w:cs="Times New Roman"/>
          <w:sz w:val="32"/>
          <w:szCs w:val="32"/>
        </w:rPr>
        <w:t>年度持平。主要原因是</w:t>
      </w:r>
      <w:r>
        <w:rPr>
          <w:rFonts w:hint="eastAsia" w:ascii="仿宋_GB2312" w:hAnsi="Times New Roman" w:eastAsia="仿宋_GB2312" w:cs="Times New Roman"/>
          <w:color w:val="000000" w:themeColor="text1"/>
          <w:sz w:val="32"/>
          <w:szCs w:val="32"/>
          <w14:textFill>
            <w14:solidFill>
              <w14:schemeClr w14:val="tx1"/>
            </w14:solidFill>
          </w14:textFill>
        </w:rPr>
        <w:t>机关服务中心单位性质为事业单位，不存在机关运行经费支出。</w:t>
      </w:r>
    </w:p>
    <w:p w14:paraId="6562D4A7">
      <w:pPr>
        <w:autoSpaceDE w:val="0"/>
        <w:autoSpaceDN w:val="0"/>
        <w:adjustRightInd w:val="0"/>
        <w:spacing w:line="600" w:lineRule="exact"/>
        <w:ind w:firstLine="643" w:firstLineChars="200"/>
        <w:jc w:val="left"/>
        <w:outlineLvl w:val="2"/>
        <w:rPr>
          <w:rFonts w:ascii="仿宋" w:hAnsi="仿宋" w:eastAsia="仿宋" w:cs="Times New Roman"/>
          <w:b/>
          <w:sz w:val="32"/>
          <w:szCs w:val="32"/>
        </w:rPr>
      </w:pPr>
      <w:r>
        <w:rPr>
          <w:rFonts w:hint="eastAsia" w:ascii="仿宋" w:hAnsi="仿宋" w:eastAsia="仿宋" w:cs="Times New Roman"/>
          <w:b/>
          <w:sz w:val="32"/>
          <w:szCs w:val="32"/>
        </w:rPr>
        <w:t>（二）政府采购支出情况</w:t>
      </w:r>
    </w:p>
    <w:p w14:paraId="44D0C368">
      <w:pPr>
        <w:pStyle w:val="8"/>
        <w:widowControl/>
        <w:spacing w:beforeAutospacing="0" w:afterAutospacing="0" w:line="480" w:lineRule="atLeas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202</w:t>
      </w:r>
      <w:r>
        <w:rPr>
          <w:rFonts w:ascii="仿宋_GB2312" w:hAnsi="Times New Roman" w:eastAsia="仿宋_GB2312"/>
          <w:kern w:val="2"/>
          <w:sz w:val="32"/>
          <w:szCs w:val="32"/>
        </w:rPr>
        <w:t>4</w:t>
      </w:r>
      <w:r>
        <w:rPr>
          <w:rFonts w:hint="eastAsia" w:ascii="仿宋_GB2312" w:hAnsi="Times New Roman" w:eastAsia="仿宋_GB2312"/>
          <w:kern w:val="2"/>
          <w:sz w:val="32"/>
          <w:szCs w:val="32"/>
        </w:rPr>
        <w:t>年，</w:t>
      </w:r>
      <w:r>
        <w:rPr>
          <w:rFonts w:hint="eastAsia" w:ascii="仿宋_GB2312" w:hAnsi="Times New Roman" w:eastAsia="仿宋_GB2312"/>
          <w:sz w:val="32"/>
          <w:szCs w:val="32"/>
        </w:rPr>
        <w:t>省药监局机关服务中心</w:t>
      </w:r>
      <w:r>
        <w:rPr>
          <w:rFonts w:hint="eastAsia" w:ascii="仿宋_GB2312" w:hAnsi="Times New Roman" w:eastAsia="仿宋_GB2312"/>
          <w:kern w:val="2"/>
          <w:sz w:val="32"/>
          <w:szCs w:val="32"/>
        </w:rPr>
        <w:t>政府采购支出总额</w:t>
      </w:r>
      <w:r>
        <w:rPr>
          <w:rFonts w:ascii="仿宋_GB2312" w:hAnsi="Times New Roman" w:eastAsia="仿宋_GB2312"/>
          <w:kern w:val="2"/>
          <w:sz w:val="32"/>
          <w:szCs w:val="32"/>
        </w:rPr>
        <w:t>628.84</w:t>
      </w:r>
      <w:r>
        <w:rPr>
          <w:rFonts w:hint="eastAsia" w:ascii="仿宋_GB2312" w:hAnsi="Times New Roman" w:eastAsia="仿宋_GB2312"/>
          <w:kern w:val="2"/>
          <w:sz w:val="32"/>
          <w:szCs w:val="32"/>
        </w:rPr>
        <w:t>万元，其中：政府采购货物支出</w:t>
      </w:r>
      <w:r>
        <w:rPr>
          <w:rFonts w:ascii="仿宋_GB2312" w:hAnsi="Times New Roman" w:eastAsia="仿宋_GB2312"/>
          <w:kern w:val="2"/>
          <w:sz w:val="32"/>
          <w:szCs w:val="32"/>
        </w:rPr>
        <w:t>0</w:t>
      </w:r>
      <w:r>
        <w:rPr>
          <w:rFonts w:hint="eastAsia" w:ascii="仿宋_GB2312" w:hAnsi="Times New Roman" w:eastAsia="仿宋_GB2312"/>
          <w:kern w:val="2"/>
          <w:sz w:val="32"/>
          <w:szCs w:val="32"/>
        </w:rPr>
        <w:t>万元、政府采购工程支出0万元、政府采购服务支出</w:t>
      </w:r>
      <w:r>
        <w:rPr>
          <w:rFonts w:ascii="仿宋_GB2312" w:hAnsi="Times New Roman" w:eastAsia="仿宋_GB2312"/>
          <w:kern w:val="2"/>
          <w:sz w:val="32"/>
          <w:szCs w:val="32"/>
        </w:rPr>
        <w:t>628.84</w:t>
      </w:r>
      <w:r>
        <w:rPr>
          <w:rFonts w:hint="eastAsia" w:ascii="仿宋_GB2312" w:hAnsi="Times New Roman" w:eastAsia="仿宋_GB2312"/>
          <w:kern w:val="2"/>
          <w:sz w:val="32"/>
          <w:szCs w:val="32"/>
        </w:rPr>
        <w:t>万元。主要用于物业管理服务、公务用车运行维护服务、后勤保障服务等。授予中小企业合同金额</w:t>
      </w:r>
      <w:r>
        <w:rPr>
          <w:rFonts w:ascii="仿宋_GB2312" w:hAnsi="Times New Roman" w:eastAsia="仿宋_GB2312"/>
          <w:kern w:val="2"/>
          <w:sz w:val="32"/>
          <w:szCs w:val="32"/>
        </w:rPr>
        <w:t>591.84</w:t>
      </w:r>
      <w:r>
        <w:rPr>
          <w:rFonts w:hint="eastAsia" w:ascii="仿宋_GB2312" w:hAnsi="Times New Roman" w:eastAsia="仿宋_GB2312"/>
          <w:kern w:val="2"/>
          <w:sz w:val="32"/>
          <w:szCs w:val="32"/>
        </w:rPr>
        <w:t>万元，占政府采购支出总额的</w:t>
      </w:r>
      <w:r>
        <w:rPr>
          <w:rFonts w:ascii="仿宋_GB2312" w:hAnsi="Times New Roman" w:eastAsia="仿宋_GB2312"/>
          <w:kern w:val="2"/>
          <w:sz w:val="32"/>
          <w:szCs w:val="32"/>
        </w:rPr>
        <w:t>94.12</w:t>
      </w:r>
      <w:r>
        <w:rPr>
          <w:rFonts w:hint="eastAsia" w:ascii="仿宋_GB2312" w:hAnsi="Times New Roman" w:eastAsia="仿宋_GB2312"/>
          <w:kern w:val="2"/>
          <w:sz w:val="32"/>
          <w:szCs w:val="32"/>
        </w:rPr>
        <w:t>%，其中：授予小微企业合同金额5</w:t>
      </w:r>
      <w:r>
        <w:rPr>
          <w:rFonts w:ascii="仿宋_GB2312" w:hAnsi="Times New Roman" w:eastAsia="仿宋_GB2312"/>
          <w:kern w:val="2"/>
          <w:sz w:val="32"/>
          <w:szCs w:val="32"/>
        </w:rPr>
        <w:t>91.84</w:t>
      </w:r>
      <w:r>
        <w:rPr>
          <w:rFonts w:hint="eastAsia" w:ascii="仿宋_GB2312" w:hAnsi="Times New Roman" w:eastAsia="仿宋_GB2312"/>
          <w:kern w:val="2"/>
          <w:sz w:val="32"/>
          <w:szCs w:val="32"/>
        </w:rPr>
        <w:t>万元，占政府采购支出总额的</w:t>
      </w:r>
      <w:r>
        <w:rPr>
          <w:rFonts w:ascii="仿宋_GB2312" w:hAnsi="Times New Roman" w:eastAsia="仿宋_GB2312"/>
          <w:kern w:val="2"/>
          <w:sz w:val="32"/>
          <w:szCs w:val="32"/>
        </w:rPr>
        <w:t>94.12</w:t>
      </w:r>
      <w:r>
        <w:rPr>
          <w:rFonts w:hint="eastAsia" w:ascii="仿宋_GB2312" w:hAnsi="Times New Roman" w:eastAsia="仿宋_GB2312"/>
          <w:kern w:val="2"/>
          <w:sz w:val="32"/>
          <w:szCs w:val="32"/>
        </w:rPr>
        <w:t>%。</w:t>
      </w:r>
    </w:p>
    <w:p w14:paraId="4E85F789">
      <w:pPr>
        <w:autoSpaceDE w:val="0"/>
        <w:autoSpaceDN w:val="0"/>
        <w:adjustRightInd w:val="0"/>
        <w:spacing w:line="600" w:lineRule="exact"/>
        <w:ind w:firstLine="643" w:firstLineChars="200"/>
        <w:jc w:val="left"/>
        <w:outlineLvl w:val="2"/>
        <w:rPr>
          <w:rFonts w:ascii="仿宋" w:hAnsi="仿宋" w:eastAsia="仿宋" w:cs="Times New Roman"/>
          <w:b/>
          <w:sz w:val="32"/>
          <w:szCs w:val="32"/>
        </w:rPr>
      </w:pPr>
      <w:r>
        <w:rPr>
          <w:rFonts w:hint="eastAsia" w:ascii="仿宋" w:hAnsi="仿宋" w:eastAsia="仿宋" w:cs="Times New Roman"/>
          <w:b/>
          <w:sz w:val="32"/>
          <w:szCs w:val="32"/>
        </w:rPr>
        <w:t>（三）国有资产占有使用情况</w:t>
      </w:r>
    </w:p>
    <w:p w14:paraId="28072F52">
      <w:pPr>
        <w:autoSpaceDE w:val="0"/>
        <w:autoSpaceDN w:val="0"/>
        <w:adjustRightInd w:val="0"/>
        <w:spacing w:line="600" w:lineRule="exact"/>
        <w:ind w:firstLine="640" w:firstLineChars="200"/>
        <w:jc w:val="left"/>
        <w:rPr>
          <w:rFonts w:ascii="仿宋_GB2312" w:hAnsi="Times New Roman" w:eastAsia="仿宋_GB2312" w:cs="Times New Roman"/>
          <w:sz w:val="32"/>
          <w:szCs w:val="32"/>
        </w:rPr>
      </w:pPr>
      <w:r>
        <w:rPr>
          <w:rFonts w:hint="eastAsia" w:ascii="仿宋_GB2312" w:hAnsi="Times New Roman" w:eastAsia="仿宋_GB2312" w:cs="Times New Roman"/>
          <w:sz w:val="32"/>
          <w:szCs w:val="32"/>
        </w:rPr>
        <w:t>截至202</w:t>
      </w:r>
      <w:r>
        <w:rPr>
          <w:rFonts w:ascii="仿宋_GB2312" w:hAnsi="Times New Roman" w:eastAsia="仿宋_GB2312" w:cs="Times New Roman"/>
          <w:sz w:val="32"/>
          <w:szCs w:val="32"/>
        </w:rPr>
        <w:t>4</w:t>
      </w:r>
      <w:r>
        <w:rPr>
          <w:rFonts w:hint="eastAsia" w:ascii="仿宋_GB2312" w:hAnsi="Times New Roman" w:eastAsia="仿宋_GB2312" w:cs="Times New Roman"/>
          <w:sz w:val="32"/>
          <w:szCs w:val="32"/>
        </w:rPr>
        <w:t>年12月31日，省药监局机关服务中心共有车辆</w:t>
      </w:r>
      <w:r>
        <w:rPr>
          <w:rFonts w:ascii="仿宋_GB2312" w:hAnsi="Times New Roman" w:eastAsia="仿宋_GB2312" w:cs="Times New Roman"/>
          <w:sz w:val="32"/>
          <w:szCs w:val="32"/>
        </w:rPr>
        <w:t>1</w:t>
      </w:r>
      <w:r>
        <w:rPr>
          <w:rFonts w:hint="eastAsia" w:ascii="仿宋_GB2312" w:hAnsi="Times New Roman" w:eastAsia="仿宋_GB2312" w:cs="Times New Roman"/>
          <w:sz w:val="32"/>
          <w:szCs w:val="32"/>
        </w:rPr>
        <w:t>辆，其中：</w:t>
      </w:r>
      <w:r>
        <w:rPr>
          <w:rFonts w:hint="eastAsia" w:ascii="仿宋_GB2312" w:eastAsia="仿宋_GB2312"/>
          <w:sz w:val="32"/>
          <w:szCs w:val="32"/>
        </w:rPr>
        <w:t>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辆，其他用车主要是用于集中后勤保障任务</w:t>
      </w:r>
      <w:r>
        <w:rPr>
          <w:rFonts w:hint="eastAsia" w:ascii="仿宋_GB2312" w:hAnsi="Times New Roman" w:eastAsia="仿宋_GB2312" w:cs="Times New Roman"/>
          <w:sz w:val="32"/>
          <w:szCs w:val="32"/>
        </w:rPr>
        <w:t>。单价50万元以上通用设备</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台（套），</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w:t>
      </w:r>
      <w:r>
        <w:rPr>
          <w:rFonts w:hint="eastAsia" w:ascii="仿宋_GB2312" w:eastAsia="仿宋_GB2312"/>
          <w:sz w:val="32"/>
          <w:szCs w:val="32"/>
        </w:rPr>
        <w:t>台（套）。</w:t>
      </w:r>
    </w:p>
    <w:p w14:paraId="0A389A61">
      <w:pPr>
        <w:autoSpaceDE w:val="0"/>
        <w:autoSpaceDN w:val="0"/>
        <w:adjustRightInd w:val="0"/>
        <w:spacing w:line="600" w:lineRule="exact"/>
        <w:ind w:firstLine="643" w:firstLineChars="200"/>
        <w:jc w:val="left"/>
        <w:outlineLvl w:val="2"/>
        <w:rPr>
          <w:rFonts w:ascii="仿宋" w:hAnsi="仿宋" w:eastAsia="仿宋" w:cs="Times New Roman"/>
          <w:b/>
          <w:color w:val="000000" w:themeColor="text1"/>
          <w:sz w:val="32"/>
          <w:szCs w:val="32"/>
          <w14:textFill>
            <w14:solidFill>
              <w14:schemeClr w14:val="tx1"/>
            </w14:solidFill>
          </w14:textFill>
        </w:rPr>
      </w:pPr>
      <w:r>
        <w:rPr>
          <w:rFonts w:hint="eastAsia" w:ascii="仿宋" w:hAnsi="仿宋" w:eastAsia="仿宋" w:cs="Times New Roman"/>
          <w:b/>
          <w:sz w:val="32"/>
          <w:szCs w:val="32"/>
        </w:rPr>
        <w:t>（</w:t>
      </w:r>
      <w:r>
        <w:rPr>
          <w:rFonts w:hint="eastAsia" w:ascii="仿宋" w:hAnsi="仿宋" w:eastAsia="仿宋" w:cs="Times New Roman"/>
          <w:b/>
          <w:color w:val="000000" w:themeColor="text1"/>
          <w:sz w:val="32"/>
          <w:szCs w:val="32"/>
          <w14:textFill>
            <w14:solidFill>
              <w14:schemeClr w14:val="tx1"/>
            </w14:solidFill>
          </w14:textFill>
        </w:rPr>
        <w:t>四）预算绩效管理情况</w:t>
      </w:r>
    </w:p>
    <w:p w14:paraId="17B9CFB9">
      <w:pPr>
        <w:pStyle w:val="2"/>
        <w:spacing w:before="93"/>
        <w:ind w:firstLine="640" w:firstLineChars="200"/>
        <w:rPr>
          <w:color w:val="000000" w:themeColor="text1"/>
          <w:highlight w:val="yellow"/>
          <w14:textFill>
            <w14:solidFill>
              <w14:schemeClr w14:val="tx1"/>
            </w14:solidFill>
          </w14:textFill>
        </w:rPr>
      </w:pPr>
      <w:r>
        <w:rPr>
          <w:rFonts w:hint="eastAsia" w:hAnsi="仿宋_GB2312" w:cs="仿宋_GB2312"/>
          <w:color w:val="000000" w:themeColor="text1"/>
          <w:sz w:val="32"/>
          <w:szCs w:val="32"/>
          <w14:textFill>
            <w14:solidFill>
              <w14:schemeClr w14:val="tx1"/>
            </w14:solidFill>
          </w14:textFill>
        </w:rPr>
        <w:t>根据预算绩效管理要求，本单位在202</w:t>
      </w:r>
      <w:r>
        <w:rPr>
          <w:rFonts w:hAnsi="仿宋_GB2312" w:cs="仿宋_GB2312"/>
          <w:color w:val="000000" w:themeColor="text1"/>
          <w:sz w:val="32"/>
          <w:szCs w:val="32"/>
          <w14:textFill>
            <w14:solidFill>
              <w14:schemeClr w14:val="tx1"/>
            </w14:solidFill>
          </w14:textFill>
        </w:rPr>
        <w:t>4</w:t>
      </w:r>
      <w:r>
        <w:rPr>
          <w:rFonts w:hint="eastAsia" w:hAnsi="仿宋_GB2312" w:cs="仿宋_GB2312"/>
          <w:color w:val="000000" w:themeColor="text1"/>
          <w:sz w:val="32"/>
          <w:szCs w:val="32"/>
          <w14:textFill>
            <w14:solidFill>
              <w14:schemeClr w14:val="tx1"/>
            </w14:solidFill>
          </w14:textFill>
        </w:rPr>
        <w:t>年度预算编制阶段，组织对</w:t>
      </w:r>
      <w:r>
        <w:rPr>
          <w:rFonts w:hAnsi="仿宋_GB2312" w:cs="仿宋_GB2312"/>
          <w:color w:val="000000" w:themeColor="text1"/>
          <w:sz w:val="32"/>
          <w:szCs w:val="32"/>
          <w14:textFill>
            <w14:solidFill>
              <w14:schemeClr w14:val="tx1"/>
            </w14:solidFill>
          </w14:textFill>
        </w:rPr>
        <w:t>0</w:t>
      </w:r>
      <w:r>
        <w:rPr>
          <w:rFonts w:hint="eastAsia" w:hAnsi="仿宋_GB2312" w:cs="仿宋_GB2312"/>
          <w:color w:val="000000" w:themeColor="text1"/>
          <w:sz w:val="32"/>
          <w:szCs w:val="32"/>
          <w14:textFill>
            <w14:solidFill>
              <w14:schemeClr w14:val="tx1"/>
            </w14:solidFill>
          </w14:textFill>
        </w:rPr>
        <w:t>个项目开展了预算事前绩效评估，对</w:t>
      </w:r>
      <w:r>
        <w:rPr>
          <w:rFonts w:hAnsi="仿宋_GB2312" w:cs="仿宋_GB2312"/>
          <w:color w:val="000000" w:themeColor="text1"/>
          <w:sz w:val="32"/>
          <w:szCs w:val="32"/>
          <w14:textFill>
            <w14:solidFill>
              <w14:schemeClr w14:val="tx1"/>
            </w14:solidFill>
          </w14:textFill>
        </w:rPr>
        <w:t>13</w:t>
      </w:r>
      <w:r>
        <w:rPr>
          <w:rFonts w:hint="eastAsia" w:hAnsi="仿宋_GB2312" w:cs="仿宋_GB2312"/>
          <w:color w:val="000000" w:themeColor="text1"/>
          <w:sz w:val="32"/>
          <w:szCs w:val="32"/>
          <w14:textFill>
            <w14:solidFill>
              <w14:schemeClr w14:val="tx1"/>
            </w14:solidFill>
          </w14:textFill>
        </w:rPr>
        <w:t>个项目编制了绩效目标，预算执行过程中，选取</w:t>
      </w:r>
      <w:r>
        <w:rPr>
          <w:rFonts w:hAnsi="仿宋_GB2312" w:cs="仿宋_GB2312"/>
          <w:color w:val="000000" w:themeColor="text1"/>
          <w:sz w:val="32"/>
          <w:szCs w:val="32"/>
          <w14:textFill>
            <w14:solidFill>
              <w14:schemeClr w14:val="tx1"/>
            </w14:solidFill>
          </w14:textFill>
        </w:rPr>
        <w:t>5</w:t>
      </w:r>
      <w:r>
        <w:rPr>
          <w:rFonts w:hint="eastAsia" w:hAnsi="仿宋_GB2312" w:cs="仿宋_GB2312"/>
          <w:color w:val="000000" w:themeColor="text1"/>
          <w:sz w:val="32"/>
          <w:szCs w:val="32"/>
          <w14:textFill>
            <w14:solidFill>
              <w14:schemeClr w14:val="tx1"/>
            </w14:solidFill>
          </w14:textFill>
        </w:rPr>
        <w:t>个项目开展绩效监控。</w:t>
      </w:r>
    </w:p>
    <w:p w14:paraId="25B5FA66">
      <w:pPr>
        <w:pStyle w:val="8"/>
        <w:widowControl/>
        <w:spacing w:beforeAutospacing="0" w:afterAutospacing="0" w:line="480" w:lineRule="atLeast"/>
        <w:rPr>
          <w:color w:val="000000"/>
        </w:rPr>
      </w:pPr>
    </w:p>
    <w:p w14:paraId="791A1A5D">
      <w:pPr>
        <w:pStyle w:val="8"/>
        <w:widowControl/>
        <w:spacing w:beforeAutospacing="0" w:afterAutospacing="0" w:line="480" w:lineRule="atLeast"/>
        <w:rPr>
          <w:rFonts w:ascii="微软雅黑" w:hAnsi="微软雅黑" w:eastAsia="微软雅黑" w:cs="微软雅黑"/>
          <w:color w:val="000000"/>
        </w:rPr>
      </w:pPr>
    </w:p>
    <w:p w14:paraId="4C9FF6C6">
      <w:pPr>
        <w:numPr>
          <w:ilvl w:val="0"/>
          <w:numId w:val="4"/>
        </w:numPr>
        <w:spacing w:line="600" w:lineRule="exact"/>
        <w:ind w:firstLine="660" w:firstLineChars="150"/>
        <w:jc w:val="center"/>
        <w:outlineLvl w:val="0"/>
        <w:rPr>
          <w:rFonts w:ascii="黑体" w:hAnsi="黑体" w:eastAsia="黑体" w:cs="Times New Roman"/>
          <w:sz w:val="44"/>
          <w:szCs w:val="44"/>
        </w:rPr>
      </w:pPr>
      <w:r>
        <w:rPr>
          <w:rFonts w:hint="eastAsia" w:ascii="黑体" w:hAnsi="黑体" w:eastAsia="黑体" w:cs="Times New Roman"/>
          <w:sz w:val="44"/>
          <w:szCs w:val="44"/>
        </w:rPr>
        <w:t>名词解释</w:t>
      </w:r>
    </w:p>
    <w:p w14:paraId="2970D3C6">
      <w:pPr>
        <w:pStyle w:val="8"/>
        <w:widowControl/>
        <w:spacing w:beforeAutospacing="0" w:afterAutospacing="0" w:line="480" w:lineRule="atLeast"/>
        <w:rPr>
          <w:color w:val="000000"/>
        </w:rPr>
      </w:pPr>
      <w:r>
        <w:rPr>
          <w:rFonts w:hint="eastAsia" w:ascii="微软雅黑" w:hAnsi="微软雅黑" w:eastAsia="微软雅黑" w:cs="微软雅黑"/>
          <w:color w:val="000000"/>
        </w:rPr>
        <w:t> </w:t>
      </w:r>
    </w:p>
    <w:p w14:paraId="0EB41469">
      <w:pPr>
        <w:pStyle w:val="1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1.财政拨款收入：指单位从同级财政部门取得的财政预算资金。</w:t>
      </w:r>
    </w:p>
    <w:p w14:paraId="31A3341E">
      <w:pPr>
        <w:pStyle w:val="1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w:t>
      </w:r>
      <w:r>
        <w:rPr>
          <w:rFonts w:hint="eastAsia" w:ascii="仿宋_GB2312" w:eastAsia="仿宋_GB2312"/>
          <w:color w:val="auto"/>
          <w:sz w:val="32"/>
          <w:szCs w:val="32"/>
        </w:rPr>
        <w:t>事业收入：指事业单位开展专业业务活动及辅助活动取得的收入。</w:t>
      </w:r>
    </w:p>
    <w:p w14:paraId="61572B4D">
      <w:pPr>
        <w:pStyle w:val="1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w:t>
      </w:r>
      <w:r>
        <w:rPr>
          <w:rFonts w:ascii="仿宋_GB2312" w:eastAsia="仿宋_GB2312"/>
          <w:color w:val="auto"/>
          <w:sz w:val="32"/>
          <w:szCs w:val="32"/>
        </w:rPr>
        <w:t>.</w:t>
      </w:r>
      <w:r>
        <w:rPr>
          <w:rFonts w:hint="eastAsia" w:ascii="仿宋_GB2312" w:eastAsia="仿宋_GB2312"/>
          <w:color w:val="auto"/>
          <w:sz w:val="32"/>
          <w:szCs w:val="32"/>
        </w:rPr>
        <w:t>经营收入：指事业单位在专业业务活动及其辅助活动之外开展非独立核算经营活动取得的收入。</w:t>
      </w:r>
    </w:p>
    <w:p w14:paraId="74B9F3DC">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14:paraId="37779BAA">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使用非财政拨款结余（含专用结余）：指事业单位使用以前年度积累的非财政拨款结余弥补当年收支差额的金额。</w:t>
      </w:r>
    </w:p>
    <w:p w14:paraId="43E6393D">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p>
    <w:p w14:paraId="3DA03DF4">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7DB242B6">
      <w:pPr>
        <w:pStyle w:val="1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8</w:t>
      </w:r>
      <w:r>
        <w:rPr>
          <w:rFonts w:ascii="仿宋_GB2312" w:eastAsia="仿宋_GB2312"/>
          <w:color w:val="auto"/>
          <w:sz w:val="32"/>
          <w:szCs w:val="32"/>
        </w:rPr>
        <w:t>.</w:t>
      </w:r>
      <w:r>
        <w:rPr>
          <w:rFonts w:hint="eastAsia" w:ascii="仿宋_GB2312" w:eastAsia="仿宋_GB2312"/>
          <w:color w:val="auto"/>
          <w:sz w:val="32"/>
          <w:szCs w:val="32"/>
        </w:rPr>
        <w:t>年末结转和结余：指单位按有关规定结转到下年或以后年度继续使用的资金。</w:t>
      </w:r>
    </w:p>
    <w:p w14:paraId="64114968">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9</w:t>
      </w:r>
      <w:r>
        <w:rPr>
          <w:rFonts w:hint="eastAsia" w:ascii="仿宋_GB2312" w:eastAsia="仿宋_GB2312"/>
          <w:color w:val="auto"/>
          <w:sz w:val="32"/>
          <w:szCs w:val="32"/>
        </w:rPr>
        <w:t>.一般公共服务（类）市场监督管理事务（款）其他市场监督管理事务（项）:反映除上述项目以外其他用于市场监督管理事务方面的支出。</w:t>
      </w:r>
    </w:p>
    <w:p w14:paraId="4C70B549">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10</w:t>
      </w:r>
      <w:r>
        <w:rPr>
          <w:rFonts w:hint="eastAsia" w:ascii="仿宋_GB2312" w:eastAsia="仿宋_GB2312"/>
          <w:color w:val="auto"/>
          <w:sz w:val="32"/>
          <w:szCs w:val="32"/>
        </w:rPr>
        <w:t>.社会保障和就业（类）行政事业单位离退休（款）机关事业单位基本养老保险缴费支出（项）:反映机关事业单位实行养老保险制度由单位缴纳的基本养老保险费支出。</w:t>
      </w:r>
    </w:p>
    <w:p w14:paraId="6F1109C4">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11</w:t>
      </w:r>
      <w:r>
        <w:rPr>
          <w:rFonts w:hint="eastAsia" w:ascii="仿宋_GB2312" w:eastAsia="仿宋_GB2312"/>
          <w:color w:val="auto"/>
          <w:sz w:val="32"/>
          <w:szCs w:val="32"/>
        </w:rPr>
        <w:t>.社会保障和就业（类）行政事业单位离退休（款）机关事业单位职业年金缴费支出（项）:反映机关事业单位实行养老保险制度由单位缴纳的职业年金支出。</w:t>
      </w:r>
    </w:p>
    <w:p w14:paraId="4B3E31DF">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12</w:t>
      </w:r>
      <w:r>
        <w:rPr>
          <w:rFonts w:hint="eastAsia" w:ascii="仿宋_GB2312" w:eastAsia="仿宋_GB2312"/>
          <w:color w:val="auto"/>
          <w:sz w:val="32"/>
          <w:szCs w:val="32"/>
        </w:rPr>
        <w:t>.社会保障和就业（类）其他社会保障和就业支出（款）其他社会保障和就业支出（项）:反映除上述项目以外其他用于社会保障和就业方面的支出。</w:t>
      </w:r>
    </w:p>
    <w:p w14:paraId="779F46A1">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13</w:t>
      </w:r>
      <w:r>
        <w:rPr>
          <w:rFonts w:hint="eastAsia" w:ascii="仿宋_GB2312" w:eastAsia="仿宋_GB2312"/>
          <w:color w:val="auto"/>
          <w:sz w:val="32"/>
          <w:szCs w:val="32"/>
        </w:rPr>
        <w:t>.卫生健康支出（类）行政事业单位医疗（款）行政单位医疗（项）:反映财政部门集中安排的行政单位基本医疗保险缴费经费，未参加医疗保险的行政单位的公费医疗经费，按国家规定享受离休人员、红军老战士待遇人员的医疗经费。</w:t>
      </w:r>
    </w:p>
    <w:p w14:paraId="41362D70">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14</w:t>
      </w:r>
      <w:r>
        <w:rPr>
          <w:rFonts w:hint="eastAsia" w:ascii="仿宋_GB2312" w:eastAsia="仿宋_GB2312"/>
          <w:color w:val="auto"/>
          <w:sz w:val="32"/>
          <w:szCs w:val="32"/>
        </w:rPr>
        <w:t>.卫生健康支出（类）行政事业单位医疗（款）公务员医疗补助（项）:反映财政部门集中安排的公务员医疗补助经费。</w:t>
      </w:r>
    </w:p>
    <w:p w14:paraId="2A684F9F">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15</w:t>
      </w:r>
      <w:r>
        <w:rPr>
          <w:rFonts w:hint="eastAsia" w:ascii="仿宋_GB2312" w:eastAsia="仿宋_GB2312"/>
          <w:color w:val="auto"/>
          <w:sz w:val="32"/>
          <w:szCs w:val="32"/>
        </w:rPr>
        <w:t>.住房保障支出（类）住房改革支出（款）住房公积金（项）：反映单位按规定为职工缴纳住房公积金。</w:t>
      </w:r>
    </w:p>
    <w:p w14:paraId="6CD5912A">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16</w:t>
      </w:r>
      <w:r>
        <w:rPr>
          <w:rFonts w:hint="eastAsia" w:ascii="仿宋_GB2312" w:eastAsia="仿宋_GB2312"/>
          <w:color w:val="auto"/>
          <w:sz w:val="32"/>
          <w:szCs w:val="32"/>
        </w:rPr>
        <w:t>.住房保障支出（类）住房改革支出（款）购房补贴（项）：反映按规定发放的购房补贴。</w:t>
      </w:r>
    </w:p>
    <w:p w14:paraId="49C71241">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17</w:t>
      </w:r>
      <w:r>
        <w:rPr>
          <w:rFonts w:hint="eastAsia" w:ascii="仿宋_GB2312" w:eastAsia="仿宋_GB2312"/>
          <w:color w:val="auto"/>
          <w:sz w:val="32"/>
          <w:szCs w:val="32"/>
        </w:rPr>
        <w:t>.基本支出：指为保障机构正常运转、完成日常工作任务而发生的人员支出和公用支出。</w:t>
      </w:r>
    </w:p>
    <w:p w14:paraId="2ACD0AF5">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18</w:t>
      </w:r>
      <w:r>
        <w:rPr>
          <w:rFonts w:hint="eastAsia" w:ascii="仿宋_GB2312" w:eastAsia="仿宋_GB2312"/>
          <w:color w:val="auto"/>
          <w:sz w:val="32"/>
          <w:szCs w:val="32"/>
        </w:rPr>
        <w:t>.项目支出：指在基本支出之外为完成特定行政任务和事业发展目标所发生的支出。</w:t>
      </w:r>
    </w:p>
    <w:p w14:paraId="51E85BE9">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19</w:t>
      </w:r>
      <w:r>
        <w:rPr>
          <w:rFonts w:hint="eastAsia" w:ascii="仿宋_GB2312" w:eastAsia="仿宋_GB2312"/>
          <w:color w:val="auto"/>
          <w:sz w:val="32"/>
          <w:szCs w:val="32"/>
        </w:rPr>
        <w:t>.经营支出：指事业单位在专业业务活动及其辅助活动之外开展非独立核算经营活动发生的支出。</w:t>
      </w:r>
    </w:p>
    <w:p w14:paraId="12A1111F">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0CC799C3">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9B79F7E">
      <w:pPr>
        <w:pStyle w:val="17"/>
        <w:spacing w:line="560" w:lineRule="exact"/>
        <w:ind w:firstLine="640" w:firstLineChars="200"/>
        <w:rPr>
          <w:rFonts w:ascii="仿宋_GB2312" w:eastAsia="仿宋_GB2312"/>
          <w:color w:val="auto"/>
          <w:sz w:val="32"/>
          <w:szCs w:val="32"/>
        </w:rPr>
      </w:pPr>
    </w:p>
    <w:p w14:paraId="1EECDBCB">
      <w:pPr>
        <w:spacing w:line="600" w:lineRule="exact"/>
        <w:outlineLvl w:val="0"/>
        <w:rPr>
          <w:rFonts w:ascii="黑体" w:hAnsi="黑体" w:eastAsia="黑体" w:cs="Times New Roman"/>
          <w:sz w:val="44"/>
          <w:szCs w:val="44"/>
        </w:rPr>
      </w:pPr>
    </w:p>
    <w:p w14:paraId="588C7D23">
      <w:pPr>
        <w:pStyle w:val="2"/>
        <w:spacing w:before="93"/>
      </w:pPr>
    </w:p>
    <w:p w14:paraId="4226F6D2">
      <w:pPr>
        <w:spacing w:line="600" w:lineRule="exact"/>
        <w:ind w:firstLine="2640" w:firstLineChars="600"/>
        <w:outlineLvl w:val="0"/>
        <w:rPr>
          <w:rFonts w:ascii="黑体" w:hAnsi="黑体" w:eastAsia="黑体" w:cs="Times New Roman"/>
          <w:sz w:val="44"/>
          <w:szCs w:val="44"/>
        </w:rPr>
      </w:pPr>
    </w:p>
    <w:p w14:paraId="12192C0B">
      <w:pPr>
        <w:spacing w:line="600" w:lineRule="exact"/>
        <w:ind w:firstLine="2640" w:firstLineChars="600"/>
        <w:outlineLvl w:val="0"/>
        <w:rPr>
          <w:rFonts w:ascii="黑体" w:hAnsi="黑体" w:eastAsia="黑体" w:cs="Times New Roman"/>
          <w:sz w:val="44"/>
          <w:szCs w:val="44"/>
        </w:rPr>
      </w:pPr>
    </w:p>
    <w:p w14:paraId="0FDBCF29">
      <w:pPr>
        <w:spacing w:line="600" w:lineRule="exact"/>
        <w:ind w:firstLine="2640" w:firstLineChars="600"/>
        <w:outlineLvl w:val="0"/>
        <w:rPr>
          <w:rFonts w:ascii="黑体" w:hAnsi="黑体" w:eastAsia="黑体" w:cs="Times New Roman"/>
          <w:sz w:val="44"/>
          <w:szCs w:val="44"/>
        </w:rPr>
      </w:pPr>
    </w:p>
    <w:p w14:paraId="719C564D">
      <w:pPr>
        <w:spacing w:line="600" w:lineRule="exact"/>
        <w:ind w:firstLine="2640" w:firstLineChars="600"/>
        <w:outlineLvl w:val="0"/>
        <w:rPr>
          <w:rFonts w:ascii="黑体" w:hAnsi="黑体" w:eastAsia="黑体" w:cs="Times New Roman"/>
          <w:sz w:val="44"/>
          <w:szCs w:val="44"/>
        </w:rPr>
      </w:pPr>
    </w:p>
    <w:p w14:paraId="6C7E07FD">
      <w:pPr>
        <w:spacing w:line="600" w:lineRule="exact"/>
        <w:ind w:firstLine="2640" w:firstLineChars="600"/>
        <w:outlineLvl w:val="0"/>
        <w:rPr>
          <w:rFonts w:ascii="黑体" w:hAnsi="黑体" w:eastAsia="黑体" w:cs="Times New Roman"/>
          <w:sz w:val="44"/>
          <w:szCs w:val="44"/>
        </w:rPr>
      </w:pPr>
    </w:p>
    <w:p w14:paraId="5D6859CC">
      <w:pPr>
        <w:spacing w:line="600" w:lineRule="exact"/>
        <w:ind w:firstLine="2640" w:firstLineChars="600"/>
        <w:outlineLvl w:val="0"/>
        <w:rPr>
          <w:rFonts w:ascii="黑体" w:hAnsi="黑体" w:eastAsia="黑体" w:cs="Times New Roman"/>
          <w:sz w:val="44"/>
          <w:szCs w:val="44"/>
        </w:rPr>
      </w:pPr>
    </w:p>
    <w:p w14:paraId="0C15C166">
      <w:pPr>
        <w:spacing w:line="600" w:lineRule="exact"/>
        <w:ind w:firstLine="2640" w:firstLineChars="600"/>
        <w:outlineLvl w:val="0"/>
        <w:rPr>
          <w:rFonts w:ascii="黑体" w:hAnsi="黑体" w:eastAsia="黑体" w:cs="Times New Roman"/>
          <w:sz w:val="44"/>
          <w:szCs w:val="44"/>
        </w:rPr>
      </w:pPr>
    </w:p>
    <w:p w14:paraId="45E0865A">
      <w:pPr>
        <w:spacing w:line="600" w:lineRule="exact"/>
        <w:ind w:firstLine="2640" w:firstLineChars="600"/>
        <w:outlineLvl w:val="0"/>
        <w:rPr>
          <w:rFonts w:ascii="黑体" w:hAnsi="黑体" w:eastAsia="黑体" w:cs="Times New Roman"/>
          <w:sz w:val="44"/>
          <w:szCs w:val="44"/>
        </w:rPr>
      </w:pPr>
    </w:p>
    <w:p w14:paraId="2EC7DBC4">
      <w:pPr>
        <w:spacing w:line="600" w:lineRule="exact"/>
        <w:ind w:firstLine="2640" w:firstLineChars="600"/>
        <w:outlineLvl w:val="0"/>
        <w:rPr>
          <w:rFonts w:ascii="黑体" w:hAnsi="黑体" w:eastAsia="黑体" w:cs="Times New Roman"/>
          <w:sz w:val="44"/>
          <w:szCs w:val="44"/>
        </w:rPr>
      </w:pPr>
    </w:p>
    <w:p w14:paraId="3ED96168">
      <w:pPr>
        <w:spacing w:line="600" w:lineRule="exact"/>
        <w:ind w:firstLine="2640" w:firstLineChars="600"/>
        <w:outlineLvl w:val="0"/>
        <w:rPr>
          <w:rFonts w:ascii="黑体" w:hAnsi="黑体" w:eastAsia="黑体" w:cs="Times New Roman"/>
          <w:sz w:val="44"/>
          <w:szCs w:val="44"/>
        </w:rPr>
      </w:pPr>
      <w:r>
        <w:rPr>
          <w:rFonts w:hint="eastAsia" w:ascii="黑体" w:hAnsi="黑体" w:eastAsia="黑体" w:cs="Times New Roman"/>
          <w:sz w:val="44"/>
          <w:szCs w:val="44"/>
        </w:rPr>
        <w:t>第四部分 附表</w:t>
      </w:r>
    </w:p>
    <w:p w14:paraId="71A3F5C2">
      <w:pPr>
        <w:pStyle w:val="4"/>
        <w:rPr>
          <w:rFonts w:ascii="仿宋" w:hAnsi="仿宋" w:eastAsia="仿宋"/>
        </w:rPr>
      </w:pPr>
      <w:r>
        <w:rPr>
          <w:rFonts w:hint="eastAsia" w:ascii="微软雅黑" w:hAnsi="微软雅黑" w:eastAsia="微软雅黑" w:cs="微软雅黑"/>
          <w:kern w:val="0"/>
          <w:sz w:val="24"/>
          <w:szCs w:val="24"/>
          <w:lang w:bidi="ar"/>
        </w:rPr>
        <w:t> </w:t>
      </w:r>
      <w:r>
        <w:rPr>
          <w:rFonts w:hint="eastAsia" w:ascii="仿宋" w:hAnsi="仿宋" w:eastAsia="仿宋"/>
          <w:b w:val="0"/>
        </w:rPr>
        <w:t>一、收</w:t>
      </w:r>
      <w:r>
        <w:rPr>
          <w:rStyle w:val="15"/>
          <w:rFonts w:hint="eastAsia" w:ascii="仿宋" w:hAnsi="仿宋" w:eastAsia="仿宋"/>
          <w:b w:val="0"/>
          <w:bCs w:val="0"/>
        </w:rPr>
        <w:t>入支出决算总表</w:t>
      </w:r>
    </w:p>
    <w:p w14:paraId="526946DD">
      <w:pPr>
        <w:pStyle w:val="4"/>
        <w:rPr>
          <w:rFonts w:ascii="仿宋" w:hAnsi="仿宋" w:eastAsia="仿宋"/>
        </w:rPr>
      </w:pPr>
      <w:bookmarkStart w:id="28" w:name="_Toc15396620"/>
      <w:r>
        <w:rPr>
          <w:rFonts w:hint="eastAsia" w:ascii="仿宋" w:hAnsi="仿宋" w:eastAsia="仿宋"/>
          <w:b w:val="0"/>
        </w:rPr>
        <w:t>二、收</w:t>
      </w:r>
      <w:r>
        <w:rPr>
          <w:rStyle w:val="15"/>
          <w:rFonts w:hint="eastAsia" w:ascii="仿宋" w:hAnsi="仿宋" w:eastAsia="仿宋"/>
          <w:b w:val="0"/>
          <w:bCs w:val="0"/>
        </w:rPr>
        <w:t>入决算表</w:t>
      </w:r>
      <w:bookmarkEnd w:id="28"/>
    </w:p>
    <w:p w14:paraId="70BD9E92">
      <w:pPr>
        <w:pStyle w:val="4"/>
        <w:rPr>
          <w:rFonts w:ascii="仿宋" w:hAnsi="仿宋" w:eastAsia="仿宋"/>
        </w:rPr>
      </w:pPr>
      <w:bookmarkStart w:id="29" w:name="_Toc15396621"/>
      <w:r>
        <w:rPr>
          <w:rStyle w:val="15"/>
          <w:rFonts w:hint="eastAsia" w:ascii="仿宋" w:hAnsi="仿宋" w:eastAsia="仿宋"/>
          <w:b w:val="0"/>
          <w:bCs w:val="0"/>
        </w:rPr>
        <w:t>三、</w:t>
      </w:r>
      <w:r>
        <w:rPr>
          <w:rFonts w:hint="eastAsia" w:ascii="仿宋" w:hAnsi="仿宋" w:eastAsia="仿宋"/>
          <w:b w:val="0"/>
        </w:rPr>
        <w:t>支</w:t>
      </w:r>
      <w:r>
        <w:rPr>
          <w:rStyle w:val="15"/>
          <w:rFonts w:hint="eastAsia" w:ascii="仿宋" w:hAnsi="仿宋" w:eastAsia="仿宋"/>
          <w:b w:val="0"/>
          <w:bCs w:val="0"/>
        </w:rPr>
        <w:t>出决算表</w:t>
      </w:r>
      <w:bookmarkEnd w:id="29"/>
    </w:p>
    <w:p w14:paraId="267D6260">
      <w:pPr>
        <w:pStyle w:val="4"/>
        <w:rPr>
          <w:rFonts w:ascii="仿宋" w:hAnsi="仿宋" w:eastAsia="仿宋"/>
          <w:b w:val="0"/>
        </w:rPr>
      </w:pPr>
      <w:bookmarkStart w:id="30" w:name="_Toc15396622"/>
      <w:r>
        <w:rPr>
          <w:rStyle w:val="15"/>
          <w:rFonts w:hint="eastAsia" w:ascii="仿宋" w:hAnsi="仿宋" w:eastAsia="仿宋"/>
          <w:b w:val="0"/>
          <w:bCs w:val="0"/>
        </w:rPr>
        <w:t>四、</w:t>
      </w:r>
      <w:r>
        <w:rPr>
          <w:rFonts w:hint="eastAsia" w:ascii="仿宋" w:hAnsi="仿宋" w:eastAsia="仿宋"/>
          <w:b w:val="0"/>
        </w:rPr>
        <w:t>财</w:t>
      </w:r>
      <w:r>
        <w:rPr>
          <w:rStyle w:val="15"/>
          <w:rFonts w:hint="eastAsia" w:ascii="仿宋" w:hAnsi="仿宋" w:eastAsia="仿宋"/>
          <w:b w:val="0"/>
          <w:bCs w:val="0"/>
        </w:rPr>
        <w:t>政拨款收入支出决算总表</w:t>
      </w:r>
      <w:bookmarkEnd w:id="30"/>
    </w:p>
    <w:p w14:paraId="338A7ADA">
      <w:pPr>
        <w:pStyle w:val="4"/>
        <w:rPr>
          <w:rStyle w:val="15"/>
          <w:rFonts w:ascii="仿宋" w:hAnsi="仿宋" w:eastAsia="仿宋"/>
          <w:b w:val="0"/>
          <w:bCs w:val="0"/>
        </w:rPr>
      </w:pPr>
      <w:bookmarkStart w:id="31" w:name="_Toc15396623"/>
      <w:r>
        <w:rPr>
          <w:rStyle w:val="15"/>
          <w:rFonts w:hint="eastAsia" w:ascii="仿宋" w:hAnsi="仿宋" w:eastAsia="仿宋"/>
          <w:b w:val="0"/>
          <w:bCs w:val="0"/>
        </w:rPr>
        <w:t>五、</w:t>
      </w:r>
      <w:r>
        <w:rPr>
          <w:rFonts w:hint="eastAsia" w:ascii="仿宋" w:hAnsi="仿宋" w:eastAsia="仿宋"/>
          <w:b w:val="0"/>
        </w:rPr>
        <w:t>财</w:t>
      </w:r>
      <w:r>
        <w:rPr>
          <w:rStyle w:val="15"/>
          <w:rFonts w:hint="eastAsia" w:ascii="仿宋" w:hAnsi="仿宋" w:eastAsia="仿宋"/>
          <w:b w:val="0"/>
          <w:bCs w:val="0"/>
        </w:rPr>
        <w:t>政拨款支出决算明细表</w:t>
      </w:r>
      <w:bookmarkEnd w:id="31"/>
      <w:bookmarkStart w:id="32" w:name="_Toc15396624"/>
    </w:p>
    <w:p w14:paraId="38560E3C">
      <w:pPr>
        <w:pStyle w:val="4"/>
        <w:rPr>
          <w:rFonts w:ascii="仿宋" w:hAnsi="仿宋" w:eastAsia="仿宋"/>
        </w:rPr>
      </w:pPr>
      <w:r>
        <w:rPr>
          <w:rStyle w:val="15"/>
          <w:rFonts w:hint="eastAsia" w:ascii="仿宋" w:hAnsi="仿宋" w:eastAsia="仿宋"/>
          <w:b w:val="0"/>
          <w:bCs w:val="0"/>
        </w:rPr>
        <w:t>六、</w:t>
      </w:r>
      <w:r>
        <w:rPr>
          <w:rFonts w:hint="eastAsia" w:ascii="仿宋" w:hAnsi="仿宋" w:eastAsia="仿宋"/>
          <w:b w:val="0"/>
        </w:rPr>
        <w:t>一</w:t>
      </w:r>
      <w:r>
        <w:rPr>
          <w:rStyle w:val="15"/>
          <w:rFonts w:hint="eastAsia" w:ascii="仿宋" w:hAnsi="仿宋" w:eastAsia="仿宋"/>
          <w:b w:val="0"/>
          <w:bCs w:val="0"/>
        </w:rPr>
        <w:t>般公共预算财政拨款支出决算表</w:t>
      </w:r>
      <w:bookmarkEnd w:id="32"/>
    </w:p>
    <w:p w14:paraId="0761779D">
      <w:pPr>
        <w:pStyle w:val="4"/>
        <w:rPr>
          <w:rFonts w:ascii="仿宋" w:hAnsi="仿宋" w:eastAsia="仿宋"/>
        </w:rPr>
      </w:pPr>
      <w:bookmarkStart w:id="33" w:name="_Toc15396625"/>
      <w:r>
        <w:rPr>
          <w:rStyle w:val="15"/>
          <w:rFonts w:hint="eastAsia" w:ascii="仿宋" w:hAnsi="仿宋" w:eastAsia="仿宋"/>
          <w:b w:val="0"/>
          <w:bCs w:val="0"/>
        </w:rPr>
        <w:t>七、</w:t>
      </w:r>
      <w:r>
        <w:rPr>
          <w:rFonts w:hint="eastAsia" w:ascii="仿宋" w:hAnsi="仿宋" w:eastAsia="仿宋"/>
          <w:b w:val="0"/>
        </w:rPr>
        <w:t>一</w:t>
      </w:r>
      <w:r>
        <w:rPr>
          <w:rStyle w:val="15"/>
          <w:rFonts w:hint="eastAsia" w:ascii="仿宋" w:hAnsi="仿宋" w:eastAsia="仿宋"/>
          <w:b w:val="0"/>
          <w:bCs w:val="0"/>
        </w:rPr>
        <w:t>般公共预算财政拨款支出决算明细表</w:t>
      </w:r>
      <w:bookmarkEnd w:id="33"/>
    </w:p>
    <w:p w14:paraId="0BCB02B6">
      <w:pPr>
        <w:pStyle w:val="4"/>
        <w:rPr>
          <w:rFonts w:ascii="仿宋" w:hAnsi="仿宋" w:eastAsia="仿宋"/>
        </w:rPr>
      </w:pPr>
      <w:bookmarkStart w:id="34" w:name="_Toc15396626"/>
      <w:r>
        <w:rPr>
          <w:rStyle w:val="15"/>
          <w:rFonts w:hint="eastAsia" w:ascii="仿宋" w:hAnsi="仿宋" w:eastAsia="仿宋"/>
          <w:b w:val="0"/>
          <w:bCs w:val="0"/>
        </w:rPr>
        <w:t>八、</w:t>
      </w:r>
      <w:r>
        <w:rPr>
          <w:rFonts w:hint="eastAsia" w:ascii="仿宋" w:hAnsi="仿宋" w:eastAsia="仿宋"/>
          <w:b w:val="0"/>
        </w:rPr>
        <w:t>一</w:t>
      </w:r>
      <w:r>
        <w:rPr>
          <w:rStyle w:val="15"/>
          <w:rFonts w:hint="eastAsia" w:ascii="仿宋" w:hAnsi="仿宋" w:eastAsia="仿宋"/>
          <w:b w:val="0"/>
          <w:bCs w:val="0"/>
        </w:rPr>
        <w:t>般公共预算财政拨款基本支出决算明细表</w:t>
      </w:r>
      <w:bookmarkEnd w:id="34"/>
    </w:p>
    <w:p w14:paraId="2FB814F0">
      <w:pPr>
        <w:pStyle w:val="4"/>
        <w:rPr>
          <w:rFonts w:ascii="仿宋" w:hAnsi="仿宋" w:eastAsia="仿宋"/>
        </w:rPr>
      </w:pPr>
      <w:bookmarkStart w:id="35" w:name="_Toc15396627"/>
      <w:r>
        <w:rPr>
          <w:rStyle w:val="15"/>
          <w:rFonts w:hint="eastAsia" w:ascii="仿宋" w:hAnsi="仿宋" w:eastAsia="仿宋"/>
          <w:b w:val="0"/>
          <w:bCs w:val="0"/>
        </w:rPr>
        <w:t>九、</w:t>
      </w:r>
      <w:r>
        <w:rPr>
          <w:rFonts w:hint="eastAsia" w:ascii="仿宋" w:hAnsi="仿宋" w:eastAsia="仿宋"/>
          <w:b w:val="0"/>
        </w:rPr>
        <w:t>一</w:t>
      </w:r>
      <w:r>
        <w:rPr>
          <w:rStyle w:val="15"/>
          <w:rFonts w:hint="eastAsia" w:ascii="仿宋" w:hAnsi="仿宋" w:eastAsia="仿宋"/>
          <w:b w:val="0"/>
          <w:bCs w:val="0"/>
        </w:rPr>
        <w:t>般公共预算财政拨款项目支出决算表</w:t>
      </w:r>
      <w:bookmarkEnd w:id="35"/>
    </w:p>
    <w:p w14:paraId="659110DA">
      <w:pPr>
        <w:pStyle w:val="4"/>
        <w:rPr>
          <w:rFonts w:ascii="仿宋" w:hAnsi="仿宋" w:eastAsia="仿宋"/>
        </w:rPr>
      </w:pPr>
      <w:bookmarkStart w:id="36" w:name="_Toc15396628"/>
      <w:r>
        <w:rPr>
          <w:rStyle w:val="15"/>
          <w:rFonts w:hint="eastAsia" w:ascii="仿宋" w:hAnsi="仿宋" w:eastAsia="仿宋"/>
          <w:b w:val="0"/>
          <w:bCs w:val="0"/>
        </w:rPr>
        <w:t>十、</w:t>
      </w:r>
      <w:bookmarkEnd w:id="36"/>
      <w:r>
        <w:rPr>
          <w:rFonts w:hint="eastAsia" w:ascii="仿宋" w:hAnsi="仿宋" w:eastAsia="仿宋"/>
          <w:b w:val="0"/>
        </w:rPr>
        <w:t>政</w:t>
      </w:r>
      <w:r>
        <w:rPr>
          <w:rStyle w:val="15"/>
          <w:rFonts w:hint="eastAsia" w:ascii="仿宋" w:hAnsi="仿宋" w:eastAsia="仿宋"/>
          <w:b w:val="0"/>
          <w:bCs w:val="0"/>
        </w:rPr>
        <w:t>府性基金预算财政拨款收入支出决算表</w:t>
      </w:r>
    </w:p>
    <w:p w14:paraId="0BD828FA">
      <w:pPr>
        <w:pStyle w:val="4"/>
        <w:rPr>
          <w:rFonts w:ascii="仿宋" w:hAnsi="仿宋" w:eastAsia="仿宋"/>
        </w:rPr>
      </w:pPr>
      <w:bookmarkStart w:id="37" w:name="_Toc15396629"/>
      <w:r>
        <w:rPr>
          <w:rStyle w:val="15"/>
          <w:rFonts w:hint="eastAsia" w:ascii="仿宋" w:hAnsi="仿宋" w:eastAsia="仿宋"/>
          <w:b w:val="0"/>
          <w:bCs w:val="0"/>
        </w:rPr>
        <w:t>十一、</w:t>
      </w:r>
      <w:bookmarkEnd w:id="37"/>
      <w:r>
        <w:rPr>
          <w:rFonts w:hint="eastAsia" w:ascii="仿宋" w:hAnsi="仿宋" w:eastAsia="仿宋"/>
          <w:b w:val="0"/>
        </w:rPr>
        <w:t>国</w:t>
      </w:r>
      <w:r>
        <w:rPr>
          <w:rStyle w:val="15"/>
          <w:rFonts w:hint="eastAsia" w:ascii="仿宋" w:hAnsi="仿宋" w:eastAsia="仿宋"/>
          <w:b w:val="0"/>
          <w:bCs w:val="0"/>
        </w:rPr>
        <w:t>有资本经营预算财政拨款收入支出决算表</w:t>
      </w:r>
    </w:p>
    <w:p w14:paraId="7A02F2DD">
      <w:pPr>
        <w:pStyle w:val="4"/>
        <w:rPr>
          <w:rFonts w:ascii="仿宋" w:hAnsi="仿宋" w:eastAsia="仿宋"/>
        </w:rPr>
      </w:pPr>
      <w:bookmarkStart w:id="38" w:name="_Toc15396630"/>
      <w:r>
        <w:rPr>
          <w:rStyle w:val="15"/>
          <w:rFonts w:hint="eastAsia" w:ascii="仿宋" w:hAnsi="仿宋" w:eastAsia="仿宋"/>
          <w:b w:val="0"/>
          <w:bCs w:val="0"/>
        </w:rPr>
        <w:t>十二、</w:t>
      </w:r>
      <w:bookmarkEnd w:id="38"/>
      <w:r>
        <w:rPr>
          <w:rStyle w:val="15"/>
          <w:rFonts w:hint="eastAsia" w:ascii="仿宋" w:hAnsi="仿宋" w:eastAsia="仿宋"/>
          <w:b w:val="0"/>
          <w:bCs w:val="0"/>
        </w:rPr>
        <w:t>国有资本经营预算财政拨款支出决算表</w:t>
      </w:r>
    </w:p>
    <w:p w14:paraId="1EE4C987">
      <w:pPr>
        <w:pStyle w:val="4"/>
        <w:rPr>
          <w:rFonts w:eastAsia="仿宋"/>
        </w:rPr>
      </w:pPr>
      <w:bookmarkStart w:id="39" w:name="_Toc15396631"/>
      <w:r>
        <w:rPr>
          <w:rStyle w:val="15"/>
          <w:rFonts w:hint="eastAsia" w:ascii="仿宋" w:hAnsi="仿宋" w:eastAsia="仿宋"/>
          <w:b w:val="0"/>
          <w:bCs w:val="0"/>
        </w:rPr>
        <w:t>十三、</w:t>
      </w:r>
      <w:bookmarkEnd w:id="39"/>
      <w:r>
        <w:rPr>
          <w:rStyle w:val="15"/>
          <w:rFonts w:hint="eastAsia" w:ascii="仿宋" w:hAnsi="仿宋" w:eastAsia="仿宋"/>
          <w:b w:val="0"/>
          <w:bCs w:val="0"/>
        </w:rPr>
        <w:t>财政拨款“三公”经费支出决算表</w:t>
      </w:r>
    </w:p>
    <w:p w14:paraId="3DE35F4F">
      <w:pPr>
        <w:widowControl/>
        <w:jc w:val="left"/>
      </w:pPr>
    </w:p>
    <w:p w14:paraId="6B4F2909">
      <w:pPr>
        <w:pStyle w:val="8"/>
        <w:widowControl/>
        <w:spacing w:beforeAutospacing="0" w:afterAutospacing="0" w:line="480" w:lineRule="atLeast"/>
        <w:rPr>
          <w:color w:val="000000"/>
        </w:rPr>
      </w:pPr>
      <w:r>
        <w:rPr>
          <w:rFonts w:hint="eastAsia" w:ascii="微软雅黑" w:hAnsi="微软雅黑" w:eastAsia="微软雅黑" w:cs="微软雅黑"/>
          <w:color w:val="000000"/>
        </w:rPr>
        <w:t> </w:t>
      </w:r>
    </w:p>
    <w:p w14:paraId="59642471">
      <w:pPr>
        <w:pStyle w:val="8"/>
        <w:widowControl/>
        <w:spacing w:beforeAutospacing="0" w:afterAutospacing="0" w:line="480" w:lineRule="atLeast"/>
        <w:rPr>
          <w:color w:val="000000"/>
        </w:rPr>
      </w:pPr>
    </w:p>
    <w:p w14:paraId="4C3125D6"/>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1182163"/>
      <w:docPartObj>
        <w:docPartGallery w:val="autotext"/>
      </w:docPartObj>
    </w:sdtPr>
    <w:sdtContent>
      <w:p w14:paraId="0CED1543">
        <w:pPr>
          <w:pStyle w:val="5"/>
          <w:jc w:val="center"/>
        </w:pPr>
        <w:r>
          <w:fldChar w:fldCharType="begin"/>
        </w:r>
        <w:r>
          <w:instrText xml:space="preserve">PAGE   \* MERGEFORMAT</w:instrText>
        </w:r>
        <w:r>
          <w:fldChar w:fldCharType="separate"/>
        </w:r>
        <w:r>
          <w:rPr>
            <w:lang w:val="zh-CN"/>
          </w:rPr>
          <w:t>12</w:t>
        </w:r>
        <w:r>
          <w:fldChar w:fldCharType="end"/>
        </w:r>
      </w:p>
    </w:sdtContent>
  </w:sdt>
  <w:p w14:paraId="0F71C6E9">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1">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818A09A"/>
    <w:multiLevelType w:val="singleLevel"/>
    <w:tmpl w:val="3818A09A"/>
    <w:lvl w:ilvl="0" w:tentative="0">
      <w:start w:val="1"/>
      <w:numFmt w:val="chineseCounting"/>
      <w:suff w:val="nothing"/>
      <w:lvlText w:val="%1、"/>
      <w:lvlJc w:val="left"/>
      <w:rPr>
        <w:rFonts w:hint="eastAsia"/>
      </w:rPr>
    </w:lvl>
  </w:abstractNum>
  <w:abstractNum w:abstractNumId="3">
    <w:nsid w:val="572D4797"/>
    <w:multiLevelType w:val="singleLevel"/>
    <w:tmpl w:val="572D4797"/>
    <w:lvl w:ilvl="0" w:tentative="0">
      <w:start w:val="2"/>
      <w:numFmt w:val="chineseCounting"/>
      <w:suff w:val="space"/>
      <w:lvlText w:val="第%1部分"/>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xZWVlYTY2NzE4NTIxMTFhOTU4ZjY0Y2QyYjJmNTUifQ=="/>
  </w:docVars>
  <w:rsids>
    <w:rsidRoot w:val="00141ED8"/>
    <w:rsid w:val="000051A7"/>
    <w:rsid w:val="00007926"/>
    <w:rsid w:val="00012785"/>
    <w:rsid w:val="0001363B"/>
    <w:rsid w:val="000156FF"/>
    <w:rsid w:val="000160DD"/>
    <w:rsid w:val="000332FB"/>
    <w:rsid w:val="00033D14"/>
    <w:rsid w:val="000344C6"/>
    <w:rsid w:val="0005545B"/>
    <w:rsid w:val="00063BB9"/>
    <w:rsid w:val="00076CC4"/>
    <w:rsid w:val="00092A9B"/>
    <w:rsid w:val="000A198D"/>
    <w:rsid w:val="000A3E01"/>
    <w:rsid w:val="000A7C61"/>
    <w:rsid w:val="000B20CE"/>
    <w:rsid w:val="000B3367"/>
    <w:rsid w:val="000B7534"/>
    <w:rsid w:val="000C16A4"/>
    <w:rsid w:val="000D1A73"/>
    <w:rsid w:val="000E0834"/>
    <w:rsid w:val="000E1300"/>
    <w:rsid w:val="000E4DA1"/>
    <w:rsid w:val="000F3298"/>
    <w:rsid w:val="00101DF6"/>
    <w:rsid w:val="00114C37"/>
    <w:rsid w:val="00122285"/>
    <w:rsid w:val="0012328D"/>
    <w:rsid w:val="00123A5B"/>
    <w:rsid w:val="001259AC"/>
    <w:rsid w:val="001264CC"/>
    <w:rsid w:val="00141ED8"/>
    <w:rsid w:val="00145DBD"/>
    <w:rsid w:val="00175D15"/>
    <w:rsid w:val="0018240F"/>
    <w:rsid w:val="001841D4"/>
    <w:rsid w:val="001A0295"/>
    <w:rsid w:val="001A0912"/>
    <w:rsid w:val="001A535E"/>
    <w:rsid w:val="001B318C"/>
    <w:rsid w:val="001B71B5"/>
    <w:rsid w:val="001C034C"/>
    <w:rsid w:val="001C23E8"/>
    <w:rsid w:val="001C3414"/>
    <w:rsid w:val="001C3D16"/>
    <w:rsid w:val="001C4A08"/>
    <w:rsid w:val="001C556C"/>
    <w:rsid w:val="001E5257"/>
    <w:rsid w:val="001F2A31"/>
    <w:rsid w:val="00203334"/>
    <w:rsid w:val="00205D53"/>
    <w:rsid w:val="00222E7C"/>
    <w:rsid w:val="00231704"/>
    <w:rsid w:val="002350CC"/>
    <w:rsid w:val="002351D2"/>
    <w:rsid w:val="00237455"/>
    <w:rsid w:val="002424C9"/>
    <w:rsid w:val="00244F1A"/>
    <w:rsid w:val="00251EAF"/>
    <w:rsid w:val="00255599"/>
    <w:rsid w:val="00257EFB"/>
    <w:rsid w:val="00262AE0"/>
    <w:rsid w:val="002638E7"/>
    <w:rsid w:val="00263A89"/>
    <w:rsid w:val="00271555"/>
    <w:rsid w:val="00274042"/>
    <w:rsid w:val="002741EB"/>
    <w:rsid w:val="00283490"/>
    <w:rsid w:val="00283718"/>
    <w:rsid w:val="002A0FF9"/>
    <w:rsid w:val="002A4B00"/>
    <w:rsid w:val="002B08DD"/>
    <w:rsid w:val="002C0365"/>
    <w:rsid w:val="002C0FE2"/>
    <w:rsid w:val="002D1895"/>
    <w:rsid w:val="002F660B"/>
    <w:rsid w:val="00317594"/>
    <w:rsid w:val="00346731"/>
    <w:rsid w:val="003524FB"/>
    <w:rsid w:val="003728D1"/>
    <w:rsid w:val="003774CC"/>
    <w:rsid w:val="00385EB7"/>
    <w:rsid w:val="0039424D"/>
    <w:rsid w:val="00395EA4"/>
    <w:rsid w:val="003B4A32"/>
    <w:rsid w:val="003C45E2"/>
    <w:rsid w:val="003C5C4D"/>
    <w:rsid w:val="003D2BA1"/>
    <w:rsid w:val="003D4B79"/>
    <w:rsid w:val="003E0865"/>
    <w:rsid w:val="003E5498"/>
    <w:rsid w:val="003F57F4"/>
    <w:rsid w:val="00404D3F"/>
    <w:rsid w:val="004051B5"/>
    <w:rsid w:val="00413B3B"/>
    <w:rsid w:val="004318FD"/>
    <w:rsid w:val="00442902"/>
    <w:rsid w:val="00444AC3"/>
    <w:rsid w:val="00457753"/>
    <w:rsid w:val="004615E7"/>
    <w:rsid w:val="00470D4B"/>
    <w:rsid w:val="00480053"/>
    <w:rsid w:val="00490F8E"/>
    <w:rsid w:val="0049480D"/>
    <w:rsid w:val="004A48B8"/>
    <w:rsid w:val="004A6C37"/>
    <w:rsid w:val="004B2550"/>
    <w:rsid w:val="004B313B"/>
    <w:rsid w:val="004C2C9B"/>
    <w:rsid w:val="004C4FB1"/>
    <w:rsid w:val="004C6785"/>
    <w:rsid w:val="004E64A2"/>
    <w:rsid w:val="004E7C78"/>
    <w:rsid w:val="00503DEE"/>
    <w:rsid w:val="00506552"/>
    <w:rsid w:val="00512075"/>
    <w:rsid w:val="00512740"/>
    <w:rsid w:val="00517421"/>
    <w:rsid w:val="00522428"/>
    <w:rsid w:val="005329ED"/>
    <w:rsid w:val="005351CC"/>
    <w:rsid w:val="00541616"/>
    <w:rsid w:val="00574191"/>
    <w:rsid w:val="005930B2"/>
    <w:rsid w:val="00595433"/>
    <w:rsid w:val="005968F1"/>
    <w:rsid w:val="005A47CF"/>
    <w:rsid w:val="005B3486"/>
    <w:rsid w:val="005B527F"/>
    <w:rsid w:val="005C0A8D"/>
    <w:rsid w:val="005E1F20"/>
    <w:rsid w:val="006013E4"/>
    <w:rsid w:val="0060436A"/>
    <w:rsid w:val="00613881"/>
    <w:rsid w:val="00622C3F"/>
    <w:rsid w:val="0062562D"/>
    <w:rsid w:val="006306C6"/>
    <w:rsid w:val="00630D8E"/>
    <w:rsid w:val="00634CF7"/>
    <w:rsid w:val="006352A4"/>
    <w:rsid w:val="0064238E"/>
    <w:rsid w:val="00645B09"/>
    <w:rsid w:val="00651AE6"/>
    <w:rsid w:val="00653F54"/>
    <w:rsid w:val="00654D52"/>
    <w:rsid w:val="00655DED"/>
    <w:rsid w:val="00674ABE"/>
    <w:rsid w:val="00690CE4"/>
    <w:rsid w:val="006A52A1"/>
    <w:rsid w:val="006B04A1"/>
    <w:rsid w:val="006B3B67"/>
    <w:rsid w:val="006B5526"/>
    <w:rsid w:val="006B7AB7"/>
    <w:rsid w:val="006C6B1C"/>
    <w:rsid w:val="006D0940"/>
    <w:rsid w:val="006D11BE"/>
    <w:rsid w:val="006D4C38"/>
    <w:rsid w:val="00700215"/>
    <w:rsid w:val="00717EB7"/>
    <w:rsid w:val="00731BEA"/>
    <w:rsid w:val="007342DF"/>
    <w:rsid w:val="00734870"/>
    <w:rsid w:val="007560A9"/>
    <w:rsid w:val="00763463"/>
    <w:rsid w:val="00771DC9"/>
    <w:rsid w:val="00773E8C"/>
    <w:rsid w:val="00782226"/>
    <w:rsid w:val="00790C77"/>
    <w:rsid w:val="00794A71"/>
    <w:rsid w:val="007A3B00"/>
    <w:rsid w:val="007B597D"/>
    <w:rsid w:val="007C15E1"/>
    <w:rsid w:val="007C7429"/>
    <w:rsid w:val="007D0EC1"/>
    <w:rsid w:val="007D579C"/>
    <w:rsid w:val="007D637D"/>
    <w:rsid w:val="007E6C14"/>
    <w:rsid w:val="007E71B1"/>
    <w:rsid w:val="007E7DE7"/>
    <w:rsid w:val="007F3AED"/>
    <w:rsid w:val="007F6906"/>
    <w:rsid w:val="00812426"/>
    <w:rsid w:val="00812884"/>
    <w:rsid w:val="0081564D"/>
    <w:rsid w:val="00821AAE"/>
    <w:rsid w:val="00822F87"/>
    <w:rsid w:val="00833434"/>
    <w:rsid w:val="008424E1"/>
    <w:rsid w:val="00844F96"/>
    <w:rsid w:val="00853B82"/>
    <w:rsid w:val="008576AC"/>
    <w:rsid w:val="008610CD"/>
    <w:rsid w:val="00863185"/>
    <w:rsid w:val="00873953"/>
    <w:rsid w:val="00877316"/>
    <w:rsid w:val="00882D32"/>
    <w:rsid w:val="00897E21"/>
    <w:rsid w:val="008D3404"/>
    <w:rsid w:val="008E4581"/>
    <w:rsid w:val="008E7848"/>
    <w:rsid w:val="008F2293"/>
    <w:rsid w:val="008F2F1A"/>
    <w:rsid w:val="00902D14"/>
    <w:rsid w:val="00902E0C"/>
    <w:rsid w:val="00906341"/>
    <w:rsid w:val="00907728"/>
    <w:rsid w:val="009163E4"/>
    <w:rsid w:val="00940ADB"/>
    <w:rsid w:val="009611EF"/>
    <w:rsid w:val="00962055"/>
    <w:rsid w:val="0096774F"/>
    <w:rsid w:val="00977469"/>
    <w:rsid w:val="009904C9"/>
    <w:rsid w:val="00994F83"/>
    <w:rsid w:val="009A3A3E"/>
    <w:rsid w:val="009C0FCD"/>
    <w:rsid w:val="009C1F0D"/>
    <w:rsid w:val="009E0E4C"/>
    <w:rsid w:val="009E2866"/>
    <w:rsid w:val="009E3DFE"/>
    <w:rsid w:val="009E7B1A"/>
    <w:rsid w:val="009F5304"/>
    <w:rsid w:val="009F78F4"/>
    <w:rsid w:val="00A05BAB"/>
    <w:rsid w:val="00A15CB1"/>
    <w:rsid w:val="00A454CC"/>
    <w:rsid w:val="00A634B5"/>
    <w:rsid w:val="00A84A65"/>
    <w:rsid w:val="00A8753D"/>
    <w:rsid w:val="00A93225"/>
    <w:rsid w:val="00AC1A2B"/>
    <w:rsid w:val="00AC1C65"/>
    <w:rsid w:val="00AD0C6B"/>
    <w:rsid w:val="00AE1A92"/>
    <w:rsid w:val="00AF4F5A"/>
    <w:rsid w:val="00AF4FDF"/>
    <w:rsid w:val="00AF703A"/>
    <w:rsid w:val="00B104D5"/>
    <w:rsid w:val="00B10A34"/>
    <w:rsid w:val="00B26D54"/>
    <w:rsid w:val="00B61AF2"/>
    <w:rsid w:val="00B640DA"/>
    <w:rsid w:val="00B73CB1"/>
    <w:rsid w:val="00B74C0E"/>
    <w:rsid w:val="00B81CF6"/>
    <w:rsid w:val="00B904D7"/>
    <w:rsid w:val="00B92EFC"/>
    <w:rsid w:val="00B94668"/>
    <w:rsid w:val="00BA330E"/>
    <w:rsid w:val="00BB6A8C"/>
    <w:rsid w:val="00BB7DB1"/>
    <w:rsid w:val="00BB7EF1"/>
    <w:rsid w:val="00BD6FBF"/>
    <w:rsid w:val="00BD7289"/>
    <w:rsid w:val="00BF07B4"/>
    <w:rsid w:val="00C07B39"/>
    <w:rsid w:val="00C226B1"/>
    <w:rsid w:val="00C46E33"/>
    <w:rsid w:val="00C47233"/>
    <w:rsid w:val="00C63AF0"/>
    <w:rsid w:val="00C7244F"/>
    <w:rsid w:val="00C85777"/>
    <w:rsid w:val="00CA0481"/>
    <w:rsid w:val="00CC3587"/>
    <w:rsid w:val="00CD0E71"/>
    <w:rsid w:val="00CD1142"/>
    <w:rsid w:val="00CD6272"/>
    <w:rsid w:val="00CD6969"/>
    <w:rsid w:val="00CD7013"/>
    <w:rsid w:val="00CE3320"/>
    <w:rsid w:val="00D01058"/>
    <w:rsid w:val="00D13414"/>
    <w:rsid w:val="00D24627"/>
    <w:rsid w:val="00D2647E"/>
    <w:rsid w:val="00D30F2E"/>
    <w:rsid w:val="00D36F6E"/>
    <w:rsid w:val="00D513D0"/>
    <w:rsid w:val="00D53162"/>
    <w:rsid w:val="00D607CB"/>
    <w:rsid w:val="00D67AD5"/>
    <w:rsid w:val="00D82804"/>
    <w:rsid w:val="00D952E6"/>
    <w:rsid w:val="00DA6BE6"/>
    <w:rsid w:val="00DB1AAE"/>
    <w:rsid w:val="00DB4B4C"/>
    <w:rsid w:val="00DB5DFD"/>
    <w:rsid w:val="00DC39E4"/>
    <w:rsid w:val="00DD1CF5"/>
    <w:rsid w:val="00DD25DC"/>
    <w:rsid w:val="00DE5F8B"/>
    <w:rsid w:val="00DF19F2"/>
    <w:rsid w:val="00DF2646"/>
    <w:rsid w:val="00E046B2"/>
    <w:rsid w:val="00E1195F"/>
    <w:rsid w:val="00E12A85"/>
    <w:rsid w:val="00E17BC4"/>
    <w:rsid w:val="00E26C0D"/>
    <w:rsid w:val="00E429DC"/>
    <w:rsid w:val="00E5291C"/>
    <w:rsid w:val="00E57D55"/>
    <w:rsid w:val="00E57FBE"/>
    <w:rsid w:val="00E6264A"/>
    <w:rsid w:val="00E72ADB"/>
    <w:rsid w:val="00E8068C"/>
    <w:rsid w:val="00E8178A"/>
    <w:rsid w:val="00E8403F"/>
    <w:rsid w:val="00EB5172"/>
    <w:rsid w:val="00EB57E0"/>
    <w:rsid w:val="00EB5A35"/>
    <w:rsid w:val="00EB6523"/>
    <w:rsid w:val="00EB7C14"/>
    <w:rsid w:val="00EC3B48"/>
    <w:rsid w:val="00ED2F67"/>
    <w:rsid w:val="00ED5D09"/>
    <w:rsid w:val="00EE046C"/>
    <w:rsid w:val="00EE437F"/>
    <w:rsid w:val="00EE5483"/>
    <w:rsid w:val="00EF1541"/>
    <w:rsid w:val="00EF2F09"/>
    <w:rsid w:val="00EF36BD"/>
    <w:rsid w:val="00EF47B7"/>
    <w:rsid w:val="00F024AD"/>
    <w:rsid w:val="00F33D32"/>
    <w:rsid w:val="00F34733"/>
    <w:rsid w:val="00F415E4"/>
    <w:rsid w:val="00F419EE"/>
    <w:rsid w:val="00F47AF3"/>
    <w:rsid w:val="00F6613F"/>
    <w:rsid w:val="00F716ED"/>
    <w:rsid w:val="00F74EAC"/>
    <w:rsid w:val="00F779EB"/>
    <w:rsid w:val="00F84EED"/>
    <w:rsid w:val="00F86532"/>
    <w:rsid w:val="00F91825"/>
    <w:rsid w:val="00F95C67"/>
    <w:rsid w:val="00FA07D9"/>
    <w:rsid w:val="00FA1698"/>
    <w:rsid w:val="00FB3F81"/>
    <w:rsid w:val="00FC6150"/>
    <w:rsid w:val="00FE26C7"/>
    <w:rsid w:val="00FE633F"/>
    <w:rsid w:val="00FF5013"/>
    <w:rsid w:val="01A7220F"/>
    <w:rsid w:val="030B4515"/>
    <w:rsid w:val="032718C6"/>
    <w:rsid w:val="04A278F1"/>
    <w:rsid w:val="058E015F"/>
    <w:rsid w:val="05A060A2"/>
    <w:rsid w:val="05B11678"/>
    <w:rsid w:val="071E34F0"/>
    <w:rsid w:val="0BD62EBC"/>
    <w:rsid w:val="0EC3589B"/>
    <w:rsid w:val="1163639A"/>
    <w:rsid w:val="13313DF9"/>
    <w:rsid w:val="178B1C36"/>
    <w:rsid w:val="1A8F4702"/>
    <w:rsid w:val="1CD4640E"/>
    <w:rsid w:val="21796761"/>
    <w:rsid w:val="2492283E"/>
    <w:rsid w:val="253E0711"/>
    <w:rsid w:val="257D5546"/>
    <w:rsid w:val="267C41A0"/>
    <w:rsid w:val="2BCF5DEC"/>
    <w:rsid w:val="2C9A7791"/>
    <w:rsid w:val="2E265C1A"/>
    <w:rsid w:val="2EA87FC4"/>
    <w:rsid w:val="31745184"/>
    <w:rsid w:val="35D80A40"/>
    <w:rsid w:val="37B0685D"/>
    <w:rsid w:val="37CE40C9"/>
    <w:rsid w:val="3891329A"/>
    <w:rsid w:val="396A50BF"/>
    <w:rsid w:val="3AFE35BC"/>
    <w:rsid w:val="3C000A3A"/>
    <w:rsid w:val="3C5C4EC6"/>
    <w:rsid w:val="42F6792C"/>
    <w:rsid w:val="4DA60964"/>
    <w:rsid w:val="4E8F16CF"/>
    <w:rsid w:val="504306EC"/>
    <w:rsid w:val="54120E9D"/>
    <w:rsid w:val="54F71AA5"/>
    <w:rsid w:val="54F741E0"/>
    <w:rsid w:val="581209C5"/>
    <w:rsid w:val="597934DA"/>
    <w:rsid w:val="5BC41BEF"/>
    <w:rsid w:val="5D8847A7"/>
    <w:rsid w:val="5D9D7BB3"/>
    <w:rsid w:val="62F85366"/>
    <w:rsid w:val="64A23AC4"/>
    <w:rsid w:val="67183BB9"/>
    <w:rsid w:val="6AE41DB7"/>
    <w:rsid w:val="6B112E32"/>
    <w:rsid w:val="6BA24EE1"/>
    <w:rsid w:val="6BDF5F73"/>
    <w:rsid w:val="6F3523AC"/>
    <w:rsid w:val="71626DAF"/>
    <w:rsid w:val="72EA4D1B"/>
    <w:rsid w:val="741E2663"/>
    <w:rsid w:val="766059C7"/>
    <w:rsid w:val="76D73569"/>
    <w:rsid w:val="76E97E9B"/>
    <w:rsid w:val="77E849C3"/>
    <w:rsid w:val="7A8D6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link w:val="30"/>
    <w:qFormat/>
    <w:uiPriority w:val="99"/>
    <w:pPr>
      <w:spacing w:beforeLines="30"/>
    </w:pPr>
    <w:rPr>
      <w:rFonts w:ascii="仿宋_GB2312" w:eastAsia="仿宋_GB2312"/>
      <w:kern w:val="0"/>
      <w:sz w:val="30"/>
    </w:rPr>
  </w:style>
  <w:style w:type="paragraph" w:styleId="5">
    <w:name w:val="footer"/>
    <w:basedOn w:val="1"/>
    <w:link w:val="45"/>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8">
    <w:name w:val="Normal (Web)"/>
    <w:basedOn w:val="1"/>
    <w:qFormat/>
    <w:uiPriority w:val="0"/>
    <w:pPr>
      <w:spacing w:beforeAutospacing="1" w:afterAutospacing="1"/>
      <w:jc w:val="left"/>
    </w:pPr>
    <w:rPr>
      <w:rFonts w:cs="Times New Roman"/>
      <w:kern w:val="0"/>
      <w:sz w:val="24"/>
    </w:rPr>
  </w:style>
  <w:style w:type="character" w:styleId="11">
    <w:name w:val="Strong"/>
    <w:basedOn w:val="10"/>
    <w:qFormat/>
    <w:uiPriority w:val="99"/>
    <w:rPr>
      <w:b/>
    </w:rPr>
  </w:style>
  <w:style w:type="character" w:styleId="12">
    <w:name w:val="FollowedHyperlink"/>
    <w:basedOn w:val="10"/>
    <w:unhideWhenUsed/>
    <w:qFormat/>
    <w:uiPriority w:val="99"/>
    <w:rPr>
      <w:color w:val="800080"/>
      <w:u w:val="single"/>
    </w:rPr>
  </w:style>
  <w:style w:type="character" w:styleId="13">
    <w:name w:val="Hyperlink"/>
    <w:basedOn w:val="10"/>
    <w:qFormat/>
    <w:uiPriority w:val="99"/>
    <w:rPr>
      <w:color w:val="0000FF"/>
      <w:u w:val="single"/>
    </w:rPr>
  </w:style>
  <w:style w:type="character" w:customStyle="1" w:styleId="14">
    <w:name w:val="标题 1 字符"/>
    <w:basedOn w:val="10"/>
    <w:link w:val="3"/>
    <w:qFormat/>
    <w:uiPriority w:val="9"/>
    <w:rPr>
      <w:b/>
      <w:bCs/>
      <w:kern w:val="44"/>
      <w:sz w:val="44"/>
      <w:szCs w:val="44"/>
    </w:rPr>
  </w:style>
  <w:style w:type="character" w:customStyle="1" w:styleId="15">
    <w:name w:val="标题 2 字符"/>
    <w:basedOn w:val="10"/>
    <w:link w:val="4"/>
    <w:qFormat/>
    <w:uiPriority w:val="9"/>
    <w:rPr>
      <w:rFonts w:asciiTheme="majorHAnsi" w:hAnsiTheme="majorHAnsi" w:eastAsiaTheme="majorEastAsia" w:cstheme="majorBidi"/>
      <w:b/>
      <w:bCs/>
      <w:sz w:val="32"/>
      <w:szCs w:val="32"/>
    </w:rPr>
  </w:style>
  <w:style w:type="paragraph" w:styleId="16">
    <w:name w:val="List Paragraph"/>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18">
    <w:name w:val="font141"/>
    <w:basedOn w:val="10"/>
    <w:qFormat/>
    <w:uiPriority w:val="0"/>
    <w:rPr>
      <w:rFonts w:ascii="宋体" w:hAnsi="宋体" w:eastAsia="宋体" w:cs="宋体"/>
      <w:color w:val="000000"/>
      <w:sz w:val="18"/>
      <w:szCs w:val="18"/>
      <w:u w:val="none"/>
    </w:rPr>
  </w:style>
  <w:style w:type="character" w:customStyle="1" w:styleId="19">
    <w:name w:val="font201"/>
    <w:basedOn w:val="10"/>
    <w:qFormat/>
    <w:uiPriority w:val="0"/>
    <w:rPr>
      <w:rFonts w:hint="default" w:ascii="Times New Roman" w:hAnsi="Times New Roman" w:cs="Times New Roman"/>
      <w:color w:val="000000"/>
      <w:sz w:val="18"/>
      <w:szCs w:val="18"/>
      <w:u w:val="none"/>
    </w:rPr>
  </w:style>
  <w:style w:type="character" w:customStyle="1" w:styleId="20">
    <w:name w:val="font21"/>
    <w:basedOn w:val="10"/>
    <w:qFormat/>
    <w:uiPriority w:val="0"/>
    <w:rPr>
      <w:rFonts w:hint="eastAsia" w:ascii="黑体" w:hAnsi="宋体" w:eastAsia="黑体" w:cs="黑体"/>
      <w:b/>
      <w:bCs/>
      <w:color w:val="000000"/>
      <w:sz w:val="30"/>
      <w:szCs w:val="30"/>
      <w:u w:val="none"/>
    </w:rPr>
  </w:style>
  <w:style w:type="character" w:customStyle="1" w:styleId="21">
    <w:name w:val="font191"/>
    <w:basedOn w:val="10"/>
    <w:qFormat/>
    <w:uiPriority w:val="0"/>
    <w:rPr>
      <w:rFonts w:hint="default" w:ascii="Times New Roman" w:hAnsi="Times New Roman" w:cs="Times New Roman"/>
      <w:b/>
      <w:bCs/>
      <w:color w:val="000000"/>
      <w:sz w:val="30"/>
      <w:szCs w:val="30"/>
      <w:u w:val="none"/>
    </w:rPr>
  </w:style>
  <w:style w:type="character" w:customStyle="1" w:styleId="22">
    <w:name w:val="font31"/>
    <w:basedOn w:val="10"/>
    <w:qFormat/>
    <w:uiPriority w:val="0"/>
    <w:rPr>
      <w:rFonts w:ascii="宋体" w:hAnsi="宋体" w:eastAsia="宋体" w:cs="宋体"/>
      <w:color w:val="000000"/>
      <w:sz w:val="18"/>
      <w:szCs w:val="18"/>
      <w:u w:val="none"/>
    </w:rPr>
  </w:style>
  <w:style w:type="character" w:customStyle="1" w:styleId="23">
    <w:name w:val="font212"/>
    <w:basedOn w:val="10"/>
    <w:qFormat/>
    <w:uiPriority w:val="0"/>
    <w:rPr>
      <w:rFonts w:hint="default" w:ascii="Times New Roman" w:hAnsi="Times New Roman" w:cs="Times New Roman"/>
      <w:color w:val="000000"/>
      <w:sz w:val="18"/>
      <w:szCs w:val="18"/>
      <w:u w:val="none"/>
    </w:rPr>
  </w:style>
  <w:style w:type="character" w:customStyle="1" w:styleId="24">
    <w:name w:val="font271"/>
    <w:basedOn w:val="10"/>
    <w:qFormat/>
    <w:uiPriority w:val="0"/>
    <w:rPr>
      <w:rFonts w:hint="eastAsia" w:ascii="黑体" w:hAnsi="黑体" w:eastAsia="黑体" w:cs="黑体"/>
      <w:color w:val="000000"/>
      <w:sz w:val="18"/>
      <w:szCs w:val="18"/>
      <w:u w:val="none"/>
    </w:rPr>
  </w:style>
  <w:style w:type="character" w:customStyle="1" w:styleId="25">
    <w:name w:val="font161"/>
    <w:basedOn w:val="10"/>
    <w:qFormat/>
    <w:uiPriority w:val="0"/>
    <w:rPr>
      <w:rFonts w:hint="eastAsia" w:ascii="黑体" w:hAnsi="黑体" w:eastAsia="黑体" w:cs="黑体"/>
      <w:i/>
      <w:iCs/>
      <w:color w:val="000000"/>
      <w:sz w:val="18"/>
      <w:szCs w:val="18"/>
      <w:u w:val="none"/>
    </w:rPr>
  </w:style>
  <w:style w:type="character" w:customStyle="1" w:styleId="26">
    <w:name w:val="font41"/>
    <w:basedOn w:val="10"/>
    <w:qFormat/>
    <w:uiPriority w:val="0"/>
    <w:rPr>
      <w:rFonts w:hint="eastAsia" w:ascii="微软雅黑" w:hAnsi="微软雅黑" w:eastAsia="微软雅黑" w:cs="微软雅黑"/>
      <w:i/>
      <w:iCs/>
      <w:color w:val="000000"/>
      <w:sz w:val="16"/>
      <w:szCs w:val="16"/>
      <w:u w:val="none"/>
    </w:rPr>
  </w:style>
  <w:style w:type="character" w:customStyle="1" w:styleId="27">
    <w:name w:val="font221"/>
    <w:basedOn w:val="10"/>
    <w:qFormat/>
    <w:uiPriority w:val="0"/>
    <w:rPr>
      <w:rFonts w:hint="default" w:ascii="Times New Roman" w:hAnsi="Times New Roman" w:cs="Times New Roman"/>
      <w:i/>
      <w:iCs/>
      <w:color w:val="000000"/>
      <w:sz w:val="16"/>
      <w:szCs w:val="16"/>
      <w:u w:val="none"/>
    </w:rPr>
  </w:style>
  <w:style w:type="character" w:customStyle="1" w:styleId="28">
    <w:name w:val="font231"/>
    <w:basedOn w:val="10"/>
    <w:qFormat/>
    <w:uiPriority w:val="0"/>
    <w:rPr>
      <w:rFonts w:hint="default" w:ascii="Times New Roman" w:hAnsi="Times New Roman" w:cs="Times New Roman"/>
      <w:i/>
      <w:iCs/>
      <w:color w:val="000000"/>
      <w:sz w:val="18"/>
      <w:szCs w:val="18"/>
      <w:u w:val="none"/>
    </w:rPr>
  </w:style>
  <w:style w:type="character" w:customStyle="1" w:styleId="29">
    <w:name w:val="font281"/>
    <w:basedOn w:val="10"/>
    <w:qFormat/>
    <w:uiPriority w:val="0"/>
    <w:rPr>
      <w:rFonts w:hint="eastAsia" w:ascii="微软雅黑" w:hAnsi="微软雅黑" w:eastAsia="微软雅黑" w:cs="微软雅黑"/>
      <w:color w:val="000000"/>
      <w:sz w:val="16"/>
      <w:szCs w:val="16"/>
      <w:u w:val="none"/>
    </w:rPr>
  </w:style>
  <w:style w:type="character" w:customStyle="1" w:styleId="30">
    <w:name w:val="正文文本 字符"/>
    <w:basedOn w:val="10"/>
    <w:link w:val="2"/>
    <w:qFormat/>
    <w:uiPriority w:val="99"/>
    <w:rPr>
      <w:rFonts w:ascii="仿宋_GB2312" w:eastAsia="仿宋_GB2312" w:hAnsiTheme="minorHAnsi" w:cstheme="minorBidi"/>
      <w:sz w:val="30"/>
      <w:szCs w:val="24"/>
    </w:rPr>
  </w:style>
  <w:style w:type="paragraph" w:customStyle="1" w:styleId="31">
    <w:name w:val="msonormal"/>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2">
    <w:name w:val="xl65"/>
    <w:basedOn w:val="1"/>
    <w:qFormat/>
    <w:uiPriority w:val="0"/>
    <w:pPr>
      <w:widowControl/>
      <w:spacing w:before="100" w:beforeAutospacing="1" w:after="100" w:afterAutospacing="1"/>
      <w:jc w:val="left"/>
    </w:pPr>
    <w:rPr>
      <w:rFonts w:ascii="宋体" w:hAnsi="宋体" w:eastAsia="宋体" w:cs="宋体"/>
      <w:color w:val="000000"/>
      <w:kern w:val="0"/>
      <w:sz w:val="24"/>
    </w:rPr>
  </w:style>
  <w:style w:type="paragraph" w:customStyle="1" w:styleId="33">
    <w:name w:val="xl6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34">
    <w:name w:val="xl67"/>
    <w:basedOn w:val="1"/>
    <w:qFormat/>
    <w:uiPriority w:val="0"/>
    <w:pPr>
      <w:widowControl/>
      <w:spacing w:before="100" w:beforeAutospacing="1" w:after="100" w:afterAutospacing="1"/>
      <w:jc w:val="left"/>
    </w:pPr>
    <w:rPr>
      <w:rFonts w:ascii="Courier New" w:hAnsi="Courier New" w:eastAsia="宋体" w:cs="Courier New"/>
      <w:color w:val="000000"/>
      <w:kern w:val="0"/>
      <w:sz w:val="18"/>
      <w:szCs w:val="18"/>
    </w:rPr>
  </w:style>
  <w:style w:type="paragraph" w:customStyle="1" w:styleId="35">
    <w:name w:val="xl6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36">
    <w:name w:val="xl6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37">
    <w:name w:val="xl7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38">
    <w:name w:val="xl7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微软雅黑" w:hAnsi="微软雅黑" w:eastAsia="微软雅黑" w:cs="宋体"/>
      <w:i/>
      <w:iCs/>
      <w:color w:val="000000"/>
      <w:kern w:val="0"/>
      <w:sz w:val="16"/>
      <w:szCs w:val="16"/>
    </w:rPr>
  </w:style>
  <w:style w:type="paragraph" w:customStyle="1" w:styleId="39">
    <w:name w:val="xl72"/>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0">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黑体" w:hAnsi="黑体" w:eastAsia="黑体" w:cs="宋体"/>
      <w:b/>
      <w:bCs/>
      <w:color w:val="000000"/>
      <w:kern w:val="0"/>
      <w:sz w:val="30"/>
      <w:szCs w:val="30"/>
    </w:rPr>
  </w:style>
  <w:style w:type="paragraph" w:customStyle="1" w:styleId="41">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Courier New" w:hAnsi="Courier New" w:eastAsia="宋体" w:cs="Courier New"/>
      <w:color w:val="000000"/>
      <w:kern w:val="0"/>
      <w:sz w:val="18"/>
      <w:szCs w:val="18"/>
    </w:rPr>
  </w:style>
  <w:style w:type="paragraph" w:customStyle="1" w:styleId="42">
    <w:name w:val="xl7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Courier New" w:hAnsi="Courier New" w:eastAsia="宋体" w:cs="Courier New"/>
      <w:color w:val="000000"/>
      <w:kern w:val="0"/>
      <w:sz w:val="18"/>
      <w:szCs w:val="18"/>
    </w:rPr>
  </w:style>
  <w:style w:type="paragraph" w:customStyle="1" w:styleId="43">
    <w:name w:val="xl7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Courier New" w:hAnsi="Courier New" w:eastAsia="宋体" w:cs="Courier New"/>
      <w:i/>
      <w:iCs/>
      <w:color w:val="000000"/>
      <w:kern w:val="0"/>
      <w:sz w:val="18"/>
      <w:szCs w:val="18"/>
    </w:rPr>
  </w:style>
  <w:style w:type="paragraph" w:customStyle="1" w:styleId="44">
    <w:name w:val="xl7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微软雅黑" w:hAnsi="微软雅黑" w:eastAsia="微软雅黑" w:cs="宋体"/>
      <w:i/>
      <w:iCs/>
      <w:color w:val="000000"/>
      <w:kern w:val="0"/>
      <w:sz w:val="16"/>
      <w:szCs w:val="16"/>
    </w:rPr>
  </w:style>
  <w:style w:type="character" w:customStyle="1" w:styleId="45">
    <w:name w:val="页脚 字符"/>
    <w:basedOn w:val="10"/>
    <w:link w:val="5"/>
    <w:qFormat/>
    <w:uiPriority w:val="99"/>
    <w:rPr>
      <w:rFonts w:ascii="Calibri" w:hAnsi="Calibri" w:eastAsiaTheme="minorEastAsia" w:cstheme="minorBid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NULL"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收、支决算总计变动情况（单位：万元）</a:t>
            </a:r>
            <a:endParaRPr lang="zh-CN" altLang="en-US"/>
          </a:p>
        </c:rich>
      </c:tx>
      <c:layout/>
      <c:overlay val="0"/>
      <c:spPr>
        <a:noFill/>
        <a:ln>
          <a:noFill/>
        </a:ln>
        <a:effectLst/>
      </c:spPr>
    </c:title>
    <c:autoTitleDeleted val="0"/>
    <c:plotArea>
      <c:layout>
        <c:manualLayout>
          <c:layoutTarget val="inner"/>
          <c:xMode val="edge"/>
          <c:yMode val="edge"/>
          <c:x val="0.096163809053904"/>
          <c:y val="0.291435368754956"/>
          <c:w val="0.87842605156038"/>
          <c:h val="0.506106264869152"/>
        </c:manualLayout>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1048.41</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1044.61</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c:v>
                </c:pt>
              </c:strCache>
            </c:strRef>
          </c:cat>
          <c:val>
            <c:numRef>
              <c:f>Sheet1!$B$2:$B$3</c:f>
              <c:numCache>
                <c:formatCode>0.00_ </c:formatCode>
                <c:ptCount val="2"/>
                <c:pt idx="0">
                  <c:v>1048.41</c:v>
                </c:pt>
                <c:pt idx="1" c:formatCode="General">
                  <c:v>1044.61</c:v>
                </c:pt>
              </c:numCache>
            </c:numRef>
          </c:val>
        </c:ser>
        <c:dLbls>
          <c:showLegendKey val="0"/>
          <c:showVal val="1"/>
          <c:showCatName val="0"/>
          <c:showSerName val="0"/>
          <c:showPercent val="0"/>
          <c:showBubbleSize val="0"/>
        </c:dLbls>
        <c:gapWidth val="219"/>
        <c:overlap val="-27"/>
        <c:axId val="130439261"/>
        <c:axId val="816403152"/>
      </c:barChart>
      <c:catAx>
        <c:axId val="130439261"/>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6403152"/>
        <c:crosses val="autoZero"/>
        <c:auto val="1"/>
        <c:lblAlgn val="ctr"/>
        <c:lblOffset val="100"/>
        <c:noMultiLvlLbl val="0"/>
      </c:catAx>
      <c:valAx>
        <c:axId val="81640315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0439261"/>
        <c:crosses val="autoZero"/>
        <c:crossBetween val="between"/>
      </c:valAx>
      <c:spPr>
        <a:noFill/>
        <a:ln>
          <a:noFill/>
        </a:ln>
        <a:effectLst/>
      </c:spPr>
    </c:plotArea>
    <c:plotVisOnly val="1"/>
    <c:dispBlanksAs val="gap"/>
    <c:showDLblsOverMax val="0"/>
    <c:extLst>
      <c:ext uri="{0b15fc19-7d7d-44ad-8c2d-2c3a37ce22c3}">
        <chartProps xmlns="https://web.wps.cn/et/2018/main" chartId="{c7a31eff-9493-42e5-bf31-b35a37cbaf2b}"/>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收入决算结构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收入决算结构图</c:v>
                </c:pt>
              </c:strCache>
            </c:strRef>
          </c:tx>
          <c:spPr>
            <a:solidFill>
              <a:schemeClr val="accent1"/>
            </a:solidFill>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00648359399041998"/>
                  <c:y val="-0.165189056256776"/>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tx1"/>
                        </a:solidFill>
                        <a:latin typeface="+mn-lt"/>
                        <a:ea typeface="+mn-ea"/>
                        <a:cs typeface="+mn-cs"/>
                      </a:defRPr>
                    </a:pPr>
                    <a:r>
                      <a:rPr lang="en-US" altLang="zh-CN"/>
                      <a:t>100%</a:t>
                    </a:r>
                    <a:endParaRPr lang="en-US" altLang="zh-CN"/>
                  </a:p>
                </c:rich>
              </c:tx>
              <c:numFmt formatCode="0.0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solidFill>
                      <a:latin typeface="+mn-lt"/>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delete val="1"/>
            </c:dLbl>
            <c:numFmt formatCode="0.0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bg1"/>
                    </a:solidFill>
                    <a:latin typeface="+mn-lt"/>
                    <a:ea typeface="+mn-ea"/>
                    <a:cs typeface="+mn-cs"/>
                  </a:defRPr>
                </a:pPr>
              </a:p>
            </c:txPr>
            <c:dLblPos val="inEnd"/>
            <c:showLegendKey val="0"/>
            <c:showVal val="0"/>
            <c:showCatName val="0"/>
            <c:showSerName val="1"/>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1"/>
                <c:pt idx="0">
                  <c:v>一般公共预算财政拨款收入</c:v>
                </c:pt>
              </c:strCache>
            </c:strRef>
          </c:cat>
          <c:val>
            <c:numRef>
              <c:f>Sheet1!$B$2:$B$3</c:f>
              <c:numCache>
                <c:formatCode>General</c:formatCode>
                <c:ptCount val="2"/>
                <c:pt idx="0">
                  <c:v>1048.41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egendEntry>
        <c:idx val="1"/>
        <c:delete val="1"/>
      </c:legendEntry>
      <c:layout>
        <c:manualLayout>
          <c:xMode val="edge"/>
          <c:yMode val="edge"/>
          <c:x val="0.230880057629968"/>
          <c:y val="0.194282201045189"/>
          <c:w val="0.495377596350102"/>
          <c:h val="0.10236704580387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c6e6391-dfdb-4198-af17-615b280821f4}"/>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支出决算结构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支出结算结构图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00154211150652432"/>
                  <c:y val="-0.0999666777740753"/>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58.04%</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13879003558719"/>
                  <c:y val="-0.0636454515161613"/>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41.96%</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606.25</c:v>
                </c:pt>
                <c:pt idx="1">
                  <c:v>438.35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ab5d32e-ca2b-465a-a820-934c046d7276}"/>
      </c:ext>
    </c:extLst>
  </c:chart>
  <c:spPr>
    <a:solidFill>
      <a:schemeClr val="bg1"/>
    </a:solidFill>
    <a:ln w="9525" cap="flat" cmpd="sng" algn="ctr">
      <a:solidFill>
        <a:schemeClr val="tx1">
          <a:lumMod val="15000"/>
          <a:lumOff val="85000"/>
        </a:schemeClr>
      </a:solidFill>
      <a:round/>
    </a:ln>
    <a:effectLst/>
  </c:spPr>
  <c:txPr>
    <a:bodyPr rot="0"/>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财政拨款收、支决算总计变动情况（单位：万元）</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dLbl>
              <c:idx val="0"/>
              <c:layout>
                <c:manualLayout>
                  <c:x val="0.00174259397560368"/>
                  <c:y val="0"/>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1048.41</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1048.41</c:v>
                </c:pt>
                <c:pt idx="1">
                  <c:v>1044.61</c:v>
                </c:pt>
              </c:numCache>
            </c:numRef>
          </c:val>
        </c:ser>
        <c:dLbls>
          <c:showLegendKey val="0"/>
          <c:showVal val="1"/>
          <c:showCatName val="0"/>
          <c:showSerName val="0"/>
          <c:showPercent val="0"/>
          <c:showBubbleSize val="0"/>
        </c:dLbls>
        <c:gapWidth val="219"/>
        <c:overlap val="-27"/>
        <c:axId val="941442489"/>
        <c:axId val="967690165"/>
      </c:barChart>
      <c:catAx>
        <c:axId val="941442489"/>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7690165"/>
        <c:crosses val="autoZero"/>
        <c:auto val="1"/>
        <c:lblAlgn val="ctr"/>
        <c:lblOffset val="100"/>
        <c:noMultiLvlLbl val="0"/>
      </c:catAx>
      <c:valAx>
        <c:axId val="96769016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41442489"/>
        <c:crosses val="autoZero"/>
        <c:crossBetween val="between"/>
      </c:valAx>
      <c:spPr>
        <a:noFill/>
        <a:ln>
          <a:noFill/>
        </a:ln>
        <a:effectLst/>
      </c:spPr>
    </c:plotArea>
    <c:plotVisOnly val="1"/>
    <c:dispBlanksAs val="gap"/>
    <c:showDLblsOverMax val="0"/>
    <c:extLst>
      <c:ext uri="{0b15fc19-7d7d-44ad-8c2d-2c3a37ce22c3}">
        <chartProps xmlns="https://web.wps.cn/et/2018/main" chartId="{993a155e-1ad7-427f-bd72-6458b363c77d}"/>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l" defTabSz="914400">
              <a:defRPr lang="zh-CN" sz="1400" b="0" i="0" u="none" strike="noStrike" kern="1200" spc="0" baseline="0">
                <a:solidFill>
                  <a:schemeClr val="tx1">
                    <a:lumMod val="65000"/>
                    <a:lumOff val="35000"/>
                  </a:schemeClr>
                </a:solidFill>
                <a:latin typeface="+mn-lt"/>
                <a:ea typeface="+mn-ea"/>
                <a:cs typeface="+mn-cs"/>
              </a:defRPr>
            </a:pPr>
            <a:r>
              <a:rPr lang="zh-CN" altLang="en-US"/>
              <a:t>一般公共预算财政拨款支出</a:t>
            </a:r>
            <a:r>
              <a:rPr lang="zh-CN" altLang="zh-CN" sz="1400" b="0" i="0" u="none" strike="noStrike" baseline="0">
                <a:effectLst/>
              </a:rPr>
              <a:t>决算变动情况</a:t>
            </a:r>
            <a:r>
              <a:rPr lang="zh-CN" altLang="en-US"/>
              <a:t>（单位：万元）</a:t>
            </a:r>
            <a:endParaRPr lang="zh-CN" altLang="en-US"/>
          </a:p>
        </c:rich>
      </c:tx>
      <c:layout>
        <c:manualLayout>
          <c:xMode val="edge"/>
          <c:yMode val="edge"/>
          <c:x val="0.139236236023492"/>
          <c:y val="0.0322684737011939"/>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1048.41</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1048.41</c:v>
                </c:pt>
                <c:pt idx="1">
                  <c:v>1044.61</c:v>
                </c:pt>
              </c:numCache>
            </c:numRef>
          </c:val>
        </c:ser>
        <c:dLbls>
          <c:showLegendKey val="0"/>
          <c:showVal val="1"/>
          <c:showCatName val="0"/>
          <c:showSerName val="0"/>
          <c:showPercent val="0"/>
          <c:showBubbleSize val="0"/>
        </c:dLbls>
        <c:gapWidth val="219"/>
        <c:overlap val="-27"/>
        <c:axId val="470854976"/>
        <c:axId val="962383038"/>
      </c:barChart>
      <c:catAx>
        <c:axId val="47085497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2383038"/>
        <c:crosses val="autoZero"/>
        <c:auto val="1"/>
        <c:lblAlgn val="ctr"/>
        <c:lblOffset val="100"/>
        <c:noMultiLvlLbl val="0"/>
      </c:catAx>
      <c:valAx>
        <c:axId val="96238303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70854976"/>
        <c:crosses val="autoZero"/>
        <c:crossBetween val="between"/>
      </c:valAx>
      <c:spPr>
        <a:noFill/>
        <a:ln>
          <a:noFill/>
        </a:ln>
        <a:effectLst/>
      </c:spPr>
    </c:plotArea>
    <c:plotVisOnly val="1"/>
    <c:dispBlanksAs val="gap"/>
    <c:showDLblsOverMax val="0"/>
    <c:extLst>
      <c:ext uri="{0b15fc19-7d7d-44ad-8c2d-2c3a37ce22c3}">
        <chartProps xmlns="https://web.wps.cn/et/2018/main" chartId="{43656993-3fc6-4532-a3f2-f090ef50db72}"/>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一般公共预算财政拨款支出决算结构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6"/>
              </a:solidFill>
              <a:ln w="19050">
                <a:solidFill>
                  <a:schemeClr val="lt1"/>
                </a:solidFill>
              </a:ln>
              <a:effectLst/>
            </c:spPr>
          </c:dPt>
          <c:dPt>
            <c:idx val="3"/>
            <c:bubble3D val="0"/>
            <c:spPr>
              <a:solidFill>
                <a:schemeClr val="accent4"/>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92.40%</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extLst>
            </c:dLbl>
            <c:dLbl>
              <c:idx val="1"/>
              <c:layout>
                <c:manualLayout>
                  <c:x val="-0.0824058140396589"/>
                  <c:y val="0.0859201333797856"/>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3.18%</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783105154406506"/>
                  <c:y val="0.00156320480512153"/>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1.58%</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0395156680755654"/>
                  <c:y val="-0.0224817247588284"/>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2.84%</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manualLayout>
                      <c:w val="0.0861917326297273"/>
                      <c:h val="0.0734026088879063"/>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一般公共服务（类）支出</c:v>
                </c:pt>
                <c:pt idx="1">
                  <c:v>社会保障和就业（类）支出</c:v>
                </c:pt>
                <c:pt idx="2">
                  <c:v>卫生健康支出</c:v>
                </c:pt>
                <c:pt idx="3">
                  <c:v>住房保障支出</c:v>
                </c:pt>
              </c:strCache>
            </c:strRef>
          </c:cat>
          <c:val>
            <c:numRef>
              <c:f>Sheet1!$B$2:$B$5</c:f>
              <c:numCache>
                <c:formatCode>General</c:formatCode>
                <c:ptCount val="4"/>
                <c:pt idx="0">
                  <c:v>965.2</c:v>
                </c:pt>
                <c:pt idx="1">
                  <c:v>33.27</c:v>
                </c:pt>
                <c:pt idx="2">
                  <c:v>16.47</c:v>
                </c:pt>
                <c:pt idx="3">
                  <c:v>29.66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e251485-adc5-4f79-9969-84ba46e4c5f9}"/>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“三公”经费财政拨款支出结构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“三公”经费财政拨款支出情况</c:v>
                </c:pt>
              </c:strCache>
            </c:strRef>
          </c:tx>
          <c:spPr/>
          <c:explosion val="0"/>
          <c:dPt>
            <c:idx val="0"/>
            <c:bubble3D val="0"/>
            <c:spPr>
              <a:solidFill>
                <a:schemeClr val="accent1"/>
              </a:solidFill>
              <a:ln w="19050">
                <a:solidFill>
                  <a:schemeClr val="lt1"/>
                </a:solidFill>
              </a:ln>
              <a:effectLst/>
            </c:spPr>
          </c:dPt>
          <c:dLbls>
            <c:dLbl>
              <c:idx val="0"/>
              <c:layout/>
              <c:dLblPos val="inEnd"/>
              <c:showLegendKey val="0"/>
              <c:showVal val="0"/>
              <c:showCatName val="1"/>
              <c:showSerName val="0"/>
              <c:showPercent val="1"/>
              <c:showBubbleSize val="0"/>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bg1"/>
                    </a:solidFill>
                    <a:latin typeface="+mn-lt"/>
                    <a:ea typeface="+mn-ea"/>
                    <a:cs typeface="+mn-cs"/>
                  </a:defRPr>
                </a:pPr>
              </a:p>
            </c:txPr>
            <c:dLblPos val="in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公务用车购置及运行维护费支出</c:v>
                </c:pt>
              </c:strCache>
            </c:strRef>
          </c:cat>
          <c:val>
            <c:numRef>
              <c:f>Sheet1!$B$2</c:f>
              <c:numCache>
                <c:formatCode>General</c:formatCode>
                <c:ptCount val="1"/>
                <c:pt idx="0">
                  <c:v>71.83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7cd9aadb-b74a-4ad8-8aff-f4d20520d07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4537</Words>
  <Characters>4964</Characters>
  <Lines>36</Lines>
  <Paragraphs>10</Paragraphs>
  <TotalTime>73</TotalTime>
  <ScaleCrop>false</ScaleCrop>
  <LinksUpToDate>false</LinksUpToDate>
  <CharactersWithSpaces>4975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2023-03-23T01:13:00Z</dcterms:created>
  <dc:creator>d</dc:creator>
  <cp:lastModifiedBy>d</cp:lastModifiedBy>
  <dcterms:modified xsi:type="dcterms:W3CDTF">2025-09-11T08:30:43Z</dcterms:modified>
  <cp:revision>286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F748A2508E22429B949050933336798E_13</vt:lpwstr>
  </property>
  <property fmtid="{D5CDD505-2E9C-101B-9397-08002B2CF9AE}" pid="4" name="KSOTemplateDocerSaveRecord">
    <vt:lpwstr>eyJoZGlkIjoiMDIxZWVlYTY2NzE4NTIxMTFhOTU4ZjY0Y2QyYjJmNTUiLCJ1c2VySWQiOiI0MTc4MTIzMzYifQ==</vt:lpwstr>
  </property>
</Properties>
</file>