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4D2A54">
      <w:pPr>
        <w:rPr>
          <w:rFonts w:ascii="Times New Roman" w:hAnsi="Times New Roman"/>
          <w:highlight w:val="none"/>
        </w:rPr>
      </w:pPr>
      <w:bookmarkStart w:id="0" w:name="_Toc15396597"/>
      <w:bookmarkStart w:id="1" w:name="_Toc15378441"/>
      <w:bookmarkStart w:id="2" w:name="_Toc15377425"/>
      <w:bookmarkStart w:id="3" w:name="_Toc15377193"/>
      <w:bookmarkStart w:id="4" w:name="_Toc15396475"/>
      <w:bookmarkStart w:id="5" w:name="_Toc15306267"/>
    </w:p>
    <w:p w14:paraId="64700814">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14:paraId="747211F6">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14:paraId="2807F346">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14:paraId="7C06BBC2">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14:paraId="16A9D709">
      <w:pPr>
        <w:pStyle w:val="8"/>
        <w:jc w:val="center"/>
        <w:rPr>
          <w:rFonts w:hint="eastAsia" w:ascii="Times New Roman" w:eastAsia="方正小标宋简体" w:cs="Times New Roman"/>
          <w:color w:val="auto"/>
          <w:kern w:val="2"/>
          <w:sz w:val="44"/>
          <w:szCs w:val="44"/>
          <w:highlight w:val="none"/>
          <w:lang w:val="en-US" w:eastAsia="zh-CN" w:bidi="ar-SA"/>
        </w:rPr>
      </w:pPr>
      <w:bookmarkStart w:id="6" w:name="_Toc15377426"/>
      <w:bookmarkStart w:id="7" w:name="_Toc15396598"/>
      <w:bookmarkStart w:id="8" w:name="_Toc15378442"/>
      <w:bookmarkStart w:id="9" w:name="_Toc15396476"/>
      <w:bookmarkStart w:id="10" w:name="_Toc15377194"/>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药品监督管理局</w:t>
      </w:r>
    </w:p>
    <w:p w14:paraId="57A824FA">
      <w:pPr>
        <w:pStyle w:val="8"/>
        <w:jc w:val="center"/>
        <w:rPr>
          <w:rFonts w:hint="eastAsia" w:ascii="Times New Roman" w:hAnsi="Times New Roman" w:eastAsia="方正小标宋简体" w:cs="Times New Roman"/>
          <w:color w:val="auto"/>
          <w:kern w:val="2"/>
          <w:sz w:val="44"/>
          <w:szCs w:val="44"/>
          <w:highlight w:val="none"/>
          <w:lang w:val="en-US" w:eastAsia="zh-CN" w:bidi="ar-SA"/>
        </w:rPr>
      </w:pPr>
      <w:r>
        <w:rPr>
          <w:rFonts w:hint="eastAsia" w:ascii="Times New Roman" w:eastAsia="方正小标宋简体" w:cs="Times New Roman"/>
          <w:color w:val="auto"/>
          <w:kern w:val="2"/>
          <w:sz w:val="44"/>
          <w:szCs w:val="44"/>
          <w:highlight w:val="none"/>
          <w:lang w:val="en-US" w:eastAsia="zh-CN" w:bidi="ar-SA"/>
        </w:rPr>
        <w:t>财务处单位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14:paraId="4A234323">
      <w:pPr>
        <w:widowControl/>
        <w:jc w:val="center"/>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ascii="Times New Roman" w:hAnsi="Times New Roman" w:eastAsia="黑体"/>
          <w:color w:val="auto"/>
          <w:sz w:val="48"/>
          <w:szCs w:val="48"/>
          <w:highlight w:val="none"/>
        </w:rPr>
        <w:t>目录</w:t>
      </w:r>
    </w:p>
    <w:p w14:paraId="1D5B3545">
      <w:pPr>
        <w:widowControl/>
        <w:jc w:val="center"/>
        <w:rPr>
          <w:rFonts w:ascii="Times New Roman" w:hAnsi="Times New Roman" w:eastAsia="黑体" w:cstheme="minorBidi"/>
          <w:color w:val="auto"/>
          <w:sz w:val="28"/>
          <w:szCs w:val="28"/>
          <w:highlight w:val="none"/>
        </w:rPr>
      </w:pPr>
    </w:p>
    <w:p w14:paraId="51D56909">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24</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 xml:space="preserve"> 9 </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 xml:space="preserve"> 12 </w:t>
      </w:r>
      <w:r>
        <w:rPr>
          <w:rFonts w:hint="eastAsia" w:ascii="Times New Roman" w:hAnsi="Times New Roman" w:eastAsia="仿宋_GB2312" w:cs="仿宋_GB2312"/>
          <w:color w:val="auto"/>
          <w:sz w:val="32"/>
          <w:szCs w:val="32"/>
          <w:highlight w:val="none"/>
        </w:rPr>
        <w:t>日</w:t>
      </w:r>
    </w:p>
    <w:p w14:paraId="3F2245F3">
      <w:pPr>
        <w:rPr>
          <w:rFonts w:ascii="Times New Roman" w:hAnsi="Times New Roman"/>
          <w:color w:val="auto"/>
          <w:highlight w:val="none"/>
        </w:rPr>
      </w:pPr>
    </w:p>
    <w:p w14:paraId="32CA949C">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 xml:space="preserve">第一部分 </w:t>
      </w:r>
      <w:r>
        <w:rPr>
          <w:rFonts w:hint="eastAsia" w:ascii="Times New Roman" w:hAnsi="Times New Roman" w:eastAsia="黑体" w:cs="黑体"/>
          <w:color w:val="auto"/>
          <w:sz w:val="32"/>
          <w:szCs w:val="32"/>
          <w:highlight w:val="none"/>
          <w:lang w:eastAsia="zh-CN"/>
        </w:rPr>
        <w:t>单位</w:t>
      </w:r>
      <w:r>
        <w:rPr>
          <w:rFonts w:hint="eastAsia" w:ascii="Times New Roman" w:hAnsi="Times New Roman" w:eastAsia="黑体" w:cs="黑体"/>
          <w:color w:val="auto"/>
          <w:sz w:val="32"/>
          <w:szCs w:val="32"/>
          <w:highlight w:val="none"/>
        </w:rPr>
        <w:t>概况</w:t>
      </w:r>
    </w:p>
    <w:p w14:paraId="4CA2623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w:t>
      </w:r>
      <w:r>
        <w:rPr>
          <w:rFonts w:hint="eastAsia" w:eastAsia="仿宋_GB2312" w:cs="仿宋_GB2312"/>
          <w:color w:val="auto"/>
          <w:sz w:val="32"/>
          <w:szCs w:val="32"/>
          <w:highlight w:val="none"/>
          <w:lang w:eastAsia="zh-CN"/>
        </w:rPr>
        <w:t>单位</w:t>
      </w:r>
      <w:r>
        <w:rPr>
          <w:rFonts w:hint="eastAsia" w:ascii="Times New Roman" w:hAnsi="Times New Roman" w:eastAsia="仿宋_GB2312" w:cs="仿宋_GB2312"/>
          <w:color w:val="auto"/>
          <w:sz w:val="32"/>
          <w:szCs w:val="32"/>
          <w:highlight w:val="none"/>
          <w:lang w:eastAsia="zh-CN"/>
        </w:rPr>
        <w:t>职责</w:t>
      </w:r>
    </w:p>
    <w:p w14:paraId="6CC6678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二、机构设置</w:t>
      </w:r>
    </w:p>
    <w:p w14:paraId="076065BA">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2024年度单位</w:t>
      </w:r>
      <w:r>
        <w:rPr>
          <w:rFonts w:hint="eastAsia" w:ascii="Times New Roman" w:hAnsi="Times New Roman" w:eastAsia="黑体" w:cs="黑体"/>
          <w:color w:val="auto"/>
          <w:sz w:val="32"/>
          <w:szCs w:val="32"/>
          <w:highlight w:val="none"/>
        </w:rPr>
        <w:t>决算情况说明</w:t>
      </w:r>
    </w:p>
    <w:p w14:paraId="3E9396F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一、收入支出决算总体情况说明</w:t>
      </w:r>
    </w:p>
    <w:p w14:paraId="37AAF99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二、收入决算情况说明</w:t>
      </w:r>
    </w:p>
    <w:p w14:paraId="1D02A45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三、支出决算情况说明</w:t>
      </w:r>
    </w:p>
    <w:p w14:paraId="37E00D1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四、财政拨款收入支出决算总体情况说明</w:t>
      </w:r>
    </w:p>
    <w:p w14:paraId="641DD22C">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五、一般公共预算财政拨款支出决算情况说明</w:t>
      </w:r>
    </w:p>
    <w:p w14:paraId="70190E0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六、一般公共预算财政拨款基本支出决算情况说明</w:t>
      </w:r>
    </w:p>
    <w:p w14:paraId="4E8A13C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p>
    <w:p w14:paraId="1E0E48BE">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八、政府性基金预算支出决算情况说明</w:t>
      </w:r>
    </w:p>
    <w:p w14:paraId="1595059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p>
    <w:p w14:paraId="2D5D8EC9">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p>
    <w:p w14:paraId="0682A25B">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第三部分 名词解释</w:t>
      </w:r>
    </w:p>
    <w:p w14:paraId="28F73A0F">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第四部分 附件</w:t>
      </w:r>
    </w:p>
    <w:p w14:paraId="55DEBCC5">
      <w:pPr>
        <w:pStyle w:val="13"/>
        <w:keepNext w:val="0"/>
        <w:keepLines w:val="0"/>
        <w:pageBreakBefore w:val="0"/>
        <w:kinsoku/>
        <w:wordWrap/>
        <w:overflowPunct/>
        <w:topLinePunct w:val="0"/>
        <w:autoSpaceDE/>
        <w:autoSpaceDN/>
        <w:bidi w:val="0"/>
        <w:adjustRightInd w:val="0"/>
        <w:snapToGrid w:val="0"/>
        <w:spacing w:before="0" w:line="560" w:lineRule="exact"/>
        <w:jc w:val="left"/>
        <w:textAlignment w:val="auto"/>
        <w:rPr>
          <w:rFonts w:hint="eastAsia" w:ascii="Times New Roman" w:hAnsi="Times New Roman" w:eastAsia="黑体" w:cs="黑体"/>
          <w:color w:val="auto"/>
          <w:sz w:val="32"/>
          <w:szCs w:val="32"/>
          <w:highlight w:val="none"/>
        </w:rPr>
      </w:pPr>
      <w:r>
        <w:rPr>
          <w:rFonts w:hint="eastAsia" w:ascii="Times New Roman" w:hAnsi="Times New Roman" w:eastAsia="黑体" w:cs="黑体"/>
          <w:color w:val="auto"/>
          <w:sz w:val="32"/>
          <w:szCs w:val="32"/>
          <w:highlight w:val="none"/>
        </w:rPr>
        <w:t>第五部分 附表</w:t>
      </w:r>
    </w:p>
    <w:p w14:paraId="74935A9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p>
    <w:p w14:paraId="319314D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二、收入决算表</w:t>
      </w:r>
    </w:p>
    <w:p w14:paraId="232233A0">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三、支出决算表</w:t>
      </w:r>
    </w:p>
    <w:p w14:paraId="7D57296A">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四、财政拨款收入支出决算总表</w:t>
      </w:r>
    </w:p>
    <w:p w14:paraId="1EA18424">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五、财政拨款支出决算明细表</w:t>
      </w:r>
    </w:p>
    <w:p w14:paraId="777C7F26">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p>
    <w:p w14:paraId="102DDCA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七、一般公共预算财政拨款支出决算明细表</w:t>
      </w:r>
    </w:p>
    <w:p w14:paraId="3F497E32">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p>
    <w:p w14:paraId="44C10041">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九、一般公共预算财政拨款项目支出决算表</w:t>
      </w:r>
    </w:p>
    <w:p w14:paraId="53A40E85">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十、政府性基金预算财政拨款收入支出决算表</w:t>
      </w:r>
    </w:p>
    <w:p w14:paraId="0657B237">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十一、国有资本经营预算财政拨款收入支出决算表</w:t>
      </w:r>
    </w:p>
    <w:p w14:paraId="360D015D">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p>
    <w:p w14:paraId="43DCE7D8">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十三、财政拨款“三公”经费支出决算表</w:t>
      </w:r>
    </w:p>
    <w:p w14:paraId="44387AE2">
      <w:pPr>
        <w:keepNext w:val="0"/>
        <w:keepLines w:val="0"/>
        <w:pageBreakBefore w:val="0"/>
        <w:widowControl/>
        <w:kinsoku/>
        <w:wordWrap/>
        <w:overflowPunct/>
        <w:topLinePunct w:val="0"/>
        <w:autoSpaceDE/>
        <w:autoSpaceDN/>
        <w:bidi w:val="0"/>
        <w:spacing w:line="560" w:lineRule="exact"/>
        <w:jc w:val="left"/>
        <w:textAlignment w:val="auto"/>
        <w:rPr>
          <w:rFonts w:hint="eastAsia" w:ascii="Times New Roman" w:hAnsi="Times New Roman" w:eastAsia="仿宋_GB2312" w:cs="仿宋_GB2312"/>
          <w:bCs/>
          <w:color w:val="auto"/>
          <w:kern w:val="44"/>
          <w:sz w:val="32"/>
          <w:szCs w:val="32"/>
          <w:highlight w:val="none"/>
        </w:rPr>
      </w:pPr>
      <w:bookmarkStart w:id="12" w:name="_Toc15377196"/>
      <w:bookmarkStart w:id="13" w:name="_Toc15396599"/>
      <w:r>
        <w:rPr>
          <w:rFonts w:hint="eastAsia" w:ascii="Times New Roman" w:hAnsi="Times New Roman" w:eastAsia="仿宋_GB2312" w:cs="仿宋_GB2312"/>
          <w:b/>
          <w:color w:val="auto"/>
          <w:sz w:val="32"/>
          <w:szCs w:val="32"/>
          <w:highlight w:val="none"/>
        </w:rPr>
        <w:br w:type="page"/>
      </w:r>
    </w:p>
    <w:p w14:paraId="55E7814F">
      <w:pPr>
        <w:pStyle w:val="5"/>
        <w:jc w:val="center"/>
        <w:rPr>
          <w:rStyle w:val="28"/>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eastAsia="方正小标宋简体" w:cs="方正小标宋简体"/>
          <w:b w:val="0"/>
          <w:color w:val="auto"/>
          <w:highlight w:val="none"/>
          <w:lang w:eastAsia="zh-CN"/>
        </w:rPr>
        <w:t>单位</w:t>
      </w:r>
      <w:r>
        <w:rPr>
          <w:rStyle w:val="28"/>
          <w:rFonts w:hint="eastAsia" w:ascii="Times New Roman" w:hAnsi="Times New Roman" w:eastAsia="方正小标宋简体" w:cs="方正小标宋简体"/>
          <w:b w:val="0"/>
          <w:bCs w:val="0"/>
          <w:color w:val="auto"/>
          <w:highlight w:val="none"/>
        </w:rPr>
        <w:t>概况</w:t>
      </w:r>
      <w:bookmarkEnd w:id="12"/>
      <w:bookmarkEnd w:id="13"/>
    </w:p>
    <w:p w14:paraId="77EC2B5F">
      <w:pPr>
        <w:widowControl/>
        <w:jc w:val="left"/>
        <w:rPr>
          <w:rFonts w:ascii="Times New Roman" w:hAnsi="Times New Roman" w:eastAsia="黑体"/>
          <w:color w:val="auto"/>
          <w:sz w:val="32"/>
          <w:szCs w:val="32"/>
          <w:highlight w:val="none"/>
        </w:rPr>
      </w:pPr>
    </w:p>
    <w:p w14:paraId="2BF12E80">
      <w:pPr>
        <w:pStyle w:val="6"/>
        <w:numPr>
          <w:ilvl w:val="0"/>
          <w:numId w:val="1"/>
        </w:numPr>
        <w:rPr>
          <w:rFonts w:hint="eastAsia" w:ascii="Times New Roman" w:hAnsi="Times New Roman" w:eastAsia="黑体"/>
          <w:b w:val="0"/>
          <w:color w:val="auto"/>
          <w:highlight w:val="none"/>
          <w:lang w:eastAsia="zh-CN"/>
        </w:rPr>
      </w:pPr>
      <w:r>
        <w:rPr>
          <w:rFonts w:hint="eastAsia" w:ascii="Times New Roman" w:hAnsi="Times New Roman" w:eastAsia="黑体"/>
          <w:b w:val="0"/>
          <w:color w:val="auto"/>
          <w:highlight w:val="none"/>
          <w:lang w:eastAsia="zh-CN"/>
        </w:rPr>
        <w:t>单位职责</w:t>
      </w:r>
    </w:p>
    <w:p w14:paraId="3AB9C4FD">
      <w:pPr>
        <w:ind w:firstLine="800" w:firstLineChars="250"/>
        <w:rPr>
          <w:rFonts w:hint="eastAsia" w:eastAsia="仿宋_GB2312" w:cs="仿宋_GB2312"/>
          <w:color w:val="auto"/>
          <w:sz w:val="32"/>
          <w:szCs w:val="32"/>
          <w:highlight w:val="none"/>
          <w:lang w:val="en" w:eastAsia="zh-CN"/>
        </w:rPr>
      </w:pPr>
      <w:r>
        <w:rPr>
          <w:rFonts w:hint="eastAsia" w:eastAsia="仿宋_GB2312" w:cs="仿宋_GB2312"/>
          <w:color w:val="auto"/>
          <w:sz w:val="32"/>
          <w:szCs w:val="32"/>
          <w:highlight w:val="none"/>
          <w:lang w:val="en" w:eastAsia="zh-CN"/>
        </w:rPr>
        <w:t>拟订并组织实施发展规划和专项建设规划。承担机关及指导直属单位预决算、财务、国有资产、政府采购及基建装备工作。指导实施药品、医疗器械和化妆品审评、检查、检验的科学工具和方法。指导实施实验室建设标准和管理规范、检验检测机构资质认定条件和检验规范。组织实施重大科技项目。</w:t>
      </w:r>
    </w:p>
    <w:p w14:paraId="767C72DC">
      <w:pPr>
        <w:pStyle w:val="6"/>
        <w:numPr>
          <w:ilvl w:val="0"/>
          <w:numId w:val="1"/>
        </w:numPr>
        <w:ind w:left="0" w:leftChars="0" w:firstLine="0" w:firstLineChars="0"/>
        <w:rPr>
          <w:rStyle w:val="29"/>
          <w:rFonts w:hint="eastAsia" w:ascii="Times New Roman" w:hAnsi="Times New Roman" w:eastAsia="黑体"/>
          <w:b w:val="0"/>
          <w:bCs w:val="0"/>
          <w:color w:val="auto"/>
          <w:highlight w:val="none"/>
        </w:rPr>
      </w:pPr>
      <w:bookmarkStart w:id="14" w:name="_Toc15396601"/>
      <w:bookmarkStart w:id="15" w:name="_Toc15377200"/>
      <w:r>
        <w:rPr>
          <w:rFonts w:hint="eastAsia" w:ascii="Times New Roman" w:hAnsi="Times New Roman" w:eastAsia="黑体"/>
          <w:b w:val="0"/>
          <w:color w:val="auto"/>
          <w:highlight w:val="none"/>
        </w:rPr>
        <w:t>机</w:t>
      </w:r>
      <w:r>
        <w:rPr>
          <w:rStyle w:val="29"/>
          <w:rFonts w:hint="eastAsia" w:ascii="Times New Roman" w:hAnsi="Times New Roman" w:eastAsia="黑体"/>
          <w:b w:val="0"/>
          <w:bCs w:val="0"/>
          <w:color w:val="auto"/>
          <w:highlight w:val="none"/>
        </w:rPr>
        <w:t>构设置</w:t>
      </w:r>
      <w:bookmarkEnd w:id="14"/>
      <w:bookmarkEnd w:id="15"/>
    </w:p>
    <w:p w14:paraId="58CBD7A1">
      <w:pPr>
        <w:ind w:firstLine="800" w:firstLineChars="250"/>
        <w:rPr>
          <w:rFonts w:hint="eastAsia" w:eastAsia="仿宋_GB2312" w:cs="仿宋_GB2312"/>
          <w:color w:val="auto"/>
          <w:sz w:val="32"/>
          <w:szCs w:val="32"/>
          <w:highlight w:val="none"/>
          <w:lang w:val="en" w:eastAsia="zh-CN"/>
        </w:rPr>
      </w:pPr>
      <w:r>
        <w:rPr>
          <w:rFonts w:hint="eastAsia" w:eastAsia="仿宋_GB2312" w:cs="仿宋_GB2312"/>
          <w:color w:val="auto"/>
          <w:sz w:val="32"/>
          <w:szCs w:val="32"/>
          <w:highlight w:val="none"/>
          <w:lang w:val="en" w:eastAsia="zh-CN"/>
        </w:rPr>
        <w:t>本单位为省药监局内设处室。</w:t>
      </w:r>
    </w:p>
    <w:p w14:paraId="00827536">
      <w:pPr>
        <w:pStyle w:val="5"/>
        <w:jc w:val="center"/>
        <w:rPr>
          <w:rFonts w:hint="eastAsia" w:ascii="Times New Roman" w:hAnsi="Times New Roman" w:eastAsia="方正小标宋简体" w:cs="方正小标宋简体"/>
          <w:b w:val="0"/>
          <w:color w:val="auto"/>
          <w:highlight w:val="none"/>
        </w:rPr>
      </w:pPr>
      <w:bookmarkStart w:id="16" w:name="_Toc15377204"/>
      <w:bookmarkStart w:id="17" w:name="_Toc15396602"/>
    </w:p>
    <w:p w14:paraId="14BE8478">
      <w:pPr>
        <w:pStyle w:val="5"/>
        <w:jc w:val="center"/>
        <w:rPr>
          <w:rFonts w:hint="eastAsia" w:ascii="Times New Roman" w:hAnsi="Times New Roman" w:eastAsia="方正小标宋简体" w:cs="方正小标宋简体"/>
          <w:b w:val="0"/>
          <w:color w:val="auto"/>
          <w:highlight w:val="none"/>
        </w:rPr>
      </w:pPr>
    </w:p>
    <w:p w14:paraId="65C66C9D">
      <w:pPr>
        <w:pStyle w:val="5"/>
        <w:jc w:val="both"/>
        <w:rPr>
          <w:rFonts w:hint="eastAsia" w:ascii="Times New Roman" w:hAnsi="Times New Roman" w:eastAsia="方正小标宋简体" w:cs="方正小标宋简体"/>
          <w:b w:val="0"/>
          <w:color w:val="auto"/>
          <w:highlight w:val="none"/>
        </w:rPr>
      </w:pPr>
    </w:p>
    <w:p w14:paraId="6BA884DA">
      <w:pPr>
        <w:rPr>
          <w:rFonts w:hint="eastAsia"/>
        </w:rPr>
      </w:pPr>
    </w:p>
    <w:p w14:paraId="60981010">
      <w:pPr>
        <w:pStyle w:val="5"/>
        <w:ind w:firstLine="440" w:firstLineChars="100"/>
        <w:jc w:val="both"/>
        <w:rPr>
          <w:rFonts w:hint="eastAsia" w:ascii="Times New Roman" w:hAnsi="Times New Roman" w:eastAsia="方正小标宋简体" w:cs="方正小标宋简体"/>
          <w:b w:val="0"/>
          <w:color w:val="auto"/>
          <w:highlight w:val="none"/>
        </w:rPr>
      </w:pPr>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w:t>
      </w:r>
      <w:r>
        <w:rPr>
          <w:rFonts w:hint="eastAsia" w:eastAsia="方正小标宋简体" w:cs="方正小标宋简体"/>
          <w:b w:val="0"/>
          <w:color w:val="auto"/>
          <w:highlight w:val="none"/>
          <w:lang w:val="en-US" w:eastAsia="zh-CN"/>
        </w:rPr>
        <w:t>单位</w:t>
      </w:r>
      <w:r>
        <w:rPr>
          <w:rFonts w:hint="eastAsia" w:ascii="Times New Roman" w:hAnsi="Times New Roman" w:eastAsia="方正小标宋简体" w:cs="方正小标宋简体"/>
          <w:b w:val="0"/>
          <w:color w:val="auto"/>
          <w:highlight w:val="none"/>
        </w:rPr>
        <w:t>决算情况说明</w:t>
      </w:r>
      <w:bookmarkEnd w:id="16"/>
      <w:bookmarkEnd w:id="17"/>
    </w:p>
    <w:p w14:paraId="2FF59759">
      <w:pPr>
        <w:rPr>
          <w:rFonts w:ascii="Times New Roman" w:hAnsi="Times New Roman"/>
          <w:color w:val="auto"/>
          <w:highlight w:val="none"/>
        </w:rPr>
      </w:pPr>
    </w:p>
    <w:p w14:paraId="32F10F6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18" w:name="_Toc15377205"/>
      <w:bookmarkStart w:id="19" w:name="_Toc15396603"/>
      <w:r>
        <w:rPr>
          <w:rFonts w:hint="eastAsia" w:ascii="Times New Roman" w:hAnsi="Times New Roman" w:eastAsia="黑体"/>
          <w:color w:val="auto"/>
          <w:sz w:val="32"/>
          <w:szCs w:val="32"/>
          <w:highlight w:val="none"/>
          <w:lang w:eastAsia="zh-CN"/>
        </w:rPr>
        <w:t>一、</w:t>
      </w:r>
      <w:r>
        <w:rPr>
          <w:rFonts w:hint="eastAsia" w:ascii="Times New Roman" w:hAnsi="Times New Roman" w:eastAsia="黑体"/>
          <w:color w:val="auto"/>
          <w:sz w:val="32"/>
          <w:szCs w:val="32"/>
          <w:highlight w:val="none"/>
        </w:rPr>
        <w:t>收</w:t>
      </w:r>
      <w:r>
        <w:rPr>
          <w:rStyle w:val="29"/>
          <w:rFonts w:hint="eastAsia" w:ascii="Times New Roman" w:hAnsi="Times New Roman" w:eastAsia="黑体"/>
          <w:b w:val="0"/>
          <w:color w:val="auto"/>
          <w:highlight w:val="none"/>
        </w:rPr>
        <w:t>入支出决算总体情况说明</w:t>
      </w:r>
      <w:bookmarkEnd w:id="18"/>
      <w:bookmarkEnd w:id="19"/>
    </w:p>
    <w:p w14:paraId="5AB49CF4">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ascii="Times New Roman" w:hAnsi="Times New Roman" w:eastAsia="仿宋_GB2312" w:cs="仿宋_GB2312"/>
          <w:color w:val="auto"/>
          <w:sz w:val="32"/>
          <w:szCs w:val="32"/>
          <w:highlight w:val="none"/>
          <w:lang w:eastAsia="zh-CN"/>
        </w:rPr>
        <w:t>均为</w:t>
      </w:r>
      <w:r>
        <w:rPr>
          <w:rFonts w:hint="eastAsia" w:eastAsia="仿宋_GB2312" w:cs="仿宋_GB2312"/>
          <w:color w:val="auto"/>
          <w:sz w:val="32"/>
          <w:szCs w:val="32"/>
          <w:highlight w:val="none"/>
          <w:lang w:val="en-US" w:eastAsia="zh-CN"/>
        </w:rPr>
        <w:t>39.12</w:t>
      </w:r>
      <w:r>
        <w:rPr>
          <w:rFonts w:hint="eastAsia" w:ascii="Times New Roman" w:hAnsi="Times New Roman" w:eastAsia="仿宋_GB2312" w:cs="仿宋_GB2312"/>
          <w:color w:val="auto"/>
          <w:sz w:val="32"/>
          <w:szCs w:val="32"/>
          <w:highlight w:val="none"/>
        </w:rPr>
        <w:t>万元。与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总计各减少</w:t>
      </w:r>
      <w:r>
        <w:rPr>
          <w:rFonts w:hint="eastAsia" w:eastAsia="仿宋_GB2312" w:cs="仿宋_GB2312"/>
          <w:color w:val="auto"/>
          <w:sz w:val="32"/>
          <w:szCs w:val="32"/>
          <w:highlight w:val="none"/>
          <w:lang w:val="en-US" w:eastAsia="zh-CN"/>
        </w:rPr>
        <w:t>24.77</w:t>
      </w:r>
      <w:r>
        <w:rPr>
          <w:rFonts w:hint="eastAsia" w:ascii="Times New Roman" w:hAnsi="Times New Roman" w:eastAsia="仿宋_GB2312" w:cs="仿宋_GB2312"/>
          <w:color w:val="auto"/>
          <w:sz w:val="32"/>
          <w:szCs w:val="32"/>
          <w:highlight w:val="none"/>
        </w:rPr>
        <w:t>万元，下降</w:t>
      </w:r>
      <w:r>
        <w:rPr>
          <w:rFonts w:hint="eastAsia" w:eastAsia="仿宋_GB2312" w:cs="仿宋_GB2312"/>
          <w:color w:val="auto"/>
          <w:sz w:val="32"/>
          <w:szCs w:val="32"/>
          <w:highlight w:val="none"/>
          <w:lang w:val="en-US" w:eastAsia="zh-CN"/>
        </w:rPr>
        <w:t>38.77</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eastAsia="zh-CN"/>
        </w:rPr>
        <w:t>项目支出减少。</w:t>
      </w:r>
    </w:p>
    <w:p w14:paraId="3DC23F44">
      <w:pPr>
        <w:pStyle w:val="27"/>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1"/>
        <w:rPr>
          <w:rFonts w:hint="eastAsia" w:eastAsia="仿宋_GB2312" w:cs="仿宋_GB2312"/>
          <w:color w:val="auto"/>
          <w:sz w:val="32"/>
          <w:szCs w:val="32"/>
          <w:highlight w:val="none"/>
          <w:lang w:eastAsia="zh-CN"/>
        </w:rPr>
      </w:pPr>
      <w:r>
        <w:rPr>
          <w:rFonts w:hint="eastAsia" w:eastAsia="仿宋_GB2312" w:cs="仿宋_GB2312"/>
          <w:color w:val="auto"/>
          <w:sz w:val="32"/>
          <w:szCs w:val="32"/>
          <w:highlight w:val="none"/>
          <w:lang w:eastAsia="zh-CN"/>
        </w:rPr>
        <w:drawing>
          <wp:inline distT="0" distB="0" distL="114300" distR="114300">
            <wp:extent cx="4587875" cy="2758440"/>
            <wp:effectExtent l="0" t="0" r="14605" b="0"/>
            <wp:docPr id="1" name="图片 1" descr="图片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5"/>
                    <pic:cNvPicPr>
                      <a:picLocks noChangeAspect="1"/>
                    </pic:cNvPicPr>
                  </pic:nvPicPr>
                  <pic:blipFill>
                    <a:blip r:embed="rId7"/>
                    <a:stretch>
                      <a:fillRect/>
                    </a:stretch>
                  </pic:blipFill>
                  <pic:spPr>
                    <a:xfrm>
                      <a:off x="0" y="0"/>
                      <a:ext cx="4587875" cy="2758440"/>
                    </a:xfrm>
                    <a:prstGeom prst="rect">
                      <a:avLst/>
                    </a:prstGeom>
                  </pic:spPr>
                </pic:pic>
              </a:graphicData>
            </a:graphic>
          </wp:inline>
        </w:drawing>
      </w:r>
    </w:p>
    <w:p w14:paraId="43705B0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（图1：</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决算总计变动情况图）（柱状图）</w:t>
      </w:r>
    </w:p>
    <w:p w14:paraId="13AD84CD">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黑体"/>
          <w:color w:val="auto"/>
          <w:sz w:val="32"/>
          <w:szCs w:val="32"/>
          <w:highlight w:val="none"/>
          <w:lang w:eastAsia="zh-CN"/>
        </w:rPr>
      </w:pPr>
      <w:bookmarkStart w:id="20" w:name="_Toc15396604"/>
      <w:bookmarkStart w:id="21" w:name="_Toc15377206"/>
      <w:r>
        <w:rPr>
          <w:rFonts w:hint="eastAsia" w:ascii="Times New Roman" w:hAnsi="Times New Roman" w:eastAsia="黑体"/>
          <w:color w:val="auto"/>
          <w:sz w:val="32"/>
          <w:szCs w:val="32"/>
          <w:highlight w:val="none"/>
          <w:lang w:eastAsia="zh-CN"/>
        </w:rPr>
        <w:t>二、收入决算情况说明</w:t>
      </w:r>
      <w:bookmarkEnd w:id="20"/>
      <w:bookmarkEnd w:id="21"/>
    </w:p>
    <w:p w14:paraId="4087BC5D">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2024年度本年收入合计</w:t>
      </w:r>
      <w:r>
        <w:rPr>
          <w:rFonts w:hint="eastAsia" w:eastAsia="仿宋_GB2312" w:cs="仿宋_GB2312"/>
          <w:color w:val="auto"/>
          <w:sz w:val="32"/>
          <w:szCs w:val="32"/>
          <w:highlight w:val="none"/>
          <w:lang w:val="en-US" w:eastAsia="zh-CN"/>
        </w:rPr>
        <w:t>39.12</w:t>
      </w:r>
      <w:r>
        <w:rPr>
          <w:rFonts w:hint="eastAsia" w:ascii="Times New Roman" w:hAnsi="Times New Roman" w:eastAsia="仿宋_GB2312" w:cs="仿宋_GB2312"/>
          <w:color w:val="auto"/>
          <w:sz w:val="32"/>
          <w:szCs w:val="32"/>
          <w:highlight w:val="none"/>
          <w:lang w:eastAsia="zh-CN"/>
        </w:rPr>
        <w:t>万元，其中：一般公共预算财政拨款收入</w:t>
      </w:r>
      <w:r>
        <w:rPr>
          <w:rFonts w:hint="eastAsia" w:eastAsia="仿宋_GB2312" w:cs="仿宋_GB2312"/>
          <w:color w:val="auto"/>
          <w:sz w:val="32"/>
          <w:szCs w:val="32"/>
          <w:highlight w:val="none"/>
          <w:lang w:val="en-US" w:eastAsia="zh-CN"/>
        </w:rPr>
        <w:t>39.12</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lang w:eastAsia="zh-CN"/>
        </w:rPr>
        <w:t>%。</w:t>
      </w:r>
    </w:p>
    <w:p w14:paraId="141611FE">
      <w:pPr>
        <w:pStyle w:val="27"/>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587875" cy="2758440"/>
            <wp:effectExtent l="0" t="0" r="14605" b="0"/>
            <wp:docPr id="2" name="图片 2" descr="图片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9"/>
                    <pic:cNvPicPr>
                      <a:picLocks noChangeAspect="1"/>
                    </pic:cNvPicPr>
                  </pic:nvPicPr>
                  <pic:blipFill>
                    <a:blip r:embed="rId8"/>
                    <a:stretch>
                      <a:fillRect/>
                    </a:stretch>
                  </pic:blipFill>
                  <pic:spPr>
                    <a:xfrm>
                      <a:off x="0" y="0"/>
                      <a:ext cx="4587875" cy="2758440"/>
                    </a:xfrm>
                    <a:prstGeom prst="rect">
                      <a:avLst/>
                    </a:prstGeom>
                  </pic:spPr>
                </pic:pic>
              </a:graphicData>
            </a:graphic>
          </wp:inline>
        </w:drawing>
      </w:r>
    </w:p>
    <w:p w14:paraId="73D659A6">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（图2：收入决算结构图）（饼状图）</w:t>
      </w:r>
    </w:p>
    <w:p w14:paraId="486D843E">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29"/>
          <w:rFonts w:hint="eastAsia" w:ascii="Times New Roman" w:hAnsi="Times New Roman" w:eastAsia="黑体"/>
          <w:b w:val="0"/>
          <w:color w:val="auto"/>
          <w:highlight w:val="none"/>
        </w:rPr>
      </w:pPr>
      <w:bookmarkStart w:id="22" w:name="_Toc15396605"/>
      <w:bookmarkStart w:id="23" w:name="_Toc15377207"/>
      <w:r>
        <w:rPr>
          <w:rFonts w:hint="eastAsia" w:ascii="Times New Roman" w:hAnsi="Times New Roman" w:eastAsia="黑体"/>
          <w:color w:val="auto"/>
          <w:sz w:val="32"/>
          <w:szCs w:val="32"/>
          <w:highlight w:val="none"/>
          <w:lang w:eastAsia="zh-CN"/>
        </w:rPr>
        <w:t>三、</w:t>
      </w:r>
      <w:r>
        <w:rPr>
          <w:rFonts w:hint="eastAsia" w:ascii="Times New Roman" w:hAnsi="Times New Roman" w:eastAsia="黑体"/>
          <w:color w:val="auto"/>
          <w:sz w:val="32"/>
          <w:szCs w:val="32"/>
          <w:highlight w:val="none"/>
        </w:rPr>
        <w:t>支</w:t>
      </w:r>
      <w:r>
        <w:rPr>
          <w:rStyle w:val="29"/>
          <w:rFonts w:hint="eastAsia" w:ascii="Times New Roman" w:hAnsi="Times New Roman" w:eastAsia="黑体"/>
          <w:b w:val="0"/>
          <w:color w:val="auto"/>
          <w:highlight w:val="none"/>
        </w:rPr>
        <w:t>出决算情况说明</w:t>
      </w:r>
      <w:bookmarkEnd w:id="22"/>
      <w:bookmarkEnd w:id="23"/>
    </w:p>
    <w:p w14:paraId="767714BD">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2024年度本年支出合计</w:t>
      </w:r>
      <w:r>
        <w:rPr>
          <w:rFonts w:hint="eastAsia" w:eastAsia="仿宋_GB2312" w:cs="仿宋_GB2312"/>
          <w:color w:val="auto"/>
          <w:sz w:val="32"/>
          <w:szCs w:val="32"/>
          <w:highlight w:val="none"/>
          <w:lang w:val="en-US" w:eastAsia="zh-CN"/>
        </w:rPr>
        <w:t>39.12</w:t>
      </w:r>
      <w:r>
        <w:rPr>
          <w:rFonts w:hint="eastAsia" w:ascii="Times New Roman" w:hAnsi="Times New Roman" w:eastAsia="仿宋_GB2312" w:cs="仿宋_GB2312"/>
          <w:color w:val="auto"/>
          <w:sz w:val="32"/>
          <w:szCs w:val="32"/>
          <w:highlight w:val="none"/>
          <w:lang w:eastAsia="zh-CN"/>
        </w:rPr>
        <w:t>万元，其中：基本支出</w:t>
      </w:r>
      <w:r>
        <w:rPr>
          <w:rFonts w:hint="eastAsia" w:eastAsia="仿宋_GB2312" w:cs="仿宋_GB2312"/>
          <w:color w:val="auto"/>
          <w:sz w:val="32"/>
          <w:szCs w:val="32"/>
          <w:highlight w:val="none"/>
          <w:lang w:val="en-US" w:eastAsia="zh-CN"/>
        </w:rPr>
        <w:t>0</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0</w:t>
      </w:r>
      <w:r>
        <w:rPr>
          <w:rFonts w:hint="eastAsia" w:ascii="Times New Roman" w:hAnsi="Times New Roman" w:eastAsia="仿宋_GB2312" w:cs="仿宋_GB2312"/>
          <w:color w:val="auto"/>
          <w:sz w:val="32"/>
          <w:szCs w:val="32"/>
          <w:highlight w:val="none"/>
          <w:lang w:eastAsia="zh-CN"/>
        </w:rPr>
        <w:t>%；项目支出</w:t>
      </w:r>
      <w:r>
        <w:rPr>
          <w:rFonts w:hint="eastAsia" w:eastAsia="仿宋_GB2312" w:cs="仿宋_GB2312"/>
          <w:color w:val="auto"/>
          <w:sz w:val="32"/>
          <w:szCs w:val="32"/>
          <w:highlight w:val="none"/>
          <w:lang w:val="en-US" w:eastAsia="zh-CN"/>
        </w:rPr>
        <w:t>39.12</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lang w:eastAsia="zh-CN"/>
        </w:rPr>
        <w:t>%。</w:t>
      </w:r>
    </w:p>
    <w:p w14:paraId="0CA280FE">
      <w:pPr>
        <w:pStyle w:val="27"/>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outlineLvl w:val="1"/>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4587875" cy="2758440"/>
            <wp:effectExtent l="0" t="0" r="14605" b="0"/>
            <wp:docPr id="4" name="图片 4" descr="图片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7"/>
                    <pic:cNvPicPr>
                      <a:picLocks noChangeAspect="1"/>
                    </pic:cNvPicPr>
                  </pic:nvPicPr>
                  <pic:blipFill>
                    <a:blip r:embed="rId9"/>
                    <a:stretch>
                      <a:fillRect/>
                    </a:stretch>
                  </pic:blipFill>
                  <pic:spPr>
                    <a:xfrm>
                      <a:off x="0" y="0"/>
                      <a:ext cx="4587875" cy="2758440"/>
                    </a:xfrm>
                    <a:prstGeom prst="rect">
                      <a:avLst/>
                    </a:prstGeom>
                  </pic:spPr>
                </pic:pic>
              </a:graphicData>
            </a:graphic>
          </wp:inline>
        </w:drawing>
      </w:r>
    </w:p>
    <w:p w14:paraId="7BE65305">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t>（图3：支出决算结构图）（饼状图）</w:t>
      </w:r>
    </w:p>
    <w:p w14:paraId="129CB4FE">
      <w:pPr>
        <w:spacing w:line="600" w:lineRule="exact"/>
        <w:ind w:firstLine="640" w:firstLineChars="200"/>
        <w:outlineLvl w:val="1"/>
        <w:rPr>
          <w:rStyle w:val="29"/>
          <w:rFonts w:ascii="Times New Roman" w:hAnsi="Times New Roman" w:eastAsia="黑体"/>
          <w:b w:val="0"/>
          <w:color w:val="auto"/>
          <w:highlight w:val="none"/>
        </w:rPr>
      </w:pPr>
      <w:bookmarkStart w:id="24" w:name="_Toc15396606"/>
      <w:bookmarkStart w:id="25" w:name="_Toc15377208"/>
      <w:r>
        <w:rPr>
          <w:rFonts w:hint="eastAsia" w:ascii="Times New Roman" w:hAnsi="Times New Roman" w:eastAsia="黑体"/>
          <w:color w:val="auto"/>
          <w:sz w:val="32"/>
          <w:szCs w:val="32"/>
          <w:highlight w:val="none"/>
        </w:rPr>
        <w:t>四、财</w:t>
      </w:r>
      <w:r>
        <w:rPr>
          <w:rStyle w:val="29"/>
          <w:rFonts w:hint="eastAsia" w:ascii="Times New Roman" w:hAnsi="Times New Roman" w:eastAsia="黑体"/>
          <w:b w:val="0"/>
          <w:color w:val="auto"/>
          <w:highlight w:val="none"/>
        </w:rPr>
        <w:t>政拨款收入支出决算总体情况说明</w:t>
      </w:r>
      <w:bookmarkEnd w:id="24"/>
      <w:bookmarkEnd w:id="25"/>
    </w:p>
    <w:p w14:paraId="069BCFF6">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eastAsia="仿宋_GB2312" w:cs="仿宋_GB2312"/>
          <w:color w:val="auto"/>
          <w:kern w:val="2"/>
          <w:sz w:val="32"/>
          <w:szCs w:val="32"/>
          <w:highlight w:val="none"/>
          <w:lang w:val="en-US" w:eastAsia="zh-CN" w:bidi="ar-SA"/>
        </w:rPr>
        <w:t>39.12</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24.77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38.77</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项目支出减少。</w:t>
      </w:r>
    </w:p>
    <w:p w14:paraId="74594788">
      <w:pPr>
        <w:pStyle w:val="2"/>
        <w:jc w:val="center"/>
        <w:rPr>
          <w:rFonts w:hint="eastAsia"/>
          <w:lang w:val="en-US" w:eastAsia="zh-CN"/>
        </w:rPr>
      </w:pPr>
      <w:r>
        <w:rPr>
          <w:rFonts w:hint="eastAsia"/>
          <w:lang w:val="en-US" w:eastAsia="zh-CN"/>
        </w:rPr>
        <w:drawing>
          <wp:inline distT="0" distB="0" distL="114300" distR="114300">
            <wp:extent cx="4587875" cy="2758440"/>
            <wp:effectExtent l="0" t="0" r="14605" b="0"/>
            <wp:docPr id="3" name="图片 3"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16"/>
                    <pic:cNvPicPr>
                      <a:picLocks noChangeAspect="1"/>
                    </pic:cNvPicPr>
                  </pic:nvPicPr>
                  <pic:blipFill>
                    <a:blip r:embed="rId10"/>
                    <a:stretch>
                      <a:fillRect/>
                    </a:stretch>
                  </pic:blipFill>
                  <pic:spPr>
                    <a:xfrm>
                      <a:off x="0" y="0"/>
                      <a:ext cx="4587875" cy="2758440"/>
                    </a:xfrm>
                    <a:prstGeom prst="rect">
                      <a:avLst/>
                    </a:prstGeom>
                  </pic:spPr>
                </pic:pic>
              </a:graphicData>
            </a:graphic>
          </wp:inline>
        </w:drawing>
      </w:r>
    </w:p>
    <w:p w14:paraId="52ACD11C">
      <w:p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（图4：财政拨款收、支决算总计变动情况）（柱状图）</w:t>
      </w:r>
    </w:p>
    <w:p w14:paraId="44BC8330">
      <w:pPr>
        <w:spacing w:line="600" w:lineRule="exact"/>
        <w:ind w:firstLine="640" w:firstLineChars="200"/>
        <w:outlineLvl w:val="1"/>
        <w:rPr>
          <w:rStyle w:val="29"/>
          <w:rFonts w:ascii="Times New Roman" w:hAnsi="Times New Roman" w:eastAsia="黑体"/>
          <w:b w:val="0"/>
          <w:color w:val="auto"/>
          <w:highlight w:val="none"/>
        </w:rPr>
      </w:pPr>
      <w:bookmarkStart w:id="26" w:name="_Toc15377209"/>
      <w:bookmarkStart w:id="27" w:name="_Toc15396607"/>
      <w:r>
        <w:rPr>
          <w:rFonts w:hint="eastAsia" w:ascii="Times New Roman" w:hAnsi="Times New Roman" w:eastAsia="黑体"/>
          <w:color w:val="auto"/>
          <w:sz w:val="32"/>
          <w:szCs w:val="32"/>
          <w:highlight w:val="none"/>
        </w:rPr>
        <w:t>五、</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般公共预算财政拨款支出决算情况说明</w:t>
      </w:r>
      <w:bookmarkEnd w:id="26"/>
      <w:bookmarkEnd w:id="27"/>
    </w:p>
    <w:p w14:paraId="0F9B5EBD">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8"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28"/>
    </w:p>
    <w:p w14:paraId="6EDF1658">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39.12</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%。与2023年度相比，一般公共预算财政拨款支出减少</w:t>
      </w:r>
      <w:r>
        <w:rPr>
          <w:rFonts w:hint="eastAsia" w:eastAsia="仿宋_GB2312" w:cs="仿宋_GB2312"/>
          <w:color w:val="auto"/>
          <w:kern w:val="2"/>
          <w:sz w:val="32"/>
          <w:szCs w:val="32"/>
          <w:highlight w:val="none"/>
          <w:lang w:val="en-US" w:eastAsia="zh-CN" w:bidi="ar-SA"/>
        </w:rPr>
        <w:t>24.77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38.77</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项目支出减少。</w:t>
      </w:r>
    </w:p>
    <w:p w14:paraId="13A480B1">
      <w:pPr>
        <w:pStyle w:val="2"/>
        <w:jc w:val="center"/>
        <w:rPr>
          <w:rFonts w:hint="eastAsia"/>
          <w:lang w:val="en-US" w:eastAsia="zh-CN"/>
        </w:rPr>
      </w:pPr>
      <w:r>
        <w:rPr>
          <w:rFonts w:hint="eastAsia"/>
          <w:lang w:val="en-US" w:eastAsia="zh-CN"/>
        </w:rPr>
        <w:drawing>
          <wp:inline distT="0" distB="0" distL="114300" distR="114300">
            <wp:extent cx="4587875" cy="2758440"/>
            <wp:effectExtent l="0" t="0" r="14605" b="0"/>
            <wp:docPr id="5" name="图片 5" descr="图片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片18"/>
                    <pic:cNvPicPr>
                      <a:picLocks noChangeAspect="1"/>
                    </pic:cNvPicPr>
                  </pic:nvPicPr>
                  <pic:blipFill>
                    <a:blip r:embed="rId11"/>
                    <a:stretch>
                      <a:fillRect/>
                    </a:stretch>
                  </pic:blipFill>
                  <pic:spPr>
                    <a:xfrm>
                      <a:off x="0" y="0"/>
                      <a:ext cx="4587875" cy="2758440"/>
                    </a:xfrm>
                    <a:prstGeom prst="rect">
                      <a:avLst/>
                    </a:prstGeom>
                  </pic:spPr>
                </pic:pic>
              </a:graphicData>
            </a:graphic>
          </wp:inline>
        </w:drawing>
      </w:r>
    </w:p>
    <w:p w14:paraId="178A265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（图5：一般公共预算财政拨款支出决算变动情况）（柱状图）</w:t>
      </w:r>
    </w:p>
    <w:p w14:paraId="594C486A">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29"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29"/>
    </w:p>
    <w:p w14:paraId="037C76EA">
      <w:pPr>
        <w:spacing w:line="600" w:lineRule="exact"/>
        <w:ind w:firstLine="64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39.12</w:t>
      </w:r>
      <w:r>
        <w:rPr>
          <w:rFonts w:hint="eastAsia" w:ascii="Times New Roman" w:hAnsi="Times New Roman" w:eastAsia="仿宋_GB2312" w:cs="仿宋_GB2312"/>
          <w:color w:val="auto"/>
          <w:kern w:val="2"/>
          <w:sz w:val="32"/>
          <w:szCs w:val="32"/>
          <w:highlight w:val="none"/>
          <w:lang w:val="en-US" w:eastAsia="zh-CN" w:bidi="ar-SA"/>
        </w:rPr>
        <w:t>万元，主要用于以下方面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一般公共服务支出</w:t>
      </w:r>
      <w:r>
        <w:rPr>
          <w:rFonts w:hint="eastAsia" w:eastAsia="仿宋_GB2312" w:cs="仿宋_GB2312"/>
          <w:color w:val="auto"/>
          <w:kern w:val="2"/>
          <w:sz w:val="32"/>
          <w:szCs w:val="32"/>
          <w:highlight w:val="none"/>
          <w:lang w:val="en-US" w:eastAsia="zh-CN" w:bidi="ar-SA"/>
        </w:rPr>
        <w:t>32.72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83.64</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6.40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16.36</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14:paraId="18925DE5">
      <w:pPr>
        <w:spacing w:line="240" w:lineRule="auto"/>
        <w:ind w:firstLine="640"/>
        <w:rPr>
          <w:rFonts w:hint="eastAsia"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drawing>
          <wp:inline distT="0" distB="0" distL="114300" distR="114300">
            <wp:extent cx="4587875" cy="2758440"/>
            <wp:effectExtent l="0" t="0" r="14605" b="0"/>
            <wp:docPr id="6" name="图片 6" descr="图片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片19"/>
                    <pic:cNvPicPr>
                      <a:picLocks noChangeAspect="1"/>
                    </pic:cNvPicPr>
                  </pic:nvPicPr>
                  <pic:blipFill>
                    <a:blip r:embed="rId12"/>
                    <a:stretch>
                      <a:fillRect/>
                    </a:stretch>
                  </pic:blipFill>
                  <pic:spPr>
                    <a:xfrm>
                      <a:off x="0" y="0"/>
                      <a:ext cx="4587875" cy="2758440"/>
                    </a:xfrm>
                    <a:prstGeom prst="rect">
                      <a:avLst/>
                    </a:prstGeom>
                  </pic:spPr>
                </pic:pic>
              </a:graphicData>
            </a:graphic>
          </wp:inline>
        </w:drawing>
      </w:r>
    </w:p>
    <w:p w14:paraId="29958C3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（图6：一般公共预算财政拨款支出决算结构）（饼状图）</w:t>
      </w:r>
    </w:p>
    <w:p w14:paraId="28E1EB61">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0"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30"/>
    </w:p>
    <w:p w14:paraId="5BCC4AC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31" w:name="_Toc15378460"/>
      <w:bookmarkStart w:id="32" w:name="_Toc15377213"/>
      <w:bookmarkStart w:id="33"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2024年度一般公共预算财政拨款支出（Z08表1栏）决算数为</w:t>
      </w:r>
      <w:r>
        <w:rPr>
          <w:rFonts w:hint="eastAsia" w:eastAsia="仿宋_GB2312" w:cs="仿宋_GB2312"/>
          <w:color w:val="auto"/>
          <w:kern w:val="2"/>
          <w:sz w:val="32"/>
          <w:szCs w:val="32"/>
          <w:highlight w:val="none"/>
          <w:lang w:val="en-US" w:eastAsia="zh-CN" w:bidi="ar-SA"/>
        </w:rPr>
        <w:t>39.12</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78.24</w:t>
      </w:r>
      <w:r>
        <w:rPr>
          <w:rFonts w:hint="eastAsia" w:ascii="Times New Roman" w:hAnsi="Times New Roman" w:eastAsia="仿宋_GB2312" w:cs="仿宋_GB2312"/>
          <w:color w:val="auto"/>
          <w:kern w:val="2"/>
          <w:sz w:val="32"/>
          <w:szCs w:val="32"/>
          <w:highlight w:val="none"/>
          <w:lang w:val="en-US" w:eastAsia="zh-CN" w:bidi="ar-SA"/>
        </w:rPr>
        <w:t>%。其中：</w:t>
      </w:r>
      <w:bookmarkEnd w:id="31"/>
      <w:bookmarkEnd w:id="32"/>
      <w:bookmarkEnd w:id="33"/>
    </w:p>
    <w:p w14:paraId="1B2C4B7B">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市场监督管理事务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一般行政管理事务</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27.92</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79.77</w:t>
      </w:r>
      <w:r>
        <w:rPr>
          <w:rFonts w:hint="eastAsia" w:ascii="Times New Roman" w:hAnsi="Times New Roman" w:eastAsia="仿宋_GB2312" w:cs="仿宋_GB2312"/>
          <w:color w:val="auto"/>
          <w:kern w:val="2"/>
          <w:sz w:val="32"/>
          <w:szCs w:val="32"/>
          <w:highlight w:val="none"/>
          <w:lang w:val="en-US" w:eastAsia="zh-CN" w:bidi="ar-SA"/>
        </w:rPr>
        <w:t>%，决算数小于预算数的主要原因是</w:t>
      </w:r>
      <w:r>
        <w:rPr>
          <w:rFonts w:hint="eastAsia" w:eastAsia="仿宋_GB2312" w:cs="仿宋_GB2312"/>
          <w:color w:val="auto"/>
          <w:kern w:val="2"/>
          <w:sz w:val="32"/>
          <w:szCs w:val="32"/>
          <w:highlight w:val="none"/>
          <w:lang w:val="en-US" w:eastAsia="zh-CN" w:bidi="ar-SA"/>
        </w:rPr>
        <w:t>项目完成后产生结余。</w:t>
      </w:r>
    </w:p>
    <w:p w14:paraId="0964E83F">
      <w:pPr>
        <w:numPr>
          <w:ilvl w:val="0"/>
          <w:numId w:val="2"/>
        </w:numPr>
        <w:spacing w:line="600" w:lineRule="exact"/>
        <w:ind w:left="0" w:leftChars="0" w:firstLine="640" w:firstLineChars="0"/>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一般公共服务（类）</w:t>
      </w:r>
      <w:r>
        <w:rPr>
          <w:rFonts w:hint="eastAsia" w:eastAsia="仿宋_GB2312" w:cs="仿宋_GB2312"/>
          <w:color w:val="auto"/>
          <w:kern w:val="2"/>
          <w:sz w:val="32"/>
          <w:szCs w:val="32"/>
          <w:highlight w:val="none"/>
          <w:lang w:val="en-US" w:eastAsia="zh-CN" w:bidi="ar-SA"/>
        </w:rPr>
        <w:t>市场监督管理事务</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信息化建设</w:t>
      </w:r>
      <w:r>
        <w:rPr>
          <w:rFonts w:hint="eastAsia" w:ascii="Times New Roman" w:hAnsi="Times New Roman" w:eastAsia="仿宋_GB2312" w:cs="仿宋_GB2312"/>
          <w:color w:val="auto"/>
          <w:kern w:val="2"/>
          <w:sz w:val="32"/>
          <w:szCs w:val="32"/>
          <w:highlight w:val="none"/>
          <w:lang w:val="en-US" w:eastAsia="zh-CN" w:bidi="ar-SA"/>
        </w:rPr>
        <w:t>（项）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4.80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96</w:t>
      </w:r>
      <w:r>
        <w:rPr>
          <w:rFonts w:hint="eastAsia" w:ascii="Times New Roman" w:hAnsi="Times New Roman" w:eastAsia="仿宋_GB2312" w:cs="仿宋_GB2312"/>
          <w:color w:val="auto"/>
          <w:kern w:val="2"/>
          <w:sz w:val="32"/>
          <w:szCs w:val="32"/>
          <w:highlight w:val="none"/>
          <w:lang w:val="en-US" w:eastAsia="zh-CN" w:bidi="ar-SA"/>
        </w:rPr>
        <w:t>%，决算数</w:t>
      </w:r>
      <w:r>
        <w:rPr>
          <w:rFonts w:hint="eastAsia" w:eastAsia="仿宋_GB2312" w:cs="仿宋_GB2312"/>
          <w:color w:val="auto"/>
          <w:kern w:val="2"/>
          <w:sz w:val="32"/>
          <w:szCs w:val="32"/>
          <w:highlight w:val="none"/>
          <w:lang w:val="en-US" w:eastAsia="zh-CN" w:bidi="ar-SA"/>
        </w:rPr>
        <w:t>与预算数基本持平。</w:t>
      </w:r>
    </w:p>
    <w:p w14:paraId="6F246F4F">
      <w:pPr>
        <w:numPr>
          <w:ilvl w:val="0"/>
          <w:numId w:val="2"/>
        </w:num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3</w:t>
      </w:r>
      <w:r>
        <w:rPr>
          <w:rFonts w:hint="eastAsia" w:ascii="Times New Roman" w:hAnsi="Times New Roman" w:eastAsia="仿宋_GB2312" w:cs="仿宋_GB2312"/>
          <w:color w:val="auto"/>
          <w:kern w:val="2"/>
          <w:sz w:val="32"/>
          <w:szCs w:val="32"/>
          <w:highlight w:val="none"/>
          <w:lang w:val="en-US" w:eastAsia="zh-CN" w:bidi="ar-SA"/>
        </w:rPr>
        <w:t>.教育（类）</w:t>
      </w:r>
      <w:r>
        <w:rPr>
          <w:rFonts w:hint="eastAsia" w:eastAsia="仿宋_GB2312" w:cs="仿宋_GB2312"/>
          <w:color w:val="auto"/>
          <w:kern w:val="2"/>
          <w:sz w:val="32"/>
          <w:szCs w:val="32"/>
          <w:highlight w:val="none"/>
          <w:lang w:val="en-US" w:eastAsia="zh-CN" w:bidi="ar-SA"/>
        </w:rPr>
        <w:t>进修及培训</w:t>
      </w:r>
      <w:r>
        <w:rPr>
          <w:rFonts w:hint="eastAsia" w:ascii="Times New Roman" w:hAnsi="Times New Roman" w:eastAsia="仿宋_GB2312" w:cs="仿宋_GB2312"/>
          <w:color w:val="auto"/>
          <w:kern w:val="2"/>
          <w:sz w:val="32"/>
          <w:szCs w:val="32"/>
          <w:highlight w:val="none"/>
          <w:lang w:val="en-US" w:eastAsia="zh-CN" w:bidi="ar-SA"/>
        </w:rPr>
        <w:t>（款）</w:t>
      </w:r>
      <w:r>
        <w:rPr>
          <w:rFonts w:hint="eastAsia" w:eastAsia="仿宋_GB2312" w:cs="仿宋_GB2312"/>
          <w:color w:val="auto"/>
          <w:kern w:val="2"/>
          <w:sz w:val="32"/>
          <w:szCs w:val="32"/>
          <w:highlight w:val="none"/>
          <w:lang w:val="en-US" w:eastAsia="zh-CN" w:bidi="ar-SA"/>
        </w:rPr>
        <w:t>培训支出</w:t>
      </w:r>
      <w:r>
        <w:rPr>
          <w:rFonts w:hint="eastAsia" w:ascii="Times New Roman" w:hAnsi="Times New Roman" w:eastAsia="仿宋_GB2312" w:cs="仿宋_GB2312"/>
          <w:color w:val="auto"/>
          <w:kern w:val="2"/>
          <w:sz w:val="32"/>
          <w:szCs w:val="32"/>
          <w:highlight w:val="none"/>
          <w:lang w:val="en-US" w:eastAsia="zh-CN" w:bidi="ar-SA"/>
        </w:rPr>
        <w:t>（项）: 支出决算为</w:t>
      </w:r>
      <w:r>
        <w:rPr>
          <w:rFonts w:hint="eastAsia" w:eastAsia="仿宋_GB2312" w:cs="仿宋_GB2312"/>
          <w:color w:val="auto"/>
          <w:kern w:val="2"/>
          <w:sz w:val="32"/>
          <w:szCs w:val="32"/>
          <w:highlight w:val="none"/>
          <w:lang w:val="en-US" w:eastAsia="zh-CN" w:bidi="ar-SA"/>
        </w:rPr>
        <w:t>6.40</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64.02</w:t>
      </w:r>
      <w:r>
        <w:rPr>
          <w:rFonts w:hint="eastAsia" w:ascii="Times New Roman" w:hAnsi="Times New Roman" w:eastAsia="仿宋_GB2312" w:cs="仿宋_GB2312"/>
          <w:color w:val="auto"/>
          <w:kern w:val="2"/>
          <w:sz w:val="32"/>
          <w:szCs w:val="32"/>
          <w:highlight w:val="none"/>
          <w:lang w:val="en-US" w:eastAsia="zh-CN" w:bidi="ar-SA"/>
        </w:rPr>
        <w:t>%，决算数小于预算数的主要原因是</w:t>
      </w:r>
      <w:r>
        <w:rPr>
          <w:rFonts w:hint="eastAsia" w:eastAsia="仿宋_GB2312" w:cs="仿宋_GB2312"/>
          <w:color w:val="auto"/>
          <w:kern w:val="2"/>
          <w:sz w:val="32"/>
          <w:szCs w:val="32"/>
          <w:highlight w:val="none"/>
          <w:lang w:val="en-US" w:eastAsia="zh-CN" w:bidi="ar-SA"/>
        </w:rPr>
        <w:t>项目完成后产生结余。</w:t>
      </w:r>
    </w:p>
    <w:p w14:paraId="633528B7">
      <w:pPr>
        <w:tabs>
          <w:tab w:val="right" w:pos="8306"/>
        </w:tabs>
        <w:spacing w:line="600" w:lineRule="exact"/>
        <w:ind w:firstLine="640"/>
        <w:outlineLvl w:val="1"/>
        <w:rPr>
          <w:rStyle w:val="29"/>
          <w:rFonts w:ascii="Times New Roman" w:hAnsi="Times New Roman"/>
          <w:color w:val="auto"/>
          <w:highlight w:val="none"/>
        </w:rPr>
      </w:pPr>
      <w:bookmarkStart w:id="34" w:name="_Toc15377214"/>
      <w:bookmarkStart w:id="35" w:name="_Toc15396608"/>
      <w:r>
        <w:rPr>
          <w:rFonts w:hint="eastAsia" w:ascii="Times New Roman" w:hAnsi="Times New Roman" w:eastAsia="黑体"/>
          <w:color w:val="auto"/>
          <w:sz w:val="32"/>
          <w:szCs w:val="32"/>
          <w:highlight w:val="none"/>
        </w:rPr>
        <w:t>六</w:t>
      </w:r>
      <w:r>
        <w:rPr>
          <w:rFonts w:hint="eastAsia" w:ascii="Times New Roman" w:hAnsi="Times New Roman" w:eastAsia="黑体"/>
          <w:b/>
          <w:color w:val="auto"/>
          <w:sz w:val="32"/>
          <w:szCs w:val="32"/>
          <w:highlight w:val="none"/>
        </w:rPr>
        <w:t>、一</w:t>
      </w:r>
      <w:r>
        <w:rPr>
          <w:rStyle w:val="29"/>
          <w:rFonts w:hint="eastAsia" w:ascii="Times New Roman" w:hAnsi="Times New Roman" w:eastAsia="黑体"/>
          <w:b w:val="0"/>
          <w:color w:val="auto"/>
          <w:highlight w:val="none"/>
        </w:rPr>
        <w:t>般公共预算财政拨款基本支出决算情况说明</w:t>
      </w:r>
      <w:bookmarkEnd w:id="34"/>
      <w:bookmarkEnd w:id="35"/>
      <w:r>
        <w:rPr>
          <w:rStyle w:val="29"/>
          <w:rFonts w:ascii="Times New Roman" w:hAnsi="Times New Roman" w:eastAsia="黑体"/>
          <w:b w:val="0"/>
          <w:color w:val="auto"/>
          <w:highlight w:val="none"/>
        </w:rPr>
        <w:tab/>
      </w:r>
    </w:p>
    <w:p w14:paraId="5F43F2F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万元，其中：</w:t>
      </w:r>
    </w:p>
    <w:p w14:paraId="2792168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公用经费</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p>
    <w:p w14:paraId="60336B75">
      <w:pPr>
        <w:spacing w:line="600" w:lineRule="exact"/>
        <w:ind w:firstLine="640"/>
        <w:outlineLvl w:val="1"/>
        <w:rPr>
          <w:rStyle w:val="29"/>
          <w:rFonts w:ascii="Times New Roman" w:hAnsi="Times New Roman" w:eastAsia="黑体"/>
          <w:b w:val="0"/>
          <w:color w:val="auto"/>
          <w:highlight w:val="none"/>
        </w:rPr>
      </w:pPr>
      <w:bookmarkStart w:id="36" w:name="_Toc15396609"/>
      <w:bookmarkStart w:id="37" w:name="_Toc15377215"/>
      <w:r>
        <w:rPr>
          <w:rFonts w:hint="eastAsia" w:ascii="Times New Roman" w:hAnsi="Times New Roman" w:eastAsia="黑体"/>
          <w:color w:val="auto"/>
          <w:sz w:val="32"/>
          <w:szCs w:val="32"/>
          <w:highlight w:val="none"/>
        </w:rPr>
        <w:t>七、</w:t>
      </w:r>
      <w:r>
        <w:rPr>
          <w:rStyle w:val="29"/>
          <w:rFonts w:hint="eastAsia" w:ascii="Times New Roman" w:hAnsi="Times New Roman" w:eastAsia="黑体"/>
          <w:b w:val="0"/>
          <w:color w:val="auto"/>
          <w:highlight w:val="none"/>
        </w:rPr>
        <w:t>财政拨款</w:t>
      </w:r>
      <w:r>
        <w:rPr>
          <w:rStyle w:val="29"/>
          <w:rFonts w:hint="eastAsia" w:ascii="Times New Roman" w:hAnsi="Times New Roman" w:eastAsia="黑体"/>
          <w:color w:val="auto"/>
          <w:highlight w:val="none"/>
        </w:rPr>
        <w:t>“</w:t>
      </w:r>
      <w:r>
        <w:rPr>
          <w:rStyle w:val="29"/>
          <w:rFonts w:hint="eastAsia" w:ascii="Times New Roman" w:hAnsi="Times New Roman" w:eastAsia="黑体"/>
          <w:b w:val="0"/>
          <w:color w:val="auto"/>
          <w:highlight w:val="none"/>
        </w:rPr>
        <w:t>三公”经费支出决算情况说明</w:t>
      </w:r>
      <w:bookmarkEnd w:id="36"/>
      <w:bookmarkEnd w:id="37"/>
    </w:p>
    <w:p w14:paraId="4ADF2B7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8"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38"/>
    </w:p>
    <w:p w14:paraId="0259B93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与上年度持平</w:t>
      </w:r>
      <w:r>
        <w:rPr>
          <w:rFonts w:hint="eastAsia" w:ascii="Times New Roman" w:hAnsi="Times New Roman" w:eastAsia="仿宋_GB2312" w:cs="仿宋_GB2312"/>
          <w:color w:val="auto"/>
          <w:kern w:val="2"/>
          <w:sz w:val="32"/>
          <w:szCs w:val="32"/>
          <w:highlight w:val="none"/>
          <w:lang w:val="en-US" w:eastAsia="zh-CN" w:bidi="ar-SA"/>
        </w:rPr>
        <w:t>。决算数与预算数持平的主要原因是</w:t>
      </w:r>
      <w:r>
        <w:rPr>
          <w:rFonts w:hint="eastAsia" w:eastAsia="仿宋_GB2312" w:cs="仿宋_GB2312"/>
          <w:color w:val="auto"/>
          <w:kern w:val="2"/>
          <w:sz w:val="32"/>
          <w:szCs w:val="32"/>
          <w:highlight w:val="none"/>
          <w:lang w:val="en-US" w:eastAsia="zh-CN" w:bidi="ar-SA"/>
        </w:rPr>
        <w:t>未安排相关预算。</w:t>
      </w:r>
    </w:p>
    <w:p w14:paraId="64A7911F">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39"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39"/>
    </w:p>
    <w:p w14:paraId="33A58DC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2024年度“三公”经费财政拨款支出决算中，因公出国（境）费支出决算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%；公务接待费支出决算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%。具体情况如下：</w:t>
      </w:r>
    </w:p>
    <w:p w14:paraId="14230AD7">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1.因公出国（境）经费支出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全年安排因公出国（境）团组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人。因公出国（境）支出决算</w:t>
      </w:r>
      <w:r>
        <w:rPr>
          <w:rFonts w:hint="eastAsia" w:eastAsia="仿宋_GB2312" w:cs="仿宋_GB2312"/>
          <w:color w:val="auto"/>
          <w:kern w:val="2"/>
          <w:sz w:val="32"/>
          <w:szCs w:val="32"/>
          <w:highlight w:val="none"/>
          <w:lang w:val="en-US" w:eastAsia="zh-CN" w:bidi="ar-SA"/>
        </w:rPr>
        <w:t>与上年度持平</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未安排相关预算。</w:t>
      </w:r>
    </w:p>
    <w:p w14:paraId="7A927BD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2.公务用车购置及运行维护费支出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b/>
          <w:bCs/>
          <w:color w:val="auto"/>
          <w:kern w:val="2"/>
          <w:sz w:val="32"/>
          <w:szCs w:val="32"/>
          <w:highlight w:val="none"/>
          <w:lang w:val="en-US" w:eastAsia="zh-CN" w:bidi="ar-SA"/>
        </w:rPr>
        <w:t>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与上年度持平</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未安排相关预算。</w:t>
      </w:r>
    </w:p>
    <w:p w14:paraId="7B88C5C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14:paraId="378F787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公务用车运行维护费支出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14:paraId="3E78DD5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万元，完成预算</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公务接待费支出决算</w:t>
      </w:r>
      <w:r>
        <w:rPr>
          <w:rFonts w:hint="eastAsia" w:eastAsia="仿宋_GB2312" w:cs="仿宋_GB2312"/>
          <w:color w:val="auto"/>
          <w:kern w:val="2"/>
          <w:sz w:val="32"/>
          <w:szCs w:val="32"/>
          <w:highlight w:val="none"/>
          <w:lang w:val="en-US" w:eastAsia="zh-CN" w:bidi="ar-SA"/>
        </w:rPr>
        <w:t>与上年度持平</w:t>
      </w:r>
      <w:r>
        <w:rPr>
          <w:rFonts w:hint="eastAsia" w:ascii="Times New Roman" w:hAnsi="Times New Roman" w:eastAsia="仿宋_GB2312" w:cs="仿宋_GB2312"/>
          <w:color w:val="auto"/>
          <w:kern w:val="2"/>
          <w:sz w:val="32"/>
          <w:szCs w:val="32"/>
          <w:highlight w:val="none"/>
          <w:lang w:val="en-US" w:eastAsia="zh-CN" w:bidi="ar-SA"/>
        </w:rPr>
        <w:t>。主要原因是</w:t>
      </w:r>
      <w:r>
        <w:rPr>
          <w:rFonts w:hint="eastAsia" w:eastAsia="仿宋_GB2312" w:cs="仿宋_GB2312"/>
          <w:color w:val="auto"/>
          <w:kern w:val="2"/>
          <w:sz w:val="32"/>
          <w:szCs w:val="32"/>
          <w:highlight w:val="none"/>
          <w:lang w:val="en-US" w:eastAsia="zh-CN" w:bidi="ar-SA"/>
        </w:rPr>
        <w:t>未安排相关预算</w:t>
      </w:r>
      <w:r>
        <w:rPr>
          <w:rFonts w:hint="eastAsia" w:ascii="Times New Roman" w:hAnsi="Times New Roman" w:eastAsia="仿宋_GB2312" w:cs="仿宋_GB2312"/>
          <w:color w:val="auto"/>
          <w:kern w:val="2"/>
          <w:sz w:val="32"/>
          <w:szCs w:val="32"/>
          <w:highlight w:val="none"/>
          <w:lang w:val="en-US" w:eastAsia="zh-CN" w:bidi="ar-SA"/>
        </w:rPr>
        <w:t>。其中：</w:t>
      </w:r>
    </w:p>
    <w:p w14:paraId="0E24F972">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国内公务接待支出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14:paraId="192035AF">
      <w:pPr>
        <w:spacing w:line="600" w:lineRule="exact"/>
        <w:ind w:firstLine="640"/>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t>外事接待支出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bookmarkStart w:id="40" w:name="_Toc15396610"/>
      <w:bookmarkStart w:id="41" w:name="_Toc15377218"/>
    </w:p>
    <w:p w14:paraId="124B30E1">
      <w:pPr>
        <w:spacing w:line="600" w:lineRule="exact"/>
        <w:ind w:firstLine="640"/>
        <w:outlineLvl w:val="1"/>
        <w:rPr>
          <w:rStyle w:val="29"/>
          <w:rFonts w:ascii="Times New Roman" w:hAnsi="Times New Roman" w:eastAsia="黑体"/>
          <w:color w:val="auto"/>
          <w:highlight w:val="none"/>
        </w:rPr>
      </w:pPr>
      <w:r>
        <w:rPr>
          <w:rFonts w:hint="eastAsia" w:ascii="Times New Roman" w:hAnsi="Times New Roman" w:eastAsia="黑体"/>
          <w:color w:val="auto"/>
          <w:sz w:val="32"/>
          <w:szCs w:val="32"/>
          <w:highlight w:val="none"/>
        </w:rPr>
        <w:t>八、</w:t>
      </w:r>
      <w:r>
        <w:rPr>
          <w:rStyle w:val="29"/>
          <w:rFonts w:hint="eastAsia" w:ascii="Times New Roman" w:hAnsi="Times New Roman" w:eastAsia="黑体"/>
          <w:b w:val="0"/>
          <w:color w:val="auto"/>
          <w:highlight w:val="none"/>
        </w:rPr>
        <w:t>政府性基金预算支出决算情况说明</w:t>
      </w:r>
      <w:bookmarkEnd w:id="40"/>
      <w:bookmarkEnd w:id="41"/>
    </w:p>
    <w:p w14:paraId="0821CF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2024年度政府性基金预算财政拨款支出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p>
    <w:p w14:paraId="5B5EABAB">
      <w:pPr>
        <w:numPr>
          <w:ilvl w:val="0"/>
          <w:numId w:val="0"/>
        </w:numPr>
        <w:spacing w:line="600" w:lineRule="exact"/>
        <w:ind w:left="630" w:leftChars="0"/>
        <w:outlineLvl w:val="1"/>
        <w:rPr>
          <w:rStyle w:val="29"/>
          <w:rFonts w:ascii="Times New Roman" w:hAnsi="Times New Roman" w:eastAsia="黑体"/>
          <w:b w:val="0"/>
          <w:color w:val="auto"/>
          <w:highlight w:val="none"/>
        </w:rPr>
      </w:pPr>
      <w:bookmarkStart w:id="42" w:name="_Toc15377219"/>
      <w:bookmarkStart w:id="43" w:name="_Toc15396611"/>
      <w:r>
        <w:rPr>
          <w:rStyle w:val="29"/>
          <w:rFonts w:hint="eastAsia" w:ascii="Times New Roman" w:hAnsi="Times New Roman" w:eastAsia="黑体"/>
          <w:b w:val="0"/>
          <w:color w:val="auto"/>
          <w:highlight w:val="none"/>
          <w:lang w:eastAsia="zh-CN"/>
        </w:rPr>
        <w:t>九、</w:t>
      </w:r>
      <w:r>
        <w:rPr>
          <w:rStyle w:val="29"/>
          <w:rFonts w:hint="eastAsia" w:ascii="Times New Roman" w:hAnsi="Times New Roman" w:eastAsia="黑体"/>
          <w:b w:val="0"/>
          <w:color w:val="auto"/>
          <w:highlight w:val="none"/>
        </w:rPr>
        <w:t>国有资本经营预算支出决算情况说明</w:t>
      </w:r>
      <w:bookmarkEnd w:id="42"/>
      <w:bookmarkEnd w:id="43"/>
    </w:p>
    <w:p w14:paraId="132A18DF">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w:t>
      </w:r>
    </w:p>
    <w:p w14:paraId="0B186A0C">
      <w:pPr>
        <w:numPr>
          <w:ilvl w:val="0"/>
          <w:numId w:val="0"/>
        </w:numPr>
        <w:spacing w:line="600" w:lineRule="exact"/>
        <w:ind w:left="630" w:leftChars="0"/>
        <w:outlineLvl w:val="1"/>
        <w:rPr>
          <w:rStyle w:val="29"/>
          <w:rFonts w:hint="eastAsia" w:ascii="Times New Roman" w:hAnsi="Times New Roman" w:eastAsia="黑体"/>
          <w:b w:val="0"/>
          <w:color w:val="auto"/>
          <w:highlight w:val="none"/>
        </w:rPr>
      </w:pPr>
      <w:bookmarkStart w:id="44" w:name="_Toc15377221"/>
      <w:bookmarkStart w:id="45" w:name="_Toc15396612"/>
      <w:r>
        <w:rPr>
          <w:rStyle w:val="29"/>
          <w:rFonts w:hint="eastAsia" w:ascii="Times New Roman" w:hAnsi="Times New Roman" w:eastAsia="黑体"/>
          <w:b w:val="0"/>
          <w:color w:val="auto"/>
          <w:highlight w:val="none"/>
          <w:lang w:eastAsia="zh-CN"/>
        </w:rPr>
        <w:t>十、</w:t>
      </w:r>
      <w:r>
        <w:rPr>
          <w:rStyle w:val="29"/>
          <w:rFonts w:hint="eastAsia" w:ascii="Times New Roman" w:hAnsi="Times New Roman" w:eastAsia="黑体"/>
          <w:b w:val="0"/>
          <w:color w:val="auto"/>
          <w:highlight w:val="none"/>
        </w:rPr>
        <w:t>其他重要事项的情况说明</w:t>
      </w:r>
      <w:bookmarkEnd w:id="44"/>
      <w:bookmarkEnd w:id="45"/>
    </w:p>
    <w:p w14:paraId="4A1E0B99">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6" w:name="_Toc15377222"/>
      <w:r>
        <w:rPr>
          <w:rFonts w:hint="eastAsia" w:ascii="Times New Roman" w:hAnsi="Times New Roman" w:eastAsia="楷体_GB2312" w:cs="楷体_GB2312"/>
          <w:b/>
          <w:color w:val="auto"/>
          <w:sz w:val="32"/>
          <w:szCs w:val="32"/>
          <w:highlight w:val="none"/>
        </w:rPr>
        <w:t>（一）机关运行经费支出情况</w:t>
      </w:r>
      <w:bookmarkEnd w:id="46"/>
    </w:p>
    <w:p w14:paraId="41EC7BE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eastAsia="仿宋_GB2312" w:cs="仿宋_GB2312"/>
          <w:color w:val="auto"/>
          <w:kern w:val="2"/>
          <w:sz w:val="32"/>
          <w:szCs w:val="32"/>
          <w:highlight w:val="none"/>
          <w:lang w:val="en-US" w:eastAsia="zh-CN" w:bidi="ar-SA"/>
        </w:rPr>
        <w:t>省药监局财务处</w:t>
      </w:r>
      <w:r>
        <w:rPr>
          <w:rFonts w:hint="eastAsia" w:ascii="Times New Roman" w:hAnsi="Times New Roman" w:eastAsia="仿宋_GB2312" w:cs="仿宋_GB2312"/>
          <w:color w:val="auto"/>
          <w:kern w:val="2"/>
          <w:sz w:val="32"/>
          <w:szCs w:val="32"/>
          <w:highlight w:val="none"/>
          <w:lang w:val="en-US" w:eastAsia="zh-CN" w:bidi="ar-SA"/>
        </w:rPr>
        <w:t>机关运行经费支出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万元，与2023年度决算数持平。主要原因是</w:t>
      </w:r>
      <w:r>
        <w:rPr>
          <w:rFonts w:hint="eastAsia" w:eastAsia="仿宋_GB2312" w:cs="仿宋_GB2312"/>
          <w:color w:val="auto"/>
          <w:kern w:val="2"/>
          <w:sz w:val="32"/>
          <w:szCs w:val="32"/>
          <w:highlight w:val="none"/>
          <w:lang w:val="en-US" w:eastAsia="zh-CN" w:bidi="ar-SA"/>
        </w:rPr>
        <w:t>财务处为内设处室无相关预算。</w:t>
      </w:r>
    </w:p>
    <w:p w14:paraId="1C86E416">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7" w:name="_Toc15377223"/>
      <w:r>
        <w:rPr>
          <w:rFonts w:hint="eastAsia" w:ascii="Times New Roman" w:hAnsi="Times New Roman" w:eastAsia="楷体_GB2312" w:cs="楷体_GB2312"/>
          <w:b/>
          <w:color w:val="auto"/>
          <w:sz w:val="32"/>
          <w:szCs w:val="32"/>
          <w:highlight w:val="none"/>
        </w:rPr>
        <w:t>（二）政府采购支出情况</w:t>
      </w:r>
      <w:bookmarkEnd w:id="47"/>
    </w:p>
    <w:p w14:paraId="1B90BD9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eastAsia="仿宋_GB2312" w:cs="仿宋_GB2312"/>
          <w:color w:val="auto"/>
          <w:kern w:val="2"/>
          <w:sz w:val="32"/>
          <w:szCs w:val="32"/>
          <w:highlight w:val="none"/>
          <w:lang w:val="en-US" w:eastAsia="zh-CN" w:bidi="ar-SA"/>
        </w:rPr>
        <w:t>省药监局财务处</w:t>
      </w:r>
      <w:r>
        <w:rPr>
          <w:rFonts w:hint="eastAsia" w:ascii="Times New Roman" w:hAnsi="Times New Roman" w:eastAsia="仿宋_GB2312" w:cs="仿宋_GB2312"/>
          <w:color w:val="auto"/>
          <w:kern w:val="2"/>
          <w:sz w:val="32"/>
          <w:szCs w:val="32"/>
          <w:highlight w:val="none"/>
          <w:lang w:val="en-US" w:eastAsia="zh-CN" w:bidi="ar-SA"/>
        </w:rPr>
        <w:t>政府采购支出总额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万元，其中：政府采购货物支出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万元、政府采购工程支出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万元、政府采购服务支出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万元。授予中小企业合同金额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万元，占政府采购支出总额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%，其中：授予小微企业合同金额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万元，占政府采购支出总额的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p>
    <w:p w14:paraId="1F3B1FC3">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bookmarkStart w:id="48" w:name="_Toc15377224"/>
      <w:r>
        <w:rPr>
          <w:rFonts w:hint="eastAsia" w:ascii="Times New Roman" w:hAnsi="Times New Roman" w:eastAsia="楷体_GB2312" w:cs="楷体_GB2312"/>
          <w:b/>
          <w:color w:val="auto"/>
          <w:sz w:val="32"/>
          <w:szCs w:val="32"/>
          <w:highlight w:val="none"/>
        </w:rPr>
        <w:t>（三）国有资产占有使用情况</w:t>
      </w:r>
      <w:bookmarkEnd w:id="48"/>
    </w:p>
    <w:p w14:paraId="49DAA39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年12月31日，</w:t>
      </w:r>
      <w:r>
        <w:rPr>
          <w:rFonts w:hint="eastAsia" w:eastAsia="仿宋_GB2312" w:cs="仿宋_GB2312"/>
          <w:color w:val="auto"/>
          <w:kern w:val="2"/>
          <w:sz w:val="32"/>
          <w:szCs w:val="32"/>
          <w:highlight w:val="none"/>
          <w:lang w:val="en-US" w:eastAsia="zh-CN" w:bidi="ar-SA"/>
        </w:rPr>
        <w:t>省药监局财务处</w:t>
      </w:r>
      <w:r>
        <w:rPr>
          <w:rFonts w:hint="eastAsia" w:ascii="Times New Roman" w:hAnsi="Times New Roman" w:eastAsia="仿宋_GB2312" w:cs="仿宋_GB2312"/>
          <w:color w:val="auto"/>
          <w:kern w:val="2"/>
          <w:sz w:val="32"/>
          <w:szCs w:val="32"/>
          <w:highlight w:val="none"/>
          <w:lang w:val="en-US" w:eastAsia="zh-CN" w:bidi="ar-SA"/>
        </w:rPr>
        <w:t>共有车辆</w:t>
      </w:r>
      <w:r>
        <w:rPr>
          <w:rFonts w:hint="eastAsia" w:eastAsia="仿宋_GB2312" w:cs="仿宋_GB2312"/>
          <w:color w:val="auto"/>
          <w:kern w:val="2"/>
          <w:sz w:val="32"/>
          <w:szCs w:val="32"/>
          <w:highlight w:val="none"/>
          <w:lang w:val="en-US" w:eastAsia="zh-CN" w:bidi="ar-SA"/>
        </w:rPr>
        <w:t>0辆。</w:t>
      </w:r>
      <w:r>
        <w:rPr>
          <w:rFonts w:hint="eastAsia" w:ascii="Times New Roman" w:hAnsi="Times New Roman" w:eastAsia="仿宋_GB2312" w:cs="仿宋_GB2312"/>
          <w:color w:val="auto"/>
          <w:kern w:val="2"/>
          <w:sz w:val="32"/>
          <w:szCs w:val="32"/>
          <w:highlight w:val="none"/>
          <w:lang w:val="en-US" w:eastAsia="zh-CN" w:bidi="ar-SA"/>
        </w:rPr>
        <w:t>单价100万元</w:t>
      </w:r>
      <w:r>
        <w:rPr>
          <w:rFonts w:hint="eastAsia" w:eastAsia="仿宋_GB2312" w:cs="仿宋_GB2312"/>
          <w:color w:val="auto"/>
          <w:kern w:val="2"/>
          <w:sz w:val="32"/>
          <w:szCs w:val="32"/>
          <w:highlight w:val="none"/>
          <w:lang w:val="en-US" w:eastAsia="zh-CN" w:bidi="ar-SA"/>
        </w:rPr>
        <w:t>（含）</w:t>
      </w:r>
      <w:r>
        <w:rPr>
          <w:rFonts w:hint="eastAsia" w:ascii="Times New Roman" w:hAnsi="Times New Roman" w:eastAsia="仿宋_GB2312" w:cs="仿宋_GB2312"/>
          <w:color w:val="auto"/>
          <w:kern w:val="2"/>
          <w:sz w:val="32"/>
          <w:szCs w:val="32"/>
          <w:highlight w:val="none"/>
          <w:lang w:val="en-US" w:eastAsia="zh-CN" w:bidi="ar-SA"/>
        </w:rPr>
        <w:t>以上设备（不含车辆）</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台（套）。</w:t>
      </w:r>
    </w:p>
    <w:p w14:paraId="4E392BD7">
      <w:pPr>
        <w:spacing w:line="600" w:lineRule="exact"/>
        <w:ind w:firstLine="643"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14:paraId="56796901">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省药监局财务处</w:t>
      </w:r>
      <w:r>
        <w:rPr>
          <w:rFonts w:hint="eastAsia" w:ascii="Times New Roman" w:hAnsi="Times New Roman" w:eastAsia="仿宋_GB2312" w:cs="仿宋_GB2312"/>
          <w:color w:val="auto"/>
          <w:kern w:val="2"/>
          <w:sz w:val="32"/>
          <w:szCs w:val="32"/>
          <w:highlight w:val="none"/>
          <w:lang w:val="en-US" w:eastAsia="zh-CN" w:bidi="ar-SA"/>
        </w:rPr>
        <w:t>在2024年度预算编制阶段，对</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个项目开展绩效监控。绩效自评报告详见附件。</w:t>
      </w:r>
    </w:p>
    <w:p w14:paraId="3E05B7F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2598529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14:paraId="6905733B">
      <w:pPr>
        <w:numPr>
          <w:ilvl w:val="0"/>
          <w:numId w:val="0"/>
        </w:numPr>
        <w:spacing w:line="600" w:lineRule="exact"/>
        <w:jc w:val="center"/>
        <w:outlineLvl w:val="0"/>
        <w:rPr>
          <w:rFonts w:hint="eastAsia" w:ascii="Times New Roman" w:hAnsi="Times New Roman" w:eastAsia="黑体"/>
          <w:color w:val="auto"/>
          <w:sz w:val="44"/>
          <w:szCs w:val="44"/>
          <w:highlight w:val="none"/>
        </w:rPr>
      </w:pPr>
      <w:bookmarkStart w:id="49" w:name="_Toc15377225"/>
      <w:bookmarkStart w:id="50" w:name="_Toc15396613"/>
      <w:r>
        <w:rPr>
          <w:rFonts w:hint="eastAsia" w:ascii="Times New Roman" w:hAnsi="Times New Roman" w:eastAsia="黑体"/>
          <w:color w:val="auto"/>
          <w:sz w:val="44"/>
          <w:szCs w:val="44"/>
          <w:highlight w:val="none"/>
        </w:rPr>
        <w:t>第</w:t>
      </w:r>
      <w:r>
        <w:rPr>
          <w:rFonts w:hint="eastAsia" w:eastAsia="黑体"/>
          <w:color w:val="auto"/>
          <w:sz w:val="44"/>
          <w:szCs w:val="44"/>
          <w:highlight w:val="none"/>
          <w:lang w:eastAsia="zh-CN"/>
        </w:rPr>
        <w:t>三</w:t>
      </w:r>
      <w:r>
        <w:rPr>
          <w:rFonts w:hint="eastAsia" w:ascii="Times New Roman" w:hAnsi="Times New Roman" w:eastAsia="黑体"/>
          <w:color w:val="auto"/>
          <w:sz w:val="44"/>
          <w:szCs w:val="44"/>
          <w:highlight w:val="none"/>
        </w:rPr>
        <w:t>部分</w:t>
      </w:r>
      <w:r>
        <w:rPr>
          <w:rFonts w:hint="eastAsia" w:ascii="Times New Roman" w:hAnsi="Times New Roman" w:eastAsia="黑体"/>
          <w:color w:val="auto"/>
          <w:sz w:val="44"/>
          <w:szCs w:val="44"/>
          <w:highlight w:val="none"/>
          <w:lang w:val="en-US" w:eastAsia="zh-CN"/>
        </w:rPr>
        <w:t xml:space="preserve"> </w:t>
      </w:r>
      <w:r>
        <w:rPr>
          <w:rFonts w:hint="eastAsia"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名词解释</w:t>
      </w:r>
      <w:bookmarkEnd w:id="49"/>
      <w:bookmarkEnd w:id="50"/>
    </w:p>
    <w:p w14:paraId="7CC34097">
      <w:pPr>
        <w:spacing w:line="600" w:lineRule="exact"/>
        <w:jc w:val="left"/>
        <w:rPr>
          <w:rFonts w:ascii="Times New Roman" w:hAnsi="Times New Roman"/>
          <w:b/>
          <w:color w:val="auto"/>
          <w:sz w:val="44"/>
          <w:szCs w:val="44"/>
          <w:highlight w:val="none"/>
        </w:rPr>
      </w:pPr>
    </w:p>
    <w:p w14:paraId="50C52373">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14:paraId="7ED47036">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2.事业收入：指事业单位开展专业业务活动及辅助活动取得的收入。如……（二级预算单位事业收入情况）等。</w:t>
      </w:r>
    </w:p>
    <w:p w14:paraId="41D0F8E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3.经营收入：指事业单位在专业业务活动及其辅助活动之外开展非独立核算经营活动取得的收入。如……（二级预算单位经营收入情况）等。</w:t>
      </w:r>
    </w:p>
    <w:p w14:paraId="4D4FE8BB">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4.其他收入：指单位取得的除上述收入以外的各项收入。主要是……（收入类型）等。 </w:t>
      </w:r>
    </w:p>
    <w:p w14:paraId="71E6560A">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14:paraId="6E4E9960">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14:paraId="1E11A41D">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14:paraId="2AE276E5">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8.年末结转和结余：指单位按有关规定结转到下年或以后年度继续使用的资金。</w:t>
      </w:r>
    </w:p>
    <w:p w14:paraId="7DE69A9F">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9</w:t>
      </w:r>
      <w:r>
        <w:rPr>
          <w:rFonts w:hint="default" w:ascii="Times New Roman" w:hAnsi="Times New Roman" w:eastAsia="仿宋_GB2312" w:cs="Times New Roman"/>
          <w:sz w:val="32"/>
          <w:szCs w:val="32"/>
        </w:rPr>
        <w:t>.一般公共服务（类）市场监督管理事务（款）一般行政管理事务（项）</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反映行政单位（包括实行公务员管理的事业单位）未单独设置项级科目的其他项目支出。</w:t>
      </w:r>
    </w:p>
    <w:p w14:paraId="5D076739">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.一般公共服务（类）市场监督管理事务（款）信息化建设（项）:反映行政单位（包括实行公务员管理的事业单位）信息化建设支出。</w:t>
      </w:r>
    </w:p>
    <w:p w14:paraId="402022A9">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.教育支出（类）进修及培训（款）培训支出（项）:反映各部门安排的用于培训的支出。</w:t>
      </w:r>
    </w:p>
    <w:p w14:paraId="1B237D7C">
      <w:pPr>
        <w:keepNext w:val="0"/>
        <w:keepLines w:val="0"/>
        <w:pageBreakBefore w:val="0"/>
        <w:widowControl w:val="0"/>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Times New Roman"/>
          <w:sz w:val="32"/>
          <w:szCs w:val="32"/>
          <w:lang w:val="en-US" w:eastAsia="zh-CN"/>
        </w:rPr>
        <w:t>12</w:t>
      </w:r>
      <w:r>
        <w:rPr>
          <w:rFonts w:hint="eastAsia" w:ascii="Times New Roman" w:hAnsi="Times New Roman" w:eastAsia="仿宋_GB2312" w:cs="仿宋_GB2312"/>
          <w:color w:val="auto"/>
          <w:kern w:val="2"/>
          <w:sz w:val="32"/>
          <w:szCs w:val="32"/>
          <w:highlight w:val="none"/>
          <w:lang w:val="en-US" w:eastAsia="zh-CN" w:bidi="ar-SA"/>
        </w:rPr>
        <w:t>.基本支出：指为保障机构正常运转、完成日常工作任务而发生的人员支出和公用支出。</w:t>
      </w:r>
    </w:p>
    <w:p w14:paraId="15A4966C">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13</w:t>
      </w:r>
      <w:r>
        <w:rPr>
          <w:rFonts w:hint="eastAsia" w:ascii="Times New Roman" w:hAnsi="Times New Roman" w:eastAsia="仿宋_GB2312" w:cs="仿宋_GB2312"/>
          <w:color w:val="auto"/>
          <w:kern w:val="2"/>
          <w:sz w:val="32"/>
          <w:szCs w:val="32"/>
          <w:highlight w:val="none"/>
          <w:lang w:val="en-US" w:eastAsia="zh-CN" w:bidi="ar-SA"/>
        </w:rPr>
        <w:t xml:space="preserve">.项目支出：指在基本支出之外为完成特定行政任务和事业发展目标所发生的支出。 </w:t>
      </w:r>
    </w:p>
    <w:p w14:paraId="31E9A519">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.经营支出：指事业单位在专业业务活动及其辅助活动之外开展非独立核算经营活动发生的支出。</w:t>
      </w:r>
    </w:p>
    <w:p w14:paraId="3791D644">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15</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三公</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3AD6F81">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16</w:t>
      </w:r>
      <w:r>
        <w:rPr>
          <w:rFonts w:hint="eastAsia" w:ascii="Times New Roman" w:hAnsi="Times New Roman" w:eastAsia="仿宋_GB2312" w:cs="仿宋_GB2312"/>
          <w:color w:val="auto"/>
          <w:kern w:val="2"/>
          <w:sz w:val="32"/>
          <w:szCs w:val="32"/>
          <w:highlight w:val="none"/>
          <w:lang w:val="en-US" w:eastAsia="zh-CN" w:bidi="ar-SA"/>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EF85328">
      <w:pPr>
        <w:spacing w:line="600" w:lineRule="exact"/>
        <w:jc w:val="center"/>
        <w:rPr>
          <w:rStyle w:val="28"/>
          <w:rFonts w:hint="eastAsia" w:ascii="Times New Roman" w:hAnsi="Times New Roman" w:eastAsia="黑体"/>
          <w:b w:val="0"/>
          <w:color w:val="auto"/>
          <w:highlight w:val="none"/>
          <w:lang w:eastAsia="zh-CN"/>
        </w:rPr>
      </w:pPr>
      <w:bookmarkStart w:id="51" w:name="_Toc15377226"/>
      <w:r>
        <w:rPr>
          <w:rFonts w:hint="eastAsia" w:ascii="Times New Roman" w:hAnsi="Times New Roman" w:eastAsia="仿宋_GB2312" w:cs="仿宋_GB2312"/>
          <w:color w:val="auto"/>
          <w:kern w:val="2"/>
          <w:sz w:val="32"/>
          <w:szCs w:val="32"/>
          <w:highlight w:val="none"/>
          <w:lang w:val="en-US" w:eastAsia="zh-CN" w:bidi="ar-SA"/>
        </w:rPr>
        <w:br w:type="page"/>
      </w:r>
      <w:bookmarkStart w:id="52" w:name="_Toc15396614"/>
      <w:r>
        <w:rPr>
          <w:rFonts w:hint="eastAsia" w:ascii="Times New Roman" w:hAnsi="Times New Roman" w:eastAsia="黑体"/>
          <w:color w:val="auto"/>
          <w:sz w:val="44"/>
          <w:szCs w:val="44"/>
          <w:highlight w:val="none"/>
        </w:rPr>
        <w:t>第四部分</w:t>
      </w:r>
      <w:r>
        <w:rPr>
          <w:rFonts w:hint="eastAsia" w:ascii="Times New Roman" w:hAnsi="Times New Roman" w:eastAsia="黑体"/>
          <w:color w:val="auto"/>
          <w:sz w:val="44"/>
          <w:szCs w:val="44"/>
          <w:highlight w:val="none"/>
          <w:lang w:val="en-US" w:eastAsia="zh-CN"/>
        </w:rPr>
        <w:t xml:space="preserve"> </w:t>
      </w:r>
      <w:r>
        <w:rPr>
          <w:rFonts w:hint="eastAsia" w:ascii="Times New Roman" w:hAnsi="Times New Roman" w:eastAsia="黑体"/>
          <w:color w:val="auto"/>
          <w:sz w:val="44"/>
          <w:szCs w:val="44"/>
          <w:highlight w:val="none"/>
        </w:rPr>
        <w:t xml:space="preserve"> 附件</w:t>
      </w:r>
      <w:bookmarkEnd w:id="52"/>
    </w:p>
    <w:p w14:paraId="12440D10">
      <w:pPr>
        <w:keepNext w:val="0"/>
        <w:keepLines w:val="0"/>
        <w:pageBreakBefore w:val="0"/>
        <w:kinsoku/>
        <w:wordWrap/>
        <w:overflowPunct/>
        <w:topLinePunct w:val="0"/>
        <w:autoSpaceDE/>
        <w:autoSpaceDN/>
        <w:bidi w:val="0"/>
        <w:spacing w:line="572" w:lineRule="exact"/>
        <w:jc w:val="left"/>
        <w:textAlignment w:val="auto"/>
        <w:outlineLvl w:val="0"/>
        <w:rPr>
          <w:rFonts w:hint="eastAsia" w:ascii="Times New Roman" w:hAnsi="Times New Roman" w:eastAsia="黑体" w:cs="黑体"/>
          <w:color w:val="FF0000"/>
          <w:sz w:val="32"/>
          <w:szCs w:val="32"/>
          <w:highlight w:val="none"/>
        </w:rPr>
      </w:pPr>
    </w:p>
    <w:p w14:paraId="193CA618">
      <w:pPr>
        <w:keepNext w:val="0"/>
        <w:keepLines w:val="0"/>
        <w:pageBreakBefore w:val="0"/>
        <w:widowControl w:val="0"/>
        <w:kinsoku/>
        <w:wordWrap/>
        <w:overflowPunct/>
        <w:topLinePunct w:val="0"/>
        <w:autoSpaceDE/>
        <w:autoSpaceDN/>
        <w:bidi w:val="0"/>
        <w:spacing w:line="578" w:lineRule="exact"/>
        <w:ind w:firstLine="640"/>
        <w:textAlignment w:val="auto"/>
        <w:outlineLvl w:val="9"/>
        <w:rPr>
          <w:rFonts w:hint="eastAsia" w:ascii="Times New Roman" w:hAnsi="Times New Roman" w:eastAsia="仿宋_GB2312" w:cs="仿宋_GB2312"/>
          <w:b w:val="0"/>
          <w:bCs w:val="0"/>
          <w:kern w:val="0"/>
          <w:position w:val="0"/>
          <w:sz w:val="32"/>
          <w:szCs w:val="32"/>
          <w:highlight w:val="none"/>
          <w:lang w:val="en-US" w:eastAsia="zh-CN" w:bidi="ar-SA"/>
        </w:rPr>
      </w:pPr>
      <w:bookmarkStart w:id="53" w:name="_Toc15396618"/>
      <w:bookmarkStart w:id="67" w:name="_GoBack"/>
      <w:bookmarkEnd w:id="67"/>
      <w:r>
        <w:rPr>
          <w:rFonts w:hint="eastAsia" w:eastAsia="仿宋_GB2312" w:cs="仿宋_GB2312"/>
          <w:b w:val="0"/>
          <w:bCs w:val="0"/>
          <w:kern w:val="0"/>
          <w:position w:val="0"/>
          <w:sz w:val="32"/>
          <w:szCs w:val="32"/>
          <w:highlight w:val="none"/>
          <w:lang w:val="en-US" w:eastAsia="zh-CN" w:bidi="ar-SA"/>
        </w:rPr>
        <w:t>财务处暂不涉及相关内容。</w:t>
      </w:r>
      <w:r>
        <w:rPr>
          <w:rFonts w:hint="eastAsia" w:ascii="Times New Roman" w:hAnsi="Times New Roman" w:eastAsia="仿宋_GB2312" w:cs="仿宋_GB2312"/>
          <w:b w:val="0"/>
          <w:bCs w:val="0"/>
          <w:kern w:val="0"/>
          <w:position w:val="0"/>
          <w:sz w:val="32"/>
          <w:szCs w:val="32"/>
          <w:highlight w:val="none"/>
          <w:lang w:val="en-US" w:eastAsia="zh-CN" w:bidi="ar-SA"/>
        </w:rPr>
        <w:br w:type="page"/>
      </w:r>
    </w:p>
    <w:p w14:paraId="7AFF42D7">
      <w:pPr>
        <w:widowControl/>
        <w:jc w:val="center"/>
        <w:rPr>
          <w:rFonts w:hint="eastAsia" w:ascii="Times New Roman" w:hAnsi="Times New Roman" w:eastAsia="仿宋"/>
          <w:b w:val="0"/>
          <w:color w:val="auto"/>
          <w:highlight w:val="none"/>
        </w:rPr>
      </w:pPr>
      <w:r>
        <w:rPr>
          <w:rFonts w:hint="eastAsia" w:ascii="Times New Roman" w:hAnsi="Times New Roman" w:eastAsia="黑体"/>
          <w:color w:val="auto"/>
          <w:sz w:val="44"/>
          <w:szCs w:val="44"/>
          <w:highlight w:val="none"/>
        </w:rPr>
        <w:t>第</w:t>
      </w:r>
      <w:r>
        <w:rPr>
          <w:rStyle w:val="28"/>
          <w:rFonts w:hint="eastAsia" w:ascii="Times New Roman" w:hAnsi="Times New Roman" w:eastAsia="黑体"/>
          <w:b w:val="0"/>
          <w:color w:val="auto"/>
          <w:highlight w:val="none"/>
        </w:rPr>
        <w:t>五部分 附表</w:t>
      </w:r>
      <w:bookmarkEnd w:id="51"/>
      <w:bookmarkEnd w:id="53"/>
      <w:bookmarkStart w:id="54" w:name="_Toc15396619"/>
    </w:p>
    <w:p w14:paraId="2549A51B">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p>
    <w:p w14:paraId="72AFF83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一、收入支出决算总表</w:t>
      </w:r>
      <w:bookmarkEnd w:id="54"/>
    </w:p>
    <w:p w14:paraId="11EE1A9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5" w:name="_Toc15396620"/>
      <w:r>
        <w:rPr>
          <w:rFonts w:hint="eastAsia" w:ascii="Times New Roman" w:hAnsi="Times New Roman" w:eastAsia="仿宋_GB2312" w:cs="仿宋_GB2312"/>
          <w:color w:val="auto"/>
          <w:sz w:val="32"/>
          <w:szCs w:val="32"/>
          <w:highlight w:val="none"/>
        </w:rPr>
        <w:t>二、收入决算表</w:t>
      </w:r>
      <w:bookmarkEnd w:id="55"/>
    </w:p>
    <w:p w14:paraId="3EA322A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6" w:name="_Toc15396621"/>
      <w:r>
        <w:rPr>
          <w:rFonts w:hint="eastAsia" w:ascii="Times New Roman" w:hAnsi="Times New Roman" w:eastAsia="仿宋_GB2312" w:cs="仿宋_GB2312"/>
          <w:color w:val="auto"/>
          <w:sz w:val="32"/>
          <w:szCs w:val="32"/>
          <w:highlight w:val="none"/>
        </w:rPr>
        <w:t>三、支出决算表</w:t>
      </w:r>
      <w:bookmarkEnd w:id="56"/>
    </w:p>
    <w:p w14:paraId="208BAC82">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7" w:name="_Toc15396622"/>
      <w:r>
        <w:rPr>
          <w:rFonts w:hint="eastAsia" w:ascii="Times New Roman" w:hAnsi="Times New Roman" w:eastAsia="仿宋_GB2312" w:cs="仿宋_GB2312"/>
          <w:color w:val="auto"/>
          <w:sz w:val="32"/>
          <w:szCs w:val="32"/>
          <w:highlight w:val="none"/>
        </w:rPr>
        <w:t>四、财政拨款收入支出决算总表</w:t>
      </w:r>
      <w:bookmarkEnd w:id="57"/>
    </w:p>
    <w:p w14:paraId="475B77D7">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58" w:name="_Toc15396623"/>
      <w:r>
        <w:rPr>
          <w:rFonts w:hint="eastAsia" w:ascii="Times New Roman" w:hAnsi="Times New Roman" w:eastAsia="仿宋_GB2312" w:cs="仿宋_GB2312"/>
          <w:color w:val="auto"/>
          <w:sz w:val="32"/>
          <w:szCs w:val="32"/>
          <w:highlight w:val="none"/>
        </w:rPr>
        <w:t>五、财政拨款支出决算明细表</w:t>
      </w:r>
      <w:bookmarkEnd w:id="58"/>
      <w:bookmarkStart w:id="59" w:name="_Toc15396624"/>
    </w:p>
    <w:p w14:paraId="2C68577D">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六、一般公共预算财政拨款支出决算表</w:t>
      </w:r>
      <w:bookmarkEnd w:id="59"/>
    </w:p>
    <w:p w14:paraId="2B2C918F">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0" w:name="_Toc15396625"/>
      <w:r>
        <w:rPr>
          <w:rFonts w:hint="eastAsia" w:ascii="Times New Roman" w:hAnsi="Times New Roman" w:eastAsia="仿宋_GB2312" w:cs="仿宋_GB2312"/>
          <w:color w:val="auto"/>
          <w:sz w:val="32"/>
          <w:szCs w:val="32"/>
          <w:highlight w:val="none"/>
        </w:rPr>
        <w:t>七、一般公共预算财政拨款支出决算明细表</w:t>
      </w:r>
      <w:bookmarkEnd w:id="60"/>
    </w:p>
    <w:p w14:paraId="4FA7A52A">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1" w:name="_Toc15396626"/>
      <w:r>
        <w:rPr>
          <w:rFonts w:hint="eastAsia" w:ascii="Times New Roman" w:hAnsi="Times New Roman" w:eastAsia="仿宋_GB2312" w:cs="仿宋_GB2312"/>
          <w:color w:val="auto"/>
          <w:sz w:val="32"/>
          <w:szCs w:val="32"/>
          <w:highlight w:val="none"/>
        </w:rPr>
        <w:t>八、一般公共预算财政拨款基本支出决算表</w:t>
      </w:r>
      <w:bookmarkEnd w:id="61"/>
    </w:p>
    <w:p w14:paraId="608C65A1">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2" w:name="_Toc15396627"/>
      <w:r>
        <w:rPr>
          <w:rFonts w:hint="eastAsia" w:ascii="Times New Roman" w:hAnsi="Times New Roman" w:eastAsia="仿宋_GB2312" w:cs="仿宋_GB2312"/>
          <w:color w:val="auto"/>
          <w:sz w:val="32"/>
          <w:szCs w:val="32"/>
          <w:highlight w:val="none"/>
        </w:rPr>
        <w:t>九、一般公共预算财政拨款项目支出决算表</w:t>
      </w:r>
      <w:bookmarkEnd w:id="62"/>
    </w:p>
    <w:p w14:paraId="004D549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3" w:name="_Toc15396628"/>
      <w:r>
        <w:rPr>
          <w:rFonts w:hint="eastAsia" w:ascii="Times New Roman" w:hAnsi="Times New Roman" w:eastAsia="仿宋_GB2312" w:cs="仿宋_GB2312"/>
          <w:color w:val="auto"/>
          <w:sz w:val="32"/>
          <w:szCs w:val="32"/>
          <w:highlight w:val="none"/>
        </w:rPr>
        <w:t>十、</w:t>
      </w:r>
      <w:bookmarkEnd w:id="63"/>
      <w:r>
        <w:rPr>
          <w:rFonts w:hint="eastAsia" w:ascii="Times New Roman" w:hAnsi="Times New Roman" w:eastAsia="仿宋_GB2312" w:cs="仿宋_GB2312"/>
          <w:color w:val="auto"/>
          <w:sz w:val="32"/>
          <w:szCs w:val="32"/>
          <w:highlight w:val="none"/>
        </w:rPr>
        <w:t>政府性基金预算财政拨款收入支出决算表</w:t>
      </w:r>
    </w:p>
    <w:p w14:paraId="22E63CE9">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4" w:name="_Toc15396629"/>
      <w:r>
        <w:rPr>
          <w:rFonts w:hint="eastAsia" w:ascii="Times New Roman" w:hAnsi="Times New Roman" w:eastAsia="仿宋_GB2312" w:cs="仿宋_GB2312"/>
          <w:color w:val="auto"/>
          <w:sz w:val="32"/>
          <w:szCs w:val="32"/>
          <w:highlight w:val="none"/>
        </w:rPr>
        <w:t>十一、</w:t>
      </w:r>
      <w:bookmarkEnd w:id="64"/>
      <w:r>
        <w:rPr>
          <w:rFonts w:hint="eastAsia" w:ascii="Times New Roman" w:hAnsi="Times New Roman" w:eastAsia="仿宋_GB2312" w:cs="仿宋_GB2312"/>
          <w:color w:val="auto"/>
          <w:sz w:val="32"/>
          <w:szCs w:val="32"/>
          <w:highlight w:val="none"/>
        </w:rPr>
        <w:t>国有资本经营预算</w:t>
      </w:r>
      <w:r>
        <w:rPr>
          <w:rFonts w:hint="eastAsia" w:ascii="Times New Roman" w:hAnsi="Times New Roman" w:eastAsia="仿宋_GB2312" w:cs="仿宋_GB2312"/>
          <w:color w:val="auto"/>
          <w:sz w:val="32"/>
          <w:szCs w:val="32"/>
          <w:highlight w:val="none"/>
          <w:lang w:eastAsia="zh-CN"/>
        </w:rPr>
        <w:t>财政拨款收入</w:t>
      </w:r>
      <w:r>
        <w:rPr>
          <w:rFonts w:hint="eastAsia" w:ascii="Times New Roman" w:hAnsi="Times New Roman" w:eastAsia="仿宋_GB2312" w:cs="仿宋_GB2312"/>
          <w:color w:val="auto"/>
          <w:sz w:val="32"/>
          <w:szCs w:val="32"/>
          <w:highlight w:val="none"/>
        </w:rPr>
        <w:t>支出决算表</w:t>
      </w:r>
    </w:p>
    <w:p w14:paraId="1F527360">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rPr>
      </w:pPr>
      <w:bookmarkStart w:id="65" w:name="_Toc15396630"/>
      <w:r>
        <w:rPr>
          <w:rFonts w:hint="eastAsia" w:ascii="Times New Roman" w:hAnsi="Times New Roman" w:eastAsia="仿宋_GB2312" w:cs="仿宋_GB2312"/>
          <w:color w:val="auto"/>
          <w:sz w:val="32"/>
          <w:szCs w:val="32"/>
          <w:highlight w:val="none"/>
        </w:rPr>
        <w:t>十二、</w:t>
      </w:r>
      <w:bookmarkEnd w:id="65"/>
      <w:r>
        <w:rPr>
          <w:rFonts w:hint="eastAsia" w:ascii="Times New Roman" w:hAnsi="Times New Roman" w:eastAsia="仿宋_GB2312" w:cs="仿宋_GB2312"/>
          <w:color w:val="auto"/>
          <w:sz w:val="32"/>
          <w:szCs w:val="32"/>
          <w:highlight w:val="none"/>
          <w:lang w:eastAsia="zh-CN"/>
        </w:rPr>
        <w:t>国有资本经营预算财政拨款支出决算表</w:t>
      </w:r>
    </w:p>
    <w:p w14:paraId="7790BBB1">
      <w:pPr>
        <w:pStyle w:val="14"/>
        <w:keepNext w:val="0"/>
        <w:keepLines w:val="0"/>
        <w:pageBreakBefore w:val="0"/>
        <w:kinsoku/>
        <w:wordWrap/>
        <w:overflowPunct/>
        <w:topLinePunct w:val="0"/>
        <w:autoSpaceDE/>
        <w:autoSpaceDN/>
        <w:bidi w:val="0"/>
        <w:adjustRightInd w:val="0"/>
        <w:snapToGrid w:val="0"/>
        <w:spacing w:line="560" w:lineRule="exact"/>
        <w:jc w:val="left"/>
        <w:textAlignment w:val="auto"/>
        <w:rPr>
          <w:rFonts w:hint="eastAsia" w:ascii="Times New Roman" w:hAnsi="Times New Roman" w:eastAsia="仿宋_GB2312" w:cs="仿宋_GB2312"/>
          <w:color w:val="auto"/>
          <w:sz w:val="32"/>
          <w:szCs w:val="32"/>
          <w:highlight w:val="none"/>
          <w:lang w:eastAsia="zh-CN"/>
        </w:rPr>
      </w:pPr>
      <w:bookmarkStart w:id="66" w:name="_Toc15396631"/>
      <w:r>
        <w:rPr>
          <w:rFonts w:hint="eastAsia" w:ascii="Times New Roman" w:hAnsi="Times New Roman" w:eastAsia="仿宋_GB2312" w:cs="仿宋_GB2312"/>
          <w:color w:val="auto"/>
          <w:sz w:val="32"/>
          <w:szCs w:val="32"/>
          <w:highlight w:val="none"/>
        </w:rPr>
        <w:t>十三、</w:t>
      </w:r>
      <w:bookmarkEnd w:id="66"/>
      <w:r>
        <w:rPr>
          <w:rFonts w:hint="eastAsia" w:ascii="Times New Roman" w:hAnsi="Times New Roman" w:eastAsia="仿宋_GB2312" w:cs="仿宋_GB2312"/>
          <w:color w:val="auto"/>
          <w:sz w:val="32"/>
          <w:szCs w:val="32"/>
          <w:highlight w:val="none"/>
          <w:lang w:eastAsia="zh-CN"/>
        </w:rPr>
        <w:t>财政拨款“三公”经费支出决算表</w:t>
      </w:r>
    </w:p>
    <w:p w14:paraId="3C7C68DD">
      <w:pPr>
        <w:rPr>
          <w:rFonts w:hint="eastAsia" w:ascii="Times New Roman" w:hAnsi="Times New Roman"/>
          <w:highlight w:val="none"/>
          <w:lang w:eastAsia="zh-CN"/>
        </w:rPr>
      </w:pPr>
    </w:p>
    <w:sectPr>
      <w:footerReference r:id="rId5" w:type="first"/>
      <w:headerReference r:id="rId3" w:type="default"/>
      <w:footerReference r:id="rId4" w:type="default"/>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BDCDD8">
    <w:pPr>
      <w:pStyle w:val="11"/>
      <w:jc w:val="center"/>
    </w:pPr>
  </w:p>
  <w:p w14:paraId="21945E1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5D8A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0335">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830FA"/>
    <w:multiLevelType w:val="singleLevel"/>
    <w:tmpl w:val="8A9830FA"/>
    <w:lvl w:ilvl="0" w:tentative="0">
      <w:start w:val="1"/>
      <w:numFmt w:val="chineseCounting"/>
      <w:suff w:val="nothing"/>
      <w:lvlText w:val="%1、"/>
      <w:lvlJc w:val="left"/>
      <w:rPr>
        <w:rFonts w:hint="eastAsia"/>
      </w:rPr>
    </w:lvl>
  </w:abstractNum>
  <w:abstractNum w:abstractNumId="1">
    <w:nsid w:val="E00C2ECA"/>
    <w:multiLevelType w:val="singleLevel"/>
    <w:tmpl w:val="E00C2ECA"/>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975B8"/>
    <w:rsid w:val="02FEBE30"/>
    <w:rsid w:val="061E35DE"/>
    <w:rsid w:val="066E0107"/>
    <w:rsid w:val="07996F6E"/>
    <w:rsid w:val="07DFD8BA"/>
    <w:rsid w:val="09867E8F"/>
    <w:rsid w:val="0A2032A3"/>
    <w:rsid w:val="0CA8290A"/>
    <w:rsid w:val="0D35B1ED"/>
    <w:rsid w:val="0F98263C"/>
    <w:rsid w:val="101860EC"/>
    <w:rsid w:val="10C055FF"/>
    <w:rsid w:val="11772AA4"/>
    <w:rsid w:val="118107EC"/>
    <w:rsid w:val="13D50BC4"/>
    <w:rsid w:val="165E0673"/>
    <w:rsid w:val="16BB723D"/>
    <w:rsid w:val="186504BB"/>
    <w:rsid w:val="19A445FC"/>
    <w:rsid w:val="1A9FE8C6"/>
    <w:rsid w:val="1BE8440E"/>
    <w:rsid w:val="1D155CEE"/>
    <w:rsid w:val="1E740ACF"/>
    <w:rsid w:val="1FF35744"/>
    <w:rsid w:val="1FF6BC77"/>
    <w:rsid w:val="23860B96"/>
    <w:rsid w:val="240371BF"/>
    <w:rsid w:val="260F557C"/>
    <w:rsid w:val="281408E2"/>
    <w:rsid w:val="29FD04D3"/>
    <w:rsid w:val="2BFF7BC6"/>
    <w:rsid w:val="2C8A61B5"/>
    <w:rsid w:val="2DF04E50"/>
    <w:rsid w:val="2F040D46"/>
    <w:rsid w:val="2FAE5751"/>
    <w:rsid w:val="2FB1A395"/>
    <w:rsid w:val="2FD9A7D8"/>
    <w:rsid w:val="2FDBF714"/>
    <w:rsid w:val="319F7F4E"/>
    <w:rsid w:val="32BD1EF1"/>
    <w:rsid w:val="3304709D"/>
    <w:rsid w:val="349D6851"/>
    <w:rsid w:val="36AA5135"/>
    <w:rsid w:val="36BE0DA7"/>
    <w:rsid w:val="376B6AA6"/>
    <w:rsid w:val="376D39B2"/>
    <w:rsid w:val="37E16F03"/>
    <w:rsid w:val="37F53A3B"/>
    <w:rsid w:val="389B6C89"/>
    <w:rsid w:val="38D469F0"/>
    <w:rsid w:val="39627CCD"/>
    <w:rsid w:val="397BAF1F"/>
    <w:rsid w:val="3AB79AF3"/>
    <w:rsid w:val="3B7EF35A"/>
    <w:rsid w:val="3B9FDB6C"/>
    <w:rsid w:val="3BF5BC2F"/>
    <w:rsid w:val="3CEBA265"/>
    <w:rsid w:val="3D98207C"/>
    <w:rsid w:val="3DEE7CF3"/>
    <w:rsid w:val="3E78745D"/>
    <w:rsid w:val="3F55381A"/>
    <w:rsid w:val="3F7F7599"/>
    <w:rsid w:val="3FF4CAE0"/>
    <w:rsid w:val="3FF7B227"/>
    <w:rsid w:val="44E268DA"/>
    <w:rsid w:val="486A6C7A"/>
    <w:rsid w:val="4A627F82"/>
    <w:rsid w:val="4B0E749A"/>
    <w:rsid w:val="4B4F25DA"/>
    <w:rsid w:val="4BE068DB"/>
    <w:rsid w:val="4D577224"/>
    <w:rsid w:val="4DBF1CEB"/>
    <w:rsid w:val="4EAB630A"/>
    <w:rsid w:val="4ECE2238"/>
    <w:rsid w:val="4F833267"/>
    <w:rsid w:val="4FE9BD67"/>
    <w:rsid w:val="4FFB052F"/>
    <w:rsid w:val="537E6D0A"/>
    <w:rsid w:val="53F74C96"/>
    <w:rsid w:val="56E47B74"/>
    <w:rsid w:val="57BD3DD4"/>
    <w:rsid w:val="5AF92295"/>
    <w:rsid w:val="5BDD79E6"/>
    <w:rsid w:val="5BF561CA"/>
    <w:rsid w:val="5BFF5DFC"/>
    <w:rsid w:val="5CD71FC4"/>
    <w:rsid w:val="5D1F11B5"/>
    <w:rsid w:val="5DAE1B18"/>
    <w:rsid w:val="5DE7D9E5"/>
    <w:rsid w:val="5ECEC941"/>
    <w:rsid w:val="5FBF9FF3"/>
    <w:rsid w:val="5FCD4E2C"/>
    <w:rsid w:val="5FEF394A"/>
    <w:rsid w:val="5FF67715"/>
    <w:rsid w:val="622C5483"/>
    <w:rsid w:val="62BF3928"/>
    <w:rsid w:val="647F5392"/>
    <w:rsid w:val="664B1D71"/>
    <w:rsid w:val="67AA3209"/>
    <w:rsid w:val="698D0931"/>
    <w:rsid w:val="6A7FE5F3"/>
    <w:rsid w:val="6B053271"/>
    <w:rsid w:val="6C4A05C8"/>
    <w:rsid w:val="6C8742B8"/>
    <w:rsid w:val="6CA80207"/>
    <w:rsid w:val="6DBF5E93"/>
    <w:rsid w:val="6DFF077E"/>
    <w:rsid w:val="6E7E3605"/>
    <w:rsid w:val="6E7FDCC7"/>
    <w:rsid w:val="6ED6A62E"/>
    <w:rsid w:val="6EE00B15"/>
    <w:rsid w:val="6F6FB3EB"/>
    <w:rsid w:val="6F8731EA"/>
    <w:rsid w:val="6FCE6052"/>
    <w:rsid w:val="6FD57C00"/>
    <w:rsid w:val="6FEFFFD8"/>
    <w:rsid w:val="6FF5CC65"/>
    <w:rsid w:val="6FFB47EC"/>
    <w:rsid w:val="6FFF034A"/>
    <w:rsid w:val="712A28F1"/>
    <w:rsid w:val="715C0E4B"/>
    <w:rsid w:val="72233669"/>
    <w:rsid w:val="72734D90"/>
    <w:rsid w:val="7332FE48"/>
    <w:rsid w:val="73AB61DA"/>
    <w:rsid w:val="73AD73D5"/>
    <w:rsid w:val="73B6EB34"/>
    <w:rsid w:val="73FA497D"/>
    <w:rsid w:val="744731E5"/>
    <w:rsid w:val="74BBD01D"/>
    <w:rsid w:val="74ED5379"/>
    <w:rsid w:val="75DEEEC2"/>
    <w:rsid w:val="76602498"/>
    <w:rsid w:val="76E3355F"/>
    <w:rsid w:val="76FF5125"/>
    <w:rsid w:val="776F6FFA"/>
    <w:rsid w:val="778769C8"/>
    <w:rsid w:val="77DC22F5"/>
    <w:rsid w:val="79086DAD"/>
    <w:rsid w:val="79D7FD79"/>
    <w:rsid w:val="79EE5BA4"/>
    <w:rsid w:val="7A894339"/>
    <w:rsid w:val="7AD284E8"/>
    <w:rsid w:val="7AFF7572"/>
    <w:rsid w:val="7B6C7DFB"/>
    <w:rsid w:val="7BBFBED0"/>
    <w:rsid w:val="7BC3E394"/>
    <w:rsid w:val="7C1F3737"/>
    <w:rsid w:val="7CBFC87B"/>
    <w:rsid w:val="7CFE0F48"/>
    <w:rsid w:val="7D7EC23E"/>
    <w:rsid w:val="7E8ADEBF"/>
    <w:rsid w:val="7EEF11D3"/>
    <w:rsid w:val="7EFE4840"/>
    <w:rsid w:val="7F0971A6"/>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7DAB09"/>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5"/>
    <w:qFormat/>
    <w:uiPriority w:val="9"/>
    <w:rPr>
      <w:rFonts w:ascii="Times New Roman" w:hAnsi="Times New Roman"/>
      <w:b/>
      <w:bCs/>
      <w:kern w:val="44"/>
      <w:sz w:val="44"/>
      <w:szCs w:val="44"/>
    </w:rPr>
  </w:style>
  <w:style w:type="character" w:customStyle="1" w:styleId="29">
    <w:name w:val="标题 2 Char"/>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character" w:customStyle="1" w:styleId="32">
    <w:name w:val="标题 3 Char"/>
    <w:basedOn w:val="16"/>
    <w:link w:val="7"/>
    <w:qFormat/>
    <w:uiPriority w:val="9"/>
    <w:rPr>
      <w:rFonts w:ascii="Times New Roman" w:hAnsi="Times New Roman"/>
      <w:b/>
      <w:bCs/>
      <w:kern w:val="2"/>
      <w:sz w:val="32"/>
      <w:szCs w:val="32"/>
    </w:rPr>
  </w:style>
  <w:style w:type="paragraph" w:customStyle="1" w:styleId="33">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15</Pages>
  <Words>3624</Words>
  <Characters>3860</Characters>
  <Lines>61</Lines>
  <Paragraphs>17</Paragraphs>
  <TotalTime>16</TotalTime>
  <ScaleCrop>false</ScaleCrop>
  <LinksUpToDate>false</LinksUpToDate>
  <CharactersWithSpaces>3884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2020-08-10T01:49:00Z</dcterms:created>
  <dc:creator>曹颖</dc:creator>
  <cp:lastModifiedBy>d</cp:lastModifiedBy>
  <cp:lastPrinted>2025-08-07T09:34:00Z</cp:lastPrinted>
  <dcterms:modified xsi:type="dcterms:W3CDTF">2025-09-10T07:11:01Z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E61FD8FEF5E646CBBC75E3E9375F80D8_13</vt:lpwstr>
  </property>
  <property fmtid="{D5CDD505-2E9C-101B-9397-08002B2CF9AE}" pid="4" name="KSOTemplateDocerSaveRecord">
    <vt:lpwstr>eyJoZGlkIjoiMmNiYjhjNjE5MmE0MWUwNzg4YTEwM2I4NDJkYzJlNmIifQ==</vt:lpwstr>
  </property>
</Properties>
</file>