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19B47">
      <w:pPr>
        <w:pStyle w:val="6"/>
        <w:jc w:val="both"/>
        <w:rPr>
          <w:rFonts w:hint="eastAsia" w:ascii="方正小标宋简体" w:hAnsi="宋体" w:eastAsia="方正小标宋简体" w:cs="Times New Roman"/>
          <w:color w:val="auto"/>
          <w:kern w:val="2"/>
          <w:sz w:val="44"/>
          <w:szCs w:val="44"/>
          <w:highlight w:val="none"/>
          <w:lang w:val="en-US" w:eastAsia="zh-CN" w:bidi="ar-SA"/>
        </w:rPr>
      </w:pPr>
      <w:bookmarkStart w:id="0" w:name="_Toc15306267"/>
      <w:bookmarkStart w:id="1" w:name="_Toc15396597"/>
      <w:bookmarkStart w:id="2" w:name="_Toc15377425"/>
      <w:bookmarkStart w:id="3" w:name="_Toc15378441"/>
      <w:bookmarkStart w:id="4" w:name="_Toc15396475"/>
      <w:bookmarkStart w:id="5" w:name="_Toc15377193"/>
    </w:p>
    <w:p w14:paraId="71542867">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4B65B37B">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7F0F6A8D">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0CF6F941">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77BBE661">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74A93CC6">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369158A4">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594977E7">
      <w:pPr>
        <w:pStyle w:val="6"/>
        <w:jc w:val="both"/>
        <w:rPr>
          <w:rFonts w:hint="eastAsia" w:ascii="方正小标宋简体" w:hAnsi="宋体" w:eastAsia="方正小标宋简体" w:cs="Times New Roman"/>
          <w:color w:val="auto"/>
          <w:kern w:val="2"/>
          <w:sz w:val="44"/>
          <w:szCs w:val="44"/>
          <w:highlight w:val="none"/>
          <w:lang w:val="en-US" w:eastAsia="zh-CN" w:bidi="ar-SA"/>
        </w:rPr>
      </w:pPr>
    </w:p>
    <w:p w14:paraId="302F0C77">
      <w:pPr>
        <w:pStyle w:val="6"/>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2024年度</w:t>
      </w:r>
      <w:bookmarkEnd w:id="0"/>
      <w:bookmarkEnd w:id="1"/>
      <w:bookmarkEnd w:id="2"/>
      <w:bookmarkEnd w:id="3"/>
      <w:bookmarkEnd w:id="4"/>
      <w:bookmarkEnd w:id="5"/>
      <w:bookmarkStart w:id="6" w:name="_Toc15377194"/>
      <w:bookmarkStart w:id="7" w:name="_Toc15377426"/>
      <w:bookmarkStart w:id="8" w:name="_Toc15396598"/>
      <w:bookmarkStart w:id="9" w:name="_Toc15306268"/>
      <w:bookmarkStart w:id="10" w:name="_Toc15378442"/>
      <w:bookmarkStart w:id="11" w:name="_Toc15396476"/>
      <w:r>
        <w:rPr>
          <w:rFonts w:hint="eastAsia" w:ascii="方正小标宋简体" w:hAnsi="宋体" w:eastAsia="方正小标宋简体" w:cs="Times New Roman"/>
          <w:color w:val="auto"/>
          <w:kern w:val="2"/>
          <w:sz w:val="44"/>
          <w:szCs w:val="44"/>
          <w:highlight w:val="none"/>
          <w:lang w:val="en-US" w:eastAsia="zh-CN" w:bidi="ar-SA"/>
        </w:rPr>
        <w:t>民革四川省委会机关单位决算</w:t>
      </w:r>
      <w:bookmarkEnd w:id="6"/>
      <w:bookmarkEnd w:id="7"/>
      <w:bookmarkEnd w:id="8"/>
      <w:bookmarkEnd w:id="9"/>
      <w:bookmarkEnd w:id="10"/>
      <w:bookmarkEnd w:id="11"/>
    </w:p>
    <w:p w14:paraId="249346F4">
      <w:pPr>
        <w:widowControl/>
        <w:jc w:val="center"/>
        <w:rPr>
          <w:rFonts w:hint="eastAsia" w:ascii="黑体" w:hAnsi="黑体" w:eastAsia="黑体"/>
          <w:color w:val="auto"/>
          <w:sz w:val="48"/>
          <w:szCs w:val="48"/>
          <w:highlight w:val="none"/>
        </w:rPr>
      </w:pPr>
    </w:p>
    <w:p w14:paraId="6D5C820D">
      <w:pPr>
        <w:widowControl/>
        <w:jc w:val="center"/>
        <w:rPr>
          <w:rFonts w:hint="eastAsia" w:ascii="黑体" w:hAnsi="黑体" w:eastAsia="黑体"/>
          <w:color w:val="auto"/>
          <w:sz w:val="48"/>
          <w:szCs w:val="48"/>
          <w:highlight w:val="none"/>
        </w:rPr>
      </w:pPr>
    </w:p>
    <w:p w14:paraId="5F63752F">
      <w:pPr>
        <w:widowControl/>
        <w:jc w:val="center"/>
        <w:rPr>
          <w:rFonts w:hint="eastAsia" w:ascii="黑体" w:hAnsi="黑体" w:eastAsia="黑体"/>
          <w:color w:val="auto"/>
          <w:sz w:val="48"/>
          <w:szCs w:val="48"/>
          <w:highlight w:val="none"/>
        </w:rPr>
      </w:pPr>
    </w:p>
    <w:p w14:paraId="096046AD">
      <w:pPr>
        <w:widowControl/>
        <w:jc w:val="center"/>
        <w:rPr>
          <w:rFonts w:hint="eastAsia" w:ascii="黑体" w:hAnsi="黑体" w:eastAsia="黑体"/>
          <w:color w:val="auto"/>
          <w:sz w:val="48"/>
          <w:szCs w:val="48"/>
          <w:highlight w:val="none"/>
        </w:rPr>
      </w:pPr>
    </w:p>
    <w:p w14:paraId="4BD19092">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titlePg/>
          <w:docGrid w:type="lines" w:linePitch="312" w:charSpace="0"/>
        </w:sectPr>
      </w:pPr>
    </w:p>
    <w:p w14:paraId="44F50468">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14:paraId="48577848">
      <w:pPr>
        <w:widowControl/>
        <w:jc w:val="center"/>
        <w:rPr>
          <w:rFonts w:ascii="黑体" w:hAnsi="黑体" w:eastAsia="黑体" w:cstheme="minorBidi"/>
          <w:color w:val="auto"/>
          <w:sz w:val="28"/>
          <w:szCs w:val="28"/>
          <w:highlight w:val="none"/>
        </w:rPr>
      </w:pPr>
    </w:p>
    <w:p w14:paraId="591CAD96">
      <w:pPr>
        <w:pStyle w:val="13"/>
        <w:rPr>
          <w:color w:val="auto"/>
          <w:highlight w:val="none"/>
        </w:rPr>
      </w:pPr>
      <w:r>
        <w:rPr>
          <w:rFonts w:hint="eastAsia"/>
          <w:color w:val="auto"/>
          <w:highlight w:val="none"/>
        </w:rPr>
        <w:t>公开时间：20</w:t>
      </w:r>
      <w:r>
        <w:rPr>
          <w:rFonts w:hint="eastAsia"/>
          <w:color w:val="auto"/>
          <w:highlight w:val="none"/>
          <w:lang w:val="en-US" w:eastAsia="zh-CN"/>
        </w:rPr>
        <w:t>25</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p>
    <w:p w14:paraId="0A064CDF">
      <w:pPr>
        <w:rPr>
          <w:color w:val="auto"/>
          <w:highlight w:val="none"/>
        </w:rPr>
      </w:pPr>
    </w:p>
    <w:p w14:paraId="40AF7DA1">
      <w:pPr>
        <w:pStyle w:val="13"/>
        <w:adjustRightInd w:val="0"/>
        <w:snapToGrid w:val="0"/>
        <w:spacing w:before="0" w:line="440" w:lineRule="exact"/>
        <w:jc w:val="left"/>
        <w:rPr>
          <w:rFonts w:hint="eastAsia" w:eastAsia="仿宋" w:cstheme="minorBidi"/>
          <w:color w:val="auto"/>
          <w:sz w:val="24"/>
          <w:szCs w:val="24"/>
          <w:highlight w:val="none"/>
          <w:lang w:val="en-US" w:eastAsia="zh-CN"/>
        </w:rPr>
      </w:pPr>
      <w:r>
        <w:rPr>
          <w:rFonts w:hint="eastAsia"/>
          <w:color w:val="auto"/>
          <w:sz w:val="24"/>
          <w:highlight w:val="none"/>
        </w:rPr>
        <w:t>第一部分</w:t>
      </w:r>
      <w:r>
        <w:rPr>
          <w:color w:val="auto"/>
          <w:sz w:val="24"/>
          <w:highlight w:val="none"/>
        </w:rPr>
        <w:t xml:space="preserve"> </w:t>
      </w:r>
      <w:r>
        <w:rPr>
          <w:rFonts w:hint="eastAsia"/>
          <w:color w:val="auto"/>
          <w:sz w:val="24"/>
          <w:highlight w:val="none"/>
          <w:lang w:val="en-US" w:eastAsia="zh-CN"/>
        </w:rPr>
        <w:t>单位</w:t>
      </w:r>
      <w:r>
        <w:rPr>
          <w:rFonts w:hint="eastAsia"/>
          <w:color w:val="auto"/>
          <w:sz w:val="24"/>
          <w:highlight w:val="none"/>
        </w:rPr>
        <w:t>概况</w:t>
      </w:r>
      <w:r>
        <w:rPr>
          <w:rFonts w:hint="eastAsia"/>
          <w:color w:val="auto"/>
          <w:sz w:val="24"/>
          <w:highlight w:val="none"/>
          <w:lang w:val="en-US" w:eastAsia="zh-CN"/>
        </w:rPr>
        <w:t>...................................................1</w:t>
      </w:r>
    </w:p>
    <w:p w14:paraId="6573D41A">
      <w:pPr>
        <w:pStyle w:val="15"/>
        <w:adjustRightInd w:val="0"/>
        <w:snapToGrid w:val="0"/>
        <w:spacing w:line="440" w:lineRule="exact"/>
        <w:jc w:val="left"/>
        <w:rPr>
          <w:rFonts w:hint="default" w:ascii="仿宋" w:hAnsi="仿宋" w:eastAsia="仿宋"/>
          <w:color w:val="auto"/>
          <w:sz w:val="24"/>
          <w:highlight w:val="none"/>
          <w:lang w:val="en-US"/>
        </w:rPr>
      </w:pPr>
      <w:r>
        <w:rPr>
          <w:rFonts w:hint="eastAsia"/>
          <w:color w:val="auto"/>
          <w:sz w:val="24"/>
          <w:highlight w:val="none"/>
        </w:rPr>
        <w:t>一、</w:t>
      </w:r>
      <w:r>
        <w:rPr>
          <w:rFonts w:hint="eastAsia"/>
          <w:color w:val="auto"/>
          <w:sz w:val="24"/>
          <w:highlight w:val="none"/>
          <w:lang w:val="en-US" w:eastAsia="zh-CN"/>
        </w:rPr>
        <w:t>单位</w:t>
      </w:r>
      <w:r>
        <w:rPr>
          <w:rFonts w:hint="eastAsia"/>
          <w:color w:val="auto"/>
          <w:sz w:val="24"/>
          <w:highlight w:val="none"/>
          <w:lang w:eastAsia="zh-CN"/>
        </w:rPr>
        <w:t>职责</w:t>
      </w:r>
      <w:r>
        <w:rPr>
          <w:rFonts w:hint="eastAsia"/>
          <w:color w:val="auto"/>
          <w:sz w:val="24"/>
          <w:highlight w:val="none"/>
          <w:lang w:val="en-US" w:eastAsia="zh-CN"/>
        </w:rPr>
        <w:t>.........................................................................................................1</w:t>
      </w:r>
    </w:p>
    <w:p w14:paraId="63C68EF3">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二、机构设置</w:t>
      </w:r>
      <w:r>
        <w:rPr>
          <w:rFonts w:hint="eastAsia"/>
          <w:color w:val="auto"/>
          <w:sz w:val="24"/>
          <w:highlight w:val="none"/>
          <w:lang w:val="en-US" w:eastAsia="zh-CN"/>
        </w:rPr>
        <w:t>.........................................................................................................1</w:t>
      </w:r>
    </w:p>
    <w:p w14:paraId="489ADE1F">
      <w:pPr>
        <w:pStyle w:val="13"/>
        <w:adjustRightInd w:val="0"/>
        <w:snapToGrid w:val="0"/>
        <w:spacing w:before="0" w:line="440" w:lineRule="exact"/>
        <w:jc w:val="left"/>
        <w:rPr>
          <w:rFonts w:hint="eastAsia" w:eastAsia="仿宋"/>
          <w:color w:val="auto"/>
          <w:sz w:val="24"/>
          <w:szCs w:val="24"/>
          <w:highlight w:val="none"/>
          <w:lang w:val="en-US" w:eastAsia="zh-CN"/>
        </w:rPr>
      </w:pPr>
      <w:r>
        <w:rPr>
          <w:rFonts w:hint="eastAsia"/>
          <w:color w:val="auto"/>
          <w:sz w:val="24"/>
          <w:highlight w:val="none"/>
        </w:rPr>
        <w:t>第二部分</w:t>
      </w:r>
      <w:r>
        <w:rPr>
          <w:rFonts w:hint="eastAsia"/>
          <w:color w:val="auto"/>
          <w:sz w:val="24"/>
          <w:highlight w:val="none"/>
          <w:lang w:val="en-US" w:eastAsia="zh-CN"/>
        </w:rPr>
        <w:t xml:space="preserve"> 2024年度单位</w:t>
      </w:r>
      <w:r>
        <w:rPr>
          <w:rFonts w:hint="eastAsia"/>
          <w:color w:val="auto"/>
          <w:sz w:val="24"/>
          <w:highlight w:val="none"/>
        </w:rPr>
        <w:t>决算情况说明</w:t>
      </w:r>
      <w:r>
        <w:rPr>
          <w:rFonts w:hint="eastAsia"/>
          <w:color w:val="auto"/>
          <w:sz w:val="24"/>
          <w:highlight w:val="none"/>
          <w:lang w:val="en-US" w:eastAsia="zh-CN"/>
        </w:rPr>
        <w:t>..................................2</w:t>
      </w:r>
    </w:p>
    <w:p w14:paraId="6337F13B">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一、收入支出决算总体情况说明</w:t>
      </w:r>
      <w:r>
        <w:rPr>
          <w:rFonts w:hint="eastAsia"/>
          <w:color w:val="auto"/>
          <w:sz w:val="24"/>
          <w:highlight w:val="none"/>
          <w:lang w:val="en-US" w:eastAsia="zh-CN"/>
        </w:rPr>
        <w:t>..........................................................................2</w:t>
      </w:r>
    </w:p>
    <w:p w14:paraId="6A37A8DA">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二、收入决算情况说明</w:t>
      </w:r>
      <w:r>
        <w:rPr>
          <w:rFonts w:hint="eastAsia"/>
          <w:color w:val="auto"/>
          <w:sz w:val="24"/>
          <w:highlight w:val="none"/>
          <w:lang w:val="en-US" w:eastAsia="zh-CN"/>
        </w:rPr>
        <w:t>..........................................................................................2</w:t>
      </w:r>
    </w:p>
    <w:p w14:paraId="534C7FED">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三、支出决算情况说明</w:t>
      </w:r>
      <w:r>
        <w:rPr>
          <w:rFonts w:hint="eastAsia"/>
          <w:color w:val="auto"/>
          <w:sz w:val="24"/>
          <w:highlight w:val="none"/>
          <w:lang w:val="en-US" w:eastAsia="zh-CN"/>
        </w:rPr>
        <w:t>...........................................................................................3</w:t>
      </w:r>
    </w:p>
    <w:p w14:paraId="464B53F2">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四、财政拨款收入支出决算总体情况说明</w:t>
      </w:r>
      <w:r>
        <w:rPr>
          <w:rFonts w:hint="eastAsia"/>
          <w:color w:val="auto"/>
          <w:sz w:val="24"/>
          <w:highlight w:val="none"/>
          <w:lang w:val="en-US" w:eastAsia="zh-CN"/>
        </w:rPr>
        <w:t>..........................................................3</w:t>
      </w:r>
    </w:p>
    <w:p w14:paraId="479DD1F8">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五、一般公共预算财政拨款支出决算情况说明</w:t>
      </w:r>
      <w:r>
        <w:rPr>
          <w:rFonts w:hint="eastAsia"/>
          <w:color w:val="auto"/>
          <w:sz w:val="24"/>
          <w:highlight w:val="none"/>
          <w:lang w:val="en-US" w:eastAsia="zh-CN"/>
        </w:rPr>
        <w:t>..................................................4</w:t>
      </w:r>
    </w:p>
    <w:p w14:paraId="4319894F">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六、一般公共预算财政拨款基本支出决算情况说明</w:t>
      </w:r>
      <w:r>
        <w:rPr>
          <w:rFonts w:hint="eastAsia"/>
          <w:color w:val="auto"/>
          <w:sz w:val="24"/>
          <w:highlight w:val="none"/>
          <w:lang w:val="en-US" w:eastAsia="zh-CN"/>
        </w:rPr>
        <w:t>.........................................6</w:t>
      </w:r>
    </w:p>
    <w:p w14:paraId="3735A201">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七、财政拨款</w:t>
      </w:r>
      <w:r>
        <w:rPr>
          <w:rFonts w:hint="eastAsia"/>
          <w:color w:val="auto"/>
          <w:sz w:val="24"/>
          <w:highlight w:val="none"/>
          <w:lang w:eastAsia="zh-CN"/>
        </w:rPr>
        <w:t>“</w:t>
      </w:r>
      <w:r>
        <w:rPr>
          <w:rFonts w:hint="eastAsia"/>
          <w:color w:val="auto"/>
          <w:sz w:val="24"/>
          <w:highlight w:val="none"/>
        </w:rPr>
        <w:t>三公”经费支出决算情况说明</w:t>
      </w:r>
      <w:r>
        <w:rPr>
          <w:rFonts w:hint="eastAsia"/>
          <w:color w:val="auto"/>
          <w:sz w:val="24"/>
          <w:highlight w:val="none"/>
          <w:lang w:val="en-US" w:eastAsia="zh-CN"/>
        </w:rPr>
        <w:t>.................................................7</w:t>
      </w:r>
    </w:p>
    <w:p w14:paraId="601ABCAE">
      <w:pPr>
        <w:pStyle w:val="15"/>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八、政府性基金预算支出决算情况说明</w:t>
      </w:r>
      <w:r>
        <w:rPr>
          <w:rFonts w:hint="eastAsia"/>
          <w:color w:val="auto"/>
          <w:sz w:val="24"/>
          <w:highlight w:val="none"/>
          <w:lang w:val="en-US" w:eastAsia="zh-CN"/>
        </w:rPr>
        <w:t>.............................................................9</w:t>
      </w:r>
    </w:p>
    <w:p w14:paraId="0935D829">
      <w:pPr>
        <w:pStyle w:val="15"/>
        <w:adjustRightInd w:val="0"/>
        <w:snapToGrid w:val="0"/>
        <w:spacing w:line="440" w:lineRule="exact"/>
        <w:ind w:leftChars="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九、</w:t>
      </w:r>
      <w:r>
        <w:rPr>
          <w:rFonts w:hint="eastAsia" w:asciiTheme="minorEastAsia" w:hAnsiTheme="minorEastAsia" w:eastAsiaTheme="minorEastAsia" w:cstheme="minorEastAsia"/>
          <w:color w:val="auto"/>
          <w:sz w:val="24"/>
          <w:highlight w:val="none"/>
          <w:lang w:eastAsia="zh-CN"/>
        </w:rPr>
        <w:t>国</w:t>
      </w:r>
      <w:r>
        <w:rPr>
          <w:rFonts w:hint="eastAsia" w:asciiTheme="minorEastAsia" w:hAnsiTheme="minorEastAsia" w:eastAsiaTheme="minorEastAsia" w:cstheme="minorEastAsia"/>
          <w:color w:val="auto"/>
          <w:sz w:val="24"/>
          <w:highlight w:val="none"/>
        </w:rPr>
        <w:t>有资本经营预算支出决算情况说明</w:t>
      </w:r>
      <w:r>
        <w:rPr>
          <w:rFonts w:hint="eastAsia" w:asciiTheme="minorEastAsia" w:hAnsiTheme="minorEastAsia" w:eastAsiaTheme="minorEastAsia" w:cstheme="minorEastAsia"/>
          <w:color w:val="auto"/>
          <w:sz w:val="24"/>
          <w:highlight w:val="none"/>
          <w:lang w:val="en-US" w:eastAsia="zh-CN"/>
        </w:rPr>
        <w:t>.............................9</w:t>
      </w:r>
    </w:p>
    <w:p w14:paraId="32A2075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175"/>
        <w:jc w:val="left"/>
        <w:textAlignment w:val="auto"/>
        <w:rPr>
          <w:rFonts w:hint="eastAsia" w:asciiTheme="minorEastAsia" w:hAnsiTheme="minorEastAsia" w:eastAsiaTheme="minorEastAsia" w:cstheme="minorEastAsia"/>
          <w:color w:val="auto"/>
          <w:sz w:val="24"/>
          <w:highlight w:val="none"/>
          <w:lang w:val="en-US" w:eastAsia="zh-CN"/>
        </w:rPr>
      </w:pPr>
      <w:r>
        <w:rPr>
          <w:rStyle w:val="19"/>
          <w:rFonts w:hint="eastAsia" w:asciiTheme="minorEastAsia" w:hAnsiTheme="minorEastAsia" w:eastAsiaTheme="minorEastAsia" w:cstheme="minorEastAsia"/>
          <w:color w:val="auto"/>
          <w:sz w:val="24"/>
          <w:highlight w:val="none"/>
          <w:u w:val="none"/>
          <w:lang w:eastAsia="zh-CN"/>
        </w:rPr>
        <w:t>十</w:t>
      </w:r>
      <w:r>
        <w:rPr>
          <w:rStyle w:val="19"/>
          <w:rFonts w:hint="eastAsia" w:asciiTheme="minorEastAsia" w:hAnsiTheme="minorEastAsia" w:eastAsiaTheme="minorEastAsia" w:cstheme="minorEastAsia"/>
          <w:color w:val="auto"/>
          <w:sz w:val="24"/>
          <w:highlight w:val="none"/>
          <w:u w:val="none"/>
        </w:rPr>
        <w:t>、</w:t>
      </w:r>
      <w:r>
        <w:rPr>
          <w:rFonts w:hint="eastAsia" w:asciiTheme="minorEastAsia" w:hAnsiTheme="minorEastAsia" w:eastAsiaTheme="minorEastAsia" w:cstheme="minorEastAsia"/>
          <w:color w:val="auto"/>
          <w:sz w:val="24"/>
          <w:highlight w:val="none"/>
        </w:rPr>
        <w:t>其他重要事项的情况说明</w:t>
      </w:r>
      <w:r>
        <w:rPr>
          <w:rFonts w:hint="eastAsia" w:asciiTheme="minorEastAsia" w:hAnsiTheme="minorEastAsia" w:eastAsiaTheme="minorEastAsia" w:cstheme="minorEastAsia"/>
          <w:color w:val="auto"/>
          <w:sz w:val="24"/>
          <w:highlight w:val="none"/>
          <w:lang w:val="en-US" w:eastAsia="zh-CN"/>
        </w:rPr>
        <w:t>.......................................9</w:t>
      </w:r>
    </w:p>
    <w:p w14:paraId="2DEFBE5B">
      <w:pPr>
        <w:pStyle w:val="13"/>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..................................................11</w:t>
      </w:r>
    </w:p>
    <w:p w14:paraId="30124BE7">
      <w:pPr>
        <w:pStyle w:val="13"/>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......................................................14</w:t>
      </w:r>
    </w:p>
    <w:p w14:paraId="03A1275D">
      <w:pPr>
        <w:pStyle w:val="13"/>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......................................................16</w:t>
      </w:r>
    </w:p>
    <w:p w14:paraId="148CC9FE">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一、收入支出决算总表</w:t>
      </w:r>
      <w:r>
        <w:rPr>
          <w:rFonts w:hint="eastAsia"/>
          <w:color w:val="auto"/>
          <w:sz w:val="24"/>
          <w:highlight w:val="none"/>
          <w:lang w:val="en-US" w:eastAsia="zh-CN"/>
        </w:rPr>
        <w:t>.......................................................................................17</w:t>
      </w:r>
    </w:p>
    <w:p w14:paraId="34984591">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二、收入决算表</w:t>
      </w:r>
      <w:r>
        <w:rPr>
          <w:rFonts w:hint="eastAsia"/>
          <w:color w:val="auto"/>
          <w:sz w:val="24"/>
          <w:highlight w:val="none"/>
          <w:lang w:val="en-US" w:eastAsia="zh-CN"/>
        </w:rPr>
        <w:t>...................................................................................................17</w:t>
      </w:r>
    </w:p>
    <w:p w14:paraId="076E68D2">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三、支出决算表</w:t>
      </w:r>
      <w:r>
        <w:rPr>
          <w:rFonts w:hint="eastAsia"/>
          <w:color w:val="auto"/>
          <w:sz w:val="24"/>
          <w:highlight w:val="none"/>
          <w:lang w:val="en-US" w:eastAsia="zh-CN"/>
        </w:rPr>
        <w:t>...................................................................................................17</w:t>
      </w:r>
    </w:p>
    <w:p w14:paraId="629166ED">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四、财政拨款收入支出决算总表</w:t>
      </w:r>
      <w:r>
        <w:rPr>
          <w:rFonts w:hint="eastAsia"/>
          <w:color w:val="auto"/>
          <w:sz w:val="24"/>
          <w:highlight w:val="none"/>
          <w:lang w:val="en-US" w:eastAsia="zh-CN"/>
        </w:rPr>
        <w:t>.........................................................................20</w:t>
      </w:r>
    </w:p>
    <w:p w14:paraId="664E4312">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五、财政拨款支出决算明细表</w:t>
      </w:r>
      <w:r>
        <w:rPr>
          <w:rFonts w:hint="eastAsia"/>
          <w:color w:val="auto"/>
          <w:sz w:val="24"/>
          <w:highlight w:val="none"/>
          <w:lang w:val="en-US" w:eastAsia="zh-CN"/>
        </w:rPr>
        <w:t>............................................................................17</w:t>
      </w:r>
    </w:p>
    <w:p w14:paraId="74553A64">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六、一般公共预算财政拨款支出决算表</w:t>
      </w:r>
      <w:r>
        <w:rPr>
          <w:rFonts w:hint="eastAsia"/>
          <w:color w:val="auto"/>
          <w:sz w:val="24"/>
          <w:highlight w:val="none"/>
          <w:lang w:val="en-US" w:eastAsia="zh-CN"/>
        </w:rPr>
        <w:t>...........................................................17</w:t>
      </w:r>
    </w:p>
    <w:p w14:paraId="1828ADE0">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七、一般公共预算财政拨款支出决算明细表</w:t>
      </w:r>
      <w:r>
        <w:rPr>
          <w:rFonts w:hint="eastAsia"/>
          <w:color w:val="auto"/>
          <w:sz w:val="24"/>
          <w:highlight w:val="none"/>
          <w:lang w:val="en-US" w:eastAsia="zh-CN"/>
        </w:rPr>
        <w:t>...................................................17</w:t>
      </w:r>
    </w:p>
    <w:p w14:paraId="4E64B9B4">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八、一般公共预算财政拨款基本支出决算</w:t>
      </w:r>
      <w:r>
        <w:rPr>
          <w:rFonts w:hint="eastAsia"/>
          <w:color w:val="auto"/>
          <w:sz w:val="24"/>
          <w:highlight w:val="none"/>
          <w:lang w:eastAsia="zh-CN"/>
        </w:rPr>
        <w:t>明细</w:t>
      </w:r>
      <w:r>
        <w:rPr>
          <w:rFonts w:hint="eastAsia"/>
          <w:color w:val="auto"/>
          <w:sz w:val="24"/>
          <w:highlight w:val="none"/>
        </w:rPr>
        <w:t>表</w:t>
      </w:r>
      <w:r>
        <w:rPr>
          <w:rFonts w:hint="eastAsia"/>
          <w:color w:val="auto"/>
          <w:sz w:val="24"/>
          <w:highlight w:val="none"/>
          <w:lang w:val="en-US" w:eastAsia="zh-CN"/>
        </w:rPr>
        <w:t>...........................................17</w:t>
      </w:r>
    </w:p>
    <w:p w14:paraId="59E27D1A">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九、一般公共预算财政拨款项目支出决算表</w:t>
      </w:r>
      <w:r>
        <w:rPr>
          <w:rFonts w:hint="eastAsia"/>
          <w:color w:val="auto"/>
          <w:sz w:val="24"/>
          <w:highlight w:val="none"/>
          <w:lang w:val="en-US" w:eastAsia="zh-CN"/>
        </w:rPr>
        <w:t>...................................................17</w:t>
      </w:r>
    </w:p>
    <w:p w14:paraId="76C6AEE1">
      <w:pPr>
        <w:pStyle w:val="15"/>
        <w:adjustRightInd w:val="0"/>
        <w:snapToGrid w:val="0"/>
        <w:spacing w:line="440" w:lineRule="exact"/>
        <w:ind w:left="0" w:leftChars="0" w:firstLine="0" w:firstLineChars="0"/>
        <w:jc w:val="both"/>
        <w:rPr>
          <w:rFonts w:hint="default" w:eastAsia="宋体"/>
          <w:color w:val="auto"/>
          <w:sz w:val="24"/>
          <w:highlight w:val="none"/>
          <w:lang w:val="en-US" w:eastAsia="zh-CN"/>
        </w:rPr>
        <w:sectPr>
          <w:footerReference r:id="rId6" w:type="firs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1B78DAFC">
      <w:pPr>
        <w:pStyle w:val="15"/>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十、政府性基金预算财政拨款收入支出决算表</w:t>
      </w:r>
      <w:r>
        <w:rPr>
          <w:rFonts w:hint="eastAsia"/>
          <w:color w:val="auto"/>
          <w:sz w:val="24"/>
          <w:highlight w:val="none"/>
          <w:lang w:val="en-US" w:eastAsia="zh-CN"/>
        </w:rPr>
        <w:t>...............................................17</w:t>
      </w:r>
    </w:p>
    <w:p w14:paraId="3AA827AA">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十一、国有资本经营预算财政拨款收入支出决算表</w:t>
      </w:r>
      <w:r>
        <w:rPr>
          <w:rFonts w:hint="eastAsia"/>
          <w:color w:val="auto"/>
          <w:sz w:val="24"/>
          <w:highlight w:val="none"/>
          <w:lang w:val="en-US" w:eastAsia="zh-CN"/>
        </w:rPr>
        <w:t>.........................................17</w:t>
      </w:r>
      <w:bookmarkStart w:id="67" w:name="_GoBack"/>
      <w:bookmarkEnd w:id="67"/>
      <w:r>
        <w:rPr>
          <w:rFonts w:hint="eastAsia"/>
          <w:color w:val="auto"/>
          <w:sz w:val="24"/>
          <w:highlight w:val="none"/>
        </w:rPr>
        <w:t>十二、</w:t>
      </w:r>
      <w:r>
        <w:rPr>
          <w:rFonts w:hint="eastAsia"/>
          <w:color w:val="auto"/>
          <w:sz w:val="24"/>
          <w:highlight w:val="none"/>
          <w:lang w:val="en-US" w:eastAsia="zh-CN"/>
        </w:rPr>
        <w:t>国有资本经营预算财政拨款支出决算表................................................17</w:t>
      </w:r>
    </w:p>
    <w:p w14:paraId="00930014">
      <w:pPr>
        <w:pStyle w:val="15"/>
        <w:adjustRightInd w:val="0"/>
        <w:snapToGrid w:val="0"/>
        <w:spacing w:line="440" w:lineRule="exact"/>
        <w:jc w:val="left"/>
        <w:rPr>
          <w:rFonts w:hint="default" w:eastAsia="宋体" w:asciiTheme="minorEastAsia" w:hAnsiTheme="minorEastAsia" w:cstheme="minorEastAsia"/>
          <w:color w:val="auto"/>
          <w:sz w:val="24"/>
          <w:highlight w:val="none"/>
          <w:lang w:val="en-US" w:eastAsia="zh-CN"/>
        </w:rPr>
      </w:pPr>
      <w:r>
        <w:rPr>
          <w:rFonts w:hint="eastAsia"/>
          <w:color w:val="auto"/>
          <w:sz w:val="24"/>
          <w:highlight w:val="none"/>
        </w:rPr>
        <w:t>十三、财政拨款“三公”经费支出决算表</w:t>
      </w:r>
      <w:r>
        <w:rPr>
          <w:rFonts w:hint="eastAsia"/>
          <w:color w:val="auto"/>
          <w:sz w:val="24"/>
          <w:highlight w:val="none"/>
          <w:lang w:val="en-US" w:eastAsia="zh-CN"/>
        </w:rPr>
        <w:t>........................................................17</w:t>
      </w:r>
    </w:p>
    <w:p w14:paraId="6782EC2E">
      <w:pPr>
        <w:widowControl/>
        <w:adjustRightInd w:val="0"/>
        <w:snapToGrid w:val="0"/>
        <w:spacing w:line="440" w:lineRule="exact"/>
        <w:ind w:firstLine="1320" w:firstLineChars="550"/>
        <w:jc w:val="left"/>
        <w:rPr>
          <w:rFonts w:ascii="仿宋" w:hAnsi="仿宋" w:eastAsia="仿宋"/>
          <w:color w:val="auto"/>
          <w:sz w:val="24"/>
          <w:highlight w:val="none"/>
        </w:rPr>
      </w:pPr>
    </w:p>
    <w:p w14:paraId="13607A5B">
      <w:pPr>
        <w:pStyle w:val="2"/>
        <w:pageBreakBefore w:val="0"/>
        <w:kinsoku/>
        <w:wordWrap/>
        <w:overflowPunct/>
        <w:topLinePunct w:val="0"/>
        <w:autoSpaceDE/>
        <w:autoSpaceDN/>
        <w:bidi w:val="0"/>
        <w:spacing w:before="0" w:after="0" w:line="600" w:lineRule="exact"/>
        <w:jc w:val="center"/>
        <w:textAlignment w:val="auto"/>
        <w:rPr>
          <w:rFonts w:hint="default" w:ascii="Times New Roman" w:hAnsi="Times New Roman" w:eastAsia="黑体" w:cs="Times New Roman"/>
          <w:b w:val="0"/>
          <w:color w:val="auto"/>
          <w:highlight w:val="none"/>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bookmarkStart w:id="12" w:name="_Toc15396599"/>
      <w:bookmarkStart w:id="13" w:name="_Toc15377196"/>
    </w:p>
    <w:p w14:paraId="201C44A2">
      <w:pPr>
        <w:pStyle w:val="2"/>
        <w:pageBreakBefore w:val="0"/>
        <w:kinsoku/>
        <w:wordWrap/>
        <w:overflowPunct/>
        <w:topLinePunct w:val="0"/>
        <w:autoSpaceDE/>
        <w:autoSpaceDN/>
        <w:bidi w:val="0"/>
        <w:spacing w:before="0" w:after="0" w:line="600" w:lineRule="exact"/>
        <w:jc w:val="center"/>
        <w:textAlignment w:val="auto"/>
        <w:rPr>
          <w:rStyle w:val="29"/>
          <w:rFonts w:hint="default" w:ascii="Times New Roman" w:hAnsi="Times New Roman" w:eastAsia="黑体" w:cs="Times New Roman"/>
          <w:b/>
          <w:bCs w:val="0"/>
          <w:color w:val="auto"/>
          <w:highlight w:val="none"/>
        </w:rPr>
      </w:pPr>
      <w:r>
        <w:rPr>
          <w:rFonts w:hint="default" w:ascii="Times New Roman" w:hAnsi="Times New Roman" w:eastAsia="黑体" w:cs="Times New Roman"/>
          <w:b w:val="0"/>
          <w:color w:val="auto"/>
          <w:highlight w:val="none"/>
        </w:rPr>
        <w:t xml:space="preserve">第一部分 </w:t>
      </w:r>
      <w:r>
        <w:rPr>
          <w:rStyle w:val="29"/>
          <w:rFonts w:hint="eastAsia" w:eastAsia="黑体" w:cs="Times New Roman"/>
          <w:b w:val="0"/>
          <w:bCs w:val="0"/>
          <w:color w:val="auto"/>
          <w:highlight w:val="none"/>
          <w:lang w:val="en-US" w:eastAsia="zh-CN"/>
        </w:rPr>
        <w:t>单位</w:t>
      </w:r>
      <w:r>
        <w:rPr>
          <w:rStyle w:val="29"/>
          <w:rFonts w:hint="default" w:ascii="Times New Roman" w:hAnsi="Times New Roman" w:eastAsia="黑体" w:cs="Times New Roman"/>
          <w:b w:val="0"/>
          <w:bCs w:val="0"/>
          <w:color w:val="auto"/>
          <w:highlight w:val="none"/>
        </w:rPr>
        <w:t>概况</w:t>
      </w:r>
      <w:bookmarkEnd w:id="12"/>
      <w:bookmarkEnd w:id="13"/>
    </w:p>
    <w:p w14:paraId="000E3776">
      <w:pPr>
        <w:pageBreakBefore w:val="0"/>
        <w:widowControl/>
        <w:kinsoku/>
        <w:wordWrap/>
        <w:overflowPunct/>
        <w:topLinePunct w:val="0"/>
        <w:autoSpaceDE/>
        <w:autoSpaceDN/>
        <w:bidi w:val="0"/>
        <w:spacing w:line="600" w:lineRule="exact"/>
        <w:jc w:val="left"/>
        <w:textAlignment w:val="auto"/>
        <w:rPr>
          <w:rFonts w:hint="default" w:ascii="Times New Roman" w:hAnsi="Times New Roman" w:eastAsia="黑体" w:cs="Times New Roman"/>
          <w:color w:val="auto"/>
          <w:sz w:val="32"/>
          <w:szCs w:val="32"/>
          <w:highlight w:val="none"/>
        </w:rPr>
      </w:pPr>
    </w:p>
    <w:p w14:paraId="3EC3E040">
      <w:pPr>
        <w:pStyle w:val="3"/>
        <w:pageBreakBefore w:val="0"/>
        <w:numPr>
          <w:ilvl w:val="0"/>
          <w:numId w:val="0"/>
        </w:numPr>
        <w:kinsoku/>
        <w:wordWrap/>
        <w:overflowPunct/>
        <w:topLinePunct w:val="0"/>
        <w:autoSpaceDE/>
        <w:autoSpaceDN/>
        <w:bidi w:val="0"/>
        <w:spacing w:before="0" w:after="0" w:line="600" w:lineRule="exact"/>
        <w:ind w:firstLine="640" w:firstLineChars="200"/>
        <w:textAlignment w:val="auto"/>
        <w:rPr>
          <w:rFonts w:hint="default" w:ascii="Times New Roman" w:hAnsi="Times New Roman" w:eastAsia="黑体" w:cs="Times New Roman"/>
          <w:b w:val="0"/>
          <w:color w:val="auto"/>
          <w:highlight w:val="none"/>
          <w:lang w:eastAsia="zh-CN"/>
        </w:rPr>
      </w:pPr>
      <w:r>
        <w:rPr>
          <w:rFonts w:hint="eastAsia" w:ascii="Times New Roman" w:hAnsi="Times New Roman" w:eastAsia="黑体" w:cs="Times New Roman"/>
          <w:b w:val="0"/>
          <w:color w:val="auto"/>
          <w:highlight w:val="none"/>
          <w:lang w:eastAsia="zh-CN"/>
        </w:rPr>
        <w:t>一、</w:t>
      </w:r>
      <w:r>
        <w:rPr>
          <w:rFonts w:hint="eastAsia" w:ascii="Times New Roman" w:hAnsi="Times New Roman" w:eastAsia="黑体" w:cs="Times New Roman"/>
          <w:b w:val="0"/>
          <w:color w:val="auto"/>
          <w:highlight w:val="none"/>
          <w:lang w:val="en-US" w:eastAsia="zh-CN"/>
        </w:rPr>
        <w:t>单位</w:t>
      </w:r>
      <w:r>
        <w:rPr>
          <w:rFonts w:hint="default" w:ascii="Times New Roman" w:hAnsi="Times New Roman" w:eastAsia="黑体" w:cs="Times New Roman"/>
          <w:b w:val="0"/>
          <w:color w:val="auto"/>
          <w:highlight w:val="none"/>
          <w:lang w:eastAsia="zh-CN"/>
        </w:rPr>
        <w:t>职责</w:t>
      </w:r>
    </w:p>
    <w:p w14:paraId="4FE3851E">
      <w:pPr>
        <w:pageBreakBefore w:val="0"/>
        <w:kinsoku/>
        <w:wordWrap/>
        <w:overflowPunct/>
        <w:topLinePunct w:val="0"/>
        <w:autoSpaceDE/>
        <w:autoSpaceDN/>
        <w:bidi w:val="0"/>
        <w:adjustRightInd/>
        <w:snapToGrid/>
        <w:spacing w:line="600" w:lineRule="atLeast"/>
        <w:ind w:firstLine="640" w:firstLineChars="200"/>
        <w:textAlignment w:val="auto"/>
        <w:rPr>
          <w:rFonts w:hint="default" w:ascii="Times New Roman" w:hAnsi="Times New Roman" w:eastAsia="仿宋" w:cs="Times New Roman"/>
          <w:b w:val="0"/>
          <w:bCs w:val="0"/>
          <w:color w:val="auto"/>
          <w:kern w:val="2"/>
          <w:sz w:val="32"/>
          <w:szCs w:val="32"/>
          <w:highlight w:val="none"/>
          <w:lang w:val="en-US" w:eastAsia="zh-CN" w:bidi="ar-SA"/>
        </w:rPr>
      </w:pPr>
      <w:bookmarkStart w:id="14" w:name="_Toc15396601"/>
      <w:bookmarkStart w:id="15" w:name="_Toc15377200"/>
      <w:r>
        <w:rPr>
          <w:rFonts w:hint="default" w:ascii="Times New Roman" w:hAnsi="Times New Roman" w:eastAsia="仿宋" w:cs="Times New Roman"/>
          <w:b w:val="0"/>
          <w:bCs w:val="0"/>
          <w:color w:val="auto"/>
          <w:kern w:val="2"/>
          <w:sz w:val="32"/>
          <w:szCs w:val="32"/>
          <w:highlight w:val="none"/>
          <w:lang w:val="en-US" w:eastAsia="zh-CN" w:bidi="ar-SA"/>
        </w:rPr>
        <w:t>民革四川省委</w:t>
      </w:r>
      <w:r>
        <w:rPr>
          <w:rFonts w:hint="eastAsia" w:eastAsia="仿宋" w:cs="Times New Roman"/>
          <w:b w:val="0"/>
          <w:bCs w:val="0"/>
          <w:color w:val="auto"/>
          <w:kern w:val="2"/>
          <w:sz w:val="32"/>
          <w:szCs w:val="32"/>
          <w:highlight w:val="none"/>
          <w:lang w:val="en-US" w:eastAsia="zh-CN" w:bidi="ar-SA"/>
        </w:rPr>
        <w:t>会</w:t>
      </w:r>
      <w:r>
        <w:rPr>
          <w:rFonts w:hint="default" w:ascii="Times New Roman" w:hAnsi="Times New Roman" w:eastAsia="仿宋" w:cs="Times New Roman"/>
          <w:b w:val="0"/>
          <w:bCs w:val="0"/>
          <w:color w:val="auto"/>
          <w:kern w:val="2"/>
          <w:sz w:val="32"/>
          <w:szCs w:val="32"/>
          <w:highlight w:val="none"/>
          <w:lang w:val="en-US" w:eastAsia="zh-CN" w:bidi="ar-SA"/>
        </w:rPr>
        <w:t>机关是民革四川省委</w:t>
      </w:r>
      <w:r>
        <w:rPr>
          <w:rFonts w:hint="eastAsia" w:eastAsia="仿宋" w:cs="Times New Roman"/>
          <w:b w:val="0"/>
          <w:bCs w:val="0"/>
          <w:color w:val="auto"/>
          <w:kern w:val="2"/>
          <w:sz w:val="32"/>
          <w:szCs w:val="32"/>
          <w:highlight w:val="none"/>
          <w:lang w:val="en-US" w:eastAsia="zh-CN" w:bidi="ar-SA"/>
        </w:rPr>
        <w:t>会</w:t>
      </w:r>
      <w:r>
        <w:rPr>
          <w:rFonts w:hint="default" w:ascii="Times New Roman" w:hAnsi="Times New Roman" w:eastAsia="仿宋" w:cs="Times New Roman"/>
          <w:b w:val="0"/>
          <w:bCs w:val="0"/>
          <w:color w:val="auto"/>
          <w:kern w:val="2"/>
          <w:sz w:val="32"/>
          <w:szCs w:val="32"/>
          <w:highlight w:val="none"/>
          <w:lang w:val="en-US" w:eastAsia="zh-CN" w:bidi="ar-SA"/>
        </w:rPr>
        <w:t>的工作机构，其主要职责是：</w:t>
      </w:r>
      <w:r>
        <w:rPr>
          <w:rFonts w:hint="default" w:ascii="Times New Roman" w:hAnsi="Times New Roman" w:eastAsia="仿宋" w:cs="Times New Roman"/>
          <w:b w:val="0"/>
          <w:bCs w:val="0"/>
          <w:color w:val="auto"/>
          <w:kern w:val="2"/>
          <w:sz w:val="32"/>
          <w:szCs w:val="32"/>
          <w:highlight w:val="none"/>
          <w:lang w:val="en-US" w:eastAsia="zh-CN" w:bidi="ar-SA"/>
        </w:rPr>
        <w:br w:type="textWrapping"/>
      </w:r>
      <w:r>
        <w:rPr>
          <w:rFonts w:hint="default" w:ascii="Times New Roman" w:hAnsi="Times New Roman" w:eastAsia="仿宋" w:cs="Times New Roman"/>
          <w:b w:val="0"/>
          <w:bCs w:val="0"/>
          <w:color w:val="auto"/>
          <w:kern w:val="2"/>
          <w:sz w:val="32"/>
          <w:szCs w:val="32"/>
          <w:highlight w:val="none"/>
          <w:lang w:val="en-US" w:eastAsia="zh-CN" w:bidi="ar-SA"/>
        </w:rPr>
        <w:t>　　1.认真履行参政议政、民主监督的职责。</w:t>
      </w:r>
      <w:r>
        <w:rPr>
          <w:rFonts w:hint="default" w:ascii="Times New Roman" w:hAnsi="Times New Roman" w:eastAsia="仿宋" w:cs="Times New Roman"/>
          <w:b w:val="0"/>
          <w:bCs w:val="0"/>
          <w:color w:val="auto"/>
          <w:kern w:val="2"/>
          <w:sz w:val="32"/>
          <w:szCs w:val="32"/>
          <w:highlight w:val="none"/>
          <w:lang w:val="en-US" w:eastAsia="zh-CN" w:bidi="ar-SA"/>
        </w:rPr>
        <w:br w:type="textWrapping"/>
      </w:r>
      <w:r>
        <w:rPr>
          <w:rFonts w:hint="default" w:ascii="Times New Roman" w:hAnsi="Times New Roman" w:eastAsia="仿宋" w:cs="Times New Roman"/>
          <w:b w:val="0"/>
          <w:bCs w:val="0"/>
          <w:color w:val="auto"/>
          <w:kern w:val="2"/>
          <w:sz w:val="32"/>
          <w:szCs w:val="32"/>
          <w:highlight w:val="none"/>
          <w:lang w:val="en-US" w:eastAsia="zh-CN" w:bidi="ar-SA"/>
        </w:rPr>
        <w:t>　　2.坚持以经济建设为中心，鼓励党员和所联系人士为改革开放、为四化建设多做贡献。</w:t>
      </w:r>
      <w:r>
        <w:rPr>
          <w:rFonts w:hint="default" w:ascii="Times New Roman" w:hAnsi="Times New Roman" w:eastAsia="仿宋" w:cs="Times New Roman"/>
          <w:b w:val="0"/>
          <w:bCs w:val="0"/>
          <w:color w:val="auto"/>
          <w:kern w:val="2"/>
          <w:sz w:val="32"/>
          <w:szCs w:val="32"/>
          <w:highlight w:val="none"/>
          <w:lang w:val="en-US" w:eastAsia="zh-CN" w:bidi="ar-SA"/>
        </w:rPr>
        <w:br w:type="textWrapping"/>
      </w:r>
      <w:r>
        <w:rPr>
          <w:rFonts w:hint="default" w:ascii="Times New Roman" w:hAnsi="Times New Roman" w:eastAsia="仿宋" w:cs="Times New Roman"/>
          <w:b w:val="0"/>
          <w:bCs w:val="0"/>
          <w:color w:val="auto"/>
          <w:kern w:val="2"/>
          <w:sz w:val="32"/>
          <w:szCs w:val="32"/>
          <w:highlight w:val="none"/>
          <w:lang w:val="en-US" w:eastAsia="zh-CN" w:bidi="ar-SA"/>
        </w:rPr>
        <w:t>　　3.以促进祖国和平统一为工作重点，加强同台湾、港澳和国外的国民党爱国人士的联系和团结，宣传</w:t>
      </w:r>
      <w:r>
        <w:rPr>
          <w:rFonts w:hint="eastAsia" w:ascii="Times New Roman" w:hAnsi="Times New Roman" w:eastAsia="仿宋" w:cs="Times New Roman"/>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t>一国两制</w:t>
      </w:r>
      <w:r>
        <w:rPr>
          <w:rFonts w:hint="eastAsia" w:ascii="Times New Roman" w:hAnsi="Times New Roman" w:eastAsia="仿宋" w:cs="Times New Roman"/>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t>、和平统一的方针和政策，积极发挥民革所特有的作用。</w:t>
      </w:r>
    </w:p>
    <w:p w14:paraId="244D746D">
      <w:pPr>
        <w:pageBreakBefore w:val="0"/>
        <w:kinsoku/>
        <w:wordWrap/>
        <w:overflowPunct/>
        <w:topLinePunct w:val="0"/>
        <w:autoSpaceDE/>
        <w:autoSpaceDN/>
        <w:bidi w:val="0"/>
        <w:adjustRightInd/>
        <w:snapToGrid/>
        <w:spacing w:line="600" w:lineRule="atLeast"/>
        <w:ind w:firstLine="640" w:firstLineChars="200"/>
        <w:textAlignment w:val="auto"/>
        <w:rPr>
          <w:rFonts w:hint="default" w:ascii="Times New Roman" w:hAnsi="Times New Roman" w:eastAsia="仿宋" w:cs="Times New Roman"/>
          <w:b w:val="0"/>
          <w:bCs w:val="0"/>
          <w:color w:val="auto"/>
          <w:kern w:val="2"/>
          <w:sz w:val="32"/>
          <w:szCs w:val="32"/>
          <w:highlight w:val="none"/>
          <w:lang w:val="en-US" w:eastAsia="zh-CN" w:bidi="ar-SA"/>
        </w:rPr>
      </w:pPr>
      <w:r>
        <w:rPr>
          <w:rFonts w:hint="default" w:ascii="Times New Roman" w:hAnsi="Times New Roman" w:eastAsia="仿宋" w:cs="Times New Roman"/>
          <w:b w:val="0"/>
          <w:bCs w:val="0"/>
          <w:color w:val="auto"/>
          <w:kern w:val="2"/>
          <w:sz w:val="32"/>
          <w:szCs w:val="32"/>
          <w:highlight w:val="none"/>
          <w:lang w:val="en-US" w:eastAsia="zh-CN" w:bidi="ar-SA"/>
        </w:rPr>
        <w:t>4.把加强自身建设放在重要地位，通过思想建设、组织建设、领导班子建设和机关建设，健全参政党机制，以适应形势发展和需要。　　</w:t>
      </w:r>
    </w:p>
    <w:p w14:paraId="5D446A1F">
      <w:pPr>
        <w:pageBreakBefore w:val="0"/>
        <w:kinsoku/>
        <w:wordWrap/>
        <w:overflowPunct/>
        <w:topLinePunct w:val="0"/>
        <w:autoSpaceDE/>
        <w:autoSpaceDN/>
        <w:bidi w:val="0"/>
        <w:adjustRightInd/>
        <w:snapToGrid/>
        <w:spacing w:line="600" w:lineRule="atLeast"/>
        <w:ind w:firstLine="640" w:firstLineChars="200"/>
        <w:textAlignment w:val="auto"/>
        <w:rPr>
          <w:rFonts w:hint="default" w:ascii="Times New Roman" w:hAnsi="Times New Roman" w:eastAsia="黑体" w:cs="Times New Roman"/>
          <w:b w:val="0"/>
          <w:color w:val="auto"/>
          <w:highlight w:val="none"/>
        </w:rPr>
      </w:pPr>
      <w:r>
        <w:rPr>
          <w:rFonts w:hint="default" w:ascii="Times New Roman" w:hAnsi="Times New Roman" w:eastAsia="仿宋" w:cs="Times New Roman"/>
          <w:b w:val="0"/>
          <w:bCs w:val="0"/>
          <w:color w:val="auto"/>
          <w:kern w:val="2"/>
          <w:sz w:val="32"/>
          <w:szCs w:val="32"/>
          <w:highlight w:val="none"/>
          <w:lang w:val="en-US" w:eastAsia="zh-CN" w:bidi="ar-SA"/>
        </w:rPr>
        <w:t>5.承办中共四川省委与中共中央主管部门或省政府与国务院有关部门交办的其它事项。</w:t>
      </w:r>
    </w:p>
    <w:p w14:paraId="2DFF31D9">
      <w:pPr>
        <w:pStyle w:val="3"/>
        <w:pageBreakBefore w:val="0"/>
        <w:kinsoku/>
        <w:wordWrap/>
        <w:overflowPunct/>
        <w:topLinePunct w:val="0"/>
        <w:autoSpaceDE/>
        <w:autoSpaceDN/>
        <w:bidi w:val="0"/>
        <w:spacing w:before="0" w:after="0" w:line="600" w:lineRule="exact"/>
        <w:ind w:firstLine="640" w:firstLineChars="200"/>
        <w:textAlignment w:val="auto"/>
        <w:rPr>
          <w:rStyle w:val="30"/>
          <w:rFonts w:hint="default" w:ascii="Times New Roman" w:hAnsi="Times New Roman" w:cs="Times New Roman"/>
          <w:b w:val="0"/>
          <w:bCs w:val="0"/>
          <w:color w:val="auto"/>
          <w:highlight w:val="none"/>
        </w:rPr>
      </w:pPr>
      <w:r>
        <w:rPr>
          <w:rFonts w:hint="default" w:ascii="Times New Roman" w:hAnsi="Times New Roman" w:eastAsia="黑体" w:cs="Times New Roman"/>
          <w:b w:val="0"/>
          <w:color w:val="auto"/>
          <w:highlight w:val="none"/>
        </w:rPr>
        <w:t>二、机</w:t>
      </w:r>
      <w:r>
        <w:rPr>
          <w:rStyle w:val="30"/>
          <w:rFonts w:hint="default" w:ascii="Times New Roman" w:hAnsi="Times New Roman" w:eastAsia="黑体" w:cs="Times New Roman"/>
          <w:b w:val="0"/>
          <w:bCs w:val="0"/>
          <w:color w:val="auto"/>
          <w:highlight w:val="none"/>
        </w:rPr>
        <w:t>构设置</w:t>
      </w:r>
      <w:bookmarkEnd w:id="14"/>
      <w:bookmarkEnd w:id="15"/>
    </w:p>
    <w:p w14:paraId="774E2811">
      <w:pPr>
        <w:pageBreakBefore w:val="0"/>
        <w:widowControl/>
        <w:kinsoku/>
        <w:wordWrap/>
        <w:overflowPunct/>
        <w:topLinePunct w:val="0"/>
        <w:autoSpaceDE/>
        <w:autoSpaceDN/>
        <w:bidi w:val="0"/>
        <w:spacing w:line="600" w:lineRule="exact"/>
        <w:ind w:firstLine="640" w:firstLineChars="200"/>
        <w:jc w:val="left"/>
        <w:textAlignment w:val="auto"/>
        <w:rPr>
          <w:rFonts w:hint="default" w:ascii="Times New Roman" w:hAnsi="Times New Roman" w:eastAsia="仿宋" w:cs="Times New Roman"/>
          <w:b w:val="0"/>
          <w:bCs w:val="0"/>
          <w:color w:val="auto"/>
          <w:kern w:val="2"/>
          <w:sz w:val="32"/>
          <w:szCs w:val="32"/>
          <w:highlight w:val="none"/>
          <w:lang w:val="en-US" w:eastAsia="zh-CN" w:bidi="ar-SA"/>
        </w:rPr>
      </w:pPr>
      <w:r>
        <w:rPr>
          <w:rFonts w:hint="default" w:ascii="Times New Roman" w:hAnsi="Times New Roman" w:eastAsia="仿宋" w:cs="Times New Roman"/>
          <w:b w:val="0"/>
          <w:bCs w:val="0"/>
          <w:color w:val="auto"/>
          <w:kern w:val="2"/>
          <w:sz w:val="32"/>
          <w:szCs w:val="32"/>
          <w:highlight w:val="none"/>
          <w:lang w:val="en-US" w:eastAsia="zh-CN" w:bidi="ar-SA"/>
        </w:rPr>
        <w:t>民革四川省委</w:t>
      </w:r>
      <w:r>
        <w:rPr>
          <w:rFonts w:hint="eastAsia" w:ascii="Times New Roman" w:hAnsi="Times New Roman" w:eastAsia="仿宋" w:cs="Times New Roman"/>
          <w:b w:val="0"/>
          <w:bCs w:val="0"/>
          <w:color w:val="auto"/>
          <w:kern w:val="2"/>
          <w:sz w:val="32"/>
          <w:szCs w:val="32"/>
          <w:highlight w:val="none"/>
          <w:lang w:val="en-US" w:eastAsia="zh-CN" w:bidi="ar-SA"/>
        </w:rPr>
        <w:t>会机关</w:t>
      </w:r>
      <w:r>
        <w:rPr>
          <w:rFonts w:hint="default" w:ascii="Times New Roman" w:hAnsi="Times New Roman" w:eastAsia="仿宋" w:cs="Times New Roman"/>
          <w:b w:val="0"/>
          <w:bCs w:val="0"/>
          <w:color w:val="auto"/>
          <w:kern w:val="2"/>
          <w:sz w:val="32"/>
          <w:szCs w:val="32"/>
          <w:highlight w:val="none"/>
          <w:lang w:val="en-US" w:eastAsia="zh-CN" w:bidi="ar-SA"/>
        </w:rPr>
        <w:t>本级由6个职能处室组成，分别是：办公室、组织处、宣传处、社会服务处</w:t>
      </w:r>
      <w:r>
        <w:rPr>
          <w:rFonts w:hint="default" w:ascii="Times New Roman" w:hAnsi="Times New Roman" w:eastAsia="仿宋" w:cs="Times New Roman"/>
          <w:b w:val="0"/>
          <w:bCs w:val="0"/>
          <w:color w:val="auto"/>
          <w:kern w:val="2"/>
          <w:sz w:val="32"/>
          <w:szCs w:val="32"/>
          <w:highlight w:val="none"/>
          <w:lang w:val="en-US" w:eastAsia="zh-CN" w:bidi="ar-SA"/>
        </w:rPr>
        <w:t>、联络处、参政议政处</w:t>
      </w:r>
      <w:r>
        <w:rPr>
          <w:rFonts w:hint="eastAsia" w:ascii="Times New Roman" w:hAnsi="Times New Roman" w:eastAsia="仿宋" w:cs="Times New Roman"/>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br w:type="page"/>
      </w:r>
    </w:p>
    <w:p w14:paraId="1FBFEE91">
      <w:pPr>
        <w:pStyle w:val="2"/>
        <w:pageBreakBefore w:val="0"/>
        <w:widowControl w:val="0"/>
        <w:kinsoku/>
        <w:wordWrap/>
        <w:overflowPunct/>
        <w:topLinePunct w:val="0"/>
        <w:autoSpaceDE/>
        <w:autoSpaceDN/>
        <w:bidi w:val="0"/>
        <w:adjustRightInd/>
        <w:spacing w:before="0" w:after="0" w:line="600" w:lineRule="exact"/>
        <w:ind w:left="0" w:leftChars="0" w:right="0"/>
        <w:jc w:val="center"/>
        <w:textAlignment w:val="auto"/>
        <w:rPr>
          <w:rStyle w:val="29"/>
          <w:rFonts w:ascii="黑体" w:hAnsi="黑体" w:eastAsia="黑体"/>
          <w:b w:val="0"/>
          <w:bCs/>
          <w:color w:val="auto"/>
          <w:highlight w:val="none"/>
        </w:rPr>
      </w:pPr>
      <w:bookmarkStart w:id="16" w:name="_Toc15396602"/>
      <w:bookmarkStart w:id="17"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2024年度</w:t>
      </w:r>
      <w:r>
        <w:rPr>
          <w:rStyle w:val="29"/>
          <w:rFonts w:hint="eastAsia" w:ascii="黑体" w:hAnsi="黑体" w:eastAsia="黑体"/>
          <w:b w:val="0"/>
          <w:bCs/>
          <w:color w:val="auto"/>
          <w:highlight w:val="none"/>
          <w:lang w:val="en-US" w:eastAsia="zh-CN"/>
        </w:rPr>
        <w:t>单位</w:t>
      </w:r>
      <w:r>
        <w:rPr>
          <w:rStyle w:val="29"/>
          <w:rFonts w:hint="eastAsia" w:ascii="黑体" w:hAnsi="黑体" w:eastAsia="黑体"/>
          <w:b w:val="0"/>
          <w:bCs/>
          <w:color w:val="auto"/>
          <w:highlight w:val="none"/>
        </w:rPr>
        <w:t>决算情况说明</w:t>
      </w:r>
      <w:bookmarkEnd w:id="16"/>
      <w:bookmarkEnd w:id="17"/>
    </w:p>
    <w:p w14:paraId="2F08CBCC">
      <w:pPr>
        <w:pageBreakBefore w:val="0"/>
        <w:widowControl w:val="0"/>
        <w:kinsoku/>
        <w:wordWrap/>
        <w:overflowPunct/>
        <w:topLinePunct w:val="0"/>
        <w:autoSpaceDE/>
        <w:autoSpaceDN/>
        <w:bidi w:val="0"/>
        <w:adjustRightInd/>
        <w:spacing w:line="600" w:lineRule="exact"/>
        <w:ind w:left="0" w:leftChars="0" w:right="0"/>
        <w:textAlignment w:val="auto"/>
        <w:rPr>
          <w:color w:val="auto"/>
          <w:highlight w:val="none"/>
        </w:rPr>
      </w:pPr>
    </w:p>
    <w:p w14:paraId="0BFC0D8D">
      <w:pPr>
        <w:pStyle w:val="28"/>
        <w:pageBreakBefore w:val="0"/>
        <w:widowControl w:val="0"/>
        <w:numPr>
          <w:ilvl w:val="0"/>
          <w:numId w:val="0"/>
        </w:numPr>
        <w:kinsoku/>
        <w:wordWrap/>
        <w:overflowPunct/>
        <w:topLinePunct w:val="0"/>
        <w:autoSpaceDE/>
        <w:autoSpaceDN/>
        <w:bidi w:val="0"/>
        <w:adjustRightInd/>
        <w:spacing w:line="600" w:lineRule="exact"/>
        <w:ind w:left="454" w:leftChars="0" w:right="0" w:hanging="454" w:hangingChars="142"/>
        <w:textAlignment w:val="auto"/>
        <w:outlineLvl w:val="1"/>
        <w:rPr>
          <w:rStyle w:val="30"/>
          <w:rFonts w:ascii="黑体" w:hAnsi="黑体" w:eastAsia="黑体"/>
          <w:b w:val="0"/>
          <w:color w:val="auto"/>
          <w:highlight w:val="none"/>
        </w:rPr>
      </w:pPr>
      <w:bookmarkStart w:id="18" w:name="_Toc15396603"/>
      <w:bookmarkStart w:id="19" w:name="_Toc15377205"/>
      <w:r>
        <w:rPr>
          <w:rFonts w:hint="default" w:ascii="黑体" w:hAnsi="黑体" w:eastAsia="黑体" w:cstheme="majorBidi"/>
          <w:b w:val="0"/>
          <w:bCs/>
          <w:color w:val="auto"/>
          <w:kern w:val="2"/>
          <w:sz w:val="32"/>
          <w:szCs w:val="32"/>
          <w:lang w:val="en-US" w:eastAsia="zh-CN" w:bidi="ar-SA"/>
        </w:rPr>
        <w:t>一、</w:t>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14:paraId="0DC66093">
      <w:pPr>
        <w:keepNext w:val="0"/>
        <w:keepLines w:val="0"/>
        <w:pageBreakBefore w:val="0"/>
        <w:widowControl w:val="0"/>
        <w:kinsoku/>
        <w:wordWrap/>
        <w:overflowPunct/>
        <w:topLinePunct w:val="0"/>
        <w:autoSpaceDE/>
        <w:autoSpaceDN/>
        <w:bidi w:val="0"/>
        <w:adjustRightInd/>
        <w:snapToGrid/>
        <w:spacing w:line="560" w:lineRule="exact"/>
        <w:ind w:firstLine="709"/>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年度收、支总计</w:t>
      </w:r>
      <w:r>
        <w:rPr>
          <w:rFonts w:hint="default" w:ascii="Times New Roman" w:hAnsi="Times New Roman" w:eastAsia="仿宋" w:cs="Times New Roman"/>
          <w:color w:val="auto"/>
          <w:sz w:val="32"/>
          <w:szCs w:val="32"/>
          <w:highlight w:val="none"/>
          <w:lang w:eastAsia="zh-CN"/>
        </w:rPr>
        <w:t>均为</w:t>
      </w:r>
      <w:r>
        <w:rPr>
          <w:rFonts w:hint="eastAsia" w:eastAsia="仿宋" w:cs="Times New Roman"/>
          <w:color w:val="auto"/>
          <w:sz w:val="32"/>
          <w:szCs w:val="32"/>
          <w:highlight w:val="none"/>
          <w:lang w:val="en-US" w:eastAsia="zh-CN"/>
        </w:rPr>
        <w:t>1558.12</w:t>
      </w:r>
      <w:r>
        <w:rPr>
          <w:rFonts w:hint="default" w:ascii="Times New Roman" w:hAnsi="Times New Roman" w:eastAsia="仿宋" w:cs="Times New Roman"/>
          <w:color w:val="auto"/>
          <w:sz w:val="32"/>
          <w:szCs w:val="32"/>
          <w:highlight w:val="none"/>
        </w:rPr>
        <w:t>万元。与</w:t>
      </w: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相比，收、支总计各</w:t>
      </w:r>
      <w:r>
        <w:rPr>
          <w:rFonts w:hint="eastAsia" w:eastAsia="仿宋" w:cs="Times New Roman"/>
          <w:color w:val="auto"/>
          <w:sz w:val="32"/>
          <w:szCs w:val="32"/>
          <w:highlight w:val="none"/>
          <w:lang w:val="en-US" w:eastAsia="zh-CN"/>
        </w:rPr>
        <w:t>增加141.26</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val="en-US" w:eastAsia="zh-CN"/>
        </w:rPr>
        <w:t>增长</w:t>
      </w:r>
      <w:r>
        <w:rPr>
          <w:rFonts w:hint="eastAsia" w:ascii="Times New Roman" w:hAnsi="Times New Roman" w:eastAsia="仿宋_GB2312" w:cs="Times New Roman"/>
          <w:kern w:val="2"/>
          <w:sz w:val="32"/>
          <w:szCs w:val="32"/>
          <w:highlight w:val="none"/>
          <w:lang w:val="en-US" w:eastAsia="zh-CN" w:bidi="ar"/>
        </w:rPr>
        <w:t>9.97</w:t>
      </w:r>
      <w:r>
        <w:rPr>
          <w:rFonts w:hint="default" w:ascii="Times New Roman" w:hAnsi="Times New Roman" w:eastAsia="仿宋" w:cs="Times New Roman"/>
          <w:color w:val="auto"/>
          <w:sz w:val="32"/>
          <w:szCs w:val="32"/>
          <w:highlight w:val="none"/>
        </w:rPr>
        <w:t>%。主要变动原因是</w:t>
      </w:r>
      <w:r>
        <w:rPr>
          <w:rFonts w:hint="default" w:ascii="Times New Roman" w:hAnsi="Times New Roman" w:eastAsia="仿宋_GB2312" w:cs="Times New Roman"/>
          <w:kern w:val="2"/>
          <w:sz w:val="32"/>
          <w:szCs w:val="32"/>
          <w:highlight w:val="none"/>
          <w:lang w:val="en-US" w:eastAsia="zh-CN" w:bidi="ar"/>
        </w:rPr>
        <w:t>本年</w:t>
      </w:r>
      <w:r>
        <w:rPr>
          <w:rFonts w:hint="eastAsia" w:ascii="Times New Roman" w:hAnsi="Times New Roman" w:eastAsia="仿宋_GB2312" w:cs="Times New Roman"/>
          <w:kern w:val="2"/>
          <w:sz w:val="32"/>
          <w:szCs w:val="32"/>
          <w:highlight w:val="none"/>
          <w:lang w:val="en-US" w:eastAsia="zh-CN" w:bidi="ar"/>
        </w:rPr>
        <w:t>增加</w:t>
      </w:r>
      <w:r>
        <w:rPr>
          <w:rFonts w:hint="eastAsia" w:ascii="仿宋_GB2312" w:hAnsi="仿宋" w:eastAsia="仿宋_GB2312" w:cs="仿宋"/>
          <w:color w:val="000000"/>
          <w:sz w:val="32"/>
          <w:szCs w:val="32"/>
          <w:lang w:val="en-US" w:eastAsia="zh-CN"/>
        </w:rPr>
        <w:t>承接中央、省委、省政府、省政协重大课题经费、“同心家园”运行保障经费、“重温加入民革承诺 守护民革精神家园”专项活动经费等项目支出。</w:t>
      </w:r>
    </w:p>
    <w:p w14:paraId="044FF208">
      <w:pPr>
        <w:pageBreakBefore w:val="0"/>
        <w:widowControl w:val="0"/>
        <w:kinsoku/>
        <w:wordWrap/>
        <w:overflowPunct/>
        <w:topLinePunct w:val="0"/>
        <w:autoSpaceDE/>
        <w:autoSpaceDN/>
        <w:bidi w:val="0"/>
        <w:adjustRightInd/>
        <w:spacing w:line="600" w:lineRule="exact"/>
        <w:ind w:left="0" w:leftChars="0" w:right="0"/>
        <w:jc w:val="center"/>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54E7EF41">
      <w:pPr>
        <w:pageBreakBefore w:val="0"/>
        <w:widowControl w:val="0"/>
        <w:kinsoku/>
        <w:wordWrap/>
        <w:overflowPunct/>
        <w:topLinePunct w:val="0"/>
        <w:autoSpaceDE/>
        <w:autoSpaceDN/>
        <w:bidi w:val="0"/>
        <w:adjustRightInd/>
        <w:spacing w:line="600" w:lineRule="exact"/>
        <w:ind w:left="0" w:leftChars="0" w:right="0"/>
        <w:jc w:val="center"/>
        <w:textAlignment w:val="auto"/>
        <w:rPr>
          <w:rFonts w:hint="eastAsia"/>
          <w:sz w:val="21"/>
          <w:szCs w:val="21"/>
        </w:rPr>
      </w:pPr>
      <w:r>
        <w:rPr>
          <w:rFonts w:hint="eastAsia" w:ascii="仿宋" w:hAnsi="仿宋" w:eastAsia="仿宋"/>
          <w:color w:val="auto"/>
          <w:sz w:val="28"/>
          <w:szCs w:val="28"/>
          <w:highlight w:val="none"/>
          <w:lang w:val="en-US" w:eastAsia="zh-CN"/>
        </w:rPr>
        <w:t xml:space="preserve">       </w:t>
      </w:r>
      <w:r>
        <w:rPr>
          <w:rFonts w:hint="eastAsia" w:ascii="仿宋" w:hAnsi="仿宋" w:eastAsia="仿宋"/>
          <w:color w:val="auto"/>
          <w:sz w:val="21"/>
          <w:szCs w:val="21"/>
          <w:highlight w:val="none"/>
          <w:lang w:val="en-US" w:eastAsia="zh-CN"/>
        </w:rPr>
        <w:t xml:space="preserve">                                               单位：万元</w:t>
      </w:r>
    </w:p>
    <w:p w14:paraId="769AAAC3">
      <w:pPr>
        <w:keepNext w:val="0"/>
        <w:keepLines w:val="0"/>
        <w:pageBreakBefore w:val="0"/>
        <w:widowControl w:val="0"/>
        <w:kinsoku/>
        <w:wordWrap/>
        <w:overflowPunct/>
        <w:topLinePunct w:val="0"/>
        <w:autoSpaceDE/>
        <w:autoSpaceDN/>
        <w:bidi w:val="0"/>
        <w:adjustRightInd/>
        <w:snapToGrid/>
        <w:spacing w:line="720" w:lineRule="auto"/>
        <w:ind w:firstLine="420" w:firstLineChars="200"/>
        <w:jc w:val="left"/>
        <w:textAlignment w:val="auto"/>
        <w:rPr>
          <w:rFonts w:hint="eastAsia" w:ascii="仿宋_GB2312" w:eastAsia="仿宋_GB2312"/>
          <w:color w:val="auto"/>
          <w:sz w:val="32"/>
          <w:szCs w:val="32"/>
          <w:highlight w:val="none"/>
          <w:lang w:eastAsia="zh-CN"/>
        </w:rPr>
      </w:pPr>
      <w:r>
        <w:drawing>
          <wp:anchor distT="0" distB="0" distL="114300" distR="114300" simplePos="0" relativeHeight="251659264" behindDoc="0" locked="0" layoutInCell="1" allowOverlap="1">
            <wp:simplePos x="0" y="0"/>
            <wp:positionH relativeFrom="column">
              <wp:posOffset>76200</wp:posOffset>
            </wp:positionH>
            <wp:positionV relativeFrom="paragraph">
              <wp:posOffset>47625</wp:posOffset>
            </wp:positionV>
            <wp:extent cx="4906645" cy="1997710"/>
            <wp:effectExtent l="4445" t="4445" r="22860" b="1714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280B36B9">
      <w:pPr>
        <w:pStyle w:val="8"/>
        <w:rPr>
          <w:rFonts w:hint="eastAsia" w:ascii="仿宋_GB2312" w:eastAsia="仿宋_GB2312"/>
          <w:color w:val="auto"/>
          <w:sz w:val="32"/>
          <w:szCs w:val="32"/>
          <w:highlight w:val="none"/>
          <w:lang w:eastAsia="zh-CN"/>
        </w:rPr>
      </w:pPr>
    </w:p>
    <w:p w14:paraId="0CD174B0">
      <w:pPr>
        <w:pStyle w:val="28"/>
        <w:numPr>
          <w:ilvl w:val="0"/>
          <w:numId w:val="0"/>
        </w:numPr>
        <w:tabs>
          <w:tab w:val="left" w:pos="231"/>
        </w:tabs>
        <w:spacing w:line="600" w:lineRule="exact"/>
        <w:outlineLvl w:val="1"/>
        <w:rPr>
          <w:rFonts w:hint="eastAsia" w:ascii="黑体" w:hAnsi="黑体" w:eastAsia="黑体"/>
          <w:color w:val="auto"/>
          <w:sz w:val="32"/>
          <w:szCs w:val="32"/>
          <w:highlight w:val="none"/>
        </w:rPr>
      </w:pPr>
      <w:bookmarkStart w:id="20" w:name="_Toc15396604"/>
      <w:bookmarkStart w:id="21" w:name="_Toc15377206"/>
    </w:p>
    <w:p w14:paraId="1C87AA84">
      <w:pPr>
        <w:pStyle w:val="28"/>
        <w:numPr>
          <w:ilvl w:val="0"/>
          <w:numId w:val="0"/>
        </w:numPr>
        <w:tabs>
          <w:tab w:val="left" w:pos="231"/>
        </w:tabs>
        <w:spacing w:line="600" w:lineRule="exact"/>
        <w:outlineLvl w:val="1"/>
        <w:rPr>
          <w:rFonts w:hint="eastAsia" w:ascii="黑体" w:hAnsi="黑体" w:eastAsia="黑体"/>
          <w:color w:val="auto"/>
          <w:sz w:val="32"/>
          <w:szCs w:val="32"/>
          <w:highlight w:val="none"/>
        </w:rPr>
      </w:pPr>
    </w:p>
    <w:p w14:paraId="694FC792">
      <w:pPr>
        <w:pStyle w:val="28"/>
        <w:numPr>
          <w:ilvl w:val="0"/>
          <w:numId w:val="0"/>
        </w:numPr>
        <w:tabs>
          <w:tab w:val="left" w:pos="231"/>
        </w:tabs>
        <w:spacing w:line="600" w:lineRule="exact"/>
        <w:outlineLvl w:val="1"/>
        <w:rPr>
          <w:rFonts w:hint="eastAsia" w:ascii="黑体" w:hAnsi="黑体" w:eastAsia="黑体"/>
          <w:color w:val="auto"/>
          <w:sz w:val="32"/>
          <w:szCs w:val="32"/>
          <w:highlight w:val="none"/>
        </w:rPr>
      </w:pPr>
    </w:p>
    <w:p w14:paraId="05213A5A">
      <w:pPr>
        <w:pStyle w:val="28"/>
        <w:keepNext w:val="0"/>
        <w:keepLines w:val="0"/>
        <w:pageBreakBefore w:val="0"/>
        <w:widowControl w:val="0"/>
        <w:numPr>
          <w:ilvl w:val="0"/>
          <w:numId w:val="0"/>
        </w:numPr>
        <w:tabs>
          <w:tab w:val="left" w:pos="231"/>
        </w:tabs>
        <w:kinsoku/>
        <w:wordWrap/>
        <w:overflowPunct/>
        <w:topLinePunct w:val="0"/>
        <w:autoSpaceDE/>
        <w:autoSpaceDN/>
        <w:bidi w:val="0"/>
        <w:adjustRightInd/>
        <w:snapToGrid/>
        <w:spacing w:line="600" w:lineRule="exact"/>
        <w:ind w:firstLine="640" w:firstLineChars="200"/>
        <w:textAlignment w:val="auto"/>
        <w:outlineLvl w:val="1"/>
        <w:rPr>
          <w:rStyle w:val="30"/>
          <w:rFonts w:ascii="黑体" w:hAnsi="黑体" w:eastAsia="黑体"/>
          <w:b w:val="0"/>
          <w:color w:val="auto"/>
          <w:highlight w:val="none"/>
        </w:rPr>
      </w:pPr>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14:paraId="3754CC55">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本年收入合计</w:t>
      </w:r>
      <w:r>
        <w:rPr>
          <w:rFonts w:hint="eastAsia" w:eastAsia="仿宋" w:cs="Times New Roman"/>
          <w:color w:val="auto"/>
          <w:sz w:val="32"/>
          <w:szCs w:val="32"/>
          <w:highlight w:val="none"/>
          <w:lang w:val="en-US" w:eastAsia="zh-CN"/>
        </w:rPr>
        <w:t>1558.12</w:t>
      </w:r>
      <w:r>
        <w:rPr>
          <w:rFonts w:hint="default" w:ascii="Times New Roman" w:hAnsi="Times New Roman" w:eastAsia="仿宋" w:cs="Times New Roman"/>
          <w:color w:val="auto"/>
          <w:sz w:val="32"/>
          <w:szCs w:val="32"/>
          <w:highlight w:val="none"/>
        </w:rPr>
        <w:t>万元，其中：一般公共预算财政拨款收入</w:t>
      </w:r>
      <w:r>
        <w:rPr>
          <w:rFonts w:hint="eastAsia" w:eastAsia="仿宋" w:cs="Times New Roman"/>
          <w:color w:val="auto"/>
          <w:sz w:val="32"/>
          <w:szCs w:val="32"/>
          <w:highlight w:val="none"/>
          <w:lang w:val="en-US" w:eastAsia="zh-CN"/>
        </w:rPr>
        <w:t>1558.12</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w:t>
      </w:r>
    </w:p>
    <w:p w14:paraId="146E2E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0D0EA26A">
      <w:pPr>
        <w:keepNext w:val="0"/>
        <w:keepLines w:val="0"/>
        <w:pageBreakBefore w:val="0"/>
        <w:widowControl w:val="0"/>
        <w:kinsoku/>
        <w:wordWrap/>
        <w:overflowPunct/>
        <w:topLinePunct w:val="0"/>
        <w:autoSpaceDE/>
        <w:autoSpaceDN/>
        <w:bidi w:val="0"/>
        <w:adjustRightInd/>
        <w:snapToGrid/>
        <w:spacing w:line="720" w:lineRule="auto"/>
        <w:ind w:leftChars="0" w:firstLine="420" w:firstLineChars="200"/>
        <w:textAlignment w:val="auto"/>
        <w:rPr>
          <w:rFonts w:ascii="仿宋_GB2312" w:eastAsia="仿宋_GB2312"/>
          <w:color w:val="auto"/>
          <w:sz w:val="32"/>
          <w:szCs w:val="32"/>
          <w:highlight w:val="none"/>
        </w:rPr>
      </w:pPr>
      <w:r>
        <w:drawing>
          <wp:anchor distT="0" distB="0" distL="114300" distR="114300" simplePos="0" relativeHeight="251660288" behindDoc="0" locked="0" layoutInCell="1" allowOverlap="1">
            <wp:simplePos x="0" y="0"/>
            <wp:positionH relativeFrom="column">
              <wp:posOffset>523875</wp:posOffset>
            </wp:positionH>
            <wp:positionV relativeFrom="paragraph">
              <wp:posOffset>135255</wp:posOffset>
            </wp:positionV>
            <wp:extent cx="4165600" cy="1843405"/>
            <wp:effectExtent l="4445" t="4445" r="20955" b="1905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3B931B6F">
      <w:pPr>
        <w:keepNext w:val="0"/>
        <w:keepLines w:val="0"/>
        <w:pageBreakBefore w:val="0"/>
        <w:widowControl w:val="0"/>
        <w:kinsoku/>
        <w:wordWrap/>
        <w:overflowPunct/>
        <w:topLinePunct w:val="0"/>
        <w:autoSpaceDE/>
        <w:autoSpaceDN/>
        <w:bidi w:val="0"/>
        <w:adjustRightInd/>
        <w:snapToGrid/>
        <w:spacing w:line="720" w:lineRule="auto"/>
        <w:ind w:leftChars="0" w:firstLine="640" w:firstLineChars="200"/>
        <w:textAlignment w:val="auto"/>
        <w:rPr>
          <w:rFonts w:ascii="仿宋_GB2312" w:eastAsia="仿宋_GB2312"/>
          <w:color w:val="auto"/>
          <w:sz w:val="32"/>
          <w:szCs w:val="32"/>
          <w:highlight w:val="none"/>
        </w:rPr>
      </w:pPr>
    </w:p>
    <w:p w14:paraId="5987990F">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 w:hAnsi="仿宋" w:eastAsia="仿宋"/>
          <w:color w:val="auto"/>
          <w:sz w:val="32"/>
          <w:szCs w:val="32"/>
          <w:highlight w:val="none"/>
          <w:lang w:eastAsia="zh-CN"/>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14:paraId="0A6F6E2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ascii="仿宋" w:hAnsi="仿宋" w:eastAsia="仿宋"/>
          <w:color w:val="auto"/>
          <w:sz w:val="32"/>
          <w:szCs w:val="32"/>
          <w:highlight w:val="none"/>
        </w:rPr>
      </w:pPr>
      <w:r>
        <w:rPr>
          <w:rFonts w:hint="eastAsia" w:ascii="Times New Roman" w:hAnsi="Times New Roman" w:eastAsia="仿宋_GB2312" w:cs="Times New Roman"/>
          <w:kern w:val="2"/>
          <w:sz w:val="32"/>
          <w:szCs w:val="32"/>
          <w:highlight w:val="none"/>
          <w:lang w:val="en-US" w:eastAsia="zh-CN" w:bidi="ar"/>
        </w:rPr>
        <w:t>202</w:t>
      </w:r>
      <w:r>
        <w:rPr>
          <w:rFonts w:hint="eastAsia" w:eastAsia="仿宋_GB2312" w:cs="Times New Roman"/>
          <w:kern w:val="2"/>
          <w:sz w:val="32"/>
          <w:szCs w:val="32"/>
          <w:highlight w:val="none"/>
          <w:lang w:val="en-US" w:eastAsia="zh-CN" w:bidi="ar"/>
        </w:rPr>
        <w:t>4</w:t>
      </w:r>
      <w:r>
        <w:rPr>
          <w:rFonts w:hint="eastAsia" w:ascii="Times New Roman" w:hAnsi="Times New Roman" w:eastAsia="仿宋_GB2312" w:cs="Times New Roman"/>
          <w:kern w:val="2"/>
          <w:sz w:val="32"/>
          <w:szCs w:val="32"/>
          <w:highlight w:val="none"/>
          <w:lang w:val="en-US" w:eastAsia="zh-CN" w:bidi="ar"/>
        </w:rPr>
        <w:t>年度本年支出合计</w:t>
      </w:r>
      <w:r>
        <w:rPr>
          <w:rFonts w:hint="eastAsia" w:eastAsia="仿宋_GB2312" w:cs="Times New Roman"/>
          <w:kern w:val="2"/>
          <w:sz w:val="32"/>
          <w:szCs w:val="32"/>
          <w:highlight w:val="none"/>
          <w:lang w:val="en-US" w:eastAsia="zh-CN" w:bidi="ar"/>
        </w:rPr>
        <w:t>1558.12</w:t>
      </w:r>
      <w:r>
        <w:rPr>
          <w:rFonts w:hint="eastAsia" w:ascii="Times New Roman" w:hAnsi="Times New Roman" w:eastAsia="仿宋_GB2312" w:cs="Times New Roman"/>
          <w:kern w:val="2"/>
          <w:sz w:val="32"/>
          <w:szCs w:val="32"/>
          <w:highlight w:val="none"/>
          <w:lang w:val="en-US" w:eastAsia="zh-CN" w:bidi="ar"/>
        </w:rPr>
        <w:t>万元，其中：基本支出</w:t>
      </w:r>
      <w:r>
        <w:rPr>
          <w:rFonts w:hint="eastAsia" w:eastAsia="仿宋_GB2312" w:cs="Times New Roman"/>
          <w:kern w:val="2"/>
          <w:sz w:val="32"/>
          <w:szCs w:val="32"/>
          <w:highlight w:val="none"/>
          <w:lang w:val="en-US" w:eastAsia="zh-CN" w:bidi="ar"/>
        </w:rPr>
        <w:t>1274.25</w:t>
      </w:r>
      <w:r>
        <w:rPr>
          <w:rFonts w:hint="eastAsia" w:ascii="Times New Roman" w:hAnsi="Times New Roman" w:eastAsia="仿宋_GB2312" w:cs="Times New Roman"/>
          <w:kern w:val="2"/>
          <w:sz w:val="32"/>
          <w:szCs w:val="32"/>
          <w:highlight w:val="none"/>
          <w:lang w:val="en-US" w:eastAsia="zh-CN" w:bidi="ar"/>
        </w:rPr>
        <w:t>万元，占</w:t>
      </w:r>
      <w:r>
        <w:rPr>
          <w:rFonts w:hint="eastAsia" w:eastAsia="仿宋_GB2312" w:cs="Times New Roman"/>
          <w:kern w:val="2"/>
          <w:sz w:val="32"/>
          <w:szCs w:val="32"/>
          <w:highlight w:val="none"/>
          <w:lang w:val="en-US" w:eastAsia="zh-CN" w:bidi="ar"/>
        </w:rPr>
        <w:t>81.8</w:t>
      </w:r>
      <w:r>
        <w:rPr>
          <w:rFonts w:hint="eastAsia" w:ascii="Times New Roman" w:hAnsi="Times New Roman" w:eastAsia="仿宋_GB2312" w:cs="Times New Roman"/>
          <w:kern w:val="2"/>
          <w:sz w:val="32"/>
          <w:szCs w:val="32"/>
          <w:highlight w:val="none"/>
          <w:lang w:val="en-US" w:eastAsia="zh-CN" w:bidi="ar"/>
        </w:rPr>
        <w:t>%；项目支出</w:t>
      </w:r>
      <w:r>
        <w:rPr>
          <w:rFonts w:hint="eastAsia" w:eastAsia="仿宋_GB2312" w:cs="Times New Roman"/>
          <w:kern w:val="2"/>
          <w:sz w:val="32"/>
          <w:szCs w:val="32"/>
          <w:highlight w:val="none"/>
          <w:lang w:val="en-US" w:eastAsia="zh-CN" w:bidi="ar"/>
        </w:rPr>
        <w:t>283.86</w:t>
      </w:r>
      <w:r>
        <w:rPr>
          <w:rFonts w:hint="eastAsia" w:ascii="Times New Roman" w:hAnsi="Times New Roman" w:eastAsia="仿宋_GB2312" w:cs="Times New Roman"/>
          <w:kern w:val="2"/>
          <w:sz w:val="32"/>
          <w:szCs w:val="32"/>
          <w:highlight w:val="none"/>
          <w:lang w:val="en-US" w:eastAsia="zh-CN" w:bidi="ar"/>
        </w:rPr>
        <w:t>万元，占</w:t>
      </w:r>
      <w:r>
        <w:rPr>
          <w:rFonts w:hint="eastAsia" w:eastAsia="仿宋_GB2312" w:cs="Times New Roman"/>
          <w:kern w:val="2"/>
          <w:sz w:val="32"/>
          <w:szCs w:val="32"/>
          <w:highlight w:val="none"/>
          <w:lang w:val="en-US" w:eastAsia="zh-CN" w:bidi="ar"/>
        </w:rPr>
        <w:t>18.2</w:t>
      </w:r>
      <w:r>
        <w:rPr>
          <w:rFonts w:hint="default" w:ascii="Times New Roman" w:hAnsi="Times New Roman" w:eastAsia="仿宋_GB2312" w:cs="Times New Roman"/>
          <w:kern w:val="2"/>
          <w:sz w:val="32"/>
          <w:szCs w:val="32"/>
          <w:highlight w:val="none"/>
          <w:lang w:val="en-US" w:eastAsia="zh-CN" w:bidi="ar"/>
        </w:rPr>
        <w:t>%</w:t>
      </w:r>
      <w:r>
        <w:rPr>
          <w:rFonts w:hint="eastAsia" w:ascii="仿宋" w:hAnsi="仿宋" w:eastAsia="仿宋"/>
          <w:color w:val="auto"/>
          <w:sz w:val="32"/>
          <w:szCs w:val="32"/>
          <w:highlight w:val="none"/>
        </w:rPr>
        <w:t>。</w:t>
      </w:r>
    </w:p>
    <w:p w14:paraId="05B5ED0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3108AACC">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ascii="仿宋_GB2312" w:eastAsia="仿宋_GB2312"/>
          <w:color w:val="auto"/>
          <w:sz w:val="32"/>
          <w:szCs w:val="32"/>
          <w:highlight w:val="none"/>
        </w:rPr>
      </w:pPr>
      <w:r>
        <w:rPr>
          <w:rFonts w:eastAsia="仿宋_GB2312"/>
          <w:color w:val="000000"/>
          <w:sz w:val="32"/>
          <w:szCs w:val="32"/>
        </w:rPr>
        <w:drawing>
          <wp:anchor distT="0" distB="0" distL="114300" distR="114300" simplePos="0" relativeHeight="251661312" behindDoc="0" locked="0" layoutInCell="1" allowOverlap="1">
            <wp:simplePos x="0" y="0"/>
            <wp:positionH relativeFrom="column">
              <wp:posOffset>933450</wp:posOffset>
            </wp:positionH>
            <wp:positionV relativeFrom="paragraph">
              <wp:posOffset>85725</wp:posOffset>
            </wp:positionV>
            <wp:extent cx="3505200" cy="2078355"/>
            <wp:effectExtent l="4445" t="4445" r="14605" b="1270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51A3DA2E">
      <w:pPr>
        <w:pStyle w:val="8"/>
        <w:rPr>
          <w:rFonts w:ascii="仿宋_GB2312" w:eastAsia="仿宋_GB2312"/>
          <w:color w:val="auto"/>
          <w:sz w:val="32"/>
          <w:szCs w:val="32"/>
          <w:highlight w:val="none"/>
        </w:rPr>
      </w:pPr>
    </w:p>
    <w:p w14:paraId="2CD61A69">
      <w:pPr>
        <w:spacing w:line="600" w:lineRule="exact"/>
        <w:ind w:firstLine="640" w:firstLineChars="200"/>
        <w:outlineLvl w:val="1"/>
        <w:rPr>
          <w:rFonts w:hint="eastAsia" w:ascii="黑体" w:hAnsi="黑体" w:eastAsia="黑体"/>
          <w:color w:val="auto"/>
          <w:sz w:val="32"/>
          <w:szCs w:val="32"/>
          <w:highlight w:val="none"/>
        </w:rPr>
      </w:pPr>
      <w:bookmarkStart w:id="24" w:name="_Toc15377208"/>
      <w:bookmarkStart w:id="25" w:name="_Toc15396606"/>
    </w:p>
    <w:p w14:paraId="7FE30020">
      <w:pPr>
        <w:spacing w:line="600" w:lineRule="exact"/>
        <w:ind w:firstLine="640" w:firstLineChars="200"/>
        <w:outlineLvl w:val="1"/>
        <w:rPr>
          <w:rFonts w:hint="eastAsia" w:ascii="黑体" w:hAnsi="黑体" w:eastAsia="黑体"/>
          <w:color w:val="auto"/>
          <w:sz w:val="32"/>
          <w:szCs w:val="32"/>
          <w:highlight w:val="none"/>
        </w:rPr>
      </w:pPr>
    </w:p>
    <w:p w14:paraId="2791ECFA">
      <w:pPr>
        <w:pStyle w:val="8"/>
        <w:ind w:left="0" w:leftChars="0" w:firstLine="0" w:firstLineChars="0"/>
        <w:rPr>
          <w:rFonts w:hint="eastAsia" w:ascii="黑体" w:hAnsi="黑体" w:eastAsia="黑体"/>
          <w:color w:val="auto"/>
          <w:sz w:val="32"/>
          <w:szCs w:val="32"/>
          <w:highlight w:val="none"/>
        </w:rPr>
      </w:pPr>
    </w:p>
    <w:p w14:paraId="3E8B67C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1"/>
        <w:rPr>
          <w:rStyle w:val="30"/>
          <w:rFonts w:ascii="黑体" w:hAnsi="黑体" w:eastAsia="黑体"/>
          <w:b w:val="0"/>
          <w:color w:val="auto"/>
          <w:highlight w:val="none"/>
        </w:rPr>
      </w:pP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14:paraId="1CB15EEB">
      <w:pPr>
        <w:keepNext w:val="0"/>
        <w:keepLines w:val="0"/>
        <w:pageBreakBefore w:val="0"/>
        <w:widowControl w:val="0"/>
        <w:kinsoku/>
        <w:wordWrap/>
        <w:overflowPunct/>
        <w:topLinePunct w:val="0"/>
        <w:autoSpaceDE/>
        <w:autoSpaceDN/>
        <w:bidi w:val="0"/>
        <w:adjustRightInd/>
        <w:snapToGrid/>
        <w:spacing w:line="560" w:lineRule="exact"/>
        <w:ind w:firstLine="709"/>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财政拨款收、支总计</w:t>
      </w:r>
      <w:r>
        <w:rPr>
          <w:rFonts w:hint="default" w:ascii="Times New Roman" w:hAnsi="Times New Roman" w:eastAsia="仿宋" w:cs="Times New Roman"/>
          <w:color w:val="auto"/>
          <w:sz w:val="32"/>
          <w:szCs w:val="32"/>
          <w:highlight w:val="none"/>
          <w:lang w:eastAsia="zh-CN"/>
        </w:rPr>
        <w:t>均为</w:t>
      </w:r>
      <w:r>
        <w:rPr>
          <w:rFonts w:hint="eastAsia" w:eastAsia="仿宋" w:cs="Times New Roman"/>
          <w:color w:val="auto"/>
          <w:sz w:val="32"/>
          <w:szCs w:val="32"/>
          <w:highlight w:val="none"/>
          <w:lang w:val="en-US" w:eastAsia="zh-CN"/>
        </w:rPr>
        <w:t>1558.12</w:t>
      </w:r>
      <w:r>
        <w:rPr>
          <w:rFonts w:hint="default" w:ascii="Times New Roman" w:hAnsi="Times New Roman" w:eastAsia="仿宋" w:cs="Times New Roman"/>
          <w:color w:val="auto"/>
          <w:sz w:val="32"/>
          <w:szCs w:val="32"/>
          <w:highlight w:val="none"/>
        </w:rPr>
        <w:t>万元。与</w:t>
      </w: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相比，财政拨款收、支总计各</w:t>
      </w:r>
      <w:r>
        <w:rPr>
          <w:rFonts w:hint="eastAsia" w:eastAsia="仿宋" w:cs="Times New Roman"/>
          <w:color w:val="auto"/>
          <w:sz w:val="32"/>
          <w:szCs w:val="32"/>
          <w:highlight w:val="none"/>
          <w:lang w:val="en-US" w:eastAsia="zh-CN"/>
        </w:rPr>
        <w:t>增加</w:t>
      </w:r>
      <w:r>
        <w:rPr>
          <w:rFonts w:hint="eastAsia" w:ascii="Times New Roman" w:hAnsi="Times New Roman" w:eastAsia="仿宋_GB2312" w:cs="Times New Roman"/>
          <w:kern w:val="2"/>
          <w:sz w:val="32"/>
          <w:szCs w:val="32"/>
          <w:highlight w:val="none"/>
          <w:lang w:val="en-US" w:eastAsia="zh-CN" w:bidi="ar"/>
        </w:rPr>
        <w:t>141.26</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val="en-US" w:eastAsia="zh-CN"/>
        </w:rPr>
        <w:t>增长9.97</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。主要变动原因是</w:t>
      </w:r>
      <w:r>
        <w:rPr>
          <w:rFonts w:hint="default" w:ascii="Times New Roman" w:hAnsi="Times New Roman" w:eastAsia="仿宋_GB2312" w:cs="Times New Roman"/>
          <w:kern w:val="2"/>
          <w:sz w:val="32"/>
          <w:szCs w:val="32"/>
          <w:highlight w:val="none"/>
          <w:lang w:val="en-US" w:eastAsia="zh-CN" w:bidi="ar"/>
        </w:rPr>
        <w:t>本年</w:t>
      </w:r>
      <w:r>
        <w:rPr>
          <w:rFonts w:hint="eastAsia" w:ascii="Times New Roman" w:hAnsi="Times New Roman" w:eastAsia="仿宋_GB2312" w:cs="Times New Roman"/>
          <w:kern w:val="2"/>
          <w:sz w:val="32"/>
          <w:szCs w:val="32"/>
          <w:highlight w:val="none"/>
          <w:lang w:val="en-US" w:eastAsia="zh-CN" w:bidi="ar"/>
        </w:rPr>
        <w:t>增加</w:t>
      </w:r>
      <w:r>
        <w:rPr>
          <w:rFonts w:hint="eastAsia" w:ascii="仿宋_GB2312" w:hAnsi="仿宋" w:eastAsia="仿宋_GB2312" w:cs="仿宋"/>
          <w:color w:val="000000"/>
          <w:sz w:val="32"/>
          <w:szCs w:val="32"/>
          <w:lang w:val="en-US" w:eastAsia="zh-CN"/>
        </w:rPr>
        <w:t>承接中央、省委、省政府、省政协重大课题经费、“同心家园”运行保障经费、“重温加入民革承诺 守护民革精神家园”专项活动经费等项目支出。</w:t>
      </w:r>
    </w:p>
    <w:p w14:paraId="1ADBDDA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图4：财政拨款收、支决算总计变动情况</w:t>
      </w:r>
    </w:p>
    <w:p w14:paraId="512FA67B">
      <w:pPr>
        <w:keepNext w:val="0"/>
        <w:keepLines w:val="0"/>
        <w:pageBreakBefore w:val="0"/>
        <w:widowControl w:val="0"/>
        <w:kinsoku/>
        <w:wordWrap/>
        <w:overflowPunct/>
        <w:topLinePunct w:val="0"/>
        <w:autoSpaceDE/>
        <w:autoSpaceDN/>
        <w:bidi w:val="0"/>
        <w:adjustRightInd/>
        <w:snapToGrid/>
        <w:spacing w:line="600" w:lineRule="exact"/>
        <w:ind w:left="0" w:leftChars="0" w:firstLine="6720" w:firstLineChars="3200"/>
        <w:textAlignment w:val="auto"/>
        <w:rPr>
          <w:rFonts w:ascii="仿宋" w:hAnsi="仿宋" w:eastAsia="仿宋"/>
          <w:color w:val="auto"/>
          <w:sz w:val="32"/>
          <w:szCs w:val="32"/>
          <w:highlight w:val="none"/>
        </w:rPr>
      </w:pPr>
      <w:r>
        <w:rPr>
          <w:rFonts w:hint="eastAsia" w:ascii="仿宋" w:hAnsi="仿宋" w:eastAsia="仿宋"/>
          <w:color w:val="auto"/>
          <w:sz w:val="21"/>
          <w:szCs w:val="21"/>
          <w:highlight w:val="none"/>
          <w:lang w:val="en-US" w:eastAsia="zh-CN"/>
        </w:rPr>
        <w:t>单位：万元</w:t>
      </w:r>
    </w:p>
    <w:p w14:paraId="1971F9AA">
      <w:pPr>
        <w:pStyle w:val="8"/>
      </w:pPr>
      <w:r>
        <w:drawing>
          <wp:anchor distT="0" distB="0" distL="114300" distR="114300" simplePos="0" relativeHeight="251662336" behindDoc="0" locked="0" layoutInCell="1" allowOverlap="1">
            <wp:simplePos x="0" y="0"/>
            <wp:positionH relativeFrom="column">
              <wp:posOffset>266700</wp:posOffset>
            </wp:positionH>
            <wp:positionV relativeFrom="paragraph">
              <wp:posOffset>80010</wp:posOffset>
            </wp:positionV>
            <wp:extent cx="4838065" cy="1901825"/>
            <wp:effectExtent l="4445" t="4445" r="15240" b="17780"/>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470952A8">
      <w:pPr>
        <w:spacing w:line="600" w:lineRule="exact"/>
        <w:ind w:firstLine="640" w:firstLineChars="200"/>
        <w:outlineLvl w:val="1"/>
        <w:rPr>
          <w:rFonts w:hint="eastAsia" w:ascii="黑体" w:hAnsi="黑体" w:eastAsia="黑体"/>
          <w:color w:val="auto"/>
          <w:sz w:val="32"/>
          <w:szCs w:val="32"/>
          <w:highlight w:val="none"/>
        </w:rPr>
      </w:pPr>
      <w:bookmarkStart w:id="26" w:name="_Toc15377209"/>
      <w:bookmarkStart w:id="27" w:name="_Toc15396607"/>
    </w:p>
    <w:p w14:paraId="5FBE3D1C">
      <w:pPr>
        <w:tabs>
          <w:tab w:val="left" w:pos="801"/>
        </w:tabs>
        <w:bidi w:val="0"/>
        <w:ind w:left="8300" w:leftChars="3800" w:hanging="320" w:hangingChars="100"/>
        <w:jc w:val="left"/>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14:paraId="1204B8C8">
      <w:pPr>
        <w:tabs>
          <w:tab w:val="left" w:pos="801"/>
        </w:tabs>
        <w:bidi w:val="0"/>
        <w:ind w:left="8300" w:leftChars="3800" w:hanging="320" w:hangingChars="100"/>
        <w:jc w:val="left"/>
        <w:rPr>
          <w:rFonts w:hint="eastAsia" w:ascii="黑体" w:hAnsi="黑体" w:eastAsia="黑体"/>
          <w:color w:val="auto"/>
          <w:sz w:val="32"/>
          <w:szCs w:val="32"/>
          <w:highlight w:val="none"/>
          <w:lang w:val="en-US" w:eastAsia="zh-CN"/>
        </w:rPr>
      </w:pPr>
    </w:p>
    <w:p w14:paraId="5963B74D">
      <w:pPr>
        <w:keepNext w:val="0"/>
        <w:keepLines w:val="0"/>
        <w:pageBreakBefore w:val="0"/>
        <w:widowControl w:val="0"/>
        <w:tabs>
          <w:tab w:val="left" w:pos="801"/>
        </w:tabs>
        <w:kinsoku/>
        <w:wordWrap/>
        <w:overflowPunct/>
        <w:topLinePunct w:val="0"/>
        <w:autoSpaceDE/>
        <w:autoSpaceDN/>
        <w:bidi w:val="0"/>
        <w:adjustRightInd/>
        <w:snapToGrid/>
        <w:spacing w:line="600" w:lineRule="exact"/>
        <w:ind w:firstLine="640" w:firstLineChars="200"/>
        <w:jc w:val="left"/>
        <w:textAlignment w:val="auto"/>
        <w:rPr>
          <w:rStyle w:val="30"/>
          <w:rFonts w:ascii="黑体" w:hAnsi="黑体" w:eastAsia="黑体"/>
          <w:b w:val="0"/>
          <w:color w:val="auto"/>
          <w:highlight w:val="none"/>
        </w:rPr>
      </w:pPr>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14:paraId="0FE6976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14:paraId="07A69861">
      <w:pPr>
        <w:keepNext w:val="0"/>
        <w:keepLines w:val="0"/>
        <w:pageBreakBefore w:val="0"/>
        <w:widowControl w:val="0"/>
        <w:kinsoku/>
        <w:wordWrap/>
        <w:overflowPunct/>
        <w:topLinePunct w:val="0"/>
        <w:autoSpaceDE/>
        <w:autoSpaceDN/>
        <w:bidi w:val="0"/>
        <w:adjustRightInd/>
        <w:snapToGrid/>
        <w:spacing w:line="560" w:lineRule="exact"/>
        <w:ind w:firstLine="709"/>
        <w:textAlignment w:val="auto"/>
        <w:rPr>
          <w:rFonts w:hint="default" w:ascii="Times New Roman" w:hAnsi="Times New Roman" w:eastAsia="宋体" w:cs="Times New Roman"/>
          <w:lang w:val="en-US" w:eastAsia="zh-CN"/>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一般公共预算财政拨款支出</w:t>
      </w:r>
      <w:r>
        <w:rPr>
          <w:rFonts w:hint="eastAsia" w:eastAsia="仿宋" w:cs="Times New Roman"/>
          <w:color w:val="auto"/>
          <w:sz w:val="32"/>
          <w:szCs w:val="32"/>
          <w:highlight w:val="none"/>
          <w:lang w:val="en-US" w:eastAsia="zh-CN"/>
        </w:rPr>
        <w:t>1558.12</w:t>
      </w:r>
      <w:r>
        <w:rPr>
          <w:rFonts w:hint="default" w:ascii="Times New Roman" w:hAnsi="Times New Roman" w:eastAsia="仿宋" w:cs="Times New Roman"/>
          <w:color w:val="auto"/>
          <w:sz w:val="32"/>
          <w:szCs w:val="32"/>
          <w:highlight w:val="none"/>
        </w:rPr>
        <w:t>万元，占本年支出合计的</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%。与</w:t>
      </w: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相比，一般公共预算财政拨款</w:t>
      </w:r>
      <w:r>
        <w:rPr>
          <w:rFonts w:hint="default" w:ascii="Times New Roman" w:hAnsi="Times New Roman" w:eastAsia="仿宋" w:cs="Times New Roman"/>
          <w:color w:val="auto"/>
          <w:sz w:val="32"/>
          <w:szCs w:val="32"/>
          <w:highlight w:val="none"/>
          <w:lang w:eastAsia="zh-CN"/>
        </w:rPr>
        <w:t>支出</w:t>
      </w:r>
      <w:r>
        <w:rPr>
          <w:rFonts w:hint="eastAsia" w:eastAsia="仿宋" w:cs="Times New Roman"/>
          <w:color w:val="auto"/>
          <w:sz w:val="32"/>
          <w:szCs w:val="32"/>
          <w:highlight w:val="none"/>
          <w:lang w:val="en-US" w:eastAsia="zh-CN"/>
        </w:rPr>
        <w:t>增加</w:t>
      </w:r>
      <w:r>
        <w:rPr>
          <w:rFonts w:hint="eastAsia" w:ascii="Times New Roman" w:hAnsi="Times New Roman" w:eastAsia="仿宋_GB2312" w:cs="Times New Roman"/>
          <w:kern w:val="2"/>
          <w:sz w:val="32"/>
          <w:szCs w:val="32"/>
          <w:highlight w:val="none"/>
          <w:lang w:val="en-US" w:eastAsia="zh-CN" w:bidi="ar"/>
        </w:rPr>
        <w:t>141.26</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val="en-US" w:eastAsia="zh-CN"/>
        </w:rPr>
        <w:t>增长9.97</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。主要变动原因是</w:t>
      </w:r>
      <w:r>
        <w:rPr>
          <w:rFonts w:hint="default" w:ascii="Times New Roman" w:hAnsi="Times New Roman" w:eastAsia="仿宋_GB2312" w:cs="Times New Roman"/>
          <w:kern w:val="2"/>
          <w:sz w:val="32"/>
          <w:szCs w:val="32"/>
          <w:highlight w:val="none"/>
          <w:lang w:val="en-US" w:eastAsia="zh-CN" w:bidi="ar"/>
        </w:rPr>
        <w:t>本年</w:t>
      </w:r>
      <w:r>
        <w:rPr>
          <w:rFonts w:hint="eastAsia" w:ascii="Times New Roman" w:hAnsi="Times New Roman" w:eastAsia="仿宋_GB2312" w:cs="Times New Roman"/>
          <w:kern w:val="2"/>
          <w:sz w:val="32"/>
          <w:szCs w:val="32"/>
          <w:highlight w:val="none"/>
          <w:lang w:val="en-US" w:eastAsia="zh-CN" w:bidi="ar"/>
        </w:rPr>
        <w:t>增加</w:t>
      </w:r>
      <w:r>
        <w:rPr>
          <w:rFonts w:hint="eastAsia" w:ascii="仿宋_GB2312" w:hAnsi="仿宋" w:eastAsia="仿宋_GB2312" w:cs="仿宋"/>
          <w:color w:val="000000"/>
          <w:sz w:val="32"/>
          <w:szCs w:val="32"/>
          <w:lang w:val="en-US" w:eastAsia="zh-CN"/>
        </w:rPr>
        <w:t>承接中央、省委、省政府、省政协重大课题经费、“同心家园”运行保障经费、“重温加入民革承诺 守护民革精神家园”专项活动经费等项目支出。</w:t>
      </w:r>
    </w:p>
    <w:p w14:paraId="0F4CD49D">
      <w:pPr>
        <w:keepNext w:val="0"/>
        <w:keepLines w:val="0"/>
        <w:pageBreakBefore w:val="0"/>
        <w:widowControl w:val="0"/>
        <w:kinsoku/>
        <w:wordWrap/>
        <w:overflowPunct/>
        <w:topLinePunct w:val="0"/>
        <w:autoSpaceDE/>
        <w:autoSpaceDN/>
        <w:bidi w:val="0"/>
        <w:adjustRightInd/>
        <w:snapToGrid/>
        <w:spacing w:line="600" w:lineRule="exact"/>
        <w:ind w:left="0" w:leftChars="0" w:firstLine="640"/>
        <w:textAlignment w:val="auto"/>
        <w:rPr>
          <w:rFonts w:hint="default" w:ascii="Times New Roman" w:hAnsi="Times New Roman" w:eastAsia="仿宋" w:cs="Times New Roman"/>
          <w:color w:val="auto"/>
          <w:sz w:val="32"/>
          <w:szCs w:val="32"/>
          <w:highlight w:val="none"/>
        </w:rPr>
      </w:pPr>
    </w:p>
    <w:p w14:paraId="7BCED77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图5：一般公共预算财政拨款支出决算变动情况</w:t>
      </w:r>
    </w:p>
    <w:p w14:paraId="7001D9B6">
      <w:pPr>
        <w:keepNext w:val="0"/>
        <w:keepLines w:val="0"/>
        <w:pageBreakBefore w:val="0"/>
        <w:widowControl w:val="0"/>
        <w:kinsoku/>
        <w:wordWrap/>
        <w:overflowPunct/>
        <w:topLinePunct w:val="0"/>
        <w:autoSpaceDE/>
        <w:autoSpaceDN/>
        <w:bidi w:val="0"/>
        <w:adjustRightInd/>
        <w:snapToGrid/>
        <w:spacing w:line="600" w:lineRule="exact"/>
        <w:ind w:left="0" w:leftChars="0" w:firstLine="6090" w:firstLineChars="2900"/>
        <w:textAlignment w:val="auto"/>
        <w:rPr>
          <w:rFonts w:ascii="仿宋" w:hAnsi="仿宋" w:eastAsia="仿宋"/>
          <w:color w:val="auto"/>
          <w:sz w:val="32"/>
          <w:szCs w:val="32"/>
          <w:highlight w:val="none"/>
        </w:rPr>
      </w:pPr>
      <w:r>
        <w:rPr>
          <w:rFonts w:hint="eastAsia" w:ascii="仿宋" w:hAnsi="仿宋" w:eastAsia="仿宋"/>
          <w:color w:val="auto"/>
          <w:sz w:val="21"/>
          <w:szCs w:val="21"/>
          <w:highlight w:val="none"/>
          <w:lang w:val="en-US" w:eastAsia="zh-CN"/>
        </w:rPr>
        <w:t>单位：万元</w:t>
      </w:r>
    </w:p>
    <w:p w14:paraId="6B4EF0A1">
      <w:pPr>
        <w:pStyle w:val="8"/>
        <w:ind w:left="0" w:leftChars="0" w:firstLine="0" w:firstLineChars="0"/>
      </w:pPr>
      <w:r>
        <w:rPr>
          <w:rFonts w:eastAsia="仿宋_GB2312"/>
          <w:color w:val="000000"/>
          <w:sz w:val="32"/>
          <w:szCs w:val="32"/>
        </w:rPr>
        <w:drawing>
          <wp:anchor distT="0" distB="0" distL="114300" distR="114300" simplePos="0" relativeHeight="251663360" behindDoc="0" locked="0" layoutInCell="1" allowOverlap="1">
            <wp:simplePos x="0" y="0"/>
            <wp:positionH relativeFrom="column">
              <wp:posOffset>476250</wp:posOffset>
            </wp:positionH>
            <wp:positionV relativeFrom="paragraph">
              <wp:posOffset>41910</wp:posOffset>
            </wp:positionV>
            <wp:extent cx="4262755" cy="2112010"/>
            <wp:effectExtent l="4445" t="4445" r="19050" b="1714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1AD649EB">
      <w:pPr>
        <w:pStyle w:val="8"/>
      </w:pPr>
    </w:p>
    <w:p w14:paraId="45583F04">
      <w:pPr>
        <w:pStyle w:val="8"/>
      </w:pPr>
    </w:p>
    <w:p w14:paraId="4E223931">
      <w:pPr>
        <w:pStyle w:val="8"/>
      </w:pPr>
    </w:p>
    <w:p w14:paraId="7B52F701">
      <w:pPr>
        <w:pStyle w:val="8"/>
      </w:pPr>
    </w:p>
    <w:p w14:paraId="34CF94D9">
      <w:pPr>
        <w:pStyle w:val="8"/>
      </w:pPr>
    </w:p>
    <w:p w14:paraId="1070F783">
      <w:pPr>
        <w:pStyle w:val="8"/>
      </w:pPr>
    </w:p>
    <w:p w14:paraId="3E2F10CB">
      <w:pPr>
        <w:spacing w:line="600" w:lineRule="exact"/>
        <w:ind w:firstLine="8031" w:firstLineChars="2500"/>
        <w:outlineLvl w:val="2"/>
        <w:rPr>
          <w:rFonts w:hint="eastAsia" w:ascii="仿宋" w:hAnsi="仿宋" w:eastAsia="仿宋"/>
          <w:b/>
          <w:color w:val="auto"/>
          <w:sz w:val="32"/>
          <w:szCs w:val="32"/>
          <w:highlight w:val="none"/>
          <w:lang w:val="en-US" w:eastAsia="zh-CN"/>
        </w:rPr>
      </w:pPr>
      <w:bookmarkStart w:id="29" w:name="_Toc15377211"/>
    </w:p>
    <w:p w14:paraId="2BA268B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600" w:lineRule="exact"/>
        <w:ind w:right="0" w:firstLine="643" w:firstLineChars="200"/>
        <w:jc w:val="both"/>
        <w:textAlignment w:val="auto"/>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（二）一般公共预算财政拨款支出决算结构情况</w:t>
      </w:r>
      <w:bookmarkEnd w:id="29"/>
    </w:p>
    <w:p w14:paraId="3B75F2B7">
      <w:pPr>
        <w:keepNext w:val="0"/>
        <w:keepLines w:val="0"/>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一般公共预算财政拨款支出</w:t>
      </w:r>
      <w:r>
        <w:rPr>
          <w:rFonts w:hint="eastAsia" w:eastAsia="仿宋" w:cs="Times New Roman"/>
          <w:color w:val="auto"/>
          <w:sz w:val="32"/>
          <w:szCs w:val="32"/>
          <w:highlight w:val="none"/>
          <w:lang w:val="en-US" w:eastAsia="zh-CN"/>
        </w:rPr>
        <w:t>1558.12</w:t>
      </w:r>
      <w:r>
        <w:rPr>
          <w:rFonts w:hint="default" w:ascii="Times New Roman" w:hAnsi="Times New Roman" w:eastAsia="仿宋" w:cs="Times New Roman"/>
          <w:color w:val="auto"/>
          <w:sz w:val="32"/>
          <w:szCs w:val="32"/>
          <w:highlight w:val="none"/>
        </w:rPr>
        <w:t>万元，主要用于以下方面:</w:t>
      </w:r>
      <w:r>
        <w:rPr>
          <w:rFonts w:hint="default" w:ascii="Times New Roman" w:hAnsi="Times New Roman" w:eastAsia="仿宋" w:cs="Times New Roman"/>
          <w:b/>
          <w:color w:val="auto"/>
          <w:sz w:val="32"/>
          <w:szCs w:val="32"/>
          <w:highlight w:val="none"/>
        </w:rPr>
        <w:t>一般公共服务</w:t>
      </w:r>
      <w:r>
        <w:rPr>
          <w:rFonts w:hint="default" w:ascii="Times New Roman" w:hAnsi="Times New Roman" w:eastAsia="仿宋" w:cs="Times New Roman"/>
          <w:b/>
          <w:bCs/>
          <w:color w:val="auto"/>
          <w:sz w:val="32"/>
          <w:szCs w:val="32"/>
          <w:highlight w:val="none"/>
        </w:rPr>
        <w:t>支出</w:t>
      </w:r>
      <w:r>
        <w:rPr>
          <w:rFonts w:hint="eastAsia" w:eastAsia="仿宋_GB2312" w:cs="Times New Roman"/>
          <w:kern w:val="2"/>
          <w:sz w:val="32"/>
          <w:szCs w:val="32"/>
          <w:lang w:val="en-US" w:eastAsia="zh-CN" w:bidi="ar"/>
        </w:rPr>
        <w:t>1112.84</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7</w:t>
      </w:r>
      <w:r>
        <w:rPr>
          <w:rFonts w:hint="eastAsia"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教育支出</w:t>
      </w:r>
      <w:r>
        <w:rPr>
          <w:rFonts w:hint="eastAsia" w:eastAsia="仿宋_GB2312" w:cs="Times New Roman"/>
          <w:kern w:val="2"/>
          <w:sz w:val="32"/>
          <w:szCs w:val="32"/>
          <w:lang w:val="en-US" w:eastAsia="zh-CN" w:bidi="ar"/>
        </w:rPr>
        <w:t>20.8</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社会保障和就业</w:t>
      </w:r>
      <w:r>
        <w:rPr>
          <w:rFonts w:hint="default" w:ascii="Times New Roman" w:hAnsi="Times New Roman" w:eastAsia="仿宋" w:cs="Times New Roman"/>
          <w:b/>
          <w:bCs/>
          <w:color w:val="auto"/>
          <w:sz w:val="32"/>
          <w:szCs w:val="32"/>
          <w:highlight w:val="none"/>
        </w:rPr>
        <w:t>支出</w:t>
      </w:r>
      <w:r>
        <w:rPr>
          <w:rFonts w:hint="eastAsia" w:eastAsia="仿宋_GB2312" w:cs="Times New Roman"/>
          <w:kern w:val="2"/>
          <w:sz w:val="32"/>
          <w:szCs w:val="32"/>
          <w:lang w:val="en-US" w:eastAsia="zh-CN" w:bidi="ar"/>
        </w:rPr>
        <w:t>234.28</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15</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bCs/>
          <w:color w:val="auto"/>
          <w:sz w:val="32"/>
          <w:szCs w:val="32"/>
          <w:highlight w:val="none"/>
        </w:rPr>
        <w:t>卫生健康支出</w:t>
      </w:r>
      <w:r>
        <w:rPr>
          <w:rFonts w:hint="eastAsia" w:eastAsia="仿宋_GB2312" w:cs="Times New Roman"/>
          <w:kern w:val="2"/>
          <w:sz w:val="32"/>
          <w:szCs w:val="32"/>
          <w:lang w:val="en-US" w:eastAsia="zh-CN" w:bidi="ar"/>
        </w:rPr>
        <w:t>54.46</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bCs/>
          <w:color w:val="auto"/>
          <w:sz w:val="32"/>
          <w:szCs w:val="32"/>
          <w:highlight w:val="none"/>
        </w:rPr>
        <w:t>住房保障支出</w:t>
      </w:r>
      <w:r>
        <w:rPr>
          <w:rFonts w:hint="eastAsia" w:eastAsia="仿宋_GB2312" w:cs="Times New Roman"/>
          <w:kern w:val="2"/>
          <w:sz w:val="32"/>
          <w:szCs w:val="32"/>
          <w:lang w:val="en-US" w:eastAsia="zh-CN" w:bidi="ar"/>
        </w:rPr>
        <w:t>135.74</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9</w:t>
      </w:r>
      <w:r>
        <w:rPr>
          <w:rFonts w:hint="default" w:ascii="Times New Roman" w:hAnsi="Times New Roman" w:eastAsia="仿宋" w:cs="Times New Roman"/>
          <w:color w:val="auto"/>
          <w:sz w:val="32"/>
          <w:szCs w:val="32"/>
          <w:highlight w:val="none"/>
        </w:rPr>
        <w:t>%。</w:t>
      </w:r>
    </w:p>
    <w:p w14:paraId="512498AD">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1D990687">
      <w:pPr>
        <w:keepNext w:val="0"/>
        <w:keepLines w:val="0"/>
        <w:pageBreakBefore w:val="0"/>
        <w:widowControl w:val="0"/>
        <w:kinsoku/>
        <w:wordWrap/>
        <w:overflowPunct/>
        <w:topLinePunct w:val="0"/>
        <w:autoSpaceDE/>
        <w:autoSpaceDN/>
        <w:bidi w:val="0"/>
        <w:adjustRightInd/>
        <w:snapToGrid/>
        <w:spacing w:line="720" w:lineRule="auto"/>
        <w:ind w:firstLine="420" w:firstLineChars="200"/>
        <w:textAlignment w:val="auto"/>
        <w:rPr>
          <w:rFonts w:ascii="仿宋" w:hAnsi="仿宋" w:eastAsia="仿宋"/>
          <w:color w:val="auto"/>
          <w:sz w:val="32"/>
          <w:szCs w:val="32"/>
          <w:highlight w:val="none"/>
        </w:rPr>
      </w:pPr>
      <w:r>
        <w:drawing>
          <wp:anchor distT="0" distB="0" distL="114300" distR="114300" simplePos="0" relativeHeight="251664384" behindDoc="0" locked="0" layoutInCell="1" allowOverlap="1">
            <wp:simplePos x="0" y="0"/>
            <wp:positionH relativeFrom="column">
              <wp:posOffset>553085</wp:posOffset>
            </wp:positionH>
            <wp:positionV relativeFrom="paragraph">
              <wp:posOffset>11430</wp:posOffset>
            </wp:positionV>
            <wp:extent cx="4209415" cy="1696085"/>
            <wp:effectExtent l="4445" t="4445" r="15240" b="1397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14:paraId="47FA904E">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ascii="仿宋" w:hAnsi="仿宋" w:eastAsia="仿宋"/>
          <w:color w:val="auto"/>
          <w:sz w:val="32"/>
          <w:szCs w:val="32"/>
          <w:highlight w:val="none"/>
        </w:rPr>
      </w:pPr>
    </w:p>
    <w:p w14:paraId="2441B00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default" w:ascii="Times New Roman" w:hAnsi="Times New Roman" w:eastAsia="仿宋" w:cs="Times New Roman"/>
          <w:b/>
          <w:color w:val="auto"/>
          <w:sz w:val="32"/>
          <w:szCs w:val="32"/>
          <w:highlight w:val="none"/>
        </w:rPr>
      </w:pPr>
      <w:bookmarkStart w:id="30" w:name="_Toc15377212"/>
    </w:p>
    <w:p w14:paraId="621C977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default" w:ascii="Times New Roman" w:hAnsi="Times New Roman" w:eastAsia="仿宋" w:cs="Times New Roman"/>
          <w:b/>
          <w:color w:val="auto"/>
          <w:sz w:val="32"/>
          <w:szCs w:val="32"/>
          <w:highlight w:val="none"/>
        </w:rPr>
      </w:pPr>
    </w:p>
    <w:p w14:paraId="0A9D795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（三）一般公共预算财政拨款支出决算具体情况</w:t>
      </w:r>
      <w:bookmarkEnd w:id="30"/>
    </w:p>
    <w:p w14:paraId="4681123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default" w:ascii="Times New Roman" w:hAnsi="Times New Roman" w:eastAsia="仿宋" w:cs="Times New Roman"/>
          <w:color w:val="auto"/>
          <w:sz w:val="32"/>
          <w:szCs w:val="32"/>
          <w:highlight w:val="none"/>
        </w:rPr>
      </w:pPr>
      <w:bookmarkStart w:id="31" w:name="_Toc15378460"/>
      <w:bookmarkStart w:id="32" w:name="_Toc15377444"/>
      <w:bookmarkStart w:id="33" w:name="_Toc15377213"/>
      <w:r>
        <w:rPr>
          <w:rFonts w:hint="default" w:ascii="Times New Roman" w:hAnsi="Times New Roman" w:eastAsia="仿宋" w:cs="Times New Roman"/>
          <w:b/>
          <w:color w:val="auto"/>
          <w:sz w:val="32"/>
          <w:szCs w:val="32"/>
          <w:highlight w:val="none"/>
          <w:lang w:eastAsia="zh-CN"/>
        </w:rPr>
        <w:t>202</w:t>
      </w:r>
      <w:r>
        <w:rPr>
          <w:rFonts w:hint="eastAsia" w:eastAsia="仿宋" w:cs="Times New Roman"/>
          <w:b/>
          <w:color w:val="auto"/>
          <w:sz w:val="32"/>
          <w:szCs w:val="32"/>
          <w:highlight w:val="none"/>
          <w:lang w:val="en-US" w:eastAsia="zh-CN"/>
        </w:rPr>
        <w:t>4</w:t>
      </w:r>
      <w:r>
        <w:rPr>
          <w:rFonts w:hint="default" w:ascii="Times New Roman" w:hAnsi="Times New Roman" w:eastAsia="仿宋" w:cs="Times New Roman"/>
          <w:b/>
          <w:color w:val="auto"/>
          <w:sz w:val="32"/>
          <w:szCs w:val="32"/>
          <w:highlight w:val="none"/>
        </w:rPr>
        <w:t>年</w:t>
      </w:r>
      <w:r>
        <w:rPr>
          <w:rFonts w:hint="default" w:ascii="Times New Roman" w:hAnsi="Times New Roman" w:eastAsia="仿宋" w:cs="Times New Roman"/>
          <w:b/>
          <w:color w:val="auto"/>
          <w:sz w:val="32"/>
          <w:szCs w:val="32"/>
          <w:highlight w:val="none"/>
          <w:lang w:eastAsia="zh-CN"/>
        </w:rPr>
        <w:t>度一</w:t>
      </w:r>
      <w:r>
        <w:rPr>
          <w:rFonts w:hint="default" w:ascii="Times New Roman" w:hAnsi="Times New Roman" w:eastAsia="仿宋" w:cs="Times New Roman"/>
          <w:b/>
          <w:color w:val="auto"/>
          <w:sz w:val="32"/>
          <w:szCs w:val="32"/>
          <w:highlight w:val="none"/>
        </w:rPr>
        <w:t>般公共预算支出决算数为</w:t>
      </w:r>
      <w:r>
        <w:rPr>
          <w:rFonts w:hint="eastAsia" w:eastAsia="仿宋" w:cs="Times New Roman"/>
          <w:b/>
          <w:color w:val="auto"/>
          <w:sz w:val="32"/>
          <w:szCs w:val="32"/>
          <w:highlight w:val="none"/>
          <w:lang w:val="en-US" w:eastAsia="zh-CN"/>
        </w:rPr>
        <w:t>1558.12</w:t>
      </w:r>
      <w:r>
        <w:rPr>
          <w:rFonts w:hint="default" w:ascii="Times New Roman" w:hAnsi="Times New Roman" w:eastAsia="仿宋" w:cs="Times New Roman"/>
          <w:color w:val="auto"/>
          <w:sz w:val="32"/>
          <w:szCs w:val="32"/>
          <w:highlight w:val="none"/>
        </w:rPr>
        <w:t>，</w:t>
      </w:r>
      <w:r>
        <w:rPr>
          <w:rStyle w:val="18"/>
          <w:rFonts w:hint="default" w:ascii="Times New Roman" w:hAnsi="Times New Roman" w:eastAsia="仿宋" w:cs="Times New Roman"/>
          <w:bCs/>
          <w:color w:val="auto"/>
          <w:sz w:val="32"/>
          <w:szCs w:val="32"/>
          <w:highlight w:val="none"/>
        </w:rPr>
        <w:t>完成预算</w:t>
      </w:r>
      <w:r>
        <w:rPr>
          <w:rStyle w:val="18"/>
          <w:rFonts w:hint="eastAsia" w:eastAsia="仿宋" w:cs="Times New Roman"/>
          <w:bCs/>
          <w:color w:val="auto"/>
          <w:sz w:val="32"/>
          <w:szCs w:val="32"/>
          <w:highlight w:val="none"/>
          <w:lang w:val="en-US" w:eastAsia="zh-CN"/>
        </w:rPr>
        <w:t>99.43</w:t>
      </w:r>
      <w:r>
        <w:rPr>
          <w:rStyle w:val="18"/>
          <w:rFonts w:hint="default" w:ascii="Times New Roman" w:hAnsi="Times New Roman" w:eastAsia="仿宋" w:cs="Times New Roman"/>
          <w:bCs/>
          <w:color w:val="auto"/>
          <w:sz w:val="32"/>
          <w:szCs w:val="32"/>
          <w:highlight w:val="none"/>
        </w:rPr>
        <w:t>%。其中：</w:t>
      </w:r>
      <w:bookmarkEnd w:id="31"/>
      <w:bookmarkEnd w:id="32"/>
      <w:bookmarkEnd w:id="33"/>
    </w:p>
    <w:p w14:paraId="3ED91D9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Style w:val="18"/>
          <w:rFonts w:hint="default" w:ascii="Times New Roman" w:hAnsi="Times New Roman" w:eastAsia="仿宋" w:cs="Times New Roman"/>
          <w:b w:val="0"/>
          <w:bCs/>
          <w:color w:val="auto"/>
          <w:sz w:val="32"/>
          <w:szCs w:val="32"/>
          <w:highlight w:val="none"/>
        </w:rPr>
      </w:pPr>
      <w:r>
        <w:rPr>
          <w:rStyle w:val="18"/>
          <w:rFonts w:hint="default" w:ascii="Times New Roman" w:hAnsi="Times New Roman" w:eastAsia="仿宋" w:cs="Times New Roman"/>
          <w:bCs/>
          <w:color w:val="000000"/>
          <w:sz w:val="32"/>
          <w:szCs w:val="32"/>
          <w:lang w:val="en-US" w:eastAsia="zh-CN"/>
        </w:rPr>
        <w:t>1.</w:t>
      </w:r>
      <w:r>
        <w:rPr>
          <w:rStyle w:val="18"/>
          <w:rFonts w:hint="default" w:ascii="Times New Roman" w:hAnsi="Times New Roman" w:eastAsia="仿宋" w:cs="Times New Roman"/>
          <w:bCs/>
          <w:color w:val="000000"/>
          <w:sz w:val="32"/>
          <w:szCs w:val="32"/>
        </w:rPr>
        <w:t>一般公共服务（类）民主党派及工商联事务（款）行政运行（项）</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 w:val="0"/>
          <w:bCs/>
          <w:color w:val="auto"/>
          <w:sz w:val="32"/>
          <w:szCs w:val="32"/>
          <w:highlight w:val="none"/>
        </w:rPr>
        <w:t xml:space="preserve"> 支出决算为</w:t>
      </w:r>
      <w:r>
        <w:rPr>
          <w:rStyle w:val="18"/>
          <w:rFonts w:hint="eastAsia" w:eastAsia="仿宋" w:cs="Times New Roman"/>
          <w:b w:val="0"/>
          <w:bCs/>
          <w:color w:val="auto"/>
          <w:sz w:val="32"/>
          <w:szCs w:val="32"/>
          <w:highlight w:val="none"/>
          <w:lang w:val="en-US" w:eastAsia="zh-CN"/>
        </w:rPr>
        <w:t>828.98</w:t>
      </w:r>
      <w:r>
        <w:rPr>
          <w:rStyle w:val="18"/>
          <w:rFonts w:hint="default" w:ascii="Times New Roman" w:hAnsi="Times New Roman" w:eastAsia="仿宋" w:cs="Times New Roman"/>
          <w:b w:val="0"/>
          <w:bCs/>
          <w:color w:val="auto"/>
          <w:sz w:val="32"/>
          <w:szCs w:val="32"/>
          <w:highlight w:val="none"/>
        </w:rPr>
        <w:t>万元，完成预算</w:t>
      </w:r>
      <w:r>
        <w:rPr>
          <w:rStyle w:val="18"/>
          <w:rFonts w:hint="eastAsia" w:eastAsia="仿宋" w:cs="Times New Roman"/>
          <w:b w:val="0"/>
          <w:bCs/>
          <w:color w:val="auto"/>
          <w:sz w:val="32"/>
          <w:szCs w:val="32"/>
          <w:highlight w:val="none"/>
          <w:lang w:val="en-US" w:eastAsia="zh-CN"/>
        </w:rPr>
        <w:t>99.74</w:t>
      </w:r>
      <w:r>
        <w:rPr>
          <w:rStyle w:val="18"/>
          <w:rFonts w:hint="default" w:ascii="Times New Roman" w:hAnsi="Times New Roman" w:eastAsia="仿宋" w:cs="Times New Roman"/>
          <w:b w:val="0"/>
          <w:bCs/>
          <w:color w:val="auto"/>
          <w:sz w:val="32"/>
          <w:szCs w:val="32"/>
          <w:highlight w:val="none"/>
        </w:rPr>
        <w:t>%，决算数小于预算数的主要原因</w:t>
      </w:r>
      <w:r>
        <w:rPr>
          <w:rStyle w:val="18"/>
          <w:rFonts w:hint="eastAsia" w:eastAsia="仿宋" w:cs="Times New Roman"/>
          <w:b w:val="0"/>
          <w:bCs/>
          <w:color w:val="auto"/>
          <w:sz w:val="32"/>
          <w:szCs w:val="32"/>
          <w:highlight w:val="none"/>
          <w:lang w:val="en-US" w:eastAsia="zh-CN"/>
        </w:rPr>
        <w:t>基本工资、工伤保险等有结余</w:t>
      </w:r>
      <w:r>
        <w:rPr>
          <w:rStyle w:val="18"/>
          <w:rFonts w:hint="default" w:ascii="Times New Roman" w:hAnsi="Times New Roman" w:eastAsia="仿宋" w:cs="Times New Roman"/>
          <w:b w:val="0"/>
          <w:bCs/>
          <w:color w:val="auto"/>
          <w:sz w:val="32"/>
          <w:szCs w:val="32"/>
          <w:highlight w:val="none"/>
        </w:rPr>
        <w:t>。</w:t>
      </w:r>
    </w:p>
    <w:p w14:paraId="2471838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Style w:val="18"/>
          <w:rFonts w:hint="default" w:ascii="Times New Roman" w:hAnsi="Times New Roman" w:eastAsia="仿宋" w:cs="Times New Roman"/>
          <w:b w:val="0"/>
          <w:bCs/>
          <w:color w:val="auto"/>
          <w:sz w:val="32"/>
          <w:szCs w:val="32"/>
          <w:highlight w:val="none"/>
        </w:rPr>
      </w:pPr>
      <w:r>
        <w:rPr>
          <w:rStyle w:val="18"/>
          <w:rFonts w:hint="default" w:ascii="Times New Roman" w:hAnsi="Times New Roman" w:eastAsia="仿宋" w:cs="Times New Roman"/>
          <w:bCs/>
          <w:color w:val="000000"/>
          <w:sz w:val="32"/>
          <w:szCs w:val="32"/>
          <w:lang w:val="en-US" w:eastAsia="zh-CN"/>
        </w:rPr>
        <w:t>2.</w:t>
      </w:r>
      <w:r>
        <w:rPr>
          <w:rStyle w:val="18"/>
          <w:rFonts w:hint="default" w:ascii="Times New Roman" w:hAnsi="Times New Roman" w:eastAsia="仿宋" w:cs="Times New Roman"/>
          <w:bCs/>
          <w:color w:val="000000"/>
          <w:sz w:val="32"/>
          <w:szCs w:val="32"/>
        </w:rPr>
        <w:t>一般公共服务（类）民主党派及工商联事务（款）</w:t>
      </w:r>
      <w:r>
        <w:rPr>
          <w:rStyle w:val="18"/>
          <w:rFonts w:hint="default" w:ascii="Times New Roman" w:hAnsi="Times New Roman" w:eastAsia="仿宋" w:cs="Times New Roman"/>
          <w:bCs/>
          <w:color w:val="000000"/>
          <w:sz w:val="32"/>
          <w:szCs w:val="32"/>
          <w:lang w:eastAsia="zh-CN"/>
        </w:rPr>
        <w:t>一般行政管理事务</w:t>
      </w:r>
      <w:r>
        <w:rPr>
          <w:rStyle w:val="18"/>
          <w:rFonts w:hint="default" w:ascii="Times New Roman" w:hAnsi="Times New Roman" w:eastAsia="仿宋" w:cs="Times New Roman"/>
          <w:bCs/>
          <w:color w:val="000000"/>
          <w:sz w:val="32"/>
          <w:szCs w:val="32"/>
        </w:rPr>
        <w:t>（项）</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 w:val="0"/>
          <w:bCs/>
          <w:color w:val="auto"/>
          <w:sz w:val="32"/>
          <w:szCs w:val="32"/>
          <w:highlight w:val="none"/>
        </w:rPr>
        <w:t xml:space="preserve"> 支出决算为</w:t>
      </w:r>
      <w:r>
        <w:rPr>
          <w:rStyle w:val="18"/>
          <w:rFonts w:hint="eastAsia" w:eastAsia="仿宋" w:cs="Times New Roman"/>
          <w:b w:val="0"/>
          <w:bCs/>
          <w:color w:val="auto"/>
          <w:sz w:val="32"/>
          <w:szCs w:val="32"/>
          <w:highlight w:val="none"/>
          <w:lang w:val="en-US" w:eastAsia="zh-CN"/>
        </w:rPr>
        <w:t>27</w:t>
      </w:r>
      <w:r>
        <w:rPr>
          <w:rStyle w:val="18"/>
          <w:rFonts w:hint="default" w:ascii="Times New Roman" w:hAnsi="Times New Roman" w:eastAsia="仿宋" w:cs="Times New Roman"/>
          <w:b w:val="0"/>
          <w:bCs/>
          <w:color w:val="auto"/>
          <w:sz w:val="32"/>
          <w:szCs w:val="32"/>
          <w:highlight w:val="none"/>
        </w:rPr>
        <w:t>万元，完成预算</w:t>
      </w:r>
      <w:r>
        <w:rPr>
          <w:rStyle w:val="18"/>
          <w:rFonts w:hint="default" w:ascii="Times New Roman" w:hAnsi="Times New Roman" w:eastAsia="仿宋" w:cs="Times New Roman"/>
          <w:b w:val="0"/>
          <w:bCs/>
          <w:color w:val="auto"/>
          <w:sz w:val="32"/>
          <w:szCs w:val="32"/>
          <w:highlight w:val="none"/>
          <w:lang w:val="en-US" w:eastAsia="zh-CN"/>
        </w:rPr>
        <w:t>100</w:t>
      </w:r>
      <w:r>
        <w:rPr>
          <w:rStyle w:val="18"/>
          <w:rFonts w:hint="default" w:ascii="Times New Roman" w:hAnsi="Times New Roman" w:eastAsia="仿宋" w:cs="Times New Roman"/>
          <w:b w:val="0"/>
          <w:bCs/>
          <w:color w:val="auto"/>
          <w:sz w:val="32"/>
          <w:szCs w:val="32"/>
          <w:highlight w:val="none"/>
        </w:rPr>
        <w:t>%。</w:t>
      </w:r>
    </w:p>
    <w:p w14:paraId="46ED52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Style w:val="18"/>
          <w:rFonts w:hint="default" w:ascii="Times New Roman" w:hAnsi="Times New Roman" w:eastAsia="仿宋" w:cs="Times New Roman"/>
          <w:b w:val="0"/>
          <w:bCs/>
          <w:color w:val="auto"/>
          <w:sz w:val="32"/>
          <w:szCs w:val="32"/>
          <w:highlight w:val="none"/>
          <w:lang w:val="en-US" w:eastAsia="zh-CN"/>
        </w:rPr>
      </w:pPr>
      <w:r>
        <w:rPr>
          <w:rStyle w:val="18"/>
          <w:rFonts w:hint="default" w:ascii="Times New Roman" w:hAnsi="Times New Roman" w:eastAsia="仿宋" w:cs="Times New Roman"/>
          <w:bCs/>
          <w:color w:val="000000"/>
          <w:sz w:val="32"/>
          <w:szCs w:val="32"/>
        </w:rPr>
        <w:t>3.一般公共服务（类）民主党派及工商联事务（款）参政议政（项）:</w:t>
      </w:r>
      <w:r>
        <w:rPr>
          <w:rStyle w:val="18"/>
          <w:rFonts w:hint="default" w:ascii="Times New Roman" w:hAnsi="Times New Roman" w:eastAsia="仿宋" w:cs="Times New Roman"/>
          <w:b w:val="0"/>
          <w:bCs/>
          <w:color w:val="auto"/>
          <w:sz w:val="32"/>
          <w:szCs w:val="32"/>
          <w:highlight w:val="none"/>
        </w:rPr>
        <w:t>支出决算为</w:t>
      </w:r>
      <w:r>
        <w:rPr>
          <w:rStyle w:val="18"/>
          <w:rFonts w:hint="eastAsia" w:eastAsia="仿宋" w:cs="Times New Roman"/>
          <w:b w:val="0"/>
          <w:bCs/>
          <w:color w:val="auto"/>
          <w:sz w:val="32"/>
          <w:szCs w:val="32"/>
          <w:highlight w:val="none"/>
          <w:lang w:val="en-US" w:eastAsia="zh-CN"/>
        </w:rPr>
        <w:t>256.86</w:t>
      </w:r>
      <w:r>
        <w:rPr>
          <w:rStyle w:val="18"/>
          <w:rFonts w:hint="default" w:ascii="Times New Roman" w:hAnsi="Times New Roman" w:eastAsia="仿宋" w:cs="Times New Roman"/>
          <w:b w:val="0"/>
          <w:bCs/>
          <w:color w:val="auto"/>
          <w:sz w:val="32"/>
          <w:szCs w:val="32"/>
          <w:highlight w:val="none"/>
        </w:rPr>
        <w:t>万元，完成预算</w:t>
      </w:r>
      <w:r>
        <w:rPr>
          <w:rStyle w:val="18"/>
          <w:rFonts w:hint="default" w:ascii="Times New Roman" w:hAnsi="Times New Roman" w:eastAsia="仿宋" w:cs="Times New Roman"/>
          <w:b w:val="0"/>
          <w:bCs/>
          <w:color w:val="auto"/>
          <w:sz w:val="32"/>
          <w:szCs w:val="32"/>
          <w:highlight w:val="none"/>
          <w:lang w:val="en-US" w:eastAsia="zh-CN"/>
        </w:rPr>
        <w:t>99.9</w:t>
      </w:r>
      <w:r>
        <w:rPr>
          <w:rStyle w:val="18"/>
          <w:rFonts w:hint="default" w:ascii="Times New Roman" w:hAnsi="Times New Roman" w:eastAsia="仿宋" w:cs="Times New Roman"/>
          <w:b w:val="0"/>
          <w:bCs/>
          <w:color w:val="auto"/>
          <w:sz w:val="32"/>
          <w:szCs w:val="32"/>
          <w:highlight w:val="none"/>
        </w:rPr>
        <w:t>%，决算数小于预算数的主要原因是</w:t>
      </w:r>
      <w:r>
        <w:rPr>
          <w:rStyle w:val="18"/>
          <w:rFonts w:hint="default" w:ascii="Times New Roman" w:hAnsi="Times New Roman" w:eastAsia="仿宋" w:cs="Times New Roman"/>
          <w:b w:val="0"/>
          <w:bCs/>
          <w:color w:val="auto"/>
          <w:sz w:val="32"/>
          <w:szCs w:val="32"/>
          <w:highlight w:val="none"/>
          <w:lang w:eastAsia="zh-CN"/>
        </w:rPr>
        <w:t>设备购置费按标准预算，实际购买支出金额比标准金额少</w:t>
      </w:r>
      <w:r>
        <w:rPr>
          <w:rStyle w:val="18"/>
          <w:rFonts w:hint="default" w:ascii="Times New Roman" w:hAnsi="Times New Roman" w:eastAsia="仿宋" w:cs="Times New Roman"/>
          <w:b w:val="0"/>
          <w:bCs/>
          <w:color w:val="auto"/>
          <w:sz w:val="32"/>
          <w:szCs w:val="32"/>
          <w:highlight w:val="none"/>
        </w:rPr>
        <w:t>。</w:t>
      </w:r>
    </w:p>
    <w:p w14:paraId="11DEDCA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 w:cs="Times New Roman"/>
          <w:b/>
          <w:color w:val="auto"/>
          <w:sz w:val="32"/>
          <w:szCs w:val="32"/>
          <w:highlight w:val="none"/>
          <w:lang w:val="en-US"/>
        </w:rPr>
      </w:pPr>
      <w:r>
        <w:rPr>
          <w:rStyle w:val="18"/>
          <w:rFonts w:hint="default" w:ascii="Times New Roman" w:hAnsi="Times New Roman" w:eastAsia="仿宋" w:cs="Times New Roman"/>
          <w:bCs/>
          <w:color w:val="auto"/>
          <w:sz w:val="32"/>
          <w:szCs w:val="32"/>
          <w:highlight w:val="none"/>
          <w:lang w:val="en-US" w:eastAsia="zh-CN"/>
        </w:rPr>
        <w:t>4</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Cs/>
          <w:color w:val="000000"/>
          <w:sz w:val="32"/>
          <w:szCs w:val="32"/>
        </w:rPr>
        <w:t>教育（类）进修及培训（款）培训支出（项）</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 w:val="0"/>
          <w:bCs/>
          <w:color w:val="auto"/>
          <w:sz w:val="32"/>
          <w:szCs w:val="32"/>
          <w:highlight w:val="none"/>
        </w:rPr>
        <w:t xml:space="preserve"> 支出决算为</w:t>
      </w:r>
      <w:r>
        <w:rPr>
          <w:rStyle w:val="18"/>
          <w:rFonts w:hint="eastAsia" w:eastAsia="仿宋" w:cs="Times New Roman"/>
          <w:b w:val="0"/>
          <w:bCs/>
          <w:color w:val="auto"/>
          <w:sz w:val="32"/>
          <w:szCs w:val="32"/>
          <w:highlight w:val="none"/>
          <w:lang w:val="en-US" w:eastAsia="zh-CN"/>
        </w:rPr>
        <w:t>20.8</w:t>
      </w:r>
      <w:r>
        <w:rPr>
          <w:rStyle w:val="18"/>
          <w:rFonts w:hint="default" w:ascii="Times New Roman" w:hAnsi="Times New Roman" w:eastAsia="仿宋" w:cs="Times New Roman"/>
          <w:b w:val="0"/>
          <w:bCs/>
          <w:color w:val="auto"/>
          <w:sz w:val="32"/>
          <w:szCs w:val="32"/>
          <w:highlight w:val="none"/>
        </w:rPr>
        <w:t>万元，完成预算</w:t>
      </w:r>
      <w:r>
        <w:rPr>
          <w:rStyle w:val="18"/>
          <w:rFonts w:hint="eastAsia" w:eastAsia="仿宋" w:cs="Times New Roman"/>
          <w:b w:val="0"/>
          <w:bCs/>
          <w:color w:val="auto"/>
          <w:sz w:val="32"/>
          <w:szCs w:val="32"/>
          <w:highlight w:val="none"/>
          <w:lang w:val="en-US" w:eastAsia="zh-CN"/>
        </w:rPr>
        <w:t>100%。</w:t>
      </w:r>
    </w:p>
    <w:p w14:paraId="6387EBC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 w:cs="Times New Roman"/>
          <w:b/>
          <w:color w:val="auto"/>
          <w:sz w:val="32"/>
          <w:szCs w:val="32"/>
          <w:highlight w:val="none"/>
        </w:rPr>
      </w:pPr>
      <w:r>
        <w:rPr>
          <w:rStyle w:val="18"/>
          <w:rFonts w:hint="default" w:ascii="Times New Roman" w:hAnsi="Times New Roman" w:eastAsia="仿宋" w:cs="Times New Roman"/>
          <w:bCs/>
          <w:color w:val="auto"/>
          <w:sz w:val="32"/>
          <w:szCs w:val="32"/>
          <w:highlight w:val="none"/>
          <w:lang w:val="en-US" w:eastAsia="zh-CN"/>
        </w:rPr>
        <w:t>5</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Cs/>
          <w:color w:val="000000"/>
          <w:sz w:val="32"/>
          <w:szCs w:val="32"/>
        </w:rPr>
        <w:t>社会保障和就业（类）行政事业单位养老支出（款）行政单位离退休（项）</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 w:val="0"/>
          <w:bCs/>
          <w:color w:val="auto"/>
          <w:sz w:val="32"/>
          <w:szCs w:val="32"/>
          <w:highlight w:val="none"/>
        </w:rPr>
        <w:t xml:space="preserve"> 支出决算为</w:t>
      </w:r>
      <w:r>
        <w:rPr>
          <w:rStyle w:val="18"/>
          <w:rFonts w:hint="eastAsia" w:eastAsia="仿宋" w:cs="Times New Roman"/>
          <w:b w:val="0"/>
          <w:bCs/>
          <w:color w:val="auto"/>
          <w:sz w:val="32"/>
          <w:szCs w:val="32"/>
          <w:highlight w:val="none"/>
          <w:lang w:val="en-US" w:eastAsia="zh-CN"/>
        </w:rPr>
        <w:t>165.97</w:t>
      </w:r>
      <w:r>
        <w:rPr>
          <w:rStyle w:val="18"/>
          <w:rFonts w:hint="default" w:ascii="Times New Roman" w:hAnsi="Times New Roman" w:eastAsia="仿宋" w:cs="Times New Roman"/>
          <w:b w:val="0"/>
          <w:bCs/>
          <w:color w:val="auto"/>
          <w:sz w:val="32"/>
          <w:szCs w:val="32"/>
          <w:highlight w:val="none"/>
        </w:rPr>
        <w:t>万元，完成预算</w:t>
      </w:r>
      <w:r>
        <w:rPr>
          <w:rStyle w:val="18"/>
          <w:rFonts w:hint="eastAsia" w:eastAsia="仿宋" w:cs="Times New Roman"/>
          <w:b w:val="0"/>
          <w:bCs/>
          <w:color w:val="auto"/>
          <w:sz w:val="32"/>
          <w:szCs w:val="32"/>
          <w:highlight w:val="none"/>
          <w:lang w:val="en-US" w:eastAsia="zh-CN"/>
        </w:rPr>
        <w:t>99.2</w:t>
      </w:r>
      <w:r>
        <w:rPr>
          <w:rStyle w:val="18"/>
          <w:rFonts w:hint="default" w:ascii="Times New Roman" w:hAnsi="Times New Roman" w:eastAsia="仿宋" w:cs="Times New Roman"/>
          <w:b w:val="0"/>
          <w:bCs/>
          <w:color w:val="auto"/>
          <w:sz w:val="32"/>
          <w:szCs w:val="32"/>
          <w:highlight w:val="none"/>
        </w:rPr>
        <w:t>%，决算数小于预算数的主要原因是</w:t>
      </w:r>
      <w:r>
        <w:rPr>
          <w:rStyle w:val="18"/>
          <w:rFonts w:hint="eastAsia" w:eastAsia="仿宋" w:cs="Times New Roman"/>
          <w:b w:val="0"/>
          <w:bCs/>
          <w:color w:val="auto"/>
          <w:sz w:val="32"/>
          <w:szCs w:val="32"/>
          <w:highlight w:val="none"/>
          <w:lang w:val="en-US" w:eastAsia="zh-CN"/>
        </w:rPr>
        <w:t>基本离休费有结余</w:t>
      </w:r>
      <w:r>
        <w:rPr>
          <w:rStyle w:val="18"/>
          <w:rFonts w:hint="default" w:ascii="Times New Roman" w:hAnsi="Times New Roman" w:eastAsia="仿宋" w:cs="Times New Roman"/>
          <w:b w:val="0"/>
          <w:bCs/>
          <w:color w:val="auto"/>
          <w:sz w:val="32"/>
          <w:szCs w:val="32"/>
          <w:highlight w:val="none"/>
        </w:rPr>
        <w:t>。</w:t>
      </w:r>
    </w:p>
    <w:p w14:paraId="66C49F9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Style w:val="18"/>
          <w:rFonts w:hint="default" w:ascii="Times New Roman" w:hAnsi="Times New Roman" w:eastAsia="仿宋" w:cs="Times New Roman"/>
          <w:b w:val="0"/>
          <w:bCs/>
          <w:color w:val="auto"/>
          <w:sz w:val="32"/>
          <w:szCs w:val="32"/>
          <w:highlight w:val="none"/>
        </w:rPr>
      </w:pPr>
      <w:r>
        <w:rPr>
          <w:rStyle w:val="18"/>
          <w:rFonts w:hint="default" w:ascii="Times New Roman" w:hAnsi="Times New Roman" w:eastAsia="仿宋" w:cs="Times New Roman"/>
          <w:bCs/>
          <w:color w:val="auto"/>
          <w:sz w:val="32"/>
          <w:szCs w:val="32"/>
          <w:highlight w:val="none"/>
          <w:lang w:val="en-US" w:eastAsia="zh-CN"/>
        </w:rPr>
        <w:t>6</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Cs/>
          <w:color w:val="000000"/>
          <w:sz w:val="32"/>
          <w:szCs w:val="32"/>
        </w:rPr>
        <w:t>社会保障和就业（类）行政事业单位养老支出（款）机关事业单位基本养老保险缴费支出（项）</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 w:val="0"/>
          <w:bCs/>
          <w:color w:val="auto"/>
          <w:sz w:val="32"/>
          <w:szCs w:val="32"/>
          <w:highlight w:val="none"/>
        </w:rPr>
        <w:t xml:space="preserve"> 支出决算为</w:t>
      </w:r>
      <w:r>
        <w:rPr>
          <w:rStyle w:val="18"/>
          <w:rFonts w:hint="eastAsia" w:eastAsia="仿宋" w:cs="Times New Roman"/>
          <w:b w:val="0"/>
          <w:bCs/>
          <w:color w:val="auto"/>
          <w:sz w:val="32"/>
          <w:szCs w:val="32"/>
          <w:highlight w:val="none"/>
          <w:lang w:val="en-US" w:eastAsia="zh-CN"/>
        </w:rPr>
        <w:t>68.31</w:t>
      </w:r>
      <w:r>
        <w:rPr>
          <w:rStyle w:val="18"/>
          <w:rFonts w:hint="default" w:ascii="Times New Roman" w:hAnsi="Times New Roman" w:eastAsia="仿宋" w:cs="Times New Roman"/>
          <w:b w:val="0"/>
          <w:bCs/>
          <w:color w:val="auto"/>
          <w:sz w:val="32"/>
          <w:szCs w:val="32"/>
          <w:highlight w:val="none"/>
        </w:rPr>
        <w:t>万元，完成预算</w:t>
      </w:r>
      <w:r>
        <w:rPr>
          <w:rStyle w:val="18"/>
          <w:rFonts w:hint="eastAsia" w:eastAsia="仿宋" w:cs="Times New Roman"/>
          <w:b w:val="0"/>
          <w:bCs/>
          <w:color w:val="auto"/>
          <w:sz w:val="32"/>
          <w:szCs w:val="32"/>
          <w:highlight w:val="none"/>
          <w:lang w:val="en-US" w:eastAsia="zh-CN"/>
        </w:rPr>
        <w:t>98.15</w:t>
      </w:r>
      <w:r>
        <w:rPr>
          <w:rStyle w:val="18"/>
          <w:rFonts w:hint="default" w:ascii="Times New Roman" w:hAnsi="Times New Roman" w:eastAsia="仿宋" w:cs="Times New Roman"/>
          <w:b w:val="0"/>
          <w:bCs/>
          <w:color w:val="auto"/>
          <w:sz w:val="32"/>
          <w:szCs w:val="32"/>
          <w:highlight w:val="none"/>
        </w:rPr>
        <w:t>%，决算数小于预算数的主要原因是</w:t>
      </w:r>
      <w:r>
        <w:rPr>
          <w:rStyle w:val="18"/>
          <w:rFonts w:hint="eastAsia" w:eastAsia="仿宋" w:cs="Times New Roman"/>
          <w:b w:val="0"/>
          <w:bCs/>
          <w:color w:val="auto"/>
          <w:sz w:val="32"/>
          <w:szCs w:val="32"/>
          <w:highlight w:val="none"/>
          <w:lang w:val="en-US" w:eastAsia="zh-CN"/>
        </w:rPr>
        <w:t>按社保局实际核定基数缴纳养老保险，比年初预算略有结余</w:t>
      </w:r>
      <w:r>
        <w:rPr>
          <w:rStyle w:val="18"/>
          <w:rFonts w:hint="default" w:ascii="Times New Roman" w:hAnsi="Times New Roman" w:eastAsia="仿宋" w:cs="Times New Roman"/>
          <w:b w:val="0"/>
          <w:bCs/>
          <w:color w:val="auto"/>
          <w:sz w:val="32"/>
          <w:szCs w:val="32"/>
          <w:highlight w:val="none"/>
        </w:rPr>
        <w:t>。</w:t>
      </w:r>
    </w:p>
    <w:p w14:paraId="7D50043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Style w:val="18"/>
          <w:rFonts w:hint="default" w:ascii="Times New Roman" w:hAnsi="Times New Roman" w:eastAsia="仿宋" w:cs="Times New Roman"/>
          <w:b/>
          <w:bCs w:val="0"/>
          <w:color w:val="auto"/>
          <w:sz w:val="32"/>
          <w:szCs w:val="32"/>
          <w:highlight w:val="none"/>
        </w:rPr>
      </w:pPr>
      <w:r>
        <w:rPr>
          <w:rFonts w:hint="eastAsia" w:eastAsia="仿宋" w:cs="Times New Roman"/>
          <w:b/>
          <w:bCs/>
          <w:color w:val="000000" w:themeColor="text1"/>
          <w:sz w:val="32"/>
          <w:szCs w:val="32"/>
          <w:lang w:val="en-US" w:eastAsia="zh-CN"/>
          <w14:textFill>
            <w14:solidFill>
              <w14:schemeClr w14:val="tx1"/>
            </w14:solidFill>
          </w14:textFill>
        </w:rPr>
        <w:t>7</w:t>
      </w:r>
      <w:r>
        <w:rPr>
          <w:rFonts w:hint="default" w:ascii="Times New Roman" w:hAnsi="Times New Roman" w:eastAsia="仿宋"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仿宋" w:cs="Times New Roman"/>
          <w:b/>
          <w:bCs/>
          <w:color w:val="000000" w:themeColor="text1"/>
          <w:sz w:val="32"/>
          <w:szCs w:val="32"/>
          <w14:textFill>
            <w14:solidFill>
              <w14:schemeClr w14:val="tx1"/>
            </w14:solidFill>
          </w14:textFill>
        </w:rPr>
        <w:t>卫生健康</w:t>
      </w:r>
      <w:r>
        <w:rPr>
          <w:rStyle w:val="18"/>
          <w:rFonts w:hint="default" w:ascii="Times New Roman" w:hAnsi="Times New Roman" w:eastAsia="仿宋" w:cs="Times New Roman"/>
          <w:bCs/>
          <w:color w:val="000000"/>
          <w:sz w:val="32"/>
          <w:szCs w:val="32"/>
        </w:rPr>
        <w:t>（类）行政事业单位医疗（款）行政单位医疗（项）:</w:t>
      </w:r>
      <w:r>
        <w:rPr>
          <w:rStyle w:val="18"/>
          <w:rFonts w:hint="default" w:ascii="Times New Roman" w:hAnsi="Times New Roman" w:eastAsia="仿宋" w:cs="Times New Roman"/>
          <w:b w:val="0"/>
          <w:bCs/>
          <w:color w:val="000000"/>
          <w:sz w:val="32"/>
          <w:szCs w:val="32"/>
        </w:rPr>
        <w:t>支出决算为</w:t>
      </w:r>
      <w:r>
        <w:rPr>
          <w:rStyle w:val="18"/>
          <w:rFonts w:hint="eastAsia" w:eastAsia="仿宋" w:cs="Times New Roman"/>
          <w:b w:val="0"/>
          <w:bCs/>
          <w:color w:val="000000"/>
          <w:sz w:val="32"/>
          <w:szCs w:val="32"/>
          <w:lang w:val="en-US" w:eastAsia="zh-CN"/>
        </w:rPr>
        <w:t>44.52</w:t>
      </w:r>
      <w:r>
        <w:rPr>
          <w:rStyle w:val="18"/>
          <w:rFonts w:hint="default" w:ascii="Times New Roman" w:hAnsi="Times New Roman" w:eastAsia="仿宋" w:cs="Times New Roman"/>
          <w:b w:val="0"/>
          <w:bCs/>
          <w:color w:val="000000"/>
          <w:sz w:val="32"/>
          <w:szCs w:val="32"/>
        </w:rPr>
        <w:t>万元，</w:t>
      </w:r>
      <w:r>
        <w:rPr>
          <w:rStyle w:val="18"/>
          <w:rFonts w:hint="default" w:ascii="Times New Roman" w:hAnsi="Times New Roman" w:eastAsia="仿宋" w:cs="Times New Roman"/>
          <w:b w:val="0"/>
          <w:bCs/>
          <w:color w:val="auto"/>
          <w:sz w:val="32"/>
          <w:szCs w:val="32"/>
          <w:highlight w:val="none"/>
        </w:rPr>
        <w:t>成预算</w:t>
      </w:r>
      <w:r>
        <w:rPr>
          <w:rStyle w:val="18"/>
          <w:rFonts w:hint="eastAsia" w:eastAsia="仿宋" w:cs="Times New Roman"/>
          <w:b w:val="0"/>
          <w:bCs/>
          <w:color w:val="auto"/>
          <w:sz w:val="32"/>
          <w:szCs w:val="32"/>
          <w:highlight w:val="none"/>
          <w:lang w:val="en-US" w:eastAsia="zh-CN"/>
        </w:rPr>
        <w:t>96.4</w:t>
      </w:r>
      <w:r>
        <w:rPr>
          <w:rStyle w:val="18"/>
          <w:rFonts w:hint="default" w:ascii="Times New Roman" w:hAnsi="Times New Roman" w:eastAsia="仿宋" w:cs="Times New Roman"/>
          <w:b w:val="0"/>
          <w:bCs/>
          <w:color w:val="auto"/>
          <w:sz w:val="32"/>
          <w:szCs w:val="32"/>
          <w:highlight w:val="none"/>
        </w:rPr>
        <w:t>%，决算数小于预算数的主要原因是</w:t>
      </w:r>
      <w:r>
        <w:rPr>
          <w:rStyle w:val="18"/>
          <w:rFonts w:hint="eastAsia" w:eastAsia="仿宋" w:cs="Times New Roman"/>
          <w:b w:val="0"/>
          <w:bCs/>
          <w:color w:val="auto"/>
          <w:sz w:val="32"/>
          <w:szCs w:val="32"/>
          <w:highlight w:val="none"/>
          <w:lang w:val="en-US" w:eastAsia="zh-CN"/>
        </w:rPr>
        <w:t>按医保局实际核定基数缴纳医疗保险，比年初预算略有结余</w:t>
      </w:r>
      <w:r>
        <w:rPr>
          <w:rStyle w:val="18"/>
          <w:rFonts w:hint="default" w:ascii="Times New Roman" w:hAnsi="Times New Roman" w:eastAsia="仿宋" w:cs="Times New Roman"/>
          <w:b w:val="0"/>
          <w:bCs/>
          <w:color w:val="auto"/>
          <w:sz w:val="32"/>
          <w:szCs w:val="32"/>
          <w:highlight w:val="none"/>
        </w:rPr>
        <w:t>。</w:t>
      </w:r>
    </w:p>
    <w:p w14:paraId="5BD46F1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 w:cs="Times New Roman"/>
          <w:b/>
          <w:color w:val="auto"/>
          <w:sz w:val="32"/>
          <w:szCs w:val="32"/>
          <w:highlight w:val="none"/>
        </w:rPr>
      </w:pPr>
      <w:r>
        <w:rPr>
          <w:rStyle w:val="18"/>
          <w:rFonts w:hint="eastAsia" w:eastAsia="仿宋" w:cs="Times New Roman"/>
          <w:bCs/>
          <w:color w:val="auto"/>
          <w:sz w:val="32"/>
          <w:szCs w:val="32"/>
          <w:highlight w:val="none"/>
          <w:lang w:val="en-US" w:eastAsia="zh-CN"/>
        </w:rPr>
        <w:t>8</w:t>
      </w:r>
      <w:r>
        <w:rPr>
          <w:rStyle w:val="18"/>
          <w:rFonts w:hint="default" w:ascii="Times New Roman" w:hAnsi="Times New Roman" w:eastAsia="仿宋" w:cs="Times New Roman"/>
          <w:bCs/>
          <w:color w:val="auto"/>
          <w:sz w:val="32"/>
          <w:szCs w:val="32"/>
          <w:highlight w:val="none"/>
        </w:rPr>
        <w:t>.</w:t>
      </w:r>
      <w:r>
        <w:rPr>
          <w:rFonts w:hint="default" w:ascii="Times New Roman" w:hAnsi="Times New Roman" w:eastAsia="仿宋" w:cs="Times New Roman"/>
          <w:b/>
          <w:bCs/>
          <w:color w:val="000000" w:themeColor="text1"/>
          <w:sz w:val="32"/>
          <w:szCs w:val="32"/>
          <w14:textFill>
            <w14:solidFill>
              <w14:schemeClr w14:val="tx1"/>
            </w14:solidFill>
          </w14:textFill>
        </w:rPr>
        <w:t>卫生健康</w:t>
      </w:r>
      <w:r>
        <w:rPr>
          <w:rFonts w:hint="default" w:ascii="Times New Roman" w:hAnsi="Times New Roman" w:eastAsia="仿宋" w:cs="Times New Roman"/>
          <w:b/>
          <w:bCs/>
          <w:color w:val="000000"/>
          <w:sz w:val="32"/>
          <w:szCs w:val="32"/>
        </w:rPr>
        <w:t>（类）行政事业单位医疗（款）公务员医疗补助（项）</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 w:val="0"/>
          <w:bCs/>
          <w:color w:val="auto"/>
          <w:sz w:val="32"/>
          <w:szCs w:val="32"/>
          <w:highlight w:val="none"/>
        </w:rPr>
        <w:t>支出决算为</w:t>
      </w:r>
      <w:r>
        <w:rPr>
          <w:rStyle w:val="18"/>
          <w:rFonts w:hint="eastAsia" w:eastAsia="仿宋" w:cs="Times New Roman"/>
          <w:b w:val="0"/>
          <w:bCs/>
          <w:color w:val="auto"/>
          <w:sz w:val="32"/>
          <w:szCs w:val="32"/>
          <w:highlight w:val="none"/>
          <w:lang w:val="en-US" w:eastAsia="zh-CN"/>
        </w:rPr>
        <w:t>9.94</w:t>
      </w:r>
      <w:r>
        <w:rPr>
          <w:rStyle w:val="18"/>
          <w:rFonts w:hint="default" w:ascii="Times New Roman" w:hAnsi="Times New Roman" w:eastAsia="仿宋" w:cs="Times New Roman"/>
          <w:b w:val="0"/>
          <w:bCs/>
          <w:color w:val="auto"/>
          <w:sz w:val="32"/>
          <w:szCs w:val="32"/>
          <w:highlight w:val="none"/>
        </w:rPr>
        <w:t>万元，完成预算</w:t>
      </w:r>
      <w:r>
        <w:rPr>
          <w:rStyle w:val="18"/>
          <w:rFonts w:hint="default" w:ascii="Times New Roman" w:hAnsi="Times New Roman" w:eastAsia="仿宋" w:cs="Times New Roman"/>
          <w:b w:val="0"/>
          <w:bCs/>
          <w:color w:val="auto"/>
          <w:sz w:val="32"/>
          <w:szCs w:val="32"/>
          <w:highlight w:val="none"/>
          <w:lang w:val="en-US" w:eastAsia="zh-CN"/>
        </w:rPr>
        <w:t>100</w:t>
      </w:r>
      <w:r>
        <w:rPr>
          <w:rStyle w:val="18"/>
          <w:rFonts w:hint="default" w:ascii="Times New Roman" w:hAnsi="Times New Roman" w:eastAsia="仿宋" w:cs="Times New Roman"/>
          <w:b w:val="0"/>
          <w:bCs/>
          <w:color w:val="auto"/>
          <w:sz w:val="32"/>
          <w:szCs w:val="32"/>
          <w:highlight w:val="none"/>
        </w:rPr>
        <w:t>%。</w:t>
      </w:r>
    </w:p>
    <w:p w14:paraId="6F7E42D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auto"/>
          <w:sz w:val="32"/>
          <w:szCs w:val="32"/>
          <w:highlight w:val="none"/>
        </w:rPr>
      </w:pPr>
      <w:r>
        <w:rPr>
          <w:rStyle w:val="18"/>
          <w:rFonts w:hint="eastAsia" w:eastAsia="仿宋" w:cs="Times New Roman"/>
          <w:bCs/>
          <w:color w:val="auto"/>
          <w:sz w:val="32"/>
          <w:szCs w:val="32"/>
          <w:highlight w:val="none"/>
          <w:lang w:val="en-US" w:eastAsia="zh-CN"/>
        </w:rPr>
        <w:t>9</w:t>
      </w:r>
      <w:r>
        <w:rPr>
          <w:rStyle w:val="18"/>
          <w:rFonts w:hint="default" w:ascii="Times New Roman" w:hAnsi="Times New Roman" w:eastAsia="仿宋" w:cs="Times New Roman"/>
          <w:bCs/>
          <w:color w:val="auto"/>
          <w:sz w:val="32"/>
          <w:szCs w:val="32"/>
          <w:highlight w:val="none"/>
          <w:lang w:val="en-US" w:eastAsia="zh-CN"/>
        </w:rPr>
        <w:t>.住房保障（类）住房改革支出（款）住房公积金（项）：</w:t>
      </w:r>
      <w:r>
        <w:rPr>
          <w:rStyle w:val="18"/>
          <w:rFonts w:hint="default" w:ascii="Times New Roman" w:hAnsi="Times New Roman" w:eastAsia="仿宋" w:cs="Times New Roman"/>
          <w:b w:val="0"/>
          <w:bCs/>
          <w:color w:val="auto"/>
          <w:sz w:val="32"/>
          <w:szCs w:val="32"/>
          <w:highlight w:val="none"/>
          <w:lang w:val="en-US" w:eastAsia="zh-CN"/>
        </w:rPr>
        <w:t>支出决算为</w:t>
      </w:r>
      <w:r>
        <w:rPr>
          <w:rStyle w:val="18"/>
          <w:rFonts w:hint="eastAsia" w:eastAsia="仿宋" w:cs="Times New Roman"/>
          <w:b w:val="0"/>
          <w:bCs/>
          <w:color w:val="auto"/>
          <w:sz w:val="32"/>
          <w:szCs w:val="32"/>
          <w:highlight w:val="none"/>
          <w:lang w:val="en-US" w:eastAsia="zh-CN"/>
        </w:rPr>
        <w:t>56.66</w:t>
      </w:r>
      <w:r>
        <w:rPr>
          <w:rStyle w:val="18"/>
          <w:rFonts w:hint="default" w:ascii="Times New Roman" w:hAnsi="Times New Roman" w:eastAsia="仿宋" w:cs="Times New Roman"/>
          <w:b w:val="0"/>
          <w:bCs/>
          <w:color w:val="auto"/>
          <w:sz w:val="32"/>
          <w:szCs w:val="32"/>
          <w:highlight w:val="none"/>
          <w:lang w:val="en-US" w:eastAsia="zh-CN"/>
        </w:rPr>
        <w:t>万元，完成预算</w:t>
      </w:r>
      <w:r>
        <w:rPr>
          <w:rStyle w:val="18"/>
          <w:rFonts w:hint="eastAsia" w:eastAsia="仿宋" w:cs="Times New Roman"/>
          <w:b w:val="0"/>
          <w:bCs/>
          <w:color w:val="auto"/>
          <w:sz w:val="32"/>
          <w:szCs w:val="32"/>
          <w:highlight w:val="none"/>
          <w:lang w:val="en-US" w:eastAsia="zh-CN"/>
        </w:rPr>
        <w:t>96.17</w:t>
      </w:r>
      <w:r>
        <w:rPr>
          <w:rStyle w:val="18"/>
          <w:rFonts w:hint="default" w:ascii="Times New Roman" w:hAnsi="Times New Roman" w:eastAsia="仿宋" w:cs="Times New Roman"/>
          <w:b w:val="0"/>
          <w:bCs/>
          <w:color w:val="auto"/>
          <w:sz w:val="32"/>
          <w:szCs w:val="32"/>
          <w:highlight w:val="none"/>
          <w:lang w:val="en-US" w:eastAsia="zh-CN"/>
        </w:rPr>
        <w:t>%，决算数小于预算数的主要原因</w:t>
      </w:r>
      <w:r>
        <w:rPr>
          <w:rStyle w:val="18"/>
          <w:rFonts w:hint="eastAsia" w:eastAsia="仿宋" w:cs="Times New Roman"/>
          <w:b w:val="0"/>
          <w:bCs/>
          <w:color w:val="auto"/>
          <w:sz w:val="32"/>
          <w:szCs w:val="32"/>
          <w:highlight w:val="none"/>
          <w:lang w:val="en-US" w:eastAsia="zh-CN"/>
        </w:rPr>
        <w:t>按省级住房公积金中心核定基数缴纳公积金，比年初预算略有结余</w:t>
      </w:r>
      <w:r>
        <w:rPr>
          <w:rStyle w:val="18"/>
          <w:rFonts w:hint="default" w:ascii="Times New Roman" w:hAnsi="Times New Roman" w:eastAsia="仿宋" w:cs="Times New Roman"/>
          <w:b w:val="0"/>
          <w:bCs/>
          <w:color w:val="auto"/>
          <w:sz w:val="32"/>
          <w:szCs w:val="32"/>
          <w:highlight w:val="none"/>
          <w:lang w:val="en-US" w:eastAsia="zh-CN"/>
        </w:rPr>
        <w:t>。</w:t>
      </w:r>
    </w:p>
    <w:p w14:paraId="2AAFC2F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auto"/>
          <w:sz w:val="32"/>
          <w:szCs w:val="32"/>
          <w:highlight w:val="none"/>
        </w:rPr>
      </w:pPr>
      <w:r>
        <w:rPr>
          <w:rStyle w:val="18"/>
          <w:rFonts w:hint="default" w:ascii="Times New Roman" w:hAnsi="Times New Roman" w:eastAsia="仿宋" w:cs="Times New Roman"/>
          <w:bCs/>
          <w:color w:val="auto"/>
          <w:sz w:val="32"/>
          <w:szCs w:val="32"/>
          <w:highlight w:val="none"/>
          <w:lang w:val="en-US" w:eastAsia="zh-CN"/>
        </w:rPr>
        <w:t>1</w:t>
      </w:r>
      <w:r>
        <w:rPr>
          <w:rStyle w:val="18"/>
          <w:rFonts w:hint="eastAsia" w:eastAsia="仿宋" w:cs="Times New Roman"/>
          <w:bCs/>
          <w:color w:val="auto"/>
          <w:sz w:val="32"/>
          <w:szCs w:val="32"/>
          <w:highlight w:val="none"/>
          <w:lang w:val="en-US" w:eastAsia="zh-CN"/>
        </w:rPr>
        <w:t>0</w:t>
      </w:r>
      <w:r>
        <w:rPr>
          <w:rStyle w:val="18"/>
          <w:rFonts w:hint="default" w:ascii="Times New Roman" w:hAnsi="Times New Roman" w:eastAsia="仿宋" w:cs="Times New Roman"/>
          <w:bCs/>
          <w:color w:val="auto"/>
          <w:sz w:val="32"/>
          <w:szCs w:val="32"/>
          <w:highlight w:val="none"/>
          <w:lang w:val="en-US" w:eastAsia="zh-CN"/>
        </w:rPr>
        <w:t>.住房保障（类）住房改革支出（款）购房补贴（项）:</w:t>
      </w:r>
      <w:r>
        <w:rPr>
          <w:rStyle w:val="18"/>
          <w:rFonts w:hint="default" w:ascii="Times New Roman" w:hAnsi="Times New Roman" w:eastAsia="仿宋" w:cs="Times New Roman"/>
          <w:b w:val="0"/>
          <w:bCs/>
          <w:color w:val="auto"/>
          <w:sz w:val="32"/>
          <w:szCs w:val="32"/>
          <w:highlight w:val="none"/>
          <w:lang w:val="en-US" w:eastAsia="zh-CN"/>
        </w:rPr>
        <w:t>支出决算为</w:t>
      </w:r>
      <w:r>
        <w:rPr>
          <w:rStyle w:val="18"/>
          <w:rFonts w:hint="eastAsia" w:eastAsia="仿宋" w:cs="Times New Roman"/>
          <w:b w:val="0"/>
          <w:bCs/>
          <w:color w:val="auto"/>
          <w:sz w:val="32"/>
          <w:szCs w:val="32"/>
          <w:highlight w:val="none"/>
          <w:lang w:val="en-US" w:eastAsia="zh-CN"/>
        </w:rPr>
        <w:t>79.08</w:t>
      </w:r>
      <w:r>
        <w:rPr>
          <w:rStyle w:val="18"/>
          <w:rFonts w:hint="default" w:ascii="Times New Roman" w:hAnsi="Times New Roman" w:eastAsia="仿宋" w:cs="Times New Roman"/>
          <w:b w:val="0"/>
          <w:bCs/>
          <w:color w:val="auto"/>
          <w:sz w:val="32"/>
          <w:szCs w:val="32"/>
          <w:highlight w:val="none"/>
          <w:lang w:val="en-US" w:eastAsia="zh-CN"/>
        </w:rPr>
        <w:t>万元，完成预算</w:t>
      </w:r>
      <w:r>
        <w:rPr>
          <w:rStyle w:val="18"/>
          <w:rFonts w:hint="eastAsia" w:eastAsia="仿宋" w:cs="Times New Roman"/>
          <w:b w:val="0"/>
          <w:bCs/>
          <w:color w:val="auto"/>
          <w:sz w:val="32"/>
          <w:szCs w:val="32"/>
          <w:highlight w:val="none"/>
          <w:lang w:val="en-US" w:eastAsia="zh-CN"/>
        </w:rPr>
        <w:t>100</w:t>
      </w:r>
      <w:r>
        <w:rPr>
          <w:rStyle w:val="18"/>
          <w:rFonts w:hint="default" w:ascii="Times New Roman" w:hAnsi="Times New Roman" w:eastAsia="仿宋" w:cs="Times New Roman"/>
          <w:b w:val="0"/>
          <w:bCs/>
          <w:color w:val="auto"/>
          <w:sz w:val="32"/>
          <w:szCs w:val="32"/>
          <w:highlight w:val="none"/>
          <w:lang w:val="en-US" w:eastAsia="zh-CN"/>
        </w:rPr>
        <w:t>%。</w:t>
      </w:r>
    </w:p>
    <w:p w14:paraId="3DE87E83">
      <w:pPr>
        <w:keepNext w:val="0"/>
        <w:keepLines w:val="0"/>
        <w:pageBreakBefore w:val="0"/>
        <w:widowControl w:val="0"/>
        <w:tabs>
          <w:tab w:val="right" w:pos="8306"/>
        </w:tabs>
        <w:kinsoku/>
        <w:wordWrap/>
        <w:overflowPunct/>
        <w:topLinePunct w:val="0"/>
        <w:autoSpaceDE/>
        <w:autoSpaceDN/>
        <w:bidi w:val="0"/>
        <w:adjustRightInd/>
        <w:snapToGrid/>
        <w:spacing w:line="600" w:lineRule="exact"/>
        <w:ind w:firstLine="640"/>
        <w:textAlignment w:val="auto"/>
        <w:outlineLvl w:val="1"/>
        <w:rPr>
          <w:rStyle w:val="30"/>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14:paraId="7550D7BB">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一般公共预算财政拨款基本支出</w:t>
      </w:r>
      <w:r>
        <w:rPr>
          <w:rFonts w:hint="default" w:ascii="Times New Roman" w:hAnsi="Times New Roman" w:eastAsia="仿宋" w:cs="Times New Roman"/>
          <w:color w:val="auto"/>
          <w:sz w:val="32"/>
          <w:szCs w:val="32"/>
          <w:highlight w:val="none"/>
          <w:lang w:val="en-US" w:eastAsia="zh-CN"/>
        </w:rPr>
        <w:t>1</w:t>
      </w:r>
      <w:r>
        <w:rPr>
          <w:rFonts w:hint="eastAsia" w:eastAsia="仿宋" w:cs="Times New Roman"/>
          <w:color w:val="auto"/>
          <w:sz w:val="32"/>
          <w:szCs w:val="32"/>
          <w:highlight w:val="none"/>
          <w:lang w:val="en-US" w:eastAsia="zh-CN"/>
        </w:rPr>
        <w:t>274.25</w:t>
      </w:r>
      <w:r>
        <w:rPr>
          <w:rFonts w:hint="default" w:ascii="Times New Roman" w:hAnsi="Times New Roman" w:eastAsia="仿宋" w:cs="Times New Roman"/>
          <w:color w:val="auto"/>
          <w:sz w:val="32"/>
          <w:szCs w:val="32"/>
          <w:highlight w:val="none"/>
        </w:rPr>
        <w:t>万元，其中：</w:t>
      </w:r>
    </w:p>
    <w:p w14:paraId="63AB854F">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color w:val="auto"/>
          <w:sz w:val="32"/>
          <w:szCs w:val="32"/>
          <w:highlight w:val="none"/>
        </w:rPr>
        <w:t>人员经费</w:t>
      </w:r>
      <w:r>
        <w:rPr>
          <w:rFonts w:hint="eastAsia" w:eastAsia="仿宋" w:cs="Times New Roman"/>
          <w:color w:val="auto"/>
          <w:sz w:val="32"/>
          <w:szCs w:val="32"/>
          <w:highlight w:val="none"/>
          <w:lang w:val="en-US" w:eastAsia="zh-CN"/>
        </w:rPr>
        <w:t>968.82</w:t>
      </w:r>
      <w:r>
        <w:rPr>
          <w:rFonts w:hint="default" w:ascii="Times New Roman" w:hAnsi="Times New Roman" w:eastAsia="仿宋" w:cs="Times New Roman"/>
          <w:color w:val="auto"/>
          <w:sz w:val="32"/>
          <w:szCs w:val="32"/>
          <w:highlight w:val="none"/>
        </w:rPr>
        <w:t>万元，主要包括：基本工资、津贴补贴、奖金、机关事业单位基本养老保险缴费、职业年金缴费、其他社会保障缴费、其他工资福利支出、离休费、退休费、生活补助、医疗费补助、奖励金、住房公积金、其他对个人和家庭的补助支出等。</w:t>
      </w:r>
      <w:r>
        <w:rPr>
          <w:rFonts w:hint="default" w:ascii="Times New Roman" w:hAnsi="Times New Roman" w:eastAsia="仿宋" w:cs="Times New Roman"/>
          <w:color w:val="auto"/>
          <w:sz w:val="32"/>
          <w:szCs w:val="32"/>
          <w:highlight w:val="none"/>
        </w:rPr>
        <w:br w:type="textWrapping"/>
      </w:r>
      <w:r>
        <w:rPr>
          <w:rFonts w:hint="default" w:ascii="Times New Roman" w:hAnsi="Times New Roman" w:eastAsia="仿宋" w:cs="Times New Roman"/>
          <w:color w:val="auto"/>
          <w:sz w:val="32"/>
          <w:szCs w:val="32"/>
          <w:highlight w:val="none"/>
        </w:rPr>
        <w:t>　　公用经费</w:t>
      </w:r>
      <w:r>
        <w:rPr>
          <w:rFonts w:hint="eastAsia" w:eastAsia="仿宋" w:cs="Times New Roman"/>
          <w:color w:val="auto"/>
          <w:sz w:val="32"/>
          <w:szCs w:val="32"/>
          <w:highlight w:val="none"/>
          <w:lang w:val="en-US" w:eastAsia="zh-CN"/>
        </w:rPr>
        <w:t>305.43</w:t>
      </w:r>
      <w:r>
        <w:rPr>
          <w:rFonts w:hint="default" w:ascii="Times New Roman" w:hAnsi="Times New Roman" w:eastAsia="仿宋" w:cs="Times New Roman"/>
          <w:color w:val="auto"/>
          <w:sz w:val="32"/>
          <w:szCs w:val="32"/>
          <w:highlight w:val="none"/>
        </w:rPr>
        <w:t>万元，主要包括：办公费、印刷费、水费、电费、邮电费、差旅费、维修（护）费、租赁费、会议费、培训费、公务接待费、劳务费、委托业务费、工会经费、福利费、公务用车运行维护费、其他交通费、其他商品和服务支出、办公设备购置等。</w:t>
      </w:r>
    </w:p>
    <w:p w14:paraId="21CA5CDC">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1"/>
        <w:rPr>
          <w:rStyle w:val="30"/>
          <w:rFonts w:hint="default" w:ascii="Times New Roman" w:hAnsi="Times New Roman" w:eastAsia="黑体" w:cs="Times New Roman"/>
          <w:b w:val="0"/>
          <w:color w:val="auto"/>
          <w:highlight w:val="none"/>
        </w:rPr>
      </w:pPr>
      <w:bookmarkStart w:id="36" w:name="_Toc15377215"/>
      <w:bookmarkStart w:id="37" w:name="_Toc15396609"/>
      <w:r>
        <w:rPr>
          <w:rFonts w:hint="default" w:ascii="Times New Roman" w:hAnsi="Times New Roman" w:eastAsia="黑体" w:cs="Times New Roman"/>
          <w:color w:val="auto"/>
          <w:sz w:val="32"/>
          <w:szCs w:val="32"/>
          <w:highlight w:val="none"/>
        </w:rPr>
        <w:t>七、</w:t>
      </w:r>
      <w:r>
        <w:rPr>
          <w:rStyle w:val="30"/>
          <w:rFonts w:hint="default" w:ascii="Times New Roman" w:hAnsi="Times New Roman" w:eastAsia="黑体" w:cs="Times New Roman"/>
          <w:b w:val="0"/>
          <w:color w:val="auto"/>
          <w:highlight w:val="none"/>
        </w:rPr>
        <w:t>财政拨款</w:t>
      </w:r>
      <w:r>
        <w:rPr>
          <w:rStyle w:val="30"/>
          <w:rFonts w:hint="default" w:ascii="Times New Roman" w:hAnsi="Times New Roman" w:eastAsia="黑体" w:cs="Times New Roman"/>
          <w:color w:val="auto"/>
          <w:highlight w:val="none"/>
        </w:rPr>
        <w:t>“</w:t>
      </w:r>
      <w:r>
        <w:rPr>
          <w:rStyle w:val="30"/>
          <w:rFonts w:hint="default" w:ascii="Times New Roman" w:hAnsi="Times New Roman" w:eastAsia="黑体" w:cs="Times New Roman"/>
          <w:b w:val="0"/>
          <w:color w:val="auto"/>
          <w:highlight w:val="none"/>
        </w:rPr>
        <w:t>三公”经费支出决算情况说明</w:t>
      </w:r>
      <w:bookmarkEnd w:id="36"/>
      <w:bookmarkEnd w:id="37"/>
    </w:p>
    <w:p w14:paraId="5B2F6EA4">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2"/>
        <w:rPr>
          <w:rFonts w:hint="default" w:ascii="Times New Roman" w:hAnsi="Times New Roman" w:eastAsia="仿宋" w:cs="Times New Roman"/>
          <w:b/>
          <w:color w:val="auto"/>
          <w:sz w:val="32"/>
          <w:szCs w:val="32"/>
          <w:highlight w:val="none"/>
        </w:rPr>
      </w:pPr>
      <w:bookmarkStart w:id="38" w:name="_Toc15377216"/>
      <w:r>
        <w:rPr>
          <w:rFonts w:hint="default" w:ascii="Times New Roman" w:hAnsi="Times New Roman" w:eastAsia="仿宋" w:cs="Times New Roman"/>
          <w:b/>
          <w:color w:val="auto"/>
          <w:sz w:val="32"/>
          <w:szCs w:val="32"/>
          <w:highlight w:val="none"/>
        </w:rPr>
        <w:t>（一）“三公”经费财政拨款支出决算总体情况说明</w:t>
      </w:r>
      <w:bookmarkEnd w:id="38"/>
    </w:p>
    <w:p w14:paraId="3CE805C9">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“三公”经费财政拨款支出决算为</w:t>
      </w:r>
      <w:r>
        <w:rPr>
          <w:rFonts w:hint="default" w:ascii="Times New Roman" w:hAnsi="Times New Roman" w:eastAsia="仿宋" w:cs="Times New Roman"/>
          <w:color w:val="auto"/>
          <w:sz w:val="32"/>
          <w:szCs w:val="32"/>
          <w:highlight w:val="none"/>
          <w:lang w:val="en-US" w:eastAsia="zh-CN"/>
        </w:rPr>
        <w:t>13.</w:t>
      </w:r>
      <w:r>
        <w:rPr>
          <w:rFonts w:hint="eastAsia" w:eastAsia="仿宋" w:cs="Times New Roman"/>
          <w:color w:val="auto"/>
          <w:sz w:val="32"/>
          <w:szCs w:val="32"/>
          <w:highlight w:val="none"/>
          <w:lang w:val="en-US" w:eastAsia="zh-CN"/>
        </w:rPr>
        <w:t>8</w:t>
      </w:r>
      <w:r>
        <w:rPr>
          <w:rFonts w:hint="default" w:ascii="Times New Roman" w:hAnsi="Times New Roman" w:eastAsia="仿宋" w:cs="Times New Roman"/>
          <w:color w:val="auto"/>
          <w:sz w:val="32"/>
          <w:szCs w:val="32"/>
          <w:highlight w:val="none"/>
        </w:rPr>
        <w:t>万元，完成预算</w:t>
      </w:r>
      <w:r>
        <w:rPr>
          <w:rFonts w:hint="eastAsia" w:eastAsia="仿宋" w:cs="Times New Roman"/>
          <w:color w:val="auto"/>
          <w:sz w:val="32"/>
          <w:szCs w:val="32"/>
          <w:highlight w:val="none"/>
          <w:lang w:val="en-US" w:eastAsia="zh-CN"/>
        </w:rPr>
        <w:t>98.57</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较上年度增加</w:t>
      </w:r>
      <w:r>
        <w:rPr>
          <w:rFonts w:hint="eastAsia" w:eastAsia="仿宋" w:cs="Times New Roman"/>
          <w:color w:val="auto"/>
          <w:sz w:val="32"/>
          <w:szCs w:val="32"/>
          <w:highlight w:val="none"/>
          <w:lang w:val="en-US" w:eastAsia="zh-CN"/>
        </w:rPr>
        <w:t>0.05</w:t>
      </w:r>
      <w:r>
        <w:rPr>
          <w:rFonts w:hint="default" w:ascii="Times New Roman" w:hAnsi="Times New Roman" w:eastAsia="仿宋" w:cs="Times New Roman"/>
          <w:color w:val="auto"/>
          <w:sz w:val="32"/>
          <w:szCs w:val="32"/>
          <w:highlight w:val="none"/>
          <w:lang w:val="en-US" w:eastAsia="zh-CN"/>
        </w:rPr>
        <w:t>万元，增长</w:t>
      </w:r>
      <w:r>
        <w:rPr>
          <w:rFonts w:hint="eastAsia" w:eastAsia="仿宋" w:cs="Times New Roman"/>
          <w:color w:val="auto"/>
          <w:sz w:val="32"/>
          <w:szCs w:val="32"/>
          <w:highlight w:val="none"/>
          <w:lang w:val="en-US" w:eastAsia="zh-CN"/>
        </w:rPr>
        <w:t>0.36</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决算数小于预算数的主要原因是</w:t>
      </w:r>
      <w:r>
        <w:rPr>
          <w:rFonts w:hint="default" w:ascii="Times New Roman" w:hAnsi="Times New Roman" w:eastAsia="仿宋" w:cs="Times New Roman"/>
          <w:color w:val="auto"/>
          <w:sz w:val="32"/>
          <w:szCs w:val="32"/>
          <w:highlight w:val="none"/>
          <w:lang w:eastAsia="zh-CN"/>
        </w:rPr>
        <w:t>厉行节约，</w:t>
      </w:r>
      <w:r>
        <w:rPr>
          <w:rFonts w:hint="eastAsia" w:eastAsia="仿宋" w:cs="Times New Roman"/>
          <w:color w:val="auto"/>
          <w:sz w:val="32"/>
          <w:szCs w:val="32"/>
          <w:highlight w:val="none"/>
          <w:lang w:val="en-US" w:eastAsia="zh-CN"/>
        </w:rPr>
        <w:t>缩减开支</w:t>
      </w:r>
      <w:r>
        <w:rPr>
          <w:rFonts w:hint="default" w:ascii="Times New Roman" w:hAnsi="Times New Roman" w:eastAsia="仿宋" w:cs="Times New Roman"/>
          <w:color w:val="auto"/>
          <w:sz w:val="32"/>
          <w:szCs w:val="32"/>
          <w:highlight w:val="none"/>
        </w:rPr>
        <w:t>。</w:t>
      </w:r>
    </w:p>
    <w:p w14:paraId="261A3807">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2"/>
        <w:rPr>
          <w:rFonts w:hint="default" w:ascii="Times New Roman" w:hAnsi="Times New Roman" w:eastAsia="仿宋" w:cs="Times New Roman"/>
          <w:b/>
          <w:color w:val="auto"/>
          <w:sz w:val="32"/>
          <w:szCs w:val="32"/>
          <w:highlight w:val="none"/>
        </w:rPr>
      </w:pPr>
      <w:bookmarkStart w:id="39" w:name="_Toc15377217"/>
      <w:r>
        <w:rPr>
          <w:rFonts w:hint="default" w:ascii="Times New Roman" w:hAnsi="Times New Roman" w:eastAsia="仿宋" w:cs="Times New Roman"/>
          <w:b/>
          <w:color w:val="auto"/>
          <w:sz w:val="32"/>
          <w:szCs w:val="32"/>
          <w:highlight w:val="none"/>
        </w:rPr>
        <w:t>（二）“三公”经费财政拨款支出决算具体情况说明</w:t>
      </w:r>
      <w:bookmarkEnd w:id="39"/>
    </w:p>
    <w:p w14:paraId="2C060010">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“三公”经费财政拨款支出决算中，因公出国（境）费支出决算</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%；公务用车购置及运行维护费支出决算</w:t>
      </w:r>
      <w:r>
        <w:rPr>
          <w:rFonts w:hint="eastAsia" w:eastAsia="仿宋" w:cs="Times New Roman"/>
          <w:color w:val="auto"/>
          <w:sz w:val="32"/>
          <w:szCs w:val="32"/>
          <w:highlight w:val="none"/>
          <w:lang w:val="en-US" w:eastAsia="zh-CN"/>
        </w:rPr>
        <w:t>8.8</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63.77</w:t>
      </w:r>
      <w:r>
        <w:rPr>
          <w:rFonts w:hint="default" w:ascii="Times New Roman" w:hAnsi="Times New Roman" w:eastAsia="仿宋" w:cs="Times New Roman"/>
          <w:color w:val="auto"/>
          <w:sz w:val="32"/>
          <w:szCs w:val="32"/>
          <w:highlight w:val="none"/>
        </w:rPr>
        <w:t>%；公务接待费支出决算</w:t>
      </w:r>
      <w:r>
        <w:rPr>
          <w:rFonts w:hint="eastAsia"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36.23</w:t>
      </w:r>
      <w:r>
        <w:rPr>
          <w:rFonts w:hint="default" w:ascii="Times New Roman" w:hAnsi="Times New Roman" w:eastAsia="仿宋" w:cs="Times New Roman"/>
          <w:color w:val="auto"/>
          <w:sz w:val="32"/>
          <w:szCs w:val="32"/>
          <w:highlight w:val="none"/>
        </w:rPr>
        <w:t>%。具体情况如下：</w:t>
      </w:r>
    </w:p>
    <w:p w14:paraId="7D52B1D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图7：“三公”经费财政拨款支出结构</w:t>
      </w:r>
    </w:p>
    <w:p w14:paraId="79D00480">
      <w:pPr>
        <w:keepNext w:val="0"/>
        <w:keepLines w:val="0"/>
        <w:pageBreakBefore w:val="0"/>
        <w:widowControl w:val="0"/>
        <w:kinsoku/>
        <w:wordWrap/>
        <w:overflowPunct/>
        <w:topLinePunct w:val="0"/>
        <w:autoSpaceDE/>
        <w:autoSpaceDN/>
        <w:bidi w:val="0"/>
        <w:adjustRightInd/>
        <w:snapToGrid/>
        <w:spacing w:line="720" w:lineRule="auto"/>
        <w:ind w:firstLine="641"/>
        <w:textAlignment w:val="auto"/>
        <w:rPr>
          <w:rFonts w:hint="eastAsia" w:ascii="仿宋" w:hAnsi="仿宋" w:eastAsia="仿宋"/>
          <w:color w:val="auto"/>
          <w:sz w:val="32"/>
          <w:szCs w:val="32"/>
          <w:highlight w:val="none"/>
        </w:rPr>
      </w:pPr>
      <w:r>
        <w:rPr>
          <w:rFonts w:hint="eastAsia" w:ascii="仿宋_GB2312" w:eastAsia="仿宋_GB2312"/>
          <w:color w:val="000000"/>
          <w:sz w:val="32"/>
          <w:szCs w:val="32"/>
        </w:rPr>
        <w:drawing>
          <wp:anchor distT="0" distB="0" distL="114300" distR="114300" simplePos="0" relativeHeight="251665408" behindDoc="0" locked="0" layoutInCell="1" allowOverlap="1">
            <wp:simplePos x="0" y="0"/>
            <wp:positionH relativeFrom="column">
              <wp:posOffset>575945</wp:posOffset>
            </wp:positionH>
            <wp:positionV relativeFrom="paragraph">
              <wp:posOffset>128270</wp:posOffset>
            </wp:positionV>
            <wp:extent cx="4326890" cy="1930400"/>
            <wp:effectExtent l="4445" t="4445" r="12065" b="8255"/>
            <wp:wrapSquare wrapText="bothSides"/>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14:paraId="2FA5FF6B">
      <w:pPr>
        <w:keepNext w:val="0"/>
        <w:keepLines w:val="0"/>
        <w:pageBreakBefore w:val="0"/>
        <w:widowControl w:val="0"/>
        <w:kinsoku/>
        <w:wordWrap/>
        <w:overflowPunct/>
        <w:topLinePunct w:val="0"/>
        <w:autoSpaceDE/>
        <w:autoSpaceDN/>
        <w:bidi w:val="0"/>
        <w:adjustRightInd/>
        <w:snapToGrid/>
        <w:spacing w:line="720" w:lineRule="auto"/>
        <w:ind w:firstLine="641"/>
        <w:textAlignment w:val="auto"/>
        <w:rPr>
          <w:rFonts w:hint="eastAsia" w:ascii="仿宋" w:hAnsi="仿宋" w:eastAsia="仿宋"/>
          <w:color w:val="auto"/>
          <w:sz w:val="32"/>
          <w:szCs w:val="32"/>
          <w:highlight w:val="none"/>
        </w:rPr>
      </w:pPr>
    </w:p>
    <w:p w14:paraId="7C8B3AD3">
      <w:pPr>
        <w:keepNext w:val="0"/>
        <w:keepLines w:val="0"/>
        <w:pageBreakBefore w:val="0"/>
        <w:widowControl w:val="0"/>
        <w:kinsoku/>
        <w:wordWrap/>
        <w:overflowPunct/>
        <w:topLinePunct w:val="0"/>
        <w:autoSpaceDE/>
        <w:autoSpaceDN/>
        <w:bidi w:val="0"/>
        <w:adjustRightInd/>
        <w:snapToGrid/>
        <w:spacing w:line="720" w:lineRule="auto"/>
        <w:ind w:firstLine="641"/>
        <w:textAlignment w:val="auto"/>
        <w:rPr>
          <w:rFonts w:hint="eastAsia" w:ascii="仿宋" w:hAnsi="仿宋" w:eastAsia="仿宋"/>
          <w:color w:val="auto"/>
          <w:sz w:val="32"/>
          <w:szCs w:val="32"/>
          <w:highlight w:val="none"/>
        </w:rPr>
      </w:pPr>
    </w:p>
    <w:p w14:paraId="1E826110">
      <w:pPr>
        <w:spacing w:line="600" w:lineRule="exact"/>
        <w:ind w:firstLine="640"/>
        <w:rPr>
          <w:rFonts w:ascii="仿宋_GB2312" w:eastAsia="仿宋_GB2312"/>
          <w:b/>
          <w:color w:val="auto"/>
          <w:sz w:val="32"/>
          <w:szCs w:val="32"/>
          <w:highlight w:val="none"/>
        </w:rPr>
      </w:pPr>
    </w:p>
    <w:p w14:paraId="2BB700FB">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1.因公出国（境）经费支出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Style w:val="18"/>
          <w:rFonts w:hint="default" w:ascii="Times New Roman" w:hAnsi="Times New Roman" w:eastAsia="仿宋" w:cs="Times New Roman"/>
          <w:b w:val="0"/>
          <w:bCs/>
          <w:color w:val="auto"/>
          <w:sz w:val="32"/>
          <w:szCs w:val="32"/>
          <w:highlight w:val="none"/>
        </w:rPr>
        <w:t>。</w:t>
      </w:r>
    </w:p>
    <w:p w14:paraId="6E896645">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t>2.公务用车购置及运行维护费支出</w:t>
      </w:r>
      <w:r>
        <w:rPr>
          <w:rFonts w:hint="eastAsia" w:ascii="Times New Roman" w:hAnsi="Times New Roman" w:eastAsia="仿宋_GB2312" w:cs="Times New Roman"/>
          <w:color w:val="auto"/>
          <w:sz w:val="32"/>
          <w:szCs w:val="32"/>
          <w:highlight w:val="none"/>
          <w:lang w:val="en-US" w:eastAsia="zh-CN"/>
        </w:rPr>
        <w:t>8.8</w:t>
      </w:r>
      <w:r>
        <w:rPr>
          <w:rFonts w:hint="default" w:ascii="Times New Roman" w:hAnsi="Times New Roman" w:eastAsia="仿宋_GB2312" w:cs="Times New Roman"/>
          <w:color w:val="auto"/>
          <w:sz w:val="32"/>
          <w:szCs w:val="32"/>
          <w:highlight w:val="none"/>
        </w:rPr>
        <w:t>万元,</w:t>
      </w:r>
      <w:r>
        <w:rPr>
          <w:rStyle w:val="18"/>
          <w:rFonts w:hint="default" w:ascii="Times New Roman" w:hAnsi="Times New Roman" w:eastAsia="仿宋" w:cs="Times New Roman"/>
          <w:b w:val="0"/>
          <w:bCs/>
          <w:color w:val="auto"/>
          <w:sz w:val="32"/>
          <w:szCs w:val="32"/>
          <w:highlight w:val="none"/>
        </w:rPr>
        <w:t>完成预算</w:t>
      </w:r>
      <w:r>
        <w:rPr>
          <w:rStyle w:val="18"/>
          <w:rFonts w:hint="eastAsia" w:eastAsia="仿宋" w:cs="Times New Roman"/>
          <w:b w:val="0"/>
          <w:bCs/>
          <w:color w:val="auto"/>
          <w:sz w:val="32"/>
          <w:szCs w:val="32"/>
          <w:highlight w:val="none"/>
          <w:lang w:val="en-US" w:eastAsia="zh-CN"/>
        </w:rPr>
        <w:t>97.78</w:t>
      </w:r>
      <w:r>
        <w:rPr>
          <w:rStyle w:val="18"/>
          <w:rFonts w:hint="default" w:ascii="Times New Roman" w:hAnsi="Times New Roman" w:eastAsia="仿宋" w:cs="Times New Roman"/>
          <w:b w:val="0"/>
          <w:bCs/>
          <w:color w:val="auto"/>
          <w:sz w:val="32"/>
          <w:szCs w:val="32"/>
          <w:highlight w:val="none"/>
        </w:rPr>
        <w:t>%。</w:t>
      </w:r>
      <w:r>
        <w:rPr>
          <w:rFonts w:hint="default" w:ascii="Times New Roman" w:hAnsi="Times New Roman" w:eastAsia="仿宋_GB2312" w:cs="Times New Roman"/>
          <w:color w:val="auto"/>
          <w:sz w:val="32"/>
          <w:szCs w:val="32"/>
          <w:highlight w:val="none"/>
        </w:rPr>
        <w:t>公务用车购置及运行维护费支出决算比</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eastAsia" w:eastAsia="仿宋_GB2312" w:cs="Times New Roman"/>
          <w:color w:val="auto"/>
          <w:sz w:val="32"/>
          <w:szCs w:val="32"/>
          <w:highlight w:val="none"/>
          <w:lang w:val="en-US" w:eastAsia="zh-CN"/>
        </w:rPr>
        <w:t>减少1.12</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val="en-US" w:eastAsia="zh-CN"/>
        </w:rPr>
        <w:t>下降11.29</w:t>
      </w:r>
      <w:r>
        <w:rPr>
          <w:rFonts w:hint="default" w:ascii="Times New Roman" w:hAnsi="Times New Roman" w:eastAsia="仿宋_GB2312" w:cs="Times New Roman"/>
          <w:color w:val="auto"/>
          <w:sz w:val="32"/>
          <w:szCs w:val="32"/>
          <w:highlight w:val="none"/>
        </w:rPr>
        <w:t>%。主要原因是</w:t>
      </w:r>
      <w:r>
        <w:rPr>
          <w:rFonts w:hint="eastAsia" w:eastAsia="仿宋_GB2312" w:cs="Times New Roman"/>
          <w:color w:val="auto"/>
          <w:sz w:val="32"/>
          <w:szCs w:val="32"/>
          <w:highlight w:val="none"/>
          <w:lang w:val="en-US" w:eastAsia="zh-CN"/>
        </w:rPr>
        <w:t>厉行节约。缩减开支</w:t>
      </w:r>
      <w:r>
        <w:rPr>
          <w:rFonts w:hint="default" w:ascii="Times New Roman" w:hAnsi="Times New Roman" w:eastAsia="仿宋_GB2312" w:cs="Times New Roman"/>
          <w:color w:val="auto"/>
          <w:sz w:val="32"/>
          <w:szCs w:val="32"/>
          <w:highlight w:val="none"/>
        </w:rPr>
        <w:t>。</w:t>
      </w:r>
    </w:p>
    <w:p w14:paraId="2FBE18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color w:val="auto"/>
          <w:sz w:val="32"/>
          <w:szCs w:val="32"/>
          <w:highlight w:val="none"/>
          <w:lang w:eastAsia="zh-CN"/>
        </w:rPr>
      </w:pPr>
      <w:r>
        <w:rPr>
          <w:rFonts w:hint="default" w:ascii="Times New Roman" w:hAnsi="Times New Roman" w:eastAsia="仿宋_GB2312" w:cs="Times New Roman"/>
          <w:color w:val="auto"/>
          <w:sz w:val="32"/>
          <w:szCs w:val="32"/>
          <w:highlight w:val="none"/>
        </w:rPr>
        <w:t>其中：</w:t>
      </w:r>
      <w:r>
        <w:rPr>
          <w:rFonts w:hint="default" w:ascii="Times New Roman" w:hAnsi="Times New Roman" w:eastAsia="仿宋_GB2312" w:cs="Times New Roman"/>
          <w:b/>
          <w:color w:val="auto"/>
          <w:sz w:val="32"/>
          <w:szCs w:val="32"/>
          <w:highlight w:val="none"/>
        </w:rPr>
        <w:t>公务用车购置支出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全年按规定更新购置公务用车</w:t>
      </w:r>
      <w:r>
        <w:rPr>
          <w:rFonts w:hint="default" w:ascii="Times New Roman" w:hAnsi="Times New Roman" w:eastAsia="仿宋_GB2312" w:cs="Times New Roman"/>
          <w:color w:val="auto"/>
          <w:sz w:val="32"/>
          <w:szCs w:val="32"/>
          <w:highlight w:val="none"/>
          <w:lang w:val="en-US"/>
        </w:rPr>
        <w:t>0</w:t>
      </w:r>
      <w:r>
        <w:rPr>
          <w:rFonts w:hint="default" w:ascii="Times New Roman" w:hAnsi="Times New Roman" w:eastAsia="仿宋_GB2312" w:cs="Times New Roman"/>
          <w:color w:val="auto"/>
          <w:sz w:val="32"/>
          <w:szCs w:val="32"/>
          <w:highlight w:val="none"/>
        </w:rPr>
        <w:t>辆。截至20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年12月底，</w:t>
      </w:r>
      <w:r>
        <w:rPr>
          <w:rFonts w:hint="default" w:ascii="Times New Roman" w:hAnsi="Times New Roman" w:eastAsia="仿宋_GB2312" w:cs="Times New Roman"/>
          <w:color w:val="auto"/>
          <w:sz w:val="32"/>
          <w:szCs w:val="32"/>
          <w:highlight w:val="none"/>
          <w:lang w:eastAsia="zh-CN"/>
        </w:rPr>
        <w:t>民革四川省委会</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rPr>
        <w:t>共有公务用车</w:t>
      </w:r>
      <w:r>
        <w:rPr>
          <w:rFonts w:hint="default" w:ascii="Times New Roman" w:hAnsi="Times New Roman" w:eastAsia="仿宋_GB2312" w:cs="Times New Roman"/>
          <w:color w:val="auto"/>
          <w:sz w:val="32"/>
          <w:szCs w:val="32"/>
          <w:highlight w:val="none"/>
          <w:lang w:val="en-US"/>
        </w:rPr>
        <w:t>3</w:t>
      </w:r>
      <w:r>
        <w:rPr>
          <w:rFonts w:hint="default" w:ascii="Times New Roman" w:hAnsi="Times New Roman" w:eastAsia="仿宋_GB2312" w:cs="Times New Roman"/>
          <w:color w:val="auto"/>
          <w:sz w:val="32"/>
          <w:szCs w:val="32"/>
          <w:highlight w:val="none"/>
        </w:rPr>
        <w:t>辆，其中：轿车</w:t>
      </w:r>
      <w:r>
        <w:rPr>
          <w:rFonts w:hint="default" w:ascii="Times New Roman" w:hAnsi="Times New Roman" w:eastAsia="仿宋_GB2312" w:cs="Times New Roman"/>
          <w:color w:val="auto"/>
          <w:sz w:val="32"/>
          <w:szCs w:val="32"/>
          <w:highlight w:val="none"/>
          <w:lang w:val="en-US"/>
        </w:rPr>
        <w:t>2</w:t>
      </w:r>
      <w:r>
        <w:rPr>
          <w:rFonts w:hint="default" w:ascii="Times New Roman" w:hAnsi="Times New Roman" w:eastAsia="仿宋_GB2312" w:cs="Times New Roman"/>
          <w:color w:val="auto"/>
          <w:sz w:val="32"/>
          <w:szCs w:val="32"/>
          <w:highlight w:val="none"/>
        </w:rPr>
        <w:t>辆、越野车</w:t>
      </w:r>
      <w:r>
        <w:rPr>
          <w:rFonts w:hint="default" w:ascii="Times New Roman" w:hAnsi="Times New Roman" w:eastAsia="仿宋_GB2312" w:cs="Times New Roman"/>
          <w:color w:val="auto"/>
          <w:sz w:val="32"/>
          <w:szCs w:val="32"/>
          <w:highlight w:val="none"/>
          <w:lang w:val="en-US"/>
        </w:rPr>
        <w:t>0</w:t>
      </w:r>
      <w:r>
        <w:rPr>
          <w:rFonts w:hint="default" w:ascii="Times New Roman" w:hAnsi="Times New Roman" w:eastAsia="仿宋_GB2312" w:cs="Times New Roman"/>
          <w:color w:val="auto"/>
          <w:sz w:val="32"/>
          <w:szCs w:val="32"/>
          <w:highlight w:val="none"/>
        </w:rPr>
        <w:t>辆、载客汽车</w:t>
      </w:r>
      <w:r>
        <w:rPr>
          <w:rFonts w:hint="default" w:ascii="Times New Roman" w:hAnsi="Times New Roman" w:eastAsia="仿宋_GB2312" w:cs="Times New Roman"/>
          <w:color w:val="auto"/>
          <w:sz w:val="32"/>
          <w:szCs w:val="32"/>
          <w:highlight w:val="none"/>
          <w:lang w:val="en-US"/>
        </w:rPr>
        <w:t>1</w:t>
      </w:r>
      <w:r>
        <w:rPr>
          <w:rFonts w:hint="default" w:ascii="Times New Roman" w:hAnsi="Times New Roman" w:eastAsia="仿宋_GB2312" w:cs="Times New Roman"/>
          <w:color w:val="auto"/>
          <w:sz w:val="32"/>
          <w:szCs w:val="32"/>
          <w:highlight w:val="none"/>
        </w:rPr>
        <w:t>辆。</w:t>
      </w:r>
    </w:p>
    <w:p w14:paraId="2D5FBFDC">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公务用车运行维护费支出</w:t>
      </w:r>
      <w:r>
        <w:rPr>
          <w:rFonts w:hint="eastAsia" w:eastAsia="仿宋_GB2312" w:cs="Times New Roman"/>
          <w:color w:val="auto"/>
          <w:sz w:val="32"/>
          <w:szCs w:val="32"/>
          <w:highlight w:val="none"/>
          <w:lang w:val="en-US" w:eastAsia="zh-CN"/>
        </w:rPr>
        <w:t>8.8</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000000"/>
          <w:sz w:val="32"/>
          <w:szCs w:val="32"/>
        </w:rPr>
        <w:t>主要用于</w:t>
      </w:r>
      <w:r>
        <w:rPr>
          <w:rFonts w:hint="default" w:ascii="Times New Roman" w:hAnsi="Times New Roman" w:eastAsia="仿宋" w:cs="Times New Roman"/>
          <w:sz w:val="32"/>
          <w:szCs w:val="32"/>
        </w:rPr>
        <w:t>民革四川省委</w:t>
      </w:r>
      <w:r>
        <w:rPr>
          <w:rFonts w:hint="default" w:ascii="Times New Roman" w:hAnsi="Times New Roman" w:eastAsia="仿宋" w:cs="Times New Roman"/>
          <w:sz w:val="32"/>
          <w:szCs w:val="32"/>
          <w:lang w:eastAsia="zh-CN"/>
        </w:rPr>
        <w:t>会</w:t>
      </w:r>
      <w:r>
        <w:rPr>
          <w:rFonts w:hint="eastAsia" w:eastAsia="仿宋" w:cs="Times New Roman"/>
          <w:sz w:val="32"/>
          <w:szCs w:val="32"/>
          <w:lang w:val="en-US" w:eastAsia="zh-CN"/>
        </w:rPr>
        <w:t>机关</w:t>
      </w:r>
      <w:r>
        <w:rPr>
          <w:rFonts w:hint="default" w:ascii="Times New Roman" w:hAnsi="Times New Roman" w:eastAsia="仿宋" w:cs="Times New Roman"/>
          <w:sz w:val="32"/>
          <w:szCs w:val="32"/>
        </w:rPr>
        <w:t>与各地市州民革组织工作联系、课题调研、民革工作宣传报道、开会、培训及公务接待工作</w:t>
      </w:r>
      <w:r>
        <w:rPr>
          <w:rFonts w:hint="default" w:ascii="Times New Roman" w:hAnsi="Times New Roman" w:eastAsia="仿宋_GB2312" w:cs="Times New Roman"/>
          <w:color w:val="000000"/>
          <w:sz w:val="32"/>
          <w:szCs w:val="32"/>
        </w:rPr>
        <w:t>等所需的公务用车燃料费、维修费、过路过桥费、保险费等支出。</w:t>
      </w:r>
    </w:p>
    <w:p w14:paraId="4F6A0620">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3.公务接待费支出</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万元，</w:t>
      </w:r>
      <w:r>
        <w:rPr>
          <w:rStyle w:val="18"/>
          <w:rFonts w:hint="default" w:ascii="Times New Roman" w:hAnsi="Times New Roman" w:eastAsia="仿宋" w:cs="Times New Roman"/>
          <w:b w:val="0"/>
          <w:bCs/>
          <w:color w:val="auto"/>
          <w:sz w:val="32"/>
          <w:szCs w:val="32"/>
          <w:highlight w:val="none"/>
        </w:rPr>
        <w:t>完成预算</w:t>
      </w:r>
      <w:r>
        <w:rPr>
          <w:rStyle w:val="18"/>
          <w:rFonts w:hint="eastAsia" w:eastAsia="仿宋" w:cs="Times New Roman"/>
          <w:b w:val="0"/>
          <w:bCs/>
          <w:color w:val="auto"/>
          <w:sz w:val="32"/>
          <w:szCs w:val="32"/>
          <w:highlight w:val="none"/>
          <w:lang w:val="en-US" w:eastAsia="zh-CN"/>
        </w:rPr>
        <w:t>100</w:t>
      </w:r>
      <w:r>
        <w:rPr>
          <w:rStyle w:val="18"/>
          <w:rFonts w:hint="default" w:ascii="Times New Roman" w:hAnsi="Times New Roman" w:eastAsia="仿宋" w:cs="Times New Roman"/>
          <w:b w:val="0"/>
          <w:bCs/>
          <w:color w:val="auto"/>
          <w:sz w:val="32"/>
          <w:szCs w:val="32"/>
          <w:highlight w:val="none"/>
        </w:rPr>
        <w:t>%。</w:t>
      </w:r>
      <w:r>
        <w:rPr>
          <w:rFonts w:hint="default" w:ascii="Times New Roman" w:hAnsi="Times New Roman" w:eastAsia="仿宋_GB2312" w:cs="Times New Roman"/>
          <w:color w:val="auto"/>
          <w:sz w:val="32"/>
          <w:szCs w:val="32"/>
          <w:highlight w:val="none"/>
        </w:rPr>
        <w:t>公务接待费支出决算比</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增加</w:t>
      </w: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rPr>
        <w:t>万元，增长</w:t>
      </w:r>
      <w:r>
        <w:rPr>
          <w:rFonts w:hint="eastAsia" w:eastAsia="仿宋_GB2312" w:cs="Times New Roman"/>
          <w:color w:val="auto"/>
          <w:sz w:val="32"/>
          <w:szCs w:val="32"/>
          <w:highlight w:val="none"/>
          <w:lang w:val="en-US" w:eastAsia="zh-CN"/>
        </w:rPr>
        <w:t>30.5</w:t>
      </w:r>
      <w:r>
        <w:rPr>
          <w:rFonts w:hint="default" w:ascii="Times New Roman" w:hAnsi="Times New Roman" w:eastAsia="仿宋_GB2312" w:cs="Times New Roman"/>
          <w:color w:val="auto"/>
          <w:sz w:val="32"/>
          <w:szCs w:val="32"/>
          <w:highlight w:val="none"/>
        </w:rPr>
        <w:t>%。主要原因是</w:t>
      </w:r>
      <w:r>
        <w:rPr>
          <w:rFonts w:hint="eastAsia" w:eastAsia="仿宋_GB2312" w:cs="Times New Roman"/>
          <w:color w:val="auto"/>
          <w:sz w:val="32"/>
          <w:szCs w:val="32"/>
          <w:highlight w:val="none"/>
          <w:lang w:val="en-US" w:eastAsia="zh-CN"/>
        </w:rPr>
        <w:t>接待台湾杰青团</w:t>
      </w:r>
      <w:r>
        <w:rPr>
          <w:rFonts w:hint="default" w:ascii="Times New Roman" w:hAnsi="Times New Roman" w:eastAsia="仿宋_GB2312" w:cs="Times New Roman"/>
          <w:color w:val="auto"/>
          <w:sz w:val="32"/>
          <w:szCs w:val="32"/>
          <w:highlight w:val="none"/>
        </w:rPr>
        <w:t>。其中：</w:t>
      </w:r>
    </w:p>
    <w:p w14:paraId="67A1BA74">
      <w:pPr>
        <w:keepNext w:val="0"/>
        <w:keepLines w:val="0"/>
        <w:pageBreakBefore w:val="0"/>
        <w:kinsoku/>
        <w:wordWrap/>
        <w:overflowPunct/>
        <w:topLinePunct w:val="0"/>
        <w:bidi w:val="0"/>
        <w:snapToGrid/>
        <w:spacing w:line="60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 w:cs="Times New Roman"/>
          <w:b/>
          <w:color w:val="auto"/>
          <w:sz w:val="32"/>
          <w:szCs w:val="32"/>
          <w:highlight w:val="none"/>
        </w:rPr>
        <w:t>国内公务接待支出</w:t>
      </w:r>
      <w:r>
        <w:rPr>
          <w:rFonts w:hint="eastAsia" w:eastAsia="仿宋" w:cs="Times New Roman"/>
          <w:color w:val="auto"/>
          <w:sz w:val="32"/>
          <w:szCs w:val="32"/>
          <w:highlight w:val="none"/>
          <w:lang w:val="en-US" w:eastAsia="zh-CN"/>
        </w:rPr>
        <w:t>2.32</w:t>
      </w:r>
      <w:r>
        <w:rPr>
          <w:rFonts w:hint="default" w:ascii="Times New Roman" w:hAnsi="Times New Roman" w:eastAsia="仿宋_GB2312" w:cs="Times New Roman"/>
          <w:color w:val="auto"/>
          <w:sz w:val="32"/>
          <w:szCs w:val="32"/>
          <w:highlight w:val="none"/>
        </w:rPr>
        <w:t>万元，主要用于</w:t>
      </w:r>
      <w:r>
        <w:rPr>
          <w:rFonts w:hint="default" w:ascii="Times New Roman" w:hAnsi="Times New Roman" w:eastAsia="仿宋_GB2312" w:cs="Times New Roman"/>
          <w:color w:val="000000"/>
          <w:sz w:val="32"/>
          <w:szCs w:val="32"/>
        </w:rPr>
        <w:t>执行公务、开展业务活动开支的交通费、住宿费、用餐费等</w:t>
      </w:r>
      <w:r>
        <w:rPr>
          <w:rFonts w:hint="default" w:ascii="Times New Roman" w:hAnsi="Times New Roman" w:eastAsia="仿宋_GB2312" w:cs="Times New Roman"/>
          <w:color w:val="auto"/>
          <w:sz w:val="32"/>
          <w:szCs w:val="32"/>
          <w:highlight w:val="none"/>
        </w:rPr>
        <w:t>。国内公务接待</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批次，</w:t>
      </w:r>
      <w:r>
        <w:rPr>
          <w:rFonts w:hint="eastAsia" w:eastAsia="仿宋_GB2312" w:cs="Times New Roman"/>
          <w:color w:val="auto"/>
          <w:sz w:val="32"/>
          <w:szCs w:val="32"/>
          <w:highlight w:val="none"/>
          <w:lang w:val="en-US" w:eastAsia="zh-CN"/>
        </w:rPr>
        <w:t>179</w:t>
      </w:r>
      <w:r>
        <w:rPr>
          <w:rFonts w:hint="default" w:ascii="Times New Roman" w:hAnsi="Times New Roman" w:eastAsia="仿宋_GB2312" w:cs="Times New Roman"/>
          <w:color w:val="auto"/>
          <w:sz w:val="32"/>
          <w:szCs w:val="32"/>
          <w:highlight w:val="none"/>
        </w:rPr>
        <w:t>人次（不包括陪同人员），共计支出</w:t>
      </w:r>
      <w:r>
        <w:rPr>
          <w:rFonts w:hint="eastAsia" w:eastAsia="仿宋_GB2312" w:cs="Times New Roman"/>
          <w:color w:val="auto"/>
          <w:sz w:val="32"/>
          <w:szCs w:val="32"/>
          <w:highlight w:val="none"/>
          <w:lang w:val="en-US" w:eastAsia="zh-CN"/>
        </w:rPr>
        <w:t>2.32</w:t>
      </w:r>
      <w:r>
        <w:rPr>
          <w:rFonts w:hint="default" w:ascii="Times New Roman" w:hAnsi="Times New Roman" w:eastAsia="仿宋_GB2312" w:cs="Times New Roman"/>
          <w:color w:val="auto"/>
          <w:sz w:val="32"/>
          <w:szCs w:val="32"/>
          <w:highlight w:val="none"/>
        </w:rPr>
        <w:t>万元，具体内容包括：</w:t>
      </w:r>
      <w:r>
        <w:rPr>
          <w:rFonts w:hint="default" w:ascii="Times New Roman" w:hAnsi="Times New Roman" w:eastAsia="仿宋_GB2312" w:cs="Times New Roman"/>
          <w:sz w:val="32"/>
          <w:szCs w:val="32"/>
        </w:rPr>
        <w:t>接待民革中央领导及工作人员</w:t>
      </w:r>
      <w:r>
        <w:rPr>
          <w:rFonts w:hint="eastAsia" w:eastAsia="仿宋_GB2312" w:cs="Times New Roman"/>
          <w:sz w:val="32"/>
          <w:szCs w:val="32"/>
          <w:lang w:val="en-US" w:eastAsia="zh-CN"/>
        </w:rPr>
        <w:t>0.05</w:t>
      </w:r>
      <w:r>
        <w:rPr>
          <w:rFonts w:hint="default" w:ascii="Times New Roman" w:hAnsi="Times New Roman" w:eastAsia="仿宋_GB2312" w:cs="Times New Roman"/>
          <w:sz w:val="32"/>
          <w:szCs w:val="32"/>
        </w:rPr>
        <w:t>万元，接待省内民革组织及省级单位</w:t>
      </w:r>
      <w:r>
        <w:rPr>
          <w:rFonts w:hint="eastAsia" w:eastAsia="仿宋_GB2312" w:cs="Times New Roman"/>
          <w:sz w:val="32"/>
          <w:szCs w:val="32"/>
          <w:lang w:val="en-US" w:eastAsia="zh-CN"/>
        </w:rPr>
        <w:t>2.27</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color w:val="auto"/>
          <w:sz w:val="32"/>
          <w:szCs w:val="32"/>
          <w:highlight w:val="none"/>
        </w:rPr>
        <w:t>。</w:t>
      </w:r>
    </w:p>
    <w:p w14:paraId="021514B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 w:cs="Times New Roman"/>
          <w:b/>
          <w:color w:val="auto"/>
          <w:sz w:val="32"/>
          <w:szCs w:val="32"/>
          <w:highlight w:val="none"/>
        </w:rPr>
        <w:t>外事接待支出</w:t>
      </w:r>
      <w:r>
        <w:rPr>
          <w:rFonts w:hint="eastAsia" w:eastAsia="仿宋" w:cs="Times New Roman"/>
          <w:color w:val="auto"/>
          <w:sz w:val="32"/>
          <w:szCs w:val="32"/>
          <w:highlight w:val="none"/>
          <w:lang w:val="en-US" w:eastAsia="zh-CN"/>
        </w:rPr>
        <w:t>2.68</w:t>
      </w:r>
      <w:r>
        <w:rPr>
          <w:rFonts w:hint="default" w:ascii="Times New Roman" w:hAnsi="Times New Roman" w:eastAsia="仿宋_GB2312" w:cs="Times New Roman"/>
          <w:color w:val="auto"/>
          <w:sz w:val="32"/>
          <w:szCs w:val="32"/>
          <w:highlight w:val="none"/>
        </w:rPr>
        <w:t>万元</w:t>
      </w:r>
      <w:bookmarkStart w:id="40" w:name="_Toc15396610"/>
      <w:bookmarkStart w:id="41" w:name="_Toc15377218"/>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主要用于</w:t>
      </w:r>
      <w:r>
        <w:rPr>
          <w:rFonts w:hint="default" w:ascii="Times New Roman" w:hAnsi="Times New Roman" w:eastAsia="仿宋_GB2312" w:cs="Times New Roman"/>
          <w:color w:val="000000"/>
          <w:sz w:val="32"/>
          <w:szCs w:val="32"/>
        </w:rPr>
        <w:t>执行公务、开展业务活动开支的交通费、住宿费、用餐费等</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外事</w:t>
      </w:r>
      <w:r>
        <w:rPr>
          <w:rFonts w:hint="default" w:ascii="Times New Roman" w:hAnsi="Times New Roman" w:eastAsia="仿宋_GB2312" w:cs="Times New Roman"/>
          <w:color w:val="auto"/>
          <w:sz w:val="32"/>
          <w:szCs w:val="32"/>
          <w:highlight w:val="none"/>
        </w:rPr>
        <w:t>接待</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批次，</w:t>
      </w:r>
      <w:r>
        <w:rPr>
          <w:rFonts w:hint="eastAsia" w:eastAsia="仿宋_GB2312" w:cs="Times New Roman"/>
          <w:color w:val="auto"/>
          <w:sz w:val="32"/>
          <w:szCs w:val="32"/>
          <w:highlight w:val="none"/>
          <w:lang w:val="en-US" w:eastAsia="zh-CN"/>
        </w:rPr>
        <w:t>179</w:t>
      </w:r>
      <w:r>
        <w:rPr>
          <w:rFonts w:hint="default" w:ascii="Times New Roman" w:hAnsi="Times New Roman" w:eastAsia="仿宋_GB2312" w:cs="Times New Roman"/>
          <w:color w:val="auto"/>
          <w:sz w:val="32"/>
          <w:szCs w:val="32"/>
          <w:highlight w:val="none"/>
        </w:rPr>
        <w:t>人次（不包括陪同人员），共计支出</w:t>
      </w:r>
      <w:r>
        <w:rPr>
          <w:rFonts w:hint="eastAsia" w:eastAsia="仿宋_GB2312" w:cs="Times New Roman"/>
          <w:color w:val="auto"/>
          <w:sz w:val="32"/>
          <w:szCs w:val="32"/>
          <w:highlight w:val="none"/>
          <w:lang w:val="en-US" w:eastAsia="zh-CN"/>
        </w:rPr>
        <w:t>2.68</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val="en-US" w:eastAsia="zh-CN"/>
        </w:rPr>
        <w:t>具体内容包括：接待台湾“杰青团”来访。</w:t>
      </w:r>
    </w:p>
    <w:p w14:paraId="4135E8DD">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1"/>
        <w:rPr>
          <w:rStyle w:val="30"/>
          <w:rFonts w:hint="default" w:ascii="Times New Roman" w:hAnsi="Times New Roman" w:eastAsia="黑体" w:cs="Times New Roman"/>
          <w:color w:val="auto"/>
          <w:highlight w:val="none"/>
        </w:rPr>
      </w:pPr>
      <w:r>
        <w:rPr>
          <w:rFonts w:hint="default" w:ascii="Times New Roman" w:hAnsi="Times New Roman" w:eastAsia="黑体" w:cs="Times New Roman"/>
          <w:color w:val="auto"/>
          <w:sz w:val="32"/>
          <w:szCs w:val="32"/>
          <w:highlight w:val="none"/>
        </w:rPr>
        <w:t>八、</w:t>
      </w:r>
      <w:r>
        <w:rPr>
          <w:rStyle w:val="30"/>
          <w:rFonts w:hint="default" w:ascii="Times New Roman" w:hAnsi="Times New Roman" w:eastAsia="黑体" w:cs="Times New Roman"/>
          <w:b w:val="0"/>
          <w:color w:val="auto"/>
          <w:highlight w:val="none"/>
        </w:rPr>
        <w:t>政府性基金预算支出决算情况说明</w:t>
      </w:r>
      <w:bookmarkEnd w:id="40"/>
      <w:bookmarkEnd w:id="41"/>
    </w:p>
    <w:p w14:paraId="042B7B79">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政府性基金预算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p>
    <w:p w14:paraId="2AECC284">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outlineLvl w:val="1"/>
        <w:rPr>
          <w:rStyle w:val="30"/>
          <w:rFonts w:hint="default" w:ascii="Times New Roman" w:hAnsi="Times New Roman" w:eastAsia="黑体" w:cs="Times New Roman"/>
          <w:b w:val="0"/>
          <w:color w:val="auto"/>
          <w:highlight w:val="none"/>
        </w:rPr>
      </w:pPr>
      <w:bookmarkStart w:id="42" w:name="_Toc15377219"/>
      <w:bookmarkStart w:id="43" w:name="_Toc15396611"/>
      <w:r>
        <w:rPr>
          <w:rStyle w:val="30"/>
          <w:rFonts w:hint="default" w:ascii="Times New Roman" w:hAnsi="Times New Roman" w:eastAsia="黑体" w:cs="Times New Roman"/>
          <w:b w:val="0"/>
          <w:color w:val="auto"/>
          <w:highlight w:val="none"/>
        </w:rPr>
        <w:t>国有资本经营预算支出决算情况说明</w:t>
      </w:r>
      <w:bookmarkEnd w:id="42"/>
      <w:bookmarkEnd w:id="43"/>
    </w:p>
    <w:p w14:paraId="010065DA">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p>
    <w:p w14:paraId="4EE8A7E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outlineLvl w:val="1"/>
        <w:rPr>
          <w:rStyle w:val="30"/>
          <w:rFonts w:hint="default" w:ascii="Times New Roman" w:hAnsi="Times New Roman" w:eastAsia="黑体" w:cs="Times New Roman"/>
          <w:b w:val="0"/>
          <w:color w:val="auto"/>
          <w:highlight w:val="none"/>
        </w:rPr>
      </w:pPr>
      <w:bookmarkStart w:id="44" w:name="_Toc15377221"/>
      <w:bookmarkStart w:id="45" w:name="_Toc15396612"/>
      <w:r>
        <w:rPr>
          <w:rStyle w:val="30"/>
          <w:rFonts w:hint="default" w:ascii="Times New Roman" w:hAnsi="Times New Roman" w:eastAsia="黑体" w:cs="Times New Roman"/>
          <w:b w:val="0"/>
          <w:color w:val="auto"/>
          <w:highlight w:val="none"/>
        </w:rPr>
        <w:t>其他重要事项的情况说明</w:t>
      </w:r>
      <w:bookmarkEnd w:id="44"/>
      <w:bookmarkEnd w:id="45"/>
    </w:p>
    <w:p w14:paraId="3D41565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default" w:ascii="Times New Roman" w:hAnsi="Times New Roman" w:eastAsia="仿宋" w:cs="Times New Roman"/>
          <w:color w:val="auto"/>
          <w:sz w:val="32"/>
          <w:szCs w:val="32"/>
          <w:highlight w:val="none"/>
        </w:rPr>
      </w:pPr>
      <w:bookmarkStart w:id="46" w:name="_Toc15377222"/>
      <w:r>
        <w:rPr>
          <w:rFonts w:hint="default" w:ascii="Times New Roman" w:hAnsi="Times New Roman" w:eastAsia="仿宋" w:cs="Times New Roman"/>
          <w:b/>
          <w:color w:val="auto"/>
          <w:sz w:val="32"/>
          <w:szCs w:val="32"/>
          <w:highlight w:val="none"/>
        </w:rPr>
        <w:t>（一）机关运行经费支出情况</w:t>
      </w:r>
      <w:bookmarkEnd w:id="46"/>
    </w:p>
    <w:p w14:paraId="35D41D4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民革四川省委会</w:t>
      </w:r>
      <w:r>
        <w:rPr>
          <w:rFonts w:hint="default" w:ascii="Times New Roman" w:hAnsi="Times New Roman" w:eastAsia="仿宋_GB2312" w:cs="Times New Roman"/>
          <w:color w:val="auto"/>
          <w:sz w:val="32"/>
          <w:szCs w:val="32"/>
          <w:highlight w:val="none"/>
        </w:rPr>
        <w:t>机关</w:t>
      </w:r>
      <w:r>
        <w:rPr>
          <w:rFonts w:hint="eastAsia" w:eastAsia="仿宋_GB2312" w:cs="Times New Roman"/>
          <w:color w:val="auto"/>
          <w:sz w:val="32"/>
          <w:szCs w:val="32"/>
          <w:highlight w:val="none"/>
          <w:lang w:val="en-US" w:eastAsia="zh-CN"/>
        </w:rPr>
        <w:t>的机关</w:t>
      </w:r>
      <w:r>
        <w:rPr>
          <w:rFonts w:hint="default" w:ascii="Times New Roman" w:hAnsi="Times New Roman" w:eastAsia="仿宋_GB2312" w:cs="Times New Roman"/>
          <w:color w:val="auto"/>
          <w:sz w:val="32"/>
          <w:szCs w:val="32"/>
          <w:highlight w:val="none"/>
        </w:rPr>
        <w:t>运行经费支出</w:t>
      </w:r>
      <w:r>
        <w:rPr>
          <w:rFonts w:hint="eastAsia" w:eastAsia="仿宋_GB2312" w:cs="Times New Roman"/>
          <w:color w:val="auto"/>
          <w:sz w:val="32"/>
          <w:szCs w:val="32"/>
          <w:highlight w:val="none"/>
          <w:lang w:val="en-US" w:eastAsia="zh-CN"/>
        </w:rPr>
        <w:t>305.43</w:t>
      </w:r>
      <w:r>
        <w:rPr>
          <w:rFonts w:hint="default" w:ascii="Times New Roman" w:hAnsi="Times New Roman" w:eastAsia="仿宋_GB2312" w:cs="Times New Roman"/>
          <w:color w:val="auto"/>
          <w:sz w:val="32"/>
          <w:szCs w:val="32"/>
          <w:highlight w:val="none"/>
        </w:rPr>
        <w:t>万元，比</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eastAsia" w:eastAsia="仿宋_GB2312" w:cs="Times New Roman"/>
          <w:color w:val="auto"/>
          <w:sz w:val="32"/>
          <w:szCs w:val="32"/>
          <w:highlight w:val="none"/>
          <w:lang w:val="en-US" w:eastAsia="zh-CN"/>
        </w:rPr>
        <w:t>减少10.88</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val="en-US" w:eastAsia="zh-CN"/>
        </w:rPr>
        <w:t>下降3.44</w:t>
      </w:r>
      <w:r>
        <w:rPr>
          <w:rFonts w:hint="default" w:ascii="Times New Roman" w:hAnsi="Times New Roman" w:eastAsia="仿宋_GB2312" w:cs="Times New Roman"/>
          <w:color w:val="auto"/>
          <w:sz w:val="32"/>
          <w:szCs w:val="32"/>
          <w:highlight w:val="none"/>
        </w:rPr>
        <w:t>%。主要原因是</w:t>
      </w:r>
      <w:r>
        <w:rPr>
          <w:rFonts w:hint="eastAsia" w:eastAsia="仿宋_GB2312" w:cs="Times New Roman"/>
          <w:color w:val="auto"/>
          <w:sz w:val="32"/>
          <w:szCs w:val="32"/>
          <w:highlight w:val="none"/>
          <w:lang w:val="en-US" w:eastAsia="zh-CN"/>
        </w:rPr>
        <w:t>厉行节约，缩减开支</w:t>
      </w:r>
      <w:r>
        <w:rPr>
          <w:rFonts w:hint="default" w:ascii="Times New Roman" w:hAnsi="Times New Roman" w:eastAsia="仿宋_GB2312" w:cs="Times New Roman"/>
          <w:color w:val="auto"/>
          <w:sz w:val="32"/>
          <w:szCs w:val="32"/>
          <w:highlight w:val="none"/>
          <w:lang w:eastAsia="zh-CN"/>
        </w:rPr>
        <w:t>。</w:t>
      </w:r>
    </w:p>
    <w:p w14:paraId="36F7F750">
      <w:pPr>
        <w:keepNext w:val="0"/>
        <w:keepLines w:val="0"/>
        <w:pageBreakBefore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default" w:ascii="Times New Roman" w:hAnsi="Times New Roman" w:eastAsia="仿宋" w:cs="Times New Roman"/>
          <w:b/>
          <w:color w:val="auto"/>
          <w:sz w:val="32"/>
          <w:szCs w:val="32"/>
          <w:highlight w:val="none"/>
        </w:rPr>
      </w:pPr>
      <w:bookmarkStart w:id="47" w:name="_Toc15377223"/>
      <w:r>
        <w:rPr>
          <w:rFonts w:hint="default" w:ascii="Times New Roman" w:hAnsi="Times New Roman" w:eastAsia="仿宋" w:cs="Times New Roman"/>
          <w:b/>
          <w:color w:val="auto"/>
          <w:sz w:val="32"/>
          <w:szCs w:val="32"/>
          <w:highlight w:val="none"/>
        </w:rPr>
        <w:t>（二）政府采购支出情况</w:t>
      </w:r>
      <w:bookmarkEnd w:id="47"/>
    </w:p>
    <w:p w14:paraId="5C40BD82">
      <w:pPr>
        <w:keepNext w:val="0"/>
        <w:keepLines w:val="0"/>
        <w:pageBreakBefore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民革四川省委会</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rPr>
        <w:t>政府采购支出总额</w:t>
      </w:r>
      <w:r>
        <w:rPr>
          <w:rFonts w:hint="eastAsia" w:eastAsia="仿宋_GB2312" w:cs="Times New Roman"/>
          <w:color w:val="auto"/>
          <w:sz w:val="32"/>
          <w:szCs w:val="32"/>
          <w:highlight w:val="none"/>
          <w:lang w:val="en-US" w:eastAsia="zh-CN"/>
        </w:rPr>
        <w:t>9.55</w:t>
      </w:r>
      <w:r>
        <w:rPr>
          <w:rFonts w:hint="default" w:ascii="Times New Roman" w:hAnsi="Times New Roman" w:eastAsia="仿宋_GB2312" w:cs="Times New Roman"/>
          <w:color w:val="auto"/>
          <w:sz w:val="32"/>
          <w:szCs w:val="32"/>
          <w:highlight w:val="none"/>
        </w:rPr>
        <w:t>万元，其中：政府采购货物支出</w:t>
      </w:r>
      <w:r>
        <w:rPr>
          <w:rFonts w:hint="eastAsia" w:eastAsia="仿宋_GB2312" w:cs="Times New Roman"/>
          <w:color w:val="auto"/>
          <w:sz w:val="32"/>
          <w:szCs w:val="32"/>
          <w:highlight w:val="none"/>
          <w:lang w:val="en-US" w:eastAsia="zh-CN"/>
        </w:rPr>
        <w:t>2.49</w:t>
      </w:r>
      <w:r>
        <w:rPr>
          <w:rFonts w:hint="default" w:ascii="Times New Roman" w:hAnsi="Times New Roman" w:eastAsia="仿宋_GB2312" w:cs="Times New Roman"/>
          <w:color w:val="auto"/>
          <w:sz w:val="32"/>
          <w:szCs w:val="32"/>
          <w:highlight w:val="none"/>
        </w:rPr>
        <w:t>万元、政府采购工程支出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万元、政府采购服务支出</w:t>
      </w:r>
      <w:r>
        <w:rPr>
          <w:rFonts w:hint="eastAsia" w:eastAsia="仿宋_GB2312" w:cs="Times New Roman"/>
          <w:color w:val="auto"/>
          <w:sz w:val="32"/>
          <w:szCs w:val="32"/>
          <w:highlight w:val="none"/>
          <w:lang w:val="en-US" w:eastAsia="zh-CN"/>
        </w:rPr>
        <w:t>7.06</w:t>
      </w:r>
      <w:r>
        <w:rPr>
          <w:rFonts w:hint="default" w:ascii="Times New Roman" w:hAnsi="Times New Roman" w:eastAsia="仿宋_GB2312" w:cs="Times New Roman"/>
          <w:color w:val="auto"/>
          <w:sz w:val="32"/>
          <w:szCs w:val="32"/>
          <w:highlight w:val="none"/>
        </w:rPr>
        <w:t>万元。主要用于</w:t>
      </w:r>
      <w:r>
        <w:rPr>
          <w:rFonts w:hint="default" w:ascii="Times New Roman" w:hAnsi="Times New Roman" w:eastAsia="仿宋_GB2312" w:cs="Times New Roman"/>
          <w:color w:val="auto"/>
          <w:sz w:val="32"/>
          <w:szCs w:val="32"/>
          <w:highlight w:val="none"/>
          <w:lang w:val="en-US" w:eastAsia="zh-CN"/>
        </w:rPr>
        <w:t>购买机关办公设备、</w:t>
      </w:r>
      <w:r>
        <w:rPr>
          <w:rFonts w:hint="default" w:ascii="Times New Roman" w:hAnsi="Times New Roman" w:eastAsia="仿宋_GB2312" w:cs="Times New Roman"/>
          <w:bCs/>
          <w:color w:val="000000"/>
          <w:sz w:val="32"/>
          <w:szCs w:val="32"/>
        </w:rPr>
        <w:t>汽车保险、汽车加油、汽车维修</w:t>
      </w:r>
      <w:r>
        <w:rPr>
          <w:rFonts w:hint="default" w:ascii="Times New Roman" w:hAnsi="Times New Roman" w:eastAsia="仿宋_GB2312" w:cs="Times New Roman"/>
          <w:bCs/>
          <w:color w:val="000000"/>
          <w:sz w:val="32"/>
          <w:szCs w:val="32"/>
          <w:lang w:val="en-US" w:eastAsia="zh-CN"/>
        </w:rPr>
        <w:t>等</w:t>
      </w:r>
      <w:r>
        <w:rPr>
          <w:rFonts w:hint="default" w:ascii="Times New Roman" w:hAnsi="Times New Roman" w:eastAsia="仿宋_GB2312" w:cs="Times New Roman"/>
          <w:color w:val="auto"/>
          <w:sz w:val="32"/>
          <w:szCs w:val="32"/>
          <w:highlight w:val="none"/>
        </w:rPr>
        <w:t>。授予中小企业合同金额</w:t>
      </w:r>
      <w:r>
        <w:rPr>
          <w:rFonts w:hint="eastAsia" w:eastAsia="仿宋_GB2312" w:cs="Times New Roman"/>
          <w:color w:val="auto"/>
          <w:sz w:val="32"/>
          <w:szCs w:val="32"/>
          <w:highlight w:val="none"/>
          <w:lang w:val="en-US" w:eastAsia="zh-CN"/>
        </w:rPr>
        <w:t>4.49</w:t>
      </w:r>
      <w:r>
        <w:rPr>
          <w:rFonts w:hint="default" w:ascii="Times New Roman" w:hAnsi="Times New Roman" w:eastAsia="仿宋_GB2312" w:cs="Times New Roman"/>
          <w:color w:val="auto"/>
          <w:sz w:val="32"/>
          <w:szCs w:val="32"/>
          <w:highlight w:val="none"/>
        </w:rPr>
        <w:t>万元，占政府采购支出总额的</w:t>
      </w:r>
      <w:r>
        <w:rPr>
          <w:rFonts w:hint="eastAsia" w:eastAsia="仿宋_GB2312" w:cs="Times New Roman"/>
          <w:color w:val="auto"/>
          <w:sz w:val="32"/>
          <w:szCs w:val="32"/>
          <w:highlight w:val="none"/>
          <w:lang w:val="en-US" w:eastAsia="zh-CN"/>
        </w:rPr>
        <w:t>47.02</w:t>
      </w:r>
      <w:r>
        <w:rPr>
          <w:rFonts w:hint="default" w:ascii="Times New Roman" w:hAnsi="Times New Roman" w:eastAsia="仿宋_GB2312" w:cs="Times New Roman"/>
          <w:color w:val="auto"/>
          <w:sz w:val="32"/>
          <w:szCs w:val="32"/>
          <w:highlight w:val="none"/>
        </w:rPr>
        <w:t>%，其中：授予小微企业合同金额</w:t>
      </w:r>
      <w:r>
        <w:rPr>
          <w:rFonts w:hint="eastAsia" w:eastAsia="仿宋_GB2312" w:cs="Times New Roman"/>
          <w:color w:val="auto"/>
          <w:sz w:val="32"/>
          <w:szCs w:val="32"/>
          <w:highlight w:val="none"/>
          <w:lang w:val="en-US" w:eastAsia="zh-CN"/>
        </w:rPr>
        <w:t>4.49</w:t>
      </w:r>
      <w:r>
        <w:rPr>
          <w:rFonts w:hint="default" w:ascii="Times New Roman" w:hAnsi="Times New Roman" w:eastAsia="仿宋_GB2312" w:cs="Times New Roman"/>
          <w:color w:val="auto"/>
          <w:sz w:val="32"/>
          <w:szCs w:val="32"/>
          <w:highlight w:val="none"/>
        </w:rPr>
        <w:t>万元，占政府采购支出总额的</w:t>
      </w:r>
      <w:r>
        <w:rPr>
          <w:rFonts w:hint="eastAsia" w:eastAsia="仿宋_GB2312" w:cs="Times New Roman"/>
          <w:color w:val="auto"/>
          <w:sz w:val="32"/>
          <w:szCs w:val="32"/>
          <w:highlight w:val="none"/>
          <w:lang w:val="en-US" w:eastAsia="zh-CN"/>
        </w:rPr>
        <w:t>47.02</w:t>
      </w:r>
      <w:r>
        <w:rPr>
          <w:rFonts w:hint="default" w:ascii="Times New Roman" w:hAnsi="Times New Roman" w:eastAsia="仿宋_GB2312" w:cs="Times New Roman"/>
          <w:color w:val="auto"/>
          <w:sz w:val="32"/>
          <w:szCs w:val="32"/>
          <w:highlight w:val="none"/>
        </w:rPr>
        <w:t>%。</w:t>
      </w:r>
    </w:p>
    <w:p w14:paraId="00FF88F1">
      <w:pPr>
        <w:keepNext w:val="0"/>
        <w:keepLines w:val="0"/>
        <w:pageBreakBefore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default" w:ascii="Times New Roman" w:hAnsi="Times New Roman" w:eastAsia="仿宋" w:cs="Times New Roman"/>
          <w:b/>
          <w:color w:val="auto"/>
          <w:sz w:val="32"/>
          <w:szCs w:val="32"/>
          <w:highlight w:val="none"/>
        </w:rPr>
      </w:pPr>
      <w:bookmarkStart w:id="48" w:name="_Toc15377224"/>
      <w:r>
        <w:rPr>
          <w:rFonts w:hint="default" w:ascii="Times New Roman" w:hAnsi="Times New Roman" w:eastAsia="仿宋" w:cs="Times New Roman"/>
          <w:b/>
          <w:color w:val="auto"/>
          <w:sz w:val="32"/>
          <w:szCs w:val="32"/>
          <w:highlight w:val="none"/>
        </w:rPr>
        <w:t>（三）国有资产占有使用情况</w:t>
      </w:r>
      <w:bookmarkEnd w:id="48"/>
    </w:p>
    <w:p w14:paraId="3DB1B7DF">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截至</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年12月31日，</w:t>
      </w:r>
      <w:r>
        <w:rPr>
          <w:rFonts w:hint="default" w:ascii="Times New Roman" w:hAnsi="Times New Roman" w:eastAsia="仿宋_GB2312" w:cs="Times New Roman"/>
          <w:color w:val="auto"/>
          <w:sz w:val="32"/>
          <w:szCs w:val="32"/>
          <w:highlight w:val="none"/>
          <w:lang w:eastAsia="zh-CN"/>
        </w:rPr>
        <w:t>民革四川省委</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eastAsia="zh-CN"/>
        </w:rPr>
        <w:t>会</w:t>
      </w:r>
      <w:r>
        <w:rPr>
          <w:rFonts w:hint="default" w:ascii="Times New Roman" w:hAnsi="Times New Roman" w:eastAsia="仿宋_GB2312" w:cs="Times New Roman"/>
          <w:color w:val="auto"/>
          <w:sz w:val="32"/>
          <w:szCs w:val="32"/>
          <w:highlight w:val="none"/>
        </w:rPr>
        <w:t>共有车辆</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辆，其中：</w:t>
      </w:r>
      <w:r>
        <w:rPr>
          <w:rFonts w:hint="default" w:ascii="Times New Roman" w:hAnsi="Times New Roman" w:eastAsia="仿宋_GB2312" w:cs="Times New Roman"/>
          <w:color w:val="auto"/>
          <w:sz w:val="32"/>
          <w:szCs w:val="32"/>
          <w:highlight w:val="none"/>
          <w:lang w:eastAsia="zh-CN"/>
        </w:rPr>
        <w:t>离退休</w:t>
      </w:r>
      <w:r>
        <w:rPr>
          <w:rFonts w:hint="default" w:ascii="Times New Roman" w:hAnsi="Times New Roman" w:eastAsia="仿宋_GB2312" w:cs="Times New Roman"/>
          <w:color w:val="auto"/>
          <w:sz w:val="32"/>
          <w:szCs w:val="32"/>
          <w:highlight w:val="none"/>
        </w:rPr>
        <w:t>干部用车</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辆、机要通信用车</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辆、应急保障用车</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辆</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单价100万元以上设备</w:t>
      </w:r>
      <w:r>
        <w:rPr>
          <w:rFonts w:hint="default" w:ascii="Times New Roman" w:hAnsi="Times New Roman" w:eastAsia="仿宋_GB2312" w:cs="Times New Roman"/>
          <w:color w:val="auto"/>
          <w:sz w:val="32"/>
          <w:szCs w:val="32"/>
          <w:highlight w:val="none"/>
          <w:lang w:eastAsia="zh-CN"/>
        </w:rPr>
        <w:t>（不含车辆）</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台（套）。</w:t>
      </w:r>
    </w:p>
    <w:p w14:paraId="2374F6A1">
      <w:pPr>
        <w:keepNext w:val="0"/>
        <w:keepLines w:val="0"/>
        <w:pageBreakBefore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（四）预算绩效管理情况</w:t>
      </w:r>
    </w:p>
    <w:p w14:paraId="638EF766">
      <w:pPr>
        <w:keepNext w:val="0"/>
        <w:keepLines w:val="0"/>
        <w:pageBreakBefore w:val="0"/>
        <w:widowControl/>
        <w:kinsoku/>
        <w:wordWrap/>
        <w:overflowPunct/>
        <w:topLinePunct w:val="0"/>
        <w:bidi w:val="0"/>
        <w:snapToGrid/>
        <w:spacing w:line="600" w:lineRule="exact"/>
        <w:ind w:firstLine="640" w:firstLineChars="200"/>
        <w:jc w:val="left"/>
        <w:textAlignment w:val="auto"/>
        <w:rPr>
          <w:rFonts w:ascii="仿宋_GB2312" w:eastAsia="仿宋_GB2312"/>
          <w:b/>
          <w:color w:val="auto"/>
          <w:sz w:val="32"/>
          <w:szCs w:val="32"/>
          <w:highlight w:val="none"/>
        </w:rPr>
      </w:pPr>
      <w:r>
        <w:rPr>
          <w:rFonts w:hint="default" w:ascii="Times New Roman" w:hAnsi="Times New Roman" w:eastAsia="仿宋_GB2312" w:cs="Times New Roman"/>
          <w:color w:val="auto"/>
          <w:sz w:val="32"/>
          <w:szCs w:val="32"/>
          <w:highlight w:val="none"/>
        </w:rPr>
        <w:t>根据预算绩效管理要求，本</w:t>
      </w:r>
      <w:r>
        <w:rPr>
          <w:rFonts w:hint="eastAsia"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rPr>
        <w:t>在202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年度预算编制阶段，</w:t>
      </w:r>
      <w:r>
        <w:rPr>
          <w:rFonts w:hint="default" w:ascii="Times New Roman" w:hAnsi="Times New Roman" w:eastAsia="仿宋_GB2312" w:cs="Times New Roman"/>
          <w:color w:val="auto"/>
          <w:sz w:val="32"/>
          <w:szCs w:val="32"/>
          <w:highlight w:val="none"/>
          <w:lang w:val="en-US" w:eastAsia="zh-CN"/>
        </w:rPr>
        <w:t>因项目未达到开展事前绩效评估要求，未对</w:t>
      </w:r>
      <w:r>
        <w:rPr>
          <w:rFonts w:hint="default" w:ascii="Times New Roman" w:hAnsi="Times New Roman" w:eastAsia="仿宋_GB2312" w:cs="Times New Roman"/>
          <w:color w:val="auto"/>
          <w:sz w:val="32"/>
          <w:szCs w:val="32"/>
          <w:highlight w:val="none"/>
        </w:rPr>
        <w:t>项目开展预算事前绩效评估，对</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eastAsia"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auto"/>
          <w:sz w:val="32"/>
          <w:szCs w:val="32"/>
          <w:highlight w:val="none"/>
        </w:rPr>
        <w:t>个项目编制了绩效目标，预算执行过程中，选取</w:t>
      </w: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个项目开展绩效监控。</w:t>
      </w:r>
      <w:r>
        <w:rPr>
          <w:rFonts w:hint="eastAsia" w:eastAsia="仿宋_GB2312" w:cs="Times New Roman"/>
          <w:color w:val="auto"/>
          <w:sz w:val="32"/>
          <w:szCs w:val="32"/>
          <w:highlight w:val="none"/>
          <w:lang w:val="en-US" w:eastAsia="zh-CN"/>
        </w:rPr>
        <w:t>单位预算项目支出</w:t>
      </w:r>
      <w:r>
        <w:rPr>
          <w:rFonts w:hint="default" w:ascii="Times New Roman" w:hAnsi="Times New Roman" w:eastAsia="仿宋_GB2312" w:cs="Times New Roman"/>
          <w:color w:val="auto"/>
          <w:sz w:val="32"/>
          <w:szCs w:val="32"/>
          <w:highlight w:val="none"/>
        </w:rPr>
        <w:t>绩效</w:t>
      </w:r>
      <w:r>
        <w:rPr>
          <w:rFonts w:hint="eastAsia" w:eastAsia="仿宋_GB2312" w:cs="Times New Roman"/>
          <w:color w:val="auto"/>
          <w:sz w:val="32"/>
          <w:szCs w:val="32"/>
          <w:highlight w:val="none"/>
          <w:lang w:val="en-US" w:eastAsia="zh-CN"/>
        </w:rPr>
        <w:t>自评表</w:t>
      </w:r>
      <w:r>
        <w:rPr>
          <w:rFonts w:hint="default" w:ascii="Times New Roman" w:hAnsi="Times New Roman" w:eastAsia="仿宋_GB2312" w:cs="Times New Roman"/>
          <w:color w:val="auto"/>
          <w:sz w:val="32"/>
          <w:szCs w:val="32"/>
          <w:highlight w:val="none"/>
        </w:rPr>
        <w:t>见附件。</w:t>
      </w:r>
      <w:r>
        <w:rPr>
          <w:rFonts w:ascii="仿宋_GB2312" w:eastAsia="仿宋_GB2312"/>
          <w:b/>
          <w:color w:val="auto"/>
          <w:sz w:val="32"/>
          <w:szCs w:val="32"/>
          <w:highlight w:val="none"/>
        </w:rPr>
        <w:br w:type="page"/>
      </w:r>
    </w:p>
    <w:p w14:paraId="689484F0"/>
    <w:p w14:paraId="2FE5F77E">
      <w:pPr>
        <w:numPr>
          <w:ilvl w:val="0"/>
          <w:numId w:val="2"/>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14:paraId="542B75CE">
      <w:pPr>
        <w:spacing w:line="600" w:lineRule="exact"/>
        <w:jc w:val="left"/>
        <w:rPr>
          <w:rFonts w:ascii="宋体"/>
          <w:b/>
          <w:color w:val="auto"/>
          <w:sz w:val="44"/>
          <w:szCs w:val="44"/>
          <w:highlight w:val="none"/>
        </w:rPr>
      </w:pPr>
    </w:p>
    <w:p w14:paraId="49EF7E2C">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6AFA81D0">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2．一般公共服务（类）民主党派及工商联事务（款）行政运行（项）：反应行政单位（包括实行公务员管理的事业单位）的基本支出。</w:t>
      </w:r>
    </w:p>
    <w:p w14:paraId="0B48AADB">
      <w:pPr>
        <w:ind w:firstLine="640" w:firstLineChars="200"/>
        <w:rPr>
          <w:rFonts w:hint="eastAsia" w:ascii="仿宋_GB2312" w:eastAsia="仿宋_GB2312"/>
          <w:color w:val="auto"/>
          <w:sz w:val="32"/>
          <w:szCs w:val="32"/>
          <w:highlight w:val="none"/>
        </w:rPr>
      </w:pPr>
      <w:r>
        <w:rPr>
          <w:rFonts w:hint="default" w:ascii="仿宋_GB2312" w:eastAsia="仿宋_GB2312"/>
          <w:color w:val="auto"/>
          <w:sz w:val="32"/>
          <w:szCs w:val="32"/>
          <w:highlight w:val="none"/>
          <w:lang w:val="en-US"/>
        </w:rPr>
        <w:t>3</w:t>
      </w:r>
      <w:r>
        <w:rPr>
          <w:rFonts w:hint="eastAsia" w:ascii="仿宋_GB2312" w:eastAsia="仿宋_GB2312"/>
          <w:color w:val="auto"/>
          <w:sz w:val="32"/>
          <w:szCs w:val="32"/>
          <w:highlight w:val="none"/>
        </w:rPr>
        <w:t>．一般公共服务（类）民主党派及工商联事务（款）</w:t>
      </w:r>
      <w:r>
        <w:rPr>
          <w:rFonts w:hint="eastAsia" w:ascii="仿宋_GB2312" w:eastAsia="仿宋_GB2312"/>
          <w:color w:val="auto"/>
          <w:sz w:val="32"/>
          <w:szCs w:val="32"/>
          <w:highlight w:val="none"/>
          <w:lang w:val="en-US" w:eastAsia="zh-CN"/>
        </w:rPr>
        <w:t>一般行政管理事务</w:t>
      </w:r>
      <w:r>
        <w:rPr>
          <w:rFonts w:hint="eastAsia" w:ascii="仿宋_GB2312" w:eastAsia="仿宋_GB2312"/>
          <w:color w:val="auto"/>
          <w:sz w:val="32"/>
          <w:szCs w:val="32"/>
          <w:highlight w:val="none"/>
        </w:rPr>
        <w:t>（项）：反应行政单位（包括实行公务员管理的事业单位）</w:t>
      </w:r>
      <w:r>
        <w:rPr>
          <w:rFonts w:hint="eastAsia" w:ascii="仿宋_GB2312" w:eastAsia="仿宋_GB2312"/>
          <w:color w:val="auto"/>
          <w:sz w:val="32"/>
          <w:szCs w:val="32"/>
          <w:highlight w:val="none"/>
          <w:lang w:val="en-US" w:eastAsia="zh-CN"/>
        </w:rPr>
        <w:t>未单独设置项级科目的其他项目支出</w:t>
      </w:r>
      <w:r>
        <w:rPr>
          <w:rFonts w:hint="eastAsia" w:ascii="仿宋_GB2312" w:eastAsia="仿宋_GB2312"/>
          <w:color w:val="auto"/>
          <w:sz w:val="32"/>
          <w:szCs w:val="32"/>
          <w:highlight w:val="none"/>
        </w:rPr>
        <w:t>。</w:t>
      </w:r>
    </w:p>
    <w:p w14:paraId="2857A92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4.一般公共服务（类）民主党派及工商联事务（款）参政议政（项）：反映各民主党派为参政议政进行的调研、会议、检查等方面的支出。</w:t>
      </w:r>
    </w:p>
    <w:p w14:paraId="5538F12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5.教育（类）进修及培训（款）培训支出（项）:反映各部门安排的用于培训的支出。教育部门的师资培训，党校、行政学院等专业干部教育机构的支出，以及退役士兵、转业士官的培训支出，不在本科目反映。</w:t>
      </w:r>
    </w:p>
    <w:p w14:paraId="550A7C45">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6.社会保障和就业（类）行政事业单位养老支出（款）行政单位离退休（项）：反映行政单位（包括实行公务员管理的事业单位）开支的离退休经费。</w:t>
      </w:r>
    </w:p>
    <w:p w14:paraId="2B98A26A">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7.社会保障和就业（类）行政事业单位养老支出（款）机关事业单位基本养老保险缴费支出（项）：反映机关事业单位实施养老保险制度由单位缴纳的基本养老保险支出。</w:t>
      </w:r>
    </w:p>
    <w:p w14:paraId="4EA5F9D7">
      <w:pPr>
        <w:ind w:firstLine="640" w:firstLineChars="200"/>
        <w:rPr>
          <w:rFonts w:hint="eastAsia" w:ascii="仿宋_GB2312" w:eastAsia="仿宋_GB2312"/>
          <w:color w:val="auto"/>
          <w:sz w:val="32"/>
          <w:szCs w:val="32"/>
          <w:highlight w:val="none"/>
        </w:rPr>
      </w:pPr>
      <w:r>
        <w:rPr>
          <w:rFonts w:hint="default" w:ascii="仿宋_GB2312" w:eastAsia="仿宋_GB2312"/>
          <w:color w:val="auto"/>
          <w:sz w:val="32"/>
          <w:szCs w:val="32"/>
          <w:highlight w:val="none"/>
          <w:lang w:val="en-US"/>
        </w:rPr>
        <w:t>8</w:t>
      </w:r>
      <w:r>
        <w:rPr>
          <w:rFonts w:hint="eastAsia" w:ascii="仿宋_GB2312" w:eastAsia="仿宋_GB2312"/>
          <w:color w:val="auto"/>
          <w:sz w:val="32"/>
          <w:szCs w:val="32"/>
          <w:highlight w:val="none"/>
        </w:rPr>
        <w:t>.卫生健康（类）行政事业单位医疗（款）行政单位医疗（项）：反映财政部门安排的行政单位基本医疗保险缴费经费，未参加医疗保险的行政单位的公费医疗经费，按国家规定享受离休人员、红军老战士待遇人员的医疗经费。</w:t>
      </w:r>
    </w:p>
    <w:p w14:paraId="771B68A6">
      <w:pPr>
        <w:ind w:firstLine="640" w:firstLineChars="200"/>
        <w:rPr>
          <w:rFonts w:hint="eastAsia" w:ascii="仿宋_GB2312" w:eastAsia="仿宋_GB2312"/>
          <w:color w:val="auto"/>
          <w:sz w:val="32"/>
          <w:szCs w:val="32"/>
          <w:highlight w:val="none"/>
        </w:rPr>
      </w:pPr>
      <w:r>
        <w:rPr>
          <w:rFonts w:hint="default" w:ascii="仿宋_GB2312" w:eastAsia="仿宋_GB2312"/>
          <w:color w:val="auto"/>
          <w:sz w:val="32"/>
          <w:szCs w:val="32"/>
          <w:highlight w:val="none"/>
          <w:lang w:val="en-US"/>
        </w:rPr>
        <w:t>9</w:t>
      </w:r>
      <w:r>
        <w:rPr>
          <w:rFonts w:hint="eastAsia" w:ascii="仿宋_GB2312" w:eastAsia="仿宋_GB2312"/>
          <w:color w:val="auto"/>
          <w:sz w:val="32"/>
          <w:szCs w:val="32"/>
          <w:highlight w:val="none"/>
        </w:rPr>
        <w:t>.卫生健康（类）行政事业单位医疗（款）公务员医疗补助（项）：反映财政部门安排的公务员医疗补助经费。</w:t>
      </w:r>
    </w:p>
    <w:p w14:paraId="2DE5EF5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default" w:ascii="仿宋_GB2312" w:eastAsia="仿宋_GB2312"/>
          <w:color w:val="auto"/>
          <w:sz w:val="32"/>
          <w:szCs w:val="32"/>
          <w:highlight w:val="none"/>
          <w:lang w:val="en-US"/>
        </w:rPr>
        <w:t>0</w:t>
      </w:r>
      <w:r>
        <w:rPr>
          <w:rFonts w:hint="eastAsia" w:ascii="仿宋_GB2312" w:eastAsia="仿宋_GB2312"/>
          <w:color w:val="auto"/>
          <w:sz w:val="32"/>
          <w:szCs w:val="32"/>
          <w:highlight w:val="none"/>
        </w:rPr>
        <w:t>.住房保障（类）住房改革支出（款）住房公积金（项）：反映行政事业单位按人力资源和社会保障部、财政部规定的基本工资和津贴补贴以及规定比例为职工缴纳的住房公积金。</w:t>
      </w:r>
    </w:p>
    <w:p w14:paraId="384F61E1">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default" w:ascii="仿宋_GB2312" w:eastAsia="仿宋_GB2312"/>
          <w:color w:val="auto"/>
          <w:sz w:val="32"/>
          <w:szCs w:val="32"/>
          <w:highlight w:val="none"/>
          <w:lang w:val="en-US"/>
        </w:rPr>
        <w:t>1</w:t>
      </w:r>
      <w:r>
        <w:rPr>
          <w:rFonts w:hint="eastAsia" w:ascii="仿宋_GB2312" w:eastAsia="仿宋_GB2312"/>
          <w:color w:val="auto"/>
          <w:sz w:val="32"/>
          <w:szCs w:val="32"/>
          <w:highlight w:val="none"/>
        </w:rPr>
        <w:t>.住房保障（类）住房改革支出（款）购房补贴（项）：反映按房改政策规定，行政事业单位向符合条件职工、军队向转役复员离退休人员发放的用于购买住房的补贴。</w:t>
      </w:r>
      <w:r>
        <w:rPr>
          <w:rFonts w:ascii="仿宋_GB2312" w:eastAsia="仿宋_GB2312"/>
          <w:color w:val="auto"/>
          <w:sz w:val="32"/>
          <w:szCs w:val="32"/>
          <w:highlight w:val="none"/>
        </w:rPr>
        <w:t>27.</w:t>
      </w:r>
      <w:r>
        <w:rPr>
          <w:rFonts w:hint="eastAsia" w:ascii="仿宋_GB2312" w:eastAsia="仿宋_GB2312"/>
          <w:color w:val="auto"/>
          <w:sz w:val="32"/>
          <w:szCs w:val="32"/>
          <w:highlight w:val="none"/>
        </w:rPr>
        <w:t>基本支出：指为保障机构正常运转、完成日常工作任务而发生的人员支出和公用支出。</w:t>
      </w:r>
    </w:p>
    <w:p w14:paraId="2C9668A8">
      <w:pPr>
        <w:ind w:firstLine="640" w:firstLineChars="200"/>
        <w:rPr>
          <w:rFonts w:ascii="仿宋_GB2312" w:eastAsia="仿宋_GB2312"/>
          <w:color w:val="auto"/>
          <w:sz w:val="32"/>
          <w:szCs w:val="32"/>
          <w:highlight w:val="none"/>
        </w:rPr>
      </w:pPr>
      <w:r>
        <w:rPr>
          <w:rFonts w:hint="default" w:ascii="仿宋_GB2312" w:eastAsia="仿宋_GB2312"/>
          <w:color w:val="auto"/>
          <w:sz w:val="32"/>
          <w:szCs w:val="32"/>
          <w:highlight w:val="none"/>
          <w:lang w:val="en-US"/>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775CF9DA">
      <w:pPr>
        <w:ind w:firstLine="640" w:firstLineChars="200"/>
        <w:rPr>
          <w:rFonts w:ascii="仿宋_GB2312" w:eastAsia="仿宋_GB2312"/>
          <w:color w:val="auto"/>
          <w:sz w:val="32"/>
          <w:szCs w:val="32"/>
          <w:highlight w:val="none"/>
        </w:rPr>
      </w:pPr>
      <w:r>
        <w:rPr>
          <w:rFonts w:hint="default" w:ascii="仿宋_GB2312" w:eastAsia="仿宋_GB2312"/>
          <w:color w:val="auto"/>
          <w:sz w:val="32"/>
          <w:szCs w:val="32"/>
          <w:highlight w:val="none"/>
          <w:lang w:val="en-US"/>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1A2A0AB9">
      <w:pPr>
        <w:pStyle w:val="27"/>
        <w:spacing w:line="560" w:lineRule="exact"/>
        <w:ind w:firstLine="640" w:firstLineChars="200"/>
        <w:rPr>
          <w:rFonts w:ascii="仿宋_GB2312" w:eastAsia="仿宋_GB2312"/>
          <w:color w:val="auto"/>
          <w:sz w:val="32"/>
          <w:szCs w:val="32"/>
          <w:highlight w:val="none"/>
        </w:rPr>
      </w:pPr>
      <w:r>
        <w:rPr>
          <w:rFonts w:hint="default" w:ascii="仿宋_GB2312" w:eastAsia="仿宋_GB2312"/>
          <w:color w:val="auto"/>
          <w:sz w:val="32"/>
          <w:szCs w:val="32"/>
          <w:highlight w:val="none"/>
          <w:lang w:val="en-US"/>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6AB22EC">
      <w:pPr>
        <w:pStyle w:val="27"/>
        <w:spacing w:line="560" w:lineRule="exact"/>
        <w:ind w:firstLine="640" w:firstLineChars="200"/>
        <w:rPr>
          <w:rFonts w:ascii="仿宋_GB2312" w:eastAsia="仿宋_GB2312"/>
          <w:color w:val="auto"/>
          <w:sz w:val="32"/>
          <w:szCs w:val="32"/>
          <w:highlight w:val="none"/>
        </w:rPr>
      </w:pPr>
      <w:r>
        <w:rPr>
          <w:rFonts w:hint="default" w:ascii="仿宋_GB2312" w:eastAsia="仿宋_GB2312"/>
          <w:color w:val="auto"/>
          <w:sz w:val="32"/>
          <w:szCs w:val="32"/>
          <w:highlight w:val="none"/>
          <w:lang w:val="en-US"/>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9C02CAA">
      <w:pPr>
        <w:spacing w:line="600" w:lineRule="exact"/>
        <w:jc w:val="center"/>
        <w:outlineLvl w:val="0"/>
        <w:rPr>
          <w:rFonts w:hint="eastAsia" w:ascii="黑体" w:hAnsi="黑体" w:eastAsia="黑体"/>
          <w:color w:val="auto"/>
          <w:sz w:val="44"/>
          <w:szCs w:val="44"/>
          <w:highlight w:val="none"/>
        </w:rPr>
      </w:pPr>
      <w:bookmarkStart w:id="51" w:name="_Toc15396614"/>
      <w:bookmarkStart w:id="52" w:name="_Toc15377226"/>
    </w:p>
    <w:p w14:paraId="66B2FBEF">
      <w:pPr>
        <w:spacing w:line="600" w:lineRule="exact"/>
        <w:jc w:val="center"/>
        <w:outlineLvl w:val="0"/>
        <w:rPr>
          <w:rFonts w:hint="eastAsia" w:ascii="黑体" w:hAnsi="黑体" w:eastAsia="黑体"/>
          <w:color w:val="auto"/>
          <w:sz w:val="44"/>
          <w:szCs w:val="44"/>
          <w:highlight w:val="none"/>
        </w:rPr>
      </w:pPr>
    </w:p>
    <w:p w14:paraId="635C7EF9">
      <w:pPr>
        <w:spacing w:line="600" w:lineRule="exact"/>
        <w:jc w:val="center"/>
        <w:outlineLvl w:val="0"/>
        <w:rPr>
          <w:rFonts w:hint="eastAsia" w:ascii="黑体" w:hAnsi="黑体" w:eastAsia="黑体"/>
          <w:color w:val="auto"/>
          <w:sz w:val="44"/>
          <w:szCs w:val="44"/>
          <w:highlight w:val="none"/>
        </w:rPr>
      </w:pPr>
    </w:p>
    <w:p w14:paraId="47BB9C5F">
      <w:pPr>
        <w:spacing w:line="600" w:lineRule="exact"/>
        <w:jc w:val="center"/>
        <w:outlineLvl w:val="0"/>
        <w:rPr>
          <w:rFonts w:hint="eastAsia" w:ascii="黑体" w:hAnsi="黑体" w:eastAsia="黑体"/>
          <w:color w:val="auto"/>
          <w:sz w:val="44"/>
          <w:szCs w:val="44"/>
          <w:highlight w:val="none"/>
        </w:rPr>
      </w:pPr>
    </w:p>
    <w:p w14:paraId="6F12C1E8">
      <w:pPr>
        <w:spacing w:line="600" w:lineRule="exact"/>
        <w:jc w:val="center"/>
        <w:outlineLvl w:val="0"/>
        <w:rPr>
          <w:rFonts w:hint="eastAsia" w:ascii="黑体" w:hAnsi="黑体" w:eastAsia="黑体"/>
          <w:color w:val="auto"/>
          <w:sz w:val="44"/>
          <w:szCs w:val="44"/>
          <w:highlight w:val="none"/>
        </w:rPr>
      </w:pPr>
    </w:p>
    <w:p w14:paraId="1AB3EBE7">
      <w:pPr>
        <w:spacing w:line="600" w:lineRule="exact"/>
        <w:jc w:val="center"/>
        <w:outlineLvl w:val="0"/>
        <w:rPr>
          <w:rFonts w:hint="eastAsia" w:ascii="黑体" w:hAnsi="黑体" w:eastAsia="黑体"/>
          <w:color w:val="auto"/>
          <w:sz w:val="44"/>
          <w:szCs w:val="44"/>
          <w:highlight w:val="none"/>
        </w:rPr>
      </w:pPr>
    </w:p>
    <w:p w14:paraId="4C64BAFA">
      <w:pPr>
        <w:spacing w:line="600" w:lineRule="exact"/>
        <w:jc w:val="center"/>
        <w:outlineLvl w:val="0"/>
        <w:rPr>
          <w:rFonts w:hint="eastAsia" w:ascii="黑体" w:hAnsi="黑体" w:eastAsia="黑体"/>
          <w:color w:val="auto"/>
          <w:sz w:val="44"/>
          <w:szCs w:val="44"/>
          <w:highlight w:val="none"/>
        </w:rPr>
      </w:pPr>
    </w:p>
    <w:p w14:paraId="2B974558">
      <w:pPr>
        <w:spacing w:line="600" w:lineRule="exact"/>
        <w:jc w:val="center"/>
        <w:outlineLvl w:val="0"/>
        <w:rPr>
          <w:rFonts w:hint="eastAsia" w:ascii="黑体" w:hAnsi="黑体" w:eastAsia="黑体"/>
          <w:color w:val="auto"/>
          <w:sz w:val="44"/>
          <w:szCs w:val="44"/>
          <w:highlight w:val="none"/>
        </w:rPr>
      </w:pPr>
    </w:p>
    <w:p w14:paraId="52993CF2">
      <w:pPr>
        <w:spacing w:line="600" w:lineRule="exact"/>
        <w:jc w:val="center"/>
        <w:outlineLvl w:val="0"/>
        <w:rPr>
          <w:rFonts w:hint="eastAsia" w:ascii="黑体" w:hAnsi="黑体" w:eastAsia="黑体"/>
          <w:color w:val="auto"/>
          <w:sz w:val="44"/>
          <w:szCs w:val="44"/>
          <w:highlight w:val="none"/>
        </w:rPr>
      </w:pPr>
    </w:p>
    <w:p w14:paraId="57D4994C">
      <w:pPr>
        <w:spacing w:line="600" w:lineRule="exact"/>
        <w:jc w:val="center"/>
        <w:outlineLvl w:val="0"/>
        <w:rPr>
          <w:rFonts w:hint="eastAsia" w:ascii="黑体" w:hAnsi="黑体" w:eastAsia="黑体"/>
          <w:color w:val="auto"/>
          <w:sz w:val="44"/>
          <w:szCs w:val="44"/>
          <w:highlight w:val="none"/>
        </w:rPr>
      </w:pPr>
    </w:p>
    <w:p w14:paraId="63CD139D">
      <w:pPr>
        <w:spacing w:line="600" w:lineRule="exact"/>
        <w:jc w:val="center"/>
        <w:outlineLvl w:val="0"/>
        <w:rPr>
          <w:rFonts w:hint="eastAsia" w:ascii="黑体" w:hAnsi="黑体" w:eastAsia="黑体"/>
          <w:color w:val="auto"/>
          <w:sz w:val="44"/>
          <w:szCs w:val="44"/>
          <w:highlight w:val="none"/>
        </w:rPr>
      </w:pPr>
    </w:p>
    <w:p w14:paraId="4041F93B">
      <w:pPr>
        <w:spacing w:line="600" w:lineRule="exact"/>
        <w:jc w:val="center"/>
        <w:outlineLvl w:val="0"/>
        <w:rPr>
          <w:rFonts w:hint="eastAsia" w:ascii="黑体" w:hAnsi="黑体" w:eastAsia="黑体"/>
          <w:color w:val="auto"/>
          <w:sz w:val="44"/>
          <w:szCs w:val="44"/>
          <w:highlight w:val="none"/>
        </w:rPr>
      </w:pPr>
    </w:p>
    <w:p w14:paraId="11CABF76">
      <w:pPr>
        <w:spacing w:line="600" w:lineRule="exact"/>
        <w:jc w:val="center"/>
        <w:outlineLvl w:val="0"/>
        <w:rPr>
          <w:rStyle w:val="29"/>
          <w:rFonts w:hint="eastAsia" w:ascii="黑体" w:hAnsi="黑体" w:eastAsia="黑体"/>
          <w:b w:val="0"/>
          <w:color w:val="auto"/>
          <w:highlight w:val="none"/>
          <w:lang w:eastAsia="zh-CN"/>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1"/>
    </w:p>
    <w:p w14:paraId="542603F5">
      <w:pPr>
        <w:keepNext w:val="0"/>
        <w:keepLines w:val="0"/>
        <w:pageBreakBefore w:val="0"/>
        <w:kinsoku/>
        <w:wordWrap/>
        <w:overflowPunct/>
        <w:topLinePunct w:val="0"/>
        <w:autoSpaceDE/>
        <w:autoSpaceDN/>
        <w:bidi w:val="0"/>
        <w:spacing w:line="572" w:lineRule="exact"/>
        <w:jc w:val="left"/>
        <w:textAlignment w:val="auto"/>
        <w:outlineLvl w:val="0"/>
        <w:rPr>
          <w:rFonts w:hint="eastAsia" w:ascii="黑体" w:hAnsi="黑体" w:eastAsia="黑体" w:cs="黑体"/>
          <w:color w:val="FF0000"/>
          <w:sz w:val="32"/>
          <w:szCs w:val="32"/>
          <w:highlight w:val="none"/>
        </w:rPr>
      </w:pPr>
    </w:p>
    <w:tbl>
      <w:tblPr>
        <w:tblW w:w="11381" w:type="dxa"/>
        <w:tblInd w:w="-130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2559"/>
        <w:gridCol w:w="2091"/>
        <w:gridCol w:w="666"/>
        <w:gridCol w:w="936"/>
        <w:gridCol w:w="396"/>
        <w:gridCol w:w="576"/>
        <w:gridCol w:w="396"/>
        <w:gridCol w:w="846"/>
        <w:gridCol w:w="486"/>
        <w:gridCol w:w="486"/>
        <w:gridCol w:w="1943"/>
      </w:tblGrid>
      <w:tr w14:paraId="165CD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11381" w:type="dxa"/>
            <w:gridSpan w:val="11"/>
            <w:tcBorders>
              <w:top w:val="single" w:color="000000" w:sz="4" w:space="0"/>
              <w:left w:val="single" w:color="000000" w:sz="4" w:space="0"/>
              <w:bottom w:val="single" w:color="000000" w:sz="4" w:space="0"/>
              <w:right w:val="single" w:color="000000" w:sz="4" w:space="0"/>
            </w:tcBorders>
            <w:shd w:val="clear"/>
            <w:vAlign w:val="center"/>
          </w:tcPr>
          <w:p w14:paraId="353C14B5">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53" w:name="_Toc15396618"/>
            <w:r>
              <w:rPr>
                <w:rFonts w:hint="eastAsia" w:ascii="黑体" w:hAnsi="宋体" w:eastAsia="黑体" w:cs="黑体"/>
                <w:b/>
                <w:bCs/>
                <w:i w:val="0"/>
                <w:iCs w:val="0"/>
                <w:color w:val="000000"/>
                <w:kern w:val="0"/>
                <w:sz w:val="30"/>
                <w:szCs w:val="30"/>
                <w:u w:val="none"/>
                <w:bdr w:val="none" w:color="auto" w:sz="0" w:space="0"/>
                <w:lang w:val="en-US" w:eastAsia="zh-CN" w:bidi="ar"/>
              </w:rPr>
              <w:t>单位预算项目支出绩效自评表（2024年度）</w:t>
            </w:r>
          </w:p>
        </w:tc>
      </w:tr>
      <w:tr w14:paraId="0D30B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4473" w:type="dxa"/>
            <w:gridSpan w:val="2"/>
            <w:tcBorders>
              <w:top w:val="single" w:color="000000" w:sz="4" w:space="0"/>
              <w:left w:val="single" w:color="000000" w:sz="4" w:space="0"/>
              <w:bottom w:val="single" w:color="000000" w:sz="4" w:space="0"/>
              <w:right w:val="single" w:color="000000" w:sz="4" w:space="0"/>
            </w:tcBorders>
            <w:shd w:val="clear"/>
            <w:vAlign w:val="center"/>
          </w:tcPr>
          <w:p w14:paraId="6BC9267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6908" w:type="dxa"/>
            <w:gridSpan w:val="9"/>
            <w:tcBorders>
              <w:top w:val="single" w:color="000000" w:sz="4" w:space="0"/>
              <w:left w:val="single" w:color="000000" w:sz="4" w:space="0"/>
              <w:bottom w:val="single" w:color="000000" w:sz="4" w:space="0"/>
              <w:right w:val="single" w:color="000000" w:sz="4" w:space="0"/>
            </w:tcBorders>
            <w:shd w:val="clear"/>
            <w:vAlign w:val="center"/>
          </w:tcPr>
          <w:p w14:paraId="51ECB97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51000024T000010969061-“重温加入民革承诺、守护民革精神家园”活动经费</w:t>
            </w:r>
          </w:p>
        </w:tc>
      </w:tr>
      <w:tr w14:paraId="4BFD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4473" w:type="dxa"/>
            <w:gridSpan w:val="2"/>
            <w:tcBorders>
              <w:top w:val="single" w:color="000000" w:sz="4" w:space="0"/>
              <w:left w:val="single" w:color="000000" w:sz="4" w:space="0"/>
              <w:bottom w:val="single" w:color="000000" w:sz="4" w:space="0"/>
              <w:right w:val="single" w:color="000000" w:sz="4" w:space="0"/>
            </w:tcBorders>
            <w:shd w:val="clear"/>
            <w:vAlign w:val="center"/>
          </w:tcPr>
          <w:p w14:paraId="489BB27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vAlign w:val="center"/>
          </w:tcPr>
          <w:p w14:paraId="494B8D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中国国民党革命委员会四川省委员会</w:t>
            </w:r>
          </w:p>
        </w:tc>
        <w:tc>
          <w:tcPr>
            <w:tcW w:w="0" w:type="auto"/>
            <w:tcBorders>
              <w:top w:val="nil"/>
              <w:left w:val="nil"/>
              <w:bottom w:val="nil"/>
              <w:right w:val="nil"/>
            </w:tcBorders>
            <w:shd w:val="clear"/>
            <w:vAlign w:val="center"/>
          </w:tcPr>
          <w:p w14:paraId="0D81DA20">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980" w:type="dxa"/>
            <w:gridSpan w:val="3"/>
            <w:tcBorders>
              <w:top w:val="single" w:color="000000" w:sz="4" w:space="0"/>
              <w:left w:val="single" w:color="000000" w:sz="4" w:space="0"/>
              <w:bottom w:val="single" w:color="000000" w:sz="4" w:space="0"/>
              <w:right w:val="single" w:color="000000" w:sz="4" w:space="0"/>
            </w:tcBorders>
            <w:shd w:val="clear"/>
            <w:vAlign w:val="center"/>
          </w:tcPr>
          <w:p w14:paraId="675B1C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中国国民党革命委员会四川省委员会机关</w:t>
            </w:r>
          </w:p>
        </w:tc>
      </w:tr>
      <w:tr w14:paraId="1559A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2612" w:type="dxa"/>
            <w:vMerge w:val="restart"/>
            <w:tcBorders>
              <w:top w:val="single" w:color="000000" w:sz="4" w:space="0"/>
              <w:left w:val="single" w:color="000000" w:sz="4" w:space="0"/>
              <w:bottom w:val="single" w:color="000000" w:sz="4" w:space="0"/>
              <w:right w:val="single" w:color="000000" w:sz="4" w:space="0"/>
            </w:tcBorders>
            <w:shd w:val="clear"/>
            <w:vAlign w:val="center"/>
          </w:tcPr>
          <w:p w14:paraId="2DF436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3DA0AF7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vAlign w:val="center"/>
          </w:tcPr>
          <w:p w14:paraId="31AF3A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3862" w:type="dxa"/>
            <w:gridSpan w:val="4"/>
            <w:tcBorders>
              <w:top w:val="single" w:color="000000" w:sz="4" w:space="0"/>
              <w:left w:val="single" w:color="000000" w:sz="4" w:space="0"/>
              <w:bottom w:val="single" w:color="000000" w:sz="4" w:space="0"/>
              <w:right w:val="single" w:color="000000" w:sz="4" w:space="0"/>
            </w:tcBorders>
            <w:shd w:val="clear"/>
            <w:vAlign w:val="center"/>
          </w:tcPr>
          <w:p w14:paraId="6A57A6A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54D65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0"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7267CA">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1E09BC35">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vAlign w:val="center"/>
          </w:tcPr>
          <w:p w14:paraId="48959A9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通过开展演讲比赛、制作《四川民革党员初心手册》等一系列活动，强化打造民革党员精神价值平台，增强民革主人翁意识，巩固民革党员全局利益原则的责任担当。</w:t>
            </w:r>
          </w:p>
        </w:tc>
        <w:tc>
          <w:tcPr>
            <w:tcW w:w="3862" w:type="dxa"/>
            <w:gridSpan w:val="4"/>
            <w:tcBorders>
              <w:top w:val="single" w:color="000000" w:sz="4" w:space="0"/>
              <w:left w:val="single" w:color="000000" w:sz="4" w:space="0"/>
              <w:bottom w:val="single" w:color="000000" w:sz="4" w:space="0"/>
              <w:right w:val="single" w:color="000000" w:sz="4" w:space="0"/>
            </w:tcBorders>
            <w:shd w:val="clear"/>
            <w:vAlign w:val="center"/>
          </w:tcPr>
          <w:p w14:paraId="4A56992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2024年度，本单位开展了展演讲比赛、制作《四川民革党员初心手册》等一系列活动，强化打造了民革党员精神价值平台，增强了民革主人翁意识，巩固了民革党员全局利益原则的责任担当。</w:t>
            </w:r>
          </w:p>
        </w:tc>
      </w:tr>
      <w:tr w14:paraId="101D7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8C8932">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2E454F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6908" w:type="dxa"/>
            <w:gridSpan w:val="9"/>
            <w:tcBorders>
              <w:top w:val="single" w:color="000000" w:sz="4" w:space="0"/>
              <w:left w:val="single" w:color="000000" w:sz="4" w:space="0"/>
              <w:bottom w:val="single" w:color="000000" w:sz="4" w:space="0"/>
              <w:right w:val="single" w:color="000000" w:sz="4" w:space="0"/>
            </w:tcBorders>
            <w:shd w:val="clear"/>
            <w:vAlign w:val="center"/>
          </w:tcPr>
          <w:p w14:paraId="469624E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开展演讲比赛、制作《四川民革党员初心手册》、召开专项活动会议、印刷《四川民革党员初心手册》、评选“四川模范民革党员”、评选先进组织</w:t>
            </w:r>
          </w:p>
        </w:tc>
      </w:tr>
      <w:tr w14:paraId="680D0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2612" w:type="dxa"/>
            <w:vMerge w:val="restart"/>
            <w:tcBorders>
              <w:top w:val="single" w:color="000000" w:sz="4" w:space="0"/>
              <w:left w:val="single" w:color="000000" w:sz="4" w:space="0"/>
              <w:bottom w:val="single" w:color="000000" w:sz="4" w:space="0"/>
              <w:right w:val="single" w:color="000000" w:sz="4" w:space="0"/>
            </w:tcBorders>
            <w:shd w:val="clear"/>
            <w:vAlign w:val="center"/>
          </w:tcPr>
          <w:p w14:paraId="43B74E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146B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A45D0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82A2F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vAlign w:val="center"/>
          </w:tcPr>
          <w:p w14:paraId="224908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91AD0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DC965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01D47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788C41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4636C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6"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9BFE7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BC150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6389C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1AAA2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0" w:type="auto"/>
            <w:gridSpan w:val="3"/>
            <w:tcBorders>
              <w:top w:val="single" w:color="000000" w:sz="4" w:space="0"/>
              <w:left w:val="single" w:color="000000" w:sz="4" w:space="0"/>
              <w:bottom w:val="single" w:color="000000" w:sz="4" w:space="0"/>
              <w:right w:val="single" w:color="000000" w:sz="4" w:space="0"/>
            </w:tcBorders>
            <w:shd w:val="clear"/>
            <w:vAlign w:val="center"/>
          </w:tcPr>
          <w:p w14:paraId="5A9140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2042B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32A53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C3623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E8C6248">
            <w:pPr>
              <w:rPr>
                <w:rFonts w:hint="eastAsia" w:ascii="黑体" w:hAnsi="黑体" w:eastAsia="黑体" w:cs="黑体"/>
                <w:i/>
                <w:iCs/>
                <w:color w:val="000000"/>
                <w:sz w:val="18"/>
                <w:szCs w:val="18"/>
                <w:u w:val="none"/>
              </w:rPr>
            </w:pPr>
          </w:p>
        </w:tc>
      </w:tr>
      <w:tr w14:paraId="71315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69979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7D966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0EFF9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A4F62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0" w:type="auto"/>
            <w:gridSpan w:val="3"/>
            <w:tcBorders>
              <w:top w:val="single" w:color="000000" w:sz="4" w:space="0"/>
              <w:left w:val="single" w:color="000000" w:sz="4" w:space="0"/>
              <w:bottom w:val="single" w:color="000000" w:sz="4" w:space="0"/>
              <w:right w:val="single" w:color="000000" w:sz="4" w:space="0"/>
            </w:tcBorders>
            <w:shd w:val="clear"/>
            <w:vAlign w:val="center"/>
          </w:tcPr>
          <w:p w14:paraId="2B58E9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2C4EF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839CF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1E5C5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4FB0DA8">
            <w:pPr>
              <w:rPr>
                <w:rFonts w:hint="eastAsia" w:ascii="黑体" w:hAnsi="黑体" w:eastAsia="黑体" w:cs="黑体"/>
                <w:i/>
                <w:iCs/>
                <w:color w:val="000000"/>
                <w:sz w:val="18"/>
                <w:szCs w:val="18"/>
                <w:u w:val="none"/>
              </w:rPr>
            </w:pPr>
          </w:p>
        </w:tc>
      </w:tr>
      <w:tr w14:paraId="4E29B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7"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80FBC3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AD7FD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7BE32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738FB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vAlign w:val="center"/>
          </w:tcPr>
          <w:p w14:paraId="05B752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F6246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B7CF7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3E288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14FAD2">
            <w:pPr>
              <w:rPr>
                <w:rFonts w:hint="eastAsia" w:ascii="黑体" w:hAnsi="黑体" w:eastAsia="黑体" w:cs="黑体"/>
                <w:i/>
                <w:iCs/>
                <w:color w:val="000000"/>
                <w:sz w:val="18"/>
                <w:szCs w:val="18"/>
                <w:u w:val="none"/>
              </w:rPr>
            </w:pPr>
          </w:p>
        </w:tc>
      </w:tr>
      <w:tr w14:paraId="7266A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04F6B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7088D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5AAD5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6435F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vAlign w:val="center"/>
          </w:tcPr>
          <w:p w14:paraId="48D699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F8086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BD4F9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10BA2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3B5B82">
            <w:pPr>
              <w:rPr>
                <w:rFonts w:hint="eastAsia" w:ascii="黑体" w:hAnsi="黑体" w:eastAsia="黑体" w:cs="黑体"/>
                <w:i/>
                <w:iCs/>
                <w:color w:val="000000"/>
                <w:sz w:val="18"/>
                <w:szCs w:val="18"/>
                <w:u w:val="none"/>
              </w:rPr>
            </w:pPr>
          </w:p>
        </w:tc>
      </w:tr>
      <w:tr w14:paraId="5B527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24910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0F45F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3DF4B58">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5F88AA">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vAlign w:val="center"/>
          </w:tcPr>
          <w:p w14:paraId="4B80CFD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0A9D220">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BAAF0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F2DDD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B5FD20">
            <w:pPr>
              <w:rPr>
                <w:rFonts w:hint="eastAsia" w:ascii="黑体" w:hAnsi="黑体" w:eastAsia="黑体" w:cs="黑体"/>
                <w:i/>
                <w:iCs/>
                <w:color w:val="000000"/>
                <w:sz w:val="18"/>
                <w:szCs w:val="18"/>
                <w:u w:val="none"/>
              </w:rPr>
            </w:pPr>
          </w:p>
        </w:tc>
      </w:tr>
      <w:tr w14:paraId="1FB5B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2612" w:type="dxa"/>
            <w:vMerge w:val="restart"/>
            <w:tcBorders>
              <w:top w:val="single" w:color="000000" w:sz="4" w:space="0"/>
              <w:left w:val="single" w:color="000000" w:sz="4" w:space="0"/>
              <w:bottom w:val="single" w:color="000000" w:sz="4" w:space="0"/>
              <w:right w:val="single" w:color="000000" w:sz="4" w:space="0"/>
            </w:tcBorders>
            <w:shd w:val="clear"/>
            <w:vAlign w:val="center"/>
          </w:tcPr>
          <w:p w14:paraId="342889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926D7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86908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F4657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4A43B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01633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FE4EF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202DE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4A5E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06040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6182A0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A95F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0"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76AD5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2203D5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7B9375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EE380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印刷《四川民革党员初心手册》数量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2AABB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075D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18BA6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份</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B230F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79250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11DE5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747132E7">
            <w:pPr>
              <w:jc w:val="center"/>
              <w:rPr>
                <w:rFonts w:hint="eastAsia" w:ascii="微软雅黑" w:hAnsi="微软雅黑" w:eastAsia="微软雅黑" w:cs="微软雅黑"/>
                <w:i/>
                <w:iCs/>
                <w:color w:val="000000"/>
                <w:sz w:val="16"/>
                <w:szCs w:val="16"/>
                <w:u w:val="none"/>
              </w:rPr>
            </w:pPr>
          </w:p>
        </w:tc>
      </w:tr>
      <w:tr w14:paraId="3A4F9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7F55C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35776E7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72EDDE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2C578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评选“四川模范民革党员”数量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F154D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80561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FB062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09790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1DD8E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4A9BE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3A3D2343">
            <w:pPr>
              <w:jc w:val="center"/>
              <w:rPr>
                <w:rFonts w:hint="eastAsia" w:ascii="微软雅黑" w:hAnsi="微软雅黑" w:eastAsia="微软雅黑" w:cs="微软雅黑"/>
                <w:i/>
                <w:iCs/>
                <w:color w:val="000000"/>
                <w:sz w:val="16"/>
                <w:szCs w:val="16"/>
                <w:u w:val="none"/>
              </w:rPr>
            </w:pPr>
          </w:p>
        </w:tc>
      </w:tr>
      <w:tr w14:paraId="1CC2D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92719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97C5D6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7ADAC0E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8B99E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评选先进组织数量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112A6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249C7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2C93F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9F5A7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C3AE7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70ECD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26E71226">
            <w:pPr>
              <w:jc w:val="center"/>
              <w:rPr>
                <w:rFonts w:hint="eastAsia" w:ascii="微软雅黑" w:hAnsi="微软雅黑" w:eastAsia="微软雅黑" w:cs="微软雅黑"/>
                <w:i/>
                <w:iCs/>
                <w:color w:val="000000"/>
                <w:sz w:val="16"/>
                <w:szCs w:val="16"/>
                <w:u w:val="none"/>
              </w:rPr>
            </w:pPr>
          </w:p>
        </w:tc>
      </w:tr>
      <w:tr w14:paraId="35868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11084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3F53900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57F696E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BB0AE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参加活动人数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A79F2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669F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96786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DD304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B4403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E3EDB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4148663E">
            <w:pPr>
              <w:jc w:val="center"/>
              <w:rPr>
                <w:rFonts w:hint="eastAsia" w:ascii="微软雅黑" w:hAnsi="微软雅黑" w:eastAsia="微软雅黑" w:cs="微软雅黑"/>
                <w:i/>
                <w:iCs/>
                <w:color w:val="000000"/>
                <w:sz w:val="16"/>
                <w:szCs w:val="16"/>
                <w:u w:val="none"/>
              </w:rPr>
            </w:pPr>
          </w:p>
        </w:tc>
      </w:tr>
      <w:tr w14:paraId="1F256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5808C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CBCA68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D71056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C33E2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举办专项活动演讲比赛</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8AEC9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E8B8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CF0AF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D7BEB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412EC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F9A59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1FCFF41C">
            <w:pPr>
              <w:jc w:val="center"/>
              <w:rPr>
                <w:rFonts w:hint="eastAsia" w:ascii="微软雅黑" w:hAnsi="微软雅黑" w:eastAsia="微软雅黑" w:cs="微软雅黑"/>
                <w:i/>
                <w:iCs/>
                <w:color w:val="000000"/>
                <w:sz w:val="16"/>
                <w:szCs w:val="16"/>
                <w:u w:val="none"/>
              </w:rPr>
            </w:pPr>
          </w:p>
        </w:tc>
      </w:tr>
      <w:tr w14:paraId="409CA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B23B58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1794748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93820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C802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多种形式开展专项活动</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99FEC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5A222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96F7A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种</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0DEAA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CF4C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07D8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21A870EE">
            <w:pPr>
              <w:jc w:val="center"/>
              <w:rPr>
                <w:rFonts w:hint="eastAsia" w:ascii="微软雅黑" w:hAnsi="微软雅黑" w:eastAsia="微软雅黑" w:cs="微软雅黑"/>
                <w:i/>
                <w:iCs/>
                <w:color w:val="000000"/>
                <w:sz w:val="16"/>
                <w:szCs w:val="16"/>
                <w:u w:val="none"/>
              </w:rPr>
            </w:pPr>
          </w:p>
        </w:tc>
      </w:tr>
      <w:tr w14:paraId="43DD9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92C1D4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4AB246D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B3724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C2AF2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完成活动时间</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6DD0C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F9F0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2024年5月底前</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8ECAF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D7096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2024年4月17日-18日</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C628D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187B5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4658FDA4">
            <w:pPr>
              <w:jc w:val="center"/>
              <w:rPr>
                <w:rFonts w:hint="eastAsia" w:ascii="微软雅黑" w:hAnsi="微软雅黑" w:eastAsia="微软雅黑" w:cs="微软雅黑"/>
                <w:i/>
                <w:iCs/>
                <w:color w:val="000000"/>
                <w:sz w:val="16"/>
                <w:szCs w:val="16"/>
                <w:u w:val="none"/>
              </w:rPr>
            </w:pPr>
          </w:p>
        </w:tc>
      </w:tr>
      <w:tr w14:paraId="2721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30"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9E3D9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89E85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9B0F8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193B7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各市州组织全体党员签署《四川民革党员承诺书》》，始终保持同中国共产党同心同德的政治本色</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2EC5F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FE50E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DF009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A2B39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D0895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47E5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2BB907AC">
            <w:pPr>
              <w:jc w:val="center"/>
              <w:rPr>
                <w:rFonts w:hint="eastAsia" w:ascii="微软雅黑" w:hAnsi="微软雅黑" w:eastAsia="微软雅黑" w:cs="微软雅黑"/>
                <w:i/>
                <w:iCs/>
                <w:color w:val="000000"/>
                <w:sz w:val="16"/>
                <w:szCs w:val="16"/>
                <w:u w:val="none"/>
              </w:rPr>
            </w:pPr>
          </w:p>
        </w:tc>
      </w:tr>
      <w:tr w14:paraId="3FE2A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0"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9CC2B6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D32C4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BF4F6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BF5FB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全省民革党员对活动的满意程度</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97E75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56628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745E6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05BFE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E7A51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AAE2B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451355AE">
            <w:pPr>
              <w:jc w:val="center"/>
              <w:rPr>
                <w:rFonts w:hint="eastAsia" w:ascii="微软雅黑" w:hAnsi="微软雅黑" w:eastAsia="微软雅黑" w:cs="微软雅黑"/>
                <w:i/>
                <w:iCs/>
                <w:color w:val="000000"/>
                <w:sz w:val="16"/>
                <w:szCs w:val="16"/>
                <w:u w:val="none"/>
              </w:rPr>
            </w:pPr>
          </w:p>
        </w:tc>
      </w:tr>
      <w:tr w14:paraId="4E2AD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8C0528">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46ADFC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成本指标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5B1152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45D45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印刷《四川民革党员初心手册》所需经费</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CA09F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C4959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92701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0186C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6E7E3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50578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13C9EA0F">
            <w:pPr>
              <w:jc w:val="center"/>
              <w:rPr>
                <w:rFonts w:hint="eastAsia" w:ascii="微软雅黑" w:hAnsi="微软雅黑" w:eastAsia="微软雅黑" w:cs="微软雅黑"/>
                <w:i/>
                <w:iCs/>
                <w:color w:val="000000"/>
                <w:sz w:val="16"/>
                <w:szCs w:val="16"/>
                <w:u w:val="none"/>
              </w:rPr>
            </w:pPr>
          </w:p>
        </w:tc>
      </w:tr>
      <w:tr w14:paraId="6F753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6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465E9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1872FCE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0B3CAC4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9A680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专项活动所需会议经费</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66123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1CBF3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A783C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2AB90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D9A96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9021A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7C8B1394">
            <w:pPr>
              <w:jc w:val="center"/>
              <w:rPr>
                <w:rFonts w:hint="eastAsia" w:ascii="微软雅黑" w:hAnsi="微软雅黑" w:eastAsia="微软雅黑" w:cs="微软雅黑"/>
                <w:i/>
                <w:iCs/>
                <w:color w:val="000000"/>
                <w:sz w:val="16"/>
                <w:szCs w:val="16"/>
                <w:u w:val="none"/>
              </w:rPr>
            </w:pPr>
          </w:p>
        </w:tc>
      </w:tr>
      <w:tr w14:paraId="69DF1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8401" w:type="dxa"/>
            <w:gridSpan w:val="8"/>
            <w:tcBorders>
              <w:top w:val="single" w:color="000000" w:sz="4" w:space="0"/>
              <w:left w:val="single" w:color="000000" w:sz="4" w:space="0"/>
              <w:bottom w:val="single" w:color="000000" w:sz="4" w:space="0"/>
              <w:right w:val="single" w:color="000000" w:sz="4" w:space="0"/>
            </w:tcBorders>
            <w:shd w:val="clear"/>
            <w:vAlign w:val="center"/>
          </w:tcPr>
          <w:p w14:paraId="0AC5A5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CE55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122712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984" w:type="dxa"/>
            <w:tcBorders>
              <w:top w:val="single" w:color="000000" w:sz="4" w:space="0"/>
              <w:left w:val="single" w:color="000000" w:sz="4" w:space="0"/>
              <w:bottom w:val="single" w:color="000000" w:sz="4" w:space="0"/>
              <w:right w:val="single" w:color="000000" w:sz="4" w:space="0"/>
            </w:tcBorders>
            <w:shd w:val="clear"/>
            <w:vAlign w:val="center"/>
          </w:tcPr>
          <w:p w14:paraId="0EA09E95">
            <w:pPr>
              <w:rPr>
                <w:rFonts w:hint="eastAsia" w:ascii="宋体" w:hAnsi="宋体" w:eastAsia="宋体" w:cs="宋体"/>
                <w:i w:val="0"/>
                <w:iCs w:val="0"/>
                <w:color w:val="000000"/>
                <w:sz w:val="18"/>
                <w:szCs w:val="18"/>
                <w:u w:val="none"/>
              </w:rPr>
            </w:pPr>
          </w:p>
        </w:tc>
      </w:tr>
      <w:tr w14:paraId="4EABD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2612" w:type="dxa"/>
            <w:tcBorders>
              <w:top w:val="single" w:color="000000" w:sz="4" w:space="0"/>
              <w:left w:val="single" w:color="000000" w:sz="4" w:space="0"/>
              <w:bottom w:val="single" w:color="000000" w:sz="4" w:space="0"/>
              <w:right w:val="single" w:color="000000" w:sz="4" w:space="0"/>
            </w:tcBorders>
            <w:shd w:val="clear"/>
            <w:vAlign w:val="center"/>
          </w:tcPr>
          <w:p w14:paraId="1FDF66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8769" w:type="dxa"/>
            <w:gridSpan w:val="10"/>
            <w:tcBorders>
              <w:top w:val="single" w:color="000000" w:sz="4" w:space="0"/>
              <w:left w:val="single" w:color="000000" w:sz="4" w:space="0"/>
              <w:bottom w:val="single" w:color="000000" w:sz="4" w:space="0"/>
              <w:right w:val="single" w:color="000000" w:sz="4" w:space="0"/>
            </w:tcBorders>
            <w:shd w:val="clear"/>
            <w:vAlign w:val="center"/>
          </w:tcPr>
          <w:p w14:paraId="67734B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本项目完成情况良好，通过各项工作的开展，进一步增强了民革主人翁意识，巩固民革党员全局利益原则的责任担当。</w:t>
            </w:r>
          </w:p>
        </w:tc>
      </w:tr>
      <w:tr w14:paraId="2A7EF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2612" w:type="dxa"/>
            <w:tcBorders>
              <w:top w:val="single" w:color="000000" w:sz="4" w:space="0"/>
              <w:left w:val="single" w:color="000000" w:sz="4" w:space="0"/>
              <w:bottom w:val="single" w:color="000000" w:sz="4" w:space="0"/>
              <w:right w:val="single" w:color="000000" w:sz="4" w:space="0"/>
            </w:tcBorders>
            <w:shd w:val="clear"/>
            <w:vAlign w:val="center"/>
          </w:tcPr>
          <w:p w14:paraId="6BA8A0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8769" w:type="dxa"/>
            <w:gridSpan w:val="10"/>
            <w:tcBorders>
              <w:top w:val="single" w:color="000000" w:sz="4" w:space="0"/>
              <w:left w:val="single" w:color="000000" w:sz="4" w:space="0"/>
              <w:bottom w:val="single" w:color="000000" w:sz="4" w:space="0"/>
              <w:right w:val="single" w:color="000000" w:sz="4" w:space="0"/>
            </w:tcBorders>
            <w:shd w:val="clear"/>
            <w:vAlign w:val="center"/>
          </w:tcPr>
          <w:p w14:paraId="169A741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48C5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2612" w:type="dxa"/>
            <w:tcBorders>
              <w:top w:val="single" w:color="000000" w:sz="4" w:space="0"/>
              <w:left w:val="single" w:color="000000" w:sz="4" w:space="0"/>
              <w:bottom w:val="single" w:color="000000" w:sz="4" w:space="0"/>
              <w:right w:val="single" w:color="000000" w:sz="4" w:space="0"/>
            </w:tcBorders>
            <w:shd w:val="clear"/>
            <w:vAlign w:val="center"/>
          </w:tcPr>
          <w:p w14:paraId="6D6639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8769" w:type="dxa"/>
            <w:gridSpan w:val="10"/>
            <w:tcBorders>
              <w:top w:val="single" w:color="000000" w:sz="4" w:space="0"/>
              <w:left w:val="single" w:color="000000" w:sz="4" w:space="0"/>
              <w:bottom w:val="single" w:color="000000" w:sz="4" w:space="0"/>
              <w:right w:val="single" w:color="000000" w:sz="4" w:space="0"/>
            </w:tcBorders>
            <w:shd w:val="clear"/>
            <w:vAlign w:val="center"/>
          </w:tcPr>
          <w:p w14:paraId="6050143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8699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6536" w:type="dxa"/>
            <w:gridSpan w:val="5"/>
            <w:tcBorders>
              <w:top w:val="single" w:color="000000" w:sz="4" w:space="0"/>
              <w:left w:val="single" w:color="000000" w:sz="4" w:space="0"/>
              <w:bottom w:val="single" w:color="000000" w:sz="4" w:space="0"/>
              <w:right w:val="single" w:color="000000" w:sz="4" w:space="0"/>
            </w:tcBorders>
            <w:shd w:val="clear"/>
            <w:vAlign w:val="center"/>
          </w:tcPr>
          <w:p w14:paraId="3730C79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项目负责人：籍宁</w:t>
            </w:r>
          </w:p>
        </w:tc>
        <w:tc>
          <w:tcPr>
            <w:tcW w:w="4845" w:type="dxa"/>
            <w:gridSpan w:val="6"/>
            <w:tcBorders>
              <w:top w:val="single" w:color="000000" w:sz="4" w:space="0"/>
              <w:left w:val="single" w:color="000000" w:sz="4" w:space="0"/>
              <w:bottom w:val="single" w:color="000000" w:sz="4" w:space="0"/>
              <w:right w:val="single" w:color="000000" w:sz="4" w:space="0"/>
            </w:tcBorders>
            <w:shd w:val="clear"/>
            <w:vAlign w:val="center"/>
          </w:tcPr>
          <w:p w14:paraId="7F5A8C6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财务负责人：胡兆舜</w:t>
            </w:r>
          </w:p>
        </w:tc>
      </w:tr>
    </w:tbl>
    <w:p w14:paraId="6F0B4747">
      <w:pPr>
        <w:pStyle w:val="8"/>
        <w:rPr>
          <w:rFonts w:hint="eastAsia"/>
        </w:rPr>
      </w:pPr>
    </w:p>
    <w:p w14:paraId="268F7F90">
      <w:pPr>
        <w:widowControl/>
        <w:jc w:val="center"/>
        <w:rPr>
          <w:rFonts w:hint="eastAsia" w:ascii="黑体" w:hAnsi="黑体" w:eastAsia="黑体"/>
          <w:color w:val="auto"/>
          <w:sz w:val="44"/>
          <w:szCs w:val="44"/>
          <w:highlight w:val="none"/>
        </w:rPr>
      </w:pPr>
    </w:p>
    <w:p w14:paraId="3080D4A1">
      <w:pPr>
        <w:widowControl/>
        <w:jc w:val="center"/>
        <w:rPr>
          <w:rFonts w:hint="eastAsia" w:ascii="黑体" w:hAnsi="黑体" w:eastAsia="黑体"/>
          <w:color w:val="auto"/>
          <w:sz w:val="44"/>
          <w:szCs w:val="44"/>
          <w:highlight w:val="none"/>
        </w:rPr>
      </w:pPr>
    </w:p>
    <w:p w14:paraId="5E404283">
      <w:pPr>
        <w:widowControl/>
        <w:jc w:val="center"/>
        <w:rPr>
          <w:rFonts w:hint="eastAsia" w:ascii="黑体" w:hAnsi="黑体" w:eastAsia="黑体"/>
          <w:color w:val="auto"/>
          <w:sz w:val="44"/>
          <w:szCs w:val="44"/>
          <w:highlight w:val="none"/>
        </w:rPr>
      </w:pPr>
    </w:p>
    <w:p w14:paraId="48F6726A">
      <w:pPr>
        <w:widowControl/>
        <w:jc w:val="center"/>
        <w:rPr>
          <w:rFonts w:hint="eastAsia" w:ascii="黑体" w:hAnsi="黑体" w:eastAsia="黑体"/>
          <w:color w:val="auto"/>
          <w:sz w:val="44"/>
          <w:szCs w:val="44"/>
          <w:highlight w:val="none"/>
        </w:rPr>
      </w:pPr>
    </w:p>
    <w:p w14:paraId="69B566EB">
      <w:pPr>
        <w:widowControl/>
        <w:jc w:val="center"/>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2"/>
      <w:bookmarkEnd w:id="53"/>
      <w:bookmarkStart w:id="54" w:name="_Toc15396619"/>
    </w:p>
    <w:p w14:paraId="108A2EA4">
      <w:pPr>
        <w:pStyle w:val="3"/>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14:paraId="48154FA7">
      <w:pPr>
        <w:pStyle w:val="3"/>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14:paraId="18906F77">
      <w:pPr>
        <w:pStyle w:val="3"/>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14:paraId="298429FB">
      <w:pPr>
        <w:pStyle w:val="3"/>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14:paraId="22F9ED9E">
      <w:pPr>
        <w:pStyle w:val="3"/>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14:paraId="535178FF">
      <w:pPr>
        <w:pStyle w:val="3"/>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14:paraId="35BE3520">
      <w:pPr>
        <w:pStyle w:val="3"/>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14:paraId="05202DEF">
      <w:pPr>
        <w:pStyle w:val="3"/>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14:paraId="678C2C0A">
      <w:pPr>
        <w:pStyle w:val="3"/>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14:paraId="622C30DC">
      <w:pPr>
        <w:pStyle w:val="3"/>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bookmarkEnd w:id="63"/>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p>
    <w:p w14:paraId="20EF2697">
      <w:pPr>
        <w:pStyle w:val="3"/>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bookmarkEnd w:id="64"/>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w:t>
      </w:r>
      <w:r>
        <w:rPr>
          <w:rStyle w:val="30"/>
          <w:rFonts w:hint="eastAsia" w:ascii="仿宋" w:hAnsi="仿宋" w:eastAsia="仿宋"/>
          <w:b w:val="0"/>
          <w:bCs w:val="0"/>
          <w:color w:val="auto"/>
          <w:highlight w:val="none"/>
          <w:lang w:eastAsia="zh-CN"/>
        </w:rPr>
        <w:t>财政拨款收入</w:t>
      </w:r>
      <w:r>
        <w:rPr>
          <w:rStyle w:val="30"/>
          <w:rFonts w:hint="eastAsia" w:ascii="仿宋" w:hAnsi="仿宋" w:eastAsia="仿宋"/>
          <w:b w:val="0"/>
          <w:bCs w:val="0"/>
          <w:color w:val="auto"/>
          <w:highlight w:val="none"/>
        </w:rPr>
        <w:t>支出决算表</w:t>
      </w:r>
    </w:p>
    <w:p w14:paraId="78DAAF47">
      <w:pPr>
        <w:pStyle w:val="3"/>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bookmarkEnd w:id="65"/>
      <w:r>
        <w:rPr>
          <w:rStyle w:val="30"/>
          <w:rFonts w:hint="eastAsia" w:ascii="仿宋" w:hAnsi="仿宋" w:eastAsia="仿宋"/>
          <w:b w:val="0"/>
          <w:bCs w:val="0"/>
          <w:color w:val="auto"/>
          <w:highlight w:val="none"/>
          <w:lang w:eastAsia="zh-CN"/>
        </w:rPr>
        <w:t>国有资本经营预算财政拨款支出决算表</w:t>
      </w:r>
    </w:p>
    <w:p w14:paraId="39C17680">
      <w:pPr>
        <w:pStyle w:val="3"/>
        <w:rPr>
          <w:rStyle w:val="30"/>
          <w:rFonts w:hint="eastAsia" w:ascii="仿宋" w:hAnsi="仿宋" w:eastAsia="仿宋"/>
          <w:b w:val="0"/>
          <w:bCs w:val="0"/>
          <w:color w:val="auto"/>
          <w:highlight w:val="none"/>
          <w:lang w:eastAsia="zh-CN"/>
        </w:rPr>
      </w:pPr>
      <w:bookmarkStart w:id="66" w:name="_Toc15396631"/>
      <w:r>
        <w:rPr>
          <w:rStyle w:val="30"/>
          <w:rFonts w:hint="eastAsia" w:ascii="仿宋" w:hAnsi="仿宋" w:eastAsia="仿宋"/>
          <w:b w:val="0"/>
          <w:bCs w:val="0"/>
          <w:color w:val="auto"/>
          <w:highlight w:val="none"/>
        </w:rPr>
        <w:t>十三、</w:t>
      </w:r>
      <w:bookmarkEnd w:id="66"/>
      <w:r>
        <w:rPr>
          <w:rStyle w:val="30"/>
          <w:rFonts w:hint="eastAsia" w:ascii="仿宋" w:hAnsi="仿宋" w:eastAsia="仿宋"/>
          <w:b w:val="0"/>
          <w:bCs w:val="0"/>
          <w:color w:val="auto"/>
          <w:highlight w:val="none"/>
          <w:lang w:eastAsia="zh-CN"/>
        </w:rPr>
        <w:t>财政拨款“三公”经费支出决算表</w:t>
      </w:r>
    </w:p>
    <w:p w14:paraId="18D6EF7E">
      <w:pPr>
        <w:rPr>
          <w:rFonts w:hint="eastAsia"/>
          <w:lang w:eastAsia="zh-CN"/>
        </w:rPr>
      </w:pPr>
    </w:p>
    <w:sectPr>
      <w:footerReference r:id="rId9" w:type="first"/>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BC90C">
    <w:pPr>
      <w:pStyle w:val="11"/>
      <w:jc w:val="center"/>
    </w:pPr>
  </w:p>
  <w:p w14:paraId="4854982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086CB">
    <w:pPr>
      <w:pStyle w:val="11"/>
      <w:jc w:val="center"/>
    </w:pPr>
  </w:p>
  <w:p w14:paraId="728EDE9F">
    <w:pPr>
      <w:pStyle w:val="11"/>
      <w:tabs>
        <w:tab w:val="left" w:pos="4918"/>
        <w:tab w:val="clear" w:pos="4153"/>
      </w:tabs>
      <w:rPr>
        <w:rFonts w:hint="eastAsia" w:eastAsia="宋体"/>
        <w:lang w:eastAsia="zh-CN"/>
      </w:rPr>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99781">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DB5399">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5DB5399">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05D08">
    <w:pPr>
      <w:pStyle w:val="11"/>
      <w:jc w:val="center"/>
    </w:pPr>
  </w:p>
  <w:p w14:paraId="53197761">
    <w:pPr>
      <w:pStyle w:val="11"/>
      <w:tabs>
        <w:tab w:val="left" w:pos="4918"/>
        <w:tab w:val="clear" w:pos="4153"/>
      </w:tabs>
      <w:rPr>
        <w:rFonts w:hint="eastAsia" w:eastAsia="宋体"/>
        <w:lang w:eastAsia="zh-CN"/>
      </w:rPr>
    </w:pP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9E0A0">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-9525</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A06C71">
                          <w:pPr>
                            <w:pStyle w:val="11"/>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- 2 -</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75pt;height:144pt;width:144pt;mso-position-horizontal:right;mso-position-horizontal-relative:margin;mso-wrap-style:none;z-index:251659264;mso-width-relative:page;mso-height-relative:page;" filled="f" stroked="f" coordsize="21600,21600" o:gfxdata="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rIQKNUAAAAHAQAADwAAAAAAAAABACAAAAAiAAAAZHJzL2Rvd25yZXYueG1sUEsB&#10;AhQAFAAAAAgAh07iQKmor5UxAgAAYwQAAA4AAAAAAAAAAQAgAAAAJAEAAGRycy9lMm9Eb2MueG1s&#10;UEsFBgAAAAAGAAYAWQEAAMcFAAAAAA==&#10;">
              <v:fill on="f" focussize="0,0"/>
              <v:stroke on="f" weight="0.5pt"/>
              <v:imagedata o:title=""/>
              <o:lock v:ext="edit" aspectratio="f"/>
              <v:textbox inset="0mm,0mm,0mm,0mm" style="mso-fit-shape-to-text:t;">
                <w:txbxContent>
                  <w:p w14:paraId="77A06C71">
                    <w:pPr>
                      <w:pStyle w:val="11"/>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- 2 -</w:t>
                    </w:r>
                    <w:r>
                      <w:rPr>
                        <w:rFonts w:hint="default" w:ascii="Times New Roman" w:hAnsi="Times New Roman" w:cs="Times New Roman"/>
                        <w:sz w:val="28"/>
                        <w:szCs w:val="28"/>
                      </w:rPr>
                      <w:fldChar w:fldCharType="end"/>
                    </w:r>
                  </w:p>
                </w:txbxContent>
              </v:textbox>
            </v:shape>
          </w:pict>
        </mc:Fallback>
      </mc:AlternateContent>
    </w:r>
  </w:p>
  <w:p w14:paraId="19FEA8FE">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D984D">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-9525</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C04BAE">
                          <w:pPr>
                            <w:pStyle w:val="11"/>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- 1 -</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75pt;height:144pt;width:144pt;mso-position-horizontal:right;mso-position-horizontal-relative:margin;mso-wrap-style:none;z-index:251661312;mso-width-relative:page;mso-height-relative:page;" filled="f" stroked="f" coordsize="21600,21600" o:gfxdata="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XL0+7ZAAAACgEAAA8AAAAAAAAAAQAgAAAAIgAAAGRycy9kb3ducmV2Lnht&#10;bFBLAQIUABQAAAAIAIdO4kDrADh6MQIAAGMEAAAOAAAAAAAAAAEAIAAAACgBAABkcnMvZTJvRG9j&#10;LnhtbFBLBQYAAAAABgAGAFkBAADLBQAAAAA=&#10;">
              <v:fill on="f" focussize="0,0"/>
              <v:stroke on="f" weight="0.5pt"/>
              <v:imagedata o:title=""/>
              <o:lock v:ext="edit" aspectratio="f"/>
              <v:textbox inset="0mm,0mm,0mm,0mm" style="mso-fit-shape-to-text:t;">
                <w:txbxContent>
                  <w:p w14:paraId="3EC04BAE">
                    <w:pPr>
                      <w:pStyle w:val="11"/>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- 1 -</w:t>
                    </w:r>
                    <w:r>
                      <w:rPr>
                        <w:rFonts w:hint="default" w:ascii="Times New Roman" w:hAnsi="Times New Roman" w:cs="Times New Roman"/>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17F46">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YzhhMmViMTIwZWZiYTRmOWYyNzM4ODg1Yzg1MDkifQ=="/>
    <w:docVar w:name="KSO_WPS_MARK_KEY" w:val="a489ba0c-8255-4083-9433-158b5a9812a6"/>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4F73D2"/>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28D4"/>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E34F5"/>
    <w:rsid w:val="015975B8"/>
    <w:rsid w:val="01737954"/>
    <w:rsid w:val="02497534"/>
    <w:rsid w:val="028875D2"/>
    <w:rsid w:val="02FEBE30"/>
    <w:rsid w:val="03AA7B5F"/>
    <w:rsid w:val="040E27E3"/>
    <w:rsid w:val="052B2F21"/>
    <w:rsid w:val="061E35DE"/>
    <w:rsid w:val="066E0107"/>
    <w:rsid w:val="07491032"/>
    <w:rsid w:val="07996F6E"/>
    <w:rsid w:val="07C24F25"/>
    <w:rsid w:val="07DFD8BA"/>
    <w:rsid w:val="082A2254"/>
    <w:rsid w:val="09012917"/>
    <w:rsid w:val="09137F54"/>
    <w:rsid w:val="09B63701"/>
    <w:rsid w:val="0A2032A3"/>
    <w:rsid w:val="0BEB340A"/>
    <w:rsid w:val="0C5E7139"/>
    <w:rsid w:val="0C9413AC"/>
    <w:rsid w:val="0CEC2F96"/>
    <w:rsid w:val="0D35B1ED"/>
    <w:rsid w:val="0F98263C"/>
    <w:rsid w:val="101860EC"/>
    <w:rsid w:val="10C055FF"/>
    <w:rsid w:val="118107EC"/>
    <w:rsid w:val="11FC016B"/>
    <w:rsid w:val="12A8795F"/>
    <w:rsid w:val="1306440E"/>
    <w:rsid w:val="132C233E"/>
    <w:rsid w:val="13385D06"/>
    <w:rsid w:val="13D50BC4"/>
    <w:rsid w:val="14D507B4"/>
    <w:rsid w:val="15115DD4"/>
    <w:rsid w:val="16BB723D"/>
    <w:rsid w:val="179D7CAF"/>
    <w:rsid w:val="186504BB"/>
    <w:rsid w:val="1A004525"/>
    <w:rsid w:val="1BE8440E"/>
    <w:rsid w:val="1C1B3898"/>
    <w:rsid w:val="1D155CEE"/>
    <w:rsid w:val="1D6E17A5"/>
    <w:rsid w:val="1E740ACF"/>
    <w:rsid w:val="1E7602DE"/>
    <w:rsid w:val="1FF35744"/>
    <w:rsid w:val="1FF6BC77"/>
    <w:rsid w:val="20C0056A"/>
    <w:rsid w:val="22916662"/>
    <w:rsid w:val="23860B96"/>
    <w:rsid w:val="240371BF"/>
    <w:rsid w:val="24BC729A"/>
    <w:rsid w:val="251175E6"/>
    <w:rsid w:val="25B84866"/>
    <w:rsid w:val="270048E8"/>
    <w:rsid w:val="276E0D20"/>
    <w:rsid w:val="281408E2"/>
    <w:rsid w:val="283D6944"/>
    <w:rsid w:val="28AF3AA2"/>
    <w:rsid w:val="290C07F0"/>
    <w:rsid w:val="29283150"/>
    <w:rsid w:val="29FD04D3"/>
    <w:rsid w:val="2A5A4DB3"/>
    <w:rsid w:val="2AA80080"/>
    <w:rsid w:val="2BFF7BC6"/>
    <w:rsid w:val="2C8A61B5"/>
    <w:rsid w:val="2CA60F5C"/>
    <w:rsid w:val="2D915768"/>
    <w:rsid w:val="2DF04E50"/>
    <w:rsid w:val="2DFE26D1"/>
    <w:rsid w:val="2E3D31FA"/>
    <w:rsid w:val="2F040D46"/>
    <w:rsid w:val="2FAE5751"/>
    <w:rsid w:val="2FB1A395"/>
    <w:rsid w:val="2FD9A7D8"/>
    <w:rsid w:val="30536D05"/>
    <w:rsid w:val="31183BFA"/>
    <w:rsid w:val="319F7F4E"/>
    <w:rsid w:val="31E85B72"/>
    <w:rsid w:val="31EA7C43"/>
    <w:rsid w:val="3281224F"/>
    <w:rsid w:val="32B1065A"/>
    <w:rsid w:val="3304709D"/>
    <w:rsid w:val="331C0B79"/>
    <w:rsid w:val="33FC76B3"/>
    <w:rsid w:val="349D6851"/>
    <w:rsid w:val="35474AB0"/>
    <w:rsid w:val="355F7EFA"/>
    <w:rsid w:val="36352DC4"/>
    <w:rsid w:val="364400C2"/>
    <w:rsid w:val="364F4412"/>
    <w:rsid w:val="36513CE6"/>
    <w:rsid w:val="36932551"/>
    <w:rsid w:val="36981915"/>
    <w:rsid w:val="36AA5135"/>
    <w:rsid w:val="36BE0DA7"/>
    <w:rsid w:val="376B6AA6"/>
    <w:rsid w:val="376D39B2"/>
    <w:rsid w:val="37CA01F4"/>
    <w:rsid w:val="37E16F03"/>
    <w:rsid w:val="37F53A3B"/>
    <w:rsid w:val="389B6C89"/>
    <w:rsid w:val="38D469F0"/>
    <w:rsid w:val="397BAF1F"/>
    <w:rsid w:val="39816807"/>
    <w:rsid w:val="3AB79AF3"/>
    <w:rsid w:val="3B7EF35A"/>
    <w:rsid w:val="3B8B1A48"/>
    <w:rsid w:val="3B9FDB6C"/>
    <w:rsid w:val="3BF5BC2F"/>
    <w:rsid w:val="3CEBA265"/>
    <w:rsid w:val="3D033860"/>
    <w:rsid w:val="3D4F2F4A"/>
    <w:rsid w:val="3D736C38"/>
    <w:rsid w:val="3D954E00"/>
    <w:rsid w:val="3D98207C"/>
    <w:rsid w:val="3DDD67A7"/>
    <w:rsid w:val="3E502AD5"/>
    <w:rsid w:val="3E5A1BA6"/>
    <w:rsid w:val="3E6B1C93"/>
    <w:rsid w:val="3E78745D"/>
    <w:rsid w:val="3ED03C16"/>
    <w:rsid w:val="3FF4CAE0"/>
    <w:rsid w:val="3FF7B227"/>
    <w:rsid w:val="41594397"/>
    <w:rsid w:val="418807D8"/>
    <w:rsid w:val="419E51AD"/>
    <w:rsid w:val="4368266F"/>
    <w:rsid w:val="441A605F"/>
    <w:rsid w:val="443F172A"/>
    <w:rsid w:val="44E268DA"/>
    <w:rsid w:val="453C0130"/>
    <w:rsid w:val="46050649"/>
    <w:rsid w:val="46207231"/>
    <w:rsid w:val="47090753"/>
    <w:rsid w:val="47995FDF"/>
    <w:rsid w:val="483B3FDA"/>
    <w:rsid w:val="49BA174B"/>
    <w:rsid w:val="4A253068"/>
    <w:rsid w:val="4A627F82"/>
    <w:rsid w:val="4AE515FF"/>
    <w:rsid w:val="4B0E749A"/>
    <w:rsid w:val="4B4F25DA"/>
    <w:rsid w:val="4BA146F1"/>
    <w:rsid w:val="4BE068DB"/>
    <w:rsid w:val="4C1A4723"/>
    <w:rsid w:val="4D577224"/>
    <w:rsid w:val="4D73619F"/>
    <w:rsid w:val="4DBF1CEB"/>
    <w:rsid w:val="4E3E1419"/>
    <w:rsid w:val="4EAB630A"/>
    <w:rsid w:val="4ECE2238"/>
    <w:rsid w:val="4FCE41A2"/>
    <w:rsid w:val="4FE9BD67"/>
    <w:rsid w:val="4FF0122D"/>
    <w:rsid w:val="4FFB052F"/>
    <w:rsid w:val="50715259"/>
    <w:rsid w:val="508F2260"/>
    <w:rsid w:val="50BB0282"/>
    <w:rsid w:val="52B21B59"/>
    <w:rsid w:val="53267C20"/>
    <w:rsid w:val="536E3CD2"/>
    <w:rsid w:val="537E6D0A"/>
    <w:rsid w:val="53F74C96"/>
    <w:rsid w:val="55B059B2"/>
    <w:rsid w:val="56E47B74"/>
    <w:rsid w:val="57BD3DD4"/>
    <w:rsid w:val="58005114"/>
    <w:rsid w:val="5A783688"/>
    <w:rsid w:val="5AE623A0"/>
    <w:rsid w:val="5AF92295"/>
    <w:rsid w:val="5B5639C9"/>
    <w:rsid w:val="5BDD79E6"/>
    <w:rsid w:val="5BFF5DFC"/>
    <w:rsid w:val="5CD71FC4"/>
    <w:rsid w:val="5D1F11B5"/>
    <w:rsid w:val="5D925843"/>
    <w:rsid w:val="5DAE1B18"/>
    <w:rsid w:val="5DE7D9E5"/>
    <w:rsid w:val="5ECEC941"/>
    <w:rsid w:val="5F1C0A86"/>
    <w:rsid w:val="5FBF9FF3"/>
    <w:rsid w:val="5FCD4E2C"/>
    <w:rsid w:val="5FEF394A"/>
    <w:rsid w:val="5FF67715"/>
    <w:rsid w:val="60AC5E39"/>
    <w:rsid w:val="61C80A51"/>
    <w:rsid w:val="62BF3928"/>
    <w:rsid w:val="636B6AA9"/>
    <w:rsid w:val="646B1B68"/>
    <w:rsid w:val="647F5392"/>
    <w:rsid w:val="66C32CB3"/>
    <w:rsid w:val="674A68D1"/>
    <w:rsid w:val="678B0C3C"/>
    <w:rsid w:val="67EE6D37"/>
    <w:rsid w:val="687731D1"/>
    <w:rsid w:val="6A276531"/>
    <w:rsid w:val="6A7A48B2"/>
    <w:rsid w:val="6AB12B32"/>
    <w:rsid w:val="6C4A05C8"/>
    <w:rsid w:val="6C8742B8"/>
    <w:rsid w:val="6D2D3E5E"/>
    <w:rsid w:val="6DBF5E93"/>
    <w:rsid w:val="6DFF077E"/>
    <w:rsid w:val="6E7E3605"/>
    <w:rsid w:val="6E7FDCC7"/>
    <w:rsid w:val="6ED6A62E"/>
    <w:rsid w:val="6EE00B15"/>
    <w:rsid w:val="6F6FB3EB"/>
    <w:rsid w:val="6F8731EA"/>
    <w:rsid w:val="6FCE6052"/>
    <w:rsid w:val="6FD57C00"/>
    <w:rsid w:val="6FEFFFD8"/>
    <w:rsid w:val="6FF5CC65"/>
    <w:rsid w:val="6FFB47EC"/>
    <w:rsid w:val="6FFF034A"/>
    <w:rsid w:val="70B31CAB"/>
    <w:rsid w:val="712A28F1"/>
    <w:rsid w:val="715C0E4B"/>
    <w:rsid w:val="72233669"/>
    <w:rsid w:val="72734D90"/>
    <w:rsid w:val="72AA61A6"/>
    <w:rsid w:val="7332FE48"/>
    <w:rsid w:val="73AB61DA"/>
    <w:rsid w:val="73AD73D5"/>
    <w:rsid w:val="73B6EB34"/>
    <w:rsid w:val="73FA497D"/>
    <w:rsid w:val="7428537F"/>
    <w:rsid w:val="744731E5"/>
    <w:rsid w:val="74BBD01D"/>
    <w:rsid w:val="74ED5379"/>
    <w:rsid w:val="756252EE"/>
    <w:rsid w:val="758D7B90"/>
    <w:rsid w:val="75DEEEC2"/>
    <w:rsid w:val="76BB24DB"/>
    <w:rsid w:val="76E3355F"/>
    <w:rsid w:val="76FF5125"/>
    <w:rsid w:val="77560455"/>
    <w:rsid w:val="776F6FFA"/>
    <w:rsid w:val="778769C8"/>
    <w:rsid w:val="778C5F09"/>
    <w:rsid w:val="77DC22F5"/>
    <w:rsid w:val="797709B7"/>
    <w:rsid w:val="79D0629D"/>
    <w:rsid w:val="79D7FD79"/>
    <w:rsid w:val="79EE5BA4"/>
    <w:rsid w:val="79FC627C"/>
    <w:rsid w:val="7A894339"/>
    <w:rsid w:val="7A911ED0"/>
    <w:rsid w:val="7A9E283F"/>
    <w:rsid w:val="7AE95EC9"/>
    <w:rsid w:val="7AFF7572"/>
    <w:rsid w:val="7B6C7DFB"/>
    <w:rsid w:val="7BBFBED0"/>
    <w:rsid w:val="7BC3E394"/>
    <w:rsid w:val="7CBFC87B"/>
    <w:rsid w:val="7CF71559"/>
    <w:rsid w:val="7CFE0F48"/>
    <w:rsid w:val="7D4476CE"/>
    <w:rsid w:val="7D7EC23E"/>
    <w:rsid w:val="7E0A67B7"/>
    <w:rsid w:val="7E374B3D"/>
    <w:rsid w:val="7E8ADEBF"/>
    <w:rsid w:val="7E926217"/>
    <w:rsid w:val="7EEF11D3"/>
    <w:rsid w:val="7F3F679B"/>
    <w:rsid w:val="7F4FC4EF"/>
    <w:rsid w:val="7F5E4D54"/>
    <w:rsid w:val="7FA30C79"/>
    <w:rsid w:val="7FAF8ABF"/>
    <w:rsid w:val="7FB7269E"/>
    <w:rsid w:val="7FC96657"/>
    <w:rsid w:val="7FDA9588"/>
    <w:rsid w:val="7FDF220F"/>
    <w:rsid w:val="7FEDC5F7"/>
    <w:rsid w:val="7FEDD9DE"/>
    <w:rsid w:val="7FF5890D"/>
    <w:rsid w:val="7FF93490"/>
    <w:rsid w:val="99FF2014"/>
    <w:rsid w:val="A6DD0D7F"/>
    <w:rsid w:val="ADC6F725"/>
    <w:rsid w:val="B7CF06AB"/>
    <w:rsid w:val="B7CFA926"/>
    <w:rsid w:val="B7F8786B"/>
    <w:rsid w:val="BABB6AA1"/>
    <w:rsid w:val="BB2F4199"/>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FFA9E8"/>
    <w:rsid w:val="E5F4E9DC"/>
    <w:rsid w:val="E70FE695"/>
    <w:rsid w:val="ECFED1BC"/>
    <w:rsid w:val="ED1D69BB"/>
    <w:rsid w:val="ED7FD312"/>
    <w:rsid w:val="EF53993F"/>
    <w:rsid w:val="EFBFB2F4"/>
    <w:rsid w:val="EFBFFA21"/>
    <w:rsid w:val="F2BEBCB8"/>
    <w:rsid w:val="F36FB518"/>
    <w:rsid w:val="F3DE1A04"/>
    <w:rsid w:val="F3F722E5"/>
    <w:rsid w:val="FA5F1E70"/>
    <w:rsid w:val="FA5FDB97"/>
    <w:rsid w:val="FB7F486A"/>
    <w:rsid w:val="FBFF5B2E"/>
    <w:rsid w:val="FD7FFE2B"/>
    <w:rsid w:val="FDEE196B"/>
    <w:rsid w:val="FDFE6575"/>
    <w:rsid w:val="FEDFDDC2"/>
    <w:rsid w:val="FEED32F6"/>
    <w:rsid w:val="FEF781DD"/>
    <w:rsid w:val="FF3F7E3F"/>
    <w:rsid w:val="FFBA12D7"/>
    <w:rsid w:val="FFDFFAEE"/>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pPr>
    <w:rPr>
      <w:rFonts w:eastAsia="仿宋"/>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next w:val="1"/>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2"/>
    <w:qFormat/>
    <w:uiPriority w:val="9"/>
    <w:rPr>
      <w:rFonts w:ascii="Times New Roman" w:hAnsi="Times New Roman"/>
      <w:b/>
      <w:bCs/>
      <w:kern w:val="44"/>
      <w:sz w:val="44"/>
      <w:szCs w:val="44"/>
    </w:rPr>
  </w:style>
  <w:style w:type="character" w:customStyle="1" w:styleId="30">
    <w:name w:val="标题 2 Char"/>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4"/>
    <w:qFormat/>
    <w:uiPriority w:val="9"/>
    <w:rPr>
      <w:rFonts w:ascii="Times New Roman" w:hAnsi="Times New Roman"/>
      <w:b/>
      <w:bCs/>
      <w:kern w:val="2"/>
      <w:sz w:val="32"/>
      <w:szCs w:val="32"/>
    </w:rPr>
  </w:style>
  <w:style w:type="paragraph" w:customStyle="1" w:styleId="34">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NormalIndent"/>
    <w:qFormat/>
    <w:uiPriority w:val="0"/>
    <w:pPr>
      <w:widowControl w:val="0"/>
      <w:ind w:firstLine="420" w:firstLineChars="200"/>
      <w:jc w:val="both"/>
    </w:pPr>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收入支出与上年对比情况分析</a:t>
            </a:r>
            <a:endParaRPr lang="zh-CN" altLang="en-US"/>
          </a:p>
        </c:rich>
      </c:tx>
      <c:layout/>
      <c:overlay val="0"/>
    </c:title>
    <c:autoTitleDeleted val="0"/>
    <c:plotArea>
      <c:layout>
        <c:manualLayout>
          <c:layoutTarget val="inner"/>
          <c:xMode val="edge"/>
          <c:yMode val="edge"/>
          <c:x val="0.0285714285714286"/>
          <c:y val="0.308474576271186"/>
          <c:w val="0.946275946275946"/>
          <c:h val="0.595435028248588"/>
        </c:manualLayout>
      </c:layout>
      <c:barChart>
        <c:barDir val="col"/>
        <c:grouping val="clustered"/>
        <c:varyColors val="0"/>
        <c:ser>
          <c:idx val="0"/>
          <c:order val="0"/>
          <c:tx>
            <c:strRef>
              <c:f>Sheet1!$B$1</c:f>
              <c:strCache>
                <c:ptCount val="1"/>
                <c:pt idx="0">
                  <c:v>2023年</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收入</c:v>
                </c:pt>
                <c:pt idx="1">
                  <c:v>支出</c:v>
                </c:pt>
              </c:strCache>
            </c:strRef>
          </c:cat>
          <c:val>
            <c:numRef>
              <c:f>Sheet1!$B$2:$B$3</c:f>
              <c:numCache>
                <c:formatCode>General</c:formatCode>
                <c:ptCount val="2"/>
                <c:pt idx="0">
                  <c:v>1416.86</c:v>
                </c:pt>
                <c:pt idx="1">
                  <c:v>1416.86</c:v>
                </c:pt>
              </c:numCache>
            </c:numRef>
          </c:val>
        </c:ser>
        <c:ser>
          <c:idx val="1"/>
          <c:order val="1"/>
          <c:tx>
            <c:strRef>
              <c:f>Sheet1!$C$1</c:f>
              <c:strCache>
                <c:ptCount val="1"/>
                <c:pt idx="0">
                  <c:v>2024年</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收入</c:v>
                </c:pt>
                <c:pt idx="1">
                  <c:v>支出</c:v>
                </c:pt>
              </c:strCache>
            </c:strRef>
          </c:cat>
          <c:val>
            <c:numRef>
              <c:f>Sheet1!$C$2:$C$3</c:f>
              <c:numCache>
                <c:formatCode>General</c:formatCode>
                <c:ptCount val="2"/>
                <c:pt idx="0">
                  <c:v>1558.12</c:v>
                </c:pt>
                <c:pt idx="1">
                  <c:v>1558.12</c:v>
                </c:pt>
              </c:numCache>
            </c:numRef>
          </c:val>
        </c:ser>
        <c:dLbls>
          <c:showLegendKey val="0"/>
          <c:showVal val="1"/>
          <c:showCatName val="0"/>
          <c:showSerName val="0"/>
          <c:showPercent val="0"/>
          <c:showBubbleSize val="0"/>
        </c:dLbls>
        <c:gapWidth val="150"/>
        <c:overlap val="-25"/>
        <c:axId val="294081280"/>
        <c:axId val="294082816"/>
      </c:barChart>
      <c:catAx>
        <c:axId val="294081280"/>
        <c:scaling>
          <c:orientation val="minMax"/>
        </c:scaling>
        <c:delete val="0"/>
        <c:axPos val="b"/>
        <c:majorTickMark val="none"/>
        <c:minorTickMark val="none"/>
        <c:tickLblPos val="nextTo"/>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crossAx val="294082816"/>
        <c:crosses val="autoZero"/>
        <c:auto val="1"/>
        <c:lblAlgn val="ctr"/>
        <c:lblOffset val="100"/>
        <c:noMultiLvlLbl val="0"/>
      </c:catAx>
      <c:valAx>
        <c:axId val="294082816"/>
        <c:scaling>
          <c:orientation val="minMax"/>
        </c:scaling>
        <c:delete val="1"/>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94081280"/>
        <c:crosses val="autoZero"/>
        <c:crossBetween val="between"/>
      </c:valAx>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5716588e-3ff3-4b05-ad87-34b22710c29c}"/>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各项收入占总收入的比重</c:v>
                </c:pt>
              </c:strCache>
            </c:strRef>
          </c:tx>
          <c:explosion val="0"/>
          <c:dPt>
            <c:idx val="0"/>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0"/>
          <c:showVal val="0"/>
          <c:showCatName val="0"/>
          <c:showSerName val="0"/>
          <c:showPercent val="1"/>
          <c:showBubbleSize val="0"/>
          <c:showLeaderLines val="1"/>
        </c:dLbls>
        <c:firstSliceAng val="0"/>
      </c:pieChart>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d1ab7ec-837b-4c57-bd25-604e34f6ce2c}"/>
      </c:ext>
    </c:extLst>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本年支出合计</c:v>
                </c:pt>
              </c:strCache>
            </c:strRef>
          </c:tx>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dLbl>
              <c:idx val="0"/>
              <c:layout>
                <c:manualLayout>
                  <c:x val="-0.0746250993434981"/>
                  <c:y val="-0.200549334366822"/>
                </c:manualLayout>
              </c:layout>
              <c:tx>
                <c:rich>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r>
                      <a:rPr lang="en-US" altLang="zh-CN"/>
                      <a:t>81.8%</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18.2%</a:t>
                    </a:r>
                    <a:endParaRPr lang="en-US" altLang="zh-CN"/>
                  </a:p>
                </c:rich>
              </c:tx>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0.818</c:v>
                </c:pt>
                <c:pt idx="1">
                  <c:v>0.182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74dca428-5603-435c-b5e2-bdfba4e74ada}"/>
      </c:ext>
    </c:extLst>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97865291145251"/>
          <c:y val="0.281292851551078"/>
          <c:w val="0.946275946275946"/>
          <c:h val="0.595435028248588"/>
        </c:manualLayout>
      </c:layout>
      <c:barChart>
        <c:barDir val="col"/>
        <c:grouping val="clustered"/>
        <c:varyColors val="0"/>
        <c:ser>
          <c:idx val="0"/>
          <c:order val="0"/>
          <c:tx>
            <c:strRef>
              <c:f>Sheet1!$B$1</c:f>
              <c:strCache>
                <c:ptCount val="1"/>
                <c:pt idx="0">
                  <c:v>2023年</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收入</c:v>
                </c:pt>
                <c:pt idx="1">
                  <c:v>支出</c:v>
                </c:pt>
              </c:strCache>
            </c:strRef>
          </c:cat>
          <c:val>
            <c:numRef>
              <c:f>Sheet1!$B$2:$B$3</c:f>
              <c:numCache>
                <c:formatCode>General</c:formatCode>
                <c:ptCount val="2"/>
                <c:pt idx="0">
                  <c:v>1416.86</c:v>
                </c:pt>
                <c:pt idx="1">
                  <c:v>1416.86</c:v>
                </c:pt>
              </c:numCache>
            </c:numRef>
          </c:val>
        </c:ser>
        <c:ser>
          <c:idx val="1"/>
          <c:order val="1"/>
          <c:tx>
            <c:strRef>
              <c:f>Sheet1!$C$1</c:f>
              <c:strCache>
                <c:ptCount val="1"/>
                <c:pt idx="0">
                  <c:v>2024年</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收入</c:v>
                </c:pt>
                <c:pt idx="1">
                  <c:v>支出</c:v>
                </c:pt>
              </c:strCache>
            </c:strRef>
          </c:cat>
          <c:val>
            <c:numRef>
              <c:f>Sheet1!$C$2:$C$3</c:f>
              <c:numCache>
                <c:formatCode>General</c:formatCode>
                <c:ptCount val="2"/>
                <c:pt idx="0">
                  <c:v>1558.12</c:v>
                </c:pt>
                <c:pt idx="1">
                  <c:v>1558.12</c:v>
                </c:pt>
              </c:numCache>
            </c:numRef>
          </c:val>
        </c:ser>
        <c:dLbls>
          <c:showLegendKey val="0"/>
          <c:showVal val="1"/>
          <c:showCatName val="0"/>
          <c:showSerName val="0"/>
          <c:showPercent val="0"/>
          <c:showBubbleSize val="0"/>
        </c:dLbls>
        <c:gapWidth val="150"/>
        <c:overlap val="-25"/>
        <c:axId val="294081280"/>
        <c:axId val="294082816"/>
      </c:barChart>
      <c:catAx>
        <c:axId val="294081280"/>
        <c:scaling>
          <c:orientation val="minMax"/>
        </c:scaling>
        <c:delete val="0"/>
        <c:axPos val="b"/>
        <c:majorTickMark val="none"/>
        <c:minorTickMark val="none"/>
        <c:tickLblPos val="nextTo"/>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crossAx val="294082816"/>
        <c:crosses val="autoZero"/>
        <c:auto val="1"/>
        <c:lblAlgn val="ctr"/>
        <c:lblOffset val="100"/>
        <c:noMultiLvlLbl val="0"/>
      </c:catAx>
      <c:valAx>
        <c:axId val="294082816"/>
        <c:scaling>
          <c:orientation val="minMax"/>
        </c:scaling>
        <c:delete val="1"/>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94081280"/>
        <c:crosses val="autoZero"/>
        <c:crossBetween val="between"/>
      </c:valAx>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5488d0b-60e8-4b07-8331-1ab339aa516f}"/>
      </c:ext>
    </c:extLst>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0812411680644041"/>
          <c:y val="0.125194083941088"/>
          <c:w val="0.905175"/>
          <c:h val="0.7605"/>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类别 1</c:v>
                </c:pt>
              </c:strCache>
            </c:strRef>
          </c:cat>
          <c:val>
            <c:numRef>
              <c:f>Sheet1!$B$2</c:f>
              <c:numCache>
                <c:formatCode>General</c:formatCode>
                <c:ptCount val="1"/>
                <c:pt idx="0">
                  <c:v>1416.86</c:v>
                </c:pt>
              </c:numCache>
            </c:numRef>
          </c:val>
        </c:ser>
        <c:ser>
          <c:idx val="1"/>
          <c:order val="1"/>
          <c:tx>
            <c:strRef>
              <c:f>Sheet1!$C$1</c:f>
              <c:strCache>
                <c:ptCount val="1"/>
                <c:pt idx="0">
                  <c:v>2024年</c:v>
                </c:pt>
              </c:strCache>
            </c:strRef>
          </c:tx>
          <c:spPr>
            <a:solidFill>
              <a:schemeClr val="accent2"/>
            </a:solidFill>
            <a:ln>
              <a:noFill/>
            </a:ln>
            <a:effectLst/>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类别 1</c:v>
                </c:pt>
              </c:strCache>
            </c:strRef>
          </c:cat>
          <c:val>
            <c:numRef>
              <c:f>Sheet1!$C$2</c:f>
              <c:numCache>
                <c:formatCode>General</c:formatCode>
                <c:ptCount val="1"/>
                <c:pt idx="0">
                  <c:v>1558.12</c:v>
                </c:pt>
              </c:numCache>
            </c:numRef>
          </c:val>
        </c:ser>
        <c:dLbls>
          <c:showLegendKey val="0"/>
          <c:showVal val="1"/>
          <c:showCatName val="0"/>
          <c:showSerName val="0"/>
          <c:showPercent val="0"/>
          <c:showBubbleSize val="0"/>
        </c:dLbls>
        <c:gapWidth val="219"/>
        <c:overlap val="-27"/>
        <c:axId val="294766848"/>
        <c:axId val="294768000"/>
      </c:barChart>
      <c:catAx>
        <c:axId val="294766848"/>
        <c:scaling>
          <c:orientation val="minMax"/>
        </c:scaling>
        <c:delete val="1"/>
        <c:axPos val="b"/>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94768000"/>
        <c:crosses val="autoZero"/>
        <c:auto val="1"/>
        <c:lblAlgn val="ctr"/>
        <c:lblOffset val="100"/>
        <c:noMultiLvlLbl val="0"/>
      </c:catAx>
      <c:valAx>
        <c:axId val="29476800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0"/>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4766848"/>
        <c:crosses val="autoZero"/>
        <c:crossBetween val="between"/>
      </c:valAx>
      <c:spPr>
        <a:noFill/>
        <a:ln>
          <a:noFill/>
        </a:ln>
        <a:effectLst/>
      </c:spPr>
    </c:plotArea>
    <c:legend>
      <c:legendPos val="b"/>
      <c:layout>
        <c:manualLayout>
          <c:xMode val="edge"/>
          <c:yMode val="edge"/>
          <c:x val="0.298078355429763"/>
          <c:y val="0.863199037883343"/>
          <c:w val="0.469238790406674"/>
          <c:h val="0.10072158749248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2e619df1-d507-4920-abf8-3b7cbe2b4cdc}"/>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各项支出占总支出的比重</c:v>
                </c:pt>
              </c:strCache>
            </c:strRef>
          </c:tx>
          <c:explosion val="0"/>
          <c:dPt>
            <c:idx val="0"/>
            <c:bubble3D val="0"/>
          </c:dPt>
          <c:dPt>
            <c:idx val="1"/>
            <c:bubble3D val="0"/>
          </c:dPt>
          <c:dPt>
            <c:idx val="2"/>
            <c:bubble3D val="0"/>
          </c:dPt>
          <c:dPt>
            <c:idx val="3"/>
            <c:bubble3D val="0"/>
          </c:dPt>
          <c:dPt>
            <c:idx val="4"/>
            <c:bubble3D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7</a:t>
                    </a:r>
                    <a:r>
                      <a:rPr lang="en-US" altLang="zh-CN"/>
                      <a:t>2</a:t>
                    </a:r>
                    <a:r>
                      <a:t>%</a:t>
                    </a:r>
                  </a:p>
                </c:rich>
              </c:tx>
              <c:dLblPos val="bestFit"/>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a:t>
                    </a:r>
                  </a:p>
                </c:rich>
              </c:tx>
              <c:dLblPos val="bestFit"/>
              <c:showLegendKey val="0"/>
              <c:showVal val="0"/>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a:t>
                    </a:r>
                    <a:r>
                      <a:rPr lang="en-US" altLang="zh-CN"/>
                      <a:t>5</a:t>
                    </a:r>
                    <a:r>
                      <a:t>%</a:t>
                    </a:r>
                  </a:p>
                </c:rich>
              </c:tx>
              <c:dLblPos val="bestFit"/>
              <c:showLegendKey val="0"/>
              <c:showVal val="0"/>
              <c:showCatName val="0"/>
              <c:showSerName val="0"/>
              <c:showPercent val="1"/>
              <c:showBubbleSize val="0"/>
              <c:extLst>
                <c:ext xmlns:c15="http://schemas.microsoft.com/office/drawing/2012/chart" uri="{CE6537A1-D6FC-4f65-9D91-7224C49458BB}"/>
              </c:extLst>
            </c:dLbl>
            <c:dLbl>
              <c:idx val="3"/>
              <c:layout>
                <c:manualLayout>
                  <c:x val="-0.00236776563851235"/>
                  <c:y val="0.028646992019077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a:t>3</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lang="en-US" altLang="zh-CN"/>
                      <a:t>9</a:t>
                    </a:r>
                    <a:r>
                      <a:t>%</a:t>
                    </a:r>
                  </a:p>
                </c:rich>
              </c:tx>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Sheet1!$A$2:$A$6</c:f>
              <c:strCache>
                <c:ptCount val="5"/>
                <c:pt idx="0">
                  <c:v>一般公共服务支出</c:v>
                </c:pt>
                <c:pt idx="1">
                  <c:v>教育支出</c:v>
                </c:pt>
                <c:pt idx="2">
                  <c:v>社会保障和就业支出</c:v>
                </c:pt>
                <c:pt idx="3">
                  <c:v>卫生健康支出</c:v>
                </c:pt>
                <c:pt idx="4">
                  <c:v>住房保障支出</c:v>
                </c:pt>
              </c:strCache>
            </c:strRef>
          </c:cat>
          <c:val>
            <c:numRef>
              <c:f>Sheet1!$B$2:$B$6</c:f>
              <c:numCache>
                <c:formatCode>0%</c:formatCode>
                <c:ptCount val="5"/>
                <c:pt idx="0">
                  <c:v>0.72</c:v>
                </c:pt>
                <c:pt idx="1">
                  <c:v>0.01</c:v>
                </c:pt>
                <c:pt idx="2" c:formatCode="0.00_ ">
                  <c:v>0.15</c:v>
                </c:pt>
                <c:pt idx="3">
                  <c:v>0.01</c:v>
                </c:pt>
                <c:pt idx="4">
                  <c:v>0.09</c:v>
                </c:pt>
              </c:numCache>
            </c:numRef>
          </c:val>
        </c:ser>
        <c:dLbls>
          <c:showLegendKey val="0"/>
          <c:showVal val="0"/>
          <c:showCatName val="0"/>
          <c:showSerName val="0"/>
          <c:showPercent val="1"/>
          <c:showBubbleSize val="0"/>
          <c:showLeaderLines val="1"/>
        </c:dLbls>
        <c:firstSliceAng val="0"/>
      </c:pieChart>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d2c5fa7-aeab-4493-a883-5a796c1772c3}"/>
      </c:ext>
    </c:extLst>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spPr>
        <a:noFill/>
        <a:ln>
          <a:noFill/>
        </a:ln>
        <a:effectLst/>
      </c:spPr>
      <c:tx>
        <c:rich>
          <a:bodyPr/>
          <a:lstStyle/>
          <a:p>
            <a:pPr>
              <a:defRPr/>
            </a:pPr>
          </a:p>
        </c:rich>
      </c:tx>
    </c:title>
    <c:autoTitleDeleted val="0"/>
    <c:plotArea>
      <c:layout>
        <c:manualLayout>
          <c:layoutTarget val="inner"/>
          <c:xMode val="edge"/>
          <c:yMode val="edge"/>
          <c:x val="0.330874228559268"/>
          <c:y val="0.22318839011103"/>
          <c:w val="0.338251755692701"/>
          <c:h val="0.573439402548908"/>
        </c:manualLayout>
      </c:layout>
      <c:pieChart>
        <c:varyColors val="1"/>
        <c:ser>
          <c:idx val="0"/>
          <c:order val="0"/>
          <c:tx>
            <c:strRef>
              <c:f>Sheet1!$B$1</c:f>
              <c:strCache>
                <c:ptCount val="1"/>
                <c:pt idx="0">
                  <c:v>“三公”经费财政拨款支出</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公务用车购置及运行维护费</c:v>
                </c:pt>
                <c:pt idx="1">
                  <c:v>公务接待费</c:v>
                </c:pt>
              </c:strCache>
            </c:strRef>
          </c:cat>
          <c:val>
            <c:numRef>
              <c:f>Sheet1!$B$2:$B$3</c:f>
              <c:numCache>
                <c:formatCode>0.00%</c:formatCode>
                <c:ptCount val="2"/>
                <c:pt idx="0">
                  <c:v>0.6377</c:v>
                </c:pt>
                <c:pt idx="1">
                  <c:v>0.3623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8243a47-3704-4a5a-90b6-fe083eea7b9e}"/>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20</Pages>
  <Words>8464</Words>
  <Characters>11274</Characters>
  <Lines>61</Lines>
  <Paragraphs>17</Paragraphs>
  <TotalTime>7</TotalTime>
  <ScaleCrop>false</ScaleCrop>
  <LinksUpToDate>false</LinksUpToDate>
  <CharactersWithSpaces>11363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橡胶果实</cp:lastModifiedBy>
  <cp:lastPrinted>2024-08-05T01:44:00Z</cp:lastPrinted>
  <dcterms:modified xsi:type="dcterms:W3CDTF">2025-09-11T09:54:13Z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C0DDA31AF33A462B962402093DEF96CA_13</vt:lpwstr>
  </property>
  <property fmtid="{D5CDD505-2E9C-101B-9397-08002B2CF9AE}" pid="4" name="KSOTemplateDocerSaveRecord">
    <vt:lpwstr>eyJoZGlkIjoiYmViYTFkMWM2NTdmNGEwY2E1ZTQyNGVlYmUzN2QyNmEiLCJ1c2VySWQiOiI0NTUyMzA1MTEifQ==</vt:lpwstr>
  </property>
</Properties>
</file>