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eastAsia="方正小标宋简体"/>
          <w:sz w:val="30"/>
          <w:szCs w:val="30"/>
        </w:rPr>
      </w:pPr>
      <w:bookmarkStart w:id="0"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hint="eastAsia" w:ascii="黑体" w:hAnsi="黑体" w:eastAsia="黑体" w:cs="黑体"/>
          <w:b/>
          <w:bCs/>
          <w:sz w:val="72"/>
          <w:szCs w:val="72"/>
        </w:rPr>
      </w:pPr>
      <w:bookmarkStart w:id="1" w:name="_Toc15396475"/>
      <w:bookmarkStart w:id="2" w:name="_Toc15377193"/>
      <w:bookmarkStart w:id="3" w:name="_Toc15396597"/>
      <w:bookmarkStart w:id="4" w:name="_Toc15378441"/>
      <w:bookmarkStart w:id="5" w:name="_Toc15377425"/>
      <w:r>
        <w:rPr>
          <w:rFonts w:hint="eastAsia" w:ascii="黑体" w:hAnsi="黑体" w:eastAsia="黑体" w:cs="黑体"/>
          <w:b/>
          <w:bCs/>
          <w:sz w:val="72"/>
          <w:szCs w:val="72"/>
        </w:rPr>
        <w:t>2020年度</w:t>
      </w:r>
      <w:bookmarkEnd w:id="1"/>
      <w:bookmarkEnd w:id="2"/>
      <w:bookmarkEnd w:id="3"/>
      <w:bookmarkEnd w:id="4"/>
      <w:bookmarkEnd w:id="5"/>
    </w:p>
    <w:p>
      <w:pPr>
        <w:adjustRightInd w:val="0"/>
        <w:snapToGrid w:val="0"/>
        <w:spacing w:line="360" w:lineRule="auto"/>
        <w:jc w:val="center"/>
        <w:outlineLvl w:val="0"/>
        <w:rPr>
          <w:rFonts w:hint="eastAsia" w:ascii="黑体" w:hAnsi="黑体" w:eastAsia="黑体" w:cs="黑体"/>
          <w:b/>
          <w:bCs/>
          <w:sz w:val="52"/>
          <w:szCs w:val="52"/>
        </w:rPr>
      </w:pPr>
      <w:bookmarkStart w:id="6" w:name="_Toc15378442"/>
      <w:bookmarkStart w:id="7" w:name="_Toc15396476"/>
      <w:bookmarkStart w:id="8" w:name="_Toc15377194"/>
      <w:bookmarkStart w:id="9" w:name="_Toc15396598"/>
      <w:bookmarkStart w:id="10" w:name="_Toc15377426"/>
      <w:r>
        <w:rPr>
          <w:rFonts w:hint="eastAsia" w:ascii="黑体" w:hAnsi="黑体" w:eastAsia="黑体" w:cs="黑体"/>
          <w:b/>
          <w:bCs/>
          <w:sz w:val="72"/>
          <w:szCs w:val="72"/>
        </w:rPr>
        <w:t>四川</w:t>
      </w:r>
      <w:bookmarkEnd w:id="0"/>
      <w:bookmarkStart w:id="11" w:name="_Toc15306268"/>
      <w:r>
        <w:rPr>
          <w:rFonts w:hint="eastAsia" w:ascii="黑体" w:hAnsi="黑体" w:eastAsia="黑体" w:cs="黑体"/>
          <w:b/>
          <w:bCs/>
          <w:sz w:val="72"/>
          <w:szCs w:val="72"/>
        </w:rPr>
        <w:t>省新闻中心部门决算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pPr>
        <w:widowControl/>
        <w:jc w:val="center"/>
        <w:rPr>
          <w:rFonts w:ascii="黑体" w:eastAsia="黑体" w:cs="Arial"/>
          <w:sz w:val="28"/>
          <w:szCs w:val="28"/>
        </w:rPr>
      </w:pPr>
    </w:p>
    <w:p>
      <w:pPr>
        <w:pStyle w:val="10"/>
      </w:pPr>
      <w:r>
        <w:rPr>
          <w:rFonts w:hint="eastAsia"/>
        </w:rPr>
        <w:t>公开时间：2021年9月10日</w:t>
      </w:r>
    </w:p>
    <w:p/>
    <w:p>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ind w:left="420"/>
        <w:jc w:val="left"/>
        <w:rPr>
          <w:sz w:val="24"/>
        </w:rPr>
      </w:pPr>
      <w:r>
        <w:rPr>
          <w:rFonts w:hint="eastAsia"/>
          <w:sz w:val="24"/>
        </w:rPr>
        <w:t>一、职能简介</w:t>
      </w:r>
    </w:p>
    <w:p>
      <w:pPr>
        <w:pStyle w:val="11"/>
        <w:adjustRightInd w:val="0"/>
        <w:snapToGrid w:val="0"/>
        <w:spacing w:line="440" w:lineRule="exact"/>
        <w:ind w:left="420"/>
        <w:jc w:val="left"/>
        <w:rPr>
          <w:rFonts w:ascii="宋体" w:cs="宋体"/>
          <w:sz w:val="24"/>
        </w:rPr>
      </w:pPr>
      <w:r>
        <w:rPr>
          <w:rFonts w:hint="eastAsia" w:ascii="宋体" w:cs="宋体"/>
          <w:sz w:val="24"/>
        </w:rPr>
        <w:t>二、2020年重点工作完成情况</w:t>
      </w:r>
    </w:p>
    <w:p>
      <w:pPr>
        <w:pStyle w:val="10"/>
        <w:adjustRightInd w:val="0"/>
        <w:snapToGrid w:val="0"/>
        <w:spacing w:before="0" w:line="440" w:lineRule="exact"/>
        <w:jc w:val="left"/>
        <w:rPr>
          <w:sz w:val="24"/>
          <w:szCs w:val="24"/>
        </w:rPr>
      </w:pPr>
      <w:r>
        <w:rPr>
          <w:rFonts w:hint="eastAsia"/>
          <w:sz w:val="24"/>
        </w:rPr>
        <w:t>第二部分 2020年度单位决算情况说明</w:t>
      </w:r>
    </w:p>
    <w:p>
      <w:pPr>
        <w:pStyle w:val="11"/>
        <w:adjustRightInd w:val="0"/>
        <w:snapToGrid w:val="0"/>
        <w:spacing w:line="440" w:lineRule="exact"/>
        <w:ind w:left="420"/>
        <w:jc w:val="left"/>
        <w:rPr>
          <w:rFonts w:ascii="仿宋" w:eastAsia="仿宋" w:cs="Arial"/>
          <w:sz w:val="24"/>
        </w:rPr>
      </w:pPr>
      <w:r>
        <w:rPr>
          <w:rFonts w:hint="eastAsia"/>
          <w:sz w:val="24"/>
        </w:rPr>
        <w:t>一、收入支出决算总体情况说明</w:t>
      </w:r>
    </w:p>
    <w:p>
      <w:pPr>
        <w:pStyle w:val="11"/>
        <w:adjustRightInd w:val="0"/>
        <w:snapToGrid w:val="0"/>
        <w:spacing w:line="440" w:lineRule="exact"/>
        <w:ind w:left="420"/>
        <w:jc w:val="left"/>
        <w:rPr>
          <w:rFonts w:ascii="仿宋" w:eastAsia="仿宋" w:cs="Arial"/>
          <w:sz w:val="24"/>
        </w:rPr>
      </w:pPr>
      <w:r>
        <w:rPr>
          <w:rFonts w:hint="eastAsia"/>
          <w:sz w:val="24"/>
        </w:rPr>
        <w:t>二、收入决算情况说明</w:t>
      </w:r>
    </w:p>
    <w:p>
      <w:pPr>
        <w:pStyle w:val="11"/>
        <w:adjustRightInd w:val="0"/>
        <w:snapToGrid w:val="0"/>
        <w:spacing w:line="440" w:lineRule="exact"/>
        <w:ind w:left="420"/>
        <w:jc w:val="left"/>
        <w:rPr>
          <w:rFonts w:ascii="仿宋" w:eastAsia="仿宋" w:cs="Arial"/>
          <w:sz w:val="24"/>
        </w:rPr>
      </w:pPr>
      <w:r>
        <w:rPr>
          <w:rFonts w:hint="eastAsia"/>
          <w:sz w:val="24"/>
        </w:rPr>
        <w:t>三、支出决算情况说明</w:t>
      </w:r>
    </w:p>
    <w:p>
      <w:pPr>
        <w:pStyle w:val="11"/>
        <w:adjustRightInd w:val="0"/>
        <w:snapToGrid w:val="0"/>
        <w:spacing w:line="440" w:lineRule="exact"/>
        <w:ind w:left="420"/>
        <w:jc w:val="left"/>
        <w:rPr>
          <w:rFonts w:ascii="仿宋" w:eastAsia="仿宋" w:cs="Arial"/>
          <w:sz w:val="24"/>
        </w:rPr>
      </w:pPr>
      <w:r>
        <w:rPr>
          <w:rFonts w:hint="eastAsia"/>
          <w:sz w:val="24"/>
        </w:rPr>
        <w:t>四、财政拨款收入支出决算总体情况说明</w:t>
      </w:r>
    </w:p>
    <w:p>
      <w:pPr>
        <w:pStyle w:val="11"/>
        <w:adjustRightInd w:val="0"/>
        <w:snapToGrid w:val="0"/>
        <w:spacing w:line="440" w:lineRule="exact"/>
        <w:ind w:left="420"/>
        <w:jc w:val="left"/>
        <w:rPr>
          <w:rFonts w:ascii="仿宋" w:eastAsia="仿宋" w:cs="Arial"/>
          <w:sz w:val="24"/>
        </w:rPr>
      </w:pPr>
      <w:r>
        <w:rPr>
          <w:rFonts w:hint="eastAsia"/>
          <w:sz w:val="24"/>
        </w:rPr>
        <w:t>五、一般公共预算财政拨款支出决算情况说明</w:t>
      </w:r>
    </w:p>
    <w:p>
      <w:pPr>
        <w:pStyle w:val="11"/>
        <w:adjustRightInd w:val="0"/>
        <w:snapToGrid w:val="0"/>
        <w:spacing w:line="440" w:lineRule="exact"/>
        <w:ind w:left="420"/>
        <w:jc w:val="left"/>
        <w:rPr>
          <w:rFonts w:ascii="仿宋" w:eastAsia="仿宋" w:cs="Arial"/>
          <w:sz w:val="24"/>
        </w:rPr>
      </w:pPr>
      <w:r>
        <w:rPr>
          <w:rFonts w:hint="eastAsia"/>
          <w:sz w:val="24"/>
        </w:rPr>
        <w:t>六、一般公共预算财政拨款基本支出决算情况说明</w:t>
      </w:r>
    </w:p>
    <w:p>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p>
    <w:p>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ind w:left="420"/>
        <w:jc w:val="left"/>
        <w:rPr>
          <w:sz w:val="24"/>
        </w:rPr>
      </w:pPr>
      <w:r>
        <w:rPr>
          <w:rFonts w:hint="eastAsia"/>
          <w:sz w:val="24"/>
        </w:rPr>
        <w:t>一、收入支出决算总表</w:t>
      </w:r>
    </w:p>
    <w:p>
      <w:pPr>
        <w:pStyle w:val="11"/>
        <w:adjustRightInd w:val="0"/>
        <w:snapToGrid w:val="0"/>
        <w:spacing w:line="440" w:lineRule="exact"/>
        <w:ind w:left="420"/>
        <w:jc w:val="left"/>
        <w:rPr>
          <w:sz w:val="24"/>
        </w:rPr>
      </w:pPr>
      <w:r>
        <w:rPr>
          <w:rFonts w:hint="eastAsia"/>
          <w:sz w:val="24"/>
        </w:rPr>
        <w:t>二、收入决算表</w:t>
      </w:r>
    </w:p>
    <w:p>
      <w:pPr>
        <w:pStyle w:val="11"/>
        <w:adjustRightInd w:val="0"/>
        <w:snapToGrid w:val="0"/>
        <w:spacing w:line="440" w:lineRule="exact"/>
        <w:ind w:left="420"/>
        <w:jc w:val="left"/>
        <w:rPr>
          <w:sz w:val="24"/>
        </w:rPr>
      </w:pPr>
      <w:r>
        <w:rPr>
          <w:rFonts w:hint="eastAsia"/>
          <w:sz w:val="24"/>
        </w:rPr>
        <w:t>三、支出决算表</w:t>
      </w:r>
    </w:p>
    <w:p>
      <w:pPr>
        <w:pStyle w:val="11"/>
        <w:adjustRightInd w:val="0"/>
        <w:snapToGrid w:val="0"/>
        <w:spacing w:line="440" w:lineRule="exact"/>
        <w:ind w:left="420"/>
        <w:jc w:val="left"/>
        <w:rPr>
          <w:sz w:val="24"/>
        </w:rPr>
      </w:pPr>
      <w:r>
        <w:rPr>
          <w:rFonts w:hint="eastAsia"/>
          <w:sz w:val="24"/>
        </w:rPr>
        <w:t>四、财政拨款收入支出决算总表</w:t>
      </w:r>
    </w:p>
    <w:p>
      <w:pPr>
        <w:pStyle w:val="11"/>
        <w:adjustRightInd w:val="0"/>
        <w:snapToGrid w:val="0"/>
        <w:spacing w:line="440" w:lineRule="exact"/>
        <w:ind w:left="420"/>
        <w:jc w:val="left"/>
        <w:rPr>
          <w:sz w:val="24"/>
        </w:rPr>
      </w:pPr>
      <w:r>
        <w:rPr>
          <w:rFonts w:hint="eastAsia"/>
          <w:sz w:val="24"/>
        </w:rPr>
        <w:t>五、财政拨款支出决算明细表</w:t>
      </w:r>
    </w:p>
    <w:p>
      <w:pPr>
        <w:pStyle w:val="11"/>
        <w:adjustRightInd w:val="0"/>
        <w:snapToGrid w:val="0"/>
        <w:spacing w:line="440" w:lineRule="exact"/>
        <w:ind w:left="420"/>
        <w:jc w:val="left"/>
        <w:rPr>
          <w:sz w:val="24"/>
        </w:rPr>
      </w:pPr>
      <w:r>
        <w:rPr>
          <w:rFonts w:hint="eastAsia"/>
          <w:sz w:val="24"/>
        </w:rPr>
        <w:t>六、一般公共预算财政拨款支出决算表</w:t>
      </w:r>
    </w:p>
    <w:p>
      <w:pPr>
        <w:pStyle w:val="11"/>
        <w:adjustRightInd w:val="0"/>
        <w:snapToGrid w:val="0"/>
        <w:spacing w:line="440" w:lineRule="exact"/>
        <w:ind w:left="420"/>
        <w:jc w:val="left"/>
        <w:rPr>
          <w:sz w:val="24"/>
        </w:rPr>
      </w:pPr>
      <w:r>
        <w:rPr>
          <w:rFonts w:hint="eastAsia"/>
          <w:sz w:val="24"/>
        </w:rPr>
        <w:t>七、一般公共预算财政拨款支出决算明细表</w:t>
      </w:r>
    </w:p>
    <w:p>
      <w:pPr>
        <w:pStyle w:val="11"/>
        <w:adjustRightInd w:val="0"/>
        <w:snapToGrid w:val="0"/>
        <w:spacing w:line="440" w:lineRule="exact"/>
        <w:ind w:left="420"/>
        <w:jc w:val="left"/>
        <w:rPr>
          <w:sz w:val="24"/>
        </w:rPr>
      </w:pPr>
      <w:r>
        <w:rPr>
          <w:rFonts w:hint="eastAsia"/>
          <w:sz w:val="24"/>
        </w:rPr>
        <w:t>八、一般公共预算财政拨款基本支出决算表</w:t>
      </w:r>
    </w:p>
    <w:p>
      <w:pPr>
        <w:pStyle w:val="11"/>
        <w:adjustRightInd w:val="0"/>
        <w:snapToGrid w:val="0"/>
        <w:spacing w:line="440" w:lineRule="exact"/>
        <w:ind w:left="420"/>
        <w:jc w:val="left"/>
        <w:rPr>
          <w:sz w:val="24"/>
        </w:rPr>
      </w:pPr>
      <w:r>
        <w:rPr>
          <w:rFonts w:hint="eastAsia"/>
          <w:sz w:val="24"/>
        </w:rPr>
        <w:t>九、一般公共预算财政拨款项目支出决算表</w:t>
      </w:r>
    </w:p>
    <w:p>
      <w:pPr>
        <w:widowControl/>
        <w:spacing w:line="440" w:lineRule="exact"/>
        <w:jc w:val="left"/>
        <w:rPr>
          <w:rFonts w:ascii="仿宋" w:eastAsia="仿宋"/>
          <w:bCs/>
          <w:kern w:val="44"/>
          <w:sz w:val="24"/>
        </w:rPr>
      </w:pPr>
      <w:bookmarkStart w:id="12" w:name="_Toc15396599"/>
      <w:bookmarkStart w:id="13" w:name="_Toc15377196"/>
      <w:r>
        <w:rPr>
          <w:rFonts w:ascii="仿宋" w:eastAsia="仿宋"/>
          <w:b/>
          <w:sz w:val="24"/>
        </w:rPr>
        <w:br w:type="page"/>
      </w:r>
    </w:p>
    <w:p>
      <w:pPr>
        <w:pStyle w:val="3"/>
        <w:jc w:val="center"/>
        <w:rPr>
          <w:rStyle w:val="16"/>
          <w:rFonts w:ascii="黑体" w:eastAsia="黑体"/>
          <w:b/>
          <w:bCs w:val="0"/>
        </w:rPr>
      </w:pPr>
      <w:r>
        <w:rPr>
          <w:rFonts w:hint="eastAsia" w:ascii="黑体" w:eastAsia="黑体"/>
          <w:b w:val="0"/>
        </w:rPr>
        <w:t>第一部分 单位</w:t>
      </w:r>
      <w:r>
        <w:rPr>
          <w:rStyle w:val="16"/>
          <w:rFonts w:hint="eastAsia" w:ascii="黑体" w:eastAsia="黑体"/>
          <w:b w:val="0"/>
          <w:bCs w:val="0"/>
        </w:rPr>
        <w:t>概况</w:t>
      </w:r>
      <w:bookmarkEnd w:id="12"/>
      <w:bookmarkEnd w:id="13"/>
    </w:p>
    <w:p>
      <w:pPr>
        <w:widowControl/>
        <w:jc w:val="left"/>
        <w:rPr>
          <w:rFonts w:ascii="黑体" w:eastAsia="黑体"/>
          <w:sz w:val="32"/>
          <w:szCs w:val="32"/>
        </w:rPr>
      </w:pPr>
    </w:p>
    <w:p>
      <w:pPr>
        <w:pStyle w:val="4"/>
        <w:ind w:firstLine="640" w:firstLineChars="200"/>
        <w:rPr>
          <w:rStyle w:val="17"/>
          <w:rFonts w:ascii="黑体" w:eastAsia="黑体"/>
          <w:b w:val="0"/>
          <w:bCs w:val="0"/>
        </w:rPr>
      </w:pPr>
      <w:bookmarkStart w:id="14" w:name="_Toc15396600"/>
      <w:bookmarkStart w:id="15" w:name="_Toc15377197"/>
      <w:r>
        <w:rPr>
          <w:rStyle w:val="17"/>
          <w:rFonts w:hint="eastAsia" w:ascii="黑体" w:eastAsia="黑体"/>
          <w:b w:val="0"/>
          <w:bCs w:val="0"/>
        </w:rPr>
        <w:t>一、职能简介</w:t>
      </w:r>
    </w:p>
    <w:p>
      <w:pPr>
        <w:spacing w:line="600" w:lineRule="exact"/>
        <w:ind w:firstLine="640" w:firstLineChars="200"/>
        <w:rPr>
          <w:rFonts w:eastAsia="仿宋_GB2312"/>
          <w:sz w:val="32"/>
          <w:szCs w:val="32"/>
        </w:rPr>
      </w:pPr>
      <w:r>
        <w:rPr>
          <w:rFonts w:eastAsia="仿宋_GB2312"/>
          <w:sz w:val="32"/>
          <w:szCs w:val="32"/>
        </w:rPr>
        <w:t>四川省新闻中心为省委宣传部的直属事业单位，主要负责4项工作，包括负责四川省新闻发布中心日常管理及运营工作，承担省外媒体记者采访报道的有关协调组织和服务保障工作，承担全省重要新闻发布会的有关会务工作，完成部务会和部领导交办的其他工作。</w:t>
      </w:r>
    </w:p>
    <w:p>
      <w:pPr>
        <w:spacing w:line="600" w:lineRule="exact"/>
        <w:ind w:firstLine="640" w:firstLineChars="200"/>
      </w:pPr>
      <w:r>
        <w:rPr>
          <w:rFonts w:eastAsia="仿宋_GB2312"/>
          <w:sz w:val="32"/>
          <w:szCs w:val="32"/>
        </w:rPr>
        <w:t>四川省新闻中心为公益二类事业单位，</w:t>
      </w:r>
      <w:r>
        <w:rPr>
          <w:rFonts w:hint="eastAsia" w:eastAsia="仿宋_GB2312"/>
          <w:sz w:val="32"/>
          <w:szCs w:val="32"/>
        </w:rPr>
        <w:t>事业</w:t>
      </w:r>
      <w:r>
        <w:rPr>
          <w:rFonts w:eastAsia="仿宋_GB2312"/>
          <w:bCs/>
          <w:sz w:val="32"/>
        </w:rPr>
        <w:t>编制20人，2020年末实有在编人员6人</w:t>
      </w:r>
      <w:r>
        <w:rPr>
          <w:rFonts w:eastAsia="仿宋_GB2312"/>
          <w:sz w:val="32"/>
          <w:szCs w:val="32"/>
        </w:rPr>
        <w:t>。</w:t>
      </w:r>
    </w:p>
    <w:p>
      <w:pPr>
        <w:pStyle w:val="4"/>
        <w:ind w:firstLine="640" w:firstLineChars="200"/>
        <w:rPr>
          <w:rFonts w:ascii="黑体" w:eastAsia="黑体"/>
          <w:b w:val="0"/>
        </w:rPr>
      </w:pPr>
      <w:r>
        <w:rPr>
          <w:rFonts w:hint="eastAsia" w:ascii="黑体" w:eastAsia="黑体"/>
          <w:b w:val="0"/>
        </w:rPr>
        <w:t>二、2020年重点工作</w:t>
      </w:r>
      <w:bookmarkEnd w:id="14"/>
      <w:bookmarkEnd w:id="15"/>
      <w:r>
        <w:rPr>
          <w:rFonts w:hint="eastAsia" w:ascii="黑体" w:eastAsia="黑体"/>
          <w:b w:val="0"/>
        </w:rPr>
        <w:t>完成情况</w:t>
      </w:r>
    </w:p>
    <w:p>
      <w:pPr>
        <w:spacing w:line="600" w:lineRule="exact"/>
        <w:ind w:firstLine="640" w:firstLineChars="200"/>
        <w:rPr>
          <w:rFonts w:eastAsia="仿宋"/>
          <w:kern w:val="0"/>
          <w:sz w:val="32"/>
          <w:szCs w:val="32"/>
        </w:rPr>
      </w:pPr>
      <w:r>
        <w:rPr>
          <w:rFonts w:eastAsia="仿宋_GB2312"/>
          <w:sz w:val="32"/>
          <w:szCs w:val="32"/>
        </w:rPr>
        <w:t>2020年保障以省政府新闻办名义召开的新闻发布会共40场，及时做好向“国务院新闻办新闻发布工作信息交流平台”的会前预报和会后上报（发布会实录）工作。其中，有关疫情防控工作新闻发布会23场。邀请相关单位人员参加，持续释放有针对性的各类防疫及相关信息，架起党委政府与媒体、群众沟通的桥梁，广泛传播了我省高质量发展的强音。高质量</w:t>
      </w:r>
      <w:r>
        <w:rPr>
          <w:rFonts w:eastAsia="仿宋_GB2312"/>
          <w:bCs/>
          <w:sz w:val="32"/>
          <w:szCs w:val="32"/>
        </w:rPr>
        <w:t>完成</w:t>
      </w:r>
      <w:r>
        <w:rPr>
          <w:rFonts w:eastAsia="仿宋_GB2312"/>
          <w:sz w:val="32"/>
          <w:szCs w:val="32"/>
        </w:rPr>
        <w:t xml:space="preserve"> “走向我们的小康生活”大型主题采访报道活动四川行媒体活动。“新闻四川”微信新闻发布平台在2020年共发稿1383篇，制作“新都升庵桂湖访荷 感受最美夏日风情”等原创稿件84篇；开展“策划丨七夕又来了，朋友圈里处处狗粮！”等原创活动策划10个，稿件点击量屡破千点。加强了与群众的联系互动，努力成为传播政府信息、提供公共服务、提升社会治理能力的重要窗口。</w:t>
      </w:r>
    </w:p>
    <w:p>
      <w:pPr>
        <w:widowControl/>
        <w:jc w:val="left"/>
        <w:rPr>
          <w:rFonts w:eastAsia="仿宋"/>
          <w:kern w:val="0"/>
          <w:sz w:val="32"/>
          <w:szCs w:val="32"/>
        </w:rPr>
      </w:pPr>
    </w:p>
    <w:p>
      <w:pPr>
        <w:widowControl/>
        <w:jc w:val="left"/>
        <w:rPr>
          <w:rFonts w:ascii="仿宋" w:eastAsia="仿宋"/>
          <w:kern w:val="0"/>
          <w:sz w:val="32"/>
          <w:szCs w:val="32"/>
        </w:rPr>
      </w:pPr>
      <w:r>
        <w:rPr>
          <w:rFonts w:ascii="仿宋" w:eastAsia="仿宋"/>
          <w:sz w:val="32"/>
          <w:szCs w:val="32"/>
        </w:rPr>
        <w:br w:type="page"/>
      </w:r>
    </w:p>
    <w:p>
      <w:pPr>
        <w:pStyle w:val="3"/>
        <w:ind w:right="440"/>
        <w:jc w:val="center"/>
        <w:rPr>
          <w:rStyle w:val="16"/>
          <w:rFonts w:ascii="黑体" w:eastAsia="黑体"/>
          <w:b w:val="0"/>
          <w:bCs/>
        </w:rPr>
      </w:pPr>
      <w:bookmarkStart w:id="16" w:name="_Toc15396602"/>
      <w:bookmarkStart w:id="17" w:name="_Toc15377204"/>
      <w:r>
        <w:rPr>
          <w:rFonts w:hint="eastAsia" w:ascii="黑体" w:eastAsia="黑体"/>
          <w:b w:val="0"/>
        </w:rPr>
        <w:t>第二部分 2020年度</w:t>
      </w:r>
      <w:r>
        <w:rPr>
          <w:rStyle w:val="16"/>
          <w:rFonts w:hint="eastAsia" w:ascii="黑体" w:eastAsia="黑体"/>
          <w:b w:val="0"/>
          <w:bCs/>
        </w:rPr>
        <w:t>部门决算情况说明</w:t>
      </w:r>
      <w:bookmarkEnd w:id="16"/>
      <w:bookmarkEnd w:id="17"/>
    </w:p>
    <w:p/>
    <w:p>
      <w:pPr>
        <w:pStyle w:val="22"/>
        <w:numPr>
          <w:ilvl w:val="0"/>
          <w:numId w:val="1"/>
        </w:numPr>
        <w:spacing w:line="600" w:lineRule="exact"/>
        <w:ind w:firstLineChars="0"/>
        <w:outlineLvl w:val="1"/>
        <w:rPr>
          <w:rStyle w:val="17"/>
          <w:rFonts w:ascii="黑体" w:eastAsia="黑体"/>
          <w:b w:val="0"/>
        </w:rPr>
      </w:pPr>
      <w:bookmarkStart w:id="18" w:name="_Toc15377205"/>
      <w:bookmarkStart w:id="19" w:name="_Toc15396603"/>
      <w:r>
        <w:rPr>
          <w:rFonts w:hint="eastAsia" w:ascii="黑体" w:eastAsia="黑体"/>
          <w:sz w:val="32"/>
          <w:szCs w:val="32"/>
        </w:rPr>
        <w:t>收</w:t>
      </w:r>
      <w:r>
        <w:rPr>
          <w:rStyle w:val="17"/>
          <w:rFonts w:hint="eastAsia" w:ascii="黑体" w:eastAsia="黑体"/>
          <w:b w:val="0"/>
        </w:rPr>
        <w:t>入支出决算总体情况说明</w:t>
      </w:r>
      <w:bookmarkEnd w:id="18"/>
      <w:bookmarkEnd w:id="19"/>
    </w:p>
    <w:p>
      <w:pPr>
        <w:spacing w:line="600" w:lineRule="exact"/>
        <w:ind w:firstLine="640" w:firstLineChars="200"/>
        <w:rPr>
          <w:rFonts w:hint="eastAsia" w:ascii="仿宋" w:eastAsia="仿宋"/>
          <w:sz w:val="32"/>
          <w:szCs w:val="32"/>
        </w:rPr>
      </w:pPr>
      <w:r>
        <w:rPr>
          <w:rFonts w:hint="eastAsia" w:ascii="仿宋" w:eastAsia="仿宋"/>
          <w:sz w:val="32"/>
          <w:szCs w:val="32"/>
        </w:rPr>
        <w:t>2020年度收、支总计159.61万元。与2019年相比，收、支总计各减少52.72万元，下降24.83</w:t>
      </w:r>
      <w:r>
        <w:rPr>
          <w:rFonts w:ascii="仿宋" w:eastAsia="仿宋"/>
          <w:sz w:val="32"/>
          <w:szCs w:val="32"/>
        </w:rPr>
        <w:t>%</w:t>
      </w:r>
      <w:r>
        <w:rPr>
          <w:rFonts w:hint="eastAsia" w:ascii="仿宋" w:eastAsia="仿宋"/>
          <w:sz w:val="32"/>
          <w:szCs w:val="32"/>
        </w:rPr>
        <w:t>。主要变动原因是本年在职人员退休一人，疫情影响项目资金收支减少所</w:t>
      </w:r>
      <w:r>
        <w:rPr>
          <w:rFonts w:hint="eastAsia" w:ascii="仿宋" w:eastAsia="仿宋"/>
          <w:sz w:val="32"/>
          <w:szCs w:val="32"/>
          <w:lang w:eastAsia="zh-CN"/>
        </w:rPr>
        <w:t>致</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：收、支决算总计变动情况图）（柱状图）</w:t>
      </w:r>
    </w:p>
    <w:p>
      <w:pPr>
        <w:pStyle w:val="2"/>
        <w:spacing w:beforeLines="0"/>
      </w:pPr>
      <w:r>
        <w:drawing>
          <wp:inline distT="0" distB="0" distL="0" distR="0">
            <wp:extent cx="5274310" cy="3076575"/>
            <wp:effectExtent l="0" t="0" r="0"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sz w:val="32"/>
          <w:szCs w:val="32"/>
        </w:rPr>
      </w:pPr>
    </w:p>
    <w:p>
      <w:pPr>
        <w:pStyle w:val="22"/>
        <w:numPr>
          <w:ilvl w:val="0"/>
          <w:numId w:val="1"/>
        </w:numPr>
        <w:spacing w:line="600" w:lineRule="exact"/>
        <w:ind w:firstLineChars="0"/>
        <w:outlineLvl w:val="1"/>
        <w:rPr>
          <w:rStyle w:val="17"/>
          <w:rFonts w:ascii="黑体" w:eastAsia="黑体"/>
          <w:b w:val="0"/>
        </w:rPr>
      </w:pPr>
      <w:bookmarkStart w:id="20" w:name="_Toc15396604"/>
      <w:bookmarkStart w:id="21" w:name="_Toc15377206"/>
      <w:r>
        <w:rPr>
          <w:rFonts w:hint="eastAsia" w:ascii="黑体" w:eastAsia="黑体"/>
          <w:sz w:val="32"/>
          <w:szCs w:val="32"/>
        </w:rPr>
        <w:t>收</w:t>
      </w:r>
      <w:r>
        <w:rPr>
          <w:rStyle w:val="17"/>
          <w:rFonts w:hint="eastAsia" w:ascii="黑体" w:eastAsia="黑体"/>
          <w:b w:val="0"/>
        </w:rPr>
        <w:t>入决算情况说明</w:t>
      </w:r>
      <w:bookmarkEnd w:id="20"/>
      <w:bookmarkEnd w:id="21"/>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20年本年收入合计159.61万元，其中：一般公共预算财政拨款收入159.61万元，占100</w:t>
      </w:r>
      <w:r>
        <w:rPr>
          <w:rFonts w:ascii="仿宋" w:eastAsia="仿宋"/>
          <w:sz w:val="32"/>
          <w:szCs w:val="32"/>
        </w:rPr>
        <w:t>%</w:t>
      </w:r>
      <w:r>
        <w:rPr>
          <w:rFonts w:hint="eastAsia" w:ascii="仿宋" w:eastAsia="仿宋"/>
          <w:sz w:val="32"/>
          <w:szCs w:val="32"/>
        </w:rPr>
        <w:t>。</w:t>
      </w:r>
    </w:p>
    <w:p>
      <w:pPr>
        <w:spacing w:line="600" w:lineRule="exact"/>
        <w:ind w:firstLine="640" w:firstLineChars="200"/>
        <w:outlineLvl w:val="1"/>
        <w:rPr>
          <w:rFonts w:ascii="仿宋" w:eastAsia="仿宋"/>
          <w:sz w:val="32"/>
          <w:szCs w:val="32"/>
        </w:rPr>
      </w:pPr>
      <w:r>
        <w:rPr>
          <w:rFonts w:hint="eastAsia" w:ascii="仿宋" w:eastAsia="仿宋"/>
          <w:sz w:val="32"/>
          <w:szCs w:val="32"/>
        </w:rPr>
        <w:t>（图2：收入决算结构图）（饼状图）</w:t>
      </w:r>
    </w:p>
    <w:p>
      <w:pPr>
        <w:pStyle w:val="2"/>
        <w:spacing w:beforeLines="0"/>
      </w:pPr>
    </w:p>
    <w:p>
      <w:pPr>
        <w:pStyle w:val="2"/>
        <w:spacing w:beforeLines="0"/>
      </w:pPr>
      <w:r>
        <w:drawing>
          <wp:inline distT="0" distB="0" distL="0" distR="0">
            <wp:extent cx="5274310" cy="30765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2"/>
        <w:numPr>
          <w:ilvl w:val="0"/>
          <w:numId w:val="1"/>
        </w:numPr>
        <w:spacing w:line="600" w:lineRule="exact"/>
        <w:ind w:firstLineChars="0"/>
        <w:outlineLvl w:val="1"/>
        <w:rPr>
          <w:rStyle w:val="17"/>
          <w:rFonts w:ascii="黑体" w:eastAsia="黑体"/>
          <w:b w:val="0"/>
        </w:rPr>
      </w:pPr>
      <w:bookmarkStart w:id="22" w:name="_Toc15377207"/>
      <w:bookmarkStart w:id="23" w:name="_Toc15396605"/>
      <w:r>
        <w:rPr>
          <w:rFonts w:hint="eastAsia" w:ascii="黑体" w:eastAsia="黑体"/>
          <w:sz w:val="32"/>
          <w:szCs w:val="32"/>
        </w:rPr>
        <w:t>支</w:t>
      </w:r>
      <w:r>
        <w:rPr>
          <w:rStyle w:val="17"/>
          <w:rFonts w:hint="eastAsia" w:ascii="黑体" w:eastAsia="黑体"/>
          <w:b w:val="0"/>
        </w:rPr>
        <w:t>出决算情况说明</w:t>
      </w:r>
      <w:bookmarkEnd w:id="22"/>
      <w:bookmarkEnd w:id="23"/>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20年本年支出合计159.61万元，其中：基本支出129.06万元，占80.86</w:t>
      </w:r>
      <w:r>
        <w:rPr>
          <w:rFonts w:ascii="仿宋" w:eastAsia="仿宋"/>
          <w:sz w:val="32"/>
          <w:szCs w:val="32"/>
        </w:rPr>
        <w:t>%</w:t>
      </w:r>
      <w:r>
        <w:rPr>
          <w:rFonts w:hint="eastAsia" w:ascii="仿宋" w:eastAsia="仿宋"/>
          <w:sz w:val="32"/>
          <w:szCs w:val="32"/>
        </w:rPr>
        <w:t>；项目支出30.55万元，占19.14</w:t>
      </w:r>
      <w:r>
        <w:rPr>
          <w:rFonts w:ascii="仿宋" w:eastAsia="仿宋"/>
          <w:sz w:val="32"/>
          <w:szCs w:val="32"/>
        </w:rPr>
        <w:t>%</w:t>
      </w:r>
      <w:r>
        <w:rPr>
          <w:rFonts w:hint="eastAsia" w:ascii="仿宋" w:eastAsia="仿宋"/>
          <w:sz w:val="32"/>
          <w:szCs w:val="32"/>
        </w:rPr>
        <w:t>。</w:t>
      </w:r>
    </w:p>
    <w:p>
      <w:pPr>
        <w:spacing w:line="600" w:lineRule="exact"/>
        <w:ind w:firstLine="640" w:firstLineChars="200"/>
      </w:pPr>
      <w:r>
        <w:rPr>
          <w:rFonts w:hint="eastAsia" w:ascii="仿宋" w:eastAsia="仿宋"/>
          <w:sz w:val="32"/>
          <w:szCs w:val="32"/>
        </w:rPr>
        <w:t>（图3：支出决算结构图）（饼状图）</w:t>
      </w:r>
    </w:p>
    <w:p>
      <w:pPr>
        <w:pStyle w:val="2"/>
        <w:spacing w:beforeLines="0"/>
      </w:pPr>
      <w:r>
        <w:rPr>
          <w:rFonts w:hint="eastAsia"/>
          <w:sz w:val="32"/>
          <w:szCs w:val="32"/>
        </w:rPr>
        <w:drawing>
          <wp:inline distT="0" distB="0" distL="0" distR="0">
            <wp:extent cx="5057775" cy="3057525"/>
            <wp:effectExtent l="0" t="0" r="0" b="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spacing w:beforeLines="0"/>
      </w:pPr>
    </w:p>
    <w:p>
      <w:pPr>
        <w:spacing w:line="600" w:lineRule="exact"/>
        <w:ind w:firstLine="640" w:firstLineChars="200"/>
        <w:outlineLvl w:val="1"/>
        <w:rPr>
          <w:rStyle w:val="17"/>
          <w:rFonts w:ascii="黑体" w:eastAsia="黑体"/>
          <w:b w:val="0"/>
        </w:rPr>
      </w:pPr>
      <w:bookmarkStart w:id="24" w:name="_Toc15396606"/>
      <w:bookmarkStart w:id="25" w:name="_Toc15377208"/>
      <w:r>
        <w:rPr>
          <w:rFonts w:hint="eastAsia" w:ascii="黑体" w:eastAsia="黑体"/>
          <w:sz w:val="32"/>
          <w:szCs w:val="32"/>
        </w:rPr>
        <w:t>四、财</w:t>
      </w:r>
      <w:r>
        <w:rPr>
          <w:rStyle w:val="17"/>
          <w:rFonts w:hint="eastAsia" w:ascii="黑体" w:eastAsia="黑体"/>
          <w:b w:val="0"/>
        </w:rPr>
        <w:t>政拨款收入支出决算总体情况说明</w:t>
      </w:r>
      <w:bookmarkEnd w:id="24"/>
      <w:bookmarkEnd w:id="25"/>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20年财政拨款收、支总计159.61万元。与</w:t>
      </w:r>
      <w:r>
        <w:rPr>
          <w:rFonts w:ascii="仿宋" w:eastAsia="仿宋"/>
          <w:sz w:val="32"/>
          <w:szCs w:val="32"/>
        </w:rPr>
        <w:t>201</w:t>
      </w:r>
      <w:r>
        <w:rPr>
          <w:rFonts w:hint="eastAsia" w:ascii="仿宋" w:eastAsia="仿宋"/>
          <w:sz w:val="32"/>
          <w:szCs w:val="32"/>
        </w:rPr>
        <w:t>9年相比，财政拨款收、支总计各减少52.72万元，下降24.83</w:t>
      </w:r>
      <w:r>
        <w:rPr>
          <w:rFonts w:ascii="仿宋" w:eastAsia="仿宋"/>
          <w:sz w:val="32"/>
          <w:szCs w:val="32"/>
        </w:rPr>
        <w:t>%</w:t>
      </w:r>
      <w:r>
        <w:rPr>
          <w:rFonts w:hint="eastAsia" w:ascii="仿宋" w:eastAsia="仿宋"/>
          <w:sz w:val="32"/>
          <w:szCs w:val="32"/>
        </w:rPr>
        <w:t>。主要变动原因是是本年在职人员退休一人，疫情影响项目资金收支减少所</w:t>
      </w:r>
      <w:r>
        <w:rPr>
          <w:rFonts w:hint="eastAsia" w:ascii="仿宋" w:eastAsia="仿宋"/>
          <w:sz w:val="32"/>
          <w:szCs w:val="32"/>
          <w:lang w:eastAsia="zh-CN"/>
        </w:rPr>
        <w:t>致</w:t>
      </w:r>
      <w:r>
        <w:rPr>
          <w:rFonts w:hint="eastAsia" w:ascii="仿宋" w:eastAsia="仿宋"/>
          <w:sz w:val="32"/>
          <w:szCs w:val="32"/>
        </w:rPr>
        <w:t>。</w:t>
      </w:r>
    </w:p>
    <w:p>
      <w:pPr>
        <w:spacing w:line="600" w:lineRule="exact"/>
        <w:rPr>
          <w:rFonts w:ascii="仿宋" w:eastAsia="仿宋"/>
          <w:sz w:val="32"/>
          <w:szCs w:val="32"/>
        </w:rPr>
      </w:pPr>
      <w:r>
        <w:rPr>
          <w:rFonts w:hint="eastAsia" w:ascii="仿宋" w:eastAsia="仿宋"/>
          <w:sz w:val="32"/>
          <w:szCs w:val="32"/>
        </w:rPr>
        <w:t>（图4：财政拨款收、支决算总计变动情况）（柱状图）</w:t>
      </w:r>
    </w:p>
    <w:p>
      <w:pPr>
        <w:pStyle w:val="2"/>
        <w:spacing w:beforeLines="0"/>
      </w:pPr>
      <w:r>
        <w:drawing>
          <wp:inline distT="0" distB="0" distL="0" distR="0">
            <wp:extent cx="5274310" cy="307657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17"/>
          <w:rFonts w:ascii="黑体" w:eastAsia="黑体"/>
          <w:b w:val="0"/>
        </w:rPr>
      </w:pPr>
      <w:bookmarkStart w:id="26" w:name="_Toc15377209"/>
      <w:bookmarkStart w:id="27" w:name="_Toc15396607"/>
      <w:r>
        <w:rPr>
          <w:rFonts w:hint="eastAsia" w:ascii="黑体" w:eastAsia="黑体"/>
          <w:sz w:val="32"/>
          <w:szCs w:val="32"/>
        </w:rPr>
        <w:t>五、</w:t>
      </w:r>
      <w:r>
        <w:rPr>
          <w:rFonts w:hint="eastAsia" w:ascii="黑体" w:eastAsia="黑体"/>
          <w:b/>
          <w:sz w:val="32"/>
          <w:szCs w:val="32"/>
        </w:rPr>
        <w:t>一</w:t>
      </w:r>
      <w:r>
        <w:rPr>
          <w:rStyle w:val="17"/>
          <w:rFonts w:hint="eastAsia" w:ascii="黑体" w:eastAsia="黑体"/>
          <w:b w:val="0"/>
        </w:rPr>
        <w:t>般公共预算财政拨款支出决算情况说明</w:t>
      </w:r>
      <w:bookmarkEnd w:id="26"/>
      <w:bookmarkEnd w:id="27"/>
    </w:p>
    <w:p>
      <w:pPr>
        <w:spacing w:line="600" w:lineRule="exact"/>
        <w:ind w:firstLine="643" w:firstLineChars="200"/>
        <w:outlineLvl w:val="2"/>
        <w:rPr>
          <w:rFonts w:ascii="仿宋" w:eastAsia="仿宋"/>
          <w:b/>
          <w:sz w:val="32"/>
          <w:szCs w:val="32"/>
        </w:rPr>
      </w:pPr>
      <w:bookmarkStart w:id="28" w:name="_Toc15377210"/>
      <w:r>
        <w:rPr>
          <w:rFonts w:hint="eastAsia" w:ascii="仿宋" w:eastAsia="仿宋"/>
          <w:b/>
          <w:sz w:val="32"/>
          <w:szCs w:val="32"/>
        </w:rPr>
        <w:t>（一）一般公共预算财政拨款支出决算总体情况</w:t>
      </w:r>
      <w:bookmarkEnd w:id="28"/>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20年一般公共预算财政拨款支出159.61万元，占本年支出合计的100</w:t>
      </w:r>
      <w:r>
        <w:rPr>
          <w:rFonts w:ascii="仿宋" w:eastAsia="仿宋"/>
          <w:sz w:val="32"/>
          <w:szCs w:val="32"/>
        </w:rPr>
        <w:t>%</w:t>
      </w:r>
      <w:r>
        <w:rPr>
          <w:rFonts w:hint="eastAsia" w:ascii="仿宋" w:eastAsia="仿宋"/>
          <w:sz w:val="32"/>
          <w:szCs w:val="32"/>
        </w:rPr>
        <w:t>。与</w:t>
      </w:r>
      <w:r>
        <w:rPr>
          <w:rFonts w:ascii="仿宋" w:eastAsia="仿宋"/>
          <w:sz w:val="32"/>
          <w:szCs w:val="32"/>
        </w:rPr>
        <w:t>201</w:t>
      </w:r>
      <w:r>
        <w:rPr>
          <w:rFonts w:hint="eastAsia" w:ascii="仿宋" w:eastAsia="仿宋"/>
          <w:sz w:val="32"/>
          <w:szCs w:val="32"/>
        </w:rPr>
        <w:t>9年相比，一般公共预算财政拨款减少52.72万元，下降24.83</w:t>
      </w:r>
      <w:r>
        <w:rPr>
          <w:rFonts w:ascii="仿宋" w:eastAsia="仿宋"/>
          <w:sz w:val="32"/>
          <w:szCs w:val="32"/>
        </w:rPr>
        <w:t>%</w:t>
      </w:r>
      <w:r>
        <w:rPr>
          <w:rFonts w:hint="eastAsia" w:ascii="仿宋" w:eastAsia="仿宋"/>
          <w:sz w:val="32"/>
          <w:szCs w:val="32"/>
        </w:rPr>
        <w:t>。主要变动原因是是本年在职人员退休一人，疫情影响项目资金收支减少所</w:t>
      </w:r>
      <w:r>
        <w:rPr>
          <w:rFonts w:hint="eastAsia" w:ascii="仿宋" w:eastAsia="仿宋"/>
          <w:sz w:val="32"/>
          <w:szCs w:val="32"/>
          <w:lang w:eastAsia="zh-CN"/>
        </w:rPr>
        <w:t>致</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（图5：一般公共预算财政拨款支出决算变动情况）（柱状图）</w:t>
      </w:r>
    </w:p>
    <w:p>
      <w:pPr>
        <w:pStyle w:val="2"/>
        <w:spacing w:beforeLines="0"/>
      </w:pPr>
      <w:r>
        <w:drawing>
          <wp:inline distT="0" distB="0" distL="0" distR="0">
            <wp:extent cx="5274310" cy="307657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29" w:name="_Toc15377211"/>
      <w:r>
        <w:rPr>
          <w:rFonts w:hint="eastAsia" w:ascii="仿宋" w:eastAsia="仿宋"/>
          <w:b/>
          <w:sz w:val="32"/>
          <w:szCs w:val="32"/>
        </w:rPr>
        <w:t>（二）一般公共预算财政拨款支出决算结构情况</w:t>
      </w:r>
      <w:bookmarkEnd w:id="29"/>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20年一般公共预算财政拨款支出159.61万元，主要用于以下方面</w:t>
      </w:r>
      <w:r>
        <w:rPr>
          <w:rFonts w:ascii="仿宋" w:eastAsia="仿宋"/>
          <w:sz w:val="32"/>
          <w:szCs w:val="32"/>
        </w:rPr>
        <w:t>:</w:t>
      </w:r>
      <w:r>
        <w:rPr>
          <w:rFonts w:hint="eastAsia" w:ascii="仿宋" w:eastAsia="仿宋"/>
          <w:b/>
          <w:sz w:val="32"/>
          <w:szCs w:val="32"/>
        </w:rPr>
        <w:t>一般公共服务（类）</w:t>
      </w:r>
      <w:r>
        <w:rPr>
          <w:rFonts w:hint="eastAsia" w:ascii="仿宋" w:eastAsia="仿宋"/>
          <w:sz w:val="32"/>
          <w:szCs w:val="32"/>
        </w:rPr>
        <w:t>支出96.57万元，占60.50</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文化旅游体育与传媒（类）支出30.55万元，占19.14</w:t>
      </w:r>
      <w:r>
        <w:rPr>
          <w:rFonts w:ascii="仿宋" w:eastAsia="仿宋"/>
          <w:b/>
          <w:bCs/>
          <w:sz w:val="32"/>
          <w:szCs w:val="32"/>
        </w:rPr>
        <w:t>%</w:t>
      </w:r>
      <w:r>
        <w:rPr>
          <w:rFonts w:hint="eastAsia" w:ascii="仿宋" w:eastAsia="仿宋"/>
          <w:sz w:val="32"/>
          <w:szCs w:val="32"/>
        </w:rPr>
        <w:t>；</w:t>
      </w:r>
      <w:r>
        <w:rPr>
          <w:rFonts w:hint="eastAsia" w:ascii="仿宋" w:eastAsia="仿宋"/>
          <w:b/>
          <w:sz w:val="32"/>
          <w:szCs w:val="32"/>
        </w:rPr>
        <w:t>社会保障和就业（类）</w:t>
      </w:r>
      <w:r>
        <w:rPr>
          <w:rFonts w:hint="eastAsia" w:ascii="仿宋" w:eastAsia="仿宋"/>
          <w:sz w:val="32"/>
          <w:szCs w:val="32"/>
        </w:rPr>
        <w:t>支出14.68万元，占9.20</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卫生健康支出</w:t>
      </w:r>
      <w:r>
        <w:rPr>
          <w:rFonts w:hint="eastAsia" w:ascii="仿宋" w:eastAsia="仿宋"/>
          <w:sz w:val="32"/>
          <w:szCs w:val="32"/>
        </w:rPr>
        <w:t>7.50万元，占4.70</w:t>
      </w:r>
      <w:r>
        <w:rPr>
          <w:rFonts w:ascii="仿宋" w:eastAsia="仿宋"/>
          <w:sz w:val="32"/>
          <w:szCs w:val="32"/>
        </w:rPr>
        <w:t>%</w:t>
      </w:r>
      <w:r>
        <w:rPr>
          <w:rFonts w:hint="eastAsia" w:ascii="仿宋" w:eastAsia="仿宋"/>
          <w:sz w:val="32"/>
          <w:szCs w:val="32"/>
        </w:rPr>
        <w:t>；</w:t>
      </w:r>
      <w:r>
        <w:rPr>
          <w:rFonts w:hint="eastAsia" w:ascii="仿宋" w:eastAsia="仿宋"/>
          <w:b/>
          <w:sz w:val="32"/>
          <w:szCs w:val="32"/>
        </w:rPr>
        <w:t>住房保障支出</w:t>
      </w:r>
      <w:r>
        <w:rPr>
          <w:rFonts w:hint="eastAsia" w:ascii="仿宋" w:eastAsia="仿宋"/>
          <w:sz w:val="32"/>
          <w:szCs w:val="32"/>
        </w:rPr>
        <w:t>10.31万元，占6.46</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（图6：一般公共预算财政拨款支出决算结构）（饼状图）</w:t>
      </w:r>
    </w:p>
    <w:p>
      <w:pPr>
        <w:pStyle w:val="2"/>
        <w:spacing w:beforeLines="0"/>
      </w:pPr>
      <w:r>
        <w:drawing>
          <wp:inline distT="0" distB="0" distL="0" distR="0">
            <wp:extent cx="5274310" cy="307657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30" w:name="_Toc15377212"/>
      <w:r>
        <w:rPr>
          <w:rFonts w:hint="eastAsia" w:ascii="仿宋" w:eastAsia="仿宋"/>
          <w:b/>
          <w:sz w:val="32"/>
          <w:szCs w:val="32"/>
        </w:rPr>
        <w:t>（三）一般公共预算财政拨款支出决算具体情况</w:t>
      </w:r>
      <w:bookmarkEnd w:id="30"/>
    </w:p>
    <w:p>
      <w:pPr>
        <w:spacing w:line="600" w:lineRule="exact"/>
        <w:ind w:firstLine="643" w:firstLineChars="200"/>
        <w:outlineLvl w:val="2"/>
        <w:rPr>
          <w:rFonts w:ascii="仿宋" w:eastAsia="仿宋"/>
          <w:sz w:val="32"/>
          <w:szCs w:val="32"/>
        </w:rPr>
      </w:pPr>
      <w:bookmarkStart w:id="31" w:name="_Toc15378460"/>
      <w:bookmarkStart w:id="32" w:name="_Toc15377213"/>
      <w:bookmarkStart w:id="33" w:name="_Toc15377444"/>
      <w:r>
        <w:rPr>
          <w:rFonts w:hint="eastAsia" w:ascii="仿宋" w:eastAsia="仿宋"/>
          <w:b/>
          <w:sz w:val="32"/>
          <w:szCs w:val="32"/>
        </w:rPr>
        <w:t>2020年一般公共预算支出决算数为159.61</w:t>
      </w:r>
      <w:r>
        <w:rPr>
          <w:rFonts w:hint="eastAsia" w:ascii="仿宋" w:eastAsia="仿宋"/>
          <w:sz w:val="32"/>
          <w:szCs w:val="32"/>
        </w:rPr>
        <w:t>，</w:t>
      </w:r>
      <w:r>
        <w:rPr>
          <w:rStyle w:val="14"/>
          <w:rFonts w:hint="eastAsia" w:ascii="仿宋" w:eastAsia="仿宋"/>
          <w:bCs/>
          <w:sz w:val="32"/>
          <w:szCs w:val="32"/>
        </w:rPr>
        <w:t>完成预算73.33</w:t>
      </w:r>
      <w:r>
        <w:rPr>
          <w:rStyle w:val="14"/>
          <w:rFonts w:ascii="仿宋" w:eastAsia="仿宋"/>
          <w:bCs/>
          <w:sz w:val="32"/>
          <w:szCs w:val="32"/>
        </w:rPr>
        <w:t>%</w:t>
      </w:r>
      <w:r>
        <w:rPr>
          <w:rStyle w:val="14"/>
          <w:rFonts w:hint="eastAsia" w:ascii="仿宋" w:eastAsia="仿宋"/>
          <w:bCs/>
          <w:sz w:val="32"/>
          <w:szCs w:val="32"/>
        </w:rPr>
        <w:t>。其中：</w:t>
      </w:r>
      <w:bookmarkEnd w:id="31"/>
      <w:bookmarkEnd w:id="32"/>
      <w:bookmarkEnd w:id="33"/>
    </w:p>
    <w:p>
      <w:pPr>
        <w:spacing w:line="600" w:lineRule="exact"/>
        <w:ind w:firstLine="643" w:firstLineChars="200"/>
        <w:rPr>
          <w:rFonts w:ascii="仿宋" w:eastAsia="仿宋"/>
          <w:b/>
          <w:sz w:val="32"/>
          <w:szCs w:val="32"/>
        </w:rPr>
      </w:pPr>
      <w:r>
        <w:rPr>
          <w:rStyle w:val="14"/>
          <w:rFonts w:ascii="仿宋" w:eastAsia="仿宋"/>
          <w:bCs/>
          <w:sz w:val="32"/>
          <w:szCs w:val="32"/>
        </w:rPr>
        <w:t>1.</w:t>
      </w:r>
      <w:r>
        <w:rPr>
          <w:rStyle w:val="14"/>
          <w:rFonts w:hint="eastAsia" w:ascii="仿宋" w:eastAsia="仿宋"/>
          <w:bCs/>
          <w:sz w:val="32"/>
          <w:szCs w:val="32"/>
        </w:rPr>
        <w:t>一般公共服务（类）宣传事务（款）事业运行（项）</w:t>
      </w:r>
      <w:r>
        <w:rPr>
          <w:rStyle w:val="14"/>
          <w:rFonts w:ascii="仿宋" w:eastAsia="仿宋"/>
          <w:bCs/>
          <w:sz w:val="32"/>
          <w:szCs w:val="32"/>
        </w:rPr>
        <w:t>:</w:t>
      </w:r>
      <w:r>
        <w:rPr>
          <w:rStyle w:val="14"/>
          <w:rFonts w:ascii="仿宋" w:eastAsia="仿宋"/>
          <w:b w:val="0"/>
          <w:bCs/>
          <w:sz w:val="32"/>
          <w:szCs w:val="32"/>
        </w:rPr>
        <w:t xml:space="preserve"> </w:t>
      </w:r>
      <w:r>
        <w:rPr>
          <w:rStyle w:val="14"/>
          <w:rFonts w:hint="eastAsia" w:ascii="仿宋" w:eastAsia="仿宋"/>
          <w:b w:val="0"/>
          <w:bCs/>
          <w:sz w:val="32"/>
          <w:szCs w:val="32"/>
        </w:rPr>
        <w:t>支出决算为96.57万元，完成预算85.82</w:t>
      </w:r>
      <w:r>
        <w:rPr>
          <w:rStyle w:val="14"/>
          <w:rFonts w:ascii="仿宋" w:eastAsia="仿宋"/>
          <w:b w:val="0"/>
          <w:bCs/>
          <w:sz w:val="32"/>
          <w:szCs w:val="32"/>
        </w:rPr>
        <w:t>%</w:t>
      </w:r>
      <w:r>
        <w:rPr>
          <w:rStyle w:val="14"/>
          <w:rFonts w:hint="eastAsia" w:ascii="仿宋" w:eastAsia="仿宋"/>
          <w:b w:val="0"/>
          <w:bCs/>
          <w:sz w:val="32"/>
          <w:szCs w:val="32"/>
        </w:rPr>
        <w:t>。决算数小于预算数的主要原因是本年新增退休人员一名。</w:t>
      </w:r>
    </w:p>
    <w:p>
      <w:pPr>
        <w:spacing w:line="600" w:lineRule="exact"/>
        <w:ind w:firstLine="643" w:firstLineChars="200"/>
        <w:rPr>
          <w:rFonts w:hint="eastAsia" w:ascii="仿宋" w:eastAsia="仿宋"/>
          <w:b/>
          <w:sz w:val="32"/>
          <w:szCs w:val="32"/>
          <w:lang w:eastAsia="zh-CN"/>
        </w:rPr>
      </w:pPr>
      <w:r>
        <w:rPr>
          <w:rStyle w:val="14"/>
          <w:rFonts w:hint="eastAsia" w:ascii="仿宋" w:eastAsia="仿宋"/>
          <w:bCs/>
          <w:sz w:val="32"/>
          <w:szCs w:val="32"/>
        </w:rPr>
        <w:t>2</w:t>
      </w:r>
      <w:r>
        <w:rPr>
          <w:rStyle w:val="14"/>
          <w:rFonts w:ascii="仿宋" w:eastAsia="仿宋"/>
          <w:bCs/>
          <w:sz w:val="32"/>
          <w:szCs w:val="32"/>
        </w:rPr>
        <w:t>.</w:t>
      </w:r>
      <w:r>
        <w:rPr>
          <w:rStyle w:val="14"/>
          <w:rFonts w:hint="eastAsia" w:ascii="仿宋" w:eastAsia="仿宋"/>
          <w:bCs/>
          <w:sz w:val="32"/>
          <w:szCs w:val="32"/>
        </w:rPr>
        <w:t>文化旅游体育与传媒（类）其他文化旅游体育与传媒支出（款）宣传文化发展专项支出（项）</w:t>
      </w:r>
      <w:r>
        <w:rPr>
          <w:rStyle w:val="14"/>
          <w:rFonts w:ascii="仿宋" w:eastAsia="仿宋"/>
          <w:bCs/>
          <w:sz w:val="32"/>
          <w:szCs w:val="32"/>
        </w:rPr>
        <w:t>:</w:t>
      </w:r>
      <w:r>
        <w:rPr>
          <w:rStyle w:val="14"/>
          <w:rFonts w:ascii="仿宋" w:eastAsia="仿宋"/>
          <w:b w:val="0"/>
          <w:bCs/>
          <w:sz w:val="32"/>
          <w:szCs w:val="32"/>
        </w:rPr>
        <w:t xml:space="preserve"> </w:t>
      </w:r>
      <w:r>
        <w:rPr>
          <w:rStyle w:val="14"/>
          <w:rFonts w:hint="eastAsia" w:ascii="仿宋" w:eastAsia="仿宋"/>
          <w:b w:val="0"/>
          <w:bCs/>
          <w:sz w:val="32"/>
          <w:szCs w:val="32"/>
        </w:rPr>
        <w:t>支出决算为30.55万元，完成预算43.64</w:t>
      </w:r>
      <w:r>
        <w:rPr>
          <w:rStyle w:val="14"/>
          <w:rFonts w:ascii="仿宋" w:eastAsia="仿宋"/>
          <w:b w:val="0"/>
          <w:bCs/>
          <w:sz w:val="32"/>
          <w:szCs w:val="32"/>
        </w:rPr>
        <w:t>%</w:t>
      </w:r>
      <w:r>
        <w:rPr>
          <w:rStyle w:val="14"/>
          <w:rFonts w:hint="eastAsia" w:ascii="仿宋" w:eastAsia="仿宋"/>
          <w:b w:val="0"/>
          <w:bCs/>
          <w:sz w:val="32"/>
          <w:szCs w:val="32"/>
        </w:rPr>
        <w:t>。决算数小于预算数的主要原因是</w:t>
      </w:r>
      <w:r>
        <w:rPr>
          <w:rFonts w:hint="eastAsia" w:ascii="仿宋" w:eastAsia="仿宋"/>
          <w:sz w:val="32"/>
          <w:szCs w:val="32"/>
        </w:rPr>
        <w:t>2020年度，受疫情影响，部分新闻发布会以线上发布形式开展</w:t>
      </w:r>
      <w:r>
        <w:rPr>
          <w:rFonts w:hint="eastAsia" w:ascii="仿宋" w:eastAsia="仿宋"/>
          <w:sz w:val="32"/>
          <w:szCs w:val="32"/>
          <w:lang w:eastAsia="zh-CN"/>
        </w:rPr>
        <w:t>，新闻发布会减少。</w:t>
      </w:r>
      <w:bookmarkStart w:id="54" w:name="_GoBack"/>
      <w:bookmarkEnd w:id="54"/>
    </w:p>
    <w:p>
      <w:pPr>
        <w:spacing w:line="600" w:lineRule="exact"/>
        <w:ind w:firstLine="643" w:firstLineChars="200"/>
        <w:rPr>
          <w:rStyle w:val="14"/>
          <w:rFonts w:ascii="仿宋" w:eastAsia="仿宋"/>
          <w:bCs/>
          <w:sz w:val="32"/>
          <w:szCs w:val="32"/>
        </w:rPr>
      </w:pPr>
      <w:r>
        <w:rPr>
          <w:rStyle w:val="14"/>
          <w:rFonts w:hint="eastAsia" w:ascii="仿宋" w:eastAsia="仿宋"/>
          <w:bCs/>
          <w:sz w:val="32"/>
          <w:szCs w:val="32"/>
        </w:rPr>
        <w:t>3.社会保障和就业（类）行政事业单位养支老出（款）事业单位离退休（项）</w:t>
      </w:r>
      <w:r>
        <w:rPr>
          <w:rStyle w:val="14"/>
          <w:rFonts w:hint="eastAsia" w:ascii="仿宋" w:eastAsia="仿宋"/>
          <w:b w:val="0"/>
          <w:bCs/>
          <w:sz w:val="32"/>
          <w:szCs w:val="32"/>
        </w:rPr>
        <w:t>支出决算0.84万元，完成预算100</w:t>
      </w:r>
      <w:r>
        <w:rPr>
          <w:rStyle w:val="14"/>
          <w:rFonts w:ascii="仿宋" w:eastAsia="仿宋"/>
          <w:b w:val="0"/>
          <w:bCs/>
          <w:sz w:val="32"/>
          <w:szCs w:val="32"/>
        </w:rPr>
        <w:t>%</w:t>
      </w:r>
      <w:r>
        <w:rPr>
          <w:rStyle w:val="14"/>
          <w:rFonts w:hint="eastAsia" w:ascii="仿宋" w:eastAsia="仿宋"/>
          <w:bCs/>
          <w:sz w:val="32"/>
          <w:szCs w:val="32"/>
        </w:rPr>
        <w:t xml:space="preserve">、 </w:t>
      </w:r>
    </w:p>
    <w:p>
      <w:pPr>
        <w:spacing w:line="600" w:lineRule="exact"/>
        <w:ind w:firstLine="643" w:firstLineChars="200"/>
        <w:rPr>
          <w:rStyle w:val="14"/>
          <w:rFonts w:ascii="仿宋" w:eastAsia="仿宋"/>
          <w:b w:val="0"/>
          <w:bCs/>
          <w:sz w:val="32"/>
          <w:szCs w:val="32"/>
        </w:rPr>
      </w:pPr>
      <w:r>
        <w:rPr>
          <w:rStyle w:val="14"/>
          <w:rFonts w:hint="eastAsia" w:ascii="仿宋" w:eastAsia="仿宋"/>
          <w:bCs/>
          <w:sz w:val="32"/>
          <w:szCs w:val="32"/>
        </w:rPr>
        <w:t>4.社会保障和就业（类）行政事业单位养支老出（款）机关事业单位养老保险缴费支出（项）：</w:t>
      </w:r>
      <w:r>
        <w:rPr>
          <w:rStyle w:val="14"/>
          <w:rFonts w:hint="eastAsia" w:ascii="仿宋" w:eastAsia="仿宋"/>
          <w:b w:val="0"/>
          <w:bCs/>
          <w:sz w:val="32"/>
          <w:szCs w:val="32"/>
        </w:rPr>
        <w:t>支出决算9.19万元，完成预算87.52</w:t>
      </w:r>
      <w:r>
        <w:rPr>
          <w:rStyle w:val="14"/>
          <w:rFonts w:ascii="仿宋" w:eastAsia="仿宋"/>
          <w:b w:val="0"/>
          <w:bCs/>
          <w:sz w:val="32"/>
          <w:szCs w:val="32"/>
        </w:rPr>
        <w:t>%</w:t>
      </w:r>
      <w:r>
        <w:rPr>
          <w:rStyle w:val="14"/>
          <w:rFonts w:hint="eastAsia" w:ascii="仿宋" w:eastAsia="仿宋"/>
          <w:b w:val="0"/>
          <w:bCs/>
          <w:sz w:val="32"/>
          <w:szCs w:val="32"/>
        </w:rPr>
        <w:t>。决算数小于预算数的主要原因是本年新增退休人员一名。</w:t>
      </w:r>
    </w:p>
    <w:p>
      <w:pPr>
        <w:spacing w:line="600" w:lineRule="exact"/>
        <w:ind w:firstLine="643" w:firstLineChars="200"/>
        <w:rPr>
          <w:rFonts w:ascii="仿宋" w:eastAsia="仿宋"/>
          <w:b/>
          <w:sz w:val="32"/>
          <w:szCs w:val="32"/>
        </w:rPr>
      </w:pPr>
      <w:r>
        <w:rPr>
          <w:rStyle w:val="14"/>
          <w:rFonts w:hint="eastAsia" w:ascii="仿宋" w:eastAsia="仿宋"/>
          <w:bCs/>
          <w:sz w:val="32"/>
          <w:szCs w:val="32"/>
        </w:rPr>
        <w:t>5.社会保障和就业（类）行政事业单位养支老出（款）机关事业单位职业年金缴费支出（项）：</w:t>
      </w:r>
      <w:r>
        <w:rPr>
          <w:rStyle w:val="14"/>
          <w:rFonts w:hint="eastAsia" w:ascii="仿宋" w:eastAsia="仿宋"/>
          <w:b w:val="0"/>
          <w:bCs/>
          <w:sz w:val="32"/>
          <w:szCs w:val="32"/>
        </w:rPr>
        <w:t>支出决算为4.65万元，完成预算87.74</w:t>
      </w:r>
      <w:r>
        <w:rPr>
          <w:rStyle w:val="14"/>
          <w:rFonts w:ascii="仿宋" w:eastAsia="仿宋"/>
          <w:b w:val="0"/>
          <w:bCs/>
          <w:sz w:val="32"/>
          <w:szCs w:val="32"/>
        </w:rPr>
        <w:t>%</w:t>
      </w:r>
      <w:r>
        <w:rPr>
          <w:rStyle w:val="14"/>
          <w:rFonts w:hint="eastAsia" w:ascii="仿宋" w:eastAsia="仿宋"/>
          <w:b w:val="0"/>
          <w:bCs/>
          <w:sz w:val="32"/>
          <w:szCs w:val="32"/>
        </w:rPr>
        <w:t>。决算数小于预算数的主要原因是本年新增退休人员一名。</w:t>
      </w:r>
    </w:p>
    <w:p>
      <w:pPr>
        <w:spacing w:line="600" w:lineRule="exact"/>
        <w:ind w:firstLine="643" w:firstLineChars="200"/>
        <w:rPr>
          <w:rFonts w:ascii="仿宋" w:eastAsia="仿宋"/>
          <w:b/>
          <w:sz w:val="32"/>
          <w:szCs w:val="32"/>
        </w:rPr>
      </w:pPr>
      <w:r>
        <w:rPr>
          <w:rStyle w:val="14"/>
          <w:rFonts w:hint="eastAsia" w:ascii="仿宋" w:eastAsia="仿宋"/>
          <w:bCs/>
          <w:sz w:val="32"/>
          <w:szCs w:val="32"/>
        </w:rPr>
        <w:t>4</w:t>
      </w:r>
      <w:r>
        <w:rPr>
          <w:rStyle w:val="14"/>
          <w:rFonts w:ascii="仿宋" w:eastAsia="仿宋"/>
          <w:bCs/>
          <w:sz w:val="32"/>
          <w:szCs w:val="32"/>
        </w:rPr>
        <w:t>.</w:t>
      </w:r>
      <w:r>
        <w:rPr>
          <w:rFonts w:hint="eastAsia" w:ascii="仿宋" w:eastAsia="仿宋"/>
          <w:b/>
          <w:bCs/>
          <w:sz w:val="32"/>
          <w:szCs w:val="32"/>
        </w:rPr>
        <w:t>卫生健康</w:t>
      </w:r>
      <w:r>
        <w:rPr>
          <w:rStyle w:val="14"/>
          <w:rFonts w:hint="eastAsia" w:ascii="仿宋" w:eastAsia="仿宋"/>
          <w:bCs/>
          <w:sz w:val="32"/>
          <w:szCs w:val="32"/>
        </w:rPr>
        <w:t>（类）行政事业单位医疗（款）事业单位医疗（项）</w:t>
      </w:r>
      <w:r>
        <w:rPr>
          <w:rStyle w:val="14"/>
          <w:rFonts w:ascii="仿宋" w:eastAsia="仿宋"/>
          <w:bCs/>
          <w:sz w:val="32"/>
          <w:szCs w:val="32"/>
        </w:rPr>
        <w:t>:</w:t>
      </w:r>
      <w:r>
        <w:rPr>
          <w:rStyle w:val="14"/>
          <w:rFonts w:hint="eastAsia" w:ascii="仿宋" w:eastAsia="仿宋"/>
          <w:b w:val="0"/>
          <w:bCs/>
          <w:sz w:val="32"/>
          <w:szCs w:val="32"/>
        </w:rPr>
        <w:t>支出决算为7.5万元，完成预算100</w:t>
      </w:r>
      <w:r>
        <w:rPr>
          <w:rStyle w:val="14"/>
          <w:rFonts w:ascii="仿宋" w:eastAsia="仿宋"/>
          <w:b w:val="0"/>
          <w:bCs/>
          <w:sz w:val="32"/>
          <w:szCs w:val="32"/>
        </w:rPr>
        <w:t>%</w:t>
      </w:r>
      <w:r>
        <w:rPr>
          <w:rStyle w:val="14"/>
          <w:rFonts w:hint="eastAsia" w:ascii="仿宋" w:eastAsia="仿宋"/>
          <w:b w:val="0"/>
          <w:bCs/>
          <w:sz w:val="32"/>
          <w:szCs w:val="32"/>
        </w:rPr>
        <w:t>。</w:t>
      </w:r>
    </w:p>
    <w:p>
      <w:pPr>
        <w:spacing w:line="600" w:lineRule="exact"/>
        <w:ind w:firstLine="643" w:firstLineChars="200"/>
        <w:rPr>
          <w:rFonts w:ascii="仿宋" w:eastAsia="仿宋"/>
          <w:b/>
          <w:sz w:val="32"/>
          <w:szCs w:val="32"/>
        </w:rPr>
      </w:pPr>
      <w:r>
        <w:rPr>
          <w:rFonts w:hint="eastAsia" w:ascii="仿宋" w:eastAsia="仿宋"/>
          <w:b/>
          <w:sz w:val="32"/>
          <w:szCs w:val="32"/>
        </w:rPr>
        <w:t>5.住房保障支出（类）住房改革支出（款）住房公积金（项）：</w:t>
      </w:r>
      <w:r>
        <w:rPr>
          <w:rFonts w:hint="eastAsia" w:ascii="仿宋" w:eastAsia="仿宋"/>
          <w:sz w:val="32"/>
          <w:szCs w:val="32"/>
        </w:rPr>
        <w:t>支出决算为10.31万元，</w:t>
      </w:r>
      <w:r>
        <w:rPr>
          <w:rStyle w:val="14"/>
          <w:rFonts w:hint="eastAsia" w:ascii="仿宋" w:eastAsia="仿宋"/>
          <w:b w:val="0"/>
          <w:bCs/>
          <w:sz w:val="32"/>
          <w:szCs w:val="32"/>
        </w:rPr>
        <w:t>完成预算93.73</w:t>
      </w:r>
      <w:r>
        <w:rPr>
          <w:rStyle w:val="14"/>
          <w:rFonts w:ascii="仿宋" w:eastAsia="仿宋"/>
          <w:b w:val="0"/>
          <w:bCs/>
          <w:sz w:val="32"/>
          <w:szCs w:val="32"/>
        </w:rPr>
        <w:t>%</w:t>
      </w:r>
      <w:r>
        <w:rPr>
          <w:rStyle w:val="14"/>
          <w:rFonts w:hint="eastAsia" w:ascii="仿宋" w:eastAsia="仿宋"/>
          <w:b w:val="0"/>
          <w:bCs/>
          <w:sz w:val="32"/>
          <w:szCs w:val="32"/>
        </w:rPr>
        <w:t>。决算数小于预算数的主要原因是本年新增退休人员一名。</w:t>
      </w:r>
    </w:p>
    <w:p>
      <w:pPr>
        <w:tabs>
          <w:tab w:val="right" w:pos="8306"/>
        </w:tabs>
        <w:spacing w:line="600" w:lineRule="exact"/>
        <w:ind w:firstLine="640"/>
        <w:outlineLvl w:val="1"/>
        <w:rPr>
          <w:rStyle w:val="17"/>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、一</w:t>
      </w:r>
      <w:r>
        <w:rPr>
          <w:rStyle w:val="17"/>
          <w:rFonts w:hint="eastAsia" w:ascii="黑体" w:eastAsia="黑体"/>
          <w:b w:val="0"/>
        </w:rPr>
        <w:t>般公共预算财政拨款基本支出决算情况说明</w:t>
      </w:r>
      <w:bookmarkEnd w:id="34"/>
      <w:bookmarkEnd w:id="35"/>
      <w:r>
        <w:rPr>
          <w:rStyle w:val="17"/>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20年一般公共预算财政拨款基本支出129.06元，其中：</w:t>
      </w:r>
    </w:p>
    <w:p>
      <w:pPr>
        <w:spacing w:line="600" w:lineRule="exact"/>
        <w:ind w:firstLine="645"/>
        <w:rPr>
          <w:rFonts w:ascii="仿宋" w:eastAsia="仿宋"/>
          <w:b/>
          <w:sz w:val="32"/>
          <w:szCs w:val="32"/>
        </w:rPr>
      </w:pPr>
      <w:r>
        <w:rPr>
          <w:rFonts w:hint="eastAsia" w:ascii="仿宋" w:eastAsia="仿宋"/>
          <w:sz w:val="32"/>
          <w:szCs w:val="32"/>
        </w:rPr>
        <w:t>人员经费104.12万元，主要包括：基本工资、津贴补贴、奖金、绩效工资、机关事业单位基本养老保险缴费、职业年金缴费、职工基本医疗保险缴费支出、其他社会保障缴费、其他工资福利支出、住房公积金等。</w:t>
      </w:r>
      <w:r>
        <w:rPr>
          <w:rFonts w:ascii="仿宋" w:eastAsia="仿宋"/>
          <w:sz w:val="32"/>
          <w:szCs w:val="32"/>
        </w:rPr>
        <w:br w:type="textWrapping"/>
      </w:r>
      <w:r>
        <w:rPr>
          <w:rFonts w:hint="eastAsia" w:ascii="仿宋" w:eastAsia="仿宋"/>
          <w:sz w:val="32"/>
          <w:szCs w:val="32"/>
        </w:rPr>
        <w:t>　　公用经费24.94万元，主要包括：办公费、邮电费、物业管理费、差旅费、维修（护）费、会议费、劳务费、委托业务费、工会经费、福利费、其他交通费、其他商品和服务支出等。</w:t>
      </w:r>
    </w:p>
    <w:p>
      <w:pPr>
        <w:autoSpaceDE w:val="0"/>
        <w:autoSpaceDN w:val="0"/>
        <w:adjustRightInd w:val="0"/>
        <w:spacing w:line="600" w:lineRule="exact"/>
        <w:ind w:firstLine="643" w:firstLineChars="200"/>
        <w:jc w:val="left"/>
        <w:outlineLvl w:val="2"/>
        <w:rPr>
          <w:rFonts w:ascii="仿宋" w:eastAsia="仿宋"/>
          <w:b/>
          <w:sz w:val="32"/>
          <w:szCs w:val="32"/>
        </w:rPr>
      </w:pPr>
      <w:r>
        <w:rPr>
          <w:rFonts w:hint="eastAsia" w:ascii="仿宋" w:eastAsia="仿宋"/>
          <w:b/>
          <w:sz w:val="32"/>
          <w:szCs w:val="32"/>
        </w:rPr>
        <w:t>（四）预算绩效管理情况</w:t>
      </w:r>
    </w:p>
    <w:p>
      <w:pPr>
        <w:overflowPunct w:val="0"/>
        <w:adjustRightInd w:val="0"/>
        <w:snapToGrid w:val="0"/>
        <w:spacing w:line="576" w:lineRule="exact"/>
        <w:ind w:firstLine="640" w:firstLineChars="200"/>
        <w:rPr>
          <w:rFonts w:ascii="仿宋_GB2312" w:eastAsia="仿宋_GB2312"/>
          <w:sz w:val="32"/>
          <w:szCs w:val="32"/>
        </w:rPr>
      </w:pPr>
      <w:r>
        <w:rPr>
          <w:rFonts w:eastAsia="楷体_GB2312"/>
          <w:bCs/>
          <w:snapToGrid w:val="0"/>
          <w:kern w:val="0"/>
          <w:sz w:val="32"/>
          <w:szCs w:val="32"/>
        </w:rPr>
        <w:t>（</w:t>
      </w:r>
      <w:r>
        <w:rPr>
          <w:rFonts w:hint="eastAsia" w:eastAsia="楷体_GB2312"/>
          <w:bCs/>
          <w:snapToGrid w:val="0"/>
          <w:kern w:val="0"/>
          <w:sz w:val="32"/>
          <w:szCs w:val="32"/>
        </w:rPr>
        <w:t>1</w:t>
      </w:r>
      <w:r>
        <w:rPr>
          <w:rFonts w:eastAsia="楷体_GB2312"/>
          <w:bCs/>
          <w:snapToGrid w:val="0"/>
          <w:kern w:val="0"/>
          <w:sz w:val="32"/>
          <w:szCs w:val="32"/>
        </w:rPr>
        <w:t>）项目绩效目标完成情况。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根据预算绩效管理要求，本单位没有100万（含100万）以上的预算项目，没有开展项目事前绩效评估、绩效目标编制、绩效监控、绩效目标完成情况自评等工作。</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（2）单位绩效评价结果。</w:t>
      </w:r>
    </w:p>
    <w:p>
      <w:pPr>
        <w:widowControl/>
        <w:jc w:val="left"/>
        <w:rPr>
          <w:rFonts w:ascii="仿宋_GB2312" w:eastAsia="仿宋_GB2312" w:cs="仿宋_GB2312"/>
          <w:sz w:val="32"/>
          <w:szCs w:val="32"/>
        </w:rPr>
      </w:pPr>
      <w:r>
        <w:rPr>
          <w:rFonts w:hint="eastAsia" w:ascii="仿宋_GB2312" w:eastAsia="仿宋_GB2312"/>
          <w:sz w:val="32"/>
          <w:szCs w:val="32"/>
        </w:rPr>
        <w:t xml:space="preserve">    本单位没有组织开展项目绩效评价。   </w:t>
      </w:r>
      <w:r>
        <w:rPr>
          <w:rFonts w:hint="eastAsia" w:ascii="仿宋_GB2312" w:eastAsia="仿宋_GB2312" w:cs="仿宋_GB2312"/>
          <w:sz w:val="32"/>
          <w:szCs w:val="32"/>
        </w:rPr>
        <w:t xml:space="preserve">  </w: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numPr>
          <w:ilvl w:val="0"/>
          <w:numId w:val="2"/>
        </w:numPr>
        <w:spacing w:line="600" w:lineRule="exact"/>
        <w:ind w:firstLine="660" w:firstLineChars="150"/>
        <w:jc w:val="center"/>
        <w:outlineLvl w:val="0"/>
        <w:rPr>
          <w:rStyle w:val="16"/>
          <w:rFonts w:ascii="黑体" w:eastAsia="黑体"/>
          <w:b w:val="0"/>
        </w:rPr>
      </w:pPr>
      <w:bookmarkStart w:id="36" w:name="_Toc15377225"/>
      <w:bookmarkStart w:id="37" w:name="_Toc15396613"/>
      <w:r>
        <w:rPr>
          <w:rFonts w:hint="eastAsia" w:ascii="黑体" w:eastAsia="黑体"/>
          <w:sz w:val="44"/>
          <w:szCs w:val="44"/>
        </w:rPr>
        <w:t>名</w:t>
      </w:r>
      <w:r>
        <w:rPr>
          <w:rStyle w:val="16"/>
          <w:rFonts w:hint="eastAsia" w:ascii="黑体" w:eastAsia="黑体"/>
          <w:b w:val="0"/>
        </w:rPr>
        <w:t>词解释</w:t>
      </w:r>
      <w:bookmarkEnd w:id="36"/>
      <w:bookmarkEnd w:id="37"/>
    </w:p>
    <w:p>
      <w:pPr>
        <w:spacing w:line="600" w:lineRule="exact"/>
        <w:jc w:val="left"/>
        <w:rPr>
          <w:rFonts w:ascii="宋体"/>
          <w:b/>
          <w:sz w:val="44"/>
          <w:szCs w:val="44"/>
        </w:rPr>
      </w:pPr>
    </w:p>
    <w:p>
      <w:pPr>
        <w:pStyle w:val="21"/>
        <w:spacing w:line="56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1.财政拨款收入：</w:t>
      </w:r>
      <w:r>
        <w:rPr>
          <w:rFonts w:hint="eastAsia" w:ascii="方正仿宋_GB2312" w:hAnsi="方正仿宋_GB2312" w:eastAsia="方正仿宋_GB2312" w:cs="方正仿宋_GB2312"/>
          <w:sz w:val="32"/>
          <w:szCs w:val="32"/>
        </w:rPr>
        <w:t>指单位从同级财政部门取得的财政预算资金。</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2.一般公共服务（类）宣传事务（款）事业运行（项）：指事业单位用于保障机构正常运行、开展日常工作的基本支出。</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3.文化体育与传媒（类）其他文化旅游体育与传媒支出（款）宣传文化发展专项支出（项）：指按照国家有关政策支持宣传文化单位发展的专项支出。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xml:space="preserve">    4.社会保障和就业（类）行政事业单位养老支出（款）事业单位离退休（项）：指实行归口管理的事业单位开支的离退休经费。</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xml:space="preserve">   5.社会保障和就业（类）行政事业单位养老支出（款）机关事业单位基本养老保险缴费支出（项）：指机关事业单位实施养老保险制度由单位缴纳的基本养老保险。</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6.社会保障和就业（类）行政事业单位养老支出（款）机关事业单位职业年金缴费支出（项）：指机关事业单位实施养老保险制度由单位缴纳的职业年金支出。</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xml:space="preserve">    7.医疗卫生与计划生育（类）行政事业单位医疗（款）事业单位医疗（项）：指用于事业单位医疗保险缴费经费，未参加医疗保险的事业单位的公费医疗经费，按国家规定享受离休人员待遇的医疗经费。</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8.住房保障（类）住房改革支出（款）住房公积金（项）：指用于行政事业单位按人力资源和社会保障部、财政部规定的基本工资和津贴补贴以及规定比例为职工缴纳的住房公积金。</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9.基本支出：指为保障机构正常运转、完成日常工作任务而发生的人员支出和公用支出。</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10.项目支出：指在基本支出之外为完成特定行政任务和事业发展目标所发生的支出。 </w:t>
      </w:r>
    </w:p>
    <w:p>
      <w:pPr>
        <w:spacing w:line="600" w:lineRule="exact"/>
        <w:jc w:val="center"/>
        <w:outlineLvl w:val="0"/>
        <w:rPr>
          <w:rStyle w:val="16"/>
          <w:rFonts w:ascii="黑体" w:eastAsia="黑体"/>
          <w:b w:val="0"/>
        </w:rPr>
      </w:pPr>
      <w:bookmarkStart w:id="38" w:name="_Toc15377226"/>
      <w:r>
        <w:rPr>
          <w:rFonts w:hint="eastAsia" w:ascii="方正仿宋_GB2312" w:hAnsi="方正仿宋_GB2312" w:eastAsia="方正仿宋_GB2312" w:cs="方正仿宋_GB2312"/>
          <w:b/>
          <w:sz w:val="44"/>
          <w:szCs w:val="44"/>
        </w:rPr>
        <w:br w:type="page"/>
      </w:r>
      <w:bookmarkStart w:id="39" w:name="_Toc15396614"/>
      <w:r>
        <w:rPr>
          <w:rFonts w:hint="eastAsia" w:ascii="黑体" w:eastAsia="黑体"/>
          <w:sz w:val="44"/>
          <w:szCs w:val="44"/>
        </w:rPr>
        <w:t>第</w:t>
      </w:r>
      <w:r>
        <w:rPr>
          <w:rStyle w:val="16"/>
          <w:rFonts w:hint="eastAsia" w:ascii="黑体" w:eastAsia="黑体"/>
          <w:b w:val="0"/>
        </w:rPr>
        <w:t>四部分 附件</w:t>
      </w:r>
      <w:bookmarkEnd w:id="39"/>
    </w:p>
    <w:p>
      <w:pPr>
        <w:spacing w:line="580" w:lineRule="exact"/>
        <w:rPr>
          <w:rFonts w:ascii="仿宋_GB2312" w:eastAsia="仿宋_GB2312" w:cs="仿宋_GB2312"/>
          <w:sz w:val="32"/>
          <w:szCs w:val="32"/>
        </w:rPr>
      </w:pPr>
    </w:p>
    <w:p>
      <w:pPr>
        <w:spacing w:line="600" w:lineRule="exact"/>
        <w:ind w:firstLine="640"/>
        <w:jc w:val="center"/>
        <w:rPr>
          <w:rFonts w:hint="eastAsia" w:ascii="方正仿宋_GB2312" w:hAnsi="方正仿宋_GB2312" w:eastAsia="方正仿宋_GB2312" w:cs="方正仿宋_GB2312"/>
          <w:sz w:val="32"/>
          <w:szCs w:val="32"/>
          <w:lang w:val="zh-CN"/>
        </w:rPr>
      </w:pPr>
      <w:r>
        <w:rPr>
          <w:rFonts w:hint="eastAsia" w:ascii="方正仿宋_GB2312" w:hAnsi="方正仿宋_GB2312" w:eastAsia="方正仿宋_GB2312" w:cs="方正仿宋_GB2312"/>
          <w:kern w:val="0"/>
          <w:sz w:val="44"/>
          <w:szCs w:val="44"/>
        </w:rPr>
        <w:t>无</w:t>
      </w:r>
    </w:p>
    <w:p>
      <w:pPr>
        <w:spacing w:line="600" w:lineRule="exact"/>
        <w:ind w:firstLine="640"/>
        <w:jc w:val="center"/>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pStyle w:val="2"/>
        <w:spacing w:before="93"/>
        <w:rPr>
          <w:rFonts w:ascii="宋体"/>
          <w:sz w:val="32"/>
          <w:szCs w:val="32"/>
          <w:lang w:val="zh-CN"/>
        </w:rPr>
      </w:pPr>
    </w:p>
    <w:p>
      <w:pPr>
        <w:spacing w:line="600" w:lineRule="exact"/>
        <w:jc w:val="center"/>
        <w:outlineLvl w:val="0"/>
        <w:rPr>
          <w:rFonts w:ascii="仿宋" w:eastAsia="仿宋"/>
        </w:rPr>
      </w:pPr>
      <w:bookmarkStart w:id="40" w:name="_Toc15396618"/>
      <w:r>
        <w:rPr>
          <w:rFonts w:hint="eastAsia" w:ascii="黑体" w:eastAsia="黑体"/>
          <w:sz w:val="44"/>
          <w:szCs w:val="44"/>
        </w:rPr>
        <w:t>第</w:t>
      </w:r>
      <w:r>
        <w:rPr>
          <w:rStyle w:val="16"/>
          <w:rFonts w:hint="eastAsia" w:ascii="黑体" w:eastAsia="黑体"/>
          <w:b w:val="0"/>
        </w:rPr>
        <w:t>五部分 附表</w:t>
      </w:r>
      <w:bookmarkEnd w:id="38"/>
      <w:bookmarkEnd w:id="40"/>
      <w:bookmarkStart w:id="41" w:name="_Toc15396619"/>
    </w:p>
    <w:bookmarkEnd w:id="41"/>
    <w:p>
      <w:pPr>
        <w:pStyle w:val="4"/>
        <w:rPr>
          <w:rFonts w:ascii="仿宋" w:eastAsia="仿宋"/>
          <w:color w:val="000000"/>
        </w:rPr>
      </w:pPr>
      <w:r>
        <w:rPr>
          <w:rFonts w:hint="eastAsia" w:ascii="仿宋" w:eastAsia="仿宋"/>
          <w:b w:val="0"/>
          <w:color w:val="000000"/>
        </w:rPr>
        <w:t>一、收</w:t>
      </w:r>
      <w:r>
        <w:rPr>
          <w:rStyle w:val="17"/>
          <w:rFonts w:hint="eastAsia" w:ascii="仿宋" w:eastAsia="仿宋"/>
          <w:b w:val="0"/>
          <w:bCs w:val="0"/>
        </w:rPr>
        <w:t>入支出决算总表</w:t>
      </w:r>
    </w:p>
    <w:p>
      <w:pPr>
        <w:pStyle w:val="4"/>
        <w:rPr>
          <w:rFonts w:ascii="仿宋" w:eastAsia="仿宋"/>
          <w:color w:val="000000"/>
        </w:rPr>
      </w:pPr>
      <w:bookmarkStart w:id="42" w:name="_Toc15396620"/>
      <w:r>
        <w:rPr>
          <w:rFonts w:hint="eastAsia" w:ascii="仿宋" w:eastAsia="仿宋"/>
          <w:b w:val="0"/>
          <w:color w:val="000000"/>
        </w:rPr>
        <w:t>二、收</w:t>
      </w:r>
      <w:r>
        <w:rPr>
          <w:rStyle w:val="17"/>
          <w:rFonts w:hint="eastAsia" w:ascii="仿宋" w:eastAsia="仿宋"/>
          <w:b w:val="0"/>
          <w:bCs w:val="0"/>
        </w:rPr>
        <w:t>入决算表</w:t>
      </w:r>
      <w:bookmarkEnd w:id="42"/>
    </w:p>
    <w:p>
      <w:pPr>
        <w:pStyle w:val="4"/>
        <w:rPr>
          <w:rFonts w:ascii="仿宋" w:eastAsia="仿宋"/>
          <w:color w:val="000000"/>
        </w:rPr>
      </w:pPr>
      <w:bookmarkStart w:id="43" w:name="_Toc15396621"/>
      <w:r>
        <w:rPr>
          <w:rStyle w:val="17"/>
          <w:rFonts w:hint="eastAsia" w:ascii="仿宋" w:eastAsia="仿宋"/>
          <w:b w:val="0"/>
          <w:bCs w:val="0"/>
        </w:rPr>
        <w:t>三、</w:t>
      </w:r>
      <w:r>
        <w:rPr>
          <w:rFonts w:hint="eastAsia" w:ascii="仿宋" w:eastAsia="仿宋"/>
          <w:b w:val="0"/>
          <w:color w:val="000000"/>
        </w:rPr>
        <w:t>支</w:t>
      </w:r>
      <w:r>
        <w:rPr>
          <w:rStyle w:val="17"/>
          <w:rFonts w:hint="eastAsia" w:ascii="仿宋" w:eastAsia="仿宋"/>
          <w:b w:val="0"/>
          <w:bCs w:val="0"/>
        </w:rPr>
        <w:t>出决算表</w:t>
      </w:r>
      <w:bookmarkEnd w:id="43"/>
    </w:p>
    <w:p>
      <w:pPr>
        <w:pStyle w:val="4"/>
        <w:rPr>
          <w:rFonts w:ascii="仿宋" w:eastAsia="仿宋"/>
          <w:b w:val="0"/>
          <w:color w:val="000000"/>
        </w:rPr>
      </w:pPr>
      <w:bookmarkStart w:id="44" w:name="_Toc15396622"/>
      <w:r>
        <w:rPr>
          <w:rStyle w:val="17"/>
          <w:rFonts w:hint="eastAsia" w:ascii="仿宋" w:eastAsia="仿宋"/>
          <w:b w:val="0"/>
          <w:bCs w:val="0"/>
        </w:rPr>
        <w:t>四、</w:t>
      </w:r>
      <w:r>
        <w:rPr>
          <w:rFonts w:hint="eastAsia" w:ascii="仿宋" w:eastAsia="仿宋"/>
          <w:b w:val="0"/>
          <w:color w:val="000000"/>
        </w:rPr>
        <w:t>财</w:t>
      </w:r>
      <w:r>
        <w:rPr>
          <w:rStyle w:val="17"/>
          <w:rFonts w:hint="eastAsia" w:ascii="仿宋" w:eastAsia="仿宋"/>
          <w:b w:val="0"/>
          <w:bCs w:val="0"/>
        </w:rPr>
        <w:t>政拨款收入支出决算总表</w:t>
      </w:r>
      <w:bookmarkEnd w:id="44"/>
    </w:p>
    <w:p>
      <w:pPr>
        <w:pStyle w:val="4"/>
        <w:rPr>
          <w:rStyle w:val="17"/>
          <w:rFonts w:ascii="仿宋" w:eastAsia="仿宋"/>
          <w:b w:val="0"/>
          <w:bCs w:val="0"/>
        </w:rPr>
      </w:pPr>
      <w:bookmarkStart w:id="45" w:name="_Toc15396623"/>
      <w:r>
        <w:rPr>
          <w:rStyle w:val="17"/>
          <w:rFonts w:hint="eastAsia" w:ascii="仿宋" w:eastAsia="仿宋"/>
          <w:b w:val="0"/>
          <w:bCs w:val="0"/>
        </w:rPr>
        <w:t>五、</w:t>
      </w:r>
      <w:r>
        <w:rPr>
          <w:rFonts w:hint="eastAsia" w:ascii="仿宋" w:eastAsia="仿宋"/>
          <w:b w:val="0"/>
          <w:color w:val="000000"/>
        </w:rPr>
        <w:t>财</w:t>
      </w:r>
      <w:r>
        <w:rPr>
          <w:rStyle w:val="17"/>
          <w:rFonts w:hint="eastAsia" w:ascii="仿宋" w:eastAsia="仿宋"/>
          <w:b w:val="0"/>
          <w:bCs w:val="0"/>
        </w:rPr>
        <w:t>政拨款支出决算明细表</w:t>
      </w:r>
      <w:bookmarkEnd w:id="45"/>
      <w:bookmarkStart w:id="46" w:name="_Toc15396624"/>
    </w:p>
    <w:p>
      <w:pPr>
        <w:pStyle w:val="4"/>
        <w:rPr>
          <w:rFonts w:ascii="仿宋" w:eastAsia="仿宋"/>
          <w:color w:val="000000"/>
        </w:rPr>
      </w:pPr>
      <w:r>
        <w:rPr>
          <w:rStyle w:val="17"/>
          <w:rFonts w:hint="eastAsia" w:ascii="仿宋" w:eastAsia="仿宋"/>
          <w:b w:val="0"/>
          <w:bCs w:val="0"/>
        </w:rPr>
        <w:t>六、</w:t>
      </w:r>
      <w:r>
        <w:rPr>
          <w:rFonts w:hint="eastAsia" w:ascii="仿宋" w:eastAsia="仿宋"/>
          <w:b w:val="0"/>
          <w:color w:val="000000"/>
        </w:rPr>
        <w:t>一</w:t>
      </w:r>
      <w:r>
        <w:rPr>
          <w:rStyle w:val="17"/>
          <w:rFonts w:hint="eastAsia" w:ascii="仿宋" w:eastAsia="仿宋"/>
          <w:b w:val="0"/>
          <w:bCs w:val="0"/>
        </w:rPr>
        <w:t>般公共预算财政拨款支出决算表</w:t>
      </w:r>
      <w:bookmarkEnd w:id="46"/>
    </w:p>
    <w:p>
      <w:pPr>
        <w:pStyle w:val="4"/>
        <w:rPr>
          <w:rFonts w:ascii="仿宋" w:eastAsia="仿宋"/>
          <w:color w:val="000000"/>
        </w:rPr>
      </w:pPr>
      <w:bookmarkStart w:id="47" w:name="_Toc15396625"/>
      <w:r>
        <w:rPr>
          <w:rStyle w:val="17"/>
          <w:rFonts w:hint="eastAsia" w:ascii="仿宋" w:eastAsia="仿宋"/>
          <w:b w:val="0"/>
          <w:bCs w:val="0"/>
        </w:rPr>
        <w:t>七、</w:t>
      </w:r>
      <w:r>
        <w:rPr>
          <w:rFonts w:hint="eastAsia" w:ascii="仿宋" w:eastAsia="仿宋"/>
          <w:b w:val="0"/>
          <w:color w:val="000000"/>
        </w:rPr>
        <w:t>一</w:t>
      </w:r>
      <w:r>
        <w:rPr>
          <w:rStyle w:val="17"/>
          <w:rFonts w:hint="eastAsia" w:ascii="仿宋" w:eastAsia="仿宋"/>
          <w:b w:val="0"/>
          <w:bCs w:val="0"/>
        </w:rPr>
        <w:t>般公共预算财政拨款支出决算明细表</w:t>
      </w:r>
      <w:bookmarkEnd w:id="47"/>
    </w:p>
    <w:p>
      <w:pPr>
        <w:pStyle w:val="4"/>
        <w:rPr>
          <w:rFonts w:ascii="仿宋" w:eastAsia="仿宋"/>
          <w:color w:val="000000"/>
        </w:rPr>
      </w:pPr>
      <w:bookmarkStart w:id="48" w:name="_Toc15396626"/>
      <w:r>
        <w:rPr>
          <w:rStyle w:val="17"/>
          <w:rFonts w:hint="eastAsia" w:ascii="仿宋" w:eastAsia="仿宋"/>
          <w:b w:val="0"/>
          <w:bCs w:val="0"/>
        </w:rPr>
        <w:t>八、</w:t>
      </w:r>
      <w:r>
        <w:rPr>
          <w:rFonts w:hint="eastAsia" w:ascii="仿宋" w:eastAsia="仿宋"/>
          <w:b w:val="0"/>
          <w:color w:val="000000"/>
        </w:rPr>
        <w:t>一</w:t>
      </w:r>
      <w:r>
        <w:rPr>
          <w:rStyle w:val="17"/>
          <w:rFonts w:hint="eastAsia" w:ascii="仿宋" w:eastAsia="仿宋"/>
          <w:b w:val="0"/>
          <w:bCs w:val="0"/>
        </w:rPr>
        <w:t>般公共预算财政拨款基本支出决算表</w:t>
      </w:r>
      <w:bookmarkEnd w:id="48"/>
    </w:p>
    <w:p>
      <w:pPr>
        <w:pStyle w:val="4"/>
        <w:rPr>
          <w:rFonts w:ascii="仿宋" w:eastAsia="仿宋"/>
          <w:color w:val="000000"/>
        </w:rPr>
      </w:pPr>
      <w:bookmarkStart w:id="49" w:name="_Toc15396627"/>
      <w:r>
        <w:rPr>
          <w:rStyle w:val="17"/>
          <w:rFonts w:hint="eastAsia" w:ascii="仿宋" w:eastAsia="仿宋"/>
          <w:b w:val="0"/>
          <w:bCs w:val="0"/>
        </w:rPr>
        <w:t>九、</w:t>
      </w:r>
      <w:r>
        <w:rPr>
          <w:rFonts w:hint="eastAsia" w:ascii="仿宋" w:eastAsia="仿宋"/>
          <w:b w:val="0"/>
          <w:color w:val="000000"/>
        </w:rPr>
        <w:t>一</w:t>
      </w:r>
      <w:r>
        <w:rPr>
          <w:rStyle w:val="17"/>
          <w:rFonts w:hint="eastAsia" w:ascii="仿宋" w:eastAsia="仿宋"/>
          <w:b w:val="0"/>
          <w:bCs w:val="0"/>
        </w:rPr>
        <w:t>般公共预算财政拨款项目支出决算表</w:t>
      </w:r>
      <w:bookmarkEnd w:id="49"/>
    </w:p>
    <w:p>
      <w:pPr>
        <w:pStyle w:val="4"/>
        <w:rPr>
          <w:rFonts w:ascii="仿宋" w:eastAsia="仿宋"/>
          <w:color w:val="000000"/>
        </w:rPr>
      </w:pPr>
      <w:bookmarkStart w:id="50" w:name="_Toc15396628"/>
      <w:r>
        <w:rPr>
          <w:rStyle w:val="17"/>
          <w:rFonts w:hint="eastAsia" w:ascii="仿宋" w:eastAsia="仿宋"/>
          <w:b w:val="0"/>
          <w:bCs w:val="0"/>
        </w:rPr>
        <w:t>十、</w:t>
      </w:r>
      <w:r>
        <w:rPr>
          <w:rFonts w:hint="eastAsia" w:ascii="仿宋" w:eastAsia="仿宋"/>
          <w:b w:val="0"/>
          <w:color w:val="000000"/>
        </w:rPr>
        <w:t>一</w:t>
      </w:r>
      <w:r>
        <w:rPr>
          <w:rStyle w:val="17"/>
          <w:rFonts w:hint="eastAsia" w:ascii="仿宋" w:eastAsia="仿宋"/>
          <w:b w:val="0"/>
          <w:bCs w:val="0"/>
        </w:rPr>
        <w:t>般公共预算财政拨款“三公”经费支出决算表</w:t>
      </w:r>
      <w:bookmarkEnd w:id="50"/>
    </w:p>
    <w:p>
      <w:pPr>
        <w:pStyle w:val="4"/>
        <w:rPr>
          <w:rFonts w:ascii="仿宋" w:eastAsia="仿宋"/>
          <w:color w:val="000000"/>
        </w:rPr>
      </w:pPr>
      <w:bookmarkStart w:id="51" w:name="_Toc15396629"/>
      <w:r>
        <w:rPr>
          <w:rStyle w:val="17"/>
          <w:rFonts w:hint="eastAsia" w:ascii="仿宋" w:eastAsia="仿宋"/>
          <w:b w:val="0"/>
          <w:bCs w:val="0"/>
        </w:rPr>
        <w:t>十一、</w:t>
      </w:r>
      <w:r>
        <w:rPr>
          <w:rFonts w:hint="eastAsia" w:ascii="仿宋" w:eastAsia="仿宋"/>
          <w:b w:val="0"/>
          <w:color w:val="000000"/>
        </w:rPr>
        <w:t>政</w:t>
      </w:r>
      <w:r>
        <w:rPr>
          <w:rStyle w:val="17"/>
          <w:rFonts w:hint="eastAsia" w:ascii="仿宋" w:eastAsia="仿宋"/>
          <w:b w:val="0"/>
          <w:bCs w:val="0"/>
        </w:rPr>
        <w:t>府性基金预算财政拨款收入支出决算表</w:t>
      </w:r>
      <w:bookmarkEnd w:id="51"/>
    </w:p>
    <w:p>
      <w:pPr>
        <w:pStyle w:val="4"/>
        <w:rPr>
          <w:rFonts w:ascii="仿宋" w:eastAsia="仿宋"/>
          <w:color w:val="000000"/>
        </w:rPr>
      </w:pPr>
      <w:bookmarkStart w:id="52" w:name="_Toc15396630"/>
      <w:r>
        <w:rPr>
          <w:rStyle w:val="17"/>
          <w:rFonts w:hint="eastAsia" w:ascii="仿宋" w:eastAsia="仿宋"/>
          <w:b w:val="0"/>
          <w:bCs w:val="0"/>
        </w:rPr>
        <w:t>十二、</w:t>
      </w:r>
      <w:r>
        <w:rPr>
          <w:rFonts w:hint="eastAsia" w:ascii="仿宋" w:eastAsia="仿宋"/>
          <w:b w:val="0"/>
          <w:color w:val="000000"/>
        </w:rPr>
        <w:t>政</w:t>
      </w:r>
      <w:r>
        <w:rPr>
          <w:rStyle w:val="17"/>
          <w:rFonts w:hint="eastAsia" w:ascii="仿宋" w:eastAsia="仿宋"/>
          <w:b w:val="0"/>
          <w:bCs w:val="0"/>
        </w:rPr>
        <w:t>府性基金预算财政拨款“三公”经费支出决算表</w:t>
      </w:r>
      <w:bookmarkEnd w:id="52"/>
    </w:p>
    <w:p>
      <w:pPr>
        <w:pStyle w:val="4"/>
        <w:rPr>
          <w:rStyle w:val="17"/>
          <w:rFonts w:ascii="仿宋" w:eastAsia="仿宋"/>
          <w:b w:val="0"/>
          <w:bCs w:val="0"/>
        </w:rPr>
      </w:pPr>
      <w:bookmarkStart w:id="53" w:name="_Toc15396631"/>
      <w:r>
        <w:rPr>
          <w:rStyle w:val="17"/>
          <w:rFonts w:hint="eastAsia" w:ascii="仿宋" w:eastAsia="仿宋"/>
          <w:b w:val="0"/>
          <w:bCs w:val="0"/>
        </w:rPr>
        <w:t>十三、</w:t>
      </w:r>
      <w:r>
        <w:rPr>
          <w:rFonts w:hint="eastAsia" w:ascii="仿宋" w:eastAsia="仿宋"/>
          <w:b w:val="0"/>
          <w:color w:val="000000"/>
        </w:rPr>
        <w:t>国</w:t>
      </w:r>
      <w:r>
        <w:rPr>
          <w:rStyle w:val="17"/>
          <w:rFonts w:hint="eastAsia" w:ascii="仿宋" w:eastAsia="仿宋"/>
          <w:b w:val="0"/>
          <w:bCs w:val="0"/>
        </w:rPr>
        <w:t>有资本经营预算财政拨款收入支出决算表</w:t>
      </w:r>
      <w:bookmarkEnd w:id="53"/>
    </w:p>
    <w:p>
      <w:pPr>
        <w:rPr>
          <w:rFonts w:eastAsia="仿宋"/>
        </w:rPr>
      </w:pPr>
      <w:r>
        <w:rPr>
          <w:rStyle w:val="17"/>
          <w:rFonts w:hint="eastAsia" w:ascii="仿宋" w:eastAsia="仿宋"/>
          <w:b w:val="0"/>
          <w:bCs w:val="0"/>
        </w:rPr>
        <w:t>十四、国有资本经营预算财政拨款支出决算表</w:t>
      </w:r>
    </w:p>
    <w:p>
      <w:pPr>
        <w:rPr>
          <w:rFonts w:eastAsia="仿宋"/>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76255A-82C8-4CA1-98A5-E3FD2A9822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BB90A02-7677-42FC-AAC3-809FC145A3D3}"/>
  </w:font>
  <w:font w:name="Cambria">
    <w:panose1 w:val="02040503050406030204"/>
    <w:charset w:val="00"/>
    <w:family w:val="roman"/>
    <w:pitch w:val="default"/>
    <w:sig w:usb0="E00002FF" w:usb1="400004FF" w:usb2="00000000" w:usb3="00000000" w:csb0="2000019F" w:csb1="00000000"/>
    <w:embedRegular r:id="rId3" w:fontKey="{6380BB1B-440D-46AD-9A0C-12E19876FFCA}"/>
  </w:font>
  <w:font w:name="仿宋_GB2312">
    <w:panose1 w:val="02010609030101010101"/>
    <w:charset w:val="86"/>
    <w:family w:val="modern"/>
    <w:pitch w:val="default"/>
    <w:sig w:usb0="00000001" w:usb1="080E0000" w:usb2="00000000" w:usb3="00000000" w:csb0="00040000" w:csb1="00000000"/>
    <w:embedRegular r:id="rId4" w:fontKey="{4C87BC4C-ADDF-4E51-9677-1FFBAA6CE759}"/>
  </w:font>
  <w:font w:name="仿宋">
    <w:panose1 w:val="02010609060101010101"/>
    <w:charset w:val="86"/>
    <w:family w:val="modern"/>
    <w:pitch w:val="default"/>
    <w:sig w:usb0="800002BF" w:usb1="38CF7CFA" w:usb2="00000016" w:usb3="00000000" w:csb0="00040001" w:csb1="00000000"/>
    <w:embedRegular r:id="rId5" w:fontKey="{4C218478-C27A-4914-87D0-89BE4113ABB9}"/>
  </w:font>
  <w:font w:name="方正小标宋简体">
    <w:altName w:val="hakuyoxingshu7000"/>
    <w:panose1 w:val="00000000000000000000"/>
    <w:charset w:val="86"/>
    <w:family w:val="script"/>
    <w:pitch w:val="default"/>
    <w:sig w:usb0="00000000" w:usb1="00000000" w:usb2="00000000" w:usb3="00000000" w:csb0="00040000" w:csb1="00000000"/>
    <w:embedRegular r:id="rId6" w:fontKey="{1798B1DF-EF2F-473F-A1FC-38C0DB7ADFFE}"/>
  </w:font>
  <w:font w:name="hakuyoxingshu7000">
    <w:panose1 w:val="02000600000000000000"/>
    <w:charset w:val="86"/>
    <w:family w:val="auto"/>
    <w:pitch w:val="default"/>
    <w:sig w:usb0="FFFFFFFF" w:usb1="E9FFFFFF" w:usb2="0000003F" w:usb3="00000000" w:csb0="603F00FF" w:csb1="FFFF0000"/>
  </w:font>
  <w:font w:name="Arial">
    <w:panose1 w:val="020B0604020202020204"/>
    <w:charset w:val="00"/>
    <w:family w:val="swiss"/>
    <w:pitch w:val="default"/>
    <w:sig w:usb0="E0002AFF" w:usb1="C0007843" w:usb2="00000009" w:usb3="00000000" w:csb0="400001FF" w:csb1="FFFF0000"/>
    <w:embedRegular r:id="rId7" w:fontKey="{621D2180-FF5B-489F-B106-8C2520CCAE3A}"/>
  </w:font>
  <w:font w:name="方正兰亭黑_GBK">
    <w:altName w:val="Arial Unicode MS"/>
    <w:panose1 w:val="00000000000000000000"/>
    <w:charset w:val="01"/>
    <w:family w:val="auto"/>
    <w:pitch w:val="default"/>
    <w:sig w:usb0="00000000" w:usb1="00000000" w:usb2="00000000" w:usb3="00000000" w:csb0="00000000" w:csb1="00000000"/>
  </w:font>
  <w:font w:name="Lucida Sans">
    <w:panose1 w:val="020B0602030504020204"/>
    <w:charset w:val="01"/>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embedRegular r:id="rId8" w:fontKey="{95C71043-7F78-48F6-836D-20A08C683950}"/>
  </w:font>
  <w:font w:name="Arial Unicode MS">
    <w:panose1 w:val="020B0604020202020204"/>
    <w:charset w:val="86"/>
    <w:family w:val="auto"/>
    <w:pitch w:val="default"/>
    <w:sig w:usb0="FFFFFFFF" w:usb1="E9FFFFFF"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9" w:fontKey="{514DC628-A8E7-46A8-965E-12529CDD00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47516"/>
    </w:sdtPr>
    <w:sdtContent>
      <w:p>
        <w:pPr>
          <w:pStyle w:val="8"/>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6561BB"/>
    <w:rsid w:val="003172D7"/>
    <w:rsid w:val="003C7A86"/>
    <w:rsid w:val="006561BB"/>
    <w:rsid w:val="009D5E3A"/>
    <w:rsid w:val="053B3593"/>
    <w:rsid w:val="0669215A"/>
    <w:rsid w:val="0AC56513"/>
    <w:rsid w:val="20070E82"/>
    <w:rsid w:val="26E12CCB"/>
    <w:rsid w:val="27766CC2"/>
    <w:rsid w:val="27F5569F"/>
    <w:rsid w:val="281233E2"/>
    <w:rsid w:val="29A34583"/>
    <w:rsid w:val="2B2C3232"/>
    <w:rsid w:val="2B584E50"/>
    <w:rsid w:val="2D714649"/>
    <w:rsid w:val="2DB43833"/>
    <w:rsid w:val="369E71BE"/>
    <w:rsid w:val="3A104BFC"/>
    <w:rsid w:val="40DE5371"/>
    <w:rsid w:val="52DF7C50"/>
    <w:rsid w:val="55A93B87"/>
    <w:rsid w:val="608C5A61"/>
    <w:rsid w:val="61A3110A"/>
    <w:rsid w:val="622F1AB5"/>
    <w:rsid w:val="648F0104"/>
    <w:rsid w:val="67DD6598"/>
    <w:rsid w:val="6DA00E5F"/>
    <w:rsid w:val="726C02A0"/>
    <w:rsid w:val="73B776F3"/>
    <w:rsid w:val="757964DF"/>
    <w:rsid w:val="7581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标题 1 Char"/>
    <w:basedOn w:val="13"/>
    <w:link w:val="3"/>
    <w:qFormat/>
    <w:uiPriority w:val="0"/>
    <w:rPr>
      <w:rFonts w:ascii="Times New Roman" w:hAnsi="Times New Roman" w:eastAsia="宋体" w:cs="Times New Roman"/>
      <w:b/>
      <w:bCs/>
      <w:kern w:val="44"/>
      <w:sz w:val="44"/>
      <w:szCs w:val="44"/>
      <w:lang w:val="en-US" w:eastAsia="zh-CN" w:bidi="ar-SA"/>
    </w:rPr>
  </w:style>
  <w:style w:type="character" w:customStyle="1" w:styleId="17">
    <w:name w:val="标题 2 Char"/>
    <w:basedOn w:val="13"/>
    <w:link w:val="4"/>
    <w:qFormat/>
    <w:uiPriority w:val="0"/>
    <w:rPr>
      <w:rFonts w:ascii="Cambria" w:hAnsi="Cambria" w:eastAsia="宋体" w:cs="Times New Roman"/>
      <w:b/>
      <w:bCs/>
      <w:kern w:val="2"/>
      <w:sz w:val="32"/>
      <w:szCs w:val="32"/>
      <w:lang w:val="en-US" w:eastAsia="zh-CN" w:bidi="ar-SA"/>
    </w:rPr>
  </w:style>
  <w:style w:type="character" w:customStyle="1" w:styleId="18">
    <w:name w:val="Header Char"/>
    <w:basedOn w:val="13"/>
    <w:qFormat/>
    <w:uiPriority w:val="0"/>
    <w:rPr>
      <w:rFonts w:ascii="Times New Roman" w:hAnsi="Times New Roman"/>
      <w:sz w:val="18"/>
      <w:szCs w:val="18"/>
    </w:rPr>
  </w:style>
  <w:style w:type="character" w:customStyle="1" w:styleId="19">
    <w:name w:val="Footer Char"/>
    <w:basedOn w:val="13"/>
    <w:qFormat/>
    <w:uiPriority w:val="0"/>
    <w:rPr>
      <w:rFonts w:ascii="Times New Roman" w:hAnsi="Times New Roman"/>
      <w:sz w:val="18"/>
      <w:szCs w:val="18"/>
    </w:rPr>
  </w:style>
  <w:style w:type="character" w:customStyle="1" w:styleId="20">
    <w:name w:val="Body Text Char"/>
    <w:basedOn w:val="13"/>
    <w:qFormat/>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3"/>
    <w:next w:val="1"/>
    <w:qFormat/>
    <w:uiPriority w:val="0"/>
    <w:pPr>
      <w:widowControl/>
      <w:spacing w:before="480" w:after="0" w:line="276" w:lineRule="auto"/>
      <w:jc w:val="left"/>
      <w:outlineLvl w:val="9"/>
    </w:pPr>
    <w:rPr>
      <w:rFonts w:ascii="Cambria" w:hAnsi="Cambria"/>
      <w:color w:val="366091"/>
      <w:kern w:val="0"/>
      <w:sz w:val="28"/>
      <w:szCs w:val="28"/>
    </w:rPr>
  </w:style>
  <w:style w:type="paragraph" w:customStyle="1" w:styleId="24">
    <w:name w:val="TOC 标题2"/>
    <w:basedOn w:val="3"/>
    <w:next w:val="1"/>
    <w:qFormat/>
    <w:uiPriority w:val="0"/>
    <w:pPr>
      <w:widowControl/>
      <w:spacing w:before="480" w:after="0" w:line="276" w:lineRule="auto"/>
      <w:jc w:val="left"/>
      <w:outlineLvl w:val="9"/>
    </w:pPr>
    <w:rPr>
      <w:rFonts w:ascii="Cambria" w:hAnsi="Cambria"/>
      <w:color w:val="3660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rgbClr val="4F81BD"/>
            </a:solidFill>
            <a:ln>
              <a:noFill/>
            </a:ln>
          </c:spPr>
          <c:invertIfNegative val="0"/>
          <c:dLbls>
            <c:delete val="1"/>
          </c:dLbls>
          <c:cat>
            <c:strRef>
              <c:f>'Sheet1'!$A$2:$A$5</c:f>
              <c:strCache>
                <c:ptCount val="4"/>
                <c:pt idx="0">
                  <c:v>2019年</c:v>
                </c:pt>
                <c:pt idx="1">
                  <c:v>2020年</c:v>
                </c:pt>
                <c:pt idx="2">
                  <c:v>2019年</c:v>
                </c:pt>
                <c:pt idx="3">
                  <c:v>2020年</c:v>
                </c:pt>
              </c:strCache>
            </c:strRef>
          </c:cat>
          <c:val>
            <c:numRef>
              <c:f>'Sheet1'!$B$2:$B$5</c:f>
              <c:numCache>
                <c:formatCode>General</c:formatCode>
                <c:ptCount val="4"/>
                <c:pt idx="0">
                  <c:v>212.33</c:v>
                </c:pt>
                <c:pt idx="1">
                  <c:v>159.61</c:v>
                </c:pt>
              </c:numCache>
            </c:numRef>
          </c:val>
        </c:ser>
        <c:ser>
          <c:idx val="1"/>
          <c:order val="1"/>
          <c:tx>
            <c:strRef>
              <c:f>'Sheet1'!$C$1</c:f>
              <c:strCache>
                <c:ptCount val="1"/>
                <c:pt idx="0">
                  <c:v>支出</c:v>
                </c:pt>
              </c:strCache>
            </c:strRef>
          </c:tx>
          <c:spPr>
            <a:solidFill>
              <a:srgbClr val="C0504D"/>
            </a:solidFill>
            <a:ln>
              <a:noFill/>
            </a:ln>
          </c:spPr>
          <c:invertIfNegative val="0"/>
          <c:dLbls>
            <c:delete val="1"/>
          </c:dLbls>
          <c:cat>
            <c:strRef>
              <c:f>'Sheet1'!$A$2:$A$5</c:f>
              <c:strCache>
                <c:ptCount val="4"/>
                <c:pt idx="0">
                  <c:v>2019年</c:v>
                </c:pt>
                <c:pt idx="1">
                  <c:v>2020年</c:v>
                </c:pt>
                <c:pt idx="2">
                  <c:v>2019年</c:v>
                </c:pt>
                <c:pt idx="3">
                  <c:v>2020年</c:v>
                </c:pt>
              </c:strCache>
            </c:strRef>
          </c:cat>
          <c:val>
            <c:numRef>
              <c:f>'Sheet1'!$C$2:$C$5</c:f>
              <c:numCache>
                <c:formatCode>General</c:formatCode>
                <c:ptCount val="4"/>
                <c:pt idx="2">
                  <c:v>212.33</c:v>
                </c:pt>
                <c:pt idx="3">
                  <c:v>159.61</c:v>
                </c:pt>
              </c:numCache>
            </c:numRef>
          </c:val>
        </c:ser>
        <c:dLbls>
          <c:showLegendKey val="0"/>
          <c:showVal val="0"/>
          <c:showCatName val="0"/>
          <c:showSerName val="0"/>
          <c:showPercent val="0"/>
          <c:showBubbleSize val="0"/>
        </c:dLbls>
        <c:gapWidth val="150"/>
        <c:axId val="95701248"/>
        <c:axId val="95740288"/>
      </c:barChart>
      <c:catAx>
        <c:axId val="9570124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95740288"/>
        <c:crosses val="autoZero"/>
        <c:auto val="1"/>
        <c:lblAlgn val="ctr"/>
        <c:lblOffset val="100"/>
        <c:noMultiLvlLbl val="0"/>
      </c:catAx>
      <c:valAx>
        <c:axId val="957402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95701248"/>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收入合计</a:t>
            </a:r>
            <a:endParaRPr lang="zh-CN"/>
          </a:p>
        </c:rich>
      </c:tx>
      <c:layout/>
      <c:overlay val="0"/>
      <c:spPr>
        <a:ln>
          <a:noFill/>
        </a:ln>
      </c:spPr>
    </c:title>
    <c:autoTitleDeleted val="0"/>
    <c:plotArea>
      <c:layout/>
      <c:pieChart>
        <c:varyColors val="1"/>
        <c:ser>
          <c:idx val="0"/>
          <c:order val="0"/>
          <c:tx>
            <c:strRef>
              <c:f>'Sheet1 (2)'!$B$1</c:f>
              <c:strCache>
                <c:ptCount val="1"/>
                <c:pt idx="0">
                  <c:v>收入合计</c:v>
                </c:pt>
              </c:strCache>
            </c:strRef>
          </c:tx>
          <c:spPr>
            <a:ln>
              <a:noFill/>
            </a:ln>
          </c:spPr>
          <c:explosion val="0"/>
          <c:dPt>
            <c:idx val="0"/>
            <c:bubble3D val="0"/>
            <c:spPr>
              <a:solidFill>
                <a:srgbClr val="4F81BD"/>
              </a:solidFill>
            </c:spPr>
          </c:dPt>
          <c:dLbls>
            <c:delete val="1"/>
          </c:dLbls>
          <c:cat>
            <c:strRef>
              <c:f>'Sheet1 (2)'!$A$2</c:f>
              <c:strCache>
                <c:ptCount val="1"/>
                <c:pt idx="0">
                  <c:v>一般公共预算财政拨款</c:v>
                </c:pt>
              </c:strCache>
            </c:strRef>
          </c:cat>
          <c:val>
            <c:numRef>
              <c:f>Sheet1 (2)!$B$2</c:f>
              <c:numCache>
                <c:formatCode>General</c:formatCode>
                <c:ptCount val="1"/>
                <c:pt idx="0">
                  <c:v>159.61</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zero"/>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支出合计</a:t>
            </a:r>
            <a:endParaRPr lang="zh-CN"/>
          </a:p>
        </c:rich>
      </c:tx>
      <c:layout/>
      <c:overlay val="0"/>
      <c:spPr>
        <a:ln>
          <a:noFill/>
        </a:ln>
      </c:spPr>
    </c:title>
    <c:autoTitleDeleted val="0"/>
    <c:plotArea>
      <c:layout/>
      <c:pieChart>
        <c:varyColors val="1"/>
        <c:ser>
          <c:idx val="0"/>
          <c:order val="0"/>
          <c:tx>
            <c:strRef>
              <c:f>'Sheet1 (3)'!$B$1</c:f>
              <c:strCache>
                <c:ptCount val="1"/>
                <c:pt idx="0">
                  <c:v>支出合计</c:v>
                </c:pt>
              </c:strCache>
            </c:strRef>
          </c:tx>
          <c:spPr>
            <a:ln>
              <a:noFill/>
            </a:ln>
          </c:spPr>
          <c:explosion val="0"/>
          <c:dPt>
            <c:idx val="0"/>
            <c:bubble3D val="0"/>
            <c:spPr>
              <a:solidFill>
                <a:srgbClr val="4F81BD"/>
              </a:solidFill>
            </c:spPr>
          </c:dPt>
          <c:dPt>
            <c:idx val="1"/>
            <c:bubble3D val="0"/>
            <c:spPr>
              <a:solidFill>
                <a:srgbClr val="C0504D"/>
              </a:solidFill>
            </c:spPr>
          </c:dPt>
          <c:dLbls>
            <c:delete val="1"/>
          </c:dLbls>
          <c:cat>
            <c:strRef>
              <c:f>'Sheet1 (3)'!$A$2:$A$3</c:f>
              <c:strCache>
                <c:ptCount val="2"/>
                <c:pt idx="0">
                  <c:v>基本支出</c:v>
                </c:pt>
                <c:pt idx="1">
                  <c:v>项目支出</c:v>
                </c:pt>
              </c:strCache>
            </c:strRef>
          </c:cat>
          <c:val>
            <c:numRef>
              <c:f>'Sheet1 (3)'!$B$2:$B$3</c:f>
              <c:numCache>
                <c:formatCode>General</c:formatCode>
                <c:ptCount val="2"/>
                <c:pt idx="0">
                  <c:v>129.06</c:v>
                </c:pt>
                <c:pt idx="1">
                  <c:v>30.55</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zero"/>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收入</c:v>
                </c:pt>
              </c:strCache>
            </c:strRef>
          </c:tx>
          <c:spPr>
            <a:solidFill>
              <a:srgbClr val="4F81BD"/>
            </a:solidFill>
            <a:ln>
              <a:noFill/>
            </a:ln>
          </c:spPr>
          <c:invertIfNegative val="0"/>
          <c:dLbls>
            <c:delete val="1"/>
          </c:dLbls>
          <c:cat>
            <c:strRef>
              <c:f>'Sheet1 (4)'!$A$2:$A$5</c:f>
              <c:strCache>
                <c:ptCount val="4"/>
                <c:pt idx="0">
                  <c:v>2019年</c:v>
                </c:pt>
                <c:pt idx="1">
                  <c:v>2020年</c:v>
                </c:pt>
                <c:pt idx="2">
                  <c:v>2019年</c:v>
                </c:pt>
                <c:pt idx="3">
                  <c:v>2020年</c:v>
                </c:pt>
              </c:strCache>
            </c:strRef>
          </c:cat>
          <c:val>
            <c:numRef>
              <c:f>'Sheet1 (4)'!$B$2:$B$5</c:f>
              <c:numCache>
                <c:formatCode>General</c:formatCode>
                <c:ptCount val="4"/>
                <c:pt idx="0">
                  <c:v>212.33</c:v>
                </c:pt>
                <c:pt idx="1">
                  <c:v>159.61</c:v>
                </c:pt>
              </c:numCache>
            </c:numRef>
          </c:val>
        </c:ser>
        <c:ser>
          <c:idx val="1"/>
          <c:order val="1"/>
          <c:tx>
            <c:strRef>
              <c:f>'Sheet1 (4)'!$C$1</c:f>
              <c:strCache>
                <c:ptCount val="1"/>
                <c:pt idx="0">
                  <c:v>支出</c:v>
                </c:pt>
              </c:strCache>
            </c:strRef>
          </c:tx>
          <c:spPr>
            <a:solidFill>
              <a:srgbClr val="C0504D"/>
            </a:solidFill>
            <a:ln>
              <a:noFill/>
            </a:ln>
          </c:spPr>
          <c:invertIfNegative val="0"/>
          <c:dLbls>
            <c:delete val="1"/>
          </c:dLbls>
          <c:cat>
            <c:strRef>
              <c:f>'Sheet1 (4)'!$A$2:$A$5</c:f>
              <c:strCache>
                <c:ptCount val="4"/>
                <c:pt idx="0">
                  <c:v>2019年</c:v>
                </c:pt>
                <c:pt idx="1">
                  <c:v>2020年</c:v>
                </c:pt>
                <c:pt idx="2">
                  <c:v>2019年</c:v>
                </c:pt>
                <c:pt idx="3">
                  <c:v>2020年</c:v>
                </c:pt>
              </c:strCache>
            </c:strRef>
          </c:cat>
          <c:val>
            <c:numRef>
              <c:f>'Sheet1 (4)'!$C$2:$C$5</c:f>
              <c:numCache>
                <c:formatCode>General</c:formatCode>
                <c:ptCount val="4"/>
                <c:pt idx="2">
                  <c:v>212.33</c:v>
                </c:pt>
                <c:pt idx="3">
                  <c:v>159.61</c:v>
                </c:pt>
              </c:numCache>
            </c:numRef>
          </c:val>
        </c:ser>
        <c:dLbls>
          <c:showLegendKey val="0"/>
          <c:showVal val="0"/>
          <c:showCatName val="0"/>
          <c:showSerName val="0"/>
          <c:showPercent val="0"/>
          <c:showBubbleSize val="0"/>
        </c:dLbls>
        <c:gapWidth val="150"/>
        <c:axId val="95930240"/>
        <c:axId val="95931776"/>
      </c:barChart>
      <c:catAx>
        <c:axId val="9593024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95931776"/>
        <c:crosses val="autoZero"/>
        <c:auto val="1"/>
        <c:lblAlgn val="ctr"/>
        <c:lblOffset val="100"/>
        <c:noMultiLvlLbl val="0"/>
      </c:catAx>
      <c:valAx>
        <c:axId val="959317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9593024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57122"/>
          <c:y val="0.025191"/>
          <c:w val="0.79540014"/>
          <c:h val="0.8474752"/>
        </c:manualLayout>
      </c:layout>
      <c:barChart>
        <c:barDir val="col"/>
        <c:grouping val="clustered"/>
        <c:varyColors val="0"/>
        <c:ser>
          <c:idx val="0"/>
          <c:order val="0"/>
          <c:tx>
            <c:strRef>
              <c:f>'Sheet1 (5)'!$B$1</c:f>
              <c:strCache>
                <c:ptCount val="1"/>
                <c:pt idx="0">
                  <c:v>收入</c:v>
                </c:pt>
              </c:strCache>
            </c:strRef>
          </c:tx>
          <c:spPr>
            <a:solidFill>
              <a:srgbClr val="4F81BD"/>
            </a:solidFill>
            <a:ln>
              <a:noFill/>
            </a:ln>
          </c:spPr>
          <c:invertIfNegative val="0"/>
          <c:dLbls>
            <c:delete val="1"/>
          </c:dLbls>
          <c:cat>
            <c:strRef>
              <c:f>'Sheet1 (5)'!$A$2:$A$5</c:f>
              <c:strCache>
                <c:ptCount val="4"/>
                <c:pt idx="0">
                  <c:v>2019年</c:v>
                </c:pt>
                <c:pt idx="1">
                  <c:v>2020年</c:v>
                </c:pt>
                <c:pt idx="2">
                  <c:v>2019年</c:v>
                </c:pt>
                <c:pt idx="3">
                  <c:v>2020年</c:v>
                </c:pt>
              </c:strCache>
            </c:strRef>
          </c:cat>
          <c:val>
            <c:numRef>
              <c:f>'Sheet1 (5)'!$B$2:$B$5</c:f>
              <c:numCache>
                <c:formatCode>General</c:formatCode>
                <c:ptCount val="4"/>
                <c:pt idx="0">
                  <c:v>212.33</c:v>
                </c:pt>
                <c:pt idx="1">
                  <c:v>159.61</c:v>
                </c:pt>
              </c:numCache>
            </c:numRef>
          </c:val>
        </c:ser>
        <c:ser>
          <c:idx val="1"/>
          <c:order val="1"/>
          <c:tx>
            <c:strRef>
              <c:f>'Sheet1 (5)'!$C$1</c:f>
              <c:strCache>
                <c:ptCount val="1"/>
                <c:pt idx="0">
                  <c:v>支出</c:v>
                </c:pt>
              </c:strCache>
            </c:strRef>
          </c:tx>
          <c:spPr>
            <a:solidFill>
              <a:srgbClr val="C0504D"/>
            </a:solidFill>
            <a:ln>
              <a:noFill/>
            </a:ln>
          </c:spPr>
          <c:invertIfNegative val="0"/>
          <c:dLbls>
            <c:delete val="1"/>
          </c:dLbls>
          <c:cat>
            <c:strRef>
              <c:f>'Sheet1 (5)'!$A$2:$A$5</c:f>
              <c:strCache>
                <c:ptCount val="4"/>
                <c:pt idx="0">
                  <c:v>2019年</c:v>
                </c:pt>
                <c:pt idx="1">
                  <c:v>2020年</c:v>
                </c:pt>
                <c:pt idx="2">
                  <c:v>2019年</c:v>
                </c:pt>
                <c:pt idx="3">
                  <c:v>2020年</c:v>
                </c:pt>
              </c:strCache>
            </c:strRef>
          </c:cat>
          <c:val>
            <c:numRef>
              <c:f>'Sheet1 (5)'!$C$2:$C$5</c:f>
              <c:numCache>
                <c:formatCode>General</c:formatCode>
                <c:ptCount val="4"/>
                <c:pt idx="2">
                  <c:v>212.33</c:v>
                </c:pt>
                <c:pt idx="3">
                  <c:v>159.61</c:v>
                </c:pt>
              </c:numCache>
            </c:numRef>
          </c:val>
        </c:ser>
        <c:dLbls>
          <c:showLegendKey val="0"/>
          <c:showVal val="0"/>
          <c:showCatName val="0"/>
          <c:showSerName val="0"/>
          <c:showPercent val="0"/>
          <c:showBubbleSize val="0"/>
        </c:dLbls>
        <c:gapWidth val="150"/>
        <c:axId val="68211072"/>
        <c:axId val="68212608"/>
      </c:barChart>
      <c:catAx>
        <c:axId val="682110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68212608"/>
        <c:crosses val="autoZero"/>
        <c:auto val="1"/>
        <c:lblAlgn val="ctr"/>
        <c:lblOffset val="100"/>
        <c:noMultiLvlLbl val="0"/>
      </c:catAx>
      <c:valAx>
        <c:axId val="682126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68211072"/>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一般公共预算</a:t>
            </a:r>
            <a:endParaRPr lang="zh-CN"/>
          </a:p>
        </c:rich>
      </c:tx>
      <c:layout/>
      <c:overlay val="0"/>
      <c:spPr>
        <a:ln>
          <a:noFill/>
        </a:ln>
      </c:spPr>
    </c:title>
    <c:autoTitleDeleted val="0"/>
    <c:plotArea>
      <c:layout/>
      <c:pieChart>
        <c:varyColors val="1"/>
        <c:ser>
          <c:idx val="0"/>
          <c:order val="0"/>
          <c:tx>
            <c:strRef>
              <c:f>'Sheet1 (6)'!$B$1</c:f>
              <c:strCache>
                <c:ptCount val="1"/>
                <c:pt idx="0">
                  <c:v>一般公共预算</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delete val="1"/>
          </c:dLbls>
          <c:cat>
            <c:strRef>
              <c:f>'Sheet1 (6)'!$A$2:$A$6</c:f>
              <c:strCache>
                <c:ptCount val="5"/>
                <c:pt idx="0">
                  <c:v>一般公共服务支出</c:v>
                </c:pt>
                <c:pt idx="1">
                  <c:v>文化旅游体育与传媒支出</c:v>
                </c:pt>
                <c:pt idx="2">
                  <c:v>社会保障和就业支出</c:v>
                </c:pt>
                <c:pt idx="3">
                  <c:v>卫生健康支出支出</c:v>
                </c:pt>
                <c:pt idx="4">
                  <c:v>住房保障支出支出</c:v>
                </c:pt>
              </c:strCache>
            </c:strRef>
          </c:cat>
          <c:val>
            <c:numRef>
              <c:f>'Sheet1 (6)'!$B$2:$B$6</c:f>
              <c:numCache>
                <c:formatCode>General</c:formatCode>
                <c:ptCount val="5"/>
                <c:pt idx="0">
                  <c:v>96.57</c:v>
                </c:pt>
                <c:pt idx="1">
                  <c:v>30.55</c:v>
                </c:pt>
                <c:pt idx="2">
                  <c:v>14.68</c:v>
                </c:pt>
                <c:pt idx="3">
                  <c:v>7.5</c:v>
                </c:pt>
                <c:pt idx="4">
                  <c:v>10.31</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zero"/>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559</Words>
  <Characters>3189</Characters>
  <Lines>26</Lines>
  <Paragraphs>7</Paragraphs>
  <TotalTime>1</TotalTime>
  <ScaleCrop>false</ScaleCrop>
  <LinksUpToDate>false</LinksUpToDate>
  <CharactersWithSpaces>3741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2021-08-24T05:47:00Z</dcterms:created>
  <dc:creator>曹颖</dc:creator>
  <cp:lastModifiedBy>大海</cp:lastModifiedBy>
  <cp:lastPrinted>2021-08-17T08:06:00Z</cp:lastPrinted>
  <dcterms:modified xsi:type="dcterms:W3CDTF">2021-09-07T06:35:56Z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5188F71C72A340C9958BA23FE1FC4D43</vt:lpwstr>
  </property>
</Properties>
</file>