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color w:val="000000"/>
          <w:sz w:val="30"/>
          <w:szCs w:val="30"/>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8441"/>
      <w:bookmarkStart w:id="2" w:name="_Toc15396475"/>
      <w:bookmarkStart w:id="3" w:name="_Toc15396597"/>
      <w:bookmarkStart w:id="4" w:name="_Toc15377193"/>
      <w:bookmarkStart w:id="5" w:name="_Toc15377425"/>
      <w:r>
        <w:rPr>
          <w:rFonts w:ascii="黑体" w:hAnsi="黑体" w:eastAsia="黑体"/>
          <w:color w:val="000000"/>
          <w:sz w:val="48"/>
          <w:szCs w:val="48"/>
        </w:rPr>
        <w:t>20</w:t>
      </w:r>
      <w:r>
        <w:rPr>
          <w:rFonts w:hint="eastAsia" w:ascii="黑体" w:hAnsi="黑体" w:eastAsia="黑体"/>
          <w:color w:val="000000"/>
          <w:sz w:val="48"/>
          <w:szCs w:val="48"/>
        </w:rPr>
        <w:t>20</w:t>
      </w:r>
      <w:r>
        <w:rPr>
          <w:rFonts w:hint="eastAsia" w:ascii="方正小标宋简体" w:hAnsi="宋体" w:eastAsia="方正小标宋简体"/>
          <w:color w:val="000000"/>
          <w:sz w:val="48"/>
          <w:szCs w:val="48"/>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sz w:val="52"/>
          <w:szCs w:val="52"/>
        </w:rPr>
      </w:pPr>
      <w:bookmarkStart w:id="6" w:name="_Toc15377194"/>
      <w:bookmarkStart w:id="7" w:name="_Toc15396476"/>
      <w:bookmarkStart w:id="8" w:name="_Toc15377426"/>
      <w:bookmarkStart w:id="9" w:name="_Toc15378442"/>
      <w:bookmarkStart w:id="10" w:name="_Toc15396598"/>
      <w:r>
        <w:rPr>
          <w:rFonts w:hint="eastAsia" w:ascii="方正小标宋简体" w:hAnsi="宋体" w:eastAsia="方正小标宋简体"/>
          <w:sz w:val="52"/>
          <w:szCs w:val="52"/>
        </w:rPr>
        <w:t>中共四川省委讲师团</w:t>
      </w:r>
      <w:bookmarkEnd w:id="0"/>
      <w:bookmarkStart w:id="11" w:name="_Toc15306268"/>
      <w:r>
        <w:rPr>
          <w:rFonts w:hint="eastAsia" w:ascii="方正小标宋简体" w:hAnsi="宋体" w:eastAsia="方正小标宋简体"/>
          <w:sz w:val="52"/>
          <w:szCs w:val="52"/>
        </w:rPr>
        <w:t>单位决算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rPr>
          <w:rFonts w:ascii="楷体" w:hAnsi="楷体" w:eastAsia="楷体"/>
        </w:rPr>
      </w:pPr>
      <w:r>
        <w:rPr>
          <w:rFonts w:hint="eastAsia" w:ascii="楷体" w:hAnsi="楷体" w:eastAsia="楷体"/>
        </w:rPr>
        <w:t>公开时间：2021年9月10日</w:t>
      </w:r>
    </w:p>
    <w:p>
      <w:pPr>
        <w:rPr>
          <w:rFonts w:ascii="仿宋_GB2312" w:eastAsia="仿宋_GB2312"/>
        </w:rPr>
      </w:pPr>
    </w:p>
    <w:p>
      <w:pPr>
        <w:pStyle w:val="10"/>
        <w:adjustRightInd w:val="0"/>
        <w:snapToGrid w:val="0"/>
        <w:spacing w:before="0" w:line="580" w:lineRule="exact"/>
        <w:jc w:val="left"/>
        <w:rPr>
          <w:rFonts w:ascii="仿宋_GB2312" w:eastAsia="仿宋_GB2312" w:cstheme="minorBidi"/>
          <w:b/>
          <w:sz w:val="32"/>
          <w:szCs w:val="32"/>
        </w:rPr>
      </w:pPr>
      <w:r>
        <w:rPr>
          <w:rFonts w:hint="eastAsia" w:ascii="仿宋_GB2312" w:eastAsia="仿宋_GB2312"/>
          <w:b/>
          <w:sz w:val="32"/>
          <w:szCs w:val="32"/>
        </w:rPr>
        <w:t>第一部分 单位概况</w:t>
      </w:r>
    </w:p>
    <w:p>
      <w:pPr>
        <w:pStyle w:val="11"/>
        <w:adjustRightInd w:val="0"/>
        <w:snapToGrid w:val="0"/>
        <w:spacing w:line="580" w:lineRule="exact"/>
        <w:jc w:val="left"/>
        <w:rPr>
          <w:rFonts w:ascii="仿宋_GB2312" w:eastAsia="仿宋_GB2312"/>
          <w:sz w:val="32"/>
          <w:szCs w:val="32"/>
        </w:rPr>
      </w:pPr>
      <w:r>
        <w:rPr>
          <w:rFonts w:hint="eastAsia" w:ascii="仿宋_GB2312" w:eastAsia="仿宋_GB2312"/>
          <w:sz w:val="32"/>
          <w:szCs w:val="32"/>
        </w:rPr>
        <w:t>一、职能简介</w:t>
      </w:r>
    </w:p>
    <w:p>
      <w:pPr>
        <w:pStyle w:val="11"/>
        <w:adjustRightInd w:val="0"/>
        <w:snapToGrid w:val="0"/>
        <w:spacing w:line="580" w:lineRule="exact"/>
        <w:jc w:val="left"/>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二、2020年重点工作完成情况</w:t>
      </w:r>
    </w:p>
    <w:p>
      <w:pPr>
        <w:pStyle w:val="10"/>
        <w:adjustRightInd w:val="0"/>
        <w:snapToGrid w:val="0"/>
        <w:spacing w:before="0" w:line="580" w:lineRule="exact"/>
        <w:jc w:val="left"/>
        <w:rPr>
          <w:rFonts w:ascii="仿宋_GB2312" w:eastAsia="仿宋_GB2312"/>
          <w:b/>
          <w:sz w:val="32"/>
          <w:szCs w:val="32"/>
        </w:rPr>
      </w:pPr>
      <w:r>
        <w:rPr>
          <w:rFonts w:hint="eastAsia" w:ascii="仿宋_GB2312" w:eastAsia="仿宋_GB2312"/>
          <w:b/>
          <w:sz w:val="32"/>
          <w:szCs w:val="32"/>
        </w:rPr>
        <w:t>第二部分 2020年度单位决算情况说明</w:t>
      </w:r>
    </w:p>
    <w:p>
      <w:pPr>
        <w:pStyle w:val="11"/>
        <w:adjustRightInd w:val="0"/>
        <w:snapToGrid w:val="0"/>
        <w:spacing w:line="580" w:lineRule="exact"/>
        <w:jc w:val="left"/>
        <w:rPr>
          <w:rFonts w:ascii="仿宋_GB2312" w:hAnsi="仿宋" w:eastAsia="仿宋_GB2312" w:cstheme="minorBidi"/>
          <w:sz w:val="32"/>
          <w:szCs w:val="32"/>
        </w:rPr>
      </w:pPr>
      <w:r>
        <w:rPr>
          <w:rFonts w:hint="eastAsia" w:ascii="仿宋_GB2312" w:eastAsia="仿宋_GB2312"/>
          <w:sz w:val="32"/>
          <w:szCs w:val="32"/>
        </w:rPr>
        <w:t>一、收入支出决算总体情况说明</w:t>
      </w:r>
    </w:p>
    <w:p>
      <w:pPr>
        <w:pStyle w:val="11"/>
        <w:adjustRightInd w:val="0"/>
        <w:snapToGrid w:val="0"/>
        <w:spacing w:line="580" w:lineRule="exact"/>
        <w:jc w:val="left"/>
        <w:rPr>
          <w:rFonts w:ascii="仿宋_GB2312" w:hAnsi="仿宋" w:eastAsia="仿宋_GB2312" w:cstheme="minorBidi"/>
          <w:sz w:val="32"/>
          <w:szCs w:val="32"/>
        </w:rPr>
      </w:pPr>
      <w:r>
        <w:rPr>
          <w:rFonts w:hint="eastAsia" w:ascii="仿宋_GB2312" w:eastAsia="仿宋_GB2312"/>
          <w:sz w:val="32"/>
          <w:szCs w:val="32"/>
        </w:rPr>
        <w:t>二、收入决算情况说明</w:t>
      </w:r>
    </w:p>
    <w:p>
      <w:pPr>
        <w:pStyle w:val="11"/>
        <w:adjustRightInd w:val="0"/>
        <w:snapToGrid w:val="0"/>
        <w:spacing w:line="580" w:lineRule="exact"/>
        <w:jc w:val="left"/>
        <w:rPr>
          <w:rFonts w:ascii="仿宋_GB2312" w:hAnsi="仿宋" w:eastAsia="仿宋_GB2312" w:cstheme="minorBidi"/>
          <w:sz w:val="32"/>
          <w:szCs w:val="32"/>
        </w:rPr>
      </w:pPr>
      <w:r>
        <w:rPr>
          <w:rFonts w:hint="eastAsia" w:ascii="仿宋_GB2312" w:eastAsia="仿宋_GB2312"/>
          <w:sz w:val="32"/>
          <w:szCs w:val="32"/>
        </w:rPr>
        <w:t>三、支出决算情况说明</w:t>
      </w:r>
    </w:p>
    <w:p>
      <w:pPr>
        <w:pStyle w:val="11"/>
        <w:adjustRightInd w:val="0"/>
        <w:snapToGrid w:val="0"/>
        <w:spacing w:line="580" w:lineRule="exact"/>
        <w:jc w:val="left"/>
        <w:rPr>
          <w:rFonts w:ascii="仿宋_GB2312" w:hAnsi="仿宋" w:eastAsia="仿宋_GB2312" w:cstheme="minorBidi"/>
          <w:sz w:val="32"/>
          <w:szCs w:val="32"/>
        </w:rPr>
      </w:pPr>
      <w:r>
        <w:rPr>
          <w:rFonts w:hint="eastAsia" w:ascii="仿宋_GB2312" w:eastAsia="仿宋_GB2312"/>
          <w:sz w:val="32"/>
          <w:szCs w:val="32"/>
        </w:rPr>
        <w:t>四、财政拨款收入支出决算总体情况说明</w:t>
      </w:r>
    </w:p>
    <w:p>
      <w:pPr>
        <w:pStyle w:val="11"/>
        <w:adjustRightInd w:val="0"/>
        <w:snapToGrid w:val="0"/>
        <w:spacing w:line="580" w:lineRule="exact"/>
        <w:jc w:val="left"/>
        <w:rPr>
          <w:rFonts w:ascii="仿宋_GB2312" w:hAnsi="仿宋" w:eastAsia="仿宋_GB2312" w:cstheme="minorBidi"/>
          <w:sz w:val="32"/>
          <w:szCs w:val="32"/>
        </w:rPr>
      </w:pPr>
      <w:r>
        <w:rPr>
          <w:rFonts w:hint="eastAsia" w:ascii="仿宋_GB2312" w:eastAsia="仿宋_GB2312"/>
          <w:sz w:val="32"/>
          <w:szCs w:val="32"/>
        </w:rPr>
        <w:t>五、一般公共预算财政拨款支出决算情况说明</w:t>
      </w:r>
    </w:p>
    <w:p>
      <w:pPr>
        <w:pStyle w:val="11"/>
        <w:adjustRightInd w:val="0"/>
        <w:snapToGrid w:val="0"/>
        <w:spacing w:line="580" w:lineRule="exact"/>
        <w:jc w:val="left"/>
        <w:rPr>
          <w:rFonts w:ascii="仿宋_GB2312" w:hAnsi="仿宋" w:eastAsia="仿宋_GB2312" w:cstheme="minorBidi"/>
          <w:sz w:val="32"/>
          <w:szCs w:val="32"/>
        </w:rPr>
      </w:pPr>
      <w:r>
        <w:rPr>
          <w:rFonts w:hint="eastAsia" w:ascii="仿宋_GB2312" w:eastAsia="仿宋_GB2312"/>
          <w:sz w:val="32"/>
          <w:szCs w:val="32"/>
        </w:rPr>
        <w:t>六、一般公共预算财政拨款基本支出决算情况说明</w:t>
      </w:r>
    </w:p>
    <w:p>
      <w:pPr>
        <w:pStyle w:val="11"/>
        <w:adjustRightInd w:val="0"/>
        <w:snapToGrid w:val="0"/>
        <w:spacing w:line="580" w:lineRule="exact"/>
        <w:jc w:val="left"/>
        <w:rPr>
          <w:rFonts w:ascii="仿宋_GB2312" w:hAnsi="仿宋" w:eastAsia="仿宋_GB2312" w:cstheme="minorBidi"/>
          <w:sz w:val="32"/>
          <w:szCs w:val="32"/>
        </w:rPr>
      </w:pPr>
      <w:r>
        <w:rPr>
          <w:rFonts w:hint="eastAsia" w:ascii="仿宋_GB2312" w:eastAsia="仿宋_GB2312"/>
          <w:sz w:val="32"/>
          <w:szCs w:val="32"/>
        </w:rPr>
        <w:t>七、“三公”经费财政拨款支出决算情况说明</w:t>
      </w:r>
    </w:p>
    <w:p>
      <w:pPr>
        <w:pStyle w:val="11"/>
        <w:adjustRightInd w:val="0"/>
        <w:snapToGrid w:val="0"/>
        <w:spacing w:line="580" w:lineRule="exact"/>
        <w:jc w:val="left"/>
        <w:rPr>
          <w:rFonts w:ascii="仿宋_GB2312" w:hAnsi="仿宋" w:eastAsia="仿宋_GB2312" w:cstheme="minorBidi"/>
          <w:sz w:val="32"/>
          <w:szCs w:val="32"/>
        </w:rPr>
      </w:pPr>
      <w:r>
        <w:rPr>
          <w:rFonts w:hint="eastAsia" w:ascii="仿宋_GB2312" w:eastAsia="仿宋_GB2312"/>
          <w:sz w:val="32"/>
          <w:szCs w:val="32"/>
        </w:rPr>
        <w:t>八、政府性基金预算支出决算情况说明</w:t>
      </w:r>
    </w:p>
    <w:p>
      <w:pPr>
        <w:pStyle w:val="11"/>
        <w:adjustRightInd w:val="0"/>
        <w:snapToGrid w:val="0"/>
        <w:spacing w:line="580" w:lineRule="exact"/>
        <w:jc w:val="left"/>
        <w:rPr>
          <w:rFonts w:ascii="仿宋_GB2312" w:eastAsia="仿宋_GB2312"/>
          <w:sz w:val="32"/>
          <w:szCs w:val="32"/>
        </w:rPr>
      </w:pPr>
      <w:r>
        <w:rPr>
          <w:rFonts w:hint="eastAsia" w:ascii="仿宋_GB2312" w:eastAsia="仿宋_GB2312"/>
          <w:sz w:val="32"/>
          <w:szCs w:val="32"/>
        </w:rPr>
        <w:t>九、国有资本经营预算支出决算情况说明</w:t>
      </w:r>
    </w:p>
    <w:p>
      <w:pPr>
        <w:pStyle w:val="11"/>
        <w:adjustRightInd w:val="0"/>
        <w:snapToGrid w:val="0"/>
        <w:spacing w:line="580" w:lineRule="exact"/>
        <w:jc w:val="left"/>
        <w:rPr>
          <w:rFonts w:ascii="仿宋_GB2312" w:eastAsia="仿宋_GB2312"/>
          <w:sz w:val="32"/>
          <w:szCs w:val="32"/>
        </w:rPr>
      </w:pPr>
      <w:r>
        <w:rPr>
          <w:rFonts w:hint="eastAsia" w:ascii="仿宋_GB2312" w:eastAsia="仿宋_GB2312"/>
          <w:sz w:val="32"/>
          <w:szCs w:val="32"/>
        </w:rPr>
        <w:t>十、其他重要事项的情况说明</w:t>
      </w:r>
    </w:p>
    <w:p>
      <w:pPr>
        <w:pStyle w:val="10"/>
        <w:adjustRightInd w:val="0"/>
        <w:snapToGrid w:val="0"/>
        <w:spacing w:before="0" w:line="580" w:lineRule="exact"/>
        <w:jc w:val="left"/>
        <w:rPr>
          <w:rFonts w:ascii="仿宋_GB2312" w:eastAsia="仿宋_GB2312"/>
          <w:b/>
          <w:sz w:val="32"/>
          <w:szCs w:val="32"/>
        </w:rPr>
      </w:pPr>
      <w:r>
        <w:rPr>
          <w:rFonts w:hint="eastAsia" w:ascii="仿宋_GB2312" w:eastAsia="仿宋_GB2312"/>
          <w:b/>
          <w:sz w:val="32"/>
          <w:szCs w:val="32"/>
        </w:rPr>
        <w:t>第三部分 名词解释</w:t>
      </w:r>
    </w:p>
    <w:p>
      <w:pPr>
        <w:pStyle w:val="10"/>
        <w:adjustRightInd w:val="0"/>
        <w:snapToGrid w:val="0"/>
        <w:spacing w:before="0" w:line="580" w:lineRule="exact"/>
        <w:jc w:val="left"/>
        <w:rPr>
          <w:rFonts w:ascii="仿宋_GB2312" w:eastAsia="仿宋_GB2312"/>
          <w:b/>
          <w:sz w:val="32"/>
          <w:szCs w:val="32"/>
        </w:rPr>
      </w:pPr>
      <w:r>
        <w:rPr>
          <w:rFonts w:hint="eastAsia" w:ascii="仿宋_GB2312" w:eastAsia="仿宋_GB2312"/>
          <w:b/>
          <w:sz w:val="32"/>
          <w:szCs w:val="32"/>
        </w:rPr>
        <w:t>第四部分 附件</w:t>
      </w:r>
    </w:p>
    <w:p>
      <w:pPr>
        <w:pStyle w:val="10"/>
        <w:adjustRightInd w:val="0"/>
        <w:snapToGrid w:val="0"/>
        <w:spacing w:before="0" w:line="580" w:lineRule="exact"/>
        <w:jc w:val="left"/>
        <w:rPr>
          <w:rFonts w:ascii="仿宋_GB2312" w:eastAsia="仿宋_GB2312"/>
          <w:b/>
          <w:sz w:val="32"/>
          <w:szCs w:val="32"/>
        </w:rPr>
      </w:pPr>
      <w:r>
        <w:rPr>
          <w:rFonts w:hint="eastAsia" w:ascii="仿宋_GB2312" w:eastAsia="仿宋_GB2312"/>
          <w:b/>
          <w:sz w:val="32"/>
          <w:szCs w:val="32"/>
        </w:rPr>
        <w:t>第五部分 附表</w:t>
      </w:r>
    </w:p>
    <w:p>
      <w:pPr>
        <w:pStyle w:val="11"/>
        <w:adjustRightInd w:val="0"/>
        <w:snapToGrid w:val="0"/>
        <w:spacing w:line="580" w:lineRule="exact"/>
        <w:jc w:val="left"/>
        <w:rPr>
          <w:rFonts w:ascii="仿宋_GB2312" w:eastAsia="仿宋_GB2312"/>
          <w:sz w:val="32"/>
          <w:szCs w:val="32"/>
        </w:rPr>
      </w:pPr>
      <w:r>
        <w:rPr>
          <w:rFonts w:hint="eastAsia" w:ascii="仿宋_GB2312" w:eastAsia="仿宋_GB2312"/>
          <w:sz w:val="32"/>
          <w:szCs w:val="32"/>
        </w:rPr>
        <w:t>一、收入支出决算总表</w:t>
      </w:r>
    </w:p>
    <w:p>
      <w:pPr>
        <w:pStyle w:val="11"/>
        <w:adjustRightInd w:val="0"/>
        <w:snapToGrid w:val="0"/>
        <w:spacing w:line="580" w:lineRule="exact"/>
        <w:jc w:val="left"/>
        <w:rPr>
          <w:rFonts w:ascii="仿宋_GB2312" w:eastAsia="仿宋_GB2312"/>
          <w:sz w:val="32"/>
          <w:szCs w:val="32"/>
        </w:rPr>
      </w:pPr>
      <w:r>
        <w:rPr>
          <w:rFonts w:hint="eastAsia" w:ascii="仿宋_GB2312" w:eastAsia="仿宋_GB2312"/>
          <w:sz w:val="32"/>
          <w:szCs w:val="32"/>
        </w:rPr>
        <w:t>二、收入决算表</w:t>
      </w:r>
    </w:p>
    <w:p>
      <w:pPr>
        <w:pStyle w:val="11"/>
        <w:adjustRightInd w:val="0"/>
        <w:snapToGrid w:val="0"/>
        <w:spacing w:line="580" w:lineRule="exact"/>
        <w:jc w:val="left"/>
        <w:rPr>
          <w:rFonts w:ascii="仿宋_GB2312" w:eastAsia="仿宋_GB2312"/>
          <w:sz w:val="32"/>
          <w:szCs w:val="32"/>
        </w:rPr>
      </w:pPr>
      <w:r>
        <w:rPr>
          <w:rFonts w:hint="eastAsia" w:ascii="仿宋_GB2312" w:eastAsia="仿宋_GB2312"/>
          <w:sz w:val="32"/>
          <w:szCs w:val="32"/>
        </w:rPr>
        <w:t>三、支出决算表</w:t>
      </w:r>
    </w:p>
    <w:p>
      <w:pPr>
        <w:pStyle w:val="11"/>
        <w:adjustRightInd w:val="0"/>
        <w:snapToGrid w:val="0"/>
        <w:spacing w:line="580" w:lineRule="exact"/>
        <w:jc w:val="left"/>
        <w:rPr>
          <w:rFonts w:ascii="仿宋_GB2312" w:eastAsia="仿宋_GB2312"/>
          <w:sz w:val="32"/>
          <w:szCs w:val="32"/>
        </w:rPr>
      </w:pPr>
      <w:r>
        <w:rPr>
          <w:rFonts w:hint="eastAsia" w:ascii="仿宋_GB2312" w:eastAsia="仿宋_GB2312"/>
          <w:sz w:val="32"/>
          <w:szCs w:val="32"/>
        </w:rPr>
        <w:t>四、财政拨款收入支出决算总表</w:t>
      </w:r>
    </w:p>
    <w:p>
      <w:pPr>
        <w:pStyle w:val="11"/>
        <w:adjustRightInd w:val="0"/>
        <w:snapToGrid w:val="0"/>
        <w:spacing w:line="580" w:lineRule="exact"/>
        <w:jc w:val="left"/>
        <w:rPr>
          <w:rFonts w:ascii="仿宋_GB2312" w:eastAsia="仿宋_GB2312"/>
          <w:sz w:val="32"/>
          <w:szCs w:val="32"/>
        </w:rPr>
      </w:pPr>
      <w:r>
        <w:rPr>
          <w:rFonts w:hint="eastAsia" w:ascii="仿宋_GB2312" w:eastAsia="仿宋_GB2312"/>
          <w:sz w:val="32"/>
          <w:szCs w:val="32"/>
        </w:rPr>
        <w:t>五、财政拨款支出决算明细表</w:t>
      </w:r>
    </w:p>
    <w:p>
      <w:pPr>
        <w:pStyle w:val="11"/>
        <w:adjustRightInd w:val="0"/>
        <w:snapToGrid w:val="0"/>
        <w:spacing w:line="580" w:lineRule="exact"/>
        <w:jc w:val="left"/>
        <w:rPr>
          <w:rFonts w:ascii="仿宋_GB2312" w:eastAsia="仿宋_GB2312"/>
          <w:sz w:val="32"/>
          <w:szCs w:val="32"/>
        </w:rPr>
      </w:pPr>
      <w:r>
        <w:rPr>
          <w:rFonts w:hint="eastAsia" w:ascii="仿宋_GB2312" w:eastAsia="仿宋_GB2312"/>
          <w:sz w:val="32"/>
          <w:szCs w:val="32"/>
        </w:rPr>
        <w:t>六、一般公共预算财政拨款支出决算表</w:t>
      </w:r>
    </w:p>
    <w:p>
      <w:pPr>
        <w:pStyle w:val="11"/>
        <w:adjustRightInd w:val="0"/>
        <w:snapToGrid w:val="0"/>
        <w:spacing w:line="580" w:lineRule="exact"/>
        <w:jc w:val="left"/>
        <w:rPr>
          <w:rFonts w:ascii="仿宋_GB2312" w:eastAsia="仿宋_GB2312"/>
          <w:sz w:val="32"/>
          <w:szCs w:val="32"/>
        </w:rPr>
      </w:pPr>
      <w:r>
        <w:rPr>
          <w:rFonts w:hint="eastAsia" w:ascii="仿宋_GB2312" w:eastAsia="仿宋_GB2312"/>
          <w:sz w:val="32"/>
          <w:szCs w:val="32"/>
        </w:rPr>
        <w:t>七、一般公共预算财政拨款支出决算明细表</w:t>
      </w:r>
    </w:p>
    <w:p>
      <w:pPr>
        <w:pStyle w:val="11"/>
        <w:adjustRightInd w:val="0"/>
        <w:snapToGrid w:val="0"/>
        <w:spacing w:line="580" w:lineRule="exact"/>
        <w:jc w:val="left"/>
        <w:rPr>
          <w:rFonts w:ascii="仿宋_GB2312" w:eastAsia="仿宋_GB2312"/>
          <w:sz w:val="32"/>
          <w:szCs w:val="32"/>
        </w:rPr>
      </w:pPr>
      <w:r>
        <w:rPr>
          <w:rFonts w:hint="eastAsia" w:ascii="仿宋_GB2312" w:eastAsia="仿宋_GB2312"/>
          <w:sz w:val="32"/>
          <w:szCs w:val="32"/>
        </w:rPr>
        <w:t>八、一般公共预算财政拨款基本支出决算表</w:t>
      </w:r>
    </w:p>
    <w:p>
      <w:pPr>
        <w:pStyle w:val="11"/>
        <w:adjustRightInd w:val="0"/>
        <w:snapToGrid w:val="0"/>
        <w:spacing w:line="580" w:lineRule="exact"/>
        <w:jc w:val="left"/>
        <w:rPr>
          <w:rFonts w:ascii="仿宋_GB2312" w:eastAsia="仿宋_GB2312"/>
          <w:sz w:val="32"/>
          <w:szCs w:val="32"/>
        </w:rPr>
      </w:pPr>
      <w:r>
        <w:rPr>
          <w:rFonts w:hint="eastAsia" w:ascii="仿宋_GB2312" w:eastAsia="仿宋_GB2312"/>
          <w:sz w:val="32"/>
          <w:szCs w:val="32"/>
        </w:rPr>
        <w:t>九、一般公共预算财政拨款项目支出决算表</w:t>
      </w:r>
    </w:p>
    <w:p>
      <w:pPr>
        <w:pStyle w:val="11"/>
        <w:adjustRightInd w:val="0"/>
        <w:snapToGrid w:val="0"/>
        <w:spacing w:line="580" w:lineRule="exact"/>
        <w:jc w:val="left"/>
        <w:rPr>
          <w:rFonts w:ascii="仿宋_GB2312" w:eastAsia="仿宋_GB2312"/>
          <w:sz w:val="32"/>
          <w:szCs w:val="32"/>
        </w:rPr>
      </w:pPr>
      <w:r>
        <w:rPr>
          <w:rFonts w:hint="eastAsia" w:ascii="仿宋_GB2312" w:eastAsia="仿宋_GB2312"/>
          <w:sz w:val="32"/>
          <w:szCs w:val="32"/>
        </w:rPr>
        <w:t>十、一般公共预算财政拨款“三公”经费支出决算表</w:t>
      </w:r>
    </w:p>
    <w:p>
      <w:pPr>
        <w:pStyle w:val="11"/>
        <w:adjustRightInd w:val="0"/>
        <w:snapToGrid w:val="0"/>
        <w:spacing w:line="580" w:lineRule="exact"/>
        <w:jc w:val="left"/>
        <w:rPr>
          <w:rFonts w:ascii="仿宋_GB2312" w:eastAsia="仿宋_GB2312"/>
          <w:sz w:val="32"/>
          <w:szCs w:val="32"/>
        </w:rPr>
      </w:pPr>
      <w:r>
        <w:rPr>
          <w:rFonts w:hint="eastAsia" w:ascii="仿宋_GB2312" w:eastAsia="仿宋_GB2312"/>
          <w:sz w:val="32"/>
          <w:szCs w:val="32"/>
        </w:rPr>
        <w:t>十一、政府性基金预算财政拨款收入支出决算表</w:t>
      </w:r>
    </w:p>
    <w:p>
      <w:pPr>
        <w:pStyle w:val="11"/>
        <w:adjustRightInd w:val="0"/>
        <w:snapToGrid w:val="0"/>
        <w:spacing w:line="580" w:lineRule="exact"/>
        <w:jc w:val="left"/>
        <w:rPr>
          <w:rFonts w:ascii="仿宋_GB2312" w:eastAsia="仿宋_GB2312"/>
          <w:sz w:val="32"/>
          <w:szCs w:val="32"/>
        </w:rPr>
      </w:pPr>
      <w:r>
        <w:rPr>
          <w:rFonts w:hint="eastAsia" w:ascii="仿宋_GB2312" w:eastAsia="仿宋_GB2312"/>
          <w:sz w:val="32"/>
          <w:szCs w:val="32"/>
        </w:rPr>
        <w:t>十二、政府性基金预算财政拨款“三公”经费支出决算表</w:t>
      </w:r>
    </w:p>
    <w:p>
      <w:pPr>
        <w:pStyle w:val="11"/>
        <w:adjustRightInd w:val="0"/>
        <w:snapToGrid w:val="0"/>
        <w:spacing w:line="580" w:lineRule="exact"/>
        <w:jc w:val="left"/>
        <w:rPr>
          <w:rFonts w:ascii="仿宋_GB2312" w:eastAsia="仿宋_GB2312"/>
          <w:sz w:val="32"/>
          <w:szCs w:val="32"/>
        </w:rPr>
      </w:pPr>
      <w:r>
        <w:rPr>
          <w:rFonts w:hint="eastAsia" w:ascii="仿宋_GB2312" w:eastAsia="仿宋_GB2312"/>
          <w:sz w:val="32"/>
          <w:szCs w:val="32"/>
        </w:rPr>
        <w:t>十三、国有资本经营预算财政拨款收入支出决算表</w:t>
      </w:r>
    </w:p>
    <w:p>
      <w:pPr>
        <w:pStyle w:val="11"/>
        <w:adjustRightInd w:val="0"/>
        <w:snapToGrid w:val="0"/>
        <w:spacing w:line="580" w:lineRule="exact"/>
        <w:jc w:val="left"/>
        <w:rPr>
          <w:rFonts w:ascii="仿宋_GB2312" w:eastAsia="仿宋_GB2312"/>
          <w:sz w:val="32"/>
          <w:szCs w:val="32"/>
        </w:rPr>
      </w:pPr>
      <w:r>
        <w:rPr>
          <w:rFonts w:hint="eastAsia" w:ascii="仿宋_GB2312" w:eastAsia="仿宋_GB2312"/>
          <w:sz w:val="32"/>
          <w:szCs w:val="32"/>
        </w:rPr>
        <w:t>十四、国有资本经营预算财政拨款支出决算表</w:t>
      </w:r>
    </w:p>
    <w:p>
      <w:pPr>
        <w:widowControl/>
        <w:spacing w:line="580" w:lineRule="exact"/>
        <w:jc w:val="left"/>
        <w:rPr>
          <w:rFonts w:ascii="仿宋_GB2312" w:hAnsi="仿宋" w:eastAsia="仿宋_GB2312"/>
          <w:bCs/>
          <w:kern w:val="44"/>
          <w:sz w:val="32"/>
          <w:szCs w:val="32"/>
        </w:rPr>
      </w:pPr>
      <w:bookmarkStart w:id="12" w:name="_Toc15396599"/>
      <w:bookmarkStart w:id="13" w:name="_Toc15377196"/>
      <w:r>
        <w:rPr>
          <w:rFonts w:hint="eastAsia" w:ascii="仿宋_GB2312" w:hAnsi="仿宋" w:eastAsia="仿宋_GB2312"/>
          <w:b/>
          <w:sz w:val="32"/>
          <w:szCs w:val="32"/>
        </w:rPr>
        <w:br w:type="page"/>
      </w:r>
    </w:p>
    <w:p>
      <w:pPr>
        <w:pStyle w:val="3"/>
        <w:jc w:val="center"/>
        <w:rPr>
          <w:rFonts w:ascii="方正小标宋简体" w:eastAsia="方正小标宋简体"/>
          <w:color w:val="000000"/>
          <w:sz w:val="32"/>
          <w:szCs w:val="32"/>
        </w:rPr>
      </w:pPr>
      <w:r>
        <w:rPr>
          <w:rFonts w:hint="eastAsia" w:ascii="方正小标宋简体" w:hAnsi="黑体" w:eastAsia="方正小标宋简体"/>
          <w:b w:val="0"/>
        </w:rPr>
        <w:t>第一部分 单位</w:t>
      </w:r>
      <w:r>
        <w:rPr>
          <w:rStyle w:val="25"/>
          <w:rFonts w:hint="eastAsia" w:ascii="方正小标宋简体" w:hAnsi="黑体" w:eastAsia="方正小标宋简体"/>
          <w:b w:val="0"/>
          <w:bCs w:val="0"/>
        </w:rPr>
        <w:t>概况</w:t>
      </w:r>
      <w:bookmarkEnd w:id="12"/>
      <w:bookmarkEnd w:id="13"/>
    </w:p>
    <w:p>
      <w:pPr>
        <w:pStyle w:val="4"/>
        <w:numPr>
          <w:ilvl w:val="0"/>
          <w:numId w:val="1"/>
        </w:numPr>
        <w:spacing w:before="0" w:after="0"/>
        <w:ind w:firstLine="643" w:firstLineChars="200"/>
        <w:rPr>
          <w:rStyle w:val="26"/>
          <w:rFonts w:ascii="黑体" w:hAnsi="黑体" w:eastAsia="黑体" w:cs="楷体"/>
          <w:b/>
          <w:bCs/>
        </w:rPr>
      </w:pPr>
      <w:bookmarkStart w:id="14" w:name="_Toc15396600"/>
      <w:bookmarkStart w:id="15" w:name="_Toc15377197"/>
      <w:r>
        <w:rPr>
          <w:rStyle w:val="26"/>
          <w:rFonts w:hint="eastAsia" w:ascii="黑体" w:hAnsi="黑体" w:eastAsia="黑体" w:cs="黑体"/>
          <w:b/>
          <w:bCs w:val="0"/>
        </w:rPr>
        <w:t>职能简介</w:t>
      </w:r>
    </w:p>
    <w:p>
      <w:pPr>
        <w:ind w:firstLine="630"/>
        <w:jc w:val="left"/>
        <w:rPr>
          <w:rFonts w:ascii="楷体" w:hAnsi="楷体" w:eastAsia="楷体"/>
          <w:sz w:val="32"/>
          <w:szCs w:val="32"/>
        </w:rPr>
      </w:pPr>
      <w:r>
        <w:rPr>
          <w:rFonts w:hint="eastAsia" w:ascii="楷体" w:hAnsi="楷体" w:eastAsia="楷体"/>
          <w:sz w:val="32"/>
          <w:szCs w:val="32"/>
        </w:rPr>
        <w:t>（一）主要职能</w:t>
      </w:r>
    </w:p>
    <w:p>
      <w:pPr>
        <w:ind w:firstLine="630"/>
        <w:jc w:val="left"/>
        <w:rPr>
          <w:rFonts w:ascii="仿宋_GB2312" w:hAnsi="黑体" w:eastAsia="仿宋_GB2312"/>
          <w:sz w:val="32"/>
          <w:szCs w:val="32"/>
        </w:rPr>
      </w:pPr>
      <w:r>
        <w:rPr>
          <w:rFonts w:hint="eastAsia" w:ascii="仿宋_GB2312" w:hAnsi="黑体" w:eastAsia="仿宋_GB2312"/>
          <w:sz w:val="32"/>
          <w:szCs w:val="32"/>
        </w:rPr>
        <w:t>组织实施重大主题宣讲活动。组织开展基层理论宣讲活动。服务党委（党组）理论学习中心组学习。推进党员干部在职理论学习教育。组织开展理论和现实问题调查研究。</w:t>
      </w:r>
    </w:p>
    <w:p>
      <w:pPr>
        <w:ind w:firstLine="630"/>
        <w:jc w:val="left"/>
        <w:rPr>
          <w:rFonts w:ascii="楷体" w:hAnsi="楷体" w:eastAsia="楷体"/>
          <w:sz w:val="32"/>
          <w:szCs w:val="32"/>
        </w:rPr>
      </w:pPr>
      <w:r>
        <w:rPr>
          <w:rFonts w:hint="eastAsia" w:ascii="楷体" w:hAnsi="楷体" w:eastAsia="楷体"/>
          <w:sz w:val="32"/>
          <w:szCs w:val="32"/>
        </w:rPr>
        <w:t>（二）机构情况</w:t>
      </w:r>
    </w:p>
    <w:p>
      <w:pPr>
        <w:ind w:firstLine="630"/>
        <w:jc w:val="left"/>
        <w:rPr>
          <w:rFonts w:ascii="仿宋_GB2312" w:hAnsi="黑体" w:eastAsia="仿宋_GB2312"/>
          <w:sz w:val="32"/>
          <w:szCs w:val="32"/>
        </w:rPr>
      </w:pPr>
      <w:r>
        <w:rPr>
          <w:rFonts w:ascii="仿宋_GB2312" w:eastAsia="仿宋_GB2312"/>
          <w:sz w:val="32"/>
          <w:szCs w:val="32"/>
        </w:rPr>
        <w:t>1983年，经省委同意，恢复建立</w:t>
      </w:r>
      <w:r>
        <w:rPr>
          <w:rFonts w:hint="eastAsia" w:ascii="仿宋_GB2312" w:eastAsia="仿宋_GB2312"/>
          <w:sz w:val="32"/>
          <w:szCs w:val="32"/>
        </w:rPr>
        <w:t>省</w:t>
      </w:r>
      <w:r>
        <w:rPr>
          <w:rFonts w:ascii="仿宋_GB2312" w:eastAsia="仿宋_GB2312"/>
          <w:sz w:val="32"/>
          <w:szCs w:val="32"/>
        </w:rPr>
        <w:t>委讲师团，</w:t>
      </w:r>
      <w:r>
        <w:rPr>
          <w:rFonts w:hint="eastAsia" w:ascii="仿宋_GB2312" w:eastAsia="仿宋_GB2312"/>
          <w:sz w:val="32"/>
          <w:szCs w:val="32"/>
        </w:rPr>
        <w:t>为</w:t>
      </w:r>
      <w:r>
        <w:rPr>
          <w:rFonts w:ascii="仿宋_GB2312" w:eastAsia="仿宋_GB2312"/>
          <w:sz w:val="32"/>
          <w:szCs w:val="32"/>
        </w:rPr>
        <w:t>相当地师级事业单位</w:t>
      </w:r>
      <w:r>
        <w:rPr>
          <w:rFonts w:hint="eastAsia" w:ascii="仿宋_GB2312" w:eastAsia="仿宋_GB2312"/>
          <w:sz w:val="32"/>
          <w:szCs w:val="32"/>
        </w:rPr>
        <w:t>，</w:t>
      </w:r>
      <w:r>
        <w:rPr>
          <w:rFonts w:ascii="仿宋_GB2312" w:eastAsia="仿宋_GB2312"/>
          <w:sz w:val="32"/>
          <w:szCs w:val="32"/>
        </w:rPr>
        <w:t>由</w:t>
      </w:r>
      <w:r>
        <w:rPr>
          <w:rFonts w:hint="eastAsia" w:ascii="仿宋_GB2312" w:eastAsia="仿宋_GB2312"/>
          <w:sz w:val="32"/>
          <w:szCs w:val="32"/>
        </w:rPr>
        <w:t>省委</w:t>
      </w:r>
      <w:r>
        <w:rPr>
          <w:rFonts w:ascii="仿宋_GB2312" w:eastAsia="仿宋_GB2312"/>
          <w:sz w:val="32"/>
          <w:szCs w:val="32"/>
        </w:rPr>
        <w:t>宣传部管理</w:t>
      </w:r>
      <w:r>
        <w:rPr>
          <w:rFonts w:hint="eastAsia" w:ascii="仿宋_GB2312" w:eastAsia="仿宋_GB2312"/>
          <w:color w:val="000000"/>
          <w:sz w:val="32"/>
          <w:szCs w:val="32"/>
        </w:rPr>
        <w:t>（川委办[1983]46号）。</w:t>
      </w:r>
      <w:r>
        <w:rPr>
          <w:rFonts w:hint="eastAsia" w:ascii="仿宋_GB2312" w:eastAsia="仿宋_GB2312"/>
          <w:sz w:val="32"/>
          <w:szCs w:val="32"/>
        </w:rPr>
        <w:t>核定内设处室2个，事业编制13人，其中处级领导职数4人。1998年，“邓小平理论研究中心”从党研室改挂靠到省委讲师团，现更名为“四川省中国特色社会主义理论体系研究中心”。</w:t>
      </w:r>
      <w:r>
        <w:rPr>
          <w:rFonts w:hint="eastAsia" w:ascii="仿宋_GB2312" w:eastAsia="仿宋_GB2312"/>
          <w:color w:val="000000"/>
          <w:sz w:val="32"/>
          <w:szCs w:val="32"/>
        </w:rPr>
        <w:t>2009年，省委讲师团经批准为参照公务员法管理的事业单位（川组通[2009]42号）。</w:t>
      </w:r>
    </w:p>
    <w:p>
      <w:pPr>
        <w:ind w:firstLine="630"/>
        <w:jc w:val="left"/>
        <w:rPr>
          <w:rFonts w:ascii="楷体" w:hAnsi="楷体" w:eastAsia="楷体"/>
          <w:sz w:val="32"/>
          <w:szCs w:val="32"/>
        </w:rPr>
      </w:pPr>
      <w:r>
        <w:rPr>
          <w:rFonts w:hint="eastAsia" w:ascii="楷体" w:hAnsi="楷体" w:eastAsia="楷体"/>
          <w:sz w:val="32"/>
          <w:szCs w:val="32"/>
        </w:rPr>
        <w:t>（三）人员情况</w:t>
      </w:r>
    </w:p>
    <w:p>
      <w:pPr>
        <w:ind w:firstLine="630"/>
        <w:jc w:val="left"/>
        <w:rPr>
          <w:rFonts w:ascii="仿宋_GB2312" w:eastAsia="仿宋_GB2312"/>
          <w:color w:val="000000"/>
          <w:sz w:val="32"/>
          <w:szCs w:val="32"/>
        </w:rPr>
      </w:pPr>
      <w:r>
        <w:rPr>
          <w:rFonts w:hint="eastAsia" w:ascii="仿宋_GB2312" w:eastAsia="仿宋_GB2312"/>
          <w:color w:val="000000"/>
          <w:sz w:val="32"/>
          <w:szCs w:val="32"/>
        </w:rPr>
        <w:t>省委讲师团现有在编人员8人，招聘和借用人员</w:t>
      </w:r>
      <w:r>
        <w:rPr>
          <w:rFonts w:ascii="仿宋_GB2312" w:eastAsia="仿宋_GB2312"/>
          <w:color w:val="000000"/>
          <w:sz w:val="32"/>
          <w:szCs w:val="32"/>
        </w:rPr>
        <w:t>4</w:t>
      </w:r>
      <w:r>
        <w:rPr>
          <w:rFonts w:hint="eastAsia" w:ascii="仿宋_GB2312" w:eastAsia="仿宋_GB2312"/>
          <w:color w:val="000000"/>
          <w:sz w:val="32"/>
          <w:szCs w:val="32"/>
        </w:rPr>
        <w:t>人。退休人员9人。</w:t>
      </w:r>
    </w:p>
    <w:p>
      <w:pPr>
        <w:pStyle w:val="4"/>
        <w:spacing w:before="0" w:after="0"/>
        <w:ind w:firstLine="640" w:firstLineChars="200"/>
        <w:rPr>
          <w:rFonts w:ascii="黑体" w:hAnsi="黑体" w:eastAsia="黑体" w:cs="楷体"/>
        </w:rPr>
      </w:pPr>
      <w:r>
        <w:rPr>
          <w:rStyle w:val="26"/>
          <w:rFonts w:hint="eastAsia" w:ascii="黑体" w:hAnsi="黑体" w:eastAsia="黑体" w:cs="楷体"/>
          <w:b w:val="0"/>
          <w:bCs w:val="0"/>
        </w:rPr>
        <w:t>二、</w:t>
      </w:r>
      <w:r>
        <w:rPr>
          <w:rFonts w:hint="eastAsia" w:ascii="黑体" w:hAnsi="黑体" w:eastAsia="黑体" w:cs="楷体"/>
        </w:rPr>
        <w:t>2020年重点工作完成情况</w:t>
      </w:r>
    </w:p>
    <w:p>
      <w:pPr>
        <w:spacing w:line="600" w:lineRule="exact"/>
        <w:ind w:firstLine="640" w:firstLineChars="200"/>
        <w:rPr>
          <w:rFonts w:ascii="仿宋_GB2312" w:hAnsi="楷体" w:eastAsia="仿宋_GB2312" w:cs="楷体"/>
          <w:bCs/>
          <w:sz w:val="32"/>
          <w:szCs w:val="32"/>
        </w:rPr>
      </w:pPr>
      <w:r>
        <w:rPr>
          <w:rFonts w:hint="eastAsia" w:ascii="仿宋_GB2312" w:hAnsi="楷体" w:eastAsia="仿宋_GB2312" w:cs="楷体"/>
          <w:bCs/>
          <w:sz w:val="32"/>
          <w:szCs w:val="32"/>
        </w:rPr>
        <w:t>2020年，</w:t>
      </w:r>
      <w:r>
        <w:rPr>
          <w:rFonts w:hint="eastAsia" w:ascii="仿宋_GB2312" w:hAnsi="楷体" w:eastAsia="仿宋_GB2312" w:cs="楷体"/>
          <w:bCs/>
          <w:snapToGrid w:val="0"/>
          <w:sz w:val="32"/>
          <w:szCs w:val="32"/>
        </w:rPr>
        <w:t>我们认真学习宣传贯彻习近平新时代中国特色社会主义思想，坚定贯彻落实</w:t>
      </w:r>
      <w:r>
        <w:rPr>
          <w:rFonts w:hint="eastAsia" w:ascii="仿宋_GB2312" w:hAnsi="楷体" w:eastAsia="仿宋_GB2312" w:cs="楷体"/>
          <w:bCs/>
          <w:sz w:val="32"/>
          <w:szCs w:val="32"/>
        </w:rPr>
        <w:t>中央和省委决策部署，围绕中心、服务大局，创新思维、奋力作为，各项工作取得良好成效。</w:t>
      </w:r>
    </w:p>
    <w:p>
      <w:pPr>
        <w:ind w:firstLine="643" w:firstLineChars="200"/>
        <w:rPr>
          <w:rFonts w:ascii="仿宋_GB2312" w:hAnsi="楷体" w:eastAsia="仿宋_GB2312" w:cs="楷体"/>
          <w:b/>
          <w:bCs/>
          <w:sz w:val="32"/>
          <w:szCs w:val="32"/>
        </w:rPr>
      </w:pPr>
      <w:r>
        <w:rPr>
          <w:rFonts w:hint="eastAsia" w:ascii="仿宋_GB2312" w:hAnsi="楷体" w:eastAsia="仿宋_GB2312" w:cs="楷体"/>
          <w:b/>
          <w:bCs/>
          <w:sz w:val="32"/>
          <w:szCs w:val="32"/>
        </w:rPr>
        <w:t>（一）、“学习强国”立足形成品牌，建设推广有力有效</w:t>
      </w:r>
    </w:p>
    <w:p>
      <w:pPr>
        <w:ind w:firstLine="624"/>
        <w:rPr>
          <w:rFonts w:ascii="仿宋_GB2312" w:hAnsi="楷体" w:eastAsia="仿宋_GB2312" w:cs="楷体"/>
          <w:bCs/>
          <w:snapToGrid w:val="0"/>
          <w:sz w:val="32"/>
          <w:szCs w:val="32"/>
        </w:rPr>
      </w:pPr>
      <w:r>
        <w:rPr>
          <w:rFonts w:hint="eastAsia" w:ascii="仿宋_GB2312" w:hAnsi="楷体" w:eastAsia="仿宋_GB2312" w:cs="楷体"/>
          <w:bCs/>
          <w:snapToGrid w:val="0"/>
          <w:sz w:val="32"/>
          <w:szCs w:val="32"/>
        </w:rPr>
        <w:t>一是夯实制度基础。出台《“学习强国”四川学习平台工作制度》《“学习强国”四川学习平台供稿管理规范》，建立19项具体制度、18项供稿规则，不断提高规范化管理水平。编印《四川工作情况》6期，《四川工作情况通报》12期，强化日常监督管理。纳入组织架构学员总数305万，建立全省各级通讯站938个，组建供稿员1750人，召开全省供稿队伍业务培训工作会，不断提高“三支队伍”建设水平。四川制度建设经验被中宣部《“学习强国”学习平台建设情况》采用推介。二是强化品牌效应。坚持常态化分析、选题策划、栏目优化，完成全面改版提升，打造“14+70”两级栏目，形成了“天府讲堂”“巴蜀文化”“大美四川”等具有品牌影响力的产品。统筹“报网微端屏”和各地各部门资源，围绕新冠肺炎疫情防控、脱贫攻坚、全国全省“两会”、党的十九届五中全会和省委十一届七次、八次全会等重大主题，策划推出专题55个，上线稿件5.1万余条，被全国平台选用稿件5200余条，动漫、短视频等原创作品备受关注。三是“增粉”跨省联动。联动重庆、成都学习平台开展“跟着‘学习强国’去旅行——惠游双城”，</w:t>
      </w:r>
      <w:r>
        <w:rPr>
          <w:rFonts w:hint="eastAsia" w:ascii="仿宋_GB2312" w:hAnsi="楷体" w:eastAsia="仿宋_GB2312" w:cs="楷体"/>
          <w:bCs/>
          <w:sz w:val="32"/>
          <w:szCs w:val="32"/>
        </w:rPr>
        <w:t>串联川渝两地130余家打卡地图，</w:t>
      </w:r>
      <w:r>
        <w:rPr>
          <w:rFonts w:hint="eastAsia" w:ascii="仿宋_GB2312" w:hAnsi="楷体" w:eastAsia="仿宋_GB2312" w:cs="楷体"/>
          <w:bCs/>
          <w:snapToGrid w:val="0"/>
          <w:sz w:val="32"/>
          <w:szCs w:val="32"/>
        </w:rPr>
        <w:t>掀起“寓学于游”新风尚。线上开展“非常时刻，最走心的凡人金句” “爱国情·强国志·报国行”“遇见·成渝双城”等主题活动，线下开展“学习强国”点亮四川等主题活动，推动“学习强国”走进党员干部群众学习生活，不断提升平台参与度活跃度。目前，全省注册用户533万余人，日活跃数165万余人；四川学习平台订阅人数超3158万，浏览量突破34亿人次，多项指标居全国前列。四是加快融合发展。指导我省首批地市级平台——成都、广安学习平台上线，推动廉政</w:t>
      </w:r>
      <w:r>
        <w:rPr>
          <w:rFonts w:hint="eastAsia" w:ascii="微软雅黑" w:hAnsi="微软雅黑" w:eastAsia="微软雅黑" w:cs="微软雅黑"/>
          <w:bCs/>
          <w:snapToGrid w:val="0"/>
          <w:sz w:val="32"/>
          <w:szCs w:val="32"/>
        </w:rPr>
        <w:t>瞭</w:t>
      </w:r>
      <w:r>
        <w:rPr>
          <w:rFonts w:hint="eastAsia" w:ascii="仿宋_GB2312" w:hAnsi="仿宋_GB2312" w:eastAsia="仿宋_GB2312" w:cs="仿宋_GB2312"/>
          <w:bCs/>
          <w:snapToGrid w:val="0"/>
          <w:sz w:val="32"/>
          <w:szCs w:val="32"/>
        </w:rPr>
        <w:t>望、今日四川等一批四川媒体入驻“强国号”，推介封面新闻、川观新闻等优质新媒体登录“学习强国”</w:t>
      </w:r>
      <w:r>
        <w:rPr>
          <w:rFonts w:hint="eastAsia" w:ascii="仿宋_GB2312" w:hAnsi="楷体" w:eastAsia="仿宋_GB2312" w:cs="楷体"/>
          <w:bCs/>
          <w:snapToGrid w:val="0"/>
          <w:sz w:val="32"/>
          <w:szCs w:val="32"/>
        </w:rPr>
        <w:t xml:space="preserve">APP，四川融合发展“细胞”更丰富多元。今年10月，“学习强国”学习平台总编辑刘汉俊来川调研，对四川学习平台工作给予充分肯定，并作出批示：四川平台“同志们做了大量卓有成效的工作，内容建设、技术支撑、组织推动等各项工作走在全国前列，产生了很好的社会效果，得到了广泛好评，一些经验在全国具有首创意义、示范价值。” </w:t>
      </w:r>
    </w:p>
    <w:p>
      <w:pPr>
        <w:spacing w:line="600" w:lineRule="exact"/>
        <w:ind w:firstLine="643" w:firstLineChars="200"/>
        <w:rPr>
          <w:rFonts w:ascii="仿宋_GB2312" w:hAnsi="楷体" w:eastAsia="仿宋_GB2312" w:cs="楷体"/>
          <w:b/>
          <w:bCs/>
          <w:sz w:val="32"/>
          <w:szCs w:val="32"/>
        </w:rPr>
      </w:pPr>
      <w:r>
        <w:rPr>
          <w:rFonts w:hint="eastAsia" w:ascii="仿宋_GB2312" w:hAnsi="楷体" w:eastAsia="仿宋_GB2312" w:cs="楷体"/>
          <w:b/>
          <w:bCs/>
          <w:sz w:val="32"/>
          <w:szCs w:val="32"/>
        </w:rPr>
        <w:t>（二）、“中心组平台”立足学习服务，助力深化理论武装</w:t>
      </w:r>
    </w:p>
    <w:p>
      <w:pPr>
        <w:spacing w:line="600" w:lineRule="exact"/>
        <w:ind w:firstLine="640" w:firstLineChars="200"/>
        <w:rPr>
          <w:rFonts w:ascii="仿宋_GB2312" w:hAnsi="楷体" w:eastAsia="仿宋_GB2312" w:cs="楷体"/>
          <w:bCs/>
          <w:snapToGrid w:val="0"/>
          <w:sz w:val="32"/>
          <w:szCs w:val="32"/>
        </w:rPr>
      </w:pPr>
      <w:r>
        <w:rPr>
          <w:rFonts w:hint="eastAsia" w:ascii="仿宋_GB2312" w:hAnsi="楷体" w:eastAsia="仿宋_GB2312" w:cs="楷体"/>
          <w:bCs/>
          <w:snapToGrid w:val="0"/>
          <w:sz w:val="32"/>
          <w:szCs w:val="32"/>
        </w:rPr>
        <w:t>一是坚持内容为王。编发新闻报道、评论解读、专家报告、学习动态、心得体会等各类稿件1万余条，开设“学习贯彻十九届五中全会精神”“学习领会《习近平谈治国理政》第三卷”“唱好双城记建好经济圈”等专题专栏12个。微信公众号推送信息233期，编发图解图说、微视频、动漫等各类稿件5900余条，制作推出的“四川两会代表说”等H5作品广受好评。二是服务学习管理。完善学习管理后台组织架构，做好数据监测分析维护，为中心组管理考核提供大数据服务。目前，共建立中心组及学员账户5万余个、分享交流各类工作信息3万余条。三是加强互动参与。推出“学习贯彻十九届五中全会精神”“庆祝中国共产党成立99周年”等知识问答活动4个，吸引数万网友参与，发放奖励810余人次。推出“学全会精神·大家说” “点赞新时代我们都是追梦人”主题征文活动3个，收到投稿300余篇，编发稿件100余篇。</w:t>
      </w:r>
    </w:p>
    <w:p>
      <w:pPr>
        <w:spacing w:line="600" w:lineRule="exact"/>
        <w:ind w:firstLine="643" w:firstLineChars="200"/>
        <w:rPr>
          <w:rFonts w:ascii="仿宋_GB2312" w:hAnsi="楷体" w:eastAsia="仿宋_GB2312" w:cs="楷体"/>
          <w:b/>
          <w:bCs/>
          <w:sz w:val="32"/>
          <w:szCs w:val="32"/>
        </w:rPr>
      </w:pPr>
      <w:r>
        <w:rPr>
          <w:rFonts w:hint="eastAsia" w:ascii="仿宋_GB2312" w:hAnsi="楷体" w:eastAsia="仿宋_GB2312" w:cs="楷体"/>
          <w:b/>
          <w:bCs/>
          <w:sz w:val="32"/>
          <w:szCs w:val="32"/>
        </w:rPr>
        <w:t>（三）、四川省“中特中心”立足联合攻关，研究成果不断涌现</w:t>
      </w:r>
    </w:p>
    <w:p>
      <w:pPr>
        <w:spacing w:line="600" w:lineRule="exact"/>
        <w:ind w:firstLine="640" w:firstLineChars="200"/>
        <w:rPr>
          <w:rFonts w:ascii="仿宋_GB2312" w:hAnsi="楷体" w:eastAsia="仿宋_GB2312" w:cs="楷体"/>
          <w:bCs/>
          <w:snapToGrid w:val="0"/>
          <w:sz w:val="32"/>
          <w:szCs w:val="32"/>
        </w:rPr>
      </w:pPr>
      <w:r>
        <w:rPr>
          <w:rFonts w:hint="eastAsia" w:ascii="仿宋_GB2312" w:hAnsi="楷体" w:eastAsia="仿宋_GB2312" w:cs="楷体"/>
          <w:bCs/>
          <w:snapToGrid w:val="0"/>
          <w:sz w:val="32"/>
          <w:szCs w:val="32"/>
        </w:rPr>
        <w:t>一是优化专家队伍。面向全省党政机关、高校、党校、社科研究机构等单位广发“英雄帖”，遴选13名知名专家学者成立专家委员会，组建35名特约研究员队伍，吸纳优秀理论研究人才特别是高校重点马院的青年优秀人才130余名进入“专家库”。召开专家座谈会，颁发荣誉证书。二是推动联合攻关。在面向社科各界征集重点选题的基础上，与省社科联联合攻关，将立项课题列入省社会科学规划项目，立项“十九届五中全会精神研究阐释”课题20个。三是推出重点成果。开设“强国会客厅”栏目，邀约知名学者以“微视频”方式宣传阐释中央和省委全会精神。鼓励专家在重要党报党刊上发表理论文章，编发《成果专报》2期。今年以来，以四川省“中特中心”名义在人民日报、光明日报客户端发表文章5篇，在党建网、四川日报等发表文章30余篇。</w:t>
      </w:r>
    </w:p>
    <w:p>
      <w:pPr>
        <w:spacing w:line="600" w:lineRule="exact"/>
        <w:ind w:firstLine="643" w:firstLineChars="200"/>
        <w:rPr>
          <w:rFonts w:ascii="仿宋_GB2312" w:hAnsi="楷体" w:eastAsia="仿宋_GB2312" w:cs="楷体"/>
          <w:b/>
          <w:bCs/>
          <w:sz w:val="32"/>
          <w:szCs w:val="32"/>
        </w:rPr>
      </w:pPr>
      <w:r>
        <w:rPr>
          <w:rFonts w:hint="eastAsia" w:ascii="仿宋_GB2312" w:hAnsi="楷体" w:eastAsia="仿宋_GB2312" w:cs="楷体"/>
          <w:b/>
          <w:bCs/>
          <w:sz w:val="32"/>
          <w:szCs w:val="32"/>
        </w:rPr>
        <w:t>（四）、“基层宣讲”立足贴近实际，创新宣讲成效显著</w:t>
      </w:r>
    </w:p>
    <w:p>
      <w:pPr>
        <w:spacing w:line="600" w:lineRule="exact"/>
        <w:ind w:firstLine="640" w:firstLineChars="200"/>
        <w:rPr>
          <w:rFonts w:ascii="仿宋_GB2312" w:hAnsi="楷体" w:eastAsia="仿宋_GB2312" w:cs="楷体"/>
          <w:bCs/>
        </w:rPr>
      </w:pPr>
      <w:r>
        <w:rPr>
          <w:rFonts w:hint="eastAsia" w:ascii="仿宋_GB2312" w:hAnsi="楷体" w:eastAsia="仿宋_GB2312" w:cs="楷体"/>
          <w:bCs/>
          <w:snapToGrid w:val="0"/>
          <w:sz w:val="32"/>
          <w:szCs w:val="32"/>
        </w:rPr>
        <w:t>一是推动“落地生根”。第一时间组织动员全省各地组建</w:t>
      </w:r>
      <w:r>
        <w:rPr>
          <w:rFonts w:hint="eastAsia" w:ascii="仿宋_GB2312" w:hAnsi="楷体" w:eastAsia="仿宋_GB2312" w:cs="楷体"/>
          <w:bCs/>
          <w:sz w:val="32"/>
          <w:szCs w:val="32"/>
        </w:rPr>
        <w:t>宣讲小分队，进企业、进校园、进机关、进社区、进农村、进家庭、进公共场所，通过 “小故事”讲清“大道理”，推动中央、省委全会精神在基层落地生根。</w:t>
      </w:r>
      <w:r>
        <w:rPr>
          <w:rFonts w:hint="eastAsia" w:ascii="仿宋_GB2312" w:hAnsi="楷体" w:eastAsia="仿宋_GB2312" w:cs="楷体"/>
          <w:bCs/>
          <w:snapToGrid w:val="0"/>
          <w:sz w:val="32"/>
          <w:szCs w:val="32"/>
        </w:rPr>
        <w:t>二是创新“指间宣讲”。依托“学习强国”“中心组”平台，运用H5、微视频、电子书等方式，开展“四川理论之声”“党课开讲啦”“学全会精神·大家说”等“云”宣讲。疫情防控期间，依托“学习强国”平台编发土味“宣讲”等微视频等700余条，覆盖400余万人。三是打造“一地一品”。举办全省讲师团系统工作培训会，指导各地结合实际，</w:t>
      </w:r>
      <w:r>
        <w:rPr>
          <w:rFonts w:hint="eastAsia" w:ascii="仿宋_GB2312" w:hAnsi="楷体" w:eastAsia="仿宋_GB2312" w:cs="楷体"/>
          <w:bCs/>
          <w:sz w:val="32"/>
          <w:szCs w:val="32"/>
        </w:rPr>
        <w:t>组建善用事实典型、群众语言、民间艺术等宣讲的基层队伍，</w:t>
      </w:r>
      <w:r>
        <w:rPr>
          <w:rStyle w:val="31"/>
          <w:rFonts w:hint="eastAsia" w:ascii="仿宋_GB2312" w:hAnsi="楷体" w:eastAsia="仿宋_GB2312" w:cs="楷体"/>
          <w:bCs/>
          <w:color w:val="auto"/>
          <w:sz w:val="32"/>
          <w:szCs w:val="32"/>
        </w:rPr>
        <w:t>广泛</w:t>
      </w:r>
      <w:r>
        <w:rPr>
          <w:rFonts w:hint="eastAsia" w:ascii="仿宋_GB2312" w:hAnsi="楷体" w:eastAsia="仿宋_GB2312" w:cs="楷体"/>
          <w:bCs/>
          <w:snapToGrid w:val="0"/>
          <w:sz w:val="32"/>
          <w:szCs w:val="32"/>
        </w:rPr>
        <w:t>开展“百姓宣讲”“文艺宣讲”“双语宣讲”等，打造我省“一地一品”特色宣讲品牌。</w:t>
      </w:r>
    </w:p>
    <w:bookmarkEnd w:id="14"/>
    <w:bookmarkEnd w:id="15"/>
    <w:p>
      <w:pPr>
        <w:widowControl/>
        <w:jc w:val="left"/>
        <w:rPr>
          <w:rFonts w:ascii="仿宋_GB2312" w:hAnsi="仿宋" w:eastAsia="仿宋_GB2312"/>
          <w:color w:val="000000"/>
          <w:kern w:val="0"/>
          <w:sz w:val="32"/>
          <w:szCs w:val="32"/>
        </w:rPr>
      </w:pPr>
      <w:r>
        <w:rPr>
          <w:rFonts w:hint="eastAsia" w:ascii="仿宋_GB2312" w:hAnsi="仿宋" w:eastAsia="仿宋_GB2312"/>
          <w:color w:val="000000"/>
          <w:sz w:val="32"/>
          <w:szCs w:val="32"/>
        </w:rPr>
        <w:br w:type="page"/>
      </w:r>
    </w:p>
    <w:p>
      <w:pPr>
        <w:pStyle w:val="3"/>
        <w:ind w:right="440"/>
        <w:jc w:val="center"/>
        <w:rPr>
          <w:rFonts w:ascii="方正小标宋简体" w:eastAsia="方正小标宋简体"/>
        </w:rPr>
      </w:pPr>
      <w:bookmarkStart w:id="16" w:name="_Toc15377204"/>
      <w:bookmarkStart w:id="17" w:name="_Toc15396602"/>
      <w:r>
        <w:rPr>
          <w:rFonts w:hint="eastAsia" w:ascii="方正小标宋简体" w:hAnsi="黑体" w:eastAsia="方正小标宋简体"/>
          <w:b w:val="0"/>
        </w:rPr>
        <w:t>第二部分 2020年度</w:t>
      </w:r>
      <w:r>
        <w:rPr>
          <w:rStyle w:val="25"/>
          <w:rFonts w:hint="eastAsia" w:ascii="方正小标宋简体" w:hAnsi="黑体" w:eastAsia="方正小标宋简体"/>
          <w:b w:val="0"/>
          <w:bCs/>
        </w:rPr>
        <w:t>单位决算情况说明</w:t>
      </w:r>
      <w:bookmarkEnd w:id="16"/>
      <w:bookmarkEnd w:id="17"/>
    </w:p>
    <w:p>
      <w:pPr>
        <w:pStyle w:val="24"/>
        <w:numPr>
          <w:ilvl w:val="0"/>
          <w:numId w:val="2"/>
        </w:numPr>
        <w:spacing w:line="600" w:lineRule="exact"/>
        <w:ind w:firstLineChars="0"/>
        <w:outlineLvl w:val="1"/>
        <w:rPr>
          <w:rStyle w:val="26"/>
          <w:rFonts w:ascii="黑体" w:hAnsi="黑体" w:eastAsia="黑体"/>
          <w:b w:val="0"/>
        </w:rPr>
      </w:pPr>
      <w:bookmarkStart w:id="18" w:name="_Toc15377205"/>
      <w:bookmarkStart w:id="19" w:name="_Toc15396603"/>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18"/>
      <w:bookmarkEnd w:id="19"/>
    </w:p>
    <w:p>
      <w:pPr>
        <w:spacing w:line="600" w:lineRule="exact"/>
        <w:ind w:firstLine="640" w:firstLineChars="200"/>
        <w:rPr>
          <w:rFonts w:ascii="仿宋_GB2312" w:hAnsi="仿宋" w:eastAsia="仿宋_GB2312"/>
          <w:color w:val="00B0F0"/>
          <w:sz w:val="32"/>
          <w:szCs w:val="32"/>
        </w:rPr>
      </w:pPr>
      <w:r>
        <w:rPr>
          <w:rFonts w:hint="eastAsia" w:ascii="仿宋_GB2312" w:hAnsi="仿宋" w:eastAsia="仿宋_GB2312"/>
          <w:sz w:val="32"/>
          <w:szCs w:val="32"/>
        </w:rPr>
        <w:t>2020年度收、支总计898.92万元。与2019年相比，收、支总计各增加100.63万元，增长12.61%。主要变动原因是根据中宣部要求，“学习强国”平台建设运维项目资金增加所致。</w:t>
      </w:r>
    </w:p>
    <w:p>
      <w:pPr>
        <w:rPr>
          <w:rFonts w:ascii="仿宋_GB2312" w:eastAsia="仿宋_GB2312"/>
        </w:rPr>
      </w:pPr>
      <w:r>
        <w:rPr>
          <w:rFonts w:hint="eastAsia" w:ascii="仿宋_GB2312" w:eastAsia="仿宋_GB2312"/>
        </w:rPr>
        <w:drawing>
          <wp:inline distT="0" distB="0" distL="0" distR="0">
            <wp:extent cx="5274310" cy="3076575"/>
            <wp:effectExtent l="5080" t="4445" r="16510" b="508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640" w:firstLineChars="200"/>
        <w:jc w:val="center"/>
      </w:pPr>
      <w:r>
        <w:rPr>
          <w:rFonts w:hint="eastAsia" w:ascii="仿宋_GB2312" w:hAnsi="仿宋" w:eastAsia="仿宋_GB2312"/>
          <w:color w:val="00B0F0"/>
          <w:sz w:val="32"/>
          <w:szCs w:val="32"/>
        </w:rPr>
        <w:t>（图1：收、支决算总计变动情况图）</w:t>
      </w:r>
    </w:p>
    <w:p>
      <w:pPr>
        <w:pStyle w:val="24"/>
        <w:numPr>
          <w:ilvl w:val="0"/>
          <w:numId w:val="2"/>
        </w:numPr>
        <w:spacing w:line="600" w:lineRule="exact"/>
        <w:ind w:firstLineChars="0"/>
        <w:outlineLvl w:val="1"/>
        <w:rPr>
          <w:rStyle w:val="26"/>
          <w:rFonts w:ascii="黑体" w:hAnsi="黑体" w:eastAsia="黑体"/>
          <w:b w:val="0"/>
        </w:rPr>
      </w:pPr>
      <w:bookmarkStart w:id="20" w:name="_Toc15396604"/>
      <w:bookmarkStart w:id="21" w:name="_Toc15377206"/>
      <w:r>
        <w:rPr>
          <w:rFonts w:hint="eastAsia" w:ascii="黑体" w:hAnsi="黑体" w:eastAsia="黑体"/>
          <w:b/>
          <w:color w:val="000000"/>
          <w:sz w:val="32"/>
          <w:szCs w:val="32"/>
        </w:rPr>
        <w:t>收</w:t>
      </w:r>
      <w:r>
        <w:rPr>
          <w:rStyle w:val="26"/>
          <w:rFonts w:hint="eastAsia" w:ascii="黑体" w:hAnsi="黑体" w:eastAsia="黑体"/>
          <w:b w:val="0"/>
        </w:rPr>
        <w:t>入决算情况说明</w:t>
      </w:r>
      <w:bookmarkEnd w:id="20"/>
      <w:bookmarkEnd w:id="21"/>
    </w:p>
    <w:p>
      <w:pPr>
        <w:spacing w:line="600" w:lineRule="exact"/>
        <w:ind w:firstLine="640" w:firstLineChars="200"/>
        <w:outlineLvl w:val="1"/>
        <w:rPr>
          <w:rFonts w:ascii="仿宋_GB2312" w:hAnsi="仿宋" w:eastAsia="仿宋_GB2312"/>
          <w:color w:val="000000"/>
          <w:sz w:val="32"/>
          <w:szCs w:val="32"/>
        </w:rPr>
      </w:pPr>
      <w:r>
        <w:rPr>
          <w:rFonts w:hint="eastAsia" w:ascii="仿宋_GB2312" w:hAnsi="仿宋" w:eastAsia="仿宋_GB2312"/>
          <w:color w:val="000000"/>
          <w:sz w:val="32"/>
          <w:szCs w:val="32"/>
        </w:rPr>
        <w:t>2020年年收入合计898.92万元，其中：一般公共预算财政拨款收入898.89万元，占99.997%；其他收入0.01万元，占0.001%，年初结转结余0.02万元，占0.002%。</w:t>
      </w:r>
    </w:p>
    <w:p>
      <w:pPr>
        <w:pStyle w:val="2"/>
        <w:spacing w:before="93"/>
      </w:pPr>
      <w:r>
        <w:rPr>
          <w:rFonts w:hint="eastAsia"/>
          <w:b/>
          <w:sz w:val="32"/>
          <w:szCs w:val="32"/>
        </w:rPr>
        <w:drawing>
          <wp:inline distT="0" distB="0" distL="0" distR="0">
            <wp:extent cx="5274310" cy="3076575"/>
            <wp:effectExtent l="5080" t="4445" r="16510" b="508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jc w:val="center"/>
        <w:rPr>
          <w:rFonts w:ascii="仿宋_GB2312" w:hAnsi="仿宋" w:eastAsia="仿宋_GB2312"/>
          <w:color w:val="0070C0"/>
          <w:sz w:val="32"/>
          <w:szCs w:val="32"/>
        </w:rPr>
      </w:pPr>
      <w:r>
        <w:rPr>
          <w:rFonts w:hint="eastAsia" w:ascii="仿宋_GB2312" w:hAnsi="仿宋" w:eastAsia="仿宋_GB2312"/>
          <w:sz w:val="32"/>
          <w:szCs w:val="32"/>
          <w14:textFill>
            <w14:gradFill>
              <w14:gsLst>
                <w14:gs w14:pos="0">
                  <w14:srgbClr w14:val="007BD3"/>
                </w14:gs>
                <w14:gs w14:pos="100000">
                  <w14:srgbClr w14:val="034373"/>
                </w14:gs>
              </w14:gsLst>
              <w14:lin w14:ang="0" w14:scaled="0"/>
            </w14:gradFill>
          </w14:textFill>
        </w:rPr>
        <w:t>（图2：收入决算结构图）</w:t>
      </w:r>
    </w:p>
    <w:p>
      <w:pPr>
        <w:pStyle w:val="24"/>
        <w:numPr>
          <w:ilvl w:val="0"/>
          <w:numId w:val="2"/>
        </w:numPr>
        <w:spacing w:line="600" w:lineRule="exact"/>
        <w:ind w:firstLineChars="0"/>
        <w:outlineLvl w:val="1"/>
        <w:rPr>
          <w:rStyle w:val="26"/>
          <w:rFonts w:ascii="黑体" w:hAnsi="黑体" w:eastAsia="黑体"/>
          <w:b w:val="0"/>
        </w:rPr>
      </w:pPr>
      <w:bookmarkStart w:id="22" w:name="_Toc15377207"/>
      <w:bookmarkStart w:id="23" w:name="_Toc15396605"/>
      <w:r>
        <w:rPr>
          <w:rFonts w:hint="eastAsia" w:ascii="黑体" w:hAnsi="黑体" w:eastAsia="黑体"/>
          <w:color w:val="000000"/>
          <w:sz w:val="32"/>
          <w:szCs w:val="32"/>
        </w:rPr>
        <w:t>支</w:t>
      </w:r>
      <w:r>
        <w:rPr>
          <w:rStyle w:val="26"/>
          <w:rFonts w:hint="eastAsia" w:ascii="黑体" w:hAnsi="黑体" w:eastAsia="黑体"/>
          <w:b w:val="0"/>
        </w:rPr>
        <w:t>出决算情况说明</w:t>
      </w:r>
      <w:bookmarkEnd w:id="22"/>
      <w:bookmarkEnd w:id="23"/>
    </w:p>
    <w:p>
      <w:pPr>
        <w:spacing w:line="600" w:lineRule="exact"/>
        <w:ind w:firstLine="640" w:firstLineChars="200"/>
        <w:outlineLvl w:val="1"/>
        <w:rPr>
          <w:rFonts w:ascii="仿宋_GB2312" w:hAnsi="仿宋" w:eastAsia="仿宋_GB2312"/>
          <w:color w:val="000000"/>
          <w:sz w:val="32"/>
          <w:szCs w:val="32"/>
        </w:rPr>
      </w:pPr>
      <w:r>
        <w:rPr>
          <w:rFonts w:hint="eastAsia" w:ascii="仿宋_GB2312" w:hAnsi="仿宋" w:eastAsia="仿宋_GB2312"/>
          <w:color w:val="000000"/>
          <w:sz w:val="32"/>
          <w:szCs w:val="32"/>
        </w:rPr>
        <w:t>2020年本年支出合计898.92万元，其中：基本支出243.03万元，占27.04%；项目支出655.89万元，占72.96%。</w:t>
      </w:r>
    </w:p>
    <w:p>
      <w:pPr>
        <w:pStyle w:val="2"/>
        <w:spacing w:before="93"/>
      </w:pPr>
      <w:r>
        <w:rPr>
          <w:rFonts w:hint="eastAsia"/>
          <w:b/>
          <w:sz w:val="32"/>
          <w:szCs w:val="32"/>
        </w:rPr>
        <w:drawing>
          <wp:inline distT="0" distB="0" distL="0" distR="0">
            <wp:extent cx="5274310" cy="3076575"/>
            <wp:effectExtent l="5080" t="4445" r="16510" b="508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jc w:val="center"/>
        <w:rPr>
          <w:rFonts w:ascii="仿宋_GB2312" w:hAnsi="仿宋" w:eastAsia="仿宋_GB2312"/>
          <w:color w:val="00B0F0"/>
          <w:sz w:val="32"/>
          <w:szCs w:val="32"/>
        </w:rPr>
      </w:pPr>
      <w:r>
        <w:rPr>
          <w:rFonts w:hint="eastAsia" w:ascii="仿宋_GB2312" w:hAnsi="仿宋" w:eastAsia="仿宋_GB2312"/>
          <w:color w:val="00B0F0"/>
          <w:sz w:val="32"/>
          <w:szCs w:val="32"/>
        </w:rPr>
        <w:t>（图3：支出决算结构图）</w:t>
      </w:r>
    </w:p>
    <w:p>
      <w:pPr>
        <w:pStyle w:val="2"/>
        <w:spacing w:before="93"/>
      </w:pPr>
    </w:p>
    <w:p>
      <w:pPr>
        <w:spacing w:line="600" w:lineRule="exact"/>
        <w:ind w:firstLine="640" w:firstLineChars="200"/>
        <w:outlineLvl w:val="1"/>
        <w:rPr>
          <w:rStyle w:val="26"/>
          <w:rFonts w:ascii="黑体" w:hAnsi="黑体" w:eastAsia="黑体"/>
          <w:b w:val="0"/>
        </w:rPr>
      </w:pPr>
      <w:bookmarkStart w:id="24" w:name="_Toc15396606"/>
      <w:bookmarkStart w:id="25" w:name="_Toc15377208"/>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24"/>
      <w:bookmarkEnd w:id="25"/>
    </w:p>
    <w:p>
      <w:pPr>
        <w:spacing w:line="600" w:lineRule="exact"/>
        <w:ind w:firstLine="640"/>
        <w:rPr>
          <w:rFonts w:ascii="仿宋_GB2312" w:hAnsi="仿宋" w:eastAsia="仿宋_GB2312"/>
          <w:color w:val="0000FF"/>
          <w:sz w:val="32"/>
          <w:szCs w:val="32"/>
        </w:rPr>
      </w:pPr>
      <w:r>
        <w:rPr>
          <w:rFonts w:hint="eastAsia" w:ascii="仿宋_GB2312" w:hAnsi="仿宋" w:eastAsia="仿宋_GB2312"/>
          <w:color w:val="000000"/>
          <w:sz w:val="32"/>
          <w:szCs w:val="32"/>
        </w:rPr>
        <w:t>2020年财政拨款收、支总计898.89万元。与2019年相比，财政拨款收、支总计各增加100.63万元，增长12.61%。主要变动原因是根据中宣部工作安排，“学习强国”平台建设运维项目资金增加所致。</w:t>
      </w:r>
    </w:p>
    <w:p>
      <w:pPr>
        <w:keepNext/>
        <w:rPr>
          <w:rFonts w:ascii="仿宋_GB2312" w:eastAsia="仿宋_GB2312"/>
        </w:rPr>
      </w:pPr>
      <w:r>
        <w:rPr>
          <w:rFonts w:hint="eastAsia" w:ascii="仿宋_GB2312" w:eastAsia="仿宋_GB2312"/>
        </w:rPr>
        <w:drawing>
          <wp:inline distT="0" distB="0" distL="0" distR="0">
            <wp:extent cx="5274310" cy="3076575"/>
            <wp:effectExtent l="5080" t="4445" r="16510" b="508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rPr>
          <w:rFonts w:ascii="仿宋_GB2312" w:hAnsi="仿宋" w:eastAsia="仿宋_GB2312"/>
          <w:color w:val="00B0F0"/>
          <w:sz w:val="32"/>
          <w:szCs w:val="32"/>
        </w:rPr>
      </w:pPr>
      <w:r>
        <w:rPr>
          <w:rFonts w:hint="eastAsia" w:ascii="仿宋_GB2312" w:hAnsi="仿宋" w:eastAsia="仿宋_GB2312"/>
          <w:color w:val="00B0F0"/>
          <w:sz w:val="32"/>
          <w:szCs w:val="32"/>
        </w:rPr>
        <w:t>（图4</w:t>
      </w:r>
      <w:bookmarkStart w:id="26" w:name="_Toc15377209"/>
      <w:bookmarkStart w:id="27" w:name="_Toc15396607"/>
      <w:r>
        <w:rPr>
          <w:rFonts w:hint="eastAsia" w:ascii="仿宋_GB2312" w:hAnsi="仿宋" w:eastAsia="仿宋_GB2312"/>
          <w:color w:val="00B0F0"/>
          <w:sz w:val="32"/>
          <w:szCs w:val="32"/>
        </w:rPr>
        <w:t>：财政拨款收、支决算总计变动情况）</w:t>
      </w:r>
    </w:p>
    <w:p>
      <w:pPr>
        <w:spacing w:line="600" w:lineRule="exact"/>
        <w:ind w:firstLine="640" w:firstLineChars="200"/>
        <w:rPr>
          <w:rStyle w:val="26"/>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_GB2312" w:hAnsi="仿宋" w:eastAsia="仿宋_GB2312"/>
          <w:b/>
          <w:color w:val="000000"/>
          <w:sz w:val="32"/>
          <w:szCs w:val="32"/>
        </w:rPr>
      </w:pPr>
      <w:bookmarkStart w:id="28" w:name="_Toc15377210"/>
      <w:r>
        <w:rPr>
          <w:rFonts w:hint="eastAsia" w:ascii="仿宋_GB2312" w:hAnsi="仿宋" w:eastAsia="仿宋_GB2312"/>
          <w:b/>
          <w:color w:val="000000"/>
          <w:sz w:val="32"/>
          <w:szCs w:val="32"/>
        </w:rPr>
        <w:t>（一）一般公共预算财政拨款支出决算总体情况</w:t>
      </w:r>
      <w:bookmarkEnd w:id="28"/>
    </w:p>
    <w:p>
      <w:pPr>
        <w:spacing w:line="60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t>2020年一般公共预算财政拨款支出898.89万元，占本年支出合计的99.99%。与2019年相比，一般公共预算财政拨款增加100.63万元，增长12.61%。主要变动原因是“学习强国”平台建设运维项目资金增加所致。</w:t>
      </w:r>
    </w:p>
    <w:p>
      <w:pPr>
        <w:pStyle w:val="2"/>
        <w:spacing w:before="93"/>
      </w:pPr>
      <w:r>
        <w:rPr>
          <w:rFonts w:hint="eastAsia"/>
          <w:b/>
          <w:sz w:val="32"/>
          <w:szCs w:val="32"/>
        </w:rPr>
        <w:drawing>
          <wp:inline distT="0" distB="0" distL="0" distR="0">
            <wp:extent cx="5274310" cy="3076575"/>
            <wp:effectExtent l="5080" t="4445" r="16510" b="508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（图5：一般公共预算财政拨款支出决算变动情况）</w:t>
      </w:r>
    </w:p>
    <w:p>
      <w:pPr>
        <w:spacing w:line="600" w:lineRule="exact"/>
        <w:ind w:firstLine="643" w:firstLineChars="200"/>
        <w:outlineLvl w:val="2"/>
        <w:rPr>
          <w:rFonts w:ascii="仿宋_GB2312" w:hAnsi="仿宋" w:eastAsia="仿宋_GB2312"/>
          <w:b/>
          <w:color w:val="000000"/>
          <w:sz w:val="32"/>
          <w:szCs w:val="32"/>
        </w:rPr>
      </w:pPr>
      <w:bookmarkStart w:id="29" w:name="_Toc15377211"/>
      <w:r>
        <w:rPr>
          <w:rFonts w:hint="eastAsia" w:ascii="仿宋_GB2312" w:hAnsi="仿宋" w:eastAsia="仿宋_GB2312"/>
          <w:b/>
          <w:color w:val="000000"/>
          <w:sz w:val="32"/>
          <w:szCs w:val="32"/>
        </w:rPr>
        <w:t>（二）一般公共预算财政拨款支出决算结构情况</w:t>
      </w:r>
      <w:bookmarkEnd w:id="29"/>
    </w:p>
    <w:p>
      <w:pPr>
        <w:spacing w:line="60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sz w:val="32"/>
          <w:szCs w:val="32"/>
        </w:rPr>
        <w:t>2020年一般公共预算财</w:t>
      </w:r>
      <w:r>
        <w:rPr>
          <w:rFonts w:hint="eastAsia" w:ascii="仿宋_GB2312" w:hAnsi="仿宋" w:eastAsia="仿宋_GB2312"/>
          <w:color w:val="000000" w:themeColor="text1"/>
          <w:sz w:val="32"/>
          <w:szCs w:val="32"/>
          <w14:textFill>
            <w14:solidFill>
              <w14:schemeClr w14:val="tx1"/>
            </w14:solidFill>
          </w14:textFill>
        </w:rPr>
        <w:t>政拨款支出898.89万元，主要用于以下方</w:t>
      </w:r>
      <w:r>
        <w:rPr>
          <w:rFonts w:hint="eastAsia" w:ascii="仿宋_GB2312" w:hAnsi="仿宋" w:eastAsia="仿宋_GB2312"/>
          <w:color w:val="000000"/>
          <w:sz w:val="32"/>
          <w:szCs w:val="32"/>
        </w:rPr>
        <w:t>面:一般公共服务（类）支出192.7万元，占21.44%；教育支出（类）4.05万元，占0.45%；文化旅游体育与传媒（类）支出626.01万元，占69.64%；社会保障和就业（类）支出34.61万元，占3.85%；卫生健康支出（类）11.42万元，占1.27%；住房保障支出（类）30.10万元</w:t>
      </w:r>
      <w:r>
        <w:rPr>
          <w:rFonts w:hint="eastAsia" w:ascii="仿宋_GB2312" w:hAnsi="仿宋" w:eastAsia="仿宋_GB2312"/>
          <w:color w:val="000000" w:themeColor="text1"/>
          <w:sz w:val="32"/>
          <w:szCs w:val="32"/>
          <w14:textFill>
            <w14:solidFill>
              <w14:schemeClr w14:val="tx1"/>
            </w14:solidFill>
          </w14:textFill>
        </w:rPr>
        <w:t>，占3.35%。</w:t>
      </w:r>
    </w:p>
    <w:p>
      <w:pPr>
        <w:rPr>
          <w:rFonts w:ascii="仿宋_GB2312" w:eastAsia="仿宋_GB2312"/>
          <w:b/>
          <w:snapToGrid w:val="0"/>
          <w:kern w:val="0"/>
          <w:sz w:val="32"/>
          <w:szCs w:val="32"/>
        </w:rPr>
      </w:pPr>
      <w:r>
        <w:rPr>
          <w:rFonts w:hint="eastAsia" w:ascii="仿宋_GB2312" w:eastAsia="仿宋_GB2312"/>
          <w:b/>
          <w:kern w:val="0"/>
          <w:sz w:val="32"/>
          <w:szCs w:val="32"/>
        </w:rPr>
        <w:drawing>
          <wp:inline distT="0" distB="0" distL="0" distR="0">
            <wp:extent cx="5274310" cy="3076575"/>
            <wp:effectExtent l="5080" t="4445" r="16510" b="508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rPr>
          <w:rFonts w:ascii="仿宋_GB2312" w:hAnsi="仿宋" w:eastAsia="仿宋_GB2312"/>
          <w:color w:val="000000"/>
          <w:sz w:val="32"/>
          <w:szCs w:val="32"/>
        </w:rPr>
      </w:pPr>
      <w:r>
        <w:rPr>
          <w:rFonts w:hint="eastAsia" w:ascii="仿宋_GB2312" w:hAnsi="仿宋" w:eastAsia="仿宋_GB2312"/>
          <w:color w:val="000000"/>
          <w:sz w:val="32"/>
          <w:szCs w:val="32"/>
        </w:rPr>
        <w:t>（图6：一般公共预算财政拨款支出决算结构）</w:t>
      </w:r>
    </w:p>
    <w:p>
      <w:pPr>
        <w:spacing w:line="600" w:lineRule="exact"/>
        <w:ind w:firstLine="643" w:firstLineChars="200"/>
        <w:outlineLvl w:val="2"/>
        <w:rPr>
          <w:rFonts w:ascii="仿宋_GB2312" w:hAnsi="仿宋" w:eastAsia="仿宋_GB2312"/>
          <w:b/>
          <w:color w:val="000000"/>
          <w:sz w:val="32"/>
          <w:szCs w:val="32"/>
        </w:rPr>
      </w:pPr>
      <w:bookmarkStart w:id="30" w:name="_Toc15377212"/>
      <w:r>
        <w:rPr>
          <w:rFonts w:hint="eastAsia" w:ascii="仿宋_GB2312" w:hAnsi="仿宋" w:eastAsia="仿宋_GB2312"/>
          <w:b/>
          <w:color w:val="000000"/>
          <w:sz w:val="32"/>
          <w:szCs w:val="32"/>
        </w:rPr>
        <w:t>（三）一般公共预算财政拨款支出决算具体情况</w:t>
      </w:r>
      <w:bookmarkEnd w:id="30"/>
    </w:p>
    <w:p>
      <w:pPr>
        <w:spacing w:line="600" w:lineRule="exact"/>
        <w:ind w:firstLine="643" w:firstLineChars="200"/>
        <w:outlineLvl w:val="2"/>
        <w:rPr>
          <w:rFonts w:ascii="仿宋_GB2312" w:hAnsi="仿宋" w:eastAsia="仿宋_GB2312"/>
          <w:sz w:val="32"/>
          <w:szCs w:val="32"/>
        </w:rPr>
      </w:pPr>
      <w:bookmarkStart w:id="31" w:name="_Toc15378460"/>
      <w:bookmarkStart w:id="32" w:name="_Toc15377444"/>
      <w:bookmarkStart w:id="33" w:name="_Toc15377213"/>
      <w:r>
        <w:rPr>
          <w:rFonts w:hint="eastAsia" w:ascii="仿宋_GB2312" w:hAnsi="仿宋" w:eastAsia="仿宋_GB2312"/>
          <w:b/>
          <w:sz w:val="32"/>
          <w:szCs w:val="32"/>
        </w:rPr>
        <w:t>2020年一般</w:t>
      </w:r>
      <w:r>
        <w:rPr>
          <w:rFonts w:hint="eastAsia" w:ascii="仿宋_GB2312" w:hAnsi="仿宋" w:eastAsia="仿宋_GB2312"/>
          <w:b/>
          <w:color w:val="000000" w:themeColor="text1"/>
          <w:sz w:val="32"/>
          <w:szCs w:val="32"/>
          <w14:textFill>
            <w14:solidFill>
              <w14:schemeClr w14:val="tx1"/>
            </w14:solidFill>
          </w14:textFill>
        </w:rPr>
        <w:t>公共预算</w:t>
      </w:r>
      <w:r>
        <w:rPr>
          <w:rStyle w:val="15"/>
          <w:rFonts w:hint="eastAsia" w:ascii="仿宋_GB2312" w:hAnsi="仿宋" w:eastAsia="仿宋_GB2312"/>
          <w:color w:val="000000" w:themeColor="text1"/>
          <w:sz w:val="32"/>
          <w:szCs w:val="32"/>
          <w14:textFill>
            <w14:solidFill>
              <w14:schemeClr w14:val="tx1"/>
            </w14:solidFill>
          </w14:textFill>
        </w:rPr>
        <w:t>年初预算为1041.14万元，</w:t>
      </w:r>
      <w:r>
        <w:rPr>
          <w:rFonts w:hint="eastAsia" w:ascii="仿宋_GB2312" w:hAnsi="仿宋" w:eastAsia="仿宋_GB2312"/>
          <w:b/>
          <w:sz w:val="32"/>
          <w:szCs w:val="32"/>
        </w:rPr>
        <w:t>支出决算数为898.89万元</w:t>
      </w:r>
      <w:r>
        <w:rPr>
          <w:rFonts w:hint="eastAsia" w:ascii="仿宋_GB2312" w:hAnsi="仿宋" w:eastAsia="仿宋_GB2312"/>
          <w:sz w:val="32"/>
          <w:szCs w:val="32"/>
        </w:rPr>
        <w:t>，</w:t>
      </w:r>
      <w:r>
        <w:rPr>
          <w:rStyle w:val="15"/>
          <w:rFonts w:hint="eastAsia" w:ascii="仿宋_GB2312" w:hAnsi="仿宋" w:eastAsia="仿宋_GB2312"/>
          <w:bCs/>
          <w:sz w:val="32"/>
          <w:szCs w:val="32"/>
        </w:rPr>
        <w:t>完成预算86.34%。其中：</w:t>
      </w:r>
      <w:bookmarkEnd w:id="31"/>
      <w:bookmarkEnd w:id="32"/>
      <w:bookmarkEnd w:id="33"/>
    </w:p>
    <w:p>
      <w:pPr>
        <w:numPr>
          <w:ilvl w:val="0"/>
          <w:numId w:val="3"/>
        </w:numPr>
        <w:spacing w:line="600" w:lineRule="exact"/>
        <w:ind w:firstLine="643" w:firstLineChars="200"/>
        <w:rPr>
          <w:rStyle w:val="15"/>
          <w:rFonts w:ascii="仿宋" w:hAnsi="仿宋" w:eastAsia="仿宋"/>
          <w:b w:val="0"/>
          <w:bCs/>
          <w:sz w:val="32"/>
          <w:szCs w:val="32"/>
        </w:rPr>
      </w:pPr>
      <w:r>
        <w:rPr>
          <w:rStyle w:val="15"/>
          <w:rFonts w:hint="eastAsia" w:ascii="仿宋_GB2312" w:hAnsi="仿宋" w:eastAsia="仿宋_GB2312"/>
          <w:bCs/>
          <w:sz w:val="32"/>
          <w:szCs w:val="32"/>
        </w:rPr>
        <w:t>一般公共服务（类）宣传事务（款）行政运行（项）:</w:t>
      </w:r>
      <w:r>
        <w:rPr>
          <w:rStyle w:val="15"/>
          <w:rFonts w:hint="eastAsia" w:ascii="仿宋_GB2312" w:hAnsi="仿宋" w:eastAsia="仿宋_GB2312"/>
          <w:b w:val="0"/>
          <w:bCs/>
          <w:sz w:val="32"/>
          <w:szCs w:val="32"/>
        </w:rPr>
        <w:t xml:space="preserve"> 年初预算为131.67万元，支出决算为131.37万元，完成预算99.77%</w:t>
      </w:r>
      <w:r>
        <w:rPr>
          <w:rStyle w:val="15"/>
          <w:rFonts w:hint="eastAsia" w:ascii="仿宋" w:hAnsi="仿宋" w:eastAsia="仿宋"/>
          <w:b w:val="0"/>
          <w:bCs/>
          <w:sz w:val="32"/>
          <w:szCs w:val="32"/>
        </w:rPr>
        <w:t>。</w:t>
      </w:r>
    </w:p>
    <w:p>
      <w:pPr>
        <w:numPr>
          <w:ilvl w:val="0"/>
          <w:numId w:val="3"/>
        </w:numPr>
        <w:spacing w:line="600" w:lineRule="exact"/>
        <w:ind w:firstLine="643" w:firstLineChars="200"/>
        <w:rPr>
          <w:rStyle w:val="15"/>
          <w:rFonts w:ascii="仿宋_GB2312" w:hAnsi="仿宋" w:eastAsia="仿宋_GB2312"/>
          <w:b w:val="0"/>
          <w:bCs/>
          <w:sz w:val="32"/>
          <w:szCs w:val="32"/>
        </w:rPr>
      </w:pPr>
      <w:r>
        <w:rPr>
          <w:rStyle w:val="15"/>
          <w:rFonts w:hint="eastAsia" w:ascii="仿宋_GB2312" w:hAnsi="仿宋" w:eastAsia="仿宋_GB2312"/>
          <w:bCs/>
          <w:sz w:val="32"/>
          <w:szCs w:val="32"/>
        </w:rPr>
        <w:t>一般公共服务（类）宣传事务（款）一般行政管理事务（项）:</w:t>
      </w:r>
      <w:r>
        <w:rPr>
          <w:rStyle w:val="15"/>
          <w:rFonts w:hint="eastAsia" w:ascii="仿宋_GB2312" w:hAnsi="仿宋" w:eastAsia="仿宋_GB2312"/>
          <w:b w:val="0"/>
          <w:bCs/>
          <w:sz w:val="32"/>
          <w:szCs w:val="32"/>
        </w:rPr>
        <w:t>年初预算为63.11万元，支出决算为61.33万元，完成预算97.18%，</w:t>
      </w:r>
      <w:r>
        <w:rPr>
          <w:rStyle w:val="15"/>
          <w:rFonts w:hint="eastAsia" w:ascii="仿宋" w:hAnsi="仿宋" w:eastAsia="仿宋"/>
          <w:b w:val="0"/>
          <w:bCs/>
          <w:sz w:val="32"/>
          <w:szCs w:val="32"/>
        </w:rPr>
        <w:t>决算数小于预算数的主要原因是财政压减了部分差旅费及公务接待减少所致。</w:t>
      </w:r>
    </w:p>
    <w:p>
      <w:pPr>
        <w:spacing w:line="600" w:lineRule="exact"/>
        <w:ind w:firstLine="643" w:firstLineChars="200"/>
        <w:rPr>
          <w:rFonts w:ascii="仿宋_GB2312" w:hAnsi="仿宋" w:eastAsia="仿宋_GB2312"/>
          <w:b/>
          <w:sz w:val="32"/>
          <w:szCs w:val="32"/>
        </w:rPr>
      </w:pPr>
      <w:r>
        <w:rPr>
          <w:rStyle w:val="15"/>
          <w:rFonts w:hint="eastAsia" w:ascii="仿宋_GB2312" w:hAnsi="仿宋" w:eastAsia="仿宋_GB2312"/>
          <w:bCs/>
          <w:sz w:val="32"/>
          <w:szCs w:val="32"/>
        </w:rPr>
        <w:t>3.教育（类）进修及培训（款）培训支出（项）:</w:t>
      </w:r>
      <w:r>
        <w:rPr>
          <w:rStyle w:val="15"/>
          <w:rFonts w:hint="eastAsia" w:ascii="仿宋_GB2312" w:hAnsi="仿宋" w:eastAsia="仿宋_GB2312"/>
          <w:b w:val="0"/>
          <w:bCs/>
          <w:sz w:val="32"/>
          <w:szCs w:val="32"/>
        </w:rPr>
        <w:t>年初预算为20.25万元，支出决算为4.05万元，完成预算20%，</w:t>
      </w:r>
      <w:r>
        <w:rPr>
          <w:rStyle w:val="15"/>
          <w:rFonts w:hint="eastAsia" w:ascii="仿宋" w:hAnsi="仿宋" w:eastAsia="仿宋"/>
          <w:b w:val="0"/>
          <w:bCs/>
          <w:sz w:val="32"/>
          <w:szCs w:val="32"/>
        </w:rPr>
        <w:t>决算数小于预算数的主要原因是</w:t>
      </w:r>
      <w:r>
        <w:rPr>
          <w:rStyle w:val="15"/>
          <w:rFonts w:hint="eastAsia" w:ascii="仿宋_GB2312" w:hAnsi="仿宋" w:eastAsia="仿宋_GB2312"/>
          <w:b w:val="0"/>
          <w:bCs/>
          <w:sz w:val="32"/>
          <w:szCs w:val="32"/>
        </w:rPr>
        <w:t>财政压减所致。</w:t>
      </w:r>
    </w:p>
    <w:p>
      <w:pPr>
        <w:spacing w:line="600" w:lineRule="exact"/>
        <w:ind w:firstLine="643" w:firstLineChars="200"/>
        <w:rPr>
          <w:rStyle w:val="15"/>
          <w:rFonts w:ascii="仿宋_GB2312" w:hAnsi="仿宋" w:eastAsia="仿宋_GB2312"/>
          <w:b w:val="0"/>
          <w:bCs/>
          <w:sz w:val="32"/>
          <w:szCs w:val="32"/>
        </w:rPr>
      </w:pPr>
      <w:r>
        <w:rPr>
          <w:rStyle w:val="15"/>
          <w:rFonts w:hint="eastAsia" w:ascii="仿宋_GB2312" w:hAnsi="仿宋" w:eastAsia="仿宋_GB2312"/>
          <w:bCs/>
          <w:sz w:val="32"/>
          <w:szCs w:val="32"/>
        </w:rPr>
        <w:t>4.文化旅游体育与传媒（类）其他文化旅游体育与传媒支出（款）宣传文化发展专项支出（项）:</w:t>
      </w:r>
      <w:r>
        <w:rPr>
          <w:rStyle w:val="15"/>
          <w:rFonts w:hint="eastAsia" w:ascii="仿宋_GB2312" w:hAnsi="仿宋" w:eastAsia="仿宋_GB2312"/>
          <w:b w:val="0"/>
          <w:bCs/>
          <w:sz w:val="32"/>
          <w:szCs w:val="32"/>
        </w:rPr>
        <w:t xml:space="preserve"> 年初预算为420万元，支出决算为419.81万元，完成预算99.95%。</w:t>
      </w:r>
    </w:p>
    <w:p>
      <w:pPr>
        <w:spacing w:line="600" w:lineRule="exact"/>
        <w:ind w:firstLine="643" w:firstLineChars="200"/>
        <w:rPr>
          <w:rStyle w:val="15"/>
          <w:rFonts w:ascii="仿宋_GB2312" w:hAnsi="仿宋" w:eastAsia="仿宋_GB2312"/>
          <w:b w:val="0"/>
          <w:bCs/>
          <w:sz w:val="32"/>
          <w:szCs w:val="32"/>
        </w:rPr>
      </w:pPr>
      <w:r>
        <w:rPr>
          <w:rStyle w:val="15"/>
          <w:rFonts w:hint="eastAsia" w:ascii="仿宋_GB2312" w:hAnsi="仿宋" w:eastAsia="仿宋_GB2312"/>
          <w:bCs/>
          <w:sz w:val="32"/>
          <w:szCs w:val="32"/>
        </w:rPr>
        <w:t>5.文化旅游体育与传媒（类）其他文化旅游体育与传媒支出（款）其他文化旅游体育与传媒支出（项）:</w:t>
      </w:r>
      <w:r>
        <w:rPr>
          <w:rStyle w:val="15"/>
          <w:rFonts w:hint="eastAsia" w:ascii="仿宋_GB2312" w:hAnsi="仿宋" w:eastAsia="仿宋_GB2312"/>
          <w:b w:val="0"/>
          <w:bCs/>
          <w:sz w:val="32"/>
          <w:szCs w:val="32"/>
        </w:rPr>
        <w:t xml:space="preserve"> 年初预算为328.95万元，支出决算为206.2万元，完成预算62.68%，</w:t>
      </w:r>
      <w:r>
        <w:rPr>
          <w:rStyle w:val="15"/>
          <w:rFonts w:hint="eastAsia" w:ascii="仿宋" w:hAnsi="仿宋" w:eastAsia="仿宋"/>
          <w:b w:val="0"/>
          <w:bCs/>
          <w:sz w:val="32"/>
          <w:szCs w:val="32"/>
        </w:rPr>
        <w:t>决算数小于预算数的主要原因是</w:t>
      </w:r>
      <w:r>
        <w:rPr>
          <w:rStyle w:val="15"/>
          <w:rFonts w:hint="eastAsia" w:ascii="仿宋_GB2312" w:hAnsi="仿宋" w:eastAsia="仿宋_GB2312"/>
          <w:b w:val="0"/>
          <w:bCs/>
          <w:sz w:val="32"/>
          <w:szCs w:val="32"/>
        </w:rPr>
        <w:t>该项目属跨年项目，有部分资金结转到第二年支付。</w:t>
      </w:r>
    </w:p>
    <w:p>
      <w:pPr>
        <w:spacing w:line="600" w:lineRule="exact"/>
        <w:ind w:firstLine="643" w:firstLineChars="200"/>
        <w:rPr>
          <w:rStyle w:val="15"/>
          <w:rFonts w:ascii="仿宋" w:hAnsi="仿宋" w:eastAsia="仿宋"/>
          <w:b w:val="0"/>
          <w:bCs/>
          <w:sz w:val="32"/>
          <w:szCs w:val="32"/>
        </w:rPr>
      </w:pPr>
      <w:r>
        <w:rPr>
          <w:rStyle w:val="15"/>
          <w:rFonts w:hint="eastAsia" w:ascii="仿宋_GB2312" w:hAnsi="仿宋" w:eastAsia="仿宋_GB2312"/>
          <w:bCs/>
          <w:sz w:val="32"/>
          <w:szCs w:val="32"/>
        </w:rPr>
        <w:t>6.社会保障和就业（类）行政事业单位养老支出（款）行政单位离退休（项）:</w:t>
      </w:r>
      <w:r>
        <w:rPr>
          <w:rStyle w:val="15"/>
          <w:rFonts w:hint="eastAsia" w:ascii="仿宋_GB2312" w:hAnsi="仿宋" w:eastAsia="仿宋_GB2312"/>
          <w:b w:val="0"/>
          <w:bCs/>
          <w:sz w:val="32"/>
          <w:szCs w:val="32"/>
        </w:rPr>
        <w:t xml:space="preserve"> 年初预算为24.76万元，支出决算为23.73万元，完成预算95.84%，</w:t>
      </w:r>
      <w:r>
        <w:rPr>
          <w:rStyle w:val="15"/>
          <w:rFonts w:hint="eastAsia" w:ascii="仿宋" w:hAnsi="仿宋" w:eastAsia="仿宋"/>
          <w:b w:val="0"/>
          <w:bCs/>
          <w:sz w:val="32"/>
          <w:szCs w:val="32"/>
        </w:rPr>
        <w:t>决算数小于预算数的主要原因是单位据实发放完成后，经费约有剩余所致。</w:t>
      </w:r>
    </w:p>
    <w:p>
      <w:pPr>
        <w:spacing w:line="600" w:lineRule="exact"/>
        <w:ind w:firstLine="643" w:firstLineChars="200"/>
        <w:rPr>
          <w:rStyle w:val="15"/>
          <w:rFonts w:ascii="仿宋_GB2312" w:hAnsi="仿宋" w:eastAsia="仿宋_GB2312"/>
          <w:b w:val="0"/>
          <w:bCs/>
          <w:sz w:val="32"/>
          <w:szCs w:val="32"/>
        </w:rPr>
      </w:pPr>
      <w:r>
        <w:rPr>
          <w:rStyle w:val="15"/>
          <w:rFonts w:hint="eastAsia" w:ascii="仿宋_GB2312" w:hAnsi="仿宋" w:eastAsia="仿宋_GB2312"/>
          <w:bCs/>
          <w:sz w:val="32"/>
          <w:szCs w:val="32"/>
        </w:rPr>
        <w:t>7.社会保障和就业（类）行政事业单位养老支出（款）机关事业单位基本养老保险缴费支出（项）:</w:t>
      </w:r>
      <w:r>
        <w:rPr>
          <w:rStyle w:val="15"/>
          <w:rFonts w:hint="eastAsia" w:ascii="仿宋_GB2312" w:hAnsi="仿宋" w:eastAsia="仿宋_GB2312"/>
          <w:b w:val="0"/>
          <w:bCs/>
          <w:sz w:val="32"/>
          <w:szCs w:val="32"/>
        </w:rPr>
        <w:t xml:space="preserve"> 年初预算为10.88万元，支出决算为10.88万元，完成预算100%。</w:t>
      </w:r>
    </w:p>
    <w:p>
      <w:pPr>
        <w:spacing w:line="600" w:lineRule="exact"/>
        <w:ind w:firstLine="643" w:firstLineChars="200"/>
        <w:rPr>
          <w:rStyle w:val="15"/>
          <w:rFonts w:ascii="仿宋_GB2312" w:hAnsi="仿宋" w:eastAsia="仿宋_GB2312"/>
          <w:b w:val="0"/>
          <w:bCs/>
          <w:color w:val="000000"/>
          <w:sz w:val="32"/>
          <w:szCs w:val="32"/>
        </w:rPr>
      </w:pPr>
      <w:r>
        <w:rPr>
          <w:rFonts w:hint="eastAsia" w:ascii="仿宋_GB2312" w:hAnsi="仿宋" w:eastAsia="仿宋_GB2312"/>
          <w:b/>
          <w:bCs/>
          <w:sz w:val="32"/>
          <w:szCs w:val="32"/>
        </w:rPr>
        <w:t>8.卫生健康</w:t>
      </w:r>
      <w:r>
        <w:rPr>
          <w:rStyle w:val="15"/>
          <w:rFonts w:hint="eastAsia" w:ascii="仿宋_GB2312" w:hAnsi="仿宋" w:eastAsia="仿宋_GB2312"/>
          <w:bCs/>
          <w:sz w:val="32"/>
          <w:szCs w:val="32"/>
        </w:rPr>
        <w:t>（类）行政事业单位医疗（款）事业单位医</w:t>
      </w:r>
      <w:r>
        <w:rPr>
          <w:rStyle w:val="15"/>
          <w:rFonts w:hint="eastAsia" w:ascii="仿宋_GB2312" w:hAnsi="仿宋" w:eastAsia="仿宋_GB2312"/>
          <w:bCs/>
          <w:color w:val="000000"/>
          <w:sz w:val="32"/>
          <w:szCs w:val="32"/>
        </w:rPr>
        <w:t>疗（项）:</w:t>
      </w:r>
      <w:r>
        <w:rPr>
          <w:rStyle w:val="15"/>
          <w:rFonts w:hint="eastAsia" w:ascii="仿宋_GB2312" w:hAnsi="仿宋" w:eastAsia="仿宋_GB2312"/>
          <w:b w:val="0"/>
          <w:bCs/>
          <w:sz w:val="32"/>
          <w:szCs w:val="32"/>
        </w:rPr>
        <w:t>年初预算为8.48万元，</w:t>
      </w:r>
      <w:r>
        <w:rPr>
          <w:rStyle w:val="15"/>
          <w:rFonts w:hint="eastAsia" w:ascii="仿宋_GB2312" w:hAnsi="仿宋" w:eastAsia="仿宋_GB2312"/>
          <w:b w:val="0"/>
          <w:bCs/>
          <w:color w:val="000000"/>
          <w:sz w:val="32"/>
          <w:szCs w:val="32"/>
        </w:rPr>
        <w:t>支出决算为8.48万元，完成预算100%。</w:t>
      </w:r>
    </w:p>
    <w:p>
      <w:pPr>
        <w:spacing w:line="600" w:lineRule="exact"/>
        <w:ind w:firstLine="643" w:firstLineChars="200"/>
        <w:rPr>
          <w:rStyle w:val="15"/>
          <w:rFonts w:ascii="仿宋_GB2312" w:hAnsi="仿宋" w:eastAsia="仿宋_GB2312"/>
          <w:b w:val="0"/>
          <w:bCs/>
          <w:color w:val="000000"/>
          <w:sz w:val="32"/>
          <w:szCs w:val="32"/>
        </w:rPr>
      </w:pPr>
      <w:r>
        <w:rPr>
          <w:rFonts w:hint="eastAsia" w:ascii="仿宋_GB2312" w:hAnsi="仿宋" w:eastAsia="仿宋_GB2312"/>
          <w:b/>
          <w:bCs/>
          <w:color w:val="000000" w:themeColor="text1"/>
          <w:sz w:val="32"/>
          <w:szCs w:val="32"/>
          <w14:textFill>
            <w14:solidFill>
              <w14:schemeClr w14:val="tx1"/>
            </w14:solidFill>
          </w14:textFill>
        </w:rPr>
        <w:t>9.卫生健康</w:t>
      </w:r>
      <w:r>
        <w:rPr>
          <w:rStyle w:val="15"/>
          <w:rFonts w:hint="eastAsia" w:ascii="仿宋_GB2312" w:hAnsi="仿宋" w:eastAsia="仿宋_GB2312"/>
          <w:bCs/>
          <w:color w:val="000000"/>
          <w:sz w:val="32"/>
          <w:szCs w:val="32"/>
        </w:rPr>
        <w:t>（类）行政事业单位医疗（款）公务员医疗补助（项）:</w:t>
      </w:r>
      <w:r>
        <w:rPr>
          <w:rStyle w:val="15"/>
          <w:rFonts w:hint="eastAsia" w:ascii="仿宋_GB2312" w:hAnsi="仿宋" w:eastAsia="仿宋_GB2312"/>
          <w:b w:val="0"/>
          <w:bCs/>
          <w:sz w:val="32"/>
          <w:szCs w:val="32"/>
        </w:rPr>
        <w:t>年初预算为2.94万元，</w:t>
      </w:r>
      <w:r>
        <w:rPr>
          <w:rStyle w:val="15"/>
          <w:rFonts w:hint="eastAsia" w:ascii="仿宋_GB2312" w:hAnsi="仿宋" w:eastAsia="仿宋_GB2312"/>
          <w:b w:val="0"/>
          <w:bCs/>
          <w:color w:val="000000"/>
          <w:sz w:val="32"/>
          <w:szCs w:val="32"/>
        </w:rPr>
        <w:t>支出决算为2.94万元，完成预算100%。</w:t>
      </w:r>
    </w:p>
    <w:p>
      <w:pPr>
        <w:spacing w:line="600" w:lineRule="exact"/>
        <w:ind w:firstLine="643" w:firstLineChars="200"/>
        <w:rPr>
          <w:rStyle w:val="15"/>
          <w:rFonts w:ascii="仿宋_GB2312" w:hAnsi="仿宋" w:eastAsia="仿宋_GB2312"/>
          <w:b w:val="0"/>
          <w:bCs/>
          <w:color w:val="000000"/>
          <w:sz w:val="32"/>
          <w:szCs w:val="32"/>
        </w:rPr>
      </w:pPr>
      <w:r>
        <w:rPr>
          <w:rStyle w:val="15"/>
          <w:rFonts w:hint="eastAsia" w:ascii="仿宋_GB2312" w:hAnsi="仿宋" w:eastAsia="仿宋_GB2312"/>
          <w:bCs/>
          <w:color w:val="000000"/>
          <w:sz w:val="32"/>
          <w:szCs w:val="32"/>
        </w:rPr>
        <w:t>10.住房保障（类）住房改革支出（款）住房公积金（项）:</w:t>
      </w:r>
      <w:r>
        <w:rPr>
          <w:rStyle w:val="15"/>
          <w:rFonts w:hint="eastAsia" w:ascii="仿宋_GB2312" w:hAnsi="仿宋" w:eastAsia="仿宋_GB2312"/>
          <w:b w:val="0"/>
          <w:bCs/>
          <w:sz w:val="32"/>
          <w:szCs w:val="32"/>
        </w:rPr>
        <w:t>年初预算为11.04万元，</w:t>
      </w:r>
      <w:r>
        <w:rPr>
          <w:rStyle w:val="15"/>
          <w:rFonts w:hint="eastAsia" w:ascii="仿宋_GB2312" w:hAnsi="仿宋" w:eastAsia="仿宋_GB2312"/>
          <w:b w:val="0"/>
          <w:bCs/>
          <w:color w:val="000000"/>
          <w:sz w:val="32"/>
          <w:szCs w:val="32"/>
        </w:rPr>
        <w:t>支出决算为11.04万元，完成预算100%。</w:t>
      </w:r>
    </w:p>
    <w:p>
      <w:pPr>
        <w:spacing w:line="600" w:lineRule="exact"/>
        <w:ind w:firstLine="643" w:firstLineChars="200"/>
        <w:rPr>
          <w:rStyle w:val="15"/>
          <w:rFonts w:ascii="仿宋_GB2312" w:hAnsi="仿宋" w:eastAsia="仿宋_GB2312"/>
          <w:b w:val="0"/>
          <w:bCs/>
          <w:color w:val="000000"/>
          <w:sz w:val="32"/>
          <w:szCs w:val="32"/>
        </w:rPr>
      </w:pPr>
      <w:r>
        <w:rPr>
          <w:rStyle w:val="15"/>
          <w:rFonts w:hint="eastAsia" w:ascii="仿宋_GB2312" w:hAnsi="仿宋" w:eastAsia="仿宋_GB2312"/>
          <w:color w:val="000000"/>
          <w:sz w:val="32"/>
          <w:szCs w:val="32"/>
        </w:rPr>
        <w:t>11.</w:t>
      </w:r>
      <w:r>
        <w:rPr>
          <w:rStyle w:val="15"/>
          <w:rFonts w:hint="eastAsia" w:ascii="仿宋_GB2312" w:hAnsi="仿宋" w:eastAsia="仿宋_GB2312"/>
          <w:bCs/>
          <w:color w:val="000000"/>
          <w:sz w:val="32"/>
          <w:szCs w:val="32"/>
        </w:rPr>
        <w:t>住房保障（类）住房改革支出（款）购房补贴（项）:</w:t>
      </w:r>
      <w:r>
        <w:rPr>
          <w:rStyle w:val="15"/>
          <w:rFonts w:hint="eastAsia" w:ascii="仿宋_GB2312" w:hAnsi="仿宋" w:eastAsia="仿宋_GB2312"/>
          <w:b w:val="0"/>
          <w:bCs/>
          <w:sz w:val="32"/>
          <w:szCs w:val="32"/>
        </w:rPr>
        <w:t>年初预算为19.06万元，</w:t>
      </w:r>
      <w:r>
        <w:rPr>
          <w:rStyle w:val="15"/>
          <w:rFonts w:hint="eastAsia" w:ascii="仿宋_GB2312" w:hAnsi="仿宋" w:eastAsia="仿宋_GB2312"/>
          <w:b w:val="0"/>
          <w:bCs/>
          <w:color w:val="000000"/>
          <w:sz w:val="32"/>
          <w:szCs w:val="32"/>
        </w:rPr>
        <w:t>支出决算为19.06万元，完成预算100%。</w:t>
      </w:r>
    </w:p>
    <w:p>
      <w:pPr>
        <w:tabs>
          <w:tab w:val="right" w:pos="8306"/>
        </w:tabs>
        <w:spacing w:line="600" w:lineRule="exact"/>
        <w:ind w:firstLine="640"/>
        <w:outlineLvl w:val="1"/>
        <w:rPr>
          <w:rStyle w:val="26"/>
          <w:rFonts w:ascii="黑体" w:hAnsi="黑体" w:eastAsia="黑体"/>
        </w:rPr>
      </w:pPr>
      <w:bookmarkStart w:id="34" w:name="_Toc15396608"/>
      <w:bookmarkStart w:id="35" w:name="_Toc15377214"/>
      <w:r>
        <w:rPr>
          <w:rFonts w:hint="eastAsia" w:ascii="黑体" w:hAnsi="黑体" w:eastAsia="黑体"/>
          <w:color w:val="000000"/>
          <w:sz w:val="32"/>
          <w:szCs w:val="32"/>
        </w:rPr>
        <w:t>六</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34"/>
      <w:bookmarkEnd w:id="35"/>
      <w:r>
        <w:rPr>
          <w:rStyle w:val="26"/>
          <w:rFonts w:hint="eastAsia" w:ascii="黑体" w:hAnsi="黑体" w:eastAsia="黑体"/>
          <w:b w:val="0"/>
        </w:rPr>
        <w:tab/>
      </w:r>
    </w:p>
    <w:p>
      <w:pPr>
        <w:spacing w:line="600" w:lineRule="exact"/>
        <w:ind w:firstLine="645"/>
        <w:rPr>
          <w:rFonts w:ascii="仿宋_GB2312" w:hAnsi="仿宋" w:eastAsia="仿宋_GB2312"/>
          <w:color w:val="000000"/>
          <w:sz w:val="32"/>
          <w:szCs w:val="32"/>
        </w:rPr>
      </w:pPr>
      <w:r>
        <w:rPr>
          <w:rFonts w:hint="eastAsia" w:ascii="仿宋_GB2312" w:hAnsi="仿宋" w:eastAsia="仿宋_GB2312"/>
          <w:color w:val="000000"/>
          <w:sz w:val="32"/>
          <w:szCs w:val="32"/>
        </w:rPr>
        <w:t>2020年一般公共预算财政拨款基本支出243.00万元，其中：</w:t>
      </w:r>
    </w:p>
    <w:p>
      <w:pPr>
        <w:spacing w:line="600" w:lineRule="exact"/>
        <w:ind w:firstLine="645"/>
        <w:rPr>
          <w:rFonts w:ascii="仿宋_GB2312" w:hAnsi="仿宋" w:eastAsia="仿宋_GB2312"/>
          <w:color w:val="000000"/>
          <w:sz w:val="32"/>
          <w:szCs w:val="32"/>
        </w:rPr>
      </w:pPr>
      <w:r>
        <w:rPr>
          <w:rFonts w:hint="eastAsia" w:ascii="仿宋_GB2312" w:hAnsi="仿宋" w:eastAsia="仿宋_GB2312"/>
          <w:color w:val="000000"/>
          <w:sz w:val="32"/>
          <w:szCs w:val="32"/>
        </w:rPr>
        <w:t>人员经费174.19万元，主要包括：基本工资、津贴补贴、奖金、机关事业单位基本养老保险缴费、职工基本医疗保险缴费、公务员医疗补助缴费、住房公积金、其他工资福利支出、奖励金、生活补助支出等。</w:t>
      </w:r>
      <w:r>
        <w:rPr>
          <w:rFonts w:hint="eastAsia" w:ascii="仿宋_GB2312" w:hAnsi="仿宋" w:eastAsia="仿宋_GB2312"/>
          <w:color w:val="000000"/>
          <w:sz w:val="32"/>
          <w:szCs w:val="32"/>
        </w:rPr>
        <w:br w:type="textWrapping"/>
      </w:r>
      <w:r>
        <w:rPr>
          <w:rFonts w:hint="eastAsia" w:ascii="仿宋_GB2312" w:hAnsi="仿宋" w:eastAsia="仿宋_GB2312"/>
          <w:sz w:val="32"/>
          <w:szCs w:val="32"/>
        </w:rPr>
        <w:t>　　公用经费68.81万元，主要包括：办公费、咨询费、手</w:t>
      </w:r>
      <w:r>
        <w:rPr>
          <w:rFonts w:hint="eastAsia" w:ascii="仿宋_GB2312" w:hAnsi="仿宋" w:eastAsia="仿宋_GB2312"/>
          <w:color w:val="000000"/>
          <w:sz w:val="32"/>
          <w:szCs w:val="32"/>
        </w:rPr>
        <w:t>续费、邮电费、物业管理费、差旅费、维修（护）费、租赁费、培训费、公务接待费、劳务费、工会经费、福利费、公务用车运行维护费、其他交通费、其他商品和服务支出等。</w:t>
      </w:r>
    </w:p>
    <w:p>
      <w:pPr>
        <w:spacing w:line="600" w:lineRule="exact"/>
        <w:ind w:firstLine="640"/>
        <w:outlineLvl w:val="1"/>
        <w:rPr>
          <w:rStyle w:val="26"/>
          <w:rFonts w:ascii="黑体" w:hAnsi="黑体" w:eastAsia="黑体"/>
          <w:b w:val="0"/>
        </w:rPr>
      </w:pPr>
      <w:bookmarkStart w:id="36" w:name="_Toc15377215"/>
      <w:bookmarkStart w:id="37" w:name="_Toc15396609"/>
      <w:r>
        <w:rPr>
          <w:rFonts w:hint="eastAsia" w:ascii="黑体" w:hAns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36"/>
      <w:bookmarkEnd w:id="37"/>
    </w:p>
    <w:p>
      <w:pPr>
        <w:spacing w:line="600" w:lineRule="exact"/>
        <w:ind w:firstLine="640"/>
        <w:outlineLvl w:val="2"/>
        <w:rPr>
          <w:rFonts w:ascii="仿宋_GB2312" w:hAnsi="仿宋" w:eastAsia="仿宋_GB2312"/>
          <w:b/>
          <w:color w:val="000000"/>
          <w:sz w:val="32"/>
          <w:szCs w:val="32"/>
        </w:rPr>
      </w:pPr>
      <w:bookmarkStart w:id="38" w:name="_Toc15377216"/>
      <w:r>
        <w:rPr>
          <w:rFonts w:hint="eastAsia" w:ascii="仿宋_GB2312" w:hAnsi="仿宋" w:eastAsia="仿宋_GB2312"/>
          <w:b/>
          <w:color w:val="000000"/>
          <w:sz w:val="32"/>
          <w:szCs w:val="32"/>
        </w:rPr>
        <w:t>（一）“三公”经费财政拨款支出决算总体情况说明</w:t>
      </w:r>
      <w:bookmarkEnd w:id="38"/>
    </w:p>
    <w:p>
      <w:pPr>
        <w:spacing w:line="60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t>2020年“三公”经费财政拨款支出决算为5.13万元，完成预算92.77%，决算数小于预算数的主要原因是公务接待费减少所致。</w:t>
      </w:r>
    </w:p>
    <w:p>
      <w:pPr>
        <w:spacing w:line="600" w:lineRule="exact"/>
        <w:ind w:firstLine="640"/>
        <w:outlineLvl w:val="2"/>
        <w:rPr>
          <w:rFonts w:ascii="仿宋_GB2312" w:hAnsi="仿宋" w:eastAsia="仿宋_GB2312"/>
          <w:b/>
          <w:color w:val="000000"/>
          <w:sz w:val="32"/>
          <w:szCs w:val="32"/>
        </w:rPr>
      </w:pPr>
      <w:bookmarkStart w:id="39" w:name="_Toc15377217"/>
      <w:r>
        <w:rPr>
          <w:rFonts w:hint="eastAsia" w:ascii="仿宋_GB2312" w:hAnsi="仿宋" w:eastAsia="仿宋_GB2312"/>
          <w:b/>
          <w:color w:val="000000"/>
          <w:sz w:val="32"/>
          <w:szCs w:val="32"/>
        </w:rPr>
        <w:t>（二）“三公”经费财政拨款支出决算具体情况说明</w:t>
      </w:r>
      <w:bookmarkEnd w:id="39"/>
    </w:p>
    <w:p>
      <w:pPr>
        <w:spacing w:line="60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t>2020年“三公”经费财政拨款支出决算中，因公出国（境）费支出决算0万元，占0%；公务用车购置及运行维护费支出决算5.03万元，占98.05%；公务接待费支出决算0.1万元，占1.95%。具体情况如下：</w:t>
      </w:r>
    </w:p>
    <w:p>
      <w:pPr>
        <w:pStyle w:val="2"/>
        <w:spacing w:before="93"/>
      </w:pPr>
      <w:r>
        <w:rPr>
          <w:rFonts w:hint="eastAsia"/>
          <w:b/>
          <w:sz w:val="32"/>
          <w:szCs w:val="32"/>
        </w:rPr>
        <w:drawing>
          <wp:inline distT="0" distB="0" distL="0" distR="0">
            <wp:extent cx="5274310" cy="3076575"/>
            <wp:effectExtent l="0" t="0" r="2540" b="952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t>（图7：“三公”经费财政拨款支出结构）（饼状图）</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1.2020年度单位未列支因公出国（境）经费。</w:t>
      </w:r>
    </w:p>
    <w:p>
      <w:pPr>
        <w:spacing w:line="600" w:lineRule="exact"/>
        <w:ind w:firstLine="640"/>
        <w:rPr>
          <w:rFonts w:ascii="仿宋_GB2312" w:eastAsia="仿宋_GB2312"/>
          <w:b/>
          <w:color w:val="000000"/>
          <w:sz w:val="32"/>
          <w:szCs w:val="32"/>
        </w:rPr>
      </w:pPr>
      <w:r>
        <w:rPr>
          <w:rFonts w:hint="eastAsia" w:ascii="仿宋_GB2312" w:eastAsia="仿宋_GB2312"/>
          <w:b/>
          <w:color w:val="000000"/>
          <w:sz w:val="32"/>
          <w:szCs w:val="32"/>
        </w:rPr>
        <w:t>2.公务用车购置及运行维护费支出5.03</w:t>
      </w:r>
      <w:r>
        <w:rPr>
          <w:rFonts w:hint="eastAsia" w:ascii="仿宋_GB2312" w:eastAsia="仿宋_GB2312"/>
          <w:color w:val="000000"/>
          <w:sz w:val="32"/>
          <w:szCs w:val="32"/>
        </w:rPr>
        <w:t>万元,</w:t>
      </w:r>
      <w:r>
        <w:rPr>
          <w:rStyle w:val="15"/>
          <w:rFonts w:hint="eastAsia" w:ascii="仿宋_GB2312" w:hAnsi="仿宋" w:eastAsia="仿宋_GB2312"/>
          <w:b w:val="0"/>
          <w:bCs/>
          <w:color w:val="000000"/>
          <w:sz w:val="32"/>
          <w:szCs w:val="32"/>
        </w:rPr>
        <w:t>完成预算100%。</w:t>
      </w:r>
      <w:r>
        <w:rPr>
          <w:rFonts w:hint="eastAsia" w:ascii="仿宋_GB2312" w:eastAsia="仿宋_GB2312"/>
          <w:color w:val="000000"/>
          <w:sz w:val="32"/>
          <w:szCs w:val="32"/>
        </w:rPr>
        <w:t>公务用车购置及运行维护费支出决算比2019年增加/减少0.04万元，下降0.72%。主要原因是财政压减所致。</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公务用车购置支出0</w:t>
      </w:r>
      <w:r>
        <w:rPr>
          <w:rFonts w:hint="eastAsia" w:ascii="仿宋_GB2312" w:eastAsia="仿宋_GB2312"/>
          <w:color w:val="000000"/>
          <w:sz w:val="32"/>
          <w:szCs w:val="32"/>
        </w:rPr>
        <w:t>万元。截至2020年12月底，单位共有公务用车1辆，其中：轿车1辆。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公务用车运行维护费支出5.03</w:t>
      </w:r>
      <w:r>
        <w:rPr>
          <w:rFonts w:hint="eastAsia" w:ascii="仿宋_GB2312" w:eastAsia="仿宋_GB2312"/>
          <w:color w:val="000000"/>
          <w:sz w:val="32"/>
          <w:szCs w:val="32"/>
        </w:rPr>
        <w:t>万元。</w:t>
      </w:r>
      <w:r>
        <w:rPr>
          <w:rFonts w:hint="eastAsia" w:ascii="仿宋_GB2312" w:hAnsi="仿宋" w:eastAsia="仿宋_GB2312" w:cs="仿宋"/>
          <w:color w:val="000000"/>
          <w:sz w:val="32"/>
          <w:szCs w:val="32"/>
        </w:rPr>
        <w:t>主要用于</w:t>
      </w:r>
      <w:r>
        <w:rPr>
          <w:rFonts w:hint="eastAsia" w:ascii="仿宋_GB2312" w:hAnsi="仿宋" w:eastAsia="仿宋_GB2312" w:cs="仿宋"/>
          <w:sz w:val="32"/>
          <w:szCs w:val="32"/>
        </w:rPr>
        <w:t>保障重大政策宣讲、开展基层宣讲、调查研究等工作开展</w:t>
      </w:r>
      <w:r>
        <w:rPr>
          <w:rFonts w:hint="eastAsia" w:ascii="仿宋_GB2312" w:hAnsi="仿宋" w:eastAsia="仿宋_GB2312" w:cs="仿宋"/>
          <w:color w:val="000000"/>
          <w:sz w:val="32"/>
          <w:szCs w:val="32"/>
        </w:rPr>
        <w:t>等所需的公务用车燃料费、维修费、过路过桥费、保险费等支出。</w:t>
      </w:r>
    </w:p>
    <w:p>
      <w:pPr>
        <w:numPr>
          <w:ilvl w:val="0"/>
          <w:numId w:val="3"/>
        </w:numPr>
        <w:spacing w:line="600" w:lineRule="exact"/>
        <w:ind w:left="0" w:leftChars="0" w:firstLine="643" w:firstLineChars="200"/>
        <w:rPr>
          <w:rFonts w:ascii="仿宋_GB2312" w:eastAsia="仿宋_GB2312"/>
          <w:color w:val="000000"/>
          <w:sz w:val="32"/>
          <w:szCs w:val="32"/>
        </w:rPr>
      </w:pPr>
      <w:r>
        <w:rPr>
          <w:rFonts w:hint="eastAsia" w:ascii="仿宋_GB2312" w:eastAsia="仿宋_GB2312"/>
          <w:b/>
          <w:color w:val="000000"/>
          <w:sz w:val="32"/>
          <w:szCs w:val="32"/>
        </w:rPr>
        <w:t>公务接待费支出0.1</w:t>
      </w:r>
      <w:r>
        <w:rPr>
          <w:rFonts w:hint="eastAsia" w:ascii="仿宋_GB2312" w:eastAsia="仿宋_GB2312"/>
          <w:color w:val="000000"/>
          <w:sz w:val="32"/>
          <w:szCs w:val="32"/>
        </w:rPr>
        <w:t>万元，</w:t>
      </w:r>
      <w:r>
        <w:rPr>
          <w:rStyle w:val="15"/>
          <w:rFonts w:hint="eastAsia" w:ascii="仿宋_GB2312" w:hAnsi="仿宋" w:eastAsia="仿宋_GB2312"/>
          <w:b w:val="0"/>
          <w:bCs/>
          <w:color w:val="000000"/>
          <w:sz w:val="32"/>
          <w:szCs w:val="32"/>
        </w:rPr>
        <w:t>完成预算20%。</w:t>
      </w:r>
      <w:r>
        <w:rPr>
          <w:rFonts w:hint="eastAsia" w:ascii="仿宋_GB2312" w:eastAsia="仿宋_GB2312"/>
          <w:color w:val="000000"/>
          <w:sz w:val="32"/>
          <w:szCs w:val="32"/>
        </w:rPr>
        <w:t>公务接待费支出决算比2019年增加0.1万元，增长100%。主要原因是20</w:t>
      </w:r>
      <w:r>
        <w:rPr>
          <w:rFonts w:hint="eastAsia" w:ascii="仿宋_GB2312" w:eastAsia="仿宋_GB2312"/>
          <w:color w:val="000000"/>
          <w:sz w:val="32"/>
          <w:szCs w:val="32"/>
          <w:lang w:val="en-US" w:eastAsia="zh-CN"/>
        </w:rPr>
        <w:t>19</w:t>
      </w:r>
      <w:bookmarkStart w:id="67" w:name="_GoBack"/>
      <w:bookmarkEnd w:id="67"/>
      <w:r>
        <w:rPr>
          <w:rFonts w:hint="eastAsia" w:ascii="仿宋_GB2312" w:eastAsia="仿宋_GB2312"/>
          <w:color w:val="000000"/>
          <w:sz w:val="32"/>
          <w:szCs w:val="32"/>
        </w:rPr>
        <w:t>年没有公务接待支出。其中：</w:t>
      </w:r>
    </w:p>
    <w:p>
      <w:pPr>
        <w:spacing w:line="600" w:lineRule="exact"/>
        <w:ind w:firstLine="640"/>
        <w:rPr>
          <w:rFonts w:ascii="仿宋_GB2312" w:eastAsia="仿宋_GB2312"/>
          <w:color w:val="FF0000"/>
          <w:sz w:val="32"/>
          <w:szCs w:val="32"/>
        </w:rPr>
      </w:pPr>
      <w:r>
        <w:rPr>
          <w:rFonts w:hint="eastAsia" w:ascii="仿宋_GB2312" w:hAnsi="仿宋" w:eastAsia="仿宋_GB2312"/>
          <w:b/>
          <w:color w:val="000000"/>
          <w:sz w:val="32"/>
          <w:szCs w:val="32"/>
        </w:rPr>
        <w:t>国内公务接待支出0.1</w:t>
      </w:r>
      <w:r>
        <w:rPr>
          <w:rFonts w:hint="eastAsia" w:ascii="仿宋_GB2312" w:eastAsia="仿宋_GB2312"/>
          <w:color w:val="000000"/>
          <w:sz w:val="32"/>
          <w:szCs w:val="32"/>
        </w:rPr>
        <w:t>万元，主要用于开展业务活动支出的用餐费。国内公务接待1批次，</w:t>
      </w:r>
      <w:r>
        <w:rPr>
          <w:rFonts w:ascii="仿宋_GB2312" w:eastAsia="仿宋_GB2312"/>
          <w:color w:val="000000"/>
          <w:sz w:val="32"/>
          <w:szCs w:val="32"/>
        </w:rPr>
        <w:t>11</w:t>
      </w:r>
      <w:r>
        <w:rPr>
          <w:rFonts w:hint="eastAsia" w:ascii="仿宋_GB2312" w:eastAsia="仿宋_GB2312"/>
          <w:color w:val="000000"/>
          <w:sz w:val="32"/>
          <w:szCs w:val="32"/>
        </w:rPr>
        <w:t>人次，共计支出0.1万元，主要是接待地市州人员来访。</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中共四川省委讲师团2020年度没有外事接待支出。</w:t>
      </w:r>
      <w:bookmarkStart w:id="40" w:name="_Toc15396610"/>
      <w:bookmarkStart w:id="41" w:name="_Toc15377218"/>
    </w:p>
    <w:p>
      <w:pPr>
        <w:spacing w:line="600" w:lineRule="exact"/>
        <w:ind w:firstLine="640"/>
        <w:outlineLvl w:val="1"/>
        <w:rPr>
          <w:rStyle w:val="26"/>
          <w:rFonts w:ascii="黑体" w:hAnsi="黑体" w:eastAsia="黑体"/>
        </w:rPr>
      </w:pPr>
      <w:r>
        <w:rPr>
          <w:rFonts w:hint="eastAsia" w:ascii="黑体" w:hAnsi="黑体" w:eastAsia="黑体"/>
          <w:color w:val="000000"/>
          <w:sz w:val="32"/>
          <w:szCs w:val="32"/>
        </w:rPr>
        <w:t>八、</w:t>
      </w:r>
      <w:r>
        <w:rPr>
          <w:rStyle w:val="26"/>
          <w:rFonts w:hint="eastAsia" w:ascii="黑体" w:hAnsi="黑体" w:eastAsia="黑体"/>
          <w:b w:val="0"/>
        </w:rPr>
        <w:t>政府性基金预算支出决算情况说明</w:t>
      </w:r>
      <w:bookmarkEnd w:id="40"/>
      <w:bookmarkEnd w:id="41"/>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2020年政府性基金预算财政拨款支出0万元。</w:t>
      </w:r>
    </w:p>
    <w:p>
      <w:pPr>
        <w:numPr>
          <w:ilvl w:val="0"/>
          <w:numId w:val="4"/>
        </w:numPr>
        <w:spacing w:line="600" w:lineRule="exact"/>
        <w:ind w:firstLine="640"/>
        <w:outlineLvl w:val="1"/>
        <w:rPr>
          <w:rStyle w:val="26"/>
          <w:rFonts w:ascii="黑体" w:hAnsi="黑体" w:eastAsia="黑体"/>
          <w:b w:val="0"/>
        </w:rPr>
      </w:pPr>
      <w:bookmarkStart w:id="42" w:name="_Toc15377219"/>
      <w:bookmarkStart w:id="43" w:name="_Toc15396611"/>
      <w:r>
        <w:rPr>
          <w:rStyle w:val="26"/>
          <w:rFonts w:hint="eastAsia" w:ascii="黑体" w:hAnsi="黑体" w:eastAsia="黑体"/>
          <w:b w:val="0"/>
        </w:rPr>
        <w:t>国有资本经营预算支出决算情况说明</w:t>
      </w:r>
      <w:bookmarkEnd w:id="42"/>
      <w:bookmarkEnd w:id="43"/>
    </w:p>
    <w:p>
      <w:pPr>
        <w:spacing w:line="600" w:lineRule="exact"/>
        <w:ind w:firstLine="640"/>
        <w:rPr>
          <w:rFonts w:ascii="仿宋_GB2312" w:eastAsia="仿宋_GB2312"/>
          <w:sz w:val="32"/>
          <w:szCs w:val="32"/>
        </w:rPr>
      </w:pPr>
      <w:r>
        <w:rPr>
          <w:rFonts w:hint="eastAsia" w:ascii="仿宋_GB2312" w:eastAsia="仿宋_GB2312"/>
          <w:sz w:val="32"/>
          <w:szCs w:val="32"/>
        </w:rPr>
        <w:t>2020年国有资本经营预算财政拨款支出0万元。</w:t>
      </w:r>
    </w:p>
    <w:p>
      <w:pPr>
        <w:numPr>
          <w:ilvl w:val="0"/>
          <w:numId w:val="4"/>
        </w:numPr>
        <w:spacing w:line="600" w:lineRule="exact"/>
        <w:ind w:firstLine="640"/>
        <w:outlineLvl w:val="1"/>
        <w:rPr>
          <w:rStyle w:val="26"/>
          <w:rFonts w:ascii="黑体" w:hAnsi="黑体" w:eastAsia="黑体"/>
          <w:b w:val="0"/>
        </w:rPr>
      </w:pPr>
      <w:bookmarkStart w:id="44" w:name="_Toc15377221"/>
      <w:bookmarkStart w:id="45" w:name="_Toc15396612"/>
      <w:r>
        <w:rPr>
          <w:rStyle w:val="26"/>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_GB2312" w:hAnsi="仿宋" w:eastAsia="仿宋_GB2312"/>
          <w:color w:val="000000"/>
          <w:sz w:val="32"/>
          <w:szCs w:val="32"/>
        </w:rPr>
      </w:pPr>
      <w:bookmarkStart w:id="46" w:name="_Toc15377222"/>
      <w:r>
        <w:rPr>
          <w:rFonts w:hint="eastAsia" w:ascii="仿宋_GB2312" w:hAnsi="仿宋" w:eastAsia="仿宋_GB2312"/>
          <w:b/>
          <w:color w:val="000000"/>
          <w:sz w:val="32"/>
          <w:szCs w:val="32"/>
        </w:rPr>
        <w:t>（一）机关运行经费支出情况</w:t>
      </w:r>
      <w:bookmarkEnd w:id="46"/>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sz w:val="32"/>
          <w:szCs w:val="32"/>
        </w:rPr>
        <w:t>2020年，中共四川省委讲师团机关运行经费支出68.81万元，比2019年增加36.64万元，增长113.88%。</w:t>
      </w:r>
      <w:r>
        <w:rPr>
          <w:rFonts w:hint="eastAsia" w:ascii="仿宋_GB2312" w:eastAsia="仿宋_GB2312"/>
          <w:color w:val="000000" w:themeColor="text1"/>
          <w:sz w:val="32"/>
          <w:szCs w:val="32"/>
          <w14:textFill>
            <w14:solidFill>
              <w14:schemeClr w14:val="tx1"/>
            </w14:solidFill>
          </w14:textFill>
        </w:rPr>
        <w:t>主要原因是根据财政要求将物业管理费、差旅费、公务接待费等非定额公用经费由在项目支出中列支改为了在基本支出中列支。</w:t>
      </w:r>
    </w:p>
    <w:p>
      <w:pPr>
        <w:autoSpaceDE w:val="0"/>
        <w:autoSpaceDN w:val="0"/>
        <w:adjustRightInd w:val="0"/>
        <w:spacing w:line="600" w:lineRule="exact"/>
        <w:ind w:firstLine="643" w:firstLineChars="200"/>
        <w:jc w:val="left"/>
        <w:outlineLvl w:val="2"/>
        <w:rPr>
          <w:rFonts w:ascii="仿宋_GB2312" w:hAnsi="仿宋" w:eastAsia="仿宋_GB2312"/>
          <w:b/>
          <w:color w:val="000000"/>
          <w:sz w:val="32"/>
          <w:szCs w:val="32"/>
        </w:rPr>
      </w:pPr>
      <w:bookmarkStart w:id="47" w:name="_Toc15377223"/>
      <w:r>
        <w:rPr>
          <w:rFonts w:hint="eastAsia" w:ascii="仿宋_GB2312" w:hAnsi="仿宋" w:eastAsia="仿宋_GB2312"/>
          <w:b/>
          <w:color w:val="000000"/>
          <w:sz w:val="32"/>
          <w:szCs w:val="32"/>
        </w:rPr>
        <w:t>（二）政府采购支出情况</w:t>
      </w:r>
      <w:bookmarkEnd w:id="47"/>
    </w:p>
    <w:p>
      <w:pPr>
        <w:spacing w:line="60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000000"/>
          <w:sz w:val="32"/>
          <w:szCs w:val="32"/>
        </w:rPr>
        <w:t>2020年，中共四川省委讲师团政府采购支出总额533.82万元，其中：政府采购货物支出0万元、政府采购工程支出0万元、政府采购服务支出533.82万元。主要用于“四川省党委（党组）中心组网络学习平台”及“学习强国”平台建</w:t>
      </w:r>
      <w:r>
        <w:rPr>
          <w:rFonts w:hint="eastAsia" w:ascii="仿宋_GB2312" w:eastAsia="仿宋_GB2312"/>
          <w:color w:val="auto"/>
          <w:sz w:val="32"/>
          <w:szCs w:val="32"/>
        </w:rPr>
        <w:t>设、运维费的采购。授予中小企业合同金额</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r>
        <w:rPr>
          <w:rFonts w:hint="eastAsia" w:ascii="仿宋_GB2312" w:eastAsia="仿宋_GB2312"/>
          <w:color w:val="auto"/>
          <w:sz w:val="32"/>
          <w:szCs w:val="32"/>
          <w:lang w:eastAsia="zh-CN"/>
        </w:rPr>
        <w:t>。</w:t>
      </w:r>
    </w:p>
    <w:p>
      <w:pPr>
        <w:autoSpaceDE w:val="0"/>
        <w:autoSpaceDN w:val="0"/>
        <w:adjustRightInd w:val="0"/>
        <w:spacing w:line="600" w:lineRule="exact"/>
        <w:ind w:firstLine="643" w:firstLineChars="200"/>
        <w:jc w:val="left"/>
        <w:outlineLvl w:val="2"/>
        <w:rPr>
          <w:rFonts w:ascii="仿宋_GB2312" w:hAnsi="仿宋" w:eastAsia="仿宋_GB2312"/>
          <w:b/>
          <w:color w:val="000000"/>
          <w:sz w:val="32"/>
          <w:szCs w:val="32"/>
        </w:rPr>
      </w:pPr>
      <w:bookmarkStart w:id="48" w:name="_Toc15377224"/>
      <w:r>
        <w:rPr>
          <w:rFonts w:hint="eastAsia" w:ascii="仿宋_GB2312" w:hAnsi="仿宋" w:eastAsia="仿宋_GB2312"/>
          <w:b/>
          <w:color w:val="000000"/>
          <w:sz w:val="32"/>
          <w:szCs w:val="32"/>
        </w:rPr>
        <w:t>（三）国有资产占有使用情况</w:t>
      </w:r>
      <w:bookmarkEnd w:id="48"/>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截至2020年12月31日，中共四川省委讲师团共有车辆1辆，其中：其他用车1辆。</w:t>
      </w:r>
      <w:r>
        <w:rPr>
          <w:rFonts w:hint="eastAsia" w:ascii="仿宋_GB2312" w:eastAsia="仿宋_GB2312"/>
          <w:color w:val="000000" w:themeColor="text1"/>
          <w:sz w:val="32"/>
          <w:szCs w:val="32"/>
          <w14:textFill>
            <w14:solidFill>
              <w14:schemeClr w14:val="tx1"/>
            </w14:solidFill>
          </w14:textFill>
        </w:rPr>
        <w:t>其他用车主要是用于</w:t>
      </w:r>
      <w:r>
        <w:rPr>
          <w:rFonts w:hint="eastAsia" w:ascii="仿宋_GB2312" w:hAnsi="仿宋" w:eastAsia="仿宋_GB2312" w:cs="仿宋"/>
          <w:sz w:val="32"/>
          <w:szCs w:val="32"/>
        </w:rPr>
        <w:t>保障重大政策宣讲、开展基层宣讲、调查研究等工作开展</w:t>
      </w:r>
      <w:r>
        <w:rPr>
          <w:rFonts w:hint="eastAsia" w:ascii="仿宋_GB2312" w:hAnsi="仿宋" w:eastAsia="仿宋_GB2312" w:cs="仿宋"/>
          <w:color w:val="000000"/>
          <w:sz w:val="32"/>
          <w:szCs w:val="32"/>
        </w:rPr>
        <w:t>等。</w:t>
      </w:r>
    </w:p>
    <w:p>
      <w:pPr>
        <w:autoSpaceDE w:val="0"/>
        <w:autoSpaceDN w:val="0"/>
        <w:adjustRightInd w:val="0"/>
        <w:spacing w:line="600" w:lineRule="exact"/>
        <w:ind w:firstLine="643" w:firstLineChars="200"/>
        <w:jc w:val="left"/>
        <w:outlineLvl w:val="2"/>
        <w:rPr>
          <w:rFonts w:ascii="仿宋_GB2312" w:hAnsi="仿宋" w:eastAsia="仿宋_GB2312"/>
          <w:b/>
          <w:sz w:val="32"/>
          <w:szCs w:val="32"/>
        </w:rPr>
      </w:pPr>
      <w:r>
        <w:rPr>
          <w:rFonts w:hint="eastAsia" w:ascii="仿宋_GB2312" w:hAnsi="仿宋" w:eastAsia="仿宋_GB2312"/>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根据预算绩效管理要求，本单位在年初预算编制阶段，对5个项目编制了绩效目标，年终执行完毕后，对5个项目开展了绩效目标完成情况梳理填报。其中1个项目为涉密项目。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预算绩效管理要求，本单位按要求对2020年整体支出开展绩效自评，从评价情况来看，省委讲师团严格遵守财经纪律，较好完成了2020年各项目标任务，保证了自身单位的运转和项目支出，做好了系列主题宣讲和基层宣讲，推动了“四川省党委（党组）中心组网络学习平台”“学习强国”学新平台两个平台的高质量发展，完成了“四川省中国特色社会主义理论体系研究中心”各项工作，整体支出方面取得了很好的绩效。</w:t>
      </w:r>
    </w:p>
    <w:p>
      <w:pPr>
        <w:numPr>
          <w:ilvl w:val="0"/>
          <w:numId w:val="5"/>
        </w:numPr>
        <w:spacing w:line="580" w:lineRule="exact"/>
        <w:ind w:firstLine="640"/>
        <w:rPr>
          <w:rFonts w:ascii="仿宋_GB2312" w:hAnsi="仿宋" w:eastAsia="仿宋_GB2312" w:cs="仿宋"/>
          <w:color w:val="0000FF"/>
          <w:sz w:val="32"/>
          <w:szCs w:val="32"/>
        </w:rPr>
      </w:pPr>
      <w:r>
        <w:rPr>
          <w:rFonts w:hint="eastAsia" w:ascii="仿宋_GB2312" w:hAnsi="楷体_GB2312" w:eastAsia="仿宋_GB2312" w:cs="楷体_GB2312"/>
          <w:b/>
          <w:color w:val="000000" w:themeColor="text1"/>
          <w:sz w:val="32"/>
          <w:szCs w:val="32"/>
          <w14:textFill>
            <w14:solidFill>
              <w14:schemeClr w14:val="tx1"/>
            </w14:solidFill>
          </w14:textFill>
        </w:rPr>
        <w:t>项目绩效目标完成情况。</w:t>
      </w:r>
      <w:r>
        <w:rPr>
          <w:rFonts w:hint="eastAsia" w:ascii="仿宋_GB2312" w:hAnsi="楷体_GB2312" w:eastAsia="仿宋_GB2312" w:cs="楷体_GB2312"/>
          <w:b/>
          <w:sz w:val="32"/>
          <w:szCs w:val="32"/>
        </w:rPr>
        <w:br w:type="textWrapping"/>
      </w:r>
      <w:r>
        <w:rPr>
          <w:rFonts w:hint="eastAsia" w:ascii="仿宋_GB2312" w:hAnsi="楷体_GB2312" w:eastAsia="仿宋_GB2312" w:cs="楷体_GB2312"/>
          <w:sz w:val="32"/>
          <w:szCs w:val="32"/>
        </w:rPr>
        <w:t xml:space="preserve">   </w:t>
      </w:r>
      <w:r>
        <w:rPr>
          <w:rFonts w:hint="eastAsia" w:ascii="仿宋_GB2312" w:hAnsi="仿宋_GB2312" w:eastAsia="仿宋_GB2312" w:cs="仿宋_GB2312"/>
          <w:sz w:val="32"/>
          <w:szCs w:val="32"/>
        </w:rPr>
        <w:t>“党委中心组网络学习平台工作运行维护”项目绩效目标完成情况综述。项目全年预算数328.95万元，执行数为206.2万元，完成预算的62.68%。</w:t>
      </w:r>
      <w:r>
        <w:rPr>
          <w:rFonts w:hint="eastAsia" w:ascii="仿宋_GB2312" w:hAnsi="仿宋" w:eastAsia="仿宋_GB2312" w:cs="仿宋"/>
          <w:sz w:val="32"/>
          <w:szCs w:val="32"/>
        </w:rPr>
        <w:t>本项目系跨年度项目，实际周期为当年9月30日至次年9月29日，资金执行方式为签订合作协议且当年项目正式启动后支付30%，剩余资金结转至次年，待项目过半且验收合格后支付30%，项目结束且验收合格后支付40%。2020年度预算共328.95万元：其中，上年结转154.94万元，当年预算174.01万元。全年执行数共206.2万元：其中，1月1日至9月29日，执行上年结转，按协议支付154万元，执行率99.4%，剩余0.94万元收回财政；9月30日至12月31日，执行当年预算，按协议约定的按项目执行的时间进度支付52.2万元，执行率30%，剩余121.81万元结转至2021年度预算。本项目旨在服务全省党委（党组）理论学习中心组学习，打造集学习、宣传、管理等功能为一体的融媒体平台，持续提升我省中心组学习管理信息化科学化水平，推动理论学习向广大党员群众辐射。一是做好团队建设。组织四川新闻网精干力量成立运维服务团队，常设项目负责人1人，内容编辑4人，技术运维1人，并根据工作需要配齐配强专业队伍。二是做好内容建设。内外网站编发各类稿件12820条，开设专题专栏9个；微信公众号发布推送256期，编发各类稿件6511条；制作原创作品24个；开展宣传活动7次。三是做好后台运维。完善学习组织架构、优化报送统计功能，为中心组学习管理提供大数据服务，全省累计注册账户5万余个，全年上传信息材料4.7万余条。四是做好技术保障。完成服务器、带宽、MSTP专线等网络服务租赁，常态化开展监控维护、优化升级、巡查检修、技术指导，实行7x24小时应急响应，保障内外网站、学习管理后台、微信公众号、可视化中心各系统安全高效运行。五是做好配套管理。及时形成全（半）年工作总结计划，建立健全各季度运维台帐，严格项目资金监管和验收报销，确保预算执行合法合规。存在的问题：本项目系跨年度项目，项目年和自然年存在差异，在预算周期、资金执行、目标完成等方面，与现行绩效申报考评体系不能完全匹配，导致本项目各方面执行虽合法合规，但可能被误判为存在风险。下一步改进措施：建议针对跨年度项目实际，完善绩效申报考评体系。</w:t>
      </w:r>
    </w:p>
    <w:tbl>
      <w:tblPr>
        <w:tblStyle w:val="13"/>
        <w:tblpPr w:leftFromText="180" w:rightFromText="180" w:vertAnchor="text" w:horzAnchor="page" w:tblpXSpec="center" w:tblpY="423"/>
        <w:tblOverlap w:val="never"/>
        <w:tblW w:w="8080" w:type="dxa"/>
        <w:jc w:val="center"/>
        <w:tblLayout w:type="fixed"/>
        <w:tblCellMar>
          <w:top w:w="0" w:type="dxa"/>
          <w:left w:w="0" w:type="dxa"/>
          <w:bottom w:w="0" w:type="dxa"/>
          <w:right w:w="0" w:type="dxa"/>
        </w:tblCellMar>
      </w:tblPr>
      <w:tblGrid>
        <w:gridCol w:w="390"/>
        <w:gridCol w:w="1299"/>
        <w:gridCol w:w="1313"/>
        <w:gridCol w:w="1393"/>
        <w:gridCol w:w="2409"/>
        <w:gridCol w:w="1276"/>
      </w:tblGrid>
      <w:tr>
        <w:tblPrEx>
          <w:tblCellMar>
            <w:top w:w="0" w:type="dxa"/>
            <w:left w:w="0" w:type="dxa"/>
            <w:bottom w:w="0" w:type="dxa"/>
            <w:right w:w="0" w:type="dxa"/>
          </w:tblCellMar>
        </w:tblPrEx>
        <w:trPr>
          <w:trHeight w:val="1034" w:hRule="atLeast"/>
          <w:jc w:val="center"/>
        </w:trPr>
        <w:tc>
          <w:tcPr>
            <w:tcW w:w="8080" w:type="dxa"/>
            <w:gridSpan w:val="6"/>
            <w:tcBorders>
              <w:top w:val="nil"/>
              <w:left w:val="nil"/>
              <w:bottom w:val="nil"/>
              <w:right w:val="nil"/>
            </w:tcBorders>
            <w:tcMar>
              <w:top w:w="15" w:type="dxa"/>
              <w:left w:w="15" w:type="dxa"/>
              <w:right w:w="15" w:type="dxa"/>
            </w:tcMar>
            <w:vAlign w:val="center"/>
          </w:tcPr>
          <w:p>
            <w:pPr>
              <w:overflowPunct w:val="0"/>
              <w:spacing w:line="600" w:lineRule="exact"/>
              <w:jc w:val="center"/>
              <w:textAlignment w:val="center"/>
              <w:rPr>
                <w:rFonts w:ascii="仿宋_GB2312" w:eastAsia="仿宋_GB2312"/>
                <w:sz w:val="36"/>
                <w:szCs w:val="36"/>
              </w:rPr>
            </w:pPr>
            <w:r>
              <w:rPr>
                <w:rFonts w:hint="eastAsia" w:ascii="仿宋_GB2312" w:eastAsia="仿宋_GB2312"/>
                <w:b/>
                <w:bCs/>
                <w:kern w:val="0"/>
                <w:sz w:val="36"/>
                <w:szCs w:val="36"/>
                <w:lang w:bidi="ar"/>
              </w:rPr>
              <w:t>项目绩效目标完成情况表</w:t>
            </w:r>
            <w:r>
              <w:rPr>
                <w:rFonts w:hint="eastAsia" w:ascii="仿宋_GB2312" w:eastAsia="仿宋_GB2312"/>
                <w:b/>
                <w:bCs/>
                <w:kern w:val="0"/>
                <w:sz w:val="36"/>
                <w:szCs w:val="36"/>
                <w:lang w:bidi="ar"/>
              </w:rPr>
              <w:br w:type="textWrapping"/>
            </w:r>
            <w:r>
              <w:rPr>
                <w:rFonts w:hint="eastAsia" w:ascii="仿宋_GB2312" w:eastAsia="仿宋_GB2312"/>
                <w:kern w:val="0"/>
                <w:sz w:val="32"/>
                <w:szCs w:val="32"/>
                <w:lang w:bidi="ar"/>
              </w:rPr>
              <w:t>(2020年度)</w:t>
            </w:r>
          </w:p>
        </w:tc>
      </w:tr>
      <w:tr>
        <w:tblPrEx>
          <w:tblCellMar>
            <w:top w:w="0" w:type="dxa"/>
            <w:left w:w="0" w:type="dxa"/>
            <w:bottom w:w="0" w:type="dxa"/>
            <w:right w:w="0" w:type="dxa"/>
          </w:tblCellMar>
        </w:tblPrEx>
        <w:trPr>
          <w:trHeight w:val="567" w:hRule="exact"/>
          <w:jc w:val="center"/>
        </w:trPr>
        <w:tc>
          <w:tcPr>
            <w:tcW w:w="300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textAlignment w:val="center"/>
              <w:rPr>
                <w:rFonts w:ascii="仿宋_GB2312" w:eastAsia="仿宋_GB2312"/>
                <w:sz w:val="24"/>
              </w:rPr>
            </w:pPr>
            <w:r>
              <w:rPr>
                <w:rFonts w:hint="eastAsia" w:ascii="仿宋_GB2312" w:eastAsia="仿宋_GB2312"/>
                <w:kern w:val="0"/>
                <w:sz w:val="24"/>
                <w:lang w:bidi="ar"/>
              </w:rPr>
              <w:t>项目名称</w:t>
            </w:r>
          </w:p>
        </w:tc>
        <w:tc>
          <w:tcPr>
            <w:tcW w:w="50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textAlignment w:val="center"/>
              <w:rPr>
                <w:rFonts w:ascii="仿宋_GB2312" w:eastAsia="仿宋_GB2312"/>
                <w:sz w:val="24"/>
              </w:rPr>
            </w:pPr>
            <w:r>
              <w:rPr>
                <w:rFonts w:hint="eastAsia" w:ascii="仿宋_GB2312" w:eastAsia="仿宋_GB2312"/>
                <w:sz w:val="24"/>
              </w:rPr>
              <w:t>党委中心组网络学习平台工作运行、维护费</w:t>
            </w:r>
          </w:p>
        </w:tc>
      </w:tr>
      <w:tr>
        <w:tblPrEx>
          <w:tblCellMar>
            <w:top w:w="0" w:type="dxa"/>
            <w:left w:w="0" w:type="dxa"/>
            <w:bottom w:w="0" w:type="dxa"/>
            <w:right w:w="0" w:type="dxa"/>
          </w:tblCellMar>
        </w:tblPrEx>
        <w:trPr>
          <w:trHeight w:val="567" w:hRule="exact"/>
          <w:jc w:val="center"/>
        </w:trPr>
        <w:tc>
          <w:tcPr>
            <w:tcW w:w="300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textAlignment w:val="center"/>
              <w:rPr>
                <w:rFonts w:ascii="仿宋_GB2312" w:eastAsia="仿宋_GB2312"/>
                <w:sz w:val="24"/>
              </w:rPr>
            </w:pPr>
            <w:r>
              <w:rPr>
                <w:rFonts w:hint="eastAsia" w:ascii="仿宋_GB2312" w:eastAsia="仿宋_GB2312"/>
                <w:kern w:val="0"/>
                <w:sz w:val="24"/>
                <w:lang w:bidi="ar"/>
              </w:rPr>
              <w:t>预算单位</w:t>
            </w:r>
          </w:p>
        </w:tc>
        <w:tc>
          <w:tcPr>
            <w:tcW w:w="50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textAlignment w:val="center"/>
              <w:rPr>
                <w:rFonts w:ascii="仿宋_GB2312" w:eastAsia="仿宋_GB2312"/>
                <w:sz w:val="24"/>
              </w:rPr>
            </w:pPr>
            <w:r>
              <w:rPr>
                <w:rFonts w:hint="eastAsia" w:ascii="仿宋_GB2312" w:eastAsia="仿宋_GB2312"/>
                <w:sz w:val="24"/>
              </w:rPr>
              <w:t>中共四川省委员会讲师团</w:t>
            </w:r>
          </w:p>
        </w:tc>
      </w:tr>
      <w:tr>
        <w:tblPrEx>
          <w:tblCellMar>
            <w:top w:w="0" w:type="dxa"/>
            <w:left w:w="0" w:type="dxa"/>
            <w:bottom w:w="0" w:type="dxa"/>
            <w:right w:w="0" w:type="dxa"/>
          </w:tblCellMar>
        </w:tblPrEx>
        <w:trPr>
          <w:trHeight w:val="567" w:hRule="exac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textAlignment w:val="center"/>
              <w:rPr>
                <w:rFonts w:ascii="仿宋_GB2312" w:eastAsia="仿宋_GB2312"/>
                <w:sz w:val="24"/>
              </w:rPr>
            </w:pPr>
            <w:r>
              <w:rPr>
                <w:rFonts w:hint="eastAsia" w:ascii="仿宋_GB2312" w:eastAsia="仿宋_GB2312"/>
                <w:kern w:val="0"/>
                <w:sz w:val="24"/>
                <w:lang w:bidi="ar"/>
              </w:rPr>
              <w:t>预算执行情况(万元)</w:t>
            </w:r>
          </w:p>
        </w:tc>
        <w:tc>
          <w:tcPr>
            <w:tcW w:w="26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textAlignment w:val="center"/>
              <w:rPr>
                <w:rFonts w:ascii="仿宋_GB2312" w:eastAsia="仿宋_GB2312"/>
                <w:sz w:val="24"/>
              </w:rPr>
            </w:pPr>
            <w:r>
              <w:rPr>
                <w:rFonts w:hint="eastAsia" w:ascii="仿宋_GB2312" w:eastAsia="仿宋_GB2312"/>
                <w:kern w:val="0"/>
                <w:sz w:val="24"/>
                <w:lang w:bidi="ar"/>
              </w:rPr>
              <w:t>预算数:</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textAlignment w:val="center"/>
              <w:rPr>
                <w:rFonts w:ascii="仿宋_GB2312" w:eastAsia="仿宋_GB2312"/>
                <w:sz w:val="24"/>
              </w:rPr>
            </w:pPr>
            <w:r>
              <w:rPr>
                <w:rFonts w:hint="eastAsia" w:ascii="仿宋_GB2312" w:eastAsia="仿宋_GB2312"/>
                <w:sz w:val="24"/>
              </w:rPr>
              <w:t>328.95万元</w:t>
            </w:r>
          </w:p>
        </w:tc>
        <w:tc>
          <w:tcPr>
            <w:tcW w:w="24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textAlignment w:val="center"/>
              <w:rPr>
                <w:rFonts w:ascii="仿宋_GB2312" w:eastAsia="仿宋_GB2312"/>
                <w:sz w:val="24"/>
              </w:rPr>
            </w:pPr>
            <w:r>
              <w:rPr>
                <w:rFonts w:hint="eastAsia" w:ascii="仿宋_GB2312" w:eastAsia="仿宋_GB2312"/>
                <w:kern w:val="0"/>
                <w:sz w:val="24"/>
                <w:lang w:bidi="ar"/>
              </w:rPr>
              <w:t>执行数:</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textAlignment w:val="center"/>
              <w:rPr>
                <w:rFonts w:ascii="仿宋_GB2312" w:eastAsia="仿宋_GB2312"/>
                <w:sz w:val="24"/>
              </w:rPr>
            </w:pPr>
            <w:r>
              <w:rPr>
                <w:rFonts w:hint="eastAsia" w:ascii="仿宋_GB2312" w:eastAsia="仿宋_GB2312"/>
                <w:sz w:val="24"/>
              </w:rPr>
              <w:t>206.2万元</w:t>
            </w:r>
          </w:p>
        </w:tc>
      </w:tr>
      <w:tr>
        <w:tblPrEx>
          <w:tblCellMar>
            <w:top w:w="0" w:type="dxa"/>
            <w:left w:w="0" w:type="dxa"/>
            <w:bottom w:w="0" w:type="dxa"/>
            <w:right w:w="0" w:type="dxa"/>
          </w:tblCellMar>
        </w:tblPrEx>
        <w:trPr>
          <w:trHeight w:val="567" w:hRule="exac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rPr>
                <w:rFonts w:ascii="仿宋_GB2312" w:eastAsia="仿宋_GB2312"/>
                <w:sz w:val="24"/>
              </w:rPr>
            </w:pPr>
          </w:p>
        </w:tc>
        <w:tc>
          <w:tcPr>
            <w:tcW w:w="26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textAlignment w:val="center"/>
              <w:rPr>
                <w:rFonts w:ascii="仿宋_GB2312" w:eastAsia="仿宋_GB2312"/>
                <w:sz w:val="24"/>
              </w:rPr>
            </w:pPr>
            <w:r>
              <w:rPr>
                <w:rFonts w:hint="eastAsia" w:ascii="仿宋_GB2312" w:eastAsia="仿宋_GB2312"/>
                <w:kern w:val="0"/>
                <w:sz w:val="24"/>
                <w:lang w:bidi="ar"/>
              </w:rPr>
              <w:t>其中-财政拨款:</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textAlignment w:val="center"/>
              <w:rPr>
                <w:rFonts w:ascii="仿宋_GB2312" w:eastAsia="仿宋_GB2312"/>
                <w:sz w:val="24"/>
              </w:rPr>
            </w:pPr>
            <w:r>
              <w:rPr>
                <w:rFonts w:hint="eastAsia" w:ascii="仿宋_GB2312" w:eastAsia="仿宋_GB2312"/>
                <w:sz w:val="24"/>
              </w:rPr>
              <w:t>328.95万元</w:t>
            </w:r>
          </w:p>
        </w:tc>
        <w:tc>
          <w:tcPr>
            <w:tcW w:w="24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textAlignment w:val="center"/>
              <w:rPr>
                <w:rFonts w:ascii="仿宋_GB2312" w:eastAsia="仿宋_GB2312"/>
                <w:sz w:val="24"/>
              </w:rPr>
            </w:pPr>
            <w:r>
              <w:rPr>
                <w:rFonts w:hint="eastAsia" w:ascii="仿宋_GB2312" w:eastAsia="仿宋_GB2312"/>
                <w:kern w:val="0"/>
                <w:sz w:val="24"/>
                <w:lang w:bidi="ar"/>
              </w:rPr>
              <w:t>其中-财政拨款:</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textAlignment w:val="center"/>
              <w:rPr>
                <w:rFonts w:ascii="仿宋_GB2312" w:eastAsia="仿宋_GB2312"/>
                <w:sz w:val="24"/>
              </w:rPr>
            </w:pPr>
            <w:r>
              <w:rPr>
                <w:rFonts w:hint="eastAsia" w:ascii="仿宋_GB2312" w:eastAsia="仿宋_GB2312"/>
                <w:sz w:val="24"/>
              </w:rPr>
              <w:t>206.2万元</w:t>
            </w:r>
          </w:p>
        </w:tc>
      </w:tr>
      <w:tr>
        <w:tblPrEx>
          <w:tblCellMar>
            <w:top w:w="0" w:type="dxa"/>
            <w:left w:w="0" w:type="dxa"/>
            <w:bottom w:w="0" w:type="dxa"/>
            <w:right w:w="0" w:type="dxa"/>
          </w:tblCellMar>
        </w:tblPrEx>
        <w:trPr>
          <w:trHeight w:val="567" w:hRule="exac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rPr>
                <w:rFonts w:ascii="仿宋_GB2312" w:eastAsia="仿宋_GB2312"/>
                <w:sz w:val="24"/>
              </w:rPr>
            </w:pPr>
          </w:p>
        </w:tc>
        <w:tc>
          <w:tcPr>
            <w:tcW w:w="26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textAlignment w:val="center"/>
              <w:rPr>
                <w:rFonts w:ascii="仿宋_GB2312" w:eastAsia="仿宋_GB2312"/>
                <w:sz w:val="24"/>
              </w:rPr>
            </w:pPr>
            <w:r>
              <w:rPr>
                <w:rFonts w:hint="eastAsia" w:ascii="仿宋_GB2312" w:eastAsia="仿宋_GB2312"/>
                <w:kern w:val="0"/>
                <w:sz w:val="24"/>
                <w:lang w:bidi="ar"/>
              </w:rPr>
              <w:t>其它资金:</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textAlignment w:val="center"/>
              <w:rPr>
                <w:rFonts w:ascii="仿宋_GB2312" w:eastAsia="仿宋_GB2312"/>
                <w:sz w:val="24"/>
              </w:rPr>
            </w:pPr>
          </w:p>
        </w:tc>
        <w:tc>
          <w:tcPr>
            <w:tcW w:w="24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textAlignment w:val="center"/>
              <w:rPr>
                <w:rFonts w:ascii="仿宋_GB2312" w:eastAsia="仿宋_GB2312"/>
                <w:sz w:val="24"/>
              </w:rPr>
            </w:pPr>
            <w:r>
              <w:rPr>
                <w:rFonts w:hint="eastAsia" w:ascii="仿宋_GB2312" w:eastAsia="仿宋_GB2312"/>
                <w:kern w:val="0"/>
                <w:sz w:val="24"/>
                <w:lang w:bidi="ar"/>
              </w:rPr>
              <w:t>其它资金:</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rPr>
                <w:rFonts w:ascii="仿宋_GB2312" w:eastAsia="仿宋_GB2312"/>
                <w:sz w:val="24"/>
              </w:rPr>
            </w:pPr>
          </w:p>
        </w:tc>
      </w:tr>
      <w:tr>
        <w:tblPrEx>
          <w:tblCellMar>
            <w:top w:w="0" w:type="dxa"/>
            <w:left w:w="0" w:type="dxa"/>
            <w:bottom w:w="0" w:type="dxa"/>
            <w:right w:w="0" w:type="dxa"/>
          </w:tblCellMar>
        </w:tblPrEx>
        <w:trPr>
          <w:trHeight w:val="567" w:hRule="exac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textAlignment w:val="center"/>
              <w:rPr>
                <w:rFonts w:ascii="仿宋_GB2312" w:eastAsia="仿宋_GB2312"/>
                <w:sz w:val="24"/>
              </w:rPr>
            </w:pPr>
            <w:r>
              <w:rPr>
                <w:rFonts w:hint="eastAsia" w:ascii="仿宋_GB2312" w:eastAsia="仿宋_GB2312"/>
                <w:kern w:val="0"/>
                <w:sz w:val="24"/>
                <w:lang w:bidi="ar"/>
              </w:rPr>
              <w:t>年度目标完成情况</w:t>
            </w:r>
          </w:p>
        </w:tc>
        <w:tc>
          <w:tcPr>
            <w:tcW w:w="400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textAlignment w:val="center"/>
              <w:rPr>
                <w:rFonts w:ascii="仿宋_GB2312" w:eastAsia="仿宋_GB2312"/>
                <w:sz w:val="24"/>
              </w:rPr>
            </w:pPr>
            <w:r>
              <w:rPr>
                <w:rFonts w:hint="eastAsia" w:ascii="仿宋_GB2312" w:eastAsia="仿宋_GB2312"/>
                <w:kern w:val="0"/>
                <w:sz w:val="24"/>
                <w:lang w:bidi="ar"/>
              </w:rPr>
              <w:t>预期目标</w:t>
            </w:r>
          </w:p>
        </w:tc>
        <w:tc>
          <w:tcPr>
            <w:tcW w:w="36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textAlignment w:val="center"/>
              <w:rPr>
                <w:rFonts w:ascii="仿宋_GB2312" w:eastAsia="仿宋_GB2312"/>
                <w:sz w:val="24"/>
              </w:rPr>
            </w:pPr>
            <w:r>
              <w:rPr>
                <w:rFonts w:hint="eastAsia" w:ascii="仿宋_GB2312" w:eastAsia="仿宋_GB2312"/>
                <w:kern w:val="0"/>
                <w:sz w:val="24"/>
                <w:lang w:bidi="ar"/>
              </w:rPr>
              <w:t>实际完成目标</w:t>
            </w:r>
          </w:p>
        </w:tc>
      </w:tr>
      <w:tr>
        <w:tblPrEx>
          <w:tblCellMar>
            <w:top w:w="0" w:type="dxa"/>
            <w:left w:w="0" w:type="dxa"/>
            <w:bottom w:w="0" w:type="dxa"/>
            <w:right w:w="0" w:type="dxa"/>
          </w:tblCellMar>
        </w:tblPrEx>
        <w:trPr>
          <w:trHeight w:val="1493" w:hRule="exac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rPr>
                <w:rFonts w:ascii="仿宋_GB2312" w:eastAsia="仿宋_GB2312"/>
                <w:sz w:val="24"/>
              </w:rPr>
            </w:pPr>
          </w:p>
        </w:tc>
        <w:tc>
          <w:tcPr>
            <w:tcW w:w="400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spacing w:before="93" w:line="280" w:lineRule="exact"/>
              <w:rPr>
                <w:sz w:val="24"/>
              </w:rPr>
            </w:pPr>
            <w:r>
              <w:rPr>
                <w:rFonts w:hint="eastAsia"/>
                <w:sz w:val="24"/>
              </w:rPr>
              <w:t>紧扣服务中心组学习，完善栏目内容，优化功能设置，加大宣传力度，打造集学习、宣传、管理等功能为一体的融媒体平台</w:t>
            </w:r>
          </w:p>
        </w:tc>
        <w:tc>
          <w:tcPr>
            <w:tcW w:w="36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spacing w:before="93" w:line="280" w:lineRule="exact"/>
              <w:rPr>
                <w:sz w:val="24"/>
              </w:rPr>
            </w:pPr>
            <w:r>
              <w:rPr>
                <w:rFonts w:hint="eastAsia"/>
                <w:sz w:val="24"/>
              </w:rPr>
              <w:t>严格按照绩效目标，结合跨年度实际，有质有序推进运维工作，已完成全年目标任务</w:t>
            </w:r>
          </w:p>
        </w:tc>
      </w:tr>
      <w:tr>
        <w:tblPrEx>
          <w:tblCellMar>
            <w:top w:w="0" w:type="dxa"/>
            <w:left w:w="0" w:type="dxa"/>
            <w:bottom w:w="0" w:type="dxa"/>
            <w:right w:w="0" w:type="dxa"/>
          </w:tblCellMar>
        </w:tblPrEx>
        <w:trPr>
          <w:trHeight w:val="1134" w:hRule="exac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textAlignment w:val="center"/>
              <w:rPr>
                <w:rFonts w:ascii="仿宋_GB2312" w:eastAsia="仿宋_GB2312"/>
                <w:sz w:val="24"/>
              </w:rPr>
            </w:pPr>
            <w:r>
              <w:rPr>
                <w:rFonts w:hint="eastAsia" w:ascii="仿宋_GB2312" w:eastAsia="仿宋_GB2312"/>
                <w:sz w:val="24"/>
              </w:rPr>
              <w:t>绩效指标完成情况</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textAlignment w:val="center"/>
              <w:rPr>
                <w:rFonts w:ascii="仿宋_GB2312" w:eastAsia="仿宋_GB2312"/>
                <w:sz w:val="24"/>
              </w:rPr>
            </w:pPr>
            <w:r>
              <w:rPr>
                <w:rFonts w:hint="eastAsia" w:ascii="仿宋_GB2312" w:eastAsia="仿宋_GB2312"/>
                <w:kern w:val="0"/>
                <w:sz w:val="24"/>
                <w:lang w:bidi="ar"/>
              </w:rPr>
              <w:t>一级指标</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textAlignment w:val="center"/>
              <w:rPr>
                <w:rFonts w:ascii="仿宋_GB2312" w:eastAsia="仿宋_GB2312"/>
                <w:sz w:val="24"/>
              </w:rPr>
            </w:pPr>
            <w:r>
              <w:rPr>
                <w:rFonts w:hint="eastAsia" w:ascii="仿宋_GB2312" w:eastAsia="仿宋_GB2312"/>
                <w:kern w:val="0"/>
                <w:sz w:val="24"/>
                <w:lang w:bidi="ar"/>
              </w:rPr>
              <w:t>二级指标</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textAlignment w:val="center"/>
              <w:rPr>
                <w:rFonts w:ascii="仿宋_GB2312" w:eastAsia="仿宋_GB2312"/>
                <w:sz w:val="24"/>
              </w:rPr>
            </w:pPr>
            <w:r>
              <w:rPr>
                <w:rFonts w:hint="eastAsia" w:ascii="仿宋_GB2312" w:eastAsia="仿宋_GB2312"/>
                <w:kern w:val="0"/>
                <w:sz w:val="24"/>
                <w:lang w:bidi="ar"/>
              </w:rPr>
              <w:t>三级指标</w:t>
            </w:r>
          </w:p>
        </w:tc>
        <w:tc>
          <w:tcPr>
            <w:tcW w:w="24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260" w:lineRule="exact"/>
              <w:jc w:val="center"/>
              <w:textAlignment w:val="center"/>
              <w:rPr>
                <w:rFonts w:ascii="仿宋_GB2312" w:eastAsia="仿宋_GB2312"/>
                <w:sz w:val="24"/>
              </w:rPr>
            </w:pPr>
            <w:r>
              <w:rPr>
                <w:rFonts w:hint="eastAsia" w:ascii="仿宋_GB2312" w:eastAsia="仿宋_GB2312"/>
                <w:kern w:val="0"/>
                <w:sz w:val="24"/>
                <w:lang w:bidi="ar"/>
              </w:rPr>
              <w:t>预期指标值(包含数字及文字描述)</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260" w:lineRule="exact"/>
              <w:jc w:val="center"/>
              <w:textAlignment w:val="center"/>
              <w:rPr>
                <w:rFonts w:ascii="仿宋_GB2312" w:eastAsia="仿宋_GB2312"/>
                <w:sz w:val="24"/>
              </w:rPr>
            </w:pPr>
            <w:r>
              <w:rPr>
                <w:rFonts w:hint="eastAsia" w:ascii="仿宋_GB2312" w:eastAsia="仿宋_GB2312"/>
                <w:kern w:val="0"/>
                <w:sz w:val="24"/>
                <w:lang w:bidi="ar"/>
              </w:rPr>
              <w:t>实际完成指标值(包含数字及文字描述)</w:t>
            </w:r>
          </w:p>
        </w:tc>
      </w:tr>
      <w:tr>
        <w:tblPrEx>
          <w:tblCellMar>
            <w:top w:w="0" w:type="dxa"/>
            <w:left w:w="0" w:type="dxa"/>
            <w:bottom w:w="0" w:type="dxa"/>
            <w:right w:w="0" w:type="dxa"/>
          </w:tblCellMar>
        </w:tblPrEx>
        <w:trPr>
          <w:trHeight w:val="1134" w:hRule="exac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textAlignment w:val="center"/>
              <w:rPr>
                <w:rFonts w:ascii="仿宋_GB2312" w:eastAsia="仿宋_GB2312"/>
                <w:sz w:val="24"/>
              </w:rPr>
            </w:pP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400" w:lineRule="exact"/>
              <w:jc w:val="center"/>
              <w:textAlignment w:val="center"/>
              <w:rPr>
                <w:rFonts w:ascii="仿宋_GB2312" w:eastAsia="仿宋_GB2312"/>
                <w:sz w:val="24"/>
              </w:rPr>
            </w:pPr>
            <w:r>
              <w:rPr>
                <w:rFonts w:hint="eastAsia" w:ascii="仿宋_GB2312" w:eastAsia="仿宋_GB2312"/>
                <w:kern w:val="0"/>
                <w:sz w:val="24"/>
                <w:lang w:bidi="ar"/>
              </w:rPr>
              <w:t>完成指标</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textAlignment w:val="center"/>
              <w:rPr>
                <w:rFonts w:ascii="仿宋_GB2312" w:eastAsia="仿宋_GB2312"/>
                <w:sz w:val="24"/>
              </w:rPr>
            </w:pPr>
            <w:r>
              <w:rPr>
                <w:rFonts w:hint="eastAsia" w:ascii="仿宋_GB2312" w:eastAsia="仿宋_GB2312"/>
                <w:sz w:val="24"/>
              </w:rPr>
              <w:t>数量指标</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textAlignment w:val="center"/>
              <w:rPr>
                <w:rFonts w:ascii="仿宋_GB2312" w:eastAsia="仿宋_GB2312"/>
                <w:sz w:val="24"/>
              </w:rPr>
            </w:pPr>
            <w:r>
              <w:rPr>
                <w:rFonts w:hint="eastAsia" w:ascii="仿宋_GB2312" w:eastAsia="仿宋_GB2312"/>
                <w:sz w:val="24"/>
              </w:rPr>
              <w:t>网站内容</w:t>
            </w:r>
          </w:p>
        </w:tc>
        <w:tc>
          <w:tcPr>
            <w:tcW w:w="24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260" w:lineRule="exact"/>
              <w:jc w:val="center"/>
              <w:textAlignment w:val="center"/>
              <w:rPr>
                <w:rFonts w:ascii="仿宋_GB2312" w:eastAsia="仿宋_GB2312"/>
                <w:sz w:val="24"/>
              </w:rPr>
            </w:pPr>
            <w:r>
              <w:rPr>
                <w:rFonts w:hint="eastAsia" w:ascii="仿宋_GB2312" w:eastAsia="仿宋_GB2312"/>
                <w:sz w:val="24"/>
              </w:rPr>
              <w:t>编发稿件至少3000条，开设专题至少4个</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260" w:lineRule="exact"/>
              <w:jc w:val="center"/>
              <w:textAlignment w:val="center"/>
              <w:rPr>
                <w:rFonts w:ascii="仿宋_GB2312" w:eastAsia="仿宋_GB2312"/>
                <w:sz w:val="24"/>
              </w:rPr>
            </w:pPr>
            <w:r>
              <w:rPr>
                <w:rFonts w:hint="eastAsia" w:ascii="仿宋_GB2312" w:eastAsia="仿宋_GB2312"/>
                <w:sz w:val="24"/>
              </w:rPr>
              <w:t>编发稿件12820条，开设专题专栏9个</w:t>
            </w:r>
          </w:p>
        </w:tc>
      </w:tr>
      <w:tr>
        <w:tblPrEx>
          <w:tblCellMar>
            <w:top w:w="0" w:type="dxa"/>
            <w:left w:w="0" w:type="dxa"/>
            <w:bottom w:w="0" w:type="dxa"/>
            <w:right w:w="0" w:type="dxa"/>
          </w:tblCellMar>
        </w:tblPrEx>
        <w:trPr>
          <w:trHeight w:val="1530" w:hRule="exac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textAlignment w:val="center"/>
              <w:rPr>
                <w:rFonts w:ascii="仿宋_GB2312" w:eastAsia="仿宋_GB2312"/>
                <w:sz w:val="24"/>
              </w:rPr>
            </w:pP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400" w:lineRule="exact"/>
              <w:jc w:val="center"/>
              <w:textAlignment w:val="center"/>
              <w:rPr>
                <w:rFonts w:ascii="仿宋_GB2312" w:eastAsia="仿宋_GB2312"/>
                <w:sz w:val="24"/>
              </w:rPr>
            </w:pPr>
            <w:r>
              <w:rPr>
                <w:rFonts w:hint="eastAsia" w:ascii="仿宋_GB2312" w:eastAsia="仿宋_GB2312"/>
                <w:kern w:val="0"/>
                <w:sz w:val="24"/>
                <w:lang w:bidi="ar"/>
              </w:rPr>
              <w:t>完成指标</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textAlignment w:val="center"/>
              <w:rPr>
                <w:rFonts w:ascii="仿宋_GB2312" w:eastAsia="仿宋_GB2312"/>
                <w:sz w:val="24"/>
              </w:rPr>
            </w:pPr>
            <w:r>
              <w:rPr>
                <w:rFonts w:hint="eastAsia" w:ascii="仿宋_GB2312" w:eastAsia="仿宋_GB2312"/>
                <w:sz w:val="24"/>
              </w:rPr>
              <w:t>数量指标</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textAlignment w:val="center"/>
              <w:rPr>
                <w:rFonts w:ascii="仿宋_GB2312" w:eastAsia="仿宋_GB2312"/>
                <w:sz w:val="24"/>
              </w:rPr>
            </w:pPr>
            <w:r>
              <w:rPr>
                <w:rFonts w:hint="eastAsia" w:ascii="仿宋_GB2312" w:eastAsia="仿宋_GB2312"/>
                <w:sz w:val="24"/>
              </w:rPr>
              <w:t>微信内容</w:t>
            </w:r>
          </w:p>
        </w:tc>
        <w:tc>
          <w:tcPr>
            <w:tcW w:w="24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260" w:lineRule="exact"/>
              <w:jc w:val="center"/>
              <w:textAlignment w:val="center"/>
              <w:rPr>
                <w:rFonts w:ascii="仿宋_GB2312" w:eastAsia="仿宋_GB2312"/>
                <w:sz w:val="24"/>
              </w:rPr>
            </w:pPr>
            <w:r>
              <w:rPr>
                <w:rFonts w:hint="eastAsia" w:ascii="仿宋_GB2312" w:eastAsia="仿宋_GB2312"/>
                <w:sz w:val="24"/>
              </w:rPr>
              <w:t>发布推送至少250期，编发稿件至少1200条</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260" w:lineRule="exact"/>
              <w:jc w:val="center"/>
              <w:textAlignment w:val="center"/>
              <w:rPr>
                <w:rFonts w:ascii="仿宋_GB2312" w:eastAsia="仿宋_GB2312"/>
                <w:sz w:val="24"/>
              </w:rPr>
            </w:pPr>
            <w:r>
              <w:rPr>
                <w:rFonts w:hint="eastAsia" w:ascii="仿宋_GB2312" w:eastAsia="仿宋_GB2312"/>
                <w:sz w:val="24"/>
              </w:rPr>
              <w:t>发布推送256期，编发稿件6511条</w:t>
            </w:r>
          </w:p>
        </w:tc>
      </w:tr>
      <w:tr>
        <w:tblPrEx>
          <w:tblCellMar>
            <w:top w:w="0" w:type="dxa"/>
            <w:left w:w="0" w:type="dxa"/>
            <w:bottom w:w="0" w:type="dxa"/>
            <w:right w:w="0" w:type="dxa"/>
          </w:tblCellMar>
        </w:tblPrEx>
        <w:trPr>
          <w:trHeight w:val="1134" w:hRule="exac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textAlignment w:val="center"/>
              <w:rPr>
                <w:rFonts w:ascii="仿宋_GB2312" w:eastAsia="仿宋_GB2312"/>
                <w:sz w:val="24"/>
              </w:rPr>
            </w:pP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400" w:lineRule="exact"/>
              <w:jc w:val="center"/>
              <w:textAlignment w:val="center"/>
              <w:rPr>
                <w:rFonts w:ascii="仿宋_GB2312" w:eastAsia="仿宋_GB2312"/>
                <w:sz w:val="24"/>
              </w:rPr>
            </w:pPr>
            <w:r>
              <w:rPr>
                <w:rFonts w:hint="eastAsia" w:ascii="仿宋_GB2312" w:eastAsia="仿宋_GB2312"/>
                <w:kern w:val="0"/>
                <w:sz w:val="24"/>
                <w:lang w:bidi="ar"/>
              </w:rPr>
              <w:t>完成指标</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textAlignment w:val="center"/>
              <w:rPr>
                <w:rFonts w:ascii="仿宋_GB2312" w:eastAsia="仿宋_GB2312"/>
                <w:sz w:val="24"/>
              </w:rPr>
            </w:pPr>
            <w:r>
              <w:rPr>
                <w:rFonts w:hint="eastAsia" w:ascii="仿宋_GB2312" w:eastAsia="仿宋_GB2312"/>
                <w:sz w:val="24"/>
              </w:rPr>
              <w:t>数量指标</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textAlignment w:val="center"/>
              <w:rPr>
                <w:rFonts w:ascii="仿宋_GB2312" w:eastAsia="仿宋_GB2312"/>
                <w:sz w:val="24"/>
              </w:rPr>
            </w:pPr>
            <w:r>
              <w:rPr>
                <w:rFonts w:hint="eastAsia" w:ascii="仿宋_GB2312" w:eastAsia="仿宋_GB2312"/>
                <w:sz w:val="24"/>
              </w:rPr>
              <w:t>宣传活动</w:t>
            </w:r>
          </w:p>
        </w:tc>
        <w:tc>
          <w:tcPr>
            <w:tcW w:w="24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320" w:lineRule="exact"/>
              <w:jc w:val="center"/>
              <w:textAlignment w:val="center"/>
              <w:rPr>
                <w:rFonts w:ascii="仿宋_GB2312" w:eastAsia="仿宋_GB2312"/>
                <w:sz w:val="24"/>
              </w:rPr>
            </w:pPr>
            <w:r>
              <w:rPr>
                <w:rFonts w:hint="eastAsia" w:ascii="仿宋_GB2312" w:eastAsia="仿宋_GB2312"/>
                <w:sz w:val="24"/>
              </w:rPr>
              <w:t>开展宣传活动至少3个</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textAlignment w:val="center"/>
              <w:rPr>
                <w:rFonts w:ascii="仿宋_GB2312" w:eastAsia="仿宋_GB2312"/>
                <w:bCs/>
                <w:sz w:val="24"/>
              </w:rPr>
            </w:pPr>
            <w:r>
              <w:rPr>
                <w:rFonts w:hint="eastAsia" w:ascii="仿宋_GB2312" w:eastAsia="仿宋_GB2312"/>
                <w:bCs/>
                <w:sz w:val="24"/>
              </w:rPr>
              <w:t>开展宣传活动7次</w:t>
            </w:r>
          </w:p>
        </w:tc>
      </w:tr>
      <w:tr>
        <w:tblPrEx>
          <w:tblCellMar>
            <w:top w:w="0" w:type="dxa"/>
            <w:left w:w="0" w:type="dxa"/>
            <w:bottom w:w="0" w:type="dxa"/>
            <w:right w:w="0" w:type="dxa"/>
          </w:tblCellMar>
        </w:tblPrEx>
        <w:trPr>
          <w:trHeight w:val="1134" w:hRule="exac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textAlignment w:val="center"/>
              <w:rPr>
                <w:rFonts w:ascii="仿宋_GB2312" w:eastAsia="仿宋_GB2312"/>
                <w:sz w:val="24"/>
              </w:rPr>
            </w:pP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400" w:lineRule="exact"/>
              <w:jc w:val="center"/>
              <w:textAlignment w:val="center"/>
              <w:rPr>
                <w:rFonts w:ascii="仿宋_GB2312" w:eastAsia="仿宋_GB2312"/>
                <w:kern w:val="0"/>
                <w:sz w:val="24"/>
                <w:lang w:bidi="ar"/>
              </w:rPr>
            </w:pPr>
            <w:r>
              <w:rPr>
                <w:rFonts w:hint="eastAsia" w:ascii="仿宋_GB2312" w:eastAsia="仿宋_GB2312"/>
                <w:kern w:val="0"/>
                <w:sz w:val="24"/>
                <w:lang w:bidi="ar"/>
              </w:rPr>
              <w:t>完成指标</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textAlignment w:val="center"/>
              <w:rPr>
                <w:rFonts w:ascii="仿宋_GB2312" w:eastAsia="仿宋_GB2312"/>
                <w:sz w:val="24"/>
              </w:rPr>
            </w:pPr>
            <w:r>
              <w:rPr>
                <w:rFonts w:hint="eastAsia" w:ascii="仿宋_GB2312" w:eastAsia="仿宋_GB2312"/>
                <w:sz w:val="24"/>
              </w:rPr>
              <w:t>质量指标</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textAlignment w:val="center"/>
              <w:rPr>
                <w:rFonts w:ascii="仿宋_GB2312" w:eastAsia="仿宋_GB2312"/>
                <w:sz w:val="24"/>
              </w:rPr>
            </w:pPr>
            <w:r>
              <w:rPr>
                <w:rFonts w:hint="eastAsia" w:ascii="仿宋_GB2312" w:eastAsia="仿宋_GB2312"/>
                <w:sz w:val="24"/>
              </w:rPr>
              <w:t>团队建设</w:t>
            </w:r>
          </w:p>
        </w:tc>
        <w:tc>
          <w:tcPr>
            <w:tcW w:w="24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320" w:lineRule="exact"/>
              <w:jc w:val="center"/>
              <w:textAlignment w:val="center"/>
              <w:rPr>
                <w:rFonts w:ascii="仿宋_GB2312" w:eastAsia="仿宋_GB2312"/>
                <w:sz w:val="24"/>
              </w:rPr>
            </w:pPr>
            <w:r>
              <w:rPr>
                <w:rFonts w:hint="eastAsia" w:ascii="仿宋_GB2312" w:eastAsia="仿宋_GB2312"/>
                <w:sz w:val="24"/>
              </w:rPr>
              <w:t>建立运维团队，配齐专业力量</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textAlignment w:val="center"/>
              <w:rPr>
                <w:rFonts w:ascii="仿宋_GB2312" w:eastAsia="仿宋_GB2312"/>
                <w:sz w:val="24"/>
              </w:rPr>
            </w:pPr>
            <w:r>
              <w:rPr>
                <w:rFonts w:hint="eastAsia" w:ascii="仿宋_GB2312" w:eastAsia="仿宋_GB2312"/>
                <w:sz w:val="24"/>
              </w:rPr>
              <w:t>完成</w:t>
            </w:r>
          </w:p>
        </w:tc>
      </w:tr>
      <w:tr>
        <w:tblPrEx>
          <w:tblCellMar>
            <w:top w:w="0" w:type="dxa"/>
            <w:left w:w="0" w:type="dxa"/>
            <w:bottom w:w="0" w:type="dxa"/>
            <w:right w:w="0" w:type="dxa"/>
          </w:tblCellMar>
        </w:tblPrEx>
        <w:trPr>
          <w:trHeight w:val="1134" w:hRule="exac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textAlignment w:val="center"/>
              <w:rPr>
                <w:rFonts w:ascii="仿宋_GB2312" w:eastAsia="仿宋_GB2312"/>
                <w:sz w:val="24"/>
              </w:rPr>
            </w:pP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400" w:lineRule="exact"/>
              <w:jc w:val="center"/>
              <w:textAlignment w:val="center"/>
              <w:rPr>
                <w:rFonts w:ascii="仿宋_GB2312" w:eastAsia="仿宋_GB2312"/>
                <w:sz w:val="24"/>
              </w:rPr>
            </w:pPr>
            <w:r>
              <w:rPr>
                <w:rFonts w:hint="eastAsia" w:ascii="仿宋_GB2312" w:eastAsia="仿宋_GB2312"/>
                <w:kern w:val="0"/>
                <w:sz w:val="24"/>
                <w:lang w:bidi="ar"/>
              </w:rPr>
              <w:t>完成指标</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textAlignment w:val="center"/>
              <w:rPr>
                <w:rFonts w:ascii="仿宋_GB2312" w:eastAsia="仿宋_GB2312"/>
                <w:sz w:val="24"/>
              </w:rPr>
            </w:pPr>
            <w:r>
              <w:rPr>
                <w:rFonts w:hint="eastAsia" w:ascii="仿宋_GB2312" w:eastAsia="仿宋_GB2312"/>
                <w:sz w:val="24"/>
              </w:rPr>
              <w:t>质量指标</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textAlignment w:val="center"/>
              <w:rPr>
                <w:rFonts w:ascii="仿宋_GB2312" w:eastAsia="仿宋_GB2312"/>
                <w:sz w:val="24"/>
              </w:rPr>
            </w:pPr>
            <w:r>
              <w:rPr>
                <w:rFonts w:hint="eastAsia" w:ascii="仿宋_GB2312" w:eastAsia="仿宋_GB2312"/>
                <w:sz w:val="24"/>
              </w:rPr>
              <w:t>配套管理</w:t>
            </w:r>
          </w:p>
        </w:tc>
        <w:tc>
          <w:tcPr>
            <w:tcW w:w="24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320" w:lineRule="exact"/>
              <w:jc w:val="center"/>
              <w:textAlignment w:val="center"/>
              <w:rPr>
                <w:rFonts w:ascii="仿宋_GB2312" w:eastAsia="仿宋_GB2312"/>
                <w:sz w:val="24"/>
              </w:rPr>
            </w:pPr>
            <w:r>
              <w:rPr>
                <w:rFonts w:hint="eastAsia" w:ascii="仿宋_GB2312" w:eastAsia="仿宋_GB2312"/>
                <w:sz w:val="24"/>
              </w:rPr>
              <w:t>形成计划总结，健全运维台账</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textAlignment w:val="center"/>
              <w:rPr>
                <w:rFonts w:ascii="仿宋_GB2312" w:eastAsia="仿宋_GB2312"/>
                <w:sz w:val="24"/>
              </w:rPr>
            </w:pPr>
            <w:r>
              <w:rPr>
                <w:rFonts w:hint="eastAsia" w:ascii="仿宋_GB2312" w:eastAsia="仿宋_GB2312"/>
                <w:sz w:val="24"/>
              </w:rPr>
              <w:t>完成</w:t>
            </w:r>
          </w:p>
        </w:tc>
      </w:tr>
      <w:tr>
        <w:tblPrEx>
          <w:tblCellMar>
            <w:top w:w="0" w:type="dxa"/>
            <w:left w:w="0" w:type="dxa"/>
            <w:bottom w:w="0" w:type="dxa"/>
            <w:right w:w="0" w:type="dxa"/>
          </w:tblCellMar>
        </w:tblPrEx>
        <w:trPr>
          <w:trHeight w:val="1134" w:hRule="exac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textAlignment w:val="center"/>
              <w:rPr>
                <w:rFonts w:ascii="仿宋_GB2312" w:eastAsia="仿宋_GB2312"/>
                <w:sz w:val="24"/>
              </w:rPr>
            </w:pP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400" w:lineRule="exact"/>
              <w:jc w:val="center"/>
              <w:textAlignment w:val="center"/>
              <w:rPr>
                <w:rFonts w:ascii="仿宋_GB2312" w:eastAsia="仿宋_GB2312"/>
                <w:sz w:val="24"/>
              </w:rPr>
            </w:pPr>
            <w:r>
              <w:rPr>
                <w:rFonts w:hint="eastAsia" w:ascii="仿宋_GB2312" w:eastAsia="仿宋_GB2312"/>
                <w:kern w:val="0"/>
                <w:sz w:val="24"/>
                <w:lang w:bidi="ar"/>
              </w:rPr>
              <w:t>完成指标</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textAlignment w:val="center"/>
              <w:rPr>
                <w:rFonts w:ascii="仿宋_GB2312" w:eastAsia="仿宋_GB2312"/>
                <w:sz w:val="24"/>
              </w:rPr>
            </w:pPr>
            <w:r>
              <w:rPr>
                <w:rFonts w:hint="eastAsia" w:ascii="仿宋_GB2312" w:eastAsia="仿宋_GB2312"/>
                <w:sz w:val="24"/>
              </w:rPr>
              <w:t>质量指标</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textAlignment w:val="center"/>
              <w:rPr>
                <w:rFonts w:ascii="仿宋_GB2312" w:eastAsia="仿宋_GB2312"/>
                <w:sz w:val="24"/>
              </w:rPr>
            </w:pPr>
            <w:r>
              <w:rPr>
                <w:rFonts w:hint="eastAsia" w:ascii="仿宋_GB2312" w:eastAsia="仿宋_GB2312"/>
                <w:sz w:val="24"/>
              </w:rPr>
              <w:t>内容建设</w:t>
            </w:r>
          </w:p>
        </w:tc>
        <w:tc>
          <w:tcPr>
            <w:tcW w:w="24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320" w:lineRule="exact"/>
              <w:jc w:val="center"/>
              <w:textAlignment w:val="center"/>
              <w:rPr>
                <w:rFonts w:ascii="仿宋_GB2312" w:eastAsia="仿宋_GB2312"/>
                <w:sz w:val="24"/>
              </w:rPr>
            </w:pPr>
            <w:r>
              <w:rPr>
                <w:rFonts w:hint="eastAsia" w:ascii="仿宋_GB2312" w:eastAsia="仿宋_GB2312"/>
                <w:sz w:val="24"/>
              </w:rPr>
              <w:t>做好版面设计、栏目规划、稿件编发、原创制作、宣传推广</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textAlignment w:val="center"/>
              <w:rPr>
                <w:rFonts w:ascii="仿宋_GB2312" w:eastAsia="仿宋_GB2312"/>
                <w:sz w:val="24"/>
              </w:rPr>
            </w:pPr>
            <w:r>
              <w:rPr>
                <w:rFonts w:hint="eastAsia" w:ascii="仿宋_GB2312" w:eastAsia="仿宋_GB2312"/>
                <w:sz w:val="24"/>
              </w:rPr>
              <w:t>完成</w:t>
            </w:r>
          </w:p>
        </w:tc>
      </w:tr>
      <w:tr>
        <w:tblPrEx>
          <w:tblCellMar>
            <w:top w:w="0" w:type="dxa"/>
            <w:left w:w="0" w:type="dxa"/>
            <w:bottom w:w="0" w:type="dxa"/>
            <w:right w:w="0" w:type="dxa"/>
          </w:tblCellMar>
        </w:tblPrEx>
        <w:trPr>
          <w:trHeight w:val="1134" w:hRule="exac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textAlignment w:val="center"/>
              <w:rPr>
                <w:rFonts w:ascii="仿宋_GB2312" w:eastAsia="仿宋_GB2312"/>
                <w:sz w:val="24"/>
              </w:rPr>
            </w:pP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400" w:lineRule="exact"/>
              <w:jc w:val="center"/>
              <w:textAlignment w:val="center"/>
              <w:rPr>
                <w:rFonts w:ascii="仿宋_GB2312" w:eastAsia="仿宋_GB2312"/>
                <w:sz w:val="24"/>
              </w:rPr>
            </w:pPr>
            <w:r>
              <w:rPr>
                <w:rFonts w:hint="eastAsia" w:ascii="仿宋_GB2312" w:eastAsia="仿宋_GB2312"/>
                <w:kern w:val="0"/>
                <w:sz w:val="24"/>
                <w:lang w:bidi="ar"/>
              </w:rPr>
              <w:t>完成指标</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textAlignment w:val="center"/>
              <w:rPr>
                <w:rFonts w:ascii="仿宋_GB2312" w:eastAsia="仿宋_GB2312"/>
                <w:sz w:val="24"/>
              </w:rPr>
            </w:pPr>
            <w:r>
              <w:rPr>
                <w:rFonts w:hint="eastAsia" w:ascii="仿宋_GB2312" w:eastAsia="仿宋_GB2312"/>
                <w:sz w:val="24"/>
              </w:rPr>
              <w:t>质量指标</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textAlignment w:val="center"/>
              <w:rPr>
                <w:rFonts w:ascii="仿宋_GB2312" w:eastAsia="仿宋_GB2312"/>
                <w:sz w:val="24"/>
              </w:rPr>
            </w:pPr>
            <w:r>
              <w:rPr>
                <w:rFonts w:hint="eastAsia" w:ascii="仿宋_GB2312" w:eastAsia="仿宋_GB2312"/>
                <w:sz w:val="24"/>
              </w:rPr>
              <w:t>后台运维</w:t>
            </w:r>
          </w:p>
        </w:tc>
        <w:tc>
          <w:tcPr>
            <w:tcW w:w="24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320" w:lineRule="exact"/>
              <w:jc w:val="center"/>
              <w:textAlignment w:val="center"/>
              <w:rPr>
                <w:rFonts w:ascii="仿宋_GB2312" w:eastAsia="仿宋_GB2312"/>
                <w:sz w:val="24"/>
              </w:rPr>
            </w:pPr>
            <w:r>
              <w:rPr>
                <w:rFonts w:hint="eastAsia" w:ascii="仿宋_GB2312" w:eastAsia="仿宋_GB2312"/>
                <w:sz w:val="24"/>
              </w:rPr>
              <w:t>做好监控维护、架构建设、功能设置、信息采集、存储统计</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textAlignment w:val="center"/>
              <w:rPr>
                <w:rFonts w:ascii="仿宋_GB2312" w:eastAsia="仿宋_GB2312"/>
                <w:sz w:val="24"/>
              </w:rPr>
            </w:pPr>
            <w:r>
              <w:rPr>
                <w:rFonts w:hint="eastAsia" w:ascii="仿宋_GB2312" w:eastAsia="仿宋_GB2312"/>
                <w:sz w:val="24"/>
              </w:rPr>
              <w:t>完成</w:t>
            </w:r>
          </w:p>
        </w:tc>
      </w:tr>
      <w:tr>
        <w:tblPrEx>
          <w:tblCellMar>
            <w:top w:w="0" w:type="dxa"/>
            <w:left w:w="0" w:type="dxa"/>
            <w:bottom w:w="0" w:type="dxa"/>
            <w:right w:w="0" w:type="dxa"/>
          </w:tblCellMar>
        </w:tblPrEx>
        <w:trPr>
          <w:trHeight w:val="1134" w:hRule="exac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textAlignment w:val="center"/>
              <w:rPr>
                <w:rFonts w:ascii="仿宋_GB2312" w:eastAsia="仿宋_GB2312"/>
                <w:sz w:val="24"/>
              </w:rPr>
            </w:pP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400" w:lineRule="exact"/>
              <w:jc w:val="center"/>
              <w:textAlignment w:val="center"/>
              <w:rPr>
                <w:rFonts w:ascii="仿宋_GB2312" w:eastAsia="仿宋_GB2312"/>
                <w:sz w:val="24"/>
              </w:rPr>
            </w:pPr>
            <w:r>
              <w:rPr>
                <w:rFonts w:hint="eastAsia" w:ascii="仿宋_GB2312" w:eastAsia="仿宋_GB2312"/>
                <w:kern w:val="0"/>
                <w:sz w:val="24"/>
                <w:lang w:bidi="ar"/>
              </w:rPr>
              <w:t>完成指标</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textAlignment w:val="center"/>
              <w:rPr>
                <w:rFonts w:ascii="仿宋_GB2312" w:eastAsia="仿宋_GB2312"/>
                <w:sz w:val="24"/>
              </w:rPr>
            </w:pPr>
            <w:r>
              <w:rPr>
                <w:rFonts w:hint="eastAsia" w:ascii="仿宋_GB2312" w:eastAsia="仿宋_GB2312"/>
                <w:sz w:val="24"/>
              </w:rPr>
              <w:t>质量指标</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textAlignment w:val="center"/>
              <w:rPr>
                <w:rFonts w:ascii="仿宋_GB2312" w:eastAsia="仿宋_GB2312"/>
                <w:sz w:val="24"/>
              </w:rPr>
            </w:pPr>
            <w:r>
              <w:rPr>
                <w:rFonts w:hint="eastAsia" w:ascii="仿宋_GB2312" w:eastAsia="仿宋_GB2312"/>
                <w:sz w:val="24"/>
              </w:rPr>
              <w:t>技术保障</w:t>
            </w:r>
          </w:p>
        </w:tc>
        <w:tc>
          <w:tcPr>
            <w:tcW w:w="24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320" w:lineRule="exact"/>
              <w:jc w:val="center"/>
              <w:textAlignment w:val="center"/>
              <w:rPr>
                <w:rFonts w:ascii="仿宋_GB2312" w:eastAsia="仿宋_GB2312"/>
                <w:sz w:val="24"/>
              </w:rPr>
            </w:pPr>
            <w:r>
              <w:rPr>
                <w:rFonts w:hint="eastAsia" w:ascii="仿宋_GB2312" w:eastAsia="仿宋_GB2312"/>
                <w:sz w:val="24"/>
              </w:rPr>
              <w:t>做好设备租赁、巡查检修、应急处置、开发优化、技术指导</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textAlignment w:val="center"/>
              <w:rPr>
                <w:rFonts w:ascii="仿宋_GB2312" w:eastAsia="仿宋_GB2312"/>
                <w:sz w:val="24"/>
              </w:rPr>
            </w:pPr>
            <w:r>
              <w:rPr>
                <w:rFonts w:hint="eastAsia" w:ascii="仿宋_GB2312" w:eastAsia="仿宋_GB2312"/>
                <w:sz w:val="24"/>
              </w:rPr>
              <w:t>完成</w:t>
            </w:r>
          </w:p>
        </w:tc>
      </w:tr>
      <w:tr>
        <w:tblPrEx>
          <w:tblCellMar>
            <w:top w:w="0" w:type="dxa"/>
            <w:left w:w="0" w:type="dxa"/>
            <w:bottom w:w="0" w:type="dxa"/>
            <w:right w:w="0" w:type="dxa"/>
          </w:tblCellMar>
        </w:tblPrEx>
        <w:trPr>
          <w:trHeight w:val="1134" w:hRule="exac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textAlignment w:val="center"/>
              <w:rPr>
                <w:rFonts w:ascii="仿宋_GB2312" w:eastAsia="仿宋_GB2312"/>
                <w:sz w:val="24"/>
              </w:rPr>
            </w:pP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400" w:lineRule="exact"/>
              <w:jc w:val="center"/>
              <w:textAlignment w:val="center"/>
              <w:rPr>
                <w:rFonts w:ascii="仿宋_GB2312" w:eastAsia="仿宋_GB2312"/>
                <w:kern w:val="0"/>
                <w:sz w:val="24"/>
                <w:lang w:bidi="ar"/>
              </w:rPr>
            </w:pPr>
            <w:r>
              <w:rPr>
                <w:rFonts w:hint="eastAsia" w:ascii="仿宋_GB2312" w:eastAsia="仿宋_GB2312"/>
                <w:kern w:val="0"/>
                <w:sz w:val="24"/>
                <w:lang w:bidi="ar"/>
              </w:rPr>
              <w:t>完成指标</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400" w:lineRule="exact"/>
              <w:jc w:val="center"/>
              <w:textAlignment w:val="center"/>
              <w:rPr>
                <w:rFonts w:ascii="仿宋_GB2312" w:eastAsia="仿宋_GB2312"/>
                <w:kern w:val="0"/>
                <w:sz w:val="24"/>
                <w:lang w:bidi="ar"/>
              </w:rPr>
            </w:pPr>
            <w:r>
              <w:rPr>
                <w:rFonts w:hint="eastAsia" w:ascii="仿宋_GB2312" w:eastAsia="仿宋_GB2312"/>
                <w:kern w:val="0"/>
                <w:sz w:val="24"/>
                <w:lang w:bidi="ar"/>
              </w:rPr>
              <w:t>时效指标</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textAlignment w:val="center"/>
              <w:rPr>
                <w:rFonts w:ascii="仿宋_GB2312" w:eastAsia="仿宋_GB2312"/>
                <w:sz w:val="24"/>
              </w:rPr>
            </w:pPr>
            <w:r>
              <w:rPr>
                <w:rFonts w:hint="eastAsia" w:ascii="仿宋_GB2312" w:eastAsia="仿宋_GB2312"/>
                <w:sz w:val="24"/>
              </w:rPr>
              <w:t>年度运维</w:t>
            </w:r>
          </w:p>
        </w:tc>
        <w:tc>
          <w:tcPr>
            <w:tcW w:w="24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320" w:lineRule="exact"/>
              <w:jc w:val="center"/>
              <w:textAlignment w:val="center"/>
              <w:rPr>
                <w:rFonts w:ascii="仿宋_GB2312" w:eastAsia="仿宋_GB2312"/>
                <w:sz w:val="24"/>
              </w:rPr>
            </w:pPr>
            <w:r>
              <w:rPr>
                <w:rFonts w:hint="eastAsia" w:ascii="仿宋_GB2312" w:eastAsia="仿宋_GB2312"/>
                <w:sz w:val="24"/>
              </w:rPr>
              <w:t>项目周期内完成</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textAlignment w:val="center"/>
              <w:rPr>
                <w:rFonts w:ascii="仿宋_GB2312" w:eastAsia="仿宋_GB2312"/>
                <w:sz w:val="24"/>
              </w:rPr>
            </w:pPr>
            <w:r>
              <w:rPr>
                <w:rFonts w:hint="eastAsia" w:ascii="仿宋_GB2312" w:eastAsia="仿宋_GB2312"/>
                <w:sz w:val="24"/>
              </w:rPr>
              <w:t>完成</w:t>
            </w:r>
          </w:p>
        </w:tc>
      </w:tr>
      <w:tr>
        <w:tblPrEx>
          <w:tblCellMar>
            <w:top w:w="0" w:type="dxa"/>
            <w:left w:w="0" w:type="dxa"/>
            <w:bottom w:w="0" w:type="dxa"/>
            <w:right w:w="0" w:type="dxa"/>
          </w:tblCellMar>
        </w:tblPrEx>
        <w:trPr>
          <w:trHeight w:val="1134" w:hRule="exac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textAlignment w:val="center"/>
              <w:rPr>
                <w:rFonts w:ascii="仿宋_GB2312" w:eastAsia="仿宋_GB2312"/>
                <w:sz w:val="24"/>
              </w:rPr>
            </w:pP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400" w:lineRule="exact"/>
              <w:jc w:val="center"/>
              <w:textAlignment w:val="center"/>
              <w:rPr>
                <w:rFonts w:ascii="仿宋_GB2312" w:eastAsia="仿宋_GB2312"/>
                <w:kern w:val="0"/>
                <w:sz w:val="24"/>
                <w:lang w:bidi="ar"/>
              </w:rPr>
            </w:pPr>
            <w:r>
              <w:rPr>
                <w:rFonts w:hint="eastAsia" w:ascii="仿宋_GB2312" w:eastAsia="仿宋_GB2312"/>
                <w:kern w:val="0"/>
                <w:sz w:val="24"/>
                <w:lang w:bidi="ar"/>
              </w:rPr>
              <w:t>完成指标</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400" w:lineRule="exact"/>
              <w:jc w:val="center"/>
              <w:textAlignment w:val="center"/>
              <w:rPr>
                <w:rFonts w:ascii="仿宋_GB2312" w:eastAsia="仿宋_GB2312"/>
                <w:kern w:val="0"/>
                <w:sz w:val="24"/>
                <w:lang w:bidi="ar"/>
              </w:rPr>
            </w:pPr>
            <w:r>
              <w:rPr>
                <w:rFonts w:hint="eastAsia" w:ascii="仿宋_GB2312" w:eastAsia="仿宋_GB2312"/>
                <w:kern w:val="0"/>
                <w:sz w:val="24"/>
                <w:lang w:bidi="ar"/>
              </w:rPr>
              <w:t>成本指标</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textAlignment w:val="center"/>
              <w:rPr>
                <w:rFonts w:ascii="仿宋_GB2312" w:eastAsia="仿宋_GB2312"/>
                <w:sz w:val="24"/>
              </w:rPr>
            </w:pPr>
            <w:r>
              <w:rPr>
                <w:rFonts w:hint="eastAsia" w:ascii="仿宋_GB2312" w:eastAsia="仿宋_GB2312"/>
                <w:sz w:val="24"/>
              </w:rPr>
              <w:t>综合成本</w:t>
            </w:r>
          </w:p>
        </w:tc>
        <w:tc>
          <w:tcPr>
            <w:tcW w:w="24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320" w:lineRule="exact"/>
              <w:jc w:val="center"/>
              <w:textAlignment w:val="center"/>
              <w:rPr>
                <w:rFonts w:ascii="仿宋_GB2312" w:eastAsia="仿宋_GB2312"/>
                <w:sz w:val="24"/>
              </w:rPr>
            </w:pPr>
            <w:r>
              <w:rPr>
                <w:rFonts w:hint="eastAsia" w:ascii="仿宋_GB2312" w:eastAsia="仿宋_GB2312"/>
                <w:sz w:val="24"/>
              </w:rPr>
              <w:t>预算范围内完成</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textAlignment w:val="center"/>
              <w:rPr>
                <w:rFonts w:ascii="仿宋_GB2312" w:eastAsia="仿宋_GB2312"/>
                <w:sz w:val="24"/>
              </w:rPr>
            </w:pPr>
            <w:r>
              <w:rPr>
                <w:rFonts w:hint="eastAsia" w:ascii="仿宋_GB2312" w:eastAsia="仿宋_GB2312"/>
                <w:sz w:val="24"/>
              </w:rPr>
              <w:t>完成</w:t>
            </w:r>
          </w:p>
        </w:tc>
      </w:tr>
      <w:tr>
        <w:tblPrEx>
          <w:tblCellMar>
            <w:top w:w="0" w:type="dxa"/>
            <w:left w:w="0" w:type="dxa"/>
            <w:bottom w:w="0" w:type="dxa"/>
            <w:right w:w="0" w:type="dxa"/>
          </w:tblCellMar>
        </w:tblPrEx>
        <w:trPr>
          <w:trHeight w:val="1134" w:hRule="exac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textAlignment w:val="center"/>
              <w:rPr>
                <w:rFonts w:ascii="仿宋_GB2312" w:eastAsia="仿宋_GB2312"/>
                <w:sz w:val="24"/>
              </w:rPr>
            </w:pP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textAlignment w:val="center"/>
              <w:rPr>
                <w:rFonts w:ascii="仿宋_GB2312" w:eastAsia="仿宋_GB2312"/>
                <w:sz w:val="24"/>
              </w:rPr>
            </w:pPr>
            <w:r>
              <w:rPr>
                <w:rFonts w:hint="eastAsia" w:ascii="仿宋_GB2312" w:eastAsia="仿宋_GB2312"/>
                <w:kern w:val="0"/>
                <w:sz w:val="24"/>
                <w:lang w:bidi="ar"/>
              </w:rPr>
              <w:t>效益指标</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400" w:lineRule="exact"/>
              <w:jc w:val="center"/>
              <w:textAlignment w:val="center"/>
              <w:rPr>
                <w:rFonts w:ascii="仿宋_GB2312" w:eastAsia="仿宋_GB2312"/>
                <w:sz w:val="24"/>
              </w:rPr>
            </w:pPr>
            <w:r>
              <w:rPr>
                <w:rFonts w:hint="eastAsia" w:ascii="仿宋_GB2312" w:eastAsia="仿宋_GB2312"/>
                <w:kern w:val="0"/>
                <w:sz w:val="24"/>
                <w:lang w:bidi="ar"/>
              </w:rPr>
              <w:t>可持续影响指标</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textAlignment w:val="center"/>
              <w:rPr>
                <w:rFonts w:ascii="仿宋_GB2312" w:eastAsia="仿宋_GB2312"/>
                <w:sz w:val="24"/>
              </w:rPr>
            </w:pPr>
            <w:r>
              <w:rPr>
                <w:rFonts w:hint="eastAsia" w:ascii="仿宋_GB2312" w:eastAsia="仿宋_GB2312"/>
                <w:sz w:val="24"/>
              </w:rPr>
              <w:t>综合效能</w:t>
            </w:r>
          </w:p>
        </w:tc>
        <w:tc>
          <w:tcPr>
            <w:tcW w:w="24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320" w:lineRule="exact"/>
              <w:jc w:val="center"/>
              <w:textAlignment w:val="center"/>
              <w:rPr>
                <w:rFonts w:ascii="仿宋_GB2312" w:eastAsia="仿宋_GB2312"/>
                <w:sz w:val="24"/>
              </w:rPr>
            </w:pPr>
            <w:r>
              <w:rPr>
                <w:rFonts w:hint="eastAsia" w:ascii="仿宋_GB2312" w:eastAsia="仿宋_GB2312"/>
                <w:sz w:val="24"/>
              </w:rPr>
              <w:t>提升中心组学习管理信息化水平</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textAlignment w:val="center"/>
              <w:rPr>
                <w:rFonts w:ascii="仿宋_GB2312" w:eastAsia="仿宋_GB2312"/>
                <w:sz w:val="24"/>
              </w:rPr>
            </w:pPr>
            <w:r>
              <w:rPr>
                <w:rFonts w:hint="eastAsia" w:ascii="仿宋_GB2312" w:eastAsia="仿宋_GB2312"/>
                <w:sz w:val="24"/>
              </w:rPr>
              <w:t>完成</w:t>
            </w:r>
          </w:p>
        </w:tc>
      </w:tr>
      <w:tr>
        <w:tblPrEx>
          <w:tblCellMar>
            <w:top w:w="0" w:type="dxa"/>
            <w:left w:w="0" w:type="dxa"/>
            <w:bottom w:w="0" w:type="dxa"/>
            <w:right w:w="0" w:type="dxa"/>
          </w:tblCellMar>
        </w:tblPrEx>
        <w:trPr>
          <w:trHeight w:val="1134" w:hRule="exac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textAlignment w:val="center"/>
              <w:rPr>
                <w:rFonts w:ascii="仿宋_GB2312" w:eastAsia="仿宋_GB2312"/>
                <w:sz w:val="24"/>
              </w:rPr>
            </w:pP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textAlignment w:val="center"/>
              <w:rPr>
                <w:rFonts w:ascii="仿宋_GB2312" w:eastAsia="仿宋_GB2312"/>
                <w:sz w:val="24"/>
              </w:rPr>
            </w:pPr>
            <w:r>
              <w:rPr>
                <w:rFonts w:hint="eastAsia" w:ascii="仿宋_GB2312" w:eastAsia="仿宋_GB2312"/>
                <w:kern w:val="0"/>
                <w:sz w:val="24"/>
                <w:lang w:bidi="ar"/>
              </w:rPr>
              <w:t>效益指标</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400" w:lineRule="exact"/>
              <w:jc w:val="center"/>
              <w:textAlignment w:val="center"/>
              <w:rPr>
                <w:rFonts w:ascii="仿宋_GB2312" w:eastAsia="仿宋_GB2312"/>
                <w:kern w:val="0"/>
                <w:sz w:val="24"/>
                <w:lang w:bidi="ar"/>
              </w:rPr>
            </w:pPr>
            <w:r>
              <w:rPr>
                <w:rFonts w:hint="eastAsia" w:ascii="仿宋_GB2312" w:eastAsia="仿宋_GB2312"/>
                <w:kern w:val="0"/>
                <w:sz w:val="24"/>
                <w:lang w:bidi="ar"/>
              </w:rPr>
              <w:t>社会效益</w:t>
            </w:r>
          </w:p>
          <w:p>
            <w:pPr>
              <w:overflowPunct w:val="0"/>
              <w:spacing w:line="400" w:lineRule="exact"/>
              <w:jc w:val="center"/>
              <w:textAlignment w:val="center"/>
              <w:rPr>
                <w:rFonts w:ascii="仿宋_GB2312" w:eastAsia="仿宋_GB2312"/>
                <w:sz w:val="24"/>
              </w:rPr>
            </w:pPr>
            <w:r>
              <w:rPr>
                <w:rFonts w:hint="eastAsia" w:ascii="仿宋_GB2312" w:eastAsia="仿宋_GB2312"/>
                <w:kern w:val="0"/>
                <w:sz w:val="24"/>
                <w:lang w:bidi="ar"/>
              </w:rPr>
              <w:t>指标</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textAlignment w:val="center"/>
              <w:rPr>
                <w:rFonts w:ascii="仿宋_GB2312" w:eastAsia="仿宋_GB2312"/>
                <w:sz w:val="24"/>
              </w:rPr>
            </w:pPr>
            <w:r>
              <w:rPr>
                <w:rFonts w:hint="eastAsia" w:ascii="仿宋_GB2312" w:eastAsia="仿宋_GB2312"/>
                <w:sz w:val="24"/>
              </w:rPr>
              <w:t>辐射作用</w:t>
            </w:r>
          </w:p>
        </w:tc>
        <w:tc>
          <w:tcPr>
            <w:tcW w:w="24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320" w:lineRule="exact"/>
              <w:jc w:val="center"/>
              <w:textAlignment w:val="center"/>
              <w:rPr>
                <w:rFonts w:ascii="仿宋_GB2312" w:eastAsia="仿宋_GB2312"/>
                <w:sz w:val="24"/>
              </w:rPr>
            </w:pPr>
            <w:r>
              <w:rPr>
                <w:rFonts w:hint="eastAsia" w:ascii="仿宋_GB2312" w:eastAsia="仿宋_GB2312"/>
                <w:sz w:val="24"/>
              </w:rPr>
              <w:t>推动理论学习向广大党员群众辐射</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textAlignment w:val="center"/>
              <w:rPr>
                <w:rFonts w:ascii="仿宋_GB2312" w:eastAsia="仿宋_GB2312"/>
                <w:sz w:val="24"/>
              </w:rPr>
            </w:pPr>
            <w:r>
              <w:rPr>
                <w:rFonts w:hint="eastAsia" w:ascii="仿宋_GB2312" w:eastAsia="仿宋_GB2312"/>
                <w:sz w:val="24"/>
              </w:rPr>
              <w:t>完成</w:t>
            </w:r>
          </w:p>
        </w:tc>
      </w:tr>
      <w:tr>
        <w:tblPrEx>
          <w:tblCellMar>
            <w:top w:w="0" w:type="dxa"/>
            <w:left w:w="0" w:type="dxa"/>
            <w:bottom w:w="0" w:type="dxa"/>
            <w:right w:w="0" w:type="dxa"/>
          </w:tblCellMar>
        </w:tblPrEx>
        <w:trPr>
          <w:trHeight w:val="1134" w:hRule="exac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textAlignment w:val="center"/>
              <w:rPr>
                <w:rFonts w:ascii="仿宋_GB2312" w:eastAsia="仿宋_GB2312"/>
                <w:sz w:val="24"/>
              </w:rPr>
            </w:pP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400" w:lineRule="exact"/>
              <w:jc w:val="center"/>
              <w:textAlignment w:val="center"/>
              <w:rPr>
                <w:rFonts w:ascii="仿宋_GB2312" w:eastAsia="仿宋_GB2312"/>
                <w:kern w:val="0"/>
                <w:sz w:val="24"/>
                <w:lang w:bidi="ar"/>
              </w:rPr>
            </w:pPr>
            <w:r>
              <w:rPr>
                <w:rFonts w:hint="eastAsia" w:ascii="仿宋_GB2312" w:eastAsia="仿宋_GB2312"/>
                <w:kern w:val="0"/>
                <w:sz w:val="24"/>
                <w:lang w:bidi="ar"/>
              </w:rPr>
              <w:t>满意度</w:t>
            </w:r>
          </w:p>
          <w:p>
            <w:pPr>
              <w:overflowPunct w:val="0"/>
              <w:spacing w:line="400" w:lineRule="exact"/>
              <w:jc w:val="center"/>
              <w:textAlignment w:val="center"/>
              <w:rPr>
                <w:rFonts w:ascii="仿宋_GB2312" w:eastAsia="仿宋_GB2312"/>
                <w:kern w:val="0"/>
                <w:sz w:val="24"/>
                <w:lang w:bidi="ar"/>
              </w:rPr>
            </w:pPr>
            <w:r>
              <w:rPr>
                <w:rFonts w:hint="eastAsia" w:ascii="仿宋_GB2312" w:eastAsia="仿宋_GB2312"/>
                <w:kern w:val="0"/>
                <w:sz w:val="24"/>
                <w:lang w:bidi="ar"/>
              </w:rPr>
              <w:t>指标</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400" w:lineRule="exact"/>
              <w:jc w:val="center"/>
              <w:textAlignment w:val="center"/>
              <w:rPr>
                <w:rFonts w:ascii="仿宋_GB2312" w:eastAsia="仿宋_GB2312"/>
                <w:kern w:val="0"/>
                <w:sz w:val="24"/>
                <w:lang w:bidi="ar"/>
              </w:rPr>
            </w:pPr>
            <w:r>
              <w:rPr>
                <w:rFonts w:hint="eastAsia" w:ascii="仿宋_GB2312" w:eastAsia="仿宋_GB2312"/>
                <w:kern w:val="0"/>
                <w:sz w:val="24"/>
                <w:lang w:bidi="ar"/>
              </w:rPr>
              <w:t>满意度</w:t>
            </w:r>
          </w:p>
          <w:p>
            <w:pPr>
              <w:overflowPunct w:val="0"/>
              <w:spacing w:line="400" w:lineRule="exact"/>
              <w:jc w:val="center"/>
              <w:textAlignment w:val="center"/>
              <w:rPr>
                <w:rFonts w:ascii="仿宋_GB2312" w:eastAsia="仿宋_GB2312"/>
                <w:sz w:val="24"/>
              </w:rPr>
            </w:pPr>
            <w:r>
              <w:rPr>
                <w:rFonts w:hint="eastAsia" w:ascii="仿宋_GB2312" w:eastAsia="仿宋_GB2312"/>
                <w:kern w:val="0"/>
                <w:sz w:val="24"/>
                <w:lang w:bidi="ar"/>
              </w:rPr>
              <w:t>指标</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textAlignment w:val="center"/>
              <w:rPr>
                <w:rFonts w:ascii="仿宋_GB2312" w:eastAsia="仿宋_GB2312"/>
                <w:sz w:val="24"/>
              </w:rPr>
            </w:pPr>
            <w:r>
              <w:rPr>
                <w:rFonts w:hint="eastAsia" w:ascii="仿宋_GB2312" w:eastAsia="仿宋_GB2312"/>
                <w:sz w:val="24"/>
              </w:rPr>
              <w:t>综合满意度</w:t>
            </w:r>
          </w:p>
        </w:tc>
        <w:tc>
          <w:tcPr>
            <w:tcW w:w="24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320" w:lineRule="exact"/>
              <w:jc w:val="center"/>
              <w:textAlignment w:val="center"/>
              <w:rPr>
                <w:rFonts w:ascii="仿宋_GB2312" w:eastAsia="仿宋_GB2312"/>
                <w:sz w:val="24"/>
              </w:rPr>
            </w:pPr>
            <w:r>
              <w:rPr>
                <w:rFonts w:hint="eastAsia" w:ascii="仿宋_GB2312" w:eastAsia="仿宋_GB2312"/>
                <w:sz w:val="24"/>
              </w:rPr>
              <w:t>提升用户使用体验满意度</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spacing w:line="600" w:lineRule="exact"/>
              <w:jc w:val="center"/>
              <w:textAlignment w:val="center"/>
              <w:rPr>
                <w:rFonts w:ascii="仿宋_GB2312" w:eastAsia="仿宋_GB2312"/>
                <w:sz w:val="24"/>
              </w:rPr>
            </w:pPr>
            <w:r>
              <w:rPr>
                <w:rFonts w:hint="eastAsia" w:ascii="仿宋_GB2312" w:eastAsia="仿宋_GB2312"/>
                <w:sz w:val="24"/>
              </w:rPr>
              <w:t>完成</w:t>
            </w:r>
          </w:p>
        </w:tc>
      </w:tr>
    </w:tbl>
    <w:p>
      <w:pPr>
        <w:overflowPunct w:val="0"/>
        <w:spacing w:line="600" w:lineRule="exact"/>
        <w:ind w:left="630"/>
        <w:rPr>
          <w:rFonts w:hint="eastAsia" w:ascii="仿宋_GB2312" w:eastAsia="仿宋_GB2312"/>
          <w:b/>
          <w:sz w:val="32"/>
          <w:szCs w:val="32"/>
          <w:lang w:val="zh-CN"/>
        </w:rPr>
      </w:pPr>
    </w:p>
    <w:p>
      <w:pPr>
        <w:overflowPunct w:val="0"/>
        <w:spacing w:line="600" w:lineRule="exact"/>
        <w:ind w:left="630"/>
        <w:rPr>
          <w:rFonts w:hint="eastAsia" w:ascii="仿宋_GB2312" w:eastAsia="仿宋_GB2312"/>
          <w:b/>
          <w:sz w:val="32"/>
          <w:szCs w:val="32"/>
          <w:lang w:val="zh-CN"/>
        </w:rPr>
      </w:pPr>
    </w:p>
    <w:p>
      <w:pPr>
        <w:overflowPunct w:val="0"/>
        <w:spacing w:line="600" w:lineRule="exact"/>
        <w:ind w:left="630"/>
        <w:rPr>
          <w:rFonts w:ascii="仿宋_GB2312" w:eastAsia="仿宋_GB2312"/>
          <w:b/>
          <w:sz w:val="32"/>
          <w:szCs w:val="32"/>
        </w:rPr>
      </w:pPr>
      <w:r>
        <w:rPr>
          <w:rFonts w:hint="eastAsia" w:ascii="仿宋_GB2312" w:eastAsia="仿宋_GB2312"/>
          <w:b/>
          <w:sz w:val="32"/>
          <w:szCs w:val="32"/>
          <w:lang w:val="zh-CN"/>
        </w:rPr>
        <w:t>2．</w:t>
      </w:r>
      <w:r>
        <w:rPr>
          <w:rFonts w:hint="eastAsia" w:ascii="仿宋_GB2312" w:eastAsia="仿宋_GB2312"/>
          <w:b/>
          <w:sz w:val="32"/>
          <w:szCs w:val="32"/>
        </w:rPr>
        <w:t>单位绩效评价结果。</w:t>
      </w:r>
    </w:p>
    <w:p>
      <w:pPr>
        <w:spacing w:line="580" w:lineRule="exact"/>
        <w:ind w:firstLine="640" w:firstLineChars="200"/>
        <w:rPr>
          <w:rFonts w:ascii="仿宋_GB2312" w:eastAsia="仿宋_GB2312"/>
          <w:b/>
          <w:color w:val="FF0000"/>
          <w:sz w:val="32"/>
          <w:szCs w:val="32"/>
        </w:rPr>
      </w:pPr>
      <w:r>
        <w:rPr>
          <w:rFonts w:hint="eastAsia" w:ascii="仿宋_GB2312" w:eastAsia="仿宋_GB2312"/>
          <w:sz w:val="32"/>
          <w:szCs w:val="32"/>
        </w:rPr>
        <w:t>本单位自行组织对“党委中心组网络学习平台工作运行、维护费”项目开展了绩效评价，自评报告见附件（第四部分）。</w:t>
      </w:r>
    </w:p>
    <w:p>
      <w:pPr>
        <w:widowControl/>
        <w:jc w:val="left"/>
        <w:rPr>
          <w:rFonts w:ascii="仿宋_GB2312" w:eastAsia="仿宋_GB2312"/>
          <w:b/>
          <w:color w:val="000000"/>
          <w:sz w:val="32"/>
          <w:szCs w:val="32"/>
        </w:rPr>
      </w:pPr>
      <w:r>
        <w:rPr>
          <w:rFonts w:hint="eastAsia" w:ascii="仿宋_GB2312" w:eastAsia="仿宋_GB2312"/>
          <w:b/>
          <w:color w:val="000000"/>
          <w:sz w:val="32"/>
          <w:szCs w:val="32"/>
        </w:rPr>
        <w:br w:type="page"/>
      </w:r>
    </w:p>
    <w:p>
      <w:pPr>
        <w:numPr>
          <w:ilvl w:val="0"/>
          <w:numId w:val="6"/>
        </w:numPr>
        <w:spacing w:line="600" w:lineRule="exact"/>
        <w:ind w:firstLine="660" w:firstLineChars="150"/>
        <w:jc w:val="center"/>
        <w:outlineLvl w:val="0"/>
        <w:rPr>
          <w:rStyle w:val="25"/>
          <w:rFonts w:ascii="方正小标宋简体" w:hAnsi="黑体" w:eastAsia="方正小标宋简体"/>
          <w:b w:val="0"/>
        </w:rPr>
      </w:pPr>
      <w:bookmarkStart w:id="49" w:name="_Toc15377225"/>
      <w:bookmarkStart w:id="50" w:name="_Toc15396613"/>
      <w:r>
        <w:rPr>
          <w:rFonts w:hint="eastAsia" w:ascii="方正小标宋简体" w:hAnsi="黑体" w:eastAsia="方正小标宋简体"/>
          <w:color w:val="000000"/>
          <w:sz w:val="44"/>
          <w:szCs w:val="44"/>
        </w:rPr>
        <w:t>名</w:t>
      </w:r>
      <w:r>
        <w:rPr>
          <w:rStyle w:val="25"/>
          <w:rFonts w:hint="eastAsia" w:ascii="方正小标宋简体" w:hAnsi="黑体" w:eastAsia="方正小标宋简体"/>
          <w:b w:val="0"/>
        </w:rPr>
        <w:t>词解释</w:t>
      </w:r>
      <w:bookmarkEnd w:id="49"/>
      <w:bookmarkEnd w:id="50"/>
    </w:p>
    <w:p>
      <w:pPr>
        <w:spacing w:line="600" w:lineRule="exact"/>
        <w:jc w:val="left"/>
        <w:rPr>
          <w:rFonts w:ascii="仿宋_GB2312" w:eastAsia="仿宋_GB2312"/>
          <w:b/>
          <w:color w:val="000000"/>
          <w:sz w:val="44"/>
          <w:szCs w:val="44"/>
        </w:rPr>
      </w:pPr>
    </w:p>
    <w:p>
      <w:pPr>
        <w:pStyle w:val="23"/>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1.财政拨款收入：指单位从同级财政部门取得的财政预算资金。</w:t>
      </w:r>
    </w:p>
    <w:p>
      <w:pPr>
        <w:pStyle w:val="23"/>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2.其他收入：指单位取得的除上述收入以外的各项收入。主要是利息收入。。 </w:t>
      </w:r>
    </w:p>
    <w:p>
      <w:pPr>
        <w:pStyle w:val="23"/>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3.年初结转和结余：指以前年度尚未完成、结转到本年按有关规定继续使用的资金。 </w:t>
      </w:r>
    </w:p>
    <w:p>
      <w:pPr>
        <w:pStyle w:val="23"/>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4、年末结转和结余：指单位按有关规定结转到下年或以后年度继续使用的资金。</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5.一般公共服务（类）宣传事务（款）行政运行（项）：指</w:t>
      </w:r>
      <w:r>
        <w:rPr>
          <w:rFonts w:hint="eastAsia" w:ascii="仿宋" w:hAnsi="仿宋" w:eastAsia="仿宋" w:cs="仿宋"/>
          <w:color w:val="auto"/>
          <w:sz w:val="32"/>
          <w:szCs w:val="32"/>
          <w:lang w:eastAsia="zh-CN"/>
        </w:rPr>
        <w:t>参照公务员管理的事业单位</w:t>
      </w:r>
      <w:r>
        <w:rPr>
          <w:rFonts w:hint="eastAsia" w:ascii="仿宋" w:hAnsi="仿宋" w:eastAsia="仿宋" w:cs="仿宋"/>
          <w:color w:val="auto"/>
          <w:sz w:val="32"/>
          <w:szCs w:val="32"/>
        </w:rPr>
        <w:t>用于保障机构正常运行、开展日常工作的基本支出。</w:t>
      </w:r>
    </w:p>
    <w:p>
      <w:pPr>
        <w:pStyle w:val="2"/>
        <w:spacing w:before="93"/>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6、一般公共服务（类）宣传事务（款）一般行政管理事务（项）</w:t>
      </w:r>
      <w:r>
        <w:rPr>
          <w:rFonts w:hint="eastAsia" w:ascii="仿宋" w:hAnsi="仿宋" w:eastAsia="仿宋" w:cs="仿宋"/>
          <w:color w:val="auto"/>
          <w:sz w:val="32"/>
          <w:szCs w:val="32"/>
          <w:lang w:eastAsia="zh-CN"/>
        </w:rPr>
        <w:t>指参照公务员管理的事业单位</w:t>
      </w:r>
      <w:r>
        <w:rPr>
          <w:rFonts w:hint="eastAsia" w:ascii="仿宋" w:hAnsi="仿宋" w:eastAsia="仿宋" w:cs="仿宋"/>
          <w:color w:val="auto"/>
          <w:sz w:val="32"/>
          <w:szCs w:val="32"/>
        </w:rPr>
        <w:t>未单独设置项级科目的其他项目支出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7.教育（类）进修及培训（款）培训支出（项）：指</w:t>
      </w:r>
      <w:r>
        <w:rPr>
          <w:rFonts w:hint="eastAsia" w:ascii="仿宋" w:hAnsi="仿宋" w:eastAsia="仿宋" w:cs="仿宋"/>
          <w:color w:val="auto"/>
          <w:sz w:val="32"/>
          <w:szCs w:val="32"/>
          <w:lang w:eastAsia="zh-CN"/>
        </w:rPr>
        <w:t>我单位用于</w:t>
      </w:r>
      <w:r>
        <w:rPr>
          <w:rFonts w:hint="eastAsia" w:ascii="仿宋" w:hAnsi="仿宋" w:eastAsia="仿宋" w:cs="仿宋"/>
          <w:color w:val="auto"/>
          <w:sz w:val="32"/>
          <w:szCs w:val="32"/>
        </w:rPr>
        <w:t>培训</w:t>
      </w:r>
      <w:r>
        <w:rPr>
          <w:rFonts w:hint="eastAsia" w:ascii="仿宋" w:hAnsi="仿宋" w:eastAsia="仿宋" w:cs="仿宋"/>
          <w:color w:val="auto"/>
          <w:sz w:val="32"/>
          <w:szCs w:val="32"/>
          <w:lang w:eastAsia="zh-CN"/>
        </w:rPr>
        <w:t>的支出</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8.文化旅游体育与传媒（类）其他文化旅游体育与传媒支出（款）宣传文化发展专项支出（项）：指按照国家有关政策开展除宣传文化方面工作的支出。</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9.文化旅游体育与传媒（类）其他文化旅游体育与传媒支出（款）其他文化旅游体育与传媒支出（项）：指按照国家有关政策开展除宣传文化、文化产业发展以外的文化体育与传媒方面工作的支出。</w:t>
      </w:r>
      <w:r>
        <w:rPr>
          <w:rFonts w:hint="eastAsia" w:ascii="仿宋" w:hAnsi="仿宋" w:eastAsia="仿宋" w:cs="仿宋"/>
          <w:color w:val="auto"/>
          <w:sz w:val="32"/>
          <w:szCs w:val="32"/>
        </w:rPr>
        <w:br w:type="textWrapping"/>
      </w:r>
      <w:r>
        <w:rPr>
          <w:rFonts w:hint="eastAsia" w:ascii="仿宋" w:hAnsi="仿宋" w:eastAsia="仿宋" w:cs="仿宋"/>
          <w:color w:val="0000FF"/>
          <w:sz w:val="32"/>
          <w:szCs w:val="32"/>
          <w:lang w:val="en-US" w:eastAsia="zh-CN"/>
        </w:rPr>
        <w:t xml:space="preserve">    </w:t>
      </w:r>
      <w:r>
        <w:rPr>
          <w:rFonts w:hint="eastAsia" w:ascii="仿宋" w:hAnsi="仿宋" w:eastAsia="仿宋" w:cs="仿宋"/>
          <w:color w:val="000000"/>
          <w:sz w:val="32"/>
          <w:szCs w:val="32"/>
        </w:rPr>
        <w:t>10.社会保障和就业（类）行政事业单位养老支出（款）</w:t>
      </w:r>
      <w:r>
        <w:rPr>
          <w:rFonts w:hint="eastAsia" w:ascii="仿宋" w:hAnsi="仿宋" w:eastAsia="仿宋" w:cs="仿宋"/>
          <w:color w:val="auto"/>
          <w:sz w:val="32"/>
          <w:szCs w:val="32"/>
        </w:rPr>
        <w:t>行政单位离退休（项）：指未实行归口管理的行政事业单位开支的离退休支出。</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11.社会保障和就业（类）行政事业单位养老支出（款）机关事业单位基本养老保险缴费支出（项）：</w:t>
      </w:r>
      <w:r>
        <w:rPr>
          <w:rFonts w:hint="eastAsia" w:ascii="仿宋" w:hAnsi="仿宋" w:eastAsia="仿宋" w:cs="仿宋"/>
          <w:sz w:val="32"/>
          <w:szCs w:val="32"/>
        </w:rPr>
        <w:t>指机关事业单位实施养老保险制度由单位缴纳的基本养老保险。</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color w:val="000000"/>
          <w:sz w:val="32"/>
          <w:szCs w:val="32"/>
        </w:rPr>
        <w:t>12.卫生健康支出（类）行政事业单位医疗（款）事业单位医疗（项）：</w:t>
      </w:r>
      <w:r>
        <w:rPr>
          <w:rFonts w:hint="eastAsia" w:ascii="仿宋" w:hAnsi="仿宋" w:eastAsia="仿宋" w:cs="仿宋"/>
          <w:sz w:val="32"/>
          <w:szCs w:val="32"/>
        </w:rPr>
        <w:t>指用于事业单位医疗保险缴费经费</w:t>
      </w:r>
      <w:r>
        <w:rPr>
          <w:rFonts w:hint="eastAsia" w:ascii="仿宋" w:hAnsi="仿宋" w:eastAsia="仿宋" w:cs="仿宋"/>
          <w:color w:val="000000"/>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color w:val="000000"/>
          <w:sz w:val="32"/>
          <w:szCs w:val="32"/>
        </w:rPr>
        <w:t>13.卫生健康支出（类）行政事业单位医疗（款）公务员医疗补助（项）：</w:t>
      </w:r>
      <w:r>
        <w:rPr>
          <w:rFonts w:hint="eastAsia" w:ascii="仿宋" w:hAnsi="仿宋" w:eastAsia="仿宋" w:cs="仿宋"/>
          <w:sz w:val="32"/>
          <w:szCs w:val="32"/>
        </w:rPr>
        <w:t>指用于安排的公务员医疗补助经费。</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14.住房保障（类）住房改革支出（款）住房公积金（项）：</w:t>
      </w:r>
      <w:r>
        <w:rPr>
          <w:rFonts w:hint="eastAsia" w:ascii="仿宋" w:hAnsi="仿宋" w:eastAsia="仿宋" w:cs="仿宋"/>
          <w:sz w:val="32"/>
          <w:szCs w:val="32"/>
        </w:rPr>
        <w:t>指用于行政事业单位按人力资源和社会保障部、财政部规定的基本工资和津贴补贴以及规定比例为职工缴纳的住房公积金。</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color w:val="000000"/>
          <w:sz w:val="32"/>
          <w:szCs w:val="32"/>
        </w:rPr>
        <w:t>15.住房保障（类）住房改革支出（款）购房补贴（项）：</w:t>
      </w:r>
      <w:r>
        <w:rPr>
          <w:rFonts w:hint="eastAsia" w:ascii="仿宋" w:hAnsi="仿宋" w:eastAsia="仿宋" w:cs="仿宋"/>
          <w:sz w:val="32"/>
          <w:szCs w:val="32"/>
        </w:rPr>
        <w:t>指用于按房改政策规定，行政事业单位向符合条件职工发放的用于购买住房的补贴。</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color w:val="000000"/>
          <w:sz w:val="32"/>
          <w:szCs w:val="32"/>
        </w:rPr>
        <w:t>16.基本支出：指为保障机构正常运转、完成日常工作任务而发生的人员支出和公用支出。</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17.项目支出：指在基本支出之外为完成特定行政任务和事业发展目标所发生的支出。 </w:t>
      </w:r>
    </w:p>
    <w:p>
      <w:pPr>
        <w:pStyle w:val="23"/>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18.“三公”经费：指单位用财政拨款安排的公务用车购置及运行费和公务接待费。其中，公务用车购置及运行费反映单位公务用车车辆燃料费、维修费、过路过桥费、保险费等支出；公务接待费反映单位按规定开支的各类公务接待支出。</w:t>
      </w:r>
    </w:p>
    <w:p>
      <w:pPr>
        <w:pStyle w:val="23"/>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19.机关运行经费：为保障行政单位（含参照公务员法管理的事业单位）运行用于购买货物和服务的各项资金，包括办公及印刷费、邮电费、差旅费、福利费、日常维修费、办公用房水电费、办公用房物业管理费、公务用车运行维护费以及其他费用。</w:t>
      </w:r>
    </w:p>
    <w:p>
      <w:pPr>
        <w:overflowPunct w:val="0"/>
        <w:spacing w:line="600" w:lineRule="exact"/>
        <w:ind w:firstLine="883" w:firstLineChars="200"/>
        <w:jc w:val="center"/>
        <w:rPr>
          <w:rStyle w:val="25"/>
          <w:rFonts w:ascii="方正小标宋简体" w:eastAsia="方正小标宋简体"/>
          <w:b w:val="0"/>
          <w:bCs w:val="0"/>
        </w:rPr>
      </w:pPr>
      <w:bookmarkStart w:id="51" w:name="_Toc15377226"/>
      <w:r>
        <w:rPr>
          <w:rFonts w:hint="eastAsia" w:ascii="仿宋" w:hAnsi="仿宋" w:eastAsia="仿宋" w:cs="仿宋"/>
          <w:b/>
          <w:color w:val="000000"/>
          <w:sz w:val="44"/>
          <w:szCs w:val="44"/>
        </w:rPr>
        <w:br w:type="page"/>
      </w:r>
      <w:bookmarkStart w:id="52" w:name="_Toc15396614"/>
      <w:r>
        <w:rPr>
          <w:rFonts w:hint="eastAsia" w:ascii="方正小标宋简体" w:eastAsia="方正小标宋简体"/>
          <w:sz w:val="44"/>
          <w:szCs w:val="44"/>
        </w:rPr>
        <w:t>第</w:t>
      </w:r>
      <w:r>
        <w:rPr>
          <w:rStyle w:val="25"/>
          <w:rFonts w:hint="eastAsia" w:ascii="方正小标宋简体" w:eastAsia="方正小标宋简体"/>
          <w:b w:val="0"/>
          <w:bCs w:val="0"/>
        </w:rPr>
        <w:t>四部分 附件</w:t>
      </w:r>
      <w:bookmarkEnd w:id="52"/>
    </w:p>
    <w:p>
      <w:pPr>
        <w:overflowPunct w:val="0"/>
        <w:spacing w:line="600" w:lineRule="exact"/>
        <w:jc w:val="center"/>
        <w:rPr>
          <w:rFonts w:hint="eastAsia" w:ascii="黑体" w:hAnsi="黑体" w:eastAsia="黑体"/>
          <w:kern w:val="0"/>
          <w:sz w:val="32"/>
          <w:szCs w:val="32"/>
          <w:lang w:val="zh-CN"/>
        </w:rPr>
      </w:pPr>
    </w:p>
    <w:p>
      <w:pPr>
        <w:overflowPunct w:val="0"/>
        <w:spacing w:line="600" w:lineRule="exact"/>
        <w:jc w:val="center"/>
        <w:rPr>
          <w:rFonts w:ascii="黑体" w:hAnsi="黑体" w:eastAsia="黑体"/>
          <w:sz w:val="32"/>
          <w:szCs w:val="32"/>
        </w:rPr>
      </w:pPr>
      <w:r>
        <w:rPr>
          <w:rFonts w:hint="eastAsia" w:ascii="黑体" w:hAnsi="黑体" w:eastAsia="黑体"/>
          <w:kern w:val="0"/>
          <w:sz w:val="32"/>
          <w:szCs w:val="32"/>
          <w:lang w:val="zh-CN"/>
        </w:rPr>
        <w:t>202</w:t>
      </w:r>
      <w:r>
        <w:rPr>
          <w:rFonts w:hint="eastAsia" w:ascii="黑体" w:hAnsi="黑体" w:eastAsia="黑体"/>
          <w:kern w:val="0"/>
          <w:sz w:val="32"/>
          <w:szCs w:val="32"/>
        </w:rPr>
        <w:t>0</w:t>
      </w:r>
      <w:r>
        <w:rPr>
          <w:rFonts w:hint="eastAsia" w:ascii="黑体" w:hAnsi="黑体" w:eastAsia="黑体"/>
          <w:kern w:val="0"/>
          <w:sz w:val="32"/>
          <w:szCs w:val="32"/>
          <w:lang w:val="zh-CN"/>
        </w:rPr>
        <w:t>年</w:t>
      </w:r>
      <w:r>
        <w:rPr>
          <w:rFonts w:hint="eastAsia" w:ascii="黑体" w:hAnsi="黑体" w:eastAsia="黑体"/>
          <w:sz w:val="32"/>
          <w:szCs w:val="32"/>
        </w:rPr>
        <w:t>“党委中心组网络学习平台工作</w:t>
      </w:r>
    </w:p>
    <w:p>
      <w:pPr>
        <w:overflowPunct w:val="0"/>
        <w:spacing w:line="600" w:lineRule="exact"/>
        <w:jc w:val="center"/>
        <w:rPr>
          <w:rFonts w:ascii="黑体" w:hAnsi="黑体" w:eastAsia="黑体"/>
          <w:kern w:val="0"/>
          <w:sz w:val="32"/>
          <w:szCs w:val="32"/>
          <w:lang w:val="zh-CN"/>
        </w:rPr>
      </w:pPr>
      <w:r>
        <w:rPr>
          <w:rFonts w:hint="eastAsia" w:ascii="黑体" w:hAnsi="黑体" w:eastAsia="黑体"/>
          <w:sz w:val="32"/>
          <w:szCs w:val="32"/>
        </w:rPr>
        <w:t>运行、维护费”</w:t>
      </w:r>
      <w:r>
        <w:rPr>
          <w:rFonts w:hint="eastAsia" w:ascii="黑体" w:hAnsi="黑体" w:eastAsia="黑体"/>
          <w:kern w:val="0"/>
          <w:sz w:val="32"/>
          <w:szCs w:val="32"/>
          <w:lang w:val="zh-CN"/>
        </w:rPr>
        <w:t>项目支出绩效自评报告</w:t>
      </w:r>
    </w:p>
    <w:p>
      <w:pPr>
        <w:overflowPunct w:val="0"/>
        <w:adjustRightInd w:val="0"/>
        <w:snapToGrid w:val="0"/>
        <w:spacing w:line="600" w:lineRule="exact"/>
        <w:ind w:firstLine="720"/>
        <w:rPr>
          <w:rFonts w:ascii="仿宋_GB2312" w:eastAsia="仿宋_GB2312"/>
          <w:b/>
          <w:sz w:val="32"/>
          <w:szCs w:val="32"/>
          <w:lang w:val="zh-CN"/>
        </w:rPr>
      </w:pPr>
      <w:r>
        <w:rPr>
          <w:rFonts w:hint="eastAsia" w:ascii="仿宋_GB2312" w:eastAsia="仿宋_GB2312"/>
          <w:b/>
          <w:sz w:val="32"/>
          <w:szCs w:val="32"/>
        </w:rPr>
        <w:t>一、</w:t>
      </w:r>
      <w:r>
        <w:rPr>
          <w:rFonts w:hint="eastAsia" w:ascii="仿宋_GB2312" w:eastAsia="仿宋_GB2312"/>
          <w:b/>
          <w:sz w:val="32"/>
          <w:szCs w:val="32"/>
          <w:lang w:val="zh-CN"/>
        </w:rPr>
        <w:t>项目概况</w:t>
      </w:r>
    </w:p>
    <w:p>
      <w:pPr>
        <w:overflowPunct w:val="0"/>
        <w:spacing w:line="600" w:lineRule="exact"/>
        <w:ind w:firstLine="640" w:firstLineChars="200"/>
        <w:rPr>
          <w:rFonts w:ascii="仿宋_GB2312" w:eastAsia="仿宋_GB2312"/>
          <w:bCs/>
          <w:sz w:val="32"/>
          <w:szCs w:val="32"/>
        </w:rPr>
      </w:pPr>
      <w:r>
        <w:rPr>
          <w:rFonts w:hint="eastAsia" w:ascii="仿宋_GB2312" w:eastAsia="仿宋_GB2312"/>
          <w:sz w:val="32"/>
          <w:szCs w:val="32"/>
          <w:lang w:val="zh-CN"/>
        </w:rPr>
        <w:t>（一）项目资金申报及批复情况。</w:t>
      </w:r>
      <w:r>
        <w:rPr>
          <w:rFonts w:hint="eastAsia" w:ascii="仿宋_GB2312" w:eastAsia="仿宋_GB2312"/>
          <w:bCs/>
          <w:sz w:val="32"/>
          <w:szCs w:val="32"/>
        </w:rPr>
        <w:t>本项目共申报资金328.95万元，共批复资金328.95万元（含2019年度结转资金154.94万元、2020年度预算资金174.01万元）。</w:t>
      </w:r>
    </w:p>
    <w:p>
      <w:pPr>
        <w:overflowPunct w:val="0"/>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lang w:val="zh-CN"/>
        </w:rPr>
        <w:t>（二）项目绩效目标。</w:t>
      </w:r>
      <w:r>
        <w:rPr>
          <w:rFonts w:hint="eastAsia" w:ascii="仿宋_GB2312" w:eastAsia="仿宋_GB2312"/>
          <w:sz w:val="32"/>
          <w:szCs w:val="32"/>
        </w:rPr>
        <w:t>本项目旨在服务全省党委（党组）理论学习中心组学习，打造集学习、宣传、管理等功能为一体的融媒体平台。具体绩效目标包括：保证项目时效，在项目周期内完成目标任务。控制项目成本，在预算范围内完成目标任务。做好团队建设，</w:t>
      </w:r>
      <w:r>
        <w:rPr>
          <w:rFonts w:hint="eastAsia" w:ascii="仿宋_GB2312" w:eastAsia="仿宋_GB2312"/>
          <w:bCs/>
          <w:sz w:val="32"/>
          <w:szCs w:val="32"/>
        </w:rPr>
        <w:t>建立运维服务团队，配齐配强专业力量。做好内容建设，开展版面设计、栏目规划、稿件编发、原创制作、宣传推广（网站编发稿件至少3000条，开设专题至少4个；微信发布推送至少250期，编发稿件至少1200条；开展宣传活动至少3次）。做好后台运维，开展监控维护、架构建设、功能设置、信息采集、存储统计。做好技术保障，开展设备租赁、巡查检修、应急处置、开发优化、技术指导。做好配套管理，及时形成总结计划，建立健全运维台账</w:t>
      </w:r>
      <w:r>
        <w:rPr>
          <w:rFonts w:hint="eastAsia" w:ascii="仿宋_GB2312" w:eastAsia="仿宋_GB2312"/>
          <w:bCs/>
          <w:sz w:val="32"/>
          <w:szCs w:val="32"/>
          <w:lang w:val="zh-CN"/>
        </w:rPr>
        <w:t>。</w:t>
      </w:r>
      <w:r>
        <w:rPr>
          <w:rFonts w:hint="eastAsia" w:ascii="仿宋_GB2312" w:eastAsia="仿宋_GB2312"/>
          <w:bCs/>
          <w:sz w:val="32"/>
          <w:szCs w:val="32"/>
        </w:rPr>
        <w:t>提高综合效能，持续提升中心组学习管理信息化水平。扩大辐射作用，推动理论学习向广大党员群众辐射。本</w:t>
      </w:r>
      <w:r>
        <w:rPr>
          <w:rFonts w:hint="eastAsia" w:ascii="仿宋_GB2312" w:eastAsia="仿宋_GB2312"/>
          <w:sz w:val="32"/>
          <w:szCs w:val="32"/>
        </w:rPr>
        <w:t>项目系跨年度项目，实际周期为当年9月30日至次年9月29日。2020年1月1日至9月29日系2019年度项目周期，9月30日至12月31日系2020年度项目周期。</w:t>
      </w:r>
    </w:p>
    <w:p>
      <w:pPr>
        <w:overflowPunct w:val="0"/>
        <w:adjustRightInd w:val="0"/>
        <w:snapToGrid w:val="0"/>
        <w:spacing w:line="600" w:lineRule="exact"/>
        <w:ind w:firstLine="720"/>
        <w:rPr>
          <w:rFonts w:ascii="仿宋_GB2312" w:eastAsia="仿宋_GB2312"/>
          <w:sz w:val="32"/>
          <w:szCs w:val="32"/>
          <w:lang w:val="zh-CN"/>
        </w:rPr>
      </w:pPr>
      <w:r>
        <w:rPr>
          <w:rFonts w:hint="eastAsia" w:ascii="仿宋_GB2312" w:eastAsia="仿宋_GB2312"/>
          <w:sz w:val="32"/>
          <w:szCs w:val="32"/>
          <w:lang w:val="zh-CN"/>
        </w:rPr>
        <w:t>（三）项目资金申报相符性。</w:t>
      </w:r>
      <w:r>
        <w:rPr>
          <w:rFonts w:hint="eastAsia" w:ascii="仿宋_GB2312" w:eastAsia="仿宋_GB2312"/>
          <w:sz w:val="32"/>
          <w:szCs w:val="32"/>
        </w:rPr>
        <w:t>本</w:t>
      </w:r>
      <w:r>
        <w:rPr>
          <w:rFonts w:hint="eastAsia" w:ascii="仿宋_GB2312" w:eastAsia="仿宋_GB2312"/>
          <w:sz w:val="32"/>
          <w:szCs w:val="32"/>
          <w:lang w:val="zh-CN"/>
        </w:rPr>
        <w:t>项目申报内容与具体实施内容相符，申报目标合理可行。</w:t>
      </w:r>
    </w:p>
    <w:p>
      <w:pPr>
        <w:overflowPunct w:val="0"/>
        <w:adjustRightInd w:val="0"/>
        <w:snapToGrid w:val="0"/>
        <w:spacing w:line="600" w:lineRule="exact"/>
        <w:ind w:firstLine="720"/>
        <w:rPr>
          <w:rFonts w:ascii="仿宋_GB2312" w:eastAsia="仿宋_GB2312"/>
          <w:b/>
          <w:sz w:val="32"/>
          <w:szCs w:val="32"/>
        </w:rPr>
      </w:pPr>
      <w:r>
        <w:rPr>
          <w:rFonts w:hint="eastAsia" w:ascii="仿宋_GB2312" w:eastAsia="仿宋_GB2312"/>
          <w:b/>
          <w:sz w:val="32"/>
          <w:szCs w:val="32"/>
        </w:rPr>
        <w:t>二、项目实施及管理情况</w:t>
      </w:r>
    </w:p>
    <w:p>
      <w:pPr>
        <w:overflowPunct w:val="0"/>
        <w:adjustRightInd w:val="0"/>
        <w:snapToGrid w:val="0"/>
        <w:spacing w:line="600" w:lineRule="exact"/>
        <w:ind w:firstLine="720"/>
        <w:rPr>
          <w:rFonts w:ascii="仿宋_GB2312" w:eastAsia="仿宋_GB2312"/>
          <w:sz w:val="32"/>
          <w:szCs w:val="32"/>
          <w:lang w:val="zh-CN"/>
        </w:rPr>
      </w:pPr>
      <w:r>
        <w:rPr>
          <w:rFonts w:hint="eastAsia" w:ascii="仿宋_GB2312" w:eastAsia="仿宋_GB2312"/>
          <w:sz w:val="32"/>
          <w:szCs w:val="32"/>
          <w:lang w:val="zh-CN"/>
        </w:rPr>
        <w:tab/>
      </w:r>
      <w:r>
        <w:rPr>
          <w:rFonts w:hint="eastAsia" w:ascii="仿宋_GB2312" w:eastAsia="仿宋_GB2312"/>
          <w:sz w:val="32"/>
          <w:szCs w:val="32"/>
          <w:lang w:val="zh-CN"/>
        </w:rPr>
        <w:t>（一）资金计划、到位及使用情况。</w:t>
      </w:r>
    </w:p>
    <w:p>
      <w:pPr>
        <w:overflowPunct w:val="0"/>
        <w:adjustRightInd w:val="0"/>
        <w:snapToGrid w:val="0"/>
        <w:spacing w:line="600" w:lineRule="exact"/>
        <w:ind w:firstLine="720"/>
        <w:rPr>
          <w:rFonts w:ascii="仿宋_GB2312" w:eastAsia="仿宋_GB2312"/>
          <w:sz w:val="32"/>
          <w:szCs w:val="32"/>
          <w:lang w:val="zh-CN"/>
        </w:rPr>
      </w:pPr>
      <w:r>
        <w:rPr>
          <w:rFonts w:hint="eastAsia" w:ascii="仿宋_GB2312" w:eastAsia="仿宋_GB2312"/>
          <w:sz w:val="32"/>
          <w:szCs w:val="32"/>
          <w:lang w:val="zh-CN"/>
        </w:rPr>
        <w:t>1．资金计划及到位。</w:t>
      </w:r>
      <w:r>
        <w:rPr>
          <w:rFonts w:hint="eastAsia" w:ascii="仿宋_GB2312" w:eastAsia="仿宋_GB2312"/>
          <w:sz w:val="32"/>
          <w:szCs w:val="32"/>
        </w:rPr>
        <w:t>本项目计划资金328.95万元</w:t>
      </w:r>
      <w:r>
        <w:rPr>
          <w:rFonts w:hint="eastAsia" w:ascii="仿宋_GB2312" w:eastAsia="仿宋_GB2312"/>
          <w:bCs/>
          <w:sz w:val="32"/>
          <w:szCs w:val="32"/>
        </w:rPr>
        <w:t>（含2019年度结转资金154.94万元、2020年度预算资金174.01万元）</w:t>
      </w:r>
      <w:r>
        <w:rPr>
          <w:rFonts w:hint="eastAsia" w:ascii="仿宋_GB2312" w:eastAsia="仿宋_GB2312"/>
          <w:sz w:val="32"/>
          <w:szCs w:val="32"/>
        </w:rPr>
        <w:t>，全部按时下达到位</w:t>
      </w:r>
      <w:r>
        <w:rPr>
          <w:rFonts w:hint="eastAsia" w:ascii="仿宋_GB2312" w:eastAsia="仿宋_GB2312"/>
          <w:sz w:val="32"/>
          <w:szCs w:val="32"/>
          <w:lang w:val="zh-CN"/>
        </w:rPr>
        <w:t>。</w:t>
      </w:r>
    </w:p>
    <w:p>
      <w:pPr>
        <w:overflowPunct w:val="0"/>
        <w:adjustRightInd w:val="0"/>
        <w:snapToGrid w:val="0"/>
        <w:spacing w:line="600" w:lineRule="exact"/>
        <w:ind w:firstLine="720"/>
        <w:rPr>
          <w:rFonts w:ascii="仿宋_GB2312" w:eastAsia="仿宋_GB2312"/>
          <w:sz w:val="32"/>
          <w:szCs w:val="32"/>
          <w:lang w:val="zh-CN"/>
        </w:rPr>
      </w:pPr>
      <w:r>
        <w:rPr>
          <w:rFonts w:hint="eastAsia" w:ascii="仿宋_GB2312" w:eastAsia="仿宋_GB2312"/>
          <w:sz w:val="32"/>
          <w:szCs w:val="32"/>
          <w:lang w:val="zh-CN"/>
        </w:rPr>
        <w:t>2．资金使用。</w:t>
      </w:r>
      <w:r>
        <w:rPr>
          <w:rFonts w:hint="eastAsia" w:ascii="仿宋_GB2312" w:eastAsia="仿宋_GB2312"/>
          <w:sz w:val="32"/>
          <w:szCs w:val="32"/>
        </w:rPr>
        <w:t>本项目系跨年度项目，实际周期为当年9月30日至次年9月29日，资金执行方式为签订合作协议且项目正式启动后支付30%，剩余资金结转至次年预算，待项目过半且验收合格后支付30%，项目结束且验收合格后支付40%。2020年1月1日至9月29日，执行的是2019年度结转资金，按协议实际支付154万元，资金执行率为99.4%，剩余0.94万元收回财政；9月30日至12月31日，执行的是2020年度预算资金，按协议实际支付52.2万元，资金执行率为30.0%，剩余121.81万元结转至2021年度预算。本项目</w:t>
      </w:r>
      <w:r>
        <w:rPr>
          <w:rFonts w:hint="eastAsia" w:ascii="仿宋_GB2312" w:eastAsia="仿宋_GB2312"/>
          <w:sz w:val="32"/>
          <w:szCs w:val="32"/>
          <w:lang w:val="zh-CN"/>
        </w:rPr>
        <w:t>支付依据合规合法，资金支付与预算相符。</w:t>
      </w:r>
    </w:p>
    <w:p>
      <w:pPr>
        <w:spacing w:line="580" w:lineRule="exact"/>
        <w:ind w:firstLine="640" w:firstLineChars="200"/>
        <w:rPr>
          <w:rFonts w:ascii="仿宋_GB2312" w:hAnsi="楷体GB2312" w:eastAsia="仿宋_GB2312" w:cs="楷体GB2312"/>
          <w:sz w:val="32"/>
          <w:szCs w:val="32"/>
        </w:rPr>
      </w:pPr>
      <w:r>
        <w:rPr>
          <w:rFonts w:hint="eastAsia" w:ascii="仿宋_GB2312" w:eastAsia="仿宋_GB2312"/>
          <w:sz w:val="32"/>
          <w:szCs w:val="32"/>
          <w:lang w:val="zh-CN"/>
        </w:rPr>
        <w:t>（二）项目财务管理情况。本项目</w:t>
      </w:r>
      <w:r>
        <w:rPr>
          <w:rFonts w:hint="eastAsia" w:ascii="仿宋_GB2312" w:hAnsi="楷体GB2312" w:eastAsia="仿宋_GB2312" w:cs="楷体GB2312"/>
          <w:sz w:val="32"/>
          <w:szCs w:val="32"/>
        </w:rPr>
        <w:t>严格按照《四川省宣传文化事业发展专项资金管理办法》（川财教〔2015〕191号）的规定，专款专用，资金使用范围符合规定。</w:t>
      </w:r>
    </w:p>
    <w:p>
      <w:pPr>
        <w:overflowPunct w:val="0"/>
        <w:adjustRightInd w:val="0"/>
        <w:snapToGrid w:val="0"/>
        <w:spacing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（三）项目组织实施情况。</w:t>
      </w:r>
      <w:r>
        <w:rPr>
          <w:rFonts w:hint="eastAsia" w:ascii="仿宋_GB2312" w:eastAsia="仿宋_GB2312"/>
          <w:sz w:val="32"/>
          <w:szCs w:val="32"/>
        </w:rPr>
        <w:t>本项目主管单位为省委宣传部，承办单位为省委讲师团，于2019年通过政府采购（一招三年）确定四川新闻网为运维单位，并在四川政府采购网公示。项目严格按照法律法规及合作协议约定执行</w:t>
      </w:r>
      <w:r>
        <w:rPr>
          <w:rFonts w:hint="eastAsia" w:ascii="仿宋_GB2312" w:eastAsia="仿宋_GB2312"/>
          <w:sz w:val="32"/>
          <w:szCs w:val="32"/>
          <w:lang w:val="zh-CN"/>
        </w:rPr>
        <w:t>。</w:t>
      </w:r>
    </w:p>
    <w:p>
      <w:pPr>
        <w:overflowPunct w:val="0"/>
        <w:adjustRightInd w:val="0"/>
        <w:snapToGrid w:val="0"/>
        <w:spacing w:line="600" w:lineRule="exact"/>
        <w:ind w:firstLine="720"/>
        <w:rPr>
          <w:rFonts w:ascii="仿宋_GB2312" w:eastAsia="仿宋_GB2312"/>
          <w:b/>
          <w:sz w:val="32"/>
          <w:szCs w:val="32"/>
          <w:lang w:val="zh-CN"/>
        </w:rPr>
      </w:pPr>
      <w:r>
        <w:rPr>
          <w:rFonts w:hint="eastAsia" w:ascii="仿宋_GB2312" w:eastAsia="仿宋_GB2312"/>
          <w:b/>
          <w:sz w:val="32"/>
          <w:szCs w:val="32"/>
        </w:rPr>
        <w:t>三、项目绩效情况</w:t>
      </w:r>
      <w:r>
        <w:rPr>
          <w:rFonts w:hint="eastAsia" w:ascii="仿宋_GB2312" w:eastAsia="仿宋_GB2312"/>
          <w:b/>
          <w:sz w:val="32"/>
          <w:szCs w:val="32"/>
          <w:lang w:val="zh-CN"/>
        </w:rPr>
        <w:tab/>
      </w:r>
    </w:p>
    <w:p>
      <w:pPr>
        <w:overflowPunct w:val="0"/>
        <w:adjustRightInd w:val="0"/>
        <w:snapToGrid w:val="0"/>
        <w:spacing w:line="600" w:lineRule="exact"/>
        <w:ind w:firstLine="640" w:firstLineChars="200"/>
        <w:rPr>
          <w:rFonts w:ascii="仿宋_GB2312" w:eastAsia="仿宋_GB2312"/>
          <w:bCs/>
          <w:sz w:val="32"/>
          <w:szCs w:val="32"/>
          <w:lang w:val="zh-CN"/>
        </w:rPr>
      </w:pPr>
      <w:r>
        <w:rPr>
          <w:rFonts w:hint="eastAsia" w:ascii="仿宋_GB2312" w:eastAsia="仿宋_GB2312"/>
          <w:sz w:val="32"/>
          <w:szCs w:val="32"/>
          <w:lang w:val="zh-CN"/>
        </w:rPr>
        <w:t>（一）项目完成情况。</w:t>
      </w:r>
      <w:r>
        <w:rPr>
          <w:rFonts w:hint="eastAsia" w:ascii="仿宋_GB2312" w:eastAsia="仿宋_GB2312"/>
          <w:bCs/>
          <w:sz w:val="32"/>
          <w:szCs w:val="32"/>
        </w:rPr>
        <w:t>本项目严格按照绩效目标，结合跨年度实际，有质有序推进运维工作，在预算范围内完成全年目标任务（含2019年度结转资金、2020年度当年应执行资金绩效目标）。一是做好团队建设。组织四川新闻网精干力量成立运维服务团队，常设项目负责人1人，内容编辑4人，技术运维1人，并根据工作需要配齐配强专业队伍。二是做好内容建设。内外网站编发各类稿件12820条，开设专题专栏9个；微信公众号发布推送256期，编发各类稿件6511条；制作原创作品24个；开展宣传活动7次。三是做好后台运维。完善学习组织架构、优化报送统计功能，为中心组学习管理提供大数据服务，全省累计注册账户5万余个，全年上传信息材料4.7万余条。四是做好技术保障。完成服务器、带宽、MSTP专线等网络服务租赁，常态化开展监控维护、优化升级、巡查检修、技术指导，实行7x24小时应急响应，保障内外网站、学习管理后台、微信公众号、可视化中心各系统安全高效运行。五是做好配套管理。及时形成全（半）年工作总结计划，建立健全各季度运维台帐，严格项目资金监管和验收报销，确保预算执行合法合规</w:t>
      </w:r>
      <w:r>
        <w:rPr>
          <w:rFonts w:hint="eastAsia" w:ascii="仿宋_GB2312" w:eastAsia="仿宋_GB2312"/>
          <w:bCs/>
          <w:sz w:val="32"/>
          <w:szCs w:val="32"/>
          <w:lang w:val="zh-CN"/>
        </w:rPr>
        <w:t>。</w:t>
      </w:r>
    </w:p>
    <w:p>
      <w:pPr>
        <w:overflowPunct w:val="0"/>
        <w:adjustRightInd w:val="0"/>
        <w:snapToGrid w:val="0"/>
        <w:spacing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（二）项目效益情况。</w:t>
      </w:r>
      <w:r>
        <w:rPr>
          <w:rFonts w:hint="eastAsia" w:ascii="仿宋_GB2312" w:eastAsia="仿宋_GB2312"/>
          <w:bCs/>
          <w:sz w:val="32"/>
          <w:szCs w:val="32"/>
        </w:rPr>
        <w:t>一是创新学习形式。通过编发多样化权威学习资源，学习宣传贯彻习近平新时代中国特色社会主义思想和中央、省委决策部署，推出的“《习近平谈治国理政》第三卷”“夺取疫情防控和经济社会发展双胜利”“唱好双城记建好经济圈”“决战决胜脱贫攻坚”等专题专栏广受好评。二是提升综合效能。建立起覆盖全省各级中心组的学习组织架构，大力打造集理论学习、宣传交流、数据管理为一体的综合性服务平台，持续提升我省中心组学习管理信息化科学化水平。三是发挥辐射作用。利用新媒体平台和新技术手段，线上与线下结合，推动理论学习向普通党员群众辐射，策划</w:t>
      </w:r>
      <w:r>
        <w:rPr>
          <w:rFonts w:hint="eastAsia" w:ascii="仿宋_GB2312" w:eastAsia="仿宋_GB2312"/>
          <w:bCs/>
          <w:snapToGrid w:val="0"/>
          <w:sz w:val="32"/>
          <w:szCs w:val="32"/>
        </w:rPr>
        <w:t>开展的“我为祖国加把力”“庆祝中国共产党成立99周年”“点赞新时代 我们都是追梦人”“金融知识我来答”“学习贯彻十九届五中全会精神”等宣传活动反响强烈</w:t>
      </w:r>
      <w:r>
        <w:rPr>
          <w:rFonts w:hint="eastAsia" w:ascii="仿宋_GB2312" w:eastAsia="仿宋_GB2312"/>
          <w:bCs/>
          <w:sz w:val="32"/>
          <w:szCs w:val="32"/>
          <w:lang w:val="zh-CN"/>
        </w:rPr>
        <w:t>。</w:t>
      </w:r>
    </w:p>
    <w:p>
      <w:pPr>
        <w:overflowPunct w:val="0"/>
        <w:adjustRightInd w:val="0"/>
        <w:snapToGrid w:val="0"/>
        <w:spacing w:line="600" w:lineRule="exact"/>
        <w:ind w:firstLine="720"/>
        <w:rPr>
          <w:rFonts w:ascii="仿宋_GB2312" w:eastAsia="仿宋_GB2312"/>
          <w:sz w:val="32"/>
          <w:szCs w:val="32"/>
        </w:rPr>
      </w:pPr>
      <w:r>
        <w:rPr>
          <w:rFonts w:hint="eastAsia" w:ascii="仿宋_GB2312" w:eastAsia="仿宋_GB2312"/>
          <w:sz w:val="32"/>
          <w:szCs w:val="32"/>
        </w:rPr>
        <w:t>四、问题及建议</w:t>
      </w:r>
    </w:p>
    <w:p>
      <w:pPr>
        <w:overflowPunct w:val="0"/>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lang w:val="zh-CN"/>
        </w:rPr>
        <w:t>（一）存在的问题。</w:t>
      </w:r>
      <w:r>
        <w:rPr>
          <w:rFonts w:hint="eastAsia" w:ascii="仿宋_GB2312" w:eastAsia="仿宋_GB2312"/>
          <w:sz w:val="32"/>
          <w:szCs w:val="32"/>
        </w:rPr>
        <w:t>本项目系跨年度项目，项目年和自然年存在较大差异，在预算周期、资金执行、目标完成等方面，与现行绩效申报考评体系不能完全匹配，导致本项目各方面执行虽合法合规，但可能被误判为存在风险。</w:t>
      </w:r>
    </w:p>
    <w:p>
      <w:pPr>
        <w:overflowPunct w:val="0"/>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lang w:val="zh-CN"/>
        </w:rPr>
        <w:t>（二）相关建议。建议</w:t>
      </w:r>
      <w:r>
        <w:rPr>
          <w:rFonts w:hint="eastAsia" w:ascii="仿宋_GB2312" w:eastAsia="仿宋_GB2312"/>
          <w:sz w:val="32"/>
          <w:szCs w:val="32"/>
        </w:rPr>
        <w:t>针对跨年度项目实际，完善绩效申报考评体系</w:t>
      </w:r>
      <w:r>
        <w:rPr>
          <w:rFonts w:hint="eastAsia" w:ascii="仿宋_GB2312" w:eastAsia="仿宋_GB2312"/>
          <w:sz w:val="32"/>
          <w:szCs w:val="32"/>
          <w:lang w:val="zh-CN"/>
        </w:rPr>
        <w:t>。</w:t>
      </w:r>
    </w:p>
    <w:p>
      <w:pPr>
        <w:adjustRightInd w:val="0"/>
        <w:snapToGrid w:val="0"/>
        <w:spacing w:line="600" w:lineRule="exact"/>
        <w:ind w:firstLine="640" w:firstLineChars="200"/>
        <w:rPr>
          <w:rFonts w:ascii="仿宋_GB2312" w:hAnsi="仿宋_GB2312" w:eastAsia="仿宋_GB2312" w:cs="仿宋_GB2312"/>
          <w:color w:val="FF0000"/>
          <w:sz w:val="32"/>
          <w:szCs w:val="32"/>
        </w:rPr>
      </w:pPr>
    </w:p>
    <w:p>
      <w:pPr>
        <w:pStyle w:val="2"/>
        <w:spacing w:before="93"/>
      </w:pPr>
    </w:p>
    <w:p>
      <w:pPr>
        <w:pStyle w:val="2"/>
        <w:spacing w:before="93"/>
      </w:pPr>
    </w:p>
    <w:p>
      <w:pPr>
        <w:spacing w:line="600" w:lineRule="exact"/>
        <w:jc w:val="center"/>
        <w:outlineLvl w:val="0"/>
        <w:rPr>
          <w:rFonts w:ascii="仿宋_GB2312" w:hAnsi="仿宋" w:eastAsia="仿宋_GB2312"/>
          <w:color w:val="000000"/>
        </w:rPr>
      </w:pPr>
      <w:bookmarkStart w:id="53" w:name="_Toc15396618"/>
      <w:r>
        <w:rPr>
          <w:rFonts w:hint="eastAsia" w:ascii="仿宋_GB2312" w:hAnsi="黑体" w:eastAsia="仿宋_GB2312"/>
          <w:color w:val="000000"/>
          <w:sz w:val="44"/>
          <w:szCs w:val="44"/>
        </w:rPr>
        <w:t>第</w:t>
      </w:r>
      <w:r>
        <w:rPr>
          <w:rStyle w:val="25"/>
          <w:rFonts w:hint="eastAsia" w:ascii="仿宋_GB2312" w:hAnsi="黑体" w:eastAsia="仿宋_GB2312"/>
          <w:b w:val="0"/>
        </w:rPr>
        <w:t>五部分 附表</w:t>
      </w:r>
      <w:bookmarkEnd w:id="51"/>
      <w:bookmarkEnd w:id="53"/>
      <w:bookmarkStart w:id="54" w:name="_Toc15396619"/>
    </w:p>
    <w:p>
      <w:pPr>
        <w:pStyle w:val="4"/>
        <w:rPr>
          <w:rFonts w:ascii="仿宋_GB2312" w:hAnsi="仿宋" w:eastAsia="仿宋_GB2312"/>
          <w:color w:val="000000"/>
        </w:rPr>
      </w:pPr>
      <w:r>
        <w:rPr>
          <w:rFonts w:hint="eastAsia" w:ascii="仿宋_GB2312" w:hAnsi="仿宋" w:eastAsia="仿宋_GB2312"/>
          <w:b w:val="0"/>
          <w:color w:val="000000"/>
        </w:rPr>
        <w:t>一、收</w:t>
      </w:r>
      <w:r>
        <w:rPr>
          <w:rStyle w:val="26"/>
          <w:rFonts w:hint="eastAsia" w:ascii="仿宋_GB2312" w:hAnsi="仿宋" w:eastAsia="仿宋_GB2312"/>
          <w:b w:val="0"/>
          <w:bCs w:val="0"/>
        </w:rPr>
        <w:t>入支出决算总表</w:t>
      </w:r>
      <w:bookmarkEnd w:id="54"/>
    </w:p>
    <w:p>
      <w:pPr>
        <w:pStyle w:val="4"/>
        <w:rPr>
          <w:rFonts w:ascii="仿宋_GB2312" w:hAnsi="仿宋" w:eastAsia="仿宋_GB2312"/>
          <w:color w:val="000000"/>
        </w:rPr>
      </w:pPr>
      <w:bookmarkStart w:id="55" w:name="_Toc15396620"/>
      <w:r>
        <w:rPr>
          <w:rFonts w:hint="eastAsia" w:ascii="仿宋_GB2312" w:hAnsi="仿宋" w:eastAsia="仿宋_GB2312"/>
          <w:b w:val="0"/>
          <w:color w:val="000000"/>
        </w:rPr>
        <w:t>二、收</w:t>
      </w:r>
      <w:r>
        <w:rPr>
          <w:rStyle w:val="26"/>
          <w:rFonts w:hint="eastAsia" w:ascii="仿宋_GB2312" w:hAnsi="仿宋" w:eastAsia="仿宋_GB2312"/>
          <w:b w:val="0"/>
          <w:bCs w:val="0"/>
        </w:rPr>
        <w:t>入决算表</w:t>
      </w:r>
      <w:bookmarkEnd w:id="55"/>
    </w:p>
    <w:p>
      <w:pPr>
        <w:pStyle w:val="4"/>
        <w:rPr>
          <w:rFonts w:ascii="仿宋_GB2312" w:hAnsi="仿宋" w:eastAsia="仿宋_GB2312"/>
          <w:color w:val="000000"/>
        </w:rPr>
      </w:pPr>
      <w:bookmarkStart w:id="56" w:name="_Toc15396621"/>
      <w:r>
        <w:rPr>
          <w:rStyle w:val="26"/>
          <w:rFonts w:hint="eastAsia" w:ascii="仿宋_GB2312" w:hAnsi="仿宋" w:eastAsia="仿宋_GB2312"/>
          <w:b w:val="0"/>
          <w:bCs w:val="0"/>
        </w:rPr>
        <w:t>三、</w:t>
      </w:r>
      <w:r>
        <w:rPr>
          <w:rFonts w:hint="eastAsia" w:ascii="仿宋_GB2312" w:hAnsi="仿宋" w:eastAsia="仿宋_GB2312"/>
          <w:b w:val="0"/>
          <w:color w:val="000000"/>
        </w:rPr>
        <w:t>支</w:t>
      </w:r>
      <w:r>
        <w:rPr>
          <w:rStyle w:val="26"/>
          <w:rFonts w:hint="eastAsia" w:ascii="仿宋_GB2312" w:hAnsi="仿宋" w:eastAsia="仿宋_GB2312"/>
          <w:b w:val="0"/>
          <w:bCs w:val="0"/>
        </w:rPr>
        <w:t>出决算表</w:t>
      </w:r>
      <w:bookmarkEnd w:id="56"/>
    </w:p>
    <w:p>
      <w:pPr>
        <w:pStyle w:val="4"/>
        <w:rPr>
          <w:rFonts w:ascii="仿宋_GB2312" w:hAnsi="仿宋" w:eastAsia="仿宋_GB2312"/>
          <w:b w:val="0"/>
          <w:color w:val="000000"/>
        </w:rPr>
      </w:pPr>
      <w:bookmarkStart w:id="57" w:name="_Toc15396622"/>
      <w:r>
        <w:rPr>
          <w:rStyle w:val="26"/>
          <w:rFonts w:hint="eastAsia" w:ascii="仿宋_GB2312" w:hAnsi="仿宋" w:eastAsia="仿宋_GB2312"/>
          <w:b w:val="0"/>
          <w:bCs w:val="0"/>
        </w:rPr>
        <w:t>四、</w:t>
      </w:r>
      <w:r>
        <w:rPr>
          <w:rFonts w:hint="eastAsia" w:ascii="仿宋_GB2312" w:hAnsi="仿宋" w:eastAsia="仿宋_GB2312"/>
          <w:b w:val="0"/>
          <w:color w:val="000000"/>
        </w:rPr>
        <w:t>财</w:t>
      </w:r>
      <w:r>
        <w:rPr>
          <w:rStyle w:val="26"/>
          <w:rFonts w:hint="eastAsia" w:ascii="仿宋_GB2312" w:hAnsi="仿宋" w:eastAsia="仿宋_GB2312"/>
          <w:b w:val="0"/>
          <w:bCs w:val="0"/>
        </w:rPr>
        <w:t>政拨款收入支出决算总表</w:t>
      </w:r>
      <w:bookmarkEnd w:id="57"/>
    </w:p>
    <w:p>
      <w:pPr>
        <w:pStyle w:val="4"/>
        <w:rPr>
          <w:rStyle w:val="26"/>
          <w:rFonts w:ascii="仿宋_GB2312" w:hAnsi="仿宋" w:eastAsia="仿宋_GB2312"/>
          <w:b w:val="0"/>
          <w:bCs w:val="0"/>
        </w:rPr>
      </w:pPr>
      <w:bookmarkStart w:id="58" w:name="_Toc15396623"/>
      <w:r>
        <w:rPr>
          <w:rStyle w:val="26"/>
          <w:rFonts w:hint="eastAsia" w:ascii="仿宋_GB2312" w:hAnsi="仿宋" w:eastAsia="仿宋_GB2312"/>
          <w:b w:val="0"/>
          <w:bCs w:val="0"/>
        </w:rPr>
        <w:t>五、</w:t>
      </w:r>
      <w:r>
        <w:rPr>
          <w:rFonts w:hint="eastAsia" w:ascii="仿宋_GB2312" w:hAnsi="仿宋" w:eastAsia="仿宋_GB2312"/>
          <w:b w:val="0"/>
          <w:color w:val="000000"/>
        </w:rPr>
        <w:t>财</w:t>
      </w:r>
      <w:r>
        <w:rPr>
          <w:rStyle w:val="26"/>
          <w:rFonts w:hint="eastAsia" w:ascii="仿宋_GB2312" w:hAnsi="仿宋" w:eastAsia="仿宋_GB2312"/>
          <w:b w:val="0"/>
          <w:bCs w:val="0"/>
        </w:rPr>
        <w:t>政拨款支出决算明细表</w:t>
      </w:r>
      <w:bookmarkEnd w:id="58"/>
      <w:bookmarkStart w:id="59" w:name="_Toc15396624"/>
    </w:p>
    <w:p>
      <w:pPr>
        <w:pStyle w:val="4"/>
        <w:rPr>
          <w:rFonts w:ascii="仿宋_GB2312" w:hAnsi="仿宋" w:eastAsia="仿宋_GB2312"/>
          <w:color w:val="000000"/>
        </w:rPr>
      </w:pPr>
      <w:r>
        <w:rPr>
          <w:rStyle w:val="26"/>
          <w:rFonts w:hint="eastAsia" w:ascii="仿宋_GB2312" w:hAnsi="仿宋" w:eastAsia="仿宋_GB2312"/>
          <w:b w:val="0"/>
          <w:bCs w:val="0"/>
        </w:rPr>
        <w:t>六、</w:t>
      </w:r>
      <w:r>
        <w:rPr>
          <w:rFonts w:hint="eastAsia" w:ascii="仿宋_GB2312" w:hAnsi="仿宋" w:eastAsia="仿宋_GB2312"/>
          <w:b w:val="0"/>
          <w:color w:val="000000"/>
        </w:rPr>
        <w:t>一</w:t>
      </w:r>
      <w:r>
        <w:rPr>
          <w:rStyle w:val="26"/>
          <w:rFonts w:hint="eastAsia" w:ascii="仿宋_GB2312" w:hAnsi="仿宋" w:eastAsia="仿宋_GB2312"/>
          <w:b w:val="0"/>
          <w:bCs w:val="0"/>
        </w:rPr>
        <w:t>般公共预算财政拨款支出决算表</w:t>
      </w:r>
      <w:bookmarkEnd w:id="59"/>
    </w:p>
    <w:p>
      <w:pPr>
        <w:pStyle w:val="4"/>
        <w:rPr>
          <w:rFonts w:ascii="仿宋_GB2312" w:hAnsi="仿宋" w:eastAsia="仿宋_GB2312"/>
          <w:color w:val="000000"/>
        </w:rPr>
      </w:pPr>
      <w:bookmarkStart w:id="60" w:name="_Toc15396625"/>
      <w:r>
        <w:rPr>
          <w:rStyle w:val="26"/>
          <w:rFonts w:hint="eastAsia" w:ascii="仿宋_GB2312" w:hAnsi="仿宋" w:eastAsia="仿宋_GB2312"/>
          <w:b w:val="0"/>
          <w:bCs w:val="0"/>
        </w:rPr>
        <w:t>七、</w:t>
      </w:r>
      <w:r>
        <w:rPr>
          <w:rFonts w:hint="eastAsia" w:ascii="仿宋_GB2312" w:hAnsi="仿宋" w:eastAsia="仿宋_GB2312"/>
          <w:b w:val="0"/>
          <w:color w:val="000000"/>
        </w:rPr>
        <w:t>一</w:t>
      </w:r>
      <w:r>
        <w:rPr>
          <w:rStyle w:val="26"/>
          <w:rFonts w:hint="eastAsia" w:ascii="仿宋_GB2312" w:hAnsi="仿宋" w:eastAsia="仿宋_GB2312"/>
          <w:b w:val="0"/>
          <w:bCs w:val="0"/>
        </w:rPr>
        <w:t>般公共预算财政拨款支出决算明细表</w:t>
      </w:r>
      <w:bookmarkEnd w:id="60"/>
    </w:p>
    <w:p>
      <w:pPr>
        <w:pStyle w:val="4"/>
        <w:rPr>
          <w:rFonts w:ascii="仿宋_GB2312" w:hAnsi="仿宋" w:eastAsia="仿宋_GB2312"/>
          <w:color w:val="000000"/>
        </w:rPr>
      </w:pPr>
      <w:bookmarkStart w:id="61" w:name="_Toc15396626"/>
      <w:r>
        <w:rPr>
          <w:rStyle w:val="26"/>
          <w:rFonts w:hint="eastAsia" w:ascii="仿宋_GB2312" w:hAnsi="仿宋" w:eastAsia="仿宋_GB2312"/>
          <w:b w:val="0"/>
          <w:bCs w:val="0"/>
        </w:rPr>
        <w:t>八、</w:t>
      </w:r>
      <w:r>
        <w:rPr>
          <w:rFonts w:hint="eastAsia" w:ascii="仿宋_GB2312" w:hAnsi="仿宋" w:eastAsia="仿宋_GB2312"/>
          <w:b w:val="0"/>
          <w:color w:val="000000"/>
        </w:rPr>
        <w:t>一</w:t>
      </w:r>
      <w:r>
        <w:rPr>
          <w:rStyle w:val="26"/>
          <w:rFonts w:hint="eastAsia" w:ascii="仿宋_GB2312" w:hAnsi="仿宋" w:eastAsia="仿宋_GB2312"/>
          <w:b w:val="0"/>
          <w:bCs w:val="0"/>
        </w:rPr>
        <w:t>般公共预算财政拨款基本支出决算表</w:t>
      </w:r>
      <w:bookmarkEnd w:id="61"/>
    </w:p>
    <w:p>
      <w:pPr>
        <w:pStyle w:val="4"/>
        <w:rPr>
          <w:rFonts w:ascii="仿宋_GB2312" w:hAnsi="仿宋" w:eastAsia="仿宋_GB2312"/>
          <w:color w:val="000000"/>
        </w:rPr>
      </w:pPr>
      <w:bookmarkStart w:id="62" w:name="_Toc15396627"/>
      <w:r>
        <w:rPr>
          <w:rStyle w:val="26"/>
          <w:rFonts w:hint="eastAsia" w:ascii="仿宋_GB2312" w:hAnsi="仿宋" w:eastAsia="仿宋_GB2312"/>
          <w:b w:val="0"/>
          <w:bCs w:val="0"/>
        </w:rPr>
        <w:t>九、</w:t>
      </w:r>
      <w:r>
        <w:rPr>
          <w:rFonts w:hint="eastAsia" w:ascii="仿宋_GB2312" w:hAnsi="仿宋" w:eastAsia="仿宋_GB2312"/>
          <w:b w:val="0"/>
          <w:color w:val="000000"/>
        </w:rPr>
        <w:t>一</w:t>
      </w:r>
      <w:r>
        <w:rPr>
          <w:rStyle w:val="26"/>
          <w:rFonts w:hint="eastAsia" w:ascii="仿宋_GB2312" w:hAnsi="仿宋" w:eastAsia="仿宋_GB2312"/>
          <w:b w:val="0"/>
          <w:bCs w:val="0"/>
        </w:rPr>
        <w:t>般公共预算财政拨款项目支出决算表</w:t>
      </w:r>
      <w:bookmarkEnd w:id="62"/>
    </w:p>
    <w:p>
      <w:pPr>
        <w:pStyle w:val="4"/>
        <w:rPr>
          <w:rFonts w:ascii="仿宋_GB2312" w:hAnsi="仿宋" w:eastAsia="仿宋_GB2312"/>
          <w:color w:val="000000"/>
        </w:rPr>
      </w:pPr>
      <w:bookmarkStart w:id="63" w:name="_Toc15396628"/>
      <w:r>
        <w:rPr>
          <w:rStyle w:val="26"/>
          <w:rFonts w:hint="eastAsia" w:ascii="仿宋_GB2312" w:hAnsi="仿宋" w:eastAsia="仿宋_GB2312"/>
          <w:b w:val="0"/>
          <w:bCs w:val="0"/>
        </w:rPr>
        <w:t>十、</w:t>
      </w:r>
      <w:r>
        <w:rPr>
          <w:rFonts w:hint="eastAsia" w:ascii="仿宋_GB2312" w:hAnsi="仿宋" w:eastAsia="仿宋_GB2312"/>
          <w:b w:val="0"/>
          <w:color w:val="000000"/>
        </w:rPr>
        <w:t>一</w:t>
      </w:r>
      <w:r>
        <w:rPr>
          <w:rStyle w:val="26"/>
          <w:rFonts w:hint="eastAsia" w:ascii="仿宋_GB2312" w:hAnsi="仿宋" w:eastAsia="仿宋_GB2312"/>
          <w:b w:val="0"/>
          <w:bCs w:val="0"/>
        </w:rPr>
        <w:t>般公共预算财政拨款“三公”经费支出决算表</w:t>
      </w:r>
      <w:bookmarkEnd w:id="63"/>
    </w:p>
    <w:p>
      <w:pPr>
        <w:pStyle w:val="4"/>
        <w:rPr>
          <w:rFonts w:ascii="仿宋_GB2312" w:hAnsi="仿宋" w:eastAsia="仿宋_GB2312"/>
          <w:color w:val="000000"/>
        </w:rPr>
      </w:pPr>
      <w:bookmarkStart w:id="64" w:name="_Toc15396629"/>
      <w:r>
        <w:rPr>
          <w:rStyle w:val="26"/>
          <w:rFonts w:hint="eastAsia" w:ascii="仿宋_GB2312" w:hAnsi="仿宋" w:eastAsia="仿宋_GB2312"/>
          <w:b w:val="0"/>
          <w:bCs w:val="0"/>
        </w:rPr>
        <w:t>十一、</w:t>
      </w:r>
      <w:r>
        <w:rPr>
          <w:rFonts w:hint="eastAsia" w:ascii="仿宋_GB2312" w:hAnsi="仿宋" w:eastAsia="仿宋_GB2312"/>
          <w:b w:val="0"/>
          <w:color w:val="000000"/>
        </w:rPr>
        <w:t>政</w:t>
      </w:r>
      <w:r>
        <w:rPr>
          <w:rStyle w:val="26"/>
          <w:rFonts w:hint="eastAsia" w:ascii="仿宋_GB2312" w:hAnsi="仿宋" w:eastAsia="仿宋_GB2312"/>
          <w:b w:val="0"/>
          <w:bCs w:val="0"/>
        </w:rPr>
        <w:t>府性基金预算财政拨款收入支出决算表</w:t>
      </w:r>
      <w:bookmarkEnd w:id="64"/>
    </w:p>
    <w:p>
      <w:pPr>
        <w:pStyle w:val="4"/>
        <w:rPr>
          <w:rFonts w:ascii="仿宋_GB2312" w:hAnsi="仿宋" w:eastAsia="仿宋_GB2312"/>
          <w:color w:val="000000"/>
        </w:rPr>
      </w:pPr>
      <w:bookmarkStart w:id="65" w:name="_Toc15396630"/>
      <w:r>
        <w:rPr>
          <w:rStyle w:val="26"/>
          <w:rFonts w:hint="eastAsia" w:ascii="仿宋_GB2312" w:hAnsi="仿宋" w:eastAsia="仿宋_GB2312"/>
          <w:b w:val="0"/>
          <w:bCs w:val="0"/>
        </w:rPr>
        <w:t>十二、</w:t>
      </w:r>
      <w:r>
        <w:rPr>
          <w:rFonts w:hint="eastAsia" w:ascii="仿宋_GB2312" w:hAnsi="仿宋" w:eastAsia="仿宋_GB2312"/>
          <w:b w:val="0"/>
          <w:color w:val="000000"/>
        </w:rPr>
        <w:t>政</w:t>
      </w:r>
      <w:r>
        <w:rPr>
          <w:rStyle w:val="26"/>
          <w:rFonts w:hint="eastAsia" w:ascii="仿宋_GB2312" w:hAnsi="仿宋" w:eastAsia="仿宋_GB2312"/>
          <w:b w:val="0"/>
          <w:bCs w:val="0"/>
        </w:rPr>
        <w:t>府性基金预算财政拨款“三公”经费支出决算表</w:t>
      </w:r>
      <w:bookmarkEnd w:id="65"/>
    </w:p>
    <w:p>
      <w:pPr>
        <w:pStyle w:val="4"/>
        <w:rPr>
          <w:rStyle w:val="26"/>
          <w:rFonts w:ascii="仿宋_GB2312" w:hAnsi="仿宋" w:eastAsia="仿宋_GB2312"/>
          <w:b w:val="0"/>
          <w:bCs w:val="0"/>
        </w:rPr>
      </w:pPr>
      <w:bookmarkStart w:id="66" w:name="_Toc15396631"/>
      <w:r>
        <w:rPr>
          <w:rStyle w:val="26"/>
          <w:rFonts w:hint="eastAsia" w:ascii="仿宋_GB2312" w:hAnsi="仿宋" w:eastAsia="仿宋_GB2312"/>
          <w:b w:val="0"/>
          <w:bCs w:val="0"/>
        </w:rPr>
        <w:t>十三、</w:t>
      </w:r>
      <w:r>
        <w:rPr>
          <w:rFonts w:hint="eastAsia" w:ascii="仿宋_GB2312" w:hAnsi="仿宋" w:eastAsia="仿宋_GB2312"/>
          <w:b w:val="0"/>
          <w:color w:val="000000"/>
        </w:rPr>
        <w:t>国</w:t>
      </w:r>
      <w:r>
        <w:rPr>
          <w:rStyle w:val="26"/>
          <w:rFonts w:hint="eastAsia" w:ascii="仿宋_GB2312" w:hAnsi="仿宋" w:eastAsia="仿宋_GB2312"/>
          <w:b w:val="0"/>
          <w:bCs w:val="0"/>
        </w:rPr>
        <w:t>有资本经营预算财政拨款收入支出决算表</w:t>
      </w:r>
      <w:bookmarkEnd w:id="66"/>
    </w:p>
    <w:p>
      <w:pPr>
        <w:rPr>
          <w:rFonts w:ascii="仿宋_GB2312" w:eastAsia="仿宋_GB2312"/>
        </w:rPr>
      </w:pPr>
      <w:r>
        <w:rPr>
          <w:rStyle w:val="26"/>
          <w:rFonts w:hint="eastAsia" w:ascii="仿宋_GB2312" w:hAnsi="仿宋" w:eastAsia="仿宋_GB2312"/>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楷体GB2312">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5</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86338"/>
    <w:multiLevelType w:val="singleLevel"/>
    <w:tmpl w:val="9C386338"/>
    <w:lvl w:ilvl="0" w:tentative="0">
      <w:start w:val="1"/>
      <w:numFmt w:val="decimal"/>
      <w:lvlText w:val="%1."/>
      <w:lvlJc w:val="left"/>
      <w:pPr>
        <w:tabs>
          <w:tab w:val="left" w:pos="312"/>
        </w:tabs>
      </w:pPr>
    </w:lvl>
  </w:abstractNum>
  <w:abstractNum w:abstractNumId="1">
    <w:nsid w:val="C64D797F"/>
    <w:multiLevelType w:val="singleLevel"/>
    <w:tmpl w:val="C64D797F"/>
    <w:lvl w:ilvl="0" w:tentative="0">
      <w:start w:val="1"/>
      <w:numFmt w:val="chineseCounting"/>
      <w:suff w:val="nothing"/>
      <w:lvlText w:val="%1、"/>
      <w:lvlJc w:val="left"/>
      <w:rPr>
        <w:rFonts w:hint="eastAsia"/>
      </w:r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4">
    <w:nsid w:val="F0F12664"/>
    <w:multiLevelType w:val="singleLevel"/>
    <w:tmpl w:val="F0F12664"/>
    <w:lvl w:ilvl="0" w:tentative="0">
      <w:start w:val="1"/>
      <w:numFmt w:val="decimal"/>
      <w:lvlText w:val="%1."/>
      <w:lvlJc w:val="left"/>
      <w:pPr>
        <w:tabs>
          <w:tab w:val="left" w:pos="312"/>
        </w:tabs>
      </w:pPr>
      <w:rPr>
        <w:color w:val="000000" w:themeColor="text1"/>
        <w14:textFill>
          <w14:solidFill>
            <w14:schemeClr w14:val="tx1"/>
          </w14:solidFill>
        </w14:textFill>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61C"/>
    <w:rsid w:val="00007B56"/>
    <w:rsid w:val="000222C6"/>
    <w:rsid w:val="0002549F"/>
    <w:rsid w:val="000468DB"/>
    <w:rsid w:val="0006487A"/>
    <w:rsid w:val="00065F8F"/>
    <w:rsid w:val="000668FA"/>
    <w:rsid w:val="00070A43"/>
    <w:rsid w:val="000768F2"/>
    <w:rsid w:val="00081631"/>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4D8E"/>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43F55"/>
    <w:rsid w:val="0036561B"/>
    <w:rsid w:val="0037013F"/>
    <w:rsid w:val="0037397D"/>
    <w:rsid w:val="00373BA8"/>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60CDF"/>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38FA"/>
    <w:rsid w:val="005D468D"/>
    <w:rsid w:val="005D5CED"/>
    <w:rsid w:val="005E13C8"/>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44ED2"/>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1FF8"/>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10B7"/>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4559"/>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47504"/>
    <w:rsid w:val="00B53C56"/>
    <w:rsid w:val="00B57DAF"/>
    <w:rsid w:val="00B77EA6"/>
    <w:rsid w:val="00B81598"/>
    <w:rsid w:val="00B841F1"/>
    <w:rsid w:val="00B84902"/>
    <w:rsid w:val="00B944D6"/>
    <w:rsid w:val="00BB4DF0"/>
    <w:rsid w:val="00BC289F"/>
    <w:rsid w:val="00BC2D50"/>
    <w:rsid w:val="00BC5361"/>
    <w:rsid w:val="00BC5460"/>
    <w:rsid w:val="00BC6B50"/>
    <w:rsid w:val="00BD0E25"/>
    <w:rsid w:val="00BF5BD6"/>
    <w:rsid w:val="00C03E31"/>
    <w:rsid w:val="00C33E72"/>
    <w:rsid w:val="00C354B2"/>
    <w:rsid w:val="00C35554"/>
    <w:rsid w:val="00C41C1A"/>
    <w:rsid w:val="00C42709"/>
    <w:rsid w:val="00C533CC"/>
    <w:rsid w:val="00C5751C"/>
    <w:rsid w:val="00C61BFC"/>
    <w:rsid w:val="00C62B85"/>
    <w:rsid w:val="00C65438"/>
    <w:rsid w:val="00C87FD8"/>
    <w:rsid w:val="00C91381"/>
    <w:rsid w:val="00C91CBB"/>
    <w:rsid w:val="00CB4E70"/>
    <w:rsid w:val="00CB7B58"/>
    <w:rsid w:val="00CC09B6"/>
    <w:rsid w:val="00CC666F"/>
    <w:rsid w:val="00CD00C4"/>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E69FC"/>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B5671"/>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0CF"/>
    <w:rsid w:val="00F36D8F"/>
    <w:rsid w:val="00F417B1"/>
    <w:rsid w:val="00F45853"/>
    <w:rsid w:val="00F602DF"/>
    <w:rsid w:val="00F754A1"/>
    <w:rsid w:val="00F81FD9"/>
    <w:rsid w:val="00F841AA"/>
    <w:rsid w:val="00F84A94"/>
    <w:rsid w:val="00F87E96"/>
    <w:rsid w:val="00FA23E8"/>
    <w:rsid w:val="00FD3CC1"/>
    <w:rsid w:val="00FF1E02"/>
    <w:rsid w:val="00FF30B4"/>
    <w:rsid w:val="046C3575"/>
    <w:rsid w:val="0A2032A3"/>
    <w:rsid w:val="0A6D1A3A"/>
    <w:rsid w:val="0F2E198A"/>
    <w:rsid w:val="10C055FF"/>
    <w:rsid w:val="118107EC"/>
    <w:rsid w:val="143550CF"/>
    <w:rsid w:val="149F3A36"/>
    <w:rsid w:val="16AC4188"/>
    <w:rsid w:val="16BB723D"/>
    <w:rsid w:val="18015F3F"/>
    <w:rsid w:val="1BE8440E"/>
    <w:rsid w:val="1CF4664C"/>
    <w:rsid w:val="1D155CEE"/>
    <w:rsid w:val="1DFA4E90"/>
    <w:rsid w:val="1E261CA5"/>
    <w:rsid w:val="1EE1041E"/>
    <w:rsid w:val="1EFA3BBB"/>
    <w:rsid w:val="20F57F95"/>
    <w:rsid w:val="240371BF"/>
    <w:rsid w:val="252F7CDC"/>
    <w:rsid w:val="25950F37"/>
    <w:rsid w:val="29FD04D3"/>
    <w:rsid w:val="2ABE7A3E"/>
    <w:rsid w:val="2B6B43CD"/>
    <w:rsid w:val="2DEC6251"/>
    <w:rsid w:val="2E1703B1"/>
    <w:rsid w:val="319F7F4E"/>
    <w:rsid w:val="31BB5E15"/>
    <w:rsid w:val="37473A58"/>
    <w:rsid w:val="3983133B"/>
    <w:rsid w:val="3C0C0783"/>
    <w:rsid w:val="400A3133"/>
    <w:rsid w:val="41D81180"/>
    <w:rsid w:val="44F312E7"/>
    <w:rsid w:val="47A42658"/>
    <w:rsid w:val="496F39ED"/>
    <w:rsid w:val="499C34D6"/>
    <w:rsid w:val="4B8F7776"/>
    <w:rsid w:val="4BE068DB"/>
    <w:rsid w:val="4BF6002B"/>
    <w:rsid w:val="4ECE2238"/>
    <w:rsid w:val="50B857F4"/>
    <w:rsid w:val="516B179B"/>
    <w:rsid w:val="522A57BD"/>
    <w:rsid w:val="52F73C01"/>
    <w:rsid w:val="5FF724FD"/>
    <w:rsid w:val="61D052C2"/>
    <w:rsid w:val="64CA39A1"/>
    <w:rsid w:val="661C07B5"/>
    <w:rsid w:val="6B185CBC"/>
    <w:rsid w:val="6C4A05C8"/>
    <w:rsid w:val="6E206B9A"/>
    <w:rsid w:val="70FD5977"/>
    <w:rsid w:val="72734D90"/>
    <w:rsid w:val="74A15C51"/>
    <w:rsid w:val="7862272A"/>
    <w:rsid w:val="7A6454F4"/>
    <w:rsid w:val="7DB45BD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semiHidden/>
    <w:qFormat/>
    <w:uiPriority w:val="0"/>
    <w:pPr>
      <w:widowControl/>
      <w:spacing w:before="100" w:beforeAutospacing="1" w:after="100" w:afterAutospacing="1"/>
      <w:jc w:val="left"/>
    </w:pPr>
    <w:rPr>
      <w:rFonts w:hint="eastAsia" w:ascii="宋体" w:hAnsi="宋体"/>
      <w:kern w:val="0"/>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字符"/>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字符"/>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字符"/>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字符"/>
    <w:basedOn w:val="14"/>
    <w:link w:val="3"/>
    <w:qFormat/>
    <w:uiPriority w:val="9"/>
    <w:rPr>
      <w:rFonts w:ascii="Times New Roman" w:hAnsi="Times New Roman"/>
      <w:b/>
      <w:bCs/>
      <w:kern w:val="44"/>
      <w:sz w:val="44"/>
      <w:szCs w:val="44"/>
    </w:rPr>
  </w:style>
  <w:style w:type="character" w:customStyle="1" w:styleId="26">
    <w:name w:val="标题 2 字符"/>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字符"/>
    <w:basedOn w:val="14"/>
    <w:link w:val="7"/>
    <w:semiHidden/>
    <w:qFormat/>
    <w:uiPriority w:val="99"/>
    <w:rPr>
      <w:rFonts w:ascii="Times New Roman" w:hAnsi="Times New Roman"/>
      <w:kern w:val="2"/>
      <w:sz w:val="18"/>
      <w:szCs w:val="18"/>
    </w:rPr>
  </w:style>
  <w:style w:type="character" w:customStyle="1" w:styleId="29">
    <w:name w:val="标题 3 字符"/>
    <w:basedOn w:val="14"/>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fontstyle01"/>
    <w:basedOn w:val="14"/>
    <w:qFormat/>
    <w:uiPriority w:val="0"/>
    <w:rPr>
      <w:rFonts w:ascii="黑体" w:hAnsi="宋体" w:eastAsia="黑体" w:cs="黑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收、支决算总计变动情况图（单位：万元）</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2019年</c:v>
                </c:pt>
              </c:strCache>
            </c:strRef>
          </c:tx>
          <c:spPr>
            <a:solidFill>
              <a:schemeClr val="accent1"/>
            </a:solidFill>
            <a:ln>
              <a:noFill/>
            </a:ln>
            <a:effectLst/>
          </c:spPr>
          <c:invertIfNegative val="0"/>
          <c:dLbls>
            <c:delete val="1"/>
          </c:dLbls>
          <c:cat>
            <c:strRef>
              <c:f>Sheet1!$A$2:$A$5</c:f>
              <c:strCache>
                <c:ptCount val="2"/>
                <c:pt idx="0">
                  <c:v>收入</c:v>
                </c:pt>
                <c:pt idx="1">
                  <c:v>支出</c:v>
                </c:pt>
              </c:strCache>
            </c:strRef>
          </c:cat>
          <c:val>
            <c:numRef>
              <c:f>Sheet1!$B$2:$B$5</c:f>
              <c:numCache>
                <c:formatCode>General</c:formatCode>
                <c:ptCount val="4"/>
                <c:pt idx="0">
                  <c:v>798.29</c:v>
                </c:pt>
                <c:pt idx="1">
                  <c:v>798.29</c:v>
                </c:pt>
              </c:numCache>
            </c:numRef>
          </c:val>
        </c:ser>
        <c:ser>
          <c:idx val="1"/>
          <c:order val="1"/>
          <c:tx>
            <c:strRef>
              <c:f>Sheet1!$C$1</c:f>
              <c:strCache>
                <c:ptCount val="1"/>
                <c:pt idx="0">
                  <c:v>2020年</c:v>
                </c:pt>
              </c:strCache>
            </c:strRef>
          </c:tx>
          <c:spPr>
            <a:solidFill>
              <a:schemeClr val="accent2"/>
            </a:solidFill>
            <a:ln>
              <a:noFill/>
            </a:ln>
            <a:effectLst/>
          </c:spPr>
          <c:invertIfNegative val="0"/>
          <c:dLbls>
            <c:delete val="1"/>
          </c:dLbls>
          <c:cat>
            <c:strRef>
              <c:f>Sheet1!$A$2:$A$5</c:f>
              <c:strCache>
                <c:ptCount val="2"/>
                <c:pt idx="0">
                  <c:v>收入</c:v>
                </c:pt>
                <c:pt idx="1">
                  <c:v>支出</c:v>
                </c:pt>
              </c:strCache>
            </c:strRef>
          </c:cat>
          <c:val>
            <c:numRef>
              <c:f>Sheet1!$C$2:$C$5</c:f>
              <c:numCache>
                <c:formatCode>General</c:formatCode>
                <c:ptCount val="4"/>
                <c:pt idx="0">
                  <c:v>898.92</c:v>
                </c:pt>
                <c:pt idx="1">
                  <c:v>898.92</c:v>
                </c:pt>
              </c:numCache>
            </c:numRef>
          </c:val>
        </c:ser>
        <c:ser>
          <c:idx val="2"/>
          <c:order val="2"/>
          <c:tx>
            <c:strRef>
              <c:f>Sheet1!$D$1</c:f>
              <c:strCache>
                <c:ptCount val="1"/>
                <c:pt idx="0">
                  <c:v>列1</c:v>
                </c:pt>
              </c:strCache>
            </c:strRef>
          </c:tx>
          <c:spPr>
            <a:solidFill>
              <a:schemeClr val="accent3"/>
            </a:solidFill>
            <a:ln>
              <a:noFill/>
            </a:ln>
            <a:effectLst/>
          </c:spPr>
          <c:invertIfNegative val="0"/>
          <c:dLbls>
            <c:delete val="1"/>
          </c:dLbls>
          <c:cat>
            <c:strRef>
              <c:f>Sheet1!$A$2:$A$5</c:f>
              <c:strCache>
                <c:ptCount val="2"/>
                <c:pt idx="0">
                  <c:v>收入</c:v>
                </c:pt>
                <c:pt idx="1">
                  <c:v>支出</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1199943776"/>
        <c:axId val="1199944192"/>
      </c:barChart>
      <c:catAx>
        <c:axId val="1199943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99944192"/>
        <c:crosses val="autoZero"/>
        <c:auto val="1"/>
        <c:lblAlgn val="ctr"/>
        <c:lblOffset val="100"/>
        <c:noMultiLvlLbl val="0"/>
      </c:catAx>
      <c:valAx>
        <c:axId val="1199944192"/>
        <c:scaling>
          <c:orientation val="minMax"/>
          <c:max val="1000"/>
          <c:min val="700"/>
        </c:scaling>
        <c:delete val="0"/>
        <c:axPos val="l"/>
        <c:majorGridlines>
          <c:spPr>
            <a:ln w="9525" cap="flat" cmpd="sng" algn="ctr">
              <a:solidFill>
                <a:schemeClr val="tx1">
                  <a:lumMod val="15000"/>
                  <a:lumOff val="85000"/>
                </a:schemeClr>
              </a:solidFill>
              <a:round/>
            </a:ln>
            <a:effectLst/>
          </c:spPr>
        </c:majorGridlines>
        <c:numFmt formatCode="#,##0.00_);[Red]\(#,##0.00\)" sourceLinked="0"/>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99943776"/>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t>收入决算结构图</a:t>
            </a:r>
            <a:endParaRPr lang="zh-CN"/>
          </a:p>
        </c:rich>
      </c:tx>
      <c:layout/>
      <c:overlay val="0"/>
      <c:spPr>
        <a:noFill/>
        <a:ln>
          <a:noFill/>
        </a:ln>
        <a:effectLst/>
      </c:spPr>
    </c:title>
    <c:autoTitleDeleted val="0"/>
    <c:plotArea>
      <c:layout/>
      <c:pieChart>
        <c:varyColors val="1"/>
        <c:ser>
          <c:idx val="0"/>
          <c:order val="0"/>
          <c:tx>
            <c:strRef>
              <c:f>Sheet1!$B$1</c:f>
              <c:strCache>
                <c:ptCount val="1"/>
                <c:pt idx="0">
                  <c:v>收入决算结构图
</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tx>
                <c:rich>
                  <a:bodyPr rot="0" spcFirstLastPara="1" vertOverflow="ellipsis" vert="horz" wrap="square" lIns="38100" tIns="19050" rIns="38100" bIns="19050" anchor="ctr" anchorCtr="1"/>
                  <a:lstStyle/>
                  <a:p>
                    <a:fld id="{5add282e-3c58-48b4-9bec-3130872444ea}" type="VALUE">
                      <a:t>[VALUE]</a:t>
                    </a:fld>
                  </a:p>
                </c:rich>
              </c:tx>
              <c:dLblPos val="outEnd"/>
              <c:showLegendKey val="0"/>
              <c:showVal val="1"/>
              <c:showCatName val="0"/>
              <c:showSerName val="0"/>
              <c:showPercent val="1"/>
              <c:showBubbleSize val="0"/>
              <c:extLst>
                <c:ext xmlns:c15="http://schemas.microsoft.com/office/drawing/2012/chart" uri="{CE6537A1-D6FC-4f65-9D91-7224C49458BB}"/>
              </c:extLst>
            </c:dLbl>
            <c:dLbl>
              <c:idx val="1"/>
              <c:layout>
                <c:manualLayout>
                  <c:x val="-0.138760994329116"/>
                  <c:y val="0.00555162802792066"/>
                </c:manualLayout>
              </c:layout>
              <c:tx>
                <c:rich>
                  <a:bodyPr rot="0" spcFirstLastPara="1" vertOverflow="ellipsis" vert="horz" wrap="square" lIns="38100" tIns="19050" rIns="38100" bIns="19050" anchor="ctr" anchorCtr="1"/>
                  <a:lstStyle/>
                  <a:p>
                    <a:fld id="{b724bdaa-e7b9-4db3-b752-de22d1d62912}" type="VALUE">
                      <a:t>[VALUE]</a:t>
                    </a:fld>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164601056820703"/>
                  <c:y val="0.00555162802792066"/>
                </c:manualLayout>
              </c:layout>
              <c:tx>
                <c:rich>
                  <a:bodyPr rot="0" spcFirstLastPara="1" vertOverflow="ellipsis" vert="horz" wrap="square" lIns="38100" tIns="19050" rIns="38100" bIns="19050" anchor="ctr" anchorCtr="1"/>
                  <a:lstStyle/>
                  <a:p>
                    <a:fld id="{fe57d0b2-5e26-4633-abb0-7209d3de7139}" type="VALUE">
                      <a:t>[VALUE]</a:t>
                    </a:fld>
                  </a:p>
                </c:rich>
              </c:tx>
              <c:dLblPos val="bestFit"/>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一般公共预算财政拨款</c:v>
                </c:pt>
                <c:pt idx="1">
                  <c:v>其他</c:v>
                </c:pt>
                <c:pt idx="2">
                  <c:v>年初结转结余</c:v>
                </c:pt>
              </c:strCache>
            </c:strRef>
          </c:cat>
          <c:val>
            <c:numRef>
              <c:f>Sheet1!$B$2:$B$4</c:f>
              <c:numCache>
                <c:formatCode>0.000%</c:formatCode>
                <c:ptCount val="3"/>
                <c:pt idx="0">
                  <c:v>0.99997</c:v>
                </c:pt>
                <c:pt idx="1">
                  <c:v>1e-5</c:v>
                </c:pt>
                <c:pt idx="2">
                  <c:v>2e-5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0266909794835723"/>
                  <c:y val="0.0288512387963888"/>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409925658522158"/>
                  <c:y val="-0.138237163079073"/>
                </c:manualLayout>
              </c:layout>
              <c:tx>
                <c:rich>
                  <a:bodyPr rot="0" spcFirstLastPara="1" vertOverflow="ellipsis" vert="horz" wrap="square" lIns="38100" tIns="19050" rIns="38100" bIns="19050" anchor="ctr" anchorCtr="1"/>
                  <a:lstStyle/>
                  <a:p>
                    <a:fld id="{78e72d1d-b078-4f7f-a5e1-51fe55fb9844}" type="VALUE">
                      <a:t>[VALUE]</a:t>
                    </a:fld>
                  </a:p>
                </c:rich>
              </c:tx>
              <c:dLblPos val="bestFit"/>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0.2704</c:v>
                </c:pt>
                <c:pt idx="1">
                  <c:v>0.7296</c:v>
                </c:pt>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财政拨款收、支决算总计变动情况（单位：万元）</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2019年</c:v>
                </c:pt>
              </c:strCache>
            </c:strRef>
          </c:tx>
          <c:spPr>
            <a:solidFill>
              <a:schemeClr val="accent1"/>
            </a:solidFill>
            <a:ln>
              <a:noFill/>
            </a:ln>
            <a:effectLst/>
          </c:spPr>
          <c:invertIfNegative val="0"/>
          <c:dLbls>
            <c:delete val="1"/>
          </c:dLbls>
          <c:cat>
            <c:strRef>
              <c:f>Sheet1!$A$2:$A$5</c:f>
              <c:strCache>
                <c:ptCount val="2"/>
                <c:pt idx="0">
                  <c:v>收入</c:v>
                </c:pt>
                <c:pt idx="1">
                  <c:v>支出</c:v>
                </c:pt>
              </c:strCache>
            </c:strRef>
          </c:cat>
          <c:val>
            <c:numRef>
              <c:f>Sheet1!$B$2:$B$5</c:f>
              <c:numCache>
                <c:formatCode>General</c:formatCode>
                <c:ptCount val="4"/>
                <c:pt idx="0">
                  <c:v>798.29</c:v>
                </c:pt>
                <c:pt idx="1">
                  <c:v>798.29</c:v>
                </c:pt>
              </c:numCache>
            </c:numRef>
          </c:val>
        </c:ser>
        <c:ser>
          <c:idx val="1"/>
          <c:order val="1"/>
          <c:tx>
            <c:strRef>
              <c:f>Sheet1!$C$1</c:f>
              <c:strCache>
                <c:ptCount val="1"/>
                <c:pt idx="0">
                  <c:v>2020年</c:v>
                </c:pt>
              </c:strCache>
            </c:strRef>
          </c:tx>
          <c:spPr>
            <a:solidFill>
              <a:schemeClr val="accent2"/>
            </a:solidFill>
            <a:ln>
              <a:noFill/>
            </a:ln>
            <a:effectLst/>
          </c:spPr>
          <c:invertIfNegative val="0"/>
          <c:dLbls>
            <c:delete val="1"/>
          </c:dLbls>
          <c:cat>
            <c:strRef>
              <c:f>Sheet1!$A$2:$A$5</c:f>
              <c:strCache>
                <c:ptCount val="2"/>
                <c:pt idx="0">
                  <c:v>收入</c:v>
                </c:pt>
                <c:pt idx="1">
                  <c:v>支出</c:v>
                </c:pt>
              </c:strCache>
            </c:strRef>
          </c:cat>
          <c:val>
            <c:numRef>
              <c:f>Sheet1!$C$2:$C$5</c:f>
              <c:numCache>
                <c:formatCode>General</c:formatCode>
                <c:ptCount val="4"/>
                <c:pt idx="0">
                  <c:v>898.92</c:v>
                </c:pt>
                <c:pt idx="1">
                  <c:v>898.92</c:v>
                </c:pt>
              </c:numCache>
            </c:numRef>
          </c:val>
        </c:ser>
        <c:dLbls>
          <c:showLegendKey val="0"/>
          <c:showVal val="0"/>
          <c:showCatName val="0"/>
          <c:showSerName val="0"/>
          <c:showPercent val="0"/>
          <c:showBubbleSize val="0"/>
        </c:dLbls>
        <c:gapWidth val="219"/>
        <c:overlap val="-27"/>
        <c:axId val="1199943776"/>
        <c:axId val="1199944192"/>
      </c:barChart>
      <c:catAx>
        <c:axId val="1199943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99944192"/>
        <c:crosses val="autoZero"/>
        <c:auto val="1"/>
        <c:lblAlgn val="ctr"/>
        <c:lblOffset val="100"/>
        <c:noMultiLvlLbl val="0"/>
      </c:catAx>
      <c:valAx>
        <c:axId val="1199944192"/>
        <c:scaling>
          <c:orientation val="minMax"/>
          <c:max val="1000"/>
          <c:min val="700"/>
        </c:scaling>
        <c:delete val="0"/>
        <c:axPos val="l"/>
        <c:majorGridlines>
          <c:spPr>
            <a:ln w="9525" cap="flat" cmpd="sng" algn="ctr">
              <a:solidFill>
                <a:schemeClr val="tx1">
                  <a:lumMod val="15000"/>
                  <a:lumOff val="85000"/>
                </a:schemeClr>
              </a:solidFill>
              <a:round/>
            </a:ln>
            <a:effectLst/>
          </c:spPr>
        </c:majorGridlines>
        <c:numFmt formatCode="#,##0.00_);[Red]\(#,##0.00\)" sourceLinked="0"/>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999437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zh-CN" sz="1200" b="0" i="0" baseline="0">
                <a:effectLst/>
              </a:rPr>
              <a:t>一般公共预算财政拨款支出决算变动情况</a:t>
            </a:r>
            <a:r>
              <a:rPr lang="zh-CN" altLang="zh-CN" sz="1200" b="0" i="0" u="none" strike="noStrike" baseline="0">
                <a:effectLst/>
              </a:rPr>
              <a:t>（单位：万元）</a:t>
            </a:r>
            <a:endParaRPr lang="zh-CN" altLang="zh-CN" sz="1200">
              <a:effectLst/>
            </a:endParaRPr>
          </a:p>
        </c:rich>
      </c:tx>
      <c:layout>
        <c:manualLayout>
          <c:xMode val="edge"/>
          <c:yMode val="edge"/>
          <c:x val="0.146039007946063"/>
          <c:y val="0.0165118679050568"/>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2020年一般公共预算财政拨款支出</c:v>
                </c:pt>
              </c:strCache>
            </c:strRef>
          </c:tx>
          <c:spPr>
            <a:solidFill>
              <a:schemeClr val="accent1"/>
            </a:solidFill>
            <a:ln>
              <a:noFill/>
            </a:ln>
            <a:effectLst/>
          </c:spPr>
          <c:invertIfNegative val="0"/>
          <c:dLbls>
            <c:delete val="1"/>
          </c:dLbls>
          <c:cat>
            <c:numRef>
              <c:f>Sheet1!$A$2:$A$5</c:f>
              <c:numCache>
                <c:formatCode>General</c:formatCode>
                <c:ptCount val="4"/>
              </c:numCache>
            </c:numRef>
          </c:cat>
          <c:val>
            <c:numRef>
              <c:f>Sheet1!$B$2:$B$5</c:f>
              <c:numCache>
                <c:formatCode>General</c:formatCode>
                <c:ptCount val="4"/>
                <c:pt idx="0">
                  <c:v>898.89</c:v>
                </c:pt>
              </c:numCache>
            </c:numRef>
          </c:val>
        </c:ser>
        <c:ser>
          <c:idx val="1"/>
          <c:order val="1"/>
          <c:tx>
            <c:strRef>
              <c:f>Sheet1!$C$1</c:f>
              <c:strCache>
                <c:ptCount val="1"/>
                <c:pt idx="0">
                  <c:v>2020年支出总和</c:v>
                </c:pt>
              </c:strCache>
            </c:strRef>
          </c:tx>
          <c:spPr>
            <a:solidFill>
              <a:schemeClr val="accent2"/>
            </a:solidFill>
            <a:ln>
              <a:noFill/>
            </a:ln>
            <a:effectLst/>
          </c:spPr>
          <c:invertIfNegative val="0"/>
          <c:dLbls>
            <c:delete val="1"/>
          </c:dLbls>
          <c:cat>
            <c:numRef>
              <c:f>Sheet1!$A$2:$A$5</c:f>
              <c:numCache>
                <c:formatCode>General</c:formatCode>
                <c:ptCount val="4"/>
              </c:numCache>
            </c:numRef>
          </c:cat>
          <c:val>
            <c:numRef>
              <c:f>Sheet1!$C$2:$C$5</c:f>
              <c:numCache>
                <c:formatCode>General</c:formatCode>
                <c:ptCount val="4"/>
                <c:pt idx="0">
                  <c:v>898.92</c:v>
                </c:pt>
              </c:numCache>
            </c:numRef>
          </c:val>
        </c:ser>
        <c:ser>
          <c:idx val="2"/>
          <c:order val="2"/>
          <c:tx>
            <c:strRef>
              <c:f>Sheet1!$D$1</c:f>
              <c:strCache>
                <c:ptCount val="1"/>
                <c:pt idx="0">
                  <c:v>2019年一般公共预算财政拨款</c:v>
                </c:pt>
              </c:strCache>
            </c:strRef>
          </c:tx>
          <c:spPr>
            <a:solidFill>
              <a:schemeClr val="accent3"/>
            </a:solidFill>
            <a:ln>
              <a:noFill/>
            </a:ln>
            <a:effectLst/>
          </c:spPr>
          <c:invertIfNegative val="0"/>
          <c:dLbls>
            <c:delete val="1"/>
          </c:dLbls>
          <c:cat>
            <c:numRef>
              <c:f>Sheet1!$A$2:$A$5</c:f>
              <c:numCache>
                <c:formatCode>General</c:formatCode>
                <c:ptCount val="4"/>
              </c:numCache>
            </c:numRef>
          </c:cat>
          <c:val>
            <c:numRef>
              <c:f>Sheet1!$D$2:$D$5</c:f>
              <c:numCache>
                <c:formatCode>General</c:formatCode>
                <c:ptCount val="4"/>
                <c:pt idx="0">
                  <c:v>798.26</c:v>
                </c:pt>
              </c:numCache>
            </c:numRef>
          </c:val>
        </c:ser>
        <c:dLbls>
          <c:showLegendKey val="0"/>
          <c:showVal val="0"/>
          <c:showCatName val="0"/>
          <c:showSerName val="0"/>
          <c:showPercent val="0"/>
          <c:showBubbleSize val="0"/>
        </c:dLbls>
        <c:gapWidth val="219"/>
        <c:overlap val="-27"/>
        <c:axId val="780769919"/>
        <c:axId val="780749119"/>
      </c:barChart>
      <c:catAx>
        <c:axId val="7807699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0749119"/>
        <c:crosses val="autoZero"/>
        <c:auto val="1"/>
        <c:lblAlgn val="ctr"/>
        <c:lblOffset val="100"/>
        <c:noMultiLvlLbl val="0"/>
      </c:catAx>
      <c:valAx>
        <c:axId val="780749119"/>
        <c:scaling>
          <c:orientation val="minMax"/>
          <c:max val="1000"/>
          <c:min val="700"/>
        </c:scaling>
        <c:delete val="0"/>
        <c:axPos val="l"/>
        <c:majorGridlines>
          <c:spPr>
            <a:ln w="9525" cap="flat" cmpd="sng" algn="ctr">
              <a:solidFill>
                <a:schemeClr val="tx1">
                  <a:lumMod val="15000"/>
                  <a:lumOff val="85000"/>
                </a:schemeClr>
              </a:solidFill>
              <a:round/>
            </a:ln>
            <a:effectLst/>
          </c:spPr>
        </c:majorGridlines>
        <c:numFmt formatCode="#,##0.00_);[Red]\(#,##0.00\)" sourceLinked="0"/>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0769919"/>
        <c:crosses val="autoZero"/>
        <c:crossBetween val="between"/>
        <c:majorUnit val="5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zh-CN" sz="1400" b="0" i="0" u="none" strike="noStrike" baseline="0">
                <a:effectLst/>
              </a:rPr>
              <a:t>一般公共预算财政拨款支出决算结构</a:t>
            </a:r>
            <a:endParaRPr lang="zh-CN" altLang="en-US" b="0"/>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dLbl>
              <c:idx val="3"/>
              <c:layout>
                <c:manualLayout>
                  <c:x val="-0.0288947748615459"/>
                  <c:y val="-0.0082559339525284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0216710811461593"/>
                  <c:y val="-0.0330237358101135"/>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5"/>
              <c:layout>
                <c:manualLayout>
                  <c:x val="0.0505658560077053"/>
                  <c:y val="-0.028895768833849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一般公共服务（类）</c:v>
                </c:pt>
                <c:pt idx="1">
                  <c:v>教育支出（类）</c:v>
                </c:pt>
                <c:pt idx="2">
                  <c:v>文化旅游体育与传媒（类）</c:v>
                </c:pt>
                <c:pt idx="3">
                  <c:v>社会保障和就业（类）</c:v>
                </c:pt>
                <c:pt idx="4">
                  <c:v>卫生健康</c:v>
                </c:pt>
                <c:pt idx="5">
                  <c:v>住房保障</c:v>
                </c:pt>
              </c:strCache>
            </c:strRef>
          </c:cat>
          <c:val>
            <c:numRef>
              <c:f>Sheet1!$B$2:$B$7</c:f>
              <c:numCache>
                <c:formatCode>0.00%</c:formatCode>
                <c:ptCount val="6"/>
                <c:pt idx="0">
                  <c:v>0.2144</c:v>
                </c:pt>
                <c:pt idx="1">
                  <c:v>0.0045</c:v>
                </c:pt>
                <c:pt idx="2">
                  <c:v>0.6964</c:v>
                </c:pt>
                <c:pt idx="3">
                  <c:v>0.0385</c:v>
                </c:pt>
                <c:pt idx="4">
                  <c:v>0.0127</c:v>
                </c:pt>
                <c:pt idx="5">
                  <c:v>0.0335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“三公”经费财政拨款支出结构</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tx>
                <c:rich>
                  <a:bodyPr rot="0" spcFirstLastPara="1" vertOverflow="ellipsis" vert="horz" wrap="square" lIns="38100" tIns="19050" rIns="38100" bIns="19050" anchor="ctr" anchorCtr="1"/>
                  <a:lstStyle/>
                  <a:p>
                    <a:fld id="{95a7cb4d-0397-41b9-90d1-570ee114f563}" type="VALUE">
                      <a:t>[VALUE]</a:t>
                    </a:fld>
                  </a:p>
                </c:rich>
              </c:tx>
              <c:dLblPos val="outEnd"/>
              <c:showLegendKey val="0"/>
              <c:showVal val="1"/>
              <c:showCatName val="0"/>
              <c:showSerName val="0"/>
              <c:showPercent val="1"/>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公务用车购置及运行维护费</c:v>
                </c:pt>
                <c:pt idx="1">
                  <c:v>公务接待费</c:v>
                </c:pt>
              </c:strCache>
            </c:strRef>
          </c:cat>
          <c:val>
            <c:numRef>
              <c:f>Sheet1!$B$2:$B$3</c:f>
              <c:numCache>
                <c:formatCode>0.00%</c:formatCode>
                <c:ptCount val="2"/>
                <c:pt idx="0">
                  <c:v>0.9805</c:v>
                </c:pt>
                <c:pt idx="1">
                  <c:v>0.0195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933811-C827-4F9B-A37B-897C7DF216BE}">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34</Pages>
  <Words>2163</Words>
  <Characters>12332</Characters>
  <Lines>102</Lines>
  <Paragraphs>28</Paragraphs>
  <TotalTime>10</TotalTime>
  <ScaleCrop>false</ScaleCrop>
  <LinksUpToDate>false</LinksUpToDate>
  <CharactersWithSpaces>14467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2021-08-31T01:12:00Z</dcterms:created>
  <dc:creator>曹颖</dc:creator>
  <cp:lastModifiedBy>大海</cp:lastModifiedBy>
  <cp:lastPrinted>2021-08-31T01:33:00Z</cp:lastPrinted>
  <dcterms:modified xsi:type="dcterms:W3CDTF">2021-09-08T02:13:51Z</dcterms:modified>
  <dc:title>四川省***</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A1DFDCE3CF0F4C10BD48DF6970D2E84B</vt:lpwstr>
  </property>
</Properties>
</file>