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eastAsia="方正小标宋简体"/>
          <w:color w:val="000000"/>
          <w:sz w:val="30"/>
          <w:szCs w:val="30"/>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sz w:val="72"/>
          <w:szCs w:val="72"/>
        </w:rPr>
      </w:pPr>
      <w:bookmarkStart w:id="1" w:name="_Toc15396475"/>
      <w:bookmarkStart w:id="2" w:name="_Toc15396597"/>
      <w:bookmarkStart w:id="3" w:name="_Toc15378441"/>
      <w:bookmarkStart w:id="4" w:name="_Toc15377425"/>
      <w:bookmarkStart w:id="5" w:name="_Toc15377193"/>
      <w:r>
        <w:rPr>
          <w:rFonts w:ascii="黑体" w:eastAsia="黑体"/>
          <w:sz w:val="72"/>
          <w:szCs w:val="72"/>
        </w:rPr>
        <w:t>20</w:t>
      </w:r>
      <w:r>
        <w:rPr>
          <w:rFonts w:hint="eastAsia" w:ascii="黑体" w:eastAsia="黑体"/>
          <w:sz w:val="72"/>
          <w:szCs w:val="72"/>
        </w:rPr>
        <w:t>20</w:t>
      </w:r>
      <w:r>
        <w:rPr>
          <w:rFonts w:hint="eastAsia" w:ascii="方正小标宋简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sz w:val="72"/>
          <w:szCs w:val="72"/>
          <w:lang w:val="en-US" w:eastAsia="zh-CN"/>
        </w:rPr>
      </w:pPr>
      <w:bookmarkStart w:id="6" w:name="_Toc15396598"/>
      <w:bookmarkStart w:id="7" w:name="_Toc15377426"/>
      <w:bookmarkStart w:id="8" w:name="_Toc15378442"/>
      <w:bookmarkStart w:id="9" w:name="_Toc15377194"/>
      <w:bookmarkStart w:id="10" w:name="_Toc15396476"/>
      <w:r>
        <w:rPr>
          <w:rFonts w:hint="eastAsia" w:ascii="方正小标宋简体" w:eastAsia="方正小标宋简体"/>
          <w:sz w:val="72"/>
          <w:szCs w:val="72"/>
        </w:rPr>
        <w:t>四川省</w:t>
      </w:r>
      <w:bookmarkEnd w:id="0"/>
      <w:bookmarkStart w:id="11" w:name="_Toc15306268"/>
      <w:r>
        <w:rPr>
          <w:rFonts w:hint="eastAsia" w:ascii="方正小标宋简体" w:eastAsia="方正小标宋简体"/>
          <w:sz w:val="72"/>
          <w:szCs w:val="72"/>
        </w:rPr>
        <w:t>思想政治工作研究会决算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0"/>
      </w:pPr>
      <w:r>
        <w:rPr>
          <w:rFonts w:hint="eastAsia"/>
        </w:rPr>
        <w:t>公开时间：2021年9月10日</w:t>
      </w:r>
    </w:p>
    <w:p/>
    <w:p>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一、职能简介</w:t>
      </w:r>
    </w:p>
    <w:p>
      <w:pPr>
        <w:pStyle w:val="11"/>
        <w:adjustRightInd w:val="0"/>
        <w:snapToGrid w:val="0"/>
        <w:spacing w:line="440" w:lineRule="exact"/>
        <w:jc w:val="left"/>
        <w:rPr>
          <w:rFonts w:ascii="宋体" w:eastAsia="宋体" w:cs="宋体"/>
          <w:sz w:val="24"/>
        </w:rPr>
      </w:pPr>
      <w:r>
        <w:rPr>
          <w:rFonts w:hint="eastAsia" w:ascii="宋体" w:eastAsia="宋体" w:cs="宋体"/>
          <w:sz w:val="24"/>
        </w:rPr>
        <w:t>二、2020年重点工作完成情况</w:t>
      </w:r>
    </w:p>
    <w:p>
      <w:pPr>
        <w:pStyle w:val="10"/>
        <w:adjustRightInd w:val="0"/>
        <w:snapToGrid w:val="0"/>
        <w:spacing w:before="0" w:line="440" w:lineRule="exact"/>
        <w:jc w:val="left"/>
        <w:rPr>
          <w:sz w:val="24"/>
          <w:szCs w:val="24"/>
        </w:rPr>
      </w:pPr>
      <w:r>
        <w:rPr>
          <w:rFonts w:hint="eastAsia"/>
          <w:sz w:val="24"/>
        </w:rPr>
        <w:t>第二部分 2020</w:t>
      </w:r>
      <w:r>
        <w:rPr>
          <w:rFonts w:hint="eastAsia"/>
          <w:color w:val="auto"/>
          <w:sz w:val="24"/>
        </w:rPr>
        <w:t>年度单位决</w:t>
      </w:r>
      <w:r>
        <w:rPr>
          <w:rFonts w:hint="eastAsia"/>
          <w:sz w:val="24"/>
        </w:rPr>
        <w:t>算情况说明</w:t>
      </w:r>
    </w:p>
    <w:p>
      <w:pPr>
        <w:pStyle w:val="11"/>
        <w:adjustRightInd w:val="0"/>
        <w:snapToGrid w:val="0"/>
        <w:spacing w:line="440" w:lineRule="exact"/>
        <w:jc w:val="left"/>
        <w:rPr>
          <w:rFonts w:ascii="仿宋" w:eastAsia="仿宋" w:cs="Arial"/>
          <w:sz w:val="24"/>
        </w:rPr>
      </w:pPr>
      <w:r>
        <w:rPr>
          <w:rFonts w:hint="eastAsia"/>
          <w:sz w:val="24"/>
        </w:rPr>
        <w:t>一、收入支出决算总体情况说明</w:t>
      </w:r>
    </w:p>
    <w:p>
      <w:pPr>
        <w:pStyle w:val="11"/>
        <w:adjustRightInd w:val="0"/>
        <w:snapToGrid w:val="0"/>
        <w:spacing w:line="440" w:lineRule="exact"/>
        <w:jc w:val="left"/>
        <w:rPr>
          <w:rFonts w:ascii="仿宋" w:eastAsia="仿宋" w:cs="Arial"/>
          <w:sz w:val="24"/>
        </w:rPr>
      </w:pPr>
      <w:r>
        <w:rPr>
          <w:rFonts w:hint="eastAsia"/>
          <w:sz w:val="24"/>
        </w:rPr>
        <w:t>二、收入决算情况说明</w:t>
      </w:r>
    </w:p>
    <w:p>
      <w:pPr>
        <w:pStyle w:val="11"/>
        <w:adjustRightInd w:val="0"/>
        <w:snapToGrid w:val="0"/>
        <w:spacing w:line="440" w:lineRule="exact"/>
        <w:jc w:val="left"/>
        <w:rPr>
          <w:rFonts w:ascii="仿宋" w:eastAsia="仿宋" w:cs="Arial"/>
          <w:sz w:val="24"/>
        </w:rPr>
      </w:pPr>
      <w:r>
        <w:rPr>
          <w:rFonts w:hint="eastAsia"/>
          <w:sz w:val="24"/>
        </w:rPr>
        <w:t>三、支出决算情况说明</w:t>
      </w:r>
    </w:p>
    <w:p>
      <w:pPr>
        <w:pStyle w:val="11"/>
        <w:adjustRightInd w:val="0"/>
        <w:snapToGrid w:val="0"/>
        <w:spacing w:line="440" w:lineRule="exact"/>
        <w:jc w:val="left"/>
        <w:rPr>
          <w:rFonts w:ascii="仿宋" w:eastAsia="仿宋" w:cs="Arial"/>
          <w:sz w:val="24"/>
        </w:rPr>
      </w:pPr>
      <w:r>
        <w:rPr>
          <w:rFonts w:hint="eastAsia"/>
          <w:sz w:val="24"/>
        </w:rPr>
        <w:t>四、财政拨款收入支出决算总体情况说明</w:t>
      </w:r>
    </w:p>
    <w:p>
      <w:pPr>
        <w:pStyle w:val="11"/>
        <w:adjustRightInd w:val="0"/>
        <w:snapToGrid w:val="0"/>
        <w:spacing w:line="440" w:lineRule="exact"/>
        <w:jc w:val="left"/>
        <w:rPr>
          <w:rFonts w:ascii="仿宋" w:eastAsia="仿宋" w:cs="Arial"/>
          <w:sz w:val="24"/>
        </w:rPr>
      </w:pPr>
      <w:r>
        <w:rPr>
          <w:rFonts w:hint="eastAsia"/>
          <w:sz w:val="24"/>
        </w:rPr>
        <w:t>五、一般公共预算财政拨款支出决算情况说明</w:t>
      </w:r>
    </w:p>
    <w:p>
      <w:pPr>
        <w:pStyle w:val="11"/>
        <w:adjustRightInd w:val="0"/>
        <w:snapToGrid w:val="0"/>
        <w:spacing w:line="440" w:lineRule="exact"/>
        <w:jc w:val="left"/>
        <w:rPr>
          <w:rFonts w:ascii="仿宋" w:eastAsia="仿宋" w:cs="Arial"/>
          <w:sz w:val="24"/>
        </w:rPr>
      </w:pPr>
      <w:r>
        <w:rPr>
          <w:rFonts w:hint="eastAsia"/>
          <w:sz w:val="24"/>
        </w:rPr>
        <w:t>六、一般公共预算财政拨款基本支出决算情况说明</w:t>
      </w:r>
    </w:p>
    <w:p>
      <w:pPr>
        <w:pStyle w:val="11"/>
        <w:adjustRightInd w:val="0"/>
        <w:snapToGrid w:val="0"/>
        <w:spacing w:line="440" w:lineRule="exact"/>
        <w:jc w:val="left"/>
        <w:rPr>
          <w:rFonts w:ascii="仿宋" w:eastAsia="仿宋" w:cs="Arial"/>
          <w:sz w:val="24"/>
        </w:rPr>
      </w:pPr>
      <w:r>
        <w:rPr>
          <w:rFonts w:hint="eastAsia"/>
          <w:sz w:val="24"/>
        </w:rPr>
        <w:t>七、</w:t>
      </w:r>
      <w:r>
        <w:rPr>
          <w:sz w:val="24"/>
        </w:rPr>
        <w:t>“</w:t>
      </w:r>
      <w:r>
        <w:rPr>
          <w:rFonts w:hint="eastAsia"/>
          <w:sz w:val="24"/>
        </w:rPr>
        <w:t>三公”经费财政拨款支出决算情况说明</w:t>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hint="eastAsia"/>
          <w:sz w:val="24"/>
          <w:lang w:eastAsia="zh-CN"/>
        </w:rPr>
      </w:pPr>
      <w:r>
        <w:rPr>
          <w:rFonts w:hint="eastAsia"/>
          <w:sz w:val="24"/>
        </w:rPr>
        <w:t>第四部分</w:t>
      </w:r>
      <w:r>
        <w:rPr>
          <w:sz w:val="24"/>
        </w:rPr>
        <w:t xml:space="preserve"> </w:t>
      </w:r>
      <w:r>
        <w:rPr>
          <w:rFonts w:hint="eastAsia"/>
          <w:sz w:val="24"/>
          <w:lang w:eastAsia="zh-CN"/>
        </w:rPr>
        <w:t>附件</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rFonts w:hint="eastAsia"/>
          <w:sz w:val="24"/>
        </w:rPr>
      </w:pPr>
      <w:r>
        <w:rPr>
          <w:rFonts w:hint="eastAsia"/>
          <w:sz w:val="24"/>
        </w:rPr>
        <w:t>十、一般公共预算财政拨款“三公”经费支出决算表</w:t>
      </w:r>
    </w:p>
    <w:p>
      <w:pPr>
        <w:ind w:firstLine="420" w:firstLineChars="200"/>
        <w:rPr>
          <w:rFonts w:eastAsia="宋体"/>
          <w:lang w:val="en-US" w:eastAsia="zh-CN"/>
        </w:rPr>
      </w:pPr>
      <w:r>
        <w:rPr>
          <w:rFonts w:hint="eastAsia"/>
          <w:lang w:val="en-US" w:eastAsia="zh-CN"/>
        </w:rPr>
        <w:t>十一、其他重要事项的情况说明</w:t>
      </w:r>
    </w:p>
    <w:p>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pPr>
        <w:pStyle w:val="3"/>
        <w:jc w:val="center"/>
        <w:rPr>
          <w:rFonts w:ascii="黑体" w:eastAsia="黑体"/>
          <w:sz w:val="32"/>
          <w:szCs w:val="32"/>
        </w:rPr>
      </w:pPr>
      <w:r>
        <w:rPr>
          <w:rFonts w:hint="eastAsia" w:ascii="黑体" w:eastAsia="黑体"/>
          <w:b w:val="0"/>
        </w:rPr>
        <w:t>第一部分 单位</w:t>
      </w:r>
      <w:r>
        <w:rPr>
          <w:rStyle w:val="16"/>
          <w:rFonts w:hint="eastAsia" w:ascii="黑体" w:eastAsia="黑体"/>
          <w:b w:val="0"/>
          <w:bCs w:val="0"/>
        </w:rPr>
        <w:t>概况</w:t>
      </w:r>
      <w:bookmarkEnd w:id="12"/>
      <w:bookmarkEnd w:id="13"/>
    </w:p>
    <w:p>
      <w:pPr>
        <w:pStyle w:val="4"/>
        <w:spacing w:before="0" w:after="0" w:line="600" w:lineRule="exact"/>
        <w:ind w:firstLine="640" w:firstLineChars="200"/>
        <w:rPr>
          <w:rFonts w:ascii="仿宋_GB2312" w:eastAsia="仿宋_GB2312"/>
        </w:rPr>
      </w:pPr>
      <w:bookmarkStart w:id="14" w:name="_Toc15377197"/>
      <w:bookmarkStart w:id="15" w:name="_Toc15396600"/>
      <w:r>
        <w:rPr>
          <w:rStyle w:val="17"/>
          <w:rFonts w:hint="eastAsia" w:ascii="黑体" w:eastAsia="黑体"/>
          <w:b w:val="0"/>
          <w:bCs w:val="0"/>
        </w:rPr>
        <w:t>一、职能简介</w:t>
      </w:r>
    </w:p>
    <w:p>
      <w:pPr>
        <w:pStyle w:val="4"/>
        <w:keepNext/>
        <w:keepLines w:val="0"/>
        <w:widowControl w:val="0"/>
        <w:spacing w:before="0" w:after="0" w:line="600" w:lineRule="exact"/>
        <w:ind w:firstLine="643" w:firstLineChars="200"/>
        <w:rPr>
          <w:rFonts w:ascii="仿宋_GB2312" w:eastAsia="仿宋_GB2312"/>
        </w:rPr>
      </w:pPr>
      <w:r>
        <w:rPr>
          <w:rFonts w:hint="eastAsia" w:ascii="仿宋_GB2312" w:eastAsia="仿宋_GB2312"/>
        </w:rPr>
        <w:t>组织开展思想政治工作的理论研究，向省委及有关部门反映干部群众思想动态，提出意见和建议；总结推广加强和改进思想政治工作新经验，组织评选政治工作研究成果；协同有关部门研究加强政工队伍建设的有关问题，参与组织政工的培训等工作。</w:t>
      </w:r>
    </w:p>
    <w:p>
      <w:pPr>
        <w:ind w:firstLine="643" w:firstLineChars="200"/>
        <w:rPr>
          <w:rFonts w:eastAsia="仿宋_GB2312"/>
          <w:b/>
          <w:bCs/>
          <w:lang w:val="en-US" w:eastAsia="zh-CN"/>
        </w:rPr>
      </w:pPr>
      <w:r>
        <w:rPr>
          <w:rFonts w:hint="eastAsia" w:ascii="仿宋_GB2312" w:eastAsia="仿宋_GB2312"/>
          <w:b/>
          <w:bCs/>
          <w:sz w:val="32"/>
        </w:rPr>
        <w:t>四川省思想政治工作研究会是参公管理的事业单位，</w:t>
      </w:r>
      <w:r>
        <w:rPr>
          <w:rFonts w:hint="eastAsia" w:ascii="仿宋_GB2312" w:eastAsia="仿宋_GB2312"/>
          <w:b/>
          <w:bCs/>
          <w:sz w:val="32"/>
          <w:lang w:val="en-US" w:eastAsia="zh-CN"/>
        </w:rPr>
        <w:t>行政</w:t>
      </w:r>
      <w:r>
        <w:rPr>
          <w:rFonts w:hint="eastAsia" w:ascii="仿宋_GB2312" w:eastAsia="仿宋_GB2312"/>
          <w:b/>
          <w:bCs/>
          <w:sz w:val="32"/>
        </w:rPr>
        <w:t>编制4人，2020年末实有在职人员3人</w:t>
      </w:r>
      <w:r>
        <w:rPr>
          <w:rFonts w:hint="eastAsia" w:ascii="仿宋_GB2312" w:eastAsia="仿宋_GB2312"/>
          <w:b/>
          <w:bCs/>
          <w:sz w:val="32"/>
          <w:lang w:eastAsia="zh-CN"/>
        </w:rPr>
        <w:t>，</w:t>
      </w:r>
      <w:r>
        <w:rPr>
          <w:rFonts w:hint="eastAsia" w:ascii="仿宋_GB2312" w:eastAsia="仿宋_GB2312"/>
          <w:b/>
          <w:bCs/>
          <w:sz w:val="32"/>
          <w:lang w:val="en-US" w:eastAsia="zh-CN"/>
        </w:rPr>
        <w:t>经费全部来源于财政拨款。</w:t>
      </w:r>
    </w:p>
    <w:p>
      <w:pPr>
        <w:pStyle w:val="4"/>
        <w:keepNext/>
        <w:keepLines w:val="0"/>
        <w:widowControl w:val="0"/>
        <w:spacing w:before="0" w:after="0" w:line="600" w:lineRule="exact"/>
        <w:ind w:firstLine="640" w:firstLineChars="200"/>
        <w:rPr>
          <w:rStyle w:val="17"/>
          <w:rFonts w:ascii="黑体" w:eastAsia="黑体"/>
          <w:b w:val="0"/>
          <w:bCs w:val="0"/>
        </w:rPr>
      </w:pPr>
      <w:r>
        <w:rPr>
          <w:rStyle w:val="17"/>
          <w:rFonts w:hint="eastAsia" w:ascii="黑体" w:eastAsia="黑体"/>
          <w:b w:val="0"/>
          <w:bCs w:val="0"/>
        </w:rPr>
        <w:t>二、2020年重点工作完成情况</w:t>
      </w:r>
    </w:p>
    <w:p>
      <w:pPr>
        <w:pStyle w:val="4"/>
        <w:keepNext/>
        <w:keepLines w:val="0"/>
        <w:widowControl w:val="0"/>
        <w:spacing w:before="0" w:after="0" w:line="600" w:lineRule="exact"/>
        <w:ind w:firstLine="643" w:firstLineChars="200"/>
        <w:rPr>
          <w:rFonts w:ascii="仿宋_GB2312" w:eastAsia="仿宋_GB2312" w:cs="宋体"/>
        </w:rPr>
      </w:pPr>
      <w:r>
        <w:rPr>
          <w:rFonts w:hint="eastAsia" w:ascii="仿宋_GB2312" w:eastAsia="仿宋_GB2312"/>
          <w:color w:val="000000"/>
        </w:rPr>
        <w:t>一是调研工作取得新成果。各地、各行业（系统）政研会推荐上报</w:t>
      </w:r>
      <w:r>
        <w:rPr>
          <w:rFonts w:hint="eastAsia" w:ascii="仿宋_GB2312" w:eastAsia="仿宋_GB2312"/>
        </w:rPr>
        <w:t>调研成果</w:t>
      </w:r>
      <w:r>
        <w:rPr>
          <w:rFonts w:hint="eastAsia" w:ascii="仿宋_GB2312" w:eastAsia="仿宋_GB2312"/>
          <w:color w:val="000000"/>
        </w:rPr>
        <w:t>225篇</w:t>
      </w:r>
      <w:r>
        <w:rPr>
          <w:rFonts w:hint="eastAsia" w:ascii="仿宋_GB2312" w:eastAsia="仿宋_GB2312"/>
        </w:rPr>
        <w:t>，从中</w:t>
      </w:r>
      <w:r>
        <w:rPr>
          <w:rFonts w:hint="eastAsia" w:ascii="仿宋_GB2312" w:eastAsia="仿宋_GB2312"/>
          <w:color w:val="000000"/>
        </w:rPr>
        <w:t>评出2019年度</w:t>
      </w:r>
      <w:r>
        <w:rPr>
          <w:rFonts w:hint="eastAsia" w:ascii="仿宋_GB2312" w:eastAsia="仿宋_GB2312"/>
        </w:rPr>
        <w:t>优秀调研成果</w:t>
      </w:r>
      <w:r>
        <w:rPr>
          <w:rFonts w:hint="eastAsia" w:ascii="仿宋_GB2312" w:eastAsia="仿宋_GB2312" w:cs="仿宋"/>
        </w:rPr>
        <w:t>一、二、三等奖共计36篇</w:t>
      </w:r>
      <w:r>
        <w:rPr>
          <w:rFonts w:hint="eastAsia" w:ascii="仿宋_GB2312" w:eastAsia="仿宋_GB2312"/>
          <w:color w:val="000000"/>
        </w:rPr>
        <w:t>，15个单位荣获组织奖</w:t>
      </w:r>
      <w:r>
        <w:rPr>
          <w:rFonts w:hint="eastAsia" w:ascii="仿宋_GB2312" w:eastAsia="仿宋_GB2312"/>
        </w:rPr>
        <w:t>。以“思想政治工作在疫情防控中的重要作用”“思想政治工作在脱贫攻坚中的重要作用”为两大主题，提出有针对性的调研参考课题10个并下发《</w:t>
      </w:r>
      <w:r>
        <w:rPr>
          <w:rFonts w:hint="eastAsia" w:ascii="仿宋_GB2312" w:eastAsia="仿宋_GB2312" w:cs="宋体"/>
        </w:rPr>
        <w:t>关于开展2020年思想政治工作课题研究的通知》</w:t>
      </w:r>
      <w:r>
        <w:rPr>
          <w:rFonts w:hint="eastAsia" w:ascii="仿宋_GB2312" w:eastAsia="仿宋_GB2312"/>
        </w:rPr>
        <w:t>，对年度重点课题调研任务进行安排布置。宜宾市委宣传部课题组《发挥研学实践在学校思想政治工作中作用的调研报告》在中国政研会组织的全国思想政治工作调研课题评奖活动中荣获三类优秀研究成果奖。</w:t>
      </w:r>
      <w:bookmarkEnd w:id="14"/>
      <w:bookmarkEnd w:id="15"/>
      <w:r>
        <w:rPr>
          <w:rFonts w:hint="eastAsia" w:ascii="仿宋_GB2312" w:eastAsia="仿宋_GB2312" w:cs="仿宋"/>
        </w:rPr>
        <w:t>二是工作创新取得新突破。充分利用</w:t>
      </w:r>
      <w:r>
        <w:rPr>
          <w:rFonts w:hint="eastAsia" w:ascii="仿宋_GB2312" w:eastAsia="仿宋_GB2312"/>
        </w:rPr>
        <w:t>“四川思政网”、“川e思政”微信公众号拓展思想政治工作新渠道，开设“时政要闻”“政工园地”“创新案例”“思想漫谈”“基层大看台”“微思政”“精读会”等栏目，及时宣传发布中央、省委重大决策部署和基层单位工作动态，推动工作从群体向个体覆盖，从8小时之内向8小时之外延伸。结合新形势新任务，及时推出“众志成城战疫情、深入学习宣传贯彻党的十九届五中全会精神、高校思政工作”等重大主题宣传，获得各方好评。据不完全统计，全年四川思政网共计发稿5千余篇，日均访问量近3千人次，总访问量突破100万人次；川e思政推送重要时政新闻3百余次，发稿1千余篇，累积阅读量突破20万人次。三是阵地宣传取得新成效。精心办好双月刊《政工论坛》，及时开设“抗击疫情共克时艰”“奋力夺取疫情防控和经济社会发展双胜利”、 “一线抗疫群英谱”“党的十九届五中全会专题”“决战决胜脱贫攻坚”“乡村振兴”“实干先锋”等专题专栏，为疫情防控、复工复产、脱贫攻坚和全面小康出力鼓劲，全年共出刊6期，免费赠阅15600册。集结基层单位优秀调研文章和创新工作案例，精心汇编《2019年度优秀调研课题文集》和《探索与实践—2019-2020思想政治工作创新案例汇编》，下发各地各行业政研会和理事单位参考学习。全年各地各部门共形成报送</w:t>
      </w:r>
      <w:r>
        <w:rPr>
          <w:rFonts w:hint="eastAsia" w:ascii="仿宋_GB2312" w:eastAsia="仿宋_GB2312"/>
          <w:color w:val="000000"/>
        </w:rPr>
        <w:t>225篇</w:t>
      </w:r>
      <w:r>
        <w:rPr>
          <w:rFonts w:hint="eastAsia" w:ascii="仿宋_GB2312" w:eastAsia="仿宋_GB2312"/>
        </w:rPr>
        <w:t>调研成果，其中36篇入选优秀课题；共推荐上报工作案例125篇，其中30篇入选创新案例。组织开展理事单位和基层政工干部读书活动，积极参加各种学习培训活动，参加全国性和省级培训共5次，</w:t>
      </w:r>
      <w:r>
        <w:rPr>
          <w:rFonts w:hint="eastAsia" w:eastAsia="仿宋_GB2312"/>
          <w:color w:val="000000"/>
        </w:rPr>
        <w:t>努力</w:t>
      </w:r>
      <w:r>
        <w:rPr>
          <w:rFonts w:hint="eastAsia" w:ascii="仿宋_GB2312" w:eastAsia="仿宋_GB2312"/>
        </w:rPr>
        <w:t>提高工作队伍理论水平和业务能力，切实把各项任务落到实处。</w:t>
      </w:r>
    </w:p>
    <w:p>
      <w:pPr>
        <w:widowControl/>
        <w:spacing w:line="600" w:lineRule="exact"/>
        <w:jc w:val="left"/>
        <w:rPr>
          <w:rFonts w:ascii="仿宋" w:eastAsia="仿宋"/>
          <w:kern w:val="0"/>
          <w:sz w:val="32"/>
          <w:szCs w:val="32"/>
        </w:rPr>
      </w:pPr>
      <w:r>
        <w:rPr>
          <w:rFonts w:ascii="仿宋" w:eastAsia="仿宋"/>
          <w:sz w:val="32"/>
          <w:szCs w:val="32"/>
        </w:rPr>
        <w:br w:type="page"/>
      </w:r>
    </w:p>
    <w:p>
      <w:pPr>
        <w:pStyle w:val="3"/>
        <w:ind w:right="440"/>
        <w:jc w:val="center"/>
        <w:rPr>
          <w:rStyle w:val="16"/>
          <w:rFonts w:ascii="黑体" w:eastAsia="黑体"/>
          <w:b w:val="0"/>
          <w:bCs/>
        </w:rPr>
      </w:pPr>
      <w:bookmarkStart w:id="16" w:name="_Toc15396602"/>
      <w:bookmarkStart w:id="17" w:name="_Toc15377204"/>
      <w:r>
        <w:rPr>
          <w:rFonts w:hint="eastAsia" w:ascii="黑体" w:eastAsia="黑体"/>
          <w:b w:val="0"/>
        </w:rPr>
        <w:t>第二部分 2020年度</w:t>
      </w:r>
      <w:r>
        <w:rPr>
          <w:rStyle w:val="16"/>
          <w:rFonts w:hint="eastAsia" w:ascii="黑体" w:eastAsia="黑体"/>
          <w:b w:val="0"/>
          <w:bCs/>
        </w:rPr>
        <w:t>部门决算情况说明</w:t>
      </w:r>
      <w:bookmarkEnd w:id="16"/>
      <w:bookmarkEnd w:id="17"/>
    </w:p>
    <w:p/>
    <w:p>
      <w:pPr>
        <w:pStyle w:val="22"/>
        <w:numPr>
          <w:ilvl w:val="0"/>
          <w:numId w:val="1"/>
        </w:numPr>
        <w:spacing w:line="600" w:lineRule="exact"/>
        <w:ind w:firstLineChars="0"/>
        <w:outlineLvl w:val="1"/>
        <w:rPr>
          <w:rStyle w:val="17"/>
          <w:rFonts w:ascii="黑体" w:eastAsia="黑体"/>
          <w:b w:val="0"/>
        </w:rPr>
      </w:pPr>
      <w:bookmarkStart w:id="18" w:name="_Toc15377205"/>
      <w:bookmarkStart w:id="19" w:name="_Toc15396603"/>
      <w:r>
        <w:rPr>
          <w:rFonts w:hint="eastAsia" w:ascii="黑体" w:eastAsia="黑体"/>
          <w:sz w:val="32"/>
          <w:szCs w:val="32"/>
        </w:rPr>
        <w:t>收</w:t>
      </w:r>
      <w:r>
        <w:rPr>
          <w:rStyle w:val="17"/>
          <w:rFonts w:hint="eastAsia" w:ascii="黑体" w:eastAsia="黑体"/>
          <w:b w:val="0"/>
        </w:rPr>
        <w:t>入支出决算总体情况说明</w:t>
      </w:r>
      <w:bookmarkEnd w:id="18"/>
      <w:bookmarkEnd w:id="19"/>
    </w:p>
    <w:p>
      <w:pPr>
        <w:spacing w:line="600" w:lineRule="exact"/>
        <w:ind w:firstLine="640" w:firstLineChars="200"/>
        <w:rPr>
          <w:rFonts w:hint="eastAsia" w:ascii="仿宋" w:eastAsia="仿宋"/>
          <w:sz w:val="32"/>
          <w:szCs w:val="32"/>
        </w:rPr>
      </w:pPr>
      <w:r>
        <w:rPr>
          <w:rFonts w:hint="eastAsia" w:ascii="仿宋" w:eastAsia="仿宋"/>
          <w:sz w:val="32"/>
          <w:szCs w:val="32"/>
        </w:rPr>
        <w:t>2020年度收、支总计136.72万元。与2019年相比，收、支总计各减少13.8万元，下降9.17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2"/>
        <w:spacing w:before="93" w:beforeLines="0"/>
      </w:pPr>
      <w: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2"/>
        <w:numPr>
          <w:ilvl w:val="0"/>
          <w:numId w:val="1"/>
        </w:numPr>
        <w:spacing w:line="600" w:lineRule="exact"/>
        <w:ind w:firstLineChars="0"/>
        <w:outlineLvl w:val="1"/>
        <w:rPr>
          <w:rStyle w:val="17"/>
          <w:rFonts w:ascii="黑体" w:eastAsia="黑体"/>
          <w:b w:val="0"/>
        </w:rPr>
      </w:pPr>
      <w:bookmarkStart w:id="20" w:name="_Toc15396604"/>
      <w:bookmarkStart w:id="21" w:name="_Toc15377206"/>
      <w:r>
        <w:rPr>
          <w:rFonts w:hint="eastAsia" w:ascii="黑体" w:eastAsia="黑体"/>
          <w:sz w:val="32"/>
          <w:szCs w:val="32"/>
        </w:rPr>
        <w:t>收</w:t>
      </w:r>
      <w:r>
        <w:rPr>
          <w:rStyle w:val="17"/>
          <w:rFonts w:hint="eastAsia" w:ascii="黑体" w:eastAsia="黑体"/>
          <w:b w:val="0"/>
        </w:rPr>
        <w:t>入决算情况说明</w:t>
      </w:r>
      <w:bookmarkEnd w:id="20"/>
      <w:bookmarkEnd w:id="21"/>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20年本年收入合计136.72万元，其中：一般公共预算财政拨款收入136.72万元，占100</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2"/>
        <w:spacing w:before="93" w:beforeLines="0"/>
      </w:pPr>
      <w:r>
        <w:drawing>
          <wp:inline distT="0" distB="0" distL="0" distR="0">
            <wp:extent cx="5431155" cy="251714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2"/>
        <w:numPr>
          <w:ilvl w:val="0"/>
          <w:numId w:val="1"/>
        </w:numPr>
        <w:spacing w:line="600" w:lineRule="exact"/>
        <w:ind w:firstLineChars="0"/>
        <w:outlineLvl w:val="1"/>
        <w:rPr>
          <w:rStyle w:val="17"/>
          <w:rFonts w:ascii="黑体" w:eastAsia="黑体"/>
          <w:b w:val="0"/>
        </w:rPr>
      </w:pPr>
      <w:bookmarkStart w:id="22" w:name="_Toc15377207"/>
      <w:bookmarkStart w:id="23" w:name="_Toc15396605"/>
      <w:r>
        <w:rPr>
          <w:rFonts w:hint="eastAsia" w:ascii="黑体" w:eastAsia="黑体"/>
          <w:sz w:val="32"/>
          <w:szCs w:val="32"/>
        </w:rPr>
        <w:t>支</w:t>
      </w:r>
      <w:r>
        <w:rPr>
          <w:rStyle w:val="17"/>
          <w:rFonts w:hint="eastAsia" w:ascii="黑体" w:eastAsia="黑体"/>
          <w:b w:val="0"/>
        </w:rPr>
        <w:t>出决算情况说明</w:t>
      </w:r>
      <w:bookmarkEnd w:id="22"/>
      <w:bookmarkEnd w:id="23"/>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20年本年支出合计136.72万元，其中：基本支出64.02万元，占46.82</w:t>
      </w:r>
      <w:r>
        <w:rPr>
          <w:rFonts w:ascii="仿宋" w:eastAsia="仿宋"/>
          <w:sz w:val="32"/>
          <w:szCs w:val="32"/>
        </w:rPr>
        <w:t>%</w:t>
      </w:r>
      <w:r>
        <w:rPr>
          <w:rFonts w:hint="eastAsia" w:ascii="仿宋" w:eastAsia="仿宋"/>
          <w:sz w:val="32"/>
          <w:szCs w:val="32"/>
        </w:rPr>
        <w:t>；项目支出72.7万元，占53.18</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（图3：支出决算结构图）（饼状图）</w:t>
      </w:r>
    </w:p>
    <w:p>
      <w:pPr>
        <w:pStyle w:val="2"/>
        <w:spacing w:before="93" w:beforeLines="0"/>
      </w:pPr>
      <w:r>
        <w:drawing>
          <wp:inline distT="0" distB="0" distL="0" distR="0">
            <wp:extent cx="5274310" cy="3076575"/>
            <wp:effectExtent l="0" t="0" r="0" b="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eastAsia="黑体"/>
          <w:b w:val="0"/>
        </w:rPr>
      </w:pPr>
      <w:bookmarkStart w:id="24" w:name="_Toc15377208"/>
      <w:bookmarkStart w:id="25" w:name="_Toc15396606"/>
      <w:r>
        <w:rPr>
          <w:rFonts w:hint="eastAsia" w:ascii="黑体" w:eastAsia="黑体"/>
          <w:sz w:val="32"/>
          <w:szCs w:val="32"/>
        </w:rPr>
        <w:t>四、财</w:t>
      </w:r>
      <w:r>
        <w:rPr>
          <w:rStyle w:val="17"/>
          <w:rFonts w:hint="eastAsia" w:ascii="黑体" w:eastAsia="黑体"/>
          <w:b w:val="0"/>
        </w:rPr>
        <w:t>政拨款收入支出决算总体情况说明</w:t>
      </w:r>
      <w:bookmarkEnd w:id="24"/>
      <w:bookmarkEnd w:id="25"/>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20年财政拨款收、支总计136.72万元。与</w:t>
      </w:r>
      <w:r>
        <w:rPr>
          <w:rFonts w:ascii="仿宋" w:eastAsia="仿宋"/>
          <w:sz w:val="32"/>
          <w:szCs w:val="32"/>
        </w:rPr>
        <w:t>201</w:t>
      </w:r>
      <w:r>
        <w:rPr>
          <w:rFonts w:hint="eastAsia" w:ascii="仿宋" w:eastAsia="仿宋"/>
          <w:sz w:val="32"/>
          <w:szCs w:val="32"/>
        </w:rPr>
        <w:t>9年相比，财政拨款收、支总计各减少13.8万元，下降9.17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2"/>
        <w:spacing w:before="93" w:beforeLines="0"/>
      </w:pPr>
      <w:r>
        <w:drawing>
          <wp:inline distT="0" distB="0" distL="0" distR="0">
            <wp:extent cx="5274310" cy="3076575"/>
            <wp:effectExtent l="0" t="0" r="0" b="0"/>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eastAsia="仿宋"/>
          <w:b/>
          <w:sz w:val="32"/>
          <w:szCs w:val="32"/>
        </w:rPr>
      </w:pPr>
    </w:p>
    <w:p>
      <w:pPr>
        <w:spacing w:line="600" w:lineRule="exact"/>
        <w:ind w:firstLine="640" w:firstLineChars="200"/>
        <w:outlineLvl w:val="1"/>
        <w:rPr>
          <w:rStyle w:val="17"/>
          <w:rFonts w:ascii="黑体" w:eastAsia="黑体"/>
          <w:b w:val="0"/>
        </w:rPr>
      </w:pPr>
      <w:bookmarkStart w:id="26" w:name="_Toc15396607"/>
      <w:bookmarkStart w:id="27" w:name="_Toc15377209"/>
      <w:r>
        <w:rPr>
          <w:rFonts w:hint="eastAsia" w:ascii="黑体" w:eastAsia="黑体"/>
          <w:sz w:val="32"/>
          <w:szCs w:val="32"/>
        </w:rPr>
        <w:t>五、</w:t>
      </w:r>
      <w:r>
        <w:rPr>
          <w:rFonts w:hint="eastAsia" w:ascii="黑体" w:eastAsia="黑体"/>
          <w:b/>
          <w:sz w:val="32"/>
          <w:szCs w:val="32"/>
        </w:rPr>
        <w:t>一</w:t>
      </w:r>
      <w:r>
        <w:rPr>
          <w:rStyle w:val="17"/>
          <w:rFonts w:hint="eastAsia" w:ascii="黑体" w:eastAsia="黑体"/>
          <w:b w:val="0"/>
        </w:rPr>
        <w:t>般公共预算财政拨款支出决算情况说明</w:t>
      </w:r>
      <w:bookmarkEnd w:id="26"/>
      <w:bookmarkEnd w:id="27"/>
    </w:p>
    <w:p>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20年一般公共预算财政拨款支出136.72万元，占本年支出合计的</w:t>
      </w:r>
      <w:r>
        <w:rPr>
          <w:rFonts w:hint="eastAsia" w:ascii="仿宋" w:eastAsia="仿宋"/>
          <w:sz w:val="32"/>
          <w:szCs w:val="32"/>
          <w:lang w:val="en-US" w:eastAsia="zh-CN"/>
        </w:rPr>
        <w:t>99.89</w:t>
      </w:r>
      <w:r>
        <w:rPr>
          <w:rFonts w:ascii="仿宋" w:eastAsia="仿宋"/>
          <w:sz w:val="32"/>
          <w:szCs w:val="32"/>
        </w:rPr>
        <w:t>%</w:t>
      </w:r>
      <w:r>
        <w:rPr>
          <w:rFonts w:hint="eastAsia" w:ascii="仿宋" w:eastAsia="仿宋"/>
          <w:sz w:val="32"/>
          <w:szCs w:val="32"/>
        </w:rPr>
        <w:t>。与</w:t>
      </w:r>
      <w:r>
        <w:rPr>
          <w:rFonts w:ascii="仿宋" w:eastAsia="仿宋"/>
          <w:sz w:val="32"/>
          <w:szCs w:val="32"/>
        </w:rPr>
        <w:t>201</w:t>
      </w:r>
      <w:r>
        <w:rPr>
          <w:rFonts w:hint="eastAsia" w:ascii="仿宋" w:eastAsia="仿宋"/>
          <w:sz w:val="32"/>
          <w:szCs w:val="32"/>
        </w:rPr>
        <w:t>9年相比，一般公共预算财政拨款减少13.8万元，下降9.17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2"/>
        <w:spacing w:before="93" w:beforeLines="0"/>
      </w:pPr>
      <w:r>
        <w:drawing>
          <wp:inline distT="0" distB="0" distL="0" distR="0">
            <wp:extent cx="5274310" cy="3076575"/>
            <wp:effectExtent l="0" t="0" r="0" b="0"/>
            <wp:docPr id="5"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20年一般公共预算财政拨款支出136.72万元，主要用于以下方面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支出71.39万元，占52.22</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文化旅游体育与传媒（类）支出50万元，占36.57</w:t>
      </w:r>
      <w:r>
        <w:rPr>
          <w:rFonts w:ascii="仿宋" w:eastAsia="仿宋"/>
          <w:b/>
          <w:bCs/>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支出4.17万元，占3.05</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sz w:val="32"/>
          <w:szCs w:val="32"/>
        </w:rPr>
        <w:t>3.75万元，占2.74</w:t>
      </w:r>
      <w:r>
        <w:rPr>
          <w:rFonts w:ascii="仿宋" w:eastAsia="仿宋"/>
          <w:sz w:val="32"/>
          <w:szCs w:val="32"/>
        </w:rPr>
        <w:t>%</w:t>
      </w:r>
      <w:r>
        <w:rPr>
          <w:rFonts w:hint="eastAsia" w:ascii="仿宋" w:eastAsia="仿宋"/>
          <w:sz w:val="32"/>
          <w:szCs w:val="32"/>
        </w:rPr>
        <w:t>；</w:t>
      </w:r>
      <w:r>
        <w:rPr>
          <w:rFonts w:hint="eastAsia" w:ascii="仿宋" w:eastAsia="仿宋"/>
          <w:b/>
          <w:sz w:val="32"/>
          <w:szCs w:val="32"/>
        </w:rPr>
        <w:t>住房保障</w:t>
      </w:r>
      <w:r>
        <w:rPr>
          <w:rFonts w:hint="eastAsia" w:ascii="仿宋" w:eastAsia="仿宋"/>
          <w:sz w:val="32"/>
          <w:szCs w:val="32"/>
        </w:rPr>
        <w:t>支出7.41万元，占5.42</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（图6：一般公共预算财政拨款支出决算结构）（饼状图）</w:t>
      </w:r>
    </w:p>
    <w:p>
      <w:pPr>
        <w:pStyle w:val="2"/>
        <w:spacing w:before="93" w:beforeLines="0"/>
      </w:pPr>
    </w:p>
    <w:p>
      <w:pPr>
        <w:pStyle w:val="2"/>
        <w:spacing w:before="93" w:beforeLines="0"/>
      </w:pPr>
    </w:p>
    <w:p>
      <w:pPr>
        <w:pStyle w:val="2"/>
        <w:spacing w:before="93" w:beforeLines="0"/>
      </w:pPr>
      <w:r>
        <w:drawing>
          <wp:inline distT="0" distB="0" distL="0" distR="0">
            <wp:extent cx="5274310" cy="3076575"/>
            <wp:effectExtent l="0" t="0" r="0" b="0"/>
            <wp:docPr id="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pPr>
        <w:spacing w:line="600" w:lineRule="exact"/>
        <w:ind w:firstLine="643" w:firstLineChars="200"/>
        <w:outlineLvl w:val="2"/>
        <w:rPr>
          <w:rFonts w:ascii="仿宋" w:eastAsia="仿宋"/>
          <w:color w:val="FF0000"/>
          <w:sz w:val="32"/>
          <w:szCs w:val="32"/>
        </w:rPr>
      </w:pPr>
      <w:bookmarkStart w:id="31" w:name="_Toc15377444"/>
      <w:bookmarkStart w:id="32" w:name="_Toc15378460"/>
      <w:bookmarkStart w:id="33" w:name="_Toc15377213"/>
      <w:r>
        <w:rPr>
          <w:rFonts w:hint="eastAsia" w:ascii="仿宋" w:eastAsia="仿宋"/>
          <w:b/>
          <w:sz w:val="32"/>
          <w:szCs w:val="32"/>
        </w:rPr>
        <w:t>2020年一般公共预算支出决算数为136.72</w:t>
      </w:r>
      <w:r>
        <w:rPr>
          <w:rFonts w:hint="eastAsia" w:ascii="仿宋" w:eastAsia="仿宋"/>
          <w:sz w:val="32"/>
          <w:szCs w:val="32"/>
        </w:rPr>
        <w:t>，</w:t>
      </w:r>
      <w:r>
        <w:rPr>
          <w:rStyle w:val="14"/>
          <w:rFonts w:hint="eastAsia" w:ascii="仿宋" w:eastAsia="仿宋"/>
          <w:bCs/>
          <w:sz w:val="32"/>
          <w:szCs w:val="32"/>
        </w:rPr>
        <w:t>完成预算</w:t>
      </w:r>
      <w:r>
        <w:rPr>
          <w:rStyle w:val="14"/>
          <w:rFonts w:hint="eastAsia" w:ascii="仿宋" w:eastAsia="仿宋"/>
          <w:bCs/>
          <w:sz w:val="32"/>
          <w:szCs w:val="32"/>
          <w:lang w:val="en-US" w:eastAsia="zh-CN"/>
        </w:rPr>
        <w:t>99.88</w:t>
      </w:r>
      <w:r>
        <w:rPr>
          <w:rStyle w:val="14"/>
          <w:rFonts w:ascii="仿宋" w:eastAsia="仿宋"/>
          <w:bCs/>
          <w:sz w:val="32"/>
          <w:szCs w:val="32"/>
        </w:rPr>
        <w:t>%</w:t>
      </w:r>
      <w:r>
        <w:rPr>
          <w:rStyle w:val="14"/>
          <w:rFonts w:hint="eastAsia" w:ascii="仿宋" w:eastAsia="仿宋"/>
          <w:bCs/>
          <w:sz w:val="32"/>
          <w:szCs w:val="32"/>
        </w:rPr>
        <w:t>。其中：</w:t>
      </w:r>
      <w:bookmarkEnd w:id="31"/>
      <w:bookmarkEnd w:id="32"/>
      <w:bookmarkEnd w:id="33"/>
    </w:p>
    <w:p>
      <w:pPr>
        <w:spacing w:line="600" w:lineRule="exact"/>
        <w:ind w:left="0" w:firstLine="643" w:firstLineChars="200"/>
        <w:rPr>
          <w:rStyle w:val="14"/>
          <w:rFonts w:hint="eastAsia" w:ascii="仿宋" w:eastAsia="仿宋"/>
          <w:b w:val="0"/>
          <w:bCs/>
          <w:color w:val="auto"/>
          <w:sz w:val="32"/>
          <w:szCs w:val="32"/>
        </w:rPr>
      </w:pPr>
      <w:r>
        <w:rPr>
          <w:rStyle w:val="14"/>
          <w:rFonts w:hint="eastAsia" w:ascii="仿宋" w:eastAsia="仿宋"/>
          <w:bCs/>
          <w:color w:val="auto"/>
          <w:sz w:val="32"/>
          <w:szCs w:val="32"/>
          <w:lang w:val="en-US" w:eastAsia="zh-CN"/>
        </w:rPr>
        <w:t>1.</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行政运行</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47.26</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99.98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bCs w:val="0"/>
          <w:color w:val="auto"/>
          <w:sz w:val="32"/>
          <w:szCs w:val="32"/>
          <w:lang w:val="en-US" w:eastAsia="zh-CN"/>
        </w:rPr>
      </w:pPr>
      <w:r>
        <w:rPr>
          <w:rStyle w:val="14"/>
          <w:rFonts w:hint="eastAsia" w:ascii="仿宋" w:eastAsia="仿宋"/>
          <w:bCs/>
          <w:color w:val="auto"/>
          <w:sz w:val="32"/>
          <w:szCs w:val="32"/>
          <w:lang w:val="en-US" w:eastAsia="zh-CN"/>
        </w:rPr>
        <w:t>2.</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
          <w:bCs w:val="0"/>
          <w:color w:val="auto"/>
          <w:sz w:val="32"/>
          <w:szCs w:val="32"/>
          <w:lang w:val="en-US" w:eastAsia="zh-CN"/>
        </w:rPr>
        <w:t>一般行政管理事务（项）：</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24.13</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:99.38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3.</w:t>
      </w:r>
      <w:r>
        <w:rPr>
          <w:rStyle w:val="14"/>
          <w:rFonts w:hint="eastAsia" w:ascii="仿宋" w:eastAsia="仿宋"/>
          <w:bCs/>
          <w:color w:val="auto"/>
          <w:sz w:val="32"/>
          <w:szCs w:val="32"/>
        </w:rPr>
        <w:t>文化旅游体育与传媒（类）</w:t>
      </w:r>
      <w:r>
        <w:rPr>
          <w:rStyle w:val="14"/>
          <w:rFonts w:hint="eastAsia" w:ascii="仿宋" w:eastAsia="仿宋"/>
          <w:bCs/>
          <w:color w:val="auto"/>
          <w:sz w:val="32"/>
          <w:szCs w:val="32"/>
          <w:lang w:val="en-US" w:eastAsia="zh-CN"/>
        </w:rPr>
        <w:t>其他文化旅游体育与传媒支出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宣传文化发展专项支出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支出决算为50万元，完成预算100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4.</w:t>
      </w:r>
      <w:r>
        <w:rPr>
          <w:rStyle w:val="14"/>
          <w:rFonts w:hint="eastAsia" w:ascii="仿宋" w:eastAsia="仿宋"/>
          <w:bCs/>
          <w:color w:val="auto"/>
          <w:sz w:val="32"/>
          <w:szCs w:val="32"/>
        </w:rPr>
        <w:t>社会保障和就业（类）</w:t>
      </w:r>
      <w:r>
        <w:rPr>
          <w:rStyle w:val="14"/>
          <w:rFonts w:hint="eastAsia" w:ascii="仿宋" w:eastAsia="仿宋"/>
          <w:bCs/>
          <w:color w:val="auto"/>
          <w:sz w:val="32"/>
          <w:szCs w:val="32"/>
          <w:lang w:val="en-US" w:eastAsia="zh-CN"/>
        </w:rPr>
        <w:t>行政事业单位养老支出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机关事业单位养老保险缴费支出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支出决算为4.17万元，完成预算100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lang w:eastAsia="zh-CN"/>
        </w:rPr>
      </w:pPr>
      <w:r>
        <w:rPr>
          <w:rFonts w:hint="eastAsia" w:ascii="仿宋" w:eastAsia="仿宋"/>
          <w:b/>
          <w:bCs/>
          <w:color w:val="auto"/>
          <w:sz w:val="32"/>
          <w:szCs w:val="32"/>
          <w:lang w:val="en-US" w:eastAsia="zh-CN"/>
        </w:rPr>
        <w:t>5.</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事业单位医疗</w:t>
      </w:r>
      <w:r>
        <w:rPr>
          <w:rStyle w:val="14"/>
          <w:rFonts w:hint="eastAsia" w:ascii="仿宋" w:eastAsia="仿宋"/>
          <w:bCs/>
          <w:color w:val="auto"/>
          <w:sz w:val="32"/>
          <w:szCs w:val="32"/>
        </w:rPr>
        <w:t>（项）</w:t>
      </w:r>
      <w:r>
        <w:rPr>
          <w:rStyle w:val="14"/>
          <w:rFonts w:hint="eastAsia" w:ascii="仿宋" w:eastAsia="仿宋"/>
          <w:bCs/>
          <w:color w:val="auto"/>
          <w:sz w:val="32"/>
          <w:szCs w:val="32"/>
          <w:lang w:eastAsia="zh-CN"/>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3.2万元，</w:t>
      </w:r>
      <w:r>
        <w:rPr>
          <w:rStyle w:val="14"/>
          <w:rFonts w:hint="eastAsia" w:ascii="仿宋" w:eastAsia="仿宋"/>
          <w:b w:val="0"/>
          <w:bCs/>
          <w:color w:val="auto"/>
          <w:sz w:val="32"/>
          <w:szCs w:val="32"/>
        </w:rPr>
        <w:t>完成预算100</w:t>
      </w:r>
      <w:r>
        <w:rPr>
          <w:rStyle w:val="14"/>
          <w:rFonts w:ascii="仿宋" w:eastAsia="仿宋"/>
          <w:b w:val="0"/>
          <w:bCs/>
          <w:color w:val="auto"/>
          <w:sz w:val="32"/>
          <w:szCs w:val="32"/>
        </w:rPr>
        <w:t>%</w:t>
      </w:r>
      <w:r>
        <w:rPr>
          <w:rStyle w:val="14"/>
          <w:rFonts w:hint="eastAsia" w:ascii="仿宋" w:eastAsia="仿宋"/>
          <w:b w:val="0"/>
          <w:bCs/>
          <w:color w:val="auto"/>
          <w:sz w:val="32"/>
          <w:szCs w:val="32"/>
          <w:lang w:eastAsia="zh-CN"/>
        </w:rPr>
        <w:t>。</w:t>
      </w:r>
    </w:p>
    <w:p>
      <w:pPr>
        <w:spacing w:line="600" w:lineRule="exact"/>
        <w:ind w:left="0" w:firstLine="643" w:firstLineChars="200"/>
        <w:rPr>
          <w:rFonts w:ascii="仿宋" w:eastAsia="仿宋"/>
          <w:b/>
          <w:color w:val="auto"/>
          <w:sz w:val="32"/>
          <w:szCs w:val="32"/>
        </w:rPr>
      </w:pPr>
      <w:r>
        <w:rPr>
          <w:rFonts w:hint="eastAsia" w:ascii="仿宋" w:eastAsia="仿宋"/>
          <w:b/>
          <w:bCs/>
          <w:color w:val="auto"/>
          <w:sz w:val="32"/>
          <w:szCs w:val="32"/>
          <w:lang w:val="en-US" w:eastAsia="zh-CN"/>
        </w:rPr>
        <w:t>6.</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公务员医疗补助</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0.55</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rPr>
      </w:pPr>
      <w:r>
        <w:rPr>
          <w:rFonts w:hint="eastAsia" w:ascii="仿宋" w:eastAsia="仿宋"/>
          <w:b/>
          <w:bCs/>
          <w:color w:val="auto"/>
          <w:sz w:val="32"/>
          <w:szCs w:val="32"/>
          <w:lang w:val="en-US" w:eastAsia="zh-CN"/>
        </w:rPr>
        <w:t>7.</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住房公积金</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4.23</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sz w:val="32"/>
          <w:szCs w:val="32"/>
        </w:rPr>
      </w:pPr>
      <w:r>
        <w:rPr>
          <w:rFonts w:hint="eastAsia" w:ascii="仿宋" w:eastAsia="仿宋"/>
          <w:b/>
          <w:bCs/>
          <w:color w:val="auto"/>
          <w:sz w:val="32"/>
          <w:szCs w:val="32"/>
          <w:lang w:val="en-US" w:eastAsia="zh-CN"/>
        </w:rPr>
        <w:t>8.</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购房补贴</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3.18</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tabs>
          <w:tab w:val="right" w:pos="8306"/>
        </w:tabs>
        <w:spacing w:line="600" w:lineRule="exact"/>
        <w:ind w:firstLine="640"/>
        <w:outlineLvl w:val="1"/>
        <w:rPr>
          <w:rStyle w:val="1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7"/>
          <w:rFonts w:hint="eastAsia" w:ascii="黑体" w:eastAsia="黑体"/>
          <w:b w:val="0"/>
        </w:rPr>
        <w:t>般公共预算财政拨款基本支出决算情况说明</w:t>
      </w:r>
      <w:bookmarkEnd w:id="34"/>
      <w:bookmarkEnd w:id="35"/>
      <w:r>
        <w:rPr>
          <w:rStyle w:val="17"/>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20年一般公共预算财政拨款基本支出64.02万元，其中：</w:t>
      </w:r>
    </w:p>
    <w:p>
      <w:pPr>
        <w:spacing w:line="600" w:lineRule="exact"/>
        <w:ind w:firstLine="645"/>
        <w:rPr>
          <w:rFonts w:ascii="仿宋" w:eastAsia="仿宋"/>
          <w:b/>
          <w:color w:val="auto"/>
          <w:sz w:val="32"/>
          <w:szCs w:val="32"/>
          <w:highlight w:val="none"/>
        </w:rPr>
      </w:pPr>
      <w:r>
        <w:rPr>
          <w:rFonts w:hint="eastAsia" w:ascii="仿宋" w:eastAsia="仿宋"/>
          <w:color w:val="auto"/>
          <w:sz w:val="32"/>
          <w:szCs w:val="32"/>
          <w:highlight w:val="none"/>
        </w:rPr>
        <w:t>人员经费52.5万元，主要包括：基本工资、津贴补贴、奖金、机关事业单位基本养老保险缴费、其他工资福利支出、</w:t>
      </w:r>
      <w:r>
        <w:rPr>
          <w:rFonts w:hint="eastAsia" w:ascii="仿宋" w:eastAsia="仿宋"/>
          <w:color w:val="auto"/>
          <w:sz w:val="32"/>
          <w:szCs w:val="32"/>
          <w:highlight w:val="none"/>
          <w:lang w:val="en-US" w:eastAsia="zh-CN"/>
        </w:rPr>
        <w:t>职工基本医疗保险缴费支出、公务员</w:t>
      </w:r>
      <w:r>
        <w:rPr>
          <w:rFonts w:hint="eastAsia" w:ascii="仿宋" w:eastAsia="仿宋"/>
          <w:color w:val="auto"/>
          <w:sz w:val="32"/>
          <w:szCs w:val="32"/>
          <w:highlight w:val="none"/>
        </w:rPr>
        <w:t>医疗</w:t>
      </w:r>
      <w:r>
        <w:rPr>
          <w:rFonts w:hint="eastAsia" w:ascii="仿宋" w:eastAsia="仿宋"/>
          <w:color w:val="auto"/>
          <w:sz w:val="32"/>
          <w:szCs w:val="32"/>
          <w:highlight w:val="none"/>
          <w:lang w:val="en-US" w:eastAsia="zh-CN"/>
        </w:rPr>
        <w:t>保险</w:t>
      </w:r>
      <w:r>
        <w:rPr>
          <w:rFonts w:hint="eastAsia" w:ascii="仿宋" w:eastAsia="仿宋"/>
          <w:color w:val="auto"/>
          <w:sz w:val="32"/>
          <w:szCs w:val="32"/>
          <w:highlight w:val="none"/>
        </w:rPr>
        <w:t>补助、住房公积金等。</w:t>
      </w:r>
      <w:r>
        <w:rPr>
          <w:rFonts w:ascii="仿宋" w:eastAsia="仿宋"/>
          <w:color w:val="auto"/>
          <w:sz w:val="32"/>
          <w:szCs w:val="32"/>
          <w:highlight w:val="none"/>
        </w:rPr>
        <w:br w:type="textWrapping"/>
      </w:r>
      <w:r>
        <w:rPr>
          <w:rFonts w:hint="eastAsia" w:ascii="仿宋" w:eastAsia="仿宋"/>
          <w:color w:val="auto"/>
          <w:sz w:val="32"/>
          <w:szCs w:val="32"/>
          <w:highlight w:val="none"/>
        </w:rPr>
        <w:t>　　公用经费11.52万元，主要包括：办公费、邮电费、物业管理费、差旅费、公务接待费、工会经费、福利费、其他交通费、其他商品和服务支出等。</w:t>
      </w:r>
    </w:p>
    <w:p>
      <w:pPr>
        <w:spacing w:line="600" w:lineRule="exact"/>
        <w:ind w:firstLine="640"/>
        <w:outlineLvl w:val="1"/>
        <w:rPr>
          <w:rStyle w:val="17"/>
          <w:rFonts w:ascii="黑体" w:eastAsia="黑体"/>
          <w:b w:val="0"/>
        </w:rPr>
      </w:pPr>
      <w:bookmarkStart w:id="36" w:name="_Toc15377215"/>
      <w:bookmarkStart w:id="37" w:name="_Toc15396609"/>
      <w:r>
        <w:rPr>
          <w:rFonts w:hint="eastAsia" w:ascii="黑体" w:eastAsia="黑体"/>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36"/>
      <w:bookmarkEnd w:id="37"/>
    </w:p>
    <w:p>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pPr>
        <w:spacing w:line="600" w:lineRule="exact"/>
        <w:ind w:firstLine="640"/>
        <w:rPr>
          <w:rFonts w:hint="eastAsia" w:ascii="仿宋" w:eastAsia="仿宋"/>
          <w:sz w:val="32"/>
          <w:szCs w:val="32"/>
          <w:lang w:eastAsia="zh-CN"/>
        </w:rPr>
      </w:pPr>
      <w:r>
        <w:rPr>
          <w:rFonts w:ascii="仿宋" w:eastAsia="仿宋"/>
          <w:sz w:val="32"/>
          <w:szCs w:val="32"/>
        </w:rPr>
        <w:t>20</w:t>
      </w:r>
      <w:r>
        <w:rPr>
          <w:rFonts w:hint="eastAsia" w:ascii="仿宋" w:eastAsia="仿宋"/>
          <w:sz w:val="32"/>
          <w:szCs w:val="32"/>
        </w:rPr>
        <w:t>20年“三公”经费财政拨款支出决算为0.1万元，完成预算100</w:t>
      </w:r>
      <w:r>
        <w:rPr>
          <w:rFonts w:ascii="仿宋" w:eastAsia="仿宋"/>
          <w:sz w:val="32"/>
          <w:szCs w:val="32"/>
        </w:rPr>
        <w:t>%</w:t>
      </w:r>
      <w:r>
        <w:rPr>
          <w:rFonts w:hint="eastAsia" w:ascii="仿宋" w:eastAsia="仿宋"/>
          <w:sz w:val="32"/>
          <w:szCs w:val="32"/>
        </w:rPr>
        <w:t>，决算数与预算数持平的主要原因是严格执行预算管理。</w:t>
      </w:r>
      <w:r>
        <w:rPr>
          <w:rFonts w:hint="eastAsia" w:ascii="仿宋" w:eastAsia="仿宋"/>
          <w:sz w:val="32"/>
          <w:szCs w:val="32"/>
          <w:lang w:eastAsia="zh-CN"/>
        </w:rPr>
        <w:t>与上年持平。</w:t>
      </w:r>
    </w:p>
    <w:p>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20年“三公”经费财政拨款支出决算中，公务接待费支出决算0.1万元，占100</w:t>
      </w:r>
      <w:r>
        <w:rPr>
          <w:rFonts w:ascii="仿宋" w:eastAsia="仿宋"/>
          <w:sz w:val="32"/>
          <w:szCs w:val="32"/>
        </w:rPr>
        <w:t>%</w:t>
      </w:r>
      <w:r>
        <w:rPr>
          <w:rFonts w:hint="eastAsia" w:ascii="仿宋" w:eastAsia="仿宋"/>
          <w:sz w:val="32"/>
          <w:szCs w:val="32"/>
        </w:rPr>
        <w:t>。具体情况如下：</w:t>
      </w:r>
    </w:p>
    <w:p>
      <w:pPr>
        <w:spacing w:line="600" w:lineRule="exact"/>
        <w:ind w:firstLine="640"/>
        <w:rPr>
          <w:rFonts w:hint="eastAsia" w:ascii="仿宋" w:eastAsia="仿宋"/>
          <w:sz w:val="32"/>
          <w:szCs w:val="32"/>
        </w:rPr>
      </w:pPr>
      <w:r>
        <w:rPr>
          <w:rFonts w:hint="eastAsia" w:ascii="仿宋" w:eastAsia="仿宋"/>
          <w:sz w:val="32"/>
          <w:szCs w:val="32"/>
        </w:rPr>
        <w:t>（图7：“三公”经费财政拨款支出结构）（饼状图）</w:t>
      </w:r>
    </w:p>
    <w:p>
      <w:pPr>
        <w:pStyle w:val="2"/>
        <w:rPr>
          <w:rFonts w:hint="eastAsia" w:eastAsia="仿宋"/>
          <w:lang w:eastAsia="zh-CN"/>
        </w:rPr>
      </w:pPr>
      <w:r>
        <w:rPr>
          <w:rFonts w:hint="eastAsia" w:eastAsia="仿宋"/>
          <w:lang w:eastAsia="zh-CN"/>
        </w:rPr>
        <w:drawing>
          <wp:inline distT="0" distB="0" distL="114300" distR="114300">
            <wp:extent cx="5079365" cy="38100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rPr>
        <w:t>0.1万元，</w:t>
      </w:r>
      <w:r>
        <w:rPr>
          <w:rStyle w:val="14"/>
          <w:rFonts w:hint="eastAsia" w:ascii="仿宋" w:eastAsia="仿宋"/>
          <w:b w:val="0"/>
          <w:bCs/>
          <w:sz w:val="32"/>
          <w:szCs w:val="32"/>
        </w:rPr>
        <w:t>完成预算100</w:t>
      </w:r>
      <w:r>
        <w:rPr>
          <w:rStyle w:val="14"/>
          <w:rFonts w:ascii="仿宋" w:eastAsia="仿宋"/>
          <w:b w:val="0"/>
          <w:bCs/>
          <w:sz w:val="32"/>
          <w:szCs w:val="32"/>
        </w:rPr>
        <w:t>%</w:t>
      </w:r>
      <w:r>
        <w:rPr>
          <w:rStyle w:val="14"/>
          <w:rFonts w:hint="eastAsia" w:ascii="仿宋" w:eastAsia="仿宋"/>
          <w:b w:val="0"/>
          <w:bCs/>
          <w:sz w:val="32"/>
          <w:szCs w:val="32"/>
        </w:rPr>
        <w:t>。</w:t>
      </w:r>
      <w:r>
        <w:rPr>
          <w:rFonts w:hint="eastAsia" w:ascii="仿宋_GB2312" w:eastAsia="仿宋_GB2312"/>
          <w:sz w:val="32"/>
          <w:szCs w:val="32"/>
        </w:rPr>
        <w:t>其中：</w:t>
      </w:r>
    </w:p>
    <w:p>
      <w:pPr>
        <w:pStyle w:val="2"/>
        <w:numPr>
          <w:numId w:val="0"/>
        </w:numPr>
        <w:rPr>
          <w:rFonts w:hint="eastAsia" w:ascii="仿宋" w:eastAsia="仿宋"/>
          <w:sz w:val="32"/>
          <w:szCs w:val="32"/>
          <w:lang w:eastAsia="zh-CN"/>
        </w:rPr>
      </w:pPr>
      <w:r>
        <w:rPr>
          <w:rFonts w:hint="eastAsia" w:ascii="仿宋" w:eastAsia="仿宋"/>
          <w:b/>
          <w:sz w:val="32"/>
          <w:szCs w:val="32"/>
        </w:rPr>
        <w:t>国内公务接待支出</w:t>
      </w:r>
      <w:r>
        <w:rPr>
          <w:rFonts w:hint="eastAsia" w:ascii="仿宋" w:eastAsia="仿宋"/>
          <w:sz w:val="32"/>
          <w:szCs w:val="32"/>
        </w:rPr>
        <w:t>0.1</w:t>
      </w:r>
      <w:r>
        <w:rPr>
          <w:rFonts w:hint="eastAsia" w:ascii="仿宋_GB2312" w:eastAsia="仿宋_GB2312"/>
          <w:sz w:val="32"/>
          <w:szCs w:val="32"/>
        </w:rPr>
        <w:t>万元，国内公务接待1批次，</w:t>
      </w:r>
      <w:r>
        <w:rPr>
          <w:rFonts w:hint="eastAsia" w:ascii="仿宋_GB2312" w:eastAsia="仿宋_GB2312"/>
          <w:sz w:val="32"/>
          <w:szCs w:val="32"/>
          <w:lang w:val="en-US" w:eastAsia="zh-CN"/>
        </w:rPr>
        <w:t>3</w:t>
      </w:r>
      <w:r>
        <w:rPr>
          <w:rFonts w:hint="eastAsia" w:ascii="仿宋_GB2312" w:eastAsia="仿宋_GB2312"/>
          <w:sz w:val="32"/>
          <w:szCs w:val="32"/>
        </w:rPr>
        <w:t>人次（不包</w:t>
      </w:r>
      <w:r>
        <w:rPr>
          <w:rFonts w:hint="eastAsia" w:ascii="仿宋_GB2312" w:eastAsia="仿宋_GB2312"/>
          <w:color w:val="auto"/>
          <w:sz w:val="32"/>
          <w:szCs w:val="32"/>
        </w:rPr>
        <w:t>括陪同人员），共计支出0.1万元</w:t>
      </w:r>
      <w:r>
        <w:rPr>
          <w:rFonts w:hint="eastAsia" w:ascii="仿宋_GB2312" w:eastAsia="仿宋_GB2312"/>
          <w:color w:val="auto"/>
          <w:sz w:val="32"/>
          <w:szCs w:val="32"/>
          <w:lang w:eastAsia="zh-CN"/>
        </w:rPr>
        <w:t>。</w:t>
      </w:r>
      <w:r>
        <w:rPr>
          <w:rStyle w:val="17"/>
          <w:rFonts w:hint="eastAsia" w:ascii="仿宋" w:hAnsi="仿宋" w:eastAsia="仿宋" w:cs="仿宋"/>
          <w:b w:val="0"/>
          <w:lang w:val="en-US"/>
        </w:rPr>
        <w:t>与上年相比无变化，</w:t>
      </w:r>
      <w:bookmarkStart w:id="60" w:name="_GoBack"/>
      <w:bookmarkEnd w:id="60"/>
      <w:r>
        <w:rPr>
          <w:rFonts w:hint="eastAsia" w:ascii="仿宋" w:eastAsia="仿宋"/>
          <w:sz w:val="32"/>
          <w:szCs w:val="32"/>
          <w:lang w:eastAsia="zh-CN"/>
        </w:rPr>
        <w:t>与上年持平。</w:t>
      </w:r>
    </w:p>
    <w:p>
      <w:pPr>
        <w:pStyle w:val="2"/>
        <w:numPr>
          <w:numId w:val="0"/>
        </w:numPr>
        <w:rPr>
          <w:rFonts w:hint="eastAsia"/>
          <w:sz w:val="32"/>
          <w:szCs w:val="32"/>
          <w:lang w:val="en-US" w:eastAsia="zh-CN"/>
        </w:rPr>
      </w:pPr>
      <w:r>
        <w:rPr>
          <w:rFonts w:hint="eastAsia"/>
          <w:b/>
          <w:bCs/>
          <w:sz w:val="32"/>
          <w:szCs w:val="32"/>
          <w:lang w:val="en-US" w:eastAsia="zh-CN"/>
        </w:rPr>
        <w:t>2.因公出国支出</w:t>
      </w:r>
      <w:r>
        <w:rPr>
          <w:rFonts w:hint="eastAsia"/>
          <w:lang w:val="en-US" w:eastAsia="zh-CN"/>
        </w:rPr>
        <w:t>：</w:t>
      </w:r>
      <w:r>
        <w:rPr>
          <w:rFonts w:hint="eastAsia"/>
          <w:sz w:val="32"/>
          <w:szCs w:val="32"/>
          <w:lang w:val="en-US" w:eastAsia="zh-CN"/>
        </w:rPr>
        <w:t>本年无因公出国费用，与上年相比无差异。</w:t>
      </w:r>
    </w:p>
    <w:p>
      <w:pPr>
        <w:pStyle w:val="2"/>
        <w:numPr>
          <w:numId w:val="0"/>
        </w:numPr>
        <w:rPr>
          <w:rFonts w:hint="eastAsia"/>
          <w:sz w:val="32"/>
          <w:szCs w:val="32"/>
          <w:lang w:val="en-US" w:eastAsia="zh-CN"/>
        </w:rPr>
      </w:pPr>
      <w:r>
        <w:rPr>
          <w:rFonts w:hint="eastAsia"/>
          <w:b/>
          <w:bCs/>
          <w:sz w:val="32"/>
          <w:szCs w:val="32"/>
          <w:lang w:val="en-US" w:eastAsia="zh-CN"/>
        </w:rPr>
        <w:t>3公务用车支出</w:t>
      </w:r>
      <w:r>
        <w:rPr>
          <w:rFonts w:hint="eastAsia"/>
          <w:lang w:val="en-US" w:eastAsia="zh-CN"/>
        </w:rPr>
        <w:t>：</w:t>
      </w:r>
      <w:r>
        <w:rPr>
          <w:rFonts w:hint="eastAsia"/>
          <w:sz w:val="32"/>
          <w:szCs w:val="32"/>
          <w:lang w:val="en-US" w:eastAsia="zh-CN"/>
        </w:rPr>
        <w:t>本单位无公务车，公务用车费用为零，与上年比无差异。</w:t>
      </w:r>
    </w:p>
    <w:p>
      <w:pPr>
        <w:numPr>
          <w:ilvl w:val="0"/>
          <w:numId w:val="2"/>
        </w:numPr>
        <w:spacing w:line="600" w:lineRule="exact"/>
        <w:ind w:left="0" w:firstLine="640"/>
        <w:outlineLvl w:val="1"/>
        <w:rPr>
          <w:rStyle w:val="17"/>
          <w:rFonts w:ascii="黑体" w:eastAsia="黑体"/>
          <w:b w:val="0"/>
        </w:rPr>
      </w:pPr>
      <w:bookmarkStart w:id="40" w:name="_Toc15396612"/>
      <w:bookmarkStart w:id="41" w:name="_Toc15377221"/>
      <w:r>
        <w:rPr>
          <w:rStyle w:val="17"/>
          <w:rFonts w:hint="eastAsia" w:ascii="黑体" w:eastAsia="黑体"/>
          <w:b w:val="0"/>
        </w:rPr>
        <w:t>其他重要事项的情况说明</w:t>
      </w:r>
      <w:bookmarkEnd w:id="40"/>
      <w:bookmarkEnd w:id="41"/>
    </w:p>
    <w:p>
      <w:pPr>
        <w:pStyle w:val="2"/>
        <w:numPr>
          <w:ilvl w:val="0"/>
          <w:numId w:val="3"/>
        </w:numPr>
        <w:rPr>
          <w:rStyle w:val="17"/>
          <w:rFonts w:hint="eastAsia" w:ascii="黑体" w:eastAsia="黑体"/>
          <w:b w:val="0"/>
          <w:lang w:val="en-US"/>
        </w:rPr>
      </w:pPr>
      <w:r>
        <w:rPr>
          <w:rStyle w:val="17"/>
          <w:rFonts w:hint="eastAsia" w:ascii="黑体" w:eastAsia="黑体"/>
          <w:b w:val="0"/>
          <w:lang w:val="en-US"/>
        </w:rPr>
        <w:t>政府采购支出：</w:t>
      </w:r>
      <w:r>
        <w:rPr>
          <w:rStyle w:val="17"/>
          <w:rFonts w:hint="eastAsia" w:ascii="仿宋" w:hAnsi="仿宋" w:eastAsia="仿宋" w:cs="仿宋"/>
          <w:b w:val="0"/>
          <w:lang w:val="en-US"/>
        </w:rPr>
        <w:t>本年政府采购为零，与上年相比无变化。</w:t>
      </w:r>
    </w:p>
    <w:p>
      <w:pPr>
        <w:pStyle w:val="2"/>
        <w:numPr>
          <w:ilvl w:val="0"/>
          <w:numId w:val="3"/>
        </w:numPr>
        <w:rPr>
          <w:rStyle w:val="17"/>
          <w:rFonts w:hint="eastAsia" w:ascii="仿宋" w:hAnsi="仿宋" w:eastAsia="仿宋" w:cs="仿宋"/>
          <w:b w:val="0"/>
          <w:lang w:val="en-US"/>
        </w:rPr>
      </w:pPr>
      <w:r>
        <w:rPr>
          <w:rStyle w:val="17"/>
          <w:rFonts w:hint="eastAsia" w:ascii="黑体" w:eastAsia="黑体"/>
          <w:b w:val="0"/>
          <w:lang w:val="en-US"/>
        </w:rPr>
        <w:t>国有资产占用情况：</w:t>
      </w:r>
      <w:r>
        <w:rPr>
          <w:rStyle w:val="17"/>
          <w:rFonts w:hint="eastAsia" w:ascii="仿宋" w:hAnsi="仿宋" w:eastAsia="仿宋" w:cs="仿宋"/>
          <w:b w:val="0"/>
          <w:lang w:val="en-US"/>
        </w:rPr>
        <w:t>本年国有资产占用情况与上年相比无变化。</w:t>
      </w:r>
    </w:p>
    <w:p>
      <w:pPr>
        <w:pStyle w:val="2"/>
        <w:numPr>
          <w:ilvl w:val="0"/>
          <w:numId w:val="3"/>
        </w:numPr>
        <w:rPr>
          <w:rStyle w:val="17"/>
          <w:rFonts w:hint="eastAsia" w:ascii="黑体" w:eastAsia="黑体"/>
          <w:b w:val="0"/>
          <w:lang w:val="en-US"/>
        </w:rPr>
      </w:pPr>
      <w:r>
        <w:rPr>
          <w:rStyle w:val="17"/>
          <w:rFonts w:hint="eastAsia" w:ascii="黑体" w:eastAsia="黑体"/>
          <w:b w:val="0"/>
          <w:lang w:val="en-US"/>
        </w:rPr>
        <w:t>公务用车购置及保有情况：</w:t>
      </w:r>
      <w:r>
        <w:rPr>
          <w:rFonts w:hint="eastAsia"/>
          <w:sz w:val="32"/>
          <w:szCs w:val="32"/>
          <w:lang w:val="en-US" w:eastAsia="zh-CN"/>
        </w:rPr>
        <w:t>本单位本年无公务用车购置情况，</w:t>
      </w:r>
      <w:r>
        <w:rPr>
          <w:rStyle w:val="17"/>
          <w:rFonts w:hint="eastAsia" w:ascii="仿宋" w:hAnsi="仿宋" w:eastAsia="仿宋" w:cs="仿宋"/>
          <w:b w:val="0"/>
          <w:lang w:val="en-US"/>
        </w:rPr>
        <w:t>本单位无公务车。与上年相比无变化。</w:t>
      </w:r>
    </w:p>
    <w:p>
      <w:pPr>
        <w:pStyle w:val="2"/>
        <w:numPr>
          <w:numId w:val="0"/>
        </w:numPr>
        <w:rPr>
          <w:rStyle w:val="17"/>
          <w:rFonts w:hint="eastAsia" w:ascii="仿宋" w:hAnsi="仿宋" w:eastAsia="仿宋" w:cs="仿宋"/>
          <w:b w:val="0"/>
          <w:lang w:val="en-US"/>
        </w:rPr>
      </w:pPr>
    </w:p>
    <w:p>
      <w:pPr>
        <w:spacing w:line="600" w:lineRule="exact"/>
        <w:ind w:firstLine="643" w:firstLineChars="200"/>
        <w:outlineLvl w:val="2"/>
        <w:rPr>
          <w:rFonts w:ascii="仿宋" w:eastAsia="仿宋"/>
          <w:sz w:val="32"/>
          <w:szCs w:val="32"/>
        </w:rPr>
      </w:pPr>
      <w:bookmarkStart w:id="42" w:name="_Toc15377222"/>
      <w:r>
        <w:rPr>
          <w:rFonts w:hint="eastAsia" w:ascii="仿宋" w:eastAsia="仿宋"/>
          <w:b/>
          <w:sz w:val="32"/>
          <w:szCs w:val="32"/>
        </w:rPr>
        <w:t>（一）机关运行经费支出情况</w:t>
      </w:r>
      <w:bookmarkEnd w:id="42"/>
    </w:p>
    <w:p>
      <w:pPr>
        <w:spacing w:line="600" w:lineRule="exact"/>
        <w:ind w:firstLine="640" w:firstLineChars="200"/>
        <w:rPr>
          <w:rFonts w:hint="eastAsia" w:ascii="仿宋_GB2312" w:eastAsia="仿宋_GB2312"/>
          <w:sz w:val="32"/>
          <w:szCs w:val="32"/>
          <w:highlight w:val="none"/>
          <w:lang w:eastAsia="zh-CN"/>
        </w:rPr>
      </w:pPr>
      <w:r>
        <w:rPr>
          <w:rFonts w:ascii="仿宋_GB2312" w:eastAsia="仿宋_GB2312"/>
          <w:sz w:val="32"/>
          <w:szCs w:val="32"/>
          <w:highlight w:val="none"/>
        </w:rPr>
        <w:t>20</w:t>
      </w:r>
      <w:r>
        <w:rPr>
          <w:rFonts w:hint="eastAsia" w:ascii="仿宋_GB2312" w:eastAsia="仿宋_GB2312"/>
          <w:sz w:val="32"/>
          <w:szCs w:val="32"/>
          <w:highlight w:val="none"/>
        </w:rPr>
        <w:t>20年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四川省思想政治工作研究会</w:t>
      </w:r>
      <w:r>
        <w:rPr>
          <w:rFonts w:hint="eastAsia" w:ascii="仿宋_GB2312" w:eastAsia="仿宋_GB2312"/>
          <w:sz w:val="32"/>
          <w:szCs w:val="32"/>
          <w:highlight w:val="none"/>
        </w:rPr>
        <w:t>运行经费支出</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万元，比</w:t>
      </w:r>
      <w:r>
        <w:rPr>
          <w:rFonts w:ascii="仿宋_GB2312" w:eastAsia="仿宋_GB2312"/>
          <w:sz w:val="32"/>
          <w:szCs w:val="32"/>
          <w:highlight w:val="none"/>
        </w:rPr>
        <w:t>201</w:t>
      </w:r>
      <w:r>
        <w:rPr>
          <w:rFonts w:hint="eastAsia" w:ascii="仿宋_GB2312" w:eastAsia="仿宋_GB2312"/>
          <w:sz w:val="32"/>
          <w:szCs w:val="32"/>
          <w:highlight w:val="none"/>
        </w:rPr>
        <w:t>9年</w:t>
      </w:r>
      <w:r>
        <w:rPr>
          <w:rFonts w:hint="eastAsia" w:ascii="仿宋_GB2312" w:eastAsia="仿宋_GB2312"/>
          <w:sz w:val="32"/>
          <w:szCs w:val="32"/>
          <w:highlight w:val="none"/>
          <w:lang w:val="en-US" w:eastAsia="zh-CN"/>
        </w:rPr>
        <w:t>增加1.51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增加20.16</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邮电费增加1.61万元</w:t>
      </w:r>
      <w:r>
        <w:rPr>
          <w:rFonts w:hint="eastAsia" w:ascii="仿宋_GB2312" w:eastAsia="仿宋_GB2312"/>
          <w:sz w:val="32"/>
          <w:szCs w:val="32"/>
          <w:highlight w:val="none"/>
        </w:rPr>
        <w:t>。</w:t>
      </w:r>
    </w:p>
    <w:p>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（二）预算绩效管理情况</w:t>
      </w:r>
    </w:p>
    <w:p>
      <w:pPr>
        <w:overflowPunct w:val="0"/>
        <w:adjustRightInd w:val="0"/>
        <w:snapToGrid w:val="0"/>
        <w:spacing w:line="576" w:lineRule="exact"/>
        <w:ind w:firstLine="640" w:firstLineChars="200"/>
        <w:rPr>
          <w:rFonts w:hint="eastAsia" w:ascii="仿宋_GB2312" w:eastAsia="仿宋_GB2312"/>
          <w:sz w:val="32"/>
          <w:szCs w:val="32"/>
          <w:lang w:eastAsia="zh-CN"/>
        </w:rPr>
      </w:pPr>
      <w:r>
        <w:rPr>
          <w:rFonts w:eastAsia="楷体_GB2312"/>
          <w:b w:val="0"/>
          <w:bCs/>
          <w:snapToGrid w:val="0"/>
          <w:kern w:val="0"/>
          <w:sz w:val="32"/>
          <w:szCs w:val="32"/>
          <w:highlight w:val="none"/>
        </w:rPr>
        <w:t>（</w:t>
      </w:r>
      <w:r>
        <w:rPr>
          <w:rFonts w:hint="eastAsia" w:eastAsia="楷体_GB2312"/>
          <w:b w:val="0"/>
          <w:bCs/>
          <w:snapToGrid w:val="0"/>
          <w:kern w:val="0"/>
          <w:sz w:val="32"/>
          <w:szCs w:val="32"/>
          <w:highlight w:val="none"/>
          <w:lang w:val="en-US" w:eastAsia="zh-CN"/>
        </w:rPr>
        <w:t>1</w:t>
      </w:r>
      <w:r>
        <w:rPr>
          <w:rFonts w:eastAsia="楷体_GB2312"/>
          <w:b w:val="0"/>
          <w:bCs/>
          <w:snapToGrid w:val="0"/>
          <w:kern w:val="0"/>
          <w:sz w:val="32"/>
          <w:szCs w:val="32"/>
          <w:highlight w:val="none"/>
        </w:rPr>
        <w:t>）项目绩效目标完成情况。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根据预算绩效管理要求，本单位没有</w:t>
      </w:r>
      <w:r>
        <w:rPr>
          <w:rFonts w:hint="eastAsia" w:ascii="仿宋_GB2312" w:eastAsia="仿宋_GB2312"/>
          <w:sz w:val="32"/>
          <w:szCs w:val="32"/>
          <w:lang w:val="en-US" w:eastAsia="zh-CN"/>
        </w:rPr>
        <w:t>100万（含100万）以上的预算项目，没有开展项目事前绩效评估、绩效目标编制、绩效监控、绩效目标完成情况自评等工作。</w:t>
      </w: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pStyle w:val="2"/>
        <w:rPr>
          <w:rFonts w:hint="eastAsia" w:ascii="仿宋_GB2312" w:eastAsia="仿宋_GB2312" w:cs="仿宋_GB2312"/>
          <w:color w:val="auto"/>
          <w:sz w:val="32"/>
          <w:szCs w:val="32"/>
        </w:rPr>
      </w:pPr>
      <w:r>
        <w:rPr>
          <w:rFonts w:hint="eastAsia"/>
          <w:lang w:val="en-US" w:eastAsia="zh-CN"/>
        </w:rPr>
        <w:t xml:space="preserve">    本单位没有组织开展项目绩效评价。</w:t>
      </w:r>
      <w:r>
        <w:rPr>
          <w:rFonts w:hint="eastAsia" w:ascii="仿宋_GB2312" w:eastAsia="仿宋_GB2312" w:cs="仿宋_GB2312"/>
          <w:color w:val="0000FF"/>
          <w:sz w:val="32"/>
          <w:szCs w:val="32"/>
        </w:rPr>
        <w:t xml:space="preserve">   </w:t>
      </w: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numPr>
          <w:ilvl w:val="0"/>
          <w:numId w:val="4"/>
        </w:numPr>
        <w:spacing w:line="600" w:lineRule="exact"/>
        <w:ind w:left="0" w:firstLine="660" w:firstLineChars="150"/>
        <w:jc w:val="center"/>
        <w:outlineLvl w:val="0"/>
        <w:rPr>
          <w:rStyle w:val="16"/>
          <w:rFonts w:ascii="黑体" w:eastAsia="黑体"/>
          <w:b w:val="0"/>
        </w:rPr>
      </w:pPr>
      <w:bookmarkStart w:id="43" w:name="_Toc15377225"/>
      <w:bookmarkStart w:id="44" w:name="_Toc15396613"/>
      <w:r>
        <w:rPr>
          <w:rFonts w:hint="eastAsia" w:ascii="黑体" w:eastAsia="黑体"/>
          <w:color w:val="000000"/>
          <w:sz w:val="44"/>
          <w:szCs w:val="44"/>
        </w:rPr>
        <w:t>名</w:t>
      </w:r>
      <w:r>
        <w:rPr>
          <w:rStyle w:val="16"/>
          <w:rFonts w:hint="eastAsia" w:ascii="黑体" w:eastAsia="黑体"/>
          <w:b w:val="0"/>
        </w:rPr>
        <w:t>词解释</w:t>
      </w:r>
      <w:bookmarkEnd w:id="43"/>
      <w:bookmarkEnd w:id="44"/>
    </w:p>
    <w:p>
      <w:pPr>
        <w:spacing w:line="600" w:lineRule="exact"/>
        <w:jc w:val="left"/>
        <w:rPr>
          <w:rFonts w:ascii="宋体"/>
          <w:b/>
          <w:color w:val="000000"/>
          <w:sz w:val="44"/>
          <w:szCs w:val="44"/>
        </w:rPr>
      </w:pPr>
    </w:p>
    <w:p>
      <w:pPr>
        <w:pStyle w:val="21"/>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w:t>
      </w:r>
      <w:r>
        <w:rPr>
          <w:rFonts w:hint="eastAsia" w:ascii="仿宋" w:hAnsi="仿宋" w:eastAsia="仿宋" w:cs="仿宋"/>
          <w:sz w:val="32"/>
          <w:szCs w:val="32"/>
        </w:rPr>
        <w:t>一般公共服务（类）宣传事务（款）行政运行（项）：指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．一般公共服务（类）宣传事务（款）一般行政管理事务（项）：指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未单独设置项级科目的其他项目支出。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文化旅游体育与传媒（类）</w:t>
      </w:r>
      <w:r>
        <w:rPr>
          <w:rStyle w:val="14"/>
          <w:rFonts w:hint="eastAsia" w:ascii="仿宋" w:hAnsi="仿宋" w:eastAsia="仿宋" w:cs="仿宋"/>
          <w:b w:val="0"/>
          <w:bCs w:val="0"/>
          <w:color w:val="auto"/>
          <w:sz w:val="32"/>
          <w:szCs w:val="32"/>
          <w:lang w:val="en-US" w:eastAsia="zh-CN"/>
        </w:rPr>
        <w:t>其他文化旅游体育与传媒支出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宣传文化发展专项支出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Style w:val="14"/>
          <w:rFonts w:hint="eastAsia" w:ascii="仿宋" w:hAnsi="仿宋" w:eastAsia="仿宋" w:cs="仿宋"/>
          <w:b w:val="0"/>
          <w:bCs w:val="0"/>
          <w:color w:val="auto"/>
          <w:sz w:val="32"/>
          <w:szCs w:val="32"/>
          <w:lang w:val="en-US" w:eastAsia="zh-CN"/>
        </w:rPr>
        <w:t>指思政会</w:t>
      </w:r>
      <w:r>
        <w:rPr>
          <w:rFonts w:hint="eastAsia" w:ascii="仿宋" w:hAnsi="仿宋" w:eastAsia="仿宋" w:cs="仿宋"/>
          <w:sz w:val="32"/>
          <w:szCs w:val="32"/>
        </w:rPr>
        <w:t>按照国家有关政策支持宣传文化单位发展的专项支出。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社会保障和就业（类）</w:t>
      </w:r>
      <w:r>
        <w:rPr>
          <w:rStyle w:val="14"/>
          <w:rFonts w:hint="eastAsia" w:ascii="仿宋" w:hAnsi="仿宋" w:eastAsia="仿宋" w:cs="仿宋"/>
          <w:b w:val="0"/>
          <w:bCs w:val="0"/>
          <w:color w:val="auto"/>
          <w:sz w:val="32"/>
          <w:szCs w:val="32"/>
          <w:lang w:val="en-US" w:eastAsia="zh-CN"/>
        </w:rPr>
        <w:t>行政事业单位养老支出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机关事业单位养老保险缴费支出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指机关事业单位实施养老保险制度由单位缴纳的基本养老保险。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事业单位医疗</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指用于事业单位医疗保险缴费经费，未参加医疗保险的事业单位的公费医疗经费，按国家规定享受离休人员待遇的医疗经费。</w:t>
      </w:r>
      <w:r>
        <w:rPr>
          <w:rStyle w:val="14"/>
          <w:rFonts w:hint="eastAsia" w:ascii="仿宋" w:hAnsi="仿宋" w:eastAsia="仿宋" w:cs="仿宋"/>
          <w:b w:val="0"/>
          <w:bCs w:val="0"/>
          <w:color w:val="auto"/>
          <w:sz w:val="32"/>
          <w:szCs w:val="32"/>
          <w:lang w:val="en-US" w:eastAsia="zh-CN"/>
        </w:rPr>
        <w:t xml:space="preserve">  </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公务员医疗补助</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指用于安排的公务员医疗补助经费</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住房公积金</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rPr>
        <w:t>指用于行政事业单位按人力资源和社会保障部、财政部规定的基本工资和津贴补贴以及规定比例为职工缴纳的住房公积金。</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购房补贴</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指用于按房改政策规定，行政事业单位向符合条件职工发放的用于购买住房的补贴。</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 xml:space="preserve">.项目支出：指在基本支出之外为完成特定行政任务和事业发展目标所发生的支出。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三公”经费：纳入省级财政预决算管理的“三公”经费，是指部门用财政拨款安排的因公出国（境）费、公务用车购置及运行费和公务接待费。其中，公务接待费反映单位按规定开支的各类公务接待（含外宾接待）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13</w:t>
      </w:r>
      <w:r>
        <w:rPr>
          <w:rFonts w:hint="eastAsia" w:ascii="仿宋" w:hAnsi="仿宋" w:eastAsia="仿宋" w:cs="仿宋"/>
          <w:sz w:val="32"/>
          <w:szCs w:val="32"/>
        </w:rPr>
        <w:t>.机关运行经费：为保障行政单位（含参照公务员法管理的事业单位）运行用于购买货物和服务的各项资金，包括办公、邮电费、</w:t>
      </w:r>
      <w:r>
        <w:rPr>
          <w:rFonts w:hint="eastAsia" w:ascii="仿宋" w:hAnsi="仿宋" w:eastAsia="仿宋" w:cs="仿宋"/>
          <w:sz w:val="32"/>
          <w:szCs w:val="32"/>
          <w:lang w:val="en-US" w:eastAsia="zh-CN"/>
        </w:rPr>
        <w:t>其他交通费用</w:t>
      </w:r>
      <w:r>
        <w:rPr>
          <w:rFonts w:hint="eastAsia" w:ascii="仿宋" w:hAnsi="仿宋" w:eastAsia="仿宋" w:cs="仿宋"/>
          <w:sz w:val="32"/>
          <w:szCs w:val="32"/>
        </w:rPr>
        <w:t>以及其他费用。</w:t>
      </w:r>
    </w:p>
    <w:p>
      <w:pPr>
        <w:pStyle w:val="21"/>
        <w:spacing w:line="560" w:lineRule="exact"/>
        <w:ind w:firstLine="640" w:firstLineChars="200"/>
        <w:rPr>
          <w:rFonts w:hint="eastAsia" w:ascii="仿宋" w:hAnsi="仿宋" w:eastAsia="仿宋" w:cs="仿宋"/>
          <w:sz w:val="32"/>
          <w:szCs w:val="32"/>
        </w:rPr>
      </w:pPr>
    </w:p>
    <w:p>
      <w:pPr>
        <w:pStyle w:val="21"/>
        <w:spacing w:line="560" w:lineRule="exact"/>
        <w:ind w:firstLine="640" w:firstLineChars="200"/>
        <w:rPr>
          <w:rFonts w:hint="eastAsia" w:ascii="仿宋" w:hAnsi="仿宋" w:eastAsia="仿宋" w:cs="仿宋"/>
          <w:sz w:val="32"/>
          <w:szCs w:val="32"/>
        </w:rPr>
      </w:pPr>
    </w:p>
    <w:p>
      <w:pPr>
        <w:rPr>
          <w:rFonts w:hint="eastAsia" w:ascii="宋体"/>
          <w:b/>
          <w:color w:val="000000"/>
          <w:sz w:val="44"/>
          <w:szCs w:val="44"/>
          <w:lang w:val="en-US" w:eastAsia="zh-CN"/>
        </w:rPr>
      </w:pPr>
      <w:bookmarkStart w:id="45" w:name="_Toc15377226"/>
    </w:p>
    <w:p>
      <w:pPr>
        <w:rPr>
          <w:rFonts w:hint="eastAsia" w:ascii="宋体"/>
          <w:b/>
          <w:color w:val="000000"/>
          <w:sz w:val="44"/>
          <w:szCs w:val="44"/>
          <w:lang w:val="en-US" w:eastAsia="zh-CN"/>
        </w:rPr>
      </w:pPr>
    </w:p>
    <w:p>
      <w:pPr>
        <w:pStyle w:val="2"/>
        <w:rPr>
          <w:rFonts w:hint="eastAsia"/>
          <w:lang w:val="en-US" w:eastAsia="zh-CN"/>
        </w:rPr>
      </w:pPr>
    </w:p>
    <w:p>
      <w:pPr>
        <w:pStyle w:val="2"/>
        <w:rPr>
          <w:rFonts w:hint="eastAsia"/>
          <w:lang w:val="en-US" w:eastAsia="zh-CN"/>
        </w:rPr>
      </w:pPr>
    </w:p>
    <w:p>
      <w:pPr>
        <w:jc w:val="center"/>
        <w:rPr>
          <w:rStyle w:val="16"/>
          <w:rFonts w:hint="eastAsia" w:ascii="黑体" w:eastAsia="黑体"/>
          <w:b w:val="0"/>
        </w:rPr>
      </w:pPr>
      <w:r>
        <w:rPr>
          <w:rFonts w:hint="eastAsia" w:ascii="黑体" w:eastAsia="黑体"/>
          <w:color w:val="000000"/>
          <w:sz w:val="44"/>
          <w:szCs w:val="44"/>
        </w:rPr>
        <w:t>第</w:t>
      </w:r>
      <w:r>
        <w:rPr>
          <w:rStyle w:val="16"/>
          <w:rFonts w:hint="eastAsia" w:ascii="黑体" w:eastAsia="黑体"/>
          <w:b w:val="0"/>
        </w:rPr>
        <w:t>四部分 附件</w:t>
      </w:r>
    </w:p>
    <w:p>
      <w:pPr>
        <w:ind w:firstLine="880" w:firstLineChars="200"/>
        <w:jc w:val="both"/>
        <w:rPr>
          <w:rStyle w:val="16"/>
          <w:rFonts w:hint="default" w:ascii="黑体" w:eastAsia="黑体"/>
          <w:b w:val="0"/>
          <w:lang w:val="en-US" w:eastAsia="zh-CN"/>
        </w:rPr>
      </w:pPr>
      <w:r>
        <w:rPr>
          <w:rStyle w:val="16"/>
          <w:rFonts w:hint="eastAsia" w:ascii="黑体" w:eastAsia="黑体"/>
          <w:b w:val="0"/>
        </w:rPr>
        <w:t>无。</w:t>
      </w:r>
    </w:p>
    <w:p>
      <w:pPr>
        <w:spacing w:line="600" w:lineRule="exact"/>
        <w:jc w:val="both"/>
        <w:outlineLvl w:val="0"/>
        <w:rPr>
          <w:rFonts w:hint="eastAsia" w:ascii="黑体" w:eastAsia="黑体"/>
          <w:color w:val="000000"/>
          <w:sz w:val="44"/>
          <w:szCs w:val="44"/>
        </w:rPr>
      </w:pPr>
      <w:bookmarkStart w:id="46" w:name="_Toc15396618"/>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spacing w:line="600" w:lineRule="exact"/>
        <w:jc w:val="center"/>
        <w:outlineLvl w:val="0"/>
        <w:rPr>
          <w:rFonts w:ascii="仿宋" w:eastAsia="仿宋"/>
          <w:color w:val="000000"/>
        </w:rPr>
      </w:pPr>
      <w:r>
        <w:rPr>
          <w:rFonts w:hint="eastAsia" w:ascii="黑体" w:eastAsia="黑体"/>
          <w:color w:val="000000"/>
          <w:sz w:val="44"/>
          <w:szCs w:val="44"/>
        </w:rPr>
        <w:t>第</w:t>
      </w:r>
      <w:r>
        <w:rPr>
          <w:rStyle w:val="16"/>
          <w:rFonts w:hint="eastAsia" w:ascii="黑体" w:eastAsia="黑体"/>
          <w:b w:val="0"/>
        </w:rPr>
        <w:t>五部分 附表</w:t>
      </w:r>
      <w:bookmarkEnd w:id="45"/>
      <w:bookmarkEnd w:id="46"/>
      <w:bookmarkStart w:id="47" w:name="_Toc15396619"/>
    </w:p>
    <w:bookmarkEnd w:id="47"/>
    <w:p>
      <w:pPr>
        <w:pStyle w:val="4"/>
        <w:rPr>
          <w:rFonts w:ascii="仿宋" w:eastAsia="仿宋"/>
          <w:color w:val="000000"/>
        </w:rPr>
      </w:pPr>
      <w:r>
        <w:rPr>
          <w:rFonts w:hint="eastAsia" w:ascii="仿宋" w:eastAsia="仿宋"/>
          <w:b w:val="0"/>
          <w:color w:val="000000"/>
        </w:rPr>
        <w:t>一、收</w:t>
      </w:r>
      <w:r>
        <w:rPr>
          <w:rStyle w:val="17"/>
          <w:rFonts w:hint="eastAsia" w:ascii="仿宋" w:eastAsia="仿宋"/>
          <w:b w:val="0"/>
          <w:bCs w:val="0"/>
        </w:rPr>
        <w:t>入支出决算总表</w:t>
      </w:r>
    </w:p>
    <w:p>
      <w:pPr>
        <w:pStyle w:val="4"/>
        <w:rPr>
          <w:rFonts w:ascii="仿宋" w:eastAsia="仿宋"/>
          <w:color w:val="000000"/>
        </w:rPr>
      </w:pPr>
      <w:bookmarkStart w:id="48" w:name="_Toc15396620"/>
      <w:r>
        <w:rPr>
          <w:rFonts w:hint="eastAsia" w:ascii="仿宋" w:eastAsia="仿宋"/>
          <w:b w:val="0"/>
          <w:color w:val="000000"/>
        </w:rPr>
        <w:t>二、收</w:t>
      </w:r>
      <w:r>
        <w:rPr>
          <w:rStyle w:val="17"/>
          <w:rFonts w:hint="eastAsia" w:ascii="仿宋" w:eastAsia="仿宋"/>
          <w:b w:val="0"/>
          <w:bCs w:val="0"/>
        </w:rPr>
        <w:t>入决算表</w:t>
      </w:r>
      <w:bookmarkEnd w:id="48"/>
    </w:p>
    <w:p>
      <w:pPr>
        <w:pStyle w:val="4"/>
        <w:rPr>
          <w:rFonts w:ascii="仿宋" w:eastAsia="仿宋"/>
          <w:color w:val="000000"/>
        </w:rPr>
      </w:pPr>
      <w:bookmarkStart w:id="49"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出决算表</w:t>
      </w:r>
      <w:bookmarkEnd w:id="49"/>
    </w:p>
    <w:p>
      <w:pPr>
        <w:pStyle w:val="4"/>
        <w:rPr>
          <w:rFonts w:ascii="仿宋" w:eastAsia="仿宋"/>
          <w:b w:val="0"/>
          <w:color w:val="000000"/>
        </w:rPr>
      </w:pPr>
      <w:bookmarkStart w:id="50"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50"/>
    </w:p>
    <w:p>
      <w:pPr>
        <w:pStyle w:val="4"/>
        <w:rPr>
          <w:rStyle w:val="17"/>
          <w:rFonts w:ascii="仿宋" w:eastAsia="仿宋"/>
          <w:b w:val="0"/>
          <w:bCs w:val="0"/>
        </w:rPr>
      </w:pPr>
      <w:bookmarkStart w:id="51"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w:t>
      </w:r>
      <w:bookmarkEnd w:id="51"/>
      <w:bookmarkStart w:id="52" w:name="_Toc15396624"/>
    </w:p>
    <w:p>
      <w:pPr>
        <w:pStyle w:val="4"/>
        <w:rPr>
          <w:rFonts w:ascii="仿宋" w:eastAsia="仿宋"/>
          <w:color w:val="000000"/>
        </w:rPr>
      </w:pPr>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52"/>
    </w:p>
    <w:p>
      <w:pPr>
        <w:pStyle w:val="4"/>
        <w:rPr>
          <w:rFonts w:ascii="仿宋" w:eastAsia="仿宋"/>
          <w:color w:val="000000"/>
        </w:rPr>
      </w:pPr>
      <w:bookmarkStart w:id="53"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53"/>
    </w:p>
    <w:p>
      <w:pPr>
        <w:pStyle w:val="4"/>
        <w:rPr>
          <w:rFonts w:ascii="仿宋" w:eastAsia="仿宋"/>
          <w:color w:val="000000"/>
        </w:rPr>
      </w:pPr>
      <w:bookmarkStart w:id="54"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54"/>
    </w:p>
    <w:p>
      <w:pPr>
        <w:pStyle w:val="4"/>
        <w:rPr>
          <w:rFonts w:ascii="仿宋" w:eastAsia="仿宋"/>
          <w:color w:val="000000"/>
        </w:rPr>
      </w:pPr>
      <w:bookmarkStart w:id="55"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55"/>
    </w:p>
    <w:p>
      <w:pPr>
        <w:pStyle w:val="4"/>
        <w:rPr>
          <w:rFonts w:ascii="仿宋" w:eastAsia="仿宋"/>
          <w:color w:val="000000"/>
        </w:rPr>
      </w:pPr>
      <w:bookmarkStart w:id="56"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56"/>
    </w:p>
    <w:p>
      <w:pPr>
        <w:pStyle w:val="4"/>
        <w:rPr>
          <w:rFonts w:hint="eastAsia" w:ascii="仿宋" w:eastAsia="仿宋"/>
          <w:color w:val="000000"/>
          <w:lang w:val="en-US" w:eastAsia="zh-CN"/>
        </w:rPr>
      </w:pPr>
      <w:bookmarkStart w:id="57"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57"/>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Fonts w:hint="eastAsia" w:ascii="仿宋" w:eastAsia="仿宋"/>
          <w:color w:val="000000"/>
          <w:lang w:val="en-US" w:eastAsia="zh-CN"/>
        </w:rPr>
      </w:pPr>
      <w:bookmarkStart w:id="58"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58"/>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Fonts w:ascii="仿宋" w:eastAsia="仿宋"/>
          <w:color w:val="000000"/>
        </w:rPr>
      </w:pPr>
    </w:p>
    <w:p>
      <w:pPr>
        <w:pStyle w:val="4"/>
        <w:rPr>
          <w:rFonts w:hint="eastAsia" w:ascii="仿宋" w:eastAsia="仿宋"/>
          <w:color w:val="000000"/>
          <w:lang w:val="en-US" w:eastAsia="zh-CN"/>
        </w:rPr>
      </w:pPr>
      <w:bookmarkStart w:id="59"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有资本经营预算财政拨款收入支出决算表</w:t>
      </w:r>
      <w:bookmarkEnd w:id="59"/>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Style w:val="17"/>
          <w:rFonts w:ascii="仿宋" w:eastAsia="仿宋"/>
          <w:b w:val="0"/>
          <w:bCs w:val="0"/>
        </w:rPr>
      </w:pPr>
    </w:p>
    <w:p>
      <w:pPr>
        <w:pStyle w:val="4"/>
        <w:rPr>
          <w:rFonts w:hint="eastAsia" w:ascii="仿宋" w:eastAsia="仿宋"/>
          <w:color w:val="000000"/>
          <w:lang w:val="en-US" w:eastAsia="zh-CN"/>
        </w:rPr>
      </w:pPr>
      <w:r>
        <w:rPr>
          <w:rStyle w:val="17"/>
          <w:rFonts w:hint="eastAsia" w:ascii="仿宋" w:eastAsia="仿宋"/>
          <w:b w:val="0"/>
          <w:bCs w:val="0"/>
        </w:rPr>
        <w:t>十四、国有资本经营预算财政拨款支出决算表</w:t>
      </w:r>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rPr>
          <w:rFonts w:eastAsia="仿宋"/>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兰亭黑_GBK">
    <w:altName w:val="微软雅黑"/>
    <w:panose1 w:val="00000000000000000000"/>
    <w:charset w:val="01"/>
    <w:family w:val="auto"/>
    <w:pitch w:val="default"/>
    <w:sig w:usb0="00000000" w:usb1="00000000" w:usb2="00000000" w:usb3="00000000" w:csb0="00000000" w:csb1="00000000"/>
  </w:font>
  <w:font w:name="Lucida Sans">
    <w:altName w:val="Lucida Sans Unicode"/>
    <w:panose1 w:val="020B0602030504020204"/>
    <w:charset w:val="01"/>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758907"/>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DB724"/>
    <w:multiLevelType w:val="singleLevel"/>
    <w:tmpl w:val="BC8DB724"/>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mE0MDdjODFlYTU5OTU1NmIwMjc2NWY2ZGI2ZjI4YWYifQ=="/>
  </w:docVars>
  <w:rsids>
    <w:rsidRoot w:val="00000000"/>
    <w:rsid w:val="02D809FB"/>
    <w:rsid w:val="05ED6DEB"/>
    <w:rsid w:val="17A743C6"/>
    <w:rsid w:val="196865F5"/>
    <w:rsid w:val="21522C0F"/>
    <w:rsid w:val="22181470"/>
    <w:rsid w:val="24CE05D2"/>
    <w:rsid w:val="27B244A1"/>
    <w:rsid w:val="28533FCF"/>
    <w:rsid w:val="2E3E2736"/>
    <w:rsid w:val="31145F0F"/>
    <w:rsid w:val="31D10729"/>
    <w:rsid w:val="32F76D3C"/>
    <w:rsid w:val="33567E1C"/>
    <w:rsid w:val="33CB679A"/>
    <w:rsid w:val="346A4783"/>
    <w:rsid w:val="36000A32"/>
    <w:rsid w:val="3B863E57"/>
    <w:rsid w:val="46873718"/>
    <w:rsid w:val="47080EB8"/>
    <w:rsid w:val="49B51818"/>
    <w:rsid w:val="4A63694D"/>
    <w:rsid w:val="4B685D78"/>
    <w:rsid w:val="4B8C3F73"/>
    <w:rsid w:val="53B2679D"/>
    <w:rsid w:val="547B4A85"/>
    <w:rsid w:val="578340F4"/>
    <w:rsid w:val="58B5698B"/>
    <w:rsid w:val="5D1943FA"/>
    <w:rsid w:val="5F3106F1"/>
    <w:rsid w:val="61933166"/>
    <w:rsid w:val="64F20CA0"/>
    <w:rsid w:val="68400024"/>
    <w:rsid w:val="685E48AF"/>
    <w:rsid w:val="6A590689"/>
    <w:rsid w:val="6D2754E1"/>
    <w:rsid w:val="6D9A73F8"/>
    <w:rsid w:val="6FEA3FF6"/>
    <w:rsid w:val="734F51F2"/>
    <w:rsid w:val="78280C93"/>
    <w:rsid w:val="788B519A"/>
    <w:rsid w:val="7BD43447"/>
    <w:rsid w:val="7CC20D97"/>
    <w:rsid w:val="7F387D32"/>
    <w:rsid w:val="7F400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4">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25">
    <w:name w:val="font0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122.92</c:v>
                </c:pt>
                <c:pt idx="1">
                  <c:v>136.72</c:v>
                </c:pt>
              </c:numCache>
            </c:numRef>
          </c:val>
        </c:ser>
        <c:ser>
          <c:idx val="1"/>
          <c:order val="1"/>
          <c:tx>
            <c:strRef>
              <c:f>'Sheet1'!$C$1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收入合计</a:t>
            </a:r>
            <a:endParaRPr lang="zh-CN"/>
          </a:p>
        </c:rich>
      </c:tx>
      <c:layout/>
      <c:overlay val="0"/>
      <c:spPr>
        <a:ln>
          <a:noFill/>
        </a:ln>
      </c:spPr>
    </c:title>
    <c:autoTitleDeleted val="0"/>
    <c:plotArea>
      <c:layout/>
      <c:pieChart>
        <c:varyColors val="1"/>
        <c:ser>
          <c:idx val="0"/>
          <c:order val="0"/>
          <c:tx>
            <c:strRef>
              <c:f>'Sheet1 (2)'!$B$1</c:f>
              <c:strCache>
                <c:ptCount val="1"/>
                <c:pt idx="0">
                  <c:v>收入合计</c:v>
                </c:pt>
              </c:strCache>
            </c:strRef>
          </c:tx>
          <c:spPr>
            <a:ln>
              <a:noFill/>
            </a:ln>
          </c:spPr>
          <c:explosion val="0"/>
          <c:dPt>
            <c:idx val="0"/>
            <c:bubble3D val="0"/>
            <c:spPr>
              <a:solidFill>
                <a:srgbClr val="4F81BD"/>
              </a:solidFill>
            </c:spPr>
          </c:dPt>
          <c:dLbls>
            <c:dLbl>
              <c:idx val="0"/>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(2)'!$A$2</c:f>
              <c:strCache>
                <c:ptCount val="1"/>
                <c:pt idx="0">
                  <c:v>一般公共预算财政拨款收入</c:v>
                </c:pt>
              </c:strCache>
            </c:strRef>
          </c:cat>
          <c:val>
            <c:numRef>
              <c:f>Sheet1 (2)!$B$2</c:f>
              <c:numCache>
                <c:formatCode>General</c:formatCode>
                <c:ptCount val="1"/>
                <c:pt idx="0">
                  <c:v>136.72</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支出合计</a:t>
            </a:r>
            <a:endParaRPr lang="zh-CN"/>
          </a:p>
        </c:rich>
      </c:tx>
      <c:layout/>
      <c:overlay val="0"/>
      <c:spPr>
        <a:ln>
          <a:noFill/>
        </a:ln>
      </c:spPr>
    </c:title>
    <c:autoTitleDeleted val="0"/>
    <c:plotArea>
      <c:layout/>
      <c:pieChart>
        <c:varyColors val="1"/>
        <c:ser>
          <c:idx val="0"/>
          <c:order val="0"/>
          <c:tx>
            <c:strRef>
              <c:f>'Sheet1 (3)'!$B$1</c:f>
              <c:strCache>
                <c:ptCount val="1"/>
                <c:pt idx="0">
                  <c:v>支出合计</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(3)'!$A$2:$A$5</c:f>
              <c:strCache>
                <c:ptCount val="4"/>
                <c:pt idx="0">
                  <c:v>基本支出</c:v>
                </c:pt>
                <c:pt idx="1">
                  <c:v>项目支出</c:v>
                </c:pt>
              </c:strCache>
            </c:strRef>
          </c:cat>
          <c:val>
            <c:numRef>
              <c:f>'Sheet1 (3)'!$B$2:$B$5</c:f>
              <c:numCache>
                <c:formatCode>General</c:formatCode>
                <c:ptCount val="4"/>
                <c:pt idx="0">
                  <c:v>64.02</c:v>
                </c:pt>
                <c:pt idx="1">
                  <c:v>72.7</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 (4)'!$B$1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(4)'!$B$2:$B$5</c:f>
              <c:numCache>
                <c:formatCode>General</c:formatCode>
                <c:ptCount val="4"/>
                <c:pt idx="0">
                  <c:v>122.92</c:v>
                </c:pt>
                <c:pt idx="1">
                  <c:v>136.72</c:v>
                </c:pt>
              </c:numCache>
            </c:numRef>
          </c:val>
        </c:ser>
        <c:ser>
          <c:idx val="1"/>
          <c:order val="1"/>
          <c:tx>
            <c:strRef>
              <c:f>'Sheet1 (4)'!$C$1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barChart>
        <c:barDir val="col"/>
        <c:grouping val="stacked"/>
        <c:varyColors val="0"/>
        <c:ser>
          <c:idx val="0"/>
          <c:order val="0"/>
          <c:tx>
            <c:strRef>
              <c:f>'Sheet1 (5)'!$B$1</c:f>
              <c:strCache>
                <c:ptCount val="1"/>
                <c:pt idx="0">
                  <c:v>一般公共预算财政拨款支出</c:v>
                </c:pt>
              </c:strCache>
            </c:strRef>
          </c:tx>
          <c:spPr>
            <a:solidFill>
              <a:srgbClr val="4F81BD"/>
            </a:solidFill>
            <a:ln>
              <a:noFill/>
            </a:ln>
          </c:spPr>
          <c:invertIfNegative val="0"/>
          <c:dLbls>
            <c:dLbl>
              <c:idx val="0"/>
              <c:delete val="1"/>
            </c:dLbl>
            <c:dLbl>
              <c:idx val="1"/>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(5)'!$A$2:$A$3</c:f>
              <c:strCache>
                <c:ptCount val="2"/>
                <c:pt idx="0">
                  <c:v>2019年</c:v>
                </c:pt>
                <c:pt idx="1">
                  <c:v>2020年</c:v>
                </c:pt>
              </c:strCache>
            </c:strRef>
          </c:cat>
          <c:val>
            <c:numRef>
              <c:f>'Sheet1 (5)'!$B$2:$B$3</c:f>
              <c:numCache>
                <c:formatCode>General</c:formatCode>
                <c:ptCount val="2"/>
                <c:pt idx="0">
                  <c:v>122.92</c:v>
                </c:pt>
                <c:pt idx="1">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pieChart>
        <c:varyColors val="1"/>
        <c:ser>
          <c:idx val="0"/>
          <c:order val="0"/>
          <c:tx>
            <c:strRef>
              <c:f>'Sheet1 (6)'!$B$1</c:f>
              <c:strCache>
                <c:ptCount val="1"/>
                <c:pt idx="0">
                  <c:v>一般公共预算财政拨款支出</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dLbl>
              <c:idx val="0"/>
              <c:delete val="1"/>
            </c:dLbl>
            <c:dLbl>
              <c:idx val="1"/>
              <c:delete val="1"/>
            </c:dLbl>
            <c:dLbl>
              <c:idx val="2"/>
              <c:delete val="1"/>
            </c:dLbl>
            <c:dLbl>
              <c:idx val="3"/>
              <c:delete val="1"/>
            </c:dLbl>
            <c:dLbl>
              <c:idx val="4"/>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(6)'!$A$2:$A$6</c:f>
              <c:strCache>
                <c:ptCount val="5"/>
                <c:pt idx="0">
                  <c:v>一般公共服务（类）支出</c:v>
                </c:pt>
                <c:pt idx="1">
                  <c:v>文化旅游体育与传媒（类）支出</c:v>
                </c:pt>
                <c:pt idx="2">
                  <c:v>社会保障和就业（类）支出</c:v>
                </c:pt>
                <c:pt idx="3">
                  <c:v>卫生健康支出</c:v>
                </c:pt>
                <c:pt idx="4">
                  <c:v>住房保障支出</c:v>
                </c:pt>
              </c:strCache>
            </c:strRef>
          </c:cat>
          <c:val>
            <c:numRef>
              <c:f>'Sheet1 (6)'!$B$2:$B$6</c:f>
              <c:numCache>
                <c:formatCode>General</c:formatCode>
                <c:ptCount val="5"/>
                <c:pt idx="0">
                  <c:v>71.39</c:v>
                </c:pt>
                <c:pt idx="1">
                  <c:v>50</c:v>
                </c:pt>
                <c:pt idx="2">
                  <c:v>4.17</c:v>
                </c:pt>
                <c:pt idx="3">
                  <c:v>3.75</c:v>
                </c:pt>
                <c:pt idx="4">
                  <c:v>7.41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三公经费</a:t>
            </a:r>
            <a:endParaRPr lang="zh-CN"/>
          </a:p>
        </c:rich>
      </c:tx>
      <c:layout/>
      <c:overlay val="0"/>
      <c:spPr>
        <a:noFill/>
        <a:ln>
          <a:noFill/>
        </a:ln>
      </c:spPr>
    </c:title>
    <c:autoTitleDeleted val="0"/>
    <c:plotArea>
      <c:layout/>
      <c:pieChart>
        <c:varyColors val="1"/>
        <c:ser>
          <c:idx val="0"/>
          <c:order val="0"/>
          <c:tx>
            <c:strRef>
              <c:f>'Sheet1 (7)'!$B$1</c:f>
              <c:strCache>
                <c:ptCount val="1"/>
                <c:pt idx="0">
                  <c:v>三公经费</c:v>
                </c:pt>
              </c:strCache>
            </c:strRef>
          </c:tx>
          <c:spPr>
            <a:ln>
              <a:noFill/>
            </a:ln>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公务接待费</c:v>
                </c:pt>
                <c:pt idx="1">
                  <c:v>公务用车购置及运行费</c:v>
                </c:pt>
                <c:pt idx="2">
                  <c:v>因公出国（境）费</c:v>
                </c:pt>
              </c:strCache>
            </c:strRef>
          </c:cat>
          <c:val>
            <c:numRef>
              <c:f>'Sheet1 (7)'!$B$2:$B$4</c:f>
              <c:numCache>
                <c:formatCode>General</c:formatCode>
                <c:ptCount val="3"/>
                <c:pt idx="0">
                  <c:v>1000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19</Pages>
  <Words>4325</Words>
  <Characters>4678</Characters>
  <Lines>535</Lines>
  <Paragraphs>229</Paragraphs>
  <TotalTime>2</TotalTime>
  <ScaleCrop>false</ScaleCrop>
  <LinksUpToDate>false</LinksUpToDate>
  <CharactersWithSpaces>4723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2021-09-02T08:08:00Z</dcterms:created>
  <dc:creator>曹颖</dc:creator>
  <cp:lastModifiedBy>Administrator</cp:lastModifiedBy>
  <cp:lastPrinted>2021-08-17T08:06:00Z</cp:lastPrinted>
  <dcterms:modified xsi:type="dcterms:W3CDTF">2022-08-11T08:52:46Z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076B39FDB6C2476690D7D68987DFF34E</vt:lpwstr>
  </property>
</Properties>
</file>