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eastAsia="方正小标宋简体"/>
          <w:color w:val="000000"/>
          <w:sz w:val="72"/>
          <w:szCs w:val="72"/>
        </w:rPr>
      </w:pPr>
      <w:bookmarkStart w:id="0" w:name="_Toc15306267"/>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color w:val="000000"/>
          <w:sz w:val="72"/>
          <w:szCs w:val="72"/>
        </w:rPr>
      </w:pPr>
    </w:p>
    <w:bookmarkEnd w:id="0"/>
    <w:p>
      <w:pPr>
        <w:overflowPunct w:val="0"/>
        <w:adjustRightInd w:val="0"/>
        <w:snapToGrid w:val="0"/>
        <w:jc w:val="center"/>
        <w:rPr>
          <w:rFonts w:eastAsia="方正小标宋_GBK"/>
          <w:b/>
          <w:snapToGrid w:val="0"/>
          <w:color w:val="000000"/>
          <w:kern w:val="0"/>
          <w:sz w:val="60"/>
          <w:szCs w:val="60"/>
        </w:rPr>
      </w:pPr>
      <w:bookmarkStart w:id="1" w:name="_Toc15396475"/>
      <w:bookmarkStart w:id="2" w:name="_Toc15377425"/>
      <w:bookmarkStart w:id="3" w:name="_Toc15378441"/>
      <w:bookmarkStart w:id="4" w:name="_Toc15396597"/>
      <w:bookmarkStart w:id="5" w:name="_Toc15377193"/>
      <w:r>
        <w:rPr>
          <w:rFonts w:eastAsia="方正小标宋_GBK"/>
          <w:b/>
          <w:snapToGrid w:val="0"/>
          <w:color w:val="000000"/>
          <w:kern w:val="0"/>
          <w:sz w:val="60"/>
          <w:szCs w:val="60"/>
        </w:rPr>
        <w:t>20</w:t>
      </w:r>
      <w:r>
        <w:rPr>
          <w:rFonts w:hint="eastAsia" w:eastAsia="方正小标宋_GBK"/>
          <w:b/>
          <w:snapToGrid w:val="0"/>
          <w:color w:val="000000"/>
          <w:kern w:val="0"/>
          <w:sz w:val="60"/>
          <w:szCs w:val="60"/>
          <w:lang w:val="en-US" w:eastAsia="zh-CN"/>
        </w:rPr>
        <w:t>20</w:t>
      </w:r>
      <w:r>
        <w:rPr>
          <w:rFonts w:eastAsia="方正小标宋_GBK"/>
          <w:b/>
          <w:snapToGrid w:val="0"/>
          <w:color w:val="000000"/>
          <w:kern w:val="0"/>
          <w:sz w:val="60"/>
          <w:szCs w:val="60"/>
        </w:rPr>
        <w:t>年度</w:t>
      </w:r>
      <w:bookmarkEnd w:id="1"/>
      <w:bookmarkEnd w:id="2"/>
      <w:bookmarkEnd w:id="3"/>
      <w:bookmarkEnd w:id="4"/>
      <w:bookmarkEnd w:id="5"/>
      <w:bookmarkStart w:id="6" w:name="_Toc15377194"/>
      <w:bookmarkStart w:id="7" w:name="_Toc15396476"/>
      <w:bookmarkStart w:id="8" w:name="_Toc15396598"/>
      <w:bookmarkStart w:id="9" w:name="_Toc15378442"/>
      <w:bookmarkStart w:id="10" w:name="_Toc15377426"/>
    </w:p>
    <w:p>
      <w:pPr>
        <w:overflowPunct w:val="0"/>
        <w:adjustRightInd w:val="0"/>
        <w:snapToGrid w:val="0"/>
        <w:jc w:val="center"/>
        <w:rPr>
          <w:rFonts w:eastAsia="方正小标宋_GBK"/>
          <w:b/>
          <w:snapToGrid w:val="0"/>
          <w:color w:val="000000"/>
          <w:kern w:val="0"/>
          <w:sz w:val="60"/>
          <w:szCs w:val="60"/>
        </w:rPr>
      </w:pPr>
      <w:r>
        <w:rPr>
          <w:rFonts w:eastAsia="方正小标宋_GBK"/>
          <w:b/>
          <w:snapToGrid w:val="0"/>
          <w:color w:val="000000"/>
          <w:kern w:val="0"/>
          <w:sz w:val="60"/>
          <w:szCs w:val="60"/>
        </w:rPr>
        <w:t>中共四川省</w:t>
      </w:r>
      <w:bookmarkStart w:id="11" w:name="_Toc15306268"/>
      <w:r>
        <w:rPr>
          <w:rFonts w:eastAsia="方正小标宋_GBK"/>
          <w:b/>
          <w:snapToGrid w:val="0"/>
          <w:color w:val="000000"/>
          <w:kern w:val="0"/>
          <w:sz w:val="60"/>
          <w:szCs w:val="60"/>
        </w:rPr>
        <w:t>委宣传部部门决算</w:t>
      </w:r>
      <w:bookmarkEnd w:id="6"/>
      <w:bookmarkEnd w:id="7"/>
      <w:bookmarkEnd w:id="8"/>
      <w:bookmarkEnd w:id="9"/>
      <w:bookmarkEnd w:id="10"/>
      <w:bookmarkEnd w:id="11"/>
    </w:p>
    <w:p>
      <w:pPr>
        <w:widowControl/>
        <w:jc w:val="center"/>
        <w:rPr>
          <w:rFonts w:ascii="黑体" w:eastAsia="黑体"/>
          <w:color w:val="000000"/>
          <w:sz w:val="48"/>
          <w:szCs w:val="48"/>
        </w:rPr>
      </w:pPr>
      <w:r>
        <w:rPr>
          <w:rFonts w:ascii="方正小标宋简体" w:eastAsia="方正小标宋简体"/>
          <w:color w:val="000000"/>
          <w:sz w:val="36"/>
          <w:szCs w:val="36"/>
        </w:rPr>
        <w:br w:type="page"/>
      </w:r>
      <w:r>
        <w:rPr>
          <w:rFonts w:hint="eastAsia" w:ascii="黑体" w:eastAsia="黑体"/>
          <w:b/>
          <w:bCs/>
          <w:color w:val="000000"/>
          <w:sz w:val="48"/>
          <w:szCs w:val="48"/>
        </w:rPr>
        <w:t>目</w:t>
      </w:r>
      <w:r>
        <w:rPr>
          <w:rFonts w:hint="eastAsia" w:ascii="黑体" w:eastAsia="黑体"/>
          <w:b/>
          <w:bCs/>
          <w:color w:val="000000"/>
          <w:sz w:val="48"/>
          <w:szCs w:val="48"/>
          <w:lang w:val="en-US" w:eastAsia="zh-CN"/>
        </w:rPr>
        <w:t xml:space="preserve">  </w:t>
      </w:r>
      <w:r>
        <w:rPr>
          <w:rFonts w:hint="eastAsia" w:ascii="黑体" w:eastAsia="黑体"/>
          <w:b/>
          <w:bCs/>
          <w:color w:val="000000"/>
          <w:sz w:val="48"/>
          <w:szCs w:val="48"/>
        </w:rPr>
        <w:t>录</w:t>
      </w:r>
    </w:p>
    <w:p>
      <w:pPr>
        <w:widowControl/>
        <w:jc w:val="center"/>
        <w:rPr>
          <w:rFonts w:ascii="黑体" w:eastAsia="黑体" w:cs="Arial"/>
          <w:sz w:val="28"/>
          <w:szCs w:val="28"/>
        </w:rPr>
      </w:pPr>
    </w:p>
    <w:p>
      <w:pPr>
        <w:pStyle w:val="10"/>
        <w:rPr>
          <w:b/>
          <w:bCs/>
          <w:highlight w:val="none"/>
        </w:rPr>
      </w:pPr>
      <w:r>
        <w:rPr>
          <w:rFonts w:hint="eastAsia"/>
          <w:b/>
          <w:bCs/>
        </w:rPr>
        <w:t>公开时间：</w:t>
      </w:r>
      <w:r>
        <w:rPr>
          <w:rFonts w:hint="eastAsia"/>
          <w:b/>
          <w:bCs/>
          <w:highlight w:val="none"/>
        </w:rPr>
        <w:t>202</w:t>
      </w:r>
      <w:r>
        <w:rPr>
          <w:rFonts w:hint="eastAsia"/>
          <w:b/>
          <w:bCs/>
          <w:highlight w:val="none"/>
          <w:lang w:val="en-US" w:eastAsia="zh-CN"/>
        </w:rPr>
        <w:t>1</w:t>
      </w:r>
      <w:r>
        <w:rPr>
          <w:rFonts w:hint="eastAsia"/>
          <w:b/>
          <w:bCs/>
          <w:highlight w:val="none"/>
        </w:rPr>
        <w:t>年</w:t>
      </w:r>
      <w:r>
        <w:rPr>
          <w:rFonts w:hint="eastAsia"/>
          <w:b/>
          <w:bCs/>
          <w:highlight w:val="none"/>
          <w:lang w:val="en-US" w:eastAsia="zh-CN"/>
        </w:rPr>
        <w:t>8</w:t>
      </w:r>
      <w:r>
        <w:rPr>
          <w:rFonts w:hint="eastAsia"/>
          <w:b/>
          <w:bCs/>
          <w:highlight w:val="none"/>
        </w:rPr>
        <w:t>月3</w:t>
      </w:r>
      <w:r>
        <w:rPr>
          <w:rFonts w:hint="eastAsia"/>
          <w:b/>
          <w:bCs/>
          <w:highlight w:val="none"/>
          <w:lang w:val="en-US" w:eastAsia="zh-CN"/>
        </w:rPr>
        <w:t>0</w:t>
      </w:r>
      <w:r>
        <w:rPr>
          <w:rFonts w:hint="eastAsia"/>
          <w:b/>
          <w:bCs/>
          <w:highlight w:val="none"/>
        </w:rPr>
        <w:t>日</w:t>
      </w:r>
    </w:p>
    <w:p/>
    <w:p>
      <w:pPr>
        <w:pStyle w:val="10"/>
        <w:tabs>
          <w:tab w:val="right" w:leader="dot" w:pos="8306"/>
          <w:tab w:val="clear" w:pos="8296"/>
        </w:tabs>
        <w:overflowPunct w:val="0"/>
        <w:adjustRightInd w:val="0"/>
        <w:snapToGrid w:val="0"/>
        <w:spacing w:before="0" w:line="600" w:lineRule="exact"/>
        <w:jc w:val="both"/>
        <w:rPr>
          <w:rFonts w:ascii="Times New Roman" w:hAnsi="Times New Roman" w:eastAsia="仿宋_GB2312"/>
          <w:b/>
          <w:snapToGrid w:val="0"/>
          <w:kern w:val="0"/>
          <w:sz w:val="32"/>
        </w:rPr>
      </w:pPr>
      <w:r>
        <w:rPr>
          <w:rFonts w:ascii="Times New Roman" w:hAnsi="Times New Roman" w:eastAsia="黑体"/>
          <w:b/>
          <w:snapToGrid w:val="0"/>
          <w:kern w:val="0"/>
          <w:sz w:val="32"/>
        </w:rPr>
        <w:fldChar w:fldCharType="begin"/>
      </w:r>
      <w:r>
        <w:instrText xml:space="preserve">HYPERLINK  \l "_Toc28343"</w:instrText>
      </w:r>
      <w:r>
        <w:rPr>
          <w:rFonts w:ascii="Times New Roman" w:hAnsi="Times New Roman" w:eastAsia="黑体"/>
          <w:b/>
          <w:snapToGrid w:val="0"/>
          <w:kern w:val="0"/>
          <w:sz w:val="32"/>
        </w:rPr>
        <w:fldChar w:fldCharType="separate"/>
      </w:r>
      <w:r>
        <w:rPr>
          <w:rFonts w:ascii="Times New Roman" w:hAnsi="Times New Roman" w:eastAsia="黑体"/>
          <w:b/>
          <w:snapToGrid w:val="0"/>
          <w:kern w:val="0"/>
          <w:sz w:val="32"/>
        </w:rPr>
        <w:t>第一部分  部门概况</w:t>
      </w:r>
      <w:r>
        <w:rPr>
          <w:rFonts w:ascii="Times New Roman" w:hAnsi="Times New Roman" w:eastAsia="黑体"/>
          <w:b/>
          <w:snapToGrid w:val="0"/>
          <w:kern w:val="0"/>
          <w:sz w:val="32"/>
        </w:rPr>
        <w:fldChar w:fldCharType="end"/>
      </w:r>
    </w:p>
    <w:p>
      <w:pPr>
        <w:pStyle w:val="11"/>
        <w:tabs>
          <w:tab w:val="right" w:leader="dot" w:pos="8306"/>
          <w:tab w:val="clear" w:pos="8296"/>
        </w:tabs>
        <w:overflowPunct w:val="0"/>
        <w:adjustRightInd w:val="0"/>
        <w:snapToGrid w:val="0"/>
        <w:spacing w:line="600" w:lineRule="exact"/>
        <w:ind w:left="0" w:leftChars="0"/>
        <w:rPr>
          <w:rFonts w:eastAsia="仿宋_GB2312"/>
          <w:b/>
          <w:snapToGrid w:val="0"/>
          <w:kern w:val="0"/>
          <w:sz w:val="32"/>
          <w:szCs w:val="28"/>
        </w:rPr>
      </w:pPr>
      <w:r>
        <w:rPr>
          <w:rFonts w:eastAsia="仿宋_GB2312"/>
          <w:b/>
          <w:snapToGrid w:val="0"/>
          <w:kern w:val="0"/>
          <w:sz w:val="32"/>
          <w:szCs w:val="28"/>
        </w:rPr>
        <w:fldChar w:fldCharType="begin"/>
      </w:r>
      <w:r>
        <w:instrText xml:space="preserve">HYPERLINK  \l "_Toc10465"</w:instrText>
      </w:r>
      <w:r>
        <w:rPr>
          <w:rFonts w:eastAsia="仿宋_GB2312"/>
          <w:b/>
          <w:snapToGrid w:val="0"/>
          <w:kern w:val="0"/>
          <w:sz w:val="32"/>
          <w:szCs w:val="28"/>
        </w:rPr>
        <w:fldChar w:fldCharType="separate"/>
      </w:r>
      <w:r>
        <w:rPr>
          <w:rFonts w:eastAsia="仿宋_GB2312"/>
          <w:b/>
          <w:snapToGrid w:val="0"/>
          <w:kern w:val="0"/>
          <w:sz w:val="32"/>
          <w:szCs w:val="28"/>
        </w:rPr>
        <w:t>一、基本职能及主要工作</w:t>
      </w:r>
      <w:r>
        <w:rPr>
          <w:rFonts w:eastAsia="仿宋_GB2312"/>
          <w:b/>
          <w:snapToGrid w:val="0"/>
          <w:kern w:val="0"/>
          <w:sz w:val="32"/>
          <w:szCs w:val="28"/>
        </w:rPr>
        <w:fldChar w:fldCharType="end"/>
      </w:r>
    </w:p>
    <w:p>
      <w:pPr>
        <w:pStyle w:val="11"/>
        <w:tabs>
          <w:tab w:val="right" w:leader="dot" w:pos="8306"/>
          <w:tab w:val="clear" w:pos="8296"/>
        </w:tabs>
        <w:overflowPunct w:val="0"/>
        <w:adjustRightInd w:val="0"/>
        <w:snapToGrid w:val="0"/>
        <w:spacing w:line="600" w:lineRule="exact"/>
        <w:ind w:left="0" w:leftChars="0"/>
        <w:rPr>
          <w:rFonts w:eastAsia="仿宋_GB2312"/>
          <w:b/>
          <w:snapToGrid w:val="0"/>
          <w:kern w:val="0"/>
          <w:sz w:val="32"/>
          <w:szCs w:val="28"/>
        </w:rPr>
      </w:pPr>
      <w:r>
        <w:rPr>
          <w:rFonts w:eastAsia="仿宋_GB2312"/>
          <w:b/>
          <w:snapToGrid w:val="0"/>
          <w:kern w:val="0"/>
          <w:sz w:val="32"/>
          <w:szCs w:val="28"/>
        </w:rPr>
        <w:fldChar w:fldCharType="begin"/>
      </w:r>
      <w:r>
        <w:instrText xml:space="preserve">HYPERLINK  \l "_Toc30481"</w:instrText>
      </w:r>
      <w:r>
        <w:rPr>
          <w:rFonts w:eastAsia="仿宋_GB2312"/>
          <w:b/>
          <w:snapToGrid w:val="0"/>
          <w:kern w:val="0"/>
          <w:sz w:val="32"/>
          <w:szCs w:val="28"/>
        </w:rPr>
        <w:fldChar w:fldCharType="separate"/>
      </w:r>
      <w:r>
        <w:rPr>
          <w:rFonts w:eastAsia="仿宋_GB2312"/>
          <w:b/>
          <w:snapToGrid w:val="0"/>
          <w:kern w:val="0"/>
          <w:sz w:val="32"/>
          <w:szCs w:val="28"/>
        </w:rPr>
        <w:t>二、机构设置</w:t>
      </w:r>
      <w:r>
        <w:rPr>
          <w:rFonts w:eastAsia="仿宋_GB2312"/>
          <w:b/>
          <w:snapToGrid w:val="0"/>
          <w:kern w:val="0"/>
          <w:sz w:val="32"/>
          <w:szCs w:val="28"/>
        </w:rPr>
        <w:fldChar w:fldCharType="end"/>
      </w:r>
    </w:p>
    <w:p>
      <w:pPr>
        <w:pStyle w:val="10"/>
        <w:tabs>
          <w:tab w:val="right" w:leader="dot" w:pos="8306"/>
          <w:tab w:val="clear" w:pos="8296"/>
        </w:tabs>
        <w:overflowPunct w:val="0"/>
        <w:adjustRightInd w:val="0"/>
        <w:snapToGrid w:val="0"/>
        <w:spacing w:before="0" w:line="600" w:lineRule="exact"/>
        <w:jc w:val="both"/>
        <w:rPr>
          <w:rFonts w:hint="eastAsia" w:ascii="Times New Roman" w:hAnsi="Times New Roman" w:eastAsia="仿宋_GB2312"/>
          <w:b/>
          <w:snapToGrid w:val="0"/>
          <w:kern w:val="0"/>
          <w:sz w:val="32"/>
          <w:lang w:val="en-US" w:eastAsia="zh-CN"/>
        </w:rPr>
      </w:pPr>
      <w:r>
        <w:rPr>
          <w:rFonts w:ascii="Times New Roman" w:hAnsi="Times New Roman" w:eastAsia="黑体"/>
          <w:b/>
          <w:snapToGrid w:val="0"/>
          <w:kern w:val="0"/>
          <w:sz w:val="32"/>
        </w:rPr>
        <w:fldChar w:fldCharType="begin"/>
      </w:r>
      <w:r>
        <w:instrText xml:space="preserve">HYPERLINK  \l "_Toc14757"</w:instrText>
      </w:r>
      <w:r>
        <w:rPr>
          <w:rFonts w:ascii="Times New Roman" w:hAnsi="Times New Roman" w:eastAsia="黑体"/>
          <w:b/>
          <w:snapToGrid w:val="0"/>
          <w:kern w:val="0"/>
          <w:sz w:val="32"/>
        </w:rPr>
        <w:fldChar w:fldCharType="separate"/>
      </w:r>
      <w:r>
        <w:rPr>
          <w:rFonts w:ascii="Times New Roman" w:hAnsi="Times New Roman" w:eastAsia="黑体"/>
          <w:b/>
          <w:snapToGrid w:val="0"/>
          <w:kern w:val="0"/>
          <w:sz w:val="32"/>
        </w:rPr>
        <w:t>第二部分  20</w:t>
      </w:r>
      <w:r>
        <w:rPr>
          <w:rFonts w:hint="eastAsia" w:ascii="Times New Roman" w:hAnsi="Times New Roman" w:eastAsia="黑体"/>
          <w:b/>
          <w:snapToGrid w:val="0"/>
          <w:kern w:val="0"/>
          <w:sz w:val="32"/>
          <w:lang w:val="en-US" w:eastAsia="zh-CN"/>
        </w:rPr>
        <w:t>20</w:t>
      </w:r>
      <w:r>
        <w:rPr>
          <w:rFonts w:ascii="Times New Roman" w:hAnsi="Times New Roman" w:eastAsia="黑体"/>
          <w:b/>
          <w:snapToGrid w:val="0"/>
          <w:kern w:val="0"/>
          <w:sz w:val="32"/>
        </w:rPr>
        <w:t>年度部门决算情况说明</w:t>
      </w:r>
      <w:r>
        <w:rPr>
          <w:rFonts w:ascii="Times New Roman" w:hAnsi="Times New Roman" w:eastAsia="黑体"/>
          <w:b/>
          <w:snapToGrid w:val="0"/>
          <w:kern w:val="0"/>
          <w:sz w:val="32"/>
        </w:rPr>
        <w:fldChar w:fldCharType="end"/>
      </w:r>
    </w:p>
    <w:p>
      <w:pPr>
        <w:pStyle w:val="11"/>
        <w:tabs>
          <w:tab w:val="right" w:leader="dot" w:pos="8306"/>
          <w:tab w:val="clear" w:pos="8296"/>
        </w:tabs>
        <w:overflowPunct w:val="0"/>
        <w:adjustRightInd w:val="0"/>
        <w:snapToGrid w:val="0"/>
        <w:spacing w:line="600" w:lineRule="exact"/>
        <w:ind w:left="0" w:leftChars="0"/>
        <w:rPr>
          <w:rFonts w:hint="eastAsia" w:eastAsia="仿宋_GB2312"/>
          <w:b/>
          <w:snapToGrid w:val="0"/>
          <w:kern w:val="0"/>
          <w:sz w:val="32"/>
          <w:szCs w:val="28"/>
        </w:rPr>
      </w:pPr>
      <w:r>
        <w:rPr>
          <w:rFonts w:eastAsia="仿宋_GB2312"/>
          <w:b/>
          <w:snapToGrid w:val="0"/>
          <w:kern w:val="0"/>
          <w:sz w:val="32"/>
          <w:szCs w:val="28"/>
        </w:rPr>
        <w:fldChar w:fldCharType="begin"/>
      </w:r>
      <w:r>
        <w:instrText xml:space="preserve">HYPERLINK  \l "_Toc16626"</w:instrText>
      </w:r>
      <w:r>
        <w:rPr>
          <w:rFonts w:eastAsia="仿宋_GB2312"/>
          <w:b/>
          <w:snapToGrid w:val="0"/>
          <w:kern w:val="0"/>
          <w:sz w:val="32"/>
          <w:szCs w:val="28"/>
        </w:rPr>
        <w:fldChar w:fldCharType="separate"/>
      </w:r>
      <w:r>
        <w:rPr>
          <w:rFonts w:eastAsia="仿宋_GB2312"/>
          <w:b/>
          <w:snapToGrid w:val="0"/>
          <w:kern w:val="0"/>
          <w:sz w:val="32"/>
          <w:szCs w:val="28"/>
        </w:rPr>
        <w:t>一、收入支出决算总体情况说明</w:t>
      </w:r>
      <w:r>
        <w:rPr>
          <w:rFonts w:eastAsia="仿宋_GB2312"/>
          <w:b/>
          <w:snapToGrid w:val="0"/>
          <w:kern w:val="0"/>
          <w:sz w:val="32"/>
          <w:szCs w:val="28"/>
        </w:rPr>
        <w:fldChar w:fldCharType="end"/>
      </w:r>
    </w:p>
    <w:p>
      <w:pPr>
        <w:pStyle w:val="11"/>
        <w:tabs>
          <w:tab w:val="right" w:leader="dot" w:pos="8306"/>
          <w:tab w:val="clear" w:pos="8296"/>
        </w:tabs>
        <w:overflowPunct w:val="0"/>
        <w:adjustRightInd w:val="0"/>
        <w:snapToGrid w:val="0"/>
        <w:spacing w:line="600" w:lineRule="exact"/>
        <w:ind w:left="0" w:leftChars="0"/>
        <w:rPr>
          <w:rFonts w:hint="eastAsia" w:eastAsia="仿宋_GB2312"/>
          <w:b/>
          <w:snapToGrid w:val="0"/>
          <w:kern w:val="0"/>
          <w:sz w:val="32"/>
          <w:szCs w:val="28"/>
          <w:lang w:val="en-US" w:eastAsia="zh-CN"/>
        </w:rPr>
      </w:pPr>
      <w:r>
        <w:rPr>
          <w:rFonts w:eastAsia="仿宋_GB2312"/>
          <w:b/>
          <w:snapToGrid w:val="0"/>
          <w:kern w:val="0"/>
          <w:sz w:val="32"/>
          <w:szCs w:val="28"/>
        </w:rPr>
        <w:fldChar w:fldCharType="begin"/>
      </w:r>
      <w:r>
        <w:instrText xml:space="preserve">HYPERLINK  \l "_Toc31396"</w:instrText>
      </w:r>
      <w:r>
        <w:rPr>
          <w:rFonts w:eastAsia="仿宋_GB2312"/>
          <w:b/>
          <w:snapToGrid w:val="0"/>
          <w:kern w:val="0"/>
          <w:sz w:val="32"/>
          <w:szCs w:val="28"/>
        </w:rPr>
        <w:fldChar w:fldCharType="separate"/>
      </w:r>
      <w:r>
        <w:rPr>
          <w:rFonts w:eastAsia="仿宋_GB2312"/>
          <w:b/>
          <w:snapToGrid w:val="0"/>
          <w:kern w:val="0"/>
          <w:sz w:val="32"/>
          <w:szCs w:val="28"/>
        </w:rPr>
        <w:t>二、收入决算情况说明</w:t>
      </w:r>
      <w:r>
        <w:rPr>
          <w:rFonts w:eastAsia="仿宋_GB2312"/>
          <w:b/>
          <w:snapToGrid w:val="0"/>
          <w:kern w:val="0"/>
          <w:sz w:val="32"/>
          <w:szCs w:val="28"/>
        </w:rPr>
        <w:fldChar w:fldCharType="end"/>
      </w:r>
    </w:p>
    <w:p>
      <w:pPr>
        <w:pStyle w:val="11"/>
        <w:tabs>
          <w:tab w:val="right" w:leader="dot" w:pos="8306"/>
          <w:tab w:val="clear" w:pos="8296"/>
        </w:tabs>
        <w:overflowPunct w:val="0"/>
        <w:adjustRightInd w:val="0"/>
        <w:snapToGrid w:val="0"/>
        <w:spacing w:line="600" w:lineRule="exact"/>
        <w:ind w:left="0" w:leftChars="0"/>
        <w:rPr>
          <w:rFonts w:hint="eastAsia" w:eastAsia="仿宋_GB2312"/>
          <w:b/>
          <w:snapToGrid w:val="0"/>
          <w:kern w:val="0"/>
          <w:sz w:val="32"/>
          <w:szCs w:val="28"/>
          <w:lang w:val="en-US" w:eastAsia="zh-CN"/>
        </w:rPr>
      </w:pPr>
      <w:r>
        <w:rPr>
          <w:rFonts w:eastAsia="仿宋_GB2312"/>
          <w:b/>
          <w:snapToGrid w:val="0"/>
          <w:kern w:val="0"/>
          <w:sz w:val="32"/>
          <w:szCs w:val="28"/>
        </w:rPr>
        <w:fldChar w:fldCharType="begin"/>
      </w:r>
      <w:r>
        <w:instrText xml:space="preserve">HYPERLINK  \l "_Toc26801"</w:instrText>
      </w:r>
      <w:r>
        <w:rPr>
          <w:rFonts w:eastAsia="仿宋_GB2312"/>
          <w:b/>
          <w:snapToGrid w:val="0"/>
          <w:kern w:val="0"/>
          <w:sz w:val="32"/>
          <w:szCs w:val="28"/>
        </w:rPr>
        <w:fldChar w:fldCharType="separate"/>
      </w:r>
      <w:r>
        <w:rPr>
          <w:rFonts w:eastAsia="仿宋_GB2312"/>
          <w:b/>
          <w:snapToGrid w:val="0"/>
          <w:kern w:val="0"/>
          <w:sz w:val="32"/>
          <w:szCs w:val="28"/>
        </w:rPr>
        <w:t>三、支出决算情况说明</w:t>
      </w:r>
      <w:r>
        <w:rPr>
          <w:rFonts w:eastAsia="仿宋_GB2312"/>
          <w:b/>
          <w:snapToGrid w:val="0"/>
          <w:kern w:val="0"/>
          <w:sz w:val="32"/>
          <w:szCs w:val="28"/>
        </w:rPr>
        <w:fldChar w:fldCharType="end"/>
      </w:r>
    </w:p>
    <w:p>
      <w:pPr>
        <w:pStyle w:val="11"/>
        <w:tabs>
          <w:tab w:val="right" w:leader="dot" w:pos="8306"/>
          <w:tab w:val="clear" w:pos="8296"/>
        </w:tabs>
        <w:overflowPunct w:val="0"/>
        <w:adjustRightInd w:val="0"/>
        <w:snapToGrid w:val="0"/>
        <w:spacing w:line="600" w:lineRule="exact"/>
        <w:ind w:left="0" w:leftChars="0"/>
        <w:rPr>
          <w:rFonts w:hint="eastAsia" w:eastAsia="仿宋_GB2312"/>
          <w:b/>
          <w:snapToGrid w:val="0"/>
          <w:kern w:val="0"/>
          <w:sz w:val="32"/>
          <w:szCs w:val="28"/>
          <w:lang w:val="en-US" w:eastAsia="zh-CN"/>
        </w:rPr>
      </w:pPr>
      <w:r>
        <w:rPr>
          <w:rFonts w:eastAsia="仿宋_GB2312"/>
          <w:b/>
          <w:snapToGrid w:val="0"/>
          <w:kern w:val="0"/>
          <w:sz w:val="32"/>
          <w:szCs w:val="28"/>
        </w:rPr>
        <w:fldChar w:fldCharType="begin"/>
      </w:r>
      <w:r>
        <w:instrText xml:space="preserve">HYPERLINK  \l "_Toc28497"</w:instrText>
      </w:r>
      <w:r>
        <w:rPr>
          <w:rFonts w:eastAsia="仿宋_GB2312"/>
          <w:b/>
          <w:snapToGrid w:val="0"/>
          <w:kern w:val="0"/>
          <w:sz w:val="32"/>
          <w:szCs w:val="28"/>
        </w:rPr>
        <w:fldChar w:fldCharType="separate"/>
      </w:r>
      <w:r>
        <w:rPr>
          <w:rFonts w:eastAsia="仿宋_GB2312"/>
          <w:b/>
          <w:snapToGrid w:val="0"/>
          <w:kern w:val="0"/>
          <w:sz w:val="32"/>
          <w:szCs w:val="28"/>
        </w:rPr>
        <w:t>四、财政拨款收入支出决算总体情况说明</w:t>
      </w:r>
      <w:r>
        <w:rPr>
          <w:rFonts w:eastAsia="仿宋_GB2312"/>
          <w:b/>
          <w:snapToGrid w:val="0"/>
          <w:kern w:val="0"/>
          <w:sz w:val="32"/>
          <w:szCs w:val="28"/>
        </w:rPr>
        <w:fldChar w:fldCharType="end"/>
      </w:r>
    </w:p>
    <w:p>
      <w:pPr>
        <w:pStyle w:val="11"/>
        <w:tabs>
          <w:tab w:val="right" w:leader="dot" w:pos="8306"/>
          <w:tab w:val="clear" w:pos="8296"/>
        </w:tabs>
        <w:overflowPunct w:val="0"/>
        <w:adjustRightInd w:val="0"/>
        <w:snapToGrid w:val="0"/>
        <w:spacing w:line="600" w:lineRule="exact"/>
        <w:ind w:left="0" w:leftChars="0"/>
        <w:rPr>
          <w:rFonts w:hint="eastAsia" w:eastAsia="仿宋_GB2312"/>
          <w:b/>
          <w:snapToGrid w:val="0"/>
          <w:kern w:val="0"/>
          <w:sz w:val="32"/>
          <w:szCs w:val="28"/>
          <w:lang w:val="en-US" w:eastAsia="zh-CN"/>
        </w:rPr>
      </w:pPr>
      <w:r>
        <w:rPr>
          <w:rFonts w:eastAsia="仿宋_GB2312"/>
          <w:b/>
          <w:snapToGrid w:val="0"/>
          <w:kern w:val="0"/>
          <w:sz w:val="32"/>
          <w:szCs w:val="28"/>
        </w:rPr>
        <w:fldChar w:fldCharType="begin"/>
      </w:r>
      <w:r>
        <w:instrText xml:space="preserve">HYPERLINK  \l "_Toc17032"</w:instrText>
      </w:r>
      <w:r>
        <w:rPr>
          <w:rFonts w:eastAsia="仿宋_GB2312"/>
          <w:b/>
          <w:snapToGrid w:val="0"/>
          <w:kern w:val="0"/>
          <w:sz w:val="32"/>
          <w:szCs w:val="28"/>
        </w:rPr>
        <w:fldChar w:fldCharType="separate"/>
      </w:r>
      <w:r>
        <w:rPr>
          <w:rFonts w:eastAsia="仿宋_GB2312"/>
          <w:b/>
          <w:snapToGrid w:val="0"/>
          <w:kern w:val="0"/>
          <w:sz w:val="32"/>
          <w:szCs w:val="28"/>
        </w:rPr>
        <w:t>五、一般公共预算财政拨款支出决算情况说明</w:t>
      </w:r>
      <w:r>
        <w:rPr>
          <w:rFonts w:eastAsia="仿宋_GB2312"/>
          <w:b/>
          <w:snapToGrid w:val="0"/>
          <w:kern w:val="0"/>
          <w:sz w:val="32"/>
          <w:szCs w:val="28"/>
        </w:rPr>
        <w:fldChar w:fldCharType="end"/>
      </w:r>
    </w:p>
    <w:p>
      <w:pPr>
        <w:pStyle w:val="11"/>
        <w:tabs>
          <w:tab w:val="right" w:leader="dot" w:pos="8306"/>
          <w:tab w:val="clear" w:pos="8296"/>
        </w:tabs>
        <w:overflowPunct w:val="0"/>
        <w:adjustRightInd w:val="0"/>
        <w:snapToGrid w:val="0"/>
        <w:spacing w:line="600" w:lineRule="exact"/>
        <w:ind w:left="0" w:leftChars="0"/>
        <w:rPr>
          <w:rFonts w:hint="eastAsia" w:eastAsia="仿宋_GB2312"/>
          <w:b/>
          <w:snapToGrid w:val="0"/>
          <w:kern w:val="0"/>
          <w:sz w:val="32"/>
          <w:szCs w:val="28"/>
          <w:lang w:val="en-US" w:eastAsia="zh-CN"/>
        </w:rPr>
      </w:pPr>
      <w:r>
        <w:rPr>
          <w:rFonts w:eastAsia="仿宋_GB2312"/>
          <w:b/>
          <w:snapToGrid w:val="0"/>
          <w:kern w:val="0"/>
          <w:sz w:val="32"/>
          <w:szCs w:val="28"/>
        </w:rPr>
        <w:fldChar w:fldCharType="begin"/>
      </w:r>
      <w:r>
        <w:instrText xml:space="preserve">HYPERLINK  \l "_Toc18248"</w:instrText>
      </w:r>
      <w:r>
        <w:rPr>
          <w:rFonts w:eastAsia="仿宋_GB2312"/>
          <w:b/>
          <w:snapToGrid w:val="0"/>
          <w:kern w:val="0"/>
          <w:sz w:val="32"/>
          <w:szCs w:val="28"/>
        </w:rPr>
        <w:fldChar w:fldCharType="separate"/>
      </w:r>
      <w:r>
        <w:rPr>
          <w:rFonts w:eastAsia="仿宋_GB2312"/>
          <w:b/>
          <w:snapToGrid w:val="0"/>
          <w:kern w:val="0"/>
          <w:sz w:val="32"/>
          <w:szCs w:val="28"/>
        </w:rPr>
        <w:t>六、一般公共预算财政拨款基本支出决算情况说明</w:t>
      </w:r>
      <w:r>
        <w:rPr>
          <w:rFonts w:eastAsia="仿宋_GB2312"/>
          <w:b/>
          <w:snapToGrid w:val="0"/>
          <w:kern w:val="0"/>
          <w:sz w:val="32"/>
          <w:szCs w:val="28"/>
        </w:rPr>
        <w:fldChar w:fldCharType="end"/>
      </w:r>
    </w:p>
    <w:p>
      <w:pPr>
        <w:pStyle w:val="11"/>
        <w:tabs>
          <w:tab w:val="right" w:leader="dot" w:pos="8306"/>
          <w:tab w:val="clear" w:pos="8296"/>
        </w:tabs>
        <w:overflowPunct w:val="0"/>
        <w:adjustRightInd w:val="0"/>
        <w:snapToGrid w:val="0"/>
        <w:spacing w:line="600" w:lineRule="exact"/>
        <w:ind w:left="0" w:leftChars="0"/>
        <w:rPr>
          <w:rFonts w:hint="eastAsia" w:eastAsia="仿宋_GB2312"/>
          <w:b/>
          <w:snapToGrid w:val="0"/>
          <w:kern w:val="0"/>
          <w:sz w:val="32"/>
          <w:szCs w:val="28"/>
          <w:lang w:val="en-US" w:eastAsia="zh-CN"/>
        </w:rPr>
      </w:pPr>
      <w:r>
        <w:rPr>
          <w:rFonts w:eastAsia="仿宋_GB2312"/>
          <w:b/>
          <w:snapToGrid w:val="0"/>
          <w:kern w:val="0"/>
          <w:sz w:val="32"/>
          <w:szCs w:val="28"/>
        </w:rPr>
        <w:fldChar w:fldCharType="begin"/>
      </w:r>
      <w:r>
        <w:instrText xml:space="preserve">HYPERLINK  \l "_Toc25292"</w:instrText>
      </w:r>
      <w:r>
        <w:rPr>
          <w:rFonts w:eastAsia="仿宋_GB2312"/>
          <w:b/>
          <w:snapToGrid w:val="0"/>
          <w:kern w:val="0"/>
          <w:sz w:val="32"/>
          <w:szCs w:val="28"/>
        </w:rPr>
        <w:fldChar w:fldCharType="separate"/>
      </w:r>
      <w:r>
        <w:rPr>
          <w:rFonts w:eastAsia="仿宋_GB2312"/>
          <w:b/>
          <w:snapToGrid w:val="0"/>
          <w:kern w:val="0"/>
          <w:sz w:val="32"/>
          <w:szCs w:val="28"/>
        </w:rPr>
        <w:t>七、“三公”经费财政拨款支出决算情况说明</w:t>
      </w:r>
      <w:r>
        <w:rPr>
          <w:rFonts w:eastAsia="仿宋_GB2312"/>
          <w:b/>
          <w:snapToGrid w:val="0"/>
          <w:kern w:val="0"/>
          <w:sz w:val="32"/>
          <w:szCs w:val="28"/>
        </w:rPr>
        <w:fldChar w:fldCharType="end"/>
      </w:r>
    </w:p>
    <w:p>
      <w:pPr>
        <w:pStyle w:val="11"/>
        <w:tabs>
          <w:tab w:val="right" w:leader="dot" w:pos="8306"/>
          <w:tab w:val="clear" w:pos="8296"/>
        </w:tabs>
        <w:overflowPunct w:val="0"/>
        <w:adjustRightInd w:val="0"/>
        <w:snapToGrid w:val="0"/>
        <w:spacing w:line="600" w:lineRule="exact"/>
        <w:ind w:left="0" w:leftChars="0"/>
        <w:rPr>
          <w:rFonts w:hint="eastAsia" w:eastAsia="仿宋_GB2312"/>
          <w:b/>
          <w:snapToGrid w:val="0"/>
          <w:kern w:val="0"/>
          <w:sz w:val="32"/>
          <w:szCs w:val="28"/>
          <w:lang w:val="en-US" w:eastAsia="zh-CN"/>
        </w:rPr>
      </w:pPr>
      <w:r>
        <w:rPr>
          <w:rFonts w:eastAsia="仿宋_GB2312"/>
          <w:b/>
          <w:snapToGrid w:val="0"/>
          <w:kern w:val="0"/>
          <w:sz w:val="32"/>
          <w:szCs w:val="28"/>
        </w:rPr>
        <w:fldChar w:fldCharType="begin"/>
      </w:r>
      <w:r>
        <w:instrText xml:space="preserve">HYPERLINK  \l "_Toc25641"</w:instrText>
      </w:r>
      <w:r>
        <w:rPr>
          <w:rFonts w:eastAsia="仿宋_GB2312"/>
          <w:b/>
          <w:snapToGrid w:val="0"/>
          <w:kern w:val="0"/>
          <w:sz w:val="32"/>
          <w:szCs w:val="28"/>
        </w:rPr>
        <w:fldChar w:fldCharType="separate"/>
      </w:r>
      <w:r>
        <w:rPr>
          <w:rFonts w:eastAsia="仿宋_GB2312"/>
          <w:b/>
          <w:snapToGrid w:val="0"/>
          <w:kern w:val="0"/>
          <w:sz w:val="32"/>
          <w:szCs w:val="28"/>
        </w:rPr>
        <w:t>八、政府性基金预算支出决算情况说明</w:t>
      </w:r>
      <w:r>
        <w:rPr>
          <w:rFonts w:eastAsia="仿宋_GB2312"/>
          <w:b/>
          <w:snapToGrid w:val="0"/>
          <w:kern w:val="0"/>
          <w:sz w:val="32"/>
          <w:szCs w:val="28"/>
        </w:rPr>
        <w:fldChar w:fldCharType="end"/>
      </w:r>
    </w:p>
    <w:p>
      <w:pPr>
        <w:pStyle w:val="11"/>
        <w:tabs>
          <w:tab w:val="right" w:leader="dot" w:pos="8306"/>
          <w:tab w:val="clear" w:pos="8296"/>
        </w:tabs>
        <w:overflowPunct w:val="0"/>
        <w:adjustRightInd w:val="0"/>
        <w:snapToGrid w:val="0"/>
        <w:spacing w:line="600" w:lineRule="exact"/>
        <w:ind w:left="0" w:leftChars="0"/>
        <w:rPr>
          <w:rFonts w:hint="eastAsia" w:eastAsia="仿宋_GB2312"/>
          <w:b/>
          <w:snapToGrid w:val="0"/>
          <w:kern w:val="0"/>
          <w:sz w:val="32"/>
          <w:szCs w:val="28"/>
          <w:lang w:val="en-US" w:eastAsia="zh-CN"/>
        </w:rPr>
      </w:pPr>
      <w:r>
        <w:rPr>
          <w:rFonts w:eastAsia="仿宋_GB2312"/>
          <w:b/>
          <w:snapToGrid w:val="0"/>
          <w:kern w:val="0"/>
          <w:sz w:val="32"/>
          <w:szCs w:val="28"/>
        </w:rPr>
        <w:fldChar w:fldCharType="begin"/>
      </w:r>
      <w:r>
        <w:instrText xml:space="preserve">HYPERLINK  \l "_Toc12489"</w:instrText>
      </w:r>
      <w:r>
        <w:rPr>
          <w:rFonts w:eastAsia="仿宋_GB2312"/>
          <w:b/>
          <w:snapToGrid w:val="0"/>
          <w:kern w:val="0"/>
          <w:sz w:val="32"/>
          <w:szCs w:val="28"/>
        </w:rPr>
        <w:fldChar w:fldCharType="separate"/>
      </w:r>
      <w:r>
        <w:rPr>
          <w:rFonts w:eastAsia="仿宋_GB2312"/>
          <w:b/>
          <w:snapToGrid w:val="0"/>
          <w:kern w:val="0"/>
          <w:sz w:val="32"/>
          <w:szCs w:val="28"/>
        </w:rPr>
        <w:t>九、国有资本经营预算支出决算情况说明</w:t>
      </w:r>
      <w:r>
        <w:rPr>
          <w:rFonts w:eastAsia="仿宋_GB2312"/>
          <w:b/>
          <w:snapToGrid w:val="0"/>
          <w:kern w:val="0"/>
          <w:sz w:val="32"/>
          <w:szCs w:val="28"/>
        </w:rPr>
        <w:fldChar w:fldCharType="end"/>
      </w:r>
    </w:p>
    <w:p>
      <w:pPr>
        <w:pStyle w:val="11"/>
        <w:tabs>
          <w:tab w:val="right" w:leader="dot" w:pos="8306"/>
          <w:tab w:val="clear" w:pos="8296"/>
        </w:tabs>
        <w:overflowPunct w:val="0"/>
        <w:adjustRightInd w:val="0"/>
        <w:snapToGrid w:val="0"/>
        <w:spacing w:line="600" w:lineRule="exact"/>
        <w:ind w:left="0" w:leftChars="0"/>
        <w:rPr>
          <w:rFonts w:hint="eastAsia" w:eastAsia="仿宋_GB2312"/>
          <w:b/>
          <w:snapToGrid w:val="0"/>
          <w:kern w:val="0"/>
          <w:sz w:val="32"/>
          <w:szCs w:val="28"/>
          <w:lang w:val="en-US" w:eastAsia="zh-CN"/>
        </w:rPr>
      </w:pPr>
      <w:r>
        <w:rPr>
          <w:rFonts w:eastAsia="仿宋_GB2312"/>
          <w:b/>
          <w:snapToGrid w:val="0"/>
          <w:kern w:val="0"/>
          <w:sz w:val="32"/>
          <w:szCs w:val="28"/>
        </w:rPr>
        <w:fldChar w:fldCharType="begin"/>
      </w:r>
      <w:r>
        <w:instrText xml:space="preserve">HYPERLINK  \l "_Toc8639"</w:instrText>
      </w:r>
      <w:r>
        <w:rPr>
          <w:rFonts w:eastAsia="仿宋_GB2312"/>
          <w:b/>
          <w:snapToGrid w:val="0"/>
          <w:kern w:val="0"/>
          <w:sz w:val="32"/>
          <w:szCs w:val="28"/>
        </w:rPr>
        <w:fldChar w:fldCharType="separate"/>
      </w:r>
      <w:r>
        <w:rPr>
          <w:rFonts w:eastAsia="仿宋_GB2312"/>
          <w:b/>
          <w:snapToGrid w:val="0"/>
          <w:kern w:val="0"/>
          <w:sz w:val="32"/>
          <w:szCs w:val="28"/>
        </w:rPr>
        <w:t>十、其他重要事项的情况说明</w:t>
      </w:r>
      <w:r>
        <w:rPr>
          <w:rFonts w:eastAsia="仿宋_GB2312"/>
          <w:b/>
          <w:snapToGrid w:val="0"/>
          <w:kern w:val="0"/>
          <w:sz w:val="32"/>
          <w:szCs w:val="28"/>
        </w:rPr>
        <w:fldChar w:fldCharType="end"/>
      </w:r>
    </w:p>
    <w:p>
      <w:pPr>
        <w:pStyle w:val="10"/>
        <w:tabs>
          <w:tab w:val="right" w:leader="dot" w:pos="8306"/>
          <w:tab w:val="clear" w:pos="8296"/>
        </w:tabs>
        <w:overflowPunct w:val="0"/>
        <w:adjustRightInd w:val="0"/>
        <w:snapToGrid w:val="0"/>
        <w:spacing w:before="0" w:line="600" w:lineRule="exact"/>
        <w:jc w:val="both"/>
        <w:rPr>
          <w:rFonts w:hint="eastAsia" w:eastAsia="仿宋_GB2312"/>
          <w:lang w:val="en-US" w:eastAsia="zh-CN"/>
        </w:rPr>
      </w:pPr>
      <w:r>
        <w:rPr>
          <w:rFonts w:ascii="Times New Roman" w:hAnsi="Times New Roman" w:eastAsia="黑体"/>
          <w:b/>
          <w:snapToGrid w:val="0"/>
          <w:kern w:val="0"/>
          <w:sz w:val="32"/>
        </w:rPr>
        <w:fldChar w:fldCharType="begin"/>
      </w:r>
      <w:r>
        <w:instrText xml:space="preserve">HYPERLINK  \l "_Toc9252"</w:instrText>
      </w:r>
      <w:r>
        <w:rPr>
          <w:rFonts w:ascii="Times New Roman" w:hAnsi="Times New Roman" w:eastAsia="黑体"/>
          <w:b/>
          <w:snapToGrid w:val="0"/>
          <w:kern w:val="0"/>
          <w:sz w:val="32"/>
        </w:rPr>
        <w:fldChar w:fldCharType="separate"/>
      </w:r>
      <w:r>
        <w:rPr>
          <w:rFonts w:ascii="Times New Roman" w:hAnsi="Times New Roman" w:eastAsia="黑体"/>
          <w:b/>
          <w:snapToGrid w:val="0"/>
          <w:kern w:val="0"/>
          <w:sz w:val="32"/>
        </w:rPr>
        <w:t>第三部分  名词解释</w:t>
      </w:r>
      <w:r>
        <w:rPr>
          <w:rFonts w:ascii="Times New Roman" w:hAnsi="Times New Roman" w:eastAsia="黑体"/>
          <w:b/>
          <w:snapToGrid w:val="0"/>
          <w:kern w:val="0"/>
          <w:sz w:val="32"/>
        </w:rPr>
        <w:fldChar w:fldCharType="end"/>
      </w:r>
    </w:p>
    <w:p>
      <w:pPr>
        <w:pStyle w:val="10"/>
        <w:overflowPunct w:val="0"/>
        <w:adjustRightInd w:val="0"/>
        <w:snapToGrid w:val="0"/>
        <w:spacing w:before="0" w:line="600" w:lineRule="exact"/>
        <w:jc w:val="both"/>
        <w:rPr>
          <w:rFonts w:hint="eastAsia" w:ascii="Times New Roman" w:hAnsi="Times New Roman" w:eastAsia="仿宋_GB2312"/>
          <w:b/>
          <w:snapToGrid w:val="0"/>
          <w:kern w:val="0"/>
          <w:sz w:val="32"/>
        </w:rPr>
      </w:pPr>
      <w:r>
        <w:rPr>
          <w:rFonts w:ascii="Times New Roman" w:hAnsi="Times New Roman" w:eastAsia="黑体"/>
          <w:b/>
          <w:snapToGrid w:val="0"/>
          <w:kern w:val="0"/>
          <w:sz w:val="32"/>
        </w:rPr>
        <w:fldChar w:fldCharType="begin"/>
      </w:r>
      <w:r>
        <w:instrText xml:space="preserve">HYPERLINK  \l "_Toc25752"</w:instrText>
      </w:r>
      <w:r>
        <w:rPr>
          <w:rFonts w:ascii="Times New Roman" w:hAnsi="Times New Roman" w:eastAsia="黑体"/>
          <w:b/>
          <w:snapToGrid w:val="0"/>
          <w:kern w:val="0"/>
          <w:sz w:val="32"/>
        </w:rPr>
        <w:fldChar w:fldCharType="separate"/>
      </w:r>
      <w:r>
        <w:rPr>
          <w:rFonts w:ascii="Times New Roman" w:hAnsi="Times New Roman" w:eastAsia="黑体"/>
          <w:b/>
          <w:snapToGrid w:val="0"/>
          <w:kern w:val="0"/>
          <w:sz w:val="32"/>
        </w:rPr>
        <w:t>第四部分  附件</w:t>
      </w:r>
      <w:r>
        <w:rPr>
          <w:rFonts w:ascii="Times New Roman" w:hAnsi="Times New Roman" w:eastAsia="黑体"/>
          <w:b/>
          <w:snapToGrid w:val="0"/>
          <w:kern w:val="0"/>
          <w:sz w:val="32"/>
        </w:rPr>
        <w:fldChar w:fldCharType="end"/>
      </w:r>
    </w:p>
    <w:p>
      <w:pPr>
        <w:pStyle w:val="11"/>
        <w:adjustRightInd w:val="0"/>
        <w:snapToGrid w:val="0"/>
        <w:spacing w:line="440" w:lineRule="exact"/>
        <w:jc w:val="left"/>
        <w:rPr>
          <w:rFonts w:hint="eastAsia" w:ascii="仿宋_GB2312" w:eastAsia="仿宋_GB2312" w:cs="仿宋_GB2312"/>
          <w:b/>
          <w:bCs/>
          <w:color w:val="auto"/>
          <w:sz w:val="32"/>
          <w:szCs w:val="32"/>
          <w:highlight w:val="none"/>
        </w:rPr>
      </w:pPr>
      <w:r>
        <w:rPr>
          <w:rFonts w:hint="eastAsia" w:ascii="仿宋_GB2312" w:eastAsia="仿宋_GB2312" w:cs="仿宋_GB2312"/>
          <w:b/>
          <w:bCs/>
          <w:color w:val="auto"/>
          <w:sz w:val="32"/>
          <w:szCs w:val="32"/>
          <w:highlight w:val="none"/>
        </w:rPr>
        <w:t>附件1</w:t>
      </w:r>
    </w:p>
    <w:p>
      <w:pPr>
        <w:pStyle w:val="11"/>
        <w:adjustRightInd w:val="0"/>
        <w:snapToGrid w:val="0"/>
        <w:spacing w:line="440" w:lineRule="exact"/>
        <w:jc w:val="left"/>
        <w:rPr>
          <w:rFonts w:hint="eastAsia" w:ascii="仿宋_GB2312" w:eastAsia="仿宋_GB2312" w:cs="仿宋_GB2312"/>
          <w:b/>
          <w:bCs/>
          <w:sz w:val="32"/>
          <w:szCs w:val="32"/>
          <w:lang w:val="en-US" w:eastAsia="zh-CN"/>
        </w:rPr>
      </w:pPr>
      <w:r>
        <w:rPr>
          <w:rFonts w:hint="eastAsia" w:ascii="仿宋_GB2312" w:eastAsia="仿宋_GB2312" w:cs="仿宋_GB2312"/>
          <w:b/>
          <w:bCs/>
          <w:color w:val="auto"/>
          <w:sz w:val="32"/>
          <w:szCs w:val="32"/>
          <w:highlight w:val="none"/>
        </w:rPr>
        <w:t>附件2</w:t>
      </w:r>
    </w:p>
    <w:p>
      <w:pPr>
        <w:rPr>
          <w:rFonts w:ascii="Times New Roman" w:hAnsi="Times New Roman" w:eastAsia="仿宋_GB2312"/>
          <w:b/>
          <w:snapToGrid w:val="0"/>
          <w:kern w:val="0"/>
          <w:sz w:val="32"/>
          <w:highlight w:val="none"/>
        </w:rPr>
      </w:pPr>
      <w:r>
        <w:rPr>
          <w:rFonts w:ascii="Times New Roman" w:hAnsi="Times New Roman" w:eastAsia="黑体"/>
          <w:b/>
          <w:snapToGrid w:val="0"/>
          <w:kern w:val="0"/>
          <w:sz w:val="32"/>
          <w:highlight w:val="none"/>
        </w:rPr>
        <w:fldChar w:fldCharType="begin"/>
      </w:r>
      <w:r>
        <w:instrText xml:space="preserve">HYPERLINK  \l "_Toc19514"</w:instrText>
      </w:r>
      <w:r>
        <w:rPr>
          <w:rFonts w:ascii="Times New Roman" w:hAnsi="Times New Roman" w:eastAsia="黑体"/>
          <w:b/>
          <w:snapToGrid w:val="0"/>
          <w:kern w:val="0"/>
          <w:sz w:val="32"/>
          <w:highlight w:val="none"/>
        </w:rPr>
        <w:fldChar w:fldCharType="separate"/>
      </w:r>
      <w:bookmarkStart w:id="12" w:name="_Toc15377196"/>
      <w:bookmarkStart w:id="13" w:name="_Toc15396599"/>
      <w:r>
        <w:rPr>
          <w:rFonts w:ascii="Times New Roman" w:hAnsi="Times New Roman" w:eastAsia="黑体"/>
          <w:b/>
          <w:snapToGrid w:val="0"/>
          <w:kern w:val="0"/>
          <w:sz w:val="32"/>
          <w:highlight w:val="none"/>
        </w:rPr>
        <w:t>第五部分  附表</w:t>
      </w:r>
      <w:r>
        <w:rPr>
          <w:rFonts w:ascii="Times New Roman" w:hAnsi="Times New Roman" w:eastAsia="黑体"/>
          <w:b/>
          <w:snapToGrid w:val="0"/>
          <w:kern w:val="0"/>
          <w:sz w:val="32"/>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hint="eastAsia" w:eastAsia="仿宋_GB2312"/>
          <w:b/>
          <w:snapToGrid w:val="0"/>
          <w:kern w:val="0"/>
          <w:sz w:val="32"/>
          <w:szCs w:val="28"/>
          <w:highlight w:val="none"/>
          <w:lang w:eastAsia="zh-CN"/>
        </w:rPr>
      </w:pPr>
      <w:r>
        <w:rPr>
          <w:rFonts w:eastAsia="仿宋_GB2312"/>
          <w:b/>
          <w:snapToGrid w:val="0"/>
          <w:kern w:val="0"/>
          <w:sz w:val="32"/>
          <w:szCs w:val="28"/>
          <w:highlight w:val="none"/>
        </w:rPr>
        <w:fldChar w:fldCharType="begin"/>
      </w:r>
      <w:r>
        <w:instrText xml:space="preserve">HYPERLINK  \l "_Toc20807"</w:instrText>
      </w:r>
      <w:r>
        <w:rPr>
          <w:rFonts w:eastAsia="仿宋_GB2312"/>
          <w:b/>
          <w:snapToGrid w:val="0"/>
          <w:kern w:val="0"/>
          <w:sz w:val="32"/>
          <w:szCs w:val="28"/>
          <w:highlight w:val="none"/>
        </w:rPr>
        <w:fldChar w:fldCharType="separate"/>
      </w:r>
      <w:r>
        <w:rPr>
          <w:rFonts w:eastAsia="仿宋_GB2312"/>
          <w:b/>
          <w:snapToGrid w:val="0"/>
          <w:kern w:val="0"/>
          <w:sz w:val="32"/>
          <w:szCs w:val="28"/>
          <w:highlight w:val="none"/>
        </w:rPr>
        <w:t>一、收入支出决算总表</w:t>
      </w:r>
      <w:r>
        <w:rPr>
          <w:rFonts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eastAsia="仿宋_GB2312"/>
          <w:b/>
          <w:snapToGrid w:val="0"/>
          <w:kern w:val="0"/>
          <w:sz w:val="32"/>
          <w:szCs w:val="28"/>
          <w:highlight w:val="none"/>
        </w:rPr>
      </w:pPr>
      <w:r>
        <w:rPr>
          <w:rFonts w:eastAsia="仿宋_GB2312"/>
          <w:b/>
          <w:snapToGrid w:val="0"/>
          <w:kern w:val="0"/>
          <w:sz w:val="32"/>
          <w:szCs w:val="28"/>
          <w:highlight w:val="none"/>
        </w:rPr>
        <w:fldChar w:fldCharType="begin"/>
      </w:r>
      <w:r>
        <w:instrText xml:space="preserve">HYPERLINK  \l "_Toc9814"</w:instrText>
      </w:r>
      <w:r>
        <w:rPr>
          <w:rFonts w:eastAsia="仿宋_GB2312"/>
          <w:b/>
          <w:snapToGrid w:val="0"/>
          <w:kern w:val="0"/>
          <w:sz w:val="32"/>
          <w:szCs w:val="28"/>
          <w:highlight w:val="none"/>
        </w:rPr>
        <w:fldChar w:fldCharType="separate"/>
      </w:r>
      <w:r>
        <w:rPr>
          <w:rFonts w:eastAsia="仿宋_GB2312"/>
          <w:b/>
          <w:snapToGrid w:val="0"/>
          <w:kern w:val="0"/>
          <w:sz w:val="32"/>
          <w:szCs w:val="28"/>
          <w:highlight w:val="none"/>
        </w:rPr>
        <w:t>三、支出总表</w:t>
      </w:r>
      <w:r>
        <w:rPr>
          <w:rFonts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eastAsia="仿宋_GB2312"/>
          <w:b/>
          <w:snapToGrid w:val="0"/>
          <w:kern w:val="0"/>
          <w:sz w:val="32"/>
          <w:szCs w:val="28"/>
          <w:highlight w:val="none"/>
        </w:rPr>
      </w:pPr>
      <w:r>
        <w:rPr>
          <w:rFonts w:eastAsia="仿宋_GB2312"/>
          <w:b/>
          <w:snapToGrid w:val="0"/>
          <w:kern w:val="0"/>
          <w:sz w:val="32"/>
          <w:szCs w:val="28"/>
          <w:highlight w:val="none"/>
        </w:rPr>
        <w:fldChar w:fldCharType="begin"/>
      </w:r>
      <w:r>
        <w:instrText xml:space="preserve">HYPERLINK  \l "_Toc20638"</w:instrText>
      </w:r>
      <w:r>
        <w:rPr>
          <w:rFonts w:eastAsia="仿宋_GB2312"/>
          <w:b/>
          <w:snapToGrid w:val="0"/>
          <w:kern w:val="0"/>
          <w:sz w:val="32"/>
          <w:szCs w:val="28"/>
          <w:highlight w:val="none"/>
        </w:rPr>
        <w:fldChar w:fldCharType="separate"/>
      </w:r>
      <w:r>
        <w:rPr>
          <w:rFonts w:eastAsia="仿宋_GB2312"/>
          <w:b/>
          <w:snapToGrid w:val="0"/>
          <w:kern w:val="0"/>
          <w:sz w:val="32"/>
          <w:szCs w:val="28"/>
          <w:highlight w:val="none"/>
        </w:rPr>
        <w:t>四、财政拨款收入支出决算总表</w:t>
      </w:r>
      <w:r>
        <w:rPr>
          <w:rFonts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eastAsia="仿宋_GB2312"/>
          <w:b/>
          <w:snapToGrid w:val="0"/>
          <w:kern w:val="0"/>
          <w:sz w:val="32"/>
          <w:szCs w:val="28"/>
          <w:highlight w:val="none"/>
        </w:rPr>
      </w:pPr>
      <w:r>
        <w:rPr>
          <w:rFonts w:eastAsia="仿宋_GB2312"/>
          <w:b/>
          <w:snapToGrid w:val="0"/>
          <w:kern w:val="0"/>
          <w:sz w:val="32"/>
          <w:szCs w:val="28"/>
          <w:highlight w:val="none"/>
        </w:rPr>
        <w:fldChar w:fldCharType="begin"/>
      </w:r>
      <w:r>
        <w:instrText xml:space="preserve">HYPERLINK  \l "_Toc7032"</w:instrText>
      </w:r>
      <w:r>
        <w:rPr>
          <w:rFonts w:eastAsia="仿宋_GB2312"/>
          <w:b/>
          <w:snapToGrid w:val="0"/>
          <w:kern w:val="0"/>
          <w:sz w:val="32"/>
          <w:szCs w:val="28"/>
          <w:highlight w:val="none"/>
        </w:rPr>
        <w:fldChar w:fldCharType="separate"/>
      </w:r>
      <w:r>
        <w:rPr>
          <w:rFonts w:eastAsia="仿宋_GB2312"/>
          <w:b/>
          <w:snapToGrid w:val="0"/>
          <w:kern w:val="0"/>
          <w:sz w:val="32"/>
          <w:szCs w:val="28"/>
          <w:highlight w:val="none"/>
        </w:rPr>
        <w:t>五、财政拨款支出决算明细表</w:t>
      </w:r>
      <w:r>
        <w:rPr>
          <w:rFonts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eastAsia="仿宋_GB2312"/>
          <w:b/>
          <w:snapToGrid w:val="0"/>
          <w:kern w:val="0"/>
          <w:sz w:val="32"/>
          <w:szCs w:val="28"/>
          <w:highlight w:val="none"/>
        </w:rPr>
      </w:pPr>
      <w:r>
        <w:rPr>
          <w:rFonts w:eastAsia="仿宋_GB2312"/>
          <w:b/>
          <w:snapToGrid w:val="0"/>
          <w:kern w:val="0"/>
          <w:sz w:val="32"/>
          <w:szCs w:val="28"/>
          <w:highlight w:val="none"/>
        </w:rPr>
        <w:fldChar w:fldCharType="begin"/>
      </w:r>
      <w:r>
        <w:instrText xml:space="preserve">HYPERLINK  \l "_Toc9027"</w:instrText>
      </w:r>
      <w:r>
        <w:rPr>
          <w:rFonts w:eastAsia="仿宋_GB2312"/>
          <w:b/>
          <w:snapToGrid w:val="0"/>
          <w:kern w:val="0"/>
          <w:sz w:val="32"/>
          <w:szCs w:val="28"/>
          <w:highlight w:val="none"/>
        </w:rPr>
        <w:fldChar w:fldCharType="separate"/>
      </w:r>
      <w:r>
        <w:rPr>
          <w:rFonts w:eastAsia="仿宋_GB2312"/>
          <w:b/>
          <w:snapToGrid w:val="0"/>
          <w:kern w:val="0"/>
          <w:sz w:val="32"/>
          <w:szCs w:val="28"/>
          <w:highlight w:val="none"/>
        </w:rPr>
        <w:t>六、一般公共预算财政拨款支出决算表</w:t>
      </w:r>
      <w:r>
        <w:rPr>
          <w:rFonts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eastAsia="仿宋_GB2312"/>
          <w:b/>
          <w:snapToGrid w:val="0"/>
          <w:kern w:val="0"/>
          <w:sz w:val="32"/>
          <w:szCs w:val="28"/>
          <w:highlight w:val="none"/>
        </w:rPr>
      </w:pPr>
      <w:r>
        <w:rPr>
          <w:rFonts w:eastAsia="仿宋_GB2312"/>
          <w:b/>
          <w:snapToGrid w:val="0"/>
          <w:kern w:val="0"/>
          <w:sz w:val="32"/>
          <w:szCs w:val="28"/>
          <w:highlight w:val="none"/>
        </w:rPr>
        <w:fldChar w:fldCharType="begin"/>
      </w:r>
      <w:r>
        <w:instrText xml:space="preserve">HYPERLINK  \l "_Toc17036"</w:instrText>
      </w:r>
      <w:r>
        <w:rPr>
          <w:rFonts w:eastAsia="仿宋_GB2312"/>
          <w:b/>
          <w:snapToGrid w:val="0"/>
          <w:kern w:val="0"/>
          <w:sz w:val="32"/>
          <w:szCs w:val="28"/>
          <w:highlight w:val="none"/>
        </w:rPr>
        <w:fldChar w:fldCharType="separate"/>
      </w:r>
      <w:r>
        <w:rPr>
          <w:rFonts w:eastAsia="仿宋_GB2312"/>
          <w:b/>
          <w:snapToGrid w:val="0"/>
          <w:kern w:val="0"/>
          <w:sz w:val="32"/>
          <w:szCs w:val="28"/>
          <w:highlight w:val="none"/>
        </w:rPr>
        <w:t>七、一般公共预算财政拨款支出决算明细表</w:t>
      </w:r>
      <w:r>
        <w:rPr>
          <w:rFonts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hint="eastAsia" w:eastAsia="仿宋_GB2312"/>
          <w:b/>
          <w:snapToGrid w:val="0"/>
          <w:kern w:val="0"/>
          <w:sz w:val="32"/>
          <w:szCs w:val="28"/>
          <w:highlight w:val="none"/>
          <w:lang w:val="en-US" w:eastAsia="zh-CN"/>
        </w:rPr>
      </w:pPr>
      <w:r>
        <w:rPr>
          <w:rFonts w:eastAsia="仿宋_GB2312"/>
          <w:b/>
          <w:snapToGrid w:val="0"/>
          <w:kern w:val="0"/>
          <w:sz w:val="32"/>
          <w:szCs w:val="28"/>
          <w:highlight w:val="none"/>
        </w:rPr>
        <w:fldChar w:fldCharType="begin"/>
      </w:r>
      <w:r>
        <w:instrText xml:space="preserve">HYPERLINK  \l "_Toc12714"</w:instrText>
      </w:r>
      <w:r>
        <w:rPr>
          <w:rFonts w:eastAsia="仿宋_GB2312"/>
          <w:b/>
          <w:snapToGrid w:val="0"/>
          <w:kern w:val="0"/>
          <w:sz w:val="32"/>
          <w:szCs w:val="28"/>
          <w:highlight w:val="none"/>
        </w:rPr>
        <w:fldChar w:fldCharType="separate"/>
      </w:r>
      <w:r>
        <w:rPr>
          <w:rFonts w:eastAsia="仿宋_GB2312"/>
          <w:b/>
          <w:snapToGrid w:val="0"/>
          <w:kern w:val="0"/>
          <w:sz w:val="32"/>
          <w:szCs w:val="28"/>
          <w:highlight w:val="none"/>
        </w:rPr>
        <w:t>八、一般公共预算财政拨款基本支出决算表</w:t>
      </w:r>
      <w:r>
        <w:rPr>
          <w:rFonts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eastAsia="仿宋_GB2312"/>
          <w:b/>
          <w:snapToGrid w:val="0"/>
          <w:kern w:val="0"/>
          <w:sz w:val="32"/>
          <w:szCs w:val="28"/>
          <w:highlight w:val="none"/>
        </w:rPr>
      </w:pPr>
      <w:r>
        <w:rPr>
          <w:rFonts w:eastAsia="仿宋_GB2312"/>
          <w:b/>
          <w:snapToGrid w:val="0"/>
          <w:kern w:val="0"/>
          <w:sz w:val="32"/>
          <w:szCs w:val="28"/>
          <w:highlight w:val="none"/>
        </w:rPr>
        <w:fldChar w:fldCharType="begin"/>
      </w:r>
      <w:r>
        <w:instrText xml:space="preserve">HYPERLINK  \l "_Toc27282"</w:instrText>
      </w:r>
      <w:r>
        <w:rPr>
          <w:rFonts w:eastAsia="仿宋_GB2312"/>
          <w:b/>
          <w:snapToGrid w:val="0"/>
          <w:kern w:val="0"/>
          <w:sz w:val="32"/>
          <w:szCs w:val="28"/>
          <w:highlight w:val="none"/>
        </w:rPr>
        <w:fldChar w:fldCharType="separate"/>
      </w:r>
      <w:r>
        <w:rPr>
          <w:rFonts w:eastAsia="仿宋_GB2312"/>
          <w:b/>
          <w:snapToGrid w:val="0"/>
          <w:kern w:val="0"/>
          <w:sz w:val="32"/>
          <w:szCs w:val="28"/>
          <w:highlight w:val="none"/>
        </w:rPr>
        <w:t>九、一般公共预算财政拨款项目支出决算表</w:t>
      </w:r>
      <w:r>
        <w:rPr>
          <w:rFonts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eastAsia="仿宋_GB2312"/>
          <w:b/>
          <w:snapToGrid w:val="0"/>
          <w:kern w:val="0"/>
          <w:sz w:val="32"/>
          <w:szCs w:val="28"/>
          <w:highlight w:val="none"/>
        </w:rPr>
      </w:pPr>
      <w:r>
        <w:rPr>
          <w:rFonts w:eastAsia="仿宋_GB2312"/>
          <w:b/>
          <w:snapToGrid w:val="0"/>
          <w:kern w:val="0"/>
          <w:sz w:val="32"/>
          <w:szCs w:val="28"/>
          <w:highlight w:val="none"/>
        </w:rPr>
        <w:fldChar w:fldCharType="begin"/>
      </w:r>
      <w:r>
        <w:instrText xml:space="preserve">HYPERLINK  \l "_Toc9601"</w:instrText>
      </w:r>
      <w:r>
        <w:rPr>
          <w:rFonts w:eastAsia="仿宋_GB2312"/>
          <w:b/>
          <w:snapToGrid w:val="0"/>
          <w:kern w:val="0"/>
          <w:sz w:val="32"/>
          <w:szCs w:val="28"/>
          <w:highlight w:val="none"/>
        </w:rPr>
        <w:fldChar w:fldCharType="separate"/>
      </w:r>
      <w:r>
        <w:rPr>
          <w:rFonts w:eastAsia="仿宋_GB2312"/>
          <w:b/>
          <w:snapToGrid w:val="0"/>
          <w:kern w:val="0"/>
          <w:sz w:val="32"/>
          <w:szCs w:val="28"/>
          <w:highlight w:val="none"/>
        </w:rPr>
        <w:t>十、一般公共预算财政拨款“三公”经费支出决算表</w:t>
      </w:r>
      <w:r>
        <w:rPr>
          <w:rFonts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eastAsia="仿宋_GB2312"/>
          <w:b/>
          <w:snapToGrid w:val="0"/>
          <w:kern w:val="0"/>
          <w:sz w:val="32"/>
          <w:szCs w:val="28"/>
          <w:highlight w:val="none"/>
        </w:rPr>
      </w:pPr>
      <w:r>
        <w:rPr>
          <w:rFonts w:eastAsia="仿宋_GB2312"/>
          <w:b/>
          <w:snapToGrid w:val="0"/>
          <w:kern w:val="0"/>
          <w:sz w:val="32"/>
          <w:szCs w:val="28"/>
          <w:highlight w:val="none"/>
        </w:rPr>
        <w:fldChar w:fldCharType="begin"/>
      </w:r>
      <w:r>
        <w:instrText xml:space="preserve">HYPERLINK  \l "_Toc6769"</w:instrText>
      </w:r>
      <w:r>
        <w:rPr>
          <w:rFonts w:eastAsia="仿宋_GB2312"/>
          <w:b/>
          <w:snapToGrid w:val="0"/>
          <w:kern w:val="0"/>
          <w:sz w:val="32"/>
          <w:szCs w:val="28"/>
          <w:highlight w:val="none"/>
        </w:rPr>
        <w:fldChar w:fldCharType="separate"/>
      </w:r>
      <w:r>
        <w:rPr>
          <w:rFonts w:eastAsia="仿宋_GB2312"/>
          <w:b/>
          <w:snapToGrid w:val="0"/>
          <w:kern w:val="0"/>
          <w:sz w:val="32"/>
          <w:szCs w:val="28"/>
          <w:highlight w:val="none"/>
        </w:rPr>
        <w:t>十一、政府性基金预算财政拨款收入支出决算表</w:t>
      </w:r>
      <w:r>
        <w:rPr>
          <w:rFonts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eastAsia="仿宋_GB2312"/>
          <w:b/>
          <w:snapToGrid w:val="0"/>
          <w:kern w:val="0"/>
          <w:sz w:val="32"/>
          <w:szCs w:val="28"/>
          <w:highlight w:val="none"/>
        </w:rPr>
      </w:pPr>
      <w:r>
        <w:rPr>
          <w:rFonts w:eastAsia="仿宋_GB2312"/>
          <w:b/>
          <w:snapToGrid w:val="0"/>
          <w:kern w:val="0"/>
          <w:sz w:val="32"/>
          <w:szCs w:val="28"/>
          <w:highlight w:val="none"/>
        </w:rPr>
        <w:fldChar w:fldCharType="begin"/>
      </w:r>
      <w:r>
        <w:instrText xml:space="preserve">HYPERLINK  \l "_Toc1623"</w:instrText>
      </w:r>
      <w:r>
        <w:rPr>
          <w:rFonts w:eastAsia="仿宋_GB2312"/>
          <w:b/>
          <w:snapToGrid w:val="0"/>
          <w:kern w:val="0"/>
          <w:sz w:val="32"/>
          <w:szCs w:val="28"/>
          <w:highlight w:val="none"/>
        </w:rPr>
        <w:fldChar w:fldCharType="separate"/>
      </w:r>
      <w:r>
        <w:rPr>
          <w:rFonts w:eastAsia="仿宋_GB2312"/>
          <w:b/>
          <w:snapToGrid w:val="0"/>
          <w:kern w:val="0"/>
          <w:sz w:val="32"/>
          <w:szCs w:val="28"/>
          <w:highlight w:val="none"/>
        </w:rPr>
        <w:t>十二、政府性基金预算财政拨款“三公”经费支出决算表</w:t>
      </w:r>
      <w:r>
        <w:rPr>
          <w:rFonts w:eastAsia="仿宋_GB2312"/>
          <w:b/>
          <w:snapToGrid w:val="0"/>
          <w:kern w:val="0"/>
          <w:sz w:val="32"/>
          <w:szCs w:val="28"/>
          <w:highlight w:val="none"/>
        </w:rPr>
        <w:fldChar w:fldCharType="end"/>
      </w:r>
    </w:p>
    <w:p>
      <w:pPr>
        <w:pStyle w:val="11"/>
        <w:adjustRightInd w:val="0"/>
        <w:snapToGrid w:val="0"/>
        <w:spacing w:line="440" w:lineRule="exact"/>
        <w:ind w:left="0" w:leftChars="0" w:firstLine="0"/>
        <w:jc w:val="left"/>
        <w:rPr>
          <w:rFonts w:hint="eastAsia" w:ascii="仿宋_GB2312" w:eastAsia="仿宋_GB2312" w:cs="仿宋_GB2312"/>
          <w:b/>
          <w:bCs/>
          <w:sz w:val="32"/>
          <w:szCs w:val="32"/>
        </w:rPr>
      </w:pPr>
      <w:r>
        <w:rPr>
          <w:rFonts w:hint="eastAsia" w:ascii="仿宋_GB2312" w:eastAsia="仿宋_GB2312" w:cs="仿宋_GB2312"/>
          <w:b/>
          <w:bCs/>
          <w:sz w:val="32"/>
          <w:szCs w:val="32"/>
        </w:rPr>
        <w:t>十三、国有资本经营预算</w:t>
      </w:r>
      <w:r>
        <w:rPr>
          <w:rFonts w:hint="eastAsia" w:ascii="仿宋_GB2312" w:eastAsia="仿宋_GB2312" w:cs="仿宋_GB2312"/>
          <w:b/>
          <w:bCs/>
          <w:sz w:val="32"/>
          <w:szCs w:val="32"/>
          <w:lang w:eastAsia="zh-CN"/>
        </w:rPr>
        <w:t>财政拨款收入</w:t>
      </w:r>
      <w:r>
        <w:rPr>
          <w:rFonts w:hint="eastAsia" w:ascii="仿宋_GB2312" w:eastAsia="仿宋_GB2312" w:cs="仿宋_GB2312"/>
          <w:b/>
          <w:bCs/>
          <w:sz w:val="32"/>
          <w:szCs w:val="32"/>
        </w:rPr>
        <w:t>支出决算表</w:t>
      </w:r>
    </w:p>
    <w:p>
      <w:pPr>
        <w:rPr>
          <w:rFonts w:hint="eastAsia" w:ascii="Times New Roman" w:hAnsi="Times New Roman" w:eastAsia="仿宋_GB2312"/>
          <w:b/>
          <w:snapToGrid w:val="0"/>
          <w:kern w:val="0"/>
          <w:sz w:val="32"/>
        </w:rPr>
      </w:pPr>
      <w:r>
        <w:rPr>
          <w:rFonts w:hint="eastAsia" w:ascii="仿宋_GB2312" w:eastAsia="仿宋_GB2312" w:cs="仿宋_GB2312"/>
          <w:b/>
          <w:bCs/>
          <w:sz w:val="32"/>
          <w:szCs w:val="32"/>
          <w:lang w:val="en-US" w:eastAsia="zh-CN"/>
        </w:rPr>
        <w:t>十四、国有资本经营预算财政拨款支出决算表</w:t>
      </w:r>
      <w:r>
        <w:rPr>
          <w:rFonts w:ascii="仿宋" w:eastAsia="仿宋"/>
          <w:b/>
          <w:sz w:val="24"/>
          <w:highlight w:val="none"/>
        </w:rPr>
        <w:br w:type="page"/>
      </w:r>
    </w:p>
    <w:p>
      <w:pPr>
        <w:pStyle w:val="3"/>
        <w:jc w:val="center"/>
        <w:rPr>
          <w:rFonts w:ascii="黑体" w:eastAsia="黑体"/>
          <w:color w:val="000000"/>
          <w:sz w:val="32"/>
          <w:szCs w:val="32"/>
        </w:rPr>
      </w:pPr>
      <w:r>
        <w:rPr>
          <w:rFonts w:hint="eastAsia" w:ascii="黑体" w:eastAsia="黑体"/>
          <w:b w:val="0"/>
        </w:rPr>
        <w:t xml:space="preserve">第一部分 </w:t>
      </w:r>
      <w:r>
        <w:rPr>
          <w:rStyle w:val="16"/>
          <w:rFonts w:hint="eastAsia" w:ascii="黑体" w:eastAsia="黑体"/>
          <w:b w:val="0"/>
          <w:bCs w:val="0"/>
        </w:rPr>
        <w:t>部门概况</w:t>
      </w:r>
      <w:bookmarkEnd w:id="12"/>
      <w:bookmarkEnd w:id="13"/>
    </w:p>
    <w:p>
      <w:pPr>
        <w:snapToGrid w:val="0"/>
        <w:spacing w:line="520" w:lineRule="exact"/>
        <w:ind w:firstLine="643" w:firstLineChars="200"/>
        <w:rPr>
          <w:rFonts w:hint="eastAsia" w:ascii="楷体_GB2312" w:eastAsia="楷体_GB2312"/>
          <w:b/>
          <w:sz w:val="32"/>
          <w:szCs w:val="32"/>
          <w:highlight w:val="none"/>
        </w:rPr>
      </w:pPr>
      <w:bookmarkStart w:id="14" w:name="_Toc15396601"/>
      <w:bookmarkStart w:id="15" w:name="_Toc15377200"/>
      <w:r>
        <w:rPr>
          <w:rFonts w:hint="eastAsia" w:ascii="楷体_GB2312" w:eastAsia="楷体_GB2312"/>
          <w:b/>
          <w:sz w:val="32"/>
          <w:szCs w:val="32"/>
          <w:highlight w:val="none"/>
        </w:rPr>
        <w:t>（一）基本情况。</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1．主要职能。</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中共四川省委宣传部是省委主管意识形态方面工作的职能部门，部机关性质为行政单位。</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主要职责是：拟定全省宣传思想文化工作重大政策和事业产业发展总体规划，统筹协调推进宣传思想文化领域法制建设，按照省委统一部署，协调宣传思想文化系统各部门（单位）之间的工作；统筹协调全省党的意识形态工作；统筹指导协调理论研究、理论学习、理论宣传工作；负责规划组织全局性思想政治工作，组织重大先进典型的学习和推广；统筹指导协调推动精神文化产品的创作和生产，协调组织中华优秀传统文化和巴蜀文化传承发展工作，指导协调推动群众文化建设；统筹组织协调精神文明建设工作；统筹分析研判和引导社会舆论；统筹协调对外宣传工作，组织指导重大对外宣传活动和对外文化交流工作；宏观上统筹指导协调互联网宣传和信息内容管理；统筹指导舆论信息工作；统筹协调组织开展新闻发布工作；统筹指导推进文化体制改革和文化事业、文化产业及旅游业发展，统筹省属国有文化资产监管工作；负责管理新闻出版行政事务和所涉及的行政审批工作，组织指导协调“扫黄打非”工作；负责管理电影行政事务和所涉及的行政审批工作，指导协调和参与重大电影活动和电影对外合作交流等；负责组织开展宣传思想文化战线干部教育培训和人才工作；完成省委交办的其他任务。</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2．机构情况。</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2020年末机构数为8个，纳入2020年度部门决算汇编范围的独立核算单位共8个</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其中：行政机关1个，中共四川省委宣传部机关</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参照公务员法管理的事业单位2个，中共四川省委讲师团、四川省思想政治工作研究会</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其他事业单位5个</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分别是国防时报</w:t>
      </w:r>
      <w:r>
        <w:rPr>
          <w:rFonts w:hint="eastAsia" w:ascii="仿宋_GB2312" w:eastAsia="仿宋_GB2312"/>
          <w:sz w:val="32"/>
          <w:szCs w:val="32"/>
          <w:highlight w:val="none"/>
          <w:lang w:eastAsia="zh-CN"/>
        </w:rPr>
        <w:t>社</w:t>
      </w:r>
      <w:r>
        <w:rPr>
          <w:rFonts w:hint="eastAsia" w:ascii="仿宋_GB2312" w:eastAsia="仿宋_GB2312"/>
          <w:sz w:val="32"/>
          <w:szCs w:val="32"/>
          <w:highlight w:val="none"/>
        </w:rPr>
        <w:t>、四川国际文化交流中心、四川省对外文化交流中心、四川省四川文化产业职业学院（四川省干部函授学院）</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四川省新闻中心。</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3．人员情况。</w:t>
      </w:r>
    </w:p>
    <w:p>
      <w:pPr>
        <w:snapToGrid w:val="0"/>
        <w:spacing w:line="520" w:lineRule="exact"/>
        <w:ind w:firstLine="640" w:firstLineChars="200"/>
        <w:rPr>
          <w:rFonts w:hint="eastAsia" w:ascii="仿宋_GB2312" w:eastAsia="仿宋_GB2312" w:cs="仿宋"/>
          <w:color w:val="000000"/>
          <w:sz w:val="32"/>
          <w:szCs w:val="32"/>
          <w:highlight w:val="none"/>
          <w:lang w:bidi="ar-SA"/>
        </w:rPr>
      </w:pPr>
      <w:r>
        <w:rPr>
          <w:rFonts w:hint="eastAsia" w:ascii="仿宋_GB2312" w:eastAsia="仿宋_GB2312" w:cs="仿宋"/>
          <w:color w:val="000000"/>
          <w:sz w:val="32"/>
          <w:szCs w:val="32"/>
          <w:highlight w:val="none"/>
          <w:lang w:bidi="ar-SA"/>
        </w:rPr>
        <w:t>2020年在职人员为415人，其中</w:t>
      </w:r>
      <w:r>
        <w:rPr>
          <w:rFonts w:hint="eastAsia" w:ascii="仿宋_GB2312" w:eastAsia="仿宋_GB2312" w:cs="仿宋"/>
          <w:color w:val="000000"/>
          <w:sz w:val="32"/>
          <w:szCs w:val="32"/>
          <w:highlight w:val="none"/>
          <w:lang w:eastAsia="zh-CN" w:bidi="ar-SA"/>
        </w:rPr>
        <w:t>，</w:t>
      </w:r>
      <w:r>
        <w:rPr>
          <w:rFonts w:hint="eastAsia" w:ascii="仿宋_GB2312" w:eastAsia="仿宋_GB2312" w:cs="仿宋"/>
          <w:color w:val="000000"/>
          <w:sz w:val="32"/>
          <w:szCs w:val="32"/>
          <w:highlight w:val="none"/>
          <w:lang w:bidi="ar-SA"/>
        </w:rPr>
        <w:t>行政人员为148人，参照公务员法管理事业人员11人，非参公事业人员为250人；离休人员为6人；年末其他人员为65人；年末学生数为9950人。</w:t>
      </w:r>
    </w:p>
    <w:p>
      <w:pPr>
        <w:snapToGrid w:val="0"/>
        <w:spacing w:line="520" w:lineRule="exact"/>
        <w:ind w:firstLine="643" w:firstLineChars="200"/>
        <w:rPr>
          <w:rFonts w:hint="eastAsia" w:ascii="楷体_GB2312" w:eastAsia="楷体_GB2312"/>
          <w:b/>
          <w:sz w:val="32"/>
          <w:szCs w:val="32"/>
          <w:highlight w:val="none"/>
        </w:rPr>
      </w:pPr>
      <w:r>
        <w:rPr>
          <w:rFonts w:hint="eastAsia" w:ascii="楷体_GB2312" w:eastAsia="楷体_GB2312"/>
          <w:b/>
          <w:sz w:val="32"/>
          <w:szCs w:val="32"/>
          <w:highlight w:val="none"/>
        </w:rPr>
        <w:t>（二）当年取得的主要事业成效。</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2020年全省宣传思想文化战线在省委坚强领导下，坚持以习近平新时代中国特色社会主义思想为指导，增强“四个意识”、坚定“四个自信”、做到“两个维护”，举旗帜、聚民心、育新人、兴文化、展形象，在决胜全面小康、决战脱贫攻坚中展现新作为，在抗击疫情和防汛救灾大战大考中焕发新气象，在夯实基层基础、积极践行“四力”中实现新突破，为夺取疫情防控和经济社会发展“双胜利”、推动治蜀兴川再上新台阶提供了坚强思想保证和强大精神力量。</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1、高举思想旗帜，推动习近平新时代中国特色社会主义思想更加深入人心</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理论学习走深走实。习近平总书记发表重要讲话和作出指示批示后，省委常委会议第一时间传达贯彻，为各级党委（党组）作出示范。充分发挥党委（党组）理论学习中心组龙头作用，省委理论学习中心组围绕统筹疫情防控和经济社会发展、成渝地区双城经济圈建设等主题开展集体学习研讨10次，各市（州）党委理论学习中心组召开专题学习会180余次。制定理论学习中心组测评细则，提升党委（党组）理论学习中心组学习规范化水平。精心部署发行《习近平谈治国理政》第三卷220万册，广泛组织学习《论党的宣传思想工作》《中国制度面对面》等理论读物，建好用好“学习强国”学习平台，推动习近平新时代中国特色社会主义思想落地生根、入脑入心。</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理论宣讲创新开展。精心组织党的十九届五中全会精神宣讲活动，中央宣讲团成员、省委书记彭清华为全省4万多名干部群众进行首场集中宣讲，并与高校师生代表、企业职工代表等面对面座谈。省领导带头到联系市（州）和分管领域开展宣讲，组建14个省委宣讲分团赴各地开展集中宣讲活动130余场（次），首次组建新时代文明实践青年宣讲分团面向青少年群体开展“面对面”“键对键”宣讲。各地各部门开展宣讲活动6.6万场次，直接受众570万人次。大力开辟理论宣讲新平台新阵地，创办《思想周刊》理论学习报，开设“藏地阳光”汉藏双语理论学习平台、“学习强国”四川学习平台《理论之声》专栏，以“宣讲+文艺”等方式将党的创新理论送进田间地头，积极构建多层次、多渠道、多样式的立体化理论宣传格局，推动全会精神家喻户晓。4个基层理论宣讲项目获中宣部表彰。</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理论研究深入浅出。紧扣习近平新时代中国特色社会主义思想，深入开展重大理论和现实问题研究，省委书记彭清华带头撰写《坚持系统观念谋划推动“十四五”经济社会发展》等4篇理论文章在《人民日报》《求是》等刊发。持续加强马克思主义学院建设，做好“马工程”重大项目研究工作。成立全省哲学社会科学工作办公室进一步强化工作统筹，组织全省社科理论工作者科学谋划一批重点课题，推出一批重大社科理论研究成果。召开学习宣传《习近平谈治国理政》第三卷座谈会，举办学习贯彻党的十九届五中全会精神理论研讨会、首届成渝地区双城经济圈发展论坛，理论研究不断深化。</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2、奏响时代强音，全省人民砥砺奋进坚决打赢两场硬仗、奋力夺取双胜利的信心力量极大凝聚</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抗击疫情重大宣传卓有成效。紧紧围绕打赢疫情防控人民战争、总体战、阻击战，第一时间启动突发事件应急新闻宣传工作机制，统筹各类媒体、各条战线、各个平台同频共振、同向发力，凝聚起全省干部群众克难攻坚、砥砺前行的磅礴力量。中央主要媒体聚焦打赢两场硬仗推出涉川报道1万余篇（条），其中《人民日报》等推出89篇头版稿件，央视《新闻联播》推出63个单条消息。省直媒体推出报道40余万篇（条），一批新媒体产品在全网形成刷屏效应。紧扣社会关注热点，各级举办疫情防控新闻发布活动400余场，县级融媒体中心日均发稿1万余条，创新运用四川手机报、村村响广播等平台全覆盖推送疫情信息、普及抗疫知识。弘扬伟大抗疫精神，举办战“疫”专题展览和大型“亮灯”活动，大力宣传抗疫防汛先进典型，广泛传播“汶川女孩”佘莎、“雨衣妹妹”刘仙等先进事迹，书写了中国抗“疫”故事四川篇章。</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脱贫奔康主题宣传浓墨重彩。精心组织“决胜全面小康  决战脱贫攻坚”重大主题宣传。聚焦我省藏区脱贫摘帽、凉山最大易地扶贫搬迁安置点分房、“最后的通村公路贯通”、我省贫困县全部脱贫摘帽等脱贫攻坚重大胜利，国务院新闻办在川举办首场脱贫攻坚新闻发布会，省委、省政府主要领导围绕“牢记总书记关怀嘱托  打好四川脱贫攻坚战”介绍四川脱贫攻坚情况并回答记者提问。协调中宣部在川举办“督战未摘帽贫困县”“走向我们的小康生活”启动仪式，18家中央媒体专题专栏报道均以四川开篇。组织中外媒体赴川集中采访，推出“悬崖村搬家”等易地扶贫搬迁重头报道，开展脱贫美丽新村全媒体集中宣传展示“晒”村活动，对外展示四川全面小康伟大成就。举办“向祖国汇报”脱贫攻坚主题大型文艺特别节目，建设凉山脱贫攻坚全域实景博物馆，集中宣传报道106位脱贫攻坚先进典型，讲好四川脱贫奔康故事，彰显中国特色社会主义制度巨大优越性。</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经济社会成就宣传有声有色。大力唱响经济光明论，深入解读扎实做好“六稳”工作、全面落实“六保”任务和加快形成以国内大循环为主体、国内国际双循环相互促进的新发展格局等战略决策，充分报道我省“一干多支、五区协同”“四向拓展、全域开放”“农业多贡献、工业挑大梁、投资唱主角、消费促升级”等重大部署，全面反映治蜀兴川新进展新成效。深入开展推动成渝地区双城经济圈建设宣传，与重庆市联合策划“双城记”系列宣传活动。扎实做好凉山西昌森林火灾、防汛救灾、乡镇行政区划和村级建制调整宣传引导，持续做好森林草原防灭火专项整治宣传报道工作，积极有效应对四川信托风险处置等敏感事件引发的舆情，有力维护社会稳定。</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3、弘扬主流价值，全社会文明程度和全省人民文明素养持续提升</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社会主义核心价值观广泛弘扬。坚持德法相济，推动社会主义核心价值观内化于心、外化于行，推进理想信念教育常态化制度化。印发《新时代公民道德建设实施纲要》《新时代爱国主义教育实施纲要》分工方案，开展“倡导国庆新民俗、打造爱国活动周”、社会主义核心价值观微电影（微视频）征集展播等主题活动，新命名9个省级爱国主义教育基地，培养爱国之情、砥砺强国之志。深入学习宣传习近平总书记在纪念中国人民抗日战争暨世界反法西斯战争胜利75周年大会、纪念中国人民志愿军抗美援朝出国作战70周年大会上的重要讲话精神，学习贯彻习近平总书记给省革命伤残军人休养院伤残军人回信重要精神，在巴中川陕革命根据地红军烈士陵园举办向人民英雄敬献花篮仪式。复排大型民族歌剧《同心结》等主题文艺作品。广泛宣传民法典等法律法规，大力弘扬社会主义法治精神。</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群众性精神文明创建成效显著。坚持为民利民惠民，以文明城市创建为龙头，推动群众性精神文明创建活动取得丰硕成果。4个地级市和4个县级城市获评第六届全国文明城市，获评数量超过前五届总和、县级全国文明城市实现零的突破。新创全国文明村镇103个、全国文明单位84个、全国文明家庭23个、全国文明校园27个、未成年人思想道德建设工作先进17个。评选表彰第五届四川省文明城市38个、文明村镇200个、文明单位350个，第二届文明家庭100户、文明校园122所，新一届未成年人思想道德建设工作先进230个。隆重召开全省精神文明建设表彰大会，传达学习省委书记彭清华对我省精神文明建设工作重要批示精神，集中展示全省精神文明建设新进展新成效，表彰一批先进集体和个人代表。</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全社会崇德向善风尚日益浓厚。树立德者受尊、好人好报的鲜明导向，出台《四川省礼遇帮扶道德模范和身边好人实施办法（试行）》，选树“四川好人”和“新时代好少年”220名，其中21人入选“中国好人”。深入宣传全国优秀共产党员周永开、“时代楷模”其美多吉等先进事迹，广泛开展“诚信社区”“诚信之星”评选宣传活动，形成见贤思齐、争当先进的浓厚氛围。加强青少年思想道德教育，深化“扣好人生第一粒扣子”主题教育实践活动，厚植广大青少年爱党爱国情怀。坚持扶贫同扶志扶智相结合，制定《精准扶志扶智决胜脱贫攻坚专项行动实施方案》，深入开展新时代乡风文明建设十大行动和移风易俗主题教育活动，着力破除等靠要思想、陈规陋习和不良风气。广泛开展“厉行节约、反对铺张浪费”光盘行动和“倡导社交文明、加强公共卫生”行动。扎实推进新时代文明实践中心建设，20个全国试点任务顺利完成，全省建成文明实践中心（所、站）8147个。推动志愿服务制度化常态化，全省注册志愿者超过1400万人。</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4、着力培根铸魂，中华优秀传统文化创造性转化创新性发展迈出新步伐</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坚持项目化推动。深入学习贯彻习近平总书记关于考古工作重要论述，三星堆遗址等考古发掘取得重大进展。创建三星堆国家文物保护利用示范区，启动四川名人馆、江口沉银博物馆建设。深入实施历史名人文化传承创新工程和古籍保护研究利用工程，发布第二批10位四川历史名人，9部古籍入选第六批《国家珍贵古籍名录》。保护传承农村生产生活遗产，羌绣等165项传统技艺纳入传承名录。持续推动历史文化名城名镇名村建设，成功创建国家历史文化名城8个、名镇31个、名村6个。</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坚持体系化传承。构建中华优秀传统文化传承发展体系，大力建设重点中华文化研究院，新成立西南民族大学藏羌彝文化研究院、成都体育学院中华国术院、四川音乐学院中华传统音乐研究院，评选四川大学中华文化研究院等6所第一批全省重点中华文化研究院。发布“中华文化基本问题研究”等重大社科规划单列项目15个。编制《长征国家文化公园四川段建设保护规划（建议稿）》《四川省川陕片区红军文化公园保护利用规划（2020—2030年）》，与陕西省、重庆市签署《加强文物保护利用战略合作协议》，加快推进巴中川陕革命根据地红军烈士陵园整体提升工程。</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坚持社会化普及。有序推进中华文化经典读本编纂工作，出版发行《四川历史名人读本》，推出首批四川历史名人丛书41种，举办名人大讲堂8期，组织开展全省中华文化优秀校本课程读本评选推广活动。整理《天回医简》研究成果，推动中医药文化宣传普及。深化“我们的节日”主题活动，举办全省2020年经典诵写讲演和青少年中华优秀传统文化传习系列活动。制作播出大型人文纪录片《蜀道风流》，成功举办“金熊猫”国际传播高峰论坛、“巴蜀文化的现代表达与国际传播”研讨会，推动“李子柒”“丁真”等地域文化符号广泛传播，展现巴蜀文化独特魅力。</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5、聚焦人民期待，文化精品创作生产和文化高质量发展扎实推进</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深化文化体制改革纵深推进。启动编制“十四五”文化发展和改革规划，加强全省文化改革发展顶层设计。深化文化领域行政审批“放管服”改革，加强文化综合执法体系建设，构建省属国有文化资产监督管理框架体系，调整广电系统事业单位管理关系。印发《深化省属国有文化企业（单位）改革方案》，加快推进国有文化资产重组和资源整合，完成四川文化产业投资集团改组组建和四川新华出版发行集团更名，省广电网络公司如期完成参与“全国一网”整合股权出资实缴，四川新闻网（传媒）集团发行上市已获通过进入注册环节，峨眉电影集团改革取得重大进展，四川新华发行集团稳居全国文化企业30强。</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促进公共文化服务提质增效。增强公共文化服务供给力，深入实施公共博物馆、图书馆、文化馆效能提升行动，加快推进天府新区省级文化中心等重大设施、“高清四川、智慧广电”等重点工程建设，创新开展天府书展、乡村阅读季等重点阅读活动，建好用好农家（社区）书屋。制定《四川省乡村文化振兴“百千万”工程实施方案》，在全省25个乡镇创新开展公共文化服务效能提升试点工作。广泛开展“我们的中国梦”——文化进万家系列文化惠民活动，组织红色文艺轻骑兵送文艺下乡2000余场，放映农村公益电影58万余场次。全面完成文化扶贫任务，11501个贫困村全覆盖建成综合文化服务中心（文化院坝）、应急广播系统、文化室，贫困地区文化设施“短板”明显改善。15家单位获评第八届全国服务农民、服务基层文化建设先进集体。</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加快优质文化产品创作生产。围绕全面建成小康社会、建党100周年和全民战“疫”开展主题文艺精品创作生产，制定《四川省主题文艺精品创作生产推进方案（2020—2025年）》。报告文学《悬崖村》、散文集《檐上的月亮》荣获第十二届全国少数民族文学创作骏马奖，舞剧《努力餐》荣获第十二届中国舞蹈“荷花奖”，长篇小说《桑田日暖》、舞剧《英雄》等8部作品入选庆祝中国共产党成立100周年重点扶持作品，电影《随风飘散》入围2020年韩国釜山国际A类电影节，电视剧《金色索玛花》登陆央视一套黄金档、《四川省优秀战疫歌曲集》入选第十届中国数字出版博览会出版战“疫”数字内容精品展。振兴四川出版再上新台阶，召开振兴四川出版工作推进会，省委办公厅、省政府办公厅印发《关于加强和改进出版工作推动四川出版高质量发展的指导意见》，组织出版《小康中国》《大道兴川》等主题出版物50种，《古路之路》入选中宣部主题出版重点出版物选题，56个项目入选2020年各类国家出版资助项目和推荐计划，编纂四川战“疫”丛书和脱贫攻坚书系。开展“版权社会服务质量提升年”活动，完成作品著作权登记近16万件。</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推动文化旅游产业逆势发展。加快文化强省旅游强省建设步伐，召开全省文化和旅游发展大会，命名第二批天府旅游名县。积极应对疫情影响，安排专项资金对影院、书店、景区、文旅企业等给予纾困支持，开展“惠文化·乐生活”文化消费提振行动。推动文化和科技、金融深度融合，试点“天府文产贷”。优化文旅经济布局，成都大熊猫国际旅游度假区、德阳三星堆文化产业园、自贡中华彩灯大世界等项目稳步推进，绵阳方特东方神画、都江堰融创文旅城投入运营。举办第八届中国网络视听大会、第六届中国（四川）国际旅游投资大会。国庆中秋假期，全省共接待各类游客5969.36万人次，同口径相比恢复77%，接待规模位居全国第二，实现国内旅游收入479.54亿元，同口径相比恢复79.1%。制定全省文化旅游发展重点项目清单，启动推进文旅重点项目803个，累计完成投资约3000亿元。</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6、推进从严治党，全省宣传思想文化战线党的建设和自身建设全面加强</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加强党的领导落实有力。旗帜鲜明坚持党管宣传、党管意识形态、党管媒体，把政治家办报、办刊、办台、办新媒体的要求不折不扣落实到工作全过程和各方面。以贯彻《中国共产党宣传工作条例》《党委（党组）意识形态工作责任制实施办法》为重要抓手，推动各级各部门党委（党组）抓宣传思想工作主体责任意识不断增强。统筹推进四川新华出版发行集团、峨眉电影集团、省四川文化产业职业学院（四川省干部函授学院）（四川文化产业职业学院）党委换届工作。</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加强队伍建设积极有为。突出政治标准，鲜明用人导向，强化归口领导管理，大力推进宣传文化系统领导班子和干部队伍建设，修订省直宣传文化单位重要宣传舆论阵地和重要岗位领导干部职务名称。统筹推进宣传思想文化领域人才队伍建设，培养选拔优秀青年人才，加强对非公领域文化人才的政治引领、教育引导和联系服务，11人获评“天府万人计划”天府文化领军人才称号。加快建设四川宣传干部学院，建好用好网信人才培养基地。以乡镇行政区划调整改革为契机，配齐配强宣传委员队伍，夯实基层宣传工作力量。深入开展增强“四力”教育实践，突出实用性操作性，不断提升干部教育培训工作正规化专业化精品化水平，培训各类干部人才1.2万余人次，努力打造政治过硬、本领高强、求实创新、能打胜仗的宣传思想工作队伍。</w:t>
      </w:r>
    </w:p>
    <w:p>
      <w:pPr>
        <w:snapToGrid w:val="0"/>
        <w:spacing w:line="520" w:lineRule="exact"/>
        <w:rPr>
          <w:rFonts w:hint="eastAsia" w:ascii="黑体" w:eastAsia="黑体"/>
          <w:sz w:val="32"/>
          <w:szCs w:val="32"/>
          <w:highlight w:val="none"/>
        </w:rPr>
        <w:sectPr>
          <w:footerReference r:id="rId3" w:type="default"/>
          <w:pgSz w:w="11906" w:h="16838"/>
          <w:pgMar w:top="1440" w:right="1800" w:bottom="1440" w:left="1800" w:header="851" w:footer="992" w:gutter="0"/>
          <w:cols w:space="720" w:num="1"/>
          <w:docGrid w:type="lines" w:linePitch="312" w:charSpace="0"/>
        </w:sectPr>
      </w:pPr>
    </w:p>
    <w:p>
      <w:pPr>
        <w:pStyle w:val="4"/>
        <w:ind w:firstLine="640" w:firstLineChars="200"/>
        <w:rPr>
          <w:rStyle w:val="17"/>
          <w:b w:val="0"/>
          <w:bCs w:val="0"/>
        </w:rPr>
      </w:pPr>
      <w:r>
        <w:rPr>
          <w:rFonts w:hint="eastAsia" w:ascii="黑体" w:eastAsia="黑体"/>
          <w:b w:val="0"/>
          <w:color w:val="000000"/>
        </w:rPr>
        <w:t>二、机</w:t>
      </w:r>
      <w:r>
        <w:rPr>
          <w:rStyle w:val="17"/>
          <w:rFonts w:hint="eastAsia" w:ascii="黑体" w:eastAsia="黑体"/>
          <w:b w:val="0"/>
          <w:bCs w:val="0"/>
        </w:rPr>
        <w:t>构设置</w:t>
      </w:r>
      <w:bookmarkEnd w:id="14"/>
      <w:bookmarkEnd w:id="15"/>
    </w:p>
    <w:p>
      <w:pPr>
        <w:overflowPunct w:val="0"/>
        <w:adjustRightInd w:val="0"/>
        <w:snapToGrid w:val="0"/>
        <w:spacing w:line="600" w:lineRule="exact"/>
        <w:ind w:firstLine="624" w:firstLineChars="200"/>
        <w:rPr>
          <w:rFonts w:eastAsia="仿宋_GB2312"/>
          <w:b w:val="0"/>
          <w:bCs/>
          <w:snapToGrid w:val="0"/>
          <w:kern w:val="0"/>
          <w:sz w:val="32"/>
          <w:szCs w:val="32"/>
        </w:rPr>
      </w:pPr>
      <w:bookmarkStart w:id="16" w:name="_Toc15377204"/>
      <w:bookmarkStart w:id="17" w:name="_Toc15396602"/>
      <w:r>
        <w:rPr>
          <w:rFonts w:eastAsia="仿宋_GB2312"/>
          <w:b w:val="0"/>
          <w:bCs/>
          <w:snapToGrid w:val="0"/>
          <w:spacing w:val="-4"/>
          <w:kern w:val="0"/>
          <w:sz w:val="32"/>
          <w:szCs w:val="32"/>
        </w:rPr>
        <w:t>省委宣传部下属二级单位</w:t>
      </w:r>
      <w:r>
        <w:rPr>
          <w:rFonts w:hint="eastAsia" w:eastAsia="仿宋_GB2312"/>
          <w:b w:val="0"/>
          <w:bCs/>
          <w:snapToGrid w:val="0"/>
          <w:spacing w:val="-4"/>
          <w:kern w:val="0"/>
          <w:sz w:val="32"/>
          <w:szCs w:val="32"/>
          <w:lang w:val="en-US" w:eastAsia="zh-CN"/>
        </w:rPr>
        <w:t>8</w:t>
      </w:r>
      <w:r>
        <w:rPr>
          <w:rFonts w:eastAsia="仿宋_GB2312"/>
          <w:b w:val="0"/>
          <w:bCs/>
          <w:snapToGrid w:val="0"/>
          <w:spacing w:val="-4"/>
          <w:kern w:val="0"/>
          <w:sz w:val="32"/>
          <w:szCs w:val="32"/>
        </w:rPr>
        <w:t>个，其中行政单位1个，参照</w:t>
      </w:r>
      <w:r>
        <w:rPr>
          <w:rFonts w:eastAsia="仿宋_GB2312"/>
          <w:b w:val="0"/>
          <w:bCs/>
          <w:snapToGrid w:val="0"/>
          <w:kern w:val="0"/>
          <w:sz w:val="32"/>
          <w:szCs w:val="32"/>
        </w:rPr>
        <w:t>公务员法管理的事业单位2个，其他事业单位</w:t>
      </w:r>
      <w:r>
        <w:rPr>
          <w:rFonts w:hint="eastAsia" w:eastAsia="仿宋_GB2312"/>
          <w:b w:val="0"/>
          <w:bCs/>
          <w:snapToGrid w:val="0"/>
          <w:kern w:val="0"/>
          <w:sz w:val="32"/>
          <w:szCs w:val="32"/>
          <w:lang w:val="en-US" w:eastAsia="zh-CN"/>
        </w:rPr>
        <w:t>5</w:t>
      </w:r>
      <w:r>
        <w:rPr>
          <w:rFonts w:eastAsia="仿宋_GB2312"/>
          <w:b w:val="0"/>
          <w:bCs/>
          <w:snapToGrid w:val="0"/>
          <w:kern w:val="0"/>
          <w:sz w:val="32"/>
          <w:szCs w:val="32"/>
        </w:rPr>
        <w:t>个。纳入省委宣传部20</w:t>
      </w:r>
      <w:r>
        <w:rPr>
          <w:rFonts w:hint="eastAsia" w:eastAsia="仿宋_GB2312"/>
          <w:b w:val="0"/>
          <w:bCs/>
          <w:snapToGrid w:val="0"/>
          <w:kern w:val="0"/>
          <w:sz w:val="32"/>
          <w:szCs w:val="32"/>
          <w:lang w:val="en-US" w:eastAsia="zh-CN"/>
        </w:rPr>
        <w:t>20</w:t>
      </w:r>
      <w:r>
        <w:rPr>
          <w:rFonts w:eastAsia="仿宋_GB2312"/>
          <w:b w:val="0"/>
          <w:bCs/>
          <w:snapToGrid w:val="0"/>
          <w:kern w:val="0"/>
          <w:sz w:val="32"/>
          <w:szCs w:val="32"/>
        </w:rPr>
        <w:t>年度部门决算编制范围的二级预算单位包括：</w:t>
      </w:r>
    </w:p>
    <w:p>
      <w:pPr>
        <w:overflowPunct w:val="0"/>
        <w:adjustRightInd w:val="0"/>
        <w:snapToGrid w:val="0"/>
        <w:spacing w:line="600" w:lineRule="exact"/>
        <w:ind w:firstLine="640" w:firstLineChars="200"/>
        <w:rPr>
          <w:rFonts w:eastAsia="仿宋_GB2312"/>
          <w:b w:val="0"/>
          <w:bCs/>
          <w:snapToGrid w:val="0"/>
          <w:kern w:val="0"/>
          <w:sz w:val="32"/>
          <w:szCs w:val="32"/>
        </w:rPr>
      </w:pPr>
      <w:bookmarkStart w:id="18" w:name="_Toc15378449"/>
      <w:bookmarkStart w:id="19" w:name="_Toc15306276"/>
      <w:bookmarkStart w:id="20" w:name="_Toc15377202"/>
      <w:bookmarkStart w:id="21" w:name="_Toc15377433"/>
      <w:r>
        <w:rPr>
          <w:rFonts w:eastAsia="仿宋_GB2312"/>
          <w:b w:val="0"/>
          <w:bCs/>
          <w:snapToGrid w:val="0"/>
          <w:kern w:val="0"/>
          <w:sz w:val="32"/>
          <w:szCs w:val="32"/>
        </w:rPr>
        <w:t>中共四川省委宣传部</w:t>
      </w:r>
      <w:bookmarkEnd w:id="18"/>
      <w:bookmarkEnd w:id="19"/>
      <w:bookmarkEnd w:id="20"/>
      <w:bookmarkEnd w:id="21"/>
      <w:r>
        <w:rPr>
          <w:rFonts w:eastAsia="仿宋_GB2312"/>
          <w:b w:val="0"/>
          <w:bCs/>
          <w:snapToGrid w:val="0"/>
          <w:kern w:val="0"/>
          <w:sz w:val="32"/>
          <w:szCs w:val="32"/>
        </w:rPr>
        <w:t>机关</w:t>
      </w:r>
    </w:p>
    <w:p>
      <w:pPr>
        <w:overflowPunct w:val="0"/>
        <w:adjustRightInd w:val="0"/>
        <w:snapToGrid w:val="0"/>
        <w:spacing w:line="600" w:lineRule="exact"/>
        <w:ind w:firstLine="640" w:firstLineChars="200"/>
        <w:rPr>
          <w:rFonts w:eastAsia="仿宋_GB2312"/>
          <w:b w:val="0"/>
          <w:bCs/>
          <w:snapToGrid w:val="0"/>
          <w:kern w:val="0"/>
          <w:sz w:val="32"/>
          <w:szCs w:val="32"/>
        </w:rPr>
      </w:pPr>
      <w:r>
        <w:rPr>
          <w:rFonts w:eastAsia="仿宋_GB2312"/>
          <w:b w:val="0"/>
          <w:bCs/>
          <w:snapToGrid w:val="0"/>
          <w:kern w:val="0"/>
          <w:sz w:val="32"/>
          <w:szCs w:val="32"/>
        </w:rPr>
        <w:t>中共四川省委讲师团</w:t>
      </w:r>
    </w:p>
    <w:p>
      <w:pPr>
        <w:overflowPunct w:val="0"/>
        <w:adjustRightInd w:val="0"/>
        <w:snapToGrid w:val="0"/>
        <w:spacing w:line="600" w:lineRule="exact"/>
        <w:ind w:firstLine="640" w:firstLineChars="200"/>
        <w:rPr>
          <w:rFonts w:eastAsia="仿宋_GB2312"/>
          <w:b w:val="0"/>
          <w:bCs/>
          <w:snapToGrid w:val="0"/>
          <w:kern w:val="0"/>
          <w:sz w:val="32"/>
          <w:szCs w:val="32"/>
        </w:rPr>
      </w:pPr>
      <w:r>
        <w:rPr>
          <w:rFonts w:eastAsia="仿宋_GB2312"/>
          <w:b w:val="0"/>
          <w:bCs/>
          <w:snapToGrid w:val="0"/>
          <w:kern w:val="0"/>
          <w:sz w:val="32"/>
          <w:szCs w:val="32"/>
        </w:rPr>
        <w:t>四川省思想政治工作研究会</w:t>
      </w:r>
    </w:p>
    <w:p>
      <w:pPr>
        <w:overflowPunct w:val="0"/>
        <w:adjustRightInd w:val="0"/>
        <w:snapToGrid w:val="0"/>
        <w:spacing w:line="600" w:lineRule="exact"/>
        <w:ind w:firstLine="640" w:firstLineChars="200"/>
        <w:rPr>
          <w:rFonts w:eastAsia="仿宋_GB2312"/>
          <w:b w:val="0"/>
          <w:bCs/>
          <w:snapToGrid w:val="0"/>
          <w:kern w:val="0"/>
          <w:sz w:val="32"/>
          <w:szCs w:val="32"/>
        </w:rPr>
      </w:pPr>
      <w:r>
        <w:rPr>
          <w:rFonts w:eastAsia="仿宋_GB2312"/>
          <w:b w:val="0"/>
          <w:bCs/>
          <w:snapToGrid w:val="0"/>
          <w:kern w:val="0"/>
          <w:sz w:val="32"/>
          <w:szCs w:val="32"/>
        </w:rPr>
        <w:t>国防时报社</w:t>
      </w:r>
    </w:p>
    <w:p>
      <w:pPr>
        <w:overflowPunct w:val="0"/>
        <w:adjustRightInd w:val="0"/>
        <w:snapToGrid w:val="0"/>
        <w:spacing w:line="600" w:lineRule="exact"/>
        <w:ind w:firstLine="640" w:firstLineChars="200"/>
        <w:rPr>
          <w:rFonts w:hint="eastAsia" w:eastAsia="仿宋_GB2312"/>
          <w:b w:val="0"/>
          <w:bCs/>
          <w:snapToGrid w:val="0"/>
          <w:kern w:val="0"/>
          <w:sz w:val="32"/>
          <w:szCs w:val="32"/>
          <w:lang w:eastAsia="zh-CN"/>
        </w:rPr>
      </w:pPr>
      <w:r>
        <w:rPr>
          <w:rFonts w:eastAsia="仿宋_GB2312"/>
          <w:b w:val="0"/>
          <w:bCs/>
          <w:snapToGrid w:val="0"/>
          <w:kern w:val="0"/>
          <w:sz w:val="32"/>
          <w:szCs w:val="32"/>
        </w:rPr>
        <w:t>四川省</w:t>
      </w:r>
      <w:r>
        <w:rPr>
          <w:rFonts w:hint="eastAsia" w:eastAsia="仿宋_GB2312"/>
          <w:b w:val="0"/>
          <w:bCs/>
          <w:snapToGrid w:val="0"/>
          <w:kern w:val="0"/>
          <w:sz w:val="32"/>
          <w:szCs w:val="32"/>
          <w:lang w:eastAsia="zh-CN"/>
        </w:rPr>
        <w:t>文化产业发展促进中心（四川省对外文化交流中心）</w:t>
      </w:r>
    </w:p>
    <w:p>
      <w:pPr>
        <w:overflowPunct w:val="0"/>
        <w:adjustRightInd w:val="0"/>
        <w:snapToGrid w:val="0"/>
        <w:spacing w:line="600" w:lineRule="exact"/>
        <w:ind w:firstLine="640" w:firstLineChars="200"/>
        <w:rPr>
          <w:rFonts w:eastAsia="仿宋_GB2312"/>
          <w:b w:val="0"/>
          <w:bCs/>
          <w:snapToGrid w:val="0"/>
          <w:kern w:val="0"/>
          <w:sz w:val="32"/>
          <w:szCs w:val="32"/>
        </w:rPr>
      </w:pPr>
      <w:r>
        <w:rPr>
          <w:rFonts w:eastAsia="仿宋_GB2312"/>
          <w:b w:val="0"/>
          <w:bCs/>
          <w:snapToGrid w:val="0"/>
          <w:kern w:val="0"/>
          <w:sz w:val="32"/>
          <w:szCs w:val="32"/>
        </w:rPr>
        <w:t>四川省干部函授学院</w:t>
      </w:r>
      <w:r>
        <w:rPr>
          <w:rFonts w:hint="eastAsia" w:eastAsia="仿宋_GB2312"/>
          <w:b w:val="0"/>
          <w:bCs/>
          <w:snapToGrid w:val="0"/>
          <w:kern w:val="0"/>
          <w:sz w:val="32"/>
          <w:szCs w:val="32"/>
          <w:lang w:eastAsia="zh-CN"/>
        </w:rPr>
        <w:t>（</w:t>
      </w:r>
      <w:r>
        <w:rPr>
          <w:rFonts w:eastAsia="仿宋_GB2312"/>
          <w:b w:val="0"/>
          <w:bCs/>
          <w:snapToGrid w:val="0"/>
          <w:kern w:val="0"/>
          <w:sz w:val="32"/>
          <w:szCs w:val="32"/>
        </w:rPr>
        <w:t>四川文化产业职业学院</w:t>
      </w:r>
      <w:r>
        <w:rPr>
          <w:rFonts w:hint="eastAsia" w:eastAsia="仿宋_GB2312"/>
          <w:b w:val="0"/>
          <w:bCs/>
          <w:snapToGrid w:val="0"/>
          <w:kern w:val="0"/>
          <w:sz w:val="32"/>
          <w:szCs w:val="32"/>
          <w:lang w:eastAsia="zh-CN"/>
        </w:rPr>
        <w:t>）</w:t>
      </w:r>
    </w:p>
    <w:p>
      <w:pPr>
        <w:overflowPunct w:val="0"/>
        <w:adjustRightInd w:val="0"/>
        <w:snapToGrid w:val="0"/>
        <w:spacing w:line="600" w:lineRule="exact"/>
        <w:ind w:firstLine="640" w:firstLineChars="200"/>
        <w:rPr>
          <w:rFonts w:eastAsia="仿宋_GB2312"/>
          <w:b w:val="0"/>
          <w:bCs/>
          <w:snapToGrid w:val="0"/>
          <w:kern w:val="0"/>
          <w:sz w:val="32"/>
          <w:szCs w:val="32"/>
        </w:rPr>
      </w:pPr>
      <w:r>
        <w:rPr>
          <w:rFonts w:eastAsia="仿宋_GB2312"/>
          <w:b w:val="0"/>
          <w:bCs/>
          <w:snapToGrid w:val="0"/>
          <w:kern w:val="0"/>
          <w:sz w:val="32"/>
          <w:szCs w:val="32"/>
        </w:rPr>
        <w:t>四川省新闻中心</w:t>
      </w:r>
    </w:p>
    <w:p>
      <w:pPr>
        <w:overflowPunct w:val="0"/>
        <w:adjustRightInd w:val="0"/>
        <w:snapToGrid w:val="0"/>
        <w:spacing w:line="600" w:lineRule="exact"/>
        <w:ind w:firstLine="640" w:firstLineChars="200"/>
        <w:rPr>
          <w:rFonts w:eastAsia="仿宋_GB2312"/>
          <w:b w:val="0"/>
          <w:bCs/>
          <w:snapToGrid w:val="0"/>
          <w:kern w:val="0"/>
          <w:sz w:val="32"/>
          <w:szCs w:val="32"/>
        </w:rPr>
      </w:pPr>
      <w:r>
        <w:rPr>
          <w:rFonts w:eastAsia="仿宋_GB2312"/>
          <w:b w:val="0"/>
          <w:bCs/>
          <w:snapToGrid w:val="0"/>
          <w:kern w:val="0"/>
          <w:sz w:val="32"/>
          <w:szCs w:val="32"/>
        </w:rPr>
        <w:t>四川国际文化交流中心</w:t>
      </w:r>
      <w:r>
        <w:rPr>
          <w:rFonts w:eastAsia="仿宋_GB2312"/>
          <w:b w:val="0"/>
          <w:bCs/>
          <w:snapToGrid w:val="0"/>
          <w:kern w:val="0"/>
          <w:sz w:val="32"/>
          <w:szCs w:val="32"/>
        </w:rPr>
        <w:br w:type="page"/>
      </w:r>
    </w:p>
    <w:p>
      <w:pPr>
        <w:pStyle w:val="3"/>
        <w:ind w:right="440"/>
        <w:jc w:val="right"/>
        <w:rPr>
          <w:rStyle w:val="16"/>
          <w:rFonts w:ascii="黑体" w:eastAsia="黑体"/>
          <w:b w:val="0"/>
          <w:bCs w:val="0"/>
        </w:rPr>
      </w:pPr>
      <w:r>
        <w:rPr>
          <w:rFonts w:hint="eastAsia" w:ascii="黑体" w:eastAsia="黑体"/>
          <w:b w:val="0"/>
          <w:color w:val="000000"/>
        </w:rPr>
        <w:t>第二部分</w:t>
      </w:r>
      <w:r>
        <w:rPr>
          <w:rFonts w:hint="eastAsia" w:ascii="黑体" w:eastAsia="黑体"/>
          <w:color w:val="000000"/>
        </w:rPr>
        <w:t xml:space="preserve"> </w:t>
      </w:r>
      <w:r>
        <w:rPr>
          <w:rStyle w:val="16"/>
          <w:rFonts w:hint="eastAsia" w:ascii="黑体" w:eastAsia="黑体"/>
          <w:b w:val="0"/>
          <w:bCs w:val="0"/>
        </w:rPr>
        <w:t>20</w:t>
      </w:r>
      <w:r>
        <w:rPr>
          <w:rStyle w:val="16"/>
          <w:rFonts w:hint="eastAsia" w:ascii="黑体" w:eastAsia="黑体"/>
          <w:b w:val="0"/>
          <w:bCs w:val="0"/>
          <w:lang w:val="en-US" w:eastAsia="zh-CN"/>
        </w:rPr>
        <w:t>20</w:t>
      </w:r>
      <w:r>
        <w:rPr>
          <w:rStyle w:val="16"/>
          <w:rFonts w:hint="eastAsia" w:ascii="黑体" w:eastAsia="黑体"/>
          <w:b w:val="0"/>
          <w:bCs w:val="0"/>
        </w:rPr>
        <w:t>年度部门决算情况说明</w:t>
      </w:r>
      <w:bookmarkEnd w:id="16"/>
      <w:bookmarkEnd w:id="17"/>
    </w:p>
    <w:p/>
    <w:p>
      <w:pPr>
        <w:pStyle w:val="22"/>
        <w:numPr>
          <w:ilvl w:val="0"/>
          <w:numId w:val="1"/>
        </w:numPr>
        <w:spacing w:line="600" w:lineRule="exact"/>
        <w:ind w:firstLineChars="0"/>
        <w:outlineLvl w:val="1"/>
        <w:rPr>
          <w:rStyle w:val="17"/>
          <w:rFonts w:ascii="黑体" w:eastAsia="黑体"/>
          <w:b w:val="0"/>
        </w:rPr>
      </w:pPr>
      <w:bookmarkStart w:id="22" w:name="_Toc15396603"/>
      <w:bookmarkStart w:id="23" w:name="_Toc15377205"/>
      <w:r>
        <w:rPr>
          <w:rFonts w:hint="eastAsia" w:ascii="黑体" w:eastAsia="黑体"/>
          <w:color w:val="000000"/>
          <w:sz w:val="32"/>
          <w:szCs w:val="32"/>
        </w:rPr>
        <w:t>收</w:t>
      </w:r>
      <w:r>
        <w:rPr>
          <w:rStyle w:val="17"/>
          <w:rFonts w:hint="eastAsia" w:ascii="黑体" w:eastAsia="黑体"/>
          <w:b w:val="0"/>
        </w:rPr>
        <w:t>入支出决算总体情况说明</w:t>
      </w:r>
      <w:bookmarkEnd w:id="22"/>
      <w:bookmarkEnd w:id="23"/>
    </w:p>
    <w:p>
      <w:pPr>
        <w:overflowPunct w:val="0"/>
        <w:adjustRightInd w:val="0"/>
        <w:snapToGrid w:val="0"/>
        <w:spacing w:line="600" w:lineRule="exact"/>
        <w:ind w:firstLine="643" w:firstLineChars="200"/>
        <w:rPr>
          <w:rFonts w:eastAsia="仿宋_GB2312"/>
          <w:b/>
          <w:snapToGrid w:val="0"/>
          <w:color w:val="auto"/>
          <w:kern w:val="0"/>
          <w:sz w:val="32"/>
          <w:szCs w:val="32"/>
          <w:highlight w:val="none"/>
          <w:lang w:val="en-US" w:eastAsia="zh-CN"/>
        </w:rPr>
      </w:pPr>
      <w:r>
        <w:rPr>
          <w:rFonts w:eastAsia="仿宋_GB2312"/>
          <w:b/>
          <w:snapToGrid w:val="0"/>
          <w:color w:val="000000"/>
          <w:kern w:val="0"/>
          <w:sz w:val="32"/>
          <w:szCs w:val="32"/>
        </w:rPr>
        <w:t>20</w:t>
      </w:r>
      <w:r>
        <w:rPr>
          <w:rFonts w:hint="eastAsia" w:eastAsia="仿宋_GB2312"/>
          <w:b/>
          <w:snapToGrid w:val="0"/>
          <w:color w:val="000000"/>
          <w:kern w:val="0"/>
          <w:sz w:val="32"/>
          <w:szCs w:val="32"/>
          <w:lang w:val="en-US" w:eastAsia="zh-CN"/>
        </w:rPr>
        <w:t>20</w:t>
      </w:r>
      <w:r>
        <w:rPr>
          <w:rFonts w:eastAsia="仿宋_GB2312"/>
          <w:b/>
          <w:snapToGrid w:val="0"/>
          <w:color w:val="000000"/>
          <w:kern w:val="0"/>
          <w:sz w:val="32"/>
          <w:szCs w:val="32"/>
        </w:rPr>
        <w:t>年度收、支总计</w:t>
      </w:r>
      <w:r>
        <w:rPr>
          <w:rFonts w:hint="eastAsia" w:eastAsia="仿宋_GB2312"/>
          <w:b/>
          <w:snapToGrid w:val="0"/>
          <w:color w:val="000000"/>
          <w:kern w:val="0"/>
          <w:sz w:val="32"/>
          <w:szCs w:val="32"/>
          <w:lang w:val="en-US" w:eastAsia="zh-CN"/>
        </w:rPr>
        <w:t>34,804.38</w:t>
      </w:r>
      <w:r>
        <w:rPr>
          <w:rFonts w:eastAsia="仿宋_GB2312"/>
          <w:b/>
          <w:snapToGrid w:val="0"/>
          <w:color w:val="000000"/>
          <w:kern w:val="0"/>
          <w:sz w:val="32"/>
          <w:szCs w:val="32"/>
        </w:rPr>
        <w:t>万元。与201</w:t>
      </w:r>
      <w:r>
        <w:rPr>
          <w:rFonts w:hint="eastAsia" w:eastAsia="仿宋_GB2312"/>
          <w:b/>
          <w:snapToGrid w:val="0"/>
          <w:color w:val="000000"/>
          <w:kern w:val="0"/>
          <w:sz w:val="32"/>
          <w:szCs w:val="32"/>
          <w:lang w:val="en-US" w:eastAsia="zh-CN"/>
        </w:rPr>
        <w:t>9</w:t>
      </w:r>
      <w:r>
        <w:rPr>
          <w:rFonts w:eastAsia="仿宋_GB2312"/>
          <w:b/>
          <w:snapToGrid w:val="0"/>
          <w:color w:val="000000"/>
          <w:kern w:val="0"/>
          <w:sz w:val="32"/>
          <w:szCs w:val="32"/>
        </w:rPr>
        <w:t>年相比，收、支总计各</w:t>
      </w:r>
      <w:r>
        <w:rPr>
          <w:rFonts w:hint="eastAsia" w:eastAsia="仿宋_GB2312"/>
          <w:b/>
          <w:snapToGrid w:val="0"/>
          <w:color w:val="000000"/>
          <w:kern w:val="0"/>
          <w:sz w:val="32"/>
          <w:szCs w:val="32"/>
          <w:lang w:eastAsia="zh-CN"/>
        </w:rPr>
        <w:t>增加</w:t>
      </w:r>
      <w:r>
        <w:rPr>
          <w:rFonts w:hint="eastAsia" w:eastAsia="仿宋_GB2312"/>
          <w:b/>
          <w:snapToGrid w:val="0"/>
          <w:color w:val="000000"/>
          <w:kern w:val="0"/>
          <w:sz w:val="32"/>
          <w:szCs w:val="32"/>
          <w:lang w:val="en-US" w:eastAsia="zh-CN"/>
        </w:rPr>
        <w:t>2245.41</w:t>
      </w:r>
      <w:r>
        <w:rPr>
          <w:rFonts w:eastAsia="仿宋_GB2312"/>
          <w:b/>
          <w:snapToGrid w:val="0"/>
          <w:color w:val="000000"/>
          <w:kern w:val="0"/>
          <w:sz w:val="32"/>
          <w:szCs w:val="32"/>
        </w:rPr>
        <w:t>万元，</w:t>
      </w:r>
      <w:r>
        <w:rPr>
          <w:rFonts w:hint="eastAsia" w:eastAsia="仿宋_GB2312"/>
          <w:b/>
          <w:snapToGrid w:val="0"/>
          <w:color w:val="000000"/>
          <w:kern w:val="0"/>
          <w:sz w:val="32"/>
          <w:szCs w:val="32"/>
          <w:lang w:eastAsia="zh-CN"/>
        </w:rPr>
        <w:t>增长</w:t>
      </w:r>
      <w:r>
        <w:rPr>
          <w:rFonts w:hint="eastAsia" w:eastAsia="仿宋_GB2312"/>
          <w:b/>
          <w:snapToGrid w:val="0"/>
          <w:color w:val="000000"/>
          <w:kern w:val="0"/>
          <w:sz w:val="32"/>
          <w:szCs w:val="32"/>
          <w:lang w:val="en-US" w:eastAsia="zh-CN"/>
        </w:rPr>
        <w:t>6.89</w:t>
      </w:r>
      <w:r>
        <w:rPr>
          <w:rFonts w:eastAsia="仿宋_GB2312"/>
          <w:b/>
          <w:snapToGrid w:val="0"/>
          <w:color w:val="000000"/>
          <w:kern w:val="0"/>
          <w:sz w:val="32"/>
          <w:szCs w:val="32"/>
        </w:rPr>
        <w:t>%。</w:t>
      </w:r>
      <w:r>
        <w:rPr>
          <w:rFonts w:hint="eastAsia" w:eastAsia="仿宋_GB2312"/>
          <w:b/>
          <w:snapToGrid w:val="0"/>
          <w:color w:val="000000"/>
          <w:kern w:val="0"/>
          <w:sz w:val="32"/>
          <w:szCs w:val="32"/>
          <w:lang w:val="en-US" w:eastAsia="zh-CN"/>
        </w:rPr>
        <w:t>主要原因是新增国家电影事业发展专项资金，</w:t>
      </w:r>
      <w:r>
        <w:rPr>
          <w:rFonts w:hint="eastAsia" w:eastAsia="仿宋_GB2312"/>
          <w:b/>
          <w:snapToGrid w:val="0"/>
          <w:color w:val="auto"/>
          <w:kern w:val="0"/>
          <w:sz w:val="32"/>
          <w:szCs w:val="32"/>
          <w:highlight w:val="none"/>
          <w:lang w:eastAsia="zh-CN"/>
        </w:rPr>
        <w:t>四川文化产业职业学院（四川省干部函授学院）</w:t>
      </w:r>
      <w:r>
        <w:rPr>
          <w:rFonts w:hint="eastAsia" w:eastAsia="仿宋_GB2312"/>
          <w:b/>
          <w:snapToGrid w:val="0"/>
          <w:color w:val="auto"/>
          <w:kern w:val="0"/>
          <w:sz w:val="32"/>
          <w:szCs w:val="32"/>
          <w:highlight w:val="none"/>
          <w:lang w:val="en-US" w:eastAsia="zh-CN"/>
        </w:rPr>
        <w:t>教育收费收入安排的项目实施情况好于上年度，国防时报社催收欠款及预收报款较上年增加。</w:t>
      </w:r>
    </w:p>
    <w:p>
      <w:pPr>
        <w:spacing w:line="600" w:lineRule="exact"/>
        <w:ind w:firstLine="640" w:firstLineChars="200"/>
        <w:rPr>
          <w:rFonts w:ascii="仿宋_GB2312" w:eastAsia="仿宋_GB2312"/>
          <w:color w:val="000000"/>
          <w:sz w:val="32"/>
          <w:szCs w:val="32"/>
          <w:highlight w:val="none"/>
        </w:rPr>
      </w:pPr>
      <w:r>
        <w:rPr>
          <w:rFonts w:hint="eastAsia" w:ascii="仿宋" w:eastAsia="仿宋"/>
          <w:color w:val="000000"/>
          <w:sz w:val="32"/>
          <w:szCs w:val="32"/>
          <w:highlight w:val="none"/>
        </w:rPr>
        <w:t>（图</w:t>
      </w:r>
      <w:r>
        <w:rPr>
          <w:rFonts w:ascii="仿宋" w:eastAsia="仿宋"/>
          <w:color w:val="000000"/>
          <w:sz w:val="32"/>
          <w:szCs w:val="32"/>
          <w:highlight w:val="none"/>
        </w:rPr>
        <w:t>1</w:t>
      </w:r>
      <w:r>
        <w:rPr>
          <w:rFonts w:hint="eastAsia" w:ascii="仿宋" w:eastAsia="仿宋"/>
          <w:color w:val="000000"/>
          <w:sz w:val="32"/>
          <w:szCs w:val="32"/>
          <w:highlight w:val="none"/>
        </w:rPr>
        <w:t>：收、支决算总计变动情况图）（柱状图）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仿宋_GB2312" w:eastAsia="仿宋_GB2312"/>
          <w:color w:val="000000"/>
          <w:sz w:val="32"/>
          <w:szCs w:val="32"/>
        </w:rPr>
      </w:pPr>
      <w:r>
        <w:drawing>
          <wp:inline distT="0" distB="0" distL="114300" distR="114300">
            <wp:extent cx="4572000" cy="2743200"/>
            <wp:effectExtent l="0" t="0" r="0" b="0"/>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2"/>
        <w:numPr>
          <w:ilvl w:val="0"/>
          <w:numId w:val="1"/>
        </w:numPr>
        <w:spacing w:line="600" w:lineRule="exact"/>
        <w:ind w:firstLineChars="0"/>
        <w:outlineLvl w:val="1"/>
        <w:rPr>
          <w:rStyle w:val="17"/>
          <w:rFonts w:ascii="黑体" w:eastAsia="黑体"/>
          <w:b w:val="0"/>
        </w:rPr>
      </w:pPr>
      <w:bookmarkStart w:id="24" w:name="_Toc15377206"/>
      <w:bookmarkStart w:id="25" w:name="_Toc15396604"/>
      <w:r>
        <w:rPr>
          <w:rFonts w:hint="eastAsia" w:ascii="黑体" w:eastAsia="黑体"/>
          <w:color w:val="000000"/>
          <w:sz w:val="32"/>
          <w:szCs w:val="32"/>
        </w:rPr>
        <w:t>收</w:t>
      </w:r>
      <w:r>
        <w:rPr>
          <w:rStyle w:val="17"/>
          <w:rFonts w:hint="eastAsia" w:ascii="黑体" w:eastAsia="黑体"/>
          <w:b w:val="0"/>
        </w:rPr>
        <w:t>入决算情况说明</w:t>
      </w:r>
      <w:bookmarkEnd w:id="24"/>
      <w:bookmarkEnd w:id="25"/>
    </w:p>
    <w:p>
      <w:pPr>
        <w:overflowPunct w:val="0"/>
        <w:adjustRightInd w:val="0"/>
        <w:snapToGrid w:val="0"/>
        <w:spacing w:line="600" w:lineRule="exact"/>
        <w:ind w:firstLine="643" w:firstLineChars="200"/>
        <w:rPr>
          <w:rFonts w:ascii="仿宋" w:eastAsia="仿宋"/>
          <w:color w:val="000000"/>
          <w:sz w:val="32"/>
          <w:szCs w:val="32"/>
        </w:rPr>
      </w:pPr>
      <w:r>
        <w:rPr>
          <w:rFonts w:eastAsia="仿宋_GB2312"/>
          <w:b/>
          <w:snapToGrid w:val="0"/>
          <w:color w:val="000000"/>
          <w:kern w:val="0"/>
          <w:sz w:val="32"/>
          <w:szCs w:val="32"/>
        </w:rPr>
        <w:t>20</w:t>
      </w:r>
      <w:r>
        <w:rPr>
          <w:rFonts w:hint="eastAsia" w:eastAsia="仿宋_GB2312"/>
          <w:b/>
          <w:snapToGrid w:val="0"/>
          <w:color w:val="000000"/>
          <w:kern w:val="0"/>
          <w:sz w:val="32"/>
          <w:szCs w:val="32"/>
          <w:lang w:val="en-US" w:eastAsia="zh-CN"/>
        </w:rPr>
        <w:t>20</w:t>
      </w:r>
      <w:r>
        <w:rPr>
          <w:rFonts w:eastAsia="仿宋_GB2312"/>
          <w:b/>
          <w:snapToGrid w:val="0"/>
          <w:color w:val="000000"/>
          <w:kern w:val="0"/>
          <w:sz w:val="32"/>
          <w:szCs w:val="32"/>
        </w:rPr>
        <w:t>年本年收入</w:t>
      </w:r>
      <w:r>
        <w:rPr>
          <w:rFonts w:hint="eastAsia" w:eastAsia="仿宋_GB2312"/>
          <w:b/>
          <w:snapToGrid w:val="0"/>
          <w:color w:val="000000"/>
          <w:kern w:val="0"/>
          <w:sz w:val="32"/>
          <w:szCs w:val="32"/>
          <w:lang w:val="en-US" w:eastAsia="zh-CN"/>
        </w:rPr>
        <w:t>34,804.38万元</w:t>
      </w:r>
      <w:r>
        <w:rPr>
          <w:rFonts w:eastAsia="仿宋_GB2312"/>
          <w:b/>
          <w:snapToGrid w:val="0"/>
          <w:color w:val="000000"/>
          <w:kern w:val="0"/>
          <w:sz w:val="32"/>
          <w:szCs w:val="32"/>
        </w:rPr>
        <w:t>，其中：一般公共预算财政拨款收入</w:t>
      </w:r>
      <w:r>
        <w:rPr>
          <w:rFonts w:hint="eastAsia" w:eastAsia="仿宋_GB2312"/>
          <w:b/>
          <w:snapToGrid w:val="0"/>
          <w:color w:val="000000"/>
          <w:kern w:val="0"/>
          <w:sz w:val="32"/>
          <w:szCs w:val="32"/>
          <w:lang w:val="en-US" w:eastAsia="zh-CN"/>
        </w:rPr>
        <w:t>29151.19</w:t>
      </w:r>
      <w:r>
        <w:rPr>
          <w:rFonts w:eastAsia="仿宋_GB2312"/>
          <w:b/>
          <w:snapToGrid w:val="0"/>
          <w:color w:val="000000"/>
          <w:kern w:val="0"/>
          <w:sz w:val="32"/>
          <w:szCs w:val="32"/>
        </w:rPr>
        <w:t>万元，占</w:t>
      </w:r>
      <w:r>
        <w:rPr>
          <w:rFonts w:hint="eastAsia" w:eastAsia="仿宋_GB2312"/>
          <w:b/>
          <w:snapToGrid w:val="0"/>
          <w:color w:val="000000"/>
          <w:kern w:val="0"/>
          <w:sz w:val="32"/>
          <w:szCs w:val="32"/>
          <w:lang w:val="en-US" w:eastAsia="zh-CN"/>
        </w:rPr>
        <w:t>83.76</w:t>
      </w:r>
      <w:r>
        <w:rPr>
          <w:rFonts w:eastAsia="仿宋_GB2312"/>
          <w:b/>
          <w:snapToGrid w:val="0"/>
          <w:color w:val="000000"/>
          <w:kern w:val="0"/>
          <w:sz w:val="32"/>
          <w:szCs w:val="32"/>
        </w:rPr>
        <w:t>%；政府性基金预算财政拨款收入</w:t>
      </w:r>
      <w:r>
        <w:rPr>
          <w:rFonts w:hint="eastAsia" w:eastAsia="仿宋_GB2312"/>
          <w:b/>
          <w:snapToGrid w:val="0"/>
          <w:color w:val="000000"/>
          <w:kern w:val="0"/>
          <w:sz w:val="32"/>
          <w:szCs w:val="32"/>
          <w:lang w:val="en-US" w:eastAsia="zh-CN"/>
        </w:rPr>
        <w:t>853.95万元，占2.45%</w:t>
      </w:r>
      <w:r>
        <w:rPr>
          <w:rFonts w:hint="eastAsia" w:eastAsia="仿宋_GB2312"/>
          <w:b/>
          <w:snapToGrid w:val="0"/>
          <w:color w:val="000000"/>
          <w:kern w:val="0"/>
          <w:sz w:val="32"/>
          <w:szCs w:val="32"/>
          <w:lang w:eastAsia="zh-CN"/>
        </w:rPr>
        <w:t>；</w:t>
      </w:r>
      <w:r>
        <w:rPr>
          <w:rFonts w:eastAsia="仿宋_GB2312"/>
          <w:b/>
          <w:snapToGrid w:val="0"/>
          <w:color w:val="000000"/>
          <w:kern w:val="0"/>
          <w:sz w:val="32"/>
          <w:szCs w:val="32"/>
        </w:rPr>
        <w:t>无国有资本经营预算财政拨款收入；事业收入</w:t>
      </w:r>
      <w:r>
        <w:rPr>
          <w:rFonts w:hint="eastAsia" w:eastAsia="仿宋_GB2312"/>
          <w:b/>
          <w:snapToGrid w:val="0"/>
          <w:color w:val="000000"/>
          <w:kern w:val="0"/>
          <w:sz w:val="32"/>
          <w:szCs w:val="32"/>
          <w:lang w:val="en-US" w:eastAsia="zh-CN"/>
        </w:rPr>
        <w:t>4781.81万元</w:t>
      </w:r>
      <w:r>
        <w:rPr>
          <w:rFonts w:eastAsia="仿宋_GB2312"/>
          <w:b/>
          <w:snapToGrid w:val="0"/>
          <w:color w:val="000000"/>
          <w:kern w:val="0"/>
          <w:sz w:val="32"/>
          <w:szCs w:val="32"/>
        </w:rPr>
        <w:t>，占</w:t>
      </w:r>
      <w:r>
        <w:rPr>
          <w:rFonts w:hint="eastAsia" w:eastAsia="仿宋_GB2312"/>
          <w:b/>
          <w:snapToGrid w:val="0"/>
          <w:color w:val="000000"/>
          <w:kern w:val="0"/>
          <w:sz w:val="32"/>
          <w:szCs w:val="32"/>
          <w:lang w:val="en-US" w:eastAsia="zh-CN"/>
        </w:rPr>
        <w:t>13.74</w:t>
      </w:r>
      <w:r>
        <w:rPr>
          <w:rFonts w:eastAsia="仿宋_GB2312"/>
          <w:b/>
          <w:snapToGrid w:val="0"/>
          <w:color w:val="000000"/>
          <w:kern w:val="0"/>
          <w:sz w:val="32"/>
          <w:szCs w:val="32"/>
        </w:rPr>
        <w:t>%；无经营收入；无附属单位上缴收入；其他收入</w:t>
      </w:r>
      <w:r>
        <w:rPr>
          <w:rFonts w:hint="eastAsia" w:eastAsia="仿宋_GB2312"/>
          <w:b/>
          <w:snapToGrid w:val="0"/>
          <w:color w:val="000000"/>
          <w:kern w:val="0"/>
          <w:sz w:val="32"/>
          <w:szCs w:val="32"/>
          <w:lang w:val="en-US" w:eastAsia="zh-CN"/>
        </w:rPr>
        <w:t>3.38</w:t>
      </w:r>
      <w:r>
        <w:rPr>
          <w:rFonts w:eastAsia="仿宋_GB2312"/>
          <w:b/>
          <w:snapToGrid w:val="0"/>
          <w:color w:val="000000"/>
          <w:kern w:val="0"/>
          <w:sz w:val="32"/>
          <w:szCs w:val="32"/>
        </w:rPr>
        <w:t>万元，占0.00%；上级补助收入</w:t>
      </w:r>
      <w:r>
        <w:rPr>
          <w:rFonts w:hint="eastAsia" w:eastAsia="仿宋_GB2312"/>
          <w:b/>
          <w:snapToGrid w:val="0"/>
          <w:color w:val="000000"/>
          <w:kern w:val="0"/>
          <w:sz w:val="32"/>
          <w:szCs w:val="32"/>
          <w:lang w:val="en-US" w:eastAsia="zh-CN"/>
        </w:rPr>
        <w:t>14.00万元，占收入总额的0.04%</w:t>
      </w:r>
      <w:r>
        <w:rPr>
          <w:rFonts w:eastAsia="仿宋_GB2312"/>
          <w:b/>
          <w:snapToGrid w:val="0"/>
          <w:color w:val="000000"/>
          <w:kern w:val="0"/>
          <w:sz w:val="32"/>
          <w:szCs w:val="32"/>
        </w:rPr>
        <w:t>。</w:t>
      </w:r>
    </w:p>
    <w:p>
      <w:pPr>
        <w:spacing w:line="600" w:lineRule="exact"/>
        <w:ind w:firstLine="640" w:firstLineChars="200"/>
        <w:rPr>
          <w:rFonts w:ascii="仿宋_GB2312" w:eastAsia="仿宋_GB2312"/>
          <w:color w:val="FF0000"/>
          <w:sz w:val="32"/>
          <w:szCs w:val="32"/>
        </w:rPr>
      </w:pPr>
      <w:r>
        <w:rPr>
          <w:rFonts w:hint="eastAsia" w:ascii="仿宋" w:eastAsia="仿宋"/>
          <w:color w:val="000000"/>
          <w:sz w:val="32"/>
          <w:szCs w:val="32"/>
          <w:highlight w:val="none"/>
        </w:rPr>
        <w:t>（图2：收入决算结构图）（饼状图）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drawing>
          <wp:inline distT="0" distB="0" distL="114300" distR="114300">
            <wp:extent cx="4572000" cy="282829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p>
    <w:p>
      <w:pPr>
        <w:pStyle w:val="22"/>
        <w:numPr>
          <w:ilvl w:val="0"/>
          <w:numId w:val="1"/>
        </w:numPr>
        <w:spacing w:line="600" w:lineRule="exact"/>
        <w:ind w:firstLineChars="0"/>
        <w:outlineLvl w:val="1"/>
        <w:rPr>
          <w:rStyle w:val="17"/>
          <w:rFonts w:ascii="黑体" w:eastAsia="黑体"/>
          <w:b w:val="0"/>
        </w:rPr>
      </w:pPr>
      <w:bookmarkStart w:id="26" w:name="_Toc15377207"/>
      <w:bookmarkStart w:id="27" w:name="_Toc15396605"/>
      <w:r>
        <w:rPr>
          <w:rFonts w:hint="eastAsia" w:ascii="黑体" w:eastAsia="黑体"/>
          <w:color w:val="000000"/>
          <w:sz w:val="32"/>
          <w:szCs w:val="32"/>
        </w:rPr>
        <w:t>支</w:t>
      </w:r>
      <w:r>
        <w:rPr>
          <w:rStyle w:val="17"/>
          <w:rFonts w:hint="eastAsia" w:ascii="黑体" w:eastAsia="黑体"/>
          <w:b w:val="0"/>
        </w:rPr>
        <w:t>出决算情况说明</w:t>
      </w:r>
      <w:bookmarkEnd w:id="26"/>
      <w:bookmarkEnd w:id="27"/>
    </w:p>
    <w:p>
      <w:pPr>
        <w:overflowPunct w:val="0"/>
        <w:adjustRightInd w:val="0"/>
        <w:snapToGrid w:val="0"/>
        <w:spacing w:line="600" w:lineRule="exact"/>
        <w:ind w:firstLine="640" w:firstLineChars="200"/>
        <w:rPr>
          <w:rFonts w:hint="eastAsia" w:ascii="仿宋" w:eastAsia="仿宋"/>
          <w:color w:val="000000"/>
          <w:sz w:val="32"/>
          <w:szCs w:val="32"/>
        </w:rPr>
      </w:pPr>
      <w:r>
        <w:rPr>
          <w:rFonts w:ascii="仿宋" w:eastAsia="仿宋"/>
          <w:color w:val="000000"/>
          <w:sz w:val="32"/>
          <w:szCs w:val="32"/>
        </w:rPr>
        <w:t>20</w:t>
      </w:r>
      <w:r>
        <w:rPr>
          <w:rFonts w:hint="eastAsia" w:ascii="仿宋" w:eastAsia="仿宋"/>
          <w:color w:val="000000"/>
          <w:sz w:val="32"/>
          <w:szCs w:val="32"/>
          <w:lang w:val="en-US" w:eastAsia="zh-CN"/>
        </w:rPr>
        <w:t>20</w:t>
      </w:r>
      <w:r>
        <w:rPr>
          <w:rFonts w:hint="eastAsia" w:ascii="仿宋" w:eastAsia="仿宋"/>
          <w:color w:val="000000"/>
          <w:sz w:val="32"/>
          <w:szCs w:val="32"/>
        </w:rPr>
        <w:t>年本年支出合计</w:t>
      </w:r>
      <w:r>
        <w:rPr>
          <w:rFonts w:hint="eastAsia" w:ascii="仿宋" w:eastAsia="仿宋"/>
          <w:color w:val="000000"/>
          <w:sz w:val="32"/>
          <w:szCs w:val="32"/>
          <w:lang w:val="en-US" w:eastAsia="zh-CN"/>
        </w:rPr>
        <w:t>34631.14</w:t>
      </w:r>
      <w:r>
        <w:rPr>
          <w:rFonts w:hint="eastAsia" w:ascii="仿宋" w:eastAsia="仿宋"/>
          <w:color w:val="000000"/>
          <w:sz w:val="32"/>
          <w:szCs w:val="32"/>
        </w:rPr>
        <w:t>万元，其中：基本支出</w:t>
      </w:r>
      <w:r>
        <w:rPr>
          <w:rFonts w:hint="eastAsia" w:ascii="仿宋" w:eastAsia="仿宋"/>
          <w:color w:val="000000"/>
          <w:sz w:val="32"/>
          <w:szCs w:val="32"/>
          <w:lang w:val="en-US" w:eastAsia="zh-CN"/>
        </w:rPr>
        <w:t>16647.06</w:t>
      </w:r>
      <w:r>
        <w:rPr>
          <w:rFonts w:hint="eastAsia" w:ascii="仿宋" w:eastAsia="仿宋"/>
          <w:color w:val="000000"/>
          <w:sz w:val="32"/>
          <w:szCs w:val="32"/>
        </w:rPr>
        <w:t>万元，占</w:t>
      </w:r>
      <w:r>
        <w:rPr>
          <w:rFonts w:hint="eastAsia" w:ascii="仿宋" w:eastAsia="仿宋"/>
          <w:color w:val="000000"/>
          <w:sz w:val="32"/>
          <w:szCs w:val="32"/>
          <w:lang w:val="en-US" w:eastAsia="zh-CN"/>
        </w:rPr>
        <w:t>48.07</w:t>
      </w:r>
      <w:r>
        <w:rPr>
          <w:rFonts w:ascii="仿宋" w:eastAsia="仿宋"/>
          <w:color w:val="000000"/>
          <w:sz w:val="32"/>
          <w:szCs w:val="32"/>
        </w:rPr>
        <w:t>%</w:t>
      </w:r>
      <w:r>
        <w:rPr>
          <w:rFonts w:hint="eastAsia" w:ascii="仿宋" w:eastAsia="仿宋"/>
          <w:color w:val="000000"/>
          <w:sz w:val="32"/>
          <w:szCs w:val="32"/>
        </w:rPr>
        <w:t>；项目支出</w:t>
      </w:r>
      <w:r>
        <w:rPr>
          <w:rFonts w:hint="eastAsia" w:ascii="仿宋" w:eastAsia="仿宋"/>
          <w:color w:val="000000"/>
          <w:sz w:val="32"/>
          <w:szCs w:val="32"/>
          <w:lang w:val="en-US" w:eastAsia="zh-CN"/>
        </w:rPr>
        <w:t>17984.08</w:t>
      </w:r>
      <w:r>
        <w:rPr>
          <w:rFonts w:hint="eastAsia" w:ascii="仿宋" w:eastAsia="仿宋"/>
          <w:color w:val="000000"/>
          <w:sz w:val="32"/>
          <w:szCs w:val="32"/>
        </w:rPr>
        <w:t>万元，占</w:t>
      </w:r>
      <w:r>
        <w:rPr>
          <w:rFonts w:hint="eastAsia" w:ascii="仿宋" w:eastAsia="仿宋"/>
          <w:color w:val="000000"/>
          <w:sz w:val="32"/>
          <w:szCs w:val="32"/>
          <w:lang w:val="en-US" w:eastAsia="zh-CN"/>
        </w:rPr>
        <w:t>51.93</w:t>
      </w:r>
      <w:r>
        <w:rPr>
          <w:rFonts w:ascii="仿宋" w:eastAsia="仿宋"/>
          <w:color w:val="000000"/>
          <w:sz w:val="32"/>
          <w:szCs w:val="32"/>
        </w:rPr>
        <w:t>%</w:t>
      </w:r>
      <w:r>
        <w:rPr>
          <w:rFonts w:hint="eastAsia" w:ascii="仿宋" w:eastAsia="仿宋"/>
          <w:color w:val="000000"/>
          <w:sz w:val="32"/>
          <w:szCs w:val="32"/>
        </w:rPr>
        <w:t>；无上缴上级支出；无经营支出；无对附属单位补助支出</w:t>
      </w:r>
      <w:r>
        <w:rPr>
          <w:rFonts w:hint="eastAsia" w:ascii="仿宋" w:eastAsia="仿宋"/>
          <w:color w:val="000000"/>
          <w:sz w:val="32"/>
          <w:szCs w:val="32"/>
          <w:lang w:eastAsia="zh-CN"/>
        </w:rPr>
        <w:t>；</w:t>
      </w:r>
    </w:p>
    <w:p>
      <w:pPr>
        <w:spacing w:line="600" w:lineRule="exact"/>
        <w:ind w:firstLine="960" w:firstLineChars="300"/>
        <w:rPr>
          <w:rFonts w:hint="eastAsia" w:ascii="仿宋" w:eastAsia="仿宋"/>
          <w:color w:val="000000"/>
          <w:sz w:val="32"/>
          <w:szCs w:val="32"/>
          <w:highlight w:val="none"/>
        </w:rPr>
      </w:pPr>
      <w:r>
        <w:rPr>
          <w:rFonts w:hint="eastAsia" w:ascii="仿宋" w:eastAsia="仿宋"/>
          <w:color w:val="000000"/>
          <w:sz w:val="32"/>
          <w:szCs w:val="32"/>
          <w:highlight w:val="none"/>
        </w:rPr>
        <w:t>（图3：支出决算结构图）（饼状图）</w:t>
      </w:r>
    </w:p>
    <w:p>
      <w:pPr>
        <w:spacing w:line="600" w:lineRule="exact"/>
        <w:ind w:firstLine="960" w:firstLineChars="300"/>
        <w:rPr>
          <w:rFonts w:hint="eastAsia" w:ascii="仿宋" w:eastAsia="仿宋"/>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仿宋_GB2312" w:eastAsia="仿宋_GB2312"/>
          <w:color w:val="FF0000"/>
          <w:sz w:val="32"/>
          <w:szCs w:val="32"/>
        </w:rPr>
      </w:pPr>
      <w:r>
        <w:drawing>
          <wp:inline distT="0" distB="0" distL="114300" distR="114300">
            <wp:extent cx="4572000" cy="2743200"/>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17"/>
          <w:rFonts w:ascii="黑体" w:eastAsia="黑体"/>
          <w:b w:val="0"/>
        </w:rPr>
      </w:pPr>
      <w:bookmarkStart w:id="28" w:name="_Toc15396606"/>
      <w:bookmarkStart w:id="29" w:name="_Toc15377208"/>
      <w:r>
        <w:rPr>
          <w:rFonts w:hint="eastAsia" w:ascii="黑体" w:eastAsia="黑体"/>
          <w:color w:val="000000"/>
          <w:sz w:val="32"/>
          <w:szCs w:val="32"/>
        </w:rPr>
        <w:t>四、财</w:t>
      </w:r>
      <w:r>
        <w:rPr>
          <w:rStyle w:val="17"/>
          <w:rFonts w:hint="eastAsia" w:ascii="黑体" w:eastAsia="黑体"/>
          <w:b w:val="0"/>
        </w:rPr>
        <w:t>政拨款收入支出决算总体情况说明</w:t>
      </w:r>
      <w:bookmarkEnd w:id="28"/>
      <w:bookmarkEnd w:id="29"/>
    </w:p>
    <w:p>
      <w:pPr>
        <w:spacing w:line="600" w:lineRule="exact"/>
        <w:ind w:firstLine="640" w:firstLineChars="200"/>
        <w:rPr>
          <w:rFonts w:hint="eastAsia" w:eastAsia="仿宋_GB2312"/>
          <w:b/>
          <w:snapToGrid w:val="0"/>
          <w:color w:val="auto"/>
          <w:kern w:val="0"/>
          <w:sz w:val="32"/>
          <w:szCs w:val="32"/>
          <w:highlight w:val="none"/>
          <w:lang w:eastAsia="zh-CN"/>
        </w:rPr>
      </w:pPr>
      <w:r>
        <w:rPr>
          <w:rFonts w:hint="eastAsia" w:ascii="仿宋" w:eastAsia="仿宋"/>
          <w:color w:val="000000"/>
          <w:sz w:val="32"/>
          <w:szCs w:val="32"/>
        </w:rPr>
        <w:t>20</w:t>
      </w:r>
      <w:r>
        <w:rPr>
          <w:rFonts w:hint="eastAsia" w:ascii="仿宋" w:eastAsia="仿宋"/>
          <w:color w:val="000000"/>
          <w:sz w:val="32"/>
          <w:szCs w:val="32"/>
          <w:lang w:val="en-US" w:eastAsia="zh-CN"/>
        </w:rPr>
        <w:t>20</w:t>
      </w:r>
      <w:r>
        <w:rPr>
          <w:rFonts w:hint="eastAsia" w:ascii="仿宋" w:eastAsia="仿宋"/>
          <w:color w:val="000000"/>
          <w:sz w:val="32"/>
          <w:szCs w:val="32"/>
        </w:rPr>
        <w:t>年省委宣传部财政拨款收、支总计</w:t>
      </w:r>
      <w:r>
        <w:rPr>
          <w:rFonts w:hint="eastAsia" w:ascii="仿宋" w:eastAsia="仿宋"/>
          <w:color w:val="000000"/>
          <w:sz w:val="32"/>
          <w:szCs w:val="32"/>
          <w:lang w:val="en-US" w:eastAsia="zh-CN"/>
        </w:rPr>
        <w:t>30005.14</w:t>
      </w:r>
      <w:r>
        <w:rPr>
          <w:rFonts w:hint="eastAsia" w:ascii="仿宋" w:eastAsia="仿宋"/>
          <w:color w:val="000000"/>
          <w:sz w:val="32"/>
          <w:szCs w:val="32"/>
        </w:rPr>
        <w:t>万元。与20</w:t>
      </w:r>
      <w:r>
        <w:rPr>
          <w:rFonts w:hint="eastAsia" w:ascii="仿宋" w:eastAsia="仿宋"/>
          <w:color w:val="000000"/>
          <w:sz w:val="32"/>
          <w:szCs w:val="32"/>
          <w:lang w:val="en-US" w:eastAsia="zh-CN"/>
        </w:rPr>
        <w:t>19</w:t>
      </w:r>
      <w:r>
        <w:rPr>
          <w:rFonts w:hint="eastAsia" w:ascii="仿宋" w:eastAsia="仿宋"/>
          <w:color w:val="000000"/>
          <w:sz w:val="32"/>
          <w:szCs w:val="32"/>
        </w:rPr>
        <w:t>年相比，财政拨款收、支总计各</w:t>
      </w:r>
      <w:r>
        <w:rPr>
          <w:rFonts w:hint="eastAsia" w:ascii="仿宋" w:eastAsia="仿宋"/>
          <w:color w:val="000000"/>
          <w:sz w:val="32"/>
          <w:szCs w:val="32"/>
          <w:lang w:eastAsia="zh-CN"/>
        </w:rPr>
        <w:t>增加</w:t>
      </w:r>
      <w:r>
        <w:rPr>
          <w:rFonts w:hint="eastAsia" w:ascii="仿宋" w:eastAsia="仿宋"/>
          <w:color w:val="000000"/>
          <w:sz w:val="32"/>
          <w:szCs w:val="32"/>
          <w:lang w:val="en-US" w:eastAsia="zh-CN"/>
        </w:rPr>
        <w:t>1097.45</w:t>
      </w:r>
      <w:r>
        <w:rPr>
          <w:rFonts w:hint="eastAsia" w:ascii="仿宋" w:eastAsia="仿宋"/>
          <w:color w:val="000000"/>
          <w:sz w:val="32"/>
          <w:szCs w:val="32"/>
        </w:rPr>
        <w:t>万元，</w:t>
      </w:r>
      <w:r>
        <w:rPr>
          <w:rFonts w:hint="eastAsia" w:ascii="仿宋" w:eastAsia="仿宋"/>
          <w:color w:val="000000"/>
          <w:sz w:val="32"/>
          <w:szCs w:val="32"/>
          <w:lang w:eastAsia="zh-CN"/>
        </w:rPr>
        <w:t>增长</w:t>
      </w:r>
      <w:r>
        <w:rPr>
          <w:rFonts w:hint="eastAsia" w:ascii="仿宋" w:eastAsia="仿宋"/>
          <w:color w:val="000000"/>
          <w:sz w:val="32"/>
          <w:szCs w:val="32"/>
          <w:lang w:val="en-US" w:eastAsia="zh-CN"/>
        </w:rPr>
        <w:t>3.8</w:t>
      </w:r>
      <w:r>
        <w:rPr>
          <w:rFonts w:hint="eastAsia" w:ascii="仿宋" w:eastAsia="仿宋"/>
          <w:color w:val="000000"/>
          <w:sz w:val="32"/>
          <w:szCs w:val="32"/>
        </w:rPr>
        <w:t>%</w:t>
      </w:r>
      <w:r>
        <w:rPr>
          <w:rFonts w:hint="eastAsia" w:ascii="仿宋" w:eastAsia="仿宋"/>
          <w:color w:val="000000"/>
          <w:sz w:val="32"/>
          <w:szCs w:val="32"/>
          <w:highlight w:val="none"/>
        </w:rPr>
        <w:t>。</w:t>
      </w:r>
      <w:r>
        <w:rPr>
          <w:rFonts w:eastAsia="仿宋_GB2312"/>
          <w:b/>
          <w:snapToGrid w:val="0"/>
          <w:color w:val="auto"/>
          <w:kern w:val="0"/>
          <w:sz w:val="32"/>
          <w:szCs w:val="32"/>
          <w:highlight w:val="none"/>
        </w:rPr>
        <w:t>主要变动原因是</w:t>
      </w:r>
      <w:r>
        <w:rPr>
          <w:rFonts w:hint="eastAsia" w:eastAsia="仿宋_GB2312"/>
          <w:b/>
          <w:snapToGrid w:val="0"/>
          <w:color w:val="auto"/>
          <w:kern w:val="0"/>
          <w:sz w:val="32"/>
          <w:szCs w:val="32"/>
          <w:highlight w:val="none"/>
          <w:lang w:eastAsia="zh-CN"/>
        </w:rPr>
        <w:t>新增了国家电影事业发展专项资金。</w:t>
      </w:r>
    </w:p>
    <w:p>
      <w:pPr>
        <w:spacing w:line="600" w:lineRule="exact"/>
        <w:ind w:firstLine="640" w:firstLineChars="200"/>
        <w:rPr>
          <w:rFonts w:hint="eastAsia" w:ascii="仿宋" w:eastAsia="仿宋"/>
          <w:color w:val="000000"/>
          <w:sz w:val="32"/>
          <w:szCs w:val="32"/>
          <w:highlight w:val="none"/>
        </w:rPr>
      </w:pPr>
      <w:r>
        <w:rPr>
          <w:rFonts w:hint="eastAsia" w:ascii="仿宋" w:eastAsia="仿宋"/>
          <w:color w:val="000000"/>
          <w:sz w:val="32"/>
          <w:szCs w:val="32"/>
        </w:rPr>
        <w:t>（图4</w:t>
      </w:r>
      <w:r>
        <w:rPr>
          <w:rFonts w:hint="eastAsia" w:ascii="仿宋" w:eastAsia="仿宋"/>
          <w:color w:val="000000"/>
          <w:sz w:val="32"/>
          <w:szCs w:val="32"/>
          <w:highlight w:val="none"/>
        </w:rPr>
        <w:t>：财政拨款收、支决算总计变动情况）（柱状图）</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ascii="仿宋" w:eastAsia="仿宋"/>
          <w:b/>
          <w:color w:val="00B050"/>
          <w:sz w:val="32"/>
          <w:szCs w:val="32"/>
        </w:rPr>
      </w:pPr>
      <w:r>
        <w:drawing>
          <wp:inline distT="0" distB="0" distL="114300" distR="114300">
            <wp:extent cx="4572000" cy="2743200"/>
            <wp:effectExtent l="0" t="0" r="0"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outlineLvl w:val="1"/>
        <w:rPr>
          <w:rStyle w:val="17"/>
          <w:rFonts w:ascii="黑体" w:eastAsia="黑体"/>
          <w:b w:val="0"/>
        </w:rPr>
      </w:pPr>
      <w:bookmarkStart w:id="30" w:name="_Toc15396607"/>
      <w:bookmarkStart w:id="31" w:name="_Toc15377209"/>
      <w:r>
        <w:rPr>
          <w:rFonts w:hint="eastAsia" w:ascii="黑体" w:eastAsia="黑体"/>
          <w:color w:val="000000"/>
          <w:sz w:val="32"/>
          <w:szCs w:val="32"/>
        </w:rPr>
        <w:t>五、</w:t>
      </w:r>
      <w:r>
        <w:rPr>
          <w:rFonts w:hint="eastAsia" w:ascii="黑体" w:eastAsia="黑体"/>
          <w:b/>
          <w:color w:val="000000"/>
          <w:sz w:val="32"/>
          <w:szCs w:val="32"/>
        </w:rPr>
        <w:t>一</w:t>
      </w:r>
      <w:r>
        <w:rPr>
          <w:rStyle w:val="17"/>
          <w:rFonts w:hint="eastAsia" w:ascii="黑体" w:eastAsia="黑体"/>
          <w:b w:val="0"/>
        </w:rPr>
        <w:t>般公共预算财政拨款支出决算情况说明</w:t>
      </w:r>
      <w:bookmarkEnd w:id="30"/>
      <w:bookmarkEnd w:id="31"/>
    </w:p>
    <w:p>
      <w:pPr>
        <w:spacing w:line="600" w:lineRule="exact"/>
        <w:ind w:firstLine="643" w:firstLineChars="200"/>
        <w:outlineLvl w:val="2"/>
        <w:rPr>
          <w:rFonts w:ascii="仿宋" w:eastAsia="仿宋"/>
          <w:b/>
          <w:color w:val="000000"/>
          <w:sz w:val="32"/>
          <w:szCs w:val="32"/>
        </w:rPr>
      </w:pPr>
      <w:bookmarkStart w:id="32" w:name="_Toc15377210"/>
      <w:r>
        <w:rPr>
          <w:rFonts w:hint="eastAsia" w:ascii="仿宋" w:eastAsia="仿宋"/>
          <w:b/>
          <w:color w:val="000000"/>
          <w:sz w:val="32"/>
          <w:szCs w:val="32"/>
        </w:rPr>
        <w:t>（一）一般公共预算财政拨款支出决算总体情况</w:t>
      </w:r>
      <w:bookmarkEnd w:id="32"/>
    </w:p>
    <w:p>
      <w:pPr>
        <w:overflowPunct w:val="0"/>
        <w:adjustRightInd w:val="0"/>
        <w:snapToGrid w:val="0"/>
        <w:spacing w:line="600" w:lineRule="exact"/>
        <w:ind w:firstLine="643" w:firstLineChars="200"/>
        <w:rPr>
          <w:rFonts w:ascii="仿宋" w:eastAsia="仿宋"/>
          <w:color w:val="auto"/>
          <w:sz w:val="32"/>
          <w:szCs w:val="32"/>
          <w:highlight w:val="none"/>
        </w:rPr>
      </w:pPr>
      <w:r>
        <w:rPr>
          <w:rFonts w:eastAsia="仿宋_GB2312"/>
          <w:b/>
          <w:snapToGrid w:val="0"/>
          <w:color w:val="000000"/>
          <w:kern w:val="0"/>
          <w:sz w:val="32"/>
          <w:szCs w:val="32"/>
        </w:rPr>
        <w:t>20</w:t>
      </w:r>
      <w:r>
        <w:rPr>
          <w:rFonts w:hint="eastAsia" w:eastAsia="仿宋_GB2312"/>
          <w:b/>
          <w:snapToGrid w:val="0"/>
          <w:color w:val="000000"/>
          <w:kern w:val="0"/>
          <w:sz w:val="32"/>
          <w:szCs w:val="32"/>
          <w:lang w:val="en-US" w:eastAsia="zh-CN"/>
        </w:rPr>
        <w:t>20</w:t>
      </w:r>
      <w:r>
        <w:rPr>
          <w:rFonts w:eastAsia="仿宋_GB2312"/>
          <w:b/>
          <w:snapToGrid w:val="0"/>
          <w:color w:val="000000"/>
          <w:kern w:val="0"/>
          <w:sz w:val="32"/>
          <w:szCs w:val="32"/>
        </w:rPr>
        <w:t>年一般公共预算财政拨款支出</w:t>
      </w:r>
      <w:r>
        <w:rPr>
          <w:rFonts w:hint="eastAsia" w:eastAsia="仿宋_GB2312"/>
          <w:b/>
          <w:snapToGrid w:val="0"/>
          <w:color w:val="000000"/>
          <w:kern w:val="0"/>
          <w:sz w:val="32"/>
          <w:szCs w:val="32"/>
          <w:lang w:val="en-US" w:eastAsia="zh-CN"/>
        </w:rPr>
        <w:t>29151.19</w:t>
      </w:r>
      <w:r>
        <w:rPr>
          <w:rFonts w:eastAsia="仿宋_GB2312"/>
          <w:b/>
          <w:snapToGrid w:val="0"/>
          <w:color w:val="000000"/>
          <w:kern w:val="0"/>
          <w:sz w:val="32"/>
          <w:szCs w:val="32"/>
        </w:rPr>
        <w:t>万元，占本年支出合计的8</w:t>
      </w:r>
      <w:r>
        <w:rPr>
          <w:rFonts w:hint="eastAsia" w:eastAsia="仿宋_GB2312"/>
          <w:b/>
          <w:snapToGrid w:val="0"/>
          <w:color w:val="000000"/>
          <w:kern w:val="0"/>
          <w:sz w:val="32"/>
          <w:szCs w:val="32"/>
          <w:lang w:val="en-US" w:eastAsia="zh-CN"/>
        </w:rPr>
        <w:t>3.76</w:t>
      </w:r>
      <w:r>
        <w:rPr>
          <w:rFonts w:eastAsia="仿宋_GB2312"/>
          <w:b/>
          <w:snapToGrid w:val="0"/>
          <w:color w:val="000000"/>
          <w:kern w:val="0"/>
          <w:sz w:val="32"/>
          <w:szCs w:val="32"/>
        </w:rPr>
        <w:t>%。与201</w:t>
      </w:r>
      <w:r>
        <w:rPr>
          <w:rFonts w:hint="eastAsia" w:eastAsia="仿宋_GB2312"/>
          <w:b/>
          <w:snapToGrid w:val="0"/>
          <w:color w:val="000000"/>
          <w:kern w:val="0"/>
          <w:sz w:val="32"/>
          <w:szCs w:val="32"/>
          <w:lang w:val="en-US" w:eastAsia="zh-CN"/>
        </w:rPr>
        <w:t>9</w:t>
      </w:r>
      <w:r>
        <w:rPr>
          <w:rFonts w:eastAsia="仿宋_GB2312"/>
          <w:b/>
          <w:snapToGrid w:val="0"/>
          <w:color w:val="000000"/>
          <w:kern w:val="0"/>
          <w:sz w:val="32"/>
          <w:szCs w:val="32"/>
        </w:rPr>
        <w:t>年相比，一般公共预算财政拨款</w:t>
      </w:r>
      <w:r>
        <w:rPr>
          <w:rFonts w:hint="eastAsia" w:eastAsia="仿宋_GB2312"/>
          <w:b/>
          <w:snapToGrid w:val="0"/>
          <w:color w:val="000000"/>
          <w:kern w:val="0"/>
          <w:sz w:val="32"/>
          <w:szCs w:val="32"/>
          <w:lang w:eastAsia="zh-CN"/>
        </w:rPr>
        <w:t>增加</w:t>
      </w:r>
      <w:r>
        <w:rPr>
          <w:rFonts w:hint="eastAsia" w:eastAsia="仿宋_GB2312"/>
          <w:b/>
          <w:snapToGrid w:val="0"/>
          <w:color w:val="000000"/>
          <w:kern w:val="0"/>
          <w:sz w:val="32"/>
          <w:szCs w:val="32"/>
          <w:lang w:val="en-US" w:eastAsia="zh-CN"/>
        </w:rPr>
        <w:t>325.67</w:t>
      </w:r>
      <w:r>
        <w:rPr>
          <w:rFonts w:eastAsia="仿宋_GB2312"/>
          <w:b/>
          <w:snapToGrid w:val="0"/>
          <w:color w:val="000000"/>
          <w:kern w:val="0"/>
          <w:sz w:val="32"/>
          <w:szCs w:val="32"/>
        </w:rPr>
        <w:t>万元，</w:t>
      </w:r>
      <w:r>
        <w:rPr>
          <w:rFonts w:hint="eastAsia" w:eastAsia="仿宋_GB2312"/>
          <w:b/>
          <w:snapToGrid w:val="0"/>
          <w:color w:val="000000"/>
          <w:kern w:val="0"/>
          <w:sz w:val="32"/>
          <w:szCs w:val="32"/>
          <w:lang w:eastAsia="zh-CN"/>
        </w:rPr>
        <w:t>增长</w:t>
      </w:r>
      <w:r>
        <w:rPr>
          <w:rFonts w:hint="eastAsia" w:eastAsia="仿宋_GB2312"/>
          <w:b/>
          <w:snapToGrid w:val="0"/>
          <w:color w:val="000000"/>
          <w:kern w:val="0"/>
          <w:sz w:val="32"/>
          <w:szCs w:val="32"/>
          <w:lang w:val="en-US" w:eastAsia="zh-CN"/>
        </w:rPr>
        <w:t>1.12</w:t>
      </w:r>
      <w:r>
        <w:rPr>
          <w:rFonts w:eastAsia="仿宋_GB2312"/>
          <w:b/>
          <w:snapToGrid w:val="0"/>
          <w:color w:val="000000"/>
          <w:kern w:val="0"/>
          <w:sz w:val="32"/>
          <w:szCs w:val="32"/>
        </w:rPr>
        <w:t>%。</w:t>
      </w:r>
      <w:r>
        <w:rPr>
          <w:rFonts w:eastAsia="仿宋_GB2312"/>
          <w:b/>
          <w:snapToGrid w:val="0"/>
          <w:color w:val="auto"/>
          <w:kern w:val="0"/>
          <w:sz w:val="32"/>
          <w:szCs w:val="32"/>
          <w:highlight w:val="none"/>
        </w:rPr>
        <w:t>主要变动原因是</w:t>
      </w:r>
      <w:r>
        <w:rPr>
          <w:rFonts w:hint="eastAsia" w:eastAsia="仿宋_GB2312"/>
          <w:b/>
          <w:snapToGrid w:val="0"/>
          <w:color w:val="auto"/>
          <w:kern w:val="0"/>
          <w:sz w:val="32"/>
          <w:szCs w:val="32"/>
          <w:highlight w:val="none"/>
          <w:lang w:eastAsia="zh-CN"/>
        </w:rPr>
        <w:t>项目支出增加。</w:t>
      </w:r>
    </w:p>
    <w:p>
      <w:pPr>
        <w:spacing w:line="600" w:lineRule="exact"/>
        <w:ind w:firstLine="640" w:firstLineChars="200"/>
        <w:rPr>
          <w:rFonts w:hint="eastAsia" w:ascii="仿宋" w:eastAsia="仿宋"/>
          <w:color w:val="000000"/>
          <w:sz w:val="32"/>
          <w:szCs w:val="32"/>
        </w:rPr>
      </w:pPr>
      <w:r>
        <w:rPr>
          <w:rFonts w:hint="eastAsia" w:ascii="仿宋" w:eastAsia="仿宋"/>
          <w:color w:val="000000"/>
          <w:sz w:val="32"/>
          <w:szCs w:val="32"/>
        </w:rPr>
        <w:t>（</w:t>
      </w:r>
      <w:r>
        <w:rPr>
          <w:rFonts w:hint="eastAsia" w:ascii="仿宋" w:eastAsia="仿宋"/>
          <w:color w:val="000000"/>
          <w:sz w:val="32"/>
          <w:szCs w:val="32"/>
          <w:highlight w:val="none"/>
        </w:rPr>
        <w:t>图5：一般公共预算财政拨款支出决算变动情况）（柱</w:t>
      </w:r>
      <w:r>
        <w:rPr>
          <w:rFonts w:hint="eastAsia" w:ascii="仿宋" w:eastAsia="仿宋"/>
          <w:color w:val="000000"/>
          <w:sz w:val="32"/>
          <w:szCs w:val="32"/>
        </w:rPr>
        <w:t>状图）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仿宋" w:eastAsia="仿宋"/>
          <w:color w:val="000000"/>
          <w:sz w:val="32"/>
          <w:szCs w:val="32"/>
        </w:rPr>
      </w:pPr>
      <w:r>
        <w:drawing>
          <wp:inline distT="0" distB="0" distL="114300" distR="114300">
            <wp:extent cx="4572000" cy="2743200"/>
            <wp:effectExtent l="0" t="0" r="0" b="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eastAsia="仿宋"/>
          <w:b/>
          <w:color w:val="000000"/>
          <w:sz w:val="32"/>
          <w:szCs w:val="32"/>
        </w:rPr>
      </w:pPr>
      <w:bookmarkStart w:id="33" w:name="_Toc15377211"/>
      <w:r>
        <w:rPr>
          <w:rFonts w:hint="eastAsia" w:ascii="仿宋" w:eastAsia="仿宋"/>
          <w:b/>
          <w:color w:val="000000"/>
          <w:sz w:val="32"/>
          <w:szCs w:val="32"/>
        </w:rPr>
        <w:t>（二）一般公共预算财政拨款支出决算结构情况</w:t>
      </w:r>
      <w:bookmarkEnd w:id="33"/>
    </w:p>
    <w:p>
      <w:pPr>
        <w:spacing w:line="600" w:lineRule="exact"/>
        <w:ind w:firstLine="640"/>
        <w:rPr>
          <w:rFonts w:ascii="仿宋" w:eastAsia="仿宋"/>
          <w:color w:val="000000"/>
          <w:sz w:val="32"/>
          <w:szCs w:val="32"/>
        </w:rPr>
      </w:pPr>
      <w:r>
        <w:rPr>
          <w:rFonts w:ascii="仿宋" w:eastAsia="仿宋"/>
          <w:color w:val="000000"/>
          <w:sz w:val="32"/>
          <w:szCs w:val="32"/>
        </w:rPr>
        <w:t>20</w:t>
      </w:r>
      <w:r>
        <w:rPr>
          <w:rFonts w:ascii="方正兰亭黑_GBK" w:hAnsi="方正兰亭黑_GBK" w:eastAsia="仿宋"/>
          <w:color w:val="000000"/>
          <w:sz w:val="32"/>
          <w:szCs w:val="32"/>
        </w:rPr>
        <w:t>20</w:t>
      </w:r>
      <w:r>
        <w:rPr>
          <w:rFonts w:hint="eastAsia" w:ascii="仿宋" w:eastAsia="仿宋"/>
          <w:color w:val="000000"/>
          <w:sz w:val="32"/>
          <w:szCs w:val="32"/>
        </w:rPr>
        <w:t>年一般公共预算财政拨款支出</w:t>
      </w:r>
      <w:r>
        <w:rPr>
          <w:rFonts w:hint="eastAsia" w:ascii="仿宋" w:eastAsia="仿宋"/>
          <w:color w:val="000000"/>
          <w:sz w:val="32"/>
          <w:szCs w:val="32"/>
          <w:lang w:val="en-US" w:eastAsia="zh-CN"/>
        </w:rPr>
        <w:t>29151.19</w:t>
      </w:r>
      <w:r>
        <w:rPr>
          <w:rFonts w:hint="eastAsia" w:ascii="仿宋" w:eastAsia="仿宋"/>
          <w:color w:val="000000"/>
          <w:sz w:val="32"/>
          <w:szCs w:val="32"/>
        </w:rPr>
        <w:t>万元，主要用于以下方面</w:t>
      </w:r>
      <w:r>
        <w:rPr>
          <w:rFonts w:ascii="仿宋" w:eastAsia="仿宋"/>
          <w:color w:val="000000"/>
          <w:sz w:val="32"/>
          <w:szCs w:val="32"/>
        </w:rPr>
        <w:t>:</w:t>
      </w:r>
      <w:r>
        <w:rPr>
          <w:rFonts w:hint="eastAsia" w:ascii="仿宋" w:eastAsia="仿宋"/>
          <w:b/>
          <w:color w:val="000000"/>
          <w:sz w:val="32"/>
          <w:szCs w:val="32"/>
        </w:rPr>
        <w:t>一般公共服务（类）</w:t>
      </w:r>
      <w:r>
        <w:rPr>
          <w:rFonts w:hint="eastAsia" w:ascii="仿宋" w:eastAsia="仿宋"/>
          <w:color w:val="000000"/>
          <w:sz w:val="32"/>
          <w:szCs w:val="32"/>
        </w:rPr>
        <w:t>支出</w:t>
      </w:r>
      <w:r>
        <w:rPr>
          <w:rFonts w:hint="eastAsia" w:ascii="仿宋" w:eastAsia="仿宋"/>
          <w:color w:val="000000"/>
          <w:sz w:val="32"/>
          <w:szCs w:val="32"/>
          <w:lang w:val="en-US" w:eastAsia="zh-CN"/>
        </w:rPr>
        <w:t>4897.00</w:t>
      </w:r>
      <w:r>
        <w:rPr>
          <w:rFonts w:hint="eastAsia" w:ascii="仿宋" w:eastAsia="仿宋"/>
          <w:color w:val="000000"/>
          <w:sz w:val="32"/>
          <w:szCs w:val="32"/>
        </w:rPr>
        <w:t>万元，占</w:t>
      </w:r>
      <w:r>
        <w:rPr>
          <w:rFonts w:hint="eastAsia" w:ascii="仿宋" w:eastAsia="仿宋"/>
          <w:color w:val="000000"/>
          <w:sz w:val="32"/>
          <w:szCs w:val="32"/>
          <w:lang w:val="en-US" w:eastAsia="zh-CN"/>
        </w:rPr>
        <w:t>16.8</w:t>
      </w:r>
      <w:r>
        <w:rPr>
          <w:rFonts w:ascii="仿宋" w:eastAsia="仿宋"/>
          <w:color w:val="000000"/>
          <w:sz w:val="32"/>
          <w:szCs w:val="32"/>
        </w:rPr>
        <w:t>%</w:t>
      </w:r>
      <w:r>
        <w:rPr>
          <w:rFonts w:hint="eastAsia" w:ascii="仿宋" w:eastAsia="仿宋"/>
          <w:color w:val="000000"/>
          <w:sz w:val="32"/>
          <w:szCs w:val="32"/>
        </w:rPr>
        <w:t>；</w:t>
      </w:r>
      <w:r>
        <w:rPr>
          <w:rFonts w:hint="eastAsia" w:ascii="仿宋" w:eastAsia="仿宋"/>
          <w:b/>
          <w:color w:val="000000"/>
          <w:sz w:val="32"/>
          <w:szCs w:val="32"/>
        </w:rPr>
        <w:t>教育支出（类）</w:t>
      </w:r>
      <w:r>
        <w:rPr>
          <w:rFonts w:hint="eastAsia" w:ascii="仿宋" w:eastAsia="仿宋"/>
          <w:color w:val="000000"/>
          <w:sz w:val="32"/>
          <w:szCs w:val="32"/>
          <w:lang w:val="en-US" w:eastAsia="zh-CN"/>
        </w:rPr>
        <w:t>11880.93</w:t>
      </w:r>
      <w:r>
        <w:rPr>
          <w:rFonts w:hint="eastAsia" w:ascii="仿宋" w:eastAsia="仿宋"/>
          <w:color w:val="000000"/>
          <w:sz w:val="32"/>
          <w:szCs w:val="32"/>
        </w:rPr>
        <w:t>万元，占</w:t>
      </w:r>
      <w:r>
        <w:rPr>
          <w:rFonts w:hint="eastAsia" w:ascii="仿宋" w:eastAsia="仿宋"/>
          <w:color w:val="000000"/>
          <w:sz w:val="32"/>
          <w:szCs w:val="32"/>
          <w:lang w:val="en-US" w:eastAsia="zh-CN"/>
        </w:rPr>
        <w:t>40.76</w:t>
      </w:r>
      <w:r>
        <w:rPr>
          <w:rFonts w:ascii="仿宋" w:eastAsia="仿宋"/>
          <w:color w:val="000000"/>
          <w:sz w:val="32"/>
          <w:szCs w:val="32"/>
        </w:rPr>
        <w:t>%</w:t>
      </w:r>
      <w:r>
        <w:rPr>
          <w:rFonts w:hint="eastAsia" w:ascii="仿宋" w:eastAsia="仿宋"/>
          <w:color w:val="000000"/>
          <w:sz w:val="32"/>
          <w:szCs w:val="32"/>
        </w:rPr>
        <w:t>；</w:t>
      </w:r>
      <w:r>
        <w:rPr>
          <w:rFonts w:hint="eastAsia" w:ascii="仿宋" w:eastAsia="仿宋"/>
          <w:b/>
          <w:bCs/>
          <w:color w:val="000000"/>
          <w:sz w:val="32"/>
          <w:szCs w:val="32"/>
        </w:rPr>
        <w:t>文化旅游体育与传媒（类）支出</w:t>
      </w:r>
      <w:r>
        <w:rPr>
          <w:rFonts w:hint="eastAsia" w:ascii="仿宋" w:eastAsia="仿宋"/>
          <w:b/>
          <w:bCs/>
          <w:color w:val="000000"/>
          <w:sz w:val="32"/>
          <w:szCs w:val="32"/>
          <w:lang w:val="en-US" w:eastAsia="zh-CN"/>
        </w:rPr>
        <w:t>10245.79</w:t>
      </w:r>
      <w:r>
        <w:rPr>
          <w:rFonts w:hint="eastAsia" w:ascii="仿宋" w:eastAsia="仿宋"/>
          <w:b/>
          <w:bCs/>
          <w:color w:val="000000"/>
          <w:sz w:val="32"/>
          <w:szCs w:val="32"/>
        </w:rPr>
        <w:t>万元，占</w:t>
      </w:r>
      <w:r>
        <w:rPr>
          <w:rFonts w:hint="eastAsia" w:ascii="仿宋" w:eastAsia="仿宋"/>
          <w:b/>
          <w:bCs/>
          <w:color w:val="000000"/>
          <w:sz w:val="32"/>
          <w:szCs w:val="32"/>
          <w:lang w:val="en-US" w:eastAsia="zh-CN"/>
        </w:rPr>
        <w:t>35.15%</w:t>
      </w:r>
      <w:r>
        <w:rPr>
          <w:rFonts w:hint="eastAsia" w:ascii="仿宋" w:eastAsia="仿宋"/>
          <w:color w:val="000000"/>
          <w:sz w:val="32"/>
          <w:szCs w:val="32"/>
        </w:rPr>
        <w:t>；</w:t>
      </w:r>
      <w:r>
        <w:rPr>
          <w:rFonts w:hint="eastAsia" w:ascii="仿宋" w:eastAsia="仿宋"/>
          <w:b/>
          <w:color w:val="000000"/>
          <w:sz w:val="32"/>
          <w:szCs w:val="32"/>
        </w:rPr>
        <w:t>社会保障和就业（类）</w:t>
      </w:r>
      <w:r>
        <w:rPr>
          <w:rFonts w:hint="eastAsia" w:ascii="仿宋" w:eastAsia="仿宋"/>
          <w:color w:val="000000"/>
          <w:sz w:val="32"/>
          <w:szCs w:val="32"/>
        </w:rPr>
        <w:t>支出</w:t>
      </w:r>
      <w:r>
        <w:rPr>
          <w:rFonts w:hint="eastAsia" w:ascii="仿宋" w:eastAsia="仿宋"/>
          <w:color w:val="000000"/>
          <w:sz w:val="32"/>
          <w:szCs w:val="32"/>
          <w:lang w:val="en-US" w:eastAsia="zh-CN"/>
        </w:rPr>
        <w:t>1168.91</w:t>
      </w:r>
      <w:r>
        <w:rPr>
          <w:rFonts w:hint="eastAsia" w:ascii="仿宋" w:eastAsia="仿宋"/>
          <w:color w:val="000000"/>
          <w:sz w:val="32"/>
          <w:szCs w:val="32"/>
        </w:rPr>
        <w:t>万元，占</w:t>
      </w:r>
      <w:r>
        <w:rPr>
          <w:rFonts w:hint="eastAsia" w:ascii="仿宋" w:eastAsia="仿宋"/>
          <w:color w:val="000000"/>
          <w:sz w:val="32"/>
          <w:szCs w:val="32"/>
          <w:lang w:val="en-US" w:eastAsia="zh-CN"/>
        </w:rPr>
        <w:t>4.01</w:t>
      </w:r>
      <w:r>
        <w:rPr>
          <w:rFonts w:ascii="仿宋" w:eastAsia="仿宋"/>
          <w:color w:val="000000"/>
          <w:sz w:val="32"/>
          <w:szCs w:val="32"/>
        </w:rPr>
        <w:t>%</w:t>
      </w:r>
      <w:r>
        <w:rPr>
          <w:rFonts w:hint="eastAsia" w:ascii="仿宋" w:eastAsia="仿宋"/>
          <w:color w:val="000000"/>
          <w:sz w:val="32"/>
          <w:szCs w:val="32"/>
        </w:rPr>
        <w:t>；</w:t>
      </w:r>
      <w:r>
        <w:rPr>
          <w:rFonts w:hint="eastAsia" w:ascii="仿宋" w:eastAsia="仿宋"/>
          <w:b/>
          <w:bCs/>
          <w:color w:val="000000"/>
          <w:sz w:val="32"/>
          <w:szCs w:val="32"/>
        </w:rPr>
        <w:t>卫生健康支出</w:t>
      </w:r>
      <w:r>
        <w:rPr>
          <w:rFonts w:hint="eastAsia" w:ascii="仿宋" w:eastAsia="仿宋"/>
          <w:color w:val="000000"/>
          <w:sz w:val="32"/>
          <w:szCs w:val="32"/>
          <w:lang w:val="en-US" w:eastAsia="zh-CN"/>
        </w:rPr>
        <w:t>262.91</w:t>
      </w:r>
      <w:r>
        <w:rPr>
          <w:rFonts w:hint="eastAsia" w:ascii="仿宋" w:eastAsia="仿宋"/>
          <w:color w:val="000000"/>
          <w:sz w:val="32"/>
          <w:szCs w:val="32"/>
        </w:rPr>
        <w:t>万元，占</w:t>
      </w:r>
      <w:r>
        <w:rPr>
          <w:rFonts w:hint="eastAsia" w:ascii="仿宋" w:eastAsia="仿宋"/>
          <w:color w:val="000000"/>
          <w:sz w:val="32"/>
          <w:szCs w:val="32"/>
          <w:lang w:val="en-US" w:eastAsia="zh-CN"/>
        </w:rPr>
        <w:t>0.90</w:t>
      </w:r>
      <w:r>
        <w:rPr>
          <w:rFonts w:ascii="仿宋" w:eastAsia="仿宋"/>
          <w:color w:val="000000"/>
          <w:sz w:val="32"/>
          <w:szCs w:val="32"/>
        </w:rPr>
        <w:t>%</w:t>
      </w:r>
      <w:r>
        <w:rPr>
          <w:rFonts w:hint="eastAsia" w:ascii="仿宋" w:eastAsia="仿宋"/>
          <w:color w:val="000000"/>
          <w:sz w:val="32"/>
          <w:szCs w:val="32"/>
        </w:rPr>
        <w:t>；</w:t>
      </w:r>
      <w:r>
        <w:rPr>
          <w:rFonts w:hint="eastAsia" w:ascii="仿宋" w:eastAsia="仿宋"/>
          <w:b/>
          <w:bCs/>
          <w:color w:val="000000"/>
          <w:sz w:val="32"/>
          <w:szCs w:val="32"/>
        </w:rPr>
        <w:t>住房保障支出</w:t>
      </w:r>
      <w:r>
        <w:rPr>
          <w:rFonts w:hint="eastAsia" w:ascii="仿宋" w:eastAsia="仿宋"/>
          <w:color w:val="000000"/>
          <w:sz w:val="32"/>
          <w:szCs w:val="32"/>
          <w:lang w:val="en-US" w:eastAsia="zh-CN"/>
        </w:rPr>
        <w:t>534.72</w:t>
      </w:r>
      <w:r>
        <w:rPr>
          <w:rFonts w:hint="eastAsia" w:ascii="仿宋" w:eastAsia="仿宋"/>
          <w:color w:val="000000"/>
          <w:sz w:val="32"/>
          <w:szCs w:val="32"/>
        </w:rPr>
        <w:t>万元，占</w:t>
      </w:r>
      <w:r>
        <w:rPr>
          <w:rFonts w:hint="eastAsia" w:ascii="仿宋" w:eastAsia="仿宋"/>
          <w:color w:val="000000"/>
          <w:sz w:val="32"/>
          <w:szCs w:val="32"/>
          <w:lang w:val="en-US" w:eastAsia="zh-CN"/>
        </w:rPr>
        <w:t>1.83</w:t>
      </w:r>
      <w:r>
        <w:rPr>
          <w:rFonts w:ascii="仿宋" w:eastAsia="仿宋"/>
          <w:color w:val="000000"/>
          <w:sz w:val="32"/>
          <w:szCs w:val="32"/>
        </w:rPr>
        <w:t>%</w:t>
      </w:r>
      <w:r>
        <w:rPr>
          <w:rFonts w:hint="eastAsia" w:ascii="仿宋" w:eastAsia="仿宋"/>
          <w:color w:val="000000"/>
          <w:sz w:val="32"/>
          <w:szCs w:val="32"/>
        </w:rPr>
        <w:t>；</w:t>
      </w:r>
      <w:r>
        <w:rPr>
          <w:rFonts w:hint="eastAsia" w:ascii="仿宋" w:eastAsia="仿宋"/>
          <w:b/>
          <w:bCs/>
          <w:color w:val="000000"/>
          <w:sz w:val="32"/>
          <w:szCs w:val="32"/>
          <w:lang w:eastAsia="zh-CN"/>
        </w:rPr>
        <w:t>灾害防治及应急管理支出</w:t>
      </w:r>
      <w:r>
        <w:rPr>
          <w:rFonts w:hint="eastAsia" w:ascii="仿宋" w:eastAsia="仿宋"/>
          <w:color w:val="000000"/>
          <w:sz w:val="32"/>
          <w:szCs w:val="32"/>
          <w:lang w:val="en-US" w:eastAsia="zh-CN"/>
        </w:rPr>
        <w:t>7.93万元，占0.03%；</w:t>
      </w:r>
      <w:r>
        <w:rPr>
          <w:rFonts w:hint="eastAsia" w:ascii="仿宋" w:eastAsia="仿宋"/>
          <w:b/>
          <w:bCs/>
          <w:color w:val="000000"/>
          <w:sz w:val="32"/>
          <w:szCs w:val="32"/>
          <w:lang w:val="en-US"/>
        </w:rPr>
        <w:t>其他支出</w:t>
      </w:r>
      <w:r>
        <w:rPr>
          <w:rFonts w:hint="eastAsia" w:ascii="仿宋" w:eastAsia="仿宋"/>
          <w:color w:val="000000"/>
          <w:sz w:val="32"/>
          <w:szCs w:val="32"/>
          <w:lang w:val="en-US" w:eastAsia="zh-CN"/>
        </w:rPr>
        <w:t>152.99万元，占0.52%</w:t>
      </w:r>
      <w:r>
        <w:rPr>
          <w:rFonts w:hint="eastAsia" w:ascii="仿宋" w:eastAsia="仿宋"/>
          <w:color w:val="000000"/>
          <w:sz w:val="32"/>
          <w:szCs w:val="32"/>
        </w:rPr>
        <w:t>。</w:t>
      </w:r>
    </w:p>
    <w:p>
      <w:pPr>
        <w:spacing w:line="600" w:lineRule="exact"/>
        <w:ind w:firstLine="640" w:firstLineChars="200"/>
        <w:rPr>
          <w:rFonts w:hint="eastAsia" w:ascii="仿宋" w:eastAsia="仿宋"/>
          <w:color w:val="000000"/>
          <w:sz w:val="32"/>
          <w:szCs w:val="32"/>
          <w:highlight w:val="none"/>
        </w:rPr>
      </w:pPr>
      <w:r>
        <w:rPr>
          <w:rFonts w:hint="eastAsia" w:ascii="仿宋" w:eastAsia="仿宋"/>
          <w:color w:val="000000"/>
          <w:sz w:val="32"/>
          <w:szCs w:val="32"/>
          <w:highlight w:val="none"/>
        </w:rPr>
        <w:t>（图6：一般公共预算财政拨款支出决算结构）（饼状图）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仿宋" w:eastAsia="仿宋"/>
          <w:color w:val="000000"/>
          <w:sz w:val="32"/>
          <w:szCs w:val="32"/>
        </w:rPr>
      </w:pPr>
      <w:r>
        <w:drawing>
          <wp:inline distT="0" distB="0" distL="114300" distR="114300">
            <wp:extent cx="5012690" cy="240030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3" w:firstLineChars="200"/>
        <w:outlineLvl w:val="2"/>
        <w:rPr>
          <w:rFonts w:ascii="仿宋" w:eastAsia="仿宋"/>
          <w:b/>
          <w:bCs w:val="0"/>
          <w:color w:val="000000"/>
          <w:sz w:val="32"/>
          <w:szCs w:val="32"/>
          <w:highlight w:val="none"/>
        </w:rPr>
      </w:pPr>
      <w:bookmarkStart w:id="34" w:name="_Toc15377212"/>
      <w:r>
        <w:rPr>
          <w:rFonts w:hint="eastAsia" w:ascii="仿宋" w:eastAsia="仿宋"/>
          <w:b/>
          <w:bCs w:val="0"/>
          <w:color w:val="000000"/>
          <w:sz w:val="32"/>
          <w:szCs w:val="32"/>
          <w:highlight w:val="none"/>
        </w:rPr>
        <w:t>（三）一般公共预算财政拨款支出决算具体情况</w:t>
      </w:r>
      <w:bookmarkEnd w:id="34"/>
    </w:p>
    <w:p>
      <w:pPr>
        <w:overflowPunct w:val="0"/>
        <w:adjustRightInd w:val="0"/>
        <w:snapToGrid w:val="0"/>
        <w:spacing w:line="600" w:lineRule="exact"/>
        <w:ind w:firstLine="640" w:firstLineChars="200"/>
        <w:rPr>
          <w:rFonts w:ascii="仿宋" w:eastAsia="仿宋"/>
          <w:b w:val="0"/>
          <w:bCs/>
          <w:color w:val="FF0000"/>
          <w:sz w:val="32"/>
          <w:szCs w:val="32"/>
          <w:highlight w:val="none"/>
        </w:rPr>
      </w:pPr>
      <w:bookmarkStart w:id="35" w:name="_Toc15377444"/>
      <w:bookmarkStart w:id="36" w:name="_Toc15378460"/>
      <w:bookmarkStart w:id="37" w:name="_Toc15377213"/>
      <w:r>
        <w:rPr>
          <w:rFonts w:eastAsia="仿宋_GB2312"/>
          <w:b w:val="0"/>
          <w:bCs/>
          <w:snapToGrid w:val="0"/>
          <w:color w:val="000000"/>
          <w:kern w:val="0"/>
          <w:sz w:val="32"/>
          <w:szCs w:val="32"/>
          <w:highlight w:val="none"/>
        </w:rPr>
        <w:t>2020年一般公共预算支出决算数为</w:t>
      </w:r>
      <w:r>
        <w:rPr>
          <w:rFonts w:hint="eastAsia" w:eastAsia="仿宋_GB2312"/>
          <w:b w:val="0"/>
          <w:bCs/>
          <w:snapToGrid w:val="0"/>
          <w:color w:val="000000"/>
          <w:kern w:val="0"/>
          <w:sz w:val="32"/>
          <w:szCs w:val="32"/>
          <w:highlight w:val="none"/>
          <w:lang w:val="en-US" w:eastAsia="zh-CN"/>
        </w:rPr>
        <w:t>29151.19</w:t>
      </w:r>
      <w:r>
        <w:rPr>
          <w:rFonts w:eastAsia="仿宋_GB2312"/>
          <w:b w:val="0"/>
          <w:bCs/>
          <w:snapToGrid w:val="0"/>
          <w:color w:val="000000"/>
          <w:kern w:val="0"/>
          <w:sz w:val="32"/>
          <w:szCs w:val="32"/>
          <w:highlight w:val="none"/>
        </w:rPr>
        <w:t>万元，</w:t>
      </w:r>
      <w:r>
        <w:rPr>
          <w:rStyle w:val="14"/>
          <w:rFonts w:eastAsia="仿宋_GB2312"/>
          <w:b w:val="0"/>
          <w:bCs/>
          <w:snapToGrid w:val="0"/>
          <w:color w:val="000000"/>
          <w:kern w:val="0"/>
          <w:sz w:val="32"/>
          <w:szCs w:val="32"/>
          <w:highlight w:val="none"/>
        </w:rPr>
        <w:t>完成预算</w:t>
      </w:r>
      <w:r>
        <w:rPr>
          <w:rStyle w:val="14"/>
          <w:rFonts w:hint="eastAsia" w:eastAsia="仿宋_GB2312"/>
          <w:b w:val="0"/>
          <w:bCs/>
          <w:snapToGrid w:val="0"/>
          <w:color w:val="000000"/>
          <w:kern w:val="0"/>
          <w:sz w:val="32"/>
          <w:szCs w:val="32"/>
          <w:highlight w:val="none"/>
          <w:lang w:val="en-US" w:eastAsia="zh-CN"/>
        </w:rPr>
        <w:t>90.8</w:t>
      </w:r>
      <w:r>
        <w:rPr>
          <w:rStyle w:val="14"/>
          <w:rFonts w:eastAsia="仿宋_GB2312"/>
          <w:b w:val="0"/>
          <w:bCs/>
          <w:snapToGrid w:val="0"/>
          <w:color w:val="000000"/>
          <w:kern w:val="0"/>
          <w:sz w:val="32"/>
          <w:szCs w:val="32"/>
          <w:highlight w:val="none"/>
        </w:rPr>
        <w:t>%。</w:t>
      </w:r>
      <w:r>
        <w:rPr>
          <w:rStyle w:val="14"/>
          <w:rFonts w:hint="eastAsia" w:ascii="仿宋" w:eastAsia="仿宋"/>
          <w:b w:val="0"/>
          <w:bCs/>
          <w:color w:val="000000"/>
          <w:sz w:val="32"/>
          <w:szCs w:val="32"/>
          <w:highlight w:val="none"/>
        </w:rPr>
        <w:t>其中：</w:t>
      </w:r>
      <w:bookmarkEnd w:id="35"/>
      <w:bookmarkEnd w:id="36"/>
      <w:bookmarkEnd w:id="37"/>
    </w:p>
    <w:p>
      <w:pPr>
        <w:numPr>
          <w:ilvl w:val="0"/>
          <w:numId w:val="2"/>
        </w:numPr>
        <w:overflowPunct w:val="0"/>
        <w:adjustRightInd w:val="0"/>
        <w:snapToGrid w:val="0"/>
        <w:spacing w:line="600" w:lineRule="exact"/>
        <w:ind w:left="0" w:firstLine="640" w:firstLineChars="200"/>
        <w:rPr>
          <w:rFonts w:eastAsia="仿宋_GB2312"/>
          <w:b w:val="0"/>
          <w:bCs/>
          <w:snapToGrid w:val="0"/>
          <w:color w:val="000000"/>
          <w:kern w:val="0"/>
          <w:sz w:val="32"/>
          <w:szCs w:val="32"/>
          <w:highlight w:val="none"/>
        </w:rPr>
      </w:pPr>
      <w:r>
        <w:rPr>
          <w:rStyle w:val="14"/>
          <w:rFonts w:eastAsia="仿宋_GB2312"/>
          <w:b w:val="0"/>
          <w:bCs/>
          <w:snapToGrid w:val="0"/>
          <w:color w:val="000000"/>
          <w:kern w:val="0"/>
          <w:sz w:val="32"/>
          <w:szCs w:val="32"/>
        </w:rPr>
        <w:t>一般公共服务（类）宣传事务（款）行政运行（项）:</w:t>
      </w:r>
      <w:r>
        <w:rPr>
          <w:rFonts w:eastAsia="仿宋_GB2312"/>
          <w:b w:val="0"/>
          <w:bCs/>
          <w:snapToGrid w:val="0"/>
          <w:color w:val="000000"/>
          <w:kern w:val="0"/>
          <w:sz w:val="32"/>
          <w:szCs w:val="32"/>
        </w:rPr>
        <w:t>年初预算为</w:t>
      </w:r>
      <w:r>
        <w:rPr>
          <w:rFonts w:hint="eastAsia" w:eastAsia="仿宋_GB2312"/>
          <w:b w:val="0"/>
          <w:bCs/>
          <w:snapToGrid w:val="0"/>
          <w:color w:val="000000"/>
          <w:kern w:val="0"/>
          <w:sz w:val="32"/>
          <w:szCs w:val="32"/>
          <w:lang w:val="en-US" w:eastAsia="zh-CN"/>
        </w:rPr>
        <w:t>2957.47</w:t>
      </w:r>
      <w:r>
        <w:rPr>
          <w:rFonts w:eastAsia="仿宋_GB2312"/>
          <w:b w:val="0"/>
          <w:bCs/>
          <w:snapToGrid w:val="0"/>
          <w:color w:val="000000"/>
          <w:kern w:val="0"/>
          <w:sz w:val="32"/>
          <w:szCs w:val="32"/>
        </w:rPr>
        <w:t>万元，支出决算为</w:t>
      </w:r>
      <w:r>
        <w:rPr>
          <w:rFonts w:hint="eastAsia" w:eastAsia="仿宋_GB2312"/>
          <w:b w:val="0"/>
          <w:bCs/>
          <w:snapToGrid w:val="0"/>
          <w:color w:val="000000"/>
          <w:kern w:val="0"/>
          <w:sz w:val="32"/>
          <w:szCs w:val="32"/>
          <w:lang w:val="en-US" w:eastAsia="zh-CN"/>
        </w:rPr>
        <w:t>2954.15</w:t>
      </w:r>
      <w:r>
        <w:rPr>
          <w:rFonts w:eastAsia="仿宋_GB2312"/>
          <w:b w:val="0"/>
          <w:bCs/>
          <w:snapToGrid w:val="0"/>
          <w:color w:val="000000"/>
          <w:kern w:val="0"/>
          <w:sz w:val="32"/>
          <w:szCs w:val="32"/>
        </w:rPr>
        <w:t>万元，完成</w:t>
      </w:r>
      <w:r>
        <w:rPr>
          <w:rFonts w:eastAsia="仿宋_GB2312"/>
          <w:b w:val="0"/>
          <w:bCs/>
          <w:snapToGrid w:val="0"/>
          <w:color w:val="000000"/>
          <w:kern w:val="0"/>
          <w:sz w:val="32"/>
          <w:szCs w:val="32"/>
          <w:highlight w:val="none"/>
        </w:rPr>
        <w:t>年初预算</w:t>
      </w:r>
      <w:r>
        <w:rPr>
          <w:rFonts w:hint="eastAsia" w:eastAsia="仿宋_GB2312"/>
          <w:b w:val="0"/>
          <w:bCs/>
          <w:snapToGrid w:val="0"/>
          <w:color w:val="000000"/>
          <w:kern w:val="0"/>
          <w:sz w:val="32"/>
          <w:szCs w:val="32"/>
          <w:highlight w:val="none"/>
          <w:lang w:val="en-US" w:eastAsia="zh-CN"/>
        </w:rPr>
        <w:t>99.89</w:t>
      </w:r>
      <w:r>
        <w:rPr>
          <w:rFonts w:eastAsia="仿宋_GB2312"/>
          <w:b w:val="0"/>
          <w:bCs/>
          <w:snapToGrid w:val="0"/>
          <w:color w:val="000000"/>
          <w:kern w:val="0"/>
          <w:sz w:val="32"/>
          <w:szCs w:val="32"/>
          <w:highlight w:val="none"/>
        </w:rPr>
        <w:t>%。</w:t>
      </w:r>
    </w:p>
    <w:p>
      <w:pPr>
        <w:overflowPunct w:val="0"/>
        <w:adjustRightInd w:val="0"/>
        <w:snapToGrid w:val="0"/>
        <w:spacing w:line="600" w:lineRule="exact"/>
        <w:ind w:left="0" w:firstLine="640" w:firstLineChars="200"/>
        <w:rPr>
          <w:rStyle w:val="14"/>
          <w:rFonts w:eastAsia="仿宋_GB2312"/>
          <w:b w:val="0"/>
          <w:bCs/>
          <w:snapToGrid w:val="0"/>
          <w:color w:val="000000"/>
          <w:kern w:val="0"/>
          <w:sz w:val="32"/>
          <w:szCs w:val="32"/>
          <w:highlight w:val="none"/>
        </w:rPr>
      </w:pPr>
      <w:r>
        <w:rPr>
          <w:rStyle w:val="14"/>
          <w:rFonts w:eastAsia="仿宋_GB2312"/>
          <w:b w:val="0"/>
          <w:bCs/>
          <w:snapToGrid w:val="0"/>
          <w:color w:val="000000"/>
          <w:kern w:val="0"/>
          <w:sz w:val="32"/>
          <w:szCs w:val="32"/>
          <w:highlight w:val="none"/>
        </w:rPr>
        <w:t>2．一般公共服务（类）宣传事务（款）一般行政管理事务（项）：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2376.15</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1728.78</w:t>
      </w:r>
      <w:r>
        <w:rPr>
          <w:rFonts w:eastAsia="仿宋_GB2312"/>
          <w:b w:val="0"/>
          <w:bCs/>
          <w:snapToGrid w:val="0"/>
          <w:color w:val="000000"/>
          <w:kern w:val="0"/>
          <w:sz w:val="32"/>
          <w:szCs w:val="32"/>
          <w:highlight w:val="none"/>
        </w:rPr>
        <w:t>万元，完成年初预算</w:t>
      </w:r>
      <w:r>
        <w:rPr>
          <w:rFonts w:hint="eastAsia" w:eastAsia="仿宋_GB2312"/>
          <w:b w:val="0"/>
          <w:bCs/>
          <w:snapToGrid w:val="0"/>
          <w:color w:val="000000"/>
          <w:kern w:val="0"/>
          <w:sz w:val="32"/>
          <w:szCs w:val="32"/>
          <w:highlight w:val="none"/>
          <w:lang w:val="en-US" w:eastAsia="zh-CN"/>
        </w:rPr>
        <w:t>72.76</w:t>
      </w:r>
      <w:r>
        <w:rPr>
          <w:rFonts w:eastAsia="仿宋_GB2312"/>
          <w:b w:val="0"/>
          <w:bCs/>
          <w:snapToGrid w:val="0"/>
          <w:color w:val="000000"/>
          <w:kern w:val="0"/>
          <w:sz w:val="32"/>
          <w:szCs w:val="32"/>
          <w:highlight w:val="none"/>
        </w:rPr>
        <w:t>%。</w:t>
      </w:r>
      <w:r>
        <w:rPr>
          <w:rStyle w:val="14"/>
          <w:rFonts w:eastAsia="仿宋_GB2312"/>
          <w:b w:val="0"/>
          <w:bCs/>
          <w:snapToGrid w:val="0"/>
          <w:color w:val="000000"/>
          <w:kern w:val="0"/>
          <w:sz w:val="32"/>
          <w:szCs w:val="32"/>
          <w:highlight w:val="none"/>
        </w:rPr>
        <w:t>决算数小于预算数的主要原因</w:t>
      </w:r>
      <w:r>
        <w:rPr>
          <w:rStyle w:val="14"/>
          <w:rFonts w:hint="eastAsia" w:ascii="Calibri" w:hAnsi="Calibri" w:eastAsia="仿宋_GB2312"/>
          <w:b w:val="0"/>
          <w:bCs/>
          <w:snapToGrid w:val="0"/>
          <w:color w:val="000000"/>
          <w:kern w:val="0"/>
          <w:sz w:val="32"/>
          <w:szCs w:val="32"/>
          <w:highlight w:val="none"/>
          <w:lang w:val="zh-CN"/>
        </w:rPr>
        <w:t>落实中央和省委省政府关于过紧日子的要求及疫情影响。</w:t>
      </w:r>
    </w:p>
    <w:p>
      <w:pPr>
        <w:overflowPunct w:val="0"/>
        <w:adjustRightInd w:val="0"/>
        <w:snapToGrid w:val="0"/>
        <w:spacing w:line="600" w:lineRule="exact"/>
        <w:ind w:firstLine="640" w:firstLineChars="200"/>
        <w:rPr>
          <w:rStyle w:val="14"/>
          <w:rFonts w:hint="eastAsia" w:ascii="Calibri" w:hAnsi="Calibri" w:eastAsia="仿宋_GB2312"/>
          <w:b w:val="0"/>
          <w:bCs/>
          <w:snapToGrid w:val="0"/>
          <w:color w:val="000000"/>
          <w:kern w:val="0"/>
          <w:sz w:val="32"/>
          <w:szCs w:val="32"/>
          <w:highlight w:val="none"/>
          <w:lang w:val="zh-CN"/>
        </w:rPr>
      </w:pPr>
      <w:r>
        <w:rPr>
          <w:rStyle w:val="14"/>
          <w:rFonts w:eastAsia="仿宋_GB2312"/>
          <w:b w:val="0"/>
          <w:bCs/>
          <w:snapToGrid w:val="0"/>
          <w:color w:val="000000"/>
          <w:kern w:val="0"/>
          <w:sz w:val="32"/>
          <w:szCs w:val="32"/>
        </w:rPr>
        <w:t>3．一般公共服务（类）宣传事务（款）事业运行（项）</w:t>
      </w:r>
      <w:r>
        <w:rPr>
          <w:rStyle w:val="14"/>
          <w:rFonts w:hint="eastAsia" w:eastAsia="仿宋_GB2312"/>
          <w:b w:val="0"/>
          <w:bCs/>
          <w:snapToGrid w:val="0"/>
          <w:color w:val="000000"/>
          <w:kern w:val="0"/>
          <w:sz w:val="32"/>
          <w:szCs w:val="32"/>
        </w:rPr>
        <w:t>：</w:t>
      </w:r>
      <w:r>
        <w:rPr>
          <w:rFonts w:eastAsia="仿宋_GB2312"/>
          <w:b w:val="0"/>
          <w:bCs/>
          <w:snapToGrid w:val="0"/>
          <w:color w:val="000000"/>
          <w:kern w:val="0"/>
          <w:sz w:val="32"/>
          <w:szCs w:val="32"/>
        </w:rPr>
        <w:t>年初预算为</w:t>
      </w:r>
      <w:r>
        <w:rPr>
          <w:rFonts w:hint="eastAsia" w:eastAsia="仿宋_GB2312"/>
          <w:b w:val="0"/>
          <w:bCs/>
          <w:snapToGrid w:val="0"/>
          <w:color w:val="000000"/>
          <w:kern w:val="0"/>
          <w:sz w:val="32"/>
          <w:szCs w:val="32"/>
          <w:lang w:val="en-US" w:eastAsia="zh-CN"/>
        </w:rPr>
        <w:t>237.82</w:t>
      </w:r>
      <w:r>
        <w:rPr>
          <w:rFonts w:eastAsia="仿宋_GB2312"/>
          <w:b w:val="0"/>
          <w:bCs/>
          <w:snapToGrid w:val="0"/>
          <w:color w:val="000000"/>
          <w:kern w:val="0"/>
          <w:sz w:val="32"/>
          <w:szCs w:val="32"/>
        </w:rPr>
        <w:t>万元，支出决算为</w:t>
      </w:r>
      <w:r>
        <w:rPr>
          <w:rFonts w:hint="eastAsia" w:eastAsia="仿宋_GB2312"/>
          <w:b w:val="0"/>
          <w:bCs/>
          <w:snapToGrid w:val="0"/>
          <w:color w:val="000000"/>
          <w:kern w:val="0"/>
          <w:sz w:val="32"/>
          <w:szCs w:val="32"/>
          <w:lang w:val="en-US" w:eastAsia="zh-CN"/>
        </w:rPr>
        <w:t>208.08</w:t>
      </w:r>
      <w:r>
        <w:rPr>
          <w:rFonts w:eastAsia="仿宋_GB2312"/>
          <w:b w:val="0"/>
          <w:bCs/>
          <w:snapToGrid w:val="0"/>
          <w:color w:val="000000"/>
          <w:kern w:val="0"/>
          <w:sz w:val="32"/>
          <w:szCs w:val="32"/>
        </w:rPr>
        <w:t>万元，完成年初预算</w:t>
      </w:r>
      <w:r>
        <w:rPr>
          <w:rFonts w:hint="eastAsia" w:eastAsia="仿宋_GB2312"/>
          <w:b w:val="0"/>
          <w:bCs/>
          <w:snapToGrid w:val="0"/>
          <w:color w:val="000000"/>
          <w:kern w:val="0"/>
          <w:sz w:val="32"/>
          <w:szCs w:val="32"/>
          <w:lang w:val="en-US" w:eastAsia="zh-CN"/>
        </w:rPr>
        <w:t>87.49</w:t>
      </w:r>
      <w:r>
        <w:rPr>
          <w:rFonts w:eastAsia="仿宋_GB2312"/>
          <w:b w:val="0"/>
          <w:bCs/>
          <w:snapToGrid w:val="0"/>
          <w:color w:val="000000"/>
          <w:kern w:val="0"/>
          <w:sz w:val="32"/>
          <w:szCs w:val="32"/>
        </w:rPr>
        <w:t>%</w:t>
      </w:r>
      <w:r>
        <w:rPr>
          <w:rFonts w:eastAsia="仿宋_GB2312"/>
          <w:b w:val="0"/>
          <w:bCs/>
          <w:snapToGrid w:val="0"/>
          <w:kern w:val="0"/>
          <w:sz w:val="32"/>
          <w:szCs w:val="32"/>
          <w:highlight w:val="none"/>
        </w:rPr>
        <w:t>。</w:t>
      </w:r>
      <w:r>
        <w:rPr>
          <w:rStyle w:val="14"/>
          <w:rFonts w:eastAsia="仿宋_GB2312"/>
          <w:b w:val="0"/>
          <w:bCs/>
          <w:snapToGrid w:val="0"/>
          <w:color w:val="000000"/>
          <w:kern w:val="0"/>
          <w:sz w:val="32"/>
          <w:szCs w:val="32"/>
          <w:highlight w:val="none"/>
        </w:rPr>
        <w:t>决算数小于预算数的主要原因是</w:t>
      </w:r>
      <w:r>
        <w:rPr>
          <w:rStyle w:val="14"/>
          <w:rFonts w:hint="eastAsia" w:ascii="Calibri" w:hAnsi="Calibri" w:eastAsia="仿宋_GB2312"/>
          <w:b w:val="0"/>
          <w:bCs/>
          <w:snapToGrid w:val="0"/>
          <w:color w:val="000000"/>
          <w:kern w:val="0"/>
          <w:sz w:val="32"/>
          <w:szCs w:val="32"/>
          <w:highlight w:val="none"/>
          <w:lang w:val="zh-CN"/>
        </w:rPr>
        <w:t>落实中央和省委省政府关于过紧日子的要求及疫情影响。</w:t>
      </w:r>
    </w:p>
    <w:p>
      <w:pPr>
        <w:overflowPunct w:val="0"/>
        <w:adjustRightInd w:val="0"/>
        <w:snapToGrid w:val="0"/>
        <w:spacing w:line="600" w:lineRule="exact"/>
        <w:ind w:firstLine="640" w:firstLineChars="200"/>
        <w:rPr>
          <w:rFonts w:eastAsia="仿宋_GB2312"/>
          <w:b w:val="0"/>
          <w:bCs/>
          <w:snapToGrid w:val="0"/>
          <w:kern w:val="0"/>
          <w:sz w:val="32"/>
          <w:szCs w:val="32"/>
        </w:rPr>
      </w:pPr>
      <w:r>
        <w:rPr>
          <w:rFonts w:eastAsia="仿宋_GB2312"/>
          <w:b w:val="0"/>
          <w:bCs/>
          <w:snapToGrid w:val="0"/>
          <w:kern w:val="0"/>
          <w:sz w:val="32"/>
          <w:szCs w:val="32"/>
        </w:rPr>
        <w:t>4</w:t>
      </w:r>
      <w:r>
        <w:rPr>
          <w:rStyle w:val="14"/>
          <w:rFonts w:eastAsia="仿宋_GB2312"/>
          <w:b w:val="0"/>
          <w:bCs/>
          <w:snapToGrid w:val="0"/>
          <w:color w:val="000000"/>
          <w:kern w:val="0"/>
          <w:sz w:val="32"/>
          <w:szCs w:val="32"/>
        </w:rPr>
        <w:t>．一般公共服务（类）</w:t>
      </w:r>
      <w:r>
        <w:rPr>
          <w:rStyle w:val="14"/>
          <w:rFonts w:hint="eastAsia" w:eastAsia="仿宋_GB2312"/>
          <w:b w:val="0"/>
          <w:bCs/>
          <w:snapToGrid w:val="0"/>
          <w:color w:val="000000"/>
          <w:kern w:val="0"/>
          <w:sz w:val="32"/>
          <w:szCs w:val="32"/>
          <w:lang w:eastAsia="zh-CN"/>
        </w:rPr>
        <w:t>其他一般公共服务支出</w:t>
      </w:r>
      <w:r>
        <w:rPr>
          <w:rStyle w:val="14"/>
          <w:rFonts w:eastAsia="仿宋_GB2312"/>
          <w:b w:val="0"/>
          <w:bCs/>
          <w:snapToGrid w:val="0"/>
          <w:color w:val="000000"/>
          <w:kern w:val="0"/>
          <w:sz w:val="32"/>
          <w:szCs w:val="32"/>
        </w:rPr>
        <w:t>（款）</w:t>
      </w:r>
      <w:r>
        <w:rPr>
          <w:rStyle w:val="14"/>
          <w:rFonts w:eastAsia="仿宋_GB2312"/>
          <w:b w:val="0"/>
          <w:bCs/>
          <w:snapToGrid w:val="0"/>
          <w:color w:val="000000"/>
          <w:kern w:val="0"/>
          <w:sz w:val="32"/>
          <w:szCs w:val="32"/>
          <w:highlight w:val="none"/>
        </w:rPr>
        <w:t>其他</w:t>
      </w:r>
      <w:r>
        <w:rPr>
          <w:rStyle w:val="14"/>
          <w:rFonts w:hint="eastAsia" w:eastAsia="仿宋_GB2312"/>
          <w:b w:val="0"/>
          <w:bCs/>
          <w:snapToGrid w:val="0"/>
          <w:color w:val="000000"/>
          <w:kern w:val="0"/>
          <w:sz w:val="32"/>
          <w:szCs w:val="32"/>
          <w:highlight w:val="none"/>
          <w:lang w:eastAsia="zh-CN"/>
        </w:rPr>
        <w:t>一般公共服务</w:t>
      </w:r>
      <w:r>
        <w:rPr>
          <w:rStyle w:val="14"/>
          <w:rFonts w:eastAsia="仿宋_GB2312"/>
          <w:b w:val="0"/>
          <w:bCs/>
          <w:snapToGrid w:val="0"/>
          <w:color w:val="000000"/>
          <w:kern w:val="0"/>
          <w:sz w:val="32"/>
          <w:szCs w:val="32"/>
          <w:highlight w:val="none"/>
        </w:rPr>
        <w:t>支出（项）</w:t>
      </w:r>
      <w:r>
        <w:rPr>
          <w:rStyle w:val="14"/>
          <w:rFonts w:hint="eastAsia" w:eastAsia="仿宋_GB2312"/>
          <w:b w:val="0"/>
          <w:bCs/>
          <w:snapToGrid w:val="0"/>
          <w:color w:val="000000"/>
          <w:kern w:val="0"/>
          <w:sz w:val="32"/>
          <w:szCs w:val="32"/>
          <w:highlight w:val="none"/>
        </w:rPr>
        <w:t>：</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6</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6</w:t>
      </w:r>
      <w:r>
        <w:rPr>
          <w:rFonts w:eastAsia="仿宋_GB2312"/>
          <w:b w:val="0"/>
          <w:bCs/>
          <w:snapToGrid w:val="0"/>
          <w:color w:val="000000"/>
          <w:kern w:val="0"/>
          <w:sz w:val="32"/>
          <w:szCs w:val="32"/>
          <w:highlight w:val="none"/>
        </w:rPr>
        <w:t>万元，完成年初预算100%</w:t>
      </w:r>
      <w:r>
        <w:rPr>
          <w:rFonts w:eastAsia="仿宋_GB2312"/>
          <w:b w:val="0"/>
          <w:bCs/>
          <w:snapToGrid w:val="0"/>
          <w:kern w:val="0"/>
          <w:sz w:val="32"/>
          <w:szCs w:val="32"/>
          <w:highlight w:val="none"/>
        </w:rPr>
        <w:t>。</w:t>
      </w:r>
    </w:p>
    <w:p>
      <w:pPr>
        <w:overflowPunct w:val="0"/>
        <w:adjustRightInd w:val="0"/>
        <w:snapToGrid w:val="0"/>
        <w:spacing w:line="600" w:lineRule="exact"/>
        <w:ind w:firstLine="640" w:firstLineChars="200"/>
        <w:rPr>
          <w:rStyle w:val="14"/>
          <w:rFonts w:eastAsia="仿宋_GB2312"/>
          <w:b w:val="0"/>
          <w:bCs/>
          <w:snapToGrid w:val="0"/>
          <w:color w:val="000000"/>
          <w:kern w:val="0"/>
          <w:sz w:val="32"/>
          <w:szCs w:val="32"/>
          <w:highlight w:val="none"/>
        </w:rPr>
      </w:pPr>
      <w:r>
        <w:rPr>
          <w:rFonts w:hint="eastAsia" w:eastAsia="仿宋_GB2312"/>
          <w:b w:val="0"/>
          <w:bCs/>
          <w:snapToGrid w:val="0"/>
          <w:kern w:val="0"/>
          <w:sz w:val="32"/>
          <w:szCs w:val="32"/>
          <w:lang w:val="en-US" w:eastAsia="zh-CN"/>
        </w:rPr>
        <w:t>5</w:t>
      </w:r>
      <w:r>
        <w:rPr>
          <w:rStyle w:val="14"/>
          <w:rFonts w:eastAsia="仿宋_GB2312"/>
          <w:b w:val="0"/>
          <w:bCs/>
          <w:snapToGrid w:val="0"/>
          <w:color w:val="000000"/>
          <w:kern w:val="0"/>
          <w:sz w:val="32"/>
          <w:szCs w:val="32"/>
        </w:rPr>
        <w:t>．教育支出（类）普通教育（款）高等教育（项）</w:t>
      </w:r>
      <w:r>
        <w:rPr>
          <w:rStyle w:val="14"/>
          <w:rFonts w:hint="eastAsia" w:eastAsia="仿宋_GB2312"/>
          <w:b w:val="0"/>
          <w:bCs/>
          <w:snapToGrid w:val="0"/>
          <w:color w:val="000000"/>
          <w:kern w:val="0"/>
          <w:sz w:val="32"/>
          <w:szCs w:val="32"/>
        </w:rPr>
        <w:t>：</w:t>
      </w:r>
      <w:r>
        <w:rPr>
          <w:rFonts w:eastAsia="仿宋_GB2312"/>
          <w:b w:val="0"/>
          <w:bCs/>
          <w:snapToGrid w:val="0"/>
          <w:color w:val="000000"/>
          <w:kern w:val="0"/>
          <w:sz w:val="32"/>
          <w:szCs w:val="32"/>
        </w:rPr>
        <w:t>年初预算为</w:t>
      </w:r>
      <w:r>
        <w:rPr>
          <w:rFonts w:hint="eastAsia" w:eastAsia="仿宋_GB2312"/>
          <w:b w:val="0"/>
          <w:bCs/>
          <w:snapToGrid w:val="0"/>
          <w:color w:val="000000"/>
          <w:kern w:val="0"/>
          <w:sz w:val="32"/>
          <w:szCs w:val="32"/>
          <w:lang w:val="en-US" w:eastAsia="zh-CN"/>
        </w:rPr>
        <w:t>145.92</w:t>
      </w:r>
      <w:r>
        <w:rPr>
          <w:rFonts w:eastAsia="仿宋_GB2312"/>
          <w:b w:val="0"/>
          <w:bCs/>
          <w:snapToGrid w:val="0"/>
          <w:color w:val="000000"/>
          <w:kern w:val="0"/>
          <w:sz w:val="32"/>
          <w:szCs w:val="32"/>
        </w:rPr>
        <w:t>万元，支出决算为</w:t>
      </w:r>
      <w:r>
        <w:rPr>
          <w:rFonts w:hint="eastAsia" w:eastAsia="仿宋_GB2312"/>
          <w:b w:val="0"/>
          <w:bCs/>
          <w:snapToGrid w:val="0"/>
          <w:color w:val="000000"/>
          <w:kern w:val="0"/>
          <w:sz w:val="32"/>
          <w:szCs w:val="32"/>
          <w:lang w:val="en-US" w:eastAsia="zh-CN"/>
        </w:rPr>
        <w:t>56.37</w:t>
      </w:r>
      <w:r>
        <w:rPr>
          <w:rFonts w:eastAsia="仿宋_GB2312"/>
          <w:b w:val="0"/>
          <w:bCs/>
          <w:snapToGrid w:val="0"/>
          <w:color w:val="000000"/>
          <w:kern w:val="0"/>
          <w:sz w:val="32"/>
          <w:szCs w:val="32"/>
        </w:rPr>
        <w:t>万元，完成年初预算</w:t>
      </w:r>
      <w:r>
        <w:rPr>
          <w:rFonts w:hint="eastAsia" w:eastAsia="仿宋_GB2312"/>
          <w:b w:val="0"/>
          <w:bCs/>
          <w:snapToGrid w:val="0"/>
          <w:color w:val="000000"/>
          <w:kern w:val="0"/>
          <w:sz w:val="32"/>
          <w:szCs w:val="32"/>
          <w:lang w:val="en-US" w:eastAsia="zh-CN"/>
        </w:rPr>
        <w:t>38.63</w:t>
      </w:r>
      <w:r>
        <w:rPr>
          <w:rFonts w:eastAsia="仿宋_GB2312"/>
          <w:b w:val="0"/>
          <w:bCs/>
          <w:snapToGrid w:val="0"/>
          <w:color w:val="000000"/>
          <w:kern w:val="0"/>
          <w:sz w:val="32"/>
          <w:szCs w:val="32"/>
        </w:rPr>
        <w:t>%</w:t>
      </w:r>
      <w:r>
        <w:rPr>
          <w:rFonts w:eastAsia="仿宋_GB2312"/>
          <w:b w:val="0"/>
          <w:bCs/>
          <w:snapToGrid w:val="0"/>
          <w:kern w:val="0"/>
          <w:sz w:val="32"/>
          <w:szCs w:val="32"/>
        </w:rPr>
        <w:t>。</w:t>
      </w:r>
      <w:r>
        <w:rPr>
          <w:rStyle w:val="14"/>
          <w:rFonts w:eastAsia="仿宋_GB2312"/>
          <w:b w:val="0"/>
          <w:bCs/>
          <w:snapToGrid w:val="0"/>
          <w:color w:val="000000"/>
          <w:kern w:val="0"/>
          <w:sz w:val="32"/>
          <w:szCs w:val="32"/>
          <w:highlight w:val="none"/>
        </w:rPr>
        <w:t>决算数小于预算数的主要原因是</w:t>
      </w:r>
      <w:r>
        <w:rPr>
          <w:rFonts w:eastAsia="仿宋_GB2312"/>
          <w:b w:val="0"/>
          <w:bCs/>
          <w:snapToGrid w:val="0"/>
          <w:color w:val="000000"/>
          <w:kern w:val="0"/>
          <w:sz w:val="32"/>
          <w:szCs w:val="32"/>
        </w:rPr>
        <w:t>直属单位</w:t>
      </w:r>
      <w:r>
        <w:rPr>
          <w:rStyle w:val="14"/>
          <w:rFonts w:eastAsia="仿宋_GB2312"/>
          <w:b w:val="0"/>
          <w:bCs/>
          <w:snapToGrid w:val="0"/>
          <w:color w:val="000000"/>
          <w:kern w:val="0"/>
          <w:sz w:val="32"/>
          <w:szCs w:val="32"/>
          <w:highlight w:val="none"/>
        </w:rPr>
        <w:t>项目</w:t>
      </w:r>
      <w:r>
        <w:rPr>
          <w:rStyle w:val="14"/>
          <w:rFonts w:hint="eastAsia" w:eastAsia="仿宋_GB2312"/>
          <w:b w:val="0"/>
          <w:bCs/>
          <w:snapToGrid w:val="0"/>
          <w:color w:val="000000"/>
          <w:kern w:val="0"/>
          <w:sz w:val="32"/>
          <w:szCs w:val="32"/>
          <w:highlight w:val="none"/>
          <w:lang w:eastAsia="zh-CN"/>
        </w:rPr>
        <w:t>当年未实施完成</w:t>
      </w:r>
      <w:r>
        <w:rPr>
          <w:rStyle w:val="14"/>
          <w:rFonts w:eastAsia="仿宋_GB2312"/>
          <w:b w:val="0"/>
          <w:bCs/>
          <w:snapToGrid w:val="0"/>
          <w:color w:val="000000"/>
          <w:kern w:val="0"/>
          <w:sz w:val="32"/>
          <w:szCs w:val="32"/>
          <w:highlight w:val="none"/>
        </w:rPr>
        <w:t>。</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仿宋_GB2312"/>
          <w:b w:val="0"/>
          <w:bCs/>
          <w:snapToGrid w:val="0"/>
          <w:kern w:val="0"/>
          <w:sz w:val="32"/>
          <w:szCs w:val="32"/>
          <w:lang w:val="en-US" w:eastAsia="zh-CN"/>
        </w:rPr>
        <w:t>6</w:t>
      </w:r>
      <w:r>
        <w:rPr>
          <w:rStyle w:val="14"/>
          <w:rFonts w:eastAsia="仿宋_GB2312"/>
          <w:b w:val="0"/>
          <w:bCs/>
          <w:snapToGrid w:val="0"/>
          <w:color w:val="000000"/>
          <w:kern w:val="0"/>
          <w:sz w:val="32"/>
          <w:szCs w:val="32"/>
        </w:rPr>
        <w:t>．教育支出（类）职业教育（款）中</w:t>
      </w:r>
      <w:r>
        <w:rPr>
          <w:rStyle w:val="14"/>
          <w:rFonts w:hint="eastAsia" w:eastAsia="仿宋_GB2312"/>
          <w:b w:val="0"/>
          <w:bCs/>
          <w:snapToGrid w:val="0"/>
          <w:color w:val="000000"/>
          <w:kern w:val="0"/>
          <w:sz w:val="32"/>
          <w:szCs w:val="32"/>
          <w:lang w:eastAsia="zh-CN"/>
        </w:rPr>
        <w:t>等职业教育</w:t>
      </w:r>
      <w:r>
        <w:rPr>
          <w:rStyle w:val="14"/>
          <w:rFonts w:eastAsia="仿宋_GB2312"/>
          <w:b w:val="0"/>
          <w:bCs/>
          <w:snapToGrid w:val="0"/>
          <w:color w:val="000000"/>
          <w:kern w:val="0"/>
          <w:sz w:val="32"/>
          <w:szCs w:val="32"/>
        </w:rPr>
        <w:t>（项）</w:t>
      </w:r>
      <w:r>
        <w:rPr>
          <w:rStyle w:val="14"/>
          <w:rFonts w:hint="eastAsia" w:eastAsia="仿宋_GB2312"/>
          <w:b w:val="0"/>
          <w:bCs/>
          <w:snapToGrid w:val="0"/>
          <w:color w:val="000000"/>
          <w:kern w:val="0"/>
          <w:sz w:val="32"/>
          <w:szCs w:val="32"/>
        </w:rPr>
        <w:t>：</w:t>
      </w:r>
      <w:r>
        <w:rPr>
          <w:rFonts w:eastAsia="仿宋_GB2312"/>
          <w:b w:val="0"/>
          <w:bCs/>
          <w:snapToGrid w:val="0"/>
          <w:color w:val="000000"/>
          <w:kern w:val="0"/>
          <w:sz w:val="32"/>
          <w:szCs w:val="32"/>
        </w:rPr>
        <w:t>年初预算为</w:t>
      </w:r>
      <w:r>
        <w:rPr>
          <w:rFonts w:hint="eastAsia" w:eastAsia="仿宋_GB2312"/>
          <w:b w:val="0"/>
          <w:bCs/>
          <w:snapToGrid w:val="0"/>
          <w:color w:val="000000"/>
          <w:kern w:val="0"/>
          <w:sz w:val="32"/>
          <w:szCs w:val="32"/>
          <w:lang w:val="en-US" w:eastAsia="zh-CN"/>
        </w:rPr>
        <w:t>99.02</w:t>
      </w:r>
      <w:r>
        <w:rPr>
          <w:rFonts w:eastAsia="仿宋_GB2312"/>
          <w:b w:val="0"/>
          <w:bCs/>
          <w:snapToGrid w:val="0"/>
          <w:color w:val="000000"/>
          <w:kern w:val="0"/>
          <w:sz w:val="32"/>
          <w:szCs w:val="32"/>
        </w:rPr>
        <w:t>万元，支出决算为</w:t>
      </w:r>
      <w:r>
        <w:rPr>
          <w:rFonts w:hint="eastAsia" w:eastAsia="仿宋_GB2312"/>
          <w:b w:val="0"/>
          <w:bCs/>
          <w:snapToGrid w:val="0"/>
          <w:color w:val="000000"/>
          <w:kern w:val="0"/>
          <w:sz w:val="32"/>
          <w:szCs w:val="32"/>
          <w:lang w:val="en-US" w:eastAsia="zh-CN"/>
        </w:rPr>
        <w:t>97.5</w:t>
      </w:r>
      <w:r>
        <w:rPr>
          <w:rFonts w:eastAsia="仿宋_GB2312"/>
          <w:b w:val="0"/>
          <w:bCs/>
          <w:snapToGrid w:val="0"/>
          <w:color w:val="000000"/>
          <w:kern w:val="0"/>
          <w:sz w:val="32"/>
          <w:szCs w:val="32"/>
        </w:rPr>
        <w:t>万元，完成年初预算</w:t>
      </w:r>
      <w:r>
        <w:rPr>
          <w:rFonts w:hint="eastAsia" w:eastAsia="仿宋_GB2312"/>
          <w:b w:val="0"/>
          <w:bCs/>
          <w:snapToGrid w:val="0"/>
          <w:color w:val="000000"/>
          <w:kern w:val="0"/>
          <w:sz w:val="32"/>
          <w:szCs w:val="32"/>
          <w:lang w:val="en-US" w:eastAsia="zh-CN"/>
        </w:rPr>
        <w:t>98.46</w:t>
      </w:r>
      <w:r>
        <w:rPr>
          <w:rFonts w:eastAsia="仿宋_GB2312"/>
          <w:b w:val="0"/>
          <w:bCs/>
          <w:snapToGrid w:val="0"/>
          <w:color w:val="000000"/>
          <w:kern w:val="0"/>
          <w:sz w:val="32"/>
          <w:szCs w:val="32"/>
        </w:rPr>
        <w:t>%</w:t>
      </w:r>
      <w:r>
        <w:rPr>
          <w:rFonts w:hint="eastAsia" w:eastAsia="仿宋_GB2312"/>
          <w:b w:val="0"/>
          <w:bCs/>
          <w:snapToGrid w:val="0"/>
          <w:color w:val="000000"/>
          <w:kern w:val="0"/>
          <w:sz w:val="32"/>
          <w:szCs w:val="32"/>
          <w:lang w:eastAsia="zh-CN"/>
        </w:rPr>
        <w:t>，</w:t>
      </w:r>
      <w:r>
        <w:rPr>
          <w:rStyle w:val="14"/>
          <w:rFonts w:eastAsia="仿宋_GB2312"/>
          <w:b w:val="0"/>
          <w:bCs/>
          <w:snapToGrid w:val="0"/>
          <w:color w:val="000000"/>
          <w:kern w:val="0"/>
          <w:sz w:val="32"/>
          <w:szCs w:val="32"/>
          <w:highlight w:val="none"/>
        </w:rPr>
        <w:t>决算数小于预算数的主要原因是</w:t>
      </w:r>
      <w:r>
        <w:rPr>
          <w:rStyle w:val="14"/>
          <w:rFonts w:hint="eastAsia" w:eastAsia="仿宋_GB2312"/>
          <w:b w:val="0"/>
          <w:bCs/>
          <w:snapToGrid w:val="0"/>
          <w:color w:val="000000"/>
          <w:kern w:val="0"/>
          <w:sz w:val="32"/>
          <w:szCs w:val="32"/>
          <w:highlight w:val="none"/>
          <w:lang w:val="en-US" w:eastAsia="zh-CN"/>
        </w:rPr>
        <w:t>2020年中职招生人数减少</w:t>
      </w:r>
      <w:r>
        <w:rPr>
          <w:rFonts w:eastAsia="仿宋_GB2312"/>
          <w:b w:val="0"/>
          <w:bCs/>
          <w:snapToGrid w:val="0"/>
          <w:color w:val="000000"/>
          <w:kern w:val="0"/>
          <w:sz w:val="32"/>
          <w:szCs w:val="32"/>
          <w:highlight w:val="none"/>
        </w:rPr>
        <w:t>。</w:t>
      </w:r>
    </w:p>
    <w:p>
      <w:pPr>
        <w:overflowPunct w:val="0"/>
        <w:adjustRightInd w:val="0"/>
        <w:snapToGrid w:val="0"/>
        <w:spacing w:line="600" w:lineRule="exact"/>
        <w:ind w:firstLine="640" w:firstLineChars="200"/>
        <w:rPr>
          <w:rStyle w:val="14"/>
          <w:rFonts w:hint="eastAsia" w:eastAsia="仿宋_GB2312"/>
          <w:b w:val="0"/>
          <w:bCs/>
          <w:snapToGrid w:val="0"/>
          <w:color w:val="000000"/>
          <w:kern w:val="0"/>
          <w:sz w:val="32"/>
          <w:szCs w:val="32"/>
          <w:highlight w:val="none"/>
          <w:lang w:eastAsia="zh-CN"/>
        </w:rPr>
      </w:pPr>
      <w:r>
        <w:rPr>
          <w:rFonts w:hint="eastAsia" w:eastAsia="仿宋_GB2312"/>
          <w:b w:val="0"/>
          <w:bCs/>
          <w:snapToGrid w:val="0"/>
          <w:kern w:val="0"/>
          <w:sz w:val="32"/>
          <w:szCs w:val="32"/>
          <w:lang w:val="en-US" w:eastAsia="zh-CN"/>
        </w:rPr>
        <w:t>7</w:t>
      </w:r>
      <w:r>
        <w:rPr>
          <w:rStyle w:val="14"/>
          <w:rFonts w:eastAsia="仿宋_GB2312"/>
          <w:b w:val="0"/>
          <w:bCs/>
          <w:snapToGrid w:val="0"/>
          <w:color w:val="000000"/>
          <w:kern w:val="0"/>
          <w:sz w:val="32"/>
          <w:szCs w:val="32"/>
        </w:rPr>
        <w:t>．教育支出（类）职业教育（款）高等职业教育（项）：</w:t>
      </w:r>
      <w:r>
        <w:rPr>
          <w:rFonts w:eastAsia="仿宋_GB2312"/>
          <w:b w:val="0"/>
          <w:bCs/>
          <w:snapToGrid w:val="0"/>
          <w:color w:val="000000"/>
          <w:kern w:val="0"/>
          <w:sz w:val="32"/>
          <w:szCs w:val="32"/>
        </w:rPr>
        <w:t>年初预算为</w:t>
      </w:r>
      <w:r>
        <w:rPr>
          <w:rFonts w:hint="eastAsia" w:eastAsia="仿宋_GB2312"/>
          <w:b w:val="0"/>
          <w:bCs/>
          <w:snapToGrid w:val="0"/>
          <w:color w:val="000000"/>
          <w:kern w:val="0"/>
          <w:sz w:val="32"/>
          <w:szCs w:val="32"/>
          <w:lang w:val="en-US" w:eastAsia="zh-CN"/>
        </w:rPr>
        <w:t>13342.28</w:t>
      </w:r>
      <w:r>
        <w:rPr>
          <w:rFonts w:eastAsia="仿宋_GB2312"/>
          <w:b w:val="0"/>
          <w:bCs/>
          <w:snapToGrid w:val="0"/>
          <w:color w:val="000000"/>
          <w:kern w:val="0"/>
          <w:sz w:val="32"/>
          <w:szCs w:val="32"/>
        </w:rPr>
        <w:t>万元，支出决算为</w:t>
      </w:r>
      <w:r>
        <w:rPr>
          <w:rFonts w:hint="eastAsia" w:eastAsia="仿宋_GB2312"/>
          <w:b w:val="0"/>
          <w:bCs/>
          <w:snapToGrid w:val="0"/>
          <w:color w:val="000000"/>
          <w:kern w:val="0"/>
          <w:sz w:val="32"/>
          <w:szCs w:val="32"/>
          <w:lang w:val="en-US" w:eastAsia="zh-CN"/>
        </w:rPr>
        <w:t>11722.91</w:t>
      </w:r>
      <w:r>
        <w:rPr>
          <w:rFonts w:eastAsia="仿宋_GB2312"/>
          <w:b w:val="0"/>
          <w:bCs/>
          <w:snapToGrid w:val="0"/>
          <w:color w:val="000000"/>
          <w:kern w:val="0"/>
          <w:sz w:val="32"/>
          <w:szCs w:val="32"/>
        </w:rPr>
        <w:t>万元，完成年初预算</w:t>
      </w:r>
      <w:r>
        <w:rPr>
          <w:rFonts w:hint="eastAsia" w:eastAsia="仿宋_GB2312"/>
          <w:b w:val="0"/>
          <w:bCs/>
          <w:snapToGrid w:val="0"/>
          <w:color w:val="000000"/>
          <w:kern w:val="0"/>
          <w:sz w:val="32"/>
          <w:szCs w:val="32"/>
          <w:lang w:val="en-US" w:eastAsia="zh-CN"/>
        </w:rPr>
        <w:t>87.86</w:t>
      </w:r>
      <w:r>
        <w:rPr>
          <w:rFonts w:eastAsia="仿宋_GB2312"/>
          <w:b w:val="0"/>
          <w:bCs/>
          <w:snapToGrid w:val="0"/>
          <w:color w:val="000000"/>
          <w:kern w:val="0"/>
          <w:sz w:val="32"/>
          <w:szCs w:val="32"/>
        </w:rPr>
        <w:t>%</w:t>
      </w:r>
      <w:r>
        <w:rPr>
          <w:rFonts w:eastAsia="仿宋_GB2312"/>
          <w:b w:val="0"/>
          <w:bCs/>
          <w:snapToGrid w:val="0"/>
          <w:kern w:val="0"/>
          <w:sz w:val="32"/>
          <w:szCs w:val="32"/>
        </w:rPr>
        <w:t>。</w:t>
      </w:r>
      <w:r>
        <w:rPr>
          <w:rStyle w:val="14"/>
          <w:rFonts w:eastAsia="仿宋_GB2312"/>
          <w:b w:val="0"/>
          <w:bCs/>
          <w:snapToGrid w:val="0"/>
          <w:color w:val="000000"/>
          <w:kern w:val="0"/>
          <w:sz w:val="32"/>
          <w:szCs w:val="32"/>
          <w:highlight w:val="none"/>
        </w:rPr>
        <w:t>决算数小于预算数的主要原因是</w:t>
      </w:r>
      <w:r>
        <w:rPr>
          <w:rStyle w:val="14"/>
          <w:rFonts w:hint="eastAsia" w:eastAsia="仿宋_GB2312"/>
          <w:b w:val="0"/>
          <w:bCs/>
          <w:snapToGrid w:val="0"/>
          <w:color w:val="000000"/>
          <w:kern w:val="0"/>
          <w:sz w:val="32"/>
          <w:szCs w:val="32"/>
          <w:highlight w:val="none"/>
          <w:lang w:eastAsia="zh-CN"/>
        </w:rPr>
        <w:t>一是受新冠疫情影响，教学活动无法正常开展；二是政府采购项目</w:t>
      </w:r>
      <w:r>
        <w:rPr>
          <w:rStyle w:val="14"/>
          <w:rFonts w:eastAsia="仿宋_GB2312"/>
          <w:b w:val="0"/>
          <w:bCs/>
          <w:snapToGrid w:val="0"/>
          <w:color w:val="000000"/>
          <w:kern w:val="0"/>
          <w:sz w:val="32"/>
          <w:szCs w:val="32"/>
          <w:highlight w:val="none"/>
        </w:rPr>
        <w:t>资金</w:t>
      </w:r>
      <w:r>
        <w:rPr>
          <w:rStyle w:val="14"/>
          <w:rFonts w:hint="eastAsia" w:eastAsia="仿宋_GB2312"/>
          <w:b w:val="0"/>
          <w:bCs/>
          <w:snapToGrid w:val="0"/>
          <w:color w:val="000000"/>
          <w:kern w:val="0"/>
          <w:sz w:val="32"/>
          <w:szCs w:val="32"/>
          <w:highlight w:val="none"/>
          <w:lang w:eastAsia="zh-CN"/>
        </w:rPr>
        <w:t>按规定</w:t>
      </w:r>
      <w:r>
        <w:rPr>
          <w:rStyle w:val="14"/>
          <w:rFonts w:eastAsia="仿宋_GB2312"/>
          <w:b w:val="0"/>
          <w:bCs/>
          <w:snapToGrid w:val="0"/>
          <w:color w:val="000000"/>
          <w:kern w:val="0"/>
          <w:sz w:val="32"/>
          <w:szCs w:val="32"/>
          <w:highlight w:val="none"/>
        </w:rPr>
        <w:t>结转下年</w:t>
      </w:r>
      <w:r>
        <w:rPr>
          <w:rStyle w:val="14"/>
          <w:rFonts w:hint="eastAsia" w:eastAsia="仿宋_GB2312"/>
          <w:b w:val="0"/>
          <w:bCs/>
          <w:snapToGrid w:val="0"/>
          <w:color w:val="000000"/>
          <w:kern w:val="0"/>
          <w:sz w:val="32"/>
          <w:szCs w:val="32"/>
          <w:highlight w:val="none"/>
          <w:lang w:eastAsia="zh-CN"/>
        </w:rPr>
        <w:t>。</w:t>
      </w:r>
    </w:p>
    <w:p>
      <w:pPr>
        <w:overflowPunct w:val="0"/>
        <w:adjustRightInd w:val="0"/>
        <w:snapToGrid w:val="0"/>
        <w:spacing w:line="600" w:lineRule="exact"/>
        <w:ind w:firstLine="640" w:firstLineChars="200"/>
        <w:rPr>
          <w:rFonts w:hint="eastAsia" w:eastAsia="仿宋_GB2312"/>
          <w:b w:val="0"/>
          <w:bCs/>
          <w:snapToGrid w:val="0"/>
          <w:kern w:val="0"/>
          <w:sz w:val="32"/>
          <w:szCs w:val="32"/>
          <w:lang w:val="en-US" w:eastAsia="zh-CN"/>
        </w:rPr>
      </w:pPr>
      <w:r>
        <w:rPr>
          <w:rFonts w:hint="eastAsia" w:eastAsia="仿宋_GB2312"/>
          <w:b w:val="0"/>
          <w:bCs/>
          <w:snapToGrid w:val="0"/>
          <w:kern w:val="0"/>
          <w:sz w:val="32"/>
          <w:szCs w:val="32"/>
          <w:lang w:val="en-US" w:eastAsia="zh-CN"/>
        </w:rPr>
        <w:t>8</w:t>
      </w:r>
      <w:r>
        <w:rPr>
          <w:rStyle w:val="14"/>
          <w:rFonts w:eastAsia="仿宋_GB2312"/>
          <w:b w:val="0"/>
          <w:bCs/>
          <w:snapToGrid w:val="0"/>
          <w:color w:val="000000"/>
          <w:kern w:val="0"/>
          <w:sz w:val="32"/>
          <w:szCs w:val="32"/>
        </w:rPr>
        <w:t>．教育支出（类）进修及培训（款）培训支出（项）：</w:t>
      </w:r>
      <w:r>
        <w:rPr>
          <w:rFonts w:eastAsia="仿宋_GB2312"/>
          <w:b w:val="0"/>
          <w:bCs/>
          <w:snapToGrid w:val="0"/>
          <w:color w:val="000000"/>
          <w:kern w:val="0"/>
          <w:sz w:val="32"/>
          <w:szCs w:val="32"/>
        </w:rPr>
        <w:t>年初预算为</w:t>
      </w:r>
      <w:r>
        <w:rPr>
          <w:rFonts w:hint="eastAsia" w:eastAsia="仿宋_GB2312"/>
          <w:b w:val="0"/>
          <w:bCs/>
          <w:snapToGrid w:val="0"/>
          <w:color w:val="000000"/>
          <w:kern w:val="0"/>
          <w:sz w:val="32"/>
          <w:szCs w:val="32"/>
          <w:lang w:val="en-US" w:eastAsia="zh-CN"/>
        </w:rPr>
        <w:t>20.75</w:t>
      </w:r>
      <w:r>
        <w:rPr>
          <w:rFonts w:eastAsia="仿宋_GB2312"/>
          <w:b w:val="0"/>
          <w:bCs/>
          <w:snapToGrid w:val="0"/>
          <w:color w:val="000000"/>
          <w:kern w:val="0"/>
          <w:sz w:val="32"/>
          <w:szCs w:val="32"/>
        </w:rPr>
        <w:t>万元，支出决算为</w:t>
      </w:r>
      <w:r>
        <w:rPr>
          <w:rFonts w:hint="eastAsia" w:eastAsia="仿宋_GB2312"/>
          <w:b w:val="0"/>
          <w:bCs/>
          <w:snapToGrid w:val="0"/>
          <w:color w:val="000000"/>
          <w:kern w:val="0"/>
          <w:sz w:val="32"/>
          <w:szCs w:val="32"/>
          <w:lang w:val="en-US" w:eastAsia="zh-CN"/>
        </w:rPr>
        <w:t>4.15</w:t>
      </w:r>
      <w:r>
        <w:rPr>
          <w:rFonts w:eastAsia="仿宋_GB2312"/>
          <w:b w:val="0"/>
          <w:bCs/>
          <w:snapToGrid w:val="0"/>
          <w:color w:val="000000"/>
          <w:kern w:val="0"/>
          <w:sz w:val="32"/>
          <w:szCs w:val="32"/>
        </w:rPr>
        <w:t>万元，完成年初预算</w:t>
      </w:r>
      <w:r>
        <w:rPr>
          <w:rFonts w:hint="eastAsia" w:eastAsia="仿宋_GB2312"/>
          <w:b w:val="0"/>
          <w:bCs/>
          <w:snapToGrid w:val="0"/>
          <w:color w:val="000000"/>
          <w:kern w:val="0"/>
          <w:sz w:val="32"/>
          <w:szCs w:val="32"/>
          <w:lang w:val="en-US" w:eastAsia="zh-CN"/>
        </w:rPr>
        <w:t>20</w:t>
      </w:r>
      <w:r>
        <w:rPr>
          <w:rFonts w:eastAsia="仿宋_GB2312"/>
          <w:b w:val="0"/>
          <w:bCs/>
          <w:snapToGrid w:val="0"/>
          <w:color w:val="000000"/>
          <w:kern w:val="0"/>
          <w:sz w:val="32"/>
          <w:szCs w:val="32"/>
        </w:rPr>
        <w:t>%</w:t>
      </w:r>
      <w:r>
        <w:rPr>
          <w:rFonts w:eastAsia="仿宋_GB2312"/>
          <w:b w:val="0"/>
          <w:bCs/>
          <w:snapToGrid w:val="0"/>
          <w:kern w:val="0"/>
          <w:sz w:val="32"/>
          <w:szCs w:val="32"/>
        </w:rPr>
        <w:t>。</w:t>
      </w:r>
      <w:r>
        <w:rPr>
          <w:rStyle w:val="14"/>
          <w:rFonts w:eastAsia="仿宋_GB2312"/>
          <w:b w:val="0"/>
          <w:bCs/>
          <w:snapToGrid w:val="0"/>
          <w:color w:val="000000"/>
          <w:kern w:val="0"/>
          <w:sz w:val="32"/>
          <w:szCs w:val="32"/>
        </w:rPr>
        <w:t>决</w:t>
      </w:r>
      <w:r>
        <w:rPr>
          <w:rStyle w:val="14"/>
          <w:rFonts w:eastAsia="仿宋_GB2312"/>
          <w:b w:val="0"/>
          <w:bCs/>
          <w:snapToGrid w:val="0"/>
          <w:color w:val="000000"/>
          <w:kern w:val="0"/>
          <w:sz w:val="32"/>
          <w:szCs w:val="32"/>
          <w:highlight w:val="none"/>
        </w:rPr>
        <w:t>算数小于预算数的主要原因是</w:t>
      </w:r>
      <w:r>
        <w:rPr>
          <w:rFonts w:hint="eastAsia" w:eastAsia="仿宋_GB2312"/>
          <w:b w:val="0"/>
          <w:bCs/>
          <w:snapToGrid w:val="0"/>
          <w:kern w:val="0"/>
          <w:sz w:val="32"/>
          <w:szCs w:val="32"/>
          <w:highlight w:val="none"/>
          <w:lang w:val="en-US" w:eastAsia="zh-CN"/>
        </w:rPr>
        <w:t>财政压</w:t>
      </w:r>
      <w:r>
        <w:rPr>
          <w:rFonts w:hint="eastAsia" w:eastAsia="仿宋_GB2312"/>
          <w:b w:val="0"/>
          <w:bCs/>
          <w:snapToGrid w:val="0"/>
          <w:kern w:val="0"/>
          <w:sz w:val="32"/>
          <w:szCs w:val="32"/>
          <w:lang w:val="en-US" w:eastAsia="zh-CN"/>
        </w:rPr>
        <w:t>减</w:t>
      </w:r>
      <w:r>
        <w:rPr>
          <w:rStyle w:val="14"/>
          <w:rFonts w:eastAsia="仿宋_GB2312"/>
          <w:b w:val="0"/>
          <w:bCs/>
          <w:snapToGrid w:val="0"/>
          <w:color w:val="000000"/>
          <w:kern w:val="0"/>
          <w:sz w:val="32"/>
          <w:szCs w:val="32"/>
          <w:highlight w:val="none"/>
          <w:lang w:val="en-US" w:eastAsia="zh-CN"/>
        </w:rPr>
        <w:t>直属单位</w:t>
      </w:r>
      <w:r>
        <w:rPr>
          <w:rFonts w:hint="eastAsia" w:eastAsia="仿宋_GB2312"/>
          <w:b w:val="0"/>
          <w:bCs/>
          <w:snapToGrid w:val="0"/>
          <w:kern w:val="0"/>
          <w:sz w:val="32"/>
          <w:szCs w:val="32"/>
          <w:lang w:val="en-US" w:eastAsia="zh-CN"/>
        </w:rPr>
        <w:t>培训支出。</w:t>
      </w:r>
    </w:p>
    <w:p>
      <w:pPr>
        <w:overflowPunct w:val="0"/>
        <w:adjustRightInd w:val="0"/>
        <w:snapToGrid w:val="0"/>
        <w:spacing w:line="600" w:lineRule="exact"/>
        <w:ind w:firstLine="640" w:firstLineChars="200"/>
        <w:rPr>
          <w:rFonts w:eastAsia="仿宋_GB2312"/>
          <w:b w:val="0"/>
          <w:bCs/>
          <w:snapToGrid w:val="0"/>
          <w:kern w:val="0"/>
          <w:sz w:val="32"/>
          <w:szCs w:val="32"/>
        </w:rPr>
      </w:pPr>
      <w:r>
        <w:rPr>
          <w:rFonts w:hint="eastAsia" w:eastAsia="仿宋_GB2312"/>
          <w:b w:val="0"/>
          <w:bCs/>
          <w:snapToGrid w:val="0"/>
          <w:kern w:val="0"/>
          <w:sz w:val="32"/>
          <w:szCs w:val="32"/>
          <w:lang w:val="en-US" w:eastAsia="zh-CN"/>
        </w:rPr>
        <w:t>9</w:t>
      </w:r>
      <w:r>
        <w:rPr>
          <w:rStyle w:val="14"/>
          <w:rFonts w:eastAsia="仿宋_GB2312"/>
          <w:b w:val="0"/>
          <w:bCs/>
          <w:snapToGrid w:val="0"/>
          <w:color w:val="000000"/>
          <w:kern w:val="0"/>
          <w:sz w:val="32"/>
          <w:szCs w:val="32"/>
        </w:rPr>
        <w:t>．文化体育与传媒支出（类）新闻出版</w:t>
      </w:r>
      <w:r>
        <w:rPr>
          <w:rStyle w:val="14"/>
          <w:rFonts w:hint="eastAsia" w:eastAsia="仿宋_GB2312"/>
          <w:b w:val="0"/>
          <w:bCs/>
          <w:snapToGrid w:val="0"/>
          <w:color w:val="000000"/>
          <w:kern w:val="0"/>
          <w:sz w:val="32"/>
          <w:szCs w:val="32"/>
          <w:lang w:eastAsia="zh-CN"/>
        </w:rPr>
        <w:t>电影</w:t>
      </w:r>
      <w:r>
        <w:rPr>
          <w:rStyle w:val="14"/>
          <w:rFonts w:eastAsia="仿宋_GB2312"/>
          <w:b w:val="0"/>
          <w:bCs/>
          <w:snapToGrid w:val="0"/>
          <w:color w:val="000000"/>
          <w:kern w:val="0"/>
          <w:sz w:val="32"/>
          <w:szCs w:val="32"/>
        </w:rPr>
        <w:t>（款）</w:t>
      </w:r>
      <w:r>
        <w:rPr>
          <w:rStyle w:val="14"/>
          <w:rFonts w:hint="eastAsia" w:eastAsia="仿宋_GB2312"/>
          <w:b w:val="0"/>
          <w:bCs/>
          <w:snapToGrid w:val="0"/>
          <w:color w:val="000000"/>
          <w:kern w:val="0"/>
          <w:sz w:val="32"/>
          <w:szCs w:val="32"/>
          <w:lang w:eastAsia="zh-CN"/>
        </w:rPr>
        <w:t>一般行政管理事务（</w:t>
      </w:r>
      <w:r>
        <w:rPr>
          <w:rStyle w:val="14"/>
          <w:rFonts w:eastAsia="仿宋_GB2312"/>
          <w:b w:val="0"/>
          <w:bCs/>
          <w:snapToGrid w:val="0"/>
          <w:color w:val="000000"/>
          <w:kern w:val="0"/>
          <w:sz w:val="32"/>
          <w:szCs w:val="32"/>
        </w:rPr>
        <w:t>项）</w:t>
      </w:r>
      <w:r>
        <w:rPr>
          <w:rStyle w:val="14"/>
          <w:rFonts w:hint="eastAsia" w:eastAsia="仿宋_GB2312"/>
          <w:b w:val="0"/>
          <w:bCs/>
          <w:snapToGrid w:val="0"/>
          <w:color w:val="000000"/>
          <w:kern w:val="0"/>
          <w:sz w:val="32"/>
          <w:szCs w:val="32"/>
        </w:rPr>
        <w:t>：</w:t>
      </w:r>
      <w:r>
        <w:rPr>
          <w:rFonts w:eastAsia="仿宋_GB2312"/>
          <w:b w:val="0"/>
          <w:bCs/>
          <w:snapToGrid w:val="0"/>
          <w:color w:val="000000"/>
          <w:kern w:val="0"/>
          <w:sz w:val="32"/>
          <w:szCs w:val="32"/>
        </w:rPr>
        <w:t>年初预算为</w:t>
      </w:r>
      <w:r>
        <w:rPr>
          <w:rFonts w:hint="eastAsia" w:eastAsia="仿宋_GB2312"/>
          <w:b w:val="0"/>
          <w:bCs/>
          <w:snapToGrid w:val="0"/>
          <w:color w:val="000000"/>
          <w:kern w:val="0"/>
          <w:sz w:val="32"/>
          <w:szCs w:val="32"/>
          <w:lang w:val="en-US" w:eastAsia="zh-CN"/>
        </w:rPr>
        <w:t>60</w:t>
      </w:r>
      <w:r>
        <w:rPr>
          <w:rFonts w:eastAsia="仿宋_GB2312"/>
          <w:b w:val="0"/>
          <w:bCs/>
          <w:snapToGrid w:val="0"/>
          <w:color w:val="000000"/>
          <w:kern w:val="0"/>
          <w:sz w:val="32"/>
          <w:szCs w:val="32"/>
        </w:rPr>
        <w:t>万元，支出决算为</w:t>
      </w:r>
      <w:r>
        <w:rPr>
          <w:rFonts w:hint="eastAsia" w:eastAsia="仿宋_GB2312"/>
          <w:b w:val="0"/>
          <w:bCs/>
          <w:snapToGrid w:val="0"/>
          <w:color w:val="000000"/>
          <w:kern w:val="0"/>
          <w:sz w:val="32"/>
          <w:szCs w:val="32"/>
          <w:lang w:val="en-US" w:eastAsia="zh-CN"/>
        </w:rPr>
        <w:t>60</w:t>
      </w:r>
      <w:r>
        <w:rPr>
          <w:rFonts w:eastAsia="仿宋_GB2312"/>
          <w:b w:val="0"/>
          <w:bCs/>
          <w:snapToGrid w:val="0"/>
          <w:color w:val="000000"/>
          <w:kern w:val="0"/>
          <w:sz w:val="32"/>
          <w:szCs w:val="32"/>
        </w:rPr>
        <w:t>万元，完成年初预算</w:t>
      </w:r>
      <w:r>
        <w:rPr>
          <w:rFonts w:hint="eastAsia" w:eastAsia="仿宋_GB2312"/>
          <w:b w:val="0"/>
          <w:bCs/>
          <w:snapToGrid w:val="0"/>
          <w:color w:val="000000"/>
          <w:kern w:val="0"/>
          <w:sz w:val="32"/>
          <w:szCs w:val="32"/>
          <w:lang w:val="en-US" w:eastAsia="zh-CN"/>
        </w:rPr>
        <w:t>100</w:t>
      </w:r>
      <w:r>
        <w:rPr>
          <w:rFonts w:eastAsia="仿宋_GB2312"/>
          <w:b w:val="0"/>
          <w:bCs/>
          <w:snapToGrid w:val="0"/>
          <w:color w:val="000000"/>
          <w:kern w:val="0"/>
          <w:sz w:val="32"/>
          <w:szCs w:val="32"/>
        </w:rPr>
        <w:t>%</w:t>
      </w:r>
      <w:r>
        <w:rPr>
          <w:rFonts w:eastAsia="仿宋_GB2312"/>
          <w:b w:val="0"/>
          <w:bCs/>
          <w:snapToGrid w:val="0"/>
          <w:kern w:val="0"/>
          <w:sz w:val="32"/>
          <w:szCs w:val="32"/>
        </w:rPr>
        <w:t>。</w:t>
      </w:r>
    </w:p>
    <w:p>
      <w:pPr>
        <w:overflowPunct w:val="0"/>
        <w:adjustRightInd w:val="0"/>
        <w:snapToGrid w:val="0"/>
        <w:spacing w:line="600" w:lineRule="exact"/>
        <w:ind w:firstLine="640" w:firstLineChars="200"/>
        <w:rPr>
          <w:rStyle w:val="14"/>
          <w:rFonts w:hint="eastAsia" w:ascii="Calibri" w:hAnsi="Calibri" w:eastAsia="仿宋_GB2312"/>
          <w:b w:val="0"/>
          <w:bCs/>
          <w:snapToGrid w:val="0"/>
          <w:color w:val="000000"/>
          <w:kern w:val="0"/>
          <w:sz w:val="32"/>
          <w:szCs w:val="32"/>
          <w:highlight w:val="none"/>
          <w:lang w:val="zh-CN"/>
        </w:rPr>
      </w:pPr>
      <w:r>
        <w:rPr>
          <w:rFonts w:hint="eastAsia" w:eastAsia="仿宋_GB2312"/>
          <w:b w:val="0"/>
          <w:bCs/>
          <w:snapToGrid w:val="0"/>
          <w:kern w:val="0"/>
          <w:sz w:val="32"/>
          <w:szCs w:val="32"/>
          <w:lang w:val="en-US" w:eastAsia="zh-CN"/>
        </w:rPr>
        <w:t>10</w:t>
      </w:r>
      <w:r>
        <w:rPr>
          <w:rStyle w:val="14"/>
          <w:rFonts w:eastAsia="仿宋_GB2312"/>
          <w:b w:val="0"/>
          <w:bCs/>
          <w:snapToGrid w:val="0"/>
          <w:color w:val="000000"/>
          <w:kern w:val="0"/>
          <w:sz w:val="32"/>
          <w:szCs w:val="32"/>
        </w:rPr>
        <w:t>．文化体育与传媒支出（类）其他文化体育与传媒支出（款）</w:t>
      </w:r>
      <w:r>
        <w:rPr>
          <w:rStyle w:val="14"/>
          <w:rFonts w:hint="eastAsia" w:eastAsia="仿宋_GB2312"/>
          <w:b w:val="0"/>
          <w:bCs/>
          <w:snapToGrid w:val="0"/>
          <w:color w:val="000000"/>
          <w:kern w:val="0"/>
          <w:sz w:val="32"/>
          <w:szCs w:val="32"/>
          <w:lang w:eastAsia="zh-CN"/>
        </w:rPr>
        <w:t>宣传文化发展专项支出</w:t>
      </w:r>
      <w:r>
        <w:rPr>
          <w:rStyle w:val="14"/>
          <w:rFonts w:eastAsia="仿宋_GB2312"/>
          <w:b w:val="0"/>
          <w:bCs/>
          <w:snapToGrid w:val="0"/>
          <w:color w:val="000000"/>
          <w:kern w:val="0"/>
          <w:sz w:val="32"/>
          <w:szCs w:val="32"/>
        </w:rPr>
        <w:t>（项）：</w:t>
      </w:r>
      <w:r>
        <w:rPr>
          <w:rFonts w:eastAsia="仿宋_GB2312"/>
          <w:b w:val="0"/>
          <w:bCs/>
          <w:snapToGrid w:val="0"/>
          <w:color w:val="000000"/>
          <w:kern w:val="0"/>
          <w:sz w:val="32"/>
          <w:szCs w:val="32"/>
        </w:rPr>
        <w:t>年初预算为</w:t>
      </w:r>
      <w:r>
        <w:rPr>
          <w:rFonts w:hint="eastAsia" w:eastAsia="仿宋_GB2312"/>
          <w:b w:val="0"/>
          <w:bCs/>
          <w:snapToGrid w:val="0"/>
          <w:color w:val="000000"/>
          <w:kern w:val="0"/>
          <w:sz w:val="32"/>
          <w:szCs w:val="32"/>
          <w:lang w:val="en-US" w:eastAsia="zh-CN"/>
        </w:rPr>
        <w:t>9516.30</w:t>
      </w:r>
      <w:r>
        <w:rPr>
          <w:rFonts w:eastAsia="仿宋_GB2312"/>
          <w:b w:val="0"/>
          <w:bCs/>
          <w:snapToGrid w:val="0"/>
          <w:color w:val="000000"/>
          <w:kern w:val="0"/>
          <w:sz w:val="32"/>
          <w:szCs w:val="32"/>
        </w:rPr>
        <w:t>万元，支出决算为</w:t>
      </w:r>
      <w:r>
        <w:rPr>
          <w:rFonts w:hint="eastAsia" w:eastAsia="仿宋_GB2312"/>
          <w:b w:val="0"/>
          <w:bCs/>
          <w:snapToGrid w:val="0"/>
          <w:color w:val="000000"/>
          <w:kern w:val="0"/>
          <w:sz w:val="32"/>
          <w:szCs w:val="32"/>
          <w:lang w:val="en-US" w:eastAsia="zh-CN"/>
        </w:rPr>
        <w:t>9145.29</w:t>
      </w:r>
      <w:r>
        <w:rPr>
          <w:rFonts w:eastAsia="仿宋_GB2312"/>
          <w:b w:val="0"/>
          <w:bCs/>
          <w:snapToGrid w:val="0"/>
          <w:color w:val="000000"/>
          <w:kern w:val="0"/>
          <w:sz w:val="32"/>
          <w:szCs w:val="32"/>
        </w:rPr>
        <w:t>万元，完成年初预算</w:t>
      </w:r>
      <w:r>
        <w:rPr>
          <w:rFonts w:hint="eastAsia" w:eastAsia="仿宋_GB2312"/>
          <w:b w:val="0"/>
          <w:bCs/>
          <w:snapToGrid w:val="0"/>
          <w:color w:val="000000"/>
          <w:kern w:val="0"/>
          <w:sz w:val="32"/>
          <w:szCs w:val="32"/>
          <w:lang w:val="en-US" w:eastAsia="zh-CN"/>
        </w:rPr>
        <w:t>96.10</w:t>
      </w:r>
      <w:r>
        <w:rPr>
          <w:rFonts w:eastAsia="仿宋_GB2312"/>
          <w:b w:val="0"/>
          <w:bCs/>
          <w:snapToGrid w:val="0"/>
          <w:color w:val="000000"/>
          <w:kern w:val="0"/>
          <w:sz w:val="32"/>
          <w:szCs w:val="32"/>
        </w:rPr>
        <w:t>%</w:t>
      </w:r>
      <w:r>
        <w:rPr>
          <w:rFonts w:eastAsia="仿宋_GB2312"/>
          <w:b w:val="0"/>
          <w:bCs/>
          <w:snapToGrid w:val="0"/>
          <w:kern w:val="0"/>
          <w:sz w:val="32"/>
          <w:szCs w:val="32"/>
        </w:rPr>
        <w:t>。</w:t>
      </w:r>
      <w:r>
        <w:rPr>
          <w:rStyle w:val="14"/>
          <w:rFonts w:eastAsia="仿宋_GB2312"/>
          <w:b w:val="0"/>
          <w:bCs/>
          <w:snapToGrid w:val="0"/>
          <w:color w:val="000000"/>
          <w:kern w:val="0"/>
          <w:sz w:val="32"/>
          <w:szCs w:val="32"/>
        </w:rPr>
        <w:t>决算数小于预算数的主要原因</w:t>
      </w:r>
      <w:r>
        <w:rPr>
          <w:rStyle w:val="14"/>
          <w:rFonts w:hint="eastAsia" w:ascii="Calibri" w:hAnsi="Calibri" w:eastAsia="仿宋_GB2312"/>
          <w:b w:val="0"/>
          <w:bCs/>
          <w:snapToGrid w:val="0"/>
          <w:color w:val="000000"/>
          <w:kern w:val="0"/>
          <w:sz w:val="32"/>
          <w:szCs w:val="32"/>
          <w:highlight w:val="none"/>
          <w:lang w:val="zh-CN"/>
        </w:rPr>
        <w:t>落实中央和省委省政府关于过紧日子的要求及疫情影响。</w:t>
      </w:r>
    </w:p>
    <w:p>
      <w:pPr>
        <w:overflowPunct w:val="0"/>
        <w:adjustRightInd w:val="0"/>
        <w:snapToGrid w:val="0"/>
        <w:spacing w:line="600" w:lineRule="exact"/>
        <w:ind w:firstLine="640" w:firstLineChars="200"/>
        <w:rPr>
          <w:rStyle w:val="14"/>
          <w:rFonts w:hint="eastAsia" w:ascii="Calibri" w:hAnsi="Calibri" w:eastAsia="仿宋_GB2312"/>
          <w:b w:val="0"/>
          <w:bCs/>
          <w:snapToGrid w:val="0"/>
          <w:color w:val="000000"/>
          <w:kern w:val="0"/>
          <w:sz w:val="32"/>
          <w:szCs w:val="32"/>
          <w:highlight w:val="none"/>
          <w:lang w:val="zh-CN"/>
        </w:rPr>
      </w:pPr>
      <w:r>
        <w:rPr>
          <w:rFonts w:eastAsia="仿宋_GB2312"/>
          <w:b w:val="0"/>
          <w:bCs/>
          <w:snapToGrid w:val="0"/>
          <w:kern w:val="0"/>
          <w:sz w:val="32"/>
          <w:szCs w:val="32"/>
        </w:rPr>
        <w:t>1</w:t>
      </w:r>
      <w:r>
        <w:rPr>
          <w:rFonts w:hint="eastAsia" w:eastAsia="仿宋_GB2312"/>
          <w:b w:val="0"/>
          <w:bCs/>
          <w:snapToGrid w:val="0"/>
          <w:kern w:val="0"/>
          <w:sz w:val="32"/>
          <w:szCs w:val="32"/>
          <w:lang w:val="en-US" w:eastAsia="zh-CN"/>
        </w:rPr>
        <w:t>1</w:t>
      </w:r>
      <w:r>
        <w:rPr>
          <w:rStyle w:val="14"/>
          <w:rFonts w:eastAsia="仿宋_GB2312"/>
          <w:b w:val="0"/>
          <w:bCs/>
          <w:snapToGrid w:val="0"/>
          <w:color w:val="000000"/>
          <w:kern w:val="0"/>
          <w:sz w:val="32"/>
          <w:szCs w:val="32"/>
        </w:rPr>
        <w:t>．文化体育与传媒支出（类）其他文化体育与传媒支出（款）</w:t>
      </w:r>
      <w:r>
        <w:rPr>
          <w:rStyle w:val="14"/>
          <w:rFonts w:hint="eastAsia" w:eastAsia="仿宋_GB2312"/>
          <w:b w:val="0"/>
          <w:bCs/>
          <w:snapToGrid w:val="0"/>
          <w:color w:val="000000"/>
          <w:kern w:val="0"/>
          <w:sz w:val="32"/>
          <w:szCs w:val="32"/>
          <w:lang w:eastAsia="zh-CN"/>
        </w:rPr>
        <w:t>文化产业发展专项支出</w:t>
      </w:r>
      <w:r>
        <w:rPr>
          <w:rStyle w:val="14"/>
          <w:rFonts w:eastAsia="仿宋_GB2312"/>
          <w:b w:val="0"/>
          <w:bCs/>
          <w:snapToGrid w:val="0"/>
          <w:color w:val="000000"/>
          <w:kern w:val="0"/>
          <w:sz w:val="32"/>
          <w:szCs w:val="32"/>
        </w:rPr>
        <w:t>（项）：</w:t>
      </w:r>
      <w:r>
        <w:rPr>
          <w:rFonts w:eastAsia="仿宋_GB2312"/>
          <w:b w:val="0"/>
          <w:bCs/>
          <w:snapToGrid w:val="0"/>
          <w:color w:val="000000"/>
          <w:kern w:val="0"/>
          <w:sz w:val="32"/>
          <w:szCs w:val="32"/>
        </w:rPr>
        <w:t>年初预算为</w:t>
      </w:r>
      <w:r>
        <w:rPr>
          <w:rFonts w:hint="eastAsia" w:eastAsia="仿宋_GB2312"/>
          <w:b w:val="0"/>
          <w:bCs/>
          <w:snapToGrid w:val="0"/>
          <w:color w:val="000000"/>
          <w:kern w:val="0"/>
          <w:sz w:val="32"/>
          <w:szCs w:val="32"/>
          <w:lang w:val="en-US" w:eastAsia="zh-CN"/>
        </w:rPr>
        <w:t>239</w:t>
      </w:r>
      <w:r>
        <w:rPr>
          <w:rFonts w:eastAsia="仿宋_GB2312"/>
          <w:b w:val="0"/>
          <w:bCs/>
          <w:snapToGrid w:val="0"/>
          <w:color w:val="000000"/>
          <w:kern w:val="0"/>
          <w:sz w:val="32"/>
          <w:szCs w:val="32"/>
        </w:rPr>
        <w:t>万元，支出决算为</w:t>
      </w:r>
      <w:r>
        <w:rPr>
          <w:rFonts w:hint="eastAsia" w:eastAsia="仿宋_GB2312"/>
          <w:b w:val="0"/>
          <w:bCs/>
          <w:snapToGrid w:val="0"/>
          <w:color w:val="000000"/>
          <w:kern w:val="0"/>
          <w:sz w:val="32"/>
          <w:szCs w:val="32"/>
          <w:lang w:val="en-US" w:eastAsia="zh-CN"/>
        </w:rPr>
        <w:t>197.08</w:t>
      </w:r>
      <w:r>
        <w:rPr>
          <w:rFonts w:eastAsia="仿宋_GB2312"/>
          <w:b w:val="0"/>
          <w:bCs/>
          <w:snapToGrid w:val="0"/>
          <w:color w:val="000000"/>
          <w:kern w:val="0"/>
          <w:sz w:val="32"/>
          <w:szCs w:val="32"/>
        </w:rPr>
        <w:t>万元，完成年初预算</w:t>
      </w:r>
      <w:r>
        <w:rPr>
          <w:rFonts w:hint="eastAsia" w:eastAsia="仿宋_GB2312"/>
          <w:b w:val="0"/>
          <w:bCs/>
          <w:snapToGrid w:val="0"/>
          <w:color w:val="000000"/>
          <w:kern w:val="0"/>
          <w:sz w:val="32"/>
          <w:szCs w:val="32"/>
          <w:lang w:val="en-US" w:eastAsia="zh-CN"/>
        </w:rPr>
        <w:t>82.46</w:t>
      </w:r>
      <w:r>
        <w:rPr>
          <w:rFonts w:eastAsia="仿宋_GB2312"/>
          <w:b w:val="0"/>
          <w:bCs/>
          <w:snapToGrid w:val="0"/>
          <w:color w:val="000000"/>
          <w:kern w:val="0"/>
          <w:sz w:val="32"/>
          <w:szCs w:val="32"/>
        </w:rPr>
        <w:t>%</w:t>
      </w:r>
      <w:r>
        <w:rPr>
          <w:rFonts w:eastAsia="仿宋_GB2312"/>
          <w:b w:val="0"/>
          <w:bCs/>
          <w:snapToGrid w:val="0"/>
          <w:kern w:val="0"/>
          <w:sz w:val="32"/>
          <w:szCs w:val="32"/>
        </w:rPr>
        <w:t>。</w:t>
      </w:r>
      <w:r>
        <w:rPr>
          <w:rStyle w:val="14"/>
          <w:rFonts w:eastAsia="仿宋_GB2312"/>
          <w:b w:val="0"/>
          <w:bCs/>
          <w:snapToGrid w:val="0"/>
          <w:color w:val="000000"/>
          <w:kern w:val="0"/>
          <w:sz w:val="32"/>
          <w:szCs w:val="32"/>
        </w:rPr>
        <w:t>决算数小于预算数的主要</w:t>
      </w:r>
      <w:r>
        <w:rPr>
          <w:rStyle w:val="14"/>
          <w:rFonts w:eastAsia="仿宋_GB2312"/>
          <w:b w:val="0"/>
          <w:bCs/>
          <w:snapToGrid w:val="0"/>
          <w:color w:val="000000"/>
          <w:kern w:val="0"/>
          <w:sz w:val="32"/>
          <w:szCs w:val="32"/>
          <w:highlight w:val="none"/>
        </w:rPr>
        <w:t>原因是</w:t>
      </w:r>
      <w:r>
        <w:rPr>
          <w:rStyle w:val="14"/>
          <w:rFonts w:hint="eastAsia" w:ascii="Calibri" w:hAnsi="Calibri" w:eastAsia="仿宋_GB2312"/>
          <w:b w:val="0"/>
          <w:bCs/>
          <w:snapToGrid w:val="0"/>
          <w:color w:val="000000"/>
          <w:kern w:val="0"/>
          <w:sz w:val="32"/>
          <w:szCs w:val="32"/>
          <w:highlight w:val="none"/>
          <w:lang w:val="zh-CN"/>
        </w:rPr>
        <w:t>落实中央和省委省政府关于过紧日子的要求及疫情影响。</w:t>
      </w:r>
    </w:p>
    <w:p>
      <w:pPr>
        <w:overflowPunct w:val="0"/>
        <w:adjustRightInd w:val="0"/>
        <w:snapToGrid w:val="0"/>
        <w:spacing w:line="600" w:lineRule="exact"/>
        <w:ind w:firstLine="640" w:firstLineChars="200"/>
        <w:rPr>
          <w:rStyle w:val="14"/>
          <w:rFonts w:hint="eastAsia" w:eastAsia="仿宋_GB2312"/>
          <w:b w:val="0"/>
          <w:bCs/>
          <w:snapToGrid w:val="0"/>
          <w:color w:val="auto"/>
          <w:kern w:val="0"/>
          <w:sz w:val="32"/>
          <w:szCs w:val="32"/>
          <w:highlight w:val="none"/>
          <w:lang w:eastAsia="zh-CN"/>
        </w:rPr>
      </w:pPr>
      <w:r>
        <w:rPr>
          <w:rFonts w:eastAsia="仿宋_GB2312"/>
          <w:b w:val="0"/>
          <w:bCs/>
          <w:snapToGrid w:val="0"/>
          <w:kern w:val="0"/>
          <w:sz w:val="32"/>
          <w:szCs w:val="32"/>
        </w:rPr>
        <w:t>1</w:t>
      </w:r>
      <w:r>
        <w:rPr>
          <w:rFonts w:hint="eastAsia" w:eastAsia="仿宋_GB2312"/>
          <w:b w:val="0"/>
          <w:bCs/>
          <w:snapToGrid w:val="0"/>
          <w:kern w:val="0"/>
          <w:sz w:val="32"/>
          <w:szCs w:val="32"/>
          <w:lang w:val="en-US" w:eastAsia="zh-CN"/>
        </w:rPr>
        <w:t>2</w:t>
      </w:r>
      <w:r>
        <w:rPr>
          <w:rStyle w:val="14"/>
          <w:rFonts w:eastAsia="仿宋_GB2312"/>
          <w:b w:val="0"/>
          <w:bCs/>
          <w:snapToGrid w:val="0"/>
          <w:color w:val="000000"/>
          <w:kern w:val="0"/>
          <w:sz w:val="32"/>
          <w:szCs w:val="32"/>
        </w:rPr>
        <w:t>．文化体育与传媒支出（类）其他文化体育与传媒支出（款）</w:t>
      </w:r>
      <w:r>
        <w:rPr>
          <w:rStyle w:val="14"/>
          <w:rFonts w:hint="eastAsia" w:eastAsia="仿宋_GB2312"/>
          <w:b w:val="0"/>
          <w:bCs/>
          <w:snapToGrid w:val="0"/>
          <w:color w:val="000000"/>
          <w:kern w:val="0"/>
          <w:sz w:val="32"/>
          <w:szCs w:val="32"/>
          <w:lang w:eastAsia="zh-CN"/>
        </w:rPr>
        <w:t>其他文化体育与传媒支出</w:t>
      </w:r>
      <w:r>
        <w:rPr>
          <w:rStyle w:val="14"/>
          <w:rFonts w:eastAsia="仿宋_GB2312"/>
          <w:b w:val="0"/>
          <w:bCs/>
          <w:snapToGrid w:val="0"/>
          <w:color w:val="000000"/>
          <w:kern w:val="0"/>
          <w:sz w:val="32"/>
          <w:szCs w:val="32"/>
        </w:rPr>
        <w:t>（项）：</w:t>
      </w:r>
      <w:r>
        <w:rPr>
          <w:rFonts w:eastAsia="仿宋_GB2312"/>
          <w:b w:val="0"/>
          <w:bCs/>
          <w:snapToGrid w:val="0"/>
          <w:color w:val="000000"/>
          <w:kern w:val="0"/>
          <w:sz w:val="32"/>
          <w:szCs w:val="32"/>
        </w:rPr>
        <w:t>年初预算为</w:t>
      </w:r>
      <w:r>
        <w:rPr>
          <w:rFonts w:hint="eastAsia" w:eastAsia="仿宋_GB2312"/>
          <w:b w:val="0"/>
          <w:bCs/>
          <w:snapToGrid w:val="0"/>
          <w:color w:val="000000"/>
          <w:kern w:val="0"/>
          <w:sz w:val="32"/>
          <w:szCs w:val="32"/>
          <w:lang w:val="en-US" w:eastAsia="zh-CN"/>
        </w:rPr>
        <w:t>970.79</w:t>
      </w:r>
      <w:r>
        <w:rPr>
          <w:rFonts w:eastAsia="仿宋_GB2312"/>
          <w:b w:val="0"/>
          <w:bCs/>
          <w:snapToGrid w:val="0"/>
          <w:color w:val="000000"/>
          <w:kern w:val="0"/>
          <w:sz w:val="32"/>
          <w:szCs w:val="32"/>
        </w:rPr>
        <w:t>万元，支出决算为</w:t>
      </w:r>
      <w:r>
        <w:rPr>
          <w:rFonts w:hint="eastAsia" w:eastAsia="仿宋_GB2312"/>
          <w:b w:val="0"/>
          <w:bCs/>
          <w:snapToGrid w:val="0"/>
          <w:color w:val="000000"/>
          <w:kern w:val="0"/>
          <w:sz w:val="32"/>
          <w:szCs w:val="32"/>
          <w:lang w:val="en-US" w:eastAsia="zh-CN"/>
        </w:rPr>
        <w:t>843.42</w:t>
      </w:r>
      <w:r>
        <w:rPr>
          <w:rFonts w:eastAsia="仿宋_GB2312"/>
          <w:b w:val="0"/>
          <w:bCs/>
          <w:snapToGrid w:val="0"/>
          <w:color w:val="000000"/>
          <w:kern w:val="0"/>
          <w:sz w:val="32"/>
          <w:szCs w:val="32"/>
        </w:rPr>
        <w:t>万元，完成年初预算</w:t>
      </w:r>
      <w:r>
        <w:rPr>
          <w:rFonts w:hint="eastAsia" w:eastAsia="仿宋_GB2312"/>
          <w:b w:val="0"/>
          <w:bCs/>
          <w:snapToGrid w:val="0"/>
          <w:color w:val="000000"/>
          <w:kern w:val="0"/>
          <w:sz w:val="32"/>
          <w:szCs w:val="32"/>
          <w:lang w:val="en-US" w:eastAsia="zh-CN"/>
        </w:rPr>
        <w:t>86.88</w:t>
      </w:r>
      <w:r>
        <w:rPr>
          <w:rFonts w:eastAsia="仿宋_GB2312"/>
          <w:b w:val="0"/>
          <w:bCs/>
          <w:snapToGrid w:val="0"/>
          <w:color w:val="000000"/>
          <w:kern w:val="0"/>
          <w:sz w:val="32"/>
          <w:szCs w:val="32"/>
        </w:rPr>
        <w:t>%</w:t>
      </w:r>
      <w:r>
        <w:rPr>
          <w:rFonts w:eastAsia="仿宋_GB2312"/>
          <w:b w:val="0"/>
          <w:bCs/>
          <w:snapToGrid w:val="0"/>
          <w:kern w:val="0"/>
          <w:sz w:val="32"/>
          <w:szCs w:val="32"/>
        </w:rPr>
        <w:t>。</w:t>
      </w:r>
      <w:r>
        <w:rPr>
          <w:rStyle w:val="14"/>
          <w:rFonts w:eastAsia="仿宋_GB2312"/>
          <w:b w:val="0"/>
          <w:bCs/>
          <w:snapToGrid w:val="0"/>
          <w:color w:val="000000"/>
          <w:kern w:val="0"/>
          <w:sz w:val="32"/>
          <w:szCs w:val="32"/>
        </w:rPr>
        <w:t>决算数小于预算</w:t>
      </w:r>
      <w:r>
        <w:rPr>
          <w:rStyle w:val="14"/>
          <w:rFonts w:eastAsia="仿宋_GB2312"/>
          <w:b w:val="0"/>
          <w:bCs/>
          <w:snapToGrid w:val="0"/>
          <w:color w:val="000000"/>
          <w:kern w:val="0"/>
          <w:sz w:val="32"/>
          <w:szCs w:val="32"/>
          <w:highlight w:val="none"/>
        </w:rPr>
        <w:t>数的主要原因是直属单位</w:t>
      </w:r>
      <w:r>
        <w:rPr>
          <w:rStyle w:val="14"/>
          <w:rFonts w:hint="eastAsia" w:eastAsia="仿宋_GB2312"/>
          <w:b w:val="0"/>
          <w:bCs/>
          <w:snapToGrid w:val="0"/>
          <w:color w:val="000000"/>
          <w:kern w:val="0"/>
          <w:sz w:val="32"/>
          <w:szCs w:val="32"/>
          <w:highlight w:val="none"/>
          <w:lang w:eastAsia="zh-CN"/>
        </w:rPr>
        <w:t>跨年</w:t>
      </w:r>
      <w:r>
        <w:rPr>
          <w:rStyle w:val="14"/>
          <w:rFonts w:eastAsia="仿宋_GB2312"/>
          <w:b w:val="0"/>
          <w:bCs/>
          <w:snapToGrid w:val="0"/>
          <w:color w:val="000000"/>
          <w:kern w:val="0"/>
          <w:sz w:val="32"/>
          <w:szCs w:val="32"/>
          <w:highlight w:val="none"/>
          <w:lang w:eastAsia="zh-CN"/>
        </w:rPr>
        <w:t>政采</w:t>
      </w:r>
      <w:r>
        <w:rPr>
          <w:rStyle w:val="14"/>
          <w:rFonts w:hint="eastAsia" w:eastAsia="仿宋_GB2312"/>
          <w:b w:val="0"/>
          <w:bCs/>
          <w:snapToGrid w:val="0"/>
          <w:color w:val="000000"/>
          <w:kern w:val="0"/>
          <w:sz w:val="32"/>
          <w:szCs w:val="32"/>
          <w:highlight w:val="none"/>
          <w:lang w:eastAsia="zh-CN"/>
        </w:rPr>
        <w:t>项目</w:t>
      </w:r>
      <w:r>
        <w:rPr>
          <w:rStyle w:val="14"/>
          <w:rFonts w:hint="eastAsia" w:eastAsia="仿宋_GB2312"/>
          <w:b w:val="0"/>
          <w:bCs/>
          <w:snapToGrid w:val="0"/>
          <w:color w:val="auto"/>
          <w:kern w:val="0"/>
          <w:sz w:val="32"/>
          <w:szCs w:val="32"/>
          <w:highlight w:val="none"/>
          <w:lang w:eastAsia="zh-CN"/>
        </w:rPr>
        <w:t>，政采资</w:t>
      </w:r>
      <w:r>
        <w:rPr>
          <w:rStyle w:val="14"/>
          <w:rFonts w:hint="eastAsia" w:eastAsia="仿宋_GB2312"/>
          <w:b w:val="0"/>
          <w:bCs/>
          <w:snapToGrid w:val="0"/>
          <w:color w:val="000000"/>
          <w:kern w:val="0"/>
          <w:sz w:val="32"/>
          <w:szCs w:val="32"/>
          <w:highlight w:val="none"/>
          <w:lang w:eastAsia="zh-CN"/>
        </w:rPr>
        <w:t>金</w:t>
      </w:r>
      <w:r>
        <w:rPr>
          <w:rStyle w:val="14"/>
          <w:rFonts w:eastAsia="仿宋_GB2312"/>
          <w:b w:val="0"/>
          <w:bCs/>
          <w:snapToGrid w:val="0"/>
          <w:color w:val="000000"/>
          <w:kern w:val="0"/>
          <w:sz w:val="32"/>
          <w:szCs w:val="32"/>
          <w:highlight w:val="none"/>
          <w:lang w:eastAsia="zh-CN"/>
        </w:rPr>
        <w:t>按规定</w:t>
      </w:r>
      <w:r>
        <w:rPr>
          <w:rStyle w:val="14"/>
          <w:rFonts w:hint="eastAsia" w:eastAsia="仿宋_GB2312"/>
          <w:b w:val="0"/>
          <w:bCs/>
          <w:snapToGrid w:val="0"/>
          <w:color w:val="auto"/>
          <w:kern w:val="0"/>
          <w:sz w:val="32"/>
          <w:szCs w:val="32"/>
          <w:highlight w:val="none"/>
          <w:lang w:eastAsia="zh-CN"/>
        </w:rPr>
        <w:t>结转下年。</w:t>
      </w:r>
    </w:p>
    <w:p>
      <w:pPr>
        <w:overflowPunct w:val="0"/>
        <w:adjustRightInd w:val="0"/>
        <w:snapToGrid w:val="0"/>
        <w:spacing w:line="600" w:lineRule="exact"/>
        <w:ind w:firstLine="640" w:firstLineChars="200"/>
        <w:rPr>
          <w:rFonts w:eastAsia="仿宋_GB2312"/>
          <w:b w:val="0"/>
          <w:bCs/>
          <w:snapToGrid w:val="0"/>
          <w:kern w:val="0"/>
          <w:sz w:val="32"/>
          <w:szCs w:val="32"/>
        </w:rPr>
      </w:pPr>
      <w:r>
        <w:rPr>
          <w:rFonts w:eastAsia="仿宋_GB2312"/>
          <w:b w:val="0"/>
          <w:bCs/>
          <w:snapToGrid w:val="0"/>
          <w:kern w:val="0"/>
          <w:sz w:val="32"/>
          <w:szCs w:val="32"/>
        </w:rPr>
        <w:t>1</w:t>
      </w:r>
      <w:r>
        <w:rPr>
          <w:rFonts w:hint="eastAsia" w:eastAsia="仿宋_GB2312"/>
          <w:b w:val="0"/>
          <w:bCs/>
          <w:snapToGrid w:val="0"/>
          <w:kern w:val="0"/>
          <w:sz w:val="32"/>
          <w:szCs w:val="32"/>
          <w:lang w:val="en-US" w:eastAsia="zh-CN"/>
        </w:rPr>
        <w:t>3</w:t>
      </w:r>
      <w:r>
        <w:rPr>
          <w:rStyle w:val="14"/>
          <w:rFonts w:eastAsia="仿宋_GB2312"/>
          <w:b w:val="0"/>
          <w:bCs/>
          <w:snapToGrid w:val="0"/>
          <w:color w:val="000000"/>
          <w:kern w:val="0"/>
          <w:sz w:val="32"/>
          <w:szCs w:val="32"/>
        </w:rPr>
        <w:t>．社会保障和就业支出（类）行政事业单位</w:t>
      </w:r>
      <w:r>
        <w:rPr>
          <w:rStyle w:val="14"/>
          <w:rFonts w:hint="eastAsia" w:eastAsia="仿宋_GB2312"/>
          <w:b w:val="0"/>
          <w:bCs/>
          <w:snapToGrid w:val="0"/>
          <w:color w:val="000000"/>
          <w:kern w:val="0"/>
          <w:sz w:val="32"/>
          <w:szCs w:val="32"/>
          <w:lang w:eastAsia="zh-CN"/>
        </w:rPr>
        <w:t>养老支出</w:t>
      </w:r>
      <w:r>
        <w:rPr>
          <w:rStyle w:val="14"/>
          <w:rFonts w:eastAsia="仿宋_GB2312"/>
          <w:b w:val="0"/>
          <w:bCs/>
          <w:snapToGrid w:val="0"/>
          <w:color w:val="000000"/>
          <w:kern w:val="0"/>
          <w:sz w:val="32"/>
          <w:szCs w:val="32"/>
        </w:rPr>
        <w:t>（款）</w:t>
      </w:r>
      <w:r>
        <w:rPr>
          <w:rStyle w:val="14"/>
          <w:rFonts w:hint="eastAsia" w:eastAsia="仿宋_GB2312"/>
          <w:b w:val="0"/>
          <w:bCs/>
          <w:snapToGrid w:val="0"/>
          <w:color w:val="000000"/>
          <w:kern w:val="0"/>
          <w:sz w:val="32"/>
          <w:szCs w:val="32"/>
          <w:lang w:eastAsia="zh-CN"/>
        </w:rPr>
        <w:t>行政</w:t>
      </w:r>
      <w:r>
        <w:rPr>
          <w:rStyle w:val="14"/>
          <w:rFonts w:eastAsia="仿宋_GB2312"/>
          <w:b w:val="0"/>
          <w:bCs/>
          <w:snapToGrid w:val="0"/>
          <w:color w:val="000000"/>
          <w:kern w:val="0"/>
          <w:sz w:val="32"/>
          <w:szCs w:val="32"/>
        </w:rPr>
        <w:t>单位离休费（项）：</w:t>
      </w:r>
      <w:r>
        <w:rPr>
          <w:rFonts w:eastAsia="仿宋_GB2312"/>
          <w:b w:val="0"/>
          <w:bCs/>
          <w:snapToGrid w:val="0"/>
          <w:color w:val="000000"/>
          <w:kern w:val="0"/>
          <w:sz w:val="32"/>
          <w:szCs w:val="32"/>
        </w:rPr>
        <w:t>年初预算为</w:t>
      </w:r>
      <w:r>
        <w:rPr>
          <w:rFonts w:hint="eastAsia" w:eastAsia="仿宋_GB2312"/>
          <w:b w:val="0"/>
          <w:bCs/>
          <w:snapToGrid w:val="0"/>
          <w:color w:val="000000"/>
          <w:kern w:val="0"/>
          <w:sz w:val="32"/>
          <w:szCs w:val="32"/>
          <w:lang w:val="en-US" w:eastAsia="zh-CN"/>
        </w:rPr>
        <w:t>328.8</w:t>
      </w:r>
      <w:r>
        <w:rPr>
          <w:rFonts w:eastAsia="仿宋_GB2312"/>
          <w:b w:val="0"/>
          <w:bCs/>
          <w:snapToGrid w:val="0"/>
          <w:color w:val="000000"/>
          <w:kern w:val="0"/>
          <w:sz w:val="32"/>
          <w:szCs w:val="32"/>
        </w:rPr>
        <w:t>万元，支出决算为</w:t>
      </w:r>
      <w:r>
        <w:rPr>
          <w:rFonts w:hint="eastAsia" w:eastAsia="仿宋_GB2312"/>
          <w:b w:val="0"/>
          <w:bCs/>
          <w:snapToGrid w:val="0"/>
          <w:color w:val="000000"/>
          <w:kern w:val="0"/>
          <w:sz w:val="32"/>
          <w:szCs w:val="32"/>
          <w:lang w:val="en-US" w:eastAsia="zh-CN"/>
        </w:rPr>
        <w:t>327.4</w:t>
      </w:r>
      <w:r>
        <w:rPr>
          <w:rFonts w:eastAsia="仿宋_GB2312"/>
          <w:b w:val="0"/>
          <w:bCs/>
          <w:snapToGrid w:val="0"/>
          <w:color w:val="000000"/>
          <w:kern w:val="0"/>
          <w:sz w:val="32"/>
          <w:szCs w:val="32"/>
        </w:rPr>
        <w:t>万元，完成年初预算</w:t>
      </w:r>
      <w:r>
        <w:rPr>
          <w:rFonts w:hint="eastAsia" w:eastAsia="仿宋_GB2312"/>
          <w:b w:val="0"/>
          <w:bCs/>
          <w:snapToGrid w:val="0"/>
          <w:color w:val="000000"/>
          <w:kern w:val="0"/>
          <w:sz w:val="32"/>
          <w:szCs w:val="32"/>
          <w:lang w:val="en-US" w:eastAsia="zh-CN"/>
        </w:rPr>
        <w:t>99.57</w:t>
      </w:r>
      <w:r>
        <w:rPr>
          <w:rFonts w:eastAsia="仿宋_GB2312"/>
          <w:b w:val="0"/>
          <w:bCs/>
          <w:snapToGrid w:val="0"/>
          <w:color w:val="000000"/>
          <w:kern w:val="0"/>
          <w:sz w:val="32"/>
          <w:szCs w:val="32"/>
        </w:rPr>
        <w:t>%</w:t>
      </w:r>
      <w:r>
        <w:rPr>
          <w:rFonts w:eastAsia="仿宋_GB2312"/>
          <w:b w:val="0"/>
          <w:bCs/>
          <w:snapToGrid w:val="0"/>
          <w:kern w:val="0"/>
          <w:sz w:val="32"/>
          <w:szCs w:val="32"/>
        </w:rPr>
        <w:t>。</w:t>
      </w:r>
    </w:p>
    <w:p>
      <w:pPr>
        <w:overflowPunct w:val="0"/>
        <w:adjustRightInd w:val="0"/>
        <w:snapToGrid w:val="0"/>
        <w:spacing w:line="600" w:lineRule="exact"/>
        <w:ind w:firstLine="640" w:firstLineChars="200"/>
        <w:rPr>
          <w:rFonts w:eastAsia="仿宋_GB2312"/>
          <w:b w:val="0"/>
          <w:bCs/>
          <w:snapToGrid w:val="0"/>
          <w:kern w:val="0"/>
          <w:sz w:val="32"/>
          <w:szCs w:val="32"/>
          <w:highlight w:val="none"/>
        </w:rPr>
      </w:pPr>
      <w:r>
        <w:rPr>
          <w:rFonts w:eastAsia="仿宋_GB2312"/>
          <w:b w:val="0"/>
          <w:bCs/>
          <w:snapToGrid w:val="0"/>
          <w:kern w:val="0"/>
          <w:sz w:val="32"/>
          <w:szCs w:val="32"/>
          <w:highlight w:val="none"/>
        </w:rPr>
        <w:t>1</w:t>
      </w:r>
      <w:r>
        <w:rPr>
          <w:rFonts w:hint="eastAsia" w:eastAsia="仿宋_GB2312"/>
          <w:b w:val="0"/>
          <w:bCs/>
          <w:snapToGrid w:val="0"/>
          <w:kern w:val="0"/>
          <w:sz w:val="32"/>
          <w:szCs w:val="32"/>
          <w:highlight w:val="none"/>
          <w:lang w:val="en-US" w:eastAsia="zh-CN"/>
        </w:rPr>
        <w:t>4</w:t>
      </w:r>
      <w:r>
        <w:rPr>
          <w:rStyle w:val="14"/>
          <w:rFonts w:eastAsia="仿宋_GB2312"/>
          <w:b w:val="0"/>
          <w:bCs/>
          <w:snapToGrid w:val="0"/>
          <w:color w:val="000000"/>
          <w:kern w:val="0"/>
          <w:sz w:val="32"/>
          <w:szCs w:val="32"/>
          <w:highlight w:val="none"/>
        </w:rPr>
        <w:t>．社会保障和就业支出（类）行政事业单位</w:t>
      </w:r>
      <w:r>
        <w:rPr>
          <w:rStyle w:val="14"/>
          <w:rFonts w:hint="eastAsia" w:eastAsia="仿宋_GB2312"/>
          <w:b w:val="0"/>
          <w:bCs/>
          <w:snapToGrid w:val="0"/>
          <w:color w:val="000000"/>
          <w:kern w:val="0"/>
          <w:sz w:val="32"/>
          <w:szCs w:val="32"/>
          <w:highlight w:val="none"/>
          <w:lang w:eastAsia="zh-CN"/>
        </w:rPr>
        <w:t>养老支出</w:t>
      </w:r>
      <w:r>
        <w:rPr>
          <w:rStyle w:val="14"/>
          <w:rFonts w:eastAsia="仿宋_GB2312"/>
          <w:b w:val="0"/>
          <w:bCs/>
          <w:snapToGrid w:val="0"/>
          <w:color w:val="000000"/>
          <w:kern w:val="0"/>
          <w:sz w:val="32"/>
          <w:szCs w:val="32"/>
          <w:highlight w:val="none"/>
        </w:rPr>
        <w:t>（款）事业单位离休费（项）：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341.77</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339.29</w:t>
      </w:r>
      <w:r>
        <w:rPr>
          <w:rFonts w:eastAsia="仿宋_GB2312"/>
          <w:b w:val="0"/>
          <w:bCs/>
          <w:snapToGrid w:val="0"/>
          <w:color w:val="000000"/>
          <w:kern w:val="0"/>
          <w:sz w:val="32"/>
          <w:szCs w:val="32"/>
          <w:highlight w:val="none"/>
        </w:rPr>
        <w:t>万元，完成年初预算</w:t>
      </w:r>
      <w:r>
        <w:rPr>
          <w:rFonts w:hint="eastAsia" w:eastAsia="仿宋_GB2312"/>
          <w:b w:val="0"/>
          <w:bCs/>
          <w:snapToGrid w:val="0"/>
          <w:color w:val="000000"/>
          <w:kern w:val="0"/>
          <w:sz w:val="32"/>
          <w:szCs w:val="32"/>
          <w:highlight w:val="none"/>
          <w:lang w:val="en-US" w:eastAsia="zh-CN"/>
        </w:rPr>
        <w:t>99.27</w:t>
      </w:r>
      <w:r>
        <w:rPr>
          <w:rFonts w:eastAsia="仿宋_GB2312"/>
          <w:b w:val="0"/>
          <w:bCs/>
          <w:snapToGrid w:val="0"/>
          <w:color w:val="000000"/>
          <w:kern w:val="0"/>
          <w:sz w:val="32"/>
          <w:szCs w:val="32"/>
          <w:highlight w:val="none"/>
        </w:rPr>
        <w:t>%</w:t>
      </w:r>
      <w:r>
        <w:rPr>
          <w:rFonts w:eastAsia="仿宋_GB2312"/>
          <w:b w:val="0"/>
          <w:bCs/>
          <w:snapToGrid w:val="0"/>
          <w:kern w:val="0"/>
          <w:sz w:val="32"/>
          <w:szCs w:val="32"/>
          <w:highlight w:val="none"/>
        </w:rPr>
        <w:t>。</w:t>
      </w:r>
    </w:p>
    <w:p>
      <w:pPr>
        <w:overflowPunct w:val="0"/>
        <w:adjustRightInd w:val="0"/>
        <w:snapToGrid w:val="0"/>
        <w:spacing w:line="600" w:lineRule="exact"/>
        <w:ind w:firstLine="640" w:firstLineChars="200"/>
        <w:rPr>
          <w:rFonts w:eastAsia="仿宋_GB2312"/>
          <w:b w:val="0"/>
          <w:bCs/>
          <w:snapToGrid w:val="0"/>
          <w:kern w:val="0"/>
          <w:sz w:val="32"/>
          <w:szCs w:val="32"/>
        </w:rPr>
      </w:pPr>
      <w:r>
        <w:rPr>
          <w:rFonts w:eastAsia="仿宋_GB2312"/>
          <w:b w:val="0"/>
          <w:bCs/>
          <w:snapToGrid w:val="0"/>
          <w:color w:val="000000"/>
          <w:kern w:val="0"/>
          <w:sz w:val="32"/>
          <w:szCs w:val="32"/>
        </w:rPr>
        <w:t>1</w:t>
      </w:r>
      <w:r>
        <w:rPr>
          <w:rFonts w:hint="eastAsia" w:eastAsia="仿宋_GB2312"/>
          <w:b w:val="0"/>
          <w:bCs/>
          <w:snapToGrid w:val="0"/>
          <w:color w:val="000000"/>
          <w:kern w:val="0"/>
          <w:sz w:val="32"/>
          <w:szCs w:val="32"/>
          <w:lang w:val="en-US" w:eastAsia="zh-CN"/>
        </w:rPr>
        <w:t>5</w:t>
      </w:r>
      <w:r>
        <w:rPr>
          <w:rStyle w:val="14"/>
          <w:rFonts w:eastAsia="仿宋_GB2312"/>
          <w:b w:val="0"/>
          <w:bCs/>
          <w:snapToGrid w:val="0"/>
          <w:color w:val="000000"/>
          <w:kern w:val="0"/>
          <w:sz w:val="32"/>
          <w:szCs w:val="32"/>
        </w:rPr>
        <w:t>．社会保障和就业支出（类）行政事业单位</w:t>
      </w:r>
      <w:r>
        <w:rPr>
          <w:rStyle w:val="14"/>
          <w:rFonts w:hint="eastAsia" w:eastAsia="仿宋_GB2312"/>
          <w:b w:val="0"/>
          <w:bCs/>
          <w:snapToGrid w:val="0"/>
          <w:color w:val="000000"/>
          <w:kern w:val="0"/>
          <w:sz w:val="32"/>
          <w:szCs w:val="32"/>
          <w:lang w:eastAsia="zh-CN"/>
        </w:rPr>
        <w:t>养老支出</w:t>
      </w:r>
      <w:r>
        <w:rPr>
          <w:rStyle w:val="14"/>
          <w:rFonts w:eastAsia="仿宋_GB2312"/>
          <w:b w:val="0"/>
          <w:bCs/>
          <w:snapToGrid w:val="0"/>
          <w:color w:val="000000"/>
          <w:kern w:val="0"/>
          <w:sz w:val="32"/>
          <w:szCs w:val="32"/>
        </w:rPr>
        <w:t>（款）机关事业单位基本养老保险缴费支出（项）：</w:t>
      </w:r>
      <w:r>
        <w:rPr>
          <w:rFonts w:eastAsia="仿宋_GB2312"/>
          <w:b w:val="0"/>
          <w:bCs/>
          <w:snapToGrid w:val="0"/>
          <w:color w:val="000000"/>
          <w:kern w:val="0"/>
          <w:sz w:val="32"/>
          <w:szCs w:val="32"/>
        </w:rPr>
        <w:t>年初预算为</w:t>
      </w:r>
      <w:r>
        <w:rPr>
          <w:rFonts w:hint="eastAsia" w:eastAsia="仿宋_GB2312"/>
          <w:b w:val="0"/>
          <w:bCs/>
          <w:snapToGrid w:val="0"/>
          <w:color w:val="000000"/>
          <w:kern w:val="0"/>
          <w:sz w:val="32"/>
          <w:szCs w:val="32"/>
          <w:lang w:val="en-US" w:eastAsia="zh-CN"/>
        </w:rPr>
        <w:t>280.92</w:t>
      </w:r>
      <w:r>
        <w:rPr>
          <w:rFonts w:eastAsia="仿宋_GB2312"/>
          <w:b w:val="0"/>
          <w:bCs/>
          <w:snapToGrid w:val="0"/>
          <w:color w:val="000000"/>
          <w:kern w:val="0"/>
          <w:sz w:val="32"/>
          <w:szCs w:val="32"/>
        </w:rPr>
        <w:t>万元，支出决算为</w:t>
      </w:r>
      <w:r>
        <w:rPr>
          <w:rFonts w:hint="eastAsia" w:eastAsia="仿宋_GB2312"/>
          <w:b w:val="0"/>
          <w:bCs/>
          <w:snapToGrid w:val="0"/>
          <w:color w:val="000000"/>
          <w:kern w:val="0"/>
          <w:sz w:val="32"/>
          <w:szCs w:val="32"/>
          <w:lang w:val="en-US" w:eastAsia="zh-CN"/>
        </w:rPr>
        <w:t>279.61</w:t>
      </w:r>
      <w:r>
        <w:rPr>
          <w:rFonts w:eastAsia="仿宋_GB2312"/>
          <w:b w:val="0"/>
          <w:bCs/>
          <w:snapToGrid w:val="0"/>
          <w:color w:val="000000"/>
          <w:kern w:val="0"/>
          <w:sz w:val="32"/>
          <w:szCs w:val="32"/>
        </w:rPr>
        <w:t>万元，完成年初预算</w:t>
      </w:r>
      <w:r>
        <w:rPr>
          <w:rFonts w:hint="eastAsia" w:eastAsia="仿宋_GB2312"/>
          <w:b w:val="0"/>
          <w:bCs/>
          <w:snapToGrid w:val="0"/>
          <w:color w:val="000000"/>
          <w:kern w:val="0"/>
          <w:sz w:val="32"/>
          <w:szCs w:val="32"/>
          <w:lang w:val="en-US" w:eastAsia="zh-CN"/>
        </w:rPr>
        <w:t>99.53</w:t>
      </w:r>
      <w:r>
        <w:rPr>
          <w:rFonts w:eastAsia="仿宋_GB2312"/>
          <w:b w:val="0"/>
          <w:bCs/>
          <w:snapToGrid w:val="0"/>
          <w:color w:val="000000"/>
          <w:kern w:val="0"/>
          <w:sz w:val="32"/>
          <w:szCs w:val="32"/>
        </w:rPr>
        <w:t>%</w:t>
      </w:r>
      <w:r>
        <w:rPr>
          <w:rFonts w:eastAsia="仿宋_GB2312"/>
          <w:b w:val="0"/>
          <w:bCs/>
          <w:snapToGrid w:val="0"/>
          <w:kern w:val="0"/>
          <w:sz w:val="32"/>
          <w:szCs w:val="32"/>
        </w:rPr>
        <w:t>。</w:t>
      </w:r>
    </w:p>
    <w:p>
      <w:pPr>
        <w:overflowPunct w:val="0"/>
        <w:adjustRightInd w:val="0"/>
        <w:snapToGrid w:val="0"/>
        <w:spacing w:line="600" w:lineRule="exact"/>
        <w:ind w:firstLine="640" w:firstLineChars="200"/>
        <w:rPr>
          <w:rFonts w:eastAsia="仿宋_GB2312"/>
          <w:b w:val="0"/>
          <w:bCs/>
          <w:snapToGrid w:val="0"/>
          <w:kern w:val="0"/>
          <w:sz w:val="32"/>
          <w:szCs w:val="32"/>
        </w:rPr>
      </w:pPr>
      <w:r>
        <w:rPr>
          <w:rFonts w:hint="eastAsia" w:eastAsia="仿宋_GB2312"/>
          <w:b w:val="0"/>
          <w:bCs/>
          <w:snapToGrid w:val="0"/>
          <w:color w:val="000000"/>
          <w:kern w:val="0"/>
          <w:sz w:val="32"/>
          <w:szCs w:val="32"/>
          <w:lang w:val="en-US" w:eastAsia="zh-CN"/>
        </w:rPr>
        <w:t>16</w:t>
      </w:r>
      <w:r>
        <w:rPr>
          <w:rStyle w:val="14"/>
          <w:rFonts w:eastAsia="仿宋_GB2312"/>
          <w:b w:val="0"/>
          <w:bCs/>
          <w:snapToGrid w:val="0"/>
          <w:color w:val="000000"/>
          <w:kern w:val="0"/>
          <w:sz w:val="32"/>
          <w:szCs w:val="32"/>
        </w:rPr>
        <w:t>．社会保障和就业支出（类）行政事业单位</w:t>
      </w:r>
      <w:r>
        <w:rPr>
          <w:rStyle w:val="14"/>
          <w:rFonts w:hint="eastAsia" w:eastAsia="仿宋_GB2312"/>
          <w:b w:val="0"/>
          <w:bCs/>
          <w:snapToGrid w:val="0"/>
          <w:color w:val="000000"/>
          <w:kern w:val="0"/>
          <w:sz w:val="32"/>
          <w:szCs w:val="32"/>
          <w:lang w:eastAsia="zh-CN"/>
        </w:rPr>
        <w:t>养老支出</w:t>
      </w:r>
      <w:r>
        <w:rPr>
          <w:rStyle w:val="14"/>
          <w:rFonts w:eastAsia="仿宋_GB2312"/>
          <w:b w:val="0"/>
          <w:bCs/>
          <w:snapToGrid w:val="0"/>
          <w:color w:val="000000"/>
          <w:kern w:val="0"/>
          <w:sz w:val="32"/>
          <w:szCs w:val="32"/>
        </w:rPr>
        <w:t>（款）机关事业单位职业年金缴费支出（项）：</w:t>
      </w:r>
      <w:r>
        <w:rPr>
          <w:rFonts w:eastAsia="仿宋_GB2312"/>
          <w:b w:val="0"/>
          <w:bCs/>
          <w:snapToGrid w:val="0"/>
          <w:color w:val="000000"/>
          <w:kern w:val="0"/>
          <w:sz w:val="32"/>
          <w:szCs w:val="32"/>
        </w:rPr>
        <w:t>年初预算为</w:t>
      </w:r>
      <w:r>
        <w:rPr>
          <w:rFonts w:hint="eastAsia" w:eastAsia="仿宋_GB2312"/>
          <w:b w:val="0"/>
          <w:bCs/>
          <w:snapToGrid w:val="0"/>
          <w:color w:val="000000"/>
          <w:kern w:val="0"/>
          <w:sz w:val="32"/>
          <w:szCs w:val="32"/>
          <w:lang w:val="en-US" w:eastAsia="zh-CN"/>
        </w:rPr>
        <w:t>25.92</w:t>
      </w:r>
      <w:r>
        <w:rPr>
          <w:rFonts w:eastAsia="仿宋_GB2312"/>
          <w:b w:val="0"/>
          <w:bCs/>
          <w:snapToGrid w:val="0"/>
          <w:color w:val="000000"/>
          <w:kern w:val="0"/>
          <w:sz w:val="32"/>
          <w:szCs w:val="32"/>
        </w:rPr>
        <w:t>万元，支出决算为</w:t>
      </w:r>
      <w:r>
        <w:rPr>
          <w:rFonts w:hint="eastAsia" w:eastAsia="仿宋_GB2312"/>
          <w:b w:val="0"/>
          <w:bCs/>
          <w:snapToGrid w:val="0"/>
          <w:color w:val="000000"/>
          <w:kern w:val="0"/>
          <w:sz w:val="32"/>
          <w:szCs w:val="32"/>
          <w:lang w:val="en-US" w:eastAsia="zh-CN"/>
        </w:rPr>
        <w:t>25.27</w:t>
      </w:r>
      <w:r>
        <w:rPr>
          <w:rFonts w:eastAsia="仿宋_GB2312"/>
          <w:b w:val="0"/>
          <w:bCs/>
          <w:snapToGrid w:val="0"/>
          <w:color w:val="000000"/>
          <w:kern w:val="0"/>
          <w:sz w:val="32"/>
          <w:szCs w:val="32"/>
        </w:rPr>
        <w:t>万元，完成年初预算</w:t>
      </w:r>
      <w:r>
        <w:rPr>
          <w:rFonts w:hint="eastAsia" w:eastAsia="仿宋_GB2312"/>
          <w:b w:val="0"/>
          <w:bCs/>
          <w:snapToGrid w:val="0"/>
          <w:color w:val="000000"/>
          <w:kern w:val="0"/>
          <w:sz w:val="32"/>
          <w:szCs w:val="32"/>
          <w:lang w:val="en-US" w:eastAsia="zh-CN"/>
        </w:rPr>
        <w:t>97.49</w:t>
      </w:r>
      <w:r>
        <w:rPr>
          <w:rFonts w:eastAsia="仿宋_GB2312"/>
          <w:b w:val="0"/>
          <w:bCs/>
          <w:snapToGrid w:val="0"/>
          <w:color w:val="000000"/>
          <w:kern w:val="0"/>
          <w:sz w:val="32"/>
          <w:szCs w:val="32"/>
        </w:rPr>
        <w:t>%</w:t>
      </w:r>
      <w:r>
        <w:rPr>
          <w:rFonts w:eastAsia="仿宋_GB2312"/>
          <w:b w:val="0"/>
          <w:bCs/>
          <w:snapToGrid w:val="0"/>
          <w:kern w:val="0"/>
          <w:sz w:val="32"/>
          <w:szCs w:val="32"/>
        </w:rPr>
        <w:t>。</w:t>
      </w:r>
    </w:p>
    <w:p>
      <w:pPr>
        <w:overflowPunct w:val="0"/>
        <w:adjustRightInd w:val="0"/>
        <w:snapToGrid w:val="0"/>
        <w:spacing w:line="600" w:lineRule="exact"/>
        <w:ind w:firstLine="640" w:firstLineChars="200"/>
        <w:rPr>
          <w:rFonts w:eastAsia="仿宋_GB2312"/>
          <w:b w:val="0"/>
          <w:bCs/>
          <w:snapToGrid w:val="0"/>
          <w:kern w:val="0"/>
          <w:sz w:val="32"/>
          <w:szCs w:val="32"/>
        </w:rPr>
      </w:pPr>
      <w:r>
        <w:rPr>
          <w:rFonts w:hint="eastAsia" w:eastAsia="仿宋_GB2312"/>
          <w:b w:val="0"/>
          <w:bCs/>
          <w:snapToGrid w:val="0"/>
          <w:kern w:val="0"/>
          <w:sz w:val="32"/>
          <w:szCs w:val="32"/>
          <w:lang w:val="en-US" w:eastAsia="zh-CN"/>
        </w:rPr>
        <w:t>17</w:t>
      </w:r>
      <w:r>
        <w:rPr>
          <w:rStyle w:val="14"/>
          <w:rFonts w:eastAsia="仿宋_GB2312"/>
          <w:b w:val="0"/>
          <w:bCs/>
          <w:snapToGrid w:val="0"/>
          <w:color w:val="000000"/>
          <w:kern w:val="0"/>
          <w:sz w:val="32"/>
          <w:szCs w:val="32"/>
        </w:rPr>
        <w:t>．社会保障和就业支出（类）抚恤（款）死亡抚恤（项）：</w:t>
      </w:r>
      <w:r>
        <w:rPr>
          <w:rFonts w:eastAsia="仿宋_GB2312"/>
          <w:b w:val="0"/>
          <w:bCs/>
          <w:snapToGrid w:val="0"/>
          <w:color w:val="000000"/>
          <w:kern w:val="0"/>
          <w:sz w:val="32"/>
          <w:szCs w:val="32"/>
        </w:rPr>
        <w:t>年初预算为</w:t>
      </w:r>
      <w:r>
        <w:rPr>
          <w:rFonts w:hint="eastAsia" w:eastAsia="仿宋_GB2312"/>
          <w:b w:val="0"/>
          <w:bCs/>
          <w:snapToGrid w:val="0"/>
          <w:color w:val="000000"/>
          <w:kern w:val="0"/>
          <w:sz w:val="32"/>
          <w:szCs w:val="32"/>
          <w:lang w:val="en-US" w:eastAsia="zh-CN"/>
        </w:rPr>
        <w:t>37.66</w:t>
      </w:r>
      <w:r>
        <w:rPr>
          <w:rFonts w:eastAsia="仿宋_GB2312"/>
          <w:b w:val="0"/>
          <w:bCs/>
          <w:snapToGrid w:val="0"/>
          <w:color w:val="000000"/>
          <w:kern w:val="0"/>
          <w:sz w:val="32"/>
          <w:szCs w:val="32"/>
        </w:rPr>
        <w:t>万元，支出决算为</w:t>
      </w:r>
      <w:r>
        <w:rPr>
          <w:rFonts w:hint="eastAsia" w:eastAsia="仿宋_GB2312"/>
          <w:b w:val="0"/>
          <w:bCs/>
          <w:snapToGrid w:val="0"/>
          <w:color w:val="000000"/>
          <w:kern w:val="0"/>
          <w:sz w:val="32"/>
          <w:szCs w:val="32"/>
          <w:lang w:val="en-US" w:eastAsia="zh-CN"/>
        </w:rPr>
        <w:t>37.63</w:t>
      </w:r>
      <w:r>
        <w:rPr>
          <w:rFonts w:eastAsia="仿宋_GB2312"/>
          <w:b w:val="0"/>
          <w:bCs/>
          <w:snapToGrid w:val="0"/>
          <w:color w:val="000000"/>
          <w:kern w:val="0"/>
          <w:sz w:val="32"/>
          <w:szCs w:val="32"/>
        </w:rPr>
        <w:t>万元，完成年初预算</w:t>
      </w:r>
      <w:r>
        <w:rPr>
          <w:rFonts w:hint="eastAsia" w:eastAsia="仿宋_GB2312"/>
          <w:b w:val="0"/>
          <w:bCs/>
          <w:snapToGrid w:val="0"/>
          <w:color w:val="000000"/>
          <w:kern w:val="0"/>
          <w:sz w:val="32"/>
          <w:szCs w:val="32"/>
          <w:lang w:val="en-US" w:eastAsia="zh-CN"/>
        </w:rPr>
        <w:t>99.92</w:t>
      </w:r>
      <w:r>
        <w:rPr>
          <w:rFonts w:eastAsia="仿宋_GB2312"/>
          <w:b w:val="0"/>
          <w:bCs/>
          <w:snapToGrid w:val="0"/>
          <w:color w:val="000000"/>
          <w:kern w:val="0"/>
          <w:sz w:val="32"/>
          <w:szCs w:val="32"/>
        </w:rPr>
        <w:t>%</w:t>
      </w:r>
      <w:r>
        <w:rPr>
          <w:rFonts w:eastAsia="仿宋_GB2312"/>
          <w:b w:val="0"/>
          <w:bCs/>
          <w:snapToGrid w:val="0"/>
          <w:kern w:val="0"/>
          <w:sz w:val="32"/>
          <w:szCs w:val="32"/>
        </w:rPr>
        <w:t>。</w:t>
      </w:r>
    </w:p>
    <w:p>
      <w:pPr>
        <w:overflowPunct w:val="0"/>
        <w:adjustRightInd w:val="0"/>
        <w:snapToGrid w:val="0"/>
        <w:spacing w:line="600" w:lineRule="exact"/>
        <w:ind w:firstLine="640" w:firstLineChars="200"/>
        <w:rPr>
          <w:rFonts w:eastAsia="仿宋_GB2312"/>
          <w:b w:val="0"/>
          <w:bCs/>
          <w:snapToGrid w:val="0"/>
          <w:kern w:val="0"/>
          <w:sz w:val="32"/>
          <w:szCs w:val="32"/>
        </w:rPr>
      </w:pPr>
      <w:r>
        <w:rPr>
          <w:rFonts w:hint="eastAsia" w:eastAsia="仿宋_GB2312"/>
          <w:b w:val="0"/>
          <w:bCs/>
          <w:snapToGrid w:val="0"/>
          <w:kern w:val="0"/>
          <w:sz w:val="32"/>
          <w:szCs w:val="32"/>
          <w:lang w:val="en-US" w:eastAsia="zh-CN"/>
        </w:rPr>
        <w:t>18</w:t>
      </w:r>
      <w:r>
        <w:rPr>
          <w:rStyle w:val="14"/>
          <w:rFonts w:eastAsia="仿宋_GB2312"/>
          <w:b w:val="0"/>
          <w:bCs/>
          <w:snapToGrid w:val="0"/>
          <w:color w:val="000000"/>
          <w:kern w:val="0"/>
          <w:sz w:val="32"/>
          <w:szCs w:val="32"/>
        </w:rPr>
        <w:t>．社会保障和就业支出（类）其他社会保障和就业支出（款）其他社会保障和就业支出（项）：</w:t>
      </w:r>
      <w:r>
        <w:rPr>
          <w:rFonts w:eastAsia="仿宋_GB2312"/>
          <w:b w:val="0"/>
          <w:bCs/>
          <w:snapToGrid w:val="0"/>
          <w:color w:val="000000"/>
          <w:kern w:val="0"/>
          <w:sz w:val="32"/>
          <w:szCs w:val="32"/>
        </w:rPr>
        <w:t>年初预算为</w:t>
      </w:r>
      <w:r>
        <w:rPr>
          <w:rFonts w:hint="eastAsia" w:eastAsia="仿宋_GB2312"/>
          <w:b w:val="0"/>
          <w:bCs/>
          <w:snapToGrid w:val="0"/>
          <w:color w:val="000000"/>
          <w:kern w:val="0"/>
          <w:sz w:val="32"/>
          <w:szCs w:val="32"/>
          <w:lang w:val="en-US" w:eastAsia="zh-CN"/>
        </w:rPr>
        <w:t>159.77</w:t>
      </w:r>
      <w:r>
        <w:rPr>
          <w:rFonts w:eastAsia="仿宋_GB2312"/>
          <w:b w:val="0"/>
          <w:bCs/>
          <w:snapToGrid w:val="0"/>
          <w:color w:val="000000"/>
          <w:kern w:val="0"/>
          <w:sz w:val="32"/>
          <w:szCs w:val="32"/>
        </w:rPr>
        <w:t>万元，支出决算为</w:t>
      </w:r>
      <w:r>
        <w:rPr>
          <w:rFonts w:hint="eastAsia" w:eastAsia="仿宋_GB2312"/>
          <w:b w:val="0"/>
          <w:bCs/>
          <w:snapToGrid w:val="0"/>
          <w:color w:val="000000"/>
          <w:kern w:val="0"/>
          <w:sz w:val="32"/>
          <w:szCs w:val="32"/>
          <w:lang w:val="en-US" w:eastAsia="zh-CN"/>
        </w:rPr>
        <w:t>159.71</w:t>
      </w:r>
      <w:r>
        <w:rPr>
          <w:rFonts w:eastAsia="仿宋_GB2312"/>
          <w:b w:val="0"/>
          <w:bCs/>
          <w:snapToGrid w:val="0"/>
          <w:color w:val="000000"/>
          <w:kern w:val="0"/>
          <w:sz w:val="32"/>
          <w:szCs w:val="32"/>
        </w:rPr>
        <w:t>万元，完成年初预算</w:t>
      </w:r>
      <w:r>
        <w:rPr>
          <w:rFonts w:hint="eastAsia" w:eastAsia="仿宋_GB2312"/>
          <w:b w:val="0"/>
          <w:bCs/>
          <w:snapToGrid w:val="0"/>
          <w:color w:val="000000"/>
          <w:kern w:val="0"/>
          <w:sz w:val="32"/>
          <w:szCs w:val="32"/>
          <w:lang w:val="en-US" w:eastAsia="zh-CN"/>
        </w:rPr>
        <w:t>99.96</w:t>
      </w:r>
      <w:r>
        <w:rPr>
          <w:rFonts w:eastAsia="仿宋_GB2312"/>
          <w:b w:val="0"/>
          <w:bCs/>
          <w:snapToGrid w:val="0"/>
          <w:color w:val="000000"/>
          <w:kern w:val="0"/>
          <w:sz w:val="32"/>
          <w:szCs w:val="32"/>
        </w:rPr>
        <w:t>%</w:t>
      </w:r>
      <w:r>
        <w:rPr>
          <w:rFonts w:eastAsia="仿宋_GB2312"/>
          <w:b w:val="0"/>
          <w:bCs/>
          <w:snapToGrid w:val="0"/>
          <w:kern w:val="0"/>
          <w:sz w:val="32"/>
          <w:szCs w:val="32"/>
        </w:rPr>
        <w:t>。</w:t>
      </w:r>
    </w:p>
    <w:p>
      <w:pPr>
        <w:overflowPunct w:val="0"/>
        <w:adjustRightInd w:val="0"/>
        <w:snapToGrid w:val="0"/>
        <w:spacing w:line="600" w:lineRule="exact"/>
        <w:ind w:firstLine="640" w:firstLineChars="200"/>
        <w:rPr>
          <w:rFonts w:hint="eastAsia" w:eastAsia="仿宋_GB2312"/>
          <w:b w:val="0"/>
          <w:bCs/>
          <w:snapToGrid w:val="0"/>
          <w:kern w:val="0"/>
          <w:sz w:val="32"/>
          <w:szCs w:val="32"/>
          <w:highlight w:val="none"/>
          <w:lang w:eastAsia="zh-CN"/>
        </w:rPr>
      </w:pPr>
      <w:r>
        <w:rPr>
          <w:rFonts w:hint="eastAsia" w:eastAsia="仿宋_GB2312"/>
          <w:b w:val="0"/>
          <w:bCs/>
          <w:snapToGrid w:val="0"/>
          <w:kern w:val="0"/>
          <w:sz w:val="32"/>
          <w:szCs w:val="32"/>
          <w:lang w:val="en-US" w:eastAsia="zh-CN"/>
        </w:rPr>
        <w:t>19</w:t>
      </w:r>
      <w:r>
        <w:rPr>
          <w:rStyle w:val="14"/>
          <w:rFonts w:eastAsia="仿宋_GB2312"/>
          <w:b w:val="0"/>
          <w:bCs/>
          <w:snapToGrid w:val="0"/>
          <w:color w:val="000000"/>
          <w:kern w:val="0"/>
          <w:sz w:val="32"/>
          <w:szCs w:val="32"/>
        </w:rPr>
        <w:t>．</w:t>
      </w:r>
      <w:r>
        <w:rPr>
          <w:rStyle w:val="14"/>
          <w:rFonts w:hint="eastAsia" w:eastAsia="仿宋_GB2312"/>
          <w:b w:val="0"/>
          <w:bCs/>
          <w:snapToGrid w:val="0"/>
          <w:color w:val="000000"/>
          <w:kern w:val="0"/>
          <w:sz w:val="32"/>
          <w:szCs w:val="32"/>
          <w:lang w:eastAsia="zh-CN"/>
        </w:rPr>
        <w:t>卫生健康</w:t>
      </w:r>
      <w:r>
        <w:rPr>
          <w:rStyle w:val="14"/>
          <w:rFonts w:eastAsia="仿宋_GB2312"/>
          <w:b w:val="0"/>
          <w:bCs/>
          <w:snapToGrid w:val="0"/>
          <w:color w:val="000000"/>
          <w:kern w:val="0"/>
          <w:sz w:val="32"/>
          <w:szCs w:val="32"/>
        </w:rPr>
        <w:t>支出（类）</w:t>
      </w:r>
      <w:r>
        <w:rPr>
          <w:rStyle w:val="14"/>
          <w:rFonts w:hint="eastAsia" w:eastAsia="仿宋_GB2312"/>
          <w:b w:val="0"/>
          <w:bCs/>
          <w:snapToGrid w:val="0"/>
          <w:color w:val="000000"/>
          <w:kern w:val="0"/>
          <w:sz w:val="32"/>
          <w:szCs w:val="32"/>
          <w:lang w:eastAsia="zh-CN"/>
        </w:rPr>
        <w:t>公共卫生</w:t>
      </w:r>
      <w:r>
        <w:rPr>
          <w:rStyle w:val="14"/>
          <w:rFonts w:eastAsia="仿宋_GB2312"/>
          <w:b w:val="0"/>
          <w:bCs/>
          <w:snapToGrid w:val="0"/>
          <w:color w:val="000000"/>
          <w:kern w:val="0"/>
          <w:sz w:val="32"/>
          <w:szCs w:val="32"/>
        </w:rPr>
        <w:t>（款）</w:t>
      </w:r>
      <w:r>
        <w:rPr>
          <w:rStyle w:val="14"/>
          <w:rFonts w:hint="eastAsia" w:eastAsia="仿宋_GB2312"/>
          <w:b w:val="0"/>
          <w:bCs/>
          <w:snapToGrid w:val="0"/>
          <w:color w:val="000000"/>
          <w:kern w:val="0"/>
          <w:sz w:val="32"/>
          <w:szCs w:val="32"/>
          <w:lang w:eastAsia="zh-CN"/>
        </w:rPr>
        <w:t>重大公共卫生</w:t>
      </w:r>
      <w:r>
        <w:rPr>
          <w:rStyle w:val="14"/>
          <w:rFonts w:eastAsia="仿宋_GB2312"/>
          <w:b w:val="0"/>
          <w:bCs/>
          <w:snapToGrid w:val="0"/>
          <w:color w:val="000000"/>
          <w:kern w:val="0"/>
          <w:sz w:val="32"/>
          <w:szCs w:val="32"/>
        </w:rPr>
        <w:t>（项）：</w:t>
      </w:r>
      <w:r>
        <w:rPr>
          <w:rFonts w:eastAsia="仿宋_GB2312"/>
          <w:b w:val="0"/>
          <w:bCs/>
          <w:snapToGrid w:val="0"/>
          <w:color w:val="000000"/>
          <w:kern w:val="0"/>
          <w:sz w:val="32"/>
          <w:szCs w:val="32"/>
        </w:rPr>
        <w:t>年初预算为</w:t>
      </w:r>
      <w:r>
        <w:rPr>
          <w:rFonts w:hint="eastAsia" w:eastAsia="仿宋_GB2312"/>
          <w:b w:val="0"/>
          <w:bCs/>
          <w:snapToGrid w:val="0"/>
          <w:color w:val="000000"/>
          <w:kern w:val="0"/>
          <w:sz w:val="32"/>
          <w:szCs w:val="32"/>
          <w:lang w:val="en-US" w:eastAsia="zh-CN"/>
        </w:rPr>
        <w:t>10</w:t>
      </w:r>
      <w:r>
        <w:rPr>
          <w:rFonts w:eastAsia="仿宋_GB2312"/>
          <w:b w:val="0"/>
          <w:bCs/>
          <w:snapToGrid w:val="0"/>
          <w:color w:val="000000"/>
          <w:kern w:val="0"/>
          <w:sz w:val="32"/>
          <w:szCs w:val="32"/>
        </w:rPr>
        <w:t>万元，支出决算为</w:t>
      </w:r>
      <w:r>
        <w:rPr>
          <w:rFonts w:hint="eastAsia" w:eastAsia="仿宋_GB2312"/>
          <w:b w:val="0"/>
          <w:bCs/>
          <w:snapToGrid w:val="0"/>
          <w:color w:val="000000"/>
          <w:kern w:val="0"/>
          <w:sz w:val="32"/>
          <w:szCs w:val="32"/>
          <w:lang w:val="en-US" w:eastAsia="zh-CN"/>
        </w:rPr>
        <w:t>9.58</w:t>
      </w:r>
      <w:r>
        <w:rPr>
          <w:rFonts w:eastAsia="仿宋_GB2312"/>
          <w:b w:val="0"/>
          <w:bCs/>
          <w:snapToGrid w:val="0"/>
          <w:color w:val="000000"/>
          <w:kern w:val="0"/>
          <w:sz w:val="32"/>
          <w:szCs w:val="32"/>
        </w:rPr>
        <w:t>万元，完成年初预算</w:t>
      </w:r>
      <w:r>
        <w:rPr>
          <w:rFonts w:hint="eastAsia" w:eastAsia="仿宋_GB2312"/>
          <w:b w:val="0"/>
          <w:bCs/>
          <w:snapToGrid w:val="0"/>
          <w:color w:val="000000"/>
          <w:kern w:val="0"/>
          <w:sz w:val="32"/>
          <w:szCs w:val="32"/>
          <w:lang w:val="en-US" w:eastAsia="zh-CN"/>
        </w:rPr>
        <w:t>95.8</w:t>
      </w:r>
      <w:r>
        <w:rPr>
          <w:rFonts w:eastAsia="仿宋_GB2312"/>
          <w:b w:val="0"/>
          <w:bCs/>
          <w:snapToGrid w:val="0"/>
          <w:color w:val="000000"/>
          <w:kern w:val="0"/>
          <w:sz w:val="32"/>
          <w:szCs w:val="32"/>
        </w:rPr>
        <w:t>%</w:t>
      </w:r>
      <w:r>
        <w:rPr>
          <w:rFonts w:eastAsia="仿宋_GB2312"/>
          <w:b w:val="0"/>
          <w:bCs/>
          <w:snapToGrid w:val="0"/>
          <w:kern w:val="0"/>
          <w:sz w:val="32"/>
          <w:szCs w:val="32"/>
        </w:rPr>
        <w:t>。</w:t>
      </w:r>
    </w:p>
    <w:p>
      <w:pPr>
        <w:overflowPunct w:val="0"/>
        <w:adjustRightInd w:val="0"/>
        <w:snapToGrid w:val="0"/>
        <w:spacing w:line="600" w:lineRule="exact"/>
        <w:ind w:firstLine="640" w:firstLineChars="200"/>
        <w:rPr>
          <w:rFonts w:eastAsia="仿宋_GB2312"/>
          <w:b w:val="0"/>
          <w:bCs/>
          <w:snapToGrid w:val="0"/>
          <w:kern w:val="0"/>
          <w:sz w:val="32"/>
          <w:szCs w:val="32"/>
        </w:rPr>
      </w:pPr>
      <w:r>
        <w:rPr>
          <w:rFonts w:eastAsia="仿宋_GB2312"/>
          <w:b w:val="0"/>
          <w:bCs/>
          <w:snapToGrid w:val="0"/>
          <w:kern w:val="0"/>
          <w:sz w:val="32"/>
          <w:szCs w:val="32"/>
        </w:rPr>
        <w:t>2</w:t>
      </w:r>
      <w:r>
        <w:rPr>
          <w:rFonts w:hint="eastAsia" w:eastAsia="仿宋_GB2312"/>
          <w:b w:val="0"/>
          <w:bCs/>
          <w:snapToGrid w:val="0"/>
          <w:kern w:val="0"/>
          <w:sz w:val="32"/>
          <w:szCs w:val="32"/>
          <w:lang w:val="en-US" w:eastAsia="zh-CN"/>
        </w:rPr>
        <w:t>0</w:t>
      </w:r>
      <w:r>
        <w:rPr>
          <w:rStyle w:val="14"/>
          <w:rFonts w:eastAsia="仿宋_GB2312"/>
          <w:b w:val="0"/>
          <w:bCs/>
          <w:snapToGrid w:val="0"/>
          <w:color w:val="000000"/>
          <w:kern w:val="0"/>
          <w:sz w:val="32"/>
          <w:szCs w:val="32"/>
        </w:rPr>
        <w:t>．</w:t>
      </w:r>
      <w:r>
        <w:rPr>
          <w:rStyle w:val="14"/>
          <w:rFonts w:hint="eastAsia" w:eastAsia="仿宋_GB2312"/>
          <w:b w:val="0"/>
          <w:bCs/>
          <w:snapToGrid w:val="0"/>
          <w:color w:val="000000"/>
          <w:kern w:val="0"/>
          <w:sz w:val="32"/>
          <w:szCs w:val="32"/>
          <w:lang w:eastAsia="zh-CN"/>
        </w:rPr>
        <w:t>卫生健康</w:t>
      </w:r>
      <w:r>
        <w:rPr>
          <w:rStyle w:val="14"/>
          <w:rFonts w:eastAsia="仿宋_GB2312"/>
          <w:b w:val="0"/>
          <w:bCs/>
          <w:snapToGrid w:val="0"/>
          <w:color w:val="000000"/>
          <w:kern w:val="0"/>
          <w:sz w:val="32"/>
          <w:szCs w:val="32"/>
        </w:rPr>
        <w:t>支出（类）</w:t>
      </w:r>
      <w:r>
        <w:rPr>
          <w:rStyle w:val="14"/>
          <w:rFonts w:hint="eastAsia" w:eastAsia="仿宋_GB2312"/>
          <w:b w:val="0"/>
          <w:bCs/>
          <w:snapToGrid w:val="0"/>
          <w:color w:val="000000"/>
          <w:kern w:val="0"/>
          <w:sz w:val="32"/>
          <w:szCs w:val="32"/>
          <w:lang w:eastAsia="zh-CN"/>
        </w:rPr>
        <w:t>行政事业单位医疗</w:t>
      </w:r>
      <w:r>
        <w:rPr>
          <w:rStyle w:val="14"/>
          <w:rFonts w:eastAsia="仿宋_GB2312"/>
          <w:b w:val="0"/>
          <w:bCs/>
          <w:snapToGrid w:val="0"/>
          <w:color w:val="000000"/>
          <w:kern w:val="0"/>
          <w:sz w:val="32"/>
          <w:szCs w:val="32"/>
        </w:rPr>
        <w:t>（款）</w:t>
      </w:r>
      <w:r>
        <w:rPr>
          <w:rStyle w:val="14"/>
          <w:rFonts w:hint="eastAsia" w:eastAsia="仿宋_GB2312"/>
          <w:b w:val="0"/>
          <w:bCs/>
          <w:snapToGrid w:val="0"/>
          <w:color w:val="000000"/>
          <w:kern w:val="0"/>
          <w:sz w:val="32"/>
          <w:szCs w:val="32"/>
          <w:lang w:eastAsia="zh-CN"/>
        </w:rPr>
        <w:t>行政单位医疗</w:t>
      </w:r>
      <w:r>
        <w:rPr>
          <w:rStyle w:val="14"/>
          <w:rFonts w:eastAsia="仿宋_GB2312"/>
          <w:b w:val="0"/>
          <w:bCs/>
          <w:snapToGrid w:val="0"/>
          <w:color w:val="000000"/>
          <w:kern w:val="0"/>
          <w:sz w:val="32"/>
          <w:szCs w:val="32"/>
        </w:rPr>
        <w:t>（项）：</w:t>
      </w:r>
      <w:r>
        <w:rPr>
          <w:rFonts w:eastAsia="仿宋_GB2312"/>
          <w:b w:val="0"/>
          <w:bCs/>
          <w:snapToGrid w:val="0"/>
          <w:color w:val="000000"/>
          <w:kern w:val="0"/>
          <w:sz w:val="32"/>
          <w:szCs w:val="32"/>
        </w:rPr>
        <w:t>年初预算为</w:t>
      </w:r>
      <w:r>
        <w:rPr>
          <w:rFonts w:hint="eastAsia" w:eastAsia="仿宋_GB2312"/>
          <w:b w:val="0"/>
          <w:bCs/>
          <w:snapToGrid w:val="0"/>
          <w:color w:val="000000"/>
          <w:kern w:val="0"/>
          <w:sz w:val="32"/>
          <w:szCs w:val="32"/>
          <w:lang w:val="en-US" w:eastAsia="zh-CN"/>
        </w:rPr>
        <w:t>180.61</w:t>
      </w:r>
      <w:r>
        <w:rPr>
          <w:rFonts w:eastAsia="仿宋_GB2312"/>
          <w:b w:val="0"/>
          <w:bCs/>
          <w:snapToGrid w:val="0"/>
          <w:color w:val="000000"/>
          <w:kern w:val="0"/>
          <w:sz w:val="32"/>
          <w:szCs w:val="32"/>
        </w:rPr>
        <w:t>万元，支出决算为</w:t>
      </w:r>
      <w:r>
        <w:rPr>
          <w:rFonts w:hint="eastAsia" w:eastAsia="仿宋_GB2312"/>
          <w:b w:val="0"/>
          <w:bCs/>
          <w:snapToGrid w:val="0"/>
          <w:color w:val="000000"/>
          <w:kern w:val="0"/>
          <w:sz w:val="32"/>
          <w:szCs w:val="32"/>
          <w:lang w:val="en-US" w:eastAsia="zh-CN"/>
        </w:rPr>
        <w:t>180.61</w:t>
      </w:r>
      <w:r>
        <w:rPr>
          <w:rFonts w:eastAsia="仿宋_GB2312"/>
          <w:b w:val="0"/>
          <w:bCs/>
          <w:snapToGrid w:val="0"/>
          <w:color w:val="000000"/>
          <w:kern w:val="0"/>
          <w:sz w:val="32"/>
          <w:szCs w:val="32"/>
        </w:rPr>
        <w:t>万元，完成年初预算</w:t>
      </w:r>
      <w:r>
        <w:rPr>
          <w:rFonts w:hint="eastAsia" w:eastAsia="仿宋_GB2312"/>
          <w:b w:val="0"/>
          <w:bCs/>
          <w:snapToGrid w:val="0"/>
          <w:color w:val="000000"/>
          <w:kern w:val="0"/>
          <w:sz w:val="32"/>
          <w:szCs w:val="32"/>
          <w:lang w:val="en-US" w:eastAsia="zh-CN"/>
        </w:rPr>
        <w:t>100</w:t>
      </w:r>
      <w:r>
        <w:rPr>
          <w:rFonts w:eastAsia="仿宋_GB2312"/>
          <w:b w:val="0"/>
          <w:bCs/>
          <w:snapToGrid w:val="0"/>
          <w:color w:val="000000"/>
          <w:kern w:val="0"/>
          <w:sz w:val="32"/>
          <w:szCs w:val="32"/>
        </w:rPr>
        <w:t>%</w:t>
      </w:r>
      <w:r>
        <w:rPr>
          <w:rFonts w:eastAsia="仿宋_GB2312"/>
          <w:b w:val="0"/>
          <w:bCs/>
          <w:snapToGrid w:val="0"/>
          <w:kern w:val="0"/>
          <w:sz w:val="32"/>
          <w:szCs w:val="32"/>
        </w:rPr>
        <w:t>。</w:t>
      </w:r>
    </w:p>
    <w:p>
      <w:pPr>
        <w:overflowPunct w:val="0"/>
        <w:adjustRightInd w:val="0"/>
        <w:snapToGrid w:val="0"/>
        <w:spacing w:line="600" w:lineRule="exact"/>
        <w:ind w:firstLine="640" w:firstLineChars="200"/>
        <w:rPr>
          <w:rFonts w:eastAsia="仿宋_GB2312"/>
          <w:b w:val="0"/>
          <w:bCs/>
          <w:snapToGrid w:val="0"/>
          <w:kern w:val="0"/>
          <w:sz w:val="32"/>
          <w:szCs w:val="32"/>
        </w:rPr>
      </w:pPr>
      <w:r>
        <w:rPr>
          <w:rFonts w:eastAsia="仿宋_GB2312"/>
          <w:b w:val="0"/>
          <w:bCs/>
          <w:snapToGrid w:val="0"/>
          <w:kern w:val="0"/>
          <w:sz w:val="32"/>
          <w:szCs w:val="32"/>
        </w:rPr>
        <w:t>2</w:t>
      </w:r>
      <w:r>
        <w:rPr>
          <w:rFonts w:hint="eastAsia" w:eastAsia="仿宋_GB2312"/>
          <w:b w:val="0"/>
          <w:bCs/>
          <w:snapToGrid w:val="0"/>
          <w:kern w:val="0"/>
          <w:sz w:val="32"/>
          <w:szCs w:val="32"/>
          <w:lang w:val="en-US" w:eastAsia="zh-CN"/>
        </w:rPr>
        <w:t>1</w:t>
      </w:r>
      <w:r>
        <w:rPr>
          <w:rStyle w:val="14"/>
          <w:rFonts w:eastAsia="仿宋_GB2312"/>
          <w:b w:val="0"/>
          <w:bCs/>
          <w:snapToGrid w:val="0"/>
          <w:color w:val="000000"/>
          <w:kern w:val="0"/>
          <w:sz w:val="32"/>
          <w:szCs w:val="32"/>
        </w:rPr>
        <w:t>．</w:t>
      </w:r>
      <w:r>
        <w:rPr>
          <w:rStyle w:val="14"/>
          <w:rFonts w:hint="eastAsia" w:eastAsia="仿宋_GB2312"/>
          <w:b w:val="0"/>
          <w:bCs/>
          <w:snapToGrid w:val="0"/>
          <w:color w:val="000000"/>
          <w:kern w:val="0"/>
          <w:sz w:val="32"/>
          <w:szCs w:val="32"/>
          <w:lang w:eastAsia="zh-CN"/>
        </w:rPr>
        <w:t>卫生健康</w:t>
      </w:r>
      <w:r>
        <w:rPr>
          <w:rStyle w:val="14"/>
          <w:rFonts w:eastAsia="仿宋_GB2312"/>
          <w:b w:val="0"/>
          <w:bCs/>
          <w:snapToGrid w:val="0"/>
          <w:color w:val="000000"/>
          <w:kern w:val="0"/>
          <w:sz w:val="32"/>
          <w:szCs w:val="32"/>
        </w:rPr>
        <w:t>支出（类）</w:t>
      </w:r>
      <w:r>
        <w:rPr>
          <w:rStyle w:val="14"/>
          <w:rFonts w:hint="eastAsia" w:eastAsia="仿宋_GB2312"/>
          <w:b w:val="0"/>
          <w:bCs/>
          <w:snapToGrid w:val="0"/>
          <w:color w:val="000000"/>
          <w:kern w:val="0"/>
          <w:sz w:val="32"/>
          <w:szCs w:val="32"/>
          <w:lang w:eastAsia="zh-CN"/>
        </w:rPr>
        <w:t>行政事业单位医疗</w:t>
      </w:r>
      <w:r>
        <w:rPr>
          <w:rStyle w:val="14"/>
          <w:rFonts w:eastAsia="仿宋_GB2312"/>
          <w:b w:val="0"/>
          <w:bCs/>
          <w:snapToGrid w:val="0"/>
          <w:color w:val="000000"/>
          <w:kern w:val="0"/>
          <w:sz w:val="32"/>
          <w:szCs w:val="32"/>
        </w:rPr>
        <w:t>（款）</w:t>
      </w:r>
      <w:r>
        <w:rPr>
          <w:rStyle w:val="14"/>
          <w:rFonts w:hint="eastAsia" w:eastAsia="仿宋_GB2312"/>
          <w:b w:val="0"/>
          <w:bCs/>
          <w:snapToGrid w:val="0"/>
          <w:color w:val="000000"/>
          <w:kern w:val="0"/>
          <w:sz w:val="32"/>
          <w:szCs w:val="32"/>
          <w:lang w:eastAsia="zh-CN"/>
        </w:rPr>
        <w:t>事业单位医疗</w:t>
      </w:r>
      <w:r>
        <w:rPr>
          <w:rStyle w:val="14"/>
          <w:rFonts w:eastAsia="仿宋_GB2312"/>
          <w:b w:val="0"/>
          <w:bCs/>
          <w:snapToGrid w:val="0"/>
          <w:color w:val="000000"/>
          <w:kern w:val="0"/>
          <w:sz w:val="32"/>
          <w:szCs w:val="32"/>
        </w:rPr>
        <w:t>（项）：</w:t>
      </w:r>
      <w:r>
        <w:rPr>
          <w:rFonts w:eastAsia="仿宋_GB2312"/>
          <w:b w:val="0"/>
          <w:bCs/>
          <w:snapToGrid w:val="0"/>
          <w:color w:val="000000"/>
          <w:kern w:val="0"/>
          <w:sz w:val="32"/>
          <w:szCs w:val="32"/>
        </w:rPr>
        <w:t>年初预算为</w:t>
      </w:r>
      <w:r>
        <w:rPr>
          <w:rFonts w:hint="eastAsia" w:eastAsia="仿宋_GB2312"/>
          <w:b w:val="0"/>
          <w:bCs/>
          <w:snapToGrid w:val="0"/>
          <w:color w:val="000000"/>
          <w:kern w:val="0"/>
          <w:sz w:val="32"/>
          <w:szCs w:val="32"/>
          <w:lang w:val="en-US" w:eastAsia="zh-CN"/>
        </w:rPr>
        <w:t>28.38</w:t>
      </w:r>
      <w:r>
        <w:rPr>
          <w:rFonts w:eastAsia="仿宋_GB2312"/>
          <w:b w:val="0"/>
          <w:bCs/>
          <w:snapToGrid w:val="0"/>
          <w:color w:val="000000"/>
          <w:kern w:val="0"/>
          <w:sz w:val="32"/>
          <w:szCs w:val="32"/>
        </w:rPr>
        <w:t>万元，支出决算为</w:t>
      </w:r>
      <w:r>
        <w:rPr>
          <w:rFonts w:hint="eastAsia" w:eastAsia="仿宋_GB2312"/>
          <w:b w:val="0"/>
          <w:bCs/>
          <w:snapToGrid w:val="0"/>
          <w:color w:val="000000"/>
          <w:kern w:val="0"/>
          <w:sz w:val="32"/>
          <w:szCs w:val="32"/>
          <w:lang w:val="en-US" w:eastAsia="zh-CN"/>
        </w:rPr>
        <w:t>28.38</w:t>
      </w:r>
      <w:r>
        <w:rPr>
          <w:rFonts w:eastAsia="仿宋_GB2312"/>
          <w:b w:val="0"/>
          <w:bCs/>
          <w:snapToGrid w:val="0"/>
          <w:color w:val="000000"/>
          <w:kern w:val="0"/>
          <w:sz w:val="32"/>
          <w:szCs w:val="32"/>
        </w:rPr>
        <w:t>万元，完成年初预算</w:t>
      </w:r>
      <w:r>
        <w:rPr>
          <w:rFonts w:hint="eastAsia" w:eastAsia="仿宋_GB2312"/>
          <w:b w:val="0"/>
          <w:bCs/>
          <w:snapToGrid w:val="0"/>
          <w:color w:val="000000"/>
          <w:kern w:val="0"/>
          <w:sz w:val="32"/>
          <w:szCs w:val="32"/>
          <w:lang w:val="en-US" w:eastAsia="zh-CN"/>
        </w:rPr>
        <w:t>100</w:t>
      </w:r>
      <w:r>
        <w:rPr>
          <w:rFonts w:eastAsia="仿宋_GB2312"/>
          <w:b w:val="0"/>
          <w:bCs/>
          <w:snapToGrid w:val="0"/>
          <w:color w:val="000000"/>
          <w:kern w:val="0"/>
          <w:sz w:val="32"/>
          <w:szCs w:val="32"/>
        </w:rPr>
        <w:t>%</w:t>
      </w:r>
      <w:r>
        <w:rPr>
          <w:rFonts w:eastAsia="仿宋_GB2312"/>
          <w:b w:val="0"/>
          <w:bCs/>
          <w:snapToGrid w:val="0"/>
          <w:kern w:val="0"/>
          <w:sz w:val="32"/>
          <w:szCs w:val="32"/>
        </w:rPr>
        <w:t>。</w:t>
      </w:r>
    </w:p>
    <w:p>
      <w:pPr>
        <w:overflowPunct w:val="0"/>
        <w:adjustRightInd w:val="0"/>
        <w:snapToGrid w:val="0"/>
        <w:spacing w:line="600" w:lineRule="exact"/>
        <w:ind w:firstLine="640" w:firstLineChars="200"/>
        <w:rPr>
          <w:rFonts w:eastAsia="仿宋_GB2312"/>
          <w:b w:val="0"/>
          <w:bCs/>
          <w:snapToGrid w:val="0"/>
          <w:kern w:val="0"/>
          <w:sz w:val="32"/>
          <w:szCs w:val="32"/>
          <w:highlight w:val="none"/>
        </w:rPr>
      </w:pPr>
      <w:r>
        <w:rPr>
          <w:rFonts w:eastAsia="仿宋_GB2312"/>
          <w:b w:val="0"/>
          <w:bCs/>
          <w:snapToGrid w:val="0"/>
          <w:kern w:val="0"/>
          <w:sz w:val="32"/>
          <w:szCs w:val="32"/>
          <w:highlight w:val="none"/>
        </w:rPr>
        <w:t>2</w:t>
      </w:r>
      <w:r>
        <w:rPr>
          <w:rFonts w:hint="eastAsia" w:eastAsia="仿宋_GB2312"/>
          <w:b w:val="0"/>
          <w:bCs/>
          <w:snapToGrid w:val="0"/>
          <w:kern w:val="0"/>
          <w:sz w:val="32"/>
          <w:szCs w:val="32"/>
          <w:highlight w:val="none"/>
          <w:lang w:val="en-US" w:eastAsia="zh-CN"/>
        </w:rPr>
        <w:t>2</w:t>
      </w:r>
      <w:r>
        <w:rPr>
          <w:rStyle w:val="14"/>
          <w:rFonts w:eastAsia="仿宋_GB2312"/>
          <w:b w:val="0"/>
          <w:bCs/>
          <w:snapToGrid w:val="0"/>
          <w:color w:val="000000"/>
          <w:kern w:val="0"/>
          <w:sz w:val="32"/>
          <w:szCs w:val="32"/>
          <w:highlight w:val="none"/>
        </w:rPr>
        <w:t>．</w:t>
      </w:r>
      <w:r>
        <w:rPr>
          <w:rStyle w:val="14"/>
          <w:rFonts w:hint="eastAsia" w:eastAsia="仿宋_GB2312"/>
          <w:b w:val="0"/>
          <w:bCs/>
          <w:snapToGrid w:val="0"/>
          <w:color w:val="000000"/>
          <w:kern w:val="0"/>
          <w:sz w:val="32"/>
          <w:szCs w:val="32"/>
          <w:highlight w:val="none"/>
          <w:lang w:eastAsia="zh-CN"/>
        </w:rPr>
        <w:t>卫生健康</w:t>
      </w:r>
      <w:r>
        <w:rPr>
          <w:rStyle w:val="14"/>
          <w:rFonts w:eastAsia="仿宋_GB2312"/>
          <w:b w:val="0"/>
          <w:bCs/>
          <w:snapToGrid w:val="0"/>
          <w:color w:val="000000"/>
          <w:kern w:val="0"/>
          <w:sz w:val="32"/>
          <w:szCs w:val="32"/>
          <w:highlight w:val="none"/>
        </w:rPr>
        <w:t>支出（类）</w:t>
      </w:r>
      <w:r>
        <w:rPr>
          <w:rStyle w:val="14"/>
          <w:rFonts w:hint="eastAsia" w:eastAsia="仿宋_GB2312"/>
          <w:b w:val="0"/>
          <w:bCs/>
          <w:snapToGrid w:val="0"/>
          <w:color w:val="000000"/>
          <w:kern w:val="0"/>
          <w:sz w:val="32"/>
          <w:szCs w:val="32"/>
          <w:highlight w:val="none"/>
          <w:lang w:eastAsia="zh-CN"/>
        </w:rPr>
        <w:t>行政事业单位医疗</w:t>
      </w:r>
      <w:r>
        <w:rPr>
          <w:rStyle w:val="14"/>
          <w:rFonts w:eastAsia="仿宋_GB2312"/>
          <w:b w:val="0"/>
          <w:bCs/>
          <w:snapToGrid w:val="0"/>
          <w:color w:val="000000"/>
          <w:kern w:val="0"/>
          <w:sz w:val="32"/>
          <w:szCs w:val="32"/>
          <w:highlight w:val="none"/>
        </w:rPr>
        <w:t>（款）</w:t>
      </w:r>
      <w:r>
        <w:rPr>
          <w:rStyle w:val="14"/>
          <w:rFonts w:hint="eastAsia" w:eastAsia="仿宋_GB2312"/>
          <w:b w:val="0"/>
          <w:bCs/>
          <w:snapToGrid w:val="0"/>
          <w:color w:val="000000"/>
          <w:kern w:val="0"/>
          <w:sz w:val="32"/>
          <w:szCs w:val="32"/>
          <w:highlight w:val="none"/>
          <w:lang w:eastAsia="zh-CN"/>
        </w:rPr>
        <w:t>公务员医疗补助</w:t>
      </w:r>
      <w:r>
        <w:rPr>
          <w:rStyle w:val="14"/>
          <w:rFonts w:eastAsia="仿宋_GB2312"/>
          <w:b w:val="0"/>
          <w:bCs/>
          <w:snapToGrid w:val="0"/>
          <w:color w:val="000000"/>
          <w:kern w:val="0"/>
          <w:sz w:val="32"/>
          <w:szCs w:val="32"/>
          <w:highlight w:val="none"/>
        </w:rPr>
        <w:t>（项）：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44.34</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44.34</w:t>
      </w:r>
      <w:r>
        <w:rPr>
          <w:rFonts w:eastAsia="仿宋_GB2312"/>
          <w:b w:val="0"/>
          <w:bCs/>
          <w:snapToGrid w:val="0"/>
          <w:color w:val="000000"/>
          <w:kern w:val="0"/>
          <w:sz w:val="32"/>
          <w:szCs w:val="32"/>
          <w:highlight w:val="none"/>
        </w:rPr>
        <w:t>万元，完成年初预算</w:t>
      </w:r>
      <w:r>
        <w:rPr>
          <w:rFonts w:hint="eastAsia" w:eastAsia="仿宋_GB2312"/>
          <w:b w:val="0"/>
          <w:bCs/>
          <w:snapToGrid w:val="0"/>
          <w:color w:val="000000"/>
          <w:kern w:val="0"/>
          <w:sz w:val="32"/>
          <w:szCs w:val="32"/>
          <w:highlight w:val="none"/>
          <w:lang w:val="en-US" w:eastAsia="zh-CN"/>
        </w:rPr>
        <w:t>100</w:t>
      </w:r>
      <w:r>
        <w:rPr>
          <w:rFonts w:eastAsia="仿宋_GB2312"/>
          <w:b w:val="0"/>
          <w:bCs/>
          <w:snapToGrid w:val="0"/>
          <w:color w:val="000000"/>
          <w:kern w:val="0"/>
          <w:sz w:val="32"/>
          <w:szCs w:val="32"/>
          <w:highlight w:val="none"/>
        </w:rPr>
        <w:t>%</w:t>
      </w:r>
      <w:r>
        <w:rPr>
          <w:rFonts w:eastAsia="仿宋_GB2312"/>
          <w:b w:val="0"/>
          <w:bCs/>
          <w:snapToGrid w:val="0"/>
          <w:kern w:val="0"/>
          <w:sz w:val="32"/>
          <w:szCs w:val="32"/>
          <w:highlight w:val="none"/>
        </w:rPr>
        <w:t>。</w:t>
      </w:r>
    </w:p>
    <w:p>
      <w:pPr>
        <w:overflowPunct w:val="0"/>
        <w:adjustRightInd w:val="0"/>
        <w:snapToGrid w:val="0"/>
        <w:spacing w:line="600" w:lineRule="exact"/>
        <w:ind w:firstLine="640" w:firstLineChars="200"/>
        <w:rPr>
          <w:rFonts w:eastAsia="仿宋_GB2312"/>
          <w:b w:val="0"/>
          <w:bCs/>
          <w:snapToGrid w:val="0"/>
          <w:color w:val="000000"/>
          <w:kern w:val="0"/>
          <w:sz w:val="32"/>
          <w:szCs w:val="32"/>
        </w:rPr>
      </w:pPr>
      <w:r>
        <w:rPr>
          <w:rFonts w:eastAsia="仿宋_GB2312"/>
          <w:b w:val="0"/>
          <w:bCs/>
          <w:snapToGrid w:val="0"/>
          <w:kern w:val="0"/>
          <w:sz w:val="32"/>
          <w:szCs w:val="32"/>
        </w:rPr>
        <w:t>2</w:t>
      </w:r>
      <w:r>
        <w:rPr>
          <w:rFonts w:hint="eastAsia" w:eastAsia="仿宋_GB2312"/>
          <w:b w:val="0"/>
          <w:bCs/>
          <w:snapToGrid w:val="0"/>
          <w:kern w:val="0"/>
          <w:sz w:val="32"/>
          <w:szCs w:val="32"/>
          <w:lang w:val="en-US" w:eastAsia="zh-CN"/>
        </w:rPr>
        <w:t>3</w:t>
      </w:r>
      <w:r>
        <w:rPr>
          <w:rStyle w:val="14"/>
          <w:rFonts w:eastAsia="仿宋_GB2312"/>
          <w:b w:val="0"/>
          <w:bCs/>
          <w:snapToGrid w:val="0"/>
          <w:color w:val="000000"/>
          <w:kern w:val="0"/>
          <w:sz w:val="32"/>
          <w:szCs w:val="32"/>
        </w:rPr>
        <w:t>．住房保障支出（类）住房改革支出（款）住房公积金（项）：</w:t>
      </w:r>
      <w:r>
        <w:rPr>
          <w:rFonts w:eastAsia="仿宋_GB2312"/>
          <w:b w:val="0"/>
          <w:bCs/>
          <w:snapToGrid w:val="0"/>
          <w:color w:val="000000"/>
          <w:kern w:val="0"/>
          <w:sz w:val="32"/>
          <w:szCs w:val="32"/>
        </w:rPr>
        <w:t>年初预算为</w:t>
      </w:r>
      <w:r>
        <w:rPr>
          <w:rFonts w:hint="eastAsia" w:eastAsia="仿宋_GB2312"/>
          <w:b w:val="0"/>
          <w:bCs/>
          <w:snapToGrid w:val="0"/>
          <w:color w:val="000000"/>
          <w:kern w:val="0"/>
          <w:sz w:val="32"/>
          <w:szCs w:val="32"/>
          <w:lang w:val="en-US" w:eastAsia="zh-CN"/>
        </w:rPr>
        <w:t>282.99</w:t>
      </w:r>
      <w:r>
        <w:rPr>
          <w:rFonts w:eastAsia="仿宋_GB2312"/>
          <w:b w:val="0"/>
          <w:bCs/>
          <w:snapToGrid w:val="0"/>
          <w:color w:val="000000"/>
          <w:kern w:val="0"/>
          <w:sz w:val="32"/>
          <w:szCs w:val="32"/>
        </w:rPr>
        <w:t>万元，支出决算为</w:t>
      </w:r>
      <w:r>
        <w:rPr>
          <w:rFonts w:hint="eastAsia" w:eastAsia="仿宋_GB2312"/>
          <w:b w:val="0"/>
          <w:bCs/>
          <w:snapToGrid w:val="0"/>
          <w:color w:val="000000"/>
          <w:kern w:val="0"/>
          <w:sz w:val="32"/>
          <w:szCs w:val="32"/>
          <w:lang w:val="en-US" w:eastAsia="zh-CN"/>
        </w:rPr>
        <w:t>282.3</w:t>
      </w:r>
      <w:r>
        <w:rPr>
          <w:rFonts w:eastAsia="仿宋_GB2312"/>
          <w:b w:val="0"/>
          <w:bCs/>
          <w:snapToGrid w:val="0"/>
          <w:color w:val="000000"/>
          <w:kern w:val="0"/>
          <w:sz w:val="32"/>
          <w:szCs w:val="32"/>
        </w:rPr>
        <w:t>万元，完成年初预算99.</w:t>
      </w:r>
      <w:r>
        <w:rPr>
          <w:rFonts w:hint="eastAsia" w:eastAsia="仿宋_GB2312"/>
          <w:b w:val="0"/>
          <w:bCs/>
          <w:snapToGrid w:val="0"/>
          <w:color w:val="000000"/>
          <w:kern w:val="0"/>
          <w:sz w:val="32"/>
          <w:szCs w:val="32"/>
          <w:lang w:val="en-US" w:eastAsia="zh-CN"/>
        </w:rPr>
        <w:t>76</w:t>
      </w:r>
      <w:r>
        <w:rPr>
          <w:rFonts w:eastAsia="仿宋_GB2312"/>
          <w:b w:val="0"/>
          <w:bCs/>
          <w:snapToGrid w:val="0"/>
          <w:color w:val="000000"/>
          <w:kern w:val="0"/>
          <w:sz w:val="32"/>
          <w:szCs w:val="32"/>
        </w:rPr>
        <w:t>%</w:t>
      </w:r>
      <w:r>
        <w:rPr>
          <w:rFonts w:eastAsia="仿宋_GB2312"/>
          <w:b w:val="0"/>
          <w:bCs/>
          <w:snapToGrid w:val="0"/>
          <w:kern w:val="0"/>
          <w:sz w:val="32"/>
          <w:szCs w:val="32"/>
        </w:rPr>
        <w:t>。</w:t>
      </w:r>
    </w:p>
    <w:p>
      <w:pPr>
        <w:overflowPunct w:val="0"/>
        <w:adjustRightInd w:val="0"/>
        <w:snapToGrid w:val="0"/>
        <w:spacing w:line="600" w:lineRule="exact"/>
        <w:ind w:firstLine="640" w:firstLineChars="200"/>
        <w:rPr>
          <w:rFonts w:eastAsia="仿宋_GB2312"/>
          <w:b w:val="0"/>
          <w:bCs/>
          <w:snapToGrid w:val="0"/>
          <w:kern w:val="0"/>
          <w:sz w:val="32"/>
          <w:szCs w:val="32"/>
        </w:rPr>
      </w:pPr>
      <w:r>
        <w:rPr>
          <w:rFonts w:eastAsia="仿宋_GB2312"/>
          <w:b w:val="0"/>
          <w:bCs/>
          <w:snapToGrid w:val="0"/>
          <w:kern w:val="0"/>
          <w:sz w:val="32"/>
          <w:szCs w:val="32"/>
        </w:rPr>
        <w:t>2</w:t>
      </w:r>
      <w:r>
        <w:rPr>
          <w:rFonts w:hint="eastAsia" w:eastAsia="仿宋_GB2312"/>
          <w:b w:val="0"/>
          <w:bCs/>
          <w:snapToGrid w:val="0"/>
          <w:kern w:val="0"/>
          <w:sz w:val="32"/>
          <w:szCs w:val="32"/>
          <w:lang w:val="en-US" w:eastAsia="zh-CN"/>
        </w:rPr>
        <w:t>4</w:t>
      </w:r>
      <w:r>
        <w:rPr>
          <w:rStyle w:val="14"/>
          <w:rFonts w:eastAsia="仿宋_GB2312"/>
          <w:b w:val="0"/>
          <w:bCs/>
          <w:snapToGrid w:val="0"/>
          <w:color w:val="000000"/>
          <w:kern w:val="0"/>
          <w:sz w:val="32"/>
          <w:szCs w:val="32"/>
        </w:rPr>
        <w:t>．住房保障支出（类）住房改革支出（款）购房补贴（项）：</w:t>
      </w:r>
      <w:r>
        <w:rPr>
          <w:rFonts w:eastAsia="仿宋_GB2312"/>
          <w:b w:val="0"/>
          <w:bCs/>
          <w:snapToGrid w:val="0"/>
          <w:color w:val="000000"/>
          <w:kern w:val="0"/>
          <w:sz w:val="32"/>
          <w:szCs w:val="32"/>
        </w:rPr>
        <w:t>年初预算为</w:t>
      </w:r>
      <w:r>
        <w:rPr>
          <w:rFonts w:hint="eastAsia" w:eastAsia="仿宋_GB2312"/>
          <w:b w:val="0"/>
          <w:bCs/>
          <w:snapToGrid w:val="0"/>
          <w:color w:val="000000"/>
          <w:kern w:val="0"/>
          <w:sz w:val="32"/>
          <w:szCs w:val="32"/>
          <w:lang w:val="en-US" w:eastAsia="zh-CN"/>
        </w:rPr>
        <w:t>252.42</w:t>
      </w:r>
      <w:r>
        <w:rPr>
          <w:rFonts w:eastAsia="仿宋_GB2312"/>
          <w:b w:val="0"/>
          <w:bCs/>
          <w:snapToGrid w:val="0"/>
          <w:color w:val="000000"/>
          <w:kern w:val="0"/>
          <w:sz w:val="32"/>
          <w:szCs w:val="32"/>
        </w:rPr>
        <w:t>万元，支出决算为</w:t>
      </w:r>
      <w:r>
        <w:rPr>
          <w:rFonts w:hint="eastAsia" w:eastAsia="仿宋_GB2312"/>
          <w:b w:val="0"/>
          <w:bCs/>
          <w:snapToGrid w:val="0"/>
          <w:color w:val="000000"/>
          <w:kern w:val="0"/>
          <w:sz w:val="32"/>
          <w:szCs w:val="32"/>
          <w:lang w:val="en-US" w:eastAsia="zh-CN"/>
        </w:rPr>
        <w:t>252.42</w:t>
      </w:r>
      <w:r>
        <w:rPr>
          <w:rFonts w:eastAsia="仿宋_GB2312"/>
          <w:b w:val="0"/>
          <w:bCs/>
          <w:snapToGrid w:val="0"/>
          <w:color w:val="000000"/>
          <w:kern w:val="0"/>
          <w:sz w:val="32"/>
          <w:szCs w:val="32"/>
        </w:rPr>
        <w:t>万元，完成年初预算100%</w:t>
      </w:r>
      <w:r>
        <w:rPr>
          <w:rFonts w:eastAsia="仿宋_GB2312"/>
          <w:b w:val="0"/>
          <w:bCs/>
          <w:snapToGrid w:val="0"/>
          <w:kern w:val="0"/>
          <w:sz w:val="32"/>
          <w:szCs w:val="32"/>
        </w:rPr>
        <w:t>。</w:t>
      </w:r>
    </w:p>
    <w:p>
      <w:pPr>
        <w:overflowPunct w:val="0"/>
        <w:adjustRightInd w:val="0"/>
        <w:snapToGrid w:val="0"/>
        <w:spacing w:line="600" w:lineRule="exact"/>
        <w:ind w:firstLine="640" w:firstLineChars="200"/>
        <w:rPr>
          <w:rFonts w:hint="eastAsia" w:eastAsia="仿宋_GB2312"/>
          <w:b w:val="0"/>
          <w:bCs/>
          <w:snapToGrid w:val="0"/>
          <w:kern w:val="0"/>
          <w:sz w:val="32"/>
          <w:szCs w:val="32"/>
          <w:lang w:eastAsia="zh-CN"/>
        </w:rPr>
      </w:pPr>
      <w:r>
        <w:rPr>
          <w:rFonts w:eastAsia="仿宋_GB2312"/>
          <w:b w:val="0"/>
          <w:bCs/>
          <w:snapToGrid w:val="0"/>
          <w:kern w:val="0"/>
          <w:sz w:val="32"/>
          <w:szCs w:val="32"/>
        </w:rPr>
        <w:t>2</w:t>
      </w:r>
      <w:r>
        <w:rPr>
          <w:rFonts w:hint="eastAsia" w:eastAsia="仿宋_GB2312"/>
          <w:b w:val="0"/>
          <w:bCs/>
          <w:snapToGrid w:val="0"/>
          <w:kern w:val="0"/>
          <w:sz w:val="32"/>
          <w:szCs w:val="32"/>
          <w:lang w:val="en-US" w:eastAsia="zh-CN"/>
        </w:rPr>
        <w:t>5</w:t>
      </w:r>
      <w:r>
        <w:rPr>
          <w:rStyle w:val="14"/>
          <w:rFonts w:eastAsia="仿宋_GB2312"/>
          <w:b w:val="0"/>
          <w:bCs/>
          <w:snapToGrid w:val="0"/>
          <w:color w:val="000000"/>
          <w:kern w:val="0"/>
          <w:sz w:val="32"/>
          <w:szCs w:val="32"/>
        </w:rPr>
        <w:t>．</w:t>
      </w:r>
      <w:r>
        <w:rPr>
          <w:rStyle w:val="14"/>
          <w:rFonts w:hint="eastAsia" w:eastAsia="仿宋_GB2312"/>
          <w:b w:val="0"/>
          <w:bCs/>
          <w:snapToGrid w:val="0"/>
          <w:color w:val="000000"/>
          <w:kern w:val="0"/>
          <w:sz w:val="32"/>
          <w:szCs w:val="32"/>
          <w:lang w:eastAsia="zh-CN"/>
        </w:rPr>
        <w:t>灾害防治及应急管理</w:t>
      </w:r>
      <w:r>
        <w:rPr>
          <w:rStyle w:val="14"/>
          <w:rFonts w:eastAsia="仿宋_GB2312"/>
          <w:b w:val="0"/>
          <w:bCs/>
          <w:snapToGrid w:val="0"/>
          <w:color w:val="000000"/>
          <w:kern w:val="0"/>
          <w:sz w:val="32"/>
          <w:szCs w:val="32"/>
        </w:rPr>
        <w:t>支出（类）</w:t>
      </w:r>
      <w:r>
        <w:rPr>
          <w:rStyle w:val="14"/>
          <w:rFonts w:hint="eastAsia" w:eastAsia="仿宋_GB2312"/>
          <w:b w:val="0"/>
          <w:bCs/>
          <w:snapToGrid w:val="0"/>
          <w:color w:val="000000"/>
          <w:kern w:val="0"/>
          <w:sz w:val="32"/>
          <w:szCs w:val="32"/>
          <w:lang w:eastAsia="zh-CN"/>
        </w:rPr>
        <w:t>应急管理事务</w:t>
      </w:r>
      <w:r>
        <w:rPr>
          <w:rStyle w:val="14"/>
          <w:rFonts w:eastAsia="仿宋_GB2312"/>
          <w:b w:val="0"/>
          <w:bCs/>
          <w:snapToGrid w:val="0"/>
          <w:color w:val="000000"/>
          <w:kern w:val="0"/>
          <w:sz w:val="32"/>
          <w:szCs w:val="32"/>
        </w:rPr>
        <w:t>（款）</w:t>
      </w:r>
      <w:r>
        <w:rPr>
          <w:rStyle w:val="14"/>
          <w:rFonts w:hint="eastAsia" w:eastAsia="仿宋_GB2312"/>
          <w:b w:val="0"/>
          <w:bCs/>
          <w:snapToGrid w:val="0"/>
          <w:color w:val="000000"/>
          <w:kern w:val="0"/>
          <w:sz w:val="32"/>
          <w:szCs w:val="32"/>
          <w:lang w:eastAsia="zh-CN"/>
        </w:rPr>
        <w:t>其他应急管理支出</w:t>
      </w:r>
      <w:r>
        <w:rPr>
          <w:rStyle w:val="14"/>
          <w:rFonts w:eastAsia="仿宋_GB2312"/>
          <w:b w:val="0"/>
          <w:bCs/>
          <w:snapToGrid w:val="0"/>
          <w:color w:val="000000"/>
          <w:kern w:val="0"/>
          <w:sz w:val="32"/>
          <w:szCs w:val="32"/>
        </w:rPr>
        <w:t>（项）：</w:t>
      </w:r>
      <w:r>
        <w:rPr>
          <w:rFonts w:eastAsia="仿宋_GB2312"/>
          <w:b w:val="0"/>
          <w:bCs/>
          <w:snapToGrid w:val="0"/>
          <w:color w:val="000000"/>
          <w:kern w:val="0"/>
          <w:sz w:val="32"/>
          <w:szCs w:val="32"/>
        </w:rPr>
        <w:t>年初预算为</w:t>
      </w:r>
      <w:r>
        <w:rPr>
          <w:rFonts w:hint="eastAsia" w:eastAsia="仿宋_GB2312"/>
          <w:b w:val="0"/>
          <w:bCs/>
          <w:snapToGrid w:val="0"/>
          <w:color w:val="000000"/>
          <w:kern w:val="0"/>
          <w:sz w:val="32"/>
          <w:szCs w:val="32"/>
          <w:lang w:val="en-US" w:eastAsia="zh-CN"/>
        </w:rPr>
        <w:t>8</w:t>
      </w:r>
      <w:r>
        <w:rPr>
          <w:rFonts w:eastAsia="仿宋_GB2312"/>
          <w:b w:val="0"/>
          <w:bCs/>
          <w:snapToGrid w:val="0"/>
          <w:color w:val="000000"/>
          <w:kern w:val="0"/>
          <w:sz w:val="32"/>
          <w:szCs w:val="32"/>
        </w:rPr>
        <w:t>万元，支出决算为</w:t>
      </w:r>
      <w:r>
        <w:rPr>
          <w:rFonts w:hint="eastAsia" w:eastAsia="仿宋_GB2312"/>
          <w:b w:val="0"/>
          <w:bCs/>
          <w:snapToGrid w:val="0"/>
          <w:color w:val="000000"/>
          <w:kern w:val="0"/>
          <w:sz w:val="32"/>
          <w:szCs w:val="32"/>
          <w:lang w:val="en-US" w:eastAsia="zh-CN"/>
        </w:rPr>
        <w:t>7.93</w:t>
      </w:r>
      <w:r>
        <w:rPr>
          <w:rFonts w:eastAsia="仿宋_GB2312"/>
          <w:b w:val="0"/>
          <w:bCs/>
          <w:snapToGrid w:val="0"/>
          <w:color w:val="000000"/>
          <w:kern w:val="0"/>
          <w:sz w:val="32"/>
          <w:szCs w:val="32"/>
        </w:rPr>
        <w:t>万元，完成年初预算</w:t>
      </w:r>
      <w:r>
        <w:rPr>
          <w:rFonts w:hint="eastAsia" w:eastAsia="仿宋_GB2312"/>
          <w:b w:val="0"/>
          <w:bCs/>
          <w:snapToGrid w:val="0"/>
          <w:color w:val="000000"/>
          <w:kern w:val="0"/>
          <w:sz w:val="32"/>
          <w:szCs w:val="32"/>
          <w:lang w:val="en-US" w:eastAsia="zh-CN"/>
        </w:rPr>
        <w:t>99.1</w:t>
      </w:r>
      <w:r>
        <w:rPr>
          <w:rFonts w:eastAsia="仿宋_GB2312"/>
          <w:b w:val="0"/>
          <w:bCs/>
          <w:snapToGrid w:val="0"/>
          <w:color w:val="000000"/>
          <w:kern w:val="0"/>
          <w:sz w:val="32"/>
          <w:szCs w:val="32"/>
        </w:rPr>
        <w:t>%</w:t>
      </w:r>
      <w:r>
        <w:rPr>
          <w:rFonts w:eastAsia="仿宋_GB2312"/>
          <w:b w:val="0"/>
          <w:bCs/>
          <w:snapToGrid w:val="0"/>
          <w:kern w:val="0"/>
          <w:sz w:val="32"/>
          <w:szCs w:val="32"/>
        </w:rPr>
        <w:t>。</w:t>
      </w:r>
    </w:p>
    <w:p>
      <w:pPr>
        <w:spacing w:line="600" w:lineRule="exact"/>
        <w:ind w:firstLine="640" w:firstLineChars="200"/>
        <w:rPr>
          <w:rFonts w:ascii="仿宋" w:hAnsi="仿宋" w:eastAsia="仿宋_GB2312"/>
          <w:b w:val="0"/>
          <w:bCs/>
          <w:color w:val="000000"/>
          <w:sz w:val="32"/>
          <w:szCs w:val="32"/>
          <w:lang w:val="en-US" w:eastAsia="zh-CN"/>
        </w:rPr>
      </w:pPr>
      <w:r>
        <w:rPr>
          <w:rFonts w:hint="eastAsia" w:eastAsia="仿宋_GB2312"/>
          <w:b w:val="0"/>
          <w:bCs/>
          <w:snapToGrid w:val="0"/>
          <w:kern w:val="0"/>
          <w:sz w:val="32"/>
          <w:szCs w:val="32"/>
          <w:lang w:val="en-US" w:eastAsia="zh-CN"/>
        </w:rPr>
        <w:t>26</w:t>
      </w:r>
      <w:r>
        <w:rPr>
          <w:rStyle w:val="14"/>
          <w:rFonts w:eastAsia="仿宋_GB2312"/>
          <w:b w:val="0"/>
          <w:bCs/>
          <w:snapToGrid w:val="0"/>
          <w:color w:val="000000"/>
          <w:kern w:val="0"/>
          <w:sz w:val="32"/>
          <w:szCs w:val="32"/>
        </w:rPr>
        <w:t>．其他支出（类）其他支出（款）其他支出（项）：</w:t>
      </w:r>
      <w:r>
        <w:rPr>
          <w:rFonts w:eastAsia="仿宋_GB2312"/>
          <w:b w:val="0"/>
          <w:bCs/>
          <w:snapToGrid w:val="0"/>
          <w:color w:val="000000"/>
          <w:kern w:val="0"/>
          <w:sz w:val="32"/>
          <w:szCs w:val="32"/>
        </w:rPr>
        <w:t>年初预算为</w:t>
      </w:r>
      <w:r>
        <w:rPr>
          <w:rFonts w:hint="eastAsia" w:eastAsia="仿宋_GB2312"/>
          <w:b w:val="0"/>
          <w:bCs/>
          <w:snapToGrid w:val="0"/>
          <w:color w:val="000000"/>
          <w:kern w:val="0"/>
          <w:sz w:val="32"/>
          <w:szCs w:val="32"/>
          <w:lang w:val="en-US" w:eastAsia="zh-CN"/>
        </w:rPr>
        <w:t>152.99</w:t>
      </w:r>
      <w:r>
        <w:rPr>
          <w:rFonts w:eastAsia="仿宋_GB2312"/>
          <w:b w:val="0"/>
          <w:bCs/>
          <w:snapToGrid w:val="0"/>
          <w:color w:val="000000"/>
          <w:kern w:val="0"/>
          <w:sz w:val="32"/>
          <w:szCs w:val="32"/>
        </w:rPr>
        <w:t>万元，支出决算为</w:t>
      </w:r>
      <w:r>
        <w:rPr>
          <w:rFonts w:hint="eastAsia" w:eastAsia="仿宋_GB2312"/>
          <w:b w:val="0"/>
          <w:bCs/>
          <w:snapToGrid w:val="0"/>
          <w:color w:val="000000"/>
          <w:kern w:val="0"/>
          <w:sz w:val="32"/>
          <w:szCs w:val="32"/>
          <w:lang w:val="en-US" w:eastAsia="zh-CN"/>
        </w:rPr>
        <w:t>152.99</w:t>
      </w:r>
      <w:r>
        <w:rPr>
          <w:rFonts w:eastAsia="仿宋_GB2312"/>
          <w:b w:val="0"/>
          <w:bCs/>
          <w:snapToGrid w:val="0"/>
          <w:color w:val="000000"/>
          <w:kern w:val="0"/>
          <w:sz w:val="32"/>
          <w:szCs w:val="32"/>
        </w:rPr>
        <w:t>万</w:t>
      </w:r>
      <w:r>
        <w:rPr>
          <w:rFonts w:hint="eastAsia" w:eastAsia="仿宋_GB2312"/>
          <w:b w:val="0"/>
          <w:bCs/>
          <w:snapToGrid w:val="0"/>
          <w:color w:val="000000"/>
          <w:kern w:val="0"/>
          <w:sz w:val="32"/>
          <w:szCs w:val="32"/>
          <w:lang w:eastAsia="zh-CN"/>
        </w:rPr>
        <w:t>元，完成年初预算</w:t>
      </w:r>
      <w:r>
        <w:rPr>
          <w:rFonts w:hint="eastAsia" w:eastAsia="仿宋_GB2312"/>
          <w:b w:val="0"/>
          <w:bCs/>
          <w:snapToGrid w:val="0"/>
          <w:color w:val="000000"/>
          <w:kern w:val="0"/>
          <w:sz w:val="32"/>
          <w:szCs w:val="32"/>
          <w:lang w:val="en-US" w:eastAsia="zh-CN"/>
        </w:rPr>
        <w:t>100%。</w:t>
      </w:r>
    </w:p>
    <w:p>
      <w:pPr>
        <w:tabs>
          <w:tab w:val="right" w:pos="8306"/>
        </w:tabs>
        <w:spacing w:line="600" w:lineRule="exact"/>
        <w:ind w:firstLine="640"/>
        <w:outlineLvl w:val="1"/>
        <w:rPr>
          <w:rStyle w:val="17"/>
        </w:rPr>
      </w:pPr>
      <w:bookmarkStart w:id="38" w:name="_Toc15377214"/>
      <w:bookmarkStart w:id="39" w:name="_Toc15396608"/>
      <w:r>
        <w:rPr>
          <w:rFonts w:hint="eastAsia" w:ascii="黑体" w:eastAsia="黑体"/>
          <w:color w:val="000000"/>
          <w:sz w:val="32"/>
          <w:szCs w:val="32"/>
        </w:rPr>
        <w:t>六</w:t>
      </w:r>
      <w:r>
        <w:rPr>
          <w:rFonts w:hint="eastAsia" w:ascii="黑体" w:eastAsia="黑体"/>
          <w:b/>
          <w:color w:val="000000"/>
          <w:sz w:val="32"/>
          <w:szCs w:val="32"/>
        </w:rPr>
        <w:t>、一</w:t>
      </w:r>
      <w:r>
        <w:rPr>
          <w:rStyle w:val="17"/>
          <w:rFonts w:hint="eastAsia" w:ascii="黑体" w:eastAsia="黑体"/>
          <w:b w:val="0"/>
        </w:rPr>
        <w:t>般公共预算财政拨款基本支出决算情况说明</w:t>
      </w:r>
      <w:bookmarkEnd w:id="38"/>
      <w:bookmarkEnd w:id="39"/>
      <w:r>
        <w:rPr>
          <w:rStyle w:val="17"/>
          <w:rFonts w:ascii="黑体" w:eastAsia="黑体"/>
          <w:b w:val="0"/>
        </w:rPr>
        <w:tab/>
      </w:r>
    </w:p>
    <w:p>
      <w:pPr>
        <w:spacing w:line="60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年一般公共预算财政拨款基本支出</w:t>
      </w:r>
      <w:r>
        <w:rPr>
          <w:rFonts w:hint="eastAsia" w:ascii="仿宋_GB2312" w:hAnsi="仿宋_GB2312" w:eastAsia="仿宋_GB2312" w:cs="仿宋_GB2312"/>
          <w:color w:val="000000"/>
          <w:sz w:val="32"/>
          <w:szCs w:val="32"/>
          <w:lang w:val="en-US" w:eastAsia="zh-CN"/>
        </w:rPr>
        <w:t>14370.63</w:t>
      </w:r>
      <w:r>
        <w:rPr>
          <w:rFonts w:hint="eastAsia" w:ascii="仿宋_GB2312" w:hAnsi="仿宋_GB2312" w:eastAsia="仿宋_GB2312" w:cs="仿宋_GB2312"/>
          <w:color w:val="000000"/>
          <w:sz w:val="32"/>
          <w:szCs w:val="32"/>
        </w:rPr>
        <w:t>万元，其中：</w:t>
      </w:r>
    </w:p>
    <w:p>
      <w:pPr>
        <w:spacing w:line="600" w:lineRule="exact"/>
        <w:ind w:firstLine="645"/>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人员经费</w:t>
      </w:r>
      <w:r>
        <w:rPr>
          <w:rFonts w:hint="eastAsia" w:ascii="仿宋_GB2312" w:hAnsi="仿宋_GB2312" w:eastAsia="仿宋_GB2312" w:cs="仿宋_GB2312"/>
          <w:color w:val="000000"/>
          <w:sz w:val="32"/>
          <w:szCs w:val="32"/>
          <w:lang w:val="en-US" w:eastAsia="zh-CN"/>
        </w:rPr>
        <w:t>11079.95</w:t>
      </w:r>
      <w:r>
        <w:rPr>
          <w:rFonts w:hint="eastAsia" w:ascii="仿宋_GB2312" w:hAnsi="仿宋_GB2312" w:eastAsia="仿宋_GB2312" w:cs="仿宋_GB2312"/>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日常公用经费</w:t>
      </w:r>
      <w:r>
        <w:rPr>
          <w:rFonts w:hint="eastAsia" w:ascii="仿宋_GB2312" w:hAnsi="仿宋_GB2312" w:eastAsia="仿宋_GB2312" w:cs="仿宋_GB2312"/>
          <w:color w:val="000000"/>
          <w:sz w:val="32"/>
          <w:szCs w:val="32"/>
          <w:lang w:val="en-US" w:eastAsia="zh-CN"/>
        </w:rPr>
        <w:t>3290.67</w:t>
      </w:r>
      <w:r>
        <w:rPr>
          <w:rFonts w:hint="eastAsia" w:ascii="仿宋_GB2312" w:hAnsi="仿宋_GB2312" w:eastAsia="仿宋_GB2312" w:cs="仿宋_GB2312"/>
          <w:color w:val="000000"/>
          <w:sz w:val="32"/>
          <w:szCs w:val="32"/>
        </w:rPr>
        <w:t>万元，主要包括：办公费、印刷费、咨询费、手续费、水费、电费、邮电费、取暖费、物业管理费、差旅费、维修（护）费、租赁费、会议费、培训费、公务接待费、劳务费、委托业务费、工会经费、福利费、公务用车运行维护费、其他交通费、其他商品和服务支出、办公设备购置、专用设备购置、信息网络及软件购置更新、其他资本性支出等。</w:t>
      </w:r>
    </w:p>
    <w:p>
      <w:pPr>
        <w:spacing w:line="600" w:lineRule="exact"/>
        <w:ind w:firstLine="640"/>
        <w:outlineLvl w:val="1"/>
        <w:rPr>
          <w:rStyle w:val="17"/>
          <w:rFonts w:ascii="黑体" w:eastAsia="黑体"/>
          <w:b w:val="0"/>
        </w:rPr>
      </w:pPr>
      <w:bookmarkStart w:id="40" w:name="_Toc15396609"/>
      <w:bookmarkStart w:id="41" w:name="_Toc15377215"/>
      <w:r>
        <w:rPr>
          <w:rFonts w:hint="eastAsia" w:ascii="黑体" w:eastAsia="黑体"/>
          <w:color w:val="000000"/>
          <w:sz w:val="32"/>
          <w:szCs w:val="32"/>
        </w:rPr>
        <w:t>七、</w:t>
      </w:r>
      <w:r>
        <w:rPr>
          <w:rStyle w:val="17"/>
          <w:rFonts w:hint="eastAsia" w:ascii="黑体" w:eastAsia="黑体"/>
        </w:rPr>
        <w:t>“</w:t>
      </w:r>
      <w:r>
        <w:rPr>
          <w:rStyle w:val="17"/>
          <w:rFonts w:hint="eastAsia" w:ascii="黑体" w:eastAsia="黑体"/>
          <w:b w:val="0"/>
        </w:rPr>
        <w:t>三公”经费财政拨款支出决算情况说明</w:t>
      </w:r>
      <w:bookmarkEnd w:id="40"/>
      <w:bookmarkEnd w:id="41"/>
    </w:p>
    <w:p>
      <w:pPr>
        <w:spacing w:line="600" w:lineRule="exact"/>
        <w:ind w:firstLine="640"/>
        <w:outlineLvl w:val="2"/>
        <w:rPr>
          <w:rFonts w:ascii="仿宋" w:eastAsia="仿宋"/>
          <w:b/>
          <w:color w:val="000000"/>
          <w:sz w:val="32"/>
          <w:szCs w:val="32"/>
        </w:rPr>
      </w:pPr>
      <w:bookmarkStart w:id="42" w:name="_Toc15377216"/>
      <w:r>
        <w:rPr>
          <w:rFonts w:hint="eastAsia" w:ascii="仿宋" w:eastAsia="仿宋"/>
          <w:b/>
          <w:color w:val="000000"/>
          <w:sz w:val="32"/>
          <w:szCs w:val="32"/>
        </w:rPr>
        <w:t>（一）“三公”经费财政拨款支出决算总体情况说明</w:t>
      </w:r>
      <w:bookmarkEnd w:id="42"/>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年“三公”经费财政拨款支出决算为</w:t>
      </w:r>
      <w:r>
        <w:rPr>
          <w:rFonts w:hint="eastAsia" w:ascii="仿宋_GB2312" w:hAnsi="仿宋_GB2312" w:eastAsia="仿宋_GB2312" w:cs="仿宋_GB2312"/>
          <w:color w:val="000000"/>
          <w:sz w:val="32"/>
          <w:szCs w:val="32"/>
          <w:lang w:val="en-US" w:eastAsia="zh-CN"/>
        </w:rPr>
        <w:t>71.06</w:t>
      </w:r>
      <w:r>
        <w:rPr>
          <w:rFonts w:hint="eastAsia" w:ascii="仿宋_GB2312" w:hAnsi="仿宋_GB2312" w:eastAsia="仿宋_GB2312" w:cs="仿宋_GB2312"/>
          <w:color w:val="000000"/>
          <w:sz w:val="32"/>
          <w:szCs w:val="32"/>
        </w:rPr>
        <w:t>万元，完成预算</w:t>
      </w:r>
      <w:r>
        <w:rPr>
          <w:rFonts w:hint="eastAsia" w:ascii="仿宋_GB2312" w:hAnsi="仿宋_GB2312" w:eastAsia="仿宋_GB2312" w:cs="仿宋_GB2312"/>
          <w:color w:val="000000"/>
          <w:sz w:val="32"/>
          <w:szCs w:val="32"/>
          <w:lang w:val="en-US" w:eastAsia="zh-CN"/>
        </w:rPr>
        <w:t>29.6</w:t>
      </w:r>
      <w:r>
        <w:rPr>
          <w:rFonts w:hint="eastAsia" w:ascii="仿宋_GB2312" w:hAnsi="仿宋_GB2312" w:eastAsia="仿宋_GB2312" w:cs="仿宋_GB2312"/>
          <w:color w:val="000000"/>
          <w:sz w:val="32"/>
          <w:szCs w:val="32"/>
        </w:rPr>
        <w:t>%，决算数小于预算数的主要原因是</w:t>
      </w:r>
      <w:r>
        <w:rPr>
          <w:rFonts w:hint="eastAsia" w:ascii="仿宋_GB2312" w:hAnsi="仿宋_GB2312" w:eastAsia="仿宋_GB2312" w:cs="仿宋_GB2312"/>
          <w:color w:val="000000"/>
          <w:sz w:val="32"/>
          <w:szCs w:val="32"/>
          <w:lang w:val="en-US" w:eastAsia="zh-CN"/>
        </w:rPr>
        <w:t>受疫情影响，一是按财政统一要求压减因公出国（境）费用；二是减少公务接待次数和</w:t>
      </w:r>
      <w:r>
        <w:rPr>
          <w:rFonts w:hint="eastAsia" w:ascii="仿宋_GB2312" w:hAnsi="仿宋_GB2312" w:eastAsia="仿宋_GB2312" w:cs="仿宋_GB2312"/>
          <w:color w:val="000000"/>
          <w:sz w:val="32"/>
          <w:szCs w:val="32"/>
          <w:lang w:eastAsia="zh-CN"/>
        </w:rPr>
        <w:t>人次。</w:t>
      </w:r>
    </w:p>
    <w:p>
      <w:pPr>
        <w:spacing w:line="600" w:lineRule="exact"/>
        <w:ind w:firstLine="640"/>
        <w:outlineLvl w:val="2"/>
        <w:rPr>
          <w:rFonts w:ascii="仿宋" w:eastAsia="仿宋"/>
          <w:b/>
          <w:color w:val="000000"/>
          <w:sz w:val="32"/>
          <w:szCs w:val="32"/>
        </w:rPr>
      </w:pPr>
      <w:bookmarkStart w:id="43" w:name="_Toc15377217"/>
      <w:r>
        <w:rPr>
          <w:rFonts w:hint="eastAsia" w:ascii="仿宋" w:eastAsia="仿宋"/>
          <w:b/>
          <w:color w:val="000000"/>
          <w:sz w:val="32"/>
          <w:szCs w:val="32"/>
        </w:rPr>
        <w:t>（二）“三公”经费财政拨款支出决算具体情况说明</w:t>
      </w:r>
      <w:bookmarkEnd w:id="43"/>
    </w:p>
    <w:p>
      <w:pPr>
        <w:spacing w:line="600" w:lineRule="exact"/>
        <w:ind w:firstLine="640"/>
        <w:rPr>
          <w:rFonts w:hint="eastAsia" w:ascii="方正仿宋_GB2312" w:hAnsi="方正仿宋_GB2312" w:eastAsia="方正仿宋_GB2312" w:cs="方正仿宋_GB2312"/>
          <w:color w:val="000000"/>
          <w:sz w:val="32"/>
          <w:szCs w:val="32"/>
        </w:rPr>
      </w:pPr>
      <w:r>
        <w:rPr>
          <w:rFonts w:ascii="仿宋" w:eastAsia="仿宋"/>
          <w:color w:val="000000"/>
          <w:sz w:val="32"/>
          <w:szCs w:val="32"/>
        </w:rPr>
        <w:t>20</w:t>
      </w:r>
      <w:r>
        <w:rPr>
          <w:rFonts w:hint="eastAsia" w:ascii="仿宋" w:eastAsia="仿宋"/>
          <w:color w:val="000000"/>
          <w:sz w:val="32"/>
          <w:szCs w:val="32"/>
          <w:lang w:val="en-US" w:eastAsia="zh-CN"/>
        </w:rPr>
        <w:t>20</w:t>
      </w:r>
      <w:r>
        <w:rPr>
          <w:rFonts w:hint="eastAsia" w:ascii="仿宋" w:eastAsia="仿宋"/>
          <w:color w:val="000000"/>
          <w:sz w:val="32"/>
          <w:szCs w:val="32"/>
        </w:rPr>
        <w:t>年“三公”经费财政拨款支出决算中，</w:t>
      </w:r>
      <w:r>
        <w:rPr>
          <w:rFonts w:hint="eastAsia" w:ascii="仿宋" w:eastAsia="仿宋"/>
          <w:color w:val="000000"/>
          <w:sz w:val="32"/>
          <w:szCs w:val="32"/>
          <w:lang w:eastAsia="zh-CN"/>
        </w:rPr>
        <w:t>无</w:t>
      </w:r>
      <w:r>
        <w:rPr>
          <w:rFonts w:hint="eastAsia" w:ascii="仿宋" w:eastAsia="仿宋"/>
          <w:color w:val="000000"/>
          <w:sz w:val="32"/>
          <w:szCs w:val="32"/>
        </w:rPr>
        <w:t>因公出国（境）费支出</w:t>
      </w:r>
      <w:r>
        <w:rPr>
          <w:rFonts w:hint="eastAsia" w:ascii="仿宋" w:eastAsia="仿宋"/>
          <w:color w:val="000000"/>
          <w:sz w:val="32"/>
          <w:szCs w:val="32"/>
          <w:lang w:eastAsia="zh-CN"/>
        </w:rPr>
        <w:t>，与去年持平</w:t>
      </w:r>
      <w:bookmarkStart w:id="70" w:name="_GoBack"/>
      <w:bookmarkEnd w:id="70"/>
      <w:r>
        <w:rPr>
          <w:rFonts w:hint="eastAsia" w:ascii="仿宋" w:eastAsia="仿宋"/>
          <w:color w:val="000000"/>
          <w:sz w:val="32"/>
          <w:szCs w:val="32"/>
        </w:rPr>
        <w:t>；公务用车购置及运行维护费支出决算</w:t>
      </w:r>
      <w:r>
        <w:rPr>
          <w:rFonts w:hint="eastAsia" w:ascii="仿宋" w:eastAsia="仿宋"/>
          <w:color w:val="000000"/>
          <w:sz w:val="32"/>
          <w:szCs w:val="32"/>
          <w:lang w:val="en-US" w:eastAsia="zh-CN"/>
        </w:rPr>
        <w:t>59.13</w:t>
      </w:r>
      <w:r>
        <w:rPr>
          <w:rFonts w:hint="eastAsia" w:ascii="仿宋" w:eastAsia="仿宋"/>
          <w:color w:val="000000"/>
          <w:sz w:val="32"/>
          <w:szCs w:val="32"/>
        </w:rPr>
        <w:t>万元，占</w:t>
      </w:r>
      <w:r>
        <w:rPr>
          <w:rFonts w:hint="eastAsia" w:ascii="仿宋" w:eastAsia="仿宋"/>
          <w:color w:val="000000"/>
          <w:sz w:val="32"/>
          <w:szCs w:val="32"/>
          <w:lang w:val="en-US" w:eastAsia="zh-CN"/>
        </w:rPr>
        <w:t>83.21</w:t>
      </w:r>
      <w:r>
        <w:rPr>
          <w:rFonts w:ascii="仿宋" w:eastAsia="仿宋"/>
          <w:color w:val="000000"/>
          <w:sz w:val="32"/>
          <w:szCs w:val="32"/>
        </w:rPr>
        <w:t>%</w:t>
      </w:r>
      <w:r>
        <w:rPr>
          <w:rFonts w:hint="eastAsia" w:ascii="仿宋" w:eastAsia="仿宋"/>
          <w:color w:val="000000"/>
          <w:sz w:val="32"/>
          <w:szCs w:val="32"/>
        </w:rPr>
        <w:t>；公务接待费支出决算</w:t>
      </w:r>
      <w:r>
        <w:rPr>
          <w:rFonts w:hint="eastAsia" w:ascii="仿宋" w:eastAsia="仿宋"/>
          <w:color w:val="000000"/>
          <w:sz w:val="32"/>
          <w:szCs w:val="32"/>
          <w:lang w:val="en-US" w:eastAsia="zh-CN"/>
        </w:rPr>
        <w:t>11.93</w:t>
      </w:r>
      <w:r>
        <w:rPr>
          <w:rFonts w:hint="eastAsia" w:ascii="仿宋" w:eastAsia="仿宋"/>
          <w:color w:val="000000"/>
          <w:sz w:val="32"/>
          <w:szCs w:val="32"/>
        </w:rPr>
        <w:t>万元，占</w:t>
      </w:r>
      <w:r>
        <w:rPr>
          <w:rFonts w:hint="eastAsia" w:ascii="仿宋" w:eastAsia="仿宋"/>
          <w:color w:val="000000"/>
          <w:sz w:val="32"/>
          <w:szCs w:val="32"/>
          <w:lang w:val="en-US" w:eastAsia="zh-CN"/>
        </w:rPr>
        <w:t>16.79</w:t>
      </w:r>
      <w:r>
        <w:rPr>
          <w:rFonts w:ascii="仿宋" w:eastAsia="仿宋"/>
          <w:color w:val="000000"/>
          <w:sz w:val="32"/>
          <w:szCs w:val="32"/>
        </w:rPr>
        <w:t>%</w:t>
      </w:r>
      <w:r>
        <w:rPr>
          <w:rFonts w:hint="eastAsia" w:ascii="仿宋" w:eastAsia="仿宋"/>
          <w:color w:val="000000"/>
          <w:sz w:val="32"/>
          <w:szCs w:val="32"/>
        </w:rPr>
        <w:t>。具体情况如下：</w:t>
      </w:r>
    </w:p>
    <w:p>
      <w:pPr>
        <w:spacing w:line="600" w:lineRule="exact"/>
        <w:ind w:firstLine="640"/>
        <w:rPr>
          <w:rFonts w:hint="eastAsia" w:ascii="仿宋" w:eastAsia="仿宋"/>
          <w:color w:val="000000"/>
          <w:sz w:val="32"/>
          <w:szCs w:val="32"/>
          <w:lang w:eastAsia="zh-CN"/>
        </w:rPr>
      </w:pPr>
      <w:r>
        <w:rPr>
          <w:rFonts w:hint="eastAsia" w:ascii="仿宋" w:eastAsia="仿宋"/>
          <w:color w:val="000000"/>
          <w:sz w:val="32"/>
          <w:szCs w:val="32"/>
        </w:rPr>
        <w:t>（图7：“三公”经费财政拨款支出结构）（饼状图</w:t>
      </w:r>
      <w:r>
        <w:rPr>
          <w:rFonts w:hint="eastAsia" w:ascii="仿宋" w:eastAsia="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eastAsia" w:ascii="仿宋" w:eastAsia="仿宋"/>
          <w:color w:val="000000"/>
          <w:sz w:val="32"/>
          <w:szCs w:val="32"/>
        </w:rPr>
      </w:pPr>
      <w:r>
        <w:drawing>
          <wp:inline distT="0" distB="0" distL="114300" distR="114300">
            <wp:extent cx="4572000" cy="3343275"/>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left="0" w:firstLine="643" w:firstLineChars="200"/>
        <w:rPr>
          <w:rFonts w:hint="eastAsia" w:ascii="仿宋_GB2312" w:eastAsia="仿宋_GB2312"/>
          <w:color w:val="000000"/>
          <w:sz w:val="32"/>
          <w:szCs w:val="32"/>
          <w:lang w:eastAsia="zh-CN"/>
        </w:rPr>
      </w:pPr>
      <w:r>
        <w:rPr>
          <w:rFonts w:hint="eastAsia" w:ascii="仿宋_GB2312" w:eastAsia="仿宋_GB2312"/>
          <w:b/>
          <w:color w:val="000000"/>
          <w:sz w:val="32"/>
          <w:szCs w:val="32"/>
          <w:lang w:val="en-US" w:eastAsia="zh-CN"/>
        </w:rPr>
        <w:t>1.</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59.13</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年中追加</w:t>
      </w:r>
      <w:r>
        <w:rPr>
          <w:rFonts w:hint="eastAsia" w:ascii="仿宋_GB2312" w:eastAsia="仿宋_GB2312"/>
          <w:color w:val="000000"/>
          <w:sz w:val="32"/>
          <w:szCs w:val="32"/>
          <w:lang w:val="en-US" w:eastAsia="zh-CN"/>
        </w:rPr>
        <w:t>6万元，</w:t>
      </w:r>
      <w:r>
        <w:rPr>
          <w:rStyle w:val="14"/>
          <w:rFonts w:hint="eastAsia" w:ascii="仿宋" w:eastAsia="仿宋"/>
          <w:b w:val="0"/>
          <w:bCs/>
          <w:color w:val="000000"/>
          <w:sz w:val="32"/>
          <w:szCs w:val="32"/>
        </w:rPr>
        <w:t>完成预算</w:t>
      </w:r>
      <w:r>
        <w:rPr>
          <w:rStyle w:val="14"/>
          <w:rFonts w:hint="eastAsia" w:ascii="仿宋" w:eastAsia="仿宋"/>
          <w:b w:val="0"/>
          <w:bCs/>
          <w:color w:val="000000"/>
          <w:sz w:val="32"/>
          <w:szCs w:val="32"/>
          <w:lang w:val="en-US" w:eastAsia="zh-CN"/>
        </w:rPr>
        <w:t>100</w:t>
      </w:r>
      <w:r>
        <w:rPr>
          <w:rStyle w:val="14"/>
          <w:rFonts w:ascii="仿宋" w:eastAsia="仿宋"/>
          <w:b w:val="0"/>
          <w:bCs/>
          <w:color w:val="000000"/>
          <w:sz w:val="32"/>
          <w:szCs w:val="32"/>
        </w:rPr>
        <w:t>%</w:t>
      </w:r>
      <w:r>
        <w:rPr>
          <w:rStyle w:val="14"/>
          <w:rFonts w:hint="eastAsia" w:asci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3.71</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增长</w:t>
      </w:r>
      <w:r>
        <w:rPr>
          <w:rFonts w:hint="eastAsia" w:ascii="仿宋_GB2312" w:eastAsia="仿宋_GB2312"/>
          <w:color w:val="000000"/>
          <w:sz w:val="32"/>
          <w:szCs w:val="32"/>
          <w:lang w:val="en-US" w:eastAsia="zh-CN"/>
        </w:rPr>
        <w:t>6.69</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年中追加经费列支。</w:t>
      </w:r>
    </w:p>
    <w:p>
      <w:pPr>
        <w:spacing w:line="600" w:lineRule="exact"/>
        <w:ind w:left="0" w:firstLine="643" w:firstLineChars="200"/>
        <w:rPr>
          <w:rFonts w:ascii="仿宋_GB2312" w:eastAsia="仿宋_GB2312"/>
          <w:color w:val="000000"/>
          <w:sz w:val="32"/>
          <w:szCs w:val="32"/>
          <w:lang w:val="en-US" w:eastAsia="zh-CN"/>
        </w:rPr>
      </w:pPr>
      <w:r>
        <w:rPr>
          <w:rFonts w:eastAsia="仿宋_GB2312"/>
          <w:b/>
          <w:snapToGrid w:val="0"/>
          <w:color w:val="000000"/>
          <w:kern w:val="0"/>
          <w:sz w:val="32"/>
          <w:szCs w:val="32"/>
        </w:rPr>
        <w:t>其中：公务用车购置支出0万元。</w:t>
      </w: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辆，其中：</w:t>
      </w:r>
      <w:r>
        <w:rPr>
          <w:rFonts w:hint="eastAsia" w:ascii="仿宋_GB2312" w:eastAsia="仿宋_GB2312"/>
          <w:color w:val="000000"/>
          <w:sz w:val="32"/>
          <w:szCs w:val="32"/>
          <w:highlight w:val="none"/>
          <w:lang w:eastAsia="zh-CN"/>
        </w:rPr>
        <w:t>副部（省）级及以上领导用车</w:t>
      </w:r>
      <w:r>
        <w:rPr>
          <w:rFonts w:hint="eastAsia" w:ascii="仿宋_GB2312" w:eastAsia="仿宋_GB2312"/>
          <w:color w:val="000000"/>
          <w:sz w:val="32"/>
          <w:szCs w:val="32"/>
          <w:highlight w:val="none"/>
          <w:lang w:val="en-US" w:eastAsia="zh-CN"/>
        </w:rPr>
        <w:t>1辆，</w:t>
      </w:r>
      <w:r>
        <w:rPr>
          <w:rFonts w:hint="eastAsia" w:ascii="仿宋_GB2312" w:eastAsia="仿宋_GB2312"/>
          <w:color w:val="000000"/>
          <w:sz w:val="32"/>
          <w:szCs w:val="32"/>
          <w:highlight w:val="none"/>
        </w:rPr>
        <w:t>主要领导干部用车</w:t>
      </w: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辆、</w:t>
      </w:r>
      <w:r>
        <w:rPr>
          <w:rFonts w:hint="eastAsia" w:ascii="仿宋_GB2312" w:eastAsia="仿宋_GB2312"/>
          <w:color w:val="000000"/>
          <w:sz w:val="32"/>
          <w:szCs w:val="32"/>
        </w:rPr>
        <w:t>机要通信用车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 xml:space="preserve">辆、 </w:t>
      </w:r>
      <w:r>
        <w:rPr>
          <w:rFonts w:hint="eastAsia" w:ascii="仿宋_GB2312" w:eastAsia="仿宋_GB2312"/>
          <w:color w:val="000000"/>
          <w:sz w:val="32"/>
          <w:szCs w:val="32"/>
          <w:lang w:eastAsia="zh-CN"/>
        </w:rPr>
        <w:t>离退休干部</w:t>
      </w:r>
      <w:r>
        <w:rPr>
          <w:rFonts w:hint="eastAsia" w:ascii="仿宋_GB2312" w:eastAsia="仿宋_GB2312"/>
          <w:color w:val="000000"/>
          <w:sz w:val="32"/>
          <w:szCs w:val="32"/>
        </w:rPr>
        <w:t>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w:t>
      </w:r>
      <w:r>
        <w:rPr>
          <w:rFonts w:hint="eastAsia" w:ascii="仿宋_GB2312" w:eastAsia="仿宋_GB2312"/>
          <w:color w:val="000000"/>
          <w:sz w:val="32"/>
          <w:szCs w:val="32"/>
          <w:lang w:eastAsia="zh-CN"/>
        </w:rPr>
        <w:t>、其他用车</w:t>
      </w:r>
      <w:r>
        <w:rPr>
          <w:rFonts w:hint="eastAsia" w:ascii="仿宋_GB2312" w:eastAsia="仿宋_GB2312"/>
          <w:color w:val="000000"/>
          <w:sz w:val="32"/>
          <w:szCs w:val="32"/>
          <w:lang w:val="en-US" w:eastAsia="zh-CN"/>
        </w:rPr>
        <w:t>12辆。</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59.13</w:t>
      </w:r>
      <w:r>
        <w:rPr>
          <w:rFonts w:hint="eastAsia" w:ascii="仿宋_GB2312" w:eastAsia="仿宋_GB2312"/>
          <w:color w:val="000000"/>
          <w:sz w:val="32"/>
          <w:szCs w:val="32"/>
        </w:rPr>
        <w:t>万元。主要用于参加抢险救灾、处置突发事件，参加重要会议活动，办理涉及保密、机要通信等公务，前往基层开展重要调研，执行重要公务接待任务等所需的公务用车燃料费、维修保养费、过路过桥费、保险费等支出。</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lang w:val="en-US" w:eastAsia="zh-CN"/>
        </w:rPr>
        <w:t>2</w:t>
      </w:r>
      <w:r>
        <w:rPr>
          <w:rFonts w:ascii="仿宋_GB2312" w:eastAsia="仿宋_GB2312"/>
          <w:b/>
          <w:color w:val="000000"/>
          <w:sz w:val="32"/>
          <w:szCs w:val="32"/>
        </w:rPr>
        <w:t>.</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11.93</w:t>
      </w:r>
      <w:r>
        <w:rPr>
          <w:rFonts w:hint="eastAsia" w:ascii="仿宋_GB2312" w:eastAsia="仿宋_GB2312"/>
          <w:color w:val="000000"/>
          <w:sz w:val="32"/>
          <w:szCs w:val="32"/>
        </w:rPr>
        <w:t>万元，</w:t>
      </w:r>
      <w:r>
        <w:rPr>
          <w:rStyle w:val="14"/>
          <w:rFonts w:hint="eastAsia" w:ascii="仿宋" w:eastAsia="仿宋"/>
          <w:b w:val="0"/>
          <w:bCs/>
          <w:color w:val="000000"/>
          <w:sz w:val="32"/>
          <w:szCs w:val="32"/>
        </w:rPr>
        <w:t>完成预算</w:t>
      </w:r>
      <w:r>
        <w:rPr>
          <w:rStyle w:val="14"/>
          <w:rFonts w:hint="eastAsia" w:ascii="仿宋" w:eastAsia="仿宋"/>
          <w:b w:val="0"/>
          <w:bCs/>
          <w:color w:val="000000"/>
          <w:sz w:val="32"/>
          <w:szCs w:val="32"/>
          <w:lang w:val="en-US" w:eastAsia="zh-CN"/>
        </w:rPr>
        <w:t>15.5</w:t>
      </w:r>
      <w:r>
        <w:rPr>
          <w:rStyle w:val="14"/>
          <w:rFonts w:ascii="仿宋" w:eastAsia="仿宋"/>
          <w:b w:val="0"/>
          <w:bCs/>
          <w:color w:val="000000"/>
          <w:sz w:val="32"/>
          <w:szCs w:val="32"/>
        </w:rPr>
        <w:t>%</w:t>
      </w:r>
      <w:r>
        <w:rPr>
          <w:rStyle w:val="14"/>
          <w:rFonts w:hint="eastAsia" w:ascii="仿宋" w:eastAsia="仿宋"/>
          <w:b w:val="0"/>
          <w:bCs/>
          <w:color w:val="000000"/>
          <w:sz w:val="32"/>
          <w:szCs w:val="32"/>
          <w:lang w:eastAsia="zh-CN"/>
        </w:rPr>
        <w:t>，全部为国内公务接待费。</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40.78</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77.37</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2020年受疫情影响，减少公务接待人次。</w:t>
      </w:r>
      <w:r>
        <w:rPr>
          <w:rFonts w:hint="eastAsia" w:ascii="仿宋_GB2312" w:eastAsia="仿宋_GB2312"/>
          <w:color w:val="000000"/>
          <w:sz w:val="32"/>
          <w:szCs w:val="32"/>
        </w:rPr>
        <w:t>其中：</w:t>
      </w:r>
    </w:p>
    <w:p>
      <w:pPr>
        <w:spacing w:line="600" w:lineRule="exact"/>
        <w:ind w:firstLine="640"/>
        <w:rPr>
          <w:rFonts w:ascii="仿宋_GB2312" w:eastAsia="仿宋_GB2312"/>
          <w:color w:val="000000"/>
          <w:sz w:val="32"/>
          <w:szCs w:val="32"/>
        </w:rPr>
      </w:pPr>
      <w:r>
        <w:rPr>
          <w:rFonts w:hint="eastAsia" w:ascii="仿宋" w:eastAsia="仿宋"/>
          <w:b/>
          <w:color w:val="000000"/>
          <w:sz w:val="32"/>
          <w:szCs w:val="32"/>
        </w:rPr>
        <w:t>国内公务接待支出</w:t>
      </w:r>
      <w:r>
        <w:rPr>
          <w:rFonts w:hint="eastAsia" w:ascii="仿宋" w:eastAsia="仿宋"/>
          <w:color w:val="000000"/>
          <w:sz w:val="32"/>
          <w:szCs w:val="32"/>
          <w:lang w:val="en-US" w:eastAsia="zh-CN"/>
        </w:rPr>
        <w:t>11.93</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主要用于接待考察调研、执行公务、学习交流、检查指导等产生的交通费、住宿费、用餐费等。</w:t>
      </w:r>
      <w:r>
        <w:rPr>
          <w:rFonts w:hint="eastAsia" w:ascii="仿宋_GB2312" w:eastAsia="仿宋_GB2312"/>
          <w:color w:val="000000"/>
          <w:sz w:val="32"/>
          <w:szCs w:val="32"/>
        </w:rPr>
        <w:t>国内公务接待</w:t>
      </w:r>
      <w:r>
        <w:rPr>
          <w:rFonts w:hint="eastAsia" w:ascii="仿宋_GB2312" w:eastAsia="仿宋_GB2312"/>
          <w:color w:val="000000"/>
          <w:sz w:val="32"/>
          <w:szCs w:val="32"/>
          <w:lang w:val="en-US" w:eastAsia="zh-CN"/>
        </w:rPr>
        <w:t>44</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259</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11.93</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ind w:firstLine="643" w:firstLineChars="200"/>
        <w:rPr>
          <w:rFonts w:hint="eastAsia" w:ascii="黑体" w:eastAsia="黑体"/>
          <w:color w:val="000000"/>
          <w:sz w:val="32"/>
          <w:szCs w:val="32"/>
        </w:rPr>
      </w:pPr>
      <w:r>
        <w:rPr>
          <w:rFonts w:hint="eastAsia" w:ascii="仿宋" w:eastAsia="仿宋"/>
          <w:b/>
          <w:color w:val="000000"/>
          <w:sz w:val="32"/>
          <w:szCs w:val="32"/>
          <w:shd w:val="clear" w:color="auto" w:fill="auto"/>
          <w:lang w:eastAsia="zh-CN"/>
        </w:rPr>
        <w:t>无</w:t>
      </w:r>
      <w:r>
        <w:rPr>
          <w:rFonts w:hint="eastAsia" w:ascii="仿宋" w:eastAsia="仿宋"/>
          <w:b/>
          <w:color w:val="000000"/>
          <w:sz w:val="32"/>
          <w:szCs w:val="32"/>
          <w:shd w:val="clear" w:color="auto" w:fill="auto"/>
        </w:rPr>
        <w:t>外事接待支出</w:t>
      </w:r>
      <w:bookmarkStart w:id="44" w:name="_Toc15377218"/>
      <w:bookmarkStart w:id="45" w:name="_Toc15396610"/>
      <w:r>
        <w:rPr>
          <w:rFonts w:hint="eastAsia" w:ascii="仿宋_GB2312" w:eastAsia="仿宋_GB2312"/>
          <w:color w:val="000000"/>
          <w:sz w:val="32"/>
          <w:szCs w:val="32"/>
          <w:shd w:val="clear" w:color="auto" w:fill="auto"/>
        </w:rPr>
        <w:t>。</w:t>
      </w:r>
    </w:p>
    <w:p>
      <w:pPr>
        <w:spacing w:line="600" w:lineRule="exact"/>
        <w:ind w:firstLine="640"/>
        <w:outlineLvl w:val="1"/>
        <w:rPr>
          <w:rStyle w:val="17"/>
          <w:rFonts w:ascii="黑体" w:eastAsia="黑体"/>
        </w:rPr>
      </w:pPr>
      <w:r>
        <w:rPr>
          <w:rFonts w:hint="eastAsia" w:ascii="黑体" w:eastAsia="黑体"/>
          <w:color w:val="000000"/>
          <w:sz w:val="32"/>
          <w:szCs w:val="32"/>
        </w:rPr>
        <w:t>八、</w:t>
      </w:r>
      <w:r>
        <w:rPr>
          <w:rStyle w:val="17"/>
          <w:rFonts w:hint="eastAsia" w:ascii="黑体" w:eastAsia="黑体"/>
          <w:b w:val="0"/>
        </w:rPr>
        <w:t>政府性基金预算支出决算情况说明</w:t>
      </w:r>
      <w:bookmarkEnd w:id="44"/>
      <w:bookmarkEnd w:id="45"/>
    </w:p>
    <w:p>
      <w:pPr>
        <w:spacing w:line="600" w:lineRule="exact"/>
        <w:ind w:firstLine="640"/>
        <w:rPr>
          <w:rFonts w:ascii="仿宋_GB2312" w:eastAsia="仿宋_GB2312"/>
          <w:color w:val="auto"/>
          <w:sz w:val="32"/>
          <w:szCs w:val="32"/>
          <w:lang w:val="en-US" w:eastAsia="zh-CN"/>
        </w:rPr>
      </w:pP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w:t>
      </w:r>
      <w:r>
        <w:rPr>
          <w:rFonts w:hint="eastAsia" w:ascii="仿宋_GB2312" w:eastAsia="仿宋_GB2312"/>
          <w:color w:val="auto"/>
          <w:sz w:val="32"/>
          <w:szCs w:val="32"/>
          <w:lang w:eastAsia="zh-CN"/>
        </w:rPr>
        <w:t>省委宣传部</w:t>
      </w:r>
      <w:r>
        <w:rPr>
          <w:rFonts w:hint="eastAsia" w:ascii="仿宋_GB2312" w:eastAsia="仿宋_GB2312"/>
          <w:color w:val="auto"/>
          <w:sz w:val="32"/>
          <w:szCs w:val="32"/>
        </w:rPr>
        <w:t>政府性基金预算拨款支出</w:t>
      </w:r>
      <w:r>
        <w:rPr>
          <w:rFonts w:hint="eastAsia" w:ascii="仿宋_GB2312" w:eastAsia="仿宋_GB2312"/>
          <w:color w:val="auto"/>
          <w:sz w:val="32"/>
          <w:szCs w:val="32"/>
          <w:lang w:val="en-US" w:eastAsia="zh-CN"/>
        </w:rPr>
        <w:t>853.95万元。</w:t>
      </w:r>
    </w:p>
    <w:p>
      <w:pPr>
        <w:numPr>
          <w:ilvl w:val="0"/>
          <w:numId w:val="3"/>
        </w:numPr>
        <w:spacing w:line="600" w:lineRule="exact"/>
        <w:ind w:left="0" w:firstLine="640"/>
        <w:outlineLvl w:val="1"/>
        <w:rPr>
          <w:rStyle w:val="17"/>
          <w:rFonts w:ascii="黑体" w:eastAsia="黑体"/>
          <w:b w:val="0"/>
        </w:rPr>
      </w:pPr>
      <w:bookmarkStart w:id="46" w:name="_Toc15396611"/>
      <w:bookmarkStart w:id="47" w:name="_Toc15377219"/>
      <w:r>
        <w:rPr>
          <w:rStyle w:val="17"/>
          <w:rFonts w:hint="eastAsia" w:ascii="黑体" w:eastAsia="黑体"/>
          <w:b w:val="0"/>
        </w:rPr>
        <w:t>国有资本经营预算支出决算情况说明</w:t>
      </w:r>
      <w:bookmarkEnd w:id="46"/>
      <w:bookmarkEnd w:id="47"/>
    </w:p>
    <w:p>
      <w:pPr>
        <w:spacing w:line="600" w:lineRule="exact"/>
        <w:ind w:firstLine="640"/>
        <w:rPr>
          <w:rFonts w:ascii="方正小标宋简体" w:eastAsia="方正小标宋简体" w:cs="方正小标宋简体"/>
          <w:sz w:val="44"/>
          <w:szCs w:val="44"/>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省委宣传部无</w:t>
      </w:r>
      <w:r>
        <w:rPr>
          <w:rFonts w:hint="eastAsia" w:ascii="仿宋_GB2312" w:eastAsia="仿宋_GB2312"/>
          <w:color w:val="000000"/>
          <w:sz w:val="32"/>
          <w:szCs w:val="32"/>
        </w:rPr>
        <w:t>国有资本经营预算拨款支出</w:t>
      </w:r>
      <w:r>
        <w:rPr>
          <w:rFonts w:hint="eastAsia" w:ascii="仿宋_GB2312" w:eastAsia="仿宋_GB2312"/>
          <w:color w:val="000000"/>
          <w:sz w:val="32"/>
          <w:szCs w:val="32"/>
          <w:lang w:eastAsia="zh-CN"/>
        </w:rPr>
        <w:t>。</w:t>
      </w:r>
    </w:p>
    <w:p>
      <w:pPr>
        <w:spacing w:line="600" w:lineRule="exact"/>
        <w:ind w:firstLine="800" w:firstLineChars="250"/>
        <w:outlineLvl w:val="1"/>
        <w:rPr>
          <w:rStyle w:val="17"/>
          <w:rFonts w:ascii="黑体" w:eastAsia="黑体"/>
        </w:rPr>
      </w:pPr>
      <w:bookmarkStart w:id="48" w:name="_Toc15396612"/>
      <w:bookmarkStart w:id="49" w:name="_Toc15377221"/>
      <w:r>
        <w:rPr>
          <w:rFonts w:hint="eastAsia" w:ascii="黑体" w:eastAsia="黑体"/>
          <w:color w:val="000000"/>
          <w:sz w:val="32"/>
          <w:szCs w:val="32"/>
        </w:rPr>
        <w:t>十</w:t>
      </w:r>
      <w:r>
        <w:rPr>
          <w:rStyle w:val="17"/>
          <w:rFonts w:hint="eastAsia" w:ascii="黑体" w:eastAsia="黑体"/>
        </w:rPr>
        <w:t>、</w:t>
      </w:r>
      <w:r>
        <w:rPr>
          <w:rStyle w:val="17"/>
          <w:rFonts w:hint="eastAsia" w:ascii="黑体" w:eastAsia="黑体"/>
          <w:b w:val="0"/>
        </w:rPr>
        <w:t>其他重要事项的情况说明</w:t>
      </w:r>
      <w:bookmarkEnd w:id="48"/>
      <w:bookmarkEnd w:id="49"/>
    </w:p>
    <w:p>
      <w:pPr>
        <w:spacing w:line="600" w:lineRule="exact"/>
        <w:ind w:firstLine="643" w:firstLineChars="200"/>
        <w:outlineLvl w:val="2"/>
        <w:rPr>
          <w:rFonts w:ascii="仿宋" w:hAnsi="仿宋" w:eastAsia="仿宋"/>
          <w:color w:val="auto"/>
          <w:sz w:val="32"/>
          <w:szCs w:val="32"/>
          <w:highlight w:val="none"/>
        </w:rPr>
      </w:pPr>
      <w:bookmarkStart w:id="50" w:name="_Toc15377222"/>
      <w:bookmarkStart w:id="51" w:name="_Toc15377223"/>
      <w:r>
        <w:rPr>
          <w:rFonts w:hint="eastAsia" w:ascii="仿宋" w:hAnsi="仿宋" w:eastAsia="仿宋"/>
          <w:b/>
          <w:color w:val="auto"/>
          <w:sz w:val="32"/>
          <w:szCs w:val="32"/>
          <w:highlight w:val="none"/>
        </w:rPr>
        <w:t>（一）机关运行经费支出情况</w:t>
      </w:r>
      <w:bookmarkEnd w:id="50"/>
    </w:p>
    <w:p>
      <w:pPr>
        <w:spacing w:line="600" w:lineRule="exact"/>
        <w:ind w:firstLine="640" w:firstLineChars="200"/>
        <w:rPr>
          <w:rFonts w:hint="eastAsia" w:ascii="仿宋" w:eastAsia="仿宋"/>
          <w:b/>
          <w:color w:val="000000"/>
          <w:sz w:val="32"/>
          <w:szCs w:val="32"/>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000000"/>
          <w:sz w:val="32"/>
          <w:szCs w:val="32"/>
          <w:lang w:eastAsia="zh-CN"/>
        </w:rPr>
        <w:t>省委宣传部</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1679.14</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201</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211.08</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11.17</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受疫情影响减少会议费、差旅费、培训费等支出。</w:t>
      </w:r>
    </w:p>
    <w:p>
      <w:pPr>
        <w:autoSpaceDE w:val="0"/>
        <w:autoSpaceDN w:val="0"/>
        <w:adjustRightInd w:val="0"/>
        <w:spacing w:line="600" w:lineRule="exact"/>
        <w:ind w:firstLine="643" w:firstLineChars="200"/>
        <w:jc w:val="left"/>
        <w:outlineLvl w:val="2"/>
        <w:rPr>
          <w:rFonts w:ascii="仿宋" w:eastAsia="仿宋"/>
          <w:b/>
          <w:color w:val="000000"/>
          <w:sz w:val="32"/>
          <w:szCs w:val="32"/>
        </w:rPr>
      </w:pPr>
      <w:r>
        <w:rPr>
          <w:rFonts w:hint="eastAsia" w:ascii="仿宋" w:eastAsia="仿宋"/>
          <w:b/>
          <w:color w:val="000000"/>
          <w:sz w:val="32"/>
          <w:szCs w:val="32"/>
        </w:rPr>
        <w:t>（</w:t>
      </w:r>
      <w:r>
        <w:rPr>
          <w:rFonts w:hint="eastAsia" w:ascii="仿宋" w:eastAsia="仿宋"/>
          <w:b/>
          <w:color w:val="000000"/>
          <w:sz w:val="32"/>
          <w:szCs w:val="32"/>
          <w:lang w:eastAsia="zh-CN"/>
        </w:rPr>
        <w:t>二</w:t>
      </w:r>
      <w:r>
        <w:rPr>
          <w:rFonts w:hint="eastAsia" w:ascii="仿宋" w:eastAsia="仿宋"/>
          <w:b/>
          <w:color w:val="000000"/>
          <w:sz w:val="32"/>
          <w:szCs w:val="32"/>
        </w:rPr>
        <w:t>）政府采购支出情况</w:t>
      </w:r>
      <w:bookmarkEnd w:id="51"/>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省委宣传部</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4183.23</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1456.34</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179.18</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2547.71</w:t>
      </w:r>
      <w:r>
        <w:rPr>
          <w:rFonts w:hint="eastAsia" w:ascii="仿宋_GB2312" w:eastAsia="仿宋_GB2312"/>
          <w:color w:val="000000"/>
          <w:sz w:val="32"/>
          <w:szCs w:val="32"/>
        </w:rPr>
        <w:t>万元。主要用于</w:t>
      </w:r>
      <w:r>
        <w:rPr>
          <w:rFonts w:hint="eastAsia" w:ascii="仿宋_GB2312" w:eastAsia="仿宋_GB2312"/>
          <w:color w:val="auto"/>
          <w:sz w:val="32"/>
          <w:szCs w:val="32"/>
          <w:highlight w:val="none"/>
          <w:lang w:eastAsia="zh-CN"/>
        </w:rPr>
        <w:t>主题外宣活动、</w:t>
      </w:r>
      <w:r>
        <w:rPr>
          <w:rFonts w:hint="eastAsia" w:ascii="仿宋_GB2312" w:eastAsia="仿宋_GB2312"/>
          <w:color w:val="auto"/>
          <w:sz w:val="32"/>
          <w:szCs w:val="32"/>
          <w:lang w:eastAsia="zh-CN"/>
        </w:rPr>
        <w:t>公益电影放映、多媒体教学平台等项目采购</w:t>
      </w:r>
      <w:r>
        <w:rPr>
          <w:rFonts w:hint="eastAsia" w:ascii="仿宋_GB2312" w:eastAsia="仿宋_GB2312"/>
          <w:color w:val="auto"/>
          <w:sz w:val="32"/>
          <w:szCs w:val="32"/>
        </w:rPr>
        <w:t>。授予中小企业合同金额</w:t>
      </w:r>
      <w:r>
        <w:rPr>
          <w:rFonts w:hint="eastAsia" w:ascii="仿宋_GB2312" w:eastAsia="仿宋_GB2312"/>
          <w:color w:val="auto"/>
          <w:sz w:val="32"/>
          <w:szCs w:val="32"/>
          <w:lang w:val="en-US" w:eastAsia="zh-CN"/>
        </w:rPr>
        <w:t>188.4</w:t>
      </w:r>
      <w:r>
        <w:rPr>
          <w:rFonts w:hint="eastAsia" w:ascii="仿宋_GB2312" w:eastAsia="仿宋_GB2312"/>
          <w:color w:val="auto"/>
          <w:sz w:val="32"/>
          <w:szCs w:val="32"/>
        </w:rPr>
        <w:t>万元，占政府采购支出</w:t>
      </w:r>
      <w:r>
        <w:rPr>
          <w:rFonts w:hint="eastAsia" w:ascii="仿宋_GB2312" w:eastAsia="仿宋_GB2312"/>
          <w:color w:val="000000"/>
          <w:sz w:val="32"/>
          <w:szCs w:val="32"/>
        </w:rPr>
        <w:t>总额的</w:t>
      </w:r>
      <w:r>
        <w:rPr>
          <w:rFonts w:hint="eastAsia" w:ascii="仿宋_GB2312" w:eastAsia="仿宋_GB2312"/>
          <w:color w:val="000000"/>
          <w:sz w:val="32"/>
          <w:szCs w:val="32"/>
          <w:lang w:val="en-US" w:eastAsia="zh-CN"/>
        </w:rPr>
        <w:t>4.5</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sz w:val="32"/>
          <w:szCs w:val="32"/>
          <w:lang w:eastAsia="zh-CN"/>
        </w:rPr>
        <w:t>无</w:t>
      </w:r>
      <w:r>
        <w:rPr>
          <w:rFonts w:hint="eastAsia" w:ascii="仿宋_GB2312" w:eastAsia="仿宋_GB2312"/>
          <w:color w:val="000000"/>
          <w:sz w:val="32"/>
          <w:szCs w:val="32"/>
        </w:rPr>
        <w:t>授予小微企业合同金额。</w:t>
      </w:r>
    </w:p>
    <w:p>
      <w:pPr>
        <w:autoSpaceDE w:val="0"/>
        <w:autoSpaceDN w:val="0"/>
        <w:adjustRightInd w:val="0"/>
        <w:spacing w:line="600" w:lineRule="exact"/>
        <w:ind w:firstLine="643" w:firstLineChars="200"/>
        <w:jc w:val="left"/>
        <w:outlineLvl w:val="2"/>
        <w:rPr>
          <w:rFonts w:ascii="仿宋" w:eastAsia="仿宋"/>
          <w:b/>
          <w:color w:val="000000"/>
          <w:sz w:val="32"/>
          <w:szCs w:val="32"/>
        </w:rPr>
      </w:pPr>
      <w:bookmarkStart w:id="52" w:name="_Toc15377224"/>
      <w:r>
        <w:rPr>
          <w:rFonts w:hint="eastAsia" w:ascii="仿宋" w:eastAsia="仿宋"/>
          <w:b/>
          <w:color w:val="000000"/>
          <w:sz w:val="32"/>
          <w:szCs w:val="32"/>
        </w:rPr>
        <w:t>（</w:t>
      </w:r>
      <w:r>
        <w:rPr>
          <w:rFonts w:hint="eastAsia" w:ascii="仿宋" w:eastAsia="仿宋"/>
          <w:b/>
          <w:color w:val="000000"/>
          <w:sz w:val="32"/>
          <w:szCs w:val="32"/>
          <w:lang w:eastAsia="zh-CN"/>
        </w:rPr>
        <w:t>三</w:t>
      </w:r>
      <w:r>
        <w:rPr>
          <w:rFonts w:hint="eastAsia" w:ascii="仿宋" w:eastAsia="仿宋"/>
          <w:b/>
          <w:color w:val="000000"/>
          <w:sz w:val="32"/>
          <w:szCs w:val="32"/>
        </w:rPr>
        <w:t>）国有资产占有使用情况</w:t>
      </w:r>
      <w:bookmarkEnd w:id="52"/>
    </w:p>
    <w:p>
      <w:pPr>
        <w:spacing w:line="600" w:lineRule="exact"/>
        <w:ind w:firstLine="640" w:firstLineChars="200"/>
        <w:rPr>
          <w:rFonts w:asci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宣传部</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辆，其中：</w:t>
      </w:r>
      <w:r>
        <w:rPr>
          <w:rFonts w:hint="eastAsia" w:ascii="仿宋_GB2312" w:eastAsia="仿宋_GB2312"/>
          <w:color w:val="000000"/>
          <w:sz w:val="32"/>
          <w:szCs w:val="32"/>
          <w:highlight w:val="none"/>
          <w:lang w:eastAsia="zh-CN"/>
        </w:rPr>
        <w:t>副部（省）级及以上领导用车</w:t>
      </w:r>
      <w:r>
        <w:rPr>
          <w:rFonts w:hint="eastAsia" w:ascii="仿宋_GB2312" w:eastAsia="仿宋_GB2312"/>
          <w:color w:val="000000"/>
          <w:sz w:val="32"/>
          <w:szCs w:val="32"/>
          <w:highlight w:val="none"/>
          <w:lang w:val="en-US" w:eastAsia="zh-CN"/>
        </w:rPr>
        <w:t>1辆，</w:t>
      </w:r>
      <w:r>
        <w:rPr>
          <w:rFonts w:hint="eastAsia" w:ascii="仿宋_GB2312" w:eastAsia="仿宋_GB2312"/>
          <w:color w:val="000000"/>
          <w:sz w:val="32"/>
          <w:szCs w:val="32"/>
          <w:highlight w:val="none"/>
        </w:rPr>
        <w:t>主要领导干部用车</w:t>
      </w: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辆、</w:t>
      </w:r>
      <w:r>
        <w:rPr>
          <w:rFonts w:hint="eastAsia" w:ascii="仿宋_GB2312" w:eastAsia="仿宋_GB2312"/>
          <w:color w:val="000000"/>
          <w:sz w:val="32"/>
          <w:szCs w:val="32"/>
        </w:rPr>
        <w:t>机要通信用车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 xml:space="preserve">辆、 </w:t>
      </w:r>
      <w:r>
        <w:rPr>
          <w:rFonts w:hint="eastAsia" w:ascii="仿宋_GB2312" w:eastAsia="仿宋_GB2312"/>
          <w:color w:val="000000"/>
          <w:sz w:val="32"/>
          <w:szCs w:val="32"/>
          <w:lang w:eastAsia="zh-CN"/>
        </w:rPr>
        <w:t>离退休干部</w:t>
      </w:r>
      <w:r>
        <w:rPr>
          <w:rFonts w:hint="eastAsia" w:ascii="仿宋_GB2312" w:eastAsia="仿宋_GB2312"/>
          <w:color w:val="000000"/>
          <w:sz w:val="32"/>
          <w:szCs w:val="32"/>
        </w:rPr>
        <w:t>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w:t>
      </w:r>
      <w:r>
        <w:rPr>
          <w:rFonts w:hint="eastAsia" w:ascii="仿宋_GB2312" w:eastAsia="仿宋_GB2312"/>
          <w:color w:val="000000"/>
          <w:sz w:val="32"/>
          <w:szCs w:val="32"/>
          <w:lang w:eastAsia="zh-CN"/>
        </w:rPr>
        <w:t>、其他用车</w:t>
      </w:r>
      <w:r>
        <w:rPr>
          <w:rFonts w:hint="eastAsia" w:ascii="仿宋_GB2312" w:eastAsia="仿宋_GB2312"/>
          <w:color w:val="000000"/>
          <w:sz w:val="32"/>
          <w:szCs w:val="32"/>
          <w:lang w:val="en-US" w:eastAsia="zh-CN"/>
        </w:rPr>
        <w:t>12辆。</w:t>
      </w:r>
      <w:r>
        <w:rPr>
          <w:rFonts w:hint="eastAsia" w:ascii="仿宋_GB2312" w:eastAsia="仿宋_GB2312"/>
          <w:color w:val="000000"/>
          <w:sz w:val="32"/>
          <w:szCs w:val="32"/>
        </w:rPr>
        <w:t>其他用车主要是用于</w:t>
      </w:r>
      <w:r>
        <w:rPr>
          <w:rFonts w:hint="eastAsia" w:ascii="仿宋_GB2312" w:eastAsia="仿宋_GB2312"/>
          <w:color w:val="000000"/>
          <w:sz w:val="32"/>
          <w:szCs w:val="32"/>
          <w:lang w:eastAsia="zh-CN"/>
        </w:rPr>
        <w:t>工作需要工作派车。</w:t>
      </w:r>
      <w:r>
        <w:rPr>
          <w:rFonts w:hint="eastAsia" w:ascii="仿宋_GB2312" w:eastAsia="仿宋_GB2312"/>
          <w:color w:val="000000"/>
          <w:sz w:val="32"/>
          <w:szCs w:val="32"/>
        </w:rPr>
        <w:t>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eastAsia="仿宋"/>
          <w:b/>
          <w:color w:val="auto"/>
          <w:sz w:val="32"/>
          <w:szCs w:val="32"/>
          <w:highlight w:val="none"/>
        </w:rPr>
      </w:pPr>
      <w:r>
        <w:rPr>
          <w:rFonts w:hint="eastAsia" w:ascii="仿宋" w:eastAsia="仿宋"/>
          <w:b/>
          <w:color w:val="auto"/>
          <w:sz w:val="32"/>
          <w:szCs w:val="32"/>
          <w:highlight w:val="none"/>
        </w:rPr>
        <w:t>（</w:t>
      </w:r>
      <w:r>
        <w:rPr>
          <w:rFonts w:hint="eastAsia" w:ascii="仿宋" w:eastAsia="仿宋"/>
          <w:b/>
          <w:color w:val="auto"/>
          <w:sz w:val="32"/>
          <w:szCs w:val="32"/>
          <w:highlight w:val="none"/>
          <w:lang w:eastAsia="zh-CN"/>
        </w:rPr>
        <w:t>四</w:t>
      </w:r>
      <w:r>
        <w:rPr>
          <w:rFonts w:hint="eastAsia" w:ascii="仿宋" w:eastAsia="仿宋"/>
          <w:b/>
          <w:color w:val="auto"/>
          <w:sz w:val="32"/>
          <w:szCs w:val="32"/>
          <w:highlight w:val="none"/>
        </w:rPr>
        <w:t>）预算绩效管理情况。</w:t>
      </w:r>
    </w:p>
    <w:p>
      <w:pPr>
        <w:overflowPunct w:val="0"/>
        <w:adjustRightInd w:val="0"/>
        <w:snapToGrid w:val="0"/>
        <w:spacing w:line="576" w:lineRule="exact"/>
        <w:ind w:firstLine="640" w:firstLineChars="200"/>
        <w:rPr>
          <w:rFonts w:eastAsia="仿宋_GB2312"/>
          <w:b w:val="0"/>
          <w:bCs/>
          <w:snapToGrid w:val="0"/>
          <w:color w:val="auto"/>
          <w:kern w:val="0"/>
          <w:sz w:val="32"/>
          <w:szCs w:val="32"/>
          <w:highlight w:val="none"/>
        </w:rPr>
      </w:pPr>
      <w:r>
        <w:rPr>
          <w:rFonts w:eastAsia="仿宋_GB2312"/>
          <w:b w:val="0"/>
          <w:bCs/>
          <w:snapToGrid w:val="0"/>
          <w:color w:val="auto"/>
          <w:kern w:val="0"/>
          <w:sz w:val="32"/>
          <w:szCs w:val="32"/>
          <w:highlight w:val="none"/>
        </w:rPr>
        <w:t>根据预算绩效管理要求，本部门（单位）在年初预算编制阶段，对</w:t>
      </w:r>
      <w:r>
        <w:rPr>
          <w:rFonts w:hint="eastAsia" w:eastAsia="仿宋_GB2312"/>
          <w:b w:val="0"/>
          <w:bCs/>
          <w:snapToGrid w:val="0"/>
          <w:color w:val="auto"/>
          <w:kern w:val="0"/>
          <w:sz w:val="32"/>
          <w:szCs w:val="32"/>
          <w:highlight w:val="none"/>
          <w:lang w:val="en-US" w:eastAsia="zh-CN"/>
        </w:rPr>
        <w:t>14</w:t>
      </w:r>
      <w:r>
        <w:rPr>
          <w:rFonts w:eastAsia="仿宋_GB2312"/>
          <w:b w:val="0"/>
          <w:bCs/>
          <w:snapToGrid w:val="0"/>
          <w:color w:val="auto"/>
          <w:kern w:val="0"/>
          <w:sz w:val="32"/>
          <w:szCs w:val="32"/>
          <w:highlight w:val="none"/>
        </w:rPr>
        <w:t>个项目（含子项目）编制了绩效目标，年终执行完毕后，对</w:t>
      </w:r>
      <w:r>
        <w:rPr>
          <w:rFonts w:hint="eastAsia" w:eastAsia="仿宋_GB2312"/>
          <w:b w:val="0"/>
          <w:bCs/>
          <w:snapToGrid w:val="0"/>
          <w:color w:val="auto"/>
          <w:kern w:val="0"/>
          <w:sz w:val="32"/>
          <w:szCs w:val="32"/>
          <w:highlight w:val="none"/>
          <w:lang w:val="en-US" w:eastAsia="zh-CN"/>
        </w:rPr>
        <w:t>14</w:t>
      </w:r>
      <w:r>
        <w:rPr>
          <w:rFonts w:eastAsia="仿宋_GB2312"/>
          <w:b w:val="0"/>
          <w:bCs/>
          <w:snapToGrid w:val="0"/>
          <w:color w:val="auto"/>
          <w:kern w:val="0"/>
          <w:sz w:val="32"/>
          <w:szCs w:val="32"/>
          <w:highlight w:val="none"/>
        </w:rPr>
        <w:t>个项目（含子项目）开展了绩效目标完成情况梳理填报。</w:t>
      </w:r>
    </w:p>
    <w:p>
      <w:pPr>
        <w:overflowPunct w:val="0"/>
        <w:adjustRightInd w:val="0"/>
        <w:snapToGrid w:val="0"/>
        <w:spacing w:line="576" w:lineRule="exact"/>
        <w:ind w:firstLine="640" w:firstLineChars="200"/>
        <w:rPr>
          <w:rFonts w:eastAsia="仿宋_GB2312"/>
          <w:b w:val="0"/>
          <w:bCs/>
          <w:snapToGrid w:val="0"/>
          <w:color w:val="000000"/>
          <w:kern w:val="0"/>
          <w:sz w:val="32"/>
          <w:szCs w:val="32"/>
        </w:rPr>
      </w:pPr>
      <w:r>
        <w:rPr>
          <w:rFonts w:eastAsia="仿宋_GB2312"/>
          <w:b w:val="0"/>
          <w:bCs/>
          <w:snapToGrid w:val="0"/>
          <w:color w:val="auto"/>
          <w:kern w:val="0"/>
          <w:sz w:val="32"/>
          <w:szCs w:val="32"/>
          <w:highlight w:val="none"/>
        </w:rPr>
        <w:t>按照预算绩效管理要求，本部门对20</w:t>
      </w:r>
      <w:r>
        <w:rPr>
          <w:rFonts w:hint="eastAsia" w:eastAsia="仿宋_GB2312"/>
          <w:b w:val="0"/>
          <w:bCs/>
          <w:snapToGrid w:val="0"/>
          <w:color w:val="auto"/>
          <w:kern w:val="0"/>
          <w:sz w:val="32"/>
          <w:szCs w:val="32"/>
          <w:highlight w:val="none"/>
          <w:lang w:val="en-US" w:eastAsia="zh-CN"/>
        </w:rPr>
        <w:t>20</w:t>
      </w:r>
      <w:r>
        <w:rPr>
          <w:rFonts w:eastAsia="仿宋_GB2312"/>
          <w:b w:val="0"/>
          <w:bCs/>
          <w:snapToGrid w:val="0"/>
          <w:color w:val="auto"/>
          <w:kern w:val="0"/>
          <w:sz w:val="32"/>
          <w:szCs w:val="32"/>
          <w:highlight w:val="none"/>
        </w:rPr>
        <w:t>年整体支出开展绩效自评，从评价情况来看，省委宣传部</w:t>
      </w:r>
      <w:r>
        <w:rPr>
          <w:rFonts w:eastAsia="仿宋_GB2312"/>
          <w:b w:val="0"/>
          <w:bCs/>
          <w:snapToGrid w:val="0"/>
          <w:color w:val="000000"/>
          <w:kern w:val="0"/>
          <w:sz w:val="32"/>
          <w:szCs w:val="32"/>
          <w:highlight w:val="none"/>
        </w:rPr>
        <w:t>严格遵守财经</w:t>
      </w:r>
      <w:r>
        <w:rPr>
          <w:rFonts w:eastAsia="仿宋_GB2312"/>
          <w:b w:val="0"/>
          <w:bCs/>
          <w:snapToGrid w:val="0"/>
          <w:color w:val="000000"/>
          <w:kern w:val="0"/>
          <w:sz w:val="32"/>
          <w:szCs w:val="32"/>
        </w:rPr>
        <w:t>纪律，严格执行中央八项规定和厉行节约反对浪费的要求，较好完成了20</w:t>
      </w:r>
      <w:r>
        <w:rPr>
          <w:rFonts w:hint="eastAsia" w:eastAsia="仿宋_GB2312"/>
          <w:b w:val="0"/>
          <w:bCs/>
          <w:snapToGrid w:val="0"/>
          <w:color w:val="000000"/>
          <w:kern w:val="0"/>
          <w:sz w:val="32"/>
          <w:szCs w:val="32"/>
          <w:lang w:val="en-US" w:eastAsia="zh-CN"/>
        </w:rPr>
        <w:t>20</w:t>
      </w:r>
      <w:r>
        <w:rPr>
          <w:rFonts w:eastAsia="仿宋_GB2312"/>
          <w:b w:val="0"/>
          <w:bCs/>
          <w:snapToGrid w:val="0"/>
          <w:color w:val="000000"/>
          <w:kern w:val="0"/>
          <w:sz w:val="32"/>
          <w:szCs w:val="32"/>
        </w:rPr>
        <w:t>年各项目标任务，保证了自身单位的运转和项目支出，同时也做好了全省宣传思想文化再上新台阶的工作；尤其是保障了重大主题宣传工作、意识形态领域工作、干部培训、其他专项任务工作和建设资金的供给，取得了很好的资金支出整体绩效。根据20</w:t>
      </w:r>
      <w:r>
        <w:rPr>
          <w:rFonts w:hint="eastAsia" w:eastAsia="仿宋_GB2312"/>
          <w:b w:val="0"/>
          <w:bCs/>
          <w:snapToGrid w:val="0"/>
          <w:color w:val="000000"/>
          <w:kern w:val="0"/>
          <w:sz w:val="32"/>
          <w:szCs w:val="32"/>
          <w:lang w:val="en-US" w:eastAsia="zh-CN"/>
        </w:rPr>
        <w:t>20</w:t>
      </w:r>
      <w:r>
        <w:rPr>
          <w:rFonts w:eastAsia="仿宋_GB2312"/>
          <w:b w:val="0"/>
          <w:bCs/>
          <w:snapToGrid w:val="0"/>
          <w:color w:val="000000"/>
          <w:kern w:val="0"/>
          <w:sz w:val="32"/>
          <w:szCs w:val="32"/>
        </w:rPr>
        <w:t>年省级部门整体预算绩效评价指标体系的计分标准，对20</w:t>
      </w:r>
      <w:r>
        <w:rPr>
          <w:rFonts w:hint="eastAsia" w:eastAsia="仿宋_GB2312"/>
          <w:b w:val="0"/>
          <w:bCs/>
          <w:snapToGrid w:val="0"/>
          <w:color w:val="000000"/>
          <w:kern w:val="0"/>
          <w:sz w:val="32"/>
          <w:szCs w:val="32"/>
          <w:lang w:val="en-US" w:eastAsia="zh-CN"/>
        </w:rPr>
        <w:t>20</w:t>
      </w:r>
      <w:r>
        <w:rPr>
          <w:rFonts w:eastAsia="仿宋_GB2312"/>
          <w:b w:val="0"/>
          <w:bCs/>
          <w:snapToGrid w:val="0"/>
          <w:color w:val="000000"/>
          <w:kern w:val="0"/>
          <w:sz w:val="32"/>
          <w:szCs w:val="32"/>
        </w:rPr>
        <w:t>年度财政资金使用绩效评价的自评总分为</w:t>
      </w:r>
      <w:r>
        <w:rPr>
          <w:rFonts w:hint="eastAsia" w:eastAsia="仿宋_GB2312"/>
          <w:b w:val="0"/>
          <w:bCs/>
          <w:snapToGrid w:val="0"/>
          <w:color w:val="000000"/>
          <w:kern w:val="0"/>
          <w:sz w:val="32"/>
          <w:szCs w:val="32"/>
          <w:highlight w:val="none"/>
          <w:lang w:val="en-US" w:eastAsia="zh-CN"/>
        </w:rPr>
        <w:t>86.18</w:t>
      </w:r>
      <w:r>
        <w:rPr>
          <w:rFonts w:eastAsia="仿宋_GB2312"/>
          <w:b w:val="0"/>
          <w:bCs/>
          <w:snapToGrid w:val="0"/>
          <w:color w:val="000000"/>
          <w:kern w:val="0"/>
          <w:sz w:val="32"/>
          <w:szCs w:val="32"/>
          <w:highlight w:val="none"/>
        </w:rPr>
        <w:t>分</w:t>
      </w:r>
      <w:r>
        <w:rPr>
          <w:rFonts w:hint="eastAsia" w:eastAsia="仿宋_GB2312"/>
          <w:b w:val="0"/>
          <w:bCs/>
          <w:snapToGrid w:val="0"/>
          <w:color w:val="000000"/>
          <w:kern w:val="0"/>
          <w:sz w:val="32"/>
          <w:szCs w:val="32"/>
          <w:highlight w:val="none"/>
          <w:lang w:eastAsia="zh-CN"/>
        </w:rPr>
        <w:t>（满分</w:t>
      </w:r>
      <w:r>
        <w:rPr>
          <w:rFonts w:hint="eastAsia" w:eastAsia="仿宋_GB2312"/>
          <w:b w:val="0"/>
          <w:bCs/>
          <w:snapToGrid w:val="0"/>
          <w:color w:val="000000"/>
          <w:kern w:val="0"/>
          <w:sz w:val="32"/>
          <w:szCs w:val="32"/>
          <w:highlight w:val="none"/>
          <w:lang w:val="en-US" w:eastAsia="zh-CN"/>
        </w:rPr>
        <w:t>90分</w:t>
      </w:r>
      <w:r>
        <w:rPr>
          <w:rFonts w:hint="eastAsia" w:eastAsia="仿宋_GB2312"/>
          <w:b w:val="0"/>
          <w:bCs/>
          <w:snapToGrid w:val="0"/>
          <w:color w:val="000000"/>
          <w:kern w:val="0"/>
          <w:sz w:val="32"/>
          <w:szCs w:val="32"/>
          <w:highlight w:val="none"/>
          <w:lang w:eastAsia="zh-CN"/>
        </w:rPr>
        <w:t>）</w:t>
      </w:r>
      <w:r>
        <w:rPr>
          <w:rFonts w:eastAsia="仿宋_GB2312"/>
          <w:b w:val="0"/>
          <w:bCs/>
          <w:snapToGrid w:val="0"/>
          <w:color w:val="000000"/>
          <w:kern w:val="0"/>
          <w:sz w:val="32"/>
          <w:szCs w:val="32"/>
        </w:rPr>
        <w:t>。</w:t>
      </w:r>
      <w:r>
        <w:rPr>
          <w:rFonts w:eastAsia="仿宋_GB2312"/>
          <w:b w:val="0"/>
          <w:bCs/>
          <w:snapToGrid w:val="0"/>
          <w:kern w:val="0"/>
          <w:sz w:val="32"/>
          <w:szCs w:val="32"/>
        </w:rPr>
        <w:t>本部门还自行组织了</w:t>
      </w:r>
      <w:r>
        <w:rPr>
          <w:rFonts w:hint="eastAsia" w:eastAsia="仿宋_GB2312"/>
          <w:b w:val="0"/>
          <w:bCs/>
          <w:snapToGrid w:val="0"/>
          <w:kern w:val="0"/>
          <w:sz w:val="32"/>
          <w:szCs w:val="32"/>
          <w:lang w:val="en-US" w:eastAsia="zh-CN"/>
        </w:rPr>
        <w:t>14</w:t>
      </w:r>
      <w:r>
        <w:rPr>
          <w:rFonts w:eastAsia="仿宋_GB2312"/>
          <w:b w:val="0"/>
          <w:bCs/>
          <w:snapToGrid w:val="0"/>
          <w:kern w:val="0"/>
          <w:sz w:val="32"/>
          <w:szCs w:val="32"/>
        </w:rPr>
        <w:t>个项目绩效评价，</w:t>
      </w:r>
      <w:r>
        <w:rPr>
          <w:rFonts w:eastAsia="仿宋_GB2312"/>
          <w:b w:val="0"/>
          <w:bCs/>
          <w:snapToGrid w:val="0"/>
          <w:color w:val="000000"/>
          <w:kern w:val="0"/>
          <w:sz w:val="32"/>
          <w:szCs w:val="32"/>
        </w:rPr>
        <w:t>从评价情况来看，其中，四川省文化产业发展专项资金的设立和安排使用，达到了促进全省文化产业发展、推动文化大发展大繁荣的目的和效果。20</w:t>
      </w:r>
      <w:r>
        <w:rPr>
          <w:rFonts w:hint="eastAsia" w:eastAsia="仿宋_GB2312"/>
          <w:b w:val="0"/>
          <w:bCs/>
          <w:snapToGrid w:val="0"/>
          <w:color w:val="000000"/>
          <w:kern w:val="0"/>
          <w:sz w:val="32"/>
          <w:szCs w:val="32"/>
          <w:lang w:val="en-US" w:eastAsia="zh-CN"/>
        </w:rPr>
        <w:t>20</w:t>
      </w:r>
      <w:r>
        <w:rPr>
          <w:rFonts w:eastAsia="仿宋_GB2312"/>
          <w:b w:val="0"/>
          <w:bCs/>
          <w:snapToGrid w:val="0"/>
          <w:color w:val="000000"/>
          <w:kern w:val="0"/>
          <w:sz w:val="32"/>
          <w:szCs w:val="32"/>
        </w:rPr>
        <w:t>年度四川省文化产业发展专项资金项目规范使用资金，接受专项资金补助的项目单位严格按项目进度核算，建立了项目预算和决算制度，项目的经济效益和社会效益初见成效，财政资金的放大功能和杠杆效益逐步显现。</w:t>
      </w:r>
    </w:p>
    <w:p>
      <w:pPr>
        <w:overflowPunct w:val="0"/>
        <w:adjustRightInd w:val="0"/>
        <w:snapToGrid w:val="0"/>
        <w:spacing w:line="576" w:lineRule="exact"/>
        <w:ind w:firstLine="640" w:firstLineChars="200"/>
        <w:rPr>
          <w:rFonts w:eastAsia="楷体_GB2312"/>
          <w:b w:val="0"/>
          <w:bCs/>
          <w:snapToGrid w:val="0"/>
          <w:kern w:val="0"/>
          <w:sz w:val="32"/>
          <w:szCs w:val="32"/>
        </w:rPr>
      </w:pPr>
      <w:r>
        <w:rPr>
          <w:rFonts w:eastAsia="楷体_GB2312"/>
          <w:b w:val="0"/>
          <w:bCs/>
          <w:snapToGrid w:val="0"/>
          <w:kern w:val="0"/>
          <w:sz w:val="32"/>
          <w:szCs w:val="32"/>
        </w:rPr>
        <w:t>（</w:t>
      </w:r>
      <w:r>
        <w:rPr>
          <w:rFonts w:hint="eastAsia" w:eastAsia="楷体_GB2312"/>
          <w:b w:val="0"/>
          <w:bCs/>
          <w:snapToGrid w:val="0"/>
          <w:kern w:val="0"/>
          <w:sz w:val="32"/>
          <w:szCs w:val="32"/>
          <w:lang w:val="en-US" w:eastAsia="zh-CN"/>
        </w:rPr>
        <w:t>1</w:t>
      </w:r>
      <w:r>
        <w:rPr>
          <w:rFonts w:eastAsia="楷体_GB2312"/>
          <w:b w:val="0"/>
          <w:bCs/>
          <w:snapToGrid w:val="0"/>
          <w:kern w:val="0"/>
          <w:sz w:val="32"/>
          <w:szCs w:val="32"/>
        </w:rPr>
        <w:t>）项目绩效目标完成情况。</w:t>
      </w:r>
    </w:p>
    <w:p>
      <w:pPr>
        <w:overflowPunct w:val="0"/>
        <w:adjustRightInd w:val="0"/>
        <w:snapToGrid w:val="0"/>
        <w:spacing w:line="576" w:lineRule="exact"/>
        <w:ind w:firstLine="640" w:firstLineChars="200"/>
        <w:rPr>
          <w:rFonts w:eastAsia="仿宋_GB2312"/>
          <w:b w:val="0"/>
          <w:bCs/>
          <w:snapToGrid w:val="0"/>
          <w:kern w:val="0"/>
          <w:sz w:val="32"/>
          <w:szCs w:val="32"/>
        </w:rPr>
      </w:pPr>
      <w:r>
        <w:rPr>
          <w:rFonts w:eastAsia="仿宋_GB2312"/>
          <w:b w:val="0"/>
          <w:bCs/>
          <w:snapToGrid w:val="0"/>
          <w:kern w:val="0"/>
          <w:sz w:val="32"/>
          <w:szCs w:val="32"/>
        </w:rPr>
        <w:t>本部门在20</w:t>
      </w:r>
      <w:r>
        <w:rPr>
          <w:rFonts w:hint="eastAsia" w:eastAsia="仿宋_GB2312"/>
          <w:b w:val="0"/>
          <w:bCs/>
          <w:snapToGrid w:val="0"/>
          <w:kern w:val="0"/>
          <w:sz w:val="32"/>
          <w:szCs w:val="32"/>
          <w:lang w:val="en-US" w:eastAsia="zh-CN"/>
        </w:rPr>
        <w:t>20</w:t>
      </w:r>
      <w:r>
        <w:rPr>
          <w:rFonts w:eastAsia="仿宋_GB2312"/>
          <w:b w:val="0"/>
          <w:bCs/>
          <w:snapToGrid w:val="0"/>
          <w:kern w:val="0"/>
          <w:sz w:val="32"/>
          <w:szCs w:val="32"/>
        </w:rPr>
        <w:t>年度部门决算中“重大活动宣传经费”、“招生、录取及就业经费”等</w:t>
      </w:r>
      <w:r>
        <w:rPr>
          <w:rFonts w:hint="eastAsia" w:eastAsia="仿宋_GB2312"/>
          <w:b w:val="0"/>
          <w:bCs/>
          <w:snapToGrid w:val="0"/>
          <w:kern w:val="0"/>
          <w:sz w:val="32"/>
          <w:szCs w:val="32"/>
          <w:lang w:val="en-US" w:eastAsia="zh-CN"/>
        </w:rPr>
        <w:t>14</w:t>
      </w:r>
      <w:r>
        <w:rPr>
          <w:rFonts w:eastAsia="仿宋_GB2312"/>
          <w:b w:val="0"/>
          <w:bCs/>
          <w:snapToGrid w:val="0"/>
          <w:kern w:val="0"/>
          <w:sz w:val="32"/>
          <w:szCs w:val="32"/>
        </w:rPr>
        <w:t>个项目（含子项目）绩效目标实际完成情况。</w:t>
      </w:r>
    </w:p>
    <w:p>
      <w:pPr>
        <w:numPr>
          <w:ilvl w:val="0"/>
          <w:numId w:val="4"/>
        </w:numPr>
        <w:overflowPunct w:val="0"/>
        <w:adjustRightInd w:val="0"/>
        <w:snapToGrid w:val="0"/>
        <w:spacing w:line="580" w:lineRule="exact"/>
        <w:ind w:left="0" w:firstLine="640" w:firstLineChars="200"/>
        <w:rPr>
          <w:rFonts w:hint="eastAsia" w:eastAsia="仿宋_GB2312"/>
          <w:b w:val="0"/>
          <w:bCs/>
          <w:snapToGrid w:val="0"/>
          <w:kern w:val="0"/>
          <w:sz w:val="32"/>
          <w:szCs w:val="32"/>
          <w:highlight w:val="none"/>
          <w:lang w:val="en-US" w:eastAsia="zh-CN"/>
        </w:rPr>
      </w:pPr>
      <w:r>
        <w:rPr>
          <w:rFonts w:eastAsia="仿宋_GB2312"/>
          <w:b w:val="0"/>
          <w:bCs/>
          <w:snapToGrid w:val="0"/>
          <w:kern w:val="0"/>
          <w:sz w:val="32"/>
          <w:szCs w:val="32"/>
          <w:highlight w:val="none"/>
        </w:rPr>
        <w:t>“</w:t>
      </w:r>
      <w:r>
        <w:rPr>
          <w:rFonts w:hint="eastAsia" w:eastAsia="仿宋_GB2312"/>
          <w:b w:val="0"/>
          <w:bCs/>
          <w:snapToGrid w:val="0"/>
          <w:kern w:val="0"/>
          <w:sz w:val="32"/>
          <w:szCs w:val="32"/>
          <w:highlight w:val="none"/>
          <w:lang w:eastAsia="zh-CN"/>
        </w:rPr>
        <w:t>重大理论、宣传、出版、文化及融媒体建设等活动经费</w:t>
      </w:r>
      <w:r>
        <w:rPr>
          <w:rFonts w:eastAsia="仿宋_GB2312"/>
          <w:b w:val="0"/>
          <w:bCs/>
          <w:snapToGrid w:val="0"/>
          <w:kern w:val="0"/>
          <w:sz w:val="32"/>
          <w:szCs w:val="32"/>
          <w:highlight w:val="none"/>
        </w:rPr>
        <w:t>”项目绩效目标完成情况综述。项目全年预算数</w:t>
      </w:r>
      <w:r>
        <w:rPr>
          <w:rFonts w:hint="eastAsia" w:eastAsia="仿宋_GB2312"/>
          <w:b w:val="0"/>
          <w:bCs/>
          <w:snapToGrid w:val="0"/>
          <w:kern w:val="0"/>
          <w:sz w:val="32"/>
          <w:szCs w:val="32"/>
          <w:highlight w:val="none"/>
          <w:lang w:val="en-US" w:eastAsia="zh-CN"/>
        </w:rPr>
        <w:t>316.4</w:t>
      </w:r>
      <w:r>
        <w:rPr>
          <w:rFonts w:eastAsia="仿宋_GB2312"/>
          <w:b w:val="0"/>
          <w:bCs/>
          <w:snapToGrid w:val="0"/>
          <w:kern w:val="0"/>
          <w:sz w:val="32"/>
          <w:szCs w:val="32"/>
          <w:highlight w:val="none"/>
        </w:rPr>
        <w:t>万元，执行数为</w:t>
      </w:r>
      <w:r>
        <w:rPr>
          <w:rFonts w:hint="eastAsia" w:eastAsia="仿宋_GB2312"/>
          <w:b w:val="0"/>
          <w:bCs/>
          <w:snapToGrid w:val="0"/>
          <w:kern w:val="0"/>
          <w:sz w:val="32"/>
          <w:szCs w:val="32"/>
          <w:highlight w:val="none"/>
          <w:lang w:val="en-US" w:eastAsia="zh-CN"/>
        </w:rPr>
        <w:t>311.78</w:t>
      </w:r>
      <w:r>
        <w:rPr>
          <w:rFonts w:eastAsia="仿宋_GB2312"/>
          <w:b w:val="0"/>
          <w:bCs/>
          <w:snapToGrid w:val="0"/>
          <w:kern w:val="0"/>
          <w:sz w:val="32"/>
          <w:szCs w:val="32"/>
          <w:highlight w:val="none"/>
        </w:rPr>
        <w:t>万元，完成预算的</w:t>
      </w:r>
      <w:r>
        <w:rPr>
          <w:rFonts w:hint="eastAsia" w:eastAsia="仿宋_GB2312"/>
          <w:b w:val="0"/>
          <w:bCs/>
          <w:snapToGrid w:val="0"/>
          <w:kern w:val="0"/>
          <w:sz w:val="32"/>
          <w:szCs w:val="32"/>
          <w:highlight w:val="none"/>
          <w:lang w:val="en-US" w:eastAsia="zh-CN"/>
        </w:rPr>
        <w:t>98.54</w:t>
      </w:r>
      <w:r>
        <w:rPr>
          <w:rFonts w:eastAsia="仿宋_GB2312"/>
          <w:b w:val="0"/>
          <w:bCs/>
          <w:snapToGrid w:val="0"/>
          <w:kern w:val="0"/>
          <w:sz w:val="32"/>
          <w:szCs w:val="32"/>
          <w:highlight w:val="none"/>
        </w:rPr>
        <w:t>%。</w:t>
      </w:r>
      <w:r>
        <w:rPr>
          <w:rFonts w:hint="eastAsia" w:eastAsia="仿宋_GB2312"/>
          <w:b w:val="0"/>
          <w:bCs/>
          <w:snapToGrid w:val="0"/>
          <w:kern w:val="0"/>
          <w:sz w:val="32"/>
          <w:szCs w:val="32"/>
          <w:highlight w:val="none"/>
        </w:rPr>
        <w:t>认真贯彻中央和省委重大决策部署，全面落实全国、全省宣传部长会议精神，在决胜全面小康、决战脱贫攻坚中展现新作为，在抗击疫情和防汛救灾大战大考中焕发新气象，为夺取疫情防控和经济社会发展“双胜利”、推动治蜀兴川再上新台阶提供了坚强思想保证和强大精神力量。理论学习走深走实，理论宣讲创新开展，理论研究深入浅出；抗击疫情重大宣传卓有成效，脱贫奔康主题宣传浓墨重彩，经济社会成就宣传有声有色；社会主义核心价值观广泛弘扬，群众性精神文明创建成效显著，全社会崇德向善风尚日益浓厚；中华优秀传统文化创造性转化创新性发展迈出新步伐；文化精品创作生产和文化高质量发展扎实推进。</w:t>
      </w:r>
    </w:p>
    <w:tbl>
      <w:tblPr>
        <w:tblStyle w:val="12"/>
        <w:tblW w:w="91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690"/>
        <w:gridCol w:w="1485"/>
        <w:gridCol w:w="960"/>
        <w:gridCol w:w="960"/>
        <w:gridCol w:w="2340"/>
        <w:gridCol w:w="2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195"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eastAsia="宋体" w:cs="宋体"/>
                <w:b/>
                <w:bCs/>
                <w:i w:val="0"/>
                <w:iCs w:val="0"/>
                <w:color w:val="000000"/>
                <w:sz w:val="32"/>
                <w:szCs w:val="32"/>
                <w:u w:val="none"/>
              </w:rPr>
            </w:pPr>
            <w:r>
              <w:rPr>
                <w:rFonts w:hint="eastAsia" w:ascii="宋体" w:eastAsia="宋体" w:cs="宋体"/>
                <w:b/>
                <w:bCs/>
                <w:i w:val="0"/>
                <w:iCs w:val="0"/>
                <w:color w:val="000000"/>
                <w:kern w:val="0"/>
                <w:sz w:val="32"/>
                <w:szCs w:val="32"/>
                <w:u w:val="none"/>
                <w:lang w:val="en-US" w:eastAsia="zh-CN"/>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95"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       2020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项目名称</w:t>
            </w:r>
          </w:p>
        </w:tc>
        <w:tc>
          <w:tcPr>
            <w:tcW w:w="790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重大理论、宣传、出版、文化及融媒体建设等活动经费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主管部门及代码</w:t>
            </w:r>
          </w:p>
        </w:tc>
        <w:tc>
          <w:tcPr>
            <w:tcW w:w="34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中共四川省委宣传部</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实施单位</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中国共产党四川省委员会宣传部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2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项目预算</w:t>
            </w:r>
          </w:p>
          <w:p>
            <w:pPr>
              <w:keepNext w:val="0"/>
              <w:keepLines w:val="0"/>
              <w:widowControl/>
              <w:suppressLineNumbers w:val="0"/>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执行情况</w:t>
            </w:r>
          </w:p>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（万元）</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 预算数：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316.4</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 执行数：</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311.78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2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       其中：财政拨款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316.4</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       其中：财政拨款</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311.78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2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             其他资金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0.0</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             其他资金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年</w:t>
            </w:r>
          </w:p>
          <w:p>
            <w:pPr>
              <w:keepNext w:val="0"/>
              <w:keepLines w:val="0"/>
              <w:widowControl/>
              <w:suppressLineNumbers w:val="0"/>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度</w:t>
            </w:r>
          </w:p>
          <w:p>
            <w:pPr>
              <w:keepNext w:val="0"/>
              <w:keepLines w:val="0"/>
              <w:widowControl/>
              <w:suppressLineNumbers w:val="0"/>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总</w:t>
            </w:r>
          </w:p>
          <w:p>
            <w:pPr>
              <w:keepNext w:val="0"/>
              <w:keepLines w:val="0"/>
              <w:widowControl/>
              <w:suppressLineNumbers w:val="0"/>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体</w:t>
            </w:r>
          </w:p>
          <w:p>
            <w:pPr>
              <w:keepNext w:val="0"/>
              <w:keepLines w:val="0"/>
              <w:widowControl/>
              <w:suppressLineNumbers w:val="0"/>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目</w:t>
            </w:r>
          </w:p>
          <w:p>
            <w:pPr>
              <w:keepNext w:val="0"/>
              <w:keepLines w:val="0"/>
              <w:widowControl/>
              <w:suppressLineNumbers w:val="0"/>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标</w:t>
            </w:r>
          </w:p>
          <w:p>
            <w:pPr>
              <w:keepNext w:val="0"/>
              <w:keepLines w:val="0"/>
              <w:widowControl/>
              <w:suppressLineNumbers w:val="0"/>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完</w:t>
            </w:r>
          </w:p>
          <w:p>
            <w:pPr>
              <w:keepNext w:val="0"/>
              <w:keepLines w:val="0"/>
              <w:widowControl/>
              <w:suppressLineNumbers w:val="0"/>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成</w:t>
            </w:r>
          </w:p>
          <w:p>
            <w:pPr>
              <w:keepNext w:val="0"/>
              <w:keepLines w:val="0"/>
              <w:widowControl/>
              <w:suppressLineNumbers w:val="0"/>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情</w:t>
            </w:r>
          </w:p>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况</w:t>
            </w:r>
          </w:p>
        </w:tc>
        <w:tc>
          <w:tcPr>
            <w:tcW w:w="40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预期目标</w:t>
            </w:r>
          </w:p>
        </w:tc>
        <w:tc>
          <w:tcPr>
            <w:tcW w:w="4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095" w:type="dxa"/>
            <w:gridSpan w:val="4"/>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widowControl/>
              <w:suppressLineNumbers w:val="0"/>
              <w:jc w:val="left"/>
              <w:textAlignment w:val="top"/>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学习宣传贯彻党的十九大和十九届二中、三中、四中全会精神，省委十一届三次、四次、五次全会精神，聚焦中央工作大局和省委中心工作，组织正面宣传，开展主题宣传、形势宣传、政策宣传等，巩固壮大主流舆论，重点做好脱贫攻坚、乡村振兴、县域经济发展、全面创新改革等重大主题宣传；组织热点引导和应急新闻报道工作，开展舆论监督；加强理论宣传阵地建设，加强理论研究；开展重点出版活动，推进振兴四川出版等；推动构建优秀传统文化传承发展体系；开展思想道德建设；开展主题教育活动等。</w:t>
            </w:r>
          </w:p>
        </w:tc>
        <w:tc>
          <w:tcPr>
            <w:tcW w:w="450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widowControl/>
              <w:suppressLineNumbers w:val="0"/>
              <w:jc w:val="left"/>
              <w:textAlignment w:val="top"/>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认真贯彻中央和省委重大决策部署，全面落实全国、全省宣传部长会议精神，在决胜全面小康、决战脱贫攻坚中展现新作为，在抗击疫情和防汛救灾大战大考中焕发新气象，为夺取疫情防控和经济社会发展“双胜利”、推动治蜀兴川再上新台阶提供了坚强思想保证和强大精神力量。理论学习走深走实，理论宣讲创新开展，理论研究深入浅出；抗击疫情重大宣传卓有成效，脱贫奔康主题宣传浓墨重彩，经济社会成就宣传有声有色；社会主义核心价值观广泛弘扬，群众性精神文明创建成效显著，全社会崇德向善风尚日益浓厚；中华优秀传统文化创造性转化创新性发展迈出新步伐；文化精品创作生产和文化高质量发展扎实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年度绩效指标完成情况</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一级指标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二级指标</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三级指标</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预期指标值</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完</w:t>
            </w:r>
          </w:p>
          <w:p>
            <w:pPr>
              <w:keepNext w:val="0"/>
              <w:keepLines w:val="0"/>
              <w:widowControl/>
              <w:suppressLineNumbers w:val="0"/>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成</w:t>
            </w:r>
          </w:p>
          <w:p>
            <w:pPr>
              <w:keepNext w:val="0"/>
              <w:keepLines w:val="0"/>
              <w:widowControl/>
              <w:suppressLineNumbers w:val="0"/>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指</w:t>
            </w:r>
          </w:p>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标</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数量指标</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开展重大主题宣传活动、组织热点引导和应急新闻报道，开展舆论监督等</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ascii="Arial" w:hAnsi="Arial" w:cs="Arial"/>
                <w:i w:val="0"/>
                <w:iCs w:val="0"/>
                <w:color w:val="000000"/>
                <w:sz w:val="20"/>
                <w:szCs w:val="20"/>
                <w:u w:val="none"/>
              </w:rPr>
            </w:pPr>
            <w:r>
              <w:rPr>
                <w:rFonts w:ascii="Arial" w:hAnsi="Arial" w:eastAsia="宋体" w:cs="Arial"/>
                <w:i w:val="0"/>
                <w:iCs w:val="0"/>
                <w:color w:val="000000"/>
                <w:kern w:val="0"/>
                <w:sz w:val="20"/>
                <w:szCs w:val="20"/>
                <w:u w:val="none"/>
                <w:lang w:val="en-US" w:eastAsia="zh-CN"/>
              </w:rPr>
              <w:t>3</w:t>
            </w:r>
            <w:r>
              <w:rPr>
                <w:rFonts w:hint="eastAsia" w:ascii="宋体" w:eastAsia="宋体" w:cs="宋体"/>
                <w:i w:val="0"/>
                <w:iCs w:val="0"/>
                <w:color w:val="000000"/>
                <w:kern w:val="0"/>
                <w:sz w:val="20"/>
                <w:szCs w:val="20"/>
                <w:u w:val="none"/>
                <w:lang w:val="en-US" w:eastAsia="zh-CN"/>
              </w:rPr>
              <w:t>次及以上</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抗击疫情重大宣传卓有成效，中央主要媒体聚焦打赢两场硬仗推出涉川报道</w:t>
            </w:r>
            <w:r>
              <w:rPr>
                <w:rFonts w:ascii="Arial" w:hAnsi="Arial" w:eastAsia="宋体" w:cs="Arial"/>
                <w:i w:val="0"/>
                <w:iCs w:val="0"/>
                <w:color w:val="000000"/>
                <w:kern w:val="0"/>
                <w:sz w:val="20"/>
                <w:szCs w:val="20"/>
                <w:u w:val="none"/>
                <w:lang w:val="en-US" w:eastAsia="zh-CN"/>
              </w:rPr>
              <w:t>1</w:t>
            </w:r>
            <w:r>
              <w:rPr>
                <w:rFonts w:hint="eastAsia" w:ascii="宋体" w:eastAsia="宋体" w:cs="宋体"/>
                <w:i w:val="0"/>
                <w:iCs w:val="0"/>
                <w:color w:val="000000"/>
                <w:kern w:val="0"/>
                <w:sz w:val="20"/>
                <w:szCs w:val="20"/>
                <w:u w:val="none"/>
                <w:lang w:val="en-US" w:eastAsia="zh-CN"/>
              </w:rPr>
              <w:t>万余篇（条），省直媒体推出报道</w:t>
            </w:r>
            <w:r>
              <w:rPr>
                <w:rFonts w:ascii="Arial" w:hAnsi="Arial" w:eastAsia="宋体" w:cs="Arial"/>
                <w:i w:val="0"/>
                <w:iCs w:val="0"/>
                <w:color w:val="000000"/>
                <w:kern w:val="0"/>
                <w:sz w:val="20"/>
                <w:szCs w:val="20"/>
                <w:u w:val="none"/>
                <w:lang w:val="en-US" w:eastAsia="zh-CN"/>
              </w:rPr>
              <w:t>40</w:t>
            </w:r>
            <w:r>
              <w:rPr>
                <w:rFonts w:hint="eastAsia" w:ascii="宋体" w:eastAsia="宋体" w:cs="宋体"/>
                <w:i w:val="0"/>
                <w:iCs w:val="0"/>
                <w:color w:val="000000"/>
                <w:kern w:val="0"/>
                <w:sz w:val="20"/>
                <w:szCs w:val="20"/>
                <w:u w:val="none"/>
                <w:lang w:val="en-US" w:eastAsia="zh-CN"/>
              </w:rPr>
              <w:t>余万篇（条）。精心组织</w:t>
            </w:r>
            <w:r>
              <w:rPr>
                <w:rFonts w:ascii="Arial" w:hAnsi="Arial" w:eastAsia="宋体" w:cs="Arial"/>
                <w:i w:val="0"/>
                <w:iCs w:val="0"/>
                <w:color w:val="000000"/>
                <w:kern w:val="0"/>
                <w:sz w:val="20"/>
                <w:szCs w:val="20"/>
                <w:u w:val="none"/>
                <w:lang w:val="en-US" w:eastAsia="zh-CN"/>
              </w:rPr>
              <w:t>“</w:t>
            </w:r>
            <w:r>
              <w:rPr>
                <w:rFonts w:hint="eastAsia" w:ascii="宋体" w:eastAsia="宋体" w:cs="宋体"/>
                <w:i w:val="0"/>
                <w:iCs w:val="0"/>
                <w:color w:val="000000"/>
                <w:kern w:val="0"/>
                <w:sz w:val="20"/>
                <w:szCs w:val="20"/>
                <w:u w:val="none"/>
                <w:lang w:val="en-US" w:eastAsia="zh-CN"/>
              </w:rPr>
              <w:t>决胜全面小康</w:t>
            </w:r>
            <w:r>
              <w:rPr>
                <w:rFonts w:ascii="Arial" w:hAnsi="Arial" w:eastAsia="宋体" w:cs="Arial"/>
                <w:i w:val="0"/>
                <w:iCs w:val="0"/>
                <w:color w:val="000000"/>
                <w:kern w:val="0"/>
                <w:sz w:val="20"/>
                <w:szCs w:val="20"/>
                <w:u w:val="none"/>
                <w:lang w:val="en-US" w:eastAsia="zh-CN"/>
              </w:rPr>
              <w:t xml:space="preserve"> </w:t>
            </w:r>
            <w:r>
              <w:rPr>
                <w:rFonts w:hint="eastAsia" w:ascii="宋体" w:eastAsia="宋体" w:cs="宋体"/>
                <w:i w:val="0"/>
                <w:iCs w:val="0"/>
                <w:color w:val="000000"/>
                <w:kern w:val="0"/>
                <w:sz w:val="20"/>
                <w:szCs w:val="20"/>
                <w:u w:val="none"/>
                <w:lang w:val="en-US" w:eastAsia="zh-CN"/>
              </w:rPr>
              <w:t>决战脱贫攻坚</w:t>
            </w:r>
            <w:r>
              <w:rPr>
                <w:rFonts w:ascii="Arial" w:hAnsi="Arial" w:eastAsia="宋体" w:cs="Arial"/>
                <w:i w:val="0"/>
                <w:iCs w:val="0"/>
                <w:color w:val="000000"/>
                <w:kern w:val="0"/>
                <w:sz w:val="20"/>
                <w:szCs w:val="20"/>
                <w:u w:val="none"/>
                <w:lang w:val="en-US" w:eastAsia="zh-CN"/>
              </w:rPr>
              <w:t>”</w:t>
            </w:r>
            <w:r>
              <w:rPr>
                <w:rFonts w:hint="eastAsia" w:ascii="宋体" w:eastAsia="宋体" w:cs="宋体"/>
                <w:i w:val="0"/>
                <w:iCs w:val="0"/>
                <w:color w:val="000000"/>
                <w:kern w:val="0"/>
                <w:sz w:val="20"/>
                <w:szCs w:val="20"/>
                <w:u w:val="none"/>
                <w:lang w:val="en-US" w:eastAsia="zh-CN"/>
              </w:rPr>
              <w:t>重大主题宣传。大力唱响经济光明论，深入解读扎实做好</w:t>
            </w:r>
            <w:r>
              <w:rPr>
                <w:rFonts w:ascii="Arial" w:hAnsi="Arial" w:eastAsia="宋体" w:cs="Arial"/>
                <w:i w:val="0"/>
                <w:iCs w:val="0"/>
                <w:color w:val="000000"/>
                <w:kern w:val="0"/>
                <w:sz w:val="20"/>
                <w:szCs w:val="20"/>
                <w:u w:val="none"/>
                <w:lang w:val="en-US" w:eastAsia="zh-CN"/>
              </w:rPr>
              <w:t>“</w:t>
            </w:r>
            <w:r>
              <w:rPr>
                <w:rFonts w:hint="eastAsia" w:ascii="宋体" w:eastAsia="宋体" w:cs="宋体"/>
                <w:i w:val="0"/>
                <w:iCs w:val="0"/>
                <w:color w:val="000000"/>
                <w:kern w:val="0"/>
                <w:sz w:val="20"/>
                <w:szCs w:val="20"/>
                <w:u w:val="none"/>
                <w:lang w:val="en-US" w:eastAsia="zh-CN"/>
              </w:rPr>
              <w:t>六稳</w:t>
            </w:r>
            <w:r>
              <w:rPr>
                <w:rFonts w:ascii="Arial" w:hAnsi="Arial" w:eastAsia="宋体" w:cs="Arial"/>
                <w:i w:val="0"/>
                <w:iCs w:val="0"/>
                <w:color w:val="000000"/>
                <w:kern w:val="0"/>
                <w:sz w:val="20"/>
                <w:szCs w:val="20"/>
                <w:u w:val="none"/>
                <w:lang w:val="en-US" w:eastAsia="zh-CN"/>
              </w:rPr>
              <w:t>”</w:t>
            </w:r>
            <w:r>
              <w:rPr>
                <w:rFonts w:hint="eastAsia" w:ascii="宋体" w:eastAsia="宋体" w:cs="宋体"/>
                <w:i w:val="0"/>
                <w:iCs w:val="0"/>
                <w:color w:val="000000"/>
                <w:kern w:val="0"/>
                <w:sz w:val="20"/>
                <w:szCs w:val="20"/>
                <w:u w:val="none"/>
                <w:lang w:val="en-US" w:eastAsia="zh-CN"/>
              </w:rPr>
              <w:t>工作、全面落实</w:t>
            </w:r>
            <w:r>
              <w:rPr>
                <w:rFonts w:ascii="Arial" w:hAnsi="Arial" w:eastAsia="宋体" w:cs="Arial"/>
                <w:i w:val="0"/>
                <w:iCs w:val="0"/>
                <w:color w:val="000000"/>
                <w:kern w:val="0"/>
                <w:sz w:val="20"/>
                <w:szCs w:val="20"/>
                <w:u w:val="none"/>
                <w:lang w:val="en-US" w:eastAsia="zh-CN"/>
              </w:rPr>
              <w:t>“</w:t>
            </w:r>
            <w:r>
              <w:rPr>
                <w:rFonts w:hint="eastAsia" w:ascii="宋体" w:eastAsia="宋体" w:cs="宋体"/>
                <w:i w:val="0"/>
                <w:iCs w:val="0"/>
                <w:color w:val="000000"/>
                <w:kern w:val="0"/>
                <w:sz w:val="20"/>
                <w:szCs w:val="20"/>
                <w:u w:val="none"/>
                <w:lang w:val="en-US" w:eastAsia="zh-CN"/>
              </w:rPr>
              <w:t>六保</w:t>
            </w:r>
            <w:r>
              <w:rPr>
                <w:rFonts w:ascii="Arial" w:hAnsi="Arial" w:eastAsia="宋体" w:cs="Arial"/>
                <w:i w:val="0"/>
                <w:iCs w:val="0"/>
                <w:color w:val="000000"/>
                <w:kern w:val="0"/>
                <w:sz w:val="20"/>
                <w:szCs w:val="20"/>
                <w:u w:val="none"/>
                <w:lang w:val="en-US" w:eastAsia="zh-CN"/>
              </w:rPr>
              <w:t>”</w:t>
            </w:r>
            <w:r>
              <w:rPr>
                <w:rFonts w:hint="eastAsia" w:ascii="宋体" w:eastAsia="宋体" w:cs="宋体"/>
                <w:i w:val="0"/>
                <w:iCs w:val="0"/>
                <w:color w:val="000000"/>
                <w:kern w:val="0"/>
                <w:sz w:val="20"/>
                <w:szCs w:val="20"/>
                <w:u w:val="none"/>
                <w:lang w:val="en-US" w:eastAsia="zh-CN"/>
              </w:rPr>
              <w:t>任务，充分报道我省重大部署，全面反映治蜀兴川新进展新成效。</w:t>
            </w:r>
            <w:r>
              <w:rPr>
                <w:rFonts w:ascii="Arial" w:hAnsi="Arial" w:eastAsia="宋体" w:cs="Arial"/>
                <w:i w:val="0"/>
                <w:iCs w:val="0"/>
                <w:color w:val="000000"/>
                <w:kern w:val="0"/>
                <w:sz w:val="20"/>
                <w:szCs w:val="20"/>
                <w:u w:val="none"/>
                <w:lang w:val="en-US" w:eastAsia="zh-CN"/>
              </w:rPr>
              <w:t>3</w:t>
            </w:r>
            <w:r>
              <w:rPr>
                <w:rFonts w:hint="eastAsia" w:ascii="宋体" w:eastAsia="宋体" w:cs="宋体"/>
                <w:i w:val="0"/>
                <w:iCs w:val="0"/>
                <w:color w:val="000000"/>
                <w:kern w:val="0"/>
                <w:sz w:val="20"/>
                <w:szCs w:val="20"/>
                <w:u w:val="none"/>
                <w:lang w:val="en-US" w:eastAsia="zh-CN"/>
              </w:rPr>
              <w:t>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开展思想道德建设、主题教育活动等</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ascii="Arial" w:hAnsi="Arial" w:cs="Arial"/>
                <w:i w:val="0"/>
                <w:iCs w:val="0"/>
                <w:color w:val="000000"/>
                <w:sz w:val="20"/>
                <w:szCs w:val="20"/>
                <w:u w:val="none"/>
              </w:rPr>
            </w:pPr>
            <w:r>
              <w:rPr>
                <w:rFonts w:ascii="Arial" w:hAnsi="Arial" w:eastAsia="宋体" w:cs="Arial"/>
                <w:i w:val="0"/>
                <w:iCs w:val="0"/>
                <w:color w:val="000000"/>
                <w:kern w:val="0"/>
                <w:sz w:val="20"/>
                <w:szCs w:val="20"/>
                <w:u w:val="none"/>
                <w:lang w:val="en-US" w:eastAsia="zh-CN"/>
              </w:rPr>
              <w:t>3</w:t>
            </w:r>
            <w:r>
              <w:rPr>
                <w:rFonts w:hint="eastAsia" w:ascii="宋体" w:eastAsia="宋体" w:cs="宋体"/>
                <w:i w:val="0"/>
                <w:iCs w:val="0"/>
                <w:color w:val="000000"/>
                <w:kern w:val="0"/>
                <w:sz w:val="20"/>
                <w:szCs w:val="20"/>
                <w:u w:val="none"/>
                <w:lang w:val="en-US" w:eastAsia="zh-CN"/>
              </w:rPr>
              <w:t>次及以上</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广泛弘扬社会主义核心价值观，推进理想信念教育常态化制度化。印发《新时代公民道德建设实施纲要》分工方案，开展</w:t>
            </w:r>
            <w:r>
              <w:rPr>
                <w:rFonts w:ascii="Arial" w:hAnsi="Arial" w:eastAsia="宋体" w:cs="Arial"/>
                <w:i w:val="0"/>
                <w:iCs w:val="0"/>
                <w:color w:val="000000"/>
                <w:kern w:val="0"/>
                <w:sz w:val="20"/>
                <w:szCs w:val="20"/>
                <w:u w:val="none"/>
                <w:lang w:val="en-US" w:eastAsia="zh-CN"/>
              </w:rPr>
              <w:t>“</w:t>
            </w:r>
            <w:r>
              <w:rPr>
                <w:rFonts w:hint="eastAsia" w:ascii="宋体" w:eastAsia="宋体" w:cs="宋体"/>
                <w:i w:val="0"/>
                <w:iCs w:val="0"/>
                <w:color w:val="000000"/>
                <w:kern w:val="0"/>
                <w:sz w:val="20"/>
                <w:szCs w:val="20"/>
                <w:u w:val="none"/>
                <w:lang w:val="en-US" w:eastAsia="zh-CN"/>
              </w:rPr>
              <w:t>倡导国庆新民俗、打造爱国活动周</w:t>
            </w:r>
            <w:r>
              <w:rPr>
                <w:rFonts w:ascii="Arial" w:hAnsi="Arial" w:eastAsia="宋体" w:cs="Arial"/>
                <w:i w:val="0"/>
                <w:iCs w:val="0"/>
                <w:color w:val="000000"/>
                <w:kern w:val="0"/>
                <w:sz w:val="20"/>
                <w:szCs w:val="20"/>
                <w:u w:val="none"/>
                <w:lang w:val="en-US" w:eastAsia="zh-CN"/>
              </w:rPr>
              <w:t>”</w:t>
            </w:r>
            <w:r>
              <w:rPr>
                <w:rFonts w:hint="eastAsia" w:ascii="宋体" w:eastAsia="宋体" w:cs="宋体"/>
                <w:i w:val="0"/>
                <w:iCs w:val="0"/>
                <w:color w:val="000000"/>
                <w:kern w:val="0"/>
                <w:sz w:val="20"/>
                <w:szCs w:val="20"/>
                <w:u w:val="none"/>
                <w:lang w:val="en-US" w:eastAsia="zh-CN"/>
              </w:rPr>
              <w:t>等主题活动。推动群众性精神文明创建活动，</w:t>
            </w:r>
            <w:r>
              <w:rPr>
                <w:rFonts w:ascii="Arial" w:hAnsi="Arial" w:eastAsia="宋体" w:cs="Arial"/>
                <w:i w:val="0"/>
                <w:iCs w:val="0"/>
                <w:color w:val="000000"/>
                <w:kern w:val="0"/>
                <w:sz w:val="20"/>
                <w:szCs w:val="20"/>
                <w:u w:val="none"/>
                <w:lang w:val="en-US" w:eastAsia="zh-CN"/>
              </w:rPr>
              <w:t>4</w:t>
            </w:r>
            <w:r>
              <w:rPr>
                <w:rFonts w:hint="eastAsia" w:ascii="宋体" w:eastAsia="宋体" w:cs="宋体"/>
                <w:i w:val="0"/>
                <w:iCs w:val="0"/>
                <w:color w:val="000000"/>
                <w:kern w:val="0"/>
                <w:sz w:val="20"/>
                <w:szCs w:val="20"/>
                <w:u w:val="none"/>
                <w:lang w:val="en-US" w:eastAsia="zh-CN"/>
              </w:rPr>
              <w:t>个地级市和</w:t>
            </w:r>
            <w:r>
              <w:rPr>
                <w:rFonts w:ascii="Arial" w:hAnsi="Arial" w:eastAsia="宋体" w:cs="Arial"/>
                <w:i w:val="0"/>
                <w:iCs w:val="0"/>
                <w:color w:val="000000"/>
                <w:kern w:val="0"/>
                <w:sz w:val="20"/>
                <w:szCs w:val="20"/>
                <w:u w:val="none"/>
                <w:lang w:val="en-US" w:eastAsia="zh-CN"/>
              </w:rPr>
              <w:t>4</w:t>
            </w:r>
            <w:r>
              <w:rPr>
                <w:rFonts w:hint="eastAsia" w:ascii="宋体" w:eastAsia="宋体" w:cs="宋体"/>
                <w:i w:val="0"/>
                <w:iCs w:val="0"/>
                <w:color w:val="000000"/>
                <w:kern w:val="0"/>
                <w:sz w:val="20"/>
                <w:szCs w:val="20"/>
                <w:u w:val="none"/>
                <w:lang w:val="en-US" w:eastAsia="zh-CN"/>
              </w:rPr>
              <w:t>个县级城市获评第六届全国文明城市。隆重召开全省精神文明建设表彰大会。选树</w:t>
            </w:r>
            <w:r>
              <w:rPr>
                <w:rFonts w:ascii="Arial" w:hAnsi="Arial" w:eastAsia="宋体" w:cs="Arial"/>
                <w:i w:val="0"/>
                <w:iCs w:val="0"/>
                <w:color w:val="000000"/>
                <w:kern w:val="0"/>
                <w:sz w:val="20"/>
                <w:szCs w:val="20"/>
                <w:u w:val="none"/>
                <w:lang w:val="en-US" w:eastAsia="zh-CN"/>
              </w:rPr>
              <w:t>“</w:t>
            </w:r>
            <w:r>
              <w:rPr>
                <w:rFonts w:hint="eastAsia" w:ascii="宋体" w:eastAsia="宋体" w:cs="宋体"/>
                <w:i w:val="0"/>
                <w:iCs w:val="0"/>
                <w:color w:val="000000"/>
                <w:kern w:val="0"/>
                <w:sz w:val="20"/>
                <w:szCs w:val="20"/>
                <w:u w:val="none"/>
                <w:lang w:val="en-US" w:eastAsia="zh-CN"/>
              </w:rPr>
              <w:t>四川好人</w:t>
            </w:r>
            <w:r>
              <w:rPr>
                <w:rFonts w:ascii="Arial" w:hAnsi="Arial" w:eastAsia="宋体" w:cs="Arial"/>
                <w:i w:val="0"/>
                <w:iCs w:val="0"/>
                <w:color w:val="000000"/>
                <w:kern w:val="0"/>
                <w:sz w:val="20"/>
                <w:szCs w:val="20"/>
                <w:u w:val="none"/>
                <w:lang w:val="en-US" w:eastAsia="zh-CN"/>
              </w:rPr>
              <w:t>”</w:t>
            </w:r>
            <w:r>
              <w:rPr>
                <w:rFonts w:hint="eastAsia" w:ascii="宋体" w:eastAsia="宋体" w:cs="宋体"/>
                <w:i w:val="0"/>
                <w:iCs w:val="0"/>
                <w:color w:val="000000"/>
                <w:kern w:val="0"/>
                <w:sz w:val="20"/>
                <w:szCs w:val="20"/>
                <w:u w:val="none"/>
                <w:lang w:val="en-US" w:eastAsia="zh-CN"/>
              </w:rPr>
              <w:t>和</w:t>
            </w:r>
            <w:r>
              <w:rPr>
                <w:rFonts w:ascii="Arial" w:hAnsi="Arial" w:eastAsia="宋体" w:cs="Arial"/>
                <w:i w:val="0"/>
                <w:iCs w:val="0"/>
                <w:color w:val="000000"/>
                <w:kern w:val="0"/>
                <w:sz w:val="20"/>
                <w:szCs w:val="20"/>
                <w:u w:val="none"/>
                <w:lang w:val="en-US" w:eastAsia="zh-CN"/>
              </w:rPr>
              <w:t>“</w:t>
            </w:r>
            <w:r>
              <w:rPr>
                <w:rFonts w:hint="eastAsia" w:ascii="宋体" w:eastAsia="宋体" w:cs="宋体"/>
                <w:i w:val="0"/>
                <w:iCs w:val="0"/>
                <w:color w:val="000000"/>
                <w:kern w:val="0"/>
                <w:sz w:val="20"/>
                <w:szCs w:val="20"/>
                <w:u w:val="none"/>
                <w:lang w:val="en-US" w:eastAsia="zh-CN"/>
              </w:rPr>
              <w:t>新时代好少年</w:t>
            </w:r>
            <w:r>
              <w:rPr>
                <w:rFonts w:ascii="Arial" w:hAnsi="Arial" w:eastAsia="宋体" w:cs="Arial"/>
                <w:i w:val="0"/>
                <w:iCs w:val="0"/>
                <w:color w:val="000000"/>
                <w:kern w:val="0"/>
                <w:sz w:val="20"/>
                <w:szCs w:val="20"/>
                <w:u w:val="none"/>
                <w:lang w:val="en-US" w:eastAsia="zh-CN"/>
              </w:rPr>
              <w:t>”220</w:t>
            </w:r>
            <w:r>
              <w:rPr>
                <w:rFonts w:hint="eastAsia" w:ascii="宋体" w:eastAsia="宋体" w:cs="宋体"/>
                <w:i w:val="0"/>
                <w:iCs w:val="0"/>
                <w:color w:val="000000"/>
                <w:kern w:val="0"/>
                <w:sz w:val="20"/>
                <w:szCs w:val="20"/>
                <w:u w:val="none"/>
                <w:lang w:val="en-US" w:eastAsia="zh-CN"/>
              </w:rPr>
              <w:t>名。</w:t>
            </w:r>
            <w:r>
              <w:rPr>
                <w:rFonts w:ascii="Arial" w:hAnsi="Arial" w:eastAsia="宋体" w:cs="Arial"/>
                <w:i w:val="0"/>
                <w:iCs w:val="0"/>
                <w:color w:val="000000"/>
                <w:kern w:val="0"/>
                <w:sz w:val="20"/>
                <w:szCs w:val="20"/>
                <w:u w:val="none"/>
                <w:lang w:val="en-US" w:eastAsia="zh-CN"/>
              </w:rPr>
              <w:t>3</w:t>
            </w:r>
            <w:r>
              <w:rPr>
                <w:rFonts w:hint="eastAsia" w:ascii="宋体" w:eastAsia="宋体" w:cs="宋体"/>
                <w:i w:val="0"/>
                <w:iCs w:val="0"/>
                <w:color w:val="000000"/>
                <w:kern w:val="0"/>
                <w:sz w:val="20"/>
                <w:szCs w:val="20"/>
                <w:u w:val="none"/>
                <w:lang w:val="en-US" w:eastAsia="zh-CN"/>
              </w:rPr>
              <w:t>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开展重大理论学习研究、重点出版活动、文化文艺工作等</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ascii="Arial" w:hAnsi="Arial" w:cs="Arial"/>
                <w:i w:val="0"/>
                <w:iCs w:val="0"/>
                <w:color w:val="000000"/>
                <w:sz w:val="20"/>
                <w:szCs w:val="20"/>
                <w:u w:val="none"/>
              </w:rPr>
            </w:pPr>
            <w:r>
              <w:rPr>
                <w:rFonts w:ascii="Arial" w:hAnsi="Arial" w:eastAsia="宋体" w:cs="Arial"/>
                <w:i w:val="0"/>
                <w:iCs w:val="0"/>
                <w:color w:val="000000"/>
                <w:kern w:val="0"/>
                <w:sz w:val="20"/>
                <w:szCs w:val="20"/>
                <w:u w:val="none"/>
                <w:lang w:val="en-US" w:eastAsia="zh-CN"/>
              </w:rPr>
              <w:t>3</w:t>
            </w:r>
            <w:r>
              <w:rPr>
                <w:rFonts w:hint="eastAsia" w:ascii="宋体" w:eastAsia="宋体" w:cs="宋体"/>
                <w:i w:val="0"/>
                <w:iCs w:val="0"/>
                <w:color w:val="000000"/>
                <w:kern w:val="0"/>
                <w:sz w:val="20"/>
                <w:szCs w:val="20"/>
                <w:u w:val="none"/>
                <w:lang w:val="en-US" w:eastAsia="zh-CN"/>
              </w:rPr>
              <w:t>次及以上</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组织学习理论读物，建好用好</w:t>
            </w:r>
            <w:r>
              <w:rPr>
                <w:rFonts w:ascii="Arial" w:hAnsi="Arial" w:eastAsia="宋体" w:cs="Arial"/>
                <w:i w:val="0"/>
                <w:iCs w:val="0"/>
                <w:color w:val="000000"/>
                <w:kern w:val="0"/>
                <w:sz w:val="20"/>
                <w:szCs w:val="20"/>
                <w:u w:val="none"/>
                <w:lang w:val="en-US" w:eastAsia="zh-CN"/>
              </w:rPr>
              <w:t>“</w:t>
            </w:r>
            <w:r>
              <w:rPr>
                <w:rFonts w:hint="eastAsia" w:ascii="宋体" w:eastAsia="宋体" w:cs="宋体"/>
                <w:i w:val="0"/>
                <w:iCs w:val="0"/>
                <w:color w:val="000000"/>
                <w:kern w:val="0"/>
                <w:sz w:val="20"/>
                <w:szCs w:val="20"/>
                <w:u w:val="none"/>
                <w:lang w:val="en-US" w:eastAsia="zh-CN"/>
              </w:rPr>
              <w:t>学习强国</w:t>
            </w:r>
            <w:r>
              <w:rPr>
                <w:rFonts w:ascii="Arial" w:hAnsi="Arial" w:eastAsia="宋体" w:cs="Arial"/>
                <w:i w:val="0"/>
                <w:iCs w:val="0"/>
                <w:color w:val="000000"/>
                <w:kern w:val="0"/>
                <w:sz w:val="20"/>
                <w:szCs w:val="20"/>
                <w:u w:val="none"/>
                <w:lang w:val="en-US" w:eastAsia="zh-CN"/>
              </w:rPr>
              <w:t>”</w:t>
            </w:r>
            <w:r>
              <w:rPr>
                <w:rFonts w:hint="eastAsia" w:ascii="宋体" w:eastAsia="宋体" w:cs="宋体"/>
                <w:i w:val="0"/>
                <w:iCs w:val="0"/>
                <w:color w:val="000000"/>
                <w:kern w:val="0"/>
                <w:sz w:val="20"/>
                <w:szCs w:val="20"/>
                <w:u w:val="none"/>
                <w:lang w:val="en-US" w:eastAsia="zh-CN"/>
              </w:rPr>
              <w:t>学习平台。有序推进中华文化经典读本编纂工作，出版发行《四川历史名人读本》，推出首批四川历史名人丛书</w:t>
            </w:r>
            <w:r>
              <w:rPr>
                <w:rFonts w:ascii="Arial" w:hAnsi="Arial" w:eastAsia="宋体" w:cs="Arial"/>
                <w:i w:val="0"/>
                <w:iCs w:val="0"/>
                <w:color w:val="000000"/>
                <w:kern w:val="0"/>
                <w:sz w:val="20"/>
                <w:szCs w:val="20"/>
                <w:u w:val="none"/>
                <w:lang w:val="en-US" w:eastAsia="zh-CN"/>
              </w:rPr>
              <w:t>41</w:t>
            </w:r>
            <w:r>
              <w:rPr>
                <w:rFonts w:hint="eastAsia" w:ascii="宋体" w:eastAsia="宋体" w:cs="宋体"/>
                <w:i w:val="0"/>
                <w:iCs w:val="0"/>
                <w:color w:val="000000"/>
                <w:kern w:val="0"/>
                <w:sz w:val="20"/>
                <w:szCs w:val="20"/>
                <w:u w:val="none"/>
                <w:lang w:val="en-US" w:eastAsia="zh-CN"/>
              </w:rPr>
              <w:t>种，举办名人大讲堂</w:t>
            </w:r>
            <w:r>
              <w:rPr>
                <w:rFonts w:ascii="Arial" w:hAnsi="Arial" w:eastAsia="宋体" w:cs="Arial"/>
                <w:i w:val="0"/>
                <w:iCs w:val="0"/>
                <w:color w:val="000000"/>
                <w:kern w:val="0"/>
                <w:sz w:val="20"/>
                <w:szCs w:val="20"/>
                <w:u w:val="none"/>
                <w:lang w:val="en-US" w:eastAsia="zh-CN"/>
              </w:rPr>
              <w:t>8</w:t>
            </w:r>
            <w:r>
              <w:rPr>
                <w:rFonts w:hint="eastAsia" w:ascii="宋体" w:eastAsia="宋体" w:cs="宋体"/>
                <w:i w:val="0"/>
                <w:iCs w:val="0"/>
                <w:color w:val="000000"/>
                <w:kern w:val="0"/>
                <w:sz w:val="20"/>
                <w:szCs w:val="20"/>
                <w:u w:val="none"/>
                <w:lang w:val="en-US" w:eastAsia="zh-CN"/>
              </w:rPr>
              <w:t>期。围绕全面建成小康社会、建党</w:t>
            </w:r>
            <w:r>
              <w:rPr>
                <w:rFonts w:ascii="Arial" w:hAnsi="Arial" w:eastAsia="宋体" w:cs="Arial"/>
                <w:i w:val="0"/>
                <w:iCs w:val="0"/>
                <w:color w:val="000000"/>
                <w:kern w:val="0"/>
                <w:sz w:val="20"/>
                <w:szCs w:val="20"/>
                <w:u w:val="none"/>
                <w:lang w:val="en-US" w:eastAsia="zh-CN"/>
              </w:rPr>
              <w:t>100</w:t>
            </w:r>
            <w:r>
              <w:rPr>
                <w:rFonts w:hint="eastAsia" w:ascii="宋体" w:eastAsia="宋体" w:cs="宋体"/>
                <w:i w:val="0"/>
                <w:iCs w:val="0"/>
                <w:color w:val="000000"/>
                <w:kern w:val="0"/>
                <w:sz w:val="20"/>
                <w:szCs w:val="20"/>
                <w:u w:val="none"/>
                <w:lang w:val="en-US" w:eastAsia="zh-CN"/>
              </w:rPr>
              <w:t>周年和全民战</w:t>
            </w:r>
            <w:r>
              <w:rPr>
                <w:rFonts w:ascii="Arial" w:hAnsi="Arial" w:eastAsia="宋体" w:cs="Arial"/>
                <w:i w:val="0"/>
                <w:iCs w:val="0"/>
                <w:color w:val="000000"/>
                <w:kern w:val="0"/>
                <w:sz w:val="20"/>
                <w:szCs w:val="20"/>
                <w:u w:val="none"/>
                <w:lang w:val="en-US" w:eastAsia="zh-CN"/>
              </w:rPr>
              <w:t>“</w:t>
            </w:r>
            <w:r>
              <w:rPr>
                <w:rFonts w:hint="eastAsia" w:ascii="宋体" w:eastAsia="宋体" w:cs="宋体"/>
                <w:i w:val="0"/>
                <w:iCs w:val="0"/>
                <w:color w:val="000000"/>
                <w:kern w:val="0"/>
                <w:sz w:val="20"/>
                <w:szCs w:val="20"/>
                <w:u w:val="none"/>
                <w:lang w:val="en-US" w:eastAsia="zh-CN"/>
              </w:rPr>
              <w:t>疫</w:t>
            </w:r>
            <w:r>
              <w:rPr>
                <w:rFonts w:ascii="Arial" w:hAnsi="Arial" w:eastAsia="宋体" w:cs="Arial"/>
                <w:i w:val="0"/>
                <w:iCs w:val="0"/>
                <w:color w:val="000000"/>
                <w:kern w:val="0"/>
                <w:sz w:val="20"/>
                <w:szCs w:val="20"/>
                <w:u w:val="none"/>
                <w:lang w:val="en-US" w:eastAsia="zh-CN"/>
              </w:rPr>
              <w:t>”</w:t>
            </w:r>
            <w:r>
              <w:rPr>
                <w:rFonts w:hint="eastAsia" w:ascii="宋体" w:eastAsia="宋体" w:cs="宋体"/>
                <w:i w:val="0"/>
                <w:iCs w:val="0"/>
                <w:color w:val="000000"/>
                <w:kern w:val="0"/>
                <w:sz w:val="20"/>
                <w:szCs w:val="20"/>
                <w:u w:val="none"/>
                <w:lang w:val="en-US" w:eastAsia="zh-CN"/>
              </w:rPr>
              <w:t>开展主题文艺精品创作生产。编纂四川战</w:t>
            </w:r>
            <w:r>
              <w:rPr>
                <w:rFonts w:ascii="Arial" w:hAnsi="Arial" w:eastAsia="宋体" w:cs="Arial"/>
                <w:i w:val="0"/>
                <w:iCs w:val="0"/>
                <w:color w:val="000000"/>
                <w:kern w:val="0"/>
                <w:sz w:val="20"/>
                <w:szCs w:val="20"/>
                <w:u w:val="none"/>
                <w:lang w:val="en-US" w:eastAsia="zh-CN"/>
              </w:rPr>
              <w:t>“</w:t>
            </w:r>
            <w:r>
              <w:rPr>
                <w:rFonts w:hint="eastAsia" w:ascii="宋体" w:eastAsia="宋体" w:cs="宋体"/>
                <w:i w:val="0"/>
                <w:iCs w:val="0"/>
                <w:color w:val="000000"/>
                <w:kern w:val="0"/>
                <w:sz w:val="20"/>
                <w:szCs w:val="20"/>
                <w:u w:val="none"/>
                <w:lang w:val="en-US" w:eastAsia="zh-CN"/>
              </w:rPr>
              <w:t>疫</w:t>
            </w:r>
            <w:r>
              <w:rPr>
                <w:rFonts w:ascii="Arial" w:hAnsi="Arial" w:eastAsia="宋体" w:cs="Arial"/>
                <w:i w:val="0"/>
                <w:iCs w:val="0"/>
                <w:color w:val="000000"/>
                <w:kern w:val="0"/>
                <w:sz w:val="20"/>
                <w:szCs w:val="20"/>
                <w:u w:val="none"/>
                <w:lang w:val="en-US" w:eastAsia="zh-CN"/>
              </w:rPr>
              <w:t>”</w:t>
            </w:r>
            <w:r>
              <w:rPr>
                <w:rFonts w:hint="eastAsia" w:ascii="宋体" w:eastAsia="宋体" w:cs="宋体"/>
                <w:i w:val="0"/>
                <w:iCs w:val="0"/>
                <w:color w:val="000000"/>
                <w:kern w:val="0"/>
                <w:sz w:val="20"/>
                <w:szCs w:val="20"/>
                <w:u w:val="none"/>
                <w:lang w:val="en-US" w:eastAsia="zh-CN"/>
              </w:rPr>
              <w:t>丛书和脱贫攻坚书系。</w:t>
            </w:r>
            <w:r>
              <w:rPr>
                <w:rFonts w:ascii="Arial" w:hAnsi="Arial" w:eastAsia="宋体" w:cs="Arial"/>
                <w:i w:val="0"/>
                <w:iCs w:val="0"/>
                <w:color w:val="000000"/>
                <w:kern w:val="0"/>
                <w:sz w:val="20"/>
                <w:szCs w:val="20"/>
                <w:u w:val="none"/>
                <w:lang w:val="en-US" w:eastAsia="zh-CN"/>
              </w:rPr>
              <w:t>3</w:t>
            </w:r>
            <w:r>
              <w:rPr>
                <w:rFonts w:hint="eastAsia" w:ascii="宋体" w:eastAsia="宋体" w:cs="宋体"/>
                <w:i w:val="0"/>
                <w:iCs w:val="0"/>
                <w:color w:val="000000"/>
                <w:kern w:val="0"/>
                <w:sz w:val="20"/>
                <w:szCs w:val="20"/>
                <w:u w:val="none"/>
                <w:lang w:val="en-US" w:eastAsia="zh-CN"/>
              </w:rPr>
              <w:t>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质量指标</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组织开展重大活动</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精心谋划重大主题宣传，扎实抓好省委治蜀兴川方略宣传阐释，围绕重大主题，精心组织协调推出重大报道，全面塑造美丽繁荣和谐四川良好形象。开展文化活动，提升文化活动的传承力、聚合力和传播力、影响力。</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精心谋划重大主题宣传，全面反映治蜀兴川新进展新成效。制作播出大型人文纪录片《蜀道风流》，成功举办</w:t>
            </w:r>
            <w:r>
              <w:rPr>
                <w:rFonts w:ascii="Arial" w:hAnsi="Arial" w:eastAsia="宋体" w:cs="Arial"/>
                <w:i w:val="0"/>
                <w:iCs w:val="0"/>
                <w:color w:val="000000"/>
                <w:kern w:val="0"/>
                <w:sz w:val="20"/>
                <w:szCs w:val="20"/>
                <w:u w:val="none"/>
                <w:lang w:val="en-US" w:eastAsia="zh-CN"/>
              </w:rPr>
              <w:t>“</w:t>
            </w:r>
            <w:r>
              <w:rPr>
                <w:rFonts w:hint="eastAsia" w:ascii="宋体" w:eastAsia="宋体" w:cs="宋体"/>
                <w:i w:val="0"/>
                <w:iCs w:val="0"/>
                <w:color w:val="000000"/>
                <w:kern w:val="0"/>
                <w:sz w:val="20"/>
                <w:szCs w:val="20"/>
                <w:u w:val="none"/>
                <w:lang w:val="en-US" w:eastAsia="zh-CN"/>
              </w:rPr>
              <w:t>金熊猫</w:t>
            </w:r>
            <w:r>
              <w:rPr>
                <w:rFonts w:ascii="Arial" w:hAnsi="Arial" w:eastAsia="宋体" w:cs="Arial"/>
                <w:i w:val="0"/>
                <w:iCs w:val="0"/>
                <w:color w:val="000000"/>
                <w:kern w:val="0"/>
                <w:sz w:val="20"/>
                <w:szCs w:val="20"/>
                <w:u w:val="none"/>
                <w:lang w:val="en-US" w:eastAsia="zh-CN"/>
              </w:rPr>
              <w:t>”</w:t>
            </w:r>
            <w:r>
              <w:rPr>
                <w:rFonts w:hint="eastAsia" w:ascii="宋体" w:eastAsia="宋体" w:cs="宋体"/>
                <w:i w:val="0"/>
                <w:iCs w:val="0"/>
                <w:color w:val="000000"/>
                <w:kern w:val="0"/>
                <w:sz w:val="20"/>
                <w:szCs w:val="20"/>
                <w:u w:val="none"/>
                <w:lang w:val="en-US" w:eastAsia="zh-CN"/>
              </w:rPr>
              <w:t>国际传播高峰论坛，推动</w:t>
            </w:r>
            <w:r>
              <w:rPr>
                <w:rFonts w:ascii="Arial" w:hAnsi="Arial" w:eastAsia="宋体" w:cs="Arial"/>
                <w:i w:val="0"/>
                <w:iCs w:val="0"/>
                <w:color w:val="000000"/>
                <w:kern w:val="0"/>
                <w:sz w:val="20"/>
                <w:szCs w:val="20"/>
                <w:u w:val="none"/>
                <w:lang w:val="en-US" w:eastAsia="zh-CN"/>
              </w:rPr>
              <w:t>“</w:t>
            </w:r>
            <w:r>
              <w:rPr>
                <w:rFonts w:hint="eastAsia" w:ascii="宋体" w:eastAsia="宋体" w:cs="宋体"/>
                <w:i w:val="0"/>
                <w:iCs w:val="0"/>
                <w:color w:val="000000"/>
                <w:kern w:val="0"/>
                <w:sz w:val="20"/>
                <w:szCs w:val="20"/>
                <w:u w:val="none"/>
                <w:lang w:val="en-US" w:eastAsia="zh-CN"/>
              </w:rPr>
              <w:t>李子柒</w:t>
            </w:r>
            <w:r>
              <w:rPr>
                <w:rFonts w:ascii="Arial" w:hAnsi="Arial" w:eastAsia="宋体" w:cs="Arial"/>
                <w:i w:val="0"/>
                <w:iCs w:val="0"/>
                <w:color w:val="000000"/>
                <w:kern w:val="0"/>
                <w:sz w:val="20"/>
                <w:szCs w:val="20"/>
                <w:u w:val="none"/>
                <w:lang w:val="en-US" w:eastAsia="zh-CN"/>
              </w:rPr>
              <w:t>”“</w:t>
            </w:r>
            <w:r>
              <w:rPr>
                <w:rFonts w:hint="eastAsia" w:ascii="宋体" w:eastAsia="宋体" w:cs="宋体"/>
                <w:i w:val="0"/>
                <w:iCs w:val="0"/>
                <w:color w:val="000000"/>
                <w:kern w:val="0"/>
                <w:sz w:val="20"/>
                <w:szCs w:val="20"/>
                <w:u w:val="none"/>
                <w:lang w:val="en-US" w:eastAsia="zh-CN"/>
              </w:rPr>
              <w:t>丁真</w:t>
            </w:r>
            <w:r>
              <w:rPr>
                <w:rFonts w:ascii="Arial" w:hAnsi="Arial" w:eastAsia="宋体" w:cs="Arial"/>
                <w:i w:val="0"/>
                <w:iCs w:val="0"/>
                <w:color w:val="000000"/>
                <w:kern w:val="0"/>
                <w:sz w:val="20"/>
                <w:szCs w:val="20"/>
                <w:u w:val="none"/>
                <w:lang w:val="en-US" w:eastAsia="zh-CN"/>
              </w:rPr>
              <w:t>”</w:t>
            </w:r>
            <w:r>
              <w:rPr>
                <w:rFonts w:hint="eastAsia" w:ascii="宋体" w:eastAsia="宋体" w:cs="宋体"/>
                <w:i w:val="0"/>
                <w:iCs w:val="0"/>
                <w:color w:val="000000"/>
                <w:kern w:val="0"/>
                <w:sz w:val="20"/>
                <w:szCs w:val="20"/>
                <w:u w:val="none"/>
                <w:lang w:val="en-US" w:eastAsia="zh-CN"/>
              </w:rPr>
              <w:t>等地域文化符号广泛传播，展现巴蜀文化独特魅力。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时效指标</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完成时限</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ascii="Arial" w:hAnsi="Arial" w:cs="Arial"/>
                <w:i w:val="0"/>
                <w:iCs w:val="0"/>
                <w:color w:val="000000"/>
                <w:sz w:val="20"/>
                <w:szCs w:val="20"/>
                <w:u w:val="none"/>
              </w:rPr>
            </w:pPr>
            <w:r>
              <w:rPr>
                <w:rFonts w:ascii="Arial" w:hAnsi="Arial" w:eastAsia="宋体" w:cs="Arial"/>
                <w:i w:val="0"/>
                <w:iCs w:val="0"/>
                <w:color w:val="000000"/>
                <w:kern w:val="0"/>
                <w:sz w:val="20"/>
                <w:szCs w:val="20"/>
                <w:u w:val="none"/>
                <w:lang w:val="en-US" w:eastAsia="zh-CN"/>
              </w:rPr>
              <w:t>2020</w:t>
            </w:r>
            <w:r>
              <w:rPr>
                <w:rFonts w:hint="eastAsia" w:ascii="宋体" w:eastAsia="宋体" w:cs="宋体"/>
                <w:i w:val="0"/>
                <w:iCs w:val="0"/>
                <w:color w:val="000000"/>
                <w:kern w:val="0"/>
                <w:sz w:val="20"/>
                <w:szCs w:val="20"/>
                <w:u w:val="none"/>
                <w:lang w:val="en-US" w:eastAsia="zh-CN"/>
              </w:rPr>
              <w:t>年</w:t>
            </w:r>
            <w:r>
              <w:rPr>
                <w:rFonts w:ascii="Arial" w:hAnsi="Arial" w:eastAsia="宋体" w:cs="Arial"/>
                <w:i w:val="0"/>
                <w:iCs w:val="0"/>
                <w:color w:val="000000"/>
                <w:kern w:val="0"/>
                <w:sz w:val="20"/>
                <w:szCs w:val="20"/>
                <w:u w:val="none"/>
                <w:lang w:val="en-US" w:eastAsia="zh-CN"/>
              </w:rPr>
              <w:t>12</w:t>
            </w:r>
            <w:r>
              <w:rPr>
                <w:rFonts w:hint="eastAsia" w:ascii="宋体" w:eastAsia="宋体" w:cs="宋体"/>
                <w:i w:val="0"/>
                <w:iCs w:val="0"/>
                <w:color w:val="000000"/>
                <w:kern w:val="0"/>
                <w:sz w:val="20"/>
                <w:szCs w:val="20"/>
                <w:u w:val="none"/>
                <w:lang w:val="en-US" w:eastAsia="zh-CN"/>
              </w:rPr>
              <w:t>月</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ascii="Arial" w:hAnsi="Arial" w:cs="Arial"/>
                <w:i w:val="0"/>
                <w:iCs w:val="0"/>
                <w:color w:val="000000"/>
                <w:sz w:val="20"/>
                <w:szCs w:val="20"/>
                <w:u w:val="none"/>
              </w:rPr>
            </w:pPr>
            <w:r>
              <w:rPr>
                <w:rFonts w:ascii="Arial" w:hAnsi="Arial" w:eastAsia="宋体" w:cs="Arial"/>
                <w:i w:val="0"/>
                <w:iCs w:val="0"/>
                <w:color w:val="000000"/>
                <w:kern w:val="0"/>
                <w:sz w:val="20"/>
                <w:szCs w:val="20"/>
                <w:u w:val="none"/>
                <w:lang w:val="en-US" w:eastAsia="zh-CN"/>
              </w:rPr>
              <w:t>2020</w:t>
            </w:r>
            <w:r>
              <w:rPr>
                <w:rFonts w:hint="eastAsia" w:ascii="宋体" w:eastAsia="宋体" w:cs="宋体"/>
                <w:i w:val="0"/>
                <w:iCs w:val="0"/>
                <w:color w:val="000000"/>
                <w:kern w:val="0"/>
                <w:sz w:val="20"/>
                <w:szCs w:val="20"/>
                <w:u w:val="none"/>
                <w:lang w:val="en-US" w:eastAsia="zh-CN"/>
              </w:rPr>
              <w:t>年</w:t>
            </w:r>
            <w:r>
              <w:rPr>
                <w:rFonts w:ascii="Arial" w:hAnsi="Arial" w:eastAsia="宋体" w:cs="Arial"/>
                <w:i w:val="0"/>
                <w:iCs w:val="0"/>
                <w:color w:val="000000"/>
                <w:kern w:val="0"/>
                <w:sz w:val="20"/>
                <w:szCs w:val="20"/>
                <w:u w:val="none"/>
                <w:lang w:val="en-US" w:eastAsia="zh-CN"/>
              </w:rPr>
              <w:t>12</w:t>
            </w:r>
            <w:r>
              <w:rPr>
                <w:rFonts w:hint="eastAsia" w:ascii="宋体" w:eastAsia="宋体" w:cs="宋体"/>
                <w:i w:val="0"/>
                <w:iCs w:val="0"/>
                <w:color w:val="000000"/>
                <w:kern w:val="0"/>
                <w:sz w:val="20"/>
                <w:szCs w:val="20"/>
                <w:u w:val="none"/>
                <w:lang w:val="en-US" w:eastAsia="zh-CN"/>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成本指标</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活动成本</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严格控制运行成本，确保在预算内实施</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严格按照项目预算实施。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效</w:t>
            </w:r>
          </w:p>
          <w:p>
            <w:pPr>
              <w:keepNext w:val="0"/>
              <w:keepLines w:val="0"/>
              <w:widowControl/>
              <w:suppressLineNumbers w:val="0"/>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益</w:t>
            </w:r>
          </w:p>
          <w:p>
            <w:pPr>
              <w:keepNext w:val="0"/>
              <w:keepLines w:val="0"/>
              <w:widowControl/>
              <w:suppressLineNumbers w:val="0"/>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指</w:t>
            </w:r>
          </w:p>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经济效益指标</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ascii="Arial" w:hAnsi="Arial" w:cs="Arial"/>
                <w:i w:val="0"/>
                <w:iCs w:val="0"/>
                <w:color w:val="000000"/>
                <w:sz w:val="20"/>
                <w:szCs w:val="20"/>
                <w:u w:val="none"/>
              </w:rPr>
            </w:pPr>
            <w:r>
              <w:rPr>
                <w:rFonts w:ascii="Arial" w:hAnsi="Arial" w:eastAsia="宋体" w:cs="Arial"/>
                <w:i w:val="0"/>
                <w:iCs w:val="0"/>
                <w:color w:val="000000"/>
                <w:kern w:val="0"/>
                <w:sz w:val="20"/>
                <w:szCs w:val="20"/>
                <w:u w:val="none"/>
                <w:lang w:val="en-US" w:eastAsia="zh-CN"/>
              </w:rPr>
              <w:t>.</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社会效益指标</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宣传党的十九大和十九届二中、三中、四中全会精神，省委十一届三次、四次、五次全会精神，聚焦中央工作大局和省委中心工作，精心谋划重大主题宣传。</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营造良好的舆论环境，树立四川良好形象</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抗击疫情重大宣传卓有成效，脱贫奔康主题宣传浓墨重彩，经济社会成就宣传有声有色。国务院新闻办在川举办首场脱贫攻坚新闻发布会。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生态效益指标</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ascii="Arial" w:hAnsi="Arial" w:cs="Arial"/>
                <w:i w:val="0"/>
                <w:iCs w:val="0"/>
                <w:color w:val="000000"/>
                <w:sz w:val="20"/>
                <w:szCs w:val="20"/>
                <w:u w:val="none"/>
              </w:rPr>
            </w:pPr>
            <w:r>
              <w:rPr>
                <w:rFonts w:ascii="Arial" w:hAnsi="Arial" w:eastAsia="宋体" w:cs="Arial"/>
                <w:i w:val="0"/>
                <w:iCs w:val="0"/>
                <w:color w:val="000000"/>
                <w:kern w:val="0"/>
                <w:sz w:val="20"/>
                <w:szCs w:val="20"/>
                <w:u w:val="none"/>
                <w:lang w:val="en-US" w:eastAsia="zh-CN"/>
              </w:rPr>
              <w:t>..</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可持续影响指标</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宣传文化思想工作</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不断增强凝聚力和引领力，不断增强中华文化软实力和我省对外影响力</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中华优秀传统文化创造性转化创新性发展迈出新步伐。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满</w:t>
            </w:r>
          </w:p>
          <w:p>
            <w:pPr>
              <w:keepNext w:val="0"/>
              <w:keepLines w:val="0"/>
              <w:widowControl/>
              <w:suppressLineNumbers w:val="0"/>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意</w:t>
            </w:r>
          </w:p>
          <w:p>
            <w:pPr>
              <w:keepNext w:val="0"/>
              <w:keepLines w:val="0"/>
              <w:widowControl/>
              <w:suppressLineNumbers w:val="0"/>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度</w:t>
            </w:r>
          </w:p>
          <w:p>
            <w:pPr>
              <w:keepNext w:val="0"/>
              <w:keepLines w:val="0"/>
              <w:widowControl/>
              <w:suppressLineNumbers w:val="0"/>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指</w:t>
            </w:r>
          </w:p>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满意度指标</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省委省政府满意度</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ascii="Arial" w:hAnsi="Arial" w:cs="Arial"/>
                <w:i w:val="0"/>
                <w:iCs w:val="0"/>
                <w:color w:val="000000"/>
                <w:sz w:val="20"/>
                <w:szCs w:val="20"/>
                <w:u w:val="none"/>
              </w:rPr>
            </w:pPr>
            <w:r>
              <w:rPr>
                <w:rFonts w:ascii="Arial" w:hAnsi="Arial" w:eastAsia="宋体" w:cs="Arial"/>
                <w:i w:val="0"/>
                <w:iCs w:val="0"/>
                <w:color w:val="000000"/>
                <w:kern w:val="0"/>
                <w:sz w:val="20"/>
                <w:szCs w:val="20"/>
                <w:u w:val="none"/>
                <w:lang w:val="en-US" w:eastAsia="zh-CN"/>
              </w:rPr>
              <w:t>≥90%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ascii="Arial" w:hAnsi="Arial" w:cs="Arial"/>
                <w:i w:val="0"/>
                <w:iCs w:val="0"/>
                <w:color w:val="000000"/>
                <w:sz w:val="20"/>
                <w:szCs w:val="20"/>
                <w:u w:val="none"/>
              </w:rPr>
            </w:pPr>
            <w:r>
              <w:rPr>
                <w:rFonts w:ascii="Arial" w:hAnsi="Arial" w:eastAsia="宋体" w:cs="Arial"/>
                <w:i w:val="0"/>
                <w:iCs w:val="0"/>
                <w:color w:val="000000"/>
                <w:kern w:val="0"/>
                <w:sz w:val="20"/>
                <w:szCs w:val="20"/>
                <w:u w:val="none"/>
                <w:lang w:val="en-US" w:eastAsia="zh-CN"/>
              </w:rPr>
              <w:t>≥90%</w:t>
            </w:r>
          </w:p>
        </w:tc>
      </w:tr>
    </w:tbl>
    <w:p>
      <w:pPr>
        <w:overflowPunct w:val="0"/>
        <w:adjustRightInd w:val="0"/>
        <w:snapToGrid w:val="0"/>
        <w:spacing w:line="600" w:lineRule="exact"/>
        <w:rPr>
          <w:rFonts w:eastAsia="仿宋_GB2312"/>
          <w:bCs/>
          <w:snapToGrid w:val="0"/>
          <w:kern w:val="0"/>
          <w:sz w:val="32"/>
          <w:szCs w:val="32"/>
        </w:rPr>
      </w:pPr>
    </w:p>
    <w:p>
      <w:pPr>
        <w:numPr>
          <w:ilvl w:val="0"/>
          <w:numId w:val="4"/>
        </w:numPr>
        <w:spacing w:line="580" w:lineRule="exact"/>
        <w:ind w:left="0" w:firstLine="640" w:firstLineChars="200"/>
        <w:rPr>
          <w:rFonts w:eastAsia="仿宋_GB2312"/>
          <w:bCs/>
          <w:snapToGrid w:val="0"/>
          <w:kern w:val="0"/>
          <w:sz w:val="32"/>
          <w:szCs w:val="32"/>
        </w:rPr>
      </w:pPr>
      <w:r>
        <w:rPr>
          <w:rFonts w:eastAsia="仿宋_GB2312"/>
          <w:bCs/>
          <w:snapToGrid w:val="0"/>
          <w:kern w:val="0"/>
          <w:sz w:val="32"/>
          <w:szCs w:val="32"/>
        </w:rPr>
        <w:t>“</w:t>
      </w:r>
      <w:r>
        <w:rPr>
          <w:rFonts w:hint="eastAsia" w:eastAsia="仿宋_GB2312"/>
          <w:bCs/>
          <w:snapToGrid w:val="0"/>
          <w:kern w:val="0"/>
          <w:sz w:val="32"/>
          <w:szCs w:val="32"/>
          <w:lang w:eastAsia="zh-CN"/>
        </w:rPr>
        <w:t>教学教辅及科研</w:t>
      </w:r>
      <w:r>
        <w:rPr>
          <w:rFonts w:eastAsia="仿宋_GB2312"/>
          <w:bCs/>
          <w:snapToGrid w:val="0"/>
          <w:kern w:val="0"/>
          <w:sz w:val="32"/>
          <w:szCs w:val="32"/>
        </w:rPr>
        <w:t>经费”绩效目标完成情况综述。该项目全年预算数</w:t>
      </w:r>
      <w:r>
        <w:rPr>
          <w:rFonts w:hint="eastAsia" w:eastAsia="仿宋_GB2312"/>
          <w:bCs/>
          <w:snapToGrid w:val="0"/>
          <w:kern w:val="0"/>
          <w:sz w:val="32"/>
          <w:szCs w:val="32"/>
          <w:lang w:val="en-US" w:eastAsia="zh-CN"/>
        </w:rPr>
        <w:t>2729.92万元，</w:t>
      </w:r>
      <w:r>
        <w:rPr>
          <w:rFonts w:eastAsia="仿宋_GB2312"/>
          <w:b w:val="0"/>
          <w:bCs/>
          <w:snapToGrid w:val="0"/>
          <w:kern w:val="0"/>
          <w:sz w:val="32"/>
          <w:szCs w:val="32"/>
          <w:highlight w:val="none"/>
        </w:rPr>
        <w:t>执行数为</w:t>
      </w:r>
      <w:r>
        <w:rPr>
          <w:rFonts w:hint="eastAsia" w:eastAsia="仿宋_GB2312"/>
          <w:b w:val="0"/>
          <w:bCs/>
          <w:snapToGrid w:val="0"/>
          <w:kern w:val="0"/>
          <w:sz w:val="32"/>
          <w:szCs w:val="32"/>
          <w:highlight w:val="none"/>
          <w:lang w:val="en-US" w:eastAsia="zh-CN"/>
        </w:rPr>
        <w:t>2072.1</w:t>
      </w:r>
      <w:r>
        <w:rPr>
          <w:rFonts w:eastAsia="仿宋_GB2312"/>
          <w:b w:val="0"/>
          <w:bCs/>
          <w:snapToGrid w:val="0"/>
          <w:kern w:val="0"/>
          <w:sz w:val="32"/>
          <w:szCs w:val="32"/>
          <w:highlight w:val="none"/>
        </w:rPr>
        <w:t>万元，完成预算的</w:t>
      </w:r>
      <w:r>
        <w:rPr>
          <w:rFonts w:hint="eastAsia" w:eastAsia="仿宋_GB2312"/>
          <w:b w:val="0"/>
          <w:bCs/>
          <w:snapToGrid w:val="0"/>
          <w:kern w:val="0"/>
          <w:sz w:val="32"/>
          <w:szCs w:val="32"/>
          <w:highlight w:val="none"/>
          <w:lang w:val="en-US" w:eastAsia="zh-CN"/>
        </w:rPr>
        <w:t>75.9</w:t>
      </w:r>
      <w:r>
        <w:rPr>
          <w:rFonts w:eastAsia="仿宋_GB2312"/>
          <w:b w:val="0"/>
          <w:bCs/>
          <w:snapToGrid w:val="0"/>
          <w:kern w:val="0"/>
          <w:sz w:val="32"/>
          <w:szCs w:val="32"/>
          <w:highlight w:val="none"/>
        </w:rPr>
        <w:t>%</w:t>
      </w:r>
      <w:r>
        <w:rPr>
          <w:rFonts w:hint="eastAsia" w:eastAsia="仿宋_GB2312"/>
          <w:b w:val="0"/>
          <w:bCs/>
          <w:snapToGrid w:val="0"/>
          <w:kern w:val="0"/>
          <w:sz w:val="32"/>
          <w:szCs w:val="32"/>
          <w:highlight w:val="none"/>
          <w:lang w:eastAsia="zh-CN"/>
        </w:rPr>
        <w:t>。</w:t>
      </w:r>
      <w:r>
        <w:rPr>
          <w:rFonts w:hint="eastAsia" w:eastAsia="仿宋_GB2312"/>
          <w:bCs/>
          <w:snapToGrid w:val="0"/>
          <w:kern w:val="0"/>
          <w:sz w:val="32"/>
          <w:szCs w:val="32"/>
          <w:lang w:val="en-US" w:eastAsia="zh-CN"/>
        </w:rPr>
        <w:t>完成日常教学管理、专业建设、师资队伍建设、课程建设、科研、做好评选优质高校工作，增购纸质图书17055册、采购电子资源16种、开展科研项目研究26个、完成科研项目结题16个、在线开放课程制作16个、考试服务器扩容3台。</w:t>
      </w:r>
    </w:p>
    <w:p>
      <w:pPr>
        <w:widowControl w:val="0"/>
        <w:spacing w:line="580" w:lineRule="exact"/>
        <w:jc w:val="both"/>
        <w:rPr>
          <w:rFonts w:eastAsia="仿宋_GB2312"/>
          <w:bCs/>
          <w:snapToGrid w:val="0"/>
          <w:kern w:val="0"/>
          <w:sz w:val="32"/>
          <w:szCs w:val="32"/>
        </w:rPr>
      </w:pPr>
    </w:p>
    <w:tbl>
      <w:tblPr>
        <w:tblStyle w:val="12"/>
        <w:tblW w:w="87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
        <w:gridCol w:w="645"/>
        <w:gridCol w:w="1485"/>
        <w:gridCol w:w="600"/>
        <w:gridCol w:w="1335"/>
        <w:gridCol w:w="1500"/>
        <w:gridCol w:w="2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715"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eastAsia="宋体" w:cs="宋体"/>
                <w:b/>
                <w:bCs/>
                <w:i w:val="0"/>
                <w:iCs w:val="0"/>
                <w:color w:val="000000"/>
                <w:sz w:val="32"/>
                <w:szCs w:val="32"/>
                <w:u w:val="none"/>
              </w:rPr>
            </w:pPr>
            <w:r>
              <w:rPr>
                <w:rFonts w:hint="eastAsia" w:ascii="宋体" w:eastAsia="宋体" w:cs="宋体"/>
                <w:b/>
                <w:bCs/>
                <w:i w:val="0"/>
                <w:iCs w:val="0"/>
                <w:color w:val="000000"/>
                <w:kern w:val="0"/>
                <w:sz w:val="32"/>
                <w:szCs w:val="32"/>
                <w:u w:val="none"/>
                <w:lang w:val="en-US" w:eastAsia="zh-CN"/>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15"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       2020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项目名称</w:t>
            </w:r>
          </w:p>
        </w:tc>
        <w:tc>
          <w:tcPr>
            <w:tcW w:w="72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教学教辅及科研经费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主管部门及代码</w:t>
            </w:r>
          </w:p>
        </w:tc>
        <w:tc>
          <w:tcPr>
            <w:tcW w:w="34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中共四川省委宣传部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实施单位</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四川文化产业职业学院（四川省干部函授学院）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4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项目预算</w:t>
            </w:r>
          </w:p>
          <w:p>
            <w:pPr>
              <w:keepNext w:val="0"/>
              <w:keepLines w:val="0"/>
              <w:widowControl/>
              <w:suppressLineNumbers w:val="0"/>
              <w:jc w:val="center"/>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执行情况</w:t>
            </w:r>
          </w:p>
          <w:p>
            <w:pPr>
              <w:keepNext w:val="0"/>
              <w:keepLines w:val="0"/>
              <w:widowControl/>
              <w:suppressLineNumbers w:val="0"/>
              <w:jc w:val="center"/>
              <w:textAlignment w:val="center"/>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（万元）</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 xml:space="preserve"> 预算数：</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2729.92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 xml:space="preserve"> 执行数：</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2072.1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 xml:space="preserve"> 其中：财政拨款</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1206.12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其中：财政拨款</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1184.43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 xml:space="preserve">       其他资金</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1523.8</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 xml:space="preserve">     其他资金</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887.67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年</w:t>
            </w:r>
          </w:p>
          <w:p>
            <w:pPr>
              <w:keepNext w:val="0"/>
              <w:keepLines w:val="0"/>
              <w:widowControl/>
              <w:suppressLineNumbers w:val="0"/>
              <w:jc w:val="center"/>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度</w:t>
            </w:r>
          </w:p>
          <w:p>
            <w:pPr>
              <w:keepNext w:val="0"/>
              <w:keepLines w:val="0"/>
              <w:widowControl/>
              <w:suppressLineNumbers w:val="0"/>
              <w:jc w:val="center"/>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总</w:t>
            </w:r>
          </w:p>
          <w:p>
            <w:pPr>
              <w:keepNext w:val="0"/>
              <w:keepLines w:val="0"/>
              <w:widowControl/>
              <w:suppressLineNumbers w:val="0"/>
              <w:jc w:val="center"/>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体</w:t>
            </w:r>
          </w:p>
          <w:p>
            <w:pPr>
              <w:keepNext w:val="0"/>
              <w:keepLines w:val="0"/>
              <w:widowControl/>
              <w:suppressLineNumbers w:val="0"/>
              <w:jc w:val="center"/>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目</w:t>
            </w:r>
          </w:p>
          <w:p>
            <w:pPr>
              <w:keepNext w:val="0"/>
              <w:keepLines w:val="0"/>
              <w:widowControl/>
              <w:suppressLineNumbers w:val="0"/>
              <w:jc w:val="center"/>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标</w:t>
            </w:r>
          </w:p>
          <w:p>
            <w:pPr>
              <w:keepNext w:val="0"/>
              <w:keepLines w:val="0"/>
              <w:widowControl/>
              <w:suppressLineNumbers w:val="0"/>
              <w:jc w:val="center"/>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完</w:t>
            </w:r>
          </w:p>
          <w:p>
            <w:pPr>
              <w:keepNext w:val="0"/>
              <w:keepLines w:val="0"/>
              <w:widowControl/>
              <w:suppressLineNumbers w:val="0"/>
              <w:jc w:val="center"/>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成</w:t>
            </w:r>
          </w:p>
          <w:p>
            <w:pPr>
              <w:keepNext w:val="0"/>
              <w:keepLines w:val="0"/>
              <w:widowControl/>
              <w:suppressLineNumbers w:val="0"/>
              <w:jc w:val="center"/>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情</w:t>
            </w:r>
          </w:p>
          <w:p>
            <w:pPr>
              <w:keepNext w:val="0"/>
              <w:keepLines w:val="0"/>
              <w:widowControl/>
              <w:suppressLineNumbers w:val="0"/>
              <w:jc w:val="center"/>
              <w:textAlignment w:val="center"/>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况</w:t>
            </w:r>
          </w:p>
        </w:tc>
        <w:tc>
          <w:tcPr>
            <w:tcW w:w="40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预期目标</w:t>
            </w: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065" w:type="dxa"/>
            <w:gridSpan w:val="4"/>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widowControl/>
              <w:suppressLineNumbers w:val="0"/>
              <w:jc w:val="left"/>
              <w:textAlignment w:val="top"/>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根据《中共四川省委、四川省人民政府关于印发&lt;四川省中长期教育改革和发展规划纲要（2010—2020年）&gt;的通知》(川委发〔2010〕18号)、《四川省教育厅关于实施四川省优质高等职业院校建设计划的通知》（川教函[2017]418号）文件，完成日常教学管理、专业建设、师资队伍建设、课程建设、科研、做好评选优质高校工作等费用。</w:t>
            </w: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widowControl/>
              <w:suppressLineNumbers w:val="0"/>
              <w:jc w:val="left"/>
              <w:textAlignment w:val="top"/>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完成日常教学管理、专业建设、师资队伍建设、课程建设、科研、做好评选优质高校工作，增购纸质图书17055册、采购电子资源16种、开展科研项目研究26个、完成科研项目结题16个、在线开放课程制作16个、考试服务器扩容3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年度绩效指标完成情况</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一级指标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二级指标</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三级指标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预期指标值</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完</w:t>
            </w:r>
          </w:p>
          <w:p>
            <w:pPr>
              <w:keepNext w:val="0"/>
              <w:keepLines w:val="0"/>
              <w:widowControl/>
              <w:suppressLineNumbers w:val="0"/>
              <w:jc w:val="center"/>
              <w:textAlignment w:val="bottom"/>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成</w:t>
            </w:r>
          </w:p>
          <w:p>
            <w:pPr>
              <w:keepNext w:val="0"/>
              <w:keepLines w:val="0"/>
              <w:widowControl/>
              <w:suppressLineNumbers w:val="0"/>
              <w:jc w:val="center"/>
              <w:textAlignment w:val="bottom"/>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指</w:t>
            </w:r>
          </w:p>
          <w:p>
            <w:pPr>
              <w:keepNext w:val="0"/>
              <w:keepLines w:val="0"/>
              <w:widowControl/>
              <w:suppressLineNumbers w:val="0"/>
              <w:jc w:val="center"/>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标</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数量指标</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增购纸质图书</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10000</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17055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采购电子资源</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15</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开展科研项目研究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25</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完成科研项目结题</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13</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在线开放课程制作</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16</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考试服务器扩容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3</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质量指标</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_GB2312" w:eastAsia="仿宋_GB2312" w:cs="仿宋_GB2312"/>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_GB2312" w:eastAsia="仿宋_GB2312" w:cs="仿宋_GB2312"/>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时效指标</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完成时限</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2020年</w:t>
            </w:r>
            <w:r>
              <w:rPr>
                <w:rStyle w:val="33"/>
                <w:rFonts w:hint="eastAsia" w:ascii="仿宋_GB2312" w:eastAsia="仿宋_GB2312" w:cs="仿宋_GB2312"/>
                <w:lang w:val="en-US" w:eastAsia="zh-CN"/>
              </w:rPr>
              <w:t>12</w:t>
            </w:r>
            <w:r>
              <w:rPr>
                <w:rFonts w:hint="eastAsia" w:ascii="仿宋_GB2312" w:eastAsia="仿宋_GB2312" w:cs="仿宋_GB2312"/>
                <w:i w:val="0"/>
                <w:iCs w:val="0"/>
                <w:color w:val="000000"/>
                <w:kern w:val="0"/>
                <w:sz w:val="20"/>
                <w:szCs w:val="20"/>
                <w:u w:val="none"/>
                <w:lang w:val="en-US" w:eastAsia="zh-CN"/>
              </w:rPr>
              <w:t>月</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2020年</w:t>
            </w:r>
            <w:r>
              <w:rPr>
                <w:rStyle w:val="33"/>
                <w:rFonts w:hint="eastAsia" w:ascii="仿宋_GB2312" w:eastAsia="仿宋_GB2312" w:cs="仿宋_GB2312"/>
                <w:lang w:val="en-US" w:eastAsia="zh-CN"/>
              </w:rPr>
              <w:t>12</w:t>
            </w:r>
            <w:r>
              <w:rPr>
                <w:rFonts w:hint="eastAsia" w:ascii="仿宋_GB2312" w:eastAsia="仿宋_GB2312" w:cs="仿宋_GB2312"/>
                <w:i w:val="0"/>
                <w:iCs w:val="0"/>
                <w:color w:val="000000"/>
                <w:kern w:val="0"/>
                <w:sz w:val="20"/>
                <w:szCs w:val="20"/>
                <w:u w:val="none"/>
                <w:lang w:val="en-US" w:eastAsia="zh-CN"/>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成本指标</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_GB2312" w:eastAsia="仿宋_GB2312" w:cs="仿宋_GB2312"/>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_GB2312" w:eastAsia="仿宋_GB2312" w:cs="仿宋_GB2312"/>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效</w:t>
            </w:r>
          </w:p>
          <w:p>
            <w:pPr>
              <w:keepNext w:val="0"/>
              <w:keepLines w:val="0"/>
              <w:widowControl/>
              <w:suppressLineNumbers w:val="0"/>
              <w:jc w:val="center"/>
              <w:textAlignment w:val="bottom"/>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益</w:t>
            </w:r>
          </w:p>
          <w:p>
            <w:pPr>
              <w:keepNext w:val="0"/>
              <w:keepLines w:val="0"/>
              <w:widowControl/>
              <w:suppressLineNumbers w:val="0"/>
              <w:jc w:val="center"/>
              <w:textAlignment w:val="bottom"/>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指</w:t>
            </w:r>
          </w:p>
          <w:p>
            <w:pPr>
              <w:keepNext w:val="0"/>
              <w:keepLines w:val="0"/>
              <w:widowControl/>
              <w:suppressLineNumbers w:val="0"/>
              <w:jc w:val="center"/>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经济效益指标</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_GB2312" w:eastAsia="仿宋_GB2312" w:cs="仿宋_GB2312"/>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_GB2312" w:eastAsia="仿宋_GB2312" w:cs="仿宋_GB2312"/>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社会效益指标</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学校基本办学条件和服务社会能力</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良好</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生态效益指标</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_GB2312" w:eastAsia="仿宋_GB2312" w:cs="仿宋_GB2312"/>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_GB2312" w:eastAsia="仿宋_GB2312" w:cs="仿宋_GB2312"/>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可持续影响指标</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标准化考场使用年限</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不低于</w:t>
            </w:r>
            <w:r>
              <w:rPr>
                <w:rStyle w:val="33"/>
                <w:rFonts w:hint="eastAsia" w:ascii="仿宋_GB2312" w:eastAsia="仿宋_GB2312" w:cs="仿宋_GB2312"/>
                <w:lang w:val="en-US" w:eastAsia="zh-CN"/>
              </w:rPr>
              <w:t>5</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不低于</w:t>
            </w:r>
            <w:r>
              <w:rPr>
                <w:rStyle w:val="33"/>
                <w:rFonts w:hint="eastAsia" w:ascii="仿宋_GB2312" w:eastAsia="仿宋_GB2312" w:cs="仿宋_GB2312"/>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满</w:t>
            </w:r>
          </w:p>
          <w:p>
            <w:pPr>
              <w:keepNext w:val="0"/>
              <w:keepLines w:val="0"/>
              <w:widowControl/>
              <w:suppressLineNumbers w:val="0"/>
              <w:jc w:val="center"/>
              <w:textAlignment w:val="bottom"/>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意</w:t>
            </w:r>
          </w:p>
          <w:p>
            <w:pPr>
              <w:keepNext w:val="0"/>
              <w:keepLines w:val="0"/>
              <w:widowControl/>
              <w:suppressLineNumbers w:val="0"/>
              <w:jc w:val="center"/>
              <w:textAlignment w:val="bottom"/>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度</w:t>
            </w:r>
          </w:p>
          <w:p>
            <w:pPr>
              <w:keepNext w:val="0"/>
              <w:keepLines w:val="0"/>
              <w:widowControl/>
              <w:suppressLineNumbers w:val="0"/>
              <w:jc w:val="center"/>
              <w:textAlignment w:val="bottom"/>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指</w:t>
            </w:r>
          </w:p>
          <w:p>
            <w:pPr>
              <w:keepNext w:val="0"/>
              <w:keepLines w:val="0"/>
              <w:widowControl/>
              <w:suppressLineNumbers w:val="0"/>
              <w:jc w:val="center"/>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满意度指标</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教师，学生满意度</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95%</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eastAsia="仿宋_GB2312" w:cs="仿宋_GB2312"/>
                <w:i w:val="0"/>
                <w:iCs w:val="0"/>
                <w:color w:val="000000"/>
                <w:sz w:val="20"/>
                <w:szCs w:val="20"/>
                <w:u w:val="none"/>
              </w:rPr>
            </w:pPr>
            <w:r>
              <w:rPr>
                <w:rFonts w:hint="eastAsia" w:ascii="仿宋_GB2312" w:eastAsia="仿宋_GB2312" w:cs="仿宋_GB2312"/>
                <w:i w:val="0"/>
                <w:iCs w:val="0"/>
                <w:color w:val="000000"/>
                <w:kern w:val="0"/>
                <w:sz w:val="20"/>
                <w:szCs w:val="20"/>
                <w:u w:val="none"/>
                <w:lang w:val="en-US" w:eastAsia="zh-CN"/>
              </w:rPr>
              <w:t>95%</w:t>
            </w:r>
          </w:p>
        </w:tc>
      </w:tr>
    </w:tbl>
    <w:p>
      <w:pPr>
        <w:widowControl w:val="0"/>
        <w:spacing w:line="580" w:lineRule="exact"/>
        <w:jc w:val="both"/>
        <w:rPr>
          <w:rFonts w:eastAsia="仿宋_GB2312"/>
          <w:bCs/>
          <w:snapToGrid w:val="0"/>
          <w:kern w:val="0"/>
          <w:sz w:val="32"/>
          <w:szCs w:val="32"/>
        </w:rPr>
      </w:pPr>
    </w:p>
    <w:p>
      <w:pPr>
        <w:widowControl w:val="0"/>
        <w:spacing w:line="580" w:lineRule="exact"/>
        <w:jc w:val="both"/>
        <w:rPr>
          <w:rFonts w:eastAsia="仿宋_GB2312"/>
          <w:bCs/>
          <w:snapToGrid w:val="0"/>
          <w:kern w:val="0"/>
          <w:sz w:val="32"/>
          <w:szCs w:val="32"/>
        </w:rPr>
      </w:pPr>
      <w:r>
        <w:rPr>
          <w:rFonts w:hint="eastAsia" w:eastAsia="仿宋_GB2312"/>
          <w:bCs/>
          <w:snapToGrid w:val="0"/>
          <w:kern w:val="0"/>
          <w:sz w:val="32"/>
          <w:szCs w:val="32"/>
          <w:lang w:val="en-US" w:eastAsia="zh-CN"/>
        </w:rPr>
        <w:t xml:space="preserve">    3.</w:t>
      </w:r>
      <w:r>
        <w:rPr>
          <w:rFonts w:eastAsia="仿宋_GB2312"/>
          <w:bCs/>
          <w:snapToGrid w:val="0"/>
          <w:kern w:val="0"/>
          <w:sz w:val="32"/>
          <w:szCs w:val="32"/>
        </w:rPr>
        <w:t>“</w:t>
      </w:r>
      <w:r>
        <w:rPr>
          <w:rFonts w:hint="eastAsia" w:eastAsia="仿宋_GB2312"/>
          <w:bCs/>
          <w:snapToGrid w:val="0"/>
          <w:kern w:val="0"/>
          <w:sz w:val="32"/>
          <w:szCs w:val="32"/>
          <w:lang w:eastAsia="zh-CN"/>
        </w:rPr>
        <w:t>学生勤工助学困难补助及活动</w:t>
      </w:r>
      <w:r>
        <w:rPr>
          <w:rFonts w:eastAsia="仿宋_GB2312"/>
          <w:bCs/>
          <w:snapToGrid w:val="0"/>
          <w:kern w:val="0"/>
          <w:sz w:val="32"/>
          <w:szCs w:val="32"/>
        </w:rPr>
        <w:t>费”绩效目标完成情况综述。该项目全年预算数</w:t>
      </w:r>
      <w:r>
        <w:rPr>
          <w:rFonts w:hint="eastAsia" w:eastAsia="仿宋_GB2312"/>
          <w:bCs/>
          <w:snapToGrid w:val="0"/>
          <w:kern w:val="0"/>
          <w:sz w:val="32"/>
          <w:szCs w:val="32"/>
          <w:lang w:val="en-US" w:eastAsia="zh-CN"/>
        </w:rPr>
        <w:t>578万元，</w:t>
      </w:r>
      <w:r>
        <w:rPr>
          <w:rFonts w:eastAsia="仿宋_GB2312"/>
          <w:b w:val="0"/>
          <w:bCs/>
          <w:snapToGrid w:val="0"/>
          <w:kern w:val="0"/>
          <w:sz w:val="32"/>
          <w:szCs w:val="32"/>
          <w:highlight w:val="none"/>
        </w:rPr>
        <w:t>执行数为</w:t>
      </w:r>
      <w:r>
        <w:rPr>
          <w:rFonts w:hint="eastAsia" w:eastAsia="仿宋_GB2312"/>
          <w:b w:val="0"/>
          <w:bCs/>
          <w:snapToGrid w:val="0"/>
          <w:kern w:val="0"/>
          <w:sz w:val="32"/>
          <w:szCs w:val="32"/>
          <w:highlight w:val="none"/>
          <w:lang w:val="en-US" w:eastAsia="zh-CN"/>
        </w:rPr>
        <w:t>462.55</w:t>
      </w:r>
      <w:r>
        <w:rPr>
          <w:rFonts w:eastAsia="仿宋_GB2312"/>
          <w:b w:val="0"/>
          <w:bCs/>
          <w:snapToGrid w:val="0"/>
          <w:kern w:val="0"/>
          <w:sz w:val="32"/>
          <w:szCs w:val="32"/>
          <w:highlight w:val="none"/>
        </w:rPr>
        <w:t>万元，完成预算的</w:t>
      </w:r>
      <w:r>
        <w:rPr>
          <w:rFonts w:hint="eastAsia" w:eastAsia="仿宋_GB2312"/>
          <w:b w:val="0"/>
          <w:bCs/>
          <w:snapToGrid w:val="0"/>
          <w:kern w:val="0"/>
          <w:sz w:val="32"/>
          <w:szCs w:val="32"/>
          <w:highlight w:val="none"/>
          <w:lang w:val="en-US" w:eastAsia="zh-CN"/>
        </w:rPr>
        <w:t>80</w:t>
      </w:r>
      <w:r>
        <w:rPr>
          <w:rFonts w:eastAsia="仿宋_GB2312"/>
          <w:b w:val="0"/>
          <w:bCs/>
          <w:snapToGrid w:val="0"/>
          <w:kern w:val="0"/>
          <w:sz w:val="32"/>
          <w:szCs w:val="32"/>
          <w:highlight w:val="none"/>
        </w:rPr>
        <w:t>%</w:t>
      </w:r>
      <w:r>
        <w:rPr>
          <w:rFonts w:hint="eastAsia" w:eastAsia="仿宋_GB2312"/>
          <w:b w:val="0"/>
          <w:bCs/>
          <w:snapToGrid w:val="0"/>
          <w:kern w:val="0"/>
          <w:sz w:val="32"/>
          <w:szCs w:val="32"/>
          <w:highlight w:val="none"/>
          <w:lang w:eastAsia="zh-CN"/>
        </w:rPr>
        <w:t>。</w:t>
      </w:r>
      <w:r>
        <w:rPr>
          <w:rFonts w:hint="eastAsia" w:eastAsia="仿宋_GB2312"/>
          <w:bCs/>
          <w:snapToGrid w:val="0"/>
          <w:kern w:val="0"/>
          <w:sz w:val="32"/>
          <w:szCs w:val="32"/>
          <w:lang w:val="en-US" w:eastAsia="zh-CN"/>
        </w:rPr>
        <w:t>开展暑期社会实践活动1次，开展辅导员素质能力提升项目1次发放奖学金1461人次，勤工助学补助243人次，校级评优评奖1800人次。</w:t>
      </w:r>
    </w:p>
    <w:tbl>
      <w:tblPr>
        <w:tblStyle w:val="12"/>
        <w:tblW w:w="86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
        <w:gridCol w:w="900"/>
        <w:gridCol w:w="1485"/>
        <w:gridCol w:w="540"/>
        <w:gridCol w:w="900"/>
        <w:gridCol w:w="1624"/>
        <w:gridCol w:w="2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603"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eastAsia="宋体" w:cs="宋体"/>
                <w:b/>
                <w:bCs/>
                <w:i w:val="0"/>
                <w:iCs w:val="0"/>
                <w:color w:val="000000"/>
                <w:sz w:val="32"/>
                <w:szCs w:val="32"/>
                <w:u w:val="none"/>
              </w:rPr>
            </w:pPr>
            <w:r>
              <w:rPr>
                <w:rFonts w:hint="eastAsia" w:ascii="宋体" w:eastAsia="宋体" w:cs="宋体"/>
                <w:b/>
                <w:bCs/>
                <w:i w:val="0"/>
                <w:iCs w:val="0"/>
                <w:color w:val="000000"/>
                <w:kern w:val="0"/>
                <w:sz w:val="32"/>
                <w:szCs w:val="32"/>
                <w:u w:val="none"/>
                <w:lang w:val="en-US" w:eastAsia="zh-CN"/>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603"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       2020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项目名称</w:t>
            </w:r>
          </w:p>
        </w:tc>
        <w:tc>
          <w:tcPr>
            <w:tcW w:w="689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学生勤工助学困难补助及活动费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主管部门及代码</w:t>
            </w:r>
          </w:p>
        </w:tc>
        <w:tc>
          <w:tcPr>
            <w:tcW w:w="29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中共四川省委宣传部</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实施单位</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四川文化产业职业学院（四川省干部函授学院）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7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项目预算</w:t>
            </w:r>
          </w:p>
          <w:p>
            <w:pPr>
              <w:keepNext w:val="0"/>
              <w:keepLines w:val="0"/>
              <w:widowControl/>
              <w:suppressLineNumbers w:val="0"/>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执行情况</w:t>
            </w:r>
          </w:p>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（万元）</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 预算数：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578.0</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 执行数：</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462.55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    其中：财政拨款</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172.0</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其中：财政拨款</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         其他资金</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406.0</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其他资金</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300.85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年</w:t>
            </w:r>
          </w:p>
          <w:p>
            <w:pPr>
              <w:keepNext w:val="0"/>
              <w:keepLines w:val="0"/>
              <w:widowControl/>
              <w:suppressLineNumbers w:val="0"/>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度</w:t>
            </w:r>
          </w:p>
          <w:p>
            <w:pPr>
              <w:keepNext w:val="0"/>
              <w:keepLines w:val="0"/>
              <w:widowControl/>
              <w:suppressLineNumbers w:val="0"/>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总</w:t>
            </w:r>
          </w:p>
          <w:p>
            <w:pPr>
              <w:keepNext w:val="0"/>
              <w:keepLines w:val="0"/>
              <w:widowControl/>
              <w:suppressLineNumbers w:val="0"/>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体</w:t>
            </w:r>
          </w:p>
          <w:p>
            <w:pPr>
              <w:keepNext w:val="0"/>
              <w:keepLines w:val="0"/>
              <w:widowControl/>
              <w:suppressLineNumbers w:val="0"/>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目</w:t>
            </w:r>
          </w:p>
          <w:p>
            <w:pPr>
              <w:keepNext w:val="0"/>
              <w:keepLines w:val="0"/>
              <w:widowControl/>
              <w:suppressLineNumbers w:val="0"/>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标</w:t>
            </w:r>
          </w:p>
          <w:p>
            <w:pPr>
              <w:keepNext w:val="0"/>
              <w:keepLines w:val="0"/>
              <w:widowControl/>
              <w:suppressLineNumbers w:val="0"/>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完</w:t>
            </w:r>
          </w:p>
          <w:p>
            <w:pPr>
              <w:keepNext w:val="0"/>
              <w:keepLines w:val="0"/>
              <w:widowControl/>
              <w:suppressLineNumbers w:val="0"/>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成</w:t>
            </w:r>
          </w:p>
          <w:p>
            <w:pPr>
              <w:keepNext w:val="0"/>
              <w:keepLines w:val="0"/>
              <w:widowControl/>
              <w:suppressLineNumbers w:val="0"/>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情</w:t>
            </w:r>
          </w:p>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况</w:t>
            </w:r>
          </w:p>
        </w:tc>
        <w:tc>
          <w:tcPr>
            <w:tcW w:w="38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预期目标</w:t>
            </w:r>
          </w:p>
        </w:tc>
        <w:tc>
          <w:tcPr>
            <w:tcW w:w="39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825" w:type="dxa"/>
            <w:gridSpan w:val="4"/>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widowControl/>
              <w:suppressLineNumbers w:val="0"/>
              <w:jc w:val="left"/>
              <w:textAlignment w:val="top"/>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根据《中共四川省委、四川省人民政府关于印发&lt;四川省中长期教育改革和发展规划纲要（2010—2020年）&gt;的通知》(川委发〔2010〕18号)、《四川省教育厅关于实施四川省优质高等职业院校建设计划的通知》（川教函[2017]418号）文件规定开展相关工作《高等学校勤工助学管理办法》（教材[2007]7号0和 团中央最新规定，高效应按不少于200元/生/年 学生日常活动费）用于开展暑期社会实践活动，加强学生安全教育，提高辅导员队伍素质能力，发放奖助学及勤工助学补助。</w:t>
            </w:r>
          </w:p>
        </w:tc>
        <w:tc>
          <w:tcPr>
            <w:tcW w:w="396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widowControl/>
              <w:suppressLineNumbers w:val="0"/>
              <w:jc w:val="left"/>
              <w:textAlignment w:val="top"/>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开展暑期社会实践活动1次，开展辅导员素质能力提升项目1次发放奖学金1461人次，勤工助学补助243人次，校级评优评奖1800人次。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年度绩效指标完成情况</w:t>
            </w: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一级指标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二级指标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三级指标</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预期指标值</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完</w:t>
            </w:r>
          </w:p>
          <w:p>
            <w:pPr>
              <w:keepNext w:val="0"/>
              <w:keepLines w:val="0"/>
              <w:widowControl/>
              <w:suppressLineNumbers w:val="0"/>
              <w:jc w:val="center"/>
              <w:textAlignment w:val="bottom"/>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成</w:t>
            </w:r>
          </w:p>
          <w:p>
            <w:pPr>
              <w:keepNext w:val="0"/>
              <w:keepLines w:val="0"/>
              <w:widowControl/>
              <w:suppressLineNumbers w:val="0"/>
              <w:jc w:val="center"/>
              <w:textAlignment w:val="bottom"/>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指</w:t>
            </w:r>
          </w:p>
          <w:p>
            <w:pPr>
              <w:keepNext w:val="0"/>
              <w:keepLines w:val="0"/>
              <w:widowControl/>
              <w:suppressLineNumbers w:val="0"/>
              <w:jc w:val="center"/>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标</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数量指标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开展暑期社会实践活动</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ascii="Arial" w:hAnsi="Arial" w:cs="Arial"/>
                <w:i w:val="0"/>
                <w:iCs w:val="0"/>
                <w:color w:val="000000"/>
                <w:sz w:val="20"/>
                <w:szCs w:val="20"/>
                <w:u w:val="none"/>
              </w:rPr>
            </w:pPr>
            <w:r>
              <w:rPr>
                <w:rFonts w:ascii="Arial" w:hAnsi="Arial" w:eastAsia="宋体" w:cs="Arial"/>
                <w:i w:val="0"/>
                <w:iCs w:val="0"/>
                <w:color w:val="000000"/>
                <w:kern w:val="0"/>
                <w:sz w:val="20"/>
                <w:szCs w:val="20"/>
                <w:u w:val="none"/>
                <w:lang w:val="en-US" w:eastAsia="zh-CN"/>
              </w:rPr>
              <w:t>1</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ascii="Arial" w:hAnsi="Arial" w:cs="Arial"/>
                <w:i w:val="0"/>
                <w:iCs w:val="0"/>
                <w:color w:val="000000"/>
                <w:sz w:val="20"/>
                <w:szCs w:val="20"/>
                <w:u w:val="none"/>
              </w:rPr>
            </w:pPr>
            <w:r>
              <w:rPr>
                <w:rFonts w:ascii="Arial" w:hAnsi="Arial" w:eastAsia="宋体" w:cs="Arial"/>
                <w:i w:val="0"/>
                <w:iCs w:val="0"/>
                <w:color w:val="000000"/>
                <w:kern w:val="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开展辅导员素质能力提升项目</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ascii="Arial" w:hAnsi="Arial" w:cs="Arial"/>
                <w:i w:val="0"/>
                <w:iCs w:val="0"/>
                <w:color w:val="000000"/>
                <w:sz w:val="20"/>
                <w:szCs w:val="20"/>
                <w:u w:val="none"/>
              </w:rPr>
            </w:pPr>
            <w:r>
              <w:rPr>
                <w:rFonts w:ascii="Arial" w:hAnsi="Arial" w:eastAsia="宋体" w:cs="Arial"/>
                <w:i w:val="0"/>
                <w:iCs w:val="0"/>
                <w:color w:val="000000"/>
                <w:kern w:val="0"/>
                <w:sz w:val="20"/>
                <w:szCs w:val="20"/>
                <w:u w:val="none"/>
                <w:lang w:val="en-US" w:eastAsia="zh-CN"/>
              </w:rPr>
              <w:t>1</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ascii="Arial" w:hAnsi="Arial" w:cs="Arial"/>
                <w:i w:val="0"/>
                <w:iCs w:val="0"/>
                <w:color w:val="000000"/>
                <w:sz w:val="20"/>
                <w:szCs w:val="20"/>
                <w:u w:val="none"/>
              </w:rPr>
            </w:pPr>
            <w:r>
              <w:rPr>
                <w:rFonts w:ascii="Arial" w:hAnsi="Arial" w:eastAsia="宋体" w:cs="Arial"/>
                <w:i w:val="0"/>
                <w:iCs w:val="0"/>
                <w:color w:val="000000"/>
                <w:kern w:val="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校级奖学金</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ascii="Arial" w:hAnsi="Arial" w:cs="Arial"/>
                <w:i w:val="0"/>
                <w:iCs w:val="0"/>
                <w:color w:val="000000"/>
                <w:sz w:val="20"/>
                <w:szCs w:val="20"/>
                <w:u w:val="none"/>
              </w:rPr>
            </w:pPr>
            <w:r>
              <w:rPr>
                <w:rFonts w:ascii="Arial" w:hAnsi="Arial" w:eastAsia="宋体" w:cs="Arial"/>
                <w:i w:val="0"/>
                <w:iCs w:val="0"/>
                <w:color w:val="000000"/>
                <w:kern w:val="0"/>
                <w:sz w:val="20"/>
                <w:szCs w:val="20"/>
                <w:u w:val="none"/>
                <w:lang w:val="en-US" w:eastAsia="zh-CN"/>
              </w:rPr>
              <w:t>1300</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ascii="Arial" w:hAnsi="Arial" w:cs="Arial"/>
                <w:i w:val="0"/>
                <w:iCs w:val="0"/>
                <w:color w:val="000000"/>
                <w:sz w:val="20"/>
                <w:szCs w:val="20"/>
                <w:u w:val="none"/>
              </w:rPr>
            </w:pPr>
            <w:r>
              <w:rPr>
                <w:rFonts w:ascii="Arial" w:hAnsi="Arial" w:eastAsia="宋体" w:cs="Arial"/>
                <w:i w:val="0"/>
                <w:iCs w:val="0"/>
                <w:color w:val="000000"/>
                <w:kern w:val="0"/>
                <w:sz w:val="20"/>
                <w:szCs w:val="20"/>
                <w:u w:val="none"/>
                <w:lang w:val="en-US" w:eastAsia="zh-CN"/>
              </w:rPr>
              <w:t>1461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勤工助学补助</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ascii="Arial" w:hAnsi="Arial" w:cs="Arial"/>
                <w:i w:val="0"/>
                <w:iCs w:val="0"/>
                <w:color w:val="000000"/>
                <w:sz w:val="20"/>
                <w:szCs w:val="20"/>
                <w:u w:val="none"/>
              </w:rPr>
            </w:pPr>
            <w:r>
              <w:rPr>
                <w:rFonts w:ascii="Arial" w:hAnsi="Arial" w:eastAsia="宋体" w:cs="Arial"/>
                <w:i w:val="0"/>
                <w:iCs w:val="0"/>
                <w:color w:val="000000"/>
                <w:kern w:val="0"/>
                <w:sz w:val="20"/>
                <w:szCs w:val="20"/>
                <w:u w:val="none"/>
                <w:lang w:val="en-US" w:eastAsia="zh-CN"/>
              </w:rPr>
              <w:t>80</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ascii="Arial" w:hAnsi="Arial" w:cs="Arial"/>
                <w:i w:val="0"/>
                <w:iCs w:val="0"/>
                <w:color w:val="000000"/>
                <w:sz w:val="20"/>
                <w:szCs w:val="20"/>
                <w:u w:val="none"/>
              </w:rPr>
            </w:pPr>
            <w:r>
              <w:rPr>
                <w:rFonts w:ascii="Arial" w:hAnsi="Arial" w:eastAsia="宋体" w:cs="Arial"/>
                <w:i w:val="0"/>
                <w:iCs w:val="0"/>
                <w:color w:val="000000"/>
                <w:kern w:val="0"/>
                <w:sz w:val="20"/>
                <w:szCs w:val="20"/>
                <w:u w:val="none"/>
                <w:lang w:val="en-US" w:eastAsia="zh-CN"/>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校级评优评奖</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ascii="Arial" w:hAnsi="Arial" w:cs="Arial"/>
                <w:i w:val="0"/>
                <w:iCs w:val="0"/>
                <w:color w:val="000000"/>
                <w:sz w:val="20"/>
                <w:szCs w:val="20"/>
                <w:u w:val="none"/>
              </w:rPr>
            </w:pPr>
            <w:r>
              <w:rPr>
                <w:rFonts w:ascii="Arial" w:hAnsi="Arial" w:eastAsia="宋体" w:cs="Arial"/>
                <w:i w:val="0"/>
                <w:iCs w:val="0"/>
                <w:color w:val="000000"/>
                <w:kern w:val="0"/>
                <w:sz w:val="20"/>
                <w:szCs w:val="20"/>
                <w:u w:val="none"/>
                <w:lang w:val="en-US" w:eastAsia="zh-CN"/>
              </w:rPr>
              <w:t>1800</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ascii="Arial" w:hAnsi="Arial" w:cs="Arial"/>
                <w:i w:val="0"/>
                <w:iCs w:val="0"/>
                <w:color w:val="000000"/>
                <w:sz w:val="20"/>
                <w:szCs w:val="20"/>
                <w:u w:val="none"/>
              </w:rPr>
            </w:pPr>
            <w:r>
              <w:rPr>
                <w:rFonts w:ascii="Arial" w:hAnsi="Arial" w:eastAsia="宋体" w:cs="Arial"/>
                <w:i w:val="0"/>
                <w:iCs w:val="0"/>
                <w:color w:val="000000"/>
                <w:kern w:val="0"/>
                <w:sz w:val="20"/>
                <w:szCs w:val="20"/>
                <w:u w:val="none"/>
                <w:lang w:val="en-US" w:eastAsia="zh-CN"/>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质量指标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i w:val="0"/>
                <w:iCs w:val="0"/>
                <w:color w:val="000000"/>
                <w:sz w:val="20"/>
                <w:szCs w:val="20"/>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i w:val="0"/>
                <w:iCs w:val="0"/>
                <w:color w:val="000000"/>
                <w:sz w:val="20"/>
                <w:szCs w:val="20"/>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时效指标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完成时限</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ascii="Arial" w:hAnsi="Arial" w:cs="Arial"/>
                <w:i w:val="0"/>
                <w:iCs w:val="0"/>
                <w:color w:val="000000"/>
                <w:sz w:val="20"/>
                <w:szCs w:val="20"/>
                <w:u w:val="none"/>
              </w:rPr>
            </w:pPr>
            <w:r>
              <w:rPr>
                <w:rFonts w:ascii="Arial" w:hAnsi="Arial" w:eastAsia="宋体" w:cs="Arial"/>
                <w:i w:val="0"/>
                <w:iCs w:val="0"/>
                <w:color w:val="000000"/>
                <w:kern w:val="0"/>
                <w:sz w:val="20"/>
                <w:szCs w:val="20"/>
                <w:u w:val="none"/>
                <w:lang w:val="en-US" w:eastAsia="zh-CN"/>
              </w:rPr>
              <w:t>2020</w:t>
            </w:r>
            <w:r>
              <w:rPr>
                <w:rFonts w:hint="eastAsia" w:ascii="宋体" w:eastAsia="宋体" w:cs="宋体"/>
                <w:i w:val="0"/>
                <w:iCs w:val="0"/>
                <w:color w:val="000000"/>
                <w:kern w:val="0"/>
                <w:sz w:val="20"/>
                <w:szCs w:val="20"/>
                <w:u w:val="none"/>
                <w:lang w:val="en-US" w:eastAsia="zh-CN"/>
              </w:rPr>
              <w:t>年</w:t>
            </w:r>
            <w:r>
              <w:rPr>
                <w:rStyle w:val="34"/>
                <w:rFonts w:eastAsia="宋体"/>
                <w:lang w:val="en-US" w:eastAsia="zh-CN"/>
              </w:rPr>
              <w:t>12</w:t>
            </w:r>
            <w:r>
              <w:rPr>
                <w:rFonts w:hint="eastAsia" w:ascii="宋体" w:eastAsia="宋体" w:cs="宋体"/>
                <w:i w:val="0"/>
                <w:iCs w:val="0"/>
                <w:color w:val="000000"/>
                <w:kern w:val="0"/>
                <w:sz w:val="20"/>
                <w:szCs w:val="20"/>
                <w:u w:val="none"/>
                <w:lang w:val="en-US" w:eastAsia="zh-CN"/>
              </w:rPr>
              <w:t>月</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ascii="Arial" w:hAnsi="Arial" w:cs="Arial"/>
                <w:i w:val="0"/>
                <w:iCs w:val="0"/>
                <w:color w:val="000000"/>
                <w:sz w:val="20"/>
                <w:szCs w:val="20"/>
                <w:u w:val="none"/>
              </w:rPr>
            </w:pPr>
            <w:r>
              <w:rPr>
                <w:rFonts w:ascii="Arial" w:hAnsi="Arial" w:eastAsia="宋体" w:cs="Arial"/>
                <w:i w:val="0"/>
                <w:iCs w:val="0"/>
                <w:color w:val="000000"/>
                <w:kern w:val="0"/>
                <w:sz w:val="20"/>
                <w:szCs w:val="20"/>
                <w:u w:val="none"/>
                <w:lang w:val="en-US" w:eastAsia="zh-CN"/>
              </w:rPr>
              <w:t>2020</w:t>
            </w:r>
            <w:r>
              <w:rPr>
                <w:rFonts w:hint="eastAsia" w:ascii="宋体" w:eastAsia="宋体" w:cs="宋体"/>
                <w:i w:val="0"/>
                <w:iCs w:val="0"/>
                <w:color w:val="000000"/>
                <w:kern w:val="0"/>
                <w:sz w:val="20"/>
                <w:szCs w:val="20"/>
                <w:u w:val="none"/>
                <w:lang w:val="en-US" w:eastAsia="zh-CN"/>
              </w:rPr>
              <w:t>年</w:t>
            </w:r>
            <w:r>
              <w:rPr>
                <w:rStyle w:val="34"/>
                <w:rFonts w:eastAsia="宋体"/>
                <w:lang w:val="en-US" w:eastAsia="zh-CN"/>
              </w:rPr>
              <w:t>12</w:t>
            </w:r>
            <w:r>
              <w:rPr>
                <w:rFonts w:hint="eastAsia" w:ascii="宋体" w:eastAsia="宋体" w:cs="宋体"/>
                <w:i w:val="0"/>
                <w:iCs w:val="0"/>
                <w:color w:val="000000"/>
                <w:kern w:val="0"/>
                <w:sz w:val="20"/>
                <w:szCs w:val="20"/>
                <w:u w:val="none"/>
                <w:lang w:val="en-US" w:eastAsia="zh-CN"/>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成本指标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i w:val="0"/>
                <w:iCs w:val="0"/>
                <w:color w:val="000000"/>
                <w:sz w:val="20"/>
                <w:szCs w:val="20"/>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i w:val="0"/>
                <w:iCs w:val="0"/>
                <w:color w:val="000000"/>
                <w:sz w:val="20"/>
                <w:szCs w:val="20"/>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效</w:t>
            </w:r>
          </w:p>
          <w:p>
            <w:pPr>
              <w:keepNext w:val="0"/>
              <w:keepLines w:val="0"/>
              <w:widowControl/>
              <w:suppressLineNumbers w:val="0"/>
              <w:jc w:val="center"/>
              <w:textAlignment w:val="bottom"/>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益</w:t>
            </w:r>
          </w:p>
          <w:p>
            <w:pPr>
              <w:keepNext w:val="0"/>
              <w:keepLines w:val="0"/>
              <w:widowControl/>
              <w:suppressLineNumbers w:val="0"/>
              <w:jc w:val="center"/>
              <w:textAlignment w:val="bottom"/>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指</w:t>
            </w:r>
          </w:p>
          <w:p>
            <w:pPr>
              <w:keepNext w:val="0"/>
              <w:keepLines w:val="0"/>
              <w:widowControl/>
              <w:suppressLineNumbers w:val="0"/>
              <w:jc w:val="center"/>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经济效益指标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i w:val="0"/>
                <w:iCs w:val="0"/>
                <w:color w:val="000000"/>
                <w:sz w:val="20"/>
                <w:szCs w:val="20"/>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i w:val="0"/>
                <w:iCs w:val="0"/>
                <w:color w:val="000000"/>
                <w:sz w:val="20"/>
                <w:szCs w:val="20"/>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社会效益指标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辅导员培训覆盖率</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ascii="Arial" w:hAnsi="Arial" w:cs="Arial"/>
                <w:i w:val="0"/>
                <w:iCs w:val="0"/>
                <w:color w:val="000000"/>
                <w:sz w:val="20"/>
                <w:szCs w:val="20"/>
                <w:u w:val="none"/>
              </w:rPr>
            </w:pPr>
            <w:r>
              <w:rPr>
                <w:rFonts w:ascii="Arial" w:hAnsi="Arial" w:eastAsia="宋体" w:cs="Arial"/>
                <w:i w:val="0"/>
                <w:iCs w:val="0"/>
                <w:color w:val="000000"/>
                <w:kern w:val="0"/>
                <w:sz w:val="20"/>
                <w:szCs w:val="20"/>
                <w:u w:val="none"/>
                <w:lang w:val="en-US" w:eastAsia="zh-CN"/>
              </w:rPr>
              <w:t>90%</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ascii="Arial" w:hAnsi="Arial" w:cs="Arial"/>
                <w:i w:val="0"/>
                <w:iCs w:val="0"/>
                <w:color w:val="000000"/>
                <w:sz w:val="20"/>
                <w:szCs w:val="20"/>
                <w:u w:val="none"/>
              </w:rPr>
            </w:pPr>
            <w:r>
              <w:rPr>
                <w:rFonts w:ascii="Arial" w:hAnsi="Arial" w:eastAsia="宋体" w:cs="Arial"/>
                <w:i w:val="0"/>
                <w:iCs w:val="0"/>
                <w:color w:val="000000"/>
                <w:kern w:val="0"/>
                <w:sz w:val="20"/>
                <w:szCs w:val="20"/>
                <w:u w:val="none"/>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暑期三下乡社会实践活动在</w:t>
            </w:r>
            <w:r>
              <w:rPr>
                <w:rStyle w:val="34"/>
                <w:rFonts w:eastAsia="宋体"/>
                <w:lang w:val="en-US" w:eastAsia="zh-CN"/>
              </w:rPr>
              <w:t>2019</w:t>
            </w:r>
            <w:r>
              <w:rPr>
                <w:rFonts w:hint="eastAsia" w:ascii="宋体" w:eastAsia="宋体" w:cs="宋体"/>
                <w:i w:val="0"/>
                <w:iCs w:val="0"/>
                <w:color w:val="000000"/>
                <w:kern w:val="0"/>
                <w:sz w:val="20"/>
                <w:szCs w:val="20"/>
                <w:u w:val="none"/>
                <w:lang w:val="en-US" w:eastAsia="zh-CN"/>
              </w:rPr>
              <w:t>级学生中覆盖面</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ascii="Arial" w:hAnsi="Arial" w:cs="Arial"/>
                <w:i w:val="0"/>
                <w:iCs w:val="0"/>
                <w:color w:val="000000"/>
                <w:sz w:val="20"/>
                <w:szCs w:val="20"/>
                <w:u w:val="none"/>
              </w:rPr>
            </w:pPr>
            <w:r>
              <w:rPr>
                <w:rFonts w:ascii="Arial" w:hAnsi="Arial" w:eastAsia="宋体" w:cs="Arial"/>
                <w:i w:val="0"/>
                <w:iCs w:val="0"/>
                <w:color w:val="000000"/>
                <w:kern w:val="0"/>
                <w:sz w:val="20"/>
                <w:szCs w:val="20"/>
                <w:u w:val="none"/>
                <w:lang w:val="en-US" w:eastAsia="zh-CN"/>
              </w:rPr>
              <w:t>10%</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ascii="Arial" w:hAnsi="Arial" w:cs="Arial"/>
                <w:i w:val="0"/>
                <w:iCs w:val="0"/>
                <w:color w:val="000000"/>
                <w:sz w:val="20"/>
                <w:szCs w:val="20"/>
                <w:u w:val="none"/>
              </w:rPr>
            </w:pPr>
            <w:r>
              <w:rPr>
                <w:rFonts w:ascii="Arial" w:hAnsi="Arial" w:eastAsia="宋体" w:cs="Arial"/>
                <w:i w:val="0"/>
                <w:iCs w:val="0"/>
                <w:color w:val="000000"/>
                <w:kern w:val="0"/>
                <w:sz w:val="20"/>
                <w:szCs w:val="20"/>
                <w:u w:val="none"/>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生态效益指标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i w:val="0"/>
                <w:iCs w:val="0"/>
                <w:color w:val="000000"/>
                <w:sz w:val="20"/>
                <w:szCs w:val="20"/>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i w:val="0"/>
                <w:iCs w:val="0"/>
                <w:color w:val="000000"/>
                <w:sz w:val="20"/>
                <w:szCs w:val="20"/>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可持续影响指标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i w:val="0"/>
                <w:iCs w:val="0"/>
                <w:color w:val="000000"/>
                <w:sz w:val="20"/>
                <w:szCs w:val="20"/>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i w:val="0"/>
                <w:iCs w:val="0"/>
                <w:color w:val="000000"/>
                <w:sz w:val="20"/>
                <w:szCs w:val="20"/>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满</w:t>
            </w:r>
          </w:p>
          <w:p>
            <w:pPr>
              <w:keepNext w:val="0"/>
              <w:keepLines w:val="0"/>
              <w:widowControl/>
              <w:suppressLineNumbers w:val="0"/>
              <w:jc w:val="center"/>
              <w:textAlignment w:val="bottom"/>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意</w:t>
            </w:r>
          </w:p>
          <w:p>
            <w:pPr>
              <w:keepNext w:val="0"/>
              <w:keepLines w:val="0"/>
              <w:widowControl/>
              <w:suppressLineNumbers w:val="0"/>
              <w:jc w:val="center"/>
              <w:textAlignment w:val="bottom"/>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度</w:t>
            </w:r>
          </w:p>
          <w:p>
            <w:pPr>
              <w:keepNext w:val="0"/>
              <w:keepLines w:val="0"/>
              <w:widowControl/>
              <w:suppressLineNumbers w:val="0"/>
              <w:jc w:val="center"/>
              <w:textAlignment w:val="bottom"/>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指</w:t>
            </w:r>
          </w:p>
          <w:p>
            <w:pPr>
              <w:keepNext w:val="0"/>
              <w:keepLines w:val="0"/>
              <w:widowControl/>
              <w:suppressLineNumbers w:val="0"/>
              <w:jc w:val="center"/>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满意度指标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师生满意度</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ascii="Arial" w:hAnsi="Arial" w:cs="Arial"/>
                <w:i w:val="0"/>
                <w:iCs w:val="0"/>
                <w:color w:val="000000"/>
                <w:sz w:val="20"/>
                <w:szCs w:val="20"/>
                <w:u w:val="none"/>
              </w:rPr>
            </w:pPr>
            <w:r>
              <w:rPr>
                <w:rFonts w:ascii="Arial" w:hAnsi="Arial" w:eastAsia="宋体" w:cs="Arial"/>
                <w:i w:val="0"/>
                <w:iCs w:val="0"/>
                <w:color w:val="000000"/>
                <w:kern w:val="0"/>
                <w:sz w:val="20"/>
                <w:szCs w:val="20"/>
                <w:u w:val="none"/>
                <w:lang w:val="en-US" w:eastAsia="zh-CN"/>
              </w:rPr>
              <w:t>95%</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ascii="Arial" w:hAnsi="Arial" w:cs="Arial"/>
                <w:i w:val="0"/>
                <w:iCs w:val="0"/>
                <w:color w:val="000000"/>
                <w:sz w:val="20"/>
                <w:szCs w:val="20"/>
                <w:u w:val="none"/>
              </w:rPr>
            </w:pPr>
            <w:r>
              <w:rPr>
                <w:rFonts w:ascii="Arial" w:hAnsi="Arial" w:eastAsia="宋体" w:cs="Arial"/>
                <w:i w:val="0"/>
                <w:iCs w:val="0"/>
                <w:color w:val="000000"/>
                <w:kern w:val="0"/>
                <w:sz w:val="20"/>
                <w:szCs w:val="20"/>
                <w:u w:val="none"/>
                <w:lang w:val="en-US" w:eastAsia="zh-CN"/>
              </w:rPr>
              <w:t>95%</w:t>
            </w:r>
          </w:p>
        </w:tc>
      </w:tr>
    </w:tbl>
    <w:p>
      <w:pPr>
        <w:widowControl w:val="0"/>
        <w:spacing w:line="580" w:lineRule="exact"/>
        <w:jc w:val="both"/>
        <w:rPr>
          <w:rFonts w:eastAsia="仿宋_GB2312"/>
          <w:bCs/>
          <w:snapToGrid w:val="0"/>
          <w:kern w:val="0"/>
          <w:sz w:val="32"/>
          <w:szCs w:val="32"/>
        </w:rPr>
      </w:pPr>
    </w:p>
    <w:p>
      <w:pPr>
        <w:widowControl w:val="0"/>
        <w:spacing w:line="580" w:lineRule="exact"/>
        <w:jc w:val="both"/>
        <w:rPr>
          <w:rFonts w:hint="eastAsia" w:eastAsia="仿宋_GB2312"/>
          <w:bCs/>
          <w:snapToGrid w:val="0"/>
          <w:kern w:val="0"/>
          <w:sz w:val="32"/>
          <w:szCs w:val="32"/>
          <w:lang w:eastAsia="zh-CN"/>
        </w:rPr>
      </w:pPr>
      <w:r>
        <w:rPr>
          <w:rFonts w:hint="eastAsia" w:eastAsia="仿宋_GB2312"/>
          <w:bCs/>
          <w:snapToGrid w:val="0"/>
          <w:kern w:val="0"/>
          <w:sz w:val="32"/>
          <w:szCs w:val="32"/>
          <w:lang w:val="en-US" w:eastAsia="zh-CN"/>
        </w:rPr>
        <w:t xml:space="preserve">    4.</w:t>
      </w:r>
      <w:r>
        <w:rPr>
          <w:rFonts w:eastAsia="仿宋_GB2312"/>
          <w:bCs/>
          <w:snapToGrid w:val="0"/>
          <w:kern w:val="0"/>
          <w:sz w:val="32"/>
          <w:szCs w:val="32"/>
        </w:rPr>
        <w:t>“</w:t>
      </w:r>
      <w:r>
        <w:rPr>
          <w:rFonts w:hint="eastAsia" w:eastAsia="仿宋_GB2312"/>
          <w:bCs/>
          <w:snapToGrid w:val="0"/>
          <w:kern w:val="0"/>
          <w:sz w:val="32"/>
          <w:szCs w:val="32"/>
          <w:lang w:eastAsia="zh-CN"/>
        </w:rPr>
        <w:t>对外交流与宣传经费</w:t>
      </w:r>
      <w:r>
        <w:rPr>
          <w:rFonts w:eastAsia="仿宋_GB2312"/>
          <w:bCs/>
          <w:snapToGrid w:val="0"/>
          <w:kern w:val="0"/>
          <w:sz w:val="32"/>
          <w:szCs w:val="32"/>
        </w:rPr>
        <w:t>”绩效目标完成情况综述。该项目全年预算数</w:t>
      </w:r>
      <w:r>
        <w:rPr>
          <w:rFonts w:hint="eastAsia" w:eastAsia="仿宋_GB2312"/>
          <w:bCs/>
          <w:snapToGrid w:val="0"/>
          <w:kern w:val="0"/>
          <w:sz w:val="32"/>
          <w:szCs w:val="32"/>
          <w:lang w:val="en-US" w:eastAsia="zh-CN"/>
        </w:rPr>
        <w:t>694.8万元，</w:t>
      </w:r>
      <w:r>
        <w:rPr>
          <w:rFonts w:eastAsia="仿宋_GB2312"/>
          <w:b w:val="0"/>
          <w:bCs/>
          <w:snapToGrid w:val="0"/>
          <w:kern w:val="0"/>
          <w:sz w:val="32"/>
          <w:szCs w:val="32"/>
          <w:highlight w:val="none"/>
        </w:rPr>
        <w:t>执行数为</w:t>
      </w:r>
      <w:r>
        <w:rPr>
          <w:rFonts w:hint="eastAsia" w:eastAsia="仿宋_GB2312"/>
          <w:b w:val="0"/>
          <w:bCs/>
          <w:snapToGrid w:val="0"/>
          <w:kern w:val="0"/>
          <w:sz w:val="32"/>
          <w:szCs w:val="32"/>
          <w:highlight w:val="none"/>
          <w:lang w:val="en-US" w:eastAsia="zh-CN"/>
        </w:rPr>
        <w:t>472</w:t>
      </w:r>
      <w:r>
        <w:rPr>
          <w:rFonts w:eastAsia="仿宋_GB2312"/>
          <w:b w:val="0"/>
          <w:bCs/>
          <w:snapToGrid w:val="0"/>
          <w:kern w:val="0"/>
          <w:sz w:val="32"/>
          <w:szCs w:val="32"/>
          <w:highlight w:val="none"/>
        </w:rPr>
        <w:t>万元，完成预算的</w:t>
      </w:r>
      <w:r>
        <w:rPr>
          <w:rFonts w:hint="eastAsia" w:eastAsia="仿宋_GB2312"/>
          <w:b w:val="0"/>
          <w:bCs/>
          <w:snapToGrid w:val="0"/>
          <w:kern w:val="0"/>
          <w:sz w:val="32"/>
          <w:szCs w:val="32"/>
          <w:highlight w:val="none"/>
          <w:lang w:val="en-US" w:eastAsia="zh-CN"/>
        </w:rPr>
        <w:t>67.93</w:t>
      </w:r>
      <w:r>
        <w:rPr>
          <w:rFonts w:eastAsia="仿宋_GB2312"/>
          <w:b w:val="0"/>
          <w:bCs/>
          <w:snapToGrid w:val="0"/>
          <w:kern w:val="0"/>
          <w:sz w:val="32"/>
          <w:szCs w:val="32"/>
          <w:highlight w:val="none"/>
        </w:rPr>
        <w:t>%</w:t>
      </w:r>
      <w:r>
        <w:rPr>
          <w:rFonts w:hint="eastAsia" w:eastAsia="仿宋_GB2312"/>
          <w:bCs/>
          <w:snapToGrid w:val="0"/>
          <w:kern w:val="0"/>
          <w:sz w:val="32"/>
          <w:szCs w:val="32"/>
          <w:lang w:eastAsia="zh-CN"/>
        </w:rPr>
        <w:t>。</w:t>
      </w:r>
      <w:r>
        <w:rPr>
          <w:rFonts w:hint="eastAsia" w:eastAsia="仿宋_GB2312"/>
          <w:bCs/>
          <w:snapToGrid w:val="0"/>
          <w:kern w:val="0"/>
          <w:sz w:val="32"/>
          <w:szCs w:val="32"/>
          <w:lang w:val="en-US" w:eastAsia="zh-CN"/>
        </w:rPr>
        <w:t>2020年四川文化产业职业学院（四川省干部函授学院）对外影响提高，对外交流合作机会增加，对外交流合作交流活动的宣传效果良加强学校廉政风险防控工作，党建工作和统战工作有所加强。</w:t>
      </w:r>
    </w:p>
    <w:tbl>
      <w:tblPr>
        <w:tblStyle w:val="12"/>
        <w:tblW w:w="8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5"/>
        <w:gridCol w:w="1290"/>
        <w:gridCol w:w="1485"/>
        <w:gridCol w:w="825"/>
        <w:gridCol w:w="840"/>
        <w:gridCol w:w="1455"/>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67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eastAsia="宋体" w:cs="宋体"/>
                <w:b/>
                <w:bCs/>
                <w:i w:val="0"/>
                <w:iCs w:val="0"/>
                <w:color w:val="000000"/>
                <w:sz w:val="32"/>
                <w:szCs w:val="32"/>
                <w:u w:val="none"/>
              </w:rPr>
            </w:pPr>
            <w:r>
              <w:rPr>
                <w:rFonts w:hint="eastAsia" w:ascii="宋体" w:eastAsia="宋体" w:cs="宋体"/>
                <w:b/>
                <w:bCs/>
                <w:i w:val="0"/>
                <w:iCs w:val="0"/>
                <w:color w:val="000000"/>
                <w:kern w:val="0"/>
                <w:sz w:val="32"/>
                <w:szCs w:val="32"/>
                <w:u w:val="none"/>
                <w:lang w:val="en-US" w:eastAsia="zh-CN"/>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67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       2020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2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对外交流与宣传经费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中共四川省委宣传部</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四川文化产业职业学院（四川省干部函授学院）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4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项目预算</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执行情况</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预算数：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694.8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执行数：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4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4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度</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体</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目</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情</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况</w:t>
            </w:r>
          </w:p>
        </w:tc>
        <w:tc>
          <w:tcPr>
            <w:tcW w:w="44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4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大我校对外影响，增加对外交流合作机会，保证对外交流合作交流活动的宣传效果，建立初步合作意向和合作关系，为对外交流项目做好铺垫，扩大学校影响。加强学校廉政风险防控工作，加强学校党建工作和统战工作。</w:t>
            </w: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2020年我校对外影响提高，对外交流合作机会增加，对外交流合作交流活动的宣传效果良加强学校廉政风险防控工作，党建工作和统战工作有所加强。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预期指标值</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left w:val="single" w:color="000000" w:sz="4" w:space="0"/>
              <w:right w:val="single" w:color="000000" w:sz="4" w:space="0"/>
            </w:tcBorders>
            <w:shd w:val="clear" w:color="auto" w:fill="auto"/>
            <w:vAlign w:val="center"/>
          </w:tcPr>
          <w:p>
            <w:pPr>
              <w:rPr>
                <w:rFonts w:hint="eastAsia"/>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w:t>
            </w:r>
          </w:p>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w:t>
            </w:r>
          </w:p>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开展文化专题调研体验</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left w:val="single" w:color="000000" w:sz="4" w:space="0"/>
              <w:right w:val="single" w:color="000000" w:sz="4" w:space="0"/>
            </w:tcBorders>
            <w:shd w:val="clear" w:color="auto" w:fill="auto"/>
            <w:vAlign w:val="center"/>
          </w:tcPr>
          <w:p>
            <w:pPr>
              <w:rPr>
                <w:rFonts w:hint="eastAsia"/>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开展宣传活动</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25" w:type="dxa"/>
            <w:vMerge w:val="continue"/>
            <w:tcBorders>
              <w:left w:val="single" w:color="000000" w:sz="4" w:space="0"/>
              <w:right w:val="single" w:color="000000" w:sz="4" w:space="0"/>
            </w:tcBorders>
            <w:shd w:val="clear" w:color="auto" w:fill="auto"/>
            <w:vAlign w:val="center"/>
          </w:tcPr>
          <w:p>
            <w:pPr>
              <w:rPr>
                <w:rFonts w:hint="eastAsia"/>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校报设计制作并印刷</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25" w:type="dxa"/>
            <w:vMerge w:val="continue"/>
            <w:tcBorders>
              <w:left w:val="single" w:color="000000" w:sz="4" w:space="0"/>
              <w:right w:val="single" w:color="000000" w:sz="4" w:space="0"/>
            </w:tcBorders>
            <w:shd w:val="clear" w:color="auto" w:fill="auto"/>
            <w:vAlign w:val="center"/>
          </w:tcPr>
          <w:p>
            <w:pPr>
              <w:rPr>
                <w:rFonts w:hint="eastAsia"/>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开展校企合作宣传活动</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25" w:type="dxa"/>
            <w:vMerge w:val="continue"/>
            <w:tcBorders>
              <w:left w:val="single" w:color="000000" w:sz="4" w:space="0"/>
              <w:right w:val="single" w:color="000000" w:sz="4" w:space="0"/>
            </w:tcBorders>
            <w:shd w:val="clear" w:color="auto" w:fill="auto"/>
            <w:vAlign w:val="center"/>
          </w:tcPr>
          <w:p>
            <w:pPr>
              <w:rPr>
                <w:rFonts w:hint="eastAsia"/>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联络走访可合作企业</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25" w:type="dxa"/>
            <w:vMerge w:val="continue"/>
            <w:tcBorders>
              <w:left w:val="single" w:color="000000" w:sz="4" w:space="0"/>
              <w:right w:val="single" w:color="000000" w:sz="4" w:space="0"/>
            </w:tcBorders>
            <w:shd w:val="clear" w:color="auto" w:fill="auto"/>
            <w:vAlign w:val="center"/>
          </w:tcPr>
          <w:p>
            <w:pPr>
              <w:rPr>
                <w:rFonts w:hint="eastAsia"/>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25" w:type="dxa"/>
            <w:vMerge w:val="continue"/>
            <w:tcBorders>
              <w:left w:val="single" w:color="000000" w:sz="4" w:space="0"/>
              <w:right w:val="single" w:color="000000" w:sz="4" w:space="0"/>
            </w:tcBorders>
            <w:shd w:val="clear" w:color="auto" w:fill="auto"/>
            <w:vAlign w:val="center"/>
          </w:tcPr>
          <w:p>
            <w:pPr>
              <w:rPr>
                <w:rFonts w:hint="eastAsia"/>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2020</w:t>
            </w:r>
            <w:r>
              <w:rPr>
                <w:rFonts w:hint="eastAsia" w:ascii="宋体" w:hAnsi="宋体" w:eastAsia="宋体" w:cs="宋体"/>
                <w:i w:val="0"/>
                <w:iCs w:val="0"/>
                <w:color w:val="000000"/>
                <w:kern w:val="0"/>
                <w:sz w:val="20"/>
                <w:szCs w:val="20"/>
                <w:u w:val="none"/>
                <w:lang w:val="en-US" w:eastAsia="zh-CN" w:bidi="ar"/>
              </w:rPr>
              <w:t>年</w:t>
            </w:r>
            <w:r>
              <w:rPr>
                <w:rFonts w:ascii="Arial" w:hAnsi="Arial" w:eastAsia="宋体" w:cs="Arial"/>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2020</w:t>
            </w:r>
            <w:r>
              <w:rPr>
                <w:rFonts w:hint="eastAsia" w:ascii="宋体" w:hAnsi="宋体" w:eastAsia="宋体" w:cs="宋体"/>
                <w:i w:val="0"/>
                <w:iCs w:val="0"/>
                <w:color w:val="000000"/>
                <w:kern w:val="0"/>
                <w:sz w:val="20"/>
                <w:szCs w:val="20"/>
                <w:u w:val="none"/>
                <w:lang w:val="en-US" w:eastAsia="zh-CN" w:bidi="ar"/>
              </w:rPr>
              <w:t>年</w:t>
            </w:r>
            <w:r>
              <w:rPr>
                <w:rFonts w:ascii="Arial" w:hAnsi="Arial" w:eastAsia="宋体" w:cs="Arial"/>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25" w:type="dxa"/>
            <w:vMerge w:val="continue"/>
            <w:tcBorders>
              <w:left w:val="single" w:color="000000" w:sz="4" w:space="0"/>
              <w:right w:val="single" w:color="000000" w:sz="4" w:space="0"/>
            </w:tcBorders>
            <w:shd w:val="clear" w:color="auto" w:fill="auto"/>
            <w:vAlign w:val="center"/>
          </w:tcPr>
          <w:p>
            <w:pPr>
              <w:rPr>
                <w:rFonts w:hint="eastAsia"/>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25" w:type="dxa"/>
            <w:vMerge w:val="continue"/>
            <w:tcBorders>
              <w:left w:val="single" w:color="000000" w:sz="4" w:space="0"/>
              <w:right w:val="single" w:color="000000" w:sz="4" w:space="0"/>
            </w:tcBorders>
            <w:shd w:val="clear" w:color="auto" w:fill="auto"/>
            <w:vAlign w:val="center"/>
          </w:tcPr>
          <w:p>
            <w:pPr>
              <w:rPr>
                <w:rFonts w:hint="eastAsia"/>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w:t>
            </w:r>
          </w:p>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25" w:type="dxa"/>
            <w:vMerge w:val="continue"/>
            <w:tcBorders>
              <w:left w:val="single" w:color="000000" w:sz="4" w:space="0"/>
              <w:right w:val="single" w:color="000000" w:sz="4" w:space="0"/>
            </w:tcBorders>
            <w:shd w:val="clear" w:color="auto" w:fill="auto"/>
            <w:vAlign w:val="center"/>
          </w:tcPr>
          <w:p>
            <w:pPr>
              <w:rPr>
                <w:rFonts w:hint="eastAsia"/>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提高我校对外宣传及社会影响力</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25" w:type="dxa"/>
            <w:vMerge w:val="continue"/>
            <w:tcBorders>
              <w:left w:val="single" w:color="000000" w:sz="4" w:space="0"/>
              <w:right w:val="single" w:color="000000" w:sz="4" w:space="0"/>
            </w:tcBorders>
            <w:shd w:val="clear" w:color="auto" w:fill="auto"/>
            <w:vAlign w:val="center"/>
          </w:tcPr>
          <w:p>
            <w:pPr>
              <w:rPr>
                <w:rFonts w:hint="eastAsia"/>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展现我校良好精神风貌</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25" w:type="dxa"/>
            <w:vMerge w:val="continue"/>
            <w:tcBorders>
              <w:left w:val="single" w:color="000000" w:sz="4" w:space="0"/>
              <w:right w:val="single" w:color="000000" w:sz="4" w:space="0"/>
            </w:tcBorders>
            <w:shd w:val="clear" w:color="auto" w:fill="auto"/>
            <w:vAlign w:val="center"/>
          </w:tcPr>
          <w:p>
            <w:pPr>
              <w:rPr>
                <w:rFonts w:hint="eastAsia"/>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25" w:type="dxa"/>
            <w:vMerge w:val="continue"/>
            <w:tcBorders>
              <w:left w:val="single" w:color="000000" w:sz="4" w:space="0"/>
              <w:right w:val="single" w:color="000000" w:sz="4" w:space="0"/>
            </w:tcBorders>
            <w:shd w:val="clear" w:color="auto" w:fill="auto"/>
            <w:vAlign w:val="center"/>
          </w:tcPr>
          <w:p>
            <w:pPr>
              <w:rPr>
                <w:rFonts w:hint="eastAsia"/>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25"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w:t>
            </w:r>
          </w:p>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意</w:t>
            </w:r>
          </w:p>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度</w:t>
            </w:r>
          </w:p>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师生满意度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w:t>
            </w:r>
          </w:p>
        </w:tc>
      </w:tr>
    </w:tbl>
    <w:p>
      <w:pPr>
        <w:widowControl w:val="0"/>
        <w:spacing w:line="580" w:lineRule="exact"/>
        <w:jc w:val="both"/>
        <w:rPr>
          <w:rFonts w:hint="eastAsia" w:eastAsia="仿宋_GB2312"/>
          <w:bCs/>
          <w:snapToGrid w:val="0"/>
          <w:kern w:val="0"/>
          <w:sz w:val="32"/>
          <w:szCs w:val="32"/>
          <w:lang w:val="en-US" w:eastAsia="zh-CN"/>
        </w:rPr>
      </w:pPr>
      <w:r>
        <w:rPr>
          <w:rFonts w:hint="eastAsia" w:eastAsia="仿宋_GB2312"/>
          <w:bCs/>
          <w:snapToGrid w:val="0"/>
          <w:kern w:val="0"/>
          <w:sz w:val="32"/>
          <w:szCs w:val="32"/>
          <w:lang w:val="en-US" w:eastAsia="zh-CN"/>
        </w:rPr>
        <w:t xml:space="preserve">    5.</w:t>
      </w:r>
      <w:r>
        <w:rPr>
          <w:rFonts w:eastAsia="仿宋_GB2312"/>
          <w:bCs/>
          <w:snapToGrid w:val="0"/>
          <w:kern w:val="0"/>
          <w:sz w:val="32"/>
          <w:szCs w:val="32"/>
        </w:rPr>
        <w:t>“</w:t>
      </w:r>
      <w:r>
        <w:rPr>
          <w:rFonts w:hint="eastAsia" w:eastAsia="仿宋_GB2312"/>
          <w:bCs/>
          <w:snapToGrid w:val="0"/>
          <w:kern w:val="0"/>
          <w:sz w:val="32"/>
          <w:szCs w:val="32"/>
          <w:lang w:eastAsia="zh-CN"/>
        </w:rPr>
        <w:t>外宣及其系列纪念活动</w:t>
      </w:r>
      <w:r>
        <w:rPr>
          <w:rFonts w:eastAsia="仿宋_GB2312"/>
          <w:bCs/>
          <w:snapToGrid w:val="0"/>
          <w:kern w:val="0"/>
          <w:sz w:val="32"/>
          <w:szCs w:val="32"/>
        </w:rPr>
        <w:t>”绩效目标完成情况综述。该项目全年预算数</w:t>
      </w:r>
      <w:r>
        <w:rPr>
          <w:rFonts w:hint="eastAsia" w:eastAsia="仿宋_GB2312"/>
          <w:bCs/>
          <w:snapToGrid w:val="0"/>
          <w:kern w:val="0"/>
          <w:sz w:val="32"/>
          <w:szCs w:val="32"/>
          <w:lang w:val="en-US" w:eastAsia="zh-CN"/>
        </w:rPr>
        <w:t>39.64万元，</w:t>
      </w:r>
      <w:r>
        <w:rPr>
          <w:rFonts w:eastAsia="仿宋_GB2312"/>
          <w:b w:val="0"/>
          <w:bCs/>
          <w:snapToGrid w:val="0"/>
          <w:kern w:val="0"/>
          <w:sz w:val="32"/>
          <w:szCs w:val="32"/>
          <w:highlight w:val="none"/>
        </w:rPr>
        <w:t>执行数为</w:t>
      </w:r>
      <w:r>
        <w:rPr>
          <w:rFonts w:hint="eastAsia" w:eastAsia="仿宋_GB2312"/>
          <w:b w:val="0"/>
          <w:bCs/>
          <w:snapToGrid w:val="0"/>
          <w:kern w:val="0"/>
          <w:sz w:val="32"/>
          <w:szCs w:val="32"/>
          <w:highlight w:val="none"/>
          <w:lang w:val="en-US" w:eastAsia="zh-CN"/>
        </w:rPr>
        <w:t>39.64</w:t>
      </w:r>
      <w:r>
        <w:rPr>
          <w:rFonts w:eastAsia="仿宋_GB2312"/>
          <w:b w:val="0"/>
          <w:bCs/>
          <w:snapToGrid w:val="0"/>
          <w:kern w:val="0"/>
          <w:sz w:val="32"/>
          <w:szCs w:val="32"/>
          <w:highlight w:val="none"/>
        </w:rPr>
        <w:t>万元，完成预算的</w:t>
      </w:r>
      <w:r>
        <w:rPr>
          <w:rFonts w:hint="eastAsia" w:eastAsia="仿宋_GB2312"/>
          <w:b w:val="0"/>
          <w:bCs/>
          <w:snapToGrid w:val="0"/>
          <w:kern w:val="0"/>
          <w:sz w:val="32"/>
          <w:szCs w:val="32"/>
          <w:highlight w:val="none"/>
          <w:lang w:val="en-US" w:eastAsia="zh-CN"/>
        </w:rPr>
        <w:t>100</w:t>
      </w:r>
      <w:r>
        <w:rPr>
          <w:rFonts w:eastAsia="仿宋_GB2312"/>
          <w:b w:val="0"/>
          <w:bCs/>
          <w:snapToGrid w:val="0"/>
          <w:kern w:val="0"/>
          <w:sz w:val="32"/>
          <w:szCs w:val="32"/>
          <w:highlight w:val="none"/>
        </w:rPr>
        <w:t>%</w:t>
      </w:r>
      <w:r>
        <w:rPr>
          <w:rFonts w:hint="eastAsia" w:eastAsia="仿宋_GB2312"/>
          <w:bCs/>
          <w:snapToGrid w:val="0"/>
          <w:kern w:val="0"/>
          <w:sz w:val="32"/>
          <w:szCs w:val="32"/>
          <w:lang w:eastAsia="zh-CN"/>
        </w:rPr>
        <w:t>。</w:t>
      </w:r>
      <w:r>
        <w:rPr>
          <w:rFonts w:hint="eastAsia" w:eastAsia="仿宋_GB2312"/>
          <w:bCs/>
          <w:snapToGrid w:val="0"/>
          <w:kern w:val="0"/>
          <w:sz w:val="32"/>
          <w:szCs w:val="32"/>
          <w:lang w:val="en-US" w:eastAsia="zh-CN"/>
        </w:rPr>
        <w:t>在全国两会期间推出省情介绍外宣片、外宣书、外宣品等，配合两会主题宣传和系列对外交流活动，克服新冠肺炎疫情不利影响，积极争取多渠道传播，扩大宣传力度，提高宣传效果。</w:t>
      </w:r>
    </w:p>
    <w:tbl>
      <w:tblPr>
        <w:tblStyle w:val="12"/>
        <w:tblW w:w="9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5"/>
        <w:gridCol w:w="1290"/>
        <w:gridCol w:w="1110"/>
        <w:gridCol w:w="540"/>
        <w:gridCol w:w="1500"/>
        <w:gridCol w:w="2205"/>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405"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eastAsia="宋体" w:cs="宋体"/>
                <w:b/>
                <w:bCs/>
                <w:i w:val="0"/>
                <w:iCs w:val="0"/>
                <w:color w:val="000000"/>
                <w:sz w:val="32"/>
                <w:szCs w:val="32"/>
                <w:u w:val="none"/>
              </w:rPr>
            </w:pPr>
            <w:r>
              <w:rPr>
                <w:rFonts w:hint="eastAsia" w:ascii="宋体" w:eastAsia="宋体" w:cs="宋体"/>
                <w:b/>
                <w:bCs/>
                <w:i w:val="0"/>
                <w:iCs w:val="0"/>
                <w:color w:val="000000"/>
                <w:kern w:val="0"/>
                <w:sz w:val="32"/>
                <w:szCs w:val="32"/>
                <w:u w:val="none"/>
                <w:lang w:val="en-US" w:eastAsia="zh-CN"/>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05"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       2020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9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外宣及其系列纪念活动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中共四川省委宣传部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中国共产党四川省委员会宣传部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4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项目预算</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执行情况</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预算数：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39.64</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执行数：</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4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39.64</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4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度</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体</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目</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情</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况</w:t>
            </w:r>
          </w:p>
        </w:tc>
        <w:tc>
          <w:tcPr>
            <w:tcW w:w="44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4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实“1366”外宣工作思路，围绕脱贫攻坚、对外开放等大事要事，拟在全国“两会”、全面建成小康社会、全省开放发展大会等时间节点，主打“天府四川”形象标识，制作推出“1+2”多语种外宣片：1部高清省情介绍片，脱贫攻坚和开放发展等两部主题高清短片。展示四川开放包容、崇德尚实、吃苦耐劳、敢为人先、达观友善、巴适安逸的人文精神，展示四川经济社会发展成就、多彩人文之韵、生态自然之美，塑造四川良好形象。</w:t>
            </w: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在全国两会期间推出省情介绍外宣片、外宣书、外宣品等，配合两会主题宣传和系列对外交流活动，克服新冠肺炎疫情不利影响，积极争取多渠道传播，扩大宣传力度，提高宣传效果。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预期指标值</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w:t>
            </w:r>
          </w:p>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w:t>
            </w:r>
          </w:p>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多语种外宣片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部</w:t>
            </w:r>
            <w:r>
              <w:rPr>
                <w:rFonts w:ascii="Arial" w:hAnsi="Arial" w:eastAsia="宋体" w:cs="Arial"/>
                <w:i w:val="0"/>
                <w:iCs w:val="0"/>
                <w:color w:val="000000"/>
                <w:kern w:val="0"/>
                <w:sz w:val="20"/>
                <w:szCs w:val="20"/>
                <w:u w:val="none"/>
                <w:lang w:val="en-US" w:eastAsia="zh-CN" w:bidi="ar"/>
              </w:rPr>
              <w:t>5-10</w:t>
            </w:r>
            <w:r>
              <w:rPr>
                <w:rFonts w:hint="eastAsia" w:ascii="宋体" w:hAnsi="宋体" w:eastAsia="宋体" w:cs="宋体"/>
                <w:i w:val="0"/>
                <w:iCs w:val="0"/>
                <w:color w:val="000000"/>
                <w:kern w:val="0"/>
                <w:sz w:val="20"/>
                <w:szCs w:val="20"/>
                <w:u w:val="none"/>
                <w:lang w:val="en-US" w:eastAsia="zh-CN" w:bidi="ar"/>
              </w:rPr>
              <w:t>分钟中英文对照基础版本，</w:t>
            </w:r>
            <w:r>
              <w:rPr>
                <w:rFonts w:ascii="Arial" w:hAnsi="Arial" w:eastAsia="宋体" w:cs="Arial"/>
                <w:i w:val="0"/>
                <w:iCs w:val="0"/>
                <w:color w:val="000000"/>
                <w:kern w:val="0"/>
                <w:sz w:val="20"/>
                <w:szCs w:val="20"/>
                <w:u w:val="none"/>
                <w:lang w:val="en-US" w:eastAsia="zh-CN" w:bidi="ar"/>
              </w:rPr>
              <w:t>3-5</w:t>
            </w:r>
            <w:r>
              <w:rPr>
                <w:rFonts w:hint="eastAsia" w:ascii="宋体" w:hAnsi="宋体" w:eastAsia="宋体" w:cs="宋体"/>
                <w:i w:val="0"/>
                <w:iCs w:val="0"/>
                <w:color w:val="000000"/>
                <w:kern w:val="0"/>
                <w:sz w:val="20"/>
                <w:szCs w:val="20"/>
                <w:u w:val="none"/>
                <w:lang w:val="en-US" w:eastAsia="zh-CN" w:bidi="ar"/>
              </w:rPr>
              <w:t>个语种延伸版</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r>
              <w:rPr>
                <w:rFonts w:ascii="Arial" w:hAnsi="Arial" w:eastAsia="宋体" w:cs="Arial"/>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分钟中英文省情介绍外宣片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境外人士四川行采访采风活动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次左右</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受疫情影响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四川特色外宣品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r>
              <w:rPr>
                <w:rFonts w:ascii="Arial" w:hAnsi="Arial" w:eastAsia="宋体" w:cs="Arial"/>
                <w:i w:val="0"/>
                <w:iCs w:val="0"/>
                <w:color w:val="000000"/>
                <w:kern w:val="0"/>
                <w:sz w:val="20"/>
                <w:szCs w:val="20"/>
                <w:u w:val="none"/>
                <w:lang w:val="en-US" w:eastAsia="zh-CN" w:bidi="ar"/>
              </w:rPr>
              <w:t>50-400</w:t>
            </w:r>
            <w:r>
              <w:rPr>
                <w:rFonts w:hint="eastAsia" w:ascii="宋体" w:hAnsi="宋体" w:eastAsia="宋体" w:cs="宋体"/>
                <w:i w:val="0"/>
                <w:iCs w:val="0"/>
                <w:color w:val="000000"/>
                <w:kern w:val="0"/>
                <w:sz w:val="20"/>
                <w:szCs w:val="20"/>
                <w:u w:val="none"/>
                <w:lang w:val="en-US" w:eastAsia="zh-CN" w:bidi="ar"/>
              </w:rPr>
              <w:t>元的外宣品一批</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制作一批笔记本、徽章等，用于境外人士来川采访、对外交流系列活动。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全国两会主题外宣</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在全国两会期间开展主题外宣</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已完成，两会期间同步推出外宣画册、省情介绍外宣片；协调香港商报等媒体报道我省情况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外宣画册</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版中英文对照基础画册，印数</w:t>
            </w:r>
            <w:r>
              <w:rPr>
                <w:rFonts w:ascii="Arial" w:hAnsi="Arial" w:eastAsia="宋体" w:cs="Arial"/>
                <w:i w:val="0"/>
                <w:iCs w:val="0"/>
                <w:color w:val="000000"/>
                <w:kern w:val="0"/>
                <w:sz w:val="20"/>
                <w:szCs w:val="20"/>
                <w:u w:val="none"/>
                <w:lang w:val="en-US" w:eastAsia="zh-CN" w:bidi="ar"/>
              </w:rPr>
              <w:t>2000</w:t>
            </w:r>
            <w:r>
              <w:rPr>
                <w:rFonts w:hint="eastAsia" w:ascii="宋体" w:hAnsi="宋体" w:eastAsia="宋体" w:cs="宋体"/>
                <w:i w:val="0"/>
                <w:iCs w:val="0"/>
                <w:color w:val="000000"/>
                <w:kern w:val="0"/>
                <w:sz w:val="20"/>
                <w:szCs w:val="20"/>
                <w:u w:val="none"/>
                <w:lang w:val="en-US" w:eastAsia="zh-CN" w:bidi="ar"/>
              </w:rPr>
              <w:t>册左右，</w:t>
            </w:r>
            <w:r>
              <w:rPr>
                <w:rFonts w:ascii="Arial" w:hAnsi="Arial" w:eastAsia="宋体" w:cs="Arial"/>
                <w:i w:val="0"/>
                <w:iCs w:val="0"/>
                <w:color w:val="000000"/>
                <w:kern w:val="0"/>
                <w:sz w:val="20"/>
                <w:szCs w:val="20"/>
                <w:u w:val="none"/>
                <w:lang w:val="en-US" w:eastAsia="zh-CN" w:bidi="ar"/>
              </w:rPr>
              <w:t>2-3</w:t>
            </w:r>
            <w:r>
              <w:rPr>
                <w:rFonts w:hint="eastAsia" w:ascii="宋体" w:hAnsi="宋体" w:eastAsia="宋体" w:cs="宋体"/>
                <w:i w:val="0"/>
                <w:iCs w:val="0"/>
                <w:color w:val="000000"/>
                <w:kern w:val="0"/>
                <w:sz w:val="20"/>
                <w:szCs w:val="20"/>
                <w:u w:val="none"/>
                <w:lang w:val="en-US" w:eastAsia="zh-CN" w:bidi="ar"/>
              </w:rPr>
              <w:t>个语种延伸版，印数</w:t>
            </w:r>
            <w:r>
              <w:rPr>
                <w:rFonts w:ascii="Arial" w:hAnsi="Arial" w:eastAsia="宋体" w:cs="Arial"/>
                <w:i w:val="0"/>
                <w:iCs w:val="0"/>
                <w:color w:val="000000"/>
                <w:kern w:val="0"/>
                <w:sz w:val="20"/>
                <w:szCs w:val="20"/>
                <w:u w:val="none"/>
                <w:lang w:val="en-US" w:eastAsia="zh-CN" w:bidi="ar"/>
              </w:rPr>
              <w:t>1000</w:t>
            </w:r>
            <w:r>
              <w:rPr>
                <w:rFonts w:hint="eastAsia" w:ascii="宋体" w:hAnsi="宋体" w:eastAsia="宋体" w:cs="宋体"/>
                <w:i w:val="0"/>
                <w:iCs w:val="0"/>
                <w:color w:val="000000"/>
                <w:kern w:val="0"/>
                <w:sz w:val="20"/>
                <w:szCs w:val="20"/>
                <w:u w:val="none"/>
                <w:lang w:val="en-US" w:eastAsia="zh-CN" w:bidi="ar"/>
              </w:rPr>
              <w:t>册左右。</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印制</w:t>
            </w:r>
            <w:r>
              <w:rPr>
                <w:rFonts w:ascii="Arial" w:hAnsi="Arial" w:eastAsia="宋体" w:cs="Arial"/>
                <w:i w:val="0"/>
                <w:iCs w:val="0"/>
                <w:color w:val="000000"/>
                <w:kern w:val="0"/>
                <w:sz w:val="20"/>
                <w:szCs w:val="20"/>
                <w:u w:val="none"/>
                <w:lang w:val="en-US" w:eastAsia="zh-CN" w:bidi="ar"/>
              </w:rPr>
              <w:t>3000</w:t>
            </w:r>
            <w:r>
              <w:rPr>
                <w:rFonts w:hint="eastAsia" w:ascii="宋体" w:hAnsi="宋体" w:eastAsia="宋体" w:cs="宋体"/>
                <w:i w:val="0"/>
                <w:iCs w:val="0"/>
                <w:color w:val="000000"/>
                <w:kern w:val="0"/>
                <w:sz w:val="20"/>
                <w:szCs w:val="20"/>
                <w:u w:val="none"/>
                <w:lang w:val="en-US" w:eastAsia="zh-CN" w:bidi="ar"/>
              </w:rPr>
              <w:t>册《</w:t>
            </w:r>
            <w:r>
              <w:rPr>
                <w:rFonts w:ascii="Arial" w:hAnsi="Arial" w:eastAsia="宋体" w:cs="Arial"/>
                <w:i w:val="0"/>
                <w:iCs w:val="0"/>
                <w:color w:val="000000"/>
                <w:kern w:val="0"/>
                <w:sz w:val="20"/>
                <w:szCs w:val="20"/>
                <w:u w:val="none"/>
                <w:lang w:val="en-US" w:eastAsia="zh-CN" w:bidi="ar"/>
              </w:rPr>
              <w:t>2020</w:t>
            </w:r>
            <w:r>
              <w:rPr>
                <w:rFonts w:hint="eastAsia" w:ascii="宋体" w:hAnsi="宋体" w:eastAsia="宋体" w:cs="宋体"/>
                <w:i w:val="0"/>
                <w:iCs w:val="0"/>
                <w:color w:val="000000"/>
                <w:kern w:val="0"/>
                <w:sz w:val="20"/>
                <w:szCs w:val="20"/>
                <w:u w:val="none"/>
                <w:lang w:val="en-US" w:eastAsia="zh-CN" w:bidi="ar"/>
              </w:rPr>
              <w:t>天府四川》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外宣品质量</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做工精致，有四川特色</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做工精致有特色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高清晰度，事宜多个平台播放</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1920*1080</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MP4</w:t>
            </w:r>
            <w:r>
              <w:rPr>
                <w:rFonts w:hint="eastAsia" w:ascii="宋体" w:hAnsi="宋体" w:eastAsia="宋体" w:cs="宋体"/>
                <w:i w:val="0"/>
                <w:iCs w:val="0"/>
                <w:color w:val="000000"/>
                <w:kern w:val="0"/>
                <w:sz w:val="20"/>
                <w:szCs w:val="20"/>
                <w:u w:val="none"/>
                <w:lang w:val="en-US" w:eastAsia="zh-CN" w:bidi="ar"/>
              </w:rPr>
              <w:t>版本，已用于境内外多个平台播放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宣传画册</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印刷清晰，纸张精美，文字精确</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印刷清晰，纸张精美，文字精确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44166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外宣品成本</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不超出外事赠礼有关规定</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符合外事规定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w:t>
            </w:r>
          </w:p>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四川形象宣传</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四川知名度和美誉度进一步提升，良好四川形象进一步彰显</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作品质量较高，传播广泛，获得中宣部文件表扬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制作符合环保要求</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符合环保要求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25"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w:t>
            </w:r>
          </w:p>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意</w:t>
            </w:r>
          </w:p>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度</w:t>
            </w:r>
          </w:p>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中宣部及省委省政府满意度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r>
    </w:tbl>
    <w:p>
      <w:pPr>
        <w:widowControl w:val="0"/>
        <w:spacing w:line="580" w:lineRule="exact"/>
        <w:jc w:val="both"/>
        <w:rPr>
          <w:rFonts w:eastAsia="仿宋_GB2312"/>
          <w:bCs/>
          <w:snapToGrid w:val="0"/>
          <w:kern w:val="0"/>
          <w:sz w:val="32"/>
          <w:szCs w:val="32"/>
        </w:rPr>
      </w:pPr>
    </w:p>
    <w:p>
      <w:pPr>
        <w:pStyle w:val="2"/>
        <w:rPr>
          <w:rFonts w:eastAsia="仿宋_GB2312"/>
          <w:bCs/>
          <w:snapToGrid w:val="0"/>
          <w:kern w:val="0"/>
          <w:sz w:val="32"/>
          <w:szCs w:val="32"/>
        </w:rPr>
      </w:pPr>
    </w:p>
    <w:p>
      <w:pPr>
        <w:pStyle w:val="2"/>
        <w:rPr>
          <w:rFonts w:eastAsia="仿宋_GB2312"/>
          <w:bCs/>
          <w:snapToGrid w:val="0"/>
          <w:kern w:val="0"/>
          <w:sz w:val="32"/>
          <w:szCs w:val="32"/>
        </w:rPr>
      </w:pPr>
    </w:p>
    <w:p>
      <w:pPr>
        <w:pStyle w:val="2"/>
        <w:rPr>
          <w:rFonts w:eastAsia="仿宋_GB2312"/>
          <w:bCs/>
          <w:snapToGrid w:val="0"/>
          <w:kern w:val="0"/>
          <w:sz w:val="32"/>
          <w:szCs w:val="32"/>
        </w:rPr>
      </w:pPr>
    </w:p>
    <w:p>
      <w:pPr>
        <w:pStyle w:val="2"/>
        <w:rPr>
          <w:rFonts w:eastAsia="仿宋_GB2312"/>
          <w:bCs/>
          <w:snapToGrid w:val="0"/>
          <w:kern w:val="0"/>
          <w:sz w:val="32"/>
          <w:szCs w:val="32"/>
        </w:rPr>
      </w:pPr>
    </w:p>
    <w:p>
      <w:pPr>
        <w:spacing w:line="580" w:lineRule="exact"/>
        <w:ind w:left="630"/>
        <w:rPr>
          <w:rFonts w:ascii="仿宋_GB2312" w:eastAsia="仿宋_GB2312" w:cs="仿宋_GB2312"/>
          <w:sz w:val="32"/>
          <w:szCs w:val="32"/>
        </w:rPr>
      </w:pPr>
      <w:r>
        <w:rPr>
          <w:rFonts w:hint="eastAsia" w:ascii="楷体_GB2312" w:eastAsia="楷体_GB2312" w:cs="楷体_GB2312"/>
          <w:sz w:val="32"/>
          <w:szCs w:val="32"/>
          <w:lang w:eastAsia="zh-CN"/>
        </w:rPr>
        <w:t>（</w:t>
      </w:r>
      <w:r>
        <w:rPr>
          <w:rFonts w:hint="eastAsia" w:ascii="楷体_GB2312" w:eastAsia="楷体_GB2312" w:cs="楷体_GB2312"/>
          <w:sz w:val="32"/>
          <w:szCs w:val="32"/>
          <w:lang w:val="en-US" w:eastAsia="zh-CN"/>
        </w:rPr>
        <w:t>2</w:t>
      </w:r>
      <w:r>
        <w:rPr>
          <w:rFonts w:hint="eastAsia" w:ascii="楷体_GB2312" w:eastAsia="楷体_GB2312" w:cs="楷体_GB2312"/>
          <w:sz w:val="32"/>
          <w:szCs w:val="32"/>
          <w:lang w:eastAsia="zh-CN"/>
        </w:rPr>
        <w:t>）</w:t>
      </w:r>
      <w:r>
        <w:rPr>
          <w:rFonts w:hint="eastAsia" w:ascii="楷体_GB2312" w:eastAsia="楷体_GB2312" w:cs="楷体_GB2312"/>
          <w:sz w:val="32"/>
          <w:szCs w:val="32"/>
        </w:rPr>
        <w:t>部门绩效评价结果。</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本部门按要求对20</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年部门整体支出绩效评价情况开展自评，《</w:t>
      </w:r>
      <w:r>
        <w:rPr>
          <w:rFonts w:hint="eastAsia" w:ascii="仿宋_GB2312" w:eastAsia="仿宋_GB2312" w:cs="仿宋_GB2312"/>
          <w:sz w:val="32"/>
          <w:szCs w:val="32"/>
          <w:lang w:eastAsia="zh-CN"/>
        </w:rPr>
        <w:t>宣传部</w:t>
      </w:r>
      <w:r>
        <w:rPr>
          <w:rFonts w:hint="eastAsia" w:ascii="仿宋_GB2312" w:eastAsia="仿宋_GB2312" w:cs="仿宋_GB2312"/>
          <w:sz w:val="32"/>
          <w:szCs w:val="32"/>
        </w:rPr>
        <w:t>部门20</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年部门整体支出绩效评价报告》见附件</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w:t>
      </w:r>
    </w:p>
    <w:p>
      <w:pPr>
        <w:widowControl/>
        <w:ind w:firstLine="161" w:firstLineChars="50"/>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left="0" w:firstLine="660" w:firstLineChars="150"/>
        <w:jc w:val="center"/>
        <w:outlineLvl w:val="0"/>
        <w:rPr>
          <w:rStyle w:val="16"/>
          <w:rFonts w:ascii="黑体" w:eastAsia="黑体"/>
          <w:b w:val="0"/>
        </w:rPr>
      </w:pPr>
      <w:bookmarkStart w:id="53" w:name="_Toc15396613"/>
      <w:bookmarkStart w:id="54" w:name="_Toc15377225"/>
      <w:r>
        <w:rPr>
          <w:rFonts w:hint="eastAsia" w:ascii="黑体" w:eastAsia="黑体"/>
          <w:color w:val="000000"/>
          <w:sz w:val="44"/>
          <w:szCs w:val="44"/>
        </w:rPr>
        <w:t>名</w:t>
      </w:r>
      <w:r>
        <w:rPr>
          <w:rStyle w:val="16"/>
          <w:rFonts w:hint="eastAsia" w:ascii="黑体" w:eastAsia="黑体"/>
          <w:b w:val="0"/>
        </w:rPr>
        <w:t>词解释</w:t>
      </w:r>
      <w:bookmarkEnd w:id="53"/>
      <w:bookmarkEnd w:id="54"/>
    </w:p>
    <w:p>
      <w:pPr>
        <w:spacing w:line="600" w:lineRule="exact"/>
        <w:jc w:val="left"/>
        <w:rPr>
          <w:rFonts w:ascii="宋体"/>
          <w:b/>
          <w:color w:val="000000"/>
          <w:sz w:val="44"/>
          <w:szCs w:val="44"/>
        </w:rPr>
      </w:pPr>
    </w:p>
    <w:p>
      <w:pPr>
        <w:pStyle w:val="21"/>
        <w:spacing w:line="560" w:lineRule="exact"/>
        <w:ind w:firstLine="640" w:firstLineChars="200"/>
        <w:rPr>
          <w:rFonts w:hint="eastAsia" w:ascii="仿宋_GB2312" w:eastAsia="仿宋_GB2312"/>
          <w:sz w:val="32"/>
          <w:szCs w:val="32"/>
        </w:rPr>
      </w:pPr>
      <w:r>
        <w:rPr>
          <w:rFonts w:ascii="Times New Roman" w:hAnsi="Times New Roman" w:eastAsia="楷体_GB2312" w:cs="Times New Roman"/>
          <w:b w:val="0"/>
          <w:bCs/>
          <w:snapToGrid w:val="0"/>
          <w:color w:val="000000"/>
          <w:kern w:val="0"/>
          <w:sz w:val="32"/>
          <w:szCs w:val="32"/>
          <w:lang w:val="en-US" w:eastAsia="zh-CN" w:bidi="ar-SA"/>
        </w:rPr>
        <w:t>1.</w:t>
      </w:r>
      <w:r>
        <w:rPr>
          <w:rFonts w:hint="eastAsia" w:ascii="Times New Roman" w:hAnsi="Times New Roman" w:eastAsia="楷体_GB2312" w:cs="Times New Roman"/>
          <w:b w:val="0"/>
          <w:bCs/>
          <w:snapToGrid w:val="0"/>
          <w:color w:val="000000"/>
          <w:kern w:val="0"/>
          <w:sz w:val="32"/>
          <w:szCs w:val="32"/>
          <w:lang w:val="en-US" w:eastAsia="zh-CN" w:bidi="ar-SA"/>
        </w:rPr>
        <w:t>财政拨款收入：</w:t>
      </w:r>
      <w:r>
        <w:rPr>
          <w:rFonts w:hint="eastAsia" w:ascii="仿宋_GB2312" w:eastAsia="仿宋_GB2312"/>
          <w:sz w:val="32"/>
          <w:szCs w:val="32"/>
        </w:rPr>
        <w:t>指单位从同级财政部门取得的财政预算资金。</w:t>
      </w:r>
    </w:p>
    <w:p>
      <w:pPr>
        <w:pStyle w:val="21"/>
        <w:spacing w:line="560" w:lineRule="exact"/>
        <w:ind w:firstLine="640" w:firstLineChars="200"/>
        <w:rPr>
          <w:rFonts w:hint="eastAsia" w:ascii="仿宋_GB2312" w:eastAsia="仿宋_GB2312"/>
          <w:sz w:val="32"/>
          <w:szCs w:val="32"/>
        </w:rPr>
      </w:pPr>
      <w:r>
        <w:rPr>
          <w:rFonts w:ascii="Times New Roman" w:hAnsi="Times New Roman" w:eastAsia="楷体_GB2312" w:cs="Times New Roman"/>
          <w:b w:val="0"/>
          <w:bCs/>
          <w:snapToGrid w:val="0"/>
          <w:color w:val="000000"/>
          <w:kern w:val="0"/>
          <w:sz w:val="32"/>
          <w:szCs w:val="32"/>
          <w:lang w:val="en-US" w:eastAsia="zh-CN" w:bidi="ar-SA"/>
        </w:rPr>
        <w:t>2.</w:t>
      </w:r>
      <w:r>
        <w:rPr>
          <w:rFonts w:hint="eastAsia" w:ascii="Times New Roman" w:hAnsi="Times New Roman" w:eastAsia="楷体_GB2312" w:cs="Times New Roman"/>
          <w:b w:val="0"/>
          <w:bCs/>
          <w:snapToGrid w:val="0"/>
          <w:color w:val="000000"/>
          <w:kern w:val="0"/>
          <w:sz w:val="32"/>
          <w:szCs w:val="32"/>
          <w:lang w:val="en-US" w:eastAsia="zh-CN" w:bidi="ar-SA"/>
        </w:rPr>
        <w:t>事业收入：</w:t>
      </w:r>
      <w:r>
        <w:rPr>
          <w:rFonts w:hint="eastAsia" w:ascii="仿宋_GB2312" w:eastAsia="仿宋_GB2312"/>
          <w:sz w:val="32"/>
          <w:szCs w:val="32"/>
        </w:rPr>
        <w:t>指事业单位开展专业业务活动及辅助活动取得的收入。</w:t>
      </w:r>
    </w:p>
    <w:p>
      <w:pPr>
        <w:pStyle w:val="21"/>
        <w:spacing w:line="560" w:lineRule="exact"/>
        <w:ind w:firstLine="640" w:firstLineChars="200"/>
        <w:rPr>
          <w:rFonts w:hint="eastAsia" w:ascii="仿宋_GB2312" w:eastAsia="仿宋_GB2312"/>
          <w:sz w:val="32"/>
          <w:szCs w:val="32"/>
        </w:rPr>
      </w:pPr>
      <w:r>
        <w:rPr>
          <w:rFonts w:ascii="Times New Roman" w:hAnsi="Times New Roman" w:eastAsia="楷体_GB2312" w:cs="Times New Roman"/>
          <w:b w:val="0"/>
          <w:bCs/>
          <w:snapToGrid w:val="0"/>
          <w:color w:val="000000"/>
          <w:kern w:val="0"/>
          <w:sz w:val="32"/>
          <w:szCs w:val="32"/>
          <w:lang w:val="en-US" w:eastAsia="zh-CN" w:bidi="ar-SA"/>
        </w:rPr>
        <w:t>3.</w:t>
      </w:r>
      <w:r>
        <w:rPr>
          <w:rFonts w:hint="eastAsia" w:ascii="Times New Roman" w:hAnsi="Times New Roman" w:eastAsia="楷体_GB2312" w:cs="Times New Roman"/>
          <w:b w:val="0"/>
          <w:bCs/>
          <w:snapToGrid w:val="0"/>
          <w:color w:val="000000"/>
          <w:kern w:val="0"/>
          <w:sz w:val="32"/>
          <w:szCs w:val="32"/>
          <w:lang w:val="en-US" w:eastAsia="zh-CN" w:bidi="ar-SA"/>
        </w:rPr>
        <w:t>经营收入：</w:t>
      </w:r>
      <w:r>
        <w:rPr>
          <w:rFonts w:hint="eastAsia" w:ascii="仿宋_GB2312" w:eastAsia="仿宋_GB2312"/>
          <w:sz w:val="32"/>
          <w:szCs w:val="32"/>
        </w:rPr>
        <w:t>指事业单位在专业业务活动及其辅助活动之外开展非独立核算经营活动取得的收入。</w:t>
      </w:r>
    </w:p>
    <w:p>
      <w:pPr>
        <w:pStyle w:val="21"/>
        <w:spacing w:line="560" w:lineRule="exact"/>
        <w:ind w:firstLine="640" w:firstLineChars="200"/>
        <w:rPr>
          <w:rFonts w:hint="eastAsia" w:ascii="仿宋_GB2312" w:eastAsia="仿宋_GB2312"/>
          <w:sz w:val="32"/>
          <w:szCs w:val="32"/>
          <w:lang w:eastAsia="zh-CN"/>
        </w:rPr>
      </w:pPr>
      <w:r>
        <w:rPr>
          <w:rFonts w:ascii="Times New Roman" w:hAnsi="Times New Roman" w:eastAsia="楷体_GB2312" w:cs="Times New Roman"/>
          <w:b w:val="0"/>
          <w:bCs/>
          <w:snapToGrid w:val="0"/>
          <w:color w:val="000000"/>
          <w:kern w:val="0"/>
          <w:sz w:val="32"/>
          <w:szCs w:val="32"/>
          <w:lang w:val="en-US" w:eastAsia="zh-CN" w:bidi="ar-SA"/>
        </w:rPr>
        <w:t>4.</w:t>
      </w:r>
      <w:r>
        <w:rPr>
          <w:rFonts w:hint="eastAsia" w:ascii="Times New Roman" w:hAnsi="Times New Roman" w:eastAsia="楷体_GB2312" w:cs="Times New Roman"/>
          <w:b w:val="0"/>
          <w:bCs/>
          <w:snapToGrid w:val="0"/>
          <w:color w:val="000000"/>
          <w:kern w:val="0"/>
          <w:sz w:val="32"/>
          <w:szCs w:val="32"/>
          <w:lang w:val="en-US" w:eastAsia="zh-CN" w:bidi="ar-SA"/>
        </w:rPr>
        <w:t>其他收入：</w:t>
      </w:r>
      <w:r>
        <w:rPr>
          <w:rFonts w:hint="eastAsia" w:ascii="仿宋_GB2312" w:eastAsia="仿宋_GB2312"/>
          <w:sz w:val="32"/>
          <w:szCs w:val="32"/>
        </w:rPr>
        <w:t>指单位取得的除上述收入以外的各项收入。</w:t>
      </w:r>
    </w:p>
    <w:p>
      <w:pPr>
        <w:pStyle w:val="21"/>
        <w:spacing w:line="560" w:lineRule="exact"/>
        <w:ind w:firstLine="640" w:firstLineChars="200"/>
        <w:rPr>
          <w:rFonts w:hint="eastAsia" w:ascii="仿宋_GB2312" w:eastAsia="仿宋_GB2312"/>
          <w:sz w:val="32"/>
          <w:szCs w:val="32"/>
        </w:rPr>
      </w:pPr>
      <w:r>
        <w:rPr>
          <w:rFonts w:ascii="Times New Roman" w:hAnsi="Times New Roman" w:eastAsia="楷体_GB2312" w:cs="Times New Roman"/>
          <w:b w:val="0"/>
          <w:bCs/>
          <w:snapToGrid w:val="0"/>
          <w:color w:val="000000"/>
          <w:kern w:val="0"/>
          <w:sz w:val="32"/>
          <w:szCs w:val="32"/>
          <w:lang w:val="en-US" w:eastAsia="zh-CN" w:bidi="ar-SA"/>
        </w:rPr>
        <w:t>5.</w:t>
      </w:r>
      <w:r>
        <w:rPr>
          <w:rFonts w:hint="eastAsia" w:ascii="Times New Roman" w:hAnsi="Times New Roman" w:eastAsia="楷体_GB2312" w:cs="Times New Roman"/>
          <w:b w:val="0"/>
          <w:bCs/>
          <w:snapToGrid w:val="0"/>
          <w:color w:val="000000"/>
          <w:kern w:val="0"/>
          <w:sz w:val="32"/>
          <w:szCs w:val="32"/>
          <w:lang w:val="en-US" w:eastAsia="zh-CN" w:bidi="ar-SA"/>
        </w:rPr>
        <w:t>用事业基金弥补收支差额</w:t>
      </w:r>
      <w:r>
        <w:rPr>
          <w:rFonts w:hint="eastAsia" w:ascii="仿宋_GB2312" w:eastAsia="仿宋_GB2312"/>
          <w:sz w:val="32"/>
          <w:szCs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1"/>
        <w:spacing w:line="560" w:lineRule="exact"/>
        <w:ind w:firstLine="640" w:firstLineChars="200"/>
        <w:rPr>
          <w:rFonts w:hint="eastAsia" w:ascii="仿宋_GB2312" w:eastAsia="仿宋_GB2312"/>
          <w:sz w:val="32"/>
          <w:szCs w:val="32"/>
        </w:rPr>
      </w:pPr>
      <w:r>
        <w:rPr>
          <w:rFonts w:ascii="Times New Roman" w:hAnsi="Times New Roman" w:eastAsia="楷体_GB2312" w:cs="Times New Roman"/>
          <w:b w:val="0"/>
          <w:bCs/>
          <w:snapToGrid w:val="0"/>
          <w:color w:val="000000"/>
          <w:kern w:val="0"/>
          <w:sz w:val="32"/>
          <w:szCs w:val="32"/>
          <w:lang w:val="en-US" w:eastAsia="zh-CN" w:bidi="ar-SA"/>
        </w:rPr>
        <w:t>6.</w:t>
      </w:r>
      <w:r>
        <w:rPr>
          <w:rFonts w:hint="eastAsia" w:ascii="Times New Roman" w:hAnsi="Times New Roman" w:eastAsia="楷体_GB2312" w:cs="Times New Roman"/>
          <w:b w:val="0"/>
          <w:bCs/>
          <w:snapToGrid w:val="0"/>
          <w:color w:val="000000"/>
          <w:kern w:val="0"/>
          <w:sz w:val="32"/>
          <w:szCs w:val="32"/>
          <w:lang w:val="en-US" w:eastAsia="zh-CN" w:bidi="ar-SA"/>
        </w:rPr>
        <w:t>年初结转和结余：</w:t>
      </w:r>
      <w:r>
        <w:rPr>
          <w:rFonts w:hint="eastAsia" w:ascii="仿宋_GB2312" w:eastAsia="仿宋_GB2312"/>
          <w:sz w:val="32"/>
          <w:szCs w:val="32"/>
        </w:rPr>
        <w:t xml:space="preserve">指以前年度尚未完成、结转到本年按有关规定继续使用的资金。 </w:t>
      </w:r>
    </w:p>
    <w:p>
      <w:pPr>
        <w:pStyle w:val="21"/>
        <w:spacing w:line="560" w:lineRule="exact"/>
        <w:ind w:firstLine="640" w:firstLineChars="200"/>
        <w:rPr>
          <w:rFonts w:ascii="仿宋_GB2312" w:eastAsia="仿宋_GB2312"/>
          <w:sz w:val="32"/>
          <w:szCs w:val="32"/>
        </w:rPr>
      </w:pPr>
      <w:r>
        <w:rPr>
          <w:rFonts w:ascii="Times New Roman" w:hAnsi="Times New Roman" w:eastAsia="楷体_GB2312" w:cs="Times New Roman"/>
          <w:b w:val="0"/>
          <w:bCs/>
          <w:snapToGrid w:val="0"/>
          <w:color w:val="000000"/>
          <w:kern w:val="0"/>
          <w:sz w:val="32"/>
          <w:szCs w:val="32"/>
          <w:lang w:val="en-US" w:eastAsia="zh-CN" w:bidi="ar-SA"/>
        </w:rPr>
        <w:t>7.</w:t>
      </w:r>
      <w:r>
        <w:rPr>
          <w:rFonts w:hint="eastAsia" w:ascii="Times New Roman" w:hAnsi="Times New Roman" w:eastAsia="楷体_GB2312" w:cs="Times New Roman"/>
          <w:b w:val="0"/>
          <w:bCs/>
          <w:snapToGrid w:val="0"/>
          <w:color w:val="000000"/>
          <w:kern w:val="0"/>
          <w:sz w:val="32"/>
          <w:szCs w:val="32"/>
          <w:lang w:val="en-US" w:eastAsia="zh-CN" w:bidi="ar-SA"/>
        </w:rPr>
        <w:t>结余分配：</w:t>
      </w:r>
      <w:r>
        <w:rPr>
          <w:rFonts w:hint="eastAsia" w:ascii="仿宋_GB2312" w:eastAsia="仿宋_GB2312"/>
          <w:sz w:val="32"/>
          <w:szCs w:val="32"/>
        </w:rPr>
        <w:t>指事业单位按照事业单位会计制度的规定从非财政补助结余中分配的事业基金和职工福利基金等。</w:t>
      </w:r>
    </w:p>
    <w:p>
      <w:pPr>
        <w:pStyle w:val="21"/>
        <w:spacing w:line="560" w:lineRule="exact"/>
        <w:ind w:firstLine="640" w:firstLineChars="200"/>
        <w:rPr>
          <w:rFonts w:ascii="仿宋_GB2312" w:eastAsia="仿宋_GB2312"/>
          <w:sz w:val="32"/>
          <w:szCs w:val="32"/>
        </w:rPr>
      </w:pPr>
      <w:r>
        <w:rPr>
          <w:rFonts w:ascii="Times New Roman" w:hAnsi="Times New Roman" w:eastAsia="楷体_GB2312" w:cs="Times New Roman"/>
          <w:b w:val="0"/>
          <w:bCs/>
          <w:snapToGrid w:val="0"/>
          <w:color w:val="000000"/>
          <w:kern w:val="0"/>
          <w:sz w:val="32"/>
          <w:szCs w:val="32"/>
          <w:lang w:val="en-US" w:eastAsia="zh-CN" w:bidi="ar-SA"/>
        </w:rPr>
        <w:t>8</w:t>
      </w:r>
      <w:r>
        <w:rPr>
          <w:rFonts w:hint="eastAsia" w:ascii="Times New Roman" w:hAnsi="Times New Roman" w:eastAsia="楷体_GB2312" w:cs="Times New Roman"/>
          <w:b w:val="0"/>
          <w:bCs/>
          <w:snapToGrid w:val="0"/>
          <w:color w:val="000000"/>
          <w:kern w:val="0"/>
          <w:sz w:val="32"/>
          <w:szCs w:val="32"/>
          <w:lang w:val="en-US" w:eastAsia="zh-CN" w:bidi="ar-SA"/>
        </w:rPr>
        <w:t>、年末结转和结余</w:t>
      </w:r>
      <w:r>
        <w:rPr>
          <w:rFonts w:hint="eastAsia" w:ascii="仿宋_GB2312" w:eastAsia="仿宋_GB2312"/>
          <w:sz w:val="32"/>
          <w:szCs w:val="32"/>
        </w:rPr>
        <w:t>：指单位按有关规定结转到下年或以后年度继续使用的资金。</w:t>
      </w:r>
    </w:p>
    <w:p>
      <w:pPr>
        <w:overflowPunct w:val="0"/>
        <w:adjustRightInd w:val="0"/>
        <w:snapToGrid w:val="0"/>
        <w:spacing w:line="600" w:lineRule="exact"/>
        <w:ind w:firstLine="640" w:firstLineChars="200"/>
        <w:rPr>
          <w:rFonts w:eastAsia="仿宋_GB2312"/>
          <w:b w:val="0"/>
          <w:bCs/>
          <w:snapToGrid w:val="0"/>
          <w:color w:val="000000"/>
          <w:kern w:val="0"/>
          <w:sz w:val="32"/>
          <w:szCs w:val="32"/>
        </w:rPr>
      </w:pPr>
      <w:r>
        <w:rPr>
          <w:rFonts w:hint="eastAsia" w:eastAsia="仿宋_GB2312"/>
          <w:b w:val="0"/>
          <w:bCs/>
          <w:snapToGrid w:val="0"/>
          <w:color w:val="000000"/>
          <w:kern w:val="0"/>
          <w:sz w:val="32"/>
          <w:szCs w:val="32"/>
          <w:lang w:val="en-US" w:eastAsia="zh-CN"/>
        </w:rPr>
        <w:t>9</w:t>
      </w:r>
      <w:r>
        <w:rPr>
          <w:rFonts w:eastAsia="仿宋_GB2312"/>
          <w:b w:val="0"/>
          <w:bCs/>
          <w:snapToGrid w:val="0"/>
          <w:color w:val="000000"/>
          <w:kern w:val="0"/>
          <w:sz w:val="32"/>
        </w:rPr>
        <w:t>．</w:t>
      </w:r>
      <w:r>
        <w:rPr>
          <w:rFonts w:eastAsia="楷体_GB2312"/>
          <w:b w:val="0"/>
          <w:bCs/>
          <w:snapToGrid w:val="0"/>
          <w:color w:val="000000"/>
          <w:kern w:val="0"/>
          <w:sz w:val="32"/>
          <w:szCs w:val="32"/>
        </w:rPr>
        <w:t>一般公共服务（类）宣传事务（款）行政运行（项）：</w:t>
      </w:r>
      <w:r>
        <w:rPr>
          <w:rFonts w:eastAsia="仿宋_GB2312"/>
          <w:b w:val="0"/>
          <w:bCs/>
          <w:snapToGrid w:val="0"/>
          <w:color w:val="000000"/>
          <w:kern w:val="0"/>
          <w:sz w:val="32"/>
          <w:szCs w:val="32"/>
        </w:rPr>
        <w:t>指宣传部行政单位和参照公务员法管理的事业单位，用于保障机构正常运行、开展日常工作的基本支出。</w:t>
      </w:r>
    </w:p>
    <w:p>
      <w:pPr>
        <w:overflowPunct w:val="0"/>
        <w:adjustRightInd w:val="0"/>
        <w:snapToGrid w:val="0"/>
        <w:spacing w:line="600" w:lineRule="exact"/>
        <w:ind w:firstLine="640" w:firstLineChars="200"/>
        <w:rPr>
          <w:rStyle w:val="25"/>
          <w:rFonts w:ascii="Times New Roman" w:hAnsi="Times New Roman"/>
          <w:b w:val="0"/>
          <w:bCs/>
          <w:snapToGrid w:val="0"/>
          <w:kern w:val="0"/>
        </w:rPr>
      </w:pPr>
      <w:r>
        <w:rPr>
          <w:rFonts w:hint="eastAsia" w:eastAsia="仿宋_GB2312"/>
          <w:b w:val="0"/>
          <w:bCs/>
          <w:snapToGrid w:val="0"/>
          <w:color w:val="000000"/>
          <w:kern w:val="0"/>
          <w:sz w:val="32"/>
          <w:szCs w:val="32"/>
          <w:lang w:val="en-US" w:eastAsia="zh-CN"/>
        </w:rPr>
        <w:t>10</w:t>
      </w:r>
      <w:r>
        <w:rPr>
          <w:rFonts w:eastAsia="仿宋_GB2312"/>
          <w:b w:val="0"/>
          <w:bCs/>
          <w:snapToGrid w:val="0"/>
          <w:color w:val="000000"/>
          <w:kern w:val="0"/>
          <w:sz w:val="32"/>
        </w:rPr>
        <w:t>．</w:t>
      </w:r>
      <w:r>
        <w:rPr>
          <w:rFonts w:eastAsia="楷体_GB2312"/>
          <w:b w:val="0"/>
          <w:bCs/>
          <w:snapToGrid w:val="0"/>
          <w:color w:val="000000"/>
          <w:kern w:val="0"/>
          <w:sz w:val="32"/>
          <w:szCs w:val="32"/>
        </w:rPr>
        <w:t>一般公共服务（类）宣传事务（款）一般行政管理事务（项）：</w:t>
      </w:r>
      <w:r>
        <w:rPr>
          <w:rStyle w:val="25"/>
          <w:rFonts w:ascii="Times New Roman" w:hAnsi="Times New Roman"/>
          <w:b w:val="0"/>
          <w:bCs/>
          <w:snapToGrid w:val="0"/>
          <w:kern w:val="0"/>
        </w:rPr>
        <w:t>指宣传部行政单位及参照公务员法管理的事业单位未单独设置项级科目的其他项目支出。</w:t>
      </w:r>
    </w:p>
    <w:p>
      <w:pPr>
        <w:overflowPunct w:val="0"/>
        <w:adjustRightInd w:val="0"/>
        <w:snapToGrid w:val="0"/>
        <w:spacing w:line="600" w:lineRule="exact"/>
        <w:ind w:firstLine="640" w:firstLineChars="200"/>
        <w:rPr>
          <w:rFonts w:eastAsia="仿宋_GB2312"/>
          <w:b w:val="0"/>
          <w:bCs/>
          <w:snapToGrid w:val="0"/>
          <w:color w:val="000000"/>
          <w:kern w:val="0"/>
          <w:sz w:val="32"/>
          <w:szCs w:val="32"/>
        </w:rPr>
      </w:pPr>
      <w:r>
        <w:rPr>
          <w:rFonts w:eastAsia="仿宋_GB2312"/>
          <w:b w:val="0"/>
          <w:bCs/>
          <w:snapToGrid w:val="0"/>
          <w:color w:val="000000"/>
          <w:kern w:val="0"/>
          <w:sz w:val="32"/>
          <w:szCs w:val="32"/>
        </w:rPr>
        <w:t>1</w:t>
      </w:r>
      <w:r>
        <w:rPr>
          <w:rFonts w:hint="eastAsia" w:eastAsia="仿宋_GB2312"/>
          <w:b w:val="0"/>
          <w:bCs/>
          <w:snapToGrid w:val="0"/>
          <w:color w:val="000000"/>
          <w:kern w:val="0"/>
          <w:sz w:val="32"/>
          <w:szCs w:val="32"/>
          <w:lang w:val="en-US" w:eastAsia="zh-CN"/>
        </w:rPr>
        <w:t>1</w:t>
      </w:r>
      <w:r>
        <w:rPr>
          <w:rFonts w:eastAsia="仿宋_GB2312"/>
          <w:b w:val="0"/>
          <w:bCs/>
          <w:snapToGrid w:val="0"/>
          <w:color w:val="000000"/>
          <w:kern w:val="0"/>
          <w:sz w:val="32"/>
        </w:rPr>
        <w:t>．</w:t>
      </w:r>
      <w:r>
        <w:rPr>
          <w:rFonts w:eastAsia="楷体_GB2312"/>
          <w:b w:val="0"/>
          <w:bCs/>
          <w:snapToGrid w:val="0"/>
          <w:color w:val="000000"/>
          <w:kern w:val="0"/>
          <w:sz w:val="32"/>
          <w:szCs w:val="32"/>
        </w:rPr>
        <w:t>一般公共服务（类）宣传事务（款）事业运行（项）</w:t>
      </w:r>
      <w:r>
        <w:rPr>
          <w:rFonts w:hint="eastAsia" w:eastAsia="楷体_GB2312"/>
          <w:b w:val="0"/>
          <w:bCs/>
          <w:snapToGrid w:val="0"/>
          <w:color w:val="000000"/>
          <w:kern w:val="0"/>
          <w:sz w:val="32"/>
          <w:szCs w:val="32"/>
        </w:rPr>
        <w:t>：</w:t>
      </w:r>
      <w:r>
        <w:rPr>
          <w:rFonts w:eastAsia="仿宋_GB2312"/>
          <w:b w:val="0"/>
          <w:bCs/>
          <w:snapToGrid w:val="0"/>
          <w:color w:val="000000"/>
          <w:kern w:val="0"/>
          <w:sz w:val="32"/>
          <w:szCs w:val="32"/>
        </w:rPr>
        <w:t>指</w:t>
      </w:r>
      <w:r>
        <w:rPr>
          <w:rStyle w:val="25"/>
          <w:rFonts w:ascii="Times New Roman" w:hAnsi="Times New Roman"/>
          <w:b w:val="0"/>
          <w:bCs/>
          <w:snapToGrid w:val="0"/>
          <w:kern w:val="0"/>
        </w:rPr>
        <w:t>宣传部下属事业单位用于保障机构正常运行、开展日常工作的基本支出。</w:t>
      </w:r>
    </w:p>
    <w:p>
      <w:pPr>
        <w:overflowPunct w:val="0"/>
        <w:adjustRightInd w:val="0"/>
        <w:snapToGrid w:val="0"/>
        <w:spacing w:line="600" w:lineRule="exact"/>
        <w:ind w:firstLine="640" w:firstLineChars="200"/>
        <w:rPr>
          <w:rFonts w:eastAsia="仿宋_GB2312"/>
          <w:b w:val="0"/>
          <w:bCs/>
          <w:snapToGrid w:val="0"/>
          <w:color w:val="000000"/>
          <w:kern w:val="0"/>
          <w:sz w:val="32"/>
          <w:szCs w:val="32"/>
        </w:rPr>
      </w:pPr>
      <w:r>
        <w:rPr>
          <w:rFonts w:eastAsia="仿宋_GB2312"/>
          <w:b w:val="0"/>
          <w:bCs/>
          <w:snapToGrid w:val="0"/>
          <w:color w:val="000000"/>
          <w:kern w:val="0"/>
          <w:sz w:val="32"/>
          <w:szCs w:val="32"/>
        </w:rPr>
        <w:t>1</w:t>
      </w:r>
      <w:r>
        <w:rPr>
          <w:rFonts w:hint="eastAsia" w:eastAsia="仿宋_GB2312"/>
          <w:b w:val="0"/>
          <w:bCs/>
          <w:snapToGrid w:val="0"/>
          <w:color w:val="000000"/>
          <w:kern w:val="0"/>
          <w:sz w:val="32"/>
          <w:szCs w:val="32"/>
          <w:lang w:val="en-US" w:eastAsia="zh-CN"/>
        </w:rPr>
        <w:t>2</w:t>
      </w:r>
      <w:r>
        <w:rPr>
          <w:rFonts w:eastAsia="仿宋_GB2312"/>
          <w:b w:val="0"/>
          <w:bCs/>
          <w:snapToGrid w:val="0"/>
          <w:color w:val="000000"/>
          <w:kern w:val="0"/>
          <w:sz w:val="32"/>
        </w:rPr>
        <w:t>．</w:t>
      </w:r>
      <w:r>
        <w:rPr>
          <w:rFonts w:eastAsia="楷体_GB2312"/>
          <w:b w:val="0"/>
          <w:bCs/>
          <w:snapToGrid w:val="0"/>
          <w:color w:val="000000"/>
          <w:kern w:val="0"/>
          <w:sz w:val="32"/>
          <w:szCs w:val="32"/>
        </w:rPr>
        <w:t>教育支出（类）普通教育（款）高等教育（项）：</w:t>
      </w:r>
      <w:r>
        <w:rPr>
          <w:rFonts w:eastAsia="仿宋_GB2312"/>
          <w:b w:val="0"/>
          <w:bCs/>
          <w:snapToGrid w:val="0"/>
          <w:color w:val="000000"/>
          <w:kern w:val="0"/>
          <w:sz w:val="32"/>
          <w:szCs w:val="32"/>
        </w:rPr>
        <w:t>指宣传部下属单位四川省干部函授学院（四川省文化产业学院）日常工作运转的支出。</w:t>
      </w:r>
    </w:p>
    <w:p>
      <w:pPr>
        <w:overflowPunct w:val="0"/>
        <w:adjustRightInd w:val="0"/>
        <w:snapToGrid w:val="0"/>
        <w:spacing w:line="600" w:lineRule="exact"/>
        <w:ind w:firstLine="640" w:firstLineChars="200"/>
        <w:rPr>
          <w:rFonts w:eastAsia="仿宋_GB2312"/>
          <w:b w:val="0"/>
          <w:bCs/>
          <w:snapToGrid w:val="0"/>
          <w:color w:val="000000"/>
          <w:kern w:val="0"/>
          <w:sz w:val="32"/>
          <w:szCs w:val="32"/>
        </w:rPr>
      </w:pPr>
      <w:r>
        <w:rPr>
          <w:rFonts w:eastAsia="仿宋_GB2312"/>
          <w:b w:val="0"/>
          <w:bCs/>
          <w:snapToGrid w:val="0"/>
          <w:color w:val="000000"/>
          <w:kern w:val="0"/>
          <w:sz w:val="32"/>
          <w:szCs w:val="32"/>
        </w:rPr>
        <w:t>1</w:t>
      </w:r>
      <w:r>
        <w:rPr>
          <w:rFonts w:hint="eastAsia" w:eastAsia="仿宋_GB2312"/>
          <w:b w:val="0"/>
          <w:bCs/>
          <w:snapToGrid w:val="0"/>
          <w:color w:val="000000"/>
          <w:kern w:val="0"/>
          <w:sz w:val="32"/>
          <w:szCs w:val="32"/>
          <w:lang w:val="en-US" w:eastAsia="zh-CN"/>
        </w:rPr>
        <w:t>3</w:t>
      </w:r>
      <w:r>
        <w:rPr>
          <w:rFonts w:eastAsia="仿宋_GB2312"/>
          <w:b w:val="0"/>
          <w:bCs/>
          <w:snapToGrid w:val="0"/>
          <w:color w:val="000000"/>
          <w:kern w:val="0"/>
          <w:sz w:val="32"/>
        </w:rPr>
        <w:t>．</w:t>
      </w:r>
      <w:r>
        <w:rPr>
          <w:rFonts w:eastAsia="楷体_GB2312"/>
          <w:b w:val="0"/>
          <w:bCs/>
          <w:snapToGrid w:val="0"/>
          <w:color w:val="000000"/>
          <w:kern w:val="0"/>
          <w:sz w:val="32"/>
          <w:szCs w:val="32"/>
        </w:rPr>
        <w:t>教育支出（类）职业教育（款）中专教育（项）：</w:t>
      </w:r>
      <w:r>
        <w:rPr>
          <w:rFonts w:eastAsia="仿宋_GB2312"/>
          <w:b w:val="0"/>
          <w:bCs/>
          <w:snapToGrid w:val="0"/>
          <w:color w:val="000000"/>
          <w:kern w:val="0"/>
          <w:sz w:val="32"/>
          <w:szCs w:val="32"/>
        </w:rPr>
        <w:t>指宣传部下属单位四川省干部函授学院（四川省文化产业学院）日常工作运转的支出。</w:t>
      </w:r>
    </w:p>
    <w:p>
      <w:pPr>
        <w:overflowPunct w:val="0"/>
        <w:adjustRightInd w:val="0"/>
        <w:snapToGrid w:val="0"/>
        <w:spacing w:line="600" w:lineRule="exact"/>
        <w:ind w:firstLine="640" w:firstLineChars="200"/>
        <w:rPr>
          <w:rFonts w:eastAsia="仿宋_GB2312"/>
          <w:b w:val="0"/>
          <w:bCs/>
          <w:snapToGrid w:val="0"/>
          <w:color w:val="000000"/>
          <w:kern w:val="0"/>
          <w:sz w:val="32"/>
          <w:szCs w:val="32"/>
        </w:rPr>
      </w:pPr>
      <w:r>
        <w:rPr>
          <w:rFonts w:eastAsia="仿宋_GB2312"/>
          <w:b w:val="0"/>
          <w:bCs/>
          <w:snapToGrid w:val="0"/>
          <w:color w:val="000000"/>
          <w:kern w:val="0"/>
          <w:sz w:val="32"/>
          <w:szCs w:val="32"/>
        </w:rPr>
        <w:t>1</w:t>
      </w:r>
      <w:r>
        <w:rPr>
          <w:rFonts w:hint="eastAsia" w:eastAsia="仿宋_GB2312"/>
          <w:b w:val="0"/>
          <w:bCs/>
          <w:snapToGrid w:val="0"/>
          <w:color w:val="000000"/>
          <w:kern w:val="0"/>
          <w:sz w:val="32"/>
          <w:szCs w:val="32"/>
          <w:lang w:val="en-US" w:eastAsia="zh-CN"/>
        </w:rPr>
        <w:t>4</w:t>
      </w:r>
      <w:r>
        <w:rPr>
          <w:rFonts w:eastAsia="仿宋_GB2312"/>
          <w:b w:val="0"/>
          <w:bCs/>
          <w:snapToGrid w:val="0"/>
          <w:color w:val="000000"/>
          <w:kern w:val="0"/>
          <w:sz w:val="32"/>
        </w:rPr>
        <w:t>．</w:t>
      </w:r>
      <w:r>
        <w:rPr>
          <w:rFonts w:eastAsia="楷体_GB2312"/>
          <w:b w:val="0"/>
          <w:bCs/>
          <w:snapToGrid w:val="0"/>
          <w:color w:val="000000"/>
          <w:kern w:val="0"/>
          <w:sz w:val="32"/>
          <w:szCs w:val="32"/>
        </w:rPr>
        <w:t>教育支出（类）职业教育（款）高等职业教育（项）：</w:t>
      </w:r>
      <w:r>
        <w:rPr>
          <w:rFonts w:eastAsia="仿宋_GB2312"/>
          <w:b w:val="0"/>
          <w:bCs/>
          <w:snapToGrid w:val="0"/>
          <w:color w:val="000000"/>
          <w:kern w:val="0"/>
          <w:sz w:val="32"/>
          <w:szCs w:val="32"/>
        </w:rPr>
        <w:t>指宣传部下属单位四川省干部函授学院（四川省文化产业学院）日常工作运转的支出。</w:t>
      </w:r>
    </w:p>
    <w:p>
      <w:pPr>
        <w:overflowPunct w:val="0"/>
        <w:adjustRightInd w:val="0"/>
        <w:snapToGrid w:val="0"/>
        <w:spacing w:line="600" w:lineRule="exact"/>
        <w:ind w:firstLine="640" w:firstLineChars="200"/>
        <w:rPr>
          <w:rFonts w:eastAsia="仿宋_GB2312"/>
          <w:b w:val="0"/>
          <w:bCs/>
          <w:snapToGrid w:val="0"/>
          <w:color w:val="000000"/>
          <w:kern w:val="0"/>
          <w:sz w:val="32"/>
          <w:szCs w:val="32"/>
        </w:rPr>
      </w:pPr>
      <w:r>
        <w:rPr>
          <w:rFonts w:eastAsia="仿宋_GB2312"/>
          <w:b w:val="0"/>
          <w:bCs/>
          <w:snapToGrid w:val="0"/>
          <w:color w:val="000000"/>
          <w:kern w:val="0"/>
          <w:sz w:val="32"/>
          <w:szCs w:val="32"/>
        </w:rPr>
        <w:t>1</w:t>
      </w:r>
      <w:r>
        <w:rPr>
          <w:rFonts w:hint="eastAsia" w:eastAsia="仿宋_GB2312"/>
          <w:b w:val="0"/>
          <w:bCs/>
          <w:snapToGrid w:val="0"/>
          <w:color w:val="000000"/>
          <w:kern w:val="0"/>
          <w:sz w:val="32"/>
          <w:szCs w:val="32"/>
          <w:lang w:val="en-US" w:eastAsia="zh-CN"/>
        </w:rPr>
        <w:t>5</w:t>
      </w:r>
      <w:r>
        <w:rPr>
          <w:rFonts w:eastAsia="仿宋_GB2312"/>
          <w:b w:val="0"/>
          <w:bCs/>
          <w:snapToGrid w:val="0"/>
          <w:color w:val="000000"/>
          <w:kern w:val="0"/>
          <w:sz w:val="32"/>
        </w:rPr>
        <w:t>．</w:t>
      </w:r>
      <w:r>
        <w:rPr>
          <w:rFonts w:eastAsia="楷体_GB2312"/>
          <w:b w:val="0"/>
          <w:bCs/>
          <w:snapToGrid w:val="0"/>
          <w:color w:val="000000"/>
          <w:kern w:val="0"/>
          <w:sz w:val="32"/>
          <w:szCs w:val="32"/>
        </w:rPr>
        <w:t>教育支出（类）进修及培训（款）教师进修（项）：</w:t>
      </w:r>
      <w:r>
        <w:rPr>
          <w:rFonts w:eastAsia="仿宋_GB2312"/>
          <w:b w:val="0"/>
          <w:bCs/>
          <w:snapToGrid w:val="0"/>
          <w:color w:val="000000"/>
          <w:kern w:val="0"/>
          <w:sz w:val="32"/>
          <w:szCs w:val="32"/>
        </w:rPr>
        <w:t>指宣传部下属单位四川省干部函授学院（四川省文化产业学院）用于教师进修的支出。</w:t>
      </w:r>
    </w:p>
    <w:p>
      <w:pPr>
        <w:overflowPunct w:val="0"/>
        <w:adjustRightInd w:val="0"/>
        <w:snapToGrid w:val="0"/>
        <w:spacing w:line="600" w:lineRule="exact"/>
        <w:ind w:firstLine="640" w:firstLineChars="200"/>
        <w:rPr>
          <w:rFonts w:eastAsia="仿宋_GB2312"/>
          <w:b w:val="0"/>
          <w:bCs/>
          <w:snapToGrid w:val="0"/>
          <w:color w:val="000000"/>
          <w:kern w:val="0"/>
          <w:sz w:val="32"/>
          <w:szCs w:val="32"/>
        </w:rPr>
      </w:pPr>
      <w:r>
        <w:rPr>
          <w:rFonts w:eastAsia="仿宋_GB2312"/>
          <w:b w:val="0"/>
          <w:bCs/>
          <w:snapToGrid w:val="0"/>
          <w:color w:val="000000"/>
          <w:kern w:val="0"/>
          <w:sz w:val="32"/>
          <w:szCs w:val="32"/>
        </w:rPr>
        <w:t>1</w:t>
      </w:r>
      <w:r>
        <w:rPr>
          <w:rFonts w:hint="eastAsia" w:eastAsia="仿宋_GB2312"/>
          <w:b w:val="0"/>
          <w:bCs/>
          <w:snapToGrid w:val="0"/>
          <w:color w:val="000000"/>
          <w:kern w:val="0"/>
          <w:sz w:val="32"/>
          <w:szCs w:val="32"/>
          <w:lang w:val="en-US" w:eastAsia="zh-CN"/>
        </w:rPr>
        <w:t>6</w:t>
      </w:r>
      <w:r>
        <w:rPr>
          <w:rFonts w:eastAsia="仿宋_GB2312"/>
          <w:b w:val="0"/>
          <w:bCs/>
          <w:snapToGrid w:val="0"/>
          <w:color w:val="000000"/>
          <w:kern w:val="0"/>
          <w:sz w:val="32"/>
        </w:rPr>
        <w:t>．</w:t>
      </w:r>
      <w:r>
        <w:rPr>
          <w:rFonts w:eastAsia="楷体_GB2312"/>
          <w:b w:val="0"/>
          <w:bCs/>
          <w:snapToGrid w:val="0"/>
          <w:color w:val="000000"/>
          <w:kern w:val="0"/>
          <w:sz w:val="32"/>
          <w:szCs w:val="32"/>
        </w:rPr>
        <w:t>教育支出（类）进修及培训（款）培训支出（项）：</w:t>
      </w:r>
      <w:r>
        <w:rPr>
          <w:rFonts w:eastAsia="仿宋_GB2312"/>
          <w:b w:val="0"/>
          <w:bCs/>
          <w:snapToGrid w:val="0"/>
          <w:color w:val="000000"/>
          <w:kern w:val="0"/>
          <w:sz w:val="32"/>
          <w:szCs w:val="32"/>
        </w:rPr>
        <w:t>指宣传部下属单位四川省干部函授学院（四川省文化产业学院）用于培训的支出。</w:t>
      </w:r>
    </w:p>
    <w:p>
      <w:pPr>
        <w:overflowPunct w:val="0"/>
        <w:adjustRightInd w:val="0"/>
        <w:snapToGrid w:val="0"/>
        <w:spacing w:line="600" w:lineRule="exact"/>
        <w:ind w:firstLine="640" w:firstLineChars="200"/>
        <w:rPr>
          <w:rFonts w:eastAsia="仿宋_GB2312"/>
          <w:b w:val="0"/>
          <w:bCs/>
          <w:snapToGrid w:val="0"/>
          <w:color w:val="000000"/>
          <w:kern w:val="0"/>
          <w:sz w:val="32"/>
          <w:szCs w:val="32"/>
        </w:rPr>
      </w:pPr>
      <w:r>
        <w:rPr>
          <w:rFonts w:eastAsia="仿宋_GB2312"/>
          <w:b w:val="0"/>
          <w:bCs/>
          <w:snapToGrid w:val="0"/>
          <w:color w:val="000000"/>
          <w:kern w:val="0"/>
          <w:sz w:val="32"/>
          <w:szCs w:val="32"/>
        </w:rPr>
        <w:t>1</w:t>
      </w:r>
      <w:r>
        <w:rPr>
          <w:rFonts w:hint="eastAsia" w:eastAsia="仿宋_GB2312"/>
          <w:b w:val="0"/>
          <w:bCs/>
          <w:snapToGrid w:val="0"/>
          <w:color w:val="000000"/>
          <w:kern w:val="0"/>
          <w:sz w:val="32"/>
          <w:szCs w:val="32"/>
          <w:lang w:val="en-US" w:eastAsia="zh-CN"/>
        </w:rPr>
        <w:t>7</w:t>
      </w:r>
      <w:r>
        <w:rPr>
          <w:rFonts w:eastAsia="仿宋_GB2312"/>
          <w:b w:val="0"/>
          <w:bCs/>
          <w:snapToGrid w:val="0"/>
          <w:color w:val="000000"/>
          <w:kern w:val="0"/>
          <w:sz w:val="32"/>
        </w:rPr>
        <w:t>．</w:t>
      </w:r>
      <w:r>
        <w:rPr>
          <w:rFonts w:eastAsia="楷体_GB2312"/>
          <w:b w:val="0"/>
          <w:bCs/>
          <w:snapToGrid w:val="0"/>
          <w:color w:val="000000"/>
          <w:kern w:val="0"/>
          <w:sz w:val="32"/>
          <w:szCs w:val="32"/>
        </w:rPr>
        <w:t>文化体育与传媒支出（类）新闻出版广播影视（款）其他新闻出版广播影视支出（项）：</w:t>
      </w:r>
      <w:r>
        <w:rPr>
          <w:rFonts w:eastAsia="仿宋_GB2312"/>
          <w:b w:val="0"/>
          <w:bCs/>
          <w:snapToGrid w:val="0"/>
          <w:color w:val="000000"/>
          <w:kern w:val="0"/>
          <w:sz w:val="32"/>
          <w:szCs w:val="32"/>
        </w:rPr>
        <w:t>指宣传部按照国家有关政策开展其他新闻出版影视工作的专项支出。</w:t>
      </w:r>
    </w:p>
    <w:p>
      <w:pPr>
        <w:overflowPunct w:val="0"/>
        <w:adjustRightInd w:val="0"/>
        <w:snapToGrid w:val="0"/>
        <w:spacing w:line="600" w:lineRule="exact"/>
        <w:ind w:firstLine="640" w:firstLineChars="200"/>
        <w:rPr>
          <w:rFonts w:eastAsia="仿宋_GB2312"/>
          <w:b w:val="0"/>
          <w:bCs/>
          <w:snapToGrid w:val="0"/>
          <w:color w:val="000000"/>
          <w:kern w:val="0"/>
          <w:sz w:val="32"/>
          <w:szCs w:val="32"/>
        </w:rPr>
      </w:pPr>
      <w:r>
        <w:rPr>
          <w:rFonts w:eastAsia="仿宋_GB2312"/>
          <w:b w:val="0"/>
          <w:bCs/>
          <w:snapToGrid w:val="0"/>
          <w:color w:val="000000"/>
          <w:kern w:val="0"/>
          <w:sz w:val="32"/>
          <w:szCs w:val="32"/>
        </w:rPr>
        <w:t>1</w:t>
      </w:r>
      <w:r>
        <w:rPr>
          <w:rFonts w:hint="eastAsia" w:eastAsia="仿宋_GB2312"/>
          <w:b w:val="0"/>
          <w:bCs/>
          <w:snapToGrid w:val="0"/>
          <w:color w:val="000000"/>
          <w:kern w:val="0"/>
          <w:sz w:val="32"/>
          <w:szCs w:val="32"/>
          <w:lang w:val="en-US" w:eastAsia="zh-CN"/>
        </w:rPr>
        <w:t>8</w:t>
      </w:r>
      <w:r>
        <w:rPr>
          <w:rFonts w:eastAsia="仿宋_GB2312"/>
          <w:b w:val="0"/>
          <w:bCs/>
          <w:snapToGrid w:val="0"/>
          <w:color w:val="000000"/>
          <w:kern w:val="0"/>
          <w:sz w:val="32"/>
        </w:rPr>
        <w:t>．</w:t>
      </w:r>
      <w:r>
        <w:rPr>
          <w:rFonts w:eastAsia="楷体_GB2312"/>
          <w:b w:val="0"/>
          <w:bCs/>
          <w:snapToGrid w:val="0"/>
          <w:color w:val="000000"/>
          <w:kern w:val="0"/>
          <w:sz w:val="32"/>
          <w:szCs w:val="32"/>
        </w:rPr>
        <w:t>文化体育与传媒支出（类）其他文化体育与传媒支出（款）宣传文化发展专项支出（项）：</w:t>
      </w:r>
      <w:r>
        <w:rPr>
          <w:rFonts w:eastAsia="仿宋_GB2312"/>
          <w:b w:val="0"/>
          <w:bCs/>
          <w:snapToGrid w:val="0"/>
          <w:color w:val="000000"/>
          <w:kern w:val="0"/>
          <w:sz w:val="32"/>
          <w:szCs w:val="32"/>
        </w:rPr>
        <w:t>指宣传部按照国家有关政策支持宣传文化单位发展的专项支出。</w:t>
      </w:r>
    </w:p>
    <w:p>
      <w:pPr>
        <w:overflowPunct w:val="0"/>
        <w:adjustRightInd w:val="0"/>
        <w:snapToGrid w:val="0"/>
        <w:spacing w:line="600" w:lineRule="exact"/>
        <w:ind w:firstLine="640" w:firstLineChars="200"/>
        <w:rPr>
          <w:rFonts w:eastAsia="仿宋_GB2312"/>
          <w:b w:val="0"/>
          <w:bCs/>
          <w:snapToGrid w:val="0"/>
          <w:color w:val="000000"/>
          <w:kern w:val="0"/>
          <w:sz w:val="32"/>
          <w:szCs w:val="32"/>
        </w:rPr>
      </w:pPr>
      <w:r>
        <w:rPr>
          <w:rFonts w:eastAsia="仿宋_GB2312"/>
          <w:b w:val="0"/>
          <w:bCs/>
          <w:snapToGrid w:val="0"/>
          <w:color w:val="000000"/>
          <w:kern w:val="0"/>
          <w:sz w:val="32"/>
          <w:szCs w:val="32"/>
        </w:rPr>
        <w:t>1</w:t>
      </w:r>
      <w:r>
        <w:rPr>
          <w:rFonts w:hint="eastAsia" w:eastAsia="仿宋_GB2312"/>
          <w:b w:val="0"/>
          <w:bCs/>
          <w:snapToGrid w:val="0"/>
          <w:color w:val="000000"/>
          <w:kern w:val="0"/>
          <w:sz w:val="32"/>
          <w:szCs w:val="32"/>
          <w:lang w:val="en-US" w:eastAsia="zh-CN"/>
        </w:rPr>
        <w:t>9</w:t>
      </w:r>
      <w:r>
        <w:rPr>
          <w:rFonts w:eastAsia="仿宋_GB2312"/>
          <w:b w:val="0"/>
          <w:bCs/>
          <w:snapToGrid w:val="0"/>
          <w:color w:val="000000"/>
          <w:kern w:val="0"/>
          <w:sz w:val="32"/>
        </w:rPr>
        <w:t>．</w:t>
      </w:r>
      <w:r>
        <w:rPr>
          <w:rFonts w:eastAsia="楷体_GB2312"/>
          <w:b w:val="0"/>
          <w:bCs/>
          <w:snapToGrid w:val="0"/>
          <w:color w:val="000000"/>
          <w:kern w:val="0"/>
          <w:sz w:val="32"/>
          <w:szCs w:val="32"/>
        </w:rPr>
        <w:t>文化体育与传媒支出（类）其他文化体育与传媒支出（款）文化产业发展专项支出（项）：</w:t>
      </w:r>
      <w:r>
        <w:rPr>
          <w:rFonts w:eastAsia="仿宋_GB2312"/>
          <w:b w:val="0"/>
          <w:bCs/>
          <w:snapToGrid w:val="0"/>
          <w:color w:val="000000"/>
          <w:kern w:val="0"/>
          <w:sz w:val="32"/>
          <w:szCs w:val="32"/>
        </w:rPr>
        <w:t>指宣传部按照国家有关政策开展文化产业发展工作的专项支出。</w:t>
      </w:r>
    </w:p>
    <w:p>
      <w:pPr>
        <w:overflowPunct w:val="0"/>
        <w:adjustRightInd w:val="0"/>
        <w:snapToGrid w:val="0"/>
        <w:spacing w:line="600" w:lineRule="exact"/>
        <w:ind w:firstLine="640" w:firstLineChars="200"/>
        <w:rPr>
          <w:rFonts w:eastAsia="仿宋_GB2312"/>
          <w:b w:val="0"/>
          <w:bCs/>
          <w:snapToGrid w:val="0"/>
          <w:color w:val="000000"/>
          <w:kern w:val="0"/>
          <w:sz w:val="32"/>
          <w:szCs w:val="32"/>
        </w:rPr>
      </w:pPr>
      <w:r>
        <w:rPr>
          <w:rFonts w:hint="eastAsia" w:eastAsia="仿宋_GB2312"/>
          <w:b w:val="0"/>
          <w:bCs/>
          <w:snapToGrid w:val="0"/>
          <w:color w:val="000000"/>
          <w:kern w:val="0"/>
          <w:sz w:val="32"/>
          <w:szCs w:val="32"/>
          <w:lang w:val="en-US" w:eastAsia="zh-CN"/>
        </w:rPr>
        <w:t>20</w:t>
      </w:r>
      <w:r>
        <w:rPr>
          <w:rFonts w:eastAsia="仿宋_GB2312"/>
          <w:b w:val="0"/>
          <w:bCs/>
          <w:snapToGrid w:val="0"/>
          <w:color w:val="000000"/>
          <w:kern w:val="0"/>
          <w:sz w:val="32"/>
        </w:rPr>
        <w:t>．</w:t>
      </w:r>
      <w:r>
        <w:rPr>
          <w:rFonts w:eastAsia="楷体_GB2312"/>
          <w:b w:val="0"/>
          <w:bCs/>
          <w:snapToGrid w:val="0"/>
          <w:color w:val="000000"/>
          <w:kern w:val="0"/>
          <w:sz w:val="32"/>
          <w:szCs w:val="32"/>
        </w:rPr>
        <w:t>文化体育与传媒支出（类）其他文化体育与传媒支出（款）其他文化体育与传媒支出（项）：</w:t>
      </w:r>
      <w:r>
        <w:rPr>
          <w:rFonts w:eastAsia="仿宋_GB2312"/>
          <w:b w:val="0"/>
          <w:bCs/>
          <w:snapToGrid w:val="0"/>
          <w:color w:val="000000"/>
          <w:kern w:val="0"/>
          <w:sz w:val="32"/>
          <w:szCs w:val="32"/>
        </w:rPr>
        <w:t>指宣传部按照国家有关政策开展除宣传文化、文化产业发展以外的文化体育与传媒方面工作的支出。</w:t>
      </w:r>
    </w:p>
    <w:p>
      <w:pPr>
        <w:overflowPunct w:val="0"/>
        <w:adjustRightInd w:val="0"/>
        <w:snapToGrid w:val="0"/>
        <w:spacing w:line="600" w:lineRule="exact"/>
        <w:ind w:firstLine="640" w:firstLineChars="200"/>
        <w:rPr>
          <w:rFonts w:eastAsia="仿宋_GB2312"/>
          <w:b w:val="0"/>
          <w:bCs/>
          <w:snapToGrid w:val="0"/>
          <w:color w:val="000000"/>
          <w:kern w:val="0"/>
          <w:sz w:val="32"/>
          <w:szCs w:val="32"/>
        </w:rPr>
      </w:pPr>
      <w:r>
        <w:rPr>
          <w:rFonts w:eastAsia="仿宋_GB2312"/>
          <w:b w:val="0"/>
          <w:bCs/>
          <w:snapToGrid w:val="0"/>
          <w:color w:val="000000"/>
          <w:kern w:val="0"/>
          <w:sz w:val="32"/>
          <w:szCs w:val="32"/>
        </w:rPr>
        <w:t>2</w:t>
      </w:r>
      <w:r>
        <w:rPr>
          <w:rFonts w:hint="eastAsia" w:eastAsia="仿宋_GB2312"/>
          <w:b w:val="0"/>
          <w:bCs/>
          <w:snapToGrid w:val="0"/>
          <w:color w:val="000000"/>
          <w:kern w:val="0"/>
          <w:sz w:val="32"/>
          <w:szCs w:val="32"/>
          <w:lang w:val="en-US" w:eastAsia="zh-CN"/>
        </w:rPr>
        <w:t>1</w:t>
      </w:r>
      <w:r>
        <w:rPr>
          <w:rFonts w:eastAsia="仿宋_GB2312"/>
          <w:b w:val="0"/>
          <w:bCs/>
          <w:snapToGrid w:val="0"/>
          <w:color w:val="000000"/>
          <w:kern w:val="0"/>
          <w:sz w:val="32"/>
        </w:rPr>
        <w:t>．</w:t>
      </w:r>
      <w:r>
        <w:rPr>
          <w:rFonts w:eastAsia="楷体_GB2312"/>
          <w:b w:val="0"/>
          <w:bCs/>
          <w:snapToGrid w:val="0"/>
          <w:color w:val="000000"/>
          <w:kern w:val="0"/>
          <w:sz w:val="32"/>
          <w:szCs w:val="32"/>
        </w:rPr>
        <w:t>社会保障和就业支出（类）行政事业单位离退休（款）事业单位离休费（项）：</w:t>
      </w:r>
      <w:r>
        <w:rPr>
          <w:rFonts w:eastAsia="仿宋_GB2312"/>
          <w:b w:val="0"/>
          <w:bCs/>
          <w:snapToGrid w:val="0"/>
          <w:color w:val="000000"/>
          <w:kern w:val="0"/>
          <w:sz w:val="32"/>
          <w:szCs w:val="32"/>
        </w:rPr>
        <w:t>指实行归口管理的事业单位开支的离退休经费。</w:t>
      </w:r>
    </w:p>
    <w:p>
      <w:pPr>
        <w:overflowPunct w:val="0"/>
        <w:adjustRightInd w:val="0"/>
        <w:snapToGrid w:val="0"/>
        <w:spacing w:line="600" w:lineRule="exact"/>
        <w:ind w:firstLine="640" w:firstLineChars="200"/>
        <w:rPr>
          <w:rFonts w:eastAsia="仿宋_GB2312"/>
          <w:b w:val="0"/>
          <w:bCs/>
          <w:snapToGrid w:val="0"/>
          <w:color w:val="000000"/>
          <w:kern w:val="0"/>
          <w:sz w:val="32"/>
          <w:szCs w:val="32"/>
        </w:rPr>
      </w:pPr>
      <w:r>
        <w:rPr>
          <w:rFonts w:eastAsia="仿宋_GB2312"/>
          <w:b w:val="0"/>
          <w:bCs/>
          <w:snapToGrid w:val="0"/>
          <w:color w:val="000000"/>
          <w:kern w:val="0"/>
          <w:sz w:val="32"/>
          <w:szCs w:val="32"/>
        </w:rPr>
        <w:t>2</w:t>
      </w:r>
      <w:r>
        <w:rPr>
          <w:rFonts w:hint="eastAsia" w:eastAsia="仿宋_GB2312"/>
          <w:b w:val="0"/>
          <w:bCs/>
          <w:snapToGrid w:val="0"/>
          <w:color w:val="000000"/>
          <w:kern w:val="0"/>
          <w:sz w:val="32"/>
          <w:szCs w:val="32"/>
          <w:lang w:val="en-US" w:eastAsia="zh-CN"/>
        </w:rPr>
        <w:t>2</w:t>
      </w:r>
      <w:r>
        <w:rPr>
          <w:rFonts w:eastAsia="仿宋_GB2312"/>
          <w:b w:val="0"/>
          <w:bCs/>
          <w:snapToGrid w:val="0"/>
          <w:color w:val="000000"/>
          <w:kern w:val="0"/>
          <w:sz w:val="32"/>
        </w:rPr>
        <w:t>．</w:t>
      </w:r>
      <w:r>
        <w:rPr>
          <w:rFonts w:eastAsia="楷体_GB2312"/>
          <w:b w:val="0"/>
          <w:bCs/>
          <w:snapToGrid w:val="0"/>
          <w:color w:val="000000"/>
          <w:kern w:val="0"/>
          <w:sz w:val="32"/>
          <w:szCs w:val="32"/>
        </w:rPr>
        <w:t>社会保障和就业支出（类）行政事业单位离退休（款）未归口管理的行政单位离退休（项）：</w:t>
      </w:r>
      <w:r>
        <w:rPr>
          <w:rFonts w:eastAsia="仿宋_GB2312"/>
          <w:b w:val="0"/>
          <w:bCs/>
          <w:snapToGrid w:val="0"/>
          <w:color w:val="000000"/>
          <w:kern w:val="0"/>
          <w:sz w:val="32"/>
          <w:szCs w:val="32"/>
        </w:rPr>
        <w:t>指未实行归口管理的行政事业单位开支的离退休支出。</w:t>
      </w:r>
    </w:p>
    <w:p>
      <w:pPr>
        <w:overflowPunct w:val="0"/>
        <w:adjustRightInd w:val="0"/>
        <w:snapToGrid w:val="0"/>
        <w:spacing w:line="600" w:lineRule="exact"/>
        <w:ind w:firstLine="640" w:firstLineChars="200"/>
        <w:rPr>
          <w:rFonts w:eastAsia="仿宋_GB2312"/>
          <w:b w:val="0"/>
          <w:bCs/>
          <w:snapToGrid w:val="0"/>
          <w:color w:val="000000"/>
          <w:kern w:val="0"/>
          <w:sz w:val="32"/>
          <w:szCs w:val="32"/>
        </w:rPr>
      </w:pPr>
      <w:r>
        <w:rPr>
          <w:rFonts w:eastAsia="仿宋_GB2312"/>
          <w:b w:val="0"/>
          <w:bCs/>
          <w:snapToGrid w:val="0"/>
          <w:color w:val="000000"/>
          <w:kern w:val="0"/>
          <w:sz w:val="32"/>
          <w:szCs w:val="32"/>
        </w:rPr>
        <w:t>2</w:t>
      </w:r>
      <w:r>
        <w:rPr>
          <w:rFonts w:hint="eastAsia" w:eastAsia="仿宋_GB2312"/>
          <w:b w:val="0"/>
          <w:bCs/>
          <w:snapToGrid w:val="0"/>
          <w:color w:val="000000"/>
          <w:kern w:val="0"/>
          <w:sz w:val="32"/>
          <w:szCs w:val="32"/>
          <w:lang w:val="en-US" w:eastAsia="zh-CN"/>
        </w:rPr>
        <w:t>3</w:t>
      </w:r>
      <w:r>
        <w:rPr>
          <w:rFonts w:eastAsia="仿宋_GB2312"/>
          <w:b w:val="0"/>
          <w:bCs/>
          <w:snapToGrid w:val="0"/>
          <w:color w:val="000000"/>
          <w:kern w:val="0"/>
          <w:sz w:val="32"/>
        </w:rPr>
        <w:t>．</w:t>
      </w:r>
      <w:r>
        <w:rPr>
          <w:rFonts w:eastAsia="楷体_GB2312"/>
          <w:b w:val="0"/>
          <w:bCs/>
          <w:snapToGrid w:val="0"/>
          <w:color w:val="000000"/>
          <w:kern w:val="0"/>
          <w:sz w:val="32"/>
          <w:szCs w:val="32"/>
        </w:rPr>
        <w:t>社会保障和就业支出（类）行政事业单位离退休（款）机关事业单位基本养老保险缴费支出（项）：</w:t>
      </w:r>
      <w:r>
        <w:rPr>
          <w:rFonts w:eastAsia="仿宋_GB2312"/>
          <w:b w:val="0"/>
          <w:bCs/>
          <w:snapToGrid w:val="0"/>
          <w:color w:val="000000"/>
          <w:kern w:val="0"/>
          <w:sz w:val="32"/>
          <w:szCs w:val="32"/>
        </w:rPr>
        <w:t>指机关事业单位实施养老保险制度由单位缴纳的基本养老保险。</w:t>
      </w:r>
    </w:p>
    <w:p>
      <w:pPr>
        <w:overflowPunct w:val="0"/>
        <w:adjustRightInd w:val="0"/>
        <w:snapToGrid w:val="0"/>
        <w:spacing w:line="600" w:lineRule="exact"/>
        <w:ind w:firstLine="640" w:firstLineChars="200"/>
        <w:rPr>
          <w:rFonts w:eastAsia="仿宋_GB2312"/>
          <w:b w:val="0"/>
          <w:bCs/>
          <w:snapToGrid w:val="0"/>
          <w:color w:val="000000"/>
          <w:kern w:val="0"/>
          <w:sz w:val="32"/>
          <w:szCs w:val="32"/>
        </w:rPr>
      </w:pPr>
      <w:r>
        <w:rPr>
          <w:rFonts w:eastAsia="仿宋_GB2312"/>
          <w:b w:val="0"/>
          <w:bCs/>
          <w:snapToGrid w:val="0"/>
          <w:color w:val="000000"/>
          <w:kern w:val="0"/>
          <w:sz w:val="32"/>
          <w:szCs w:val="32"/>
        </w:rPr>
        <w:t>2</w:t>
      </w:r>
      <w:r>
        <w:rPr>
          <w:rFonts w:hint="eastAsia" w:eastAsia="仿宋_GB2312"/>
          <w:b w:val="0"/>
          <w:bCs/>
          <w:snapToGrid w:val="0"/>
          <w:color w:val="000000"/>
          <w:kern w:val="0"/>
          <w:sz w:val="32"/>
          <w:szCs w:val="32"/>
          <w:lang w:val="en-US" w:eastAsia="zh-CN"/>
        </w:rPr>
        <w:t>4</w:t>
      </w:r>
      <w:r>
        <w:rPr>
          <w:rFonts w:eastAsia="仿宋_GB2312"/>
          <w:b w:val="0"/>
          <w:bCs/>
          <w:snapToGrid w:val="0"/>
          <w:color w:val="000000"/>
          <w:kern w:val="0"/>
          <w:sz w:val="32"/>
        </w:rPr>
        <w:t>．</w:t>
      </w:r>
      <w:r>
        <w:rPr>
          <w:rFonts w:eastAsia="楷体_GB2312"/>
          <w:b w:val="0"/>
          <w:bCs/>
          <w:snapToGrid w:val="0"/>
          <w:color w:val="000000"/>
          <w:kern w:val="0"/>
          <w:sz w:val="32"/>
          <w:szCs w:val="32"/>
        </w:rPr>
        <w:t>社会保障和就业支出（类）行政事业单位离退休（款）机关事业单位职业年金缴费支出（项）：</w:t>
      </w:r>
      <w:r>
        <w:rPr>
          <w:rFonts w:eastAsia="仿宋_GB2312"/>
          <w:b w:val="0"/>
          <w:bCs/>
          <w:snapToGrid w:val="0"/>
          <w:color w:val="000000"/>
          <w:kern w:val="0"/>
          <w:sz w:val="32"/>
          <w:szCs w:val="32"/>
        </w:rPr>
        <w:t>指机关事业单位实施养老保险制度由单位缴纳的职业年金支出。</w:t>
      </w:r>
    </w:p>
    <w:p>
      <w:pPr>
        <w:overflowPunct w:val="0"/>
        <w:adjustRightInd w:val="0"/>
        <w:snapToGrid w:val="0"/>
        <w:spacing w:line="600" w:lineRule="exact"/>
        <w:ind w:firstLine="640" w:firstLineChars="200"/>
        <w:rPr>
          <w:rFonts w:eastAsia="仿宋_GB2312"/>
          <w:b w:val="0"/>
          <w:bCs/>
          <w:snapToGrid w:val="0"/>
          <w:color w:val="000000"/>
          <w:kern w:val="0"/>
          <w:sz w:val="32"/>
          <w:szCs w:val="32"/>
        </w:rPr>
      </w:pPr>
      <w:r>
        <w:rPr>
          <w:rFonts w:eastAsia="仿宋_GB2312"/>
          <w:b w:val="0"/>
          <w:bCs/>
          <w:snapToGrid w:val="0"/>
          <w:color w:val="000000"/>
          <w:kern w:val="0"/>
          <w:sz w:val="32"/>
          <w:szCs w:val="32"/>
        </w:rPr>
        <w:t>2</w:t>
      </w:r>
      <w:r>
        <w:rPr>
          <w:rFonts w:hint="eastAsia" w:eastAsia="仿宋_GB2312"/>
          <w:b w:val="0"/>
          <w:bCs/>
          <w:snapToGrid w:val="0"/>
          <w:color w:val="000000"/>
          <w:kern w:val="0"/>
          <w:sz w:val="32"/>
          <w:szCs w:val="32"/>
          <w:lang w:val="en-US" w:eastAsia="zh-CN"/>
        </w:rPr>
        <w:t>5</w:t>
      </w:r>
      <w:r>
        <w:rPr>
          <w:rFonts w:eastAsia="仿宋_GB2312"/>
          <w:b w:val="0"/>
          <w:bCs/>
          <w:snapToGrid w:val="0"/>
          <w:color w:val="000000"/>
          <w:kern w:val="0"/>
          <w:sz w:val="32"/>
        </w:rPr>
        <w:t>．</w:t>
      </w:r>
      <w:r>
        <w:rPr>
          <w:rFonts w:eastAsia="楷体_GB2312"/>
          <w:b w:val="0"/>
          <w:bCs/>
          <w:snapToGrid w:val="0"/>
          <w:color w:val="000000"/>
          <w:kern w:val="0"/>
          <w:sz w:val="32"/>
          <w:szCs w:val="32"/>
        </w:rPr>
        <w:t>社会保障和就业支出（类）抚恤（款）死亡抚恤（项）：</w:t>
      </w:r>
      <w:r>
        <w:rPr>
          <w:rFonts w:eastAsia="仿宋_GB2312"/>
          <w:b w:val="0"/>
          <w:bCs/>
          <w:snapToGrid w:val="0"/>
          <w:color w:val="000000"/>
          <w:kern w:val="0"/>
          <w:sz w:val="32"/>
          <w:szCs w:val="32"/>
        </w:rPr>
        <w:t>指按规定用于病故人员家属的一次性和定期抚恤金以及丧葬补助经费。</w:t>
      </w:r>
    </w:p>
    <w:p>
      <w:pPr>
        <w:overflowPunct w:val="0"/>
        <w:adjustRightInd w:val="0"/>
        <w:snapToGrid w:val="0"/>
        <w:spacing w:line="600" w:lineRule="exact"/>
        <w:ind w:firstLine="640" w:firstLineChars="200"/>
        <w:rPr>
          <w:rFonts w:eastAsia="仿宋_GB2312"/>
          <w:b w:val="0"/>
          <w:bCs/>
          <w:snapToGrid w:val="0"/>
          <w:color w:val="000000"/>
          <w:kern w:val="0"/>
          <w:sz w:val="32"/>
          <w:szCs w:val="32"/>
        </w:rPr>
      </w:pPr>
      <w:r>
        <w:rPr>
          <w:rFonts w:eastAsia="仿宋_GB2312"/>
          <w:b w:val="0"/>
          <w:bCs/>
          <w:snapToGrid w:val="0"/>
          <w:color w:val="000000"/>
          <w:kern w:val="0"/>
          <w:sz w:val="32"/>
          <w:szCs w:val="32"/>
        </w:rPr>
        <w:t>2</w:t>
      </w:r>
      <w:r>
        <w:rPr>
          <w:rFonts w:hint="eastAsia" w:eastAsia="仿宋_GB2312"/>
          <w:b w:val="0"/>
          <w:bCs/>
          <w:snapToGrid w:val="0"/>
          <w:color w:val="000000"/>
          <w:kern w:val="0"/>
          <w:sz w:val="32"/>
          <w:szCs w:val="32"/>
          <w:lang w:val="en-US" w:eastAsia="zh-CN"/>
        </w:rPr>
        <w:t>6</w:t>
      </w:r>
      <w:r>
        <w:rPr>
          <w:rFonts w:eastAsia="仿宋_GB2312"/>
          <w:b w:val="0"/>
          <w:bCs/>
          <w:snapToGrid w:val="0"/>
          <w:color w:val="000000"/>
          <w:kern w:val="0"/>
          <w:sz w:val="32"/>
        </w:rPr>
        <w:t>．</w:t>
      </w:r>
      <w:r>
        <w:rPr>
          <w:rFonts w:eastAsia="楷体_GB2312"/>
          <w:b w:val="0"/>
          <w:bCs/>
          <w:snapToGrid w:val="0"/>
          <w:color w:val="000000"/>
          <w:kern w:val="0"/>
          <w:sz w:val="32"/>
          <w:szCs w:val="32"/>
        </w:rPr>
        <w:t>社会保障和就业支出（类）其他社会保障和就业支出（款）其他社会保障和就业支出（项）：</w:t>
      </w:r>
      <w:r>
        <w:rPr>
          <w:rFonts w:eastAsia="仿宋_GB2312"/>
          <w:b w:val="0"/>
          <w:bCs/>
          <w:snapToGrid w:val="0"/>
          <w:color w:val="000000"/>
          <w:kern w:val="0"/>
          <w:sz w:val="32"/>
          <w:szCs w:val="32"/>
        </w:rPr>
        <w:t>指其他用于社会保障和就业方面的支出。</w:t>
      </w:r>
    </w:p>
    <w:p>
      <w:pPr>
        <w:overflowPunct w:val="0"/>
        <w:adjustRightInd w:val="0"/>
        <w:snapToGrid w:val="0"/>
        <w:spacing w:line="600" w:lineRule="exact"/>
        <w:ind w:firstLine="640" w:firstLineChars="200"/>
        <w:rPr>
          <w:rFonts w:eastAsia="仿宋_GB2312"/>
          <w:b w:val="0"/>
          <w:bCs/>
          <w:snapToGrid w:val="0"/>
          <w:kern w:val="0"/>
          <w:sz w:val="32"/>
          <w:szCs w:val="32"/>
        </w:rPr>
      </w:pPr>
      <w:r>
        <w:rPr>
          <w:rFonts w:eastAsia="仿宋_GB2312"/>
          <w:b w:val="0"/>
          <w:bCs/>
          <w:snapToGrid w:val="0"/>
          <w:kern w:val="0"/>
          <w:sz w:val="32"/>
          <w:szCs w:val="32"/>
        </w:rPr>
        <w:t>2</w:t>
      </w:r>
      <w:r>
        <w:rPr>
          <w:rFonts w:hint="eastAsia" w:eastAsia="仿宋_GB2312"/>
          <w:b w:val="0"/>
          <w:bCs/>
          <w:snapToGrid w:val="0"/>
          <w:kern w:val="0"/>
          <w:sz w:val="32"/>
          <w:szCs w:val="32"/>
          <w:lang w:val="en-US" w:eastAsia="zh-CN"/>
        </w:rPr>
        <w:t>7</w:t>
      </w:r>
      <w:r>
        <w:rPr>
          <w:rStyle w:val="14"/>
          <w:rFonts w:eastAsia="仿宋_GB2312"/>
          <w:b w:val="0"/>
          <w:bCs/>
          <w:snapToGrid w:val="0"/>
          <w:color w:val="000000"/>
          <w:kern w:val="0"/>
          <w:sz w:val="32"/>
          <w:szCs w:val="32"/>
        </w:rPr>
        <w:t>．</w:t>
      </w:r>
      <w:r>
        <w:rPr>
          <w:rStyle w:val="14"/>
          <w:rFonts w:hint="eastAsia" w:eastAsia="仿宋_GB2312"/>
          <w:b w:val="0"/>
          <w:bCs/>
          <w:snapToGrid w:val="0"/>
          <w:color w:val="000000"/>
          <w:kern w:val="0"/>
          <w:sz w:val="32"/>
          <w:szCs w:val="32"/>
          <w:lang w:eastAsia="zh-CN"/>
        </w:rPr>
        <w:t>卫生健康</w:t>
      </w:r>
      <w:r>
        <w:rPr>
          <w:rStyle w:val="14"/>
          <w:rFonts w:eastAsia="仿宋_GB2312"/>
          <w:b w:val="0"/>
          <w:bCs/>
          <w:snapToGrid w:val="0"/>
          <w:color w:val="000000"/>
          <w:kern w:val="0"/>
          <w:sz w:val="32"/>
          <w:szCs w:val="32"/>
        </w:rPr>
        <w:t>支出（类）</w:t>
      </w:r>
      <w:r>
        <w:rPr>
          <w:rStyle w:val="14"/>
          <w:rFonts w:hint="eastAsia" w:eastAsia="仿宋_GB2312"/>
          <w:b w:val="0"/>
          <w:bCs/>
          <w:snapToGrid w:val="0"/>
          <w:color w:val="000000"/>
          <w:kern w:val="0"/>
          <w:sz w:val="32"/>
          <w:szCs w:val="32"/>
          <w:lang w:eastAsia="zh-CN"/>
        </w:rPr>
        <w:t>行政事业单位医疗</w:t>
      </w:r>
      <w:r>
        <w:rPr>
          <w:rStyle w:val="14"/>
          <w:rFonts w:eastAsia="仿宋_GB2312"/>
          <w:b w:val="0"/>
          <w:bCs/>
          <w:snapToGrid w:val="0"/>
          <w:color w:val="000000"/>
          <w:kern w:val="0"/>
          <w:sz w:val="32"/>
          <w:szCs w:val="32"/>
        </w:rPr>
        <w:t>（款）</w:t>
      </w:r>
      <w:r>
        <w:rPr>
          <w:rStyle w:val="14"/>
          <w:rFonts w:hint="eastAsia" w:eastAsia="仿宋_GB2312"/>
          <w:b w:val="0"/>
          <w:bCs/>
          <w:snapToGrid w:val="0"/>
          <w:color w:val="000000"/>
          <w:kern w:val="0"/>
          <w:sz w:val="32"/>
          <w:szCs w:val="32"/>
          <w:lang w:eastAsia="zh-CN"/>
        </w:rPr>
        <w:t>行政单位医疗</w:t>
      </w:r>
      <w:r>
        <w:rPr>
          <w:rStyle w:val="14"/>
          <w:rFonts w:eastAsia="仿宋_GB2312"/>
          <w:b w:val="0"/>
          <w:bCs/>
          <w:snapToGrid w:val="0"/>
          <w:color w:val="000000"/>
          <w:kern w:val="0"/>
          <w:sz w:val="32"/>
          <w:szCs w:val="32"/>
        </w:rPr>
        <w:t>（项）：</w:t>
      </w:r>
      <w:r>
        <w:rPr>
          <w:rFonts w:eastAsia="仿宋_GB2312"/>
          <w:b w:val="0"/>
          <w:bCs/>
          <w:snapToGrid w:val="0"/>
          <w:color w:val="000000"/>
          <w:kern w:val="0"/>
          <w:sz w:val="32"/>
          <w:szCs w:val="32"/>
        </w:rPr>
        <w:t>指用于行政单位基本医疗保险缴费经费，未参加医疗保险的行政单位的公费医疗经费，按国家规定享受离休人员、红军老战士待遇人员的医疗经费。</w:t>
      </w:r>
    </w:p>
    <w:p>
      <w:pPr>
        <w:overflowPunct w:val="0"/>
        <w:adjustRightInd w:val="0"/>
        <w:snapToGrid w:val="0"/>
        <w:spacing w:line="600" w:lineRule="exact"/>
        <w:ind w:firstLine="640" w:firstLineChars="200"/>
        <w:rPr>
          <w:rFonts w:eastAsia="仿宋_GB2312"/>
          <w:b w:val="0"/>
          <w:bCs/>
          <w:snapToGrid w:val="0"/>
          <w:kern w:val="0"/>
          <w:sz w:val="32"/>
          <w:szCs w:val="32"/>
        </w:rPr>
      </w:pPr>
      <w:r>
        <w:rPr>
          <w:rFonts w:eastAsia="仿宋_GB2312"/>
          <w:b w:val="0"/>
          <w:bCs/>
          <w:snapToGrid w:val="0"/>
          <w:kern w:val="0"/>
          <w:sz w:val="32"/>
          <w:szCs w:val="32"/>
        </w:rPr>
        <w:t>2</w:t>
      </w:r>
      <w:r>
        <w:rPr>
          <w:rFonts w:hint="eastAsia" w:eastAsia="仿宋_GB2312"/>
          <w:b w:val="0"/>
          <w:bCs/>
          <w:snapToGrid w:val="0"/>
          <w:kern w:val="0"/>
          <w:sz w:val="32"/>
          <w:szCs w:val="32"/>
          <w:lang w:val="en-US" w:eastAsia="zh-CN"/>
        </w:rPr>
        <w:t>8</w:t>
      </w:r>
      <w:r>
        <w:rPr>
          <w:rStyle w:val="14"/>
          <w:rFonts w:eastAsia="仿宋_GB2312"/>
          <w:b w:val="0"/>
          <w:bCs/>
          <w:snapToGrid w:val="0"/>
          <w:color w:val="000000"/>
          <w:kern w:val="0"/>
          <w:sz w:val="32"/>
          <w:szCs w:val="32"/>
        </w:rPr>
        <w:t>．</w:t>
      </w:r>
      <w:r>
        <w:rPr>
          <w:rStyle w:val="14"/>
          <w:rFonts w:hint="eastAsia" w:eastAsia="仿宋_GB2312"/>
          <w:b w:val="0"/>
          <w:bCs/>
          <w:snapToGrid w:val="0"/>
          <w:color w:val="000000"/>
          <w:kern w:val="0"/>
          <w:sz w:val="32"/>
          <w:szCs w:val="32"/>
          <w:lang w:eastAsia="zh-CN"/>
        </w:rPr>
        <w:t>卫生健康</w:t>
      </w:r>
      <w:r>
        <w:rPr>
          <w:rStyle w:val="14"/>
          <w:rFonts w:eastAsia="仿宋_GB2312"/>
          <w:b w:val="0"/>
          <w:bCs/>
          <w:snapToGrid w:val="0"/>
          <w:color w:val="000000"/>
          <w:kern w:val="0"/>
          <w:sz w:val="32"/>
          <w:szCs w:val="32"/>
        </w:rPr>
        <w:t>支出（类）</w:t>
      </w:r>
      <w:r>
        <w:rPr>
          <w:rStyle w:val="14"/>
          <w:rFonts w:hint="eastAsia" w:eastAsia="仿宋_GB2312"/>
          <w:b w:val="0"/>
          <w:bCs/>
          <w:snapToGrid w:val="0"/>
          <w:color w:val="000000"/>
          <w:kern w:val="0"/>
          <w:sz w:val="32"/>
          <w:szCs w:val="32"/>
          <w:lang w:eastAsia="zh-CN"/>
        </w:rPr>
        <w:t>行政事业单位医疗</w:t>
      </w:r>
      <w:r>
        <w:rPr>
          <w:rStyle w:val="14"/>
          <w:rFonts w:eastAsia="仿宋_GB2312"/>
          <w:b w:val="0"/>
          <w:bCs/>
          <w:snapToGrid w:val="0"/>
          <w:color w:val="000000"/>
          <w:kern w:val="0"/>
          <w:sz w:val="32"/>
          <w:szCs w:val="32"/>
        </w:rPr>
        <w:t>（款）</w:t>
      </w:r>
      <w:r>
        <w:rPr>
          <w:rStyle w:val="14"/>
          <w:rFonts w:hint="eastAsia" w:eastAsia="仿宋_GB2312"/>
          <w:b w:val="0"/>
          <w:bCs/>
          <w:snapToGrid w:val="0"/>
          <w:color w:val="000000"/>
          <w:kern w:val="0"/>
          <w:sz w:val="32"/>
          <w:szCs w:val="32"/>
          <w:lang w:eastAsia="zh-CN"/>
        </w:rPr>
        <w:t>事业单位医疗</w:t>
      </w:r>
      <w:r>
        <w:rPr>
          <w:rStyle w:val="14"/>
          <w:rFonts w:eastAsia="仿宋_GB2312"/>
          <w:b w:val="0"/>
          <w:bCs/>
          <w:snapToGrid w:val="0"/>
          <w:color w:val="000000"/>
          <w:kern w:val="0"/>
          <w:sz w:val="32"/>
          <w:szCs w:val="32"/>
        </w:rPr>
        <w:t>（项）：</w:t>
      </w:r>
      <w:r>
        <w:rPr>
          <w:rFonts w:eastAsia="仿宋_GB2312"/>
          <w:b w:val="0"/>
          <w:bCs/>
          <w:snapToGrid w:val="0"/>
          <w:color w:val="000000"/>
          <w:kern w:val="0"/>
          <w:sz w:val="32"/>
          <w:szCs w:val="32"/>
        </w:rPr>
        <w:t>指用于事业单位医疗保险缴费经费，未参加医疗保险的事业单位的公费医疗经费，按国家规定享受离休人员待遇的医疗经费。</w:t>
      </w:r>
    </w:p>
    <w:p>
      <w:pPr>
        <w:overflowPunct w:val="0"/>
        <w:adjustRightInd w:val="0"/>
        <w:snapToGrid w:val="0"/>
        <w:spacing w:line="600" w:lineRule="exact"/>
        <w:ind w:firstLine="640" w:firstLineChars="200"/>
        <w:rPr>
          <w:rFonts w:eastAsia="仿宋_GB2312"/>
          <w:b w:val="0"/>
          <w:bCs/>
          <w:snapToGrid w:val="0"/>
          <w:kern w:val="0"/>
          <w:sz w:val="32"/>
          <w:szCs w:val="32"/>
        </w:rPr>
      </w:pPr>
      <w:r>
        <w:rPr>
          <w:rFonts w:eastAsia="仿宋_GB2312"/>
          <w:b w:val="0"/>
          <w:bCs/>
          <w:snapToGrid w:val="0"/>
          <w:kern w:val="0"/>
          <w:sz w:val="32"/>
          <w:szCs w:val="32"/>
        </w:rPr>
        <w:t>2</w:t>
      </w:r>
      <w:r>
        <w:rPr>
          <w:rFonts w:hint="eastAsia" w:eastAsia="仿宋_GB2312"/>
          <w:b w:val="0"/>
          <w:bCs/>
          <w:snapToGrid w:val="0"/>
          <w:kern w:val="0"/>
          <w:sz w:val="32"/>
          <w:szCs w:val="32"/>
          <w:lang w:val="en-US" w:eastAsia="zh-CN"/>
        </w:rPr>
        <w:t>9</w:t>
      </w:r>
      <w:r>
        <w:rPr>
          <w:rStyle w:val="14"/>
          <w:rFonts w:eastAsia="仿宋_GB2312"/>
          <w:b w:val="0"/>
          <w:bCs/>
          <w:snapToGrid w:val="0"/>
          <w:color w:val="000000"/>
          <w:kern w:val="0"/>
          <w:sz w:val="32"/>
          <w:szCs w:val="32"/>
        </w:rPr>
        <w:t>．</w:t>
      </w:r>
      <w:r>
        <w:rPr>
          <w:rStyle w:val="14"/>
          <w:rFonts w:hint="eastAsia" w:eastAsia="仿宋_GB2312"/>
          <w:b w:val="0"/>
          <w:bCs/>
          <w:snapToGrid w:val="0"/>
          <w:color w:val="000000"/>
          <w:kern w:val="0"/>
          <w:sz w:val="32"/>
          <w:szCs w:val="32"/>
          <w:lang w:eastAsia="zh-CN"/>
        </w:rPr>
        <w:t>卫生健康</w:t>
      </w:r>
      <w:r>
        <w:rPr>
          <w:rStyle w:val="14"/>
          <w:rFonts w:eastAsia="仿宋_GB2312"/>
          <w:b w:val="0"/>
          <w:bCs/>
          <w:snapToGrid w:val="0"/>
          <w:color w:val="000000"/>
          <w:kern w:val="0"/>
          <w:sz w:val="32"/>
          <w:szCs w:val="32"/>
        </w:rPr>
        <w:t>支出（类）</w:t>
      </w:r>
      <w:r>
        <w:rPr>
          <w:rStyle w:val="14"/>
          <w:rFonts w:hint="eastAsia" w:eastAsia="仿宋_GB2312"/>
          <w:b w:val="0"/>
          <w:bCs/>
          <w:snapToGrid w:val="0"/>
          <w:color w:val="000000"/>
          <w:kern w:val="0"/>
          <w:sz w:val="32"/>
          <w:szCs w:val="32"/>
          <w:lang w:eastAsia="zh-CN"/>
        </w:rPr>
        <w:t>行政事业单位医疗</w:t>
      </w:r>
      <w:r>
        <w:rPr>
          <w:rStyle w:val="14"/>
          <w:rFonts w:eastAsia="仿宋_GB2312"/>
          <w:b w:val="0"/>
          <w:bCs/>
          <w:snapToGrid w:val="0"/>
          <w:color w:val="000000"/>
          <w:kern w:val="0"/>
          <w:sz w:val="32"/>
          <w:szCs w:val="32"/>
        </w:rPr>
        <w:t>（款）</w:t>
      </w:r>
      <w:r>
        <w:rPr>
          <w:rStyle w:val="14"/>
          <w:rFonts w:hint="eastAsia" w:eastAsia="仿宋_GB2312"/>
          <w:b w:val="0"/>
          <w:bCs/>
          <w:snapToGrid w:val="0"/>
          <w:color w:val="000000"/>
          <w:kern w:val="0"/>
          <w:sz w:val="32"/>
          <w:szCs w:val="32"/>
          <w:lang w:eastAsia="zh-CN"/>
        </w:rPr>
        <w:t>公务员医疗补助</w:t>
      </w:r>
      <w:r>
        <w:rPr>
          <w:rStyle w:val="14"/>
          <w:rFonts w:eastAsia="仿宋_GB2312"/>
          <w:b w:val="0"/>
          <w:bCs/>
          <w:snapToGrid w:val="0"/>
          <w:color w:val="000000"/>
          <w:kern w:val="0"/>
          <w:sz w:val="32"/>
          <w:szCs w:val="32"/>
        </w:rPr>
        <w:t>（项）：</w:t>
      </w:r>
      <w:r>
        <w:rPr>
          <w:rFonts w:eastAsia="仿宋_GB2312"/>
          <w:b w:val="0"/>
          <w:bCs/>
          <w:snapToGrid w:val="0"/>
          <w:color w:val="000000"/>
          <w:kern w:val="0"/>
          <w:sz w:val="32"/>
          <w:szCs w:val="32"/>
        </w:rPr>
        <w:t>指用于安排的公务员医疗补助经费。</w:t>
      </w:r>
    </w:p>
    <w:p>
      <w:pPr>
        <w:overflowPunct w:val="0"/>
        <w:adjustRightInd w:val="0"/>
        <w:snapToGrid w:val="0"/>
        <w:spacing w:line="600" w:lineRule="exact"/>
        <w:ind w:firstLine="640" w:firstLineChars="200"/>
        <w:rPr>
          <w:rFonts w:eastAsia="仿宋_GB2312"/>
          <w:b w:val="0"/>
          <w:bCs/>
          <w:snapToGrid w:val="0"/>
          <w:color w:val="000000"/>
          <w:kern w:val="0"/>
          <w:sz w:val="32"/>
          <w:szCs w:val="32"/>
        </w:rPr>
      </w:pPr>
      <w:r>
        <w:rPr>
          <w:rFonts w:hint="eastAsia" w:eastAsia="仿宋_GB2312"/>
          <w:b w:val="0"/>
          <w:bCs/>
          <w:snapToGrid w:val="0"/>
          <w:kern w:val="0"/>
          <w:sz w:val="32"/>
          <w:szCs w:val="32"/>
          <w:lang w:val="en-US" w:eastAsia="zh-CN"/>
        </w:rPr>
        <w:t>30</w:t>
      </w:r>
      <w:r>
        <w:rPr>
          <w:rStyle w:val="14"/>
          <w:rFonts w:eastAsia="仿宋_GB2312"/>
          <w:b w:val="0"/>
          <w:bCs/>
          <w:snapToGrid w:val="0"/>
          <w:color w:val="000000"/>
          <w:kern w:val="0"/>
          <w:sz w:val="32"/>
          <w:szCs w:val="32"/>
        </w:rPr>
        <w:t>．</w:t>
      </w:r>
      <w:r>
        <w:rPr>
          <w:rStyle w:val="14"/>
          <w:rFonts w:hint="eastAsia" w:eastAsia="仿宋_GB2312"/>
          <w:b w:val="0"/>
          <w:bCs/>
          <w:snapToGrid w:val="0"/>
          <w:color w:val="000000"/>
          <w:kern w:val="0"/>
          <w:sz w:val="32"/>
          <w:szCs w:val="32"/>
          <w:lang w:eastAsia="zh-CN"/>
        </w:rPr>
        <w:t>卫生健康</w:t>
      </w:r>
      <w:r>
        <w:rPr>
          <w:rStyle w:val="14"/>
          <w:rFonts w:eastAsia="仿宋_GB2312"/>
          <w:b w:val="0"/>
          <w:bCs/>
          <w:snapToGrid w:val="0"/>
          <w:color w:val="000000"/>
          <w:kern w:val="0"/>
          <w:sz w:val="32"/>
          <w:szCs w:val="32"/>
        </w:rPr>
        <w:t>支出（类）</w:t>
      </w:r>
      <w:r>
        <w:rPr>
          <w:rStyle w:val="14"/>
          <w:rFonts w:hint="eastAsia" w:eastAsia="仿宋_GB2312"/>
          <w:b w:val="0"/>
          <w:bCs/>
          <w:snapToGrid w:val="0"/>
          <w:color w:val="000000"/>
          <w:kern w:val="0"/>
          <w:sz w:val="32"/>
          <w:szCs w:val="32"/>
          <w:lang w:eastAsia="zh-CN"/>
        </w:rPr>
        <w:t>其他卫生健康支出</w:t>
      </w:r>
      <w:r>
        <w:rPr>
          <w:rStyle w:val="14"/>
          <w:rFonts w:eastAsia="仿宋_GB2312"/>
          <w:b w:val="0"/>
          <w:bCs/>
          <w:snapToGrid w:val="0"/>
          <w:color w:val="000000"/>
          <w:kern w:val="0"/>
          <w:sz w:val="32"/>
          <w:szCs w:val="32"/>
        </w:rPr>
        <w:t>（款）</w:t>
      </w:r>
      <w:r>
        <w:rPr>
          <w:rStyle w:val="14"/>
          <w:rFonts w:hint="eastAsia" w:eastAsia="仿宋_GB2312"/>
          <w:b w:val="0"/>
          <w:bCs/>
          <w:snapToGrid w:val="0"/>
          <w:color w:val="000000"/>
          <w:kern w:val="0"/>
          <w:sz w:val="32"/>
          <w:szCs w:val="32"/>
          <w:lang w:eastAsia="zh-CN"/>
        </w:rPr>
        <w:t>其他卫生健康支出</w:t>
      </w:r>
      <w:r>
        <w:rPr>
          <w:rStyle w:val="14"/>
          <w:rFonts w:eastAsia="仿宋_GB2312"/>
          <w:b w:val="0"/>
          <w:bCs/>
          <w:snapToGrid w:val="0"/>
          <w:color w:val="000000"/>
          <w:kern w:val="0"/>
          <w:sz w:val="32"/>
          <w:szCs w:val="32"/>
        </w:rPr>
        <w:t>（项）：</w:t>
      </w:r>
      <w:r>
        <w:rPr>
          <w:rFonts w:eastAsia="仿宋_GB2312"/>
          <w:b w:val="0"/>
          <w:bCs/>
          <w:snapToGrid w:val="0"/>
          <w:color w:val="000000"/>
          <w:kern w:val="0"/>
          <w:sz w:val="32"/>
          <w:szCs w:val="32"/>
        </w:rPr>
        <w:t>指用于安排</w:t>
      </w:r>
      <w:r>
        <w:rPr>
          <w:rFonts w:eastAsia="楷体_GB2312"/>
          <w:b w:val="0"/>
          <w:bCs/>
          <w:snapToGrid w:val="0"/>
          <w:color w:val="000000"/>
          <w:kern w:val="0"/>
          <w:sz w:val="32"/>
          <w:szCs w:val="32"/>
        </w:rPr>
        <w:t>其他医疗卫生与计划生育方面的支出</w:t>
      </w:r>
      <w:r>
        <w:rPr>
          <w:rFonts w:eastAsia="仿宋_GB2312"/>
          <w:b w:val="0"/>
          <w:bCs/>
          <w:snapToGrid w:val="0"/>
          <w:color w:val="000000"/>
          <w:kern w:val="0"/>
          <w:sz w:val="32"/>
          <w:szCs w:val="32"/>
        </w:rPr>
        <w:t>。</w:t>
      </w:r>
    </w:p>
    <w:p>
      <w:pPr>
        <w:overflowPunct w:val="0"/>
        <w:adjustRightInd w:val="0"/>
        <w:snapToGrid w:val="0"/>
        <w:spacing w:line="600" w:lineRule="exact"/>
        <w:ind w:firstLine="640" w:firstLineChars="200"/>
        <w:rPr>
          <w:rFonts w:eastAsia="仿宋_GB2312"/>
          <w:b w:val="0"/>
          <w:bCs/>
          <w:snapToGrid w:val="0"/>
          <w:color w:val="000000"/>
          <w:kern w:val="0"/>
          <w:sz w:val="32"/>
          <w:szCs w:val="32"/>
        </w:rPr>
      </w:pPr>
      <w:r>
        <w:rPr>
          <w:rFonts w:eastAsia="楷体_GB2312"/>
          <w:b w:val="0"/>
          <w:bCs/>
          <w:snapToGrid w:val="0"/>
          <w:color w:val="000000"/>
          <w:kern w:val="0"/>
          <w:sz w:val="32"/>
          <w:szCs w:val="32"/>
        </w:rPr>
        <w:t>3</w:t>
      </w:r>
      <w:r>
        <w:rPr>
          <w:rFonts w:hint="eastAsia" w:eastAsia="楷体_GB2312"/>
          <w:b w:val="0"/>
          <w:bCs/>
          <w:snapToGrid w:val="0"/>
          <w:color w:val="000000"/>
          <w:kern w:val="0"/>
          <w:sz w:val="32"/>
          <w:szCs w:val="32"/>
          <w:lang w:val="en-US" w:eastAsia="zh-CN"/>
        </w:rPr>
        <w:t>1</w:t>
      </w:r>
      <w:r>
        <w:rPr>
          <w:rFonts w:eastAsia="仿宋_GB2312"/>
          <w:b w:val="0"/>
          <w:bCs/>
          <w:snapToGrid w:val="0"/>
          <w:color w:val="000000"/>
          <w:kern w:val="0"/>
          <w:sz w:val="32"/>
        </w:rPr>
        <w:t>．</w:t>
      </w:r>
      <w:r>
        <w:rPr>
          <w:rFonts w:eastAsia="楷体_GB2312"/>
          <w:b w:val="0"/>
          <w:bCs/>
          <w:snapToGrid w:val="0"/>
          <w:color w:val="000000"/>
          <w:kern w:val="0"/>
          <w:sz w:val="32"/>
          <w:szCs w:val="32"/>
        </w:rPr>
        <w:t>住房保障支出（类）住房改革支出（款）住房公积金（项）：</w:t>
      </w:r>
      <w:r>
        <w:rPr>
          <w:rFonts w:eastAsia="仿宋_GB2312"/>
          <w:b w:val="0"/>
          <w:bCs/>
          <w:snapToGrid w:val="0"/>
          <w:color w:val="000000"/>
          <w:kern w:val="0"/>
          <w:sz w:val="32"/>
          <w:szCs w:val="32"/>
        </w:rPr>
        <w:t>指用于行政事业单位按人力资源和社会保障部、财政部规定的基本工资和津贴补贴以及规定比例为职工缴纳的住房公积金。</w:t>
      </w:r>
    </w:p>
    <w:p>
      <w:pPr>
        <w:overflowPunct w:val="0"/>
        <w:adjustRightInd w:val="0"/>
        <w:snapToGrid w:val="0"/>
        <w:spacing w:line="600" w:lineRule="exact"/>
        <w:ind w:firstLine="640" w:firstLineChars="200"/>
        <w:rPr>
          <w:rFonts w:eastAsia="仿宋_GB2312"/>
          <w:b w:val="0"/>
          <w:bCs/>
          <w:snapToGrid w:val="0"/>
          <w:color w:val="000000"/>
          <w:kern w:val="0"/>
          <w:sz w:val="32"/>
          <w:szCs w:val="32"/>
        </w:rPr>
      </w:pPr>
      <w:r>
        <w:rPr>
          <w:rFonts w:eastAsia="楷体_GB2312"/>
          <w:b w:val="0"/>
          <w:bCs/>
          <w:snapToGrid w:val="0"/>
          <w:color w:val="000000"/>
          <w:kern w:val="0"/>
          <w:sz w:val="32"/>
          <w:szCs w:val="32"/>
        </w:rPr>
        <w:t>3</w:t>
      </w:r>
      <w:r>
        <w:rPr>
          <w:rFonts w:hint="eastAsia" w:eastAsia="楷体_GB2312"/>
          <w:b w:val="0"/>
          <w:bCs/>
          <w:snapToGrid w:val="0"/>
          <w:color w:val="000000"/>
          <w:kern w:val="0"/>
          <w:sz w:val="32"/>
          <w:szCs w:val="32"/>
          <w:lang w:val="en-US" w:eastAsia="zh-CN"/>
        </w:rPr>
        <w:t>2</w:t>
      </w:r>
      <w:r>
        <w:rPr>
          <w:rFonts w:eastAsia="仿宋_GB2312"/>
          <w:b w:val="0"/>
          <w:bCs/>
          <w:snapToGrid w:val="0"/>
          <w:color w:val="000000"/>
          <w:kern w:val="0"/>
          <w:sz w:val="32"/>
        </w:rPr>
        <w:t>．</w:t>
      </w:r>
      <w:r>
        <w:rPr>
          <w:rFonts w:eastAsia="楷体_GB2312"/>
          <w:b w:val="0"/>
          <w:bCs/>
          <w:snapToGrid w:val="0"/>
          <w:color w:val="000000"/>
          <w:kern w:val="0"/>
          <w:sz w:val="32"/>
          <w:szCs w:val="32"/>
        </w:rPr>
        <w:t>住房保障支出（类）住房改革支出（款）购房补贴（项）：</w:t>
      </w:r>
      <w:r>
        <w:rPr>
          <w:rFonts w:eastAsia="仿宋_GB2312"/>
          <w:b w:val="0"/>
          <w:bCs/>
          <w:snapToGrid w:val="0"/>
          <w:color w:val="000000"/>
          <w:kern w:val="0"/>
          <w:sz w:val="32"/>
          <w:szCs w:val="32"/>
        </w:rPr>
        <w:t>指用于按房改政策规定，行政事业单位向符合条件职工发放的用于购买住房的补贴。</w:t>
      </w:r>
    </w:p>
    <w:p>
      <w:pPr>
        <w:overflowPunct w:val="0"/>
        <w:adjustRightInd w:val="0"/>
        <w:snapToGrid w:val="0"/>
        <w:spacing w:line="600" w:lineRule="exact"/>
        <w:ind w:firstLine="640" w:firstLineChars="200"/>
        <w:rPr>
          <w:rFonts w:eastAsia="仿宋_GB2312"/>
          <w:b w:val="0"/>
          <w:bCs/>
          <w:snapToGrid w:val="0"/>
          <w:color w:val="000000"/>
          <w:kern w:val="0"/>
          <w:sz w:val="32"/>
          <w:szCs w:val="32"/>
        </w:rPr>
      </w:pPr>
      <w:r>
        <w:rPr>
          <w:rFonts w:eastAsia="楷体_GB2312"/>
          <w:b w:val="0"/>
          <w:bCs/>
          <w:snapToGrid w:val="0"/>
          <w:color w:val="000000"/>
          <w:kern w:val="0"/>
          <w:sz w:val="32"/>
          <w:szCs w:val="32"/>
        </w:rPr>
        <w:t>3</w:t>
      </w:r>
      <w:r>
        <w:rPr>
          <w:rFonts w:hint="eastAsia" w:eastAsia="楷体_GB2312"/>
          <w:b w:val="0"/>
          <w:bCs/>
          <w:snapToGrid w:val="0"/>
          <w:color w:val="000000"/>
          <w:kern w:val="0"/>
          <w:sz w:val="32"/>
          <w:szCs w:val="32"/>
          <w:lang w:val="en-US" w:eastAsia="zh-CN"/>
        </w:rPr>
        <w:t>3</w:t>
      </w:r>
      <w:r>
        <w:rPr>
          <w:rFonts w:eastAsia="仿宋_GB2312"/>
          <w:b w:val="0"/>
          <w:bCs/>
          <w:snapToGrid w:val="0"/>
          <w:color w:val="000000"/>
          <w:kern w:val="0"/>
          <w:sz w:val="32"/>
        </w:rPr>
        <w:t>．</w:t>
      </w:r>
      <w:r>
        <w:rPr>
          <w:rFonts w:eastAsia="楷体_GB2312"/>
          <w:b w:val="0"/>
          <w:bCs/>
          <w:snapToGrid w:val="0"/>
          <w:color w:val="000000"/>
          <w:kern w:val="0"/>
          <w:sz w:val="32"/>
          <w:szCs w:val="32"/>
        </w:rPr>
        <w:t>其他支出（类）其他支出（款）其他支出（项）：</w:t>
      </w:r>
      <w:r>
        <w:rPr>
          <w:rFonts w:eastAsia="仿宋_GB2312"/>
          <w:b w:val="0"/>
          <w:bCs/>
          <w:snapToGrid w:val="0"/>
          <w:color w:val="000000"/>
          <w:kern w:val="0"/>
          <w:sz w:val="32"/>
          <w:szCs w:val="32"/>
        </w:rPr>
        <w:t>指不能划分到具体功能科目中的支出项目。</w:t>
      </w:r>
    </w:p>
    <w:p>
      <w:pPr>
        <w:overflowPunct w:val="0"/>
        <w:adjustRightInd w:val="0"/>
        <w:snapToGrid w:val="0"/>
        <w:spacing w:line="600" w:lineRule="exact"/>
        <w:ind w:firstLine="640" w:firstLineChars="200"/>
        <w:rPr>
          <w:rFonts w:eastAsia="仿宋_GB2312"/>
          <w:b w:val="0"/>
          <w:bCs/>
          <w:snapToGrid w:val="0"/>
          <w:color w:val="000000"/>
          <w:kern w:val="0"/>
          <w:sz w:val="32"/>
          <w:szCs w:val="32"/>
        </w:rPr>
      </w:pPr>
      <w:r>
        <w:rPr>
          <w:rFonts w:eastAsia="楷体_GB2312"/>
          <w:b w:val="0"/>
          <w:bCs/>
          <w:snapToGrid w:val="0"/>
          <w:color w:val="000000"/>
          <w:kern w:val="0"/>
          <w:sz w:val="32"/>
          <w:szCs w:val="32"/>
        </w:rPr>
        <w:t>3</w:t>
      </w:r>
      <w:r>
        <w:rPr>
          <w:rFonts w:hint="eastAsia" w:eastAsia="楷体_GB2312"/>
          <w:b w:val="0"/>
          <w:bCs/>
          <w:snapToGrid w:val="0"/>
          <w:color w:val="000000"/>
          <w:kern w:val="0"/>
          <w:sz w:val="32"/>
          <w:szCs w:val="32"/>
          <w:lang w:val="en-US" w:eastAsia="zh-CN"/>
        </w:rPr>
        <w:t>4</w:t>
      </w:r>
      <w:r>
        <w:rPr>
          <w:rFonts w:eastAsia="仿宋_GB2312"/>
          <w:b w:val="0"/>
          <w:bCs/>
          <w:snapToGrid w:val="0"/>
          <w:color w:val="000000"/>
          <w:kern w:val="0"/>
          <w:sz w:val="32"/>
        </w:rPr>
        <w:t>．</w:t>
      </w:r>
      <w:r>
        <w:rPr>
          <w:rFonts w:eastAsia="楷体_GB2312"/>
          <w:b w:val="0"/>
          <w:bCs/>
          <w:snapToGrid w:val="0"/>
          <w:color w:val="000000"/>
          <w:kern w:val="0"/>
          <w:sz w:val="32"/>
          <w:szCs w:val="32"/>
        </w:rPr>
        <w:t>基本支出：</w:t>
      </w:r>
      <w:r>
        <w:rPr>
          <w:rFonts w:eastAsia="仿宋_GB2312"/>
          <w:b w:val="0"/>
          <w:bCs/>
          <w:snapToGrid w:val="0"/>
          <w:color w:val="000000"/>
          <w:kern w:val="0"/>
          <w:sz w:val="32"/>
          <w:szCs w:val="32"/>
        </w:rPr>
        <w:t>指为保障机构正常运转、完成日常工作任务而发生的人员支出和公用支出。</w:t>
      </w:r>
    </w:p>
    <w:p>
      <w:pPr>
        <w:overflowPunct w:val="0"/>
        <w:adjustRightInd w:val="0"/>
        <w:snapToGrid w:val="0"/>
        <w:spacing w:line="600" w:lineRule="exact"/>
        <w:ind w:firstLine="640" w:firstLineChars="200"/>
        <w:rPr>
          <w:rFonts w:eastAsia="仿宋_GB2312"/>
          <w:b w:val="0"/>
          <w:bCs/>
          <w:snapToGrid w:val="0"/>
          <w:color w:val="000000"/>
          <w:kern w:val="0"/>
          <w:sz w:val="32"/>
          <w:szCs w:val="32"/>
        </w:rPr>
      </w:pPr>
      <w:r>
        <w:rPr>
          <w:rFonts w:eastAsia="楷体_GB2312"/>
          <w:b w:val="0"/>
          <w:bCs/>
          <w:snapToGrid w:val="0"/>
          <w:color w:val="000000"/>
          <w:kern w:val="0"/>
          <w:sz w:val="32"/>
          <w:szCs w:val="32"/>
        </w:rPr>
        <w:t>3</w:t>
      </w:r>
      <w:r>
        <w:rPr>
          <w:rFonts w:hint="eastAsia" w:eastAsia="楷体_GB2312"/>
          <w:b w:val="0"/>
          <w:bCs/>
          <w:snapToGrid w:val="0"/>
          <w:color w:val="000000"/>
          <w:kern w:val="0"/>
          <w:sz w:val="32"/>
          <w:szCs w:val="32"/>
          <w:lang w:val="en-US" w:eastAsia="zh-CN"/>
        </w:rPr>
        <w:t>5</w:t>
      </w:r>
      <w:r>
        <w:rPr>
          <w:rFonts w:eastAsia="仿宋_GB2312"/>
          <w:b w:val="0"/>
          <w:bCs/>
          <w:snapToGrid w:val="0"/>
          <w:color w:val="000000"/>
          <w:kern w:val="0"/>
          <w:sz w:val="32"/>
        </w:rPr>
        <w:t>．</w:t>
      </w:r>
      <w:r>
        <w:rPr>
          <w:rFonts w:eastAsia="楷体_GB2312"/>
          <w:b w:val="0"/>
          <w:bCs/>
          <w:snapToGrid w:val="0"/>
          <w:color w:val="000000"/>
          <w:kern w:val="0"/>
          <w:sz w:val="32"/>
          <w:szCs w:val="32"/>
        </w:rPr>
        <w:t>项目支出：</w:t>
      </w:r>
      <w:r>
        <w:rPr>
          <w:rFonts w:eastAsia="仿宋_GB2312"/>
          <w:b w:val="0"/>
          <w:bCs/>
          <w:snapToGrid w:val="0"/>
          <w:color w:val="000000"/>
          <w:kern w:val="0"/>
          <w:sz w:val="32"/>
          <w:szCs w:val="32"/>
        </w:rPr>
        <w:t>指在基本支出之外为完成特定行政任务和事业发展目标所发生的支出。</w:t>
      </w:r>
    </w:p>
    <w:p>
      <w:pPr>
        <w:pStyle w:val="21"/>
        <w:overflowPunct w:val="0"/>
        <w:autoSpaceDE/>
        <w:autoSpaceDN/>
        <w:adjustRightInd w:val="0"/>
        <w:snapToGrid w:val="0"/>
        <w:spacing w:line="600" w:lineRule="exact"/>
        <w:ind w:firstLine="640" w:firstLineChars="200"/>
        <w:jc w:val="both"/>
        <w:rPr>
          <w:rFonts w:ascii="Times New Roman" w:hAnsi="Times New Roman" w:eastAsia="仿宋_GB2312" w:cs="Times New Roman"/>
          <w:b w:val="0"/>
          <w:bCs/>
          <w:snapToGrid w:val="0"/>
          <w:sz w:val="32"/>
          <w:szCs w:val="32"/>
        </w:rPr>
      </w:pPr>
      <w:r>
        <w:rPr>
          <w:rFonts w:ascii="Times New Roman" w:hAnsi="Times New Roman" w:eastAsia="楷体_GB2312" w:cs="Times New Roman"/>
          <w:b w:val="0"/>
          <w:bCs/>
          <w:snapToGrid w:val="0"/>
          <w:sz w:val="32"/>
          <w:szCs w:val="32"/>
        </w:rPr>
        <w:t>3</w:t>
      </w:r>
      <w:r>
        <w:rPr>
          <w:rFonts w:hint="eastAsia" w:ascii="Times New Roman" w:hAnsi="Times New Roman" w:eastAsia="楷体_GB2312" w:cs="Times New Roman"/>
          <w:b w:val="0"/>
          <w:bCs/>
          <w:snapToGrid w:val="0"/>
          <w:sz w:val="32"/>
          <w:szCs w:val="32"/>
          <w:lang w:val="en-US" w:eastAsia="zh-CN"/>
        </w:rPr>
        <w:t>6</w:t>
      </w:r>
      <w:r>
        <w:rPr>
          <w:rFonts w:ascii="Times New Roman" w:hAnsi="Times New Roman" w:eastAsia="仿宋_GB2312" w:cs="Times New Roman"/>
          <w:b w:val="0"/>
          <w:bCs/>
          <w:snapToGrid w:val="0"/>
          <w:sz w:val="32"/>
        </w:rPr>
        <w:t>．</w:t>
      </w:r>
      <w:r>
        <w:rPr>
          <w:rFonts w:ascii="Times New Roman" w:hAnsi="Times New Roman" w:eastAsia="楷体_GB2312" w:cs="Times New Roman"/>
          <w:b w:val="0"/>
          <w:bCs/>
          <w:snapToGrid w:val="0"/>
          <w:sz w:val="32"/>
          <w:szCs w:val="32"/>
        </w:rPr>
        <w:t>“三公”经费：</w:t>
      </w:r>
      <w:r>
        <w:rPr>
          <w:rFonts w:ascii="Times New Roman" w:hAnsi="Times New Roman" w:eastAsia="仿宋_GB2312" w:cs="Times New Roman"/>
          <w:b w:val="0"/>
          <w:bCs/>
          <w:snapToGrid w:val="0"/>
          <w:sz w:val="32"/>
          <w:szCs w:val="32"/>
        </w:rPr>
        <w:t>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1"/>
        <w:overflowPunct w:val="0"/>
        <w:autoSpaceDE/>
        <w:autoSpaceDN/>
        <w:adjustRightInd w:val="0"/>
        <w:snapToGrid w:val="0"/>
        <w:spacing w:line="600" w:lineRule="exact"/>
        <w:ind w:firstLine="640" w:firstLineChars="200"/>
        <w:jc w:val="both"/>
        <w:rPr>
          <w:rFonts w:ascii="Times New Roman" w:hAnsi="Times New Roman" w:eastAsia="仿宋_GB2312" w:cs="Times New Roman"/>
          <w:b w:val="0"/>
          <w:bCs/>
          <w:snapToGrid w:val="0"/>
          <w:sz w:val="32"/>
          <w:szCs w:val="32"/>
        </w:rPr>
      </w:pPr>
      <w:r>
        <w:rPr>
          <w:rFonts w:ascii="Times New Roman" w:hAnsi="Times New Roman" w:eastAsia="楷体_GB2312" w:cs="Times New Roman"/>
          <w:b w:val="0"/>
          <w:bCs/>
          <w:snapToGrid w:val="0"/>
          <w:sz w:val="32"/>
          <w:szCs w:val="32"/>
        </w:rPr>
        <w:t>3</w:t>
      </w:r>
      <w:r>
        <w:rPr>
          <w:rFonts w:hint="eastAsia" w:ascii="Times New Roman" w:hAnsi="Times New Roman" w:eastAsia="楷体_GB2312" w:cs="Times New Roman"/>
          <w:b w:val="0"/>
          <w:bCs/>
          <w:snapToGrid w:val="0"/>
          <w:sz w:val="32"/>
          <w:szCs w:val="32"/>
          <w:lang w:val="en-US" w:eastAsia="zh-CN"/>
        </w:rPr>
        <w:t>7</w:t>
      </w:r>
      <w:r>
        <w:rPr>
          <w:rFonts w:ascii="Times New Roman" w:hAnsi="Times New Roman" w:eastAsia="仿宋_GB2312" w:cs="Times New Roman"/>
          <w:b w:val="0"/>
          <w:bCs/>
          <w:snapToGrid w:val="0"/>
          <w:sz w:val="32"/>
        </w:rPr>
        <w:t>．</w:t>
      </w:r>
      <w:r>
        <w:rPr>
          <w:rFonts w:ascii="Times New Roman" w:hAnsi="Times New Roman" w:eastAsia="楷体_GB2312" w:cs="Times New Roman"/>
          <w:b w:val="0"/>
          <w:bCs/>
          <w:snapToGrid w:val="0"/>
          <w:sz w:val="32"/>
          <w:szCs w:val="32"/>
        </w:rPr>
        <w:t>机关运行经费：</w:t>
      </w:r>
      <w:r>
        <w:rPr>
          <w:rFonts w:ascii="Times New Roman" w:hAnsi="Times New Roman" w:eastAsia="仿宋_GB2312" w:cs="Times New Roman"/>
          <w:b w:val="0"/>
          <w:bCs/>
          <w:snapToGrid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宋体"/>
          <w:b/>
          <w:color w:val="000000"/>
          <w:sz w:val="44"/>
          <w:szCs w:val="44"/>
        </w:rPr>
      </w:pPr>
      <w:bookmarkStart w:id="55" w:name="_Toc15377226"/>
      <w:r>
        <w:rPr>
          <w:rFonts w:ascii="宋体"/>
          <w:b/>
          <w:color w:val="000000"/>
          <w:sz w:val="44"/>
          <w:szCs w:val="44"/>
        </w:rPr>
        <w:br w:type="page"/>
      </w:r>
      <w:bookmarkStart w:id="56" w:name="_Toc15396614"/>
    </w:p>
    <w:p>
      <w:pPr>
        <w:spacing w:line="600" w:lineRule="exact"/>
        <w:jc w:val="center"/>
        <w:outlineLvl w:val="0"/>
        <w:rPr>
          <w:rStyle w:val="16"/>
          <w:rFonts w:ascii="黑体" w:eastAsia="黑体"/>
          <w:b w:val="0"/>
        </w:rPr>
      </w:pPr>
      <w:r>
        <w:rPr>
          <w:rFonts w:hint="eastAsia" w:ascii="黑体" w:eastAsia="黑体"/>
          <w:color w:val="000000"/>
          <w:sz w:val="44"/>
          <w:szCs w:val="44"/>
        </w:rPr>
        <w:t>第</w:t>
      </w:r>
      <w:r>
        <w:rPr>
          <w:rStyle w:val="16"/>
          <w:rFonts w:hint="eastAsia" w:ascii="黑体" w:eastAsia="黑体"/>
          <w:b w:val="0"/>
        </w:rPr>
        <w:t>四部分 附件</w:t>
      </w:r>
      <w:bookmarkEnd w:id="56"/>
    </w:p>
    <w:p>
      <w:pPr>
        <w:widowControl/>
        <w:spacing w:line="600" w:lineRule="exact"/>
        <w:rPr>
          <w:rFonts w:ascii="方正兰亭黑_GBK" w:hAnsi="方正兰亭黑_GBK"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附件1</w:t>
      </w:r>
    </w:p>
    <w:p>
      <w:pPr>
        <w:pStyle w:val="2"/>
        <w:rPr>
          <w:rFonts w:hint="eastAsia"/>
        </w:rPr>
      </w:pPr>
    </w:p>
    <w:p>
      <w:pPr>
        <w:widowControl/>
        <w:spacing w:line="600" w:lineRule="exact"/>
        <w:jc w:val="center"/>
        <w:rPr>
          <w:rFonts w:ascii="方正小标宋简体" w:eastAsia="方正小标宋简体"/>
          <w:b/>
          <w:sz w:val="44"/>
          <w:szCs w:val="44"/>
          <w:shd w:val="clear" w:color="auto" w:fill="FFFFFF"/>
        </w:rPr>
      </w:pPr>
      <w:r>
        <w:rPr>
          <w:rFonts w:hint="eastAsia" w:ascii="方正小标宋简体" w:eastAsia="方正小标宋简体"/>
          <w:b/>
          <w:sz w:val="44"/>
          <w:szCs w:val="44"/>
          <w:shd w:val="clear" w:color="auto" w:fill="FFFFFF"/>
        </w:rPr>
        <w:t>中共四川省委宣传部</w:t>
      </w:r>
    </w:p>
    <w:p>
      <w:pPr>
        <w:widowControl/>
        <w:spacing w:line="600" w:lineRule="exact"/>
        <w:jc w:val="center"/>
        <w:rPr>
          <w:rFonts w:ascii="方正小标宋简体" w:eastAsia="方正小标宋简体"/>
          <w:b/>
          <w:sz w:val="44"/>
          <w:szCs w:val="44"/>
          <w:shd w:val="clear" w:color="auto" w:fill="FFFFFF"/>
        </w:rPr>
      </w:pPr>
      <w:r>
        <w:rPr>
          <w:rFonts w:hint="eastAsia" w:ascii="方正小标宋简体" w:eastAsia="方正小标宋简体"/>
          <w:b/>
          <w:sz w:val="44"/>
          <w:szCs w:val="44"/>
          <w:shd w:val="clear" w:color="auto" w:fill="FFFFFF"/>
        </w:rPr>
        <w:t>2020年度整体支出绩效评价自评报告</w:t>
      </w:r>
    </w:p>
    <w:p>
      <w:pPr>
        <w:widowControl/>
        <w:adjustRightInd w:val="0"/>
        <w:snapToGrid w:val="0"/>
        <w:spacing w:line="580" w:lineRule="exact"/>
        <w:ind w:firstLine="640" w:firstLineChars="200"/>
        <w:contextualSpacing/>
        <w:jc w:val="left"/>
        <w:rPr>
          <w:rFonts w:ascii="黑体" w:eastAsia="黑体" w:cs="宋体"/>
          <w:color w:val="000000"/>
          <w:kern w:val="0"/>
          <w:sz w:val="32"/>
          <w:szCs w:val="32"/>
          <w:shd w:val="clear" w:color="auto" w:fill="FFFFFF"/>
          <w:lang w:val="zh-CN"/>
        </w:rPr>
      </w:pPr>
      <w:r>
        <w:rPr>
          <w:rFonts w:hint="eastAsia" w:ascii="黑体" w:eastAsia="黑体" w:cs="宋体"/>
          <w:color w:val="000000"/>
          <w:kern w:val="0"/>
          <w:sz w:val="32"/>
          <w:szCs w:val="32"/>
          <w:shd w:val="clear" w:color="auto" w:fill="FFFFFF"/>
        </w:rPr>
        <w:t>一、</w:t>
      </w:r>
      <w:r>
        <w:rPr>
          <w:rFonts w:hint="eastAsia" w:ascii="黑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2020年末机构数为8个，其中：行政机关1个，参照公务员法管理的事业单位2个，其他事业单位5个。纳入2020年度部门决算汇编范围的独立核算单位共8个,分别是中共四川省委宣传部机关、中共四川省委讲师团、国防时报社、四川国际文化交流中心、四川省对外文化交流中心、四川文化产业职业学院（四川省干部函授学院）、四川省思想政治工作研究会和四川省新闻中心。</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（二）机构职能</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中共四川省委宣传部是省委主管意识形态方面工作的职能部门。主要职能是：负责拟定全省宣传思想文化工作重大政策和事业产业发展总体规划，统筹协调推进宣传思想文化领域法制建设，按照省委统一部署，协调宣传思想文化系统各部门（单位）之间的工作；统筹协调全省党的意识形态工作；统筹指导协调理论研究、理论学习、理论宣传工作；负责规划组织全局性思想政治工作，组织重大先进典型的学习和推广；统筹指导协调推动精神文化产品的创作和生产，协调组织中华优秀传统文化和巴蜀文化传承发展工作，指导协调推动群众文化建设；统筹组织协调精神文明建设工作；统筹分析和引导社会舆论；统筹协调对外宣传工作，组织指导重大对外宣传活动和对外文化交流工作；宏观上统筹指导协调互联网宣传和信息内容管理；统筹指导舆论信息工作；统筹协调组织开展新闻发布工作；统筹指导推进文化体制改革和文化事业、文化产业及旅游业发展，统筹省属国有文化资产监管工作；负责管理新闻出版行政事务和所涉及的行政审批工作，组织指导协调“扫黄打非”工作；负责管理电影行政事务和所涉及的行政审批工作，指导协调和参与重大电影活动和电影对外合作交流等；负责组织开展宣传思想文化战线干部教育培训和人才工作；完成省委交办的其他任务。</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（三）人员概况</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2020年在职人员</w:t>
      </w:r>
      <w:r>
        <w:rPr>
          <w:rFonts w:hint="eastAsia" w:ascii="仿宋_GB2312" w:eastAsia="仿宋_GB2312" w:cs="宋体"/>
          <w:color w:val="000000"/>
          <w:kern w:val="0"/>
          <w:sz w:val="32"/>
          <w:szCs w:val="32"/>
          <w:highlight w:val="none"/>
          <w:shd w:val="clear" w:color="auto" w:fill="FFFFFF"/>
          <w:lang w:val="zh-CN"/>
        </w:rPr>
        <w:t>为41</w:t>
      </w:r>
      <w:r>
        <w:rPr>
          <w:rFonts w:hint="eastAsia" w:ascii="仿宋_GB2312" w:eastAsia="仿宋_GB2312" w:cs="宋体"/>
          <w:color w:val="000000"/>
          <w:kern w:val="0"/>
          <w:sz w:val="32"/>
          <w:szCs w:val="32"/>
          <w:highlight w:val="none"/>
          <w:shd w:val="clear" w:color="auto" w:fill="FFFFFF"/>
          <w:lang w:val="en-US" w:eastAsia="zh-CN"/>
        </w:rPr>
        <w:t>5</w:t>
      </w:r>
      <w:r>
        <w:rPr>
          <w:rFonts w:hint="eastAsia" w:ascii="仿宋_GB2312" w:eastAsia="仿宋_GB2312" w:cs="宋体"/>
          <w:color w:val="000000"/>
          <w:kern w:val="0"/>
          <w:sz w:val="32"/>
          <w:szCs w:val="32"/>
          <w:highlight w:val="none"/>
          <w:shd w:val="clear" w:color="auto" w:fill="FFFFFF"/>
          <w:lang w:val="zh-CN"/>
        </w:rPr>
        <w:t>人，其中行政人员为148人，参照公务员法管理事业人员11人，非参公事业人员为25</w:t>
      </w:r>
      <w:r>
        <w:rPr>
          <w:rFonts w:hint="eastAsia" w:ascii="仿宋_GB2312" w:eastAsia="仿宋_GB2312" w:cs="宋体"/>
          <w:color w:val="000000"/>
          <w:kern w:val="0"/>
          <w:sz w:val="32"/>
          <w:szCs w:val="32"/>
          <w:highlight w:val="none"/>
          <w:shd w:val="clear" w:color="auto" w:fill="FFFFFF"/>
          <w:lang w:val="en-US" w:eastAsia="zh-CN"/>
        </w:rPr>
        <w:t>0</w:t>
      </w:r>
      <w:r>
        <w:rPr>
          <w:rFonts w:hint="eastAsia" w:ascii="仿宋_GB2312" w:eastAsia="仿宋_GB2312" w:cs="宋体"/>
          <w:color w:val="000000"/>
          <w:kern w:val="0"/>
          <w:sz w:val="32"/>
          <w:szCs w:val="32"/>
          <w:highlight w:val="none"/>
          <w:shd w:val="clear" w:color="auto" w:fill="FFFFFF"/>
          <w:lang w:val="zh-CN"/>
        </w:rPr>
        <w:t>人；离休人员为6人；年末其他人员为65人；年末学生数为99</w:t>
      </w:r>
      <w:r>
        <w:rPr>
          <w:rFonts w:hint="eastAsia" w:ascii="仿宋_GB2312" w:eastAsia="仿宋_GB2312" w:cs="宋体"/>
          <w:color w:val="000000"/>
          <w:kern w:val="0"/>
          <w:sz w:val="32"/>
          <w:szCs w:val="32"/>
          <w:shd w:val="clear" w:color="auto" w:fill="FFFFFF"/>
          <w:lang w:val="zh-CN"/>
        </w:rPr>
        <w:t>50人。</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（四）当年取得的主要事业成效</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2020年全省宣传思想文化战线在省委坚强领导下，坚持以习近平新时代中国特色社会主义思想为指导，增强“四个意识”、坚定“四个自信”、做到“两个维护”，举旗帜、聚民心、育新人、兴文化、展形象，在决胜全面小康、决战脱贫攻坚中展现新作为，在抗击疫情和防汛救灾大战大考中焕发新气象，在夯实基层基础、积极践行“四力”中实现新突破，为夺取疫情防控和经济社会发展“双胜利”、推动治蜀兴川再上新台阶提供了坚强思想保证和强大精神力量。</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1．高举思想旗帜，推动习近平新时代中国特色社会主义思想更加深入人心</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理论学习走深走实。习近平总书记发表重要讲话和作出指示批示后，省委常委会议第一时间传达贯彻，为各级党委（党组）作出示范。充分发挥党委（党组）理论学习中心组龙头作用，省委理论学习中心组围绕统筹疫情防控和经济社会发展、成渝地区双城经济圈建设等主题开展集体学习研讨10次，各市（州）党委理论学习中心组召开专题学习会180余次。制定理论学习中心组测评细则，提升党委（党组）理论学习中心组学习规范化水平。精心部署发行《习近平谈治国理政》第三卷220万册，广泛组织学习《论党的宣传思想工作》《中国制度面对面》等理论读物，建好用好“学习强国”学习平台，推动习近平新时代中国特色社会主义思想落地生根、入脑入心。</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理论宣讲创新开展。精心组织党的十九届五中全会精神宣讲活动，中央宣讲团成员、省委书记彭清华为全省4万多名干部群众进行首场集中宣讲，并与高校师生代表、企业职工代表等面对面座谈。省领导带头到联系市（州）和分管领域开展宣讲，组建14个省委宣讲分团赴各地开展集中宣讲活动130余场（次），首次组建新时代文明实践青年宣讲分团面向青少年群体开展“面对面”“键对键”宣讲。各地各部门开展宣讲活动6.6万场次，直接受众570万人次。大力开辟理论宣讲新平台新阵地，创办《思想周刊》理论学习报，开设“藏地阳光”汉藏双语理论学习平台、“学习强国”四川学习平台《理论之声》专栏，以“宣讲+文艺”等方式将党的创新理论送进田间地头，积极构建多层次、多渠道、多样式的立体化理论宣传格局，推动全会精神家喻户晓。4个基层理论宣讲项目获中宣部表彰。</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理论研究深入浅出。紧扣习近平新时代中国特色社会主义思想，深入开展重大理论和现实问题研究，省委书记彭清华带头撰写《坚持系统观念谋划推动“十四五”经济社会发展》等4篇理论文章在《人民日报》《求是》等刊发。持续加强马克思主义学院建设，做好“马工程”重大项目研究工作。成立全省哲学社会科学工作办公室进一步强化工作统筹，组织全省社科理论工作者科学谋划一批重点课题，推出一批重大社科理论研究成果。召开学习宣传《习近平谈治国理政》第三卷座谈会，举办学习贯彻党的十九届五中全会精神理论研讨会、首届成渝地区双城经济圈发展论坛，理论研究不断深化。</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2．奏响时代强音，全省人民砥砺奋进坚决打赢两场硬仗、奋力夺取双胜利的信心力量极大凝聚</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抗击疫情重大宣传卓有成效。紧紧围绕打赢疫情防控人民战争、总体战、阻击战，第一时间启动突发事件应急新闻宣传工作机制，统筹各类媒体、各条战线、各个平台同频共振、同向发力，凝聚起全省干部群众克难攻坚、砥砺前行的磅礴力量。中央主要媒体聚焦打赢两场硬仗推出涉川报道1万余篇（条），其中《人民日报》等推出89篇头版稿件，央视《新闻联播》推出63个单条消息。省直媒体推出报道40余万篇（条），一批新媒体产品在全网形成刷屏效应。紧扣社会关注热点，各级举办疫情防控新闻发布活动400余场，县级融媒体中心日均发稿1万余条，创新运用四川手机报、村村响广播等平台全覆盖推送疫情信息、普及抗疫知识。弘扬伟大抗疫精神，举办战“疫”专题展览和大型“亮灯”活动，大力宣传抗疫防汛先进典型，广泛传播“汶川女孩”佘莎、“雨衣妹妹”刘仙等先进事迹，书写了中国抗“疫”故事四川篇章。</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脱贫奔康主题宣传浓墨重彩。精心组织“决胜全面小康  决战脱贫攻坚”重大主题宣传。聚焦我省藏区脱贫摘帽、凉山最大易地扶贫搬迁安置点分房、“最后的通村公路贯通”、我省贫困县全部脱贫摘帽等脱贫攻坚重大胜利，国务院新闻办在川举办首场脱贫攻坚新闻发布会，省委、省政府主要领导围绕“牢记总书记关怀嘱托  打好四川脱贫攻坚战”介绍四川脱贫攻坚情况并回答记者提问。协调中宣部在川举办“督战未摘帽贫困县”“走向我们的小康生活”启动仪式，18家中央媒体专题专栏报道均以四川开篇。组织中外媒体赴川集中采访，推出“悬崖村搬家”等易地扶贫搬迁重头报道，开展脱贫美丽新村全媒体集中宣传展示“晒”村活动，对外展示四川全面小康伟大成就。举办“向祖国汇报”脱贫攻坚主题大型文艺特别节目，建设凉山脱贫攻坚全域实景博物馆，集中宣传报道106位脱贫攻坚先进典型，讲好四川脱贫奔康故事，彰显中国特色社会主义制度巨大优越性。</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经济社会成就宣传有声有色。大力唱响经济光明论，深入解读扎实做好“六稳”工作、全面落实“六保”任务和加快形成以国内大循环为主体、国内国际双循环相互促进的新发展格局等战略决策，充分报道我省“一干多支、五区协同”“四向拓展、全域开放”“农业多贡献、工业挑大梁、投资唱主角、消费促升级”等重大部署，全面反映治蜀兴川新进展新成效。深入开展推动成渝地区双城经济圈建设宣传，与重庆市联合策划“双城记”系列宣传活动。扎实做好凉山西昌森林火灾、防汛救灾、乡镇行政区划和村级建制调整宣传引导，持续做好森林草原防灭火专项整治宣传报道工作，积极有效应对四川信托风险处置等敏感事件引发的舆情，有力维护社会稳定。</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3．弘扬主流价值，全社会文明程度和全省人民文明素养持续提升</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社会主义核心价值观广泛弘扬。坚持德法相济，推动社会主义核心价值观内化于心、外化于行，推进理想信念教育常态化制度化。印发《新时代公民道德建设实施纲要》《新时代爱国主义教育实施纲要》分工方案，开展“倡导国庆新民俗、打造爱国活动周”、社会主义核心价值观微电影（微视频）征集展播等主题活动，新命名9个省级爱国主义教育基地，培养爱国之情、砥砺强国之志。深入学习宣传习近平总书记在纪念中国人民抗日战争暨世界反法西斯战争胜利75周年大会、纪念中国人民志愿军抗美援朝出国作战70周年大会上的重要讲话精神，学习贯彻习近平总书记给省革命伤残军人休养院伤残军人回信重要精神，在巴中川陕革命根据地红军烈士陵园举办向人民英雄敬献花篮仪式。复排大型民族歌剧《同心结》等主题文艺作品。广泛宣传民法典等法律法规，大力弘扬社会主义法治精神。</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群众性精神文明创建成效显著。坚持为民利民惠民，以文明城市创建为龙头，推动群众性精神文明创建活动取得丰硕成果。4个地级市和4个县级城市获评第六届全国文明城市，获评数量超过前五届总和、县级全国文明城市实现零的突破。新创全国文明村镇103个、全国文明单位84个、全国文明家庭23个、全国文明校园27个、未成年人思想道德建设工作先进17个。评选表彰第五届四川省文明城市38个、文明村镇200个、文明单位350个，第二届文明家庭100户、文明校园122所，新一届未成年人思想道德建设工作先进230个。隆重召开全省精神文明建设表彰大会，传达学习省委书记彭清华对我省精神文明建设工作重要批示精神，集中展示全省精神文明建设新进展新成效，表彰一批先进集体和个人代表。</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全社会崇德向善风尚日益浓厚。树立德者受尊、好人好报的鲜明导向，出台《四川省礼遇帮扶道德模范和身边好人实施办法（试行）》，选树“四川好人”和“新时代好少年”220名，其中21人入选“中国好人”。深入宣传全国优秀共产党员周永开、“时代楷模”其美多吉等先进事迹，广泛开展“诚信社区”“诚信之星”评选宣传活动，形成见贤思齐、争当先进的浓厚氛围。加强青少年思想道德教育，深化“扣好人生第一粒扣子”主题教育实践活动，厚植广大青少年爱党爱国情怀。坚持扶贫同扶志扶智相结合，制定《精准扶志扶智决胜脱贫攻坚专项行动实施方案》，深入开展新时代乡风文明建设十大行动和移风易俗主题教育活动，着力破除等靠要思想、陈规陋习和不良风气。广泛开展“厉行节约、反对铺张浪费”光盘行动和“倡导社交文明、加强公共卫生”行动。扎实推进新时代文明实践中心建设，20个全国试点任务顺利完成，全省建成文明实践中心（所、站）8147个。推动志愿服务制度化常态化，全省注册志愿者超过1400万人。</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4．着力培根铸魂，中华优秀传统文化创造性转化创新性发展迈出新步伐</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坚持项目化推动。深入学习贯彻习近平总书记关于考古工作重要论述，三星堆遗址等考古发掘取得重大进展。创建三星堆国家文物保护利用示范区，启动四川名人馆、江口沉银博物馆建设。深入实施历史名人文化传承创新工程和古籍保护研究利用工程，发布第二批10位四川历史名人，9部古籍入选第六批《国家珍贵古籍名录》。保护传承农村生产生活遗产，羌绣等165项传统技艺纳入传承名录。持续推动历史文化名城名镇名村建设，成功创建国家历史文化名城8个、名镇31个、名村6个。</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坚持体系化传承。构建中华优秀传统文化传承发展体系，大力建设重点中华文化研究院，新成立西南民族大学藏羌彝文化研究院、成都体育学院中华国术院、四川音乐学院中华传统音乐研究院，评选四川大学中华文化研究院等6所第一批全省重点中华文化研究院。发布“中华文化基本问题研究”等重大社科规划单列项目15个。编制《长征国家文化公园四川段建设保护规划（建议稿）》《四川省川陕片区红军文化公园保护利用规划（2020—2030年）》，与陕西省、重庆市签署《加强文物保护利用战略合作协议》，加快推进巴中川陕革命根据地红军烈士陵园整体提升工程。</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坚持社会化普及。有序推进中华文化经典读本编纂工作，出版发行《四川历史名人读本》，推出首批四川历史名人丛书41种，举办名人大讲堂8期，组织开展全省中华文化优秀校本课程读本评选推广活动。整理《天回医简》研究成果，推动中医药文化宣传普及。深化“我们的节日”主题活动，举办全省2020年经典诵写讲演和青少年中华优秀传统文化传习系列活动。制作播出大型人文纪录片《蜀道风流》，成功举办“金熊猫”国际传播高峰论坛、“巴蜀文化的现代表达与国际传播”研讨会，推动“李子柒”“丁真”等地域文化符号广泛传播，展现巴蜀文化独特魅力。</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5．聚焦人民期待，文化精品创作生产和文化高质量发展扎实推进</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深化文化体制改革纵深推进。启动编制“十四五”文化发展和改革规划，加强全省文化改革发展顶层设计。深化文化领域行政审批“放管服”改革，加强文化综合执法体系建设，构建省属国有文化资产监督管理框架体系，调整广电系统事业单位管理关系。印发《深化省属国有文化企业（单位）改革方案》，加快推进国有文化资产重组和资源整合，完成四川文化产业投资集团改组组建和四川新华出版发行集团更名，省广电网络公司如期完成参与“全国一网”整合股权出资实缴，四川新闻网（传媒）集团发行上市已获通过进入注册环节，峨眉电影集团改革取得重大进展，四川新华发行集团稳居全国文化企业30强。</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促进公共文化服务提质增效。增强公共文化服务供给力，深入实施公共博物馆、图书馆、文化馆效能提升行动，加快推进天府新区省级文化中心等重大设施、“高清四川、智慧广电”等重点工程建设，创新开展天府书展、乡村阅读季等重点阅读活动，建好用好农家（社区）书屋。制定《四川省乡村文化振兴“百千万”工程实施方案》，在全省25个乡镇创新开展公共文化服务效能提升试点工作。广泛开展“我们的中国梦”——文化进万家系列文化惠民活动，组织红色文艺轻骑兵送文艺下乡2000余场，放映农村公益电影58万余场次。全面完成文化扶贫任务，11501个贫困村全覆盖建成综合文化服务中心（文化院坝）、应急广播系统、文化室，贫困地区文化设施“短板”明显改善。15家单位获评第八届全国服务农民、服务基层文化建设先进集体。</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加快优质文化产品创作生产。围绕全面建成小康社会、建党100周年和全民战“疫”开展主题文艺精品创作生产，制定《四川省主题文艺精品创作生产推进方案（2020—2025年）》。报告文学《悬崖村》、散文集《檐上的月亮》荣获第十二届全国少数民族文学创作骏马奖，舞剧《努力餐》荣获第十二届中国舞蹈“荷花奖”，长篇小说《桑田日暖》、舞剧《英雄》等8部作品入选庆祝中国共产党成立100周年重点扶持作品，电影《随风飘散》入围2020年韩国釜山国际A类电影节，电视剧《金色索玛花》登陆央视一套黄金档、《四川省优秀战疫歌曲集》入选第十届中国数字出版博览会出版战“疫”数字内容精品展。振兴四川出版再上新台阶，召开振兴四川出版工作推进会，省委办公厅、省政府办公厅印发《关于加强和改进出版工作推动四川出版高质量发展的指导意见》，组织出版《小康中国》《大道兴川》等主题出版物50种，《古路之路》入选中宣部主题出版重点出版物选题，56个项目入选2020年各类国家出版资助项目和推荐计划，编纂四川战“疫”丛书和脱贫攻坚书系。开展“版权社会服务质量提升年”活动，完成作品著作权登记近16万件。</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推动文化旅游产业逆势发展。加快文化强省旅游强省建设步伐，召开全省文化和旅游发展大会，命名第二批天府旅游名县。积极应对疫情影响，安排专项资金对影院、书店、景区、文旅企业等给予纾困支持，开展“惠文化·乐生活”文化消费提振行动。推动文化和科技、金融深度融合，试点“天府文产贷”。优化文旅经济布局，成都大熊猫国际旅游度假区、德阳三星堆文化产业园、自贡中华彩灯大世界等项目稳步推进，绵阳方特东方神画、都江堰融创文旅城投入运营。举办第八届中国网络视听大会、第六届中国（四川）国际旅游投资大会。国庆中秋假期，全省共接待各类游客5969.36万人次，同口径相比恢复77%，接待规模位居全国第二，实现国内旅游收入479.54亿元，同口径相比恢复79.1%。制定全省文化旅游发展重点项目清单，启动推进文旅重点项目803个，累计完成投资约3000亿元。</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6．推进从严治党，全省宣传思想文化战线党的建设和自身建设全面加强</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加强党的领导落实有力。旗帜鲜明坚持党管宣传、党管意识形态、党管媒体，把政治家办报、办刊、办台、办新媒体的要求不折不扣落实到工作全过程和各方面。以贯彻《中国共产党宣传工作条例》《党委（党组）意识形态工作责任制实施办法》为重要抓手，推动各级各部门党委（党组）抓宣传思想工作主体责任意识不断增强。统筹推进四川新华出版发行集团、峨眉电影集团、省四川文化产业职业学院（四川省干部函授学院）（四川文化产业职业学院）党委换届工作。</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加强队伍建设积极有为。突出政治标准，鲜明用人导向，强化归口领导管理，大力推进宣传文化系统领导班子和干部队伍建设，修订省直宣传文化单位重要宣传舆论阵地和重要岗位领导干部职务名称。统筹推进宣传思想文化领域人才队伍建设，培养选拔优秀青年人才，加强对非公领域文化人才的政治引领、教育引导和联系服务，11人获评“天府万人计划”天府文化领军人才称号。加快建设四川宣传干部学院，建好用好网信人才培养基地。以乡镇行政区划调整改革为契机，配齐配强宣传委员队伍，夯实基层宣传工作力量。深入开展增强“四力”教育实践，突出实用性操作性，不断提升干部教育培训工作正规化专业化精品化水平，培训各类干部人才1.2万余人次，努力打造政治过硬、本领高强、求实创新、能打胜仗的宣传思想工作队伍。</w:t>
      </w:r>
    </w:p>
    <w:p>
      <w:pPr>
        <w:widowControl/>
        <w:adjustRightInd w:val="0"/>
        <w:snapToGrid w:val="0"/>
        <w:spacing w:line="580" w:lineRule="exact"/>
        <w:ind w:firstLine="640" w:firstLineChars="200"/>
        <w:contextualSpacing/>
        <w:jc w:val="left"/>
        <w:rPr>
          <w:rFonts w:ascii="黑体" w:eastAsia="黑体" w:cs="宋体"/>
          <w:color w:val="000000"/>
          <w:kern w:val="0"/>
          <w:sz w:val="32"/>
          <w:szCs w:val="32"/>
          <w:shd w:val="clear" w:color="auto" w:fill="FFFFFF"/>
        </w:rPr>
      </w:pPr>
      <w:r>
        <w:rPr>
          <w:rFonts w:hint="eastAsia" w:ascii="黑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根据预算批复，省委宣传部20</w:t>
      </w:r>
      <w:r>
        <w:rPr>
          <w:rFonts w:ascii="仿宋_GB2312" w:eastAsia="仿宋_GB2312" w:cs="宋体"/>
          <w:color w:val="000000"/>
          <w:kern w:val="0"/>
          <w:sz w:val="32"/>
          <w:szCs w:val="32"/>
          <w:shd w:val="clear" w:color="auto" w:fill="FFFFFF"/>
          <w:lang w:val="zh-CN"/>
        </w:rPr>
        <w:t>20</w:t>
      </w:r>
      <w:r>
        <w:rPr>
          <w:rFonts w:hint="eastAsia" w:ascii="仿宋_GB2312" w:eastAsia="仿宋_GB2312" w:cs="宋体"/>
          <w:color w:val="000000"/>
          <w:kern w:val="0"/>
          <w:sz w:val="32"/>
          <w:szCs w:val="32"/>
          <w:shd w:val="clear" w:color="auto" w:fill="FFFFFF"/>
          <w:lang w:val="zh-CN"/>
        </w:rPr>
        <w:t>年度部门年初预算收入</w:t>
      </w:r>
      <w:r>
        <w:rPr>
          <w:rFonts w:ascii="仿宋_GB2312" w:eastAsia="仿宋_GB2312" w:cs="宋体"/>
          <w:color w:val="000000"/>
          <w:kern w:val="0"/>
          <w:sz w:val="32"/>
          <w:szCs w:val="32"/>
          <w:shd w:val="clear" w:color="auto" w:fill="FFFFFF"/>
          <w:lang w:val="zh-CN"/>
        </w:rPr>
        <w:t>31</w:t>
      </w:r>
      <w:r>
        <w:rPr>
          <w:rFonts w:hint="eastAsia" w:ascii="仿宋_GB2312" w:eastAsia="仿宋_GB2312" w:cs="宋体"/>
          <w:color w:val="000000"/>
          <w:kern w:val="0"/>
          <w:sz w:val="32"/>
          <w:szCs w:val="32"/>
          <w:shd w:val="clear" w:color="auto" w:fill="FFFFFF"/>
          <w:lang w:val="zh-CN"/>
        </w:rPr>
        <w:t>,</w:t>
      </w:r>
      <w:r>
        <w:rPr>
          <w:rFonts w:ascii="仿宋_GB2312" w:eastAsia="仿宋_GB2312" w:cs="宋体"/>
          <w:color w:val="000000"/>
          <w:kern w:val="0"/>
          <w:sz w:val="32"/>
          <w:szCs w:val="32"/>
          <w:shd w:val="clear" w:color="auto" w:fill="FFFFFF"/>
          <w:lang w:val="zh-CN"/>
        </w:rPr>
        <w:t>710.69</w:t>
      </w:r>
      <w:r>
        <w:rPr>
          <w:rFonts w:hint="eastAsia" w:ascii="仿宋_GB2312" w:eastAsia="仿宋_GB2312" w:cs="宋体"/>
          <w:color w:val="000000"/>
          <w:kern w:val="0"/>
          <w:sz w:val="32"/>
          <w:szCs w:val="32"/>
          <w:shd w:val="clear" w:color="auto" w:fill="FFFFFF"/>
          <w:lang w:val="zh-CN"/>
        </w:rPr>
        <w:t>万元，调整预算收入</w:t>
      </w:r>
      <w:r>
        <w:rPr>
          <w:rFonts w:ascii="仿宋_GB2312" w:eastAsia="仿宋_GB2312" w:cs="宋体"/>
          <w:color w:val="000000"/>
          <w:kern w:val="0"/>
          <w:sz w:val="32"/>
          <w:szCs w:val="32"/>
          <w:shd w:val="clear" w:color="auto" w:fill="FFFFFF"/>
          <w:lang w:val="zh-CN"/>
        </w:rPr>
        <w:t>34,804</w:t>
      </w:r>
      <w:r>
        <w:rPr>
          <w:rFonts w:hint="eastAsia" w:ascii="仿宋_GB2312" w:eastAsia="仿宋_GB2312" w:cs="宋体"/>
          <w:color w:val="000000"/>
          <w:kern w:val="0"/>
          <w:sz w:val="32"/>
          <w:szCs w:val="32"/>
          <w:shd w:val="clear" w:color="auto" w:fill="FFFFFF"/>
          <w:lang w:val="zh-CN"/>
        </w:rPr>
        <w:t>.</w:t>
      </w:r>
      <w:r>
        <w:rPr>
          <w:rFonts w:ascii="仿宋_GB2312" w:eastAsia="仿宋_GB2312" w:cs="宋体"/>
          <w:color w:val="000000"/>
          <w:kern w:val="0"/>
          <w:sz w:val="32"/>
          <w:szCs w:val="32"/>
          <w:shd w:val="clear" w:color="auto" w:fill="FFFFFF"/>
          <w:lang w:val="zh-CN"/>
        </w:rPr>
        <w:t>33</w:t>
      </w:r>
      <w:r>
        <w:rPr>
          <w:rFonts w:hint="eastAsia" w:ascii="仿宋_GB2312" w:eastAsia="仿宋_GB2312" w:cs="宋体"/>
          <w:color w:val="000000"/>
          <w:kern w:val="0"/>
          <w:sz w:val="32"/>
          <w:szCs w:val="32"/>
          <w:shd w:val="clear" w:color="auto" w:fill="FFFFFF"/>
          <w:lang w:val="zh-CN"/>
        </w:rPr>
        <w:t>万元。其中一般公共预算财政拨款收入</w:t>
      </w:r>
      <w:r>
        <w:rPr>
          <w:rFonts w:ascii="仿宋_GB2312" w:eastAsia="仿宋_GB2312" w:cs="宋体"/>
          <w:color w:val="000000"/>
          <w:kern w:val="0"/>
          <w:sz w:val="32"/>
          <w:szCs w:val="32"/>
          <w:shd w:val="clear" w:color="auto" w:fill="FFFFFF"/>
          <w:lang w:val="zh-CN"/>
        </w:rPr>
        <w:t>29,151.19</w:t>
      </w:r>
      <w:r>
        <w:rPr>
          <w:rFonts w:hint="eastAsia" w:ascii="仿宋_GB2312" w:eastAsia="仿宋_GB2312" w:cs="宋体"/>
          <w:color w:val="000000"/>
          <w:kern w:val="0"/>
          <w:sz w:val="32"/>
          <w:szCs w:val="32"/>
          <w:shd w:val="clear" w:color="auto" w:fill="FFFFFF"/>
          <w:lang w:val="zh-CN"/>
        </w:rPr>
        <w:t>万元，政府性基金预算财政拨款收入85</w:t>
      </w:r>
      <w:r>
        <w:rPr>
          <w:rFonts w:ascii="仿宋_GB2312" w:eastAsia="仿宋_GB2312" w:cs="宋体"/>
          <w:color w:val="000000"/>
          <w:kern w:val="0"/>
          <w:sz w:val="32"/>
          <w:szCs w:val="32"/>
          <w:shd w:val="clear" w:color="auto" w:fill="FFFFFF"/>
          <w:lang w:val="zh-CN"/>
        </w:rPr>
        <w:t>3</w:t>
      </w:r>
      <w:r>
        <w:rPr>
          <w:rFonts w:hint="eastAsia" w:ascii="仿宋_GB2312" w:eastAsia="仿宋_GB2312" w:cs="宋体"/>
          <w:color w:val="000000"/>
          <w:kern w:val="0"/>
          <w:sz w:val="32"/>
          <w:szCs w:val="32"/>
          <w:shd w:val="clear" w:color="auto" w:fill="FFFFFF"/>
          <w:lang w:val="zh-CN"/>
        </w:rPr>
        <w:t>.9</w:t>
      </w:r>
      <w:r>
        <w:rPr>
          <w:rFonts w:ascii="仿宋_GB2312" w:eastAsia="仿宋_GB2312" w:cs="宋体"/>
          <w:color w:val="000000"/>
          <w:kern w:val="0"/>
          <w:sz w:val="32"/>
          <w:szCs w:val="32"/>
          <w:shd w:val="clear" w:color="auto" w:fill="FFFFFF"/>
          <w:lang w:val="zh-CN"/>
        </w:rPr>
        <w:t>5</w:t>
      </w:r>
      <w:r>
        <w:rPr>
          <w:rFonts w:hint="eastAsia" w:ascii="仿宋_GB2312" w:eastAsia="仿宋_GB2312" w:cs="宋体"/>
          <w:color w:val="000000"/>
          <w:kern w:val="0"/>
          <w:sz w:val="32"/>
          <w:szCs w:val="32"/>
          <w:shd w:val="clear" w:color="auto" w:fill="FFFFFF"/>
          <w:lang w:val="zh-CN"/>
        </w:rPr>
        <w:t>万元，上级补助收入1</w:t>
      </w:r>
      <w:r>
        <w:rPr>
          <w:rFonts w:ascii="仿宋_GB2312" w:eastAsia="仿宋_GB2312" w:cs="宋体"/>
          <w:color w:val="000000"/>
          <w:kern w:val="0"/>
          <w:sz w:val="32"/>
          <w:szCs w:val="32"/>
          <w:shd w:val="clear" w:color="auto" w:fill="FFFFFF"/>
          <w:lang w:val="zh-CN"/>
        </w:rPr>
        <w:t>4</w:t>
      </w:r>
      <w:r>
        <w:rPr>
          <w:rFonts w:hint="eastAsia" w:ascii="仿宋_GB2312" w:eastAsia="仿宋_GB2312" w:cs="宋体"/>
          <w:color w:val="000000"/>
          <w:kern w:val="0"/>
          <w:sz w:val="32"/>
          <w:szCs w:val="32"/>
          <w:shd w:val="clear" w:color="auto" w:fill="FFFFFF"/>
          <w:lang w:val="zh-CN"/>
        </w:rPr>
        <w:t>万元，事业收入</w:t>
      </w:r>
      <w:r>
        <w:rPr>
          <w:rFonts w:ascii="仿宋_GB2312" w:eastAsia="仿宋_GB2312" w:cs="宋体"/>
          <w:color w:val="000000"/>
          <w:kern w:val="0"/>
          <w:sz w:val="32"/>
          <w:szCs w:val="32"/>
          <w:shd w:val="clear" w:color="auto" w:fill="FFFFFF"/>
          <w:lang w:val="zh-CN"/>
        </w:rPr>
        <w:t>4,781.81</w:t>
      </w:r>
      <w:r>
        <w:rPr>
          <w:rFonts w:hint="eastAsia" w:ascii="仿宋_GB2312" w:eastAsia="仿宋_GB2312" w:cs="宋体"/>
          <w:color w:val="000000"/>
          <w:kern w:val="0"/>
          <w:sz w:val="32"/>
          <w:szCs w:val="32"/>
          <w:shd w:val="clear" w:color="auto" w:fill="FFFFFF"/>
          <w:lang w:val="zh-CN"/>
        </w:rPr>
        <w:t>万元，其他收入3</w:t>
      </w:r>
      <w:r>
        <w:rPr>
          <w:rFonts w:ascii="仿宋_GB2312" w:eastAsia="仿宋_GB2312" w:cs="宋体"/>
          <w:color w:val="000000"/>
          <w:kern w:val="0"/>
          <w:sz w:val="32"/>
          <w:szCs w:val="32"/>
          <w:shd w:val="clear" w:color="auto" w:fill="FFFFFF"/>
          <w:lang w:val="zh-CN"/>
        </w:rPr>
        <w:t>.38</w:t>
      </w:r>
      <w:r>
        <w:rPr>
          <w:rFonts w:hint="eastAsia" w:ascii="仿宋_GB2312" w:eastAsia="仿宋_GB2312" w:cs="宋体"/>
          <w:color w:val="000000"/>
          <w:kern w:val="0"/>
          <w:sz w:val="32"/>
          <w:szCs w:val="32"/>
          <w:shd w:val="clear" w:color="auto" w:fill="FFFFFF"/>
          <w:lang w:val="zh-CN"/>
        </w:rPr>
        <w:t>万元。使用非财政拨款结余0</w:t>
      </w:r>
      <w:r>
        <w:rPr>
          <w:rFonts w:ascii="仿宋_GB2312" w:eastAsia="仿宋_GB2312" w:cs="宋体"/>
          <w:color w:val="000000"/>
          <w:kern w:val="0"/>
          <w:sz w:val="32"/>
          <w:szCs w:val="32"/>
          <w:shd w:val="clear" w:color="auto" w:fill="FFFFFF"/>
          <w:lang w:val="zh-CN"/>
        </w:rPr>
        <w:t>.03</w:t>
      </w:r>
      <w:r>
        <w:rPr>
          <w:rFonts w:hint="eastAsia" w:ascii="仿宋_GB2312" w:eastAsia="仿宋_GB2312" w:cs="宋体"/>
          <w:color w:val="000000"/>
          <w:kern w:val="0"/>
          <w:sz w:val="32"/>
          <w:szCs w:val="32"/>
          <w:shd w:val="clear" w:color="auto" w:fill="FFFFFF"/>
          <w:lang w:val="zh-CN"/>
        </w:rPr>
        <w:t>万元，年初结转和结余</w:t>
      </w:r>
      <w:r>
        <w:rPr>
          <w:rFonts w:ascii="仿宋_GB2312" w:eastAsia="仿宋_GB2312" w:cs="宋体"/>
          <w:color w:val="000000"/>
          <w:kern w:val="0"/>
          <w:sz w:val="32"/>
          <w:szCs w:val="32"/>
          <w:shd w:val="clear" w:color="auto" w:fill="FFFFFF"/>
          <w:lang w:val="zh-CN"/>
        </w:rPr>
        <w:t>0.02</w:t>
      </w:r>
      <w:r>
        <w:rPr>
          <w:rFonts w:hint="eastAsia" w:ascii="仿宋_GB2312" w:eastAsia="仿宋_GB2312" w:cs="宋体"/>
          <w:color w:val="000000"/>
          <w:kern w:val="0"/>
          <w:sz w:val="32"/>
          <w:szCs w:val="32"/>
          <w:shd w:val="clear" w:color="auto" w:fill="FFFFFF"/>
          <w:lang w:val="zh-CN"/>
        </w:rPr>
        <w:t>万元。</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根据决算报表，20</w:t>
      </w:r>
      <w:r>
        <w:rPr>
          <w:rFonts w:ascii="仿宋_GB2312" w:eastAsia="仿宋_GB2312" w:cs="宋体"/>
          <w:color w:val="000000"/>
          <w:kern w:val="0"/>
          <w:sz w:val="32"/>
          <w:szCs w:val="32"/>
          <w:shd w:val="clear" w:color="auto" w:fill="FFFFFF"/>
          <w:lang w:val="zh-CN"/>
        </w:rPr>
        <w:t>20</w:t>
      </w:r>
      <w:r>
        <w:rPr>
          <w:rFonts w:hint="eastAsia" w:ascii="仿宋_GB2312" w:eastAsia="仿宋_GB2312" w:cs="宋体"/>
          <w:color w:val="000000"/>
          <w:kern w:val="0"/>
          <w:sz w:val="32"/>
          <w:szCs w:val="32"/>
          <w:shd w:val="clear" w:color="auto" w:fill="FFFFFF"/>
          <w:lang w:val="zh-CN"/>
        </w:rPr>
        <w:t>年度部门决算收入</w:t>
      </w:r>
      <w:r>
        <w:rPr>
          <w:rFonts w:ascii="仿宋_GB2312" w:eastAsia="仿宋_GB2312" w:cs="宋体"/>
          <w:color w:val="000000"/>
          <w:kern w:val="0"/>
          <w:sz w:val="32"/>
          <w:szCs w:val="32"/>
          <w:shd w:val="clear" w:color="auto" w:fill="FFFFFF"/>
          <w:lang w:val="zh-CN"/>
        </w:rPr>
        <w:t>34,804</w:t>
      </w:r>
      <w:r>
        <w:rPr>
          <w:rFonts w:hint="eastAsia" w:ascii="仿宋_GB2312" w:eastAsia="仿宋_GB2312" w:cs="宋体"/>
          <w:color w:val="000000"/>
          <w:kern w:val="0"/>
          <w:sz w:val="32"/>
          <w:szCs w:val="32"/>
          <w:shd w:val="clear" w:color="auto" w:fill="FFFFFF"/>
          <w:lang w:val="zh-CN"/>
        </w:rPr>
        <w:t>.</w:t>
      </w:r>
      <w:r>
        <w:rPr>
          <w:rFonts w:ascii="仿宋_GB2312" w:eastAsia="仿宋_GB2312" w:cs="宋体"/>
          <w:color w:val="000000"/>
          <w:kern w:val="0"/>
          <w:sz w:val="32"/>
          <w:szCs w:val="32"/>
          <w:shd w:val="clear" w:color="auto" w:fill="FFFFFF"/>
          <w:lang w:val="zh-CN"/>
        </w:rPr>
        <w:t>38</w:t>
      </w:r>
      <w:r>
        <w:rPr>
          <w:rFonts w:hint="eastAsia" w:ascii="仿宋_GB2312" w:eastAsia="仿宋_GB2312" w:cs="宋体"/>
          <w:color w:val="000000"/>
          <w:kern w:val="0"/>
          <w:sz w:val="32"/>
          <w:szCs w:val="32"/>
          <w:shd w:val="clear" w:color="auto" w:fill="FFFFFF"/>
          <w:lang w:val="zh-CN"/>
        </w:rPr>
        <w:t>万元与调整预算数一致。</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（二）部门财政资金支出情况</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根据预算批复，20</w:t>
      </w:r>
      <w:r>
        <w:rPr>
          <w:rFonts w:ascii="仿宋_GB2312" w:eastAsia="仿宋_GB2312" w:cs="宋体"/>
          <w:color w:val="000000"/>
          <w:kern w:val="0"/>
          <w:sz w:val="32"/>
          <w:szCs w:val="32"/>
          <w:shd w:val="clear" w:color="auto" w:fill="FFFFFF"/>
          <w:lang w:val="zh-CN"/>
        </w:rPr>
        <w:t>20</w:t>
      </w:r>
      <w:r>
        <w:rPr>
          <w:rFonts w:hint="eastAsia" w:ascii="仿宋_GB2312" w:eastAsia="仿宋_GB2312" w:cs="宋体"/>
          <w:color w:val="000000"/>
          <w:kern w:val="0"/>
          <w:sz w:val="32"/>
          <w:szCs w:val="32"/>
          <w:shd w:val="clear" w:color="auto" w:fill="FFFFFF"/>
          <w:lang w:val="zh-CN"/>
        </w:rPr>
        <w:t>年度部门年初预算支出</w:t>
      </w:r>
      <w:r>
        <w:rPr>
          <w:rFonts w:ascii="仿宋_GB2312" w:eastAsia="仿宋_GB2312" w:cs="宋体"/>
          <w:color w:val="000000"/>
          <w:kern w:val="0"/>
          <w:sz w:val="32"/>
          <w:szCs w:val="32"/>
          <w:shd w:val="clear" w:color="auto" w:fill="FFFFFF"/>
          <w:lang w:val="zh-CN"/>
        </w:rPr>
        <w:t>31,710.69</w:t>
      </w:r>
      <w:r>
        <w:rPr>
          <w:rFonts w:hint="eastAsia" w:ascii="仿宋_GB2312" w:eastAsia="仿宋_GB2312" w:cs="宋体"/>
          <w:color w:val="000000"/>
          <w:kern w:val="0"/>
          <w:sz w:val="32"/>
          <w:szCs w:val="32"/>
          <w:shd w:val="clear" w:color="auto" w:fill="FFFFFF"/>
          <w:lang w:val="zh-CN"/>
        </w:rPr>
        <w:t>万元，调整预算支出</w:t>
      </w:r>
      <w:r>
        <w:rPr>
          <w:rFonts w:ascii="仿宋_GB2312" w:eastAsia="仿宋_GB2312" w:cs="宋体"/>
          <w:color w:val="000000"/>
          <w:kern w:val="0"/>
          <w:sz w:val="32"/>
          <w:szCs w:val="32"/>
          <w:shd w:val="clear" w:color="auto" w:fill="FFFFFF"/>
          <w:lang w:val="zh-CN"/>
        </w:rPr>
        <w:t>34,804</w:t>
      </w:r>
      <w:r>
        <w:rPr>
          <w:rFonts w:hint="eastAsia" w:ascii="仿宋_GB2312" w:eastAsia="仿宋_GB2312" w:cs="宋体"/>
          <w:color w:val="000000"/>
          <w:kern w:val="0"/>
          <w:sz w:val="32"/>
          <w:szCs w:val="32"/>
          <w:shd w:val="clear" w:color="auto" w:fill="FFFFFF"/>
          <w:lang w:val="zh-CN"/>
        </w:rPr>
        <w:t>.</w:t>
      </w:r>
      <w:r>
        <w:rPr>
          <w:rFonts w:ascii="仿宋_GB2312" w:eastAsia="仿宋_GB2312" w:cs="宋体"/>
          <w:color w:val="000000"/>
          <w:kern w:val="0"/>
          <w:sz w:val="32"/>
          <w:szCs w:val="32"/>
          <w:shd w:val="clear" w:color="auto" w:fill="FFFFFF"/>
          <w:lang w:val="zh-CN"/>
        </w:rPr>
        <w:t>38</w:t>
      </w:r>
      <w:r>
        <w:rPr>
          <w:rFonts w:hint="eastAsia" w:ascii="仿宋_GB2312" w:eastAsia="仿宋_GB2312" w:cs="宋体"/>
          <w:color w:val="000000"/>
          <w:kern w:val="0"/>
          <w:sz w:val="32"/>
          <w:szCs w:val="32"/>
          <w:shd w:val="clear" w:color="auto" w:fill="FFFFFF"/>
          <w:lang w:val="zh-CN"/>
        </w:rPr>
        <w:t>万元，其中基本支出1</w:t>
      </w:r>
      <w:r>
        <w:rPr>
          <w:rFonts w:ascii="仿宋_GB2312" w:eastAsia="仿宋_GB2312" w:cs="宋体"/>
          <w:color w:val="000000"/>
          <w:kern w:val="0"/>
          <w:sz w:val="32"/>
          <w:szCs w:val="32"/>
          <w:shd w:val="clear" w:color="auto" w:fill="FFFFFF"/>
          <w:lang w:val="zh-CN"/>
        </w:rPr>
        <w:t>6,820.30</w:t>
      </w:r>
      <w:r>
        <w:rPr>
          <w:rFonts w:hint="eastAsia" w:ascii="仿宋_GB2312" w:eastAsia="仿宋_GB2312" w:cs="宋体"/>
          <w:color w:val="000000"/>
          <w:kern w:val="0"/>
          <w:sz w:val="32"/>
          <w:szCs w:val="32"/>
          <w:shd w:val="clear" w:color="auto" w:fill="FFFFFF"/>
          <w:lang w:val="zh-CN"/>
        </w:rPr>
        <w:t>万元，项目支出1</w:t>
      </w:r>
      <w:r>
        <w:rPr>
          <w:rFonts w:ascii="仿宋_GB2312" w:eastAsia="仿宋_GB2312" w:cs="宋体"/>
          <w:color w:val="000000"/>
          <w:kern w:val="0"/>
          <w:sz w:val="32"/>
          <w:szCs w:val="32"/>
          <w:shd w:val="clear" w:color="auto" w:fill="FFFFFF"/>
          <w:lang w:val="zh-CN"/>
        </w:rPr>
        <w:t>7,984.08</w:t>
      </w:r>
      <w:r>
        <w:rPr>
          <w:rFonts w:hint="eastAsia" w:ascii="仿宋_GB2312" w:eastAsia="仿宋_GB2312" w:cs="宋体"/>
          <w:color w:val="000000"/>
          <w:kern w:val="0"/>
          <w:sz w:val="32"/>
          <w:szCs w:val="32"/>
          <w:shd w:val="clear" w:color="auto" w:fill="FFFFFF"/>
          <w:lang w:val="zh-CN"/>
        </w:rPr>
        <w:t>万元。</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根据决算报表，20</w:t>
      </w:r>
      <w:r>
        <w:rPr>
          <w:rFonts w:ascii="仿宋_GB2312" w:eastAsia="仿宋_GB2312" w:cs="宋体"/>
          <w:color w:val="000000"/>
          <w:kern w:val="0"/>
          <w:sz w:val="32"/>
          <w:szCs w:val="32"/>
          <w:shd w:val="clear" w:color="auto" w:fill="FFFFFF"/>
          <w:lang w:val="zh-CN"/>
        </w:rPr>
        <w:t>20</w:t>
      </w:r>
      <w:r>
        <w:rPr>
          <w:rFonts w:hint="eastAsia" w:ascii="仿宋_GB2312" w:eastAsia="仿宋_GB2312" w:cs="宋体"/>
          <w:color w:val="000000"/>
          <w:kern w:val="0"/>
          <w:sz w:val="32"/>
          <w:szCs w:val="32"/>
          <w:shd w:val="clear" w:color="auto" w:fill="FFFFFF"/>
          <w:lang w:val="zh-CN"/>
        </w:rPr>
        <w:t>年部门决算支出</w:t>
      </w:r>
      <w:r>
        <w:rPr>
          <w:rFonts w:hint="eastAsia" w:ascii="仿宋_GB2312" w:eastAsia="仿宋_GB2312"/>
          <w:sz w:val="32"/>
          <w:szCs w:val="32"/>
        </w:rPr>
        <w:t>34</w:t>
      </w:r>
      <w:r>
        <w:rPr>
          <w:rFonts w:ascii="仿宋_GB2312" w:eastAsia="仿宋_GB2312"/>
          <w:sz w:val="32"/>
          <w:szCs w:val="32"/>
        </w:rPr>
        <w:t>,</w:t>
      </w:r>
      <w:r>
        <w:rPr>
          <w:rFonts w:hint="eastAsia" w:ascii="仿宋_GB2312" w:eastAsia="仿宋_GB2312"/>
          <w:sz w:val="32"/>
          <w:szCs w:val="32"/>
        </w:rPr>
        <w:t>631.14</w:t>
      </w:r>
      <w:r>
        <w:rPr>
          <w:rFonts w:hint="eastAsia" w:ascii="仿宋_GB2312" w:eastAsia="仿宋_GB2312" w:cs="宋体"/>
          <w:color w:val="000000"/>
          <w:kern w:val="0"/>
          <w:sz w:val="32"/>
          <w:szCs w:val="32"/>
          <w:shd w:val="clear" w:color="auto" w:fill="FFFFFF"/>
          <w:lang w:val="zh-CN"/>
        </w:rPr>
        <w:t>万元，结余分配</w:t>
      </w:r>
      <w:r>
        <w:rPr>
          <w:rFonts w:ascii="仿宋_GB2312" w:eastAsia="仿宋_GB2312" w:cs="宋体"/>
          <w:color w:val="000000"/>
          <w:kern w:val="0"/>
          <w:sz w:val="32"/>
          <w:szCs w:val="32"/>
          <w:shd w:val="clear" w:color="auto" w:fill="FFFFFF"/>
          <w:lang w:val="zh-CN"/>
        </w:rPr>
        <w:t>173.24</w:t>
      </w:r>
      <w:r>
        <w:rPr>
          <w:rFonts w:hint="eastAsia" w:ascii="仿宋_GB2312" w:eastAsia="仿宋_GB2312" w:cs="宋体"/>
          <w:color w:val="000000"/>
          <w:kern w:val="0"/>
          <w:sz w:val="32"/>
          <w:szCs w:val="32"/>
          <w:shd w:val="clear" w:color="auto" w:fill="FFFFFF"/>
          <w:lang w:val="zh-CN"/>
        </w:rPr>
        <w:t>万元。支出情况见下表：</w:t>
      </w:r>
    </w:p>
    <w:p>
      <w:pPr>
        <w:spacing w:line="520" w:lineRule="exact"/>
        <w:ind w:firstLine="7200" w:firstLineChars="3000"/>
        <w:rPr>
          <w:rFonts w:ascii="仿宋_GB2312" w:eastAsia="仿宋_GB2312"/>
          <w:sz w:val="24"/>
          <w:szCs w:val="32"/>
        </w:rPr>
      </w:pPr>
      <w:r>
        <w:rPr>
          <w:rFonts w:hint="eastAsia" w:ascii="仿宋_GB2312" w:eastAsia="仿宋_GB2312"/>
          <w:sz w:val="24"/>
          <w:szCs w:val="32"/>
        </w:rPr>
        <w:t>单位：万元</w:t>
      </w:r>
    </w:p>
    <w:tbl>
      <w:tblPr>
        <w:tblStyle w:val="12"/>
        <w:tblW w:w="841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44"/>
        <w:gridCol w:w="1984"/>
        <w:gridCol w:w="1843"/>
        <w:gridCol w:w="1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right"/>
        </w:trPr>
        <w:tc>
          <w:tcPr>
            <w:tcW w:w="2744" w:type="dxa"/>
            <w:tcBorders>
              <w:top w:val="single" w:color="auto" w:sz="12" w:space="0"/>
              <w:left w:val="nil"/>
              <w:bottom w:val="dotted" w:color="auto" w:sz="4" w:space="0"/>
              <w:right w:val="dotted" w:color="auto" w:sz="4" w:space="0"/>
            </w:tcBorders>
            <w:shd w:val="clear" w:color="auto" w:fill="auto"/>
            <w:noWrap/>
            <w:vAlign w:val="bottom"/>
          </w:tcPr>
          <w:p>
            <w:pPr>
              <w:widowControl/>
              <w:jc w:val="center"/>
              <w:rPr>
                <w:rFonts w:ascii="仿宋_GB2312" w:eastAsia="仿宋_GB2312" w:cs="宋体"/>
                <w:color w:val="000000"/>
                <w:kern w:val="0"/>
                <w:sz w:val="22"/>
                <w:szCs w:val="22"/>
              </w:rPr>
            </w:pPr>
            <w:r>
              <w:rPr>
                <w:rFonts w:hint="eastAsia" w:ascii="仿宋_GB2312" w:eastAsia="仿宋_GB2312" w:cs="宋体"/>
                <w:color w:val="000000"/>
                <w:kern w:val="0"/>
                <w:sz w:val="22"/>
                <w:szCs w:val="22"/>
              </w:rPr>
              <w:t>项目</w:t>
            </w:r>
          </w:p>
        </w:tc>
        <w:tc>
          <w:tcPr>
            <w:tcW w:w="1984" w:type="dxa"/>
            <w:tcBorders>
              <w:top w:val="single" w:color="auto" w:sz="12" w:space="0"/>
              <w:left w:val="nil"/>
              <w:bottom w:val="dotted" w:color="auto" w:sz="4" w:space="0"/>
              <w:right w:val="dotted" w:color="auto" w:sz="4" w:space="0"/>
            </w:tcBorders>
            <w:shd w:val="clear" w:color="auto" w:fill="auto"/>
            <w:noWrap/>
            <w:vAlign w:val="bottom"/>
          </w:tcPr>
          <w:p>
            <w:pPr>
              <w:widowControl/>
              <w:jc w:val="center"/>
              <w:rPr>
                <w:rFonts w:ascii="仿宋_GB2312" w:eastAsia="仿宋_GB2312" w:cs="宋体"/>
                <w:color w:val="000000"/>
                <w:kern w:val="0"/>
                <w:sz w:val="22"/>
                <w:szCs w:val="22"/>
              </w:rPr>
            </w:pPr>
            <w:r>
              <w:rPr>
                <w:rFonts w:hint="eastAsia" w:ascii="仿宋_GB2312" w:eastAsia="仿宋_GB2312" w:cs="宋体"/>
                <w:color w:val="000000"/>
                <w:kern w:val="0"/>
                <w:sz w:val="22"/>
                <w:szCs w:val="22"/>
              </w:rPr>
              <w:t>年初预算数</w:t>
            </w:r>
          </w:p>
        </w:tc>
        <w:tc>
          <w:tcPr>
            <w:tcW w:w="1843" w:type="dxa"/>
            <w:tcBorders>
              <w:top w:val="single" w:color="auto" w:sz="12" w:space="0"/>
              <w:left w:val="nil"/>
              <w:bottom w:val="dotted" w:color="auto" w:sz="4" w:space="0"/>
              <w:right w:val="dotted" w:color="auto" w:sz="4" w:space="0"/>
            </w:tcBorders>
            <w:shd w:val="clear" w:color="auto" w:fill="auto"/>
            <w:noWrap/>
            <w:vAlign w:val="bottom"/>
          </w:tcPr>
          <w:p>
            <w:pPr>
              <w:widowControl/>
              <w:jc w:val="center"/>
              <w:rPr>
                <w:rFonts w:ascii="仿宋_GB2312" w:eastAsia="仿宋_GB2312" w:cs="宋体"/>
                <w:color w:val="000000"/>
                <w:kern w:val="0"/>
                <w:sz w:val="22"/>
                <w:szCs w:val="22"/>
              </w:rPr>
            </w:pPr>
            <w:r>
              <w:rPr>
                <w:rFonts w:hint="eastAsia" w:ascii="仿宋_GB2312" w:eastAsia="仿宋_GB2312" w:cs="宋体"/>
                <w:color w:val="000000"/>
                <w:kern w:val="0"/>
                <w:sz w:val="22"/>
                <w:szCs w:val="22"/>
              </w:rPr>
              <w:t>调整预算数</w:t>
            </w:r>
          </w:p>
        </w:tc>
        <w:tc>
          <w:tcPr>
            <w:tcW w:w="1843" w:type="dxa"/>
            <w:tcBorders>
              <w:top w:val="single" w:color="auto" w:sz="12" w:space="0"/>
              <w:left w:val="nil"/>
              <w:bottom w:val="dotted" w:color="auto" w:sz="4" w:space="0"/>
              <w:right w:val="nil"/>
            </w:tcBorders>
            <w:shd w:val="clear" w:color="auto" w:fill="auto"/>
            <w:noWrap/>
            <w:vAlign w:val="bottom"/>
          </w:tcPr>
          <w:p>
            <w:pPr>
              <w:widowControl/>
              <w:jc w:val="center"/>
              <w:rPr>
                <w:rFonts w:ascii="仿宋_GB2312" w:eastAsia="仿宋_GB2312" w:cs="宋体"/>
                <w:color w:val="000000"/>
                <w:kern w:val="0"/>
                <w:sz w:val="22"/>
                <w:szCs w:val="22"/>
              </w:rPr>
            </w:pPr>
            <w:r>
              <w:rPr>
                <w:rFonts w:hint="eastAsia" w:ascii="仿宋_GB2312" w:eastAsia="仿宋_GB2312" w:cs="宋体"/>
                <w:color w:val="000000"/>
                <w:kern w:val="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right"/>
        </w:trPr>
        <w:tc>
          <w:tcPr>
            <w:tcW w:w="2744" w:type="dxa"/>
            <w:tcBorders>
              <w:top w:val="nil"/>
              <w:left w:val="nil"/>
              <w:bottom w:val="dotted" w:color="auto" w:sz="4" w:space="0"/>
              <w:right w:val="dotted" w:color="auto" w:sz="4" w:space="0"/>
            </w:tcBorders>
            <w:shd w:val="clear" w:color="auto" w:fill="auto"/>
            <w:noWrap/>
            <w:vAlign w:val="bottom"/>
          </w:tcPr>
          <w:p>
            <w:pPr>
              <w:widowControl/>
              <w:jc w:val="left"/>
              <w:rPr>
                <w:rFonts w:ascii="仿宋_GB2312" w:eastAsia="仿宋_GB2312" w:cs="宋体"/>
                <w:color w:val="000000"/>
                <w:kern w:val="0"/>
                <w:sz w:val="22"/>
                <w:szCs w:val="22"/>
              </w:rPr>
            </w:pPr>
            <w:r>
              <w:rPr>
                <w:rFonts w:hint="eastAsia" w:ascii="仿宋_GB2312" w:eastAsia="仿宋_GB2312" w:cs="宋体"/>
                <w:color w:val="000000"/>
                <w:kern w:val="0"/>
                <w:sz w:val="22"/>
                <w:szCs w:val="22"/>
              </w:rPr>
              <w:t>一、基本支出</w:t>
            </w:r>
          </w:p>
        </w:tc>
        <w:tc>
          <w:tcPr>
            <w:tcW w:w="1984" w:type="dxa"/>
            <w:tcBorders>
              <w:top w:val="nil"/>
              <w:left w:val="nil"/>
              <w:bottom w:val="dotted" w:color="auto" w:sz="4" w:space="0"/>
              <w:right w:val="dotted" w:color="auto" w:sz="4" w:space="0"/>
            </w:tcBorders>
            <w:shd w:val="clear" w:color="auto" w:fill="auto"/>
            <w:noWrap/>
            <w:vAlign w:val="center"/>
          </w:tcPr>
          <w:p>
            <w:pPr>
              <w:jc w:val="right"/>
              <w:rPr>
                <w:rFonts w:ascii="仿宋_GB2312" w:eastAsia="仿宋_GB2312" w:cs="宋体"/>
                <w:b/>
                <w:color w:val="000000"/>
                <w:sz w:val="22"/>
                <w:szCs w:val="22"/>
              </w:rPr>
            </w:pPr>
            <w:r>
              <w:rPr>
                <w:rFonts w:hint="eastAsia" w:ascii="仿宋_GB2312" w:eastAsia="仿宋_GB2312"/>
                <w:b/>
                <w:color w:val="000000"/>
                <w:sz w:val="22"/>
                <w:szCs w:val="22"/>
              </w:rPr>
              <w:t>14</w:t>
            </w:r>
            <w:r>
              <w:rPr>
                <w:rFonts w:ascii="仿宋_GB2312" w:eastAsia="仿宋_GB2312"/>
                <w:b/>
                <w:color w:val="000000"/>
                <w:sz w:val="22"/>
                <w:szCs w:val="22"/>
              </w:rPr>
              <w:t>,</w:t>
            </w:r>
            <w:r>
              <w:rPr>
                <w:rFonts w:hint="eastAsia" w:ascii="仿宋_GB2312" w:eastAsia="仿宋_GB2312"/>
                <w:b/>
                <w:color w:val="000000"/>
                <w:sz w:val="22"/>
                <w:szCs w:val="22"/>
              </w:rPr>
              <w:t xml:space="preserve">887.10 </w:t>
            </w:r>
          </w:p>
        </w:tc>
        <w:tc>
          <w:tcPr>
            <w:tcW w:w="1843" w:type="dxa"/>
            <w:tcBorders>
              <w:top w:val="nil"/>
              <w:left w:val="nil"/>
              <w:bottom w:val="dotted" w:color="auto" w:sz="4" w:space="0"/>
              <w:right w:val="dotted" w:color="auto" w:sz="4" w:space="0"/>
            </w:tcBorders>
            <w:shd w:val="clear" w:color="auto" w:fill="auto"/>
            <w:noWrap/>
            <w:vAlign w:val="center"/>
          </w:tcPr>
          <w:p>
            <w:pPr>
              <w:jc w:val="right"/>
              <w:rPr>
                <w:rFonts w:ascii="仿宋_GB2312" w:eastAsia="仿宋_GB2312"/>
                <w:b/>
                <w:color w:val="000000"/>
                <w:sz w:val="22"/>
                <w:szCs w:val="22"/>
              </w:rPr>
            </w:pPr>
            <w:r>
              <w:rPr>
                <w:rFonts w:hint="eastAsia" w:ascii="仿宋_GB2312" w:eastAsia="仿宋_GB2312"/>
                <w:b/>
                <w:color w:val="000000"/>
                <w:sz w:val="22"/>
                <w:szCs w:val="22"/>
              </w:rPr>
              <w:t>16</w:t>
            </w:r>
            <w:r>
              <w:rPr>
                <w:rFonts w:ascii="仿宋_GB2312" w:eastAsia="仿宋_GB2312"/>
                <w:b/>
                <w:color w:val="000000"/>
                <w:sz w:val="22"/>
                <w:szCs w:val="22"/>
              </w:rPr>
              <w:t>,</w:t>
            </w:r>
            <w:r>
              <w:rPr>
                <w:rFonts w:hint="eastAsia" w:ascii="仿宋_GB2312" w:eastAsia="仿宋_GB2312"/>
                <w:b/>
                <w:color w:val="000000"/>
                <w:sz w:val="22"/>
                <w:szCs w:val="22"/>
              </w:rPr>
              <w:t>820</w:t>
            </w:r>
            <w:r>
              <w:rPr>
                <w:rFonts w:ascii="仿宋_GB2312" w:eastAsia="仿宋_GB2312"/>
                <w:b/>
                <w:color w:val="000000"/>
                <w:sz w:val="22"/>
                <w:szCs w:val="22"/>
              </w:rPr>
              <w:t>.30</w:t>
            </w:r>
          </w:p>
        </w:tc>
        <w:tc>
          <w:tcPr>
            <w:tcW w:w="1843" w:type="dxa"/>
            <w:tcBorders>
              <w:top w:val="nil"/>
              <w:left w:val="nil"/>
              <w:bottom w:val="dotted" w:color="auto" w:sz="4" w:space="0"/>
              <w:right w:val="nil"/>
            </w:tcBorders>
            <w:shd w:val="clear" w:color="auto" w:fill="auto"/>
            <w:noWrap/>
            <w:vAlign w:val="center"/>
          </w:tcPr>
          <w:p>
            <w:pPr>
              <w:jc w:val="right"/>
              <w:rPr>
                <w:rFonts w:ascii="仿宋_GB2312" w:eastAsia="仿宋_GB2312" w:cs="宋体"/>
                <w:b/>
                <w:color w:val="000000"/>
                <w:sz w:val="22"/>
                <w:szCs w:val="22"/>
              </w:rPr>
            </w:pPr>
            <w:r>
              <w:rPr>
                <w:rFonts w:hint="eastAsia" w:ascii="仿宋_GB2312" w:eastAsia="仿宋_GB2312"/>
                <w:b/>
                <w:color w:val="000000"/>
                <w:sz w:val="22"/>
                <w:szCs w:val="22"/>
              </w:rPr>
              <w:t>16</w:t>
            </w:r>
            <w:r>
              <w:rPr>
                <w:rFonts w:ascii="仿宋_GB2312" w:eastAsia="仿宋_GB2312"/>
                <w:b/>
                <w:color w:val="000000"/>
                <w:sz w:val="22"/>
                <w:szCs w:val="22"/>
              </w:rPr>
              <w:t>,</w:t>
            </w:r>
            <w:r>
              <w:rPr>
                <w:rFonts w:hint="eastAsia" w:ascii="仿宋_GB2312" w:eastAsia="仿宋_GB2312"/>
                <w:b/>
                <w:color w:val="000000"/>
                <w:sz w:val="22"/>
                <w:szCs w:val="22"/>
              </w:rPr>
              <w:t xml:space="preserve">647.06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right"/>
        </w:trPr>
        <w:tc>
          <w:tcPr>
            <w:tcW w:w="2744" w:type="dxa"/>
            <w:tcBorders>
              <w:top w:val="nil"/>
              <w:left w:val="nil"/>
              <w:bottom w:val="dotted" w:color="auto" w:sz="4" w:space="0"/>
              <w:right w:val="dotted" w:color="auto" w:sz="4" w:space="0"/>
            </w:tcBorders>
            <w:shd w:val="clear" w:color="auto" w:fill="auto"/>
            <w:noWrap/>
            <w:vAlign w:val="bottom"/>
          </w:tcPr>
          <w:p>
            <w:pPr>
              <w:widowControl/>
              <w:ind w:firstLine="440" w:firstLineChars="200"/>
              <w:jc w:val="left"/>
              <w:rPr>
                <w:rFonts w:ascii="仿宋_GB2312" w:eastAsia="仿宋_GB2312" w:cs="宋体"/>
                <w:color w:val="000000"/>
                <w:kern w:val="0"/>
                <w:sz w:val="22"/>
                <w:szCs w:val="22"/>
              </w:rPr>
            </w:pPr>
            <w:r>
              <w:rPr>
                <w:rFonts w:hint="eastAsia" w:ascii="仿宋_GB2312" w:eastAsia="仿宋_GB2312" w:cs="宋体"/>
                <w:color w:val="000000"/>
                <w:kern w:val="0"/>
                <w:sz w:val="22"/>
                <w:szCs w:val="22"/>
              </w:rPr>
              <w:t>人员经费</w:t>
            </w:r>
          </w:p>
        </w:tc>
        <w:tc>
          <w:tcPr>
            <w:tcW w:w="1984" w:type="dxa"/>
            <w:tcBorders>
              <w:top w:val="nil"/>
              <w:left w:val="nil"/>
              <w:bottom w:val="dotted" w:color="auto" w:sz="4" w:space="0"/>
              <w:right w:val="dotted" w:color="auto" w:sz="4" w:space="0"/>
            </w:tcBorders>
            <w:shd w:val="clear" w:color="auto" w:fill="auto"/>
            <w:noWrap/>
            <w:vAlign w:val="center"/>
          </w:tcPr>
          <w:p>
            <w:pPr>
              <w:jc w:val="right"/>
              <w:rPr>
                <w:rFonts w:ascii="仿宋_GB2312" w:eastAsia="仿宋_GB2312" w:cs="宋体"/>
                <w:color w:val="000000"/>
                <w:sz w:val="22"/>
                <w:szCs w:val="22"/>
              </w:rPr>
            </w:pPr>
            <w:r>
              <w:rPr>
                <w:rFonts w:hint="eastAsia" w:ascii="仿宋_GB2312" w:eastAsia="仿宋_GB2312"/>
                <w:color w:val="000000"/>
                <w:sz w:val="22"/>
                <w:szCs w:val="22"/>
              </w:rPr>
              <w:t>9</w:t>
            </w:r>
            <w:r>
              <w:rPr>
                <w:rFonts w:ascii="仿宋_GB2312" w:eastAsia="仿宋_GB2312"/>
                <w:color w:val="000000"/>
                <w:sz w:val="22"/>
                <w:szCs w:val="22"/>
              </w:rPr>
              <w:t>,</w:t>
            </w:r>
            <w:r>
              <w:rPr>
                <w:rFonts w:hint="eastAsia" w:ascii="仿宋_GB2312" w:eastAsia="仿宋_GB2312"/>
                <w:color w:val="000000"/>
                <w:sz w:val="22"/>
                <w:szCs w:val="22"/>
              </w:rPr>
              <w:t xml:space="preserve">747.74 </w:t>
            </w:r>
          </w:p>
        </w:tc>
        <w:tc>
          <w:tcPr>
            <w:tcW w:w="1843" w:type="dxa"/>
            <w:tcBorders>
              <w:top w:val="nil"/>
              <w:left w:val="nil"/>
              <w:bottom w:val="dotted" w:color="auto" w:sz="4" w:space="0"/>
              <w:right w:val="dotted" w:color="auto" w:sz="4" w:space="0"/>
            </w:tcBorders>
            <w:shd w:val="clear" w:color="auto" w:fill="auto"/>
            <w:noWrap/>
            <w:vAlign w:val="center"/>
          </w:tcPr>
          <w:p>
            <w:pPr>
              <w:jc w:val="right"/>
              <w:rPr>
                <w:rFonts w:ascii="仿宋_GB2312" w:eastAsia="仿宋_GB2312"/>
                <w:color w:val="000000"/>
                <w:sz w:val="22"/>
                <w:szCs w:val="22"/>
              </w:rPr>
            </w:pPr>
            <w:r>
              <w:rPr>
                <w:rFonts w:hint="eastAsia" w:ascii="仿宋_GB2312" w:eastAsia="仿宋_GB2312"/>
                <w:color w:val="000000"/>
                <w:sz w:val="22"/>
                <w:szCs w:val="22"/>
              </w:rPr>
              <w:t>12</w:t>
            </w:r>
            <w:r>
              <w:rPr>
                <w:rFonts w:ascii="仿宋_GB2312" w:eastAsia="仿宋_GB2312"/>
                <w:color w:val="000000"/>
                <w:sz w:val="22"/>
                <w:szCs w:val="22"/>
              </w:rPr>
              <w:t>,</w:t>
            </w:r>
            <w:r>
              <w:rPr>
                <w:rFonts w:hint="eastAsia" w:ascii="仿宋_GB2312" w:eastAsia="仿宋_GB2312"/>
                <w:color w:val="000000"/>
                <w:sz w:val="22"/>
                <w:szCs w:val="22"/>
              </w:rPr>
              <w:t>636</w:t>
            </w:r>
            <w:r>
              <w:rPr>
                <w:rFonts w:ascii="仿宋_GB2312" w:eastAsia="仿宋_GB2312"/>
                <w:color w:val="000000"/>
                <w:sz w:val="22"/>
                <w:szCs w:val="22"/>
              </w:rPr>
              <w:t>.</w:t>
            </w:r>
            <w:r>
              <w:rPr>
                <w:rFonts w:hint="eastAsia" w:ascii="仿宋_GB2312" w:eastAsia="仿宋_GB2312"/>
                <w:color w:val="000000"/>
                <w:sz w:val="22"/>
                <w:szCs w:val="22"/>
              </w:rPr>
              <w:t>0</w:t>
            </w:r>
            <w:r>
              <w:rPr>
                <w:rFonts w:ascii="仿宋_GB2312" w:eastAsia="仿宋_GB2312"/>
                <w:color w:val="000000"/>
                <w:sz w:val="22"/>
                <w:szCs w:val="22"/>
              </w:rPr>
              <w:t>6</w:t>
            </w:r>
          </w:p>
        </w:tc>
        <w:tc>
          <w:tcPr>
            <w:tcW w:w="1843" w:type="dxa"/>
            <w:tcBorders>
              <w:top w:val="nil"/>
              <w:left w:val="nil"/>
              <w:bottom w:val="dotted" w:color="auto" w:sz="4" w:space="0"/>
              <w:right w:val="nil"/>
            </w:tcBorders>
            <w:shd w:val="clear" w:color="auto" w:fill="auto"/>
            <w:noWrap/>
            <w:vAlign w:val="center"/>
          </w:tcPr>
          <w:p>
            <w:pPr>
              <w:jc w:val="right"/>
              <w:rPr>
                <w:rFonts w:ascii="仿宋_GB2312" w:eastAsia="仿宋_GB2312" w:cs="宋体"/>
                <w:color w:val="000000"/>
                <w:sz w:val="22"/>
                <w:szCs w:val="22"/>
              </w:rPr>
            </w:pPr>
            <w:r>
              <w:rPr>
                <w:rFonts w:hint="eastAsia" w:ascii="仿宋_GB2312" w:eastAsia="仿宋_GB2312"/>
                <w:color w:val="000000"/>
                <w:sz w:val="22"/>
                <w:szCs w:val="22"/>
              </w:rPr>
              <w:t>12</w:t>
            </w:r>
            <w:r>
              <w:rPr>
                <w:rFonts w:ascii="仿宋_GB2312" w:eastAsia="仿宋_GB2312"/>
                <w:color w:val="000000"/>
                <w:sz w:val="22"/>
                <w:szCs w:val="22"/>
              </w:rPr>
              <w:t>,</w:t>
            </w:r>
            <w:r>
              <w:rPr>
                <w:rFonts w:hint="eastAsia" w:ascii="仿宋_GB2312" w:eastAsia="仿宋_GB2312"/>
                <w:color w:val="000000"/>
                <w:sz w:val="22"/>
                <w:szCs w:val="22"/>
              </w:rPr>
              <w:t xml:space="preserve">636.06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right"/>
        </w:trPr>
        <w:tc>
          <w:tcPr>
            <w:tcW w:w="2744" w:type="dxa"/>
            <w:tcBorders>
              <w:top w:val="nil"/>
              <w:left w:val="nil"/>
              <w:bottom w:val="dotted" w:color="auto" w:sz="4" w:space="0"/>
              <w:right w:val="dotted" w:color="auto" w:sz="4" w:space="0"/>
            </w:tcBorders>
            <w:shd w:val="clear" w:color="auto" w:fill="auto"/>
            <w:noWrap/>
            <w:vAlign w:val="bottom"/>
          </w:tcPr>
          <w:p>
            <w:pPr>
              <w:widowControl/>
              <w:ind w:firstLine="440" w:firstLineChars="200"/>
              <w:jc w:val="left"/>
              <w:rPr>
                <w:rFonts w:ascii="仿宋_GB2312" w:eastAsia="仿宋_GB2312" w:cs="宋体"/>
                <w:color w:val="000000"/>
                <w:kern w:val="0"/>
                <w:sz w:val="22"/>
                <w:szCs w:val="22"/>
              </w:rPr>
            </w:pPr>
            <w:r>
              <w:rPr>
                <w:rFonts w:hint="eastAsia" w:ascii="仿宋_GB2312" w:eastAsia="仿宋_GB2312" w:cs="宋体"/>
                <w:color w:val="000000"/>
                <w:kern w:val="0"/>
                <w:sz w:val="22"/>
                <w:szCs w:val="22"/>
              </w:rPr>
              <w:t>日常公用经费</w:t>
            </w:r>
          </w:p>
        </w:tc>
        <w:tc>
          <w:tcPr>
            <w:tcW w:w="1984" w:type="dxa"/>
            <w:tcBorders>
              <w:top w:val="nil"/>
              <w:left w:val="nil"/>
              <w:bottom w:val="dotted" w:color="auto" w:sz="4" w:space="0"/>
              <w:right w:val="dotted" w:color="auto" w:sz="4" w:space="0"/>
            </w:tcBorders>
            <w:shd w:val="clear" w:color="auto" w:fill="auto"/>
            <w:noWrap/>
            <w:vAlign w:val="center"/>
          </w:tcPr>
          <w:p>
            <w:pPr>
              <w:jc w:val="right"/>
              <w:rPr>
                <w:rFonts w:ascii="仿宋_GB2312" w:eastAsia="仿宋_GB2312" w:cs="宋体"/>
                <w:color w:val="000000"/>
                <w:sz w:val="22"/>
                <w:szCs w:val="22"/>
              </w:rPr>
            </w:pPr>
            <w:r>
              <w:rPr>
                <w:rFonts w:hint="eastAsia" w:ascii="仿宋_GB2312" w:eastAsia="仿宋_GB2312"/>
                <w:color w:val="000000"/>
                <w:sz w:val="22"/>
                <w:szCs w:val="22"/>
              </w:rPr>
              <w:t>5</w:t>
            </w:r>
            <w:r>
              <w:rPr>
                <w:rFonts w:ascii="仿宋_GB2312" w:eastAsia="仿宋_GB2312"/>
                <w:color w:val="000000"/>
                <w:sz w:val="22"/>
                <w:szCs w:val="22"/>
              </w:rPr>
              <w:t>,</w:t>
            </w:r>
            <w:r>
              <w:rPr>
                <w:rFonts w:hint="eastAsia" w:ascii="仿宋_GB2312" w:eastAsia="仿宋_GB2312"/>
                <w:color w:val="000000"/>
                <w:sz w:val="22"/>
                <w:szCs w:val="22"/>
              </w:rPr>
              <w:t xml:space="preserve">139.36 </w:t>
            </w:r>
          </w:p>
        </w:tc>
        <w:tc>
          <w:tcPr>
            <w:tcW w:w="1843" w:type="dxa"/>
            <w:tcBorders>
              <w:top w:val="nil"/>
              <w:left w:val="nil"/>
              <w:bottom w:val="dotted" w:color="auto" w:sz="4" w:space="0"/>
              <w:right w:val="dotted" w:color="auto" w:sz="4" w:space="0"/>
            </w:tcBorders>
            <w:shd w:val="clear" w:color="auto" w:fill="auto"/>
            <w:noWrap/>
            <w:vAlign w:val="center"/>
          </w:tcPr>
          <w:p>
            <w:pPr>
              <w:jc w:val="right"/>
              <w:rPr>
                <w:rFonts w:ascii="仿宋_GB2312" w:eastAsia="仿宋_GB2312"/>
                <w:color w:val="000000"/>
                <w:sz w:val="22"/>
                <w:szCs w:val="22"/>
              </w:rPr>
            </w:pPr>
            <w:r>
              <w:rPr>
                <w:rFonts w:hint="eastAsia" w:ascii="仿宋_GB2312" w:eastAsia="仿宋_GB2312"/>
                <w:color w:val="000000"/>
                <w:sz w:val="22"/>
                <w:szCs w:val="22"/>
              </w:rPr>
              <w:t>4</w:t>
            </w:r>
            <w:r>
              <w:rPr>
                <w:rFonts w:ascii="仿宋_GB2312" w:eastAsia="仿宋_GB2312"/>
                <w:color w:val="000000"/>
                <w:sz w:val="22"/>
                <w:szCs w:val="22"/>
              </w:rPr>
              <w:t>,</w:t>
            </w:r>
            <w:r>
              <w:rPr>
                <w:rFonts w:hint="eastAsia" w:ascii="仿宋_GB2312" w:eastAsia="仿宋_GB2312"/>
                <w:color w:val="000000"/>
                <w:sz w:val="22"/>
                <w:szCs w:val="22"/>
              </w:rPr>
              <w:t>184</w:t>
            </w:r>
            <w:r>
              <w:rPr>
                <w:rFonts w:ascii="仿宋_GB2312" w:eastAsia="仿宋_GB2312"/>
                <w:color w:val="000000"/>
                <w:sz w:val="22"/>
                <w:szCs w:val="22"/>
              </w:rPr>
              <w:t>.</w:t>
            </w:r>
            <w:r>
              <w:rPr>
                <w:rFonts w:hint="eastAsia" w:ascii="仿宋_GB2312" w:eastAsia="仿宋_GB2312"/>
                <w:color w:val="000000"/>
                <w:sz w:val="22"/>
                <w:szCs w:val="22"/>
              </w:rPr>
              <w:t>24</w:t>
            </w:r>
          </w:p>
        </w:tc>
        <w:tc>
          <w:tcPr>
            <w:tcW w:w="1843" w:type="dxa"/>
            <w:tcBorders>
              <w:top w:val="nil"/>
              <w:left w:val="nil"/>
              <w:bottom w:val="dotted" w:color="auto" w:sz="4" w:space="0"/>
              <w:right w:val="nil"/>
            </w:tcBorders>
            <w:shd w:val="clear" w:color="auto" w:fill="auto"/>
            <w:noWrap/>
            <w:vAlign w:val="center"/>
          </w:tcPr>
          <w:p>
            <w:pPr>
              <w:jc w:val="right"/>
              <w:rPr>
                <w:rFonts w:ascii="仿宋_GB2312" w:eastAsia="仿宋_GB2312" w:cs="宋体"/>
                <w:color w:val="000000"/>
                <w:sz w:val="22"/>
                <w:szCs w:val="22"/>
              </w:rPr>
            </w:pPr>
            <w:r>
              <w:rPr>
                <w:rFonts w:hint="eastAsia" w:ascii="仿宋_GB2312" w:eastAsia="仿宋_GB2312"/>
                <w:color w:val="000000"/>
                <w:sz w:val="22"/>
                <w:szCs w:val="22"/>
              </w:rPr>
              <w:t>4</w:t>
            </w:r>
            <w:r>
              <w:rPr>
                <w:rFonts w:ascii="仿宋_GB2312" w:eastAsia="仿宋_GB2312"/>
                <w:color w:val="000000"/>
                <w:sz w:val="22"/>
                <w:szCs w:val="22"/>
              </w:rPr>
              <w:t>,</w:t>
            </w:r>
            <w:r>
              <w:rPr>
                <w:rFonts w:hint="eastAsia" w:ascii="仿宋_GB2312" w:eastAsia="仿宋_GB2312"/>
                <w:color w:val="000000"/>
                <w:sz w:val="22"/>
                <w:szCs w:val="22"/>
              </w:rPr>
              <w:t xml:space="preserve">011.00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right"/>
        </w:trPr>
        <w:tc>
          <w:tcPr>
            <w:tcW w:w="2744" w:type="dxa"/>
            <w:tcBorders>
              <w:top w:val="nil"/>
              <w:left w:val="nil"/>
              <w:bottom w:val="dotted" w:color="auto" w:sz="4" w:space="0"/>
              <w:right w:val="dotted" w:color="auto" w:sz="4" w:space="0"/>
            </w:tcBorders>
            <w:shd w:val="clear" w:color="auto" w:fill="auto"/>
            <w:noWrap/>
            <w:vAlign w:val="bottom"/>
          </w:tcPr>
          <w:p>
            <w:pPr>
              <w:widowControl/>
              <w:jc w:val="left"/>
              <w:rPr>
                <w:rFonts w:ascii="仿宋_GB2312" w:eastAsia="仿宋_GB2312" w:cs="宋体"/>
                <w:color w:val="000000"/>
                <w:kern w:val="0"/>
                <w:sz w:val="22"/>
                <w:szCs w:val="22"/>
              </w:rPr>
            </w:pPr>
            <w:r>
              <w:rPr>
                <w:rFonts w:hint="eastAsia" w:ascii="仿宋_GB2312" w:eastAsia="仿宋_GB2312" w:cs="宋体"/>
                <w:color w:val="000000"/>
                <w:kern w:val="0"/>
                <w:sz w:val="22"/>
                <w:szCs w:val="22"/>
              </w:rPr>
              <w:t>二、项目支出</w:t>
            </w:r>
          </w:p>
        </w:tc>
        <w:tc>
          <w:tcPr>
            <w:tcW w:w="1984" w:type="dxa"/>
            <w:tcBorders>
              <w:top w:val="nil"/>
              <w:left w:val="nil"/>
              <w:bottom w:val="dotted" w:color="auto" w:sz="4" w:space="0"/>
              <w:right w:val="dotted" w:color="auto" w:sz="4" w:space="0"/>
            </w:tcBorders>
            <w:shd w:val="clear" w:color="auto" w:fill="auto"/>
            <w:noWrap/>
            <w:vAlign w:val="bottom"/>
          </w:tcPr>
          <w:p>
            <w:pPr>
              <w:widowControl/>
              <w:jc w:val="right"/>
              <w:rPr>
                <w:rFonts w:ascii="仿宋_GB2312" w:eastAsia="仿宋_GB2312" w:cs="宋体"/>
                <w:b/>
                <w:color w:val="000000"/>
                <w:kern w:val="0"/>
                <w:sz w:val="22"/>
                <w:szCs w:val="22"/>
              </w:rPr>
            </w:pPr>
            <w:r>
              <w:rPr>
                <w:rFonts w:hint="eastAsia" w:ascii="仿宋_GB2312" w:eastAsia="仿宋_GB2312"/>
                <w:b/>
                <w:color w:val="000000"/>
                <w:sz w:val="22"/>
                <w:szCs w:val="22"/>
              </w:rPr>
              <w:t>16</w:t>
            </w:r>
            <w:r>
              <w:rPr>
                <w:rFonts w:ascii="仿宋_GB2312" w:eastAsia="仿宋_GB2312"/>
                <w:b/>
                <w:color w:val="000000"/>
                <w:sz w:val="22"/>
                <w:szCs w:val="22"/>
              </w:rPr>
              <w:t>,</w:t>
            </w:r>
            <w:r>
              <w:rPr>
                <w:rFonts w:hint="eastAsia" w:ascii="仿宋_GB2312" w:eastAsia="仿宋_GB2312"/>
                <w:b/>
                <w:color w:val="000000"/>
                <w:sz w:val="22"/>
                <w:szCs w:val="22"/>
              </w:rPr>
              <w:t>823.59</w:t>
            </w:r>
          </w:p>
        </w:tc>
        <w:tc>
          <w:tcPr>
            <w:tcW w:w="1843" w:type="dxa"/>
            <w:tcBorders>
              <w:top w:val="nil"/>
              <w:left w:val="nil"/>
              <w:bottom w:val="dotted" w:color="auto" w:sz="4" w:space="0"/>
              <w:right w:val="dotted" w:color="auto" w:sz="4" w:space="0"/>
            </w:tcBorders>
            <w:shd w:val="clear" w:color="auto" w:fill="auto"/>
            <w:noWrap/>
            <w:vAlign w:val="center"/>
          </w:tcPr>
          <w:p>
            <w:pPr>
              <w:jc w:val="right"/>
              <w:rPr>
                <w:rFonts w:ascii="仿宋_GB2312" w:eastAsia="仿宋_GB2312"/>
                <w:b/>
                <w:color w:val="000000"/>
                <w:sz w:val="22"/>
                <w:szCs w:val="22"/>
              </w:rPr>
            </w:pPr>
            <w:r>
              <w:rPr>
                <w:rFonts w:hint="eastAsia" w:ascii="仿宋_GB2312" w:eastAsia="仿宋_GB2312"/>
                <w:b/>
                <w:color w:val="000000"/>
                <w:sz w:val="22"/>
                <w:szCs w:val="22"/>
              </w:rPr>
              <w:t>17</w:t>
            </w:r>
            <w:r>
              <w:rPr>
                <w:rFonts w:ascii="仿宋_GB2312" w:eastAsia="仿宋_GB2312"/>
                <w:b/>
                <w:color w:val="000000"/>
                <w:sz w:val="22"/>
                <w:szCs w:val="22"/>
              </w:rPr>
              <w:t>,</w:t>
            </w:r>
            <w:r>
              <w:rPr>
                <w:rFonts w:hint="eastAsia" w:ascii="仿宋_GB2312" w:eastAsia="仿宋_GB2312"/>
                <w:b/>
                <w:color w:val="000000"/>
                <w:sz w:val="22"/>
                <w:szCs w:val="22"/>
              </w:rPr>
              <w:t>984.0</w:t>
            </w:r>
            <w:r>
              <w:rPr>
                <w:rFonts w:ascii="仿宋_GB2312" w:eastAsia="仿宋_GB2312"/>
                <w:b/>
                <w:color w:val="000000"/>
                <w:sz w:val="22"/>
                <w:szCs w:val="22"/>
              </w:rPr>
              <w:t>8</w:t>
            </w:r>
          </w:p>
        </w:tc>
        <w:tc>
          <w:tcPr>
            <w:tcW w:w="1843" w:type="dxa"/>
            <w:tcBorders>
              <w:top w:val="nil"/>
              <w:left w:val="nil"/>
              <w:bottom w:val="dotted" w:color="auto" w:sz="4" w:space="0"/>
              <w:right w:val="nil"/>
            </w:tcBorders>
            <w:shd w:val="clear" w:color="auto" w:fill="auto"/>
            <w:noWrap/>
            <w:vAlign w:val="bottom"/>
          </w:tcPr>
          <w:p>
            <w:pPr>
              <w:widowControl/>
              <w:jc w:val="right"/>
              <w:rPr>
                <w:rFonts w:ascii="仿宋_GB2312" w:eastAsia="仿宋_GB2312" w:cs="宋体"/>
                <w:b/>
                <w:color w:val="000000"/>
                <w:kern w:val="0"/>
                <w:sz w:val="22"/>
                <w:szCs w:val="22"/>
              </w:rPr>
            </w:pPr>
            <w:r>
              <w:rPr>
                <w:rFonts w:hint="eastAsia" w:ascii="仿宋_GB2312" w:eastAsia="仿宋_GB2312" w:cs="宋体"/>
                <w:b/>
                <w:color w:val="000000"/>
                <w:kern w:val="0"/>
                <w:sz w:val="22"/>
                <w:szCs w:val="22"/>
              </w:rPr>
              <w:t>17</w:t>
            </w:r>
            <w:r>
              <w:rPr>
                <w:rFonts w:ascii="仿宋_GB2312" w:eastAsia="仿宋_GB2312" w:cs="宋体"/>
                <w:b/>
                <w:color w:val="000000"/>
                <w:kern w:val="0"/>
                <w:sz w:val="22"/>
                <w:szCs w:val="22"/>
              </w:rPr>
              <w:t>,</w:t>
            </w:r>
            <w:r>
              <w:rPr>
                <w:rFonts w:hint="eastAsia" w:ascii="仿宋_GB2312" w:eastAsia="仿宋_GB2312" w:cs="宋体"/>
                <w:b/>
                <w:color w:val="000000"/>
                <w:kern w:val="0"/>
                <w:sz w:val="22"/>
                <w:szCs w:val="22"/>
              </w:rPr>
              <w:t>984.0</w:t>
            </w:r>
            <w:r>
              <w:rPr>
                <w:rFonts w:ascii="仿宋_GB2312" w:eastAsia="仿宋_GB2312" w:cs="宋体"/>
                <w:b/>
                <w:color w:val="000000"/>
                <w:kern w:val="0"/>
                <w:sz w:val="22"/>
                <w:szCs w:val="22"/>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right"/>
        </w:trPr>
        <w:tc>
          <w:tcPr>
            <w:tcW w:w="2744" w:type="dxa"/>
            <w:tcBorders>
              <w:top w:val="nil"/>
              <w:left w:val="nil"/>
              <w:bottom w:val="dotted" w:color="auto" w:sz="4" w:space="0"/>
              <w:right w:val="dotted" w:color="auto" w:sz="4" w:space="0"/>
            </w:tcBorders>
            <w:shd w:val="clear" w:color="auto" w:fill="auto"/>
            <w:noWrap/>
            <w:vAlign w:val="bottom"/>
          </w:tcPr>
          <w:p>
            <w:pPr>
              <w:widowControl/>
              <w:ind w:firstLine="440" w:firstLineChars="200"/>
              <w:jc w:val="left"/>
              <w:rPr>
                <w:rFonts w:ascii="仿宋_GB2312" w:eastAsia="仿宋_GB2312" w:cs="宋体"/>
                <w:color w:val="000000"/>
                <w:kern w:val="0"/>
                <w:sz w:val="22"/>
                <w:szCs w:val="22"/>
              </w:rPr>
            </w:pPr>
            <w:r>
              <w:rPr>
                <w:rFonts w:hint="eastAsia" w:ascii="仿宋_GB2312" w:eastAsia="仿宋_GB2312" w:cs="宋体"/>
                <w:color w:val="000000"/>
                <w:kern w:val="0"/>
                <w:sz w:val="22"/>
                <w:szCs w:val="22"/>
              </w:rPr>
              <w:t>非基本建设类项目</w:t>
            </w:r>
          </w:p>
        </w:tc>
        <w:tc>
          <w:tcPr>
            <w:tcW w:w="1984" w:type="dxa"/>
            <w:tcBorders>
              <w:top w:val="nil"/>
              <w:left w:val="nil"/>
              <w:bottom w:val="dotted" w:color="auto" w:sz="4" w:space="0"/>
              <w:right w:val="dotted" w:color="auto" w:sz="4" w:space="0"/>
            </w:tcBorders>
            <w:shd w:val="clear" w:color="auto" w:fill="auto"/>
            <w:noWrap/>
            <w:vAlign w:val="bottom"/>
          </w:tcPr>
          <w:p>
            <w:pPr>
              <w:widowControl/>
              <w:jc w:val="right"/>
              <w:rPr>
                <w:rFonts w:ascii="仿宋_GB2312" w:eastAsia="仿宋_GB2312" w:cs="宋体"/>
                <w:color w:val="000000"/>
                <w:kern w:val="0"/>
                <w:sz w:val="22"/>
                <w:szCs w:val="22"/>
              </w:rPr>
            </w:pPr>
            <w:r>
              <w:rPr>
                <w:rFonts w:hint="eastAsia" w:ascii="仿宋_GB2312" w:eastAsia="仿宋_GB2312"/>
                <w:color w:val="000000"/>
                <w:sz w:val="22"/>
                <w:szCs w:val="22"/>
              </w:rPr>
              <w:t>16</w:t>
            </w:r>
            <w:r>
              <w:rPr>
                <w:rFonts w:ascii="仿宋_GB2312" w:eastAsia="仿宋_GB2312"/>
                <w:color w:val="000000"/>
                <w:sz w:val="22"/>
                <w:szCs w:val="22"/>
              </w:rPr>
              <w:t>,</w:t>
            </w:r>
            <w:r>
              <w:rPr>
                <w:rFonts w:hint="eastAsia" w:ascii="仿宋_GB2312" w:eastAsia="仿宋_GB2312"/>
                <w:color w:val="000000"/>
                <w:sz w:val="22"/>
                <w:szCs w:val="22"/>
              </w:rPr>
              <w:t>823.59</w:t>
            </w:r>
          </w:p>
        </w:tc>
        <w:tc>
          <w:tcPr>
            <w:tcW w:w="1843" w:type="dxa"/>
            <w:tcBorders>
              <w:top w:val="nil"/>
              <w:left w:val="nil"/>
              <w:bottom w:val="dotted" w:color="auto" w:sz="4" w:space="0"/>
              <w:right w:val="dotted" w:color="auto" w:sz="4" w:space="0"/>
            </w:tcBorders>
            <w:shd w:val="clear" w:color="auto" w:fill="auto"/>
            <w:noWrap/>
            <w:vAlign w:val="bottom"/>
          </w:tcPr>
          <w:p>
            <w:pPr>
              <w:jc w:val="right"/>
              <w:rPr>
                <w:rFonts w:ascii="仿宋_GB2312" w:eastAsia="仿宋_GB2312"/>
                <w:color w:val="000000"/>
                <w:sz w:val="22"/>
                <w:szCs w:val="22"/>
              </w:rPr>
            </w:pPr>
            <w:r>
              <w:rPr>
                <w:rFonts w:hint="eastAsia" w:ascii="仿宋_GB2312" w:eastAsia="仿宋_GB2312"/>
                <w:color w:val="000000"/>
                <w:sz w:val="22"/>
                <w:szCs w:val="22"/>
              </w:rPr>
              <w:t>17</w:t>
            </w:r>
            <w:r>
              <w:rPr>
                <w:rFonts w:ascii="仿宋_GB2312" w:eastAsia="仿宋_GB2312"/>
                <w:color w:val="000000"/>
                <w:sz w:val="22"/>
                <w:szCs w:val="22"/>
              </w:rPr>
              <w:t>,</w:t>
            </w:r>
            <w:r>
              <w:rPr>
                <w:rFonts w:hint="eastAsia" w:ascii="仿宋_GB2312" w:eastAsia="仿宋_GB2312"/>
                <w:color w:val="000000"/>
                <w:sz w:val="22"/>
                <w:szCs w:val="22"/>
              </w:rPr>
              <w:t>984.0</w:t>
            </w:r>
            <w:r>
              <w:rPr>
                <w:rFonts w:ascii="仿宋_GB2312" w:eastAsia="仿宋_GB2312"/>
                <w:color w:val="000000"/>
                <w:sz w:val="22"/>
                <w:szCs w:val="22"/>
              </w:rPr>
              <w:t>8</w:t>
            </w:r>
          </w:p>
        </w:tc>
        <w:tc>
          <w:tcPr>
            <w:tcW w:w="1843" w:type="dxa"/>
            <w:tcBorders>
              <w:top w:val="nil"/>
              <w:left w:val="nil"/>
              <w:bottom w:val="dotted" w:color="auto" w:sz="4" w:space="0"/>
              <w:right w:val="nil"/>
            </w:tcBorders>
            <w:shd w:val="clear" w:color="auto" w:fill="auto"/>
            <w:noWrap/>
            <w:vAlign w:val="bottom"/>
          </w:tcPr>
          <w:p>
            <w:pPr>
              <w:widowControl/>
              <w:jc w:val="right"/>
              <w:rPr>
                <w:rFonts w:ascii="仿宋_GB2312" w:eastAsia="仿宋_GB2312" w:cs="宋体"/>
                <w:color w:val="000000"/>
                <w:kern w:val="0"/>
                <w:sz w:val="22"/>
                <w:szCs w:val="22"/>
              </w:rPr>
            </w:pPr>
            <w:r>
              <w:rPr>
                <w:rFonts w:hint="eastAsia" w:ascii="仿宋_GB2312" w:eastAsia="仿宋_GB2312" w:cs="宋体"/>
                <w:color w:val="000000"/>
                <w:kern w:val="0"/>
                <w:sz w:val="22"/>
                <w:szCs w:val="22"/>
              </w:rPr>
              <w:t>17</w:t>
            </w:r>
            <w:r>
              <w:rPr>
                <w:rFonts w:ascii="仿宋_GB2312" w:eastAsia="仿宋_GB2312" w:cs="宋体"/>
                <w:color w:val="000000"/>
                <w:kern w:val="0"/>
                <w:sz w:val="22"/>
                <w:szCs w:val="22"/>
              </w:rPr>
              <w:t>,</w:t>
            </w:r>
            <w:r>
              <w:rPr>
                <w:rFonts w:hint="eastAsia" w:ascii="仿宋_GB2312" w:eastAsia="仿宋_GB2312" w:cs="宋体"/>
                <w:color w:val="000000"/>
                <w:kern w:val="0"/>
                <w:sz w:val="22"/>
                <w:szCs w:val="22"/>
              </w:rPr>
              <w:t>984.0</w:t>
            </w:r>
            <w:r>
              <w:rPr>
                <w:rFonts w:ascii="仿宋_GB2312" w:eastAsia="仿宋_GB2312" w:cs="宋体"/>
                <w:color w:val="000000"/>
                <w:kern w:val="0"/>
                <w:sz w:val="22"/>
                <w:szCs w:val="22"/>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right"/>
        </w:trPr>
        <w:tc>
          <w:tcPr>
            <w:tcW w:w="2744" w:type="dxa"/>
            <w:tcBorders>
              <w:top w:val="nil"/>
              <w:left w:val="nil"/>
              <w:bottom w:val="single" w:color="auto" w:sz="12" w:space="0"/>
              <w:right w:val="dotted" w:color="auto" w:sz="4" w:space="0"/>
            </w:tcBorders>
            <w:shd w:val="clear" w:color="auto" w:fill="auto"/>
            <w:noWrap/>
            <w:vAlign w:val="bottom"/>
          </w:tcPr>
          <w:p>
            <w:pPr>
              <w:widowControl/>
              <w:jc w:val="center"/>
              <w:rPr>
                <w:rFonts w:ascii="仿宋_GB2312" w:eastAsia="仿宋_GB2312" w:cs="宋体"/>
                <w:color w:val="000000"/>
                <w:kern w:val="0"/>
                <w:sz w:val="22"/>
                <w:szCs w:val="22"/>
              </w:rPr>
            </w:pPr>
            <w:r>
              <w:rPr>
                <w:rFonts w:hint="eastAsia" w:ascii="仿宋_GB2312" w:eastAsia="仿宋_GB2312" w:cs="宋体"/>
                <w:color w:val="000000"/>
                <w:kern w:val="0"/>
                <w:sz w:val="22"/>
                <w:szCs w:val="22"/>
              </w:rPr>
              <w:t>合  计</w:t>
            </w:r>
          </w:p>
        </w:tc>
        <w:tc>
          <w:tcPr>
            <w:tcW w:w="1984" w:type="dxa"/>
            <w:tcBorders>
              <w:top w:val="nil"/>
              <w:left w:val="nil"/>
              <w:bottom w:val="single" w:color="auto" w:sz="12" w:space="0"/>
              <w:right w:val="dotted" w:color="auto" w:sz="4" w:space="0"/>
            </w:tcBorders>
            <w:shd w:val="clear" w:color="auto" w:fill="auto"/>
            <w:noWrap/>
            <w:vAlign w:val="bottom"/>
          </w:tcPr>
          <w:p>
            <w:pPr>
              <w:widowControl/>
              <w:jc w:val="right"/>
              <w:rPr>
                <w:rFonts w:ascii="仿宋_GB2312" w:eastAsia="仿宋_GB2312" w:cs="宋体"/>
                <w:b/>
                <w:color w:val="000000"/>
                <w:kern w:val="0"/>
                <w:sz w:val="22"/>
                <w:szCs w:val="22"/>
              </w:rPr>
            </w:pPr>
            <w:r>
              <w:rPr>
                <w:rFonts w:hint="eastAsia" w:ascii="仿宋_GB2312" w:eastAsia="仿宋_GB2312"/>
                <w:b/>
                <w:color w:val="000000"/>
                <w:sz w:val="22"/>
                <w:szCs w:val="22"/>
              </w:rPr>
              <w:t>31</w:t>
            </w:r>
            <w:r>
              <w:rPr>
                <w:rFonts w:ascii="仿宋_GB2312" w:eastAsia="仿宋_GB2312"/>
                <w:b/>
                <w:color w:val="000000"/>
                <w:sz w:val="22"/>
                <w:szCs w:val="22"/>
              </w:rPr>
              <w:t>,</w:t>
            </w:r>
            <w:r>
              <w:rPr>
                <w:rFonts w:hint="eastAsia" w:ascii="仿宋_GB2312" w:eastAsia="仿宋_GB2312"/>
                <w:b/>
                <w:color w:val="000000"/>
                <w:sz w:val="22"/>
                <w:szCs w:val="22"/>
              </w:rPr>
              <w:t>710.69</w:t>
            </w:r>
          </w:p>
        </w:tc>
        <w:tc>
          <w:tcPr>
            <w:tcW w:w="1843" w:type="dxa"/>
            <w:tcBorders>
              <w:top w:val="nil"/>
              <w:left w:val="nil"/>
              <w:bottom w:val="single" w:color="auto" w:sz="12" w:space="0"/>
              <w:right w:val="dotted" w:color="auto" w:sz="4" w:space="0"/>
            </w:tcBorders>
            <w:shd w:val="clear" w:color="auto" w:fill="auto"/>
            <w:noWrap/>
            <w:vAlign w:val="bottom"/>
          </w:tcPr>
          <w:p>
            <w:pPr>
              <w:jc w:val="right"/>
              <w:rPr>
                <w:rFonts w:ascii="仿宋_GB2312" w:eastAsia="仿宋_GB2312"/>
                <w:b/>
                <w:color w:val="000000"/>
                <w:sz w:val="22"/>
                <w:szCs w:val="22"/>
              </w:rPr>
            </w:pPr>
            <w:r>
              <w:rPr>
                <w:rFonts w:ascii="仿宋_GB2312" w:eastAsia="仿宋_GB2312"/>
                <w:b/>
                <w:color w:val="000000"/>
                <w:sz w:val="22"/>
                <w:szCs w:val="22"/>
              </w:rPr>
              <w:t>34,804.38</w:t>
            </w:r>
          </w:p>
        </w:tc>
        <w:tc>
          <w:tcPr>
            <w:tcW w:w="1843" w:type="dxa"/>
            <w:tcBorders>
              <w:top w:val="nil"/>
              <w:left w:val="nil"/>
              <w:bottom w:val="single" w:color="auto" w:sz="12" w:space="0"/>
              <w:right w:val="nil"/>
            </w:tcBorders>
            <w:shd w:val="clear" w:color="auto" w:fill="auto"/>
            <w:noWrap/>
            <w:vAlign w:val="bottom"/>
          </w:tcPr>
          <w:p>
            <w:pPr>
              <w:widowControl/>
              <w:jc w:val="right"/>
              <w:rPr>
                <w:rFonts w:ascii="仿宋_GB2312" w:eastAsia="仿宋_GB2312" w:cs="宋体"/>
                <w:b/>
                <w:color w:val="000000"/>
                <w:kern w:val="0"/>
                <w:sz w:val="22"/>
                <w:szCs w:val="22"/>
              </w:rPr>
            </w:pPr>
            <w:r>
              <w:rPr>
                <w:rFonts w:hint="eastAsia" w:ascii="仿宋_GB2312" w:eastAsia="仿宋_GB2312" w:cs="宋体"/>
                <w:b/>
                <w:color w:val="000000"/>
                <w:kern w:val="0"/>
                <w:sz w:val="22"/>
                <w:szCs w:val="22"/>
              </w:rPr>
              <w:t>34</w:t>
            </w:r>
            <w:r>
              <w:rPr>
                <w:rFonts w:ascii="仿宋_GB2312" w:eastAsia="仿宋_GB2312" w:cs="宋体"/>
                <w:b/>
                <w:color w:val="000000"/>
                <w:kern w:val="0"/>
                <w:sz w:val="22"/>
                <w:szCs w:val="22"/>
              </w:rPr>
              <w:t>,</w:t>
            </w:r>
            <w:r>
              <w:rPr>
                <w:rFonts w:hint="eastAsia" w:ascii="仿宋_GB2312" w:eastAsia="仿宋_GB2312" w:cs="宋体"/>
                <w:b/>
                <w:color w:val="000000"/>
                <w:kern w:val="0"/>
                <w:sz w:val="22"/>
                <w:szCs w:val="22"/>
              </w:rPr>
              <w:t>631.14</w:t>
            </w:r>
          </w:p>
        </w:tc>
      </w:tr>
    </w:tbl>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部门全年预算调剂金额为3,093.69万元。其中人员经费调增2,888.32万元，主要为省委宣传部机关、四川文化产业职业学院人员增加，住房公积金、医疗、养老等人员经费相应增加；日常公用经费调减955.12万元，减少原因为落实中央和省委省政府关于过紧日子的要求及疫情影响；项目支出调增1,160.49万元，主要为追加下达宣传文化事业发展专项经费。</w:t>
      </w:r>
    </w:p>
    <w:p>
      <w:pPr>
        <w:widowControl/>
        <w:adjustRightInd w:val="0"/>
        <w:snapToGrid w:val="0"/>
        <w:spacing w:line="580" w:lineRule="exact"/>
        <w:ind w:firstLine="640" w:firstLineChars="200"/>
        <w:contextualSpacing/>
        <w:jc w:val="left"/>
        <w:rPr>
          <w:rFonts w:ascii="黑体" w:eastAsia="黑体" w:cs="宋体"/>
          <w:color w:val="000000"/>
          <w:kern w:val="0"/>
          <w:sz w:val="32"/>
          <w:szCs w:val="32"/>
          <w:shd w:val="clear" w:color="auto" w:fill="FFFFFF"/>
        </w:rPr>
      </w:pPr>
      <w:r>
        <w:rPr>
          <w:rFonts w:hint="eastAsia" w:ascii="黑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1</w:t>
      </w:r>
      <w:r>
        <w:rPr>
          <w:rFonts w:ascii="仿宋_GB2312" w:eastAsia="仿宋_GB2312" w:cs="宋体"/>
          <w:color w:val="000000"/>
          <w:kern w:val="0"/>
          <w:sz w:val="32"/>
          <w:szCs w:val="32"/>
          <w:shd w:val="clear" w:color="auto" w:fill="FFFFFF"/>
          <w:lang w:val="zh-CN"/>
        </w:rPr>
        <w:t>.</w:t>
      </w:r>
      <w:r>
        <w:rPr>
          <w:rFonts w:hint="eastAsia" w:ascii="仿宋_GB2312" w:eastAsia="仿宋_GB2312" w:cs="宋体"/>
          <w:color w:val="000000"/>
          <w:kern w:val="0"/>
          <w:sz w:val="32"/>
          <w:szCs w:val="32"/>
          <w:shd w:val="clear" w:color="auto" w:fill="FFFFFF"/>
          <w:lang w:val="zh-CN"/>
        </w:rPr>
        <w:t>预算编制</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（1）部门绩效目标制定</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我部按照省财政厅预算编制要求，结合部门项目自身情况编制部门项目预算绩效目标，并在数量、质量、成本、时效、效益等方面尽可能做到了细化、量化。</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（2）绩效目标实现情况</w:t>
      </w:r>
    </w:p>
    <w:p>
      <w:pPr>
        <w:widowControl/>
        <w:adjustRightInd w:val="0"/>
        <w:snapToGrid w:val="0"/>
        <w:spacing w:line="580"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2</w:t>
      </w:r>
      <w:r>
        <w:rPr>
          <w:rFonts w:ascii="仿宋_GB2312" w:eastAsia="仿宋_GB2312" w:cs="宋体"/>
          <w:color w:val="000000"/>
          <w:kern w:val="0"/>
          <w:sz w:val="32"/>
          <w:szCs w:val="32"/>
          <w:shd w:val="clear" w:color="auto" w:fill="FFFFFF"/>
          <w:lang w:val="zh-CN"/>
        </w:rPr>
        <w:t>020</w:t>
      </w:r>
      <w:r>
        <w:rPr>
          <w:rFonts w:hint="eastAsia" w:ascii="仿宋_GB2312" w:eastAsia="仿宋_GB2312" w:cs="宋体"/>
          <w:color w:val="000000"/>
          <w:kern w:val="0"/>
          <w:sz w:val="32"/>
          <w:szCs w:val="32"/>
          <w:shd w:val="clear" w:color="auto" w:fill="FFFFFF"/>
          <w:lang w:val="zh-CN"/>
        </w:rPr>
        <w:t>年我部预算项目1</w:t>
      </w:r>
      <w:r>
        <w:rPr>
          <w:rFonts w:ascii="仿宋_GB2312" w:eastAsia="仿宋_GB2312" w:cs="宋体"/>
          <w:color w:val="000000"/>
          <w:kern w:val="0"/>
          <w:sz w:val="32"/>
          <w:szCs w:val="32"/>
          <w:shd w:val="clear" w:color="auto" w:fill="FFFFFF"/>
          <w:lang w:val="zh-CN"/>
        </w:rPr>
        <w:t>7</w:t>
      </w:r>
      <w:r>
        <w:rPr>
          <w:rFonts w:hint="eastAsia" w:ascii="仿宋_GB2312" w:eastAsia="仿宋_GB2312" w:cs="宋体"/>
          <w:color w:val="000000"/>
          <w:kern w:val="0"/>
          <w:sz w:val="32"/>
          <w:szCs w:val="32"/>
          <w:shd w:val="clear" w:color="auto" w:fill="FFFFFF"/>
          <w:lang w:val="zh-CN"/>
        </w:rPr>
        <w:t>个，除三个涉密项目，项目数量指标</w:t>
      </w:r>
      <w:r>
        <w:rPr>
          <w:rFonts w:ascii="仿宋_GB2312" w:eastAsia="仿宋_GB2312" w:cs="宋体"/>
          <w:color w:val="000000"/>
          <w:kern w:val="0"/>
          <w:sz w:val="32"/>
          <w:szCs w:val="32"/>
          <w:shd w:val="clear" w:color="auto" w:fill="FFFFFF"/>
          <w:lang w:val="zh-CN"/>
        </w:rPr>
        <w:t>55</w:t>
      </w:r>
      <w:r>
        <w:rPr>
          <w:rFonts w:hint="eastAsia" w:ascii="仿宋_GB2312" w:eastAsia="仿宋_GB2312" w:cs="宋体"/>
          <w:color w:val="000000"/>
          <w:kern w:val="0"/>
          <w:sz w:val="32"/>
          <w:szCs w:val="32"/>
          <w:shd w:val="clear" w:color="auto" w:fill="FFFFFF"/>
          <w:lang w:val="zh-CN"/>
        </w:rPr>
        <w:t>个，实际完成</w:t>
      </w:r>
      <w:r>
        <w:rPr>
          <w:rFonts w:ascii="仿宋_GB2312" w:eastAsia="仿宋_GB2312" w:cs="宋体"/>
          <w:color w:val="000000"/>
          <w:kern w:val="0"/>
          <w:sz w:val="32"/>
          <w:szCs w:val="32"/>
          <w:shd w:val="clear" w:color="auto" w:fill="FFFFFF"/>
          <w:lang w:val="zh-CN"/>
        </w:rPr>
        <w:t>48.4</w:t>
      </w:r>
      <w:r>
        <w:rPr>
          <w:rFonts w:hint="eastAsia" w:ascii="仿宋_GB2312" w:eastAsia="仿宋_GB2312" w:cs="宋体"/>
          <w:color w:val="000000"/>
          <w:kern w:val="0"/>
          <w:sz w:val="32"/>
          <w:szCs w:val="32"/>
          <w:shd w:val="clear" w:color="auto" w:fill="FFFFFF"/>
          <w:lang w:val="zh-CN"/>
        </w:rPr>
        <w:t>个，部门绩效目标实际实现程度与预期目标的偏离度为1</w:t>
      </w:r>
      <w:r>
        <w:rPr>
          <w:rFonts w:ascii="仿宋_GB2312" w:eastAsia="仿宋_GB2312" w:cs="宋体"/>
          <w:color w:val="000000"/>
          <w:kern w:val="0"/>
          <w:sz w:val="32"/>
          <w:szCs w:val="32"/>
          <w:shd w:val="clear" w:color="auto" w:fill="FFFFFF"/>
          <w:lang w:val="zh-CN"/>
        </w:rPr>
        <w:t>2%</w:t>
      </w:r>
      <w:r>
        <w:rPr>
          <w:rFonts w:hint="eastAsia" w:ascii="仿宋_GB2312" w:eastAsia="仿宋_GB2312" w:cs="宋体"/>
          <w:color w:val="000000"/>
          <w:kern w:val="0"/>
          <w:sz w:val="32"/>
          <w:szCs w:val="32"/>
          <w:shd w:val="clear" w:color="auto" w:fill="FFFFFF"/>
          <w:lang w:val="zh-CN"/>
        </w:rPr>
        <w:t>。如，《巴蜀全书》编纂经费项目4个产出数量指标，实际完成2</w:t>
      </w:r>
      <w:r>
        <w:rPr>
          <w:rFonts w:ascii="仿宋_GB2312" w:eastAsia="仿宋_GB2312" w:cs="宋体"/>
          <w:color w:val="000000"/>
          <w:kern w:val="0"/>
          <w:sz w:val="32"/>
          <w:szCs w:val="32"/>
          <w:shd w:val="clear" w:color="auto" w:fill="FFFFFF"/>
          <w:lang w:val="zh-CN"/>
        </w:rPr>
        <w:t>.4</w:t>
      </w:r>
      <w:r>
        <w:rPr>
          <w:rFonts w:hint="eastAsia" w:ascii="仿宋_GB2312" w:eastAsia="仿宋_GB2312" w:cs="宋体"/>
          <w:color w:val="000000"/>
          <w:kern w:val="0"/>
          <w:sz w:val="32"/>
          <w:szCs w:val="32"/>
          <w:shd w:val="clear" w:color="auto" w:fill="FFFFFF"/>
          <w:lang w:val="zh-CN"/>
        </w:rPr>
        <w:t>个；党委中心组网络学习平台工作运行、维护费项目3个产出数量指标，实际完成1个；2020年普通高校学生资助补助经费项目3个产出数量指标，实际完成2个；2020年高职生均拨款标准奖补金项目2个产出数量指标，实际完成1个；宣传部的外宣及其系列活动项目5个产出数量指标，实际完成4个。</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（3）预算编制准确性</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2</w:t>
      </w:r>
      <w:r>
        <w:rPr>
          <w:rFonts w:ascii="仿宋_GB2312" w:eastAsia="仿宋_GB2312" w:cs="宋体"/>
          <w:color w:val="000000"/>
          <w:kern w:val="0"/>
          <w:sz w:val="32"/>
          <w:szCs w:val="32"/>
          <w:shd w:val="clear" w:color="auto" w:fill="FFFFFF"/>
          <w:lang w:val="zh-CN"/>
        </w:rPr>
        <w:t>020</w:t>
      </w:r>
      <w:r>
        <w:rPr>
          <w:rFonts w:hint="eastAsia" w:ascii="仿宋_GB2312" w:eastAsia="仿宋_GB2312" w:cs="宋体"/>
          <w:color w:val="000000"/>
          <w:kern w:val="0"/>
          <w:sz w:val="32"/>
          <w:szCs w:val="32"/>
          <w:shd w:val="clear" w:color="auto" w:fill="FFFFFF"/>
          <w:lang w:val="zh-CN"/>
        </w:rPr>
        <w:t>年年初部门预算数</w:t>
      </w:r>
      <w:r>
        <w:rPr>
          <w:rFonts w:ascii="仿宋_GB2312" w:eastAsia="仿宋_GB2312" w:cs="宋体"/>
          <w:color w:val="000000"/>
          <w:kern w:val="0"/>
          <w:sz w:val="32"/>
          <w:szCs w:val="32"/>
          <w:shd w:val="clear" w:color="auto" w:fill="FFFFFF"/>
          <w:lang w:val="zh-CN"/>
        </w:rPr>
        <w:t>31,710.69</w:t>
      </w:r>
      <w:r>
        <w:rPr>
          <w:rFonts w:hint="eastAsia" w:ascii="仿宋_GB2312" w:eastAsia="仿宋_GB2312" w:cs="宋体"/>
          <w:color w:val="000000"/>
          <w:kern w:val="0"/>
          <w:sz w:val="32"/>
          <w:szCs w:val="32"/>
          <w:shd w:val="clear" w:color="auto" w:fill="FFFFFF"/>
          <w:lang w:val="zh-CN"/>
        </w:rPr>
        <w:t>万元，部门全年预算调剂金额为</w:t>
      </w:r>
      <w:r>
        <w:rPr>
          <w:rFonts w:ascii="仿宋_GB2312" w:eastAsia="仿宋_GB2312" w:cs="宋体"/>
          <w:kern w:val="0"/>
          <w:sz w:val="32"/>
          <w:szCs w:val="32"/>
          <w:shd w:val="clear" w:color="auto" w:fill="FFFFFF"/>
          <w:lang w:val="zh-CN"/>
        </w:rPr>
        <w:t>3,093.69</w:t>
      </w:r>
      <w:r>
        <w:rPr>
          <w:rFonts w:hint="eastAsia" w:ascii="仿宋_GB2312" w:eastAsia="仿宋_GB2312" w:cs="宋体"/>
          <w:kern w:val="0"/>
          <w:sz w:val="32"/>
          <w:szCs w:val="32"/>
          <w:shd w:val="clear" w:color="auto" w:fill="FFFFFF"/>
          <w:lang w:val="zh-CN"/>
        </w:rPr>
        <w:t>万元。</w:t>
      </w:r>
      <w:r>
        <w:rPr>
          <w:rFonts w:hint="eastAsia" w:ascii="仿宋_GB2312" w:eastAsia="仿宋_GB2312" w:cs="宋体"/>
          <w:color w:val="000000"/>
          <w:kern w:val="0"/>
          <w:sz w:val="32"/>
          <w:szCs w:val="32"/>
          <w:shd w:val="clear" w:color="auto" w:fill="FFFFFF"/>
          <w:lang w:val="zh-CN"/>
        </w:rPr>
        <w:t>根据省财政厅绩效评分标准，若“部门全年预算调剂金额/年初部门预算数&gt;0.1，此项得0分”，部门该项比例为0</w:t>
      </w:r>
      <w:r>
        <w:rPr>
          <w:rFonts w:ascii="仿宋_GB2312" w:eastAsia="仿宋_GB2312" w:cs="宋体"/>
          <w:color w:val="000000"/>
          <w:kern w:val="0"/>
          <w:sz w:val="32"/>
          <w:szCs w:val="32"/>
          <w:shd w:val="clear" w:color="auto" w:fill="FFFFFF"/>
          <w:lang w:val="zh-CN"/>
        </w:rPr>
        <w:t>.097</w:t>
      </w:r>
      <w:r>
        <w:rPr>
          <w:rFonts w:hint="eastAsia" w:ascii="仿宋_GB2312" w:eastAsia="仿宋_GB2312" w:cs="宋体"/>
          <w:color w:val="000000"/>
          <w:kern w:val="0"/>
          <w:sz w:val="32"/>
          <w:szCs w:val="32"/>
          <w:shd w:val="clear" w:color="auto" w:fill="FFFFFF"/>
          <w:lang w:val="zh-CN"/>
        </w:rPr>
        <w:t>。由于每年预算指标数的下达有一定复杂性，年初编制时存在一定差距，部门的调剂金额较大，我部将在之后预算编制时积极与省财政厅进行沟通，提高预算编制准确性。</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ascii="仿宋_GB2312" w:eastAsia="仿宋_GB2312" w:cs="宋体"/>
          <w:color w:val="000000"/>
          <w:kern w:val="0"/>
          <w:sz w:val="32"/>
          <w:szCs w:val="32"/>
          <w:shd w:val="clear" w:color="auto" w:fill="FFFFFF"/>
          <w:lang w:val="zh-CN"/>
        </w:rPr>
        <w:t>2.</w:t>
      </w:r>
      <w:r>
        <w:rPr>
          <w:rFonts w:hint="eastAsia" w:ascii="仿宋_GB2312" w:eastAsia="仿宋_GB2312" w:cs="宋体"/>
          <w:color w:val="000000"/>
          <w:kern w:val="0"/>
          <w:sz w:val="32"/>
          <w:szCs w:val="32"/>
          <w:shd w:val="clear" w:color="auto" w:fill="FFFFFF"/>
          <w:lang w:val="zh-CN"/>
        </w:rPr>
        <w:t>预算执行</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（1）支出控制</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部门日常公用经费、项目支出中“办公费、印刷费、水费、电费、物业管理费”科目年初预算数为2</w:t>
      </w:r>
      <w:r>
        <w:rPr>
          <w:rFonts w:ascii="仿宋_GB2312" w:eastAsia="仿宋_GB2312" w:cs="宋体"/>
          <w:color w:val="000000"/>
          <w:kern w:val="0"/>
          <w:sz w:val="32"/>
          <w:szCs w:val="32"/>
          <w:shd w:val="clear" w:color="auto" w:fill="FFFFFF"/>
          <w:lang w:val="zh-CN"/>
        </w:rPr>
        <w:t>,181.18</w:t>
      </w:r>
      <w:r>
        <w:rPr>
          <w:rFonts w:hint="eastAsia" w:ascii="仿宋_GB2312" w:eastAsia="仿宋_GB2312" w:cs="宋体"/>
          <w:color w:val="000000"/>
          <w:kern w:val="0"/>
          <w:sz w:val="32"/>
          <w:szCs w:val="32"/>
          <w:shd w:val="clear" w:color="auto" w:fill="FFFFFF"/>
          <w:lang w:val="zh-CN"/>
        </w:rPr>
        <w:t>万元，决算数1</w:t>
      </w:r>
      <w:r>
        <w:rPr>
          <w:rFonts w:ascii="仿宋_GB2312" w:eastAsia="仿宋_GB2312" w:cs="宋体"/>
          <w:color w:val="000000"/>
          <w:kern w:val="0"/>
          <w:sz w:val="32"/>
          <w:szCs w:val="32"/>
          <w:shd w:val="clear" w:color="auto" w:fill="FFFFFF"/>
          <w:lang w:val="zh-CN"/>
        </w:rPr>
        <w:t>,785.71</w:t>
      </w:r>
      <w:r>
        <w:rPr>
          <w:rFonts w:hint="eastAsia" w:ascii="仿宋_GB2312" w:eastAsia="仿宋_GB2312" w:cs="宋体"/>
          <w:color w:val="000000"/>
          <w:kern w:val="0"/>
          <w:sz w:val="32"/>
          <w:szCs w:val="32"/>
          <w:shd w:val="clear" w:color="auto" w:fill="FFFFFF"/>
          <w:lang w:val="zh-CN"/>
        </w:rPr>
        <w:t>万元，年初预算数比决算数多3</w:t>
      </w:r>
      <w:r>
        <w:rPr>
          <w:rFonts w:ascii="仿宋_GB2312" w:eastAsia="仿宋_GB2312" w:cs="宋体"/>
          <w:color w:val="000000"/>
          <w:kern w:val="0"/>
          <w:sz w:val="32"/>
          <w:szCs w:val="32"/>
          <w:shd w:val="clear" w:color="auto" w:fill="FFFFFF"/>
          <w:lang w:val="zh-CN"/>
        </w:rPr>
        <w:t>95.47</w:t>
      </w:r>
      <w:r>
        <w:rPr>
          <w:rFonts w:hint="eastAsia" w:ascii="仿宋_GB2312" w:eastAsia="仿宋_GB2312" w:cs="宋体"/>
          <w:color w:val="000000"/>
          <w:kern w:val="0"/>
          <w:sz w:val="32"/>
          <w:szCs w:val="32"/>
          <w:shd w:val="clear" w:color="auto" w:fill="FFFFFF"/>
          <w:lang w:val="zh-CN"/>
        </w:rPr>
        <w:t>万元，偏差程度为1</w:t>
      </w:r>
      <w:r>
        <w:rPr>
          <w:rFonts w:ascii="仿宋_GB2312" w:eastAsia="仿宋_GB2312" w:cs="宋体"/>
          <w:color w:val="000000"/>
          <w:kern w:val="0"/>
          <w:sz w:val="32"/>
          <w:szCs w:val="32"/>
          <w:shd w:val="clear" w:color="auto" w:fill="FFFFFF"/>
          <w:lang w:val="zh-CN"/>
        </w:rPr>
        <w:t>8%</w:t>
      </w:r>
      <w:r>
        <w:rPr>
          <w:rFonts w:hint="eastAsia" w:ascii="仿宋_GB2312" w:eastAsia="仿宋_GB2312" w:cs="宋体"/>
          <w:color w:val="000000"/>
          <w:kern w:val="0"/>
          <w:sz w:val="32"/>
          <w:szCs w:val="32"/>
          <w:shd w:val="clear" w:color="auto" w:fill="FFFFFF"/>
          <w:lang w:val="zh-CN"/>
        </w:rPr>
        <w:t>。偏差原因主要是四川文化产业职业学院（四川省干部函授学院）受新冠疫情影响，学校未正常办学，学生未到，该指标不纳入此次绩效自评。</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（2）动态调整</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部门开展绩效运行监控后，绩效监控申请调整取消额为5</w:t>
      </w:r>
      <w:r>
        <w:rPr>
          <w:rFonts w:ascii="仿宋_GB2312" w:eastAsia="仿宋_GB2312" w:cs="宋体"/>
          <w:color w:val="000000"/>
          <w:kern w:val="0"/>
          <w:sz w:val="32"/>
          <w:szCs w:val="32"/>
          <w:shd w:val="clear" w:color="auto" w:fill="FFFFFF"/>
          <w:lang w:val="zh-CN"/>
        </w:rPr>
        <w:t>16.23</w:t>
      </w:r>
      <w:r>
        <w:rPr>
          <w:rFonts w:hint="eastAsia" w:ascii="仿宋_GB2312" w:eastAsia="仿宋_GB2312" w:cs="宋体"/>
          <w:color w:val="000000"/>
          <w:kern w:val="0"/>
          <w:sz w:val="32"/>
          <w:szCs w:val="32"/>
          <w:shd w:val="clear" w:color="auto" w:fill="FFFFFF"/>
          <w:lang w:val="zh-CN"/>
        </w:rPr>
        <w:t>万元，结余注销额为零。</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（3）执行进度</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受疫情影响，该指标不纳入此次绩效自评。</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3</w:t>
      </w:r>
      <w:r>
        <w:rPr>
          <w:rFonts w:ascii="仿宋_GB2312" w:eastAsia="仿宋_GB2312" w:cs="宋体"/>
          <w:color w:val="000000"/>
          <w:kern w:val="0"/>
          <w:sz w:val="32"/>
          <w:szCs w:val="32"/>
          <w:shd w:val="clear" w:color="auto" w:fill="FFFFFF"/>
          <w:lang w:val="zh-CN"/>
        </w:rPr>
        <w:t>.</w:t>
      </w:r>
      <w:r>
        <w:rPr>
          <w:rFonts w:hint="eastAsia" w:ascii="仿宋_GB2312" w:eastAsia="仿宋_GB2312" w:cs="宋体"/>
          <w:color w:val="000000"/>
          <w:kern w:val="0"/>
          <w:sz w:val="32"/>
          <w:szCs w:val="32"/>
          <w:shd w:val="clear" w:color="auto" w:fill="FFFFFF"/>
          <w:lang w:val="zh-CN"/>
        </w:rPr>
        <w:t>完成结果</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（1）预算完成</w:t>
      </w:r>
    </w:p>
    <w:p>
      <w:pPr>
        <w:ind w:firstLine="640" w:firstLineChars="200"/>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20</w:t>
      </w:r>
      <w:r>
        <w:rPr>
          <w:rFonts w:ascii="仿宋_GB2312" w:eastAsia="仿宋_GB2312" w:cs="宋体"/>
          <w:color w:val="000000"/>
          <w:kern w:val="0"/>
          <w:sz w:val="32"/>
          <w:szCs w:val="32"/>
          <w:shd w:val="clear" w:color="auto" w:fill="FFFFFF"/>
          <w:lang w:val="zh-CN"/>
        </w:rPr>
        <w:t>20</w:t>
      </w:r>
      <w:r>
        <w:rPr>
          <w:rFonts w:hint="eastAsia" w:ascii="仿宋_GB2312" w:eastAsia="仿宋_GB2312" w:cs="宋体"/>
          <w:color w:val="000000"/>
          <w:kern w:val="0"/>
          <w:sz w:val="32"/>
          <w:szCs w:val="32"/>
          <w:shd w:val="clear" w:color="auto" w:fill="FFFFFF"/>
          <w:lang w:val="zh-CN"/>
        </w:rPr>
        <w:t>年度部门调整预算数</w:t>
      </w:r>
      <w:r>
        <w:rPr>
          <w:rFonts w:ascii="仿宋_GB2312" w:eastAsia="仿宋_GB2312" w:cs="宋体"/>
          <w:color w:val="000000"/>
          <w:kern w:val="0"/>
          <w:sz w:val="32"/>
          <w:szCs w:val="32"/>
          <w:shd w:val="clear" w:color="auto" w:fill="FFFFFF"/>
          <w:lang w:val="zh-CN"/>
        </w:rPr>
        <w:t>34,804</w:t>
      </w:r>
      <w:r>
        <w:rPr>
          <w:rFonts w:hint="eastAsia" w:ascii="仿宋_GB2312" w:eastAsia="仿宋_GB2312" w:cs="宋体"/>
          <w:color w:val="000000"/>
          <w:kern w:val="0"/>
          <w:sz w:val="32"/>
          <w:szCs w:val="32"/>
          <w:shd w:val="clear" w:color="auto" w:fill="FFFFFF"/>
          <w:lang w:val="zh-CN"/>
        </w:rPr>
        <w:t>.</w:t>
      </w:r>
      <w:r>
        <w:rPr>
          <w:rFonts w:ascii="仿宋_GB2312" w:eastAsia="仿宋_GB2312" w:cs="宋体"/>
          <w:color w:val="000000"/>
          <w:kern w:val="0"/>
          <w:sz w:val="32"/>
          <w:szCs w:val="32"/>
          <w:shd w:val="clear" w:color="auto" w:fill="FFFFFF"/>
          <w:lang w:val="zh-CN"/>
        </w:rPr>
        <w:t>38</w:t>
      </w:r>
      <w:r>
        <w:rPr>
          <w:rFonts w:hint="eastAsia" w:ascii="仿宋_GB2312" w:eastAsia="仿宋_GB2312" w:cs="宋体"/>
          <w:color w:val="000000"/>
          <w:kern w:val="0"/>
          <w:sz w:val="32"/>
          <w:szCs w:val="32"/>
          <w:shd w:val="clear" w:color="auto" w:fill="FFFFFF"/>
          <w:lang w:val="zh-CN"/>
        </w:rPr>
        <w:t>万元，预算完成数34</w:t>
      </w:r>
      <w:r>
        <w:rPr>
          <w:rFonts w:ascii="仿宋_GB2312" w:eastAsia="仿宋_GB2312" w:cs="宋体"/>
          <w:color w:val="000000"/>
          <w:kern w:val="0"/>
          <w:sz w:val="32"/>
          <w:szCs w:val="32"/>
          <w:shd w:val="clear" w:color="auto" w:fill="FFFFFF"/>
          <w:lang w:val="zh-CN"/>
        </w:rPr>
        <w:t>,</w:t>
      </w:r>
      <w:r>
        <w:rPr>
          <w:rFonts w:hint="eastAsia" w:ascii="仿宋_GB2312" w:eastAsia="仿宋_GB2312" w:cs="宋体"/>
          <w:color w:val="000000"/>
          <w:kern w:val="0"/>
          <w:sz w:val="32"/>
          <w:szCs w:val="32"/>
          <w:shd w:val="clear" w:color="auto" w:fill="FFFFFF"/>
          <w:lang w:val="zh-CN"/>
        </w:rPr>
        <w:t>631.14万元，预算完成率</w:t>
      </w:r>
      <w:r>
        <w:rPr>
          <w:rFonts w:ascii="仿宋_GB2312" w:eastAsia="仿宋_GB2312" w:cs="宋体"/>
          <w:color w:val="000000"/>
          <w:kern w:val="0"/>
          <w:sz w:val="32"/>
          <w:szCs w:val="32"/>
          <w:shd w:val="clear" w:color="auto" w:fill="FFFFFF"/>
          <w:lang w:val="zh-CN"/>
        </w:rPr>
        <w:t>99.5%</w:t>
      </w:r>
      <w:r>
        <w:rPr>
          <w:rFonts w:hint="eastAsia" w:ascii="仿宋_GB2312" w:eastAsia="仿宋_GB2312" w:cs="宋体"/>
          <w:color w:val="000000"/>
          <w:kern w:val="0"/>
          <w:sz w:val="32"/>
          <w:szCs w:val="32"/>
          <w:shd w:val="clear" w:color="auto" w:fill="FFFFFF"/>
          <w:lang w:val="zh-CN"/>
        </w:rPr>
        <w:t>。</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（2）违规记录</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2</w:t>
      </w:r>
      <w:r>
        <w:rPr>
          <w:rFonts w:ascii="仿宋_GB2312" w:eastAsia="仿宋_GB2312" w:cs="宋体"/>
          <w:color w:val="000000"/>
          <w:kern w:val="0"/>
          <w:sz w:val="32"/>
          <w:szCs w:val="32"/>
          <w:shd w:val="clear" w:color="auto" w:fill="FFFFFF"/>
          <w:lang w:val="zh-CN"/>
        </w:rPr>
        <w:t>020</w:t>
      </w:r>
      <w:r>
        <w:rPr>
          <w:rFonts w:hint="eastAsia" w:ascii="仿宋_GB2312" w:eastAsia="仿宋_GB2312" w:cs="宋体"/>
          <w:color w:val="000000"/>
          <w:kern w:val="0"/>
          <w:sz w:val="32"/>
          <w:szCs w:val="32"/>
          <w:shd w:val="clear" w:color="auto" w:fill="FFFFFF"/>
          <w:lang w:val="zh-CN"/>
        </w:rPr>
        <w:t>年度我部接受的审计监督和财政检查，无违纪违规情况。</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（二）专项预算管理</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我部按照专项项目自评工作要求，抽查了本部门管理的两个专项进行自评并打分，评价结果如下：</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1</w:t>
      </w:r>
      <w:r>
        <w:rPr>
          <w:rFonts w:ascii="仿宋_GB2312" w:eastAsia="仿宋_GB2312" w:cs="宋体"/>
          <w:color w:val="000000"/>
          <w:kern w:val="0"/>
          <w:sz w:val="32"/>
          <w:szCs w:val="32"/>
          <w:shd w:val="clear" w:color="auto" w:fill="FFFFFF"/>
          <w:lang w:val="zh-CN"/>
        </w:rPr>
        <w:t>.</w:t>
      </w:r>
      <w:r>
        <w:rPr>
          <w:rFonts w:hint="eastAsia" w:ascii="仿宋_GB2312" w:eastAsia="仿宋_GB2312" w:cs="宋体"/>
          <w:color w:val="000000"/>
          <w:kern w:val="0"/>
          <w:sz w:val="32"/>
          <w:szCs w:val="32"/>
          <w:shd w:val="clear" w:color="auto" w:fill="FFFFFF"/>
          <w:lang w:val="zh-CN"/>
        </w:rPr>
        <w:t>2020年度四川省文化产业发展专项资金项目</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2020年度四川省文化产业发展专项资金主要用于培育骨干文化企业，推动国有文化企业做强做优做大，促进中小微文化企业发展壮大，推动更多文化企业进入规模以上企业行列，有效提升四川文化产业整体实力；支持国家级、省级重点文化产业园区（基地）建设，进一步提高国家文化和科技融合示范基地建设管理质量；推动文化走出去，文化贸易实现稳定增长、出口产品更加丰富。2020年度项目资金下达后，项目实施单位均按照既定计划及时组织项目实施，按工作进度基本完成相关工作任务，多数项目基本达到预期效果。但受2020年新冠肺炎疫情以及其他因素的影响，部分项目进度有所滞后。</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ascii="仿宋_GB2312" w:eastAsia="仿宋_GB2312" w:cs="宋体"/>
          <w:color w:val="000000"/>
          <w:kern w:val="0"/>
          <w:sz w:val="32"/>
          <w:szCs w:val="32"/>
          <w:shd w:val="clear" w:color="auto" w:fill="FFFFFF"/>
          <w:lang w:val="zh-CN"/>
        </w:rPr>
        <w:t>2.</w:t>
      </w:r>
      <w:r>
        <w:rPr>
          <w:rFonts w:hint="eastAsia" w:ascii="仿宋_GB2312" w:eastAsia="仿宋_GB2312" w:cs="宋体"/>
          <w:color w:val="000000"/>
          <w:kern w:val="0"/>
          <w:sz w:val="32"/>
          <w:szCs w:val="32"/>
          <w:shd w:val="clear" w:color="auto" w:fill="FFFFFF"/>
          <w:lang w:val="zh-CN"/>
        </w:rPr>
        <w:t>2020年中央专项彩票公益金支持乡村学校少年宫</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中央专项彩票公益金支持乡村学校少年宫资金项目主要包括两方面，一是用于对新建乡村学校少年宫的修缮装备补助，二是用于对已建乡村学校少年宫的运转补助。2020年度按照省文明办、财政厅及教育厅有关部门要求，对项目资金的使用安排提出方案和绩效目标设立（分解）工作开展有效落实，各下级责任主体推关键环节管理的细化性、规范性、有序性执行情况较好。在项目建设过程中，因受到疫情影响，资金划拨、项目开工建设和项目培训工作开展未达到预期指标。</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（三）结果应用情况</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1</w:t>
      </w:r>
      <w:r>
        <w:rPr>
          <w:rFonts w:ascii="仿宋_GB2312" w:eastAsia="仿宋_GB2312" w:cs="宋体"/>
          <w:color w:val="000000"/>
          <w:kern w:val="0"/>
          <w:sz w:val="32"/>
          <w:szCs w:val="32"/>
          <w:shd w:val="clear" w:color="auto" w:fill="FFFFFF"/>
          <w:lang w:val="zh-CN"/>
        </w:rPr>
        <w:t>.</w:t>
      </w:r>
      <w:r>
        <w:rPr>
          <w:rFonts w:hint="eastAsia" w:ascii="仿宋_GB2312" w:eastAsia="仿宋_GB2312" w:cs="宋体"/>
          <w:color w:val="000000"/>
          <w:kern w:val="0"/>
          <w:sz w:val="32"/>
          <w:szCs w:val="32"/>
          <w:shd w:val="clear" w:color="auto" w:fill="FFFFFF"/>
          <w:lang w:val="zh-CN"/>
        </w:rPr>
        <w:t>信息公开</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除涉密项目外，我部按要求</w:t>
      </w:r>
      <w:r>
        <w:rPr>
          <w:rFonts w:hint="eastAsia" w:ascii="仿宋_GB2312" w:eastAsia="仿宋_GB2312"/>
          <w:sz w:val="32"/>
          <w:szCs w:val="32"/>
        </w:rPr>
        <w:t>在规定的时间内，通过政府公众信息网向社会公开，并接受财政部门以及社会的检查和监督。</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2</w:t>
      </w:r>
      <w:r>
        <w:rPr>
          <w:rFonts w:ascii="仿宋_GB2312" w:eastAsia="仿宋_GB2312" w:cs="宋体"/>
          <w:color w:val="000000"/>
          <w:kern w:val="0"/>
          <w:sz w:val="32"/>
          <w:szCs w:val="32"/>
          <w:shd w:val="clear" w:color="auto" w:fill="FFFFFF"/>
          <w:lang w:val="zh-CN"/>
        </w:rPr>
        <w:t>.</w:t>
      </w:r>
      <w:r>
        <w:rPr>
          <w:rFonts w:hint="eastAsia" w:ascii="仿宋_GB2312" w:eastAsia="仿宋_GB2312" w:cs="宋体"/>
          <w:color w:val="000000"/>
          <w:kern w:val="0"/>
          <w:sz w:val="32"/>
          <w:szCs w:val="32"/>
          <w:shd w:val="clear" w:color="auto" w:fill="FFFFFF"/>
          <w:lang w:val="zh-CN"/>
        </w:rPr>
        <w:t>整改反馈</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我部根据财政厅《关于印送2</w:t>
      </w:r>
      <w:r>
        <w:rPr>
          <w:rFonts w:ascii="仿宋_GB2312" w:eastAsia="仿宋_GB2312" w:cs="宋体"/>
          <w:color w:val="000000"/>
          <w:kern w:val="0"/>
          <w:sz w:val="32"/>
          <w:szCs w:val="32"/>
          <w:shd w:val="clear" w:color="auto" w:fill="FFFFFF"/>
          <w:lang w:val="zh-CN"/>
        </w:rPr>
        <w:t>020</w:t>
      </w:r>
      <w:r>
        <w:rPr>
          <w:rFonts w:hint="eastAsia" w:ascii="仿宋_GB2312" w:eastAsia="仿宋_GB2312" w:cs="宋体"/>
          <w:color w:val="000000"/>
          <w:kern w:val="0"/>
          <w:sz w:val="32"/>
          <w:szCs w:val="32"/>
          <w:shd w:val="clear" w:color="auto" w:fill="FFFFFF"/>
          <w:lang w:val="zh-CN"/>
        </w:rPr>
        <w:t>年省级财政绩效评价报告和做好绩效评价问题整改及结果应用的函》（川财绩函〔2</w:t>
      </w:r>
      <w:r>
        <w:rPr>
          <w:rFonts w:ascii="仿宋_GB2312" w:eastAsia="仿宋_GB2312" w:cs="宋体"/>
          <w:color w:val="000000"/>
          <w:kern w:val="0"/>
          <w:sz w:val="32"/>
          <w:szCs w:val="32"/>
          <w:shd w:val="clear" w:color="auto" w:fill="FFFFFF"/>
          <w:lang w:val="zh-CN"/>
        </w:rPr>
        <w:t>021</w:t>
      </w:r>
      <w:r>
        <w:rPr>
          <w:rFonts w:hint="eastAsia" w:ascii="仿宋_GB2312" w:eastAsia="仿宋_GB2312" w:cs="宋体"/>
          <w:color w:val="000000"/>
          <w:kern w:val="0"/>
          <w:sz w:val="32"/>
          <w:szCs w:val="32"/>
          <w:shd w:val="clear" w:color="auto" w:fill="FFFFFF"/>
          <w:lang w:val="zh-CN"/>
        </w:rPr>
        <w:t>〕1号）及其附件《省委宣传部2</w:t>
      </w:r>
      <w:r>
        <w:rPr>
          <w:rFonts w:ascii="仿宋_GB2312" w:eastAsia="仿宋_GB2312" w:cs="宋体"/>
          <w:color w:val="000000"/>
          <w:kern w:val="0"/>
          <w:sz w:val="32"/>
          <w:szCs w:val="32"/>
          <w:shd w:val="clear" w:color="auto" w:fill="FFFFFF"/>
          <w:lang w:val="zh-CN"/>
        </w:rPr>
        <w:t>019</w:t>
      </w:r>
      <w:r>
        <w:rPr>
          <w:rFonts w:hint="eastAsia" w:ascii="仿宋_GB2312" w:eastAsia="仿宋_GB2312" w:cs="宋体"/>
          <w:color w:val="000000"/>
          <w:kern w:val="0"/>
          <w:sz w:val="32"/>
          <w:szCs w:val="32"/>
          <w:shd w:val="clear" w:color="auto" w:fill="FFFFFF"/>
          <w:lang w:val="zh-CN"/>
        </w:rPr>
        <w:t>年度部门预算内专用项目支出绩效评价报告》指出的问题，组织相关单位召开专题会议，进行了梳理分析，查找了产生原因，总结了经验教训，及时研究制定整改措施，在完善财务制度、强化项目管理、安排资金预算、落实整改问题等方面注重结果应用，并在2</w:t>
      </w:r>
      <w:r>
        <w:rPr>
          <w:rFonts w:ascii="仿宋_GB2312" w:eastAsia="仿宋_GB2312" w:cs="宋体"/>
          <w:color w:val="000000"/>
          <w:kern w:val="0"/>
          <w:sz w:val="32"/>
          <w:szCs w:val="32"/>
          <w:shd w:val="clear" w:color="auto" w:fill="FFFFFF"/>
          <w:lang w:val="zh-CN"/>
        </w:rPr>
        <w:t>021</w:t>
      </w:r>
      <w:r>
        <w:rPr>
          <w:rFonts w:hint="eastAsia" w:ascii="仿宋_GB2312" w:eastAsia="仿宋_GB2312" w:cs="宋体"/>
          <w:color w:val="000000"/>
          <w:kern w:val="0"/>
          <w:sz w:val="32"/>
          <w:szCs w:val="32"/>
          <w:shd w:val="clear" w:color="auto" w:fill="FFFFFF"/>
          <w:lang w:val="zh-CN"/>
        </w:rPr>
        <w:t>年度预算安排中全面贯彻落实。</w:t>
      </w:r>
    </w:p>
    <w:p>
      <w:pPr>
        <w:widowControl/>
        <w:adjustRightInd w:val="0"/>
        <w:snapToGrid w:val="0"/>
        <w:spacing w:line="580" w:lineRule="exact"/>
        <w:ind w:firstLine="640" w:firstLineChars="200"/>
        <w:contextualSpacing/>
        <w:jc w:val="left"/>
        <w:rPr>
          <w:rFonts w:ascii="黑体" w:eastAsia="黑体" w:cs="宋体"/>
          <w:color w:val="000000"/>
          <w:kern w:val="0"/>
          <w:sz w:val="32"/>
          <w:szCs w:val="32"/>
          <w:shd w:val="clear" w:color="auto" w:fill="FFFFFF"/>
        </w:rPr>
      </w:pPr>
      <w:r>
        <w:rPr>
          <w:rFonts w:hint="eastAsia" w:ascii="黑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我部严格遵守财经纪律，严格执行中央八项规定和厉行节约反对浪费的要求，较好完成了</w:t>
      </w:r>
      <w:r>
        <w:rPr>
          <w:rFonts w:ascii="仿宋_GB2312" w:eastAsia="仿宋_GB2312" w:cs="宋体"/>
          <w:color w:val="000000"/>
          <w:kern w:val="0"/>
          <w:sz w:val="32"/>
          <w:szCs w:val="32"/>
          <w:shd w:val="clear" w:color="auto" w:fill="FFFFFF"/>
          <w:lang w:val="zh-CN"/>
        </w:rPr>
        <w:t>2020</w:t>
      </w:r>
      <w:r>
        <w:rPr>
          <w:rFonts w:hint="eastAsia" w:ascii="仿宋_GB2312" w:eastAsia="仿宋_GB2312" w:cs="宋体"/>
          <w:color w:val="000000"/>
          <w:kern w:val="0"/>
          <w:sz w:val="32"/>
          <w:szCs w:val="32"/>
          <w:shd w:val="clear" w:color="auto" w:fill="FFFFFF"/>
          <w:lang w:val="zh-CN"/>
        </w:rPr>
        <w:t>年各项目标任务，保证了自身单位的运转和项目支出，同时也做好了全省宣传思想文化再上新台阶的工作。根据绩效管理工作有关要求，我部结合实际制定了以目标、责任、问题和结果为导向的《中共四川省委宣传部机关处（室）绩效管理办法（试行）》，开展有关绩效管理的培训会，推行绩效管理理念，组织相关人员学习预算相关的规章制度。根据202</w:t>
      </w:r>
      <w:r>
        <w:rPr>
          <w:rFonts w:ascii="仿宋_GB2312" w:eastAsia="仿宋_GB2312" w:cs="宋体"/>
          <w:color w:val="000000"/>
          <w:kern w:val="0"/>
          <w:sz w:val="32"/>
          <w:szCs w:val="32"/>
          <w:shd w:val="clear" w:color="auto" w:fill="FFFFFF"/>
          <w:lang w:val="zh-CN"/>
        </w:rPr>
        <w:t>1</w:t>
      </w:r>
      <w:r>
        <w:rPr>
          <w:rFonts w:hint="eastAsia" w:ascii="仿宋_GB2312" w:eastAsia="仿宋_GB2312" w:cs="宋体"/>
          <w:color w:val="000000"/>
          <w:kern w:val="0"/>
          <w:sz w:val="32"/>
          <w:szCs w:val="32"/>
          <w:shd w:val="clear" w:color="auto" w:fill="FFFFFF"/>
          <w:lang w:val="zh-CN"/>
        </w:rPr>
        <w:t>年度省级部门整体支出绩效评价指标体系的计分标准，对我部20</w:t>
      </w:r>
      <w:r>
        <w:rPr>
          <w:rFonts w:ascii="仿宋_GB2312" w:eastAsia="仿宋_GB2312" w:cs="宋体"/>
          <w:color w:val="000000"/>
          <w:kern w:val="0"/>
          <w:sz w:val="32"/>
          <w:szCs w:val="32"/>
          <w:shd w:val="clear" w:color="auto" w:fill="FFFFFF"/>
          <w:lang w:val="zh-CN"/>
        </w:rPr>
        <w:t>20</w:t>
      </w:r>
      <w:r>
        <w:rPr>
          <w:rFonts w:hint="eastAsia" w:ascii="仿宋_GB2312" w:eastAsia="仿宋_GB2312" w:cs="宋体"/>
          <w:color w:val="000000"/>
          <w:kern w:val="0"/>
          <w:sz w:val="32"/>
          <w:szCs w:val="32"/>
          <w:shd w:val="clear" w:color="auto" w:fill="FFFFFF"/>
          <w:lang w:val="zh-CN"/>
        </w:rPr>
        <w:t>年度整体支出绩效评价进行了自评打分。由于部门在自评时，自评质量指标无需打分，部门自评满分为90分。（各项打分见附表）。</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（二）存在问题</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1</w:t>
      </w:r>
      <w:r>
        <w:rPr>
          <w:rFonts w:ascii="仿宋_GB2312" w:eastAsia="仿宋_GB2312" w:cs="宋体"/>
          <w:color w:val="000000"/>
          <w:kern w:val="0"/>
          <w:sz w:val="32"/>
          <w:szCs w:val="32"/>
          <w:shd w:val="clear" w:color="auto" w:fill="FFFFFF"/>
          <w:lang w:val="zh-CN"/>
        </w:rPr>
        <w:t>.</w:t>
      </w:r>
      <w:r>
        <w:rPr>
          <w:rFonts w:hint="eastAsia" w:ascii="仿宋_GB2312" w:eastAsia="仿宋_GB2312" w:cs="宋体"/>
          <w:color w:val="000000"/>
          <w:kern w:val="0"/>
          <w:sz w:val="32"/>
          <w:szCs w:val="32"/>
          <w:shd w:val="clear" w:color="auto" w:fill="FFFFFF"/>
          <w:lang w:val="zh-CN"/>
        </w:rPr>
        <w:t>部门预算绩效目标管理、专项项目预算目标管理有待加强。2</w:t>
      </w:r>
      <w:r>
        <w:rPr>
          <w:rFonts w:ascii="仿宋_GB2312" w:eastAsia="仿宋_GB2312" w:cs="宋体"/>
          <w:color w:val="000000"/>
          <w:kern w:val="0"/>
          <w:sz w:val="32"/>
          <w:szCs w:val="32"/>
          <w:shd w:val="clear" w:color="auto" w:fill="FFFFFF"/>
          <w:lang w:val="zh-CN"/>
        </w:rPr>
        <w:t>020</w:t>
      </w:r>
      <w:r>
        <w:rPr>
          <w:rFonts w:hint="eastAsia" w:ascii="仿宋_GB2312" w:eastAsia="仿宋_GB2312" w:cs="宋体"/>
          <w:color w:val="000000"/>
          <w:kern w:val="0"/>
          <w:sz w:val="32"/>
          <w:szCs w:val="32"/>
          <w:shd w:val="clear" w:color="auto" w:fill="FFFFFF"/>
          <w:lang w:val="zh-CN"/>
        </w:rPr>
        <w:t>年度部门预算项目数量指标有</w:t>
      </w:r>
      <w:r>
        <w:rPr>
          <w:rFonts w:ascii="仿宋_GB2312" w:eastAsia="仿宋_GB2312" w:cs="宋体"/>
          <w:color w:val="000000"/>
          <w:kern w:val="0"/>
          <w:sz w:val="32"/>
          <w:szCs w:val="32"/>
          <w:shd w:val="clear" w:color="auto" w:fill="FFFFFF"/>
          <w:lang w:val="zh-CN"/>
        </w:rPr>
        <w:t>55</w:t>
      </w:r>
      <w:r>
        <w:rPr>
          <w:rFonts w:hint="eastAsia" w:ascii="仿宋_GB2312" w:eastAsia="仿宋_GB2312" w:cs="宋体"/>
          <w:color w:val="000000"/>
          <w:kern w:val="0"/>
          <w:sz w:val="32"/>
          <w:szCs w:val="32"/>
          <w:shd w:val="clear" w:color="auto" w:fill="FFFFFF"/>
          <w:lang w:val="zh-CN"/>
        </w:rPr>
        <w:t>个，实际完成</w:t>
      </w:r>
      <w:r>
        <w:rPr>
          <w:rFonts w:ascii="仿宋_GB2312" w:eastAsia="仿宋_GB2312" w:cs="宋体"/>
          <w:color w:val="000000"/>
          <w:kern w:val="0"/>
          <w:sz w:val="32"/>
          <w:szCs w:val="32"/>
          <w:shd w:val="clear" w:color="auto" w:fill="FFFFFF"/>
          <w:lang w:val="zh-CN"/>
        </w:rPr>
        <w:t>48.4</w:t>
      </w:r>
      <w:r>
        <w:rPr>
          <w:rFonts w:hint="eastAsia" w:ascii="仿宋_GB2312" w:eastAsia="仿宋_GB2312" w:cs="宋体"/>
          <w:color w:val="000000"/>
          <w:kern w:val="0"/>
          <w:sz w:val="32"/>
          <w:szCs w:val="32"/>
          <w:shd w:val="clear" w:color="auto" w:fill="FFFFFF"/>
          <w:lang w:val="zh-CN"/>
        </w:rPr>
        <w:t>个，部门绩效目标实际实现程度与预期目标的偏离度1</w:t>
      </w:r>
      <w:r>
        <w:rPr>
          <w:rFonts w:ascii="仿宋_GB2312" w:eastAsia="仿宋_GB2312" w:cs="宋体"/>
          <w:color w:val="000000"/>
          <w:kern w:val="0"/>
          <w:sz w:val="32"/>
          <w:szCs w:val="32"/>
          <w:shd w:val="clear" w:color="auto" w:fill="FFFFFF"/>
          <w:lang w:val="zh-CN"/>
        </w:rPr>
        <w:t>2%</w:t>
      </w:r>
      <w:r>
        <w:rPr>
          <w:rFonts w:hint="eastAsia" w:ascii="仿宋_GB2312" w:eastAsia="仿宋_GB2312" w:cs="宋体"/>
          <w:color w:val="000000"/>
          <w:kern w:val="0"/>
          <w:sz w:val="32"/>
          <w:szCs w:val="32"/>
          <w:shd w:val="clear" w:color="auto" w:fill="FFFFFF"/>
          <w:lang w:val="zh-CN"/>
        </w:rPr>
        <w:t>。抽查的两个专项项目因受2020年新冠肺炎疫情以及其他因素的影响，部分绩效目标进度有所滞后。</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ascii="仿宋_GB2312" w:eastAsia="仿宋_GB2312" w:cs="宋体"/>
          <w:color w:val="000000"/>
          <w:kern w:val="0"/>
          <w:sz w:val="32"/>
          <w:szCs w:val="32"/>
          <w:shd w:val="clear" w:color="auto" w:fill="FFFFFF"/>
          <w:lang w:val="zh-CN"/>
        </w:rPr>
        <w:t>2.</w:t>
      </w:r>
      <w:r>
        <w:rPr>
          <w:rFonts w:hint="eastAsia" w:ascii="仿宋_GB2312" w:eastAsia="仿宋_GB2312" w:cs="宋体"/>
          <w:color w:val="000000"/>
          <w:kern w:val="0"/>
          <w:sz w:val="32"/>
          <w:szCs w:val="32"/>
          <w:shd w:val="clear" w:color="auto" w:fill="FFFFFF"/>
          <w:lang w:val="zh-CN"/>
        </w:rPr>
        <w:t>预算编制有待加强。2020年年初部门预算31,710.69万元，部门全年预算调剂金额为3,093.69万元，部门预算调整率</w:t>
      </w:r>
      <w:r>
        <w:rPr>
          <w:rFonts w:ascii="仿宋_GB2312" w:eastAsia="仿宋_GB2312" w:cs="宋体"/>
          <w:color w:val="000000"/>
          <w:kern w:val="0"/>
          <w:sz w:val="32"/>
          <w:szCs w:val="32"/>
          <w:shd w:val="clear" w:color="auto" w:fill="FFFFFF"/>
          <w:lang w:val="zh-CN"/>
        </w:rPr>
        <w:t>9.76%</w:t>
      </w:r>
      <w:r>
        <w:rPr>
          <w:rFonts w:hint="eastAsia" w:ascii="仿宋_GB2312" w:eastAsia="仿宋_GB2312" w:cs="宋体"/>
          <w:color w:val="000000"/>
          <w:kern w:val="0"/>
          <w:sz w:val="32"/>
          <w:szCs w:val="32"/>
          <w:shd w:val="clear" w:color="auto" w:fill="FFFFFF"/>
          <w:lang w:val="zh-CN"/>
        </w:rPr>
        <w:t>。主要影响为省委宣传部机关、四川文化产业职业学院人员增加，住房公积金、医疗、养老等人员经费相应增加。</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（三）改进建议</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1</w:t>
      </w:r>
      <w:r>
        <w:rPr>
          <w:rFonts w:ascii="仿宋_GB2312" w:eastAsia="仿宋_GB2312" w:cs="宋体"/>
          <w:color w:val="000000"/>
          <w:kern w:val="0"/>
          <w:sz w:val="32"/>
          <w:szCs w:val="32"/>
          <w:shd w:val="clear" w:color="auto" w:fill="FFFFFF"/>
          <w:lang w:val="zh-CN"/>
        </w:rPr>
        <w:t>.</w:t>
      </w:r>
      <w:r>
        <w:rPr>
          <w:rFonts w:hint="eastAsia" w:ascii="仿宋_GB2312" w:eastAsia="仿宋_GB2312" w:cs="宋体"/>
          <w:color w:val="000000"/>
          <w:kern w:val="0"/>
          <w:sz w:val="32"/>
          <w:szCs w:val="32"/>
          <w:shd w:val="clear" w:color="auto" w:fill="FFFFFF"/>
          <w:lang w:val="zh-CN"/>
        </w:rPr>
        <w:t>加强绩效目标管理，做好绩效考核。对因各种因素导致绩效目标难以实现的，我们将及时调整绩效目标，进一步加强日常财务管理和绩效目标管理，同时加强项目进度跟踪，按项目计划的阶段性完成情况进行监督检查、监控分析，及时跟进并整改项目执行过程中存在的问题，切实提高项目监督监管的效力。</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ascii="仿宋_GB2312" w:eastAsia="仿宋_GB2312" w:cs="宋体"/>
          <w:color w:val="000000"/>
          <w:kern w:val="0"/>
          <w:sz w:val="32"/>
          <w:szCs w:val="32"/>
          <w:shd w:val="clear" w:color="auto" w:fill="FFFFFF"/>
          <w:lang w:val="zh-CN"/>
        </w:rPr>
        <w:t>2.</w:t>
      </w:r>
      <w:r>
        <w:rPr>
          <w:rFonts w:hint="eastAsia" w:ascii="仿宋_GB2312" w:eastAsia="仿宋_GB2312" w:cs="宋体"/>
          <w:color w:val="000000"/>
          <w:kern w:val="0"/>
          <w:sz w:val="32"/>
          <w:szCs w:val="32"/>
          <w:shd w:val="clear" w:color="auto" w:fill="FFFFFF"/>
          <w:lang w:val="zh-CN"/>
        </w:rPr>
        <w:t>强化预算管理，提升预算编制精准度。加强预算编制的事前调研，积极与省财政厅进行沟通，由项目相关业务处室组织实施，充分考虑上级要求、中长规划、年度工作任务及部门履职需要，做好资金测算与审核，提高预算编制精准度。</w:t>
      </w:r>
    </w:p>
    <w:p>
      <w:pPr>
        <w:spacing w:line="580" w:lineRule="exact"/>
        <w:ind w:firstLine="640" w:firstLineChars="200"/>
        <w:rPr>
          <w:rFonts w:ascii="仿宋_GB2312" w:eastAsia="仿宋_GB2312" w:cs="仿宋_GB2312"/>
          <w:sz w:val="32"/>
          <w:szCs w:val="32"/>
        </w:rPr>
      </w:pPr>
    </w:p>
    <w:p>
      <w:pPr>
        <w:spacing w:line="580" w:lineRule="exact"/>
        <w:ind w:firstLine="640" w:firstLineChars="200"/>
        <w:rPr>
          <w:rFonts w:ascii="仿宋_GB2312" w:eastAsia="仿宋_GB2312" w:cs="仿宋_GB2312"/>
          <w:sz w:val="32"/>
          <w:szCs w:val="32"/>
        </w:rPr>
      </w:pPr>
    </w:p>
    <w:p>
      <w:pPr>
        <w:spacing w:line="580" w:lineRule="exact"/>
        <w:ind w:firstLine="640" w:firstLineChars="200"/>
        <w:rPr>
          <w:rFonts w:ascii="仿宋_GB2312" w:eastAsia="仿宋_GB2312" w:cs="仿宋_GB2312"/>
          <w:sz w:val="32"/>
          <w:szCs w:val="32"/>
        </w:rPr>
      </w:pPr>
    </w:p>
    <w:p>
      <w:pPr>
        <w:spacing w:line="580" w:lineRule="exact"/>
        <w:ind w:firstLine="640" w:firstLineChars="200"/>
        <w:rPr>
          <w:rFonts w:ascii="仿宋_GB2312" w:eastAsia="仿宋_GB2312" w:cs="仿宋_GB2312"/>
          <w:sz w:val="32"/>
          <w:szCs w:val="32"/>
        </w:rPr>
      </w:pPr>
    </w:p>
    <w:p>
      <w:pPr>
        <w:spacing w:line="580" w:lineRule="exact"/>
        <w:ind w:firstLine="640" w:firstLineChars="200"/>
        <w:rPr>
          <w:rFonts w:ascii="仿宋_GB2312" w:eastAsia="仿宋_GB2312" w:cs="仿宋_GB2312"/>
          <w:sz w:val="32"/>
          <w:szCs w:val="32"/>
        </w:rPr>
      </w:pPr>
    </w:p>
    <w:p>
      <w:pPr>
        <w:spacing w:line="580" w:lineRule="exact"/>
        <w:ind w:firstLine="640" w:firstLineChars="200"/>
        <w:rPr>
          <w:rFonts w:ascii="仿宋_GB2312" w:eastAsia="仿宋_GB2312" w:cs="仿宋_GB2312"/>
          <w:sz w:val="32"/>
          <w:szCs w:val="32"/>
        </w:rPr>
      </w:pPr>
    </w:p>
    <w:p>
      <w:pPr>
        <w:spacing w:line="580" w:lineRule="exact"/>
        <w:ind w:firstLine="640" w:firstLineChars="200"/>
        <w:rPr>
          <w:rFonts w:ascii="仿宋_GB2312" w:eastAsia="仿宋_GB2312" w:cs="仿宋_GB2312"/>
          <w:sz w:val="32"/>
          <w:szCs w:val="32"/>
        </w:rPr>
      </w:pPr>
    </w:p>
    <w:p>
      <w:pPr>
        <w:spacing w:line="580" w:lineRule="exact"/>
        <w:ind w:firstLine="640" w:firstLineChars="200"/>
        <w:rPr>
          <w:rFonts w:ascii="仿宋_GB2312" w:eastAsia="仿宋_GB2312" w:cs="仿宋_GB2312"/>
          <w:sz w:val="32"/>
          <w:szCs w:val="32"/>
        </w:rPr>
      </w:pPr>
    </w:p>
    <w:p>
      <w:pPr>
        <w:spacing w:line="580" w:lineRule="exact"/>
        <w:ind w:firstLine="640" w:firstLineChars="200"/>
        <w:rPr>
          <w:rFonts w:ascii="仿宋_GB2312" w:eastAsia="仿宋_GB2312" w:cs="仿宋_GB2312"/>
          <w:sz w:val="32"/>
          <w:szCs w:val="32"/>
        </w:rPr>
      </w:pPr>
    </w:p>
    <w:p>
      <w:pPr>
        <w:spacing w:line="600" w:lineRule="exact"/>
        <w:rPr>
          <w:rStyle w:val="16"/>
          <w:rFonts w:ascii="黑体" w:eastAsia="黑体"/>
          <w:b w:val="0"/>
        </w:rPr>
      </w:pPr>
    </w:p>
    <w:p>
      <w:pPr>
        <w:spacing w:line="600" w:lineRule="exact"/>
        <w:jc w:val="center"/>
        <w:outlineLvl w:val="0"/>
        <w:rPr>
          <w:rStyle w:val="16"/>
          <w:rFonts w:ascii="黑体" w:eastAsia="黑体"/>
          <w:b w:val="0"/>
        </w:rPr>
      </w:pPr>
    </w:p>
    <w:p>
      <w:pPr>
        <w:pStyle w:val="2"/>
        <w:rPr>
          <w:rFonts w:hint="eastAsia" w:ascii="黑体" w:eastAsia="黑体"/>
          <w:color w:val="000000"/>
          <w:sz w:val="32"/>
          <w:szCs w:val="32"/>
          <w:lang w:val="en-US" w:eastAsia="zh-CN"/>
        </w:rPr>
      </w:pPr>
      <w:bookmarkStart w:id="57" w:name="_Toc15396618"/>
      <w:r>
        <w:rPr>
          <w:rFonts w:hint="eastAsia" w:ascii="黑体" w:eastAsia="黑体"/>
          <w:color w:val="000000"/>
          <w:sz w:val="32"/>
          <w:szCs w:val="32"/>
          <w:lang w:eastAsia="zh-CN"/>
        </w:rPr>
        <w:t>附件</w:t>
      </w:r>
      <w:r>
        <w:rPr>
          <w:rFonts w:hint="eastAsia" w:ascii="黑体" w:eastAsia="黑体"/>
          <w:color w:val="000000"/>
          <w:sz w:val="32"/>
          <w:szCs w:val="32"/>
          <w:lang w:val="en-US" w:eastAsia="zh-CN"/>
        </w:rPr>
        <w:t>2</w:t>
      </w:r>
    </w:p>
    <w:p>
      <w:pPr>
        <w:snapToGrid w:val="0"/>
        <w:spacing w:line="600" w:lineRule="exact"/>
        <w:jc w:val="center"/>
        <w:rPr>
          <w:rFonts w:ascii="方正小标宋简体" w:eastAsia="方正小标宋简体"/>
          <w:sz w:val="44"/>
          <w:szCs w:val="44"/>
        </w:rPr>
      </w:pPr>
      <w:r>
        <w:rPr>
          <w:rFonts w:hint="eastAsia" w:ascii="方正小标宋简体" w:eastAsia="方正小标宋简体"/>
          <w:sz w:val="44"/>
          <w:szCs w:val="44"/>
        </w:rPr>
        <w:t>教学科研及教辅经费项目支出</w:t>
      </w:r>
    </w:p>
    <w:p>
      <w:pPr>
        <w:snapToGrid w:val="0"/>
        <w:spacing w:line="600" w:lineRule="exact"/>
        <w:jc w:val="center"/>
        <w:rPr>
          <w:rFonts w:ascii="方正小标宋简体" w:eastAsia="方正小标宋简体"/>
          <w:sz w:val="44"/>
          <w:szCs w:val="44"/>
        </w:rPr>
      </w:pPr>
      <w:r>
        <w:rPr>
          <w:rFonts w:hint="eastAsia" w:ascii="方正小标宋简体" w:eastAsia="方正小标宋简体"/>
          <w:sz w:val="44"/>
          <w:szCs w:val="44"/>
        </w:rPr>
        <w:t>绩效自评报告</w:t>
      </w:r>
    </w:p>
    <w:p>
      <w:pPr>
        <w:tabs>
          <w:tab w:val="left" w:pos="3885"/>
        </w:tabs>
        <w:snapToGrid w:val="0"/>
        <w:spacing w:line="600" w:lineRule="exact"/>
        <w:ind w:firstLine="422" w:firstLineChars="200"/>
        <w:jc w:val="left"/>
        <w:rPr>
          <w:rFonts w:ascii="宋体"/>
          <w:b/>
          <w:szCs w:val="21"/>
        </w:rPr>
      </w:pPr>
    </w:p>
    <w:p>
      <w:pPr>
        <w:numPr>
          <w:ilvl w:val="0"/>
          <w:numId w:val="6"/>
        </w:numPr>
        <w:tabs>
          <w:tab w:val="left" w:pos="3885"/>
        </w:tabs>
        <w:snapToGrid w:val="0"/>
        <w:spacing w:line="600" w:lineRule="exact"/>
        <w:ind w:left="0" w:firstLine="640" w:firstLineChars="200"/>
        <w:jc w:val="left"/>
        <w:rPr>
          <w:rFonts w:hint="eastAsia" w:ascii="黑体" w:eastAsia="黑体" w:cs="黑体"/>
          <w:sz w:val="32"/>
          <w:szCs w:val="32"/>
        </w:rPr>
      </w:pPr>
      <w:r>
        <w:rPr>
          <w:rFonts w:hint="eastAsia" w:ascii="黑体" w:eastAsia="黑体" w:cs="黑体"/>
          <w:sz w:val="32"/>
          <w:szCs w:val="32"/>
        </w:rPr>
        <w:t>基本情况</w:t>
      </w:r>
    </w:p>
    <w:p>
      <w:pPr>
        <w:snapToGrid w:val="0"/>
        <w:spacing w:line="600" w:lineRule="exact"/>
        <w:ind w:firstLine="643" w:firstLineChars="200"/>
        <w:rPr>
          <w:rFonts w:hint="eastAsia" w:ascii="仿宋_GB2312" w:eastAsia="仿宋_GB2312" w:cs="仿宋_GB2312"/>
          <w:b/>
          <w:sz w:val="32"/>
          <w:szCs w:val="32"/>
        </w:rPr>
      </w:pPr>
      <w:r>
        <w:rPr>
          <w:rFonts w:hint="eastAsia" w:ascii="仿宋_GB2312" w:eastAsia="仿宋_GB2312" w:cs="仿宋_GB2312"/>
          <w:b/>
          <w:sz w:val="32"/>
          <w:szCs w:val="32"/>
        </w:rPr>
        <w:t>（一）项目基本情况</w:t>
      </w:r>
    </w:p>
    <w:p>
      <w:pPr>
        <w:tabs>
          <w:tab w:val="left" w:pos="3885"/>
        </w:tabs>
        <w:snapToGrid w:val="0"/>
        <w:spacing w:line="600" w:lineRule="exact"/>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2020年教学科研及教辅经费项目（以下简称“项目”），由四川文化产业职业学院（以下简称“文产学院”或“学院”）根据《中共四川省委、四川省人民政府关于印发&lt;四川省中长期教育改革和发展规划纲要（2010—2020年）&gt;的通知》(川委发〔2010〕18号)《四川省教育厅关于实施四川省优质高等职业院校建设计划的通知》（川教函〔2017〕418号）文件，完成日常教学管理、专业建设、师资队伍建设、课程建设、科研、做好评选优质高校工作等费用。</w:t>
      </w:r>
    </w:p>
    <w:p>
      <w:pPr>
        <w:snapToGrid w:val="0"/>
        <w:spacing w:line="600" w:lineRule="exact"/>
        <w:ind w:firstLine="643" w:firstLineChars="200"/>
        <w:rPr>
          <w:rFonts w:hint="eastAsia" w:ascii="仿宋_GB2312" w:eastAsia="仿宋_GB2312" w:cs="仿宋_GB2312"/>
          <w:b/>
          <w:sz w:val="32"/>
          <w:szCs w:val="32"/>
        </w:rPr>
      </w:pPr>
      <w:r>
        <w:rPr>
          <w:rFonts w:hint="eastAsia" w:ascii="仿宋_GB2312" w:eastAsia="仿宋_GB2312" w:cs="仿宋_GB2312"/>
          <w:b/>
          <w:sz w:val="32"/>
          <w:szCs w:val="32"/>
        </w:rPr>
        <w:t>（二）资金投入使用情况</w:t>
      </w:r>
    </w:p>
    <w:p>
      <w:pPr>
        <w:pStyle w:val="22"/>
        <w:rPr>
          <w:rFonts w:hint="eastAsia" w:ascii="仿宋_GB2312" w:eastAsia="仿宋_GB2312" w:cs="仿宋_GB2312"/>
          <w:sz w:val="32"/>
          <w:szCs w:val="32"/>
        </w:rPr>
      </w:pPr>
      <w:r>
        <w:rPr>
          <w:rFonts w:hint="eastAsia" w:ascii="仿宋_GB2312" w:eastAsia="仿宋_GB2312" w:cs="仿宋_GB2312"/>
          <w:sz w:val="32"/>
          <w:szCs w:val="32"/>
        </w:rPr>
        <w:t>项目资金全年总投入2,133.29万元，其中，财政补助拨款1,184.43万元，其他资金887.67万元，上年结转61.19万元。</w:t>
      </w:r>
    </w:p>
    <w:p>
      <w:pPr>
        <w:snapToGrid w:val="0"/>
        <w:spacing w:line="600" w:lineRule="exact"/>
        <w:ind w:firstLine="643" w:firstLineChars="200"/>
        <w:rPr>
          <w:rFonts w:hint="eastAsia" w:ascii="仿宋_GB2312" w:eastAsia="仿宋_GB2312" w:cs="仿宋_GB2312"/>
          <w:b/>
          <w:sz w:val="32"/>
          <w:szCs w:val="32"/>
        </w:rPr>
      </w:pPr>
      <w:r>
        <w:rPr>
          <w:rFonts w:hint="eastAsia" w:ascii="仿宋_GB2312" w:eastAsia="仿宋_GB2312" w:cs="仿宋_GB2312"/>
          <w:b/>
          <w:sz w:val="32"/>
          <w:szCs w:val="32"/>
        </w:rPr>
        <w:t>（三）项目绩效目标</w:t>
      </w:r>
    </w:p>
    <w:p>
      <w:pPr>
        <w:tabs>
          <w:tab w:val="left" w:pos="3885"/>
        </w:tabs>
        <w:snapToGrid w:val="0"/>
        <w:spacing w:line="600" w:lineRule="exact"/>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绩效目标实现程度的评价指标设8个三级指标。其中：项目产出类设三级指标4个；项目效益类设三级指标4个，指标名称及评价标准如下：</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0"/>
        <w:gridCol w:w="1328"/>
        <w:gridCol w:w="5527"/>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43" w:type="pct"/>
            <w:tcBorders>
              <w:top w:val="single" w:color="auto" w:sz="12" w:space="0"/>
              <w:left w:val="nil"/>
              <w:bottom w:val="nil"/>
              <w:right w:val="dotted" w:color="auto" w:sz="4" w:space="0"/>
            </w:tcBorders>
            <w:shd w:val="clear" w:color="auto" w:fill="auto"/>
            <w:noWrap/>
            <w:vAlign w:val="center"/>
          </w:tcPr>
          <w:p>
            <w:pPr>
              <w:widowControl/>
              <w:adjustRightInd w:val="0"/>
              <w:snapToGrid w:val="0"/>
              <w:jc w:val="center"/>
              <w:rPr>
                <w:rFonts w:hint="eastAsia" w:ascii="仿宋_GB2312" w:hAnsi="仿宋_GB2312" w:cs="宋体"/>
                <w:b w:val="0"/>
                <w:bCs/>
                <w:color w:val="000000"/>
                <w:kern w:val="0"/>
                <w:sz w:val="24"/>
                <w:szCs w:val="24"/>
              </w:rPr>
            </w:pPr>
            <w:r>
              <w:rPr>
                <w:rFonts w:hint="eastAsia" w:ascii="仿宋_GB2312" w:hAnsi="仿宋_GB2312" w:cs="宋体"/>
                <w:b w:val="0"/>
                <w:bCs/>
                <w:color w:val="000000"/>
                <w:kern w:val="0"/>
                <w:sz w:val="24"/>
                <w:szCs w:val="24"/>
              </w:rPr>
              <w:t>评价内容</w:t>
            </w:r>
          </w:p>
        </w:tc>
        <w:tc>
          <w:tcPr>
            <w:tcW w:w="929" w:type="pct"/>
            <w:tcBorders>
              <w:top w:val="single" w:color="auto" w:sz="12" w:space="0"/>
              <w:left w:val="nil"/>
              <w:bottom w:val="nil"/>
              <w:right w:val="dotted" w:color="auto" w:sz="4" w:space="0"/>
            </w:tcBorders>
            <w:shd w:val="clear" w:color="auto" w:fill="auto"/>
            <w:noWrap/>
            <w:vAlign w:val="center"/>
          </w:tcPr>
          <w:p>
            <w:pPr>
              <w:widowControl/>
              <w:adjustRightInd w:val="0"/>
              <w:snapToGrid w:val="0"/>
              <w:jc w:val="center"/>
              <w:rPr>
                <w:rFonts w:hint="eastAsia" w:ascii="仿宋_GB2312" w:hAnsi="仿宋_GB2312" w:cs="宋体"/>
                <w:b w:val="0"/>
                <w:bCs/>
                <w:color w:val="000000"/>
                <w:kern w:val="0"/>
                <w:sz w:val="24"/>
                <w:szCs w:val="24"/>
              </w:rPr>
            </w:pPr>
            <w:r>
              <w:rPr>
                <w:rFonts w:hint="eastAsia" w:ascii="仿宋_GB2312" w:hAnsi="仿宋_GB2312" w:cs="宋体"/>
                <w:b w:val="0"/>
                <w:bCs/>
                <w:color w:val="000000"/>
                <w:kern w:val="0"/>
                <w:sz w:val="24"/>
                <w:szCs w:val="24"/>
              </w:rPr>
              <w:t>三级指标名称</w:t>
            </w:r>
          </w:p>
        </w:tc>
        <w:tc>
          <w:tcPr>
            <w:tcW w:w="2526" w:type="pct"/>
            <w:tcBorders>
              <w:top w:val="single" w:color="auto" w:sz="12" w:space="0"/>
              <w:left w:val="nil"/>
              <w:bottom w:val="dotted" w:color="auto" w:sz="4" w:space="0"/>
              <w:right w:val="dotted" w:color="auto" w:sz="4" w:space="0"/>
            </w:tcBorders>
            <w:shd w:val="clear" w:color="auto" w:fill="auto"/>
            <w:noWrap/>
            <w:vAlign w:val="center"/>
          </w:tcPr>
          <w:p>
            <w:pPr>
              <w:widowControl/>
              <w:adjustRightInd w:val="0"/>
              <w:snapToGrid w:val="0"/>
              <w:jc w:val="center"/>
              <w:rPr>
                <w:rFonts w:hint="eastAsia" w:ascii="仿宋_GB2312" w:hAnsi="仿宋_GB2312" w:cs="宋体"/>
                <w:b w:val="0"/>
                <w:bCs/>
                <w:color w:val="000000"/>
                <w:kern w:val="0"/>
                <w:sz w:val="24"/>
                <w:szCs w:val="24"/>
              </w:rPr>
            </w:pPr>
            <w:r>
              <w:rPr>
                <w:rFonts w:hint="eastAsia" w:ascii="仿宋_GB2312" w:hAnsi="仿宋_GB2312" w:cs="宋体"/>
                <w:b w:val="0"/>
                <w:bCs/>
                <w:color w:val="000000"/>
                <w:kern w:val="0"/>
                <w:sz w:val="24"/>
                <w:szCs w:val="24"/>
              </w:rPr>
              <w:t>指标解释</w:t>
            </w:r>
          </w:p>
        </w:tc>
        <w:tc>
          <w:tcPr>
            <w:tcW w:w="901" w:type="pct"/>
            <w:tcBorders>
              <w:top w:val="single" w:color="auto" w:sz="12" w:space="0"/>
              <w:left w:val="nil"/>
              <w:bottom w:val="dotted" w:color="auto" w:sz="4" w:space="0"/>
              <w:right w:val="nil"/>
            </w:tcBorders>
            <w:shd w:val="clear" w:color="auto" w:fill="auto"/>
            <w:noWrap/>
            <w:vAlign w:val="center"/>
          </w:tcPr>
          <w:p>
            <w:pPr>
              <w:widowControl/>
              <w:adjustRightInd w:val="0"/>
              <w:snapToGrid w:val="0"/>
              <w:jc w:val="center"/>
              <w:rPr>
                <w:rFonts w:hint="eastAsia" w:ascii="仿宋_GB2312" w:hAnsi="仿宋_GB2312" w:cs="宋体"/>
                <w:b w:val="0"/>
                <w:bCs/>
                <w:color w:val="000000"/>
                <w:kern w:val="0"/>
                <w:sz w:val="24"/>
                <w:szCs w:val="24"/>
              </w:rPr>
            </w:pPr>
            <w:r>
              <w:rPr>
                <w:rFonts w:hint="eastAsia" w:ascii="仿宋_GB2312" w:hAnsi="仿宋_GB2312" w:cs="宋体"/>
                <w:b w:val="0"/>
                <w:bCs/>
                <w:color w:val="000000"/>
                <w:kern w:val="0"/>
                <w:sz w:val="24"/>
                <w:szCs w:val="24"/>
              </w:rPr>
              <w:t>评价方法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643" w:type="pct"/>
            <w:vMerge w:val="restart"/>
            <w:tcBorders>
              <w:top w:val="dotted" w:color="auto" w:sz="4" w:space="0"/>
              <w:left w:val="nil"/>
              <w:bottom w:val="dotted" w:color="000000" w:sz="4" w:space="0"/>
              <w:right w:val="dotted" w:color="auto" w:sz="4" w:space="0"/>
            </w:tcBorders>
            <w:shd w:val="clear" w:color="auto" w:fill="auto"/>
            <w:noWrap/>
            <w:vAlign w:val="center"/>
          </w:tcPr>
          <w:p>
            <w:pPr>
              <w:widowControl/>
              <w:adjustRightInd w:val="0"/>
              <w:snapToGrid w:val="0"/>
              <w:jc w:val="left"/>
              <w:rPr>
                <w:rFonts w:hint="eastAsia" w:ascii="仿宋_GB2312" w:hAnsi="仿宋_GB2312" w:cs="宋体"/>
                <w:color w:val="000000"/>
                <w:kern w:val="0"/>
                <w:sz w:val="24"/>
                <w:szCs w:val="24"/>
              </w:rPr>
            </w:pPr>
            <w:r>
              <w:rPr>
                <w:rFonts w:hint="eastAsia" w:ascii="仿宋_GB2312" w:hAnsi="仿宋_GB2312" w:cs="宋体"/>
                <w:color w:val="000000"/>
                <w:kern w:val="0"/>
                <w:sz w:val="24"/>
                <w:szCs w:val="24"/>
              </w:rPr>
              <w:t>项目产出</w:t>
            </w:r>
          </w:p>
        </w:tc>
        <w:tc>
          <w:tcPr>
            <w:tcW w:w="929" w:type="pct"/>
            <w:tcBorders>
              <w:top w:val="dotted" w:color="auto" w:sz="4" w:space="0"/>
              <w:left w:val="nil"/>
              <w:bottom w:val="dotted" w:color="auto" w:sz="4" w:space="0"/>
              <w:right w:val="dotted" w:color="auto" w:sz="4" w:space="0"/>
            </w:tcBorders>
            <w:shd w:val="clear" w:color="auto" w:fill="auto"/>
            <w:noWrap/>
            <w:vAlign w:val="center"/>
          </w:tcPr>
          <w:p>
            <w:pPr>
              <w:widowControl/>
              <w:adjustRightInd w:val="0"/>
              <w:snapToGrid w:val="0"/>
              <w:jc w:val="left"/>
              <w:rPr>
                <w:rFonts w:hint="eastAsia" w:ascii="仿宋_GB2312" w:hAnsi="仿宋_GB2312" w:cs="宋体"/>
                <w:color w:val="000000"/>
                <w:kern w:val="0"/>
                <w:sz w:val="24"/>
                <w:szCs w:val="24"/>
              </w:rPr>
            </w:pPr>
            <w:r>
              <w:rPr>
                <w:rFonts w:hint="eastAsia" w:ascii="仿宋_GB2312" w:hAnsi="仿宋_GB2312" w:cs="宋体"/>
                <w:color w:val="000000"/>
                <w:kern w:val="0"/>
                <w:sz w:val="24"/>
                <w:szCs w:val="24"/>
              </w:rPr>
              <w:t>实际完成率</w:t>
            </w:r>
          </w:p>
        </w:tc>
        <w:tc>
          <w:tcPr>
            <w:tcW w:w="2526" w:type="pct"/>
            <w:tcBorders>
              <w:top w:val="nil"/>
              <w:left w:val="nil"/>
              <w:bottom w:val="dotted" w:color="auto" w:sz="4" w:space="0"/>
              <w:right w:val="dotted" w:color="auto" w:sz="4" w:space="0"/>
            </w:tcBorders>
            <w:shd w:val="clear" w:color="auto" w:fill="auto"/>
            <w:noWrap/>
            <w:vAlign w:val="center"/>
          </w:tcPr>
          <w:p>
            <w:pPr>
              <w:widowControl/>
              <w:adjustRightInd w:val="0"/>
              <w:snapToGrid w:val="0"/>
              <w:jc w:val="left"/>
              <w:rPr>
                <w:rFonts w:hint="eastAsia" w:ascii="仿宋_GB2312" w:hAnsi="仿宋_GB2312" w:cs="宋体"/>
                <w:color w:val="000000"/>
                <w:kern w:val="0"/>
                <w:sz w:val="24"/>
                <w:szCs w:val="24"/>
              </w:rPr>
            </w:pPr>
            <w:r>
              <w:rPr>
                <w:rFonts w:hint="eastAsia" w:ascii="仿宋_GB2312" w:hAnsi="仿宋_GB2312" w:cs="宋体"/>
                <w:color w:val="000000"/>
                <w:kern w:val="0"/>
                <w:sz w:val="24"/>
                <w:szCs w:val="24"/>
              </w:rPr>
              <w:t>项目实施的实际产出数与计划产出数的比率，用以反映和考核项目产出数量目标的实现程度。</w:t>
            </w:r>
          </w:p>
        </w:tc>
        <w:tc>
          <w:tcPr>
            <w:tcW w:w="901" w:type="pct"/>
            <w:vMerge w:val="restart"/>
            <w:tcBorders>
              <w:top w:val="nil"/>
              <w:left w:val="dotted" w:color="auto" w:sz="4" w:space="0"/>
              <w:bottom w:val="dotted" w:color="000000" w:sz="4" w:space="0"/>
              <w:right w:val="nil"/>
            </w:tcBorders>
            <w:shd w:val="clear" w:color="auto" w:fill="auto"/>
            <w:noWrap/>
            <w:vAlign w:val="center"/>
          </w:tcPr>
          <w:p>
            <w:pPr>
              <w:widowControl/>
              <w:adjustRightInd w:val="0"/>
              <w:snapToGrid w:val="0"/>
              <w:jc w:val="left"/>
              <w:rPr>
                <w:rFonts w:hint="eastAsia" w:ascii="仿宋_GB2312" w:hAnsi="仿宋_GB2312" w:cs="宋体"/>
                <w:color w:val="000000"/>
                <w:kern w:val="0"/>
                <w:sz w:val="24"/>
                <w:szCs w:val="24"/>
              </w:rPr>
            </w:pPr>
            <w:r>
              <w:rPr>
                <w:rFonts w:hint="eastAsia" w:ascii="仿宋_GB2312" w:hAnsi="仿宋_GB2312" w:cs="宋体"/>
                <w:color w:val="000000"/>
                <w:kern w:val="0"/>
                <w:sz w:val="24"/>
                <w:szCs w:val="24"/>
              </w:rPr>
              <w:t>比率分值法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43" w:type="pct"/>
            <w:vMerge w:val="continue"/>
            <w:tcBorders>
              <w:top w:val="dotted" w:color="auto" w:sz="4" w:space="0"/>
              <w:left w:val="nil"/>
              <w:bottom w:val="dotted" w:color="000000" w:sz="4" w:space="0"/>
              <w:right w:val="dotted" w:color="auto" w:sz="4" w:space="0"/>
            </w:tcBorders>
            <w:noWrap/>
            <w:vAlign w:val="center"/>
          </w:tcPr>
          <w:p/>
        </w:tc>
        <w:tc>
          <w:tcPr>
            <w:tcW w:w="929" w:type="pct"/>
            <w:tcBorders>
              <w:top w:val="nil"/>
              <w:left w:val="nil"/>
              <w:bottom w:val="dotted" w:color="auto" w:sz="4" w:space="0"/>
              <w:right w:val="dotted" w:color="auto" w:sz="4" w:space="0"/>
            </w:tcBorders>
            <w:shd w:val="clear" w:color="auto" w:fill="auto"/>
            <w:noWrap/>
            <w:vAlign w:val="center"/>
          </w:tcPr>
          <w:p>
            <w:pPr>
              <w:widowControl/>
              <w:adjustRightInd w:val="0"/>
              <w:snapToGrid w:val="0"/>
              <w:jc w:val="left"/>
              <w:rPr>
                <w:rFonts w:hint="eastAsia" w:ascii="仿宋_GB2312" w:hAnsi="仿宋_GB2312" w:cs="宋体"/>
                <w:color w:val="000000"/>
                <w:kern w:val="0"/>
                <w:sz w:val="24"/>
                <w:szCs w:val="24"/>
              </w:rPr>
            </w:pPr>
            <w:r>
              <w:rPr>
                <w:rFonts w:hint="eastAsia" w:ascii="仿宋_GB2312" w:hAnsi="仿宋_GB2312" w:cs="宋体"/>
                <w:color w:val="000000"/>
                <w:kern w:val="0"/>
                <w:sz w:val="24"/>
                <w:szCs w:val="24"/>
              </w:rPr>
              <w:t>质量达标率</w:t>
            </w:r>
          </w:p>
        </w:tc>
        <w:tc>
          <w:tcPr>
            <w:tcW w:w="2526" w:type="pct"/>
            <w:tcBorders>
              <w:top w:val="nil"/>
              <w:left w:val="nil"/>
              <w:bottom w:val="dotted" w:color="auto" w:sz="4" w:space="0"/>
              <w:right w:val="dotted" w:color="auto" w:sz="4" w:space="0"/>
            </w:tcBorders>
            <w:shd w:val="clear" w:color="auto" w:fill="auto"/>
            <w:noWrap/>
            <w:vAlign w:val="center"/>
          </w:tcPr>
          <w:p>
            <w:pPr>
              <w:widowControl/>
              <w:adjustRightInd w:val="0"/>
              <w:snapToGrid w:val="0"/>
              <w:jc w:val="left"/>
              <w:rPr>
                <w:rFonts w:hint="eastAsia" w:ascii="仿宋_GB2312" w:hAnsi="仿宋_GB2312" w:cs="宋体"/>
                <w:color w:val="000000"/>
                <w:kern w:val="0"/>
                <w:sz w:val="24"/>
                <w:szCs w:val="24"/>
              </w:rPr>
            </w:pPr>
            <w:r>
              <w:rPr>
                <w:rFonts w:hint="eastAsia" w:ascii="仿宋_GB2312" w:hAnsi="仿宋_GB2312" w:cs="宋体"/>
                <w:color w:val="000000"/>
                <w:kern w:val="0"/>
                <w:sz w:val="24"/>
                <w:szCs w:val="24"/>
              </w:rPr>
              <w:t>项目完成的质量达标产出数与实际产出数的比率，用以反映和考核项目产出质量目标的实现程度。</w:t>
            </w:r>
          </w:p>
        </w:tc>
        <w:tc>
          <w:tcPr>
            <w:tcW w:w="901" w:type="pct"/>
            <w:vMerge w:val="continue"/>
            <w:tcBorders>
              <w:top w:val="nil"/>
              <w:left w:val="dotted" w:color="auto" w:sz="4" w:space="0"/>
              <w:bottom w:val="dotted" w:color="000000" w:sz="4" w:space="0"/>
              <w:right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643" w:type="pct"/>
            <w:vMerge w:val="continue"/>
            <w:tcBorders>
              <w:top w:val="dotted" w:color="auto" w:sz="4" w:space="0"/>
              <w:left w:val="nil"/>
              <w:bottom w:val="dotted" w:color="000000" w:sz="4" w:space="0"/>
              <w:right w:val="dotted" w:color="auto" w:sz="4" w:space="0"/>
            </w:tcBorders>
            <w:noWrap/>
            <w:vAlign w:val="center"/>
          </w:tcPr>
          <w:p/>
        </w:tc>
        <w:tc>
          <w:tcPr>
            <w:tcW w:w="929" w:type="pct"/>
            <w:tcBorders>
              <w:top w:val="nil"/>
              <w:left w:val="nil"/>
              <w:bottom w:val="dotted" w:color="auto" w:sz="4" w:space="0"/>
              <w:right w:val="dotted" w:color="auto" w:sz="4" w:space="0"/>
            </w:tcBorders>
            <w:shd w:val="clear" w:color="auto" w:fill="auto"/>
            <w:noWrap/>
            <w:vAlign w:val="center"/>
          </w:tcPr>
          <w:p>
            <w:pPr>
              <w:widowControl/>
              <w:adjustRightInd w:val="0"/>
              <w:snapToGrid w:val="0"/>
              <w:jc w:val="left"/>
              <w:rPr>
                <w:rFonts w:hint="eastAsia" w:ascii="仿宋_GB2312" w:hAnsi="仿宋_GB2312" w:cs="宋体"/>
                <w:color w:val="000000"/>
                <w:kern w:val="0"/>
                <w:sz w:val="24"/>
                <w:szCs w:val="24"/>
              </w:rPr>
            </w:pPr>
            <w:r>
              <w:rPr>
                <w:rFonts w:hint="eastAsia" w:ascii="仿宋_GB2312" w:hAnsi="仿宋_GB2312" w:cs="宋体"/>
                <w:color w:val="000000"/>
                <w:kern w:val="0"/>
                <w:sz w:val="24"/>
                <w:szCs w:val="24"/>
              </w:rPr>
              <w:t>完成及时性</w:t>
            </w:r>
          </w:p>
        </w:tc>
        <w:tc>
          <w:tcPr>
            <w:tcW w:w="2526" w:type="pct"/>
            <w:tcBorders>
              <w:top w:val="nil"/>
              <w:left w:val="nil"/>
              <w:bottom w:val="dotted" w:color="auto" w:sz="4" w:space="0"/>
              <w:right w:val="dotted" w:color="auto" w:sz="4" w:space="0"/>
            </w:tcBorders>
            <w:shd w:val="clear" w:color="auto" w:fill="auto"/>
            <w:noWrap/>
            <w:vAlign w:val="center"/>
          </w:tcPr>
          <w:p>
            <w:pPr>
              <w:widowControl/>
              <w:adjustRightInd w:val="0"/>
              <w:snapToGrid w:val="0"/>
              <w:jc w:val="left"/>
              <w:rPr>
                <w:rFonts w:hint="eastAsia" w:ascii="仿宋_GB2312" w:hAnsi="仿宋_GB2312" w:cs="宋体"/>
                <w:color w:val="000000"/>
                <w:kern w:val="0"/>
                <w:sz w:val="24"/>
                <w:szCs w:val="24"/>
              </w:rPr>
            </w:pPr>
            <w:r>
              <w:rPr>
                <w:rFonts w:hint="eastAsia" w:ascii="仿宋_GB2312" w:hAnsi="仿宋_GB2312" w:cs="宋体"/>
                <w:color w:val="000000"/>
                <w:kern w:val="0"/>
                <w:sz w:val="24"/>
                <w:szCs w:val="24"/>
              </w:rPr>
              <w:t>项目实际完成时间与计划完成时间的比较，用以反映和考核项目产出时效目标的实现程度。</w:t>
            </w:r>
          </w:p>
        </w:tc>
        <w:tc>
          <w:tcPr>
            <w:tcW w:w="901" w:type="pct"/>
            <w:vMerge w:val="continue"/>
            <w:tcBorders>
              <w:top w:val="nil"/>
              <w:left w:val="dotted" w:color="auto" w:sz="4" w:space="0"/>
              <w:bottom w:val="dotted" w:color="000000" w:sz="4" w:space="0"/>
              <w:right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 w:hRule="atLeast"/>
        </w:trPr>
        <w:tc>
          <w:tcPr>
            <w:tcW w:w="643" w:type="pct"/>
            <w:vMerge w:val="continue"/>
            <w:tcBorders>
              <w:top w:val="dotted" w:color="auto" w:sz="4" w:space="0"/>
              <w:left w:val="nil"/>
              <w:bottom w:val="dotted" w:color="000000" w:sz="4" w:space="0"/>
              <w:right w:val="dotted" w:color="auto" w:sz="4" w:space="0"/>
            </w:tcBorders>
            <w:noWrap/>
            <w:vAlign w:val="center"/>
          </w:tcPr>
          <w:p/>
        </w:tc>
        <w:tc>
          <w:tcPr>
            <w:tcW w:w="929" w:type="pct"/>
            <w:tcBorders>
              <w:top w:val="nil"/>
              <w:left w:val="nil"/>
              <w:bottom w:val="dotted" w:color="auto" w:sz="4" w:space="0"/>
              <w:right w:val="dotted" w:color="auto" w:sz="4" w:space="0"/>
            </w:tcBorders>
            <w:shd w:val="clear" w:color="auto" w:fill="auto"/>
            <w:noWrap/>
            <w:vAlign w:val="center"/>
          </w:tcPr>
          <w:p>
            <w:pPr>
              <w:widowControl/>
              <w:adjustRightInd w:val="0"/>
              <w:snapToGrid w:val="0"/>
              <w:jc w:val="left"/>
              <w:rPr>
                <w:rFonts w:hint="eastAsia" w:ascii="仿宋_GB2312" w:hAnsi="仿宋_GB2312" w:cs="宋体"/>
                <w:color w:val="000000"/>
                <w:kern w:val="0"/>
                <w:sz w:val="24"/>
                <w:szCs w:val="24"/>
              </w:rPr>
            </w:pPr>
            <w:r>
              <w:rPr>
                <w:rFonts w:hint="eastAsia" w:ascii="仿宋_GB2312" w:hAnsi="仿宋_GB2312" w:cs="宋体"/>
                <w:color w:val="000000"/>
                <w:kern w:val="0"/>
                <w:sz w:val="24"/>
                <w:szCs w:val="24"/>
              </w:rPr>
              <w:t>成本节约率</w:t>
            </w:r>
          </w:p>
        </w:tc>
        <w:tc>
          <w:tcPr>
            <w:tcW w:w="2526" w:type="pct"/>
            <w:tcBorders>
              <w:top w:val="nil"/>
              <w:left w:val="nil"/>
              <w:bottom w:val="dotted" w:color="auto" w:sz="4" w:space="0"/>
              <w:right w:val="dotted" w:color="auto" w:sz="4" w:space="0"/>
            </w:tcBorders>
            <w:shd w:val="clear" w:color="auto" w:fill="auto"/>
            <w:noWrap/>
            <w:vAlign w:val="center"/>
          </w:tcPr>
          <w:p>
            <w:pPr>
              <w:widowControl/>
              <w:adjustRightInd w:val="0"/>
              <w:snapToGrid w:val="0"/>
              <w:jc w:val="left"/>
              <w:rPr>
                <w:rFonts w:hint="eastAsia" w:ascii="仿宋_GB2312" w:hAnsi="仿宋_GB2312" w:cs="宋体"/>
                <w:color w:val="000000"/>
                <w:kern w:val="0"/>
                <w:sz w:val="24"/>
                <w:szCs w:val="24"/>
              </w:rPr>
            </w:pPr>
            <w:r>
              <w:rPr>
                <w:rFonts w:hint="eastAsia" w:ascii="仿宋_GB2312" w:hAnsi="仿宋_GB2312" w:cs="宋体"/>
                <w:color w:val="000000"/>
                <w:kern w:val="0"/>
                <w:sz w:val="24"/>
                <w:szCs w:val="24"/>
              </w:rPr>
              <w:t>完成项目计划工作目标的实际节约成本与计划成本的比率，用以反映和考核项目的成本节约程度。</w:t>
            </w:r>
          </w:p>
        </w:tc>
        <w:tc>
          <w:tcPr>
            <w:tcW w:w="901" w:type="pct"/>
            <w:vMerge w:val="continue"/>
            <w:tcBorders>
              <w:top w:val="nil"/>
              <w:left w:val="dotted" w:color="auto" w:sz="4" w:space="0"/>
              <w:bottom w:val="dotted" w:color="000000" w:sz="4" w:space="0"/>
              <w:right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 w:hRule="atLeast"/>
        </w:trPr>
        <w:tc>
          <w:tcPr>
            <w:tcW w:w="643" w:type="pct"/>
            <w:vMerge w:val="restart"/>
            <w:tcBorders>
              <w:top w:val="nil"/>
              <w:left w:val="nil"/>
              <w:bottom w:val="single" w:color="000000" w:sz="12" w:space="0"/>
              <w:right w:val="dotted" w:color="auto" w:sz="4" w:space="0"/>
            </w:tcBorders>
            <w:shd w:val="clear" w:color="auto" w:fill="auto"/>
            <w:noWrap/>
            <w:vAlign w:val="center"/>
          </w:tcPr>
          <w:p>
            <w:pPr>
              <w:widowControl/>
              <w:adjustRightInd w:val="0"/>
              <w:snapToGrid w:val="0"/>
              <w:jc w:val="left"/>
              <w:rPr>
                <w:rFonts w:hint="eastAsia" w:ascii="仿宋_GB2312" w:hAnsi="仿宋_GB2312" w:cs="宋体"/>
                <w:color w:val="000000"/>
                <w:kern w:val="0"/>
                <w:sz w:val="24"/>
                <w:szCs w:val="24"/>
              </w:rPr>
            </w:pPr>
            <w:r>
              <w:rPr>
                <w:rFonts w:hint="eastAsia" w:ascii="仿宋_GB2312" w:hAnsi="仿宋_GB2312" w:cs="宋体"/>
                <w:color w:val="000000"/>
                <w:kern w:val="0"/>
                <w:sz w:val="24"/>
                <w:szCs w:val="24"/>
              </w:rPr>
              <w:t>项目效益</w:t>
            </w:r>
          </w:p>
        </w:tc>
        <w:tc>
          <w:tcPr>
            <w:tcW w:w="929" w:type="pct"/>
            <w:tcBorders>
              <w:top w:val="nil"/>
              <w:left w:val="nil"/>
              <w:bottom w:val="dotted" w:color="auto" w:sz="4" w:space="0"/>
              <w:right w:val="dotted" w:color="auto" w:sz="4" w:space="0"/>
            </w:tcBorders>
            <w:shd w:val="clear" w:color="auto" w:fill="auto"/>
            <w:noWrap/>
            <w:vAlign w:val="center"/>
          </w:tcPr>
          <w:p>
            <w:pPr>
              <w:widowControl/>
              <w:adjustRightInd w:val="0"/>
              <w:snapToGrid w:val="0"/>
              <w:jc w:val="left"/>
              <w:rPr>
                <w:rFonts w:hint="eastAsia" w:ascii="仿宋_GB2312" w:hAnsi="仿宋_GB2312" w:cs="宋体"/>
                <w:color w:val="000000"/>
                <w:kern w:val="0"/>
                <w:sz w:val="24"/>
                <w:szCs w:val="24"/>
              </w:rPr>
            </w:pPr>
            <w:r>
              <w:rPr>
                <w:rFonts w:hint="eastAsia" w:ascii="仿宋_GB2312" w:hAnsi="仿宋_GB2312" w:cs="宋体"/>
                <w:color w:val="000000"/>
                <w:kern w:val="0"/>
                <w:sz w:val="24"/>
                <w:szCs w:val="24"/>
              </w:rPr>
              <w:t>学校服务社会能力</w:t>
            </w:r>
          </w:p>
        </w:tc>
        <w:tc>
          <w:tcPr>
            <w:tcW w:w="2526" w:type="pct"/>
            <w:tcBorders>
              <w:top w:val="nil"/>
              <w:left w:val="nil"/>
              <w:bottom w:val="dotted" w:color="auto" w:sz="4" w:space="0"/>
              <w:right w:val="dotted" w:color="auto" w:sz="4" w:space="0"/>
            </w:tcBorders>
            <w:shd w:val="clear" w:color="auto" w:fill="auto"/>
            <w:noWrap/>
            <w:vAlign w:val="center"/>
          </w:tcPr>
          <w:p>
            <w:pPr>
              <w:widowControl/>
              <w:adjustRightInd w:val="0"/>
              <w:snapToGrid w:val="0"/>
              <w:jc w:val="left"/>
              <w:rPr>
                <w:rFonts w:hint="eastAsia" w:ascii="仿宋_GB2312" w:hAnsi="仿宋_GB2312" w:cs="宋体"/>
                <w:color w:val="000000"/>
                <w:kern w:val="0"/>
                <w:sz w:val="24"/>
                <w:szCs w:val="24"/>
              </w:rPr>
            </w:pPr>
            <w:r>
              <w:rPr>
                <w:rFonts w:hint="eastAsia" w:ascii="仿宋_GB2312" w:hAnsi="仿宋_GB2312" w:cs="宋体"/>
                <w:color w:val="000000"/>
                <w:kern w:val="0"/>
                <w:sz w:val="24"/>
                <w:szCs w:val="24"/>
              </w:rPr>
              <w:t>教育科研及教辅经费项目是否对学校服务社会能力起到推动作用</w:t>
            </w:r>
          </w:p>
        </w:tc>
        <w:tc>
          <w:tcPr>
            <w:tcW w:w="901" w:type="pct"/>
            <w:tcBorders>
              <w:top w:val="nil"/>
              <w:left w:val="nil"/>
              <w:bottom w:val="dotted" w:color="auto" w:sz="4" w:space="0"/>
              <w:right w:val="nil"/>
            </w:tcBorders>
            <w:shd w:val="clear" w:color="auto" w:fill="auto"/>
            <w:noWrap/>
            <w:vAlign w:val="center"/>
          </w:tcPr>
          <w:p>
            <w:pPr>
              <w:widowControl/>
              <w:adjustRightInd w:val="0"/>
              <w:snapToGrid w:val="0"/>
              <w:jc w:val="left"/>
              <w:rPr>
                <w:rFonts w:hint="eastAsia" w:ascii="仿宋_GB2312" w:hAnsi="仿宋_GB2312" w:cs="宋体"/>
                <w:color w:val="000000"/>
                <w:kern w:val="0"/>
                <w:sz w:val="24"/>
                <w:szCs w:val="24"/>
              </w:rPr>
            </w:pPr>
            <w:r>
              <w:rPr>
                <w:rFonts w:hint="eastAsia" w:ascii="仿宋_GB2312" w:hAnsi="仿宋_GB2312" w:cs="宋体"/>
                <w:color w:val="000000"/>
                <w:kern w:val="0"/>
                <w:sz w:val="24"/>
                <w:szCs w:val="24"/>
              </w:rPr>
              <w:t>分级评分法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 w:hRule="atLeast"/>
        </w:trPr>
        <w:tc>
          <w:tcPr>
            <w:tcW w:w="643" w:type="pct"/>
            <w:vMerge w:val="continue"/>
            <w:tcBorders>
              <w:top w:val="nil"/>
              <w:left w:val="nil"/>
              <w:bottom w:val="single" w:color="000000" w:sz="12" w:space="0"/>
              <w:right w:val="dotted" w:color="auto" w:sz="4" w:space="0"/>
            </w:tcBorders>
            <w:noWrap/>
            <w:vAlign w:val="center"/>
          </w:tcPr>
          <w:p/>
        </w:tc>
        <w:tc>
          <w:tcPr>
            <w:tcW w:w="929" w:type="pct"/>
            <w:tcBorders>
              <w:top w:val="nil"/>
              <w:left w:val="nil"/>
              <w:bottom w:val="dotted" w:color="auto" w:sz="4" w:space="0"/>
              <w:right w:val="dotted" w:color="auto" w:sz="4" w:space="0"/>
            </w:tcBorders>
            <w:shd w:val="clear" w:color="auto" w:fill="auto"/>
            <w:noWrap/>
            <w:vAlign w:val="center"/>
          </w:tcPr>
          <w:p>
            <w:pPr>
              <w:widowControl/>
              <w:adjustRightInd w:val="0"/>
              <w:snapToGrid w:val="0"/>
              <w:jc w:val="left"/>
              <w:rPr>
                <w:rFonts w:hint="eastAsia" w:ascii="仿宋_GB2312" w:hAnsi="仿宋_GB2312" w:cs="宋体"/>
                <w:color w:val="000000"/>
                <w:kern w:val="0"/>
                <w:sz w:val="24"/>
                <w:szCs w:val="24"/>
              </w:rPr>
            </w:pPr>
            <w:r>
              <w:rPr>
                <w:rFonts w:hint="eastAsia" w:ascii="仿宋_GB2312" w:hAnsi="仿宋_GB2312" w:cs="宋体"/>
                <w:color w:val="000000"/>
                <w:kern w:val="0"/>
                <w:sz w:val="24"/>
                <w:szCs w:val="24"/>
              </w:rPr>
              <w:t>学院基本办学条件</w:t>
            </w:r>
          </w:p>
        </w:tc>
        <w:tc>
          <w:tcPr>
            <w:tcW w:w="2526" w:type="pct"/>
            <w:tcBorders>
              <w:top w:val="nil"/>
              <w:left w:val="nil"/>
              <w:bottom w:val="dotted" w:color="auto" w:sz="4" w:space="0"/>
              <w:right w:val="dotted" w:color="auto" w:sz="4" w:space="0"/>
            </w:tcBorders>
            <w:shd w:val="clear" w:color="auto" w:fill="auto"/>
            <w:noWrap/>
            <w:vAlign w:val="center"/>
          </w:tcPr>
          <w:p>
            <w:pPr>
              <w:widowControl/>
              <w:adjustRightInd w:val="0"/>
              <w:snapToGrid w:val="0"/>
              <w:jc w:val="left"/>
              <w:rPr>
                <w:rFonts w:hint="eastAsia" w:ascii="仿宋_GB2312" w:hAnsi="仿宋_GB2312" w:cs="宋体"/>
                <w:color w:val="000000"/>
                <w:kern w:val="0"/>
                <w:sz w:val="24"/>
                <w:szCs w:val="24"/>
              </w:rPr>
            </w:pPr>
            <w:r>
              <w:rPr>
                <w:rFonts w:hint="eastAsia" w:ascii="仿宋_GB2312" w:hAnsi="仿宋_GB2312" w:cs="宋体"/>
                <w:color w:val="000000"/>
                <w:kern w:val="0"/>
                <w:sz w:val="24"/>
                <w:szCs w:val="24"/>
              </w:rPr>
              <w:t>教育科研及教辅经费项目是否对学校基本办学条件起到推动作用</w:t>
            </w:r>
          </w:p>
        </w:tc>
        <w:tc>
          <w:tcPr>
            <w:tcW w:w="901" w:type="pct"/>
            <w:tcBorders>
              <w:top w:val="nil"/>
              <w:left w:val="nil"/>
              <w:bottom w:val="dotted" w:color="auto" w:sz="4" w:space="0"/>
              <w:right w:val="nil"/>
            </w:tcBorders>
            <w:shd w:val="clear" w:color="auto" w:fill="auto"/>
            <w:noWrap/>
            <w:vAlign w:val="center"/>
          </w:tcPr>
          <w:p>
            <w:pPr>
              <w:widowControl/>
              <w:adjustRightInd w:val="0"/>
              <w:snapToGrid w:val="0"/>
              <w:jc w:val="left"/>
              <w:rPr>
                <w:rFonts w:hint="eastAsia" w:ascii="仿宋_GB2312" w:hAnsi="仿宋_GB2312" w:cs="宋体"/>
                <w:color w:val="000000"/>
                <w:kern w:val="0"/>
                <w:sz w:val="24"/>
                <w:szCs w:val="24"/>
              </w:rPr>
            </w:pPr>
            <w:r>
              <w:rPr>
                <w:rFonts w:hint="eastAsia" w:ascii="仿宋_GB2312" w:hAnsi="仿宋_GB2312" w:cs="宋体"/>
                <w:color w:val="000000"/>
                <w:kern w:val="0"/>
                <w:sz w:val="24"/>
                <w:szCs w:val="24"/>
              </w:rPr>
              <w:t>分级评分法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43" w:type="pct"/>
            <w:vMerge w:val="continue"/>
            <w:tcBorders>
              <w:top w:val="nil"/>
              <w:left w:val="nil"/>
              <w:bottom w:val="single" w:color="000000" w:sz="12" w:space="0"/>
              <w:right w:val="dotted" w:color="auto" w:sz="4" w:space="0"/>
            </w:tcBorders>
            <w:noWrap/>
            <w:vAlign w:val="center"/>
          </w:tcPr>
          <w:p/>
        </w:tc>
        <w:tc>
          <w:tcPr>
            <w:tcW w:w="929" w:type="pct"/>
            <w:tcBorders>
              <w:top w:val="nil"/>
              <w:left w:val="nil"/>
              <w:bottom w:val="dotted" w:color="auto" w:sz="4" w:space="0"/>
              <w:right w:val="dotted" w:color="auto" w:sz="4" w:space="0"/>
            </w:tcBorders>
            <w:shd w:val="clear" w:color="auto" w:fill="auto"/>
            <w:noWrap/>
            <w:vAlign w:val="center"/>
          </w:tcPr>
          <w:p>
            <w:pPr>
              <w:widowControl/>
              <w:adjustRightInd w:val="0"/>
              <w:snapToGrid w:val="0"/>
              <w:jc w:val="left"/>
              <w:rPr>
                <w:rFonts w:hint="eastAsia" w:ascii="仿宋_GB2312" w:hAnsi="仿宋_GB2312" w:cs="宋体"/>
                <w:color w:val="000000"/>
                <w:kern w:val="0"/>
                <w:sz w:val="24"/>
                <w:szCs w:val="24"/>
              </w:rPr>
            </w:pPr>
            <w:r>
              <w:rPr>
                <w:rFonts w:hint="eastAsia" w:ascii="仿宋_GB2312" w:hAnsi="仿宋_GB2312" w:cs="宋体"/>
                <w:color w:val="000000"/>
                <w:kern w:val="0"/>
                <w:sz w:val="24"/>
                <w:szCs w:val="24"/>
              </w:rPr>
              <w:t>标准化考场使用年限</w:t>
            </w:r>
          </w:p>
        </w:tc>
        <w:tc>
          <w:tcPr>
            <w:tcW w:w="2526" w:type="pct"/>
            <w:tcBorders>
              <w:top w:val="nil"/>
              <w:left w:val="nil"/>
              <w:bottom w:val="dotted" w:color="auto" w:sz="4" w:space="0"/>
              <w:right w:val="dotted" w:color="auto" w:sz="4" w:space="0"/>
            </w:tcBorders>
            <w:shd w:val="clear" w:color="auto" w:fill="auto"/>
            <w:noWrap/>
            <w:vAlign w:val="center"/>
          </w:tcPr>
          <w:p>
            <w:pPr>
              <w:widowControl/>
              <w:adjustRightInd w:val="0"/>
              <w:snapToGrid w:val="0"/>
              <w:jc w:val="left"/>
              <w:rPr>
                <w:rFonts w:hint="eastAsia" w:ascii="仿宋_GB2312" w:hAnsi="仿宋_GB2312" w:cs="宋体"/>
                <w:color w:val="000000"/>
                <w:kern w:val="0"/>
                <w:sz w:val="24"/>
                <w:szCs w:val="24"/>
              </w:rPr>
            </w:pPr>
            <w:r>
              <w:rPr>
                <w:rFonts w:hint="eastAsia" w:ascii="仿宋_GB2312" w:hAnsi="仿宋_GB2312" w:cs="宋体"/>
                <w:color w:val="000000"/>
                <w:kern w:val="0"/>
                <w:sz w:val="24"/>
                <w:szCs w:val="24"/>
              </w:rPr>
              <w:t>标准化考场预计使用不低于5年</w:t>
            </w:r>
          </w:p>
        </w:tc>
        <w:tc>
          <w:tcPr>
            <w:tcW w:w="901" w:type="pct"/>
            <w:tcBorders>
              <w:top w:val="nil"/>
              <w:left w:val="nil"/>
              <w:bottom w:val="dotted" w:color="auto" w:sz="4" w:space="0"/>
              <w:right w:val="nil"/>
            </w:tcBorders>
            <w:shd w:val="clear" w:color="auto" w:fill="auto"/>
            <w:noWrap/>
            <w:vAlign w:val="center"/>
          </w:tcPr>
          <w:p>
            <w:pPr>
              <w:widowControl/>
              <w:adjustRightInd w:val="0"/>
              <w:snapToGrid w:val="0"/>
              <w:jc w:val="left"/>
              <w:rPr>
                <w:rFonts w:hint="eastAsia" w:ascii="仿宋_GB2312" w:hAnsi="仿宋_GB2312" w:cs="宋体"/>
                <w:color w:val="000000"/>
                <w:kern w:val="0"/>
                <w:sz w:val="24"/>
                <w:szCs w:val="24"/>
              </w:rPr>
            </w:pPr>
            <w:r>
              <w:rPr>
                <w:rFonts w:hint="eastAsia" w:ascii="仿宋_GB2312" w:hAnsi="仿宋_GB2312" w:cs="宋体"/>
                <w:color w:val="000000"/>
                <w:kern w:val="0"/>
                <w:sz w:val="24"/>
                <w:szCs w:val="24"/>
              </w:rPr>
              <w:t>是否评分法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643" w:type="pct"/>
            <w:vMerge w:val="continue"/>
            <w:tcBorders>
              <w:top w:val="nil"/>
              <w:left w:val="nil"/>
              <w:bottom w:val="single" w:color="000000" w:sz="12" w:space="0"/>
              <w:right w:val="dotted" w:color="auto" w:sz="4" w:space="0"/>
            </w:tcBorders>
            <w:noWrap/>
            <w:vAlign w:val="center"/>
          </w:tcPr>
          <w:p/>
        </w:tc>
        <w:tc>
          <w:tcPr>
            <w:tcW w:w="929" w:type="pct"/>
            <w:tcBorders>
              <w:top w:val="nil"/>
              <w:left w:val="nil"/>
              <w:bottom w:val="single" w:color="auto" w:sz="12" w:space="0"/>
              <w:right w:val="dotted" w:color="auto" w:sz="4" w:space="0"/>
            </w:tcBorders>
            <w:shd w:val="clear" w:color="auto" w:fill="auto"/>
            <w:noWrap/>
            <w:vAlign w:val="center"/>
          </w:tcPr>
          <w:p>
            <w:pPr>
              <w:widowControl/>
              <w:adjustRightInd w:val="0"/>
              <w:snapToGrid w:val="0"/>
              <w:jc w:val="left"/>
              <w:rPr>
                <w:rFonts w:hint="eastAsia" w:ascii="仿宋_GB2312" w:hAnsi="仿宋_GB2312" w:cs="宋体"/>
                <w:color w:val="000000"/>
                <w:kern w:val="0"/>
                <w:sz w:val="24"/>
                <w:szCs w:val="24"/>
              </w:rPr>
            </w:pPr>
            <w:r>
              <w:rPr>
                <w:rFonts w:hint="eastAsia" w:ascii="仿宋_GB2312" w:hAnsi="仿宋_GB2312" w:cs="宋体"/>
                <w:color w:val="000000"/>
                <w:kern w:val="0"/>
                <w:sz w:val="24"/>
                <w:szCs w:val="24"/>
              </w:rPr>
              <w:t>师生满意度</w:t>
            </w:r>
          </w:p>
        </w:tc>
        <w:tc>
          <w:tcPr>
            <w:tcW w:w="2526" w:type="pct"/>
            <w:tcBorders>
              <w:top w:val="nil"/>
              <w:left w:val="nil"/>
              <w:bottom w:val="single" w:color="auto" w:sz="12" w:space="0"/>
              <w:right w:val="dotted" w:color="auto" w:sz="4" w:space="0"/>
            </w:tcBorders>
            <w:shd w:val="clear" w:color="auto" w:fill="auto"/>
            <w:noWrap/>
            <w:vAlign w:val="center"/>
          </w:tcPr>
          <w:p>
            <w:pPr>
              <w:widowControl/>
              <w:adjustRightInd w:val="0"/>
              <w:snapToGrid w:val="0"/>
              <w:jc w:val="left"/>
              <w:rPr>
                <w:rFonts w:hint="eastAsia" w:ascii="仿宋_GB2312" w:hAnsi="仿宋_GB2312" w:cs="宋体"/>
                <w:color w:val="000000"/>
                <w:kern w:val="0"/>
                <w:sz w:val="24"/>
                <w:szCs w:val="24"/>
              </w:rPr>
            </w:pPr>
            <w:r>
              <w:rPr>
                <w:rFonts w:hint="eastAsia" w:ascii="仿宋_GB2312" w:hAnsi="仿宋_GB2312" w:cs="宋体"/>
                <w:color w:val="000000"/>
                <w:kern w:val="0"/>
                <w:sz w:val="24"/>
                <w:szCs w:val="24"/>
              </w:rPr>
              <w:t>社会公众或服务对象对项目实施效果的满意程度≥95%</w:t>
            </w:r>
          </w:p>
        </w:tc>
        <w:tc>
          <w:tcPr>
            <w:tcW w:w="901" w:type="pct"/>
            <w:tcBorders>
              <w:top w:val="nil"/>
              <w:left w:val="nil"/>
              <w:bottom w:val="single" w:color="auto" w:sz="12" w:space="0"/>
              <w:right w:val="nil"/>
            </w:tcBorders>
            <w:shd w:val="clear" w:color="auto" w:fill="auto"/>
            <w:noWrap/>
            <w:vAlign w:val="center"/>
          </w:tcPr>
          <w:p>
            <w:pPr>
              <w:widowControl/>
              <w:adjustRightInd w:val="0"/>
              <w:snapToGrid w:val="0"/>
              <w:jc w:val="left"/>
              <w:rPr>
                <w:rFonts w:hint="eastAsia" w:ascii="仿宋_GB2312" w:hAnsi="仿宋_GB2312" w:cs="宋体"/>
                <w:color w:val="000000"/>
                <w:kern w:val="0"/>
                <w:sz w:val="24"/>
                <w:szCs w:val="24"/>
              </w:rPr>
            </w:pPr>
            <w:r>
              <w:rPr>
                <w:rFonts w:hint="eastAsia" w:ascii="仿宋_GB2312" w:hAnsi="仿宋_GB2312" w:cs="宋体"/>
                <w:color w:val="000000"/>
                <w:kern w:val="0"/>
                <w:sz w:val="24"/>
                <w:szCs w:val="24"/>
              </w:rPr>
              <w:t>满意值赋分法</w:t>
            </w:r>
          </w:p>
        </w:tc>
      </w:tr>
    </w:tbl>
    <w:p>
      <w:pPr>
        <w:snapToGrid w:val="0"/>
        <w:spacing w:line="600" w:lineRule="exact"/>
        <w:ind w:firstLine="643" w:firstLineChars="200"/>
        <w:rPr>
          <w:rFonts w:hint="eastAsia" w:ascii="仿宋_GB2312" w:eastAsia="仿宋_GB2312" w:cs="仿宋_GB2312"/>
          <w:b/>
          <w:bCs/>
          <w:sz w:val="32"/>
          <w:szCs w:val="32"/>
        </w:rPr>
      </w:pPr>
      <w:r>
        <w:rPr>
          <w:rFonts w:hint="eastAsia" w:ascii="仿宋_GB2312" w:eastAsia="仿宋_GB2312" w:cs="仿宋_GB2312"/>
          <w:b/>
          <w:bCs/>
          <w:sz w:val="32"/>
          <w:szCs w:val="32"/>
        </w:rPr>
        <w:t>二、评价工作开展情况</w:t>
      </w:r>
    </w:p>
    <w:p>
      <w:pPr>
        <w:tabs>
          <w:tab w:val="left" w:pos="3885"/>
        </w:tabs>
        <w:snapToGrid w:val="0"/>
        <w:spacing w:line="600" w:lineRule="exact"/>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根据《财政厅关于开展2021年部门、政策和项目支出绩效评价工作的通知》（川财绩〔2021〕6号），按照设定的绩效评价指标体系，对项目决策、项目管理、项目产出、项目效益单独或综合运用是否评分法、分级评分法、比率分值法、错项评分法、满意值赋分法等，对项目绩效目标与实施结果对比，在合理量化绩效目标实现程度的基础上，对各项指标逐项评分，汇总得出评价综合结果。</w:t>
      </w:r>
    </w:p>
    <w:p>
      <w:pPr>
        <w:snapToGrid w:val="0"/>
        <w:spacing w:line="600" w:lineRule="exact"/>
        <w:ind w:firstLine="643" w:firstLineChars="200"/>
        <w:rPr>
          <w:rFonts w:hint="eastAsia" w:ascii="仿宋_GB2312" w:eastAsia="仿宋_GB2312" w:cs="仿宋_GB2312"/>
          <w:b/>
          <w:bCs/>
          <w:sz w:val="32"/>
          <w:szCs w:val="32"/>
        </w:rPr>
      </w:pPr>
      <w:r>
        <w:rPr>
          <w:rFonts w:hint="eastAsia" w:ascii="仿宋_GB2312" w:eastAsia="仿宋_GB2312" w:cs="仿宋_GB2312"/>
          <w:b/>
          <w:bCs/>
          <w:sz w:val="32"/>
          <w:szCs w:val="32"/>
        </w:rPr>
        <w:t>三、综合评价结论（附评分表）</w:t>
      </w:r>
    </w:p>
    <w:p>
      <w:pPr>
        <w:tabs>
          <w:tab w:val="left" w:pos="3885"/>
        </w:tabs>
        <w:snapToGrid w:val="0"/>
        <w:spacing w:line="600" w:lineRule="exact"/>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2020年度项目立项依据充分、绩效目标较为清晰、基本合理，绩效管理规范、审核程序严谨，绩效目标完成情况总体较好，在产出及效益方面基本达到了预期。项目适用分值100分，评价得分为95.25分。见下表：</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04"/>
        <w:gridCol w:w="697"/>
        <w:gridCol w:w="1294"/>
        <w:gridCol w:w="456"/>
        <w:gridCol w:w="934"/>
        <w:gridCol w:w="518"/>
        <w:gridCol w:w="3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6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b/>
                <w:bCs/>
                <w:color w:val="000000"/>
                <w:kern w:val="0"/>
                <w:sz w:val="24"/>
                <w:szCs w:val="24"/>
              </w:rPr>
            </w:pPr>
            <w:r>
              <w:rPr>
                <w:rFonts w:hint="eastAsia" w:ascii="仿宋_GB2312" w:hAnsi="仿宋_GB2312" w:cs="宋体"/>
                <w:b/>
                <w:bCs/>
                <w:color w:val="000000"/>
                <w:kern w:val="0"/>
                <w:sz w:val="24"/>
                <w:szCs w:val="24"/>
              </w:rPr>
              <w:t>一级指标</w:t>
            </w:r>
          </w:p>
        </w:tc>
        <w:tc>
          <w:tcPr>
            <w:tcW w:w="66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b/>
                <w:bCs/>
                <w:color w:val="000000"/>
                <w:kern w:val="0"/>
                <w:sz w:val="24"/>
                <w:szCs w:val="24"/>
              </w:rPr>
            </w:pPr>
            <w:r>
              <w:rPr>
                <w:rFonts w:hint="eastAsia" w:ascii="仿宋_GB2312" w:hAnsi="仿宋_GB2312" w:cs="宋体"/>
                <w:b/>
                <w:bCs/>
                <w:color w:val="000000"/>
                <w:kern w:val="0"/>
                <w:sz w:val="24"/>
                <w:szCs w:val="24"/>
              </w:rPr>
              <w:t>二级指标</w:t>
            </w:r>
          </w:p>
        </w:tc>
        <w:tc>
          <w:tcPr>
            <w:tcW w:w="10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b/>
                <w:bCs/>
                <w:color w:val="000000"/>
                <w:kern w:val="0"/>
                <w:sz w:val="24"/>
                <w:szCs w:val="24"/>
              </w:rPr>
            </w:pPr>
            <w:r>
              <w:rPr>
                <w:rFonts w:hint="eastAsia" w:ascii="仿宋_GB2312" w:hAnsi="仿宋_GB2312" w:cs="宋体"/>
                <w:b/>
                <w:bCs/>
                <w:color w:val="000000"/>
                <w:kern w:val="0"/>
                <w:sz w:val="24"/>
                <w:szCs w:val="24"/>
              </w:rPr>
              <w:t>三级指标</w:t>
            </w:r>
          </w:p>
        </w:tc>
        <w:tc>
          <w:tcPr>
            <w:tcW w:w="41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b/>
                <w:bCs/>
                <w:color w:val="000000"/>
                <w:kern w:val="0"/>
                <w:sz w:val="24"/>
                <w:szCs w:val="24"/>
              </w:rPr>
            </w:pPr>
            <w:r>
              <w:rPr>
                <w:rFonts w:hint="eastAsia" w:ascii="仿宋_GB2312" w:hAnsi="仿宋_GB2312" w:cs="宋体"/>
                <w:b/>
                <w:bCs/>
                <w:color w:val="000000"/>
                <w:kern w:val="0"/>
                <w:sz w:val="24"/>
                <w:szCs w:val="24"/>
              </w:rPr>
              <w:t>分值</w:t>
            </w:r>
          </w:p>
        </w:tc>
        <w:tc>
          <w:tcPr>
            <w:tcW w:w="631"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adjustRightInd w:val="0"/>
              <w:snapToGrid w:val="0"/>
              <w:jc w:val="center"/>
              <w:rPr>
                <w:rFonts w:ascii="仿宋_GB2312" w:hAnsi="仿宋_GB2312" w:cs="宋体"/>
                <w:b/>
                <w:bCs/>
                <w:color w:val="000000"/>
                <w:kern w:val="0"/>
                <w:sz w:val="24"/>
                <w:szCs w:val="24"/>
              </w:rPr>
            </w:pPr>
            <w:r>
              <w:rPr>
                <w:rFonts w:hint="eastAsia" w:ascii="仿宋_GB2312" w:hAnsi="仿宋_GB2312" w:cs="宋体"/>
                <w:b/>
                <w:bCs/>
                <w:color w:val="000000"/>
                <w:kern w:val="0"/>
                <w:sz w:val="24"/>
                <w:szCs w:val="24"/>
              </w:rPr>
              <w:t>评分方法</w:t>
            </w:r>
          </w:p>
        </w:tc>
        <w:tc>
          <w:tcPr>
            <w:tcW w:w="42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b/>
                <w:bCs/>
                <w:color w:val="000000"/>
                <w:kern w:val="0"/>
                <w:sz w:val="24"/>
                <w:szCs w:val="24"/>
              </w:rPr>
            </w:pPr>
            <w:r>
              <w:rPr>
                <w:rFonts w:hint="eastAsia" w:ascii="仿宋_GB2312" w:hAnsi="仿宋_GB2312" w:cs="宋体"/>
                <w:b/>
                <w:bCs/>
                <w:color w:val="000000"/>
                <w:kern w:val="0"/>
                <w:sz w:val="24"/>
                <w:szCs w:val="24"/>
              </w:rPr>
              <w:t>得分</w:t>
            </w:r>
          </w:p>
        </w:tc>
        <w:tc>
          <w:tcPr>
            <w:tcW w:w="125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b/>
                <w:bCs/>
                <w:color w:val="000000"/>
                <w:kern w:val="0"/>
                <w:sz w:val="24"/>
                <w:szCs w:val="24"/>
              </w:rPr>
            </w:pPr>
            <w:r>
              <w:rPr>
                <w:rFonts w:hint="eastAsia" w:ascii="仿宋_GB2312" w:hAnsi="仿宋_GB2312" w:cs="宋体"/>
                <w:b/>
                <w:bCs/>
                <w:color w:val="000000"/>
                <w:kern w:val="0"/>
                <w:sz w:val="24"/>
                <w:szCs w:val="24"/>
              </w:rPr>
              <w:t>扣分说明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69" w:type="pct"/>
            <w:vMerge w:val="continue"/>
            <w:tcBorders>
              <w:top w:val="single" w:color="auto" w:sz="4" w:space="0"/>
              <w:left w:val="single" w:color="auto" w:sz="4" w:space="0"/>
              <w:bottom w:val="single" w:color="auto" w:sz="4" w:space="0"/>
              <w:right w:val="single" w:color="auto" w:sz="4" w:space="0"/>
            </w:tcBorders>
            <w:noWrap/>
            <w:vAlign w:val="center"/>
          </w:tcPr>
          <w:p/>
        </w:tc>
        <w:tc>
          <w:tcPr>
            <w:tcW w:w="666" w:type="pct"/>
            <w:vMerge w:val="continue"/>
            <w:tcBorders>
              <w:top w:val="single" w:color="auto" w:sz="4" w:space="0"/>
              <w:left w:val="single" w:color="auto" w:sz="4" w:space="0"/>
              <w:bottom w:val="single" w:color="auto" w:sz="4" w:space="0"/>
              <w:right w:val="single" w:color="auto" w:sz="4" w:space="0"/>
            </w:tcBorders>
            <w:noWrap/>
            <w:vAlign w:val="center"/>
          </w:tcPr>
          <w:p/>
        </w:tc>
        <w:tc>
          <w:tcPr>
            <w:tcW w:w="1042" w:type="pct"/>
            <w:vMerge w:val="continue"/>
            <w:tcBorders>
              <w:top w:val="single" w:color="auto" w:sz="4" w:space="0"/>
              <w:left w:val="single" w:color="auto" w:sz="4" w:space="0"/>
              <w:bottom w:val="single" w:color="auto" w:sz="4" w:space="0"/>
              <w:right w:val="single" w:color="auto" w:sz="4" w:space="0"/>
            </w:tcBorders>
            <w:noWrap/>
            <w:vAlign w:val="center"/>
          </w:tcPr>
          <w:p/>
        </w:tc>
        <w:tc>
          <w:tcPr>
            <w:tcW w:w="412" w:type="pct"/>
            <w:vMerge w:val="continue"/>
            <w:tcBorders>
              <w:top w:val="single" w:color="auto" w:sz="4" w:space="0"/>
              <w:left w:val="single" w:color="auto" w:sz="4" w:space="0"/>
              <w:bottom w:val="single" w:color="auto" w:sz="4" w:space="0"/>
              <w:right w:val="single" w:color="auto" w:sz="4" w:space="0"/>
            </w:tcBorders>
            <w:noWrap/>
            <w:vAlign w:val="center"/>
          </w:tcPr>
          <w:p/>
        </w:tc>
        <w:tc>
          <w:tcPr>
            <w:tcW w:w="631" w:type="pct"/>
            <w:vMerge w:val="continue"/>
            <w:tcBorders>
              <w:top w:val="single" w:color="auto" w:sz="4" w:space="0"/>
              <w:left w:val="single" w:color="auto" w:sz="4" w:space="0"/>
              <w:bottom w:val="single" w:color="000000" w:sz="4" w:space="0"/>
              <w:right w:val="single" w:color="auto" w:sz="4" w:space="0"/>
            </w:tcBorders>
            <w:noWrap/>
            <w:vAlign w:val="center"/>
          </w:tcPr>
          <w:p/>
        </w:tc>
        <w:tc>
          <w:tcPr>
            <w:tcW w:w="429" w:type="pct"/>
            <w:vMerge w:val="continue"/>
            <w:tcBorders>
              <w:top w:val="single" w:color="auto" w:sz="4" w:space="0"/>
              <w:left w:val="single" w:color="auto" w:sz="4" w:space="0"/>
              <w:bottom w:val="single" w:color="auto" w:sz="4" w:space="0"/>
              <w:right w:val="single" w:color="auto" w:sz="4" w:space="0"/>
            </w:tcBorders>
            <w:noWrap/>
            <w:vAlign w:val="center"/>
          </w:tcPr>
          <w:p/>
        </w:tc>
        <w:tc>
          <w:tcPr>
            <w:tcW w:w="1251" w:type="pct"/>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69" w:type="pct"/>
            <w:vMerge w:val="continue"/>
            <w:tcBorders>
              <w:top w:val="single" w:color="auto" w:sz="4" w:space="0"/>
              <w:left w:val="single" w:color="auto" w:sz="4" w:space="0"/>
              <w:bottom w:val="single" w:color="auto" w:sz="4" w:space="0"/>
              <w:right w:val="single" w:color="auto" w:sz="4" w:space="0"/>
            </w:tcBorders>
            <w:noWrap/>
            <w:vAlign w:val="center"/>
          </w:tcPr>
          <w:p/>
        </w:tc>
        <w:tc>
          <w:tcPr>
            <w:tcW w:w="666" w:type="pct"/>
            <w:vMerge w:val="continue"/>
            <w:tcBorders>
              <w:top w:val="single" w:color="auto" w:sz="4" w:space="0"/>
              <w:left w:val="single" w:color="auto" w:sz="4" w:space="0"/>
              <w:bottom w:val="single" w:color="auto" w:sz="4" w:space="0"/>
              <w:right w:val="single" w:color="auto" w:sz="4" w:space="0"/>
            </w:tcBorders>
            <w:noWrap/>
            <w:vAlign w:val="center"/>
          </w:tcPr>
          <w:p/>
        </w:tc>
        <w:tc>
          <w:tcPr>
            <w:tcW w:w="1042" w:type="pct"/>
            <w:vMerge w:val="continue"/>
            <w:tcBorders>
              <w:top w:val="single" w:color="auto" w:sz="4" w:space="0"/>
              <w:left w:val="single" w:color="auto" w:sz="4" w:space="0"/>
              <w:bottom w:val="single" w:color="auto" w:sz="4" w:space="0"/>
              <w:right w:val="single" w:color="auto" w:sz="4" w:space="0"/>
            </w:tcBorders>
            <w:noWrap/>
            <w:vAlign w:val="center"/>
          </w:tcPr>
          <w:p/>
        </w:tc>
        <w:tc>
          <w:tcPr>
            <w:tcW w:w="412" w:type="pct"/>
            <w:vMerge w:val="continue"/>
            <w:tcBorders>
              <w:top w:val="single" w:color="auto" w:sz="4" w:space="0"/>
              <w:left w:val="single" w:color="auto" w:sz="4" w:space="0"/>
              <w:bottom w:val="single" w:color="auto" w:sz="4" w:space="0"/>
              <w:right w:val="single" w:color="auto" w:sz="4" w:space="0"/>
            </w:tcBorders>
            <w:noWrap/>
            <w:vAlign w:val="center"/>
          </w:tcPr>
          <w:p/>
        </w:tc>
        <w:tc>
          <w:tcPr>
            <w:tcW w:w="631" w:type="pct"/>
            <w:vMerge w:val="continue"/>
            <w:tcBorders>
              <w:top w:val="single" w:color="auto" w:sz="4" w:space="0"/>
              <w:left w:val="single" w:color="auto" w:sz="4" w:space="0"/>
              <w:bottom w:val="single" w:color="000000" w:sz="4" w:space="0"/>
              <w:right w:val="single" w:color="auto" w:sz="4" w:space="0"/>
            </w:tcBorders>
            <w:noWrap/>
            <w:vAlign w:val="center"/>
          </w:tcPr>
          <w:p/>
        </w:tc>
        <w:tc>
          <w:tcPr>
            <w:tcW w:w="429" w:type="pct"/>
            <w:vMerge w:val="continue"/>
            <w:tcBorders>
              <w:top w:val="single" w:color="auto" w:sz="4" w:space="0"/>
              <w:left w:val="single" w:color="auto" w:sz="4" w:space="0"/>
              <w:bottom w:val="single" w:color="auto" w:sz="4" w:space="0"/>
              <w:right w:val="single" w:color="auto" w:sz="4" w:space="0"/>
            </w:tcBorders>
            <w:noWrap/>
            <w:vAlign w:val="center"/>
          </w:tcPr>
          <w:p/>
        </w:tc>
        <w:tc>
          <w:tcPr>
            <w:tcW w:w="1251" w:type="pct"/>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项目决策（15分）</w:t>
            </w:r>
          </w:p>
        </w:tc>
        <w:tc>
          <w:tcPr>
            <w:tcW w:w="66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项目立项</w:t>
            </w:r>
          </w:p>
        </w:tc>
        <w:tc>
          <w:tcPr>
            <w:tcW w:w="104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立项依据充分性</w:t>
            </w:r>
          </w:p>
        </w:tc>
        <w:tc>
          <w:tcPr>
            <w:tcW w:w="41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3</w:t>
            </w:r>
          </w:p>
        </w:tc>
        <w:tc>
          <w:tcPr>
            <w:tcW w:w="63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kern w:val="0"/>
                <w:sz w:val="22"/>
                <w:szCs w:val="22"/>
              </w:rPr>
            </w:pPr>
            <w:r>
              <w:rPr>
                <w:rFonts w:hint="eastAsia" w:ascii="仿宋_GB2312" w:hAnsi="仿宋_GB2312" w:cs="宋体"/>
                <w:kern w:val="0"/>
                <w:sz w:val="22"/>
                <w:szCs w:val="22"/>
              </w:rPr>
              <w:t>分级评分法</w:t>
            </w:r>
          </w:p>
        </w:tc>
        <w:tc>
          <w:tcPr>
            <w:tcW w:w="429"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 xml:space="preserve">3.00 </w:t>
            </w:r>
          </w:p>
        </w:tc>
        <w:tc>
          <w:tcPr>
            <w:tcW w:w="125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69" w:type="pct"/>
            <w:vMerge w:val="continue"/>
            <w:tcBorders>
              <w:top w:val="nil"/>
              <w:left w:val="single" w:color="auto" w:sz="4" w:space="0"/>
              <w:bottom w:val="single" w:color="auto" w:sz="4" w:space="0"/>
              <w:right w:val="single" w:color="auto" w:sz="4" w:space="0"/>
            </w:tcBorders>
            <w:noWrap/>
            <w:vAlign w:val="center"/>
          </w:tcPr>
          <w:p/>
        </w:tc>
        <w:tc>
          <w:tcPr>
            <w:tcW w:w="666" w:type="pct"/>
            <w:vMerge w:val="continue"/>
            <w:tcBorders>
              <w:top w:val="nil"/>
              <w:left w:val="single" w:color="auto" w:sz="4" w:space="0"/>
              <w:bottom w:val="single" w:color="auto" w:sz="4" w:space="0"/>
              <w:right w:val="single" w:color="auto" w:sz="4" w:space="0"/>
            </w:tcBorders>
            <w:noWrap/>
            <w:vAlign w:val="center"/>
          </w:tcPr>
          <w:p/>
        </w:tc>
        <w:tc>
          <w:tcPr>
            <w:tcW w:w="104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立项程序规范性</w:t>
            </w:r>
          </w:p>
        </w:tc>
        <w:tc>
          <w:tcPr>
            <w:tcW w:w="41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2</w:t>
            </w:r>
          </w:p>
        </w:tc>
        <w:tc>
          <w:tcPr>
            <w:tcW w:w="63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kern w:val="0"/>
                <w:sz w:val="22"/>
                <w:szCs w:val="22"/>
              </w:rPr>
            </w:pPr>
            <w:r>
              <w:rPr>
                <w:rFonts w:hint="eastAsia" w:ascii="仿宋_GB2312" w:hAnsi="仿宋_GB2312" w:cs="宋体"/>
                <w:kern w:val="0"/>
                <w:sz w:val="22"/>
                <w:szCs w:val="22"/>
              </w:rPr>
              <w:t>分级评分法</w:t>
            </w:r>
          </w:p>
        </w:tc>
        <w:tc>
          <w:tcPr>
            <w:tcW w:w="429"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 xml:space="preserve">2.00 </w:t>
            </w:r>
          </w:p>
        </w:tc>
        <w:tc>
          <w:tcPr>
            <w:tcW w:w="125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569" w:type="pct"/>
            <w:vMerge w:val="continue"/>
            <w:tcBorders>
              <w:top w:val="nil"/>
              <w:left w:val="single" w:color="auto" w:sz="4" w:space="0"/>
              <w:bottom w:val="single" w:color="auto" w:sz="4" w:space="0"/>
              <w:right w:val="single" w:color="auto" w:sz="4" w:space="0"/>
            </w:tcBorders>
            <w:noWrap/>
            <w:vAlign w:val="center"/>
          </w:tcPr>
          <w:p/>
        </w:tc>
        <w:tc>
          <w:tcPr>
            <w:tcW w:w="66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绩效目标</w:t>
            </w:r>
          </w:p>
        </w:tc>
        <w:tc>
          <w:tcPr>
            <w:tcW w:w="104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绩效目标合理性</w:t>
            </w:r>
          </w:p>
        </w:tc>
        <w:tc>
          <w:tcPr>
            <w:tcW w:w="41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3</w:t>
            </w:r>
          </w:p>
        </w:tc>
        <w:tc>
          <w:tcPr>
            <w:tcW w:w="63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错项评分法</w:t>
            </w:r>
          </w:p>
        </w:tc>
        <w:tc>
          <w:tcPr>
            <w:tcW w:w="429"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 xml:space="preserve">3.00 </w:t>
            </w:r>
          </w:p>
        </w:tc>
        <w:tc>
          <w:tcPr>
            <w:tcW w:w="125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569" w:type="pct"/>
            <w:vMerge w:val="continue"/>
            <w:tcBorders>
              <w:top w:val="nil"/>
              <w:left w:val="single" w:color="auto" w:sz="4" w:space="0"/>
              <w:bottom w:val="single" w:color="auto" w:sz="4" w:space="0"/>
              <w:right w:val="single" w:color="auto" w:sz="4" w:space="0"/>
            </w:tcBorders>
            <w:noWrap/>
            <w:vAlign w:val="center"/>
          </w:tcPr>
          <w:p/>
        </w:tc>
        <w:tc>
          <w:tcPr>
            <w:tcW w:w="666" w:type="pct"/>
            <w:vMerge w:val="continue"/>
            <w:tcBorders>
              <w:top w:val="nil"/>
              <w:left w:val="single" w:color="auto" w:sz="4" w:space="0"/>
              <w:bottom w:val="single" w:color="auto" w:sz="4" w:space="0"/>
              <w:right w:val="single" w:color="auto" w:sz="4" w:space="0"/>
            </w:tcBorders>
            <w:noWrap/>
            <w:vAlign w:val="center"/>
          </w:tcPr>
          <w:p/>
        </w:tc>
        <w:tc>
          <w:tcPr>
            <w:tcW w:w="104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绩效指标明确性</w:t>
            </w:r>
          </w:p>
        </w:tc>
        <w:tc>
          <w:tcPr>
            <w:tcW w:w="41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2</w:t>
            </w:r>
          </w:p>
        </w:tc>
        <w:tc>
          <w:tcPr>
            <w:tcW w:w="63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错项评分法</w:t>
            </w:r>
          </w:p>
        </w:tc>
        <w:tc>
          <w:tcPr>
            <w:tcW w:w="429"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ascii="仿宋_GB2312" w:hAnsi="仿宋_GB2312" w:cs="宋体"/>
                <w:color w:val="000000"/>
                <w:kern w:val="0"/>
                <w:sz w:val="24"/>
                <w:szCs w:val="24"/>
              </w:rPr>
              <w:t>1.5</w:t>
            </w:r>
            <w:r>
              <w:rPr>
                <w:rFonts w:hint="eastAsia" w:ascii="仿宋_GB2312" w:hAnsi="仿宋_GB2312" w:cs="宋体"/>
                <w:color w:val="000000"/>
                <w:kern w:val="0"/>
                <w:sz w:val="24"/>
                <w:szCs w:val="24"/>
              </w:rPr>
              <w:t xml:space="preserve">0 </w:t>
            </w:r>
          </w:p>
        </w:tc>
        <w:tc>
          <w:tcPr>
            <w:tcW w:w="125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项目效益预期目标未量化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 w:hRule="atLeast"/>
        </w:trPr>
        <w:tc>
          <w:tcPr>
            <w:tcW w:w="569" w:type="pct"/>
            <w:vMerge w:val="continue"/>
            <w:tcBorders>
              <w:top w:val="nil"/>
              <w:left w:val="single" w:color="auto" w:sz="4" w:space="0"/>
              <w:bottom w:val="single" w:color="auto" w:sz="4" w:space="0"/>
              <w:right w:val="single" w:color="auto" w:sz="4" w:space="0"/>
            </w:tcBorders>
            <w:noWrap/>
            <w:vAlign w:val="center"/>
          </w:tcPr>
          <w:p/>
        </w:tc>
        <w:tc>
          <w:tcPr>
            <w:tcW w:w="66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资金投入</w:t>
            </w:r>
          </w:p>
        </w:tc>
        <w:tc>
          <w:tcPr>
            <w:tcW w:w="104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预算编制科学性</w:t>
            </w:r>
          </w:p>
        </w:tc>
        <w:tc>
          <w:tcPr>
            <w:tcW w:w="41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3</w:t>
            </w:r>
          </w:p>
        </w:tc>
        <w:tc>
          <w:tcPr>
            <w:tcW w:w="63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错项评分法</w:t>
            </w:r>
          </w:p>
        </w:tc>
        <w:tc>
          <w:tcPr>
            <w:tcW w:w="429"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 xml:space="preserve">3.00 </w:t>
            </w:r>
          </w:p>
        </w:tc>
        <w:tc>
          <w:tcPr>
            <w:tcW w:w="125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69" w:type="pct"/>
            <w:vMerge w:val="continue"/>
            <w:tcBorders>
              <w:top w:val="nil"/>
              <w:left w:val="single" w:color="auto" w:sz="4" w:space="0"/>
              <w:bottom w:val="single" w:color="auto" w:sz="4" w:space="0"/>
              <w:right w:val="single" w:color="auto" w:sz="4" w:space="0"/>
            </w:tcBorders>
            <w:noWrap/>
            <w:vAlign w:val="center"/>
          </w:tcPr>
          <w:p/>
        </w:tc>
        <w:tc>
          <w:tcPr>
            <w:tcW w:w="666" w:type="pct"/>
            <w:vMerge w:val="continue"/>
            <w:tcBorders>
              <w:top w:val="nil"/>
              <w:left w:val="single" w:color="auto" w:sz="4" w:space="0"/>
              <w:bottom w:val="single" w:color="auto" w:sz="4" w:space="0"/>
              <w:right w:val="single" w:color="auto" w:sz="4" w:space="0"/>
            </w:tcBorders>
            <w:noWrap/>
            <w:vAlign w:val="center"/>
          </w:tcPr>
          <w:p/>
        </w:tc>
        <w:tc>
          <w:tcPr>
            <w:tcW w:w="104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资金分配合理性</w:t>
            </w:r>
          </w:p>
        </w:tc>
        <w:tc>
          <w:tcPr>
            <w:tcW w:w="41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2</w:t>
            </w:r>
          </w:p>
        </w:tc>
        <w:tc>
          <w:tcPr>
            <w:tcW w:w="63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kern w:val="0"/>
                <w:sz w:val="22"/>
                <w:szCs w:val="22"/>
              </w:rPr>
            </w:pPr>
            <w:r>
              <w:rPr>
                <w:rFonts w:hint="eastAsia" w:ascii="仿宋_GB2312" w:hAnsi="仿宋_GB2312" w:cs="宋体"/>
                <w:kern w:val="0"/>
                <w:sz w:val="22"/>
                <w:szCs w:val="22"/>
              </w:rPr>
              <w:t>是否评分法</w:t>
            </w:r>
          </w:p>
        </w:tc>
        <w:tc>
          <w:tcPr>
            <w:tcW w:w="429"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 xml:space="preserve">2.00 </w:t>
            </w:r>
          </w:p>
        </w:tc>
        <w:tc>
          <w:tcPr>
            <w:tcW w:w="125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 w:hRule="atLeast"/>
        </w:trPr>
        <w:tc>
          <w:tcPr>
            <w:tcW w:w="5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项目管理（15分）</w:t>
            </w:r>
          </w:p>
        </w:tc>
        <w:tc>
          <w:tcPr>
            <w:tcW w:w="66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资金管理</w:t>
            </w:r>
          </w:p>
        </w:tc>
        <w:tc>
          <w:tcPr>
            <w:tcW w:w="104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资金到位率</w:t>
            </w:r>
          </w:p>
        </w:tc>
        <w:tc>
          <w:tcPr>
            <w:tcW w:w="41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3</w:t>
            </w:r>
          </w:p>
        </w:tc>
        <w:tc>
          <w:tcPr>
            <w:tcW w:w="63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比率分值法</w:t>
            </w:r>
          </w:p>
        </w:tc>
        <w:tc>
          <w:tcPr>
            <w:tcW w:w="429"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 xml:space="preserve">3.00 </w:t>
            </w:r>
          </w:p>
        </w:tc>
        <w:tc>
          <w:tcPr>
            <w:tcW w:w="125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569" w:type="pct"/>
            <w:vMerge w:val="continue"/>
            <w:tcBorders>
              <w:top w:val="nil"/>
              <w:left w:val="single" w:color="auto" w:sz="4" w:space="0"/>
              <w:bottom w:val="single" w:color="auto" w:sz="4" w:space="0"/>
              <w:right w:val="single" w:color="auto" w:sz="4" w:space="0"/>
            </w:tcBorders>
            <w:noWrap/>
            <w:vAlign w:val="center"/>
          </w:tcPr>
          <w:p/>
        </w:tc>
        <w:tc>
          <w:tcPr>
            <w:tcW w:w="666" w:type="pct"/>
            <w:vMerge w:val="continue"/>
            <w:tcBorders>
              <w:top w:val="nil"/>
              <w:left w:val="single" w:color="auto" w:sz="4" w:space="0"/>
              <w:bottom w:val="single" w:color="auto" w:sz="4" w:space="0"/>
              <w:right w:val="single" w:color="auto" w:sz="4" w:space="0"/>
            </w:tcBorders>
            <w:noWrap/>
            <w:vAlign w:val="center"/>
          </w:tcPr>
          <w:p/>
        </w:tc>
        <w:tc>
          <w:tcPr>
            <w:tcW w:w="104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预算执行率</w:t>
            </w:r>
          </w:p>
        </w:tc>
        <w:tc>
          <w:tcPr>
            <w:tcW w:w="41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3</w:t>
            </w:r>
          </w:p>
        </w:tc>
        <w:tc>
          <w:tcPr>
            <w:tcW w:w="63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比率分值法</w:t>
            </w:r>
          </w:p>
        </w:tc>
        <w:tc>
          <w:tcPr>
            <w:tcW w:w="429"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 xml:space="preserve">2.29 </w:t>
            </w:r>
          </w:p>
        </w:tc>
        <w:tc>
          <w:tcPr>
            <w:tcW w:w="125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截止2020年12月31日，项目使用资金占项目总预算7</w:t>
            </w:r>
            <w:r>
              <w:rPr>
                <w:rFonts w:ascii="仿宋_GB2312" w:hAnsi="仿宋_GB2312" w:cs="宋体"/>
                <w:color w:val="000000"/>
                <w:kern w:val="0"/>
                <w:sz w:val="24"/>
                <w:szCs w:val="24"/>
              </w:rPr>
              <w:t>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 w:hRule="atLeast"/>
        </w:trPr>
        <w:tc>
          <w:tcPr>
            <w:tcW w:w="569" w:type="pct"/>
            <w:vMerge w:val="continue"/>
            <w:tcBorders>
              <w:top w:val="nil"/>
              <w:left w:val="single" w:color="auto" w:sz="4" w:space="0"/>
              <w:bottom w:val="single" w:color="auto" w:sz="4" w:space="0"/>
              <w:right w:val="single" w:color="auto" w:sz="4" w:space="0"/>
            </w:tcBorders>
            <w:noWrap/>
            <w:vAlign w:val="center"/>
          </w:tcPr>
          <w:p/>
        </w:tc>
        <w:tc>
          <w:tcPr>
            <w:tcW w:w="666" w:type="pct"/>
            <w:vMerge w:val="continue"/>
            <w:tcBorders>
              <w:top w:val="nil"/>
              <w:left w:val="single" w:color="auto" w:sz="4" w:space="0"/>
              <w:bottom w:val="single" w:color="auto" w:sz="4" w:space="0"/>
              <w:right w:val="single" w:color="auto" w:sz="4" w:space="0"/>
            </w:tcBorders>
            <w:noWrap/>
            <w:vAlign w:val="center"/>
          </w:tcPr>
          <w:p/>
        </w:tc>
        <w:tc>
          <w:tcPr>
            <w:tcW w:w="104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资金使用合规性</w:t>
            </w:r>
          </w:p>
        </w:tc>
        <w:tc>
          <w:tcPr>
            <w:tcW w:w="41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3</w:t>
            </w:r>
          </w:p>
        </w:tc>
        <w:tc>
          <w:tcPr>
            <w:tcW w:w="63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错项评分法</w:t>
            </w:r>
          </w:p>
        </w:tc>
        <w:tc>
          <w:tcPr>
            <w:tcW w:w="429"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 xml:space="preserve">3.00 </w:t>
            </w:r>
          </w:p>
        </w:tc>
        <w:tc>
          <w:tcPr>
            <w:tcW w:w="125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69" w:type="pct"/>
            <w:vMerge w:val="continue"/>
            <w:tcBorders>
              <w:top w:val="nil"/>
              <w:left w:val="single" w:color="auto" w:sz="4" w:space="0"/>
              <w:bottom w:val="single" w:color="auto" w:sz="4" w:space="0"/>
              <w:right w:val="single" w:color="auto" w:sz="4" w:space="0"/>
            </w:tcBorders>
            <w:noWrap/>
            <w:vAlign w:val="center"/>
          </w:tcPr>
          <w:p/>
        </w:tc>
        <w:tc>
          <w:tcPr>
            <w:tcW w:w="66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组织实施</w:t>
            </w:r>
          </w:p>
        </w:tc>
        <w:tc>
          <w:tcPr>
            <w:tcW w:w="104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管理制度健全性</w:t>
            </w:r>
          </w:p>
        </w:tc>
        <w:tc>
          <w:tcPr>
            <w:tcW w:w="41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3</w:t>
            </w:r>
          </w:p>
        </w:tc>
        <w:tc>
          <w:tcPr>
            <w:tcW w:w="63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错项评分法</w:t>
            </w:r>
          </w:p>
        </w:tc>
        <w:tc>
          <w:tcPr>
            <w:tcW w:w="429"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 xml:space="preserve">3.00 </w:t>
            </w:r>
          </w:p>
        </w:tc>
        <w:tc>
          <w:tcPr>
            <w:tcW w:w="125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569" w:type="pct"/>
            <w:vMerge w:val="continue"/>
            <w:tcBorders>
              <w:top w:val="nil"/>
              <w:left w:val="single" w:color="auto" w:sz="4" w:space="0"/>
              <w:bottom w:val="single" w:color="auto" w:sz="4" w:space="0"/>
              <w:right w:val="single" w:color="auto" w:sz="4" w:space="0"/>
            </w:tcBorders>
            <w:noWrap/>
            <w:vAlign w:val="center"/>
          </w:tcPr>
          <w:p/>
        </w:tc>
        <w:tc>
          <w:tcPr>
            <w:tcW w:w="666" w:type="pct"/>
            <w:vMerge w:val="continue"/>
            <w:tcBorders>
              <w:top w:val="nil"/>
              <w:left w:val="single" w:color="auto" w:sz="4" w:space="0"/>
              <w:bottom w:val="single" w:color="auto" w:sz="4" w:space="0"/>
              <w:right w:val="single" w:color="auto" w:sz="4" w:space="0"/>
            </w:tcBorders>
            <w:noWrap/>
            <w:vAlign w:val="center"/>
          </w:tcPr>
          <w:p/>
        </w:tc>
        <w:tc>
          <w:tcPr>
            <w:tcW w:w="104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制度执行有效性</w:t>
            </w:r>
          </w:p>
        </w:tc>
        <w:tc>
          <w:tcPr>
            <w:tcW w:w="41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3</w:t>
            </w:r>
          </w:p>
        </w:tc>
        <w:tc>
          <w:tcPr>
            <w:tcW w:w="63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错项评分法</w:t>
            </w:r>
          </w:p>
        </w:tc>
        <w:tc>
          <w:tcPr>
            <w:tcW w:w="429"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 xml:space="preserve">3.00 </w:t>
            </w:r>
          </w:p>
        </w:tc>
        <w:tc>
          <w:tcPr>
            <w:tcW w:w="125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项目产出（40分）</w:t>
            </w:r>
          </w:p>
        </w:tc>
        <w:tc>
          <w:tcPr>
            <w:tcW w:w="66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产出数量</w:t>
            </w:r>
          </w:p>
        </w:tc>
        <w:tc>
          <w:tcPr>
            <w:tcW w:w="10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实际完成率</w:t>
            </w:r>
          </w:p>
        </w:tc>
        <w:tc>
          <w:tcPr>
            <w:tcW w:w="41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10</w:t>
            </w:r>
          </w:p>
        </w:tc>
        <w:tc>
          <w:tcPr>
            <w:tcW w:w="63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比率分值法</w:t>
            </w:r>
          </w:p>
        </w:tc>
        <w:tc>
          <w:tcPr>
            <w:tcW w:w="42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 xml:space="preserve">10.00 </w:t>
            </w:r>
          </w:p>
        </w:tc>
        <w:tc>
          <w:tcPr>
            <w:tcW w:w="125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69" w:type="pct"/>
            <w:vMerge w:val="continue"/>
            <w:tcBorders>
              <w:top w:val="nil"/>
              <w:left w:val="single" w:color="auto" w:sz="4" w:space="0"/>
              <w:bottom w:val="single" w:color="auto" w:sz="4" w:space="0"/>
              <w:right w:val="single" w:color="auto" w:sz="4" w:space="0"/>
            </w:tcBorders>
            <w:noWrap/>
            <w:vAlign w:val="center"/>
          </w:tcPr>
          <w:p/>
        </w:tc>
        <w:tc>
          <w:tcPr>
            <w:tcW w:w="666" w:type="pct"/>
            <w:vMerge w:val="continue"/>
            <w:tcBorders>
              <w:top w:val="nil"/>
              <w:left w:val="single" w:color="auto" w:sz="4" w:space="0"/>
              <w:bottom w:val="single" w:color="auto" w:sz="4" w:space="0"/>
              <w:right w:val="single" w:color="auto" w:sz="4" w:space="0"/>
            </w:tcBorders>
            <w:noWrap/>
            <w:vAlign w:val="center"/>
          </w:tcPr>
          <w:p/>
        </w:tc>
        <w:tc>
          <w:tcPr>
            <w:tcW w:w="1042" w:type="pct"/>
            <w:vMerge w:val="continue"/>
            <w:tcBorders>
              <w:top w:val="nil"/>
              <w:left w:val="single" w:color="auto" w:sz="4" w:space="0"/>
              <w:bottom w:val="single" w:color="auto" w:sz="4" w:space="0"/>
              <w:right w:val="single" w:color="auto" w:sz="4" w:space="0"/>
            </w:tcBorders>
            <w:noWrap/>
            <w:vAlign w:val="center"/>
          </w:tcPr>
          <w:p/>
        </w:tc>
        <w:tc>
          <w:tcPr>
            <w:tcW w:w="412" w:type="pct"/>
            <w:vMerge w:val="continue"/>
            <w:tcBorders>
              <w:top w:val="nil"/>
              <w:left w:val="single" w:color="auto" w:sz="4" w:space="0"/>
              <w:bottom w:val="single" w:color="auto" w:sz="4" w:space="0"/>
              <w:right w:val="single" w:color="auto" w:sz="4" w:space="0"/>
            </w:tcBorders>
            <w:noWrap/>
            <w:vAlign w:val="center"/>
          </w:tcPr>
          <w:p/>
        </w:tc>
        <w:tc>
          <w:tcPr>
            <w:tcW w:w="631" w:type="pct"/>
            <w:vMerge w:val="continue"/>
            <w:tcBorders>
              <w:top w:val="nil"/>
              <w:left w:val="single" w:color="auto" w:sz="4" w:space="0"/>
              <w:bottom w:val="single" w:color="auto" w:sz="4" w:space="0"/>
              <w:right w:val="single" w:color="auto" w:sz="4" w:space="0"/>
            </w:tcBorders>
            <w:noWrap/>
            <w:vAlign w:val="center"/>
          </w:tcPr>
          <w:p/>
        </w:tc>
        <w:tc>
          <w:tcPr>
            <w:tcW w:w="429" w:type="pct"/>
            <w:vMerge w:val="continue"/>
            <w:tcBorders>
              <w:top w:val="nil"/>
              <w:left w:val="single" w:color="auto" w:sz="4" w:space="0"/>
              <w:bottom w:val="single" w:color="auto" w:sz="4" w:space="0"/>
              <w:right w:val="single" w:color="auto" w:sz="4" w:space="0"/>
            </w:tcBorders>
            <w:noWrap/>
            <w:vAlign w:val="center"/>
          </w:tcPr>
          <w:p/>
        </w:tc>
        <w:tc>
          <w:tcPr>
            <w:tcW w:w="1251" w:type="pct"/>
            <w:vMerge w:val="continue"/>
            <w:tcBorders>
              <w:top w:val="nil"/>
              <w:left w:val="single" w:color="auto" w:sz="4" w:space="0"/>
              <w:bottom w:val="single" w:color="auto" w:sz="4" w:space="0"/>
              <w:right w:val="single" w:color="auto" w:sz="4"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569" w:type="pct"/>
            <w:vMerge w:val="continue"/>
            <w:tcBorders>
              <w:top w:val="nil"/>
              <w:left w:val="single" w:color="auto" w:sz="4" w:space="0"/>
              <w:bottom w:val="single" w:color="auto" w:sz="4" w:space="0"/>
              <w:right w:val="single" w:color="auto" w:sz="4" w:space="0"/>
            </w:tcBorders>
            <w:noWrap/>
            <w:vAlign w:val="center"/>
          </w:tcPr>
          <w:p/>
        </w:tc>
        <w:tc>
          <w:tcPr>
            <w:tcW w:w="666" w:type="pct"/>
            <w:vMerge w:val="continue"/>
            <w:tcBorders>
              <w:top w:val="nil"/>
              <w:left w:val="single" w:color="auto" w:sz="4" w:space="0"/>
              <w:bottom w:val="single" w:color="auto" w:sz="4" w:space="0"/>
              <w:right w:val="single" w:color="auto" w:sz="4" w:space="0"/>
            </w:tcBorders>
            <w:noWrap/>
            <w:vAlign w:val="center"/>
          </w:tcPr>
          <w:p/>
        </w:tc>
        <w:tc>
          <w:tcPr>
            <w:tcW w:w="1042" w:type="pct"/>
            <w:vMerge w:val="continue"/>
            <w:tcBorders>
              <w:top w:val="nil"/>
              <w:left w:val="single" w:color="auto" w:sz="4" w:space="0"/>
              <w:bottom w:val="single" w:color="auto" w:sz="4" w:space="0"/>
              <w:right w:val="single" w:color="auto" w:sz="4" w:space="0"/>
            </w:tcBorders>
            <w:noWrap/>
            <w:vAlign w:val="center"/>
          </w:tcPr>
          <w:p/>
        </w:tc>
        <w:tc>
          <w:tcPr>
            <w:tcW w:w="412" w:type="pct"/>
            <w:vMerge w:val="continue"/>
            <w:tcBorders>
              <w:top w:val="nil"/>
              <w:left w:val="single" w:color="auto" w:sz="4" w:space="0"/>
              <w:bottom w:val="single" w:color="auto" w:sz="4" w:space="0"/>
              <w:right w:val="single" w:color="auto" w:sz="4" w:space="0"/>
            </w:tcBorders>
            <w:noWrap/>
            <w:vAlign w:val="center"/>
          </w:tcPr>
          <w:p/>
        </w:tc>
        <w:tc>
          <w:tcPr>
            <w:tcW w:w="631" w:type="pct"/>
            <w:vMerge w:val="continue"/>
            <w:tcBorders>
              <w:top w:val="nil"/>
              <w:left w:val="single" w:color="auto" w:sz="4" w:space="0"/>
              <w:bottom w:val="single" w:color="auto" w:sz="4" w:space="0"/>
              <w:right w:val="single" w:color="auto" w:sz="4" w:space="0"/>
            </w:tcBorders>
            <w:noWrap/>
            <w:vAlign w:val="center"/>
          </w:tcPr>
          <w:p/>
        </w:tc>
        <w:tc>
          <w:tcPr>
            <w:tcW w:w="429" w:type="pct"/>
            <w:vMerge w:val="continue"/>
            <w:tcBorders>
              <w:top w:val="nil"/>
              <w:left w:val="single" w:color="auto" w:sz="4" w:space="0"/>
              <w:bottom w:val="single" w:color="auto" w:sz="4" w:space="0"/>
              <w:right w:val="single" w:color="auto" w:sz="4" w:space="0"/>
            </w:tcBorders>
            <w:noWrap/>
            <w:vAlign w:val="center"/>
          </w:tcPr>
          <w:p/>
        </w:tc>
        <w:tc>
          <w:tcPr>
            <w:tcW w:w="1251" w:type="pct"/>
            <w:vMerge w:val="continue"/>
            <w:tcBorders>
              <w:top w:val="nil"/>
              <w:left w:val="single" w:color="auto" w:sz="4" w:space="0"/>
              <w:bottom w:val="single" w:color="auto" w:sz="4" w:space="0"/>
              <w:right w:val="single" w:color="auto" w:sz="4"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9" w:type="pct"/>
            <w:vMerge w:val="continue"/>
            <w:tcBorders>
              <w:top w:val="nil"/>
              <w:left w:val="single" w:color="auto" w:sz="4" w:space="0"/>
              <w:bottom w:val="single" w:color="auto" w:sz="4" w:space="0"/>
              <w:right w:val="single" w:color="auto" w:sz="4" w:space="0"/>
            </w:tcBorders>
            <w:noWrap/>
            <w:vAlign w:val="center"/>
          </w:tcPr>
          <w:p/>
        </w:tc>
        <w:tc>
          <w:tcPr>
            <w:tcW w:w="666" w:type="pct"/>
            <w:tcBorders>
              <w:top w:val="nil"/>
              <w:left w:val="nil"/>
              <w:bottom w:val="nil"/>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产出质量</w:t>
            </w:r>
          </w:p>
        </w:tc>
        <w:tc>
          <w:tcPr>
            <w:tcW w:w="1042" w:type="pct"/>
            <w:tcBorders>
              <w:top w:val="nil"/>
              <w:left w:val="nil"/>
              <w:bottom w:val="nil"/>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质量达标率</w:t>
            </w:r>
          </w:p>
        </w:tc>
        <w:tc>
          <w:tcPr>
            <w:tcW w:w="412" w:type="pct"/>
            <w:tcBorders>
              <w:top w:val="nil"/>
              <w:left w:val="nil"/>
              <w:bottom w:val="nil"/>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10</w:t>
            </w:r>
          </w:p>
        </w:tc>
        <w:tc>
          <w:tcPr>
            <w:tcW w:w="631" w:type="pct"/>
            <w:tcBorders>
              <w:top w:val="nil"/>
              <w:left w:val="nil"/>
              <w:bottom w:val="nil"/>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比率分值法</w:t>
            </w:r>
          </w:p>
        </w:tc>
        <w:tc>
          <w:tcPr>
            <w:tcW w:w="429" w:type="pct"/>
            <w:tcBorders>
              <w:top w:val="nil"/>
              <w:left w:val="nil"/>
              <w:bottom w:val="nil"/>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 xml:space="preserve">10.00 </w:t>
            </w:r>
          </w:p>
        </w:tc>
        <w:tc>
          <w:tcPr>
            <w:tcW w:w="1251" w:type="pct"/>
            <w:tcBorders>
              <w:top w:val="nil"/>
              <w:left w:val="nil"/>
              <w:bottom w:val="nil"/>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69" w:type="pct"/>
            <w:vMerge w:val="continue"/>
            <w:tcBorders>
              <w:top w:val="nil"/>
              <w:left w:val="single" w:color="auto" w:sz="4" w:space="0"/>
              <w:bottom w:val="single" w:color="auto" w:sz="4" w:space="0"/>
              <w:right w:val="single" w:color="auto" w:sz="4" w:space="0"/>
            </w:tcBorders>
            <w:noWrap/>
            <w:vAlign w:val="center"/>
          </w:tcPr>
          <w:p/>
        </w:tc>
        <w:tc>
          <w:tcPr>
            <w:tcW w:w="66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产出时效</w:t>
            </w:r>
          </w:p>
        </w:tc>
        <w:tc>
          <w:tcPr>
            <w:tcW w:w="10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完成及时性</w:t>
            </w:r>
          </w:p>
        </w:tc>
        <w:tc>
          <w:tcPr>
            <w:tcW w:w="41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10</w:t>
            </w:r>
          </w:p>
        </w:tc>
        <w:tc>
          <w:tcPr>
            <w:tcW w:w="63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比率分值法</w:t>
            </w:r>
          </w:p>
        </w:tc>
        <w:tc>
          <w:tcPr>
            <w:tcW w:w="42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 xml:space="preserve">10.00 </w:t>
            </w:r>
          </w:p>
        </w:tc>
        <w:tc>
          <w:tcPr>
            <w:tcW w:w="125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569" w:type="pct"/>
            <w:vMerge w:val="continue"/>
            <w:tcBorders>
              <w:top w:val="nil"/>
              <w:left w:val="single" w:color="auto" w:sz="4" w:space="0"/>
              <w:bottom w:val="single" w:color="auto" w:sz="4" w:space="0"/>
              <w:right w:val="single" w:color="auto" w:sz="4" w:space="0"/>
            </w:tcBorders>
            <w:noWrap/>
            <w:vAlign w:val="center"/>
          </w:tcPr>
          <w:p/>
        </w:tc>
        <w:tc>
          <w:tcPr>
            <w:tcW w:w="666" w:type="pct"/>
            <w:vMerge w:val="continue"/>
            <w:tcBorders>
              <w:top w:val="single" w:color="auto" w:sz="4" w:space="0"/>
              <w:left w:val="single" w:color="auto" w:sz="4" w:space="0"/>
              <w:bottom w:val="single" w:color="auto" w:sz="4" w:space="0"/>
              <w:right w:val="single" w:color="auto" w:sz="4" w:space="0"/>
            </w:tcBorders>
            <w:noWrap/>
            <w:vAlign w:val="center"/>
          </w:tcPr>
          <w:p/>
        </w:tc>
        <w:tc>
          <w:tcPr>
            <w:tcW w:w="1042" w:type="pct"/>
            <w:vMerge w:val="continue"/>
            <w:tcBorders>
              <w:top w:val="single" w:color="auto" w:sz="4" w:space="0"/>
              <w:left w:val="single" w:color="auto" w:sz="4" w:space="0"/>
              <w:bottom w:val="single" w:color="auto" w:sz="4" w:space="0"/>
              <w:right w:val="single" w:color="auto" w:sz="4" w:space="0"/>
            </w:tcBorders>
            <w:noWrap/>
            <w:vAlign w:val="center"/>
          </w:tcPr>
          <w:p/>
        </w:tc>
        <w:tc>
          <w:tcPr>
            <w:tcW w:w="412" w:type="pct"/>
            <w:vMerge w:val="continue"/>
            <w:tcBorders>
              <w:top w:val="single" w:color="auto" w:sz="4" w:space="0"/>
              <w:left w:val="single" w:color="auto" w:sz="4" w:space="0"/>
              <w:bottom w:val="single" w:color="auto" w:sz="4" w:space="0"/>
              <w:right w:val="single" w:color="auto" w:sz="4" w:space="0"/>
            </w:tcBorders>
            <w:noWrap/>
            <w:vAlign w:val="center"/>
          </w:tcPr>
          <w:p/>
        </w:tc>
        <w:tc>
          <w:tcPr>
            <w:tcW w:w="631" w:type="pct"/>
            <w:vMerge w:val="continue"/>
            <w:tcBorders>
              <w:top w:val="single" w:color="auto" w:sz="4" w:space="0"/>
              <w:left w:val="single" w:color="auto" w:sz="4" w:space="0"/>
              <w:bottom w:val="single" w:color="auto" w:sz="4" w:space="0"/>
              <w:right w:val="single" w:color="auto" w:sz="4" w:space="0"/>
            </w:tcBorders>
            <w:noWrap/>
            <w:vAlign w:val="center"/>
          </w:tcPr>
          <w:p/>
        </w:tc>
        <w:tc>
          <w:tcPr>
            <w:tcW w:w="429" w:type="pct"/>
            <w:vMerge w:val="continue"/>
            <w:tcBorders>
              <w:top w:val="single" w:color="auto" w:sz="4" w:space="0"/>
              <w:left w:val="single" w:color="auto" w:sz="4" w:space="0"/>
              <w:bottom w:val="single" w:color="auto" w:sz="4" w:space="0"/>
              <w:right w:val="single" w:color="auto" w:sz="4" w:space="0"/>
            </w:tcBorders>
            <w:noWrap/>
            <w:vAlign w:val="center"/>
          </w:tcPr>
          <w:p/>
        </w:tc>
        <w:tc>
          <w:tcPr>
            <w:tcW w:w="1251" w:type="pct"/>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69" w:type="pct"/>
            <w:vMerge w:val="continue"/>
            <w:tcBorders>
              <w:top w:val="nil"/>
              <w:left w:val="single" w:color="auto" w:sz="4" w:space="0"/>
              <w:bottom w:val="single" w:color="auto" w:sz="4" w:space="0"/>
              <w:right w:val="single" w:color="auto" w:sz="4" w:space="0"/>
            </w:tcBorders>
            <w:noWrap/>
            <w:vAlign w:val="center"/>
          </w:tcPr>
          <w:p/>
        </w:tc>
        <w:tc>
          <w:tcPr>
            <w:tcW w:w="66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产出成本</w:t>
            </w:r>
          </w:p>
        </w:tc>
        <w:tc>
          <w:tcPr>
            <w:tcW w:w="10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成本节约率</w:t>
            </w:r>
          </w:p>
        </w:tc>
        <w:tc>
          <w:tcPr>
            <w:tcW w:w="41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10</w:t>
            </w:r>
          </w:p>
        </w:tc>
        <w:tc>
          <w:tcPr>
            <w:tcW w:w="63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比率分值法</w:t>
            </w:r>
          </w:p>
        </w:tc>
        <w:tc>
          <w:tcPr>
            <w:tcW w:w="42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 xml:space="preserve">10.00 </w:t>
            </w:r>
          </w:p>
        </w:tc>
        <w:tc>
          <w:tcPr>
            <w:tcW w:w="125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69" w:type="pct"/>
            <w:vMerge w:val="continue"/>
            <w:tcBorders>
              <w:top w:val="nil"/>
              <w:left w:val="single" w:color="auto" w:sz="4" w:space="0"/>
              <w:bottom w:val="single" w:color="auto" w:sz="4" w:space="0"/>
              <w:right w:val="single" w:color="auto" w:sz="4" w:space="0"/>
            </w:tcBorders>
            <w:noWrap/>
            <w:vAlign w:val="center"/>
          </w:tcPr>
          <w:p/>
        </w:tc>
        <w:tc>
          <w:tcPr>
            <w:tcW w:w="666" w:type="pct"/>
            <w:vMerge w:val="continue"/>
            <w:tcBorders>
              <w:top w:val="nil"/>
              <w:left w:val="single" w:color="auto" w:sz="4" w:space="0"/>
              <w:bottom w:val="single" w:color="auto" w:sz="4" w:space="0"/>
              <w:right w:val="single" w:color="auto" w:sz="4" w:space="0"/>
            </w:tcBorders>
            <w:noWrap/>
            <w:vAlign w:val="center"/>
          </w:tcPr>
          <w:p/>
        </w:tc>
        <w:tc>
          <w:tcPr>
            <w:tcW w:w="1042" w:type="pct"/>
            <w:vMerge w:val="continue"/>
            <w:tcBorders>
              <w:top w:val="nil"/>
              <w:left w:val="single" w:color="auto" w:sz="4" w:space="0"/>
              <w:bottom w:val="single" w:color="auto" w:sz="4" w:space="0"/>
              <w:right w:val="single" w:color="auto" w:sz="4" w:space="0"/>
            </w:tcBorders>
            <w:noWrap/>
            <w:vAlign w:val="center"/>
          </w:tcPr>
          <w:p/>
        </w:tc>
        <w:tc>
          <w:tcPr>
            <w:tcW w:w="412" w:type="pct"/>
            <w:vMerge w:val="continue"/>
            <w:tcBorders>
              <w:top w:val="nil"/>
              <w:left w:val="single" w:color="auto" w:sz="4" w:space="0"/>
              <w:bottom w:val="single" w:color="auto" w:sz="4" w:space="0"/>
              <w:right w:val="single" w:color="auto" w:sz="4" w:space="0"/>
            </w:tcBorders>
            <w:noWrap/>
            <w:vAlign w:val="center"/>
          </w:tcPr>
          <w:p/>
        </w:tc>
        <w:tc>
          <w:tcPr>
            <w:tcW w:w="631" w:type="pct"/>
            <w:vMerge w:val="continue"/>
            <w:tcBorders>
              <w:top w:val="nil"/>
              <w:left w:val="single" w:color="auto" w:sz="4" w:space="0"/>
              <w:bottom w:val="single" w:color="auto" w:sz="4" w:space="0"/>
              <w:right w:val="single" w:color="auto" w:sz="4" w:space="0"/>
            </w:tcBorders>
            <w:noWrap/>
            <w:vAlign w:val="center"/>
          </w:tcPr>
          <w:p/>
        </w:tc>
        <w:tc>
          <w:tcPr>
            <w:tcW w:w="429" w:type="pct"/>
            <w:vMerge w:val="continue"/>
            <w:tcBorders>
              <w:top w:val="nil"/>
              <w:left w:val="single" w:color="auto" w:sz="4" w:space="0"/>
              <w:bottom w:val="single" w:color="auto" w:sz="4" w:space="0"/>
              <w:right w:val="single" w:color="auto" w:sz="4" w:space="0"/>
            </w:tcBorders>
            <w:noWrap/>
            <w:vAlign w:val="center"/>
          </w:tcPr>
          <w:p/>
        </w:tc>
        <w:tc>
          <w:tcPr>
            <w:tcW w:w="1251" w:type="pct"/>
            <w:vMerge w:val="continue"/>
            <w:tcBorders>
              <w:top w:val="nil"/>
              <w:left w:val="single" w:color="auto" w:sz="4" w:space="0"/>
              <w:bottom w:val="single" w:color="auto" w:sz="4" w:space="0"/>
              <w:right w:val="single" w:color="auto" w:sz="4"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69" w:type="pct"/>
            <w:vMerge w:val="continue"/>
            <w:tcBorders>
              <w:top w:val="nil"/>
              <w:left w:val="single" w:color="auto" w:sz="4" w:space="0"/>
              <w:bottom w:val="single" w:color="auto" w:sz="4" w:space="0"/>
              <w:right w:val="single" w:color="auto" w:sz="4" w:space="0"/>
            </w:tcBorders>
            <w:noWrap/>
            <w:vAlign w:val="center"/>
          </w:tcPr>
          <w:p/>
        </w:tc>
        <w:tc>
          <w:tcPr>
            <w:tcW w:w="666" w:type="pct"/>
            <w:vMerge w:val="continue"/>
            <w:tcBorders>
              <w:top w:val="nil"/>
              <w:left w:val="single" w:color="auto" w:sz="4" w:space="0"/>
              <w:bottom w:val="single" w:color="auto" w:sz="4" w:space="0"/>
              <w:right w:val="single" w:color="auto" w:sz="4" w:space="0"/>
            </w:tcBorders>
            <w:noWrap/>
            <w:vAlign w:val="center"/>
          </w:tcPr>
          <w:p/>
        </w:tc>
        <w:tc>
          <w:tcPr>
            <w:tcW w:w="1042" w:type="pct"/>
            <w:vMerge w:val="continue"/>
            <w:tcBorders>
              <w:top w:val="nil"/>
              <w:left w:val="single" w:color="auto" w:sz="4" w:space="0"/>
              <w:bottom w:val="single" w:color="auto" w:sz="4" w:space="0"/>
              <w:right w:val="single" w:color="auto" w:sz="4" w:space="0"/>
            </w:tcBorders>
            <w:noWrap/>
            <w:vAlign w:val="center"/>
          </w:tcPr>
          <w:p/>
        </w:tc>
        <w:tc>
          <w:tcPr>
            <w:tcW w:w="412" w:type="pct"/>
            <w:vMerge w:val="continue"/>
            <w:tcBorders>
              <w:top w:val="nil"/>
              <w:left w:val="single" w:color="auto" w:sz="4" w:space="0"/>
              <w:bottom w:val="single" w:color="auto" w:sz="4" w:space="0"/>
              <w:right w:val="single" w:color="auto" w:sz="4" w:space="0"/>
            </w:tcBorders>
            <w:noWrap/>
            <w:vAlign w:val="center"/>
          </w:tcPr>
          <w:p/>
        </w:tc>
        <w:tc>
          <w:tcPr>
            <w:tcW w:w="631" w:type="pct"/>
            <w:vMerge w:val="continue"/>
            <w:tcBorders>
              <w:top w:val="nil"/>
              <w:left w:val="single" w:color="auto" w:sz="4" w:space="0"/>
              <w:bottom w:val="single" w:color="auto" w:sz="4" w:space="0"/>
              <w:right w:val="single" w:color="auto" w:sz="4" w:space="0"/>
            </w:tcBorders>
            <w:noWrap/>
            <w:vAlign w:val="center"/>
          </w:tcPr>
          <w:p/>
        </w:tc>
        <w:tc>
          <w:tcPr>
            <w:tcW w:w="429" w:type="pct"/>
            <w:vMerge w:val="continue"/>
            <w:tcBorders>
              <w:top w:val="nil"/>
              <w:left w:val="single" w:color="auto" w:sz="4" w:space="0"/>
              <w:bottom w:val="single" w:color="auto" w:sz="4" w:space="0"/>
              <w:right w:val="single" w:color="auto" w:sz="4" w:space="0"/>
            </w:tcBorders>
            <w:noWrap/>
            <w:vAlign w:val="center"/>
          </w:tcPr>
          <w:p/>
        </w:tc>
        <w:tc>
          <w:tcPr>
            <w:tcW w:w="1251" w:type="pct"/>
            <w:vMerge w:val="continue"/>
            <w:tcBorders>
              <w:top w:val="nil"/>
              <w:left w:val="single" w:color="auto" w:sz="4" w:space="0"/>
              <w:bottom w:val="single" w:color="auto" w:sz="4" w:space="0"/>
              <w:right w:val="single" w:color="auto" w:sz="4"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569" w:type="pct"/>
            <w:vMerge w:val="continue"/>
            <w:tcBorders>
              <w:top w:val="nil"/>
              <w:left w:val="single" w:color="auto" w:sz="4" w:space="0"/>
              <w:bottom w:val="single" w:color="auto" w:sz="4" w:space="0"/>
              <w:right w:val="single" w:color="auto" w:sz="4" w:space="0"/>
            </w:tcBorders>
            <w:noWrap/>
            <w:vAlign w:val="center"/>
          </w:tcPr>
          <w:p/>
        </w:tc>
        <w:tc>
          <w:tcPr>
            <w:tcW w:w="666" w:type="pct"/>
            <w:vMerge w:val="continue"/>
            <w:tcBorders>
              <w:top w:val="nil"/>
              <w:left w:val="single" w:color="auto" w:sz="4" w:space="0"/>
              <w:bottom w:val="single" w:color="auto" w:sz="4" w:space="0"/>
              <w:right w:val="single" w:color="auto" w:sz="4" w:space="0"/>
            </w:tcBorders>
            <w:noWrap/>
            <w:vAlign w:val="center"/>
          </w:tcPr>
          <w:p/>
        </w:tc>
        <w:tc>
          <w:tcPr>
            <w:tcW w:w="1042" w:type="pct"/>
            <w:vMerge w:val="continue"/>
            <w:tcBorders>
              <w:top w:val="nil"/>
              <w:left w:val="single" w:color="auto" w:sz="4" w:space="0"/>
              <w:bottom w:val="single" w:color="auto" w:sz="4" w:space="0"/>
              <w:right w:val="single" w:color="auto" w:sz="4" w:space="0"/>
            </w:tcBorders>
            <w:noWrap/>
            <w:vAlign w:val="center"/>
          </w:tcPr>
          <w:p/>
        </w:tc>
        <w:tc>
          <w:tcPr>
            <w:tcW w:w="412" w:type="pct"/>
            <w:vMerge w:val="continue"/>
            <w:tcBorders>
              <w:top w:val="nil"/>
              <w:left w:val="single" w:color="auto" w:sz="4" w:space="0"/>
              <w:bottom w:val="single" w:color="auto" w:sz="4" w:space="0"/>
              <w:right w:val="single" w:color="auto" w:sz="4" w:space="0"/>
            </w:tcBorders>
            <w:noWrap/>
            <w:vAlign w:val="center"/>
          </w:tcPr>
          <w:p/>
        </w:tc>
        <w:tc>
          <w:tcPr>
            <w:tcW w:w="631" w:type="pct"/>
            <w:vMerge w:val="continue"/>
            <w:tcBorders>
              <w:top w:val="nil"/>
              <w:left w:val="single" w:color="auto" w:sz="4" w:space="0"/>
              <w:bottom w:val="single" w:color="auto" w:sz="4" w:space="0"/>
              <w:right w:val="single" w:color="auto" w:sz="4" w:space="0"/>
            </w:tcBorders>
            <w:noWrap/>
            <w:vAlign w:val="center"/>
          </w:tcPr>
          <w:p/>
        </w:tc>
        <w:tc>
          <w:tcPr>
            <w:tcW w:w="429" w:type="pct"/>
            <w:vMerge w:val="continue"/>
            <w:tcBorders>
              <w:top w:val="nil"/>
              <w:left w:val="single" w:color="auto" w:sz="4" w:space="0"/>
              <w:bottom w:val="single" w:color="auto" w:sz="4" w:space="0"/>
              <w:right w:val="single" w:color="auto" w:sz="4" w:space="0"/>
            </w:tcBorders>
            <w:noWrap/>
            <w:vAlign w:val="center"/>
          </w:tcPr>
          <w:p/>
        </w:tc>
        <w:tc>
          <w:tcPr>
            <w:tcW w:w="1251" w:type="pct"/>
            <w:vMerge w:val="continue"/>
            <w:tcBorders>
              <w:top w:val="nil"/>
              <w:left w:val="single" w:color="auto" w:sz="4" w:space="0"/>
              <w:bottom w:val="single" w:color="auto" w:sz="4" w:space="0"/>
              <w:right w:val="single" w:color="auto" w:sz="4"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 w:hRule="atLeast"/>
        </w:trPr>
        <w:tc>
          <w:tcPr>
            <w:tcW w:w="5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项目效益（30分）</w:t>
            </w:r>
          </w:p>
        </w:tc>
        <w:tc>
          <w:tcPr>
            <w:tcW w:w="666"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项目效益</w:t>
            </w:r>
          </w:p>
        </w:tc>
        <w:tc>
          <w:tcPr>
            <w:tcW w:w="104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学校服务社会能力</w:t>
            </w:r>
          </w:p>
        </w:tc>
        <w:tc>
          <w:tcPr>
            <w:tcW w:w="41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7</w:t>
            </w:r>
            <w:r>
              <w:rPr>
                <w:rFonts w:ascii="仿宋_GB2312" w:hAnsi="仿宋_GB2312" w:cs="宋体"/>
                <w:color w:val="000000"/>
                <w:kern w:val="0"/>
                <w:sz w:val="24"/>
                <w:szCs w:val="24"/>
              </w:rPr>
              <w:t>.5</w:t>
            </w:r>
          </w:p>
        </w:tc>
        <w:tc>
          <w:tcPr>
            <w:tcW w:w="63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kern w:val="0"/>
                <w:sz w:val="24"/>
                <w:szCs w:val="24"/>
              </w:rPr>
            </w:pPr>
            <w:r>
              <w:rPr>
                <w:rFonts w:hint="eastAsia" w:ascii="仿宋_GB2312" w:hAnsi="仿宋_GB2312" w:cs="宋体"/>
                <w:kern w:val="0"/>
                <w:sz w:val="24"/>
                <w:szCs w:val="24"/>
              </w:rPr>
              <w:t>分级评分法</w:t>
            </w:r>
          </w:p>
        </w:tc>
        <w:tc>
          <w:tcPr>
            <w:tcW w:w="429"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_GB2312" w:hAnsi="仿宋_GB2312" w:cs="宋体"/>
                <w:color w:val="000000"/>
                <w:kern w:val="0"/>
                <w:sz w:val="24"/>
                <w:szCs w:val="24"/>
              </w:rPr>
            </w:pPr>
            <w:r>
              <w:rPr>
                <w:rFonts w:ascii="仿宋_GB2312" w:hAnsi="仿宋_GB2312" w:cs="宋体"/>
                <w:color w:val="000000"/>
                <w:kern w:val="0"/>
                <w:sz w:val="24"/>
                <w:szCs w:val="24"/>
              </w:rPr>
              <w:t>6.00</w:t>
            </w:r>
            <w:r>
              <w:rPr>
                <w:rFonts w:hint="eastAsia" w:ascii="仿宋_GB2312" w:hAnsi="仿宋_GB2312" w:cs="宋体"/>
                <w:color w:val="000000"/>
                <w:kern w:val="0"/>
                <w:sz w:val="24"/>
                <w:szCs w:val="24"/>
              </w:rPr>
              <w:t xml:space="preserve"> </w:t>
            </w:r>
          </w:p>
        </w:tc>
        <w:tc>
          <w:tcPr>
            <w:tcW w:w="125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仿宋_GB2312" w:cs="宋体"/>
                <w:color w:val="000000"/>
                <w:kern w:val="0"/>
                <w:sz w:val="24"/>
                <w:szCs w:val="24"/>
              </w:rPr>
            </w:pPr>
            <w:r>
              <w:rPr>
                <w:rFonts w:hint="eastAsia" w:ascii="仿宋_GB2312" w:hAnsi="仿宋_GB2312" w:cs="宋体"/>
                <w:color w:val="000000"/>
                <w:kern w:val="0"/>
                <w:sz w:val="24"/>
                <w:szCs w:val="24"/>
              </w:rPr>
              <w:t>项目效果基本达</w:t>
            </w:r>
          </w:p>
          <w:p>
            <w:pPr>
              <w:widowControl/>
              <w:adjustRightInd w:val="0"/>
              <w:snapToGrid w:val="0"/>
              <w:jc w:val="left"/>
              <w:rPr>
                <w:rFonts w:ascii="仿宋_GB2312" w:hAnsi="仿宋_GB2312" w:cs="宋体"/>
                <w:color w:val="000000"/>
                <w:kern w:val="0"/>
                <w:sz w:val="24"/>
                <w:szCs w:val="24"/>
              </w:rPr>
            </w:pPr>
            <w:r>
              <w:rPr>
                <w:rFonts w:hint="eastAsia" w:ascii="仿宋_GB2312" w:hAnsi="仿宋_GB2312" w:cs="宋体"/>
                <w:color w:val="000000"/>
                <w:kern w:val="0"/>
                <w:sz w:val="24"/>
                <w:szCs w:val="24"/>
              </w:rPr>
              <w:t>到预期目标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69" w:type="pct"/>
            <w:vMerge w:val="continue"/>
            <w:tcBorders>
              <w:top w:val="nil"/>
              <w:left w:val="single" w:color="auto" w:sz="4" w:space="0"/>
              <w:bottom w:val="single" w:color="000000" w:sz="4" w:space="0"/>
              <w:right w:val="single" w:color="auto" w:sz="4" w:space="0"/>
            </w:tcBorders>
            <w:noWrap/>
            <w:vAlign w:val="center"/>
          </w:tcPr>
          <w:p/>
        </w:tc>
        <w:tc>
          <w:tcPr>
            <w:tcW w:w="666" w:type="pct"/>
            <w:vMerge w:val="continue"/>
            <w:tcBorders>
              <w:top w:val="nil"/>
              <w:left w:val="single" w:color="auto" w:sz="4" w:space="0"/>
              <w:bottom w:val="single" w:color="000000" w:sz="4" w:space="0"/>
              <w:right w:val="single" w:color="auto" w:sz="4" w:space="0"/>
            </w:tcBorders>
            <w:noWrap/>
            <w:vAlign w:val="center"/>
          </w:tcPr>
          <w:p/>
        </w:tc>
        <w:tc>
          <w:tcPr>
            <w:tcW w:w="104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学院基本办学条件</w:t>
            </w:r>
          </w:p>
        </w:tc>
        <w:tc>
          <w:tcPr>
            <w:tcW w:w="41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7</w:t>
            </w:r>
            <w:r>
              <w:rPr>
                <w:rFonts w:ascii="仿宋_GB2312" w:hAnsi="仿宋_GB2312" w:cs="宋体"/>
                <w:color w:val="000000"/>
                <w:kern w:val="0"/>
                <w:sz w:val="24"/>
                <w:szCs w:val="24"/>
              </w:rPr>
              <w:t>.5</w:t>
            </w:r>
          </w:p>
        </w:tc>
        <w:tc>
          <w:tcPr>
            <w:tcW w:w="63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kern w:val="0"/>
                <w:sz w:val="24"/>
                <w:szCs w:val="24"/>
              </w:rPr>
            </w:pPr>
            <w:r>
              <w:rPr>
                <w:rFonts w:hint="eastAsia" w:ascii="仿宋_GB2312" w:hAnsi="仿宋_GB2312" w:cs="宋体"/>
                <w:kern w:val="0"/>
                <w:sz w:val="24"/>
                <w:szCs w:val="24"/>
              </w:rPr>
              <w:t>分级评分法</w:t>
            </w:r>
          </w:p>
        </w:tc>
        <w:tc>
          <w:tcPr>
            <w:tcW w:w="429"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_GB2312" w:hAnsi="仿宋_GB2312" w:cs="宋体"/>
                <w:color w:val="000000"/>
                <w:kern w:val="0"/>
                <w:sz w:val="24"/>
                <w:szCs w:val="24"/>
              </w:rPr>
            </w:pPr>
            <w:r>
              <w:rPr>
                <w:rFonts w:ascii="仿宋_GB2312" w:hAnsi="仿宋_GB2312" w:cs="宋体"/>
                <w:color w:val="000000"/>
                <w:kern w:val="0"/>
                <w:sz w:val="24"/>
                <w:szCs w:val="24"/>
              </w:rPr>
              <w:t>6.00</w:t>
            </w:r>
          </w:p>
        </w:tc>
        <w:tc>
          <w:tcPr>
            <w:tcW w:w="125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仿宋_GB2312" w:cs="宋体"/>
                <w:color w:val="000000"/>
                <w:kern w:val="0"/>
                <w:sz w:val="24"/>
                <w:szCs w:val="24"/>
              </w:rPr>
            </w:pPr>
            <w:r>
              <w:rPr>
                <w:rFonts w:hint="eastAsia" w:ascii="仿宋_GB2312" w:hAnsi="仿宋_GB2312" w:cs="宋体"/>
                <w:color w:val="000000"/>
                <w:kern w:val="0"/>
                <w:sz w:val="24"/>
                <w:szCs w:val="24"/>
              </w:rPr>
              <w:t>项目效果基本达</w:t>
            </w:r>
          </w:p>
          <w:p>
            <w:pPr>
              <w:widowControl/>
              <w:adjustRightInd w:val="0"/>
              <w:snapToGrid w:val="0"/>
              <w:jc w:val="left"/>
              <w:rPr>
                <w:rFonts w:ascii="仿宋_GB2312" w:hAnsi="仿宋_GB2312" w:cs="宋体"/>
                <w:color w:val="000000"/>
                <w:kern w:val="0"/>
                <w:sz w:val="24"/>
                <w:szCs w:val="24"/>
              </w:rPr>
            </w:pPr>
            <w:r>
              <w:rPr>
                <w:rFonts w:hint="eastAsia" w:ascii="仿宋_GB2312" w:hAnsi="仿宋_GB2312" w:cs="宋体"/>
                <w:color w:val="000000"/>
                <w:kern w:val="0"/>
                <w:sz w:val="24"/>
                <w:szCs w:val="24"/>
              </w:rPr>
              <w:t>到预期目标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569" w:type="pct"/>
            <w:vMerge w:val="continue"/>
            <w:tcBorders>
              <w:top w:val="nil"/>
              <w:left w:val="single" w:color="auto" w:sz="4" w:space="0"/>
              <w:bottom w:val="single" w:color="000000" w:sz="4" w:space="0"/>
              <w:right w:val="single" w:color="auto" w:sz="4" w:space="0"/>
            </w:tcBorders>
            <w:noWrap/>
            <w:vAlign w:val="center"/>
          </w:tcPr>
          <w:p/>
        </w:tc>
        <w:tc>
          <w:tcPr>
            <w:tcW w:w="666" w:type="pct"/>
            <w:vMerge w:val="continue"/>
            <w:tcBorders>
              <w:top w:val="nil"/>
              <w:left w:val="single" w:color="auto" w:sz="4" w:space="0"/>
              <w:bottom w:val="single" w:color="000000" w:sz="4" w:space="0"/>
              <w:right w:val="single" w:color="auto" w:sz="4" w:space="0"/>
            </w:tcBorders>
            <w:noWrap/>
            <w:vAlign w:val="center"/>
          </w:tcPr>
          <w:p/>
        </w:tc>
        <w:tc>
          <w:tcPr>
            <w:tcW w:w="104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标准化考场使用年限</w:t>
            </w:r>
          </w:p>
        </w:tc>
        <w:tc>
          <w:tcPr>
            <w:tcW w:w="41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ascii="仿宋_GB2312" w:hAnsi="仿宋_GB2312" w:cs="宋体"/>
                <w:color w:val="000000"/>
                <w:kern w:val="0"/>
                <w:sz w:val="24"/>
                <w:szCs w:val="24"/>
              </w:rPr>
              <w:t>7.5</w:t>
            </w:r>
          </w:p>
        </w:tc>
        <w:tc>
          <w:tcPr>
            <w:tcW w:w="63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kern w:val="0"/>
                <w:sz w:val="24"/>
                <w:szCs w:val="24"/>
              </w:rPr>
            </w:pPr>
            <w:r>
              <w:rPr>
                <w:rFonts w:hint="eastAsia" w:ascii="仿宋_GB2312" w:hAnsi="仿宋_GB2312" w:cs="宋体"/>
                <w:kern w:val="0"/>
                <w:sz w:val="24"/>
                <w:szCs w:val="24"/>
              </w:rPr>
              <w:t>是否评分法</w:t>
            </w:r>
          </w:p>
        </w:tc>
        <w:tc>
          <w:tcPr>
            <w:tcW w:w="429"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_GB2312" w:hAnsi="仿宋_GB2312" w:cs="宋体"/>
                <w:color w:val="000000"/>
                <w:kern w:val="0"/>
                <w:sz w:val="24"/>
                <w:szCs w:val="24"/>
              </w:rPr>
            </w:pPr>
            <w:r>
              <w:rPr>
                <w:rFonts w:ascii="仿宋_GB2312" w:hAnsi="仿宋_GB2312" w:cs="宋体"/>
                <w:color w:val="000000"/>
                <w:kern w:val="0"/>
                <w:sz w:val="24"/>
                <w:szCs w:val="24"/>
              </w:rPr>
              <w:t>7.50</w:t>
            </w:r>
            <w:r>
              <w:rPr>
                <w:rFonts w:hint="eastAsia" w:ascii="仿宋_GB2312" w:hAnsi="仿宋_GB2312" w:cs="宋体"/>
                <w:color w:val="000000"/>
                <w:kern w:val="0"/>
                <w:sz w:val="24"/>
                <w:szCs w:val="24"/>
              </w:rPr>
              <w:t xml:space="preserve"> </w:t>
            </w:r>
          </w:p>
        </w:tc>
        <w:tc>
          <w:tcPr>
            <w:tcW w:w="125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 w:hRule="atLeast"/>
        </w:trPr>
        <w:tc>
          <w:tcPr>
            <w:tcW w:w="569" w:type="pct"/>
            <w:vMerge w:val="continue"/>
            <w:tcBorders>
              <w:top w:val="nil"/>
              <w:left w:val="single" w:color="auto" w:sz="4" w:space="0"/>
              <w:bottom w:val="single" w:color="000000" w:sz="4" w:space="0"/>
              <w:right w:val="single" w:color="auto" w:sz="4" w:space="0"/>
            </w:tcBorders>
            <w:noWrap/>
            <w:vAlign w:val="center"/>
          </w:tcPr>
          <w:p/>
        </w:tc>
        <w:tc>
          <w:tcPr>
            <w:tcW w:w="666" w:type="pct"/>
            <w:vMerge w:val="continue"/>
            <w:tcBorders>
              <w:top w:val="nil"/>
              <w:left w:val="single" w:color="auto" w:sz="4" w:space="0"/>
              <w:bottom w:val="single" w:color="000000" w:sz="4" w:space="0"/>
              <w:right w:val="single" w:color="auto" w:sz="4" w:space="0"/>
            </w:tcBorders>
            <w:noWrap/>
            <w:vAlign w:val="center"/>
          </w:tcPr>
          <w:p/>
        </w:tc>
        <w:tc>
          <w:tcPr>
            <w:tcW w:w="104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师生满意度</w:t>
            </w:r>
          </w:p>
        </w:tc>
        <w:tc>
          <w:tcPr>
            <w:tcW w:w="41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ascii="仿宋_GB2312" w:hAnsi="仿宋_GB2312" w:cs="宋体"/>
                <w:color w:val="000000"/>
                <w:kern w:val="0"/>
                <w:sz w:val="24"/>
                <w:szCs w:val="24"/>
              </w:rPr>
              <w:t>7.5</w:t>
            </w:r>
          </w:p>
        </w:tc>
        <w:tc>
          <w:tcPr>
            <w:tcW w:w="63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color w:val="000000"/>
                <w:kern w:val="0"/>
                <w:sz w:val="24"/>
                <w:szCs w:val="24"/>
              </w:rPr>
            </w:pPr>
            <w:r>
              <w:rPr>
                <w:rFonts w:hint="eastAsia" w:ascii="仿宋_GB2312" w:hAnsi="仿宋_GB2312" w:cs="宋体"/>
                <w:color w:val="000000"/>
                <w:kern w:val="0"/>
                <w:sz w:val="24"/>
                <w:szCs w:val="24"/>
              </w:rPr>
              <w:t>满意值赋分法</w:t>
            </w:r>
          </w:p>
        </w:tc>
        <w:tc>
          <w:tcPr>
            <w:tcW w:w="429"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_GB2312" w:hAnsi="仿宋_GB2312" w:cs="宋体"/>
                <w:color w:val="000000"/>
                <w:kern w:val="0"/>
                <w:sz w:val="24"/>
                <w:szCs w:val="24"/>
              </w:rPr>
            </w:pPr>
            <w:r>
              <w:rPr>
                <w:rFonts w:ascii="仿宋_GB2312" w:hAnsi="仿宋_GB2312" w:cs="宋体"/>
                <w:color w:val="000000"/>
                <w:kern w:val="0"/>
                <w:sz w:val="24"/>
                <w:szCs w:val="24"/>
              </w:rPr>
              <w:t>6.96</w:t>
            </w:r>
            <w:r>
              <w:rPr>
                <w:rFonts w:hint="eastAsia" w:ascii="仿宋_GB2312" w:hAnsi="仿宋_GB2312" w:cs="宋体"/>
                <w:color w:val="000000"/>
                <w:kern w:val="0"/>
                <w:sz w:val="24"/>
                <w:szCs w:val="24"/>
              </w:rPr>
              <w:t xml:space="preserve"> </w:t>
            </w:r>
          </w:p>
        </w:tc>
        <w:tc>
          <w:tcPr>
            <w:tcW w:w="125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仿宋_GB2312" w:cs="宋体"/>
                <w:color w:val="000000"/>
                <w:kern w:val="0"/>
                <w:sz w:val="24"/>
                <w:szCs w:val="24"/>
              </w:rPr>
            </w:pPr>
            <w:r>
              <w:rPr>
                <w:rFonts w:hint="eastAsia" w:ascii="仿宋_GB2312" w:hAnsi="仿宋_GB2312" w:cs="宋体"/>
                <w:color w:val="000000"/>
                <w:kern w:val="0"/>
                <w:sz w:val="24"/>
                <w:szCs w:val="24"/>
              </w:rPr>
              <w:t>毕业生满意度为92.78%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2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b/>
                <w:color w:val="000000"/>
                <w:kern w:val="0"/>
                <w:sz w:val="24"/>
                <w:szCs w:val="24"/>
              </w:rPr>
            </w:pPr>
            <w:r>
              <w:rPr>
                <w:rFonts w:hint="eastAsia" w:ascii="仿宋_GB2312" w:hAnsi="仿宋_GB2312" w:cs="宋体"/>
                <w:b/>
                <w:color w:val="000000"/>
                <w:kern w:val="0"/>
                <w:sz w:val="24"/>
                <w:szCs w:val="24"/>
              </w:rPr>
              <w:t>合计</w:t>
            </w:r>
          </w:p>
        </w:tc>
        <w:tc>
          <w:tcPr>
            <w:tcW w:w="41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仿宋_GB2312" w:cs="宋体"/>
                <w:b/>
                <w:color w:val="000000"/>
                <w:kern w:val="0"/>
                <w:sz w:val="24"/>
                <w:szCs w:val="24"/>
              </w:rPr>
            </w:pPr>
            <w:r>
              <w:rPr>
                <w:rFonts w:hint="eastAsia" w:ascii="仿宋_GB2312" w:hAnsi="仿宋_GB2312" w:cs="宋体"/>
                <w:b/>
                <w:color w:val="000000"/>
                <w:kern w:val="0"/>
                <w:sz w:val="24"/>
                <w:szCs w:val="24"/>
              </w:rPr>
              <w:t>100</w:t>
            </w:r>
          </w:p>
        </w:tc>
        <w:tc>
          <w:tcPr>
            <w:tcW w:w="63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仿宋_GB2312" w:cs="宋体"/>
                <w:b/>
                <w:color w:val="000000"/>
                <w:kern w:val="0"/>
                <w:sz w:val="24"/>
                <w:szCs w:val="24"/>
              </w:rPr>
            </w:pPr>
          </w:p>
        </w:tc>
        <w:tc>
          <w:tcPr>
            <w:tcW w:w="429"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仿宋_GB2312" w:hAnsi="仿宋_GB2312" w:cs="宋体"/>
                <w:b/>
                <w:color w:val="000000"/>
                <w:kern w:val="0"/>
                <w:sz w:val="24"/>
                <w:szCs w:val="24"/>
              </w:rPr>
            </w:pPr>
            <w:r>
              <w:rPr>
                <w:rFonts w:hint="eastAsia" w:ascii="仿宋_GB2312" w:hAnsi="仿宋_GB2312" w:cs="宋体"/>
                <w:b/>
                <w:color w:val="000000"/>
                <w:kern w:val="0"/>
                <w:sz w:val="24"/>
                <w:szCs w:val="24"/>
              </w:rPr>
              <w:t>9</w:t>
            </w:r>
            <w:r>
              <w:rPr>
                <w:rFonts w:ascii="仿宋_GB2312" w:hAnsi="仿宋_GB2312" w:cs="宋体"/>
                <w:b/>
                <w:color w:val="000000"/>
                <w:kern w:val="0"/>
                <w:sz w:val="24"/>
                <w:szCs w:val="24"/>
              </w:rPr>
              <w:t>5</w:t>
            </w:r>
            <w:r>
              <w:rPr>
                <w:rFonts w:hint="eastAsia" w:ascii="仿宋_GB2312" w:hAnsi="仿宋_GB2312" w:cs="宋体"/>
                <w:b/>
                <w:color w:val="000000"/>
                <w:kern w:val="0"/>
                <w:sz w:val="24"/>
                <w:szCs w:val="24"/>
              </w:rPr>
              <w:t>.</w:t>
            </w:r>
            <w:r>
              <w:rPr>
                <w:rFonts w:ascii="仿宋_GB2312" w:hAnsi="仿宋_GB2312" w:cs="宋体"/>
                <w:b/>
                <w:color w:val="000000"/>
                <w:kern w:val="0"/>
                <w:sz w:val="24"/>
                <w:szCs w:val="24"/>
              </w:rPr>
              <w:t>25</w:t>
            </w:r>
            <w:r>
              <w:rPr>
                <w:rFonts w:hint="eastAsia" w:ascii="仿宋_GB2312" w:hAnsi="仿宋_GB2312" w:cs="宋体"/>
                <w:b/>
                <w:color w:val="000000"/>
                <w:kern w:val="0"/>
                <w:sz w:val="24"/>
                <w:szCs w:val="24"/>
              </w:rPr>
              <w:t xml:space="preserve"> </w:t>
            </w:r>
          </w:p>
        </w:tc>
        <w:tc>
          <w:tcPr>
            <w:tcW w:w="125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仿宋_GB2312" w:cs="宋体"/>
                <w:color w:val="000000"/>
                <w:kern w:val="0"/>
                <w:sz w:val="24"/>
                <w:szCs w:val="24"/>
              </w:rPr>
            </w:pPr>
          </w:p>
        </w:tc>
      </w:tr>
    </w:tbl>
    <w:p>
      <w:pPr>
        <w:snapToGrid w:val="0"/>
        <w:spacing w:line="600" w:lineRule="exact"/>
        <w:ind w:firstLine="640" w:firstLineChars="200"/>
        <w:rPr>
          <w:rFonts w:hint="eastAsia" w:ascii="仿宋_GB2312" w:eastAsia="仿宋_GB2312" w:cs="仿宋_GB2312"/>
          <w:bCs/>
          <w:sz w:val="32"/>
          <w:szCs w:val="32"/>
        </w:rPr>
      </w:pPr>
      <w:r>
        <w:rPr>
          <w:rFonts w:hint="eastAsia" w:ascii="仿宋_GB2312" w:eastAsia="仿宋_GB2312" w:cs="仿宋_GB2312"/>
          <w:bCs/>
          <w:sz w:val="32"/>
          <w:szCs w:val="32"/>
        </w:rPr>
        <w:t>四、绩效评价分析</w:t>
      </w:r>
    </w:p>
    <w:p>
      <w:pPr>
        <w:snapToGrid w:val="0"/>
        <w:spacing w:line="600" w:lineRule="exact"/>
        <w:ind w:firstLine="643" w:firstLineChars="200"/>
        <w:rPr>
          <w:rFonts w:hint="eastAsia" w:ascii="仿宋_GB2312" w:eastAsia="仿宋_GB2312" w:cs="仿宋_GB2312"/>
          <w:b/>
          <w:sz w:val="32"/>
          <w:szCs w:val="32"/>
        </w:rPr>
      </w:pPr>
      <w:r>
        <w:rPr>
          <w:rFonts w:hint="eastAsia" w:ascii="仿宋_GB2312" w:eastAsia="仿宋_GB2312" w:cs="仿宋_GB2312"/>
          <w:b/>
          <w:sz w:val="32"/>
          <w:szCs w:val="32"/>
        </w:rPr>
        <w:t>（一）项目决策情况</w:t>
      </w:r>
    </w:p>
    <w:p>
      <w:pPr>
        <w:snapToGrid w:val="0"/>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1.项目立项</w:t>
      </w:r>
    </w:p>
    <w:p>
      <w:pPr>
        <w:tabs>
          <w:tab w:val="left" w:pos="3885"/>
        </w:tabs>
        <w:snapToGrid w:val="0"/>
        <w:spacing w:line="600" w:lineRule="exact"/>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项目根据《中共四川省委、四川省人民政府关于印发&lt;四川省中长期教育改革和发展规划纲要（2010—2020年）&gt;的通知》(川委发〔2010〕18号)《四川省教育厅关于实施四川省优质高等职业院校建设计划的通知》（川教函〔2017〕418号）文件进行立项。</w:t>
      </w:r>
    </w:p>
    <w:p>
      <w:pPr>
        <w:snapToGrid w:val="0"/>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2.绩效目标</w:t>
      </w:r>
    </w:p>
    <w:p>
      <w:pPr>
        <w:tabs>
          <w:tab w:val="left" w:pos="3885"/>
        </w:tabs>
        <w:snapToGrid w:val="0"/>
        <w:spacing w:line="600" w:lineRule="exact"/>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学院按照《四川省省级项目支出绩效管理办法》申报并编制2020年度省级部门预算项目绩效目标表，项目绩效目标设置的政策依据充分、目标合理、明确，与项目预期目标相关。</w:t>
      </w:r>
    </w:p>
    <w:p>
      <w:pPr>
        <w:snapToGrid w:val="0"/>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3.资金投入</w:t>
      </w:r>
    </w:p>
    <w:p>
      <w:pPr>
        <w:tabs>
          <w:tab w:val="left" w:pos="3885"/>
        </w:tabs>
        <w:snapToGrid w:val="0"/>
        <w:spacing w:line="600" w:lineRule="exact"/>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2020年度学院“教学科研及教辅经费”项目预算编制内容与项目内容匹配，预算确定的项目资金量与工作任务相匹配。</w:t>
      </w:r>
    </w:p>
    <w:p>
      <w:pPr>
        <w:snapToGrid w:val="0"/>
        <w:spacing w:line="600" w:lineRule="exact"/>
        <w:ind w:firstLine="643" w:firstLineChars="200"/>
        <w:rPr>
          <w:rFonts w:hint="eastAsia" w:ascii="仿宋_GB2312" w:eastAsia="仿宋_GB2312" w:cs="仿宋_GB2312"/>
          <w:b/>
          <w:sz w:val="32"/>
          <w:szCs w:val="32"/>
        </w:rPr>
      </w:pPr>
      <w:r>
        <w:rPr>
          <w:rFonts w:hint="eastAsia" w:ascii="仿宋_GB2312" w:eastAsia="仿宋_GB2312" w:cs="仿宋_GB2312"/>
          <w:b/>
          <w:sz w:val="32"/>
          <w:szCs w:val="32"/>
        </w:rPr>
        <w:t>（二）项目管理情况</w:t>
      </w:r>
    </w:p>
    <w:p>
      <w:pPr>
        <w:snapToGrid w:val="0"/>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1.资金管理</w:t>
      </w:r>
    </w:p>
    <w:p>
      <w:pPr>
        <w:snapToGrid w:val="0"/>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（1）资金到位率</w:t>
      </w:r>
    </w:p>
    <w:p>
      <w:pPr>
        <w:tabs>
          <w:tab w:val="left" w:pos="3885"/>
        </w:tabs>
        <w:snapToGrid w:val="0"/>
        <w:spacing w:line="600" w:lineRule="exact"/>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教学科研及教辅经费项目上年结转61.19万元，2020年预算数2,729.92万元，其中，财政补助拨款1,206.12万元，其他资金1,523.80万元，资金到位率100%。</w:t>
      </w:r>
    </w:p>
    <w:p>
      <w:pPr>
        <w:snapToGrid w:val="0"/>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（2）预算执行率</w:t>
      </w:r>
    </w:p>
    <w:p>
      <w:pPr>
        <w:tabs>
          <w:tab w:val="left" w:pos="3885"/>
        </w:tabs>
        <w:snapToGrid w:val="0"/>
        <w:spacing w:line="600" w:lineRule="exact"/>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2020年度项目实际到位资2,791.11万元，实际支出2,133.29万元，预算执行率为76.43%。</w:t>
      </w:r>
    </w:p>
    <w:p>
      <w:pPr>
        <w:snapToGrid w:val="0"/>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（3）资金使用合规性</w:t>
      </w:r>
    </w:p>
    <w:p>
      <w:pPr>
        <w:tabs>
          <w:tab w:val="left" w:pos="3885"/>
        </w:tabs>
        <w:snapToGrid w:val="0"/>
        <w:spacing w:line="600" w:lineRule="exact"/>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项目相关的资金管理办法主要有：《财务管理制度》（川文产办〔2013〕37号）、《四川文化产业职业学院预算管理办法》《四川文化产业职业学院招标采购管理系列制度》等，涵盖项目资金收支、预算、采购等管理措施，基本明确了项目资金使用管理、财务监管、责任主体等，制度健全、规范、有效。资金使用中履行了规范的审批流程，资金拨付有完整的审批程序且资金使用符合项目预算批复，不存在截留、挤占、挪用、虚列支出等情况。</w:t>
      </w:r>
    </w:p>
    <w:p>
      <w:pPr>
        <w:snapToGrid w:val="0"/>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2.组织实施</w:t>
      </w:r>
    </w:p>
    <w:p>
      <w:pPr>
        <w:tabs>
          <w:tab w:val="left" w:pos="3885"/>
        </w:tabs>
        <w:snapToGrid w:val="0"/>
        <w:spacing w:line="600" w:lineRule="exact"/>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2020年度项目按照《财务管理制度》（川文产办〔2013〕37号）、《四川省干部函授学院 四川文化 产业职业学院项目管理暂行办法》《四川省干部函授学院 四川文化产业职业学院采购项目履约验收管理办法(试行）》《四川省干部函授学院 四川文化产业职业学院办公设备及家具配置管理办法（试行）》对项目的资金使用、过程监管、责任落实做出了相应规定。执行中，项目责任部门以职设岗、明确责任边界、完善人员分工及协调机制，保障了项目管理制度的有效执行。</w:t>
      </w:r>
    </w:p>
    <w:p>
      <w:pPr>
        <w:snapToGrid w:val="0"/>
        <w:spacing w:line="600" w:lineRule="exact"/>
        <w:ind w:firstLine="643" w:firstLineChars="200"/>
        <w:rPr>
          <w:rFonts w:hint="eastAsia" w:ascii="仿宋_GB2312" w:eastAsia="仿宋_GB2312" w:cs="仿宋_GB2312"/>
          <w:b/>
          <w:sz w:val="32"/>
          <w:szCs w:val="32"/>
        </w:rPr>
      </w:pPr>
      <w:r>
        <w:rPr>
          <w:rFonts w:hint="eastAsia" w:ascii="仿宋_GB2312" w:eastAsia="仿宋_GB2312" w:cs="仿宋_GB2312"/>
          <w:b/>
          <w:sz w:val="32"/>
          <w:szCs w:val="32"/>
        </w:rPr>
        <w:t>（三）项目产出情况</w:t>
      </w:r>
    </w:p>
    <w:p>
      <w:pPr>
        <w:tabs>
          <w:tab w:val="left" w:pos="3885"/>
        </w:tabs>
        <w:snapToGrid w:val="0"/>
        <w:spacing w:line="600" w:lineRule="exact"/>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截止2020年年底，项目实际完成成本2,133.29万元，预算完成成本为2,729.92元。项目全年增购纸质图书17745册、采购电子资源16种、开展科研项目研究26个、完成科研项目结题15个、在线开放课程制作16个、考试服务器扩容3台，均达到了预期绩效目标。</w:t>
      </w:r>
    </w:p>
    <w:p>
      <w:pPr>
        <w:snapToGrid w:val="0"/>
        <w:spacing w:line="600" w:lineRule="exact"/>
        <w:ind w:firstLine="643" w:firstLineChars="200"/>
        <w:rPr>
          <w:rFonts w:hint="eastAsia" w:ascii="仿宋_GB2312" w:eastAsia="仿宋_GB2312" w:cs="仿宋_GB2312"/>
          <w:b/>
          <w:sz w:val="32"/>
          <w:szCs w:val="32"/>
        </w:rPr>
      </w:pPr>
      <w:r>
        <w:rPr>
          <w:rFonts w:hint="eastAsia" w:ascii="仿宋_GB2312" w:eastAsia="仿宋_GB2312" w:cs="仿宋_GB2312"/>
          <w:b/>
          <w:sz w:val="32"/>
          <w:szCs w:val="32"/>
        </w:rPr>
        <w:t>（四）项目效益情况</w:t>
      </w:r>
    </w:p>
    <w:p>
      <w:pPr>
        <w:tabs>
          <w:tab w:val="left" w:pos="3885"/>
        </w:tabs>
        <w:snapToGrid w:val="0"/>
        <w:spacing w:line="600" w:lineRule="exact"/>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2020年上半年开展1次项目鉴定评审结题工作，获准结题项目共计15项，其中，10项文化产业发展研究中心课题中，有4项课题成果被鉴定为优秀，6项课题成果被鉴定为良好；另外5项为校级课题。</w:t>
      </w:r>
    </w:p>
    <w:p>
      <w:pPr>
        <w:tabs>
          <w:tab w:val="left" w:pos="3885"/>
        </w:tabs>
        <w:snapToGrid w:val="0"/>
        <w:spacing w:line="600" w:lineRule="exact"/>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学院坚决落实教育部、省教育厅“停课不停教，停课不停学”要求，有序开展线上教学和复课复学工作。学校成立疫情防控领导小组，一手抓防控一手抓教学。制定10余项相关文件，切实做好疫情期间教育教学管理工作，积极做好师生思想引导、心理疏导和人文关怀。全力保障线上教学、单招考试、学生返校、复课复学等重点工作有序开展。疫情期间完成在线开放课程制作16个。</w:t>
      </w:r>
    </w:p>
    <w:p>
      <w:pPr>
        <w:tabs>
          <w:tab w:val="left" w:pos="3885"/>
        </w:tabs>
        <w:snapToGrid w:val="0"/>
        <w:spacing w:line="600" w:lineRule="exact"/>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2020年度完成了日常教学工作安排（教学计划审定与学期教学安排、试卷印制与管理、日常考务安排、教学工作量核定、成绩管理、教学服务等），保证了教务秩序稳定运行。公共课排课1000余节次、专业课排课4500余堂次，共涉及班级318个、学生10000余人次。</w:t>
      </w:r>
    </w:p>
    <w:p>
      <w:pPr>
        <w:tabs>
          <w:tab w:val="left" w:pos="3885"/>
        </w:tabs>
        <w:snapToGrid w:val="0"/>
        <w:spacing w:line="600" w:lineRule="exact"/>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《标准化考场设备采购项目》合同质保期为3年，合同要求对供应商对学校人员进行日常维护和典型故障排除培训，合同质保期后由学校自行维护，标准化考场预计使用不低于5年。</w:t>
      </w:r>
    </w:p>
    <w:p>
      <w:pPr>
        <w:snapToGrid w:val="0"/>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学院2020届毕业生对母校的满意度平均值为92.78%，未达到满意度≥95%的预期绩效目标。学院教师未提出不满意意见。</w:t>
      </w:r>
    </w:p>
    <w:p>
      <w:pPr>
        <w:snapToGrid w:val="0"/>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五、存在主要问题</w:t>
      </w:r>
    </w:p>
    <w:p>
      <w:pPr>
        <w:snapToGrid w:val="0"/>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（一）2020年度项目效益绩效目标在设置上未充分量化、细化。</w:t>
      </w:r>
    </w:p>
    <w:p>
      <w:pPr>
        <w:snapToGrid w:val="0"/>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（二）学院预算执行进度有待进一步提高。全年项目预算执行率76.43%，落后于要求执行进度，学院将积极规划调整，进一步提高预算执行进度。</w:t>
      </w:r>
    </w:p>
    <w:p>
      <w:pPr>
        <w:snapToGrid w:val="0"/>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六、相关措施建议</w:t>
      </w:r>
    </w:p>
    <w:p>
      <w:pPr>
        <w:tabs>
          <w:tab w:val="left" w:pos="3885"/>
        </w:tabs>
        <w:snapToGrid w:val="0"/>
        <w:spacing w:line="600" w:lineRule="exact"/>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一）合理设置目标，强化绩效管理工作。强化绩效目标的前期编制工作，按照省财政预算绩效管理相关要求，结合自身业务特性，设置科学、合理、针对性强、便于考核的绩效目标，并细化、量化目标，使其合理引导并约束项目执行。</w:t>
      </w:r>
    </w:p>
    <w:p>
      <w:pPr>
        <w:tabs>
          <w:tab w:val="left" w:pos="3885"/>
        </w:tabs>
        <w:snapToGrid w:val="0"/>
        <w:spacing w:line="600" w:lineRule="exact"/>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二）进一步提高预算编制水平。编制年初预算时，要本着实事求是，量力而行的原则，详细统计分析往年决算，将分析结果结合当年工作安排和项目计划，将结转结余资金、上级转移支付、项目推进情况等因素进行预计和测算，合理编制年初预算，从而提升预算的科学合理性以及预算执行的准确性和预算执行率。</w:t>
      </w:r>
    </w:p>
    <w:p>
      <w:pPr>
        <w:pStyle w:val="2"/>
        <w:rPr>
          <w:rFonts w:hint="eastAsia" w:ascii="黑体" w:eastAsia="黑体"/>
          <w:color w:val="000000"/>
          <w:sz w:val="44"/>
          <w:szCs w:val="44"/>
          <w:lang w:val="en-US" w:eastAsia="zh-CN"/>
        </w:rPr>
      </w:pPr>
    </w:p>
    <w:p>
      <w:pPr>
        <w:pStyle w:val="2"/>
        <w:rPr>
          <w:rFonts w:hint="eastAsia" w:ascii="黑体" w:eastAsia="黑体"/>
          <w:color w:val="000000"/>
          <w:sz w:val="44"/>
          <w:szCs w:val="44"/>
          <w:lang w:val="en-US" w:eastAsia="zh-CN"/>
        </w:rPr>
      </w:pPr>
    </w:p>
    <w:p>
      <w:pPr>
        <w:pStyle w:val="2"/>
        <w:rPr>
          <w:rFonts w:hint="eastAsia" w:ascii="黑体" w:eastAsia="黑体"/>
          <w:color w:val="000000"/>
          <w:sz w:val="44"/>
          <w:szCs w:val="44"/>
          <w:lang w:val="en-US" w:eastAsia="zh-CN"/>
        </w:rPr>
      </w:pPr>
    </w:p>
    <w:p>
      <w:pPr>
        <w:pStyle w:val="2"/>
        <w:rPr>
          <w:rFonts w:hint="eastAsia" w:ascii="黑体" w:eastAsia="黑体"/>
          <w:color w:val="000000"/>
          <w:sz w:val="44"/>
          <w:szCs w:val="44"/>
          <w:lang w:val="en-US" w:eastAsia="zh-CN"/>
        </w:rPr>
      </w:pPr>
    </w:p>
    <w:p>
      <w:pPr>
        <w:pStyle w:val="2"/>
        <w:rPr>
          <w:rFonts w:hint="eastAsia" w:ascii="黑体" w:eastAsia="黑体"/>
          <w:color w:val="000000"/>
          <w:sz w:val="44"/>
          <w:szCs w:val="44"/>
          <w:lang w:val="en-US" w:eastAsia="zh-CN"/>
        </w:rPr>
      </w:pPr>
    </w:p>
    <w:p>
      <w:pPr>
        <w:pStyle w:val="2"/>
        <w:rPr>
          <w:rFonts w:hint="eastAsia" w:ascii="黑体" w:eastAsia="黑体"/>
          <w:color w:val="000000"/>
          <w:sz w:val="44"/>
          <w:szCs w:val="44"/>
          <w:lang w:val="en-US" w:eastAsia="zh-CN"/>
        </w:rPr>
      </w:pPr>
    </w:p>
    <w:p>
      <w:pPr>
        <w:pStyle w:val="2"/>
        <w:rPr>
          <w:rFonts w:hint="eastAsia" w:ascii="黑体" w:eastAsia="黑体"/>
          <w:color w:val="000000"/>
          <w:sz w:val="44"/>
          <w:szCs w:val="44"/>
          <w:lang w:val="en-US" w:eastAsia="zh-CN"/>
        </w:rPr>
      </w:pPr>
    </w:p>
    <w:p>
      <w:pPr>
        <w:pStyle w:val="2"/>
        <w:rPr>
          <w:rFonts w:hint="eastAsia" w:ascii="黑体" w:eastAsia="黑体"/>
          <w:color w:val="000000"/>
          <w:sz w:val="44"/>
          <w:szCs w:val="44"/>
          <w:lang w:val="en-US" w:eastAsia="zh-CN"/>
        </w:rPr>
      </w:pPr>
    </w:p>
    <w:p>
      <w:pPr>
        <w:pStyle w:val="2"/>
        <w:rPr>
          <w:rFonts w:hint="eastAsia" w:ascii="黑体" w:eastAsia="黑体"/>
          <w:color w:val="000000"/>
          <w:sz w:val="44"/>
          <w:szCs w:val="44"/>
          <w:lang w:val="en-US" w:eastAsia="zh-CN"/>
        </w:rPr>
      </w:pPr>
    </w:p>
    <w:p>
      <w:pPr>
        <w:pStyle w:val="2"/>
        <w:rPr>
          <w:rFonts w:ascii="黑体" w:eastAsia="黑体"/>
          <w:color w:val="000000"/>
          <w:sz w:val="44"/>
          <w:szCs w:val="44"/>
          <w:lang w:val="en-US" w:eastAsia="zh-CN"/>
        </w:rPr>
      </w:pPr>
    </w:p>
    <w:p>
      <w:pPr>
        <w:spacing w:line="600" w:lineRule="exact"/>
        <w:jc w:val="center"/>
        <w:outlineLvl w:val="0"/>
        <w:rPr>
          <w:rStyle w:val="16"/>
          <w:rFonts w:ascii="黑体" w:eastAsia="黑体"/>
          <w:b w:val="0"/>
        </w:rPr>
      </w:pPr>
      <w:r>
        <w:rPr>
          <w:rFonts w:hint="eastAsia" w:ascii="黑体" w:eastAsia="黑体"/>
          <w:color w:val="000000"/>
          <w:sz w:val="44"/>
          <w:szCs w:val="44"/>
        </w:rPr>
        <w:t>第</w:t>
      </w:r>
      <w:r>
        <w:rPr>
          <w:rStyle w:val="16"/>
          <w:rFonts w:hint="eastAsia" w:ascii="黑体" w:eastAsia="黑体"/>
          <w:b w:val="0"/>
        </w:rPr>
        <w:t>五部分 附表</w:t>
      </w:r>
      <w:bookmarkEnd w:id="55"/>
      <w:bookmarkEnd w:id="57"/>
    </w:p>
    <w:p>
      <w:pPr>
        <w:pStyle w:val="4"/>
        <w:rPr>
          <w:rFonts w:ascii="仿宋" w:eastAsia="仿宋"/>
          <w:color w:val="auto"/>
          <w:highlight w:val="none"/>
        </w:rPr>
      </w:pPr>
      <w:r>
        <w:rPr>
          <w:rFonts w:hint="eastAsia" w:ascii="仿宋" w:eastAsia="仿宋"/>
          <w:b w:val="0"/>
          <w:color w:val="auto"/>
          <w:highlight w:val="none"/>
        </w:rPr>
        <w:t>一、收</w:t>
      </w:r>
      <w:r>
        <w:rPr>
          <w:rStyle w:val="17"/>
          <w:rFonts w:hint="eastAsia" w:ascii="仿宋" w:eastAsia="仿宋"/>
          <w:b w:val="0"/>
          <w:bCs w:val="0"/>
          <w:color w:val="auto"/>
          <w:highlight w:val="none"/>
        </w:rPr>
        <w:t>入支出决算总表</w:t>
      </w:r>
    </w:p>
    <w:p>
      <w:pPr>
        <w:pStyle w:val="4"/>
        <w:rPr>
          <w:rFonts w:ascii="仿宋" w:eastAsia="仿宋"/>
          <w:color w:val="auto"/>
          <w:highlight w:val="none"/>
        </w:rPr>
      </w:pPr>
      <w:bookmarkStart w:id="58" w:name="_Toc15396620"/>
      <w:r>
        <w:rPr>
          <w:rFonts w:hint="eastAsia" w:ascii="仿宋" w:eastAsia="仿宋"/>
          <w:b w:val="0"/>
          <w:color w:val="auto"/>
          <w:highlight w:val="none"/>
        </w:rPr>
        <w:t>二、收</w:t>
      </w:r>
      <w:r>
        <w:rPr>
          <w:rStyle w:val="17"/>
          <w:rFonts w:hint="eastAsia" w:ascii="仿宋" w:eastAsia="仿宋"/>
          <w:b w:val="0"/>
          <w:bCs w:val="0"/>
          <w:color w:val="auto"/>
          <w:highlight w:val="none"/>
        </w:rPr>
        <w:t>入决算表</w:t>
      </w:r>
      <w:bookmarkEnd w:id="58"/>
    </w:p>
    <w:p>
      <w:pPr>
        <w:pStyle w:val="4"/>
        <w:rPr>
          <w:rFonts w:ascii="仿宋" w:eastAsia="仿宋"/>
          <w:color w:val="auto"/>
          <w:highlight w:val="none"/>
        </w:rPr>
      </w:pPr>
      <w:bookmarkStart w:id="59" w:name="_Toc15396621"/>
      <w:r>
        <w:rPr>
          <w:rStyle w:val="17"/>
          <w:rFonts w:hint="eastAsia" w:ascii="仿宋" w:eastAsia="仿宋"/>
          <w:b w:val="0"/>
          <w:bCs w:val="0"/>
          <w:color w:val="auto"/>
          <w:highlight w:val="none"/>
        </w:rPr>
        <w:t>三、</w:t>
      </w:r>
      <w:r>
        <w:rPr>
          <w:rFonts w:hint="eastAsia" w:ascii="仿宋" w:eastAsia="仿宋"/>
          <w:b w:val="0"/>
          <w:color w:val="auto"/>
          <w:highlight w:val="none"/>
        </w:rPr>
        <w:t>支</w:t>
      </w:r>
      <w:r>
        <w:rPr>
          <w:rStyle w:val="17"/>
          <w:rFonts w:hint="eastAsia" w:ascii="仿宋" w:eastAsia="仿宋"/>
          <w:b w:val="0"/>
          <w:bCs w:val="0"/>
          <w:color w:val="auto"/>
          <w:highlight w:val="none"/>
        </w:rPr>
        <w:t>出决算表</w:t>
      </w:r>
      <w:bookmarkEnd w:id="59"/>
    </w:p>
    <w:p>
      <w:pPr>
        <w:pStyle w:val="4"/>
        <w:rPr>
          <w:rFonts w:ascii="仿宋" w:eastAsia="仿宋"/>
          <w:b w:val="0"/>
          <w:color w:val="auto"/>
          <w:highlight w:val="none"/>
        </w:rPr>
      </w:pPr>
      <w:bookmarkStart w:id="60" w:name="_Toc15396622"/>
      <w:r>
        <w:rPr>
          <w:rStyle w:val="17"/>
          <w:rFonts w:hint="eastAsia" w:ascii="仿宋" w:eastAsia="仿宋"/>
          <w:b w:val="0"/>
          <w:bCs w:val="0"/>
          <w:color w:val="auto"/>
          <w:highlight w:val="none"/>
        </w:rPr>
        <w:t>四、</w:t>
      </w:r>
      <w:r>
        <w:rPr>
          <w:rFonts w:hint="eastAsia" w:ascii="仿宋" w:eastAsia="仿宋"/>
          <w:b w:val="0"/>
          <w:color w:val="auto"/>
          <w:highlight w:val="none"/>
        </w:rPr>
        <w:t>财</w:t>
      </w:r>
      <w:r>
        <w:rPr>
          <w:rStyle w:val="17"/>
          <w:rFonts w:hint="eastAsia" w:ascii="仿宋" w:eastAsia="仿宋"/>
          <w:b w:val="0"/>
          <w:bCs w:val="0"/>
          <w:color w:val="auto"/>
          <w:highlight w:val="none"/>
        </w:rPr>
        <w:t>政拨款收入支出决算总表</w:t>
      </w:r>
      <w:bookmarkEnd w:id="60"/>
    </w:p>
    <w:p>
      <w:pPr>
        <w:pStyle w:val="4"/>
        <w:rPr>
          <w:rStyle w:val="17"/>
          <w:rFonts w:ascii="仿宋" w:eastAsia="仿宋"/>
          <w:b w:val="0"/>
          <w:bCs w:val="0"/>
          <w:color w:val="auto"/>
          <w:highlight w:val="none"/>
        </w:rPr>
      </w:pPr>
      <w:bookmarkStart w:id="61" w:name="_Toc15396623"/>
      <w:r>
        <w:rPr>
          <w:rStyle w:val="17"/>
          <w:rFonts w:hint="eastAsia" w:ascii="仿宋" w:eastAsia="仿宋"/>
          <w:b w:val="0"/>
          <w:bCs w:val="0"/>
          <w:color w:val="auto"/>
          <w:highlight w:val="none"/>
        </w:rPr>
        <w:t>五、</w:t>
      </w:r>
      <w:r>
        <w:rPr>
          <w:rFonts w:hint="eastAsia" w:ascii="仿宋" w:eastAsia="仿宋"/>
          <w:b w:val="0"/>
          <w:color w:val="auto"/>
          <w:highlight w:val="none"/>
        </w:rPr>
        <w:t>财</w:t>
      </w:r>
      <w:r>
        <w:rPr>
          <w:rStyle w:val="17"/>
          <w:rFonts w:hint="eastAsia" w:ascii="仿宋" w:eastAsia="仿宋"/>
          <w:b w:val="0"/>
          <w:bCs w:val="0"/>
          <w:color w:val="auto"/>
          <w:highlight w:val="none"/>
        </w:rPr>
        <w:t>政拨款支出决算明细表</w:t>
      </w:r>
      <w:bookmarkEnd w:id="61"/>
      <w:bookmarkStart w:id="62" w:name="_Toc15396624"/>
    </w:p>
    <w:p>
      <w:pPr>
        <w:pStyle w:val="4"/>
        <w:rPr>
          <w:rFonts w:ascii="仿宋" w:eastAsia="仿宋"/>
          <w:color w:val="auto"/>
          <w:highlight w:val="none"/>
        </w:rPr>
      </w:pPr>
      <w:r>
        <w:rPr>
          <w:rStyle w:val="17"/>
          <w:rFonts w:hint="eastAsia" w:ascii="仿宋" w:eastAsia="仿宋"/>
          <w:b w:val="0"/>
          <w:bCs w:val="0"/>
          <w:color w:val="auto"/>
          <w:highlight w:val="none"/>
        </w:rPr>
        <w:t>六、</w:t>
      </w:r>
      <w:r>
        <w:rPr>
          <w:rFonts w:hint="eastAsia" w:ascii="仿宋" w:eastAsia="仿宋"/>
          <w:b w:val="0"/>
          <w:color w:val="auto"/>
          <w:highlight w:val="none"/>
        </w:rPr>
        <w:t>一</w:t>
      </w:r>
      <w:r>
        <w:rPr>
          <w:rStyle w:val="17"/>
          <w:rFonts w:hint="eastAsia" w:ascii="仿宋" w:eastAsia="仿宋"/>
          <w:b w:val="0"/>
          <w:bCs w:val="0"/>
          <w:color w:val="auto"/>
          <w:highlight w:val="none"/>
        </w:rPr>
        <w:t>般公共预算财政拨款支出决算表</w:t>
      </w:r>
      <w:bookmarkEnd w:id="62"/>
    </w:p>
    <w:p>
      <w:pPr>
        <w:pStyle w:val="4"/>
        <w:rPr>
          <w:rFonts w:ascii="仿宋" w:eastAsia="仿宋"/>
          <w:color w:val="auto"/>
          <w:highlight w:val="none"/>
        </w:rPr>
      </w:pPr>
      <w:bookmarkStart w:id="63" w:name="_Toc15396625"/>
      <w:r>
        <w:rPr>
          <w:rStyle w:val="17"/>
          <w:rFonts w:hint="eastAsia" w:ascii="仿宋" w:eastAsia="仿宋"/>
          <w:b w:val="0"/>
          <w:bCs w:val="0"/>
          <w:color w:val="auto"/>
          <w:highlight w:val="none"/>
        </w:rPr>
        <w:t>七、</w:t>
      </w:r>
      <w:r>
        <w:rPr>
          <w:rFonts w:hint="eastAsia" w:ascii="仿宋" w:eastAsia="仿宋"/>
          <w:b w:val="0"/>
          <w:color w:val="auto"/>
          <w:highlight w:val="none"/>
        </w:rPr>
        <w:t>一</w:t>
      </w:r>
      <w:r>
        <w:rPr>
          <w:rStyle w:val="17"/>
          <w:rFonts w:hint="eastAsia" w:ascii="仿宋" w:eastAsia="仿宋"/>
          <w:b w:val="0"/>
          <w:bCs w:val="0"/>
          <w:color w:val="auto"/>
          <w:highlight w:val="none"/>
        </w:rPr>
        <w:t>般公共预算财政拨款支出决算明细表</w:t>
      </w:r>
      <w:bookmarkEnd w:id="63"/>
    </w:p>
    <w:p>
      <w:pPr>
        <w:pStyle w:val="4"/>
        <w:rPr>
          <w:rFonts w:ascii="仿宋" w:eastAsia="仿宋"/>
          <w:color w:val="auto"/>
          <w:highlight w:val="none"/>
        </w:rPr>
      </w:pPr>
      <w:bookmarkStart w:id="64" w:name="_Toc15396626"/>
      <w:r>
        <w:rPr>
          <w:rStyle w:val="17"/>
          <w:rFonts w:hint="eastAsia" w:ascii="仿宋" w:eastAsia="仿宋"/>
          <w:b w:val="0"/>
          <w:bCs w:val="0"/>
          <w:color w:val="auto"/>
          <w:highlight w:val="none"/>
        </w:rPr>
        <w:t>八、</w:t>
      </w:r>
      <w:r>
        <w:rPr>
          <w:rFonts w:hint="eastAsia" w:ascii="仿宋" w:eastAsia="仿宋"/>
          <w:b w:val="0"/>
          <w:color w:val="auto"/>
          <w:highlight w:val="none"/>
        </w:rPr>
        <w:t>一</w:t>
      </w:r>
      <w:r>
        <w:rPr>
          <w:rStyle w:val="17"/>
          <w:rFonts w:hint="eastAsia" w:ascii="仿宋" w:eastAsia="仿宋"/>
          <w:b w:val="0"/>
          <w:bCs w:val="0"/>
          <w:color w:val="auto"/>
          <w:highlight w:val="none"/>
        </w:rPr>
        <w:t>般公共预算财政拨款基本支出决算表</w:t>
      </w:r>
      <w:bookmarkEnd w:id="64"/>
    </w:p>
    <w:p>
      <w:pPr>
        <w:pStyle w:val="4"/>
        <w:rPr>
          <w:rFonts w:ascii="仿宋" w:eastAsia="仿宋"/>
          <w:color w:val="auto"/>
          <w:highlight w:val="none"/>
        </w:rPr>
      </w:pPr>
      <w:bookmarkStart w:id="65" w:name="_Toc15396627"/>
      <w:r>
        <w:rPr>
          <w:rStyle w:val="17"/>
          <w:rFonts w:hint="eastAsia" w:ascii="仿宋" w:eastAsia="仿宋"/>
          <w:b w:val="0"/>
          <w:bCs w:val="0"/>
          <w:color w:val="auto"/>
          <w:highlight w:val="none"/>
        </w:rPr>
        <w:t>九、</w:t>
      </w:r>
      <w:r>
        <w:rPr>
          <w:rFonts w:hint="eastAsia" w:ascii="仿宋" w:eastAsia="仿宋"/>
          <w:b w:val="0"/>
          <w:color w:val="auto"/>
          <w:highlight w:val="none"/>
        </w:rPr>
        <w:t>一</w:t>
      </w:r>
      <w:r>
        <w:rPr>
          <w:rStyle w:val="17"/>
          <w:rFonts w:hint="eastAsia" w:ascii="仿宋" w:eastAsia="仿宋"/>
          <w:b w:val="0"/>
          <w:bCs w:val="0"/>
          <w:color w:val="auto"/>
          <w:highlight w:val="none"/>
        </w:rPr>
        <w:t>般公共预算财政拨款项目支出决算表</w:t>
      </w:r>
      <w:bookmarkEnd w:id="65"/>
    </w:p>
    <w:p>
      <w:pPr>
        <w:pStyle w:val="4"/>
        <w:rPr>
          <w:rFonts w:ascii="仿宋" w:eastAsia="仿宋"/>
          <w:color w:val="auto"/>
          <w:highlight w:val="none"/>
        </w:rPr>
      </w:pPr>
      <w:bookmarkStart w:id="66" w:name="_Toc15396628"/>
      <w:r>
        <w:rPr>
          <w:rStyle w:val="17"/>
          <w:rFonts w:hint="eastAsia" w:ascii="仿宋" w:eastAsia="仿宋"/>
          <w:b w:val="0"/>
          <w:bCs w:val="0"/>
          <w:color w:val="auto"/>
          <w:highlight w:val="none"/>
        </w:rPr>
        <w:t>十、</w:t>
      </w:r>
      <w:r>
        <w:rPr>
          <w:rFonts w:hint="eastAsia" w:ascii="仿宋" w:eastAsia="仿宋"/>
          <w:b w:val="0"/>
          <w:color w:val="auto"/>
          <w:highlight w:val="none"/>
        </w:rPr>
        <w:t>一</w:t>
      </w:r>
      <w:r>
        <w:rPr>
          <w:rStyle w:val="17"/>
          <w:rFonts w:hint="eastAsia" w:ascii="仿宋" w:eastAsia="仿宋"/>
          <w:b w:val="0"/>
          <w:bCs w:val="0"/>
          <w:color w:val="auto"/>
          <w:highlight w:val="none"/>
        </w:rPr>
        <w:t>般公共预算财政拨款“三公”经费支出决算表</w:t>
      </w:r>
      <w:bookmarkEnd w:id="66"/>
    </w:p>
    <w:p>
      <w:pPr>
        <w:pStyle w:val="4"/>
        <w:rPr>
          <w:rFonts w:ascii="仿宋" w:eastAsia="仿宋"/>
          <w:color w:val="auto"/>
          <w:highlight w:val="none"/>
        </w:rPr>
      </w:pPr>
      <w:bookmarkStart w:id="67" w:name="_Toc15396629"/>
      <w:r>
        <w:rPr>
          <w:rStyle w:val="17"/>
          <w:rFonts w:hint="eastAsia" w:ascii="仿宋" w:eastAsia="仿宋"/>
          <w:b w:val="0"/>
          <w:bCs w:val="0"/>
          <w:color w:val="auto"/>
          <w:highlight w:val="none"/>
        </w:rPr>
        <w:t>十一、</w:t>
      </w:r>
      <w:r>
        <w:rPr>
          <w:rFonts w:hint="eastAsia" w:ascii="仿宋" w:eastAsia="仿宋"/>
          <w:b w:val="0"/>
          <w:color w:val="auto"/>
          <w:highlight w:val="none"/>
        </w:rPr>
        <w:t>政</w:t>
      </w:r>
      <w:r>
        <w:rPr>
          <w:rStyle w:val="17"/>
          <w:rFonts w:hint="eastAsia" w:ascii="仿宋" w:eastAsia="仿宋"/>
          <w:b w:val="0"/>
          <w:bCs w:val="0"/>
          <w:color w:val="auto"/>
          <w:highlight w:val="none"/>
        </w:rPr>
        <w:t>府性基金预算财政拨款收入支出决算表</w:t>
      </w:r>
      <w:bookmarkEnd w:id="67"/>
    </w:p>
    <w:p>
      <w:pPr>
        <w:pStyle w:val="4"/>
        <w:rPr>
          <w:rFonts w:ascii="仿宋" w:eastAsia="仿宋"/>
          <w:color w:val="auto"/>
          <w:highlight w:val="none"/>
        </w:rPr>
      </w:pPr>
      <w:bookmarkStart w:id="68" w:name="_Toc15396630"/>
      <w:r>
        <w:rPr>
          <w:rStyle w:val="17"/>
          <w:rFonts w:hint="eastAsia" w:ascii="仿宋" w:eastAsia="仿宋"/>
          <w:b w:val="0"/>
          <w:bCs w:val="0"/>
          <w:color w:val="auto"/>
          <w:highlight w:val="none"/>
        </w:rPr>
        <w:t>十二、</w:t>
      </w:r>
      <w:r>
        <w:rPr>
          <w:rFonts w:hint="eastAsia" w:ascii="仿宋" w:eastAsia="仿宋"/>
          <w:b w:val="0"/>
          <w:color w:val="auto"/>
          <w:highlight w:val="none"/>
        </w:rPr>
        <w:t>政</w:t>
      </w:r>
      <w:r>
        <w:rPr>
          <w:rStyle w:val="17"/>
          <w:rFonts w:hint="eastAsia" w:ascii="仿宋" w:eastAsia="仿宋"/>
          <w:b w:val="0"/>
          <w:bCs w:val="0"/>
          <w:color w:val="auto"/>
          <w:highlight w:val="none"/>
        </w:rPr>
        <w:t>府性基金预算财政拨款“三公”经费支出决算表</w:t>
      </w:r>
      <w:bookmarkEnd w:id="68"/>
    </w:p>
    <w:p>
      <w:pPr>
        <w:pStyle w:val="4"/>
        <w:rPr>
          <w:rStyle w:val="17"/>
          <w:rFonts w:hint="eastAsia" w:ascii="仿宋" w:eastAsia="仿宋"/>
          <w:b w:val="0"/>
          <w:bCs w:val="0"/>
          <w:color w:val="auto"/>
          <w:highlight w:val="none"/>
        </w:rPr>
      </w:pPr>
      <w:bookmarkStart w:id="69" w:name="_Toc15396631"/>
      <w:r>
        <w:rPr>
          <w:rStyle w:val="17"/>
          <w:rFonts w:hint="eastAsia" w:ascii="仿宋" w:eastAsia="仿宋"/>
          <w:b w:val="0"/>
          <w:bCs w:val="0"/>
          <w:color w:val="auto"/>
          <w:highlight w:val="none"/>
        </w:rPr>
        <w:t>十三、</w:t>
      </w:r>
      <w:r>
        <w:rPr>
          <w:rFonts w:hint="eastAsia" w:ascii="仿宋" w:eastAsia="仿宋"/>
          <w:b w:val="0"/>
          <w:color w:val="auto"/>
          <w:highlight w:val="none"/>
        </w:rPr>
        <w:t>国</w:t>
      </w:r>
      <w:r>
        <w:rPr>
          <w:rStyle w:val="17"/>
          <w:rFonts w:hint="eastAsia" w:ascii="仿宋" w:eastAsia="仿宋"/>
          <w:b w:val="0"/>
          <w:bCs w:val="0"/>
          <w:color w:val="auto"/>
          <w:highlight w:val="none"/>
        </w:rPr>
        <w:t>有资本经营预算</w:t>
      </w:r>
      <w:r>
        <w:rPr>
          <w:rStyle w:val="17"/>
          <w:rFonts w:hint="eastAsia" w:ascii="仿宋" w:eastAsia="仿宋"/>
          <w:b w:val="0"/>
          <w:bCs w:val="0"/>
          <w:color w:val="auto"/>
          <w:highlight w:val="none"/>
          <w:lang w:eastAsia="zh-CN"/>
        </w:rPr>
        <w:t>财政拨款收入</w:t>
      </w:r>
      <w:r>
        <w:rPr>
          <w:rStyle w:val="17"/>
          <w:rFonts w:hint="eastAsia" w:ascii="仿宋" w:eastAsia="仿宋"/>
          <w:b w:val="0"/>
          <w:bCs w:val="0"/>
          <w:color w:val="auto"/>
          <w:highlight w:val="none"/>
        </w:rPr>
        <w:t>支出决算表</w:t>
      </w:r>
      <w:bookmarkEnd w:id="69"/>
    </w:p>
    <w:p>
      <w:pPr>
        <w:rPr>
          <w:rFonts w:hint="eastAsia" w:eastAsia="仿宋"/>
          <w:color w:val="auto"/>
          <w:highlight w:val="none"/>
          <w:lang w:eastAsia="zh-CN"/>
        </w:rPr>
      </w:pPr>
      <w:r>
        <w:rPr>
          <w:rStyle w:val="17"/>
          <w:rFonts w:hint="eastAsia" w:ascii="仿宋" w:eastAsia="仿宋"/>
          <w:b w:val="0"/>
          <w:bCs w:val="0"/>
          <w:color w:val="auto"/>
          <w:highlight w:val="none"/>
          <w:lang w:eastAsia="zh-CN"/>
        </w:rPr>
        <w:t>十四、国有资本经营预算财政拨款支出决算表</w:t>
      </w:r>
    </w:p>
    <w:p>
      <w:pPr>
        <w:spacing w:line="600" w:lineRule="exact"/>
        <w:jc w:val="both"/>
        <w:outlineLvl w:val="0"/>
        <w:rPr>
          <w:rFonts w:ascii="仿宋" w:eastAsia="仿宋"/>
          <w:b/>
          <w:color w:val="000000"/>
          <w:sz w:val="44"/>
          <w:szCs w:val="44"/>
        </w:rPr>
      </w:pPr>
    </w:p>
    <w:sectPr>
      <w:headerReference r:id="rId4" w:type="default"/>
      <w:footerReference r:id="rId5"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5A9E374-B55F-465F-85F7-B9FB32472A94}"/>
  </w:font>
  <w:font w:name="黑体">
    <w:panose1 w:val="02010609060101010101"/>
    <w:charset w:val="86"/>
    <w:family w:val="auto"/>
    <w:pitch w:val="default"/>
    <w:sig w:usb0="800002BF" w:usb1="38CF7CFA" w:usb2="00000016" w:usb3="00000000" w:csb0="00040001" w:csb1="00000000"/>
    <w:embedRegular r:id="rId2" w:fontKey="{02216D05-2EF9-4360-8104-AAFDA41947A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2859B112-1128-402F-8FEF-EBCDEB0D404C}"/>
  </w:font>
  <w:font w:name="Cambria">
    <w:panose1 w:val="02040503050406030204"/>
    <w:charset w:val="00"/>
    <w:family w:val="roman"/>
    <w:pitch w:val="default"/>
    <w:sig w:usb0="E00002FF" w:usb1="400004FF" w:usb2="00000000" w:usb3="00000000" w:csb0="2000019F" w:csb1="00000000"/>
    <w:embedRegular r:id="rId4" w:fontKey="{5BD00967-71E6-40FE-B8D4-E80FAC955F07}"/>
  </w:font>
  <w:font w:name="仿宋_GB2312">
    <w:panose1 w:val="02010609030101010101"/>
    <w:charset w:val="86"/>
    <w:family w:val="modern"/>
    <w:pitch w:val="default"/>
    <w:sig w:usb0="00000001" w:usb1="080E0000" w:usb2="00000000" w:usb3="00000000" w:csb0="00040000" w:csb1="00000000"/>
    <w:embedRegular r:id="rId5" w:fontKey="{FBB04DD4-24B7-4050-909A-E7A6443BDE73}"/>
  </w:font>
  <w:font w:name="仿宋">
    <w:panose1 w:val="02010609060101010101"/>
    <w:charset w:val="86"/>
    <w:family w:val="modern"/>
    <w:pitch w:val="default"/>
    <w:sig w:usb0="800002BF" w:usb1="38CF7CFA" w:usb2="00000016" w:usb3="00000000" w:csb0="00040001" w:csb1="00000000"/>
    <w:embedRegular r:id="rId6" w:fontKey="{4611B119-8FB8-4109-9E7E-64C5E2AFA79E}"/>
  </w:font>
  <w:font w:name="方正小标宋_GBK">
    <w:panose1 w:val="03000509000000000000"/>
    <w:charset w:val="86"/>
    <w:family w:val="script"/>
    <w:pitch w:val="default"/>
    <w:sig w:usb0="00000001" w:usb1="080E0000" w:usb2="00000000" w:usb3="00000000" w:csb0="00040000" w:csb1="00000000"/>
    <w:embedRegular r:id="rId7" w:fontKey="{87D16528-E00C-4940-9683-107E209B2784}"/>
  </w:font>
  <w:font w:name="方正小标宋简体">
    <w:panose1 w:val="02000000000000000000"/>
    <w:charset w:val="86"/>
    <w:family w:val="script"/>
    <w:pitch w:val="default"/>
    <w:sig w:usb0="00000001" w:usb1="08000000" w:usb2="00000000" w:usb3="00000000" w:csb0="00040000" w:csb1="00000000"/>
    <w:embedRegular r:id="rId8" w:fontKey="{AE9B3406-7631-44AA-B64F-169F70834C4A}"/>
  </w:font>
  <w:font w:name="楷体_GB2312">
    <w:panose1 w:val="02010609030101010101"/>
    <w:charset w:val="86"/>
    <w:family w:val="modern"/>
    <w:pitch w:val="default"/>
    <w:sig w:usb0="00000001" w:usb1="080E0000" w:usb2="00000000" w:usb3="00000000" w:csb0="00040000" w:csb1="00000000"/>
    <w:embedRegular r:id="rId9" w:fontKey="{BD760AF8-4572-47AD-8058-10A78C35C09E}"/>
  </w:font>
  <w:font w:name="方正兰亭黑_GBK">
    <w:altName w:val="Arial Unicode MS"/>
    <w:panose1 w:val="00000000000000000000"/>
    <w:charset w:val="01"/>
    <w:family w:val="auto"/>
    <w:pitch w:val="default"/>
    <w:sig w:usb0="00000000" w:usb1="00000000" w:usb2="00000000" w:usb3="00000000" w:csb0="00000000" w:csb1="00000000"/>
    <w:embedRegular r:id="rId10" w:fontKey="{FEE537E3-7DE7-40F6-AF00-EE9E405ED7E0}"/>
  </w:font>
  <w:font w:name="Lucida Sans">
    <w:panose1 w:val="020B0602030504020204"/>
    <w:charset w:val="01"/>
    <w:family w:val="auto"/>
    <w:pitch w:val="default"/>
    <w:sig w:usb0="00000003" w:usb1="00000000" w:usb2="00000000" w:usb3="00000000" w:csb0="2000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方正仿宋_GB2312">
    <w:panose1 w:val="02000000000000000000"/>
    <w:charset w:val="86"/>
    <w:family w:val="auto"/>
    <w:pitch w:val="default"/>
    <w:sig w:usb0="A00002BF" w:usb1="184F6CFA" w:usb2="00000012" w:usb3="00000000" w:csb0="00040001" w:csb1="00000000"/>
    <w:embedRegular r:id="rId11" w:fontKey="{56BCB765-3D99-4825-8E6B-955F9278C9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Arial" w:hAnsi="Arial" w:cs="Arial"/>
        <w:sz w:val="24"/>
        <w:szCs w:val="24"/>
        <w:lang w:bidi="ar-SA"/>
      </w:rPr>
    </w:pPr>
    <w:r>
      <w:rPr>
        <w:rFonts w:ascii="Arial" w:hAnsi="Arial" w:cs="Arial"/>
        <w:sz w:val="24"/>
        <w:szCs w:val="24"/>
        <w:lang w:bidi="ar-SA"/>
      </w:rPr>
      <w:fldChar w:fldCharType="begin"/>
    </w:r>
    <w:r>
      <w:rPr>
        <w:rFonts w:ascii="Arial" w:hAnsi="Arial" w:cs="Arial"/>
        <w:sz w:val="24"/>
        <w:szCs w:val="24"/>
        <w:lang w:bidi="ar-SA"/>
      </w:rPr>
      <w:instrText xml:space="preserve"> PAGE   \* MERGEFORMAT </w:instrText>
    </w:r>
    <w:r>
      <w:rPr>
        <w:rFonts w:ascii="Arial" w:hAnsi="Arial" w:cs="Arial"/>
        <w:sz w:val="24"/>
        <w:szCs w:val="24"/>
        <w:lang w:bidi="ar-SA"/>
      </w:rPr>
      <w:fldChar w:fldCharType="separate"/>
    </w:r>
    <w:r>
      <w:rPr>
        <w:rFonts w:ascii="Arial" w:hAnsi="Arial" w:cs="Arial"/>
        <w:sz w:val="24"/>
        <w:szCs w:val="24"/>
        <w:lang w:val="zh-CN" w:bidi="ar-SA"/>
      </w:rPr>
      <w:t>24</w:t>
    </w:r>
    <w:r>
      <w:rPr>
        <w:rFonts w:ascii="Arial" w:hAnsi="Arial" w:cs="Arial"/>
        <w:sz w:val="24"/>
        <w:szCs w:val="24"/>
        <w:lang w:bidi="ar-SA"/>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6562967"/>
    </w:sdtPr>
    <w:sdtContent>
      <w:p>
        <w:pPr>
          <w:pStyle w:val="8"/>
          <w:jc w:val="center"/>
        </w:pPr>
        <w:r>
          <w:fldChar w:fldCharType="begin"/>
        </w:r>
        <w:r>
          <w:instrText xml:space="preserve">PAGE   \* MERGEFORMAT</w:instrText>
        </w:r>
        <w:r>
          <w:fldChar w:fldCharType="separate"/>
        </w:r>
        <w:r>
          <w:rPr>
            <w:lang w:val="zh-CN"/>
          </w:rPr>
          <w:t>5</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0CE92"/>
    <w:multiLevelType w:val="singleLevel"/>
    <w:tmpl w:val="83E0CE92"/>
    <w:lvl w:ilvl="0" w:tentative="0">
      <w:start w:val="1"/>
      <w:numFmt w:val="decimal"/>
      <w:lvlText w:val="%1."/>
      <w:lvlJc w:val="left"/>
      <w:pPr>
        <w:tabs>
          <w:tab w:val="left" w:pos="0"/>
        </w:tabs>
        <w:ind w:left="0" w:firstLine="0"/>
      </w:pPr>
    </w:lvl>
  </w:abstractNum>
  <w:abstractNum w:abstractNumId="1">
    <w:nsid w:val="CF652CEC"/>
    <w:multiLevelType w:val="singleLevel"/>
    <w:tmpl w:val="CF652CEC"/>
    <w:lvl w:ilvl="0" w:tentative="0">
      <w:start w:val="9"/>
      <w:numFmt w:val="chineseCounting"/>
      <w:suff w:val="nothing"/>
      <w:lvlText w:val="%1、"/>
      <w:lvlJc w:val="left"/>
      <w:pPr>
        <w:tabs>
          <w:tab w:val="left" w:pos="0"/>
        </w:tabs>
        <w:ind w:left="0" w:firstLine="0"/>
      </w:pPr>
      <w:rPr>
        <w:rFonts w:hint="eastAsia"/>
      </w:rPr>
    </w:lvl>
  </w:abstractNum>
  <w:abstractNum w:abstractNumId="2">
    <w:nsid w:val="E2FA047D"/>
    <w:multiLevelType w:val="singleLevel"/>
    <w:tmpl w:val="E2FA047D"/>
    <w:lvl w:ilvl="0" w:tentative="0">
      <w:start w:val="3"/>
      <w:numFmt w:val="chineseCounting"/>
      <w:suff w:val="space"/>
      <w:lvlText w:val="第%1部分"/>
      <w:lvlJc w:val="left"/>
      <w:pPr>
        <w:tabs>
          <w:tab w:val="left" w:pos="0"/>
        </w:tabs>
        <w:ind w:left="0" w:firstLine="0"/>
      </w:pPr>
      <w:rPr>
        <w:rFonts w:hint="eastAsia"/>
      </w:rPr>
    </w:lvl>
  </w:abstractNum>
  <w:abstractNum w:abstractNumId="3">
    <w:nsid w:val="1272550B"/>
    <w:multiLevelType w:val="multilevel"/>
    <w:tmpl w:val="1272550B"/>
    <w:lvl w:ilvl="0" w:tentative="0">
      <w:start w:val="1"/>
      <w:numFmt w:val="japaneseCounting"/>
      <w:lvlText w:val="%1、"/>
      <w:lvlJc w:val="left"/>
      <w:pPr>
        <w:tabs>
          <w:tab w:val="left" w:pos="0"/>
        </w:tabs>
        <w:ind w:left="1360" w:hanging="720"/>
      </w:pPr>
      <w:rPr>
        <w:rFonts w:hint="default"/>
        <w:b w:val="0"/>
      </w:rPr>
    </w:lvl>
    <w:lvl w:ilvl="1" w:tentative="0">
      <w:start w:val="1"/>
      <w:numFmt w:val="lowerLetter"/>
      <w:lvlText w:val="%2)"/>
      <w:lvlJc w:val="left"/>
      <w:pPr>
        <w:tabs>
          <w:tab w:val="left" w:pos="0"/>
        </w:tabs>
        <w:ind w:left="1480" w:hanging="420"/>
      </w:pPr>
    </w:lvl>
    <w:lvl w:ilvl="2" w:tentative="0">
      <w:start w:val="1"/>
      <w:numFmt w:val="lowerRoman"/>
      <w:lvlText w:val="%3."/>
      <w:lvlJc w:val="right"/>
      <w:pPr>
        <w:tabs>
          <w:tab w:val="left" w:pos="0"/>
        </w:tabs>
        <w:ind w:left="1900" w:hanging="420"/>
      </w:pPr>
    </w:lvl>
    <w:lvl w:ilvl="3" w:tentative="0">
      <w:start w:val="1"/>
      <w:numFmt w:val="decimal"/>
      <w:lvlText w:val="%4."/>
      <w:lvlJc w:val="left"/>
      <w:pPr>
        <w:tabs>
          <w:tab w:val="left" w:pos="0"/>
        </w:tabs>
        <w:ind w:left="2320" w:hanging="420"/>
      </w:pPr>
    </w:lvl>
    <w:lvl w:ilvl="4" w:tentative="0">
      <w:start w:val="1"/>
      <w:numFmt w:val="lowerLetter"/>
      <w:lvlText w:val="%5)"/>
      <w:lvlJc w:val="left"/>
      <w:pPr>
        <w:tabs>
          <w:tab w:val="left" w:pos="0"/>
        </w:tabs>
        <w:ind w:left="2740" w:hanging="420"/>
      </w:pPr>
    </w:lvl>
    <w:lvl w:ilvl="5" w:tentative="0">
      <w:start w:val="1"/>
      <w:numFmt w:val="lowerRoman"/>
      <w:lvlText w:val="%6."/>
      <w:lvlJc w:val="right"/>
      <w:pPr>
        <w:tabs>
          <w:tab w:val="left" w:pos="0"/>
        </w:tabs>
        <w:ind w:left="3160" w:hanging="420"/>
      </w:pPr>
    </w:lvl>
    <w:lvl w:ilvl="6" w:tentative="0">
      <w:start w:val="1"/>
      <w:numFmt w:val="decimal"/>
      <w:lvlText w:val="%7."/>
      <w:lvlJc w:val="left"/>
      <w:pPr>
        <w:tabs>
          <w:tab w:val="left" w:pos="0"/>
        </w:tabs>
        <w:ind w:left="3580" w:hanging="420"/>
      </w:pPr>
    </w:lvl>
    <w:lvl w:ilvl="7" w:tentative="0">
      <w:start w:val="1"/>
      <w:numFmt w:val="lowerLetter"/>
      <w:lvlText w:val="%8)"/>
      <w:lvlJc w:val="left"/>
      <w:pPr>
        <w:tabs>
          <w:tab w:val="left" w:pos="0"/>
        </w:tabs>
        <w:ind w:left="4000" w:hanging="420"/>
      </w:pPr>
    </w:lvl>
    <w:lvl w:ilvl="8" w:tentative="0">
      <w:start w:val="1"/>
      <w:numFmt w:val="lowerRoman"/>
      <w:lvlText w:val="%9."/>
      <w:lvlJc w:val="right"/>
      <w:pPr>
        <w:tabs>
          <w:tab w:val="left" w:pos="0"/>
        </w:tabs>
        <w:ind w:left="4420" w:hanging="420"/>
      </w:pPr>
    </w:lvl>
  </w:abstractNum>
  <w:abstractNum w:abstractNumId="4">
    <w:nsid w:val="16ED09CE"/>
    <w:multiLevelType w:val="singleLevel"/>
    <w:tmpl w:val="16ED09CE"/>
    <w:lvl w:ilvl="0" w:tentative="0">
      <w:start w:val="1"/>
      <w:numFmt w:val="decimal"/>
      <w:suff w:val="nothing"/>
      <w:lvlText w:val="%1．"/>
      <w:lvlJc w:val="left"/>
      <w:pPr>
        <w:tabs>
          <w:tab w:val="left" w:pos="0"/>
        </w:tabs>
        <w:ind w:left="0" w:firstLine="0"/>
      </w:pPr>
    </w:lvl>
  </w:abstractNum>
  <w:abstractNum w:abstractNumId="5">
    <w:nsid w:val="3064A595"/>
    <w:multiLevelType w:val="singleLevel"/>
    <w:tmpl w:val="3064A595"/>
    <w:lvl w:ilvl="0" w:tentative="0">
      <w:start w:val="1"/>
      <w:numFmt w:val="chineseCounting"/>
      <w:suff w:val="nothing"/>
      <w:lvlText w:val="%1、"/>
      <w:lvlJc w:val="left"/>
      <w:pPr>
        <w:tabs>
          <w:tab w:val="left" w:pos="0"/>
        </w:tabs>
        <w:ind w:left="0" w:firstLine="0"/>
      </w:pPr>
      <w:rPr>
        <w:rFonts w:hint="eastAsia"/>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YzdhNWFjZjM0YTA4Yzg1MmUzY2RlMjUwZWNkN2ViNTYifQ=="/>
  </w:docVars>
  <w:rsids>
    <w:rsidRoot w:val="00000000"/>
    <w:rsid w:val="01640F16"/>
    <w:rsid w:val="01AB3726"/>
    <w:rsid w:val="01D01B0A"/>
    <w:rsid w:val="034D6AD7"/>
    <w:rsid w:val="039F7A96"/>
    <w:rsid w:val="05E82E5F"/>
    <w:rsid w:val="068119EC"/>
    <w:rsid w:val="075E5423"/>
    <w:rsid w:val="0762416A"/>
    <w:rsid w:val="07A73103"/>
    <w:rsid w:val="07AF6DA2"/>
    <w:rsid w:val="086C73D7"/>
    <w:rsid w:val="0923700D"/>
    <w:rsid w:val="09CB6DED"/>
    <w:rsid w:val="0A0016F3"/>
    <w:rsid w:val="0E6C489C"/>
    <w:rsid w:val="0EC15DF7"/>
    <w:rsid w:val="0F664825"/>
    <w:rsid w:val="136369C2"/>
    <w:rsid w:val="19BD5F58"/>
    <w:rsid w:val="1BDF3BDF"/>
    <w:rsid w:val="1C6451B1"/>
    <w:rsid w:val="1DDB726C"/>
    <w:rsid w:val="1E447D49"/>
    <w:rsid w:val="1FEA2617"/>
    <w:rsid w:val="24C66471"/>
    <w:rsid w:val="2752743B"/>
    <w:rsid w:val="2A8A7DEC"/>
    <w:rsid w:val="2C7444CF"/>
    <w:rsid w:val="2E0C31B8"/>
    <w:rsid w:val="2F243389"/>
    <w:rsid w:val="3088221A"/>
    <w:rsid w:val="33FE0C23"/>
    <w:rsid w:val="35A20D08"/>
    <w:rsid w:val="365315C9"/>
    <w:rsid w:val="36AF0BAB"/>
    <w:rsid w:val="371913BE"/>
    <w:rsid w:val="378D461B"/>
    <w:rsid w:val="37FE75BB"/>
    <w:rsid w:val="38016261"/>
    <w:rsid w:val="38EE6F0C"/>
    <w:rsid w:val="3B3F7088"/>
    <w:rsid w:val="3BA35F48"/>
    <w:rsid w:val="3C0D5D66"/>
    <w:rsid w:val="3C4D783E"/>
    <w:rsid w:val="3C787B2C"/>
    <w:rsid w:val="3E1C4D45"/>
    <w:rsid w:val="3F065BC9"/>
    <w:rsid w:val="3F3241AD"/>
    <w:rsid w:val="403714E7"/>
    <w:rsid w:val="435A0E61"/>
    <w:rsid w:val="439E414F"/>
    <w:rsid w:val="446C54AC"/>
    <w:rsid w:val="44964C96"/>
    <w:rsid w:val="461F5A82"/>
    <w:rsid w:val="46882A19"/>
    <w:rsid w:val="48B049D3"/>
    <w:rsid w:val="4A485D2D"/>
    <w:rsid w:val="4A8179E9"/>
    <w:rsid w:val="4B31050A"/>
    <w:rsid w:val="4C8C2F86"/>
    <w:rsid w:val="4E414E54"/>
    <w:rsid w:val="4E5E41E1"/>
    <w:rsid w:val="4EB147B3"/>
    <w:rsid w:val="4EFA38DC"/>
    <w:rsid w:val="508437A4"/>
    <w:rsid w:val="50BF1224"/>
    <w:rsid w:val="57751D31"/>
    <w:rsid w:val="59AE1BAC"/>
    <w:rsid w:val="5AF65668"/>
    <w:rsid w:val="5C633D0A"/>
    <w:rsid w:val="5C95789C"/>
    <w:rsid w:val="5D401EF4"/>
    <w:rsid w:val="5E853841"/>
    <w:rsid w:val="5EAA59CA"/>
    <w:rsid w:val="5EB3225B"/>
    <w:rsid w:val="60F51C6C"/>
    <w:rsid w:val="619839AD"/>
    <w:rsid w:val="65CA185A"/>
    <w:rsid w:val="67320EEA"/>
    <w:rsid w:val="67970435"/>
    <w:rsid w:val="68463483"/>
    <w:rsid w:val="69044E3E"/>
    <w:rsid w:val="69116EA1"/>
    <w:rsid w:val="6A8555DF"/>
    <w:rsid w:val="6AD15297"/>
    <w:rsid w:val="6BD0129A"/>
    <w:rsid w:val="6E9D291D"/>
    <w:rsid w:val="6F925985"/>
    <w:rsid w:val="705138F6"/>
    <w:rsid w:val="714465D1"/>
    <w:rsid w:val="73753409"/>
    <w:rsid w:val="746A4EBA"/>
    <w:rsid w:val="74753425"/>
    <w:rsid w:val="750F3E3B"/>
    <w:rsid w:val="75EE6020"/>
    <w:rsid w:val="7A9A344D"/>
    <w:rsid w:val="7C345B5A"/>
    <w:rsid w:val="7F97750B"/>
    <w:rsid w:val="7FB053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link w:val="17"/>
    <w:qFormat/>
    <w:uiPriority w:val="0"/>
    <w:pPr>
      <w:keepNext/>
      <w:keepLines/>
      <w:widowControl w:val="0"/>
      <w:spacing w:before="260" w:after="260" w:line="415" w:lineRule="auto"/>
      <w:outlineLvl w:val="1"/>
    </w:pPr>
    <w:rPr>
      <w:rFonts w:ascii="Cambria" w:hAnsi="Cambria" w:eastAsia="宋体" w:cs="Times New Roman"/>
      <w:b/>
      <w:bCs/>
      <w:sz w:val="32"/>
      <w:szCs w:val="32"/>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30" w:beforeLines="30"/>
    </w:pPr>
    <w:rPr>
      <w:rFonts w:ascii="仿宋_GB2312" w:eastAsia="仿宋_GB2312"/>
      <w:kern w:val="0"/>
      <w:sz w:val="30"/>
    </w:rPr>
  </w:style>
  <w:style w:type="paragraph" w:styleId="6">
    <w:name w:val="toc 3"/>
    <w:basedOn w:val="1"/>
    <w:next w:val="1"/>
    <w:qFormat/>
    <w:uiPriority w:val="0"/>
    <w:pPr>
      <w:tabs>
        <w:tab w:val="right" w:leader="dot" w:pos="8296"/>
      </w:tabs>
      <w:ind w:left="400" w:leftChars="4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0"/>
    <w:pPr>
      <w:tabs>
        <w:tab w:val="right" w:leader="dot" w:pos="8296"/>
      </w:tabs>
      <w:spacing w:before="93"/>
      <w:jc w:val="center"/>
    </w:pPr>
    <w:rPr>
      <w:rFonts w:ascii="仿宋" w:eastAsia="仿宋"/>
      <w:sz w:val="28"/>
      <w:szCs w:val="28"/>
    </w:rPr>
  </w:style>
  <w:style w:type="paragraph" w:styleId="11">
    <w:name w:val="toc 2"/>
    <w:basedOn w:val="1"/>
    <w:next w:val="1"/>
    <w:qFormat/>
    <w:uiPriority w:val="0"/>
    <w:pPr>
      <w:tabs>
        <w:tab w:val="right" w:leader="dot" w:pos="8296"/>
      </w:tabs>
      <w:ind w:left="200" w:leftChars="200"/>
    </w:p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customStyle="1" w:styleId="16">
    <w:name w:val="heading 1 Char"/>
    <w:basedOn w:val="13"/>
    <w:link w:val="3"/>
    <w:qFormat/>
    <w:uiPriority w:val="0"/>
    <w:rPr>
      <w:rFonts w:ascii="Times New Roman" w:hAnsi="Times New Roman" w:eastAsia="宋体" w:cs="Times New Roman"/>
      <w:b/>
      <w:bCs/>
      <w:kern w:val="44"/>
      <w:sz w:val="44"/>
      <w:szCs w:val="44"/>
      <w:lang w:val="en-US" w:eastAsia="zh-CN" w:bidi="ar-SA"/>
    </w:rPr>
  </w:style>
  <w:style w:type="character" w:customStyle="1" w:styleId="17">
    <w:name w:val="heading 2 Char"/>
    <w:basedOn w:val="13"/>
    <w:link w:val="4"/>
    <w:qFormat/>
    <w:uiPriority w:val="0"/>
    <w:rPr>
      <w:rFonts w:ascii="Cambria" w:hAnsi="Cambria" w:eastAsia="宋体" w:cs="Times New Roman"/>
      <w:b/>
      <w:bCs/>
      <w:kern w:val="2"/>
      <w:sz w:val="32"/>
      <w:szCs w:val="32"/>
      <w:lang w:val="en-US" w:eastAsia="zh-CN" w:bidi="ar-SA"/>
    </w:rPr>
  </w:style>
  <w:style w:type="character" w:customStyle="1" w:styleId="18">
    <w:name w:val="Header Char"/>
    <w:basedOn w:val="13"/>
    <w:qFormat/>
    <w:uiPriority w:val="0"/>
    <w:rPr>
      <w:rFonts w:ascii="Times New Roman" w:hAnsi="Times New Roman"/>
      <w:sz w:val="18"/>
      <w:szCs w:val="18"/>
    </w:rPr>
  </w:style>
  <w:style w:type="character" w:customStyle="1" w:styleId="19">
    <w:name w:val="Footer Char"/>
    <w:basedOn w:val="13"/>
    <w:qFormat/>
    <w:uiPriority w:val="0"/>
    <w:rPr>
      <w:rFonts w:ascii="Times New Roman" w:hAnsi="Times New Roman"/>
      <w:sz w:val="18"/>
      <w:szCs w:val="18"/>
    </w:rPr>
  </w:style>
  <w:style w:type="character" w:customStyle="1" w:styleId="20">
    <w:name w:val="Body Text Char"/>
    <w:basedOn w:val="13"/>
    <w:qFormat/>
    <w:uiPriority w:val="0"/>
    <w:rPr>
      <w:rFonts w:ascii="Times New Roman" w:hAnsi="Times New Roman"/>
      <w:szCs w:val="24"/>
    </w:rPr>
  </w:style>
  <w:style w:type="paragraph" w:customStyle="1" w:styleId="21">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22">
    <w:name w:val="List Paragraph"/>
    <w:basedOn w:val="1"/>
    <w:qFormat/>
    <w:uiPriority w:val="0"/>
    <w:pPr>
      <w:ind w:firstLine="200" w:firstLineChars="200"/>
    </w:pPr>
  </w:style>
  <w:style w:type="paragraph" w:customStyle="1" w:styleId="23">
    <w:name w:val="TOC 标题1"/>
    <w:basedOn w:val="3"/>
    <w:next w:val="1"/>
    <w:qFormat/>
    <w:uiPriority w:val="0"/>
    <w:pPr>
      <w:keepNext/>
      <w:keepLines/>
      <w:widowControl/>
      <w:spacing w:before="480" w:after="0" w:line="276" w:lineRule="auto"/>
      <w:jc w:val="left"/>
      <w:outlineLvl w:val="9"/>
    </w:pPr>
    <w:rPr>
      <w:rFonts w:ascii="Cambria" w:hAnsi="Cambria" w:eastAsia="宋体" w:cs="Times New Roman"/>
      <w:color w:val="376092"/>
      <w:kern w:val="0"/>
      <w:sz w:val="28"/>
      <w:szCs w:val="28"/>
    </w:rPr>
  </w:style>
  <w:style w:type="paragraph" w:customStyle="1" w:styleId="24">
    <w:name w:val="TOC Heading"/>
    <w:basedOn w:val="3"/>
    <w:next w:val="1"/>
    <w:qFormat/>
    <w:uiPriority w:val="0"/>
    <w:pPr>
      <w:keepNext/>
      <w:keepLines/>
      <w:widowControl/>
      <w:spacing w:before="480" w:after="0" w:line="276" w:lineRule="auto"/>
      <w:jc w:val="left"/>
      <w:outlineLvl w:val="9"/>
    </w:pPr>
    <w:rPr>
      <w:rFonts w:ascii="Cambria" w:hAnsi="Cambria" w:eastAsia="宋体" w:cs="Times New Roman"/>
      <w:color w:val="376092"/>
      <w:kern w:val="0"/>
      <w:sz w:val="28"/>
      <w:szCs w:val="28"/>
    </w:rPr>
  </w:style>
  <w:style w:type="character" w:customStyle="1" w:styleId="25">
    <w:name w:val="fontstyle01"/>
    <w:basedOn w:val="13"/>
    <w:qFormat/>
    <w:uiPriority w:val="0"/>
    <w:rPr>
      <w:rFonts w:ascii="仿宋_GB2312" w:eastAsia="仿宋_GB2312"/>
      <w:color w:val="000000"/>
      <w:sz w:val="32"/>
      <w:szCs w:val="32"/>
    </w:rPr>
  </w:style>
  <w:style w:type="character" w:customStyle="1" w:styleId="26">
    <w:name w:val="font51"/>
    <w:basedOn w:val="13"/>
    <w:qFormat/>
    <w:uiPriority w:val="0"/>
    <w:rPr>
      <w:rFonts w:ascii="方正小标宋_GBK" w:eastAsia="方正小标宋_GBK" w:cs="方正小标宋_GBK"/>
      <w:color w:val="000000"/>
      <w:sz w:val="28"/>
      <w:szCs w:val="28"/>
      <w:u w:val="none"/>
    </w:rPr>
  </w:style>
  <w:style w:type="character" w:customStyle="1" w:styleId="27">
    <w:name w:val="font41"/>
    <w:basedOn w:val="13"/>
    <w:qFormat/>
    <w:uiPriority w:val="0"/>
    <w:rPr>
      <w:rFonts w:ascii="Times New Roman" w:hAnsi="Times New Roman" w:cs="Times New Roman"/>
      <w:color w:val="000000"/>
      <w:sz w:val="28"/>
      <w:szCs w:val="28"/>
      <w:u w:val="none"/>
    </w:rPr>
  </w:style>
  <w:style w:type="character" w:customStyle="1" w:styleId="28">
    <w:name w:val="font81"/>
    <w:basedOn w:val="13"/>
    <w:qFormat/>
    <w:uiPriority w:val="0"/>
    <w:rPr>
      <w:rFonts w:ascii="宋体" w:eastAsia="宋体" w:cs="宋体"/>
      <w:color w:val="000000"/>
      <w:sz w:val="24"/>
      <w:szCs w:val="24"/>
      <w:u w:val="none"/>
    </w:rPr>
  </w:style>
  <w:style w:type="character" w:customStyle="1" w:styleId="29">
    <w:name w:val="font61"/>
    <w:basedOn w:val="13"/>
    <w:qFormat/>
    <w:uiPriority w:val="0"/>
    <w:rPr>
      <w:rFonts w:ascii="仿宋_GB2312" w:eastAsia="仿宋_GB2312" w:cs="仿宋_GB2312"/>
      <w:color w:val="000000"/>
      <w:sz w:val="24"/>
      <w:szCs w:val="24"/>
      <w:u w:val="none"/>
    </w:rPr>
  </w:style>
  <w:style w:type="character" w:customStyle="1" w:styleId="30">
    <w:name w:val="font21"/>
    <w:basedOn w:val="13"/>
    <w:qFormat/>
    <w:uiPriority w:val="0"/>
    <w:rPr>
      <w:rFonts w:ascii="Times New Roman" w:hAnsi="Times New Roman" w:cs="Times New Roman"/>
      <w:color w:val="000000"/>
      <w:sz w:val="24"/>
      <w:szCs w:val="24"/>
      <w:u w:val="none"/>
    </w:rPr>
  </w:style>
  <w:style w:type="character" w:customStyle="1" w:styleId="31">
    <w:name w:val="font31"/>
    <w:basedOn w:val="13"/>
    <w:qFormat/>
    <w:uiPriority w:val="0"/>
    <w:rPr>
      <w:rFonts w:ascii="Times New Roman" w:hAnsi="Times New Roman" w:cs="Times New Roman"/>
      <w:color w:val="000000"/>
      <w:sz w:val="24"/>
      <w:szCs w:val="24"/>
      <w:u w:val="none"/>
    </w:rPr>
  </w:style>
  <w:style w:type="character" w:customStyle="1" w:styleId="32">
    <w:name w:val="font71"/>
    <w:basedOn w:val="13"/>
    <w:qFormat/>
    <w:uiPriority w:val="0"/>
    <w:rPr>
      <w:rFonts w:ascii="仿宋_GB2312" w:eastAsia="仿宋_GB2312" w:cs="仿宋_GB2312"/>
      <w:color w:val="000000"/>
      <w:sz w:val="24"/>
      <w:szCs w:val="24"/>
      <w:u w:val="none"/>
    </w:rPr>
  </w:style>
  <w:style w:type="character" w:customStyle="1" w:styleId="33">
    <w:name w:val="font11"/>
    <w:basedOn w:val="13"/>
    <w:qFormat/>
    <w:uiPriority w:val="0"/>
    <w:rPr>
      <w:rFonts w:ascii="Arial" w:hAnsi="Arial" w:cs="Arial"/>
      <w:color w:val="000000"/>
      <w:sz w:val="20"/>
      <w:szCs w:val="20"/>
      <w:u w:val="none"/>
    </w:rPr>
  </w:style>
  <w:style w:type="character" w:customStyle="1" w:styleId="34">
    <w:name w:val="font01"/>
    <w:basedOn w:val="13"/>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0" i="0" u="none" strike="noStrike" kern="1200" baseline="0">
                <a:solidFill>
                  <a:srgbClr val="000000"/>
                </a:solidFill>
                <a:latin typeface="方正兰亭黑_GBK"/>
                <a:ea typeface="方正兰亭黑_GBK"/>
                <a:cs typeface="Lucida Sans" panose="020B0602030504020204"/>
              </a:defRPr>
            </a:pPr>
            <a:r>
              <a:rPr lang="zh-CN" sz="1400" b="0" i="0" u="none" strike="noStrike" baseline="0">
                <a:solidFill>
                  <a:srgbClr val="595959"/>
                </a:solidFill>
                <a:latin typeface="方正兰亭黑_GBK"/>
                <a:ea typeface="方正兰亭黑_GBK"/>
                <a:cs typeface="Lucida Sans" panose="020B0602030504020204"/>
              </a:rPr>
              <a:t>2020年、2019年收支变动表（单位：万元）</a:t>
            </a:r>
            <a:endParaRPr lang="zh-CN" sz="1400" b="0" i="0" u="none" strike="noStrike" baseline="0">
              <a:solidFill>
                <a:srgbClr val="595959"/>
              </a:solidFill>
              <a:latin typeface="方正兰亭黑_GBK"/>
              <a:ea typeface="方正兰亭黑_GBK"/>
              <a:cs typeface="Lucida Sans" panose="020B0602030504020204"/>
            </a:endParaRPr>
          </a:p>
        </c:rich>
      </c:tx>
      <c:layout/>
      <c:overlay val="0"/>
      <c:spPr>
        <a:noFill/>
        <a:ln>
          <a:noFill/>
        </a:ln>
      </c:spPr>
    </c:title>
    <c:autoTitleDeleted val="0"/>
    <c:plotArea>
      <c:layout/>
      <c:barChart>
        <c:barDir val="col"/>
        <c:grouping val="clustered"/>
        <c:varyColors val="0"/>
        <c:ser>
          <c:idx val="0"/>
          <c:order val="0"/>
          <c:tx>
            <c:strRef>
              <c:f>2020年</c:f>
              <c:strCache>
                <c:ptCount val="1"/>
                <c:pt idx="0">
                  <c:v>2020年</c:v>
                </c:pt>
              </c:strCache>
            </c:strRef>
          </c:tx>
          <c:spPr>
            <a:solidFill>
              <a:srgbClr val="4F81BD"/>
            </a:solidFill>
            <a:ln>
              <a:noFill/>
            </a:ln>
          </c:spPr>
          <c:invertIfNegative val="0"/>
          <c:dLbls>
            <c:dLbl>
              <c:idx val="0"/>
              <c:delete val="1"/>
            </c:dLbl>
            <c:dLbl>
              <c:idx val="1"/>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{"收入","支出"}</c:f>
              <c:strCache>
                <c:ptCount val="2"/>
                <c:pt idx="0">
                  <c:v>收入</c:v>
                </c:pt>
                <c:pt idx="1">
                  <c:v>支出</c:v>
                </c:pt>
              </c:strCache>
            </c:strRef>
          </c:cat>
          <c:val>
            <c:numRef>
              <c:f>{34804.38,34804.38}</c:f>
              <c:numCache>
                <c:formatCode>#,##0.00_ </c:formatCode>
                <c:ptCount val="2"/>
                <c:pt idx="0">
                  <c:v>34804.38</c:v>
                </c:pt>
                <c:pt idx="1">
                  <c:v>34804.38</c:v>
                </c:pt>
              </c:numCache>
            </c:numRef>
          </c:val>
        </c:ser>
        <c:ser>
          <c:idx val="1"/>
          <c:order val="1"/>
          <c:tx>
            <c:strRef>
              <c:f>2019年</c:f>
              <c:strCache>
                <c:ptCount val="1"/>
                <c:pt idx="0">
                  <c:v>2019年</c:v>
                </c:pt>
              </c:strCache>
            </c:strRef>
          </c:tx>
          <c:spPr>
            <a:solidFill>
              <a:srgbClr val="C0504D"/>
            </a:solidFill>
            <a:ln>
              <a:noFill/>
            </a:ln>
          </c:spPr>
          <c:invertIfNegative val="0"/>
          <c:dLbls>
            <c:dLbl>
              <c:idx val="0"/>
              <c:delete val="1"/>
            </c:dLbl>
            <c:dLbl>
              <c:idx val="1"/>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{"收入","支出"}</c:f>
              <c:strCache>
                <c:ptCount val="2"/>
                <c:pt idx="0">
                  <c:v>收入</c:v>
                </c:pt>
                <c:pt idx="1">
                  <c:v>支出</c:v>
                </c:pt>
              </c:strCache>
            </c:strRef>
          </c:cat>
          <c:val>
            <c:numRef>
              <c:f>{32558.96,32558.96}</c:f>
              <c:numCache>
                <c:formatCode>#,##0.00_ </c:formatCode>
                <c:ptCount val="2"/>
                <c:pt idx="0">
                  <c:v>32558.96</c:v>
                </c:pt>
                <c:pt idx="1">
                  <c:v>32558.96</c:v>
                </c:pt>
              </c:numCache>
            </c:numRef>
          </c:val>
        </c:ser>
        <c:dLbls>
          <c:showLegendKey val="0"/>
          <c:showVal val="0"/>
          <c:showCatName val="0"/>
          <c:showSerName val="0"/>
          <c:showPercent val="0"/>
          <c:showBubbleSize val="0"/>
        </c:dLbls>
        <c:gapWidth val="219"/>
        <c:overlap val="-27"/>
        <c:axId val="0"/>
        <c:axId val="1"/>
      </c:barChart>
      <c:catAx>
        <c:axId val="0"/>
        <c:scaling>
          <c:orientation val="minMax"/>
        </c:scaling>
        <c:delete val="0"/>
        <c:axPos val="b"/>
        <c:numFmt formatCode="General" sourceLinked="0"/>
        <c:majorTickMark val="none"/>
        <c:minorTickMark val="none"/>
        <c:tickLblPos val="nextTo"/>
        <c:spPr>
          <a:ln w="6350" cap="flat" cmpd="sng" algn="ctr">
            <a:solidFill>
              <a:srgbClr val="D9D9D9"/>
            </a:solid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方正兰亭黑_GBK"/>
                <a:ea typeface="方正兰亭黑_GBK"/>
                <a:cs typeface="Lucida Sans" panose="020B0602030504020204"/>
              </a:defRPr>
            </a:pPr>
          </a:p>
        </c:txPr>
        <c:crossAx val="1"/>
        <c:crosses val="autoZero"/>
        <c:auto val="1"/>
        <c:lblAlgn val="ctr"/>
        <c:lblOffset val="100"/>
        <c:noMultiLvlLbl val="0"/>
      </c:catAx>
      <c:valAx>
        <c:axId val="1"/>
        <c:scaling>
          <c:orientation val="minMax"/>
        </c:scaling>
        <c:delete val="0"/>
        <c:axPos val="l"/>
        <c:majorGridlines>
          <c:spPr>
            <a:ln w="6350" cap="flat" cmpd="sng" algn="ctr">
              <a:solidFill>
                <a:srgbClr val="D9D9D9"/>
              </a:solidFill>
              <a:prstDash val="solid"/>
              <a:round/>
            </a:ln>
          </c:spPr>
        </c:majorGridlines>
        <c:numFmt formatCode="#,##0.00_ "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方正兰亭黑_GBK"/>
                <a:ea typeface="方正兰亭黑_GBK"/>
                <a:cs typeface="Lucida Sans" panose="020B0602030504020204"/>
              </a:defRPr>
            </a:pPr>
          </a:p>
        </c:txPr>
        <c:crossAx val="0"/>
        <c:crossesAt val="1"/>
        <c:crossBetween val="between"/>
      </c:valAx>
      <c:spPr>
        <a:noFill/>
        <a:ln>
          <a:noFill/>
        </a:ln>
      </c:spPr>
    </c:plotArea>
    <c:legend>
      <c:legendPos val="b"/>
      <c:layout/>
      <c:overlay val="0"/>
      <c:spPr>
        <a:noFill/>
        <a:ln>
          <a:noFill/>
        </a:ln>
      </c:spPr>
      <c:txPr>
        <a:bodyPr rot="0" spcFirstLastPara="0" vertOverflow="ellipsis" vert="horz" wrap="square" anchor="ctr" anchorCtr="1"/>
        <a:lstStyle/>
        <a:p>
          <a:pPr>
            <a:defRPr lang="zh-CN" sz="900" b="0" i="0" u="none" strike="noStrike" kern="1200" baseline="0">
              <a:solidFill>
                <a:srgbClr val="595959"/>
              </a:solidFill>
              <a:latin typeface="方正兰亭黑_GBK"/>
              <a:ea typeface="方正兰亭黑_GBK"/>
              <a:cs typeface="Lucida Sans" panose="020B0602030504020204"/>
            </a:defRPr>
          </a:pPr>
        </a:p>
      </c:txPr>
    </c:legend>
    <c:plotVisOnly val="1"/>
    <c:dispBlanksAs val="gap"/>
    <c:showDLblsOverMax val="0"/>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D9D9D9"/>
                </a:solidFill>
                <a:latin typeface="微软雅黑" panose="020B0503020204020204" charset="-122"/>
                <a:ea typeface="微软雅黑" panose="020B0503020204020204" charset="-122"/>
                <a:cs typeface="Lucida Sans" panose="020B0602030504020204"/>
              </a:defRPr>
            </a:pPr>
            <a:r>
              <a:rPr lang="zh-CN"/>
              <a:t>收入机构图</a:t>
            </a:r>
            <a:endParaRPr lang="zh-CN"/>
          </a:p>
        </c:rich>
      </c:tx>
      <c:layout/>
      <c:overlay val="0"/>
      <c:spPr>
        <a:noFill/>
        <a:ln>
          <a:noFill/>
        </a:ln>
      </c:spPr>
    </c:title>
    <c:autoTitleDeleted val="0"/>
    <c:plotArea>
      <c:layout>
        <c:manualLayout>
          <c:layoutTarget val="inner"/>
          <c:xMode val="edge"/>
          <c:yMode val="edge"/>
          <c:x val="0.33150482"/>
          <c:y val="0.32746428"/>
          <c:w val="0.34254616"/>
          <c:h val="0.5709103"/>
        </c:manualLayout>
      </c:layout>
      <c:pieChart>
        <c:varyColors val="1"/>
        <c:ser>
          <c:idx val="0"/>
          <c:order val="0"/>
          <c:spPr>
            <a:solidFill>
              <a:srgbClr val="FA6600"/>
            </a:solidFill>
            <a:ln>
              <a:noFill/>
            </a:ln>
            <a:effectLst>
              <a:outerShdw dist="35921" dir="2700000" algn="br">
                <a:srgbClr val="000000"/>
              </a:outerShdw>
            </a:effectLst>
          </c:spPr>
          <c:explosion val="3"/>
          <c:dPt>
            <c:idx val="0"/>
            <c:bubble3D val="0"/>
            <c:spPr>
              <a:solidFill>
                <a:srgbClr val="FA6600"/>
              </a:solidFill>
              <a:ln w="19050">
                <a:solidFill>
                  <a:srgbClr val="FFFFFF"/>
                </a:solidFill>
                <a:prstDash val="sysDash"/>
              </a:ln>
              <a:effectLst>
                <a:outerShdw dist="35921" dir="2700000" algn="br">
                  <a:srgbClr val="000000"/>
                </a:outerShdw>
              </a:effectLst>
            </c:spPr>
          </c:dPt>
          <c:dPt>
            <c:idx val="1"/>
            <c:bubble3D val="0"/>
            <c:spPr>
              <a:solidFill>
                <a:srgbClr val="F1F5DE"/>
              </a:solidFill>
              <a:ln w="19050">
                <a:solidFill>
                  <a:srgbClr val="FFFFFF"/>
                </a:solidFill>
                <a:prstDash val="sysDash"/>
              </a:ln>
              <a:effectLst>
                <a:outerShdw dist="35921" dir="2700000" algn="br">
                  <a:srgbClr val="000000"/>
                </a:outerShdw>
              </a:effectLst>
            </c:spPr>
          </c:dPt>
          <c:dPt>
            <c:idx val="2"/>
            <c:bubble3D val="0"/>
            <c:spPr>
              <a:solidFill>
                <a:srgbClr val="45C4C5"/>
              </a:solidFill>
              <a:ln w="19050">
                <a:solidFill>
                  <a:srgbClr val="FFFFFF"/>
                </a:solidFill>
                <a:prstDash val="sysDash"/>
              </a:ln>
              <a:effectLst>
                <a:outerShdw dist="35921" dir="2700000" algn="br">
                  <a:srgbClr val="000000"/>
                </a:outerShdw>
              </a:effectLst>
            </c:spPr>
          </c:dPt>
          <c:dPt>
            <c:idx val="3"/>
            <c:bubble3D val="0"/>
            <c:spPr>
              <a:solidFill>
                <a:srgbClr val="FA6600"/>
              </a:solidFill>
              <a:ln>
                <a:noFill/>
              </a:ln>
              <a:effectLst>
                <a:outerShdw dist="35921" dir="2700000" algn="br">
                  <a:srgbClr val="000000"/>
                </a:outerShdw>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D9D9D9"/>
                    </a:solidFill>
                    <a:latin typeface="微软雅黑" panose="020B0503020204020204" charset="-122"/>
                    <a:ea typeface="微软雅黑" panose="020B0503020204020204" charset="-122"/>
                    <a:cs typeface="Lucida Sans" panose="020B0602030504020204"/>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{"一般公共预算财政拨款","政府性基金预算财政拨款","上级补助","事业收入"}</c:f>
              <c:strCache>
                <c:ptCount val="4"/>
                <c:pt idx="0">
                  <c:v>一般公共预算财政拨款</c:v>
                </c:pt>
                <c:pt idx="1">
                  <c:v>政府性基金预算财政拨款</c:v>
                </c:pt>
                <c:pt idx="2">
                  <c:v>上级补助</c:v>
                </c:pt>
                <c:pt idx="3">
                  <c:v>事业收入</c:v>
                </c:pt>
              </c:strCache>
            </c:strRef>
          </c:cat>
          <c:val>
            <c:numRef>
              <c:f>{29151.19,853.95,14,4781.81}</c:f>
              <c:numCache>
                <c:formatCode>General</c:formatCode>
                <c:ptCount val="4"/>
                <c:pt idx="0">
                  <c:v>29151.19</c:v>
                </c:pt>
                <c:pt idx="1">
                  <c:v>853.95</c:v>
                </c:pt>
                <c:pt idx="2">
                  <c:v>14</c:v>
                </c:pt>
                <c:pt idx="3">
                  <c:v>4781.81</c:v>
                </c:pt>
              </c:numCache>
            </c:numRef>
          </c:val>
        </c:ser>
        <c:dLbls>
          <c:showLegendKey val="0"/>
          <c:showVal val="0"/>
          <c:showCatName val="0"/>
          <c:showSerName val="0"/>
          <c:showPercent val="1"/>
          <c:showBubbleSize val="0"/>
          <c:showLeaderLines val="1"/>
        </c:dLbls>
        <c:firstSliceAng val="0"/>
      </c:pieChart>
      <c:spPr>
        <a:noFill/>
        <a:ln>
          <a:noFill/>
        </a:ln>
      </c:spPr>
    </c:plotArea>
    <c:legend>
      <c:legendPos val="t"/>
      <c:layout>
        <c:manualLayout>
          <c:xMode val="edge"/>
          <c:yMode val="edge"/>
          <c:x val="0.26472223"/>
          <c:y val="0.4298541"/>
        </c:manualLayout>
      </c:layout>
      <c:overlay val="0"/>
      <c:spPr>
        <a:noFill/>
        <a:ln>
          <a:noFill/>
        </a:ln>
      </c:spPr>
      <c:txPr>
        <a:bodyPr rot="0" spcFirstLastPara="0" vertOverflow="ellipsis" vert="horz" wrap="square" anchor="ctr" anchorCtr="1"/>
        <a:lstStyle/>
        <a:p>
          <a:pPr>
            <a:defRPr lang="zh-CN" sz="900" b="0" i="0" u="none" strike="noStrike" kern="1200" baseline="0">
              <a:solidFill>
                <a:srgbClr val="D9D9D9"/>
              </a:solidFill>
              <a:latin typeface="微软雅黑" panose="020B0503020204020204" charset="-122"/>
              <a:ea typeface="微软雅黑" panose="020B0503020204020204" charset="-122"/>
              <a:cs typeface="Lucida Sans" panose="020B0602030504020204"/>
            </a:defRPr>
          </a:pPr>
        </a:p>
      </c:txPr>
    </c:legend>
    <c:plotVisOnly val="1"/>
    <c:dispBlanksAs val="gap"/>
    <c:showDLblsOverMax val="0"/>
  </c:chart>
  <c:spPr>
    <a:gradFill rotWithShape="1">
      <a:gsLst>
        <a:gs pos="0">
          <a:srgbClr val="126A78">
            <a:alpha val="100000"/>
          </a:srgbClr>
        </a:gs>
        <a:gs pos="50000">
          <a:srgbClr val="168595">
            <a:alpha val="100000"/>
          </a:srgbClr>
        </a:gs>
        <a:gs pos="100000">
          <a:srgbClr val="126A78">
            <a:alpha val="100000"/>
          </a:srgbClr>
        </a:gs>
      </a:gsLst>
      <a:lin ang="5400000" scaled="1"/>
    </a:gradFill>
    <a:ln w="6350" cap="flat" cmpd="sng" algn="ctr">
      <a:solidFill>
        <a:srgbClr val="D9D9D9"/>
      </a:solidFill>
      <a:prstDash val="solid"/>
      <a:round/>
    </a:ln>
    <a:effectLst>
      <a:outerShdw blurRad="50800" dist="38100" dir="2700000" algn="tl" rotWithShape="0">
        <a:prstClr val="black">
          <a:alpha val="40000"/>
        </a:prstClr>
      </a:outerShdw>
    </a:effectLst>
  </c:spPr>
  <c:txPr>
    <a:bodyPr/>
    <a:lstStyle/>
    <a:p>
      <a:pPr>
        <a:defRPr lang="zh-CN" sz="1000" b="0" i="0" u="none" strike="noStrike" baseline="0">
          <a:solidFill>
            <a:srgbClr val="D9D9D9"/>
          </a:solidFill>
          <a:latin typeface="微软雅黑" panose="020B0503020204020204" charset="-122"/>
          <a:ea typeface="微软雅黑" panose="020B0503020204020204" charset="-122"/>
          <a:cs typeface="Lucida Sans" panose="020B0602030504020204"/>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D9D9D9"/>
                </a:solidFill>
                <a:latin typeface="微软雅黑" panose="020B0503020204020204" charset="-122"/>
                <a:ea typeface="微软雅黑" panose="020B0503020204020204" charset="-122"/>
                <a:cs typeface="Lucida Sans" panose="020B0602030504020204"/>
              </a:defRPr>
            </a:pPr>
            <a:r>
              <a:rPr lang="zh-CN"/>
              <a:t>支出决算结构图</a:t>
            </a:r>
            <a:endParaRPr lang="zh-CN"/>
          </a:p>
        </c:rich>
      </c:tx>
      <c:layout/>
      <c:overlay val="0"/>
      <c:spPr>
        <a:noFill/>
        <a:ln>
          <a:noFill/>
        </a:ln>
      </c:spPr>
    </c:title>
    <c:autoTitleDeleted val="0"/>
    <c:plotArea>
      <c:layout>
        <c:manualLayout>
          <c:layoutTarget val="inner"/>
          <c:xMode val="edge"/>
          <c:yMode val="edge"/>
          <c:x val="0.33150482"/>
          <c:y val="0.32746428"/>
          <c:w val="0.34254616"/>
          <c:h val="0.5709103"/>
        </c:manualLayout>
      </c:layout>
      <c:pieChart>
        <c:varyColors val="1"/>
        <c:ser>
          <c:idx val="0"/>
          <c:order val="0"/>
          <c:spPr>
            <a:solidFill>
              <a:srgbClr val="FA6600"/>
            </a:solidFill>
            <a:ln>
              <a:noFill/>
            </a:ln>
            <a:effectLst>
              <a:outerShdw dist="35921" dir="2700000" algn="br">
                <a:srgbClr val="000000"/>
              </a:outerShdw>
            </a:effectLst>
          </c:spPr>
          <c:explosion val="3"/>
          <c:dPt>
            <c:idx val="0"/>
            <c:bubble3D val="0"/>
            <c:spPr>
              <a:solidFill>
                <a:srgbClr val="FA6600"/>
              </a:solidFill>
              <a:ln w="19050">
                <a:solidFill>
                  <a:srgbClr val="FFFFFF"/>
                </a:solidFill>
                <a:prstDash val="sysDash"/>
              </a:ln>
              <a:effectLst>
                <a:outerShdw dist="35921" dir="2700000" algn="br">
                  <a:srgbClr val="000000"/>
                </a:outerShdw>
              </a:effectLst>
            </c:spPr>
          </c:dPt>
          <c:dPt>
            <c:idx val="1"/>
            <c:bubble3D val="0"/>
            <c:spPr>
              <a:solidFill>
                <a:srgbClr val="F1F5DE"/>
              </a:solidFill>
              <a:ln w="19050">
                <a:solidFill>
                  <a:srgbClr val="FFFFFF"/>
                </a:solidFill>
                <a:prstDash val="sysDash"/>
              </a:ln>
              <a:effectLst>
                <a:outerShdw dist="35921" dir="2700000" algn="br">
                  <a:srgbClr val="000000"/>
                </a:outerShdw>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D9D9D9"/>
                    </a:solidFill>
                    <a:latin typeface="微软雅黑" panose="020B0503020204020204" charset="-122"/>
                    <a:ea typeface="微软雅黑" panose="020B0503020204020204" charset="-122"/>
                    <a:cs typeface="Lucida Sans" panose="020B0602030504020204"/>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{"基本支出","项目支出"}</c:f>
              <c:strCache>
                <c:ptCount val="2"/>
                <c:pt idx="0">
                  <c:v>基本支出</c:v>
                </c:pt>
                <c:pt idx="1">
                  <c:v>项目支出</c:v>
                </c:pt>
              </c:strCache>
            </c:strRef>
          </c:cat>
          <c:val>
            <c:numRef>
              <c:f>{16647.06,17984.08}</c:f>
              <c:numCache>
                <c:formatCode>General</c:formatCode>
                <c:ptCount val="2"/>
                <c:pt idx="0">
                  <c:v>16647.06</c:v>
                </c:pt>
                <c:pt idx="1">
                  <c:v>17984.08</c:v>
                </c:pt>
              </c:numCache>
            </c:numRef>
          </c:val>
        </c:ser>
        <c:dLbls>
          <c:showLegendKey val="0"/>
          <c:showVal val="0"/>
          <c:showCatName val="0"/>
          <c:showSerName val="0"/>
          <c:showPercent val="1"/>
          <c:showBubbleSize val="0"/>
          <c:showLeaderLines val="1"/>
        </c:dLbls>
        <c:firstSliceAng val="0"/>
      </c:pieChart>
      <c:spPr>
        <a:noFill/>
        <a:ln>
          <a:noFill/>
        </a:ln>
      </c:spPr>
    </c:plotArea>
    <c:legend>
      <c:legendPos val="t"/>
      <c:layout/>
      <c:overlay val="0"/>
      <c:spPr>
        <a:noFill/>
        <a:ln>
          <a:noFill/>
        </a:ln>
      </c:spPr>
      <c:txPr>
        <a:bodyPr rot="0" spcFirstLastPara="0" vertOverflow="ellipsis" vert="horz" wrap="square" anchor="ctr" anchorCtr="1"/>
        <a:lstStyle/>
        <a:p>
          <a:pPr>
            <a:defRPr lang="zh-CN" sz="900" b="0" i="0" u="none" strike="noStrike" kern="1200" baseline="0">
              <a:solidFill>
                <a:srgbClr val="D9D9D9"/>
              </a:solidFill>
              <a:latin typeface="微软雅黑" panose="020B0503020204020204" charset="-122"/>
              <a:ea typeface="微软雅黑" panose="020B0503020204020204" charset="-122"/>
              <a:cs typeface="Lucida Sans" panose="020B0602030504020204"/>
            </a:defRPr>
          </a:pPr>
        </a:p>
      </c:txPr>
    </c:legend>
    <c:plotVisOnly val="1"/>
    <c:dispBlanksAs val="gap"/>
    <c:showDLblsOverMax val="0"/>
  </c:chart>
  <c:spPr>
    <a:gradFill rotWithShape="1">
      <a:gsLst>
        <a:gs pos="0">
          <a:srgbClr val="126A78">
            <a:alpha val="100000"/>
          </a:srgbClr>
        </a:gs>
        <a:gs pos="50000">
          <a:srgbClr val="168595">
            <a:alpha val="100000"/>
          </a:srgbClr>
        </a:gs>
        <a:gs pos="100000">
          <a:srgbClr val="126A78">
            <a:alpha val="100000"/>
          </a:srgbClr>
        </a:gs>
      </a:gsLst>
      <a:lin ang="5400000" scaled="1"/>
    </a:gradFill>
    <a:ln w="6350" cap="flat" cmpd="sng" algn="ctr">
      <a:solidFill>
        <a:srgbClr val="D9D9D9"/>
      </a:solidFill>
      <a:prstDash val="solid"/>
      <a:round/>
    </a:ln>
    <a:effectLst>
      <a:outerShdw blurRad="50800" dist="38100" dir="2700000" algn="tl" rotWithShape="0">
        <a:prstClr val="black">
          <a:alpha val="40000"/>
        </a:prstClr>
      </a:outerShdw>
    </a:effectLst>
  </c:spPr>
  <c:txPr>
    <a:bodyPr/>
    <a:lstStyle/>
    <a:p>
      <a:pPr>
        <a:defRPr lang="zh-CN" sz="1000" b="0" i="0" u="none" strike="noStrike" baseline="0">
          <a:solidFill>
            <a:srgbClr val="D9D9D9"/>
          </a:solidFill>
          <a:latin typeface="微软雅黑" panose="020B0503020204020204" charset="-122"/>
          <a:ea typeface="微软雅黑" panose="020B0503020204020204" charset="-122"/>
          <a:cs typeface="Lucida Sans" panose="020B0602030504020204"/>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0" i="0" u="none" strike="noStrike" kern="1200" baseline="0">
                <a:solidFill>
                  <a:srgbClr val="000000"/>
                </a:solidFill>
                <a:latin typeface="方正兰亭黑_GBK"/>
                <a:ea typeface="方正兰亭黑_GBK"/>
                <a:cs typeface="Lucida Sans" panose="020B0602030504020204"/>
              </a:defRPr>
            </a:pPr>
            <a:r>
              <a:rPr lang="zh-CN" sz="1400" b="0" i="0" u="none" strike="noStrike" baseline="0">
                <a:solidFill>
                  <a:srgbClr val="595959"/>
                </a:solidFill>
                <a:latin typeface="方正兰亭黑_GBK"/>
                <a:ea typeface="方正兰亭黑_GBK"/>
                <a:cs typeface="Lucida Sans" panose="020B0602030504020204"/>
              </a:rPr>
              <a:t>2020年、2019年财政拨款收支变动表（单位：万元）</a:t>
            </a:r>
            <a:endParaRPr lang="zh-CN" sz="1400" b="0" i="0" u="none" strike="noStrike" baseline="0">
              <a:solidFill>
                <a:srgbClr val="595959"/>
              </a:solidFill>
              <a:latin typeface="方正兰亭黑_GBK"/>
              <a:ea typeface="方正兰亭黑_GBK"/>
              <a:cs typeface="Lucida Sans" panose="020B0602030504020204"/>
            </a:endParaRPr>
          </a:p>
        </c:rich>
      </c:tx>
      <c:layout/>
      <c:overlay val="0"/>
      <c:spPr>
        <a:noFill/>
        <a:ln>
          <a:noFill/>
        </a:ln>
      </c:spPr>
    </c:title>
    <c:autoTitleDeleted val="0"/>
    <c:plotArea>
      <c:layout/>
      <c:barChart>
        <c:barDir val="col"/>
        <c:grouping val="clustered"/>
        <c:varyColors val="0"/>
        <c:ser>
          <c:idx val="0"/>
          <c:order val="0"/>
          <c:tx>
            <c:strRef>
              <c:f>2020年</c:f>
              <c:strCache>
                <c:ptCount val="1"/>
                <c:pt idx="0">
                  <c:v>2020年</c:v>
                </c:pt>
              </c:strCache>
            </c:strRef>
          </c:tx>
          <c:spPr>
            <a:solidFill>
              <a:srgbClr val="4F81BD"/>
            </a:solidFill>
            <a:ln>
              <a:noFill/>
            </a:ln>
          </c:spPr>
          <c:invertIfNegative val="0"/>
          <c:dLbls>
            <c:dLbl>
              <c:idx val="0"/>
              <c:delete val="1"/>
            </c:dLbl>
            <c:dLbl>
              <c:idx val="1"/>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{"收入","支出"}</c:f>
              <c:strCache>
                <c:ptCount val="2"/>
                <c:pt idx="0">
                  <c:v>收入</c:v>
                </c:pt>
                <c:pt idx="1">
                  <c:v>支出</c:v>
                </c:pt>
              </c:strCache>
            </c:strRef>
          </c:cat>
          <c:val>
            <c:numRef>
              <c:f>{34804.38,34804.38}</c:f>
              <c:numCache>
                <c:formatCode>#,##0.00_ </c:formatCode>
                <c:ptCount val="2"/>
                <c:pt idx="0">
                  <c:v>34804.38</c:v>
                </c:pt>
                <c:pt idx="1">
                  <c:v>34804.38</c:v>
                </c:pt>
              </c:numCache>
            </c:numRef>
          </c:val>
        </c:ser>
        <c:ser>
          <c:idx val="1"/>
          <c:order val="1"/>
          <c:tx>
            <c:strRef>
              <c:f>2019年</c:f>
              <c:strCache>
                <c:ptCount val="1"/>
                <c:pt idx="0">
                  <c:v>2019年</c:v>
                </c:pt>
              </c:strCache>
            </c:strRef>
          </c:tx>
          <c:spPr>
            <a:solidFill>
              <a:srgbClr val="C0504D"/>
            </a:solidFill>
            <a:ln>
              <a:noFill/>
            </a:ln>
          </c:spPr>
          <c:invertIfNegative val="0"/>
          <c:dLbls>
            <c:dLbl>
              <c:idx val="0"/>
              <c:delete val="1"/>
            </c:dLbl>
            <c:dLbl>
              <c:idx val="1"/>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{"收入","支出"}</c:f>
              <c:strCache>
                <c:ptCount val="2"/>
                <c:pt idx="0">
                  <c:v>收入</c:v>
                </c:pt>
                <c:pt idx="1">
                  <c:v>支出</c:v>
                </c:pt>
              </c:strCache>
            </c:strRef>
          </c:cat>
          <c:val>
            <c:numRef>
              <c:f>{32558.96,32558.96}</c:f>
              <c:numCache>
                <c:formatCode>#,##0.00_ </c:formatCode>
                <c:ptCount val="2"/>
                <c:pt idx="0">
                  <c:v>32558.96</c:v>
                </c:pt>
                <c:pt idx="1">
                  <c:v>32558.96</c:v>
                </c:pt>
              </c:numCache>
            </c:numRef>
          </c:val>
        </c:ser>
        <c:dLbls>
          <c:showLegendKey val="0"/>
          <c:showVal val="0"/>
          <c:showCatName val="0"/>
          <c:showSerName val="0"/>
          <c:showPercent val="0"/>
          <c:showBubbleSize val="0"/>
        </c:dLbls>
        <c:gapWidth val="219"/>
        <c:overlap val="-27"/>
        <c:axId val="0"/>
        <c:axId val="1"/>
      </c:barChart>
      <c:catAx>
        <c:axId val="0"/>
        <c:scaling>
          <c:orientation val="minMax"/>
        </c:scaling>
        <c:delete val="0"/>
        <c:axPos val="b"/>
        <c:numFmt formatCode="General" sourceLinked="0"/>
        <c:majorTickMark val="none"/>
        <c:minorTickMark val="none"/>
        <c:tickLblPos val="nextTo"/>
        <c:spPr>
          <a:ln w="6350" cap="flat" cmpd="sng" algn="ctr">
            <a:solidFill>
              <a:srgbClr val="D9D9D9"/>
            </a:solid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方正兰亭黑_GBK"/>
                <a:ea typeface="方正兰亭黑_GBK"/>
                <a:cs typeface="Lucida Sans" panose="020B0602030504020204"/>
              </a:defRPr>
            </a:pPr>
          </a:p>
        </c:txPr>
        <c:crossAx val="1"/>
        <c:crosses val="autoZero"/>
        <c:auto val="1"/>
        <c:lblAlgn val="ctr"/>
        <c:lblOffset val="100"/>
        <c:noMultiLvlLbl val="0"/>
      </c:catAx>
      <c:valAx>
        <c:axId val="1"/>
        <c:scaling>
          <c:orientation val="minMax"/>
        </c:scaling>
        <c:delete val="0"/>
        <c:axPos val="l"/>
        <c:majorGridlines>
          <c:spPr>
            <a:ln w="6350" cap="flat" cmpd="sng" algn="ctr">
              <a:solidFill>
                <a:srgbClr val="D9D9D9"/>
              </a:solidFill>
              <a:prstDash val="solid"/>
              <a:round/>
            </a:ln>
          </c:spPr>
        </c:majorGridlines>
        <c:numFmt formatCode="#,##0.00_ "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方正兰亭黑_GBK"/>
                <a:ea typeface="方正兰亭黑_GBK"/>
                <a:cs typeface="Lucida Sans" panose="020B0602030504020204"/>
              </a:defRPr>
            </a:pPr>
          </a:p>
        </c:txPr>
        <c:crossAx val="0"/>
        <c:crossesAt val="1"/>
        <c:crossBetween val="between"/>
      </c:valAx>
      <c:spPr>
        <a:noFill/>
        <a:ln>
          <a:noFill/>
        </a:ln>
      </c:spPr>
    </c:plotArea>
    <c:legend>
      <c:legendPos val="b"/>
      <c:layout/>
      <c:overlay val="0"/>
      <c:spPr>
        <a:noFill/>
        <a:ln>
          <a:noFill/>
        </a:ln>
      </c:spPr>
      <c:txPr>
        <a:bodyPr rot="0" spcFirstLastPara="0" vertOverflow="ellipsis" vert="horz" wrap="square" anchor="ctr" anchorCtr="1"/>
        <a:lstStyle/>
        <a:p>
          <a:pPr>
            <a:defRPr lang="zh-CN" sz="900" b="0" i="0" u="none" strike="noStrike" kern="1200" baseline="0">
              <a:solidFill>
                <a:srgbClr val="595959"/>
              </a:solidFill>
              <a:latin typeface="方正兰亭黑_GBK"/>
              <a:ea typeface="方正兰亭黑_GBK"/>
              <a:cs typeface="Lucida Sans" panose="020B0602030504020204"/>
            </a:defRPr>
          </a:pPr>
        </a:p>
      </c:txPr>
    </c:legend>
    <c:plotVisOnly val="1"/>
    <c:dispBlanksAs val="gap"/>
    <c:showDLblsOverMax val="0"/>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595959"/>
                </a:solidFill>
                <a:latin typeface="方正兰亭黑_GBK"/>
                <a:ea typeface="方正兰亭黑_GBK"/>
                <a:cs typeface="Lucida Sans" panose="020B0602030504020204"/>
              </a:defRPr>
            </a:pPr>
            <a:r>
              <a:rPr lang="zh-CN"/>
              <a:t>一般公共预算财政拨款收支变动图（单位：万元）</a:t>
            </a:r>
            <a:endParaRPr lang="zh-CN"/>
          </a:p>
        </c:rich>
      </c:tx>
      <c:layout/>
      <c:overlay val="0"/>
      <c:spPr>
        <a:noFill/>
        <a:ln>
          <a:noFill/>
        </a:ln>
      </c:spPr>
    </c:title>
    <c:autoTitleDeleted val="0"/>
    <c:plotArea>
      <c:layout/>
      <c:barChart>
        <c:barDir val="col"/>
        <c:grouping val="clustered"/>
        <c:varyColors val="0"/>
        <c:ser>
          <c:idx val="0"/>
          <c:order val="0"/>
          <c:spPr>
            <a:solidFill>
              <a:srgbClr val="4F81BD"/>
            </a:solidFill>
            <a:ln>
              <a:noFill/>
            </a:ln>
          </c:spPr>
          <c:invertIfNegative val="0"/>
          <c:dLbls>
            <c:dLbl>
              <c:idx val="0"/>
              <c:delete val="1"/>
            </c:dLbl>
            <c:dLbl>
              <c:idx val="1"/>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{"2020年","2019年"}</c:f>
              <c:strCache>
                <c:ptCount val="2"/>
                <c:pt idx="0">
                  <c:v>2020年</c:v>
                </c:pt>
                <c:pt idx="1">
                  <c:v>2019年</c:v>
                </c:pt>
              </c:strCache>
            </c:strRef>
          </c:cat>
          <c:val>
            <c:numRef>
              <c:f>{29151.19,28825.52}</c:f>
              <c:numCache>
                <c:formatCode>General</c:formatCode>
                <c:ptCount val="2"/>
                <c:pt idx="0">
                  <c:v>29151.19</c:v>
                </c:pt>
                <c:pt idx="1">
                  <c:v>28825.52</c:v>
                </c:pt>
              </c:numCache>
            </c:numRef>
          </c:val>
        </c:ser>
        <c:dLbls>
          <c:showLegendKey val="0"/>
          <c:showVal val="0"/>
          <c:showCatName val="0"/>
          <c:showSerName val="0"/>
          <c:showPercent val="0"/>
          <c:showBubbleSize val="0"/>
        </c:dLbls>
        <c:gapWidth val="219"/>
        <c:overlap val="-27"/>
        <c:axId val="0"/>
        <c:axId val="1"/>
      </c:barChart>
      <c:catAx>
        <c:axId val="0"/>
        <c:scaling>
          <c:orientation val="minMax"/>
        </c:scaling>
        <c:delete val="0"/>
        <c:axPos val="b"/>
        <c:numFmt formatCode="General" sourceLinked="0"/>
        <c:majorTickMark val="none"/>
        <c:minorTickMark val="none"/>
        <c:tickLblPos val="nextTo"/>
        <c:spPr>
          <a:ln w="6350" cap="flat" cmpd="sng" algn="ctr">
            <a:solidFill>
              <a:srgbClr val="D9D9D9"/>
            </a:solid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方正兰亭黑_GBK"/>
                <a:ea typeface="方正兰亭黑_GBK"/>
                <a:cs typeface="Lucida Sans" panose="020B0602030504020204"/>
              </a:defRPr>
            </a:pPr>
          </a:p>
        </c:txPr>
        <c:crossAx val="1"/>
        <c:crosses val="autoZero"/>
        <c:auto val="1"/>
        <c:lblAlgn val="ctr"/>
        <c:lblOffset val="100"/>
        <c:noMultiLvlLbl val="0"/>
      </c:catAx>
      <c:valAx>
        <c:axId val="1"/>
        <c:scaling>
          <c:orientation val="minMax"/>
        </c:scaling>
        <c:delete val="0"/>
        <c:axPos val="l"/>
        <c:majorGridlines>
          <c:spPr>
            <a:ln w="6350" cap="flat" cmpd="sng" algn="ctr">
              <a:solidFill>
                <a:srgbClr val="D9D9D9"/>
              </a:solidFill>
              <a:prstDash val="solid"/>
              <a:round/>
            </a:ln>
          </c:spPr>
        </c:majorGridlines>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方正兰亭黑_GBK"/>
                <a:ea typeface="方正兰亭黑_GBK"/>
                <a:cs typeface="Lucida Sans" panose="020B0602030504020204"/>
              </a:defRPr>
            </a:pPr>
          </a:p>
        </c:txPr>
        <c:crossAx val="0"/>
        <c:crossesAt val="1"/>
        <c:crossBetween val="between"/>
      </c:valAx>
      <c:spPr>
        <a:noFill/>
        <a:ln>
          <a:noFill/>
        </a:ln>
      </c:spPr>
    </c:plotArea>
    <c:plotVisOnly val="1"/>
    <c:dispBlanksAs val="gap"/>
    <c:showDLblsOverMax val="0"/>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D9D9D9"/>
                </a:solidFill>
                <a:latin typeface="微软雅黑" panose="020B0503020204020204" charset="-122"/>
                <a:ea typeface="微软雅黑" panose="020B0503020204020204" charset="-122"/>
                <a:cs typeface="Lucida Sans" panose="020B0602030504020204"/>
              </a:defRPr>
            </a:pPr>
            <a:r>
              <a:rPr lang="zh-CN"/>
              <a:t>一般公共预算财政拨款支出决算结图</a:t>
            </a:r>
            <a:endParaRPr lang="zh-CN"/>
          </a:p>
        </c:rich>
      </c:tx>
      <c:layout/>
      <c:overlay val="0"/>
      <c:spPr>
        <a:noFill/>
        <a:ln>
          <a:noFill/>
        </a:ln>
      </c:spPr>
    </c:title>
    <c:autoTitleDeleted val="0"/>
    <c:plotArea>
      <c:layout>
        <c:manualLayout>
          <c:layoutTarget val="inner"/>
          <c:xMode val="edge"/>
          <c:yMode val="edge"/>
          <c:x val="0.33150482"/>
          <c:y val="0.32746428"/>
          <c:w val="0.34254616"/>
          <c:h val="0.5709103"/>
        </c:manualLayout>
      </c:layout>
      <c:pieChart>
        <c:varyColors val="1"/>
        <c:ser>
          <c:idx val="0"/>
          <c:order val="0"/>
          <c:spPr>
            <a:solidFill>
              <a:srgbClr val="FA6600"/>
            </a:solidFill>
            <a:ln>
              <a:noFill/>
            </a:ln>
            <a:effectLst>
              <a:outerShdw dist="35921" dir="2700000" algn="br">
                <a:srgbClr val="000000"/>
              </a:outerShdw>
            </a:effectLst>
          </c:spPr>
          <c:explosion val="3"/>
          <c:dPt>
            <c:idx val="0"/>
            <c:bubble3D val="0"/>
            <c:spPr>
              <a:solidFill>
                <a:srgbClr val="FA6600"/>
              </a:solidFill>
              <a:ln w="19050">
                <a:solidFill>
                  <a:srgbClr val="FFFFFF"/>
                </a:solidFill>
                <a:prstDash val="sysDash"/>
              </a:ln>
              <a:effectLst>
                <a:outerShdw dist="35921" dir="2700000" algn="br">
                  <a:srgbClr val="000000"/>
                </a:outerShdw>
              </a:effectLst>
            </c:spPr>
          </c:dPt>
          <c:dPt>
            <c:idx val="1"/>
            <c:bubble3D val="0"/>
            <c:spPr>
              <a:solidFill>
                <a:srgbClr val="F1F5DE"/>
              </a:solidFill>
              <a:ln w="19050">
                <a:solidFill>
                  <a:srgbClr val="FFFFFF"/>
                </a:solidFill>
                <a:prstDash val="sysDash"/>
              </a:ln>
              <a:effectLst>
                <a:outerShdw dist="35921" dir="2700000" algn="br">
                  <a:srgbClr val="000000"/>
                </a:outerShdw>
              </a:effectLst>
            </c:spPr>
          </c:dPt>
          <c:dPt>
            <c:idx val="2"/>
            <c:bubble3D val="0"/>
            <c:spPr>
              <a:solidFill>
                <a:srgbClr val="45C4C5"/>
              </a:solidFill>
              <a:ln w="19050">
                <a:solidFill>
                  <a:srgbClr val="FFFFFF"/>
                </a:solidFill>
                <a:prstDash val="sysDash"/>
              </a:ln>
              <a:effectLst>
                <a:outerShdw dist="35921" dir="2700000" algn="br">
                  <a:srgbClr val="000000"/>
                </a:outerShdw>
              </a:effectLst>
            </c:spPr>
          </c:dPt>
          <c:dPt>
            <c:idx val="3"/>
            <c:bubble3D val="0"/>
            <c:spPr>
              <a:solidFill>
                <a:srgbClr val="E7A80F"/>
              </a:solidFill>
              <a:ln w="19050">
                <a:solidFill>
                  <a:srgbClr val="FFFFFF"/>
                </a:solidFill>
                <a:prstDash val="sysDash"/>
              </a:ln>
              <a:effectLst>
                <a:outerShdw dist="35921" dir="2700000" algn="br">
                  <a:srgbClr val="000000"/>
                </a:outerShdw>
              </a:effectLst>
            </c:spPr>
          </c:dPt>
          <c:dPt>
            <c:idx val="4"/>
            <c:bubble3D val="0"/>
            <c:spPr>
              <a:solidFill>
                <a:srgbClr val="FA6600"/>
              </a:solidFill>
              <a:ln>
                <a:noFill/>
              </a:ln>
              <a:effectLst>
                <a:outerShdw dist="35921" dir="2700000" algn="br">
                  <a:srgbClr val="000000"/>
                </a:outerShdw>
              </a:effectLst>
            </c:spPr>
          </c:dPt>
          <c:dPt>
            <c:idx val="5"/>
            <c:bubble3D val="0"/>
            <c:spPr>
              <a:solidFill>
                <a:srgbClr val="FA6600"/>
              </a:solidFill>
              <a:ln>
                <a:noFill/>
              </a:ln>
              <a:effectLst>
                <a:outerShdw dist="35921" dir="2700000" algn="br">
                  <a:srgbClr val="000000"/>
                </a:outerShdw>
              </a:effectLst>
            </c:spPr>
          </c:dPt>
          <c:dPt>
            <c:idx val="6"/>
            <c:bubble3D val="0"/>
            <c:spPr>
              <a:solidFill>
                <a:srgbClr val="FA6600"/>
              </a:solidFill>
              <a:ln>
                <a:noFill/>
              </a:ln>
              <a:effectLst>
                <a:outerShdw dist="35921" dir="2700000" algn="br">
                  <a:srgbClr val="000000"/>
                </a:outerShdw>
              </a:effectLst>
            </c:spPr>
          </c:dPt>
          <c:dPt>
            <c:idx val="7"/>
            <c:bubble3D val="0"/>
            <c:spPr>
              <a:solidFill>
                <a:srgbClr val="FA6600"/>
              </a:solidFill>
              <a:ln>
                <a:noFill/>
              </a:ln>
              <a:effectLst>
                <a:outerShdw dist="35921" dir="2700000" algn="br">
                  <a:srgbClr val="000000"/>
                </a:outerShdw>
              </a:effectLst>
            </c:spPr>
          </c:dPt>
          <c:dPt>
            <c:idx val="8"/>
            <c:bubble3D val="0"/>
            <c:spPr>
              <a:solidFill>
                <a:srgbClr val="FA6600"/>
              </a:solidFill>
              <a:ln>
                <a:noFill/>
              </a:ln>
              <a:effectLst>
                <a:outerShdw dist="35921" dir="2700000" algn="br">
                  <a:srgbClr val="000000"/>
                </a:outerShdw>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D9D9D9"/>
                    </a:solidFill>
                    <a:latin typeface="微软雅黑" panose="020B0503020204020204" charset="-122"/>
                    <a:ea typeface="微软雅黑" panose="020B0503020204020204" charset="-122"/>
                    <a:cs typeface="Lucida Sans" panose="020B0602030504020204"/>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{"一般公共预算财政拨款支出决算结图","一般公共服务类","教育支出类","文化旅游体育与传媒类","社会保障和就业类","卫生健康","住房保障","灾害防治及应急管理","其他"}</c:f>
              <c:strCache>
                <c:ptCount val="9"/>
                <c:pt idx="0">
                  <c:v>一般公共预算财政拨款支出决算结图</c:v>
                </c:pt>
                <c:pt idx="1">
                  <c:v>一般公共服务类</c:v>
                </c:pt>
                <c:pt idx="2">
                  <c:v>教育支出类</c:v>
                </c:pt>
                <c:pt idx="3">
                  <c:v>文化旅游体育与传媒类</c:v>
                </c:pt>
                <c:pt idx="4">
                  <c:v>社会保障和就业类</c:v>
                </c:pt>
                <c:pt idx="5">
                  <c:v>卫生健康</c:v>
                </c:pt>
                <c:pt idx="6">
                  <c:v>住房保障</c:v>
                </c:pt>
                <c:pt idx="7">
                  <c:v>灾害防治及应急管理</c:v>
                </c:pt>
                <c:pt idx="8">
                  <c:v>其他</c:v>
                </c:pt>
              </c:strCache>
            </c:strRef>
          </c:cat>
          <c:val>
            <c:numRef>
              <c:f>{#N/A,4897,11880.93,10245.79,1168.91,262.91,534.72,7.93,152.99}</c:f>
              <c:numCache>
                <c:formatCode>General</c:formatCode>
                <c:ptCount val="9"/>
                <c:pt idx="1">
                  <c:v>4897</c:v>
                </c:pt>
                <c:pt idx="2">
                  <c:v>11880.93</c:v>
                </c:pt>
                <c:pt idx="3">
                  <c:v>10245.79</c:v>
                </c:pt>
                <c:pt idx="4">
                  <c:v>1168.91</c:v>
                </c:pt>
                <c:pt idx="5">
                  <c:v>262.91</c:v>
                </c:pt>
                <c:pt idx="6">
                  <c:v>534.72</c:v>
                </c:pt>
                <c:pt idx="7">
                  <c:v>7.93</c:v>
                </c:pt>
                <c:pt idx="8">
                  <c:v>152.99</c:v>
                </c:pt>
              </c:numCache>
            </c:numRef>
          </c:val>
        </c:ser>
        <c:dLbls>
          <c:showLegendKey val="0"/>
          <c:showVal val="0"/>
          <c:showCatName val="0"/>
          <c:showSerName val="0"/>
          <c:showPercent val="1"/>
          <c:showBubbleSize val="0"/>
          <c:showLeaderLines val="1"/>
        </c:dLbls>
        <c:firstSliceAng val="0"/>
      </c:pieChart>
      <c:spPr>
        <a:noFill/>
        <a:ln>
          <a:noFill/>
        </a:ln>
      </c:spPr>
    </c:plotArea>
    <c:legend>
      <c:legendPos val="t"/>
      <c:layout/>
      <c:overlay val="0"/>
      <c:spPr>
        <a:noFill/>
        <a:ln>
          <a:noFill/>
        </a:ln>
      </c:spPr>
      <c:txPr>
        <a:bodyPr rot="0" spcFirstLastPara="0" vertOverflow="ellipsis" vert="horz" wrap="square" anchor="ctr" anchorCtr="1"/>
        <a:lstStyle/>
        <a:p>
          <a:pPr>
            <a:defRPr lang="zh-CN" sz="900" b="0" i="0" u="none" strike="noStrike" kern="1200" baseline="0">
              <a:solidFill>
                <a:srgbClr val="D9D9D9"/>
              </a:solidFill>
              <a:latin typeface="微软雅黑" panose="020B0503020204020204" charset="-122"/>
              <a:ea typeface="微软雅黑" panose="020B0503020204020204" charset="-122"/>
              <a:cs typeface="Lucida Sans" panose="020B0602030504020204"/>
            </a:defRPr>
          </a:pPr>
        </a:p>
      </c:txPr>
    </c:legend>
    <c:plotVisOnly val="1"/>
    <c:dispBlanksAs val="gap"/>
    <c:showDLblsOverMax val="0"/>
  </c:chart>
  <c:spPr>
    <a:gradFill rotWithShape="1">
      <a:gsLst>
        <a:gs pos="0">
          <a:srgbClr val="126A78">
            <a:alpha val="100000"/>
          </a:srgbClr>
        </a:gs>
        <a:gs pos="50000">
          <a:srgbClr val="168595">
            <a:alpha val="100000"/>
          </a:srgbClr>
        </a:gs>
        <a:gs pos="100000">
          <a:srgbClr val="126A78">
            <a:alpha val="100000"/>
          </a:srgbClr>
        </a:gs>
      </a:gsLst>
      <a:lin ang="5400000" scaled="1"/>
    </a:gradFill>
    <a:ln w="6350" cap="flat" cmpd="sng" algn="ctr">
      <a:solidFill>
        <a:srgbClr val="D9D9D9"/>
      </a:solidFill>
      <a:prstDash val="solid"/>
      <a:round/>
    </a:ln>
    <a:effectLst>
      <a:outerShdw blurRad="50800" dist="38100" dir="2700000" algn="tl" rotWithShape="0">
        <a:prstClr val="black">
          <a:alpha val="40000"/>
        </a:prstClr>
      </a:outerShdw>
    </a:effectLst>
  </c:spPr>
  <c:txPr>
    <a:bodyPr/>
    <a:lstStyle/>
    <a:p>
      <a:pPr>
        <a:defRPr lang="zh-CN" sz="1000" b="0" i="0" u="none" strike="noStrike" baseline="0">
          <a:solidFill>
            <a:srgbClr val="D9D9D9"/>
          </a:solidFill>
          <a:latin typeface="微软雅黑" panose="020B0503020204020204" charset="-122"/>
          <a:ea typeface="微软雅黑" panose="020B0503020204020204" charset="-122"/>
          <a:cs typeface="Lucida Sans" panose="020B0602030504020204"/>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D9D9D9"/>
                </a:solidFill>
                <a:latin typeface="微软雅黑" panose="020B0503020204020204" charset="-122"/>
                <a:ea typeface="微软雅黑" panose="020B0503020204020204" charset="-122"/>
                <a:cs typeface="Lucida Sans" panose="020B0602030504020204"/>
              </a:defRPr>
            </a:pPr>
            <a:r>
              <a:rPr lang="zh-CN"/>
              <a:t>“三公”经费经费财政拨款支出结构图</a:t>
            </a:r>
            <a:endParaRPr lang="zh-CN"/>
          </a:p>
        </c:rich>
      </c:tx>
      <c:layout>
        <c:manualLayout>
          <c:xMode val="edge"/>
          <c:yMode val="edge"/>
          <c:x val="0.16375"/>
          <c:y val="0.0063492064"/>
        </c:manualLayout>
      </c:layout>
      <c:overlay val="0"/>
      <c:spPr>
        <a:noFill/>
        <a:ln>
          <a:noFill/>
        </a:ln>
      </c:spPr>
    </c:title>
    <c:autoTitleDeleted val="0"/>
    <c:plotArea>
      <c:layout>
        <c:manualLayout>
          <c:layoutTarget val="inner"/>
          <c:xMode val="edge"/>
          <c:yMode val="edge"/>
          <c:x val="0.33150482"/>
          <c:y val="0.32746428"/>
          <c:w val="0.34254616"/>
          <c:h val="0.5709103"/>
        </c:manualLayout>
      </c:layout>
      <c:pieChart>
        <c:varyColors val="1"/>
        <c:ser>
          <c:idx val="0"/>
          <c:order val="0"/>
          <c:spPr>
            <a:solidFill>
              <a:srgbClr val="FA6600"/>
            </a:solidFill>
            <a:ln>
              <a:noFill/>
            </a:ln>
            <a:effectLst>
              <a:outerShdw dist="35921" dir="2700000" algn="br">
                <a:srgbClr val="000000"/>
              </a:outerShdw>
            </a:effectLst>
          </c:spPr>
          <c:explosion val="3"/>
          <c:dPt>
            <c:idx val="0"/>
            <c:bubble3D val="0"/>
            <c:spPr>
              <a:solidFill>
                <a:srgbClr val="FA6600"/>
              </a:solidFill>
              <a:ln w="19050">
                <a:solidFill>
                  <a:srgbClr val="FFFFFF"/>
                </a:solidFill>
                <a:prstDash val="sysDash"/>
              </a:ln>
              <a:effectLst>
                <a:outerShdw dist="35921" dir="2700000" algn="br">
                  <a:srgbClr val="000000"/>
                </a:outerShdw>
              </a:effectLst>
            </c:spPr>
          </c:dPt>
          <c:dPt>
            <c:idx val="1"/>
            <c:bubble3D val="0"/>
            <c:spPr>
              <a:solidFill>
                <a:srgbClr val="F1F5DE"/>
              </a:solidFill>
              <a:ln w="19050">
                <a:solidFill>
                  <a:srgbClr val="FFFFFF"/>
                </a:solidFill>
                <a:prstDash val="sysDash"/>
              </a:ln>
              <a:effectLst>
                <a:outerShdw dist="35921" dir="2700000" algn="br">
                  <a:srgbClr val="000000"/>
                </a:outerShdw>
              </a:effectLst>
            </c:spPr>
          </c:dPt>
          <c:dPt>
            <c:idx val="2"/>
            <c:bubble3D val="0"/>
            <c:spPr>
              <a:solidFill>
                <a:srgbClr val="45C4C5"/>
              </a:solidFill>
              <a:ln w="19050">
                <a:solidFill>
                  <a:srgbClr val="FFFFFF"/>
                </a:solidFill>
                <a:prstDash val="sysDash"/>
              </a:ln>
              <a:effectLst>
                <a:outerShdw dist="35921" dir="2700000" algn="br">
                  <a:srgbClr val="000000"/>
                </a:outerShdw>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D9D9D9"/>
                    </a:solidFill>
                    <a:latin typeface="微软雅黑" panose="020B0503020204020204" charset="-122"/>
                    <a:ea typeface="微软雅黑" panose="020B0503020204020204" charset="-122"/>
                    <a:cs typeface="Lucida Sans" panose="020B0602030504020204"/>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{"因公出国（境）费","公务用车购置及运行维护费","公务接待费"}</c:f>
              <c:strCache>
                <c:ptCount val="3"/>
                <c:pt idx="0">
                  <c:v>因公出国（境）费</c:v>
                </c:pt>
                <c:pt idx="1">
                  <c:v>公务用车购置及运行维护费</c:v>
                </c:pt>
                <c:pt idx="2">
                  <c:v>公务接待费</c:v>
                </c:pt>
              </c:strCache>
            </c:strRef>
          </c:cat>
          <c:val>
            <c:numRef>
              <c:f>{0,59.13,11.93}</c:f>
              <c:numCache>
                <c:formatCode>General</c:formatCode>
                <c:ptCount val="3"/>
                <c:pt idx="0">
                  <c:v>0</c:v>
                </c:pt>
                <c:pt idx="1">
                  <c:v>59.13</c:v>
                </c:pt>
                <c:pt idx="2">
                  <c:v>11.93</c:v>
                </c:pt>
              </c:numCache>
            </c:numRef>
          </c:val>
        </c:ser>
        <c:dLbls>
          <c:showLegendKey val="0"/>
          <c:showVal val="0"/>
          <c:showCatName val="0"/>
          <c:showSerName val="0"/>
          <c:showPercent val="1"/>
          <c:showBubbleSize val="0"/>
          <c:showLeaderLines val="1"/>
        </c:dLbls>
        <c:firstSliceAng val="0"/>
      </c:pieChart>
      <c:spPr>
        <a:noFill/>
        <a:ln>
          <a:noFill/>
        </a:ln>
      </c:spPr>
    </c:plotArea>
    <c:legend>
      <c:legendPos val="t"/>
      <c:layout/>
      <c:overlay val="0"/>
      <c:spPr>
        <a:noFill/>
        <a:ln>
          <a:noFill/>
        </a:ln>
      </c:spPr>
      <c:txPr>
        <a:bodyPr rot="0" spcFirstLastPara="0" vertOverflow="ellipsis" vert="horz" wrap="square" anchor="ctr" anchorCtr="1"/>
        <a:lstStyle/>
        <a:p>
          <a:pPr>
            <a:defRPr lang="zh-CN" sz="900" b="0" i="0" u="none" strike="noStrike" kern="1200" baseline="0">
              <a:solidFill>
                <a:srgbClr val="D9D9D9"/>
              </a:solidFill>
              <a:latin typeface="微软雅黑" panose="020B0503020204020204" charset="-122"/>
              <a:ea typeface="微软雅黑" panose="020B0503020204020204" charset="-122"/>
              <a:cs typeface="Lucida Sans" panose="020B0602030504020204"/>
            </a:defRPr>
          </a:pPr>
        </a:p>
      </c:txPr>
    </c:legend>
    <c:plotVisOnly val="1"/>
    <c:dispBlanksAs val="gap"/>
    <c:showDLblsOverMax val="0"/>
  </c:chart>
  <c:spPr>
    <a:gradFill rotWithShape="1">
      <a:gsLst>
        <a:gs pos="0">
          <a:srgbClr val="126A78">
            <a:alpha val="100000"/>
          </a:srgbClr>
        </a:gs>
        <a:gs pos="50000">
          <a:srgbClr val="168595">
            <a:alpha val="100000"/>
          </a:srgbClr>
        </a:gs>
        <a:gs pos="100000">
          <a:srgbClr val="126A78">
            <a:alpha val="100000"/>
          </a:srgbClr>
        </a:gs>
      </a:gsLst>
      <a:lin ang="5400000" scaled="1"/>
    </a:gradFill>
    <a:ln w="6350" cap="flat" cmpd="sng" algn="ctr">
      <a:solidFill>
        <a:srgbClr val="D9D9D9"/>
      </a:solidFill>
      <a:prstDash val="solid"/>
      <a:round/>
    </a:ln>
    <a:effectLst>
      <a:outerShdw blurRad="50800" dist="38100" dir="2700000" algn="tl" rotWithShape="0">
        <a:prstClr val="black">
          <a:alpha val="40000"/>
        </a:prstClr>
      </a:outerShdw>
    </a:effectLst>
  </c:spPr>
  <c:txPr>
    <a:bodyPr/>
    <a:lstStyle/>
    <a:p>
      <a:pPr>
        <a:defRPr lang="zh-CN" sz="1000" b="0" i="0" u="none" strike="noStrike" baseline="0">
          <a:solidFill>
            <a:srgbClr val="D9D9D9"/>
          </a:solidFill>
          <a:latin typeface="微软雅黑" panose="020B0503020204020204" charset="-122"/>
          <a:ea typeface="微软雅黑" panose="020B0503020204020204" charset="-122"/>
          <a:cs typeface="Lucida Sans" panose="020B0602030504020204"/>
        </a:defRPr>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四川省财政厅</Company>
  <Pages>73</Pages>
  <Words>33368</Words>
  <Characters>35758</Characters>
  <Lines>2095</Lines>
  <Paragraphs>739</Paragraphs>
  <TotalTime>4</TotalTime>
  <ScaleCrop>false</ScaleCrop>
  <LinksUpToDate>false</LinksUpToDate>
  <CharactersWithSpaces>36041</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大海</cp:lastModifiedBy>
  <cp:lastPrinted>2020-08-24T05:32:00Z</cp:lastPrinted>
  <dcterms:modified xsi:type="dcterms:W3CDTF">2022-08-12T06:44:04Z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KSOSaveFontToCloudKey">
    <vt:lpwstr>771900086_btnclosed</vt:lpwstr>
  </property>
  <property fmtid="{D5CDD505-2E9C-101B-9397-08002B2CF9AE}" pid="4" name="ICV">
    <vt:lpwstr>2AF38CB55A2E4B9E9B9A4A71769884DE</vt:lpwstr>
  </property>
</Properties>
</file>