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72"/>
          <w:szCs w:val="72"/>
        </w:rPr>
      </w:pPr>
      <w:bookmarkStart w:id="0" w:name="_Toc15306267"/>
    </w:p>
    <w:p>
      <w:pPr>
        <w:spacing w:line="560" w:lineRule="exact"/>
        <w:jc w:val="center"/>
        <w:rPr>
          <w:rFonts w:ascii="方正小标宋简体" w:hAnsi="宋体" w:eastAsia="方正小标宋简体"/>
          <w:sz w:val="72"/>
          <w:szCs w:val="72"/>
        </w:rPr>
      </w:pPr>
    </w:p>
    <w:p>
      <w:pPr>
        <w:spacing w:line="560" w:lineRule="exact"/>
        <w:jc w:val="center"/>
        <w:rPr>
          <w:rFonts w:ascii="方正小标宋简体" w:hAnsi="宋体" w:eastAsia="方正小标宋简体"/>
          <w:sz w:val="72"/>
          <w:szCs w:val="72"/>
        </w:rPr>
      </w:pPr>
    </w:p>
    <w:p>
      <w:pPr>
        <w:spacing w:line="560" w:lineRule="exact"/>
        <w:jc w:val="center"/>
        <w:rPr>
          <w:rFonts w:ascii="方正小标宋简体" w:hAnsi="宋体" w:eastAsia="方正小标宋简体"/>
          <w:sz w:val="72"/>
          <w:szCs w:val="72"/>
        </w:rPr>
      </w:pPr>
    </w:p>
    <w:p>
      <w:pPr>
        <w:jc w:val="center"/>
        <w:rPr>
          <w:rFonts w:ascii="方正小标宋简体" w:hAnsi="方正小标宋简体" w:eastAsia="方正小标宋简体" w:cs="方正小标宋简体"/>
          <w:sz w:val="72"/>
          <w:szCs w:val="72"/>
        </w:rPr>
      </w:pPr>
      <w:bookmarkStart w:id="1" w:name="_Toc15396597"/>
      <w:bookmarkStart w:id="2" w:name="_Toc15377193"/>
      <w:bookmarkStart w:id="3" w:name="_Toc15378441"/>
      <w:bookmarkStart w:id="4" w:name="_Toc15396475"/>
      <w:bookmarkStart w:id="5"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jc w:val="center"/>
        <w:rPr>
          <w:rFonts w:ascii="方正小标宋简体" w:hAnsi="方正小标宋简体" w:eastAsia="方正小标宋简体" w:cs="方正小标宋简体"/>
          <w:sz w:val="72"/>
          <w:szCs w:val="72"/>
        </w:rPr>
      </w:pPr>
      <w:bookmarkStart w:id="6" w:name="_Toc15396476"/>
      <w:bookmarkStart w:id="7" w:name="_Toc1537742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财政信息中心</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spacing w:line="560" w:lineRule="exact"/>
        <w:jc w:val="center"/>
      </w:pPr>
      <w:r>
        <w:rPr>
          <w:rFonts w:ascii="方正小标宋简体" w:hAnsi="宋体" w:eastAsia="方正小标宋简体"/>
          <w:sz w:val="36"/>
          <w:szCs w:val="36"/>
        </w:rPr>
        <w:br w:type="page"/>
      </w:r>
      <w:r>
        <w:rPr>
          <w:rFonts w:hint="eastAsia" w:ascii="黑体" w:hAnsi="黑体" w:eastAsia="黑体"/>
          <w:sz w:val="48"/>
          <w:szCs w:val="48"/>
        </w:rPr>
        <w:t>目录</w:t>
      </w:r>
    </w:p>
    <w:sdt>
      <w:sdtPr>
        <w:rPr>
          <w:rFonts w:hint="eastAsia" w:ascii="方正仿宋_GB2312" w:hAnsi="方正仿宋_GB2312" w:eastAsia="方正仿宋_GB2312" w:cs="方正仿宋_GB2312"/>
          <w:b/>
          <w:bCs/>
          <w:kern w:val="44"/>
          <w:sz w:val="32"/>
          <w:szCs w:val="32"/>
        </w:rPr>
        <w:id w:val="147475893"/>
        <w:docPartObj>
          <w:docPartGallery w:val="Table of Contents"/>
          <w:docPartUnique/>
        </w:docPartObj>
      </w:sdtPr>
      <w:sdtEndPr>
        <w:rPr>
          <w:rFonts w:hint="eastAsia" w:ascii="黑体" w:hAnsi="黑体" w:eastAsia="黑体" w:cs="Times New Roman"/>
          <w:b/>
          <w:bCs/>
          <w:kern w:val="44"/>
          <w:sz w:val="44"/>
          <w:szCs w:val="44"/>
        </w:rPr>
      </w:sdtEndPr>
      <w:sdtContent>
        <w:p>
          <w:pPr>
            <w:spacing w:line="560" w:lineRule="exact"/>
            <w:jc w:val="center"/>
            <w:rPr>
              <w:rFonts w:ascii="宋体" w:hAnsi="宋体" w:cs="宋体"/>
              <w:sz w:val="15"/>
              <w:szCs w:val="15"/>
            </w:rPr>
          </w:pPr>
          <w:bookmarkStart w:id="12" w:name="_Toc15396599"/>
          <w:bookmarkStart w:id="13" w:name="_Toc15377196"/>
        </w:p>
        <w:p>
          <w:pPr>
            <w:pStyle w:val="12"/>
            <w:tabs>
              <w:tab w:val="right" w:leader="dot" w:pos="8306"/>
              <w:tab w:val="clear" w:pos="8296"/>
            </w:tabs>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TOC \o "1-2" \h \u </w:instrText>
          </w:r>
          <w:r>
            <w:rPr>
              <w:rFonts w:hint="eastAsia" w:ascii="方正仿宋_GB2312" w:hAnsi="方正仿宋_GB2312" w:eastAsia="方正仿宋_GB2312" w:cs="方正仿宋_GB2312"/>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_Toc28432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_Toc28432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_Toc10795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Cs w:val="0"/>
              <w:sz w:val="32"/>
              <w:szCs w:val="32"/>
            </w:rPr>
            <w:t>职能</w:t>
          </w:r>
          <w:r>
            <w:rPr>
              <w:rFonts w:hint="eastAsia" w:ascii="仿宋_GB2312" w:hAnsi="仿宋_GB2312" w:eastAsia="仿宋_GB2312" w:cs="仿宋_GB2312"/>
              <w:sz w:val="32"/>
              <w:szCs w:val="32"/>
            </w:rPr>
            <w:t>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_Toc10795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_Toc6097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二、2022年重点</w:t>
          </w:r>
          <w:r>
            <w:rPr>
              <w:rFonts w:hint="eastAsia" w:ascii="仿宋_GB2312" w:hAnsi="仿宋_GB2312" w:eastAsia="仿宋_GB2312" w:cs="仿宋_GB2312"/>
              <w:bCs w:val="0"/>
              <w:sz w:val="32"/>
              <w:szCs w:val="32"/>
            </w:rPr>
            <w:t>工作</w:t>
          </w:r>
          <w:r>
            <w:rPr>
              <w:rFonts w:hint="eastAsia" w:ascii="仿宋_GB2312" w:hAnsi="仿宋_GB2312" w:eastAsia="仿宋_GB2312" w:cs="仿宋_GB2312"/>
              <w:sz w:val="32"/>
              <w:szCs w:val="32"/>
            </w:rPr>
            <w:t>完成情况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_Toc26287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第二部分 2022年度单位决算情况说明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_Toc26287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_Toc21904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_Toc21904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_Toc25176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_Toc25176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_Toc20826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_Toc6073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_Toc7452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 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_Toc28034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 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_Toc1991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第三部分 名词解释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_Toc1991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2"/>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_Toc24731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第四部分 附件</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_Toc24731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2"/>
            <w:tabs>
              <w:tab w:val="right" w:leader="dot" w:pos="8306"/>
              <w:tab w:val="clear" w:pos="829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_Toc25123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第五部分 附表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_Toc25123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_Toc28848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w:t>
          </w:r>
          <w:r>
            <w:rPr>
              <w:rFonts w:hint="eastAsia" w:ascii="仿宋_GB2312" w:hAnsi="仿宋_GB2312" w:eastAsia="仿宋_GB2312" w:cs="仿宋_GB2312"/>
              <w:bCs w:val="0"/>
              <w:sz w:val="32"/>
              <w:szCs w:val="32"/>
            </w:rPr>
            <w:t>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_Toc9740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w:t>
          </w:r>
          <w:r>
            <w:rPr>
              <w:rFonts w:hint="eastAsia" w:ascii="仿宋_GB2312" w:hAnsi="仿宋_GB2312" w:eastAsia="仿宋_GB2312" w:cs="仿宋_GB2312"/>
              <w:bCs w:val="0"/>
              <w:sz w:val="32"/>
              <w:szCs w:val="32"/>
            </w:rPr>
            <w:t>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_Toc9740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三、</w:t>
          </w:r>
          <w:r>
            <w:rPr>
              <w:rFonts w:hint="eastAsia" w:ascii="仿宋_GB2312" w:hAnsi="仿宋_GB2312" w:eastAsia="仿宋_GB2312" w:cs="仿宋_GB2312"/>
              <w:sz w:val="32"/>
              <w:szCs w:val="32"/>
            </w:rPr>
            <w:t>支</w:t>
          </w:r>
          <w:r>
            <w:rPr>
              <w:rFonts w:hint="eastAsia" w:ascii="仿宋_GB2312" w:hAnsi="仿宋_GB2312" w:eastAsia="仿宋_GB2312" w:cs="仿宋_GB2312"/>
              <w:bCs w:val="0"/>
              <w:sz w:val="32"/>
              <w:szCs w:val="32"/>
            </w:rPr>
            <w:t>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四、</w:t>
          </w:r>
          <w:r>
            <w:rPr>
              <w:rFonts w:hint="eastAsia" w:ascii="仿宋_GB2312" w:hAnsi="仿宋_GB2312" w:eastAsia="仿宋_GB2312" w:cs="仿宋_GB2312"/>
              <w:sz w:val="32"/>
              <w:szCs w:val="32"/>
            </w:rPr>
            <w:t>财</w:t>
          </w:r>
          <w:r>
            <w:rPr>
              <w:rFonts w:hint="eastAsia" w:ascii="仿宋_GB2312" w:hAnsi="仿宋_GB2312" w:eastAsia="仿宋_GB2312" w:cs="仿宋_GB2312"/>
              <w:bCs w:val="0"/>
              <w:sz w:val="32"/>
              <w:szCs w:val="32"/>
            </w:rPr>
            <w:t>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_Toc16909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五、</w:t>
          </w:r>
          <w:r>
            <w:rPr>
              <w:rFonts w:hint="eastAsia" w:ascii="仿宋_GB2312" w:hAnsi="仿宋_GB2312" w:eastAsia="仿宋_GB2312" w:cs="仿宋_GB2312"/>
              <w:sz w:val="32"/>
              <w:szCs w:val="32"/>
            </w:rPr>
            <w:t>财</w:t>
          </w:r>
          <w:r>
            <w:rPr>
              <w:rFonts w:hint="eastAsia" w:ascii="仿宋_GB2312" w:hAnsi="仿宋_GB2312" w:eastAsia="仿宋_GB2312" w:cs="仿宋_GB2312"/>
              <w:bCs w:val="0"/>
              <w:sz w:val="32"/>
              <w:szCs w:val="32"/>
            </w:rPr>
            <w:t>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_Toc5088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六、</w:t>
          </w:r>
          <w:r>
            <w:rPr>
              <w:rFonts w:hint="eastAsia" w:ascii="仿宋_GB2312" w:hAnsi="仿宋_GB2312" w:eastAsia="仿宋_GB2312" w:cs="仿宋_GB2312"/>
              <w:sz w:val="32"/>
              <w:szCs w:val="32"/>
            </w:rPr>
            <w:t>一</w:t>
          </w:r>
          <w:r>
            <w:rPr>
              <w:rFonts w:hint="eastAsia" w:ascii="仿宋_GB2312" w:hAnsi="仿宋_GB2312" w:eastAsia="仿宋_GB2312" w:cs="仿宋_GB2312"/>
              <w:bCs w:val="0"/>
              <w:sz w:val="32"/>
              <w:szCs w:val="32"/>
            </w:rPr>
            <w:t>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_Toc19876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七、</w:t>
          </w:r>
          <w:r>
            <w:rPr>
              <w:rFonts w:hint="eastAsia" w:ascii="仿宋_GB2312" w:hAnsi="仿宋_GB2312" w:eastAsia="仿宋_GB2312" w:cs="仿宋_GB2312"/>
              <w:sz w:val="32"/>
              <w:szCs w:val="32"/>
            </w:rPr>
            <w:t>一</w:t>
          </w:r>
          <w:r>
            <w:rPr>
              <w:rFonts w:hint="eastAsia" w:ascii="仿宋_GB2312" w:hAnsi="仿宋_GB2312" w:eastAsia="仿宋_GB2312" w:cs="仿宋_GB2312"/>
              <w:bCs w:val="0"/>
              <w:sz w:val="32"/>
              <w:szCs w:val="32"/>
            </w:rPr>
            <w:t>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_Toc23441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八、</w:t>
          </w:r>
          <w:r>
            <w:rPr>
              <w:rFonts w:hint="eastAsia" w:ascii="仿宋_GB2312" w:hAnsi="仿宋_GB2312" w:eastAsia="仿宋_GB2312" w:cs="仿宋_GB2312"/>
              <w:sz w:val="32"/>
              <w:szCs w:val="32"/>
            </w:rPr>
            <w:t>一</w:t>
          </w:r>
          <w:r>
            <w:rPr>
              <w:rFonts w:hint="eastAsia" w:ascii="仿宋_GB2312" w:hAnsi="仿宋_GB2312" w:eastAsia="仿宋_GB2312" w:cs="仿宋_GB2312"/>
              <w:bCs w:val="0"/>
              <w:sz w:val="32"/>
              <w:szCs w:val="32"/>
            </w:rPr>
            <w:t>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九、</w:t>
          </w:r>
          <w:r>
            <w:rPr>
              <w:rFonts w:hint="eastAsia" w:ascii="仿宋_GB2312" w:hAnsi="仿宋_GB2312" w:eastAsia="仿宋_GB2312" w:cs="仿宋_GB2312"/>
              <w:sz w:val="32"/>
              <w:szCs w:val="32"/>
            </w:rPr>
            <w:t>一</w:t>
          </w:r>
          <w:r>
            <w:rPr>
              <w:rFonts w:hint="eastAsia" w:ascii="仿宋_GB2312" w:hAnsi="仿宋_GB2312" w:eastAsia="仿宋_GB2312" w:cs="仿宋_GB2312"/>
              <w:bCs w:val="0"/>
              <w:sz w:val="32"/>
              <w:szCs w:val="32"/>
            </w:rPr>
            <w:t>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_Toc15841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highlight w:val="none"/>
            </w:rPr>
            <w:t>十、</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bCs w:val="0"/>
              <w:sz w:val="32"/>
              <w:szCs w:val="32"/>
              <w:highlight w:val="none"/>
            </w:rPr>
            <w:t>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_Toc15841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highlight w:val="none"/>
            </w:rPr>
            <w:t>十一、</w:t>
          </w:r>
          <w:r>
            <w:rPr>
              <w:rFonts w:hint="eastAsia" w:ascii="仿宋_GB2312" w:hAnsi="仿宋_GB2312" w:eastAsia="仿宋_GB2312" w:cs="仿宋_GB2312"/>
              <w:sz w:val="32"/>
              <w:szCs w:val="32"/>
              <w:highlight w:val="none"/>
            </w:rPr>
            <w:t>国</w:t>
          </w:r>
          <w:r>
            <w:rPr>
              <w:rFonts w:hint="eastAsia" w:ascii="仿宋_GB2312" w:hAnsi="仿宋_GB2312" w:eastAsia="仿宋_GB2312" w:cs="仿宋_GB2312"/>
              <w:bCs w:val="0"/>
              <w:sz w:val="32"/>
              <w:szCs w:val="32"/>
              <w:highlight w:val="none"/>
            </w:rPr>
            <w:t>有资本经营预算</w:t>
          </w:r>
          <w:r>
            <w:rPr>
              <w:rFonts w:hint="eastAsia" w:ascii="仿宋_GB2312" w:hAnsi="仿宋_GB2312" w:eastAsia="仿宋_GB2312" w:cs="仿宋_GB2312"/>
              <w:bCs w:val="0"/>
              <w:sz w:val="32"/>
              <w:szCs w:val="32"/>
              <w:highlight w:val="none"/>
              <w:lang w:eastAsia="zh-CN"/>
            </w:rPr>
            <w:t>财政拨款收入</w:t>
          </w:r>
          <w:r>
            <w:rPr>
              <w:rFonts w:hint="eastAsia" w:ascii="仿宋_GB2312" w:hAnsi="仿宋_GB2312" w:eastAsia="仿宋_GB2312" w:cs="仿宋_GB2312"/>
              <w:bCs w:val="0"/>
              <w:sz w:val="32"/>
              <w:szCs w:val="32"/>
              <w:highlight w:val="none"/>
            </w:rPr>
            <w:t>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highlight w:val="none"/>
            </w:rPr>
            <w:t>十二、</w:t>
          </w:r>
          <w:r>
            <w:rPr>
              <w:rFonts w:hint="eastAsia" w:ascii="仿宋_GB2312" w:hAnsi="仿宋_GB2312" w:eastAsia="仿宋_GB2312" w:cs="仿宋_GB2312"/>
              <w:bCs w:val="0"/>
              <w:sz w:val="32"/>
              <w:szCs w:val="32"/>
              <w:highlight w:val="none"/>
              <w:lang w:eastAsia="zh-CN"/>
            </w:rPr>
            <w:t>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 w:val="clear" w:pos="829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_Toc32038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highlight w:val="none"/>
            </w:rPr>
            <w:t>十三、</w:t>
          </w:r>
          <w:r>
            <w:rPr>
              <w:rFonts w:hint="eastAsia" w:ascii="仿宋_GB2312" w:hAnsi="仿宋_GB2312" w:eastAsia="仿宋_GB2312" w:cs="仿宋_GB2312"/>
              <w:bCs w:val="0"/>
              <w:sz w:val="32"/>
              <w:szCs w:val="32"/>
              <w:highlight w:val="none"/>
              <w:lang w:eastAsia="zh-CN"/>
            </w:rPr>
            <w:t>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_Toc32038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spacing w:before="0" w:after="0" w:line="600" w:lineRule="exact"/>
            <w:rPr>
              <w:rFonts w:ascii="黑体" w:hAnsi="黑体" w:eastAsia="黑体"/>
              <w:b w:val="0"/>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方正仿宋_GB2312" w:hAnsi="方正仿宋_GB2312" w:eastAsia="方正仿宋_GB2312" w:cs="方正仿宋_GB2312"/>
              <w:szCs w:val="32"/>
            </w:rPr>
            <w:fldChar w:fldCharType="end"/>
          </w:r>
        </w:p>
      </w:sdtContent>
    </w:sdt>
    <w:p>
      <w:pPr>
        <w:pStyle w:val="3"/>
        <w:spacing w:line="560" w:lineRule="exact"/>
        <w:jc w:val="center"/>
      </w:pPr>
      <w:bookmarkStart w:id="14" w:name="_Toc28432"/>
      <w:r>
        <w:rPr>
          <w:rFonts w:hint="eastAsia"/>
        </w:rPr>
        <w:t>第一部分 单位概况</w:t>
      </w:r>
      <w:bookmarkEnd w:id="12"/>
      <w:bookmarkEnd w:id="13"/>
      <w:bookmarkEnd w:id="14"/>
    </w:p>
    <w:p>
      <w:pPr>
        <w:widowControl/>
        <w:spacing w:line="560" w:lineRule="exact"/>
        <w:jc w:val="left"/>
        <w:rPr>
          <w:rFonts w:ascii="黑体" w:eastAsia="黑体"/>
          <w:sz w:val="32"/>
          <w:szCs w:val="32"/>
        </w:rPr>
      </w:pPr>
    </w:p>
    <w:p>
      <w:pPr>
        <w:pStyle w:val="4"/>
        <w:spacing w:before="0" w:after="0" w:line="560" w:lineRule="exact"/>
        <w:ind w:firstLine="640" w:firstLineChars="200"/>
      </w:pPr>
      <w:bookmarkStart w:id="15" w:name="_Toc10795"/>
      <w:bookmarkStart w:id="16" w:name="_Toc15377197"/>
      <w:bookmarkStart w:id="17" w:name="_Toc15396600"/>
      <w:r>
        <w:rPr>
          <w:rFonts w:hint="eastAsia" w:ascii="黑体" w:hAnsi="黑体" w:eastAsia="黑体" w:cs="黑体"/>
          <w:b w:val="0"/>
          <w:bCs w:val="0"/>
        </w:rPr>
        <w:t>一</w:t>
      </w:r>
      <w:r>
        <w:rPr>
          <w:rFonts w:hint="eastAsia" w:ascii="仿宋_GB2312" w:hAnsi="仿宋_GB2312" w:eastAsia="仿宋_GB2312" w:cs="仿宋_GB2312"/>
        </w:rPr>
        <w:t>、</w:t>
      </w:r>
      <w:r>
        <w:rPr>
          <w:rFonts w:hint="eastAsia" w:ascii="黑体" w:hAnsi="黑体" w:eastAsia="黑体" w:cs="黑体"/>
          <w:b w:val="0"/>
          <w:bCs w:val="0"/>
        </w:rPr>
        <w:t>职能</w:t>
      </w:r>
      <w:r>
        <w:rPr>
          <w:rFonts w:hint="eastAsia"/>
        </w:rPr>
        <w:t>简介</w:t>
      </w:r>
      <w:bookmarkEnd w:id="15"/>
    </w:p>
    <w:p>
      <w:pPr>
        <w:pStyle w:val="2"/>
        <w:spacing w:beforeLines="0" w:line="560" w:lineRule="exact"/>
        <w:ind w:firstLine="640" w:firstLineChars="200"/>
      </w:pPr>
      <w:bookmarkStart w:id="108" w:name="_GoBack"/>
      <w:bookmarkEnd w:id="108"/>
      <w:r>
        <w:rPr>
          <w:rFonts w:hint="eastAsia"/>
          <w:sz w:val="32"/>
          <w:szCs w:val="32"/>
        </w:rPr>
        <w:t>承担全省财政综合信息数据库的建立、运用、管理和开发；财政系统计算机技术服务；全国财政系统计算机四级网络建立、管理。</w:t>
      </w:r>
    </w:p>
    <w:p>
      <w:pPr>
        <w:pStyle w:val="4"/>
        <w:spacing w:before="0" w:after="0" w:line="560" w:lineRule="exact"/>
        <w:ind w:firstLine="643" w:firstLineChars="200"/>
      </w:pPr>
      <w:bookmarkStart w:id="18" w:name="_Toc6097"/>
      <w:r>
        <w:rPr>
          <w:rFonts w:hint="eastAsia"/>
        </w:rPr>
        <w:t>二</w:t>
      </w:r>
      <w:r>
        <w:rPr>
          <w:rFonts w:hint="eastAsia" w:ascii="仿宋_GB2312" w:hAnsi="仿宋_GB2312" w:eastAsia="仿宋_GB2312" w:cs="仿宋_GB2312"/>
        </w:rPr>
        <w:t>、</w:t>
      </w:r>
      <w:r>
        <w:rPr>
          <w:rFonts w:hint="eastAsia"/>
        </w:rPr>
        <w:t>2022年重点</w:t>
      </w:r>
      <w:r>
        <w:rPr>
          <w:rFonts w:hint="eastAsia" w:ascii="黑体" w:hAnsi="黑体" w:eastAsia="黑体" w:cs="黑体"/>
          <w:b w:val="0"/>
          <w:bCs w:val="0"/>
        </w:rPr>
        <w:t>工作</w:t>
      </w:r>
      <w:bookmarkEnd w:id="16"/>
      <w:bookmarkEnd w:id="17"/>
      <w:r>
        <w:rPr>
          <w:rFonts w:hint="eastAsia"/>
        </w:rPr>
        <w:t>完成情况</w:t>
      </w:r>
      <w:bookmarkEnd w:id="18"/>
    </w:p>
    <w:p>
      <w:pPr>
        <w:pStyle w:val="2"/>
        <w:spacing w:beforeLines="0" w:line="560" w:lineRule="exact"/>
        <w:ind w:firstLine="640" w:firstLineChars="200"/>
        <w:rPr>
          <w:sz w:val="32"/>
          <w:szCs w:val="32"/>
        </w:rPr>
      </w:pPr>
      <w:r>
        <w:rPr>
          <w:rFonts w:hint="eastAsia" w:ascii="黑体" w:hAnsi="黑体" w:eastAsia="黑体" w:cs="黑体"/>
          <w:sz w:val="32"/>
          <w:szCs w:val="32"/>
        </w:rPr>
        <w:t>（一）稳步推进预算管理一体化系统建设应用</w:t>
      </w:r>
    </w:p>
    <w:p>
      <w:pPr>
        <w:pStyle w:val="2"/>
        <w:spacing w:beforeLines="0" w:line="560" w:lineRule="exact"/>
        <w:ind w:firstLine="643" w:firstLineChars="200"/>
        <w:rPr>
          <w:sz w:val="32"/>
          <w:szCs w:val="32"/>
        </w:rPr>
      </w:pPr>
      <w:r>
        <w:rPr>
          <w:rFonts w:hint="eastAsia" w:ascii="楷体" w:hAnsi="楷体" w:eastAsia="楷体" w:cs="楷体"/>
          <w:b/>
          <w:bCs/>
          <w:sz w:val="32"/>
          <w:szCs w:val="32"/>
        </w:rPr>
        <w:t>一是全力推进主体功能模块建设和运行。</w:t>
      </w:r>
      <w:r>
        <w:rPr>
          <w:rFonts w:hint="eastAsia"/>
          <w:sz w:val="32"/>
          <w:szCs w:val="32"/>
        </w:rPr>
        <w:t>全省各级财政较为顺利地切换至新系统，2022</w:t>
      </w:r>
      <w:r>
        <w:rPr>
          <w:rFonts w:hint="eastAsia"/>
          <w:sz w:val="32"/>
          <w:szCs w:val="32"/>
          <w:lang w:val="en-US" w:eastAsia="zh-CN"/>
        </w:rPr>
        <w:t>年</w:t>
      </w:r>
      <w:r>
        <w:rPr>
          <w:rFonts w:hint="eastAsia"/>
          <w:sz w:val="32"/>
          <w:szCs w:val="32"/>
        </w:rPr>
        <w:t>预算编制和预算执行业务运行总体保持平稳。</w:t>
      </w:r>
      <w:r>
        <w:rPr>
          <w:rFonts w:hint="eastAsia" w:ascii="楷体" w:hAnsi="楷体" w:eastAsia="楷体" w:cs="楷体"/>
          <w:b/>
          <w:bCs/>
          <w:sz w:val="32"/>
          <w:szCs w:val="32"/>
        </w:rPr>
        <w:t>二是不断优化完善系统。</w:t>
      </w:r>
      <w:r>
        <w:rPr>
          <w:rFonts w:hint="eastAsia"/>
          <w:sz w:val="32"/>
          <w:szCs w:val="32"/>
        </w:rPr>
        <w:t>增加代办事项提示功能，增设工资和采购接口，综合运用软件程序和报表功能，实现了预算报表、以收定支、分账户清算等个性化需求，并持续开展系统性能优化。</w:t>
      </w:r>
      <w:r>
        <w:rPr>
          <w:rFonts w:hint="eastAsia" w:ascii="楷体" w:hAnsi="楷体" w:eastAsia="楷体" w:cs="楷体"/>
          <w:b/>
          <w:bCs/>
          <w:sz w:val="32"/>
          <w:szCs w:val="32"/>
        </w:rPr>
        <w:t>三是推进专项系统整合工作。</w:t>
      </w:r>
      <w:r>
        <w:rPr>
          <w:rFonts w:hint="eastAsia"/>
          <w:sz w:val="32"/>
          <w:szCs w:val="32"/>
        </w:rPr>
        <w:t>切实开展决算、财报、资产、债务、直达资金、预算执行信息、地方评价、预算绩效等整合系统的部署实施准备工作，做到开发完成即部署。</w:t>
      </w:r>
      <w:r>
        <w:rPr>
          <w:rFonts w:hint="eastAsia" w:ascii="楷体" w:hAnsi="楷体" w:eastAsia="楷体" w:cs="楷体"/>
          <w:b/>
          <w:bCs/>
          <w:sz w:val="32"/>
          <w:szCs w:val="32"/>
        </w:rPr>
        <w:t>四是全力支撑数据考核工作。</w:t>
      </w:r>
      <w:r>
        <w:rPr>
          <w:rFonts w:hint="eastAsia"/>
          <w:sz w:val="32"/>
          <w:szCs w:val="32"/>
        </w:rPr>
        <w:t>组织技术力量，深入研究考核口径，针对性优化数据抽取程序，专门定制本地化自查自纠报表，为业务处室加强对下督导提供有力支撑。</w:t>
      </w:r>
    </w:p>
    <w:p>
      <w:pPr>
        <w:pStyle w:val="2"/>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（二）持续深化惠民惠农“一卡通”平台建设应用</w:t>
      </w:r>
    </w:p>
    <w:p>
      <w:pPr>
        <w:pStyle w:val="2"/>
        <w:spacing w:beforeLines="0" w:line="560" w:lineRule="exact"/>
        <w:ind w:firstLine="643" w:firstLineChars="200"/>
        <w:rPr>
          <w:sz w:val="32"/>
          <w:szCs w:val="32"/>
        </w:rPr>
      </w:pPr>
      <w:r>
        <w:rPr>
          <w:rFonts w:hint="eastAsia" w:ascii="楷体" w:hAnsi="楷体" w:eastAsia="楷体" w:cs="楷体"/>
          <w:b/>
          <w:bCs/>
          <w:sz w:val="32"/>
          <w:szCs w:val="32"/>
        </w:rPr>
        <w:t>一是完善制度机制。</w:t>
      </w:r>
      <w:r>
        <w:rPr>
          <w:rFonts w:hint="eastAsia"/>
          <w:sz w:val="32"/>
          <w:szCs w:val="32"/>
        </w:rPr>
        <w:t>会同专班成员制订了《四川省提升惠民惠农财政补贴资金“一卡通”监管质效工作方案》,会签相关省级部门后正式印发执行。</w:t>
      </w:r>
      <w:r>
        <w:rPr>
          <w:rFonts w:hint="eastAsia" w:ascii="楷体" w:hAnsi="楷体" w:eastAsia="楷体" w:cs="楷体"/>
          <w:b/>
          <w:bCs/>
          <w:sz w:val="32"/>
          <w:szCs w:val="32"/>
        </w:rPr>
        <w:t>二是拓展平台应用。</w:t>
      </w:r>
      <w:r>
        <w:rPr>
          <w:rFonts w:hint="eastAsia"/>
          <w:sz w:val="32"/>
          <w:szCs w:val="32"/>
        </w:rPr>
        <w:t>配合相关省级部门完成新补贴项目纳入对接工作；</w:t>
      </w:r>
      <w:r>
        <w:rPr>
          <w:rFonts w:hint="eastAsia" w:ascii="楷体" w:hAnsi="楷体" w:eastAsia="楷体" w:cs="楷体"/>
          <w:b/>
          <w:bCs/>
          <w:sz w:val="32"/>
          <w:szCs w:val="32"/>
        </w:rPr>
        <w:t>三是做好重点保障。</w:t>
      </w:r>
      <w:r>
        <w:rPr>
          <w:rFonts w:hint="eastAsia"/>
          <w:sz w:val="32"/>
          <w:szCs w:val="32"/>
        </w:rPr>
        <w:t>支撑财政厅管理的稻谷目标价格补贴项目审批业务正常办理；</w:t>
      </w:r>
      <w:r>
        <w:rPr>
          <w:rFonts w:hint="eastAsia" w:ascii="楷体" w:hAnsi="楷体" w:eastAsia="楷体" w:cs="楷体"/>
          <w:b/>
          <w:bCs/>
          <w:sz w:val="32"/>
          <w:szCs w:val="32"/>
        </w:rPr>
        <w:t>四是加强对下指导。</w:t>
      </w:r>
      <w:r>
        <w:rPr>
          <w:rFonts w:hint="eastAsia"/>
          <w:sz w:val="32"/>
          <w:szCs w:val="32"/>
        </w:rPr>
        <w:t>推动市州财政 “一卡通”相关工作从建设阶段向常态化运行阶段平稳过渡。</w:t>
      </w:r>
    </w:p>
    <w:p>
      <w:pPr>
        <w:pStyle w:val="2"/>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（三）加快完善财政网络安全保障体系</w:t>
      </w:r>
    </w:p>
    <w:p>
      <w:pPr>
        <w:pStyle w:val="2"/>
        <w:spacing w:beforeLines="0" w:line="560" w:lineRule="exact"/>
        <w:ind w:firstLine="643" w:firstLineChars="200"/>
        <w:rPr>
          <w:sz w:val="32"/>
          <w:szCs w:val="32"/>
        </w:rPr>
      </w:pPr>
      <w:r>
        <w:rPr>
          <w:rFonts w:hint="eastAsia" w:ascii="楷体" w:hAnsi="楷体" w:eastAsia="楷体" w:cs="楷体"/>
          <w:b/>
          <w:bCs/>
          <w:sz w:val="32"/>
          <w:szCs w:val="32"/>
        </w:rPr>
        <w:t>一是深化制度机制建设。</w:t>
      </w:r>
      <w:r>
        <w:rPr>
          <w:rFonts w:hint="eastAsia"/>
          <w:sz w:val="32"/>
          <w:szCs w:val="32"/>
        </w:rPr>
        <w:t>修订应急管理制度，为市县建立健全应急处置工作机制提供遵循。优化网络安全事件通报工作机制，切实提高上下联动效率。</w:t>
      </w:r>
      <w:r>
        <w:rPr>
          <w:rFonts w:hint="eastAsia" w:ascii="楷体" w:hAnsi="楷体" w:eastAsia="楷体" w:cs="楷体"/>
          <w:b/>
          <w:bCs/>
          <w:sz w:val="32"/>
          <w:szCs w:val="32"/>
        </w:rPr>
        <w:t>二是严格日常监督管理。</w:t>
      </w:r>
      <w:r>
        <w:rPr>
          <w:rFonts w:hint="eastAsia"/>
          <w:sz w:val="32"/>
          <w:szCs w:val="32"/>
        </w:rPr>
        <w:t>不折不扣落实等级保护制度，自觉前移防护阵地，组建专门团队对厅内设备设施常态化进行扫描、监测和分析，坚持立查立改，以查促改。</w:t>
      </w:r>
      <w:r>
        <w:rPr>
          <w:rFonts w:hint="eastAsia" w:ascii="楷体" w:hAnsi="楷体" w:eastAsia="楷体" w:cs="楷体"/>
          <w:b/>
          <w:bCs/>
          <w:sz w:val="32"/>
          <w:szCs w:val="32"/>
        </w:rPr>
        <w:t>三是提升技术防控能力。</w:t>
      </w:r>
      <w:r>
        <w:rPr>
          <w:rFonts w:hint="eastAsia"/>
          <w:sz w:val="32"/>
          <w:szCs w:val="32"/>
        </w:rPr>
        <w:t>完成网络安全域划分，部署相关设备设施并上线运行。</w:t>
      </w:r>
      <w:r>
        <w:rPr>
          <w:rFonts w:hint="eastAsia" w:ascii="楷体" w:hAnsi="楷体" w:eastAsia="楷体" w:cs="楷体"/>
          <w:b/>
          <w:bCs/>
          <w:sz w:val="32"/>
          <w:szCs w:val="32"/>
        </w:rPr>
        <w:t>四是聚焦重要节点防护。</w:t>
      </w:r>
      <w:r>
        <w:rPr>
          <w:rFonts w:hint="eastAsia"/>
          <w:sz w:val="32"/>
          <w:szCs w:val="32"/>
        </w:rPr>
        <w:t>全力参与部、省攻防演练，成果入选优秀案例。聚焦重要时间节点安全防护，认真开展专项排查，严格落实不间断值守，经受住了重大考验。</w:t>
      </w:r>
      <w:r>
        <w:rPr>
          <w:rFonts w:hint="eastAsia" w:ascii="楷体" w:hAnsi="楷体" w:eastAsia="楷体" w:cs="楷体"/>
          <w:b/>
          <w:bCs/>
          <w:sz w:val="32"/>
          <w:szCs w:val="32"/>
        </w:rPr>
        <w:t>五是加大对下督促指导。</w:t>
      </w:r>
      <w:r>
        <w:rPr>
          <w:rFonts w:hint="eastAsia"/>
          <w:sz w:val="32"/>
          <w:szCs w:val="32"/>
        </w:rPr>
        <w:t>印发工作方案，推动市县财政加强网络安全建设管理。用好省厅技术优势，专项开展对下渗透，指导帮助市县财政发现问题、解决问题。</w:t>
      </w:r>
      <w:r>
        <w:rPr>
          <w:rFonts w:hint="eastAsia" w:ascii="楷体" w:hAnsi="楷体" w:eastAsia="楷体" w:cs="楷体"/>
          <w:b/>
          <w:bCs/>
          <w:sz w:val="32"/>
          <w:szCs w:val="32"/>
        </w:rPr>
        <w:t>六是强化宣传培训。</w:t>
      </w:r>
      <w:r>
        <w:rPr>
          <w:rFonts w:hint="eastAsia"/>
          <w:sz w:val="32"/>
          <w:szCs w:val="32"/>
        </w:rPr>
        <w:t>举办网络安全专题培训，邀请行业专家深入解国家政策制度，教授工作实操要点，培训防护知识。创造条件开展网络安全宣传周活动，大力宣传网络安全防护知识。</w:t>
      </w:r>
    </w:p>
    <w:p>
      <w:pPr>
        <w:pStyle w:val="2"/>
        <w:spacing w:beforeLines="0" w:line="560" w:lineRule="exact"/>
        <w:ind w:firstLine="640" w:firstLineChars="200"/>
        <w:rPr>
          <w:sz w:val="32"/>
          <w:szCs w:val="32"/>
        </w:rPr>
      </w:pPr>
      <w:r>
        <w:rPr>
          <w:rFonts w:hint="eastAsia" w:ascii="黑体" w:hAnsi="黑体" w:eastAsia="黑体" w:cs="黑体"/>
          <w:sz w:val="32"/>
          <w:szCs w:val="32"/>
        </w:rPr>
        <w:t>（四）扎实做好日常运维管理工作</w:t>
      </w:r>
    </w:p>
    <w:p>
      <w:pPr>
        <w:pStyle w:val="2"/>
        <w:spacing w:beforeLines="0" w:line="560" w:lineRule="exact"/>
        <w:ind w:firstLine="643" w:firstLineChars="200"/>
        <w:rPr>
          <w:sz w:val="32"/>
          <w:szCs w:val="32"/>
        </w:rPr>
      </w:pPr>
      <w:r>
        <w:rPr>
          <w:rFonts w:hint="eastAsia" w:ascii="楷体" w:hAnsi="楷体" w:eastAsia="楷体" w:cs="楷体"/>
          <w:b/>
          <w:bCs/>
          <w:sz w:val="32"/>
          <w:szCs w:val="32"/>
        </w:rPr>
        <w:t>一是切实做好网络和服务器资源管理。</w:t>
      </w:r>
      <w:r>
        <w:rPr>
          <w:rFonts w:hint="eastAsia"/>
          <w:sz w:val="32"/>
          <w:szCs w:val="32"/>
        </w:rPr>
        <w:t>优化完善财政业务专网建设，推进全省金财骨干网的提速备份，顺利完成机房综合环境的运行维护和日常管理工作，进一步规范我厅政务云信息化项目管理和资源管理。</w:t>
      </w:r>
      <w:r>
        <w:rPr>
          <w:rFonts w:hint="eastAsia" w:ascii="楷体" w:hAnsi="楷体" w:eastAsia="楷体" w:cs="楷体"/>
          <w:b/>
          <w:bCs/>
          <w:sz w:val="32"/>
          <w:szCs w:val="32"/>
        </w:rPr>
        <w:t>二是切实做好重要信息系统管理。</w:t>
      </w:r>
      <w:r>
        <w:rPr>
          <w:rFonts w:hint="eastAsia"/>
          <w:sz w:val="32"/>
          <w:szCs w:val="32"/>
        </w:rPr>
        <w:t>做好预算管理一体化系统、国库集中支付电子凭证库及印章系统，直达资金监控系统、政府财务报告管理信息系统、一体化行政运行管理平台、门户网站、视频会议系统等运行保障工作，有力支撑相关业务和政务事项顺利进行。</w:t>
      </w:r>
      <w:r>
        <w:rPr>
          <w:rFonts w:hint="eastAsia" w:ascii="楷体" w:hAnsi="楷体" w:eastAsia="楷体" w:cs="楷体"/>
          <w:b/>
          <w:bCs/>
          <w:sz w:val="32"/>
          <w:szCs w:val="32"/>
        </w:rPr>
        <w:t>三是协助做好专项系统服务保障。</w:t>
      </w:r>
      <w:r>
        <w:rPr>
          <w:rFonts w:hint="eastAsia"/>
          <w:sz w:val="32"/>
          <w:szCs w:val="32"/>
        </w:rPr>
        <w:t>配合采购处、会计处做好政府采购平台、一体化政务服务平台的优化和日常运行保障；配合厅办公室完成财政厅政务信息系统整合共享的年度审计、编目更新、数据对接更新、月报编写上报等工作；配合各专项系统主管处室完成云上系统备案相关工作。</w:t>
      </w:r>
    </w:p>
    <w:p>
      <w:pPr>
        <w:widowControl/>
        <w:spacing w:line="560" w:lineRule="exact"/>
        <w:jc w:val="left"/>
        <w:rPr>
          <w:rFonts w:ascii="仿宋" w:hAnsi="仿宋" w:eastAsia="仿宋"/>
          <w:kern w:val="0"/>
          <w:sz w:val="32"/>
          <w:szCs w:val="32"/>
        </w:rPr>
      </w:pPr>
      <w:r>
        <w:rPr>
          <w:rFonts w:ascii="仿宋" w:hAnsi="仿宋" w:eastAsia="仿宋"/>
          <w:sz w:val="32"/>
          <w:szCs w:val="32"/>
        </w:rPr>
        <w:br w:type="page"/>
      </w:r>
    </w:p>
    <w:p>
      <w:pPr>
        <w:pStyle w:val="3"/>
        <w:spacing w:line="560" w:lineRule="exact"/>
        <w:jc w:val="center"/>
        <w:rPr>
          <w:rStyle w:val="26"/>
          <w:rFonts w:ascii="黑体" w:hAnsi="黑体" w:eastAsia="黑体"/>
          <w:b w:val="0"/>
          <w:bCs/>
        </w:rPr>
      </w:pPr>
      <w:bookmarkStart w:id="19" w:name="_Toc15396602"/>
      <w:bookmarkStart w:id="20" w:name="_Toc15377204"/>
      <w:bookmarkStart w:id="21" w:name="_Toc26287"/>
      <w:r>
        <w:rPr>
          <w:rFonts w:hint="eastAsia" w:ascii="黑体" w:hAnsi="黑体" w:eastAsia="黑体"/>
          <w:b w:val="0"/>
        </w:rPr>
        <w:t>第二部分 2022年度</w:t>
      </w:r>
      <w:r>
        <w:rPr>
          <w:rStyle w:val="26"/>
          <w:rFonts w:hint="eastAsia" w:ascii="黑体" w:hAnsi="黑体" w:eastAsia="黑体"/>
          <w:b w:val="0"/>
          <w:bCs/>
        </w:rPr>
        <w:t>单位决算情况说明</w:t>
      </w:r>
      <w:bookmarkEnd w:id="19"/>
      <w:bookmarkEnd w:id="20"/>
      <w:bookmarkEnd w:id="21"/>
    </w:p>
    <w:p>
      <w:pPr>
        <w:spacing w:line="560" w:lineRule="exact"/>
      </w:pPr>
    </w:p>
    <w:p>
      <w:pPr>
        <w:pStyle w:val="25"/>
        <w:spacing w:line="560" w:lineRule="exact"/>
        <w:ind w:firstLine="640"/>
        <w:outlineLvl w:val="1"/>
        <w:rPr>
          <w:rStyle w:val="27"/>
          <w:rFonts w:ascii="黑体" w:hAnsi="黑体" w:eastAsia="黑体"/>
          <w:b w:val="0"/>
        </w:rPr>
      </w:pPr>
      <w:bookmarkStart w:id="22" w:name="_Toc15377205"/>
      <w:bookmarkStart w:id="23" w:name="_Toc15396603"/>
      <w:bookmarkStart w:id="24" w:name="_Toc5269"/>
      <w:r>
        <w:rPr>
          <w:rFonts w:hint="eastAsia" w:ascii="黑体" w:hAnsi="黑体" w:eastAsia="黑体"/>
          <w:sz w:val="32"/>
          <w:szCs w:val="32"/>
        </w:rPr>
        <w:t>一</w:t>
      </w:r>
      <w:r>
        <w:rPr>
          <w:rFonts w:hint="eastAsia" w:ascii="仿宋_GB2312" w:hAnsi="仿宋_GB2312" w:eastAsia="仿宋_GB2312" w:cs="仿宋_GB2312"/>
          <w:sz w:val="32"/>
          <w:szCs w:val="32"/>
        </w:rPr>
        <w:t>、</w:t>
      </w:r>
      <w:r>
        <w:rPr>
          <w:rFonts w:hint="eastAsia" w:ascii="黑体" w:hAnsi="黑体" w:eastAsia="黑体"/>
          <w:sz w:val="32"/>
          <w:szCs w:val="32"/>
        </w:rPr>
        <w:t>收</w:t>
      </w:r>
      <w:r>
        <w:rPr>
          <w:rStyle w:val="27"/>
          <w:rFonts w:hint="eastAsia" w:ascii="黑体" w:hAnsi="黑体" w:eastAsia="黑体"/>
          <w:b w:val="0"/>
        </w:rPr>
        <w:t>入支出决算总体情况说明</w:t>
      </w:r>
      <w:bookmarkEnd w:id="22"/>
      <w:bookmarkEnd w:id="23"/>
      <w:bookmarkEnd w:id="24"/>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2022年度收、支总计均为5003.97万元。与2021年相比，收、支总计各减少231.59万元，减少了4.42%。主要是预算管理一体化、信创、政务云等支出预算较上年有所变化，叠加后总支出有所减少。</w:t>
      </w:r>
    </w:p>
    <w:p>
      <w:pPr>
        <w:pStyle w:val="2"/>
        <w:spacing w:before="93" w:line="560" w:lineRule="exact"/>
        <w:jc w:val="center"/>
        <w:rPr>
          <w:rFonts w:ascii="仿宋" w:hAnsi="仿宋" w:eastAsia="仿宋"/>
          <w:b/>
          <w:bCs/>
          <w:color w:val="000000" w:themeColor="text1"/>
          <w:kern w:val="2"/>
          <w:sz w:val="32"/>
          <w:szCs w:val="32"/>
        </w:rPr>
      </w:pPr>
      <w:r>
        <w:rPr>
          <w:rFonts w:hint="eastAsia" w:ascii="仿宋" w:hAnsi="仿宋" w:eastAsia="仿宋"/>
          <w:b/>
          <w:bCs/>
          <w:color w:val="000000" w:themeColor="text1"/>
          <w:kern w:val="2"/>
          <w:sz w:val="32"/>
          <w:szCs w:val="32"/>
        </w:rPr>
        <w:t>图1：收、支决算总计变动情况图（单位：万元）</w:t>
      </w:r>
    </w:p>
    <w:p>
      <w:r>
        <w:rPr>
          <w:rFonts w:hint="eastAsia"/>
        </w:rPr>
        <w:drawing>
          <wp:inline distT="0" distB="0" distL="114300" distR="114300">
            <wp:extent cx="5300345" cy="3322320"/>
            <wp:effectExtent l="4445" t="4445" r="13970" b="1079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exact"/>
        <w:ind w:firstLine="640" w:firstLineChars="200"/>
        <w:jc w:val="left"/>
        <w:rPr>
          <w:rFonts w:ascii="仿宋_GB2312" w:eastAsia="仿宋_GB2312"/>
          <w:sz w:val="32"/>
          <w:szCs w:val="32"/>
        </w:rPr>
      </w:pPr>
    </w:p>
    <w:p>
      <w:pPr>
        <w:pStyle w:val="25"/>
        <w:spacing w:line="560" w:lineRule="exact"/>
        <w:ind w:left="-720" w:firstLine="1280" w:firstLineChars="400"/>
        <w:outlineLvl w:val="1"/>
        <w:rPr>
          <w:rStyle w:val="27"/>
          <w:rFonts w:ascii="黑体" w:hAnsi="黑体" w:eastAsia="黑体"/>
          <w:b w:val="0"/>
        </w:rPr>
      </w:pPr>
      <w:bookmarkStart w:id="25" w:name="_Toc21904"/>
      <w:bookmarkStart w:id="26" w:name="_Toc15377206"/>
      <w:bookmarkStart w:id="27" w:name="_Toc15396604"/>
      <w:r>
        <w:rPr>
          <w:rFonts w:hint="eastAsia" w:ascii="黑体" w:hAnsi="黑体" w:eastAsia="黑体"/>
          <w:sz w:val="32"/>
          <w:szCs w:val="32"/>
        </w:rPr>
        <w:t>二</w:t>
      </w:r>
      <w:r>
        <w:rPr>
          <w:rFonts w:hint="eastAsia" w:ascii="仿宋_GB2312" w:hAnsi="仿宋_GB2312" w:eastAsia="仿宋_GB2312" w:cs="仿宋_GB2312"/>
          <w:sz w:val="32"/>
          <w:szCs w:val="32"/>
        </w:rPr>
        <w:t>、</w:t>
      </w:r>
      <w:r>
        <w:rPr>
          <w:rFonts w:hint="eastAsia" w:ascii="黑体" w:hAnsi="黑体" w:eastAsia="黑体"/>
          <w:sz w:val="32"/>
          <w:szCs w:val="32"/>
        </w:rPr>
        <w:t>收</w:t>
      </w:r>
      <w:r>
        <w:rPr>
          <w:rStyle w:val="27"/>
          <w:rFonts w:hint="eastAsia" w:ascii="黑体" w:hAnsi="黑体" w:eastAsia="黑体"/>
          <w:b w:val="0"/>
        </w:rPr>
        <w:t>入决算情况说明</w:t>
      </w:r>
      <w:bookmarkEnd w:id="25"/>
      <w:bookmarkEnd w:id="26"/>
      <w:bookmarkEnd w:id="27"/>
    </w:p>
    <w:p>
      <w:pPr>
        <w:pStyle w:val="2"/>
        <w:spacing w:beforeLines="0" w:line="560" w:lineRule="exact"/>
        <w:ind w:firstLine="600" w:firstLineChars="200"/>
        <w:rPr>
          <w:rFonts w:hAnsi="仿宋_GB2312" w:cs="仿宋_GB2312"/>
        </w:rPr>
      </w:pPr>
      <w:r>
        <w:rPr>
          <w:rFonts w:hint="eastAsia" w:hAnsi="仿宋_GB2312" w:cs="仿宋_GB2312"/>
        </w:rPr>
        <w:t>2022年本年收入合计5003.97万元，其中：一般公共预算财政拨款收入5003.97万元，占100%；政府性基金预算财政拨款收入0万元，占0%；国有资本经营预算财政拨款收入0万元，占0%；上级补助收入0万元，占0%；事业收入0万元，占0%；经营收入0万元，占0%；附属单位上缴收入0万元，占0%；其他收入0万元，占0%。</w:t>
      </w:r>
    </w:p>
    <w:p>
      <w:pPr>
        <w:pStyle w:val="2"/>
        <w:spacing w:before="93" w:line="560" w:lineRule="exact"/>
        <w:jc w:val="center"/>
        <w:rPr>
          <w:rFonts w:ascii="仿宋" w:hAnsi="仿宋" w:eastAsia="仿宋"/>
          <w:b/>
          <w:bCs/>
          <w:color w:val="000000" w:themeColor="text1"/>
          <w:kern w:val="2"/>
          <w:sz w:val="32"/>
          <w:szCs w:val="32"/>
        </w:rPr>
      </w:pPr>
      <w:r>
        <w:rPr>
          <w:rFonts w:hint="eastAsia" w:ascii="仿宋" w:hAnsi="仿宋" w:eastAsia="仿宋"/>
          <w:b/>
          <w:bCs/>
          <w:color w:val="000000" w:themeColor="text1"/>
          <w:kern w:val="2"/>
          <w:sz w:val="32"/>
          <w:szCs w:val="32"/>
        </w:rPr>
        <w:t>图2：收入决算结构图（单位：万元）</w:t>
      </w:r>
    </w:p>
    <w:p>
      <w:pPr>
        <w:rPr>
          <w:rFonts w:ascii="仿宋_GB2312" w:eastAsia="仿宋_GB2312"/>
          <w:sz w:val="32"/>
          <w:szCs w:val="32"/>
        </w:rPr>
      </w:pPr>
      <w:r>
        <w:drawing>
          <wp:inline distT="0" distB="0" distL="114300" distR="114300">
            <wp:extent cx="5288915" cy="2727325"/>
            <wp:effectExtent l="0" t="0" r="14605" b="46355"/>
            <wp:docPr id="8" name="图表 7" descr="7b0a202020202263686172745265734964223a202232303437343532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5"/>
        <w:spacing w:line="560" w:lineRule="exact"/>
        <w:ind w:left="-720" w:firstLine="1280" w:firstLineChars="400"/>
        <w:outlineLvl w:val="1"/>
        <w:rPr>
          <w:rStyle w:val="27"/>
          <w:rFonts w:ascii="黑体" w:hAnsi="黑体" w:eastAsia="黑体"/>
          <w:b w:val="0"/>
        </w:rPr>
      </w:pPr>
      <w:bookmarkStart w:id="28" w:name="_Toc15377207"/>
      <w:bookmarkStart w:id="29" w:name="_Toc15396605"/>
      <w:bookmarkStart w:id="30" w:name="_Toc9223"/>
      <w:r>
        <w:rPr>
          <w:rFonts w:hint="eastAsia" w:ascii="黑体" w:hAnsi="黑体" w:eastAsia="黑体"/>
          <w:sz w:val="32"/>
          <w:szCs w:val="32"/>
        </w:rPr>
        <w:t>三</w:t>
      </w:r>
      <w:r>
        <w:rPr>
          <w:rFonts w:hint="eastAsia" w:ascii="仿宋_GB2312" w:hAnsi="仿宋_GB2312" w:eastAsia="仿宋_GB2312" w:cs="仿宋_GB2312"/>
          <w:sz w:val="32"/>
          <w:szCs w:val="32"/>
        </w:rPr>
        <w:t>、</w:t>
      </w:r>
      <w:r>
        <w:rPr>
          <w:rFonts w:hint="eastAsia" w:ascii="黑体" w:hAnsi="黑体" w:eastAsia="黑体"/>
          <w:sz w:val="32"/>
          <w:szCs w:val="32"/>
        </w:rPr>
        <w:t>支</w:t>
      </w:r>
      <w:r>
        <w:rPr>
          <w:rStyle w:val="27"/>
          <w:rFonts w:hint="eastAsia" w:ascii="黑体" w:hAnsi="黑体" w:eastAsia="黑体"/>
          <w:b w:val="0"/>
        </w:rPr>
        <w:t>出决算情况说明</w:t>
      </w:r>
      <w:bookmarkEnd w:id="28"/>
      <w:bookmarkEnd w:id="29"/>
      <w:bookmarkEnd w:id="30"/>
    </w:p>
    <w:p>
      <w:pPr>
        <w:pStyle w:val="2"/>
        <w:spacing w:beforeLines="0" w:line="560" w:lineRule="exact"/>
        <w:ind w:firstLine="600" w:firstLineChars="200"/>
        <w:rPr>
          <w:rFonts w:hAnsi="仿宋_GB2312" w:cs="仿宋_GB2312"/>
        </w:rPr>
      </w:pPr>
      <w:r>
        <w:rPr>
          <w:rFonts w:hint="eastAsia" w:hAnsi="仿宋_GB2312" w:cs="仿宋_GB2312"/>
        </w:rPr>
        <w:t>2022年本年支出合计5003.97万元，其中：基本支出359.88万元，占7.19；项目支出4644.09万元，占92.81%；上缴上级支出0万元，占0%；经营支出0万元，占0%；对附属单位补助支出0万元，占0%。</w:t>
      </w:r>
    </w:p>
    <w:p>
      <w:pPr>
        <w:spacing w:line="56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图3：支出决算结构图（单位：万元）</w:t>
      </w:r>
    </w:p>
    <w:p>
      <w:pPr>
        <w:pStyle w:val="2"/>
        <w:spacing w:before="93"/>
      </w:pPr>
      <w:r>
        <w:drawing>
          <wp:inline distT="0" distB="0" distL="114300" distR="114300">
            <wp:extent cx="5355590" cy="2628265"/>
            <wp:effectExtent l="0" t="0" r="8890" b="38735"/>
            <wp:docPr id="12" name="图表 11" descr="7b0a202020202263686172745265734964223a202232303437343532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0" w:firstLineChars="200"/>
        <w:outlineLvl w:val="1"/>
        <w:rPr>
          <w:rStyle w:val="27"/>
          <w:rFonts w:ascii="黑体" w:hAnsi="黑体" w:eastAsia="黑体"/>
          <w:b w:val="0"/>
        </w:rPr>
      </w:pPr>
      <w:bookmarkStart w:id="31" w:name="_Toc15396606"/>
      <w:bookmarkStart w:id="32" w:name="_Toc28702"/>
      <w:bookmarkStart w:id="33"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31"/>
      <w:bookmarkEnd w:id="32"/>
      <w:bookmarkEnd w:id="33"/>
    </w:p>
    <w:p>
      <w:pPr>
        <w:spacing w:line="560" w:lineRule="exact"/>
        <w:ind w:firstLine="64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2022年财政拨款收、支总计均为5003.97万元。与2021年相比，财政拨款收、支总计各减少231.59万元，减少4.42%。主要变动原因是预算管理一体化、信创、政务云等支出预算较上年有所变化，叠加后总支出有所减少。</w:t>
      </w:r>
    </w:p>
    <w:p>
      <w:pPr>
        <w:spacing w:line="56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图4：财政拨款收、支决算总计变动情况（单位：万元）</w:t>
      </w:r>
    </w:p>
    <w:p>
      <w:pPr>
        <w:pStyle w:val="2"/>
        <w:spacing w:before="93"/>
      </w:pPr>
      <w:r>
        <w:rPr>
          <w:rFonts w:hint="eastAsia" w:eastAsia="宋体"/>
        </w:rPr>
        <w:drawing>
          <wp:inline distT="0" distB="0" distL="114300" distR="114300">
            <wp:extent cx="5300345" cy="3322320"/>
            <wp:effectExtent l="4445" t="4445" r="1397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60" w:lineRule="exact"/>
        <w:ind w:firstLine="640" w:firstLineChars="200"/>
        <w:outlineLvl w:val="1"/>
        <w:rPr>
          <w:rStyle w:val="27"/>
          <w:rFonts w:ascii="黑体" w:hAnsi="黑体" w:eastAsia="黑体"/>
          <w:b w:val="0"/>
        </w:rPr>
      </w:pPr>
      <w:bookmarkStart w:id="34" w:name="_Toc25176"/>
      <w:bookmarkStart w:id="35" w:name="_Toc15396607"/>
      <w:bookmarkStart w:id="36" w:name="_Toc15377209"/>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4"/>
      <w:bookmarkEnd w:id="35"/>
      <w:bookmarkEnd w:id="36"/>
    </w:p>
    <w:p>
      <w:pPr>
        <w:spacing w:line="560" w:lineRule="exact"/>
        <w:ind w:firstLine="643" w:firstLineChars="200"/>
        <w:rPr>
          <w:rFonts w:ascii="仿宋_GB2312" w:hAnsi="仿宋_GB2312" w:eastAsia="仿宋_GB2312" w:cs="仿宋_GB2312"/>
          <w:b/>
          <w:sz w:val="32"/>
          <w:szCs w:val="32"/>
        </w:rPr>
      </w:pPr>
      <w:bookmarkStart w:id="37" w:name="_Toc15377210"/>
      <w:r>
        <w:rPr>
          <w:rFonts w:hint="eastAsia" w:ascii="仿宋_GB2312" w:hAnsi="仿宋_GB2312" w:eastAsia="仿宋_GB2312" w:cs="仿宋_GB2312"/>
          <w:b/>
          <w:sz w:val="32"/>
          <w:szCs w:val="32"/>
        </w:rPr>
        <w:t>（一）一般公共预算财政拨款支出决算总体情况</w:t>
      </w:r>
      <w:bookmarkEnd w:id="37"/>
    </w:p>
    <w:p>
      <w:pPr>
        <w:spacing w:line="560" w:lineRule="exact"/>
        <w:ind w:firstLine="640" w:firstLineChars="200"/>
        <w:rPr>
          <w:rFonts w:ascii="仿宋" w:hAnsi="仿宋" w:eastAsia="仿宋"/>
          <w:b/>
          <w:bCs/>
          <w:sz w:val="32"/>
          <w:szCs w:val="32"/>
        </w:rPr>
      </w:pPr>
      <w:r>
        <w:rPr>
          <w:rFonts w:hint="eastAsia" w:ascii="仿宋_GB2312" w:hAnsi="仿宋_GB2312" w:eastAsia="仿宋_GB2312" w:cs="仿宋_GB2312"/>
          <w:sz w:val="32"/>
          <w:szCs w:val="32"/>
        </w:rPr>
        <w:t>2022年一般公共预算财政拨款支出5003.97万元，占本年支出合计的100%。与2021年相比，一般公共预算财政拨款支出减少231.59万元，减少4.42%。主要变动原因是预算管理一体化、信创、政务云等支出预算较上年有所变化，叠加后总支出有所减少。</w:t>
      </w:r>
    </w:p>
    <w:p>
      <w:pPr>
        <w:spacing w:line="560" w:lineRule="exact"/>
        <w:jc w:val="center"/>
        <w:rPr>
          <w:rFonts w:ascii="仿宋" w:hAnsi="仿宋" w:eastAsia="仿宋"/>
          <w:b/>
          <w:bCs/>
          <w:color w:val="000000" w:themeColor="text1"/>
          <w:sz w:val="32"/>
          <w:szCs w:val="32"/>
        </w:rPr>
      </w:pPr>
    </w:p>
    <w:p>
      <w:pPr>
        <w:pStyle w:val="2"/>
      </w:pPr>
    </w:p>
    <w:p>
      <w:pPr>
        <w:spacing w:line="56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w w:val="96"/>
          <w:sz w:val="32"/>
          <w:szCs w:val="32"/>
        </w:rPr>
        <w:t>图5：一般公共预算财政拨款支出决算变动情况（单位：万元）</w:t>
      </w:r>
    </w:p>
    <w:p>
      <w:pPr>
        <w:pStyle w:val="2"/>
        <w:spacing w:before="93"/>
      </w:pPr>
      <w:r>
        <w:rPr>
          <w:rFonts w:hint="eastAsia" w:eastAsia="宋体"/>
        </w:rPr>
        <w:drawing>
          <wp:inline distT="0" distB="0" distL="114300" distR="114300">
            <wp:extent cx="5300345" cy="3322320"/>
            <wp:effectExtent l="4445" t="4445" r="13970"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60" w:lineRule="exact"/>
        <w:ind w:firstLine="643" w:firstLineChars="200"/>
        <w:rPr>
          <w:rFonts w:ascii="仿宋_GB2312" w:hAnsi="仿宋_GB2312" w:eastAsia="仿宋_GB2312" w:cs="仿宋_GB2312"/>
          <w:b/>
          <w:sz w:val="32"/>
          <w:szCs w:val="32"/>
        </w:rPr>
      </w:pPr>
      <w:bookmarkStart w:id="38" w:name="_Toc15377211"/>
      <w:r>
        <w:rPr>
          <w:rFonts w:hint="eastAsia" w:ascii="仿宋_GB2312" w:hAnsi="仿宋_GB2312" w:eastAsia="仿宋_GB2312" w:cs="仿宋_GB2312"/>
          <w:b/>
          <w:sz w:val="32"/>
          <w:szCs w:val="32"/>
        </w:rPr>
        <w:t>（二）一般公共预算财政拨款支出决算结构情况</w:t>
      </w:r>
      <w:bookmarkEnd w:id="38"/>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2022年一般公共预算财政拨款支出5003.97万元，主要用于以下方面:</w:t>
      </w:r>
      <w:r>
        <w:rPr>
          <w:rFonts w:hint="eastAsia" w:ascii="仿宋_GB2312" w:hAnsi="仿宋_GB2312" w:eastAsia="仿宋_GB2312" w:cs="仿宋_GB2312"/>
          <w:b/>
          <w:sz w:val="32"/>
          <w:szCs w:val="32"/>
        </w:rPr>
        <w:t>一般公共服务（类）</w:t>
      </w:r>
      <w:r>
        <w:rPr>
          <w:rFonts w:hint="eastAsia" w:ascii="仿宋_GB2312" w:hAnsi="仿宋_GB2312" w:eastAsia="仿宋_GB2312" w:cs="仿宋_GB2312"/>
          <w:sz w:val="32"/>
          <w:szCs w:val="32"/>
        </w:rPr>
        <w:t>支出4901.66万元，占97.96%；</w:t>
      </w:r>
      <w:r>
        <w:rPr>
          <w:rFonts w:hint="eastAsia" w:ascii="仿宋_GB2312" w:hAnsi="仿宋_GB2312" w:eastAsia="仿宋_GB2312" w:cs="仿宋_GB2312"/>
          <w:b/>
          <w:sz w:val="32"/>
          <w:szCs w:val="32"/>
        </w:rPr>
        <w:t>社会保障和就业（类）</w:t>
      </w:r>
      <w:r>
        <w:rPr>
          <w:rFonts w:hint="eastAsia" w:ascii="仿宋_GB2312" w:hAnsi="仿宋_GB2312" w:eastAsia="仿宋_GB2312" w:cs="仿宋_GB2312"/>
          <w:sz w:val="32"/>
          <w:szCs w:val="32"/>
        </w:rPr>
        <w:t>支出36.77万元，占0.73%；</w:t>
      </w:r>
      <w:r>
        <w:rPr>
          <w:rFonts w:hint="eastAsia" w:ascii="仿宋_GB2312" w:hAnsi="仿宋_GB2312" w:eastAsia="仿宋_GB2312" w:cs="仿宋_GB2312"/>
          <w:b/>
          <w:bCs/>
          <w:sz w:val="32"/>
          <w:szCs w:val="32"/>
        </w:rPr>
        <w:t>卫生健康（类）</w:t>
      </w:r>
      <w:r>
        <w:rPr>
          <w:rFonts w:hint="eastAsia" w:ascii="仿宋_GB2312" w:hAnsi="仿宋_GB2312" w:eastAsia="仿宋_GB2312" w:cs="仿宋_GB2312"/>
          <w:sz w:val="32"/>
          <w:szCs w:val="32"/>
        </w:rPr>
        <w:t>支出17.80万元，占0.36%；</w:t>
      </w:r>
      <w:r>
        <w:rPr>
          <w:rFonts w:hint="eastAsia" w:ascii="仿宋_GB2312" w:hAnsi="仿宋_GB2312" w:eastAsia="仿宋_GB2312" w:cs="仿宋_GB2312"/>
          <w:b/>
          <w:bCs/>
          <w:sz w:val="32"/>
          <w:szCs w:val="32"/>
        </w:rPr>
        <w:t>住房保障（类）</w:t>
      </w:r>
      <w:r>
        <w:rPr>
          <w:rFonts w:hint="eastAsia" w:ascii="仿宋_GB2312" w:hAnsi="仿宋_GB2312" w:eastAsia="仿宋_GB2312" w:cs="仿宋_GB2312"/>
          <w:sz w:val="32"/>
          <w:szCs w:val="32"/>
        </w:rPr>
        <w:t>支出47.74万元，占0.95%。</w:t>
      </w:r>
    </w:p>
    <w:p>
      <w:pPr>
        <w:pStyle w:val="6"/>
        <w:ind w:firstLine="420"/>
      </w:pPr>
    </w:p>
    <w:p>
      <w:pPr>
        <w:spacing w:line="560" w:lineRule="exact"/>
        <w:jc w:val="center"/>
        <w:rPr>
          <w:rFonts w:ascii="仿宋" w:hAnsi="仿宋" w:eastAsia="仿宋"/>
          <w:b/>
          <w:bCs/>
          <w:color w:val="000000" w:themeColor="text1"/>
          <w:sz w:val="32"/>
          <w:szCs w:val="32"/>
        </w:rPr>
      </w:pPr>
    </w:p>
    <w:p>
      <w:pPr>
        <w:spacing w:line="560" w:lineRule="exact"/>
        <w:jc w:val="both"/>
        <w:rPr>
          <w:rFonts w:ascii="仿宋" w:hAnsi="仿宋" w:eastAsia="仿宋"/>
          <w:b/>
          <w:bCs/>
          <w:color w:val="000000" w:themeColor="text1"/>
          <w:sz w:val="32"/>
          <w:szCs w:val="32"/>
        </w:rPr>
      </w:pPr>
    </w:p>
    <w:p>
      <w:pPr>
        <w:spacing w:line="560" w:lineRule="exact"/>
        <w:jc w:val="center"/>
        <w:rPr>
          <w:rFonts w:ascii="仿宋" w:hAnsi="仿宋" w:eastAsia="仿宋"/>
          <w:b/>
          <w:bCs/>
          <w:color w:val="000000" w:themeColor="text1"/>
          <w:sz w:val="32"/>
          <w:szCs w:val="32"/>
        </w:rPr>
      </w:pPr>
    </w:p>
    <w:p>
      <w:pPr>
        <w:spacing w:line="560" w:lineRule="exact"/>
        <w:jc w:val="center"/>
        <w:rPr>
          <w:rFonts w:ascii="仿宋" w:hAnsi="仿宋" w:eastAsia="仿宋"/>
          <w:b/>
          <w:bCs/>
          <w:color w:val="000000" w:themeColor="text1"/>
          <w:sz w:val="32"/>
          <w:szCs w:val="32"/>
        </w:rPr>
      </w:pPr>
    </w:p>
    <w:p>
      <w:pPr>
        <w:spacing w:line="560" w:lineRule="exact"/>
        <w:rPr>
          <w:rFonts w:ascii="仿宋" w:hAnsi="仿宋" w:eastAsia="仿宋"/>
          <w:b/>
          <w:bCs/>
          <w:color w:val="000000" w:themeColor="text1"/>
          <w:sz w:val="32"/>
          <w:szCs w:val="32"/>
        </w:rPr>
      </w:pPr>
    </w:p>
    <w:p>
      <w:pPr>
        <w:spacing w:line="560" w:lineRule="exact"/>
        <w:jc w:val="center"/>
        <w:rPr>
          <w:rFonts w:hint="eastAsia" w:ascii="仿宋" w:hAnsi="仿宋" w:eastAsia="仿宋"/>
          <w:b/>
          <w:bCs/>
          <w:color w:val="000000" w:themeColor="text1"/>
          <w:sz w:val="32"/>
          <w:szCs w:val="32"/>
        </w:rPr>
      </w:pPr>
    </w:p>
    <w:p>
      <w:pPr>
        <w:spacing w:line="560" w:lineRule="exact"/>
        <w:jc w:val="center"/>
        <w:rPr>
          <w:rFonts w:hint="eastAsia" w:ascii="仿宋" w:hAnsi="仿宋" w:eastAsia="仿宋"/>
          <w:b/>
          <w:bCs/>
          <w:color w:val="000000" w:themeColor="text1"/>
          <w:sz w:val="32"/>
          <w:szCs w:val="32"/>
        </w:rPr>
      </w:pPr>
    </w:p>
    <w:p>
      <w:pPr>
        <w:spacing w:line="560" w:lineRule="exact"/>
        <w:jc w:val="center"/>
        <w:rPr>
          <w:rFonts w:hint="eastAsia" w:ascii="仿宋" w:hAnsi="仿宋" w:eastAsia="仿宋"/>
          <w:b/>
          <w:bCs/>
          <w:color w:val="000000" w:themeColor="text1"/>
          <w:sz w:val="32"/>
          <w:szCs w:val="32"/>
        </w:rPr>
      </w:pPr>
    </w:p>
    <w:p>
      <w:pPr>
        <w:spacing w:line="56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图6：一般公共预算财政拨款支出决算结构（单位：万元）</w:t>
      </w:r>
    </w:p>
    <w:p>
      <w:pPr>
        <w:pStyle w:val="6"/>
        <w:ind w:firstLine="420"/>
      </w:pPr>
    </w:p>
    <w:p>
      <w:pPr>
        <w:pStyle w:val="2"/>
        <w:spacing w:before="93"/>
      </w:pPr>
      <w:r>
        <w:drawing>
          <wp:inline distT="0" distB="0" distL="114300" distR="114300">
            <wp:extent cx="5344795" cy="3348990"/>
            <wp:effectExtent l="0" t="0" r="4445" b="34290"/>
            <wp:docPr id="16" name="图表 15" descr="7b0a202020202263686172745265734964223a202232303437343532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60" w:lineRule="exact"/>
        <w:ind w:firstLine="643" w:firstLineChars="200"/>
        <w:rPr>
          <w:rFonts w:ascii="仿宋_GB2312" w:hAnsi="仿宋_GB2312" w:eastAsia="仿宋_GB2312" w:cs="仿宋_GB2312"/>
          <w:b/>
          <w:sz w:val="32"/>
          <w:szCs w:val="32"/>
        </w:rPr>
      </w:pPr>
      <w:bookmarkStart w:id="39" w:name="_Toc15377212"/>
      <w:r>
        <w:rPr>
          <w:rFonts w:hint="eastAsia" w:ascii="仿宋_GB2312" w:hAnsi="仿宋_GB2312" w:eastAsia="仿宋_GB2312" w:cs="仿宋_GB2312"/>
          <w:b/>
          <w:sz w:val="32"/>
          <w:szCs w:val="32"/>
        </w:rPr>
        <w:t>（三）一般公共预算财政拨款支出决算具体情况</w:t>
      </w:r>
      <w:bookmarkEnd w:id="39"/>
    </w:p>
    <w:p>
      <w:pPr>
        <w:spacing w:line="560" w:lineRule="exact"/>
        <w:ind w:firstLine="643" w:firstLineChars="200"/>
        <w:rPr>
          <w:rStyle w:val="16"/>
          <w:rFonts w:ascii="仿宋_GB2312" w:hAnsi="仿宋_GB2312" w:eastAsia="仿宋_GB2312" w:cs="仿宋_GB2312"/>
          <w:bCs/>
          <w:sz w:val="32"/>
          <w:szCs w:val="32"/>
        </w:rPr>
      </w:pPr>
      <w:bookmarkStart w:id="40" w:name="_Toc15377444"/>
      <w:bookmarkStart w:id="41" w:name="_Toc15377213"/>
      <w:bookmarkStart w:id="42" w:name="_Toc15378460"/>
      <w:r>
        <w:rPr>
          <w:rStyle w:val="16"/>
          <w:rFonts w:hint="eastAsia" w:ascii="仿宋_GB2312" w:hAnsi="仿宋_GB2312" w:eastAsia="仿宋_GB2312" w:cs="仿宋_GB2312"/>
          <w:bCs/>
          <w:sz w:val="32"/>
          <w:szCs w:val="32"/>
        </w:rPr>
        <w:t>2022年一般公共预算支出决算数为5003.97万元，完成预算93.69%。其中：</w:t>
      </w:r>
      <w:bookmarkEnd w:id="40"/>
      <w:bookmarkEnd w:id="41"/>
      <w:bookmarkEnd w:id="42"/>
    </w:p>
    <w:p>
      <w:pPr>
        <w:spacing w:line="560" w:lineRule="exact"/>
        <w:ind w:firstLine="643" w:firstLineChars="200"/>
        <w:rPr>
          <w:rStyle w:val="16"/>
          <w:rFonts w:hint="eastAsia"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1.一般公共服务支出（类）财政事务（款）机关服务（项）:</w:t>
      </w:r>
      <w:r>
        <w:rPr>
          <w:rStyle w:val="16"/>
          <w:rFonts w:hint="eastAsia" w:ascii="仿宋_GB2312" w:hAnsi="仿宋_GB2312" w:eastAsia="仿宋_GB2312" w:cs="仿宋_GB2312"/>
          <w:b w:val="0"/>
          <w:bCs/>
          <w:sz w:val="32"/>
          <w:szCs w:val="32"/>
        </w:rPr>
        <w:t xml:space="preserve"> 支出决算为257.57万元，完成预算78.61%，决算数小于预算数的主要原因是继续积极贯彻落实中央八项规定及省委省政府十项规定，要求加强事业单位日常经费管理。</w:t>
      </w:r>
    </w:p>
    <w:p>
      <w:pPr>
        <w:spacing w:line="560" w:lineRule="exact"/>
        <w:ind w:firstLine="643" w:firstLineChars="200"/>
        <w:rPr>
          <w:rStyle w:val="16"/>
          <w:rFonts w:hint="eastAsia"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2.一般公共服务支出（类）财政事务（款）信息化建设（项）:</w:t>
      </w:r>
      <w:r>
        <w:rPr>
          <w:rStyle w:val="16"/>
          <w:rFonts w:hint="eastAsia" w:ascii="仿宋_GB2312" w:hAnsi="仿宋_GB2312" w:eastAsia="仿宋_GB2312" w:cs="仿宋_GB2312"/>
          <w:b w:val="0"/>
          <w:bCs/>
          <w:sz w:val="32"/>
          <w:szCs w:val="32"/>
        </w:rPr>
        <w:t xml:space="preserve"> 支出决算为4602.40万元，完成预算94.65%，决算数小于预算数的主要原因：一是实施采购产生了结余；二是部分已完成政府采购项目经费结转至下年按采购合同约定支付。</w:t>
      </w:r>
    </w:p>
    <w:p>
      <w:pPr>
        <w:spacing w:line="560" w:lineRule="exact"/>
        <w:ind w:firstLine="643" w:firstLineChars="200"/>
      </w:pPr>
      <w:r>
        <w:rPr>
          <w:rStyle w:val="16"/>
          <w:rFonts w:hint="eastAsia" w:ascii="仿宋_GB2312" w:hAnsi="仿宋_GB2312" w:eastAsia="仿宋_GB2312" w:cs="仿宋_GB2312"/>
          <w:bCs/>
          <w:sz w:val="32"/>
          <w:szCs w:val="32"/>
        </w:rPr>
        <w:t>3.一般公共服务支出（类）财政事务（款）其他财政事务支出（项）:</w:t>
      </w:r>
      <w:r>
        <w:rPr>
          <w:rStyle w:val="16"/>
          <w:rFonts w:hint="eastAsia" w:ascii="仿宋_GB2312" w:hAnsi="仿宋_GB2312" w:eastAsia="仿宋_GB2312" w:cs="仿宋_GB2312"/>
          <w:b w:val="0"/>
          <w:bCs/>
          <w:sz w:val="32"/>
          <w:szCs w:val="32"/>
        </w:rPr>
        <w:t xml:space="preserve"> 支出决算为41.69万元，完成预算85.08%，决算数小于预算数的主要原因是实施采购产生了结余。</w:t>
      </w:r>
    </w:p>
    <w:p>
      <w:pPr>
        <w:spacing w:line="560" w:lineRule="exact"/>
        <w:ind w:firstLine="643" w:firstLineChars="200"/>
        <w:rPr>
          <w:rFonts w:ascii="仿宋_GB2312" w:hAnsi="仿宋_GB2312" w:eastAsia="仿宋_GB2312" w:cs="仿宋_GB2312"/>
          <w:b/>
          <w:sz w:val="32"/>
          <w:szCs w:val="32"/>
        </w:rPr>
      </w:pPr>
      <w:r>
        <w:rPr>
          <w:rStyle w:val="16"/>
          <w:rFonts w:hint="eastAsia" w:ascii="仿宋_GB2312" w:hAnsi="仿宋_GB2312" w:eastAsia="仿宋_GB2312" w:cs="仿宋_GB2312"/>
          <w:bCs/>
          <w:sz w:val="32"/>
          <w:szCs w:val="32"/>
        </w:rPr>
        <w:t>4.社会保障和就业支出（类）行政事业单位养老支出（款）机关事业单位基本养老保险缴费支出（项）:</w:t>
      </w:r>
      <w:r>
        <w:rPr>
          <w:rStyle w:val="16"/>
          <w:rFonts w:hint="eastAsia" w:ascii="仿宋_GB2312" w:hAnsi="仿宋_GB2312" w:eastAsia="仿宋_GB2312" w:cs="仿宋_GB2312"/>
          <w:b w:val="0"/>
          <w:bCs/>
          <w:sz w:val="32"/>
          <w:szCs w:val="32"/>
        </w:rPr>
        <w:t xml:space="preserve"> 支出决算为24.90万元，完成预算100%。</w:t>
      </w:r>
    </w:p>
    <w:p>
      <w:pPr>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5.社会保障和就业支出（类）行政事业单位养老支出（款）机关事业单位职业年金缴费支出（项）:</w:t>
      </w:r>
      <w:r>
        <w:rPr>
          <w:rStyle w:val="16"/>
          <w:rFonts w:hint="eastAsia" w:ascii="仿宋_GB2312" w:hAnsi="仿宋_GB2312" w:eastAsia="仿宋_GB2312" w:cs="仿宋_GB2312"/>
          <w:b w:val="0"/>
          <w:bCs/>
          <w:sz w:val="32"/>
          <w:szCs w:val="32"/>
        </w:rPr>
        <w:t xml:space="preserve"> 支出决算为11.87万元，完成预算100%。</w:t>
      </w:r>
    </w:p>
    <w:p>
      <w:pPr>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6.</w:t>
      </w:r>
      <w:r>
        <w:rPr>
          <w:rFonts w:hint="eastAsia" w:ascii="仿宋_GB2312" w:hAnsi="仿宋_GB2312" w:eastAsia="仿宋_GB2312" w:cs="仿宋_GB2312"/>
          <w:b/>
          <w:bCs/>
          <w:sz w:val="32"/>
          <w:szCs w:val="32"/>
        </w:rPr>
        <w:t>卫生健康支出</w:t>
      </w:r>
      <w:r>
        <w:rPr>
          <w:rStyle w:val="16"/>
          <w:rFonts w:hint="eastAsia" w:ascii="仿宋_GB2312" w:hAnsi="仿宋_GB2312" w:eastAsia="仿宋_GB2312" w:cs="仿宋_GB2312"/>
          <w:bCs/>
          <w:sz w:val="32"/>
          <w:szCs w:val="32"/>
        </w:rPr>
        <w:t>（类）行政事业单位医疗（款）事业单位医疗（项）:</w:t>
      </w:r>
      <w:r>
        <w:rPr>
          <w:rStyle w:val="16"/>
          <w:rFonts w:hint="eastAsia" w:ascii="仿宋_GB2312" w:hAnsi="仿宋_GB2312" w:eastAsia="仿宋_GB2312" w:cs="仿宋_GB2312"/>
          <w:b w:val="0"/>
          <w:bCs/>
          <w:sz w:val="32"/>
          <w:szCs w:val="32"/>
        </w:rPr>
        <w:t>支出决算为17.80万元，完成预算100%。</w:t>
      </w:r>
    </w:p>
    <w:p>
      <w:pPr>
        <w:spacing w:line="560"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color w:val="000000"/>
          <w:sz w:val="32"/>
          <w:szCs w:val="32"/>
        </w:rPr>
        <w:t>7.</w:t>
      </w:r>
      <w:r>
        <w:rPr>
          <w:rFonts w:hint="eastAsia" w:ascii="仿宋_GB2312" w:hAnsi="仿宋_GB2312" w:eastAsia="仿宋_GB2312" w:cs="仿宋_GB2312"/>
          <w:b/>
          <w:bCs/>
          <w:color w:val="000000" w:themeColor="text1"/>
          <w:sz w:val="32"/>
          <w:szCs w:val="32"/>
        </w:rPr>
        <w:t>住房保障支出</w:t>
      </w:r>
      <w:r>
        <w:rPr>
          <w:rStyle w:val="16"/>
          <w:rFonts w:hint="eastAsia" w:ascii="仿宋_GB2312" w:hAnsi="仿宋_GB2312" w:eastAsia="仿宋_GB2312" w:cs="仿宋_GB2312"/>
          <w:bCs/>
          <w:color w:val="000000"/>
          <w:sz w:val="32"/>
          <w:szCs w:val="32"/>
        </w:rPr>
        <w:t>（类）住房改革支出（款）住房公积金（项）:</w:t>
      </w:r>
      <w:r>
        <w:rPr>
          <w:rStyle w:val="16"/>
          <w:rFonts w:hint="eastAsia" w:ascii="仿宋_GB2312" w:hAnsi="仿宋_GB2312" w:eastAsia="仿宋_GB2312" w:cs="仿宋_GB2312"/>
          <w:b w:val="0"/>
          <w:bCs/>
          <w:sz w:val="32"/>
          <w:szCs w:val="32"/>
        </w:rPr>
        <w:t>支出决算为26.05万元，完成预算100%。</w:t>
      </w:r>
    </w:p>
    <w:p>
      <w:pPr>
        <w:spacing w:line="560" w:lineRule="exact"/>
        <w:ind w:firstLine="643" w:firstLineChars="200"/>
        <w:rPr>
          <w:rFonts w:ascii="仿宋_GB2312" w:hAnsi="仿宋_GB2312" w:eastAsia="仿宋_GB2312" w:cs="仿宋_GB2312"/>
          <w:b/>
          <w:sz w:val="32"/>
          <w:szCs w:val="32"/>
        </w:rPr>
      </w:pPr>
      <w:r>
        <w:rPr>
          <w:rStyle w:val="16"/>
          <w:rFonts w:hint="eastAsia" w:ascii="仿宋_GB2312" w:hAnsi="仿宋_GB2312" w:eastAsia="仿宋_GB2312" w:cs="仿宋_GB2312"/>
          <w:bCs/>
          <w:color w:val="000000"/>
          <w:sz w:val="32"/>
          <w:szCs w:val="32"/>
        </w:rPr>
        <w:t>8.</w:t>
      </w:r>
      <w:r>
        <w:rPr>
          <w:rFonts w:hint="eastAsia" w:ascii="仿宋_GB2312" w:hAnsi="仿宋_GB2312" w:eastAsia="仿宋_GB2312" w:cs="仿宋_GB2312"/>
          <w:b/>
          <w:bCs/>
          <w:color w:val="000000" w:themeColor="text1"/>
          <w:sz w:val="32"/>
          <w:szCs w:val="32"/>
        </w:rPr>
        <w:t>住房保障支出</w:t>
      </w:r>
      <w:r>
        <w:rPr>
          <w:rStyle w:val="16"/>
          <w:rFonts w:hint="eastAsia" w:ascii="仿宋_GB2312" w:hAnsi="仿宋_GB2312" w:eastAsia="仿宋_GB2312" w:cs="仿宋_GB2312"/>
          <w:bCs/>
          <w:color w:val="000000"/>
          <w:sz w:val="32"/>
          <w:szCs w:val="32"/>
        </w:rPr>
        <w:t>（类）住房改革支出（款）购房补贴（项）:</w:t>
      </w:r>
      <w:r>
        <w:rPr>
          <w:rStyle w:val="16"/>
          <w:rFonts w:hint="eastAsia" w:ascii="仿宋_GB2312" w:hAnsi="仿宋_GB2312" w:eastAsia="仿宋_GB2312" w:cs="仿宋_GB2312"/>
          <w:b w:val="0"/>
          <w:bCs/>
          <w:sz w:val="32"/>
          <w:szCs w:val="32"/>
        </w:rPr>
        <w:t>支出决算为21.69万元，完成预算100%。</w:t>
      </w:r>
    </w:p>
    <w:p>
      <w:pPr>
        <w:tabs>
          <w:tab w:val="right" w:pos="8306"/>
        </w:tabs>
        <w:spacing w:line="560" w:lineRule="exact"/>
        <w:ind w:firstLine="640"/>
        <w:outlineLvl w:val="1"/>
        <w:rPr>
          <w:rStyle w:val="27"/>
        </w:rPr>
      </w:pPr>
      <w:bookmarkStart w:id="43" w:name="_Toc20826"/>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43"/>
      <w:bookmarkEnd w:id="44"/>
      <w:bookmarkEnd w:id="45"/>
      <w:r>
        <w:rPr>
          <w:rStyle w:val="27"/>
          <w:rFonts w:ascii="黑体" w:hAnsi="黑体" w:eastAsia="黑体"/>
          <w:b w:val="0"/>
        </w:rPr>
        <w:tab/>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2022年一般公共预算财政拨款基本支出359.88万元，其中：</w:t>
      </w:r>
    </w:p>
    <w:p>
      <w:pPr>
        <w:spacing w:line="560" w:lineRule="exact"/>
        <w:ind w:firstLine="645"/>
        <w:rPr>
          <w:rFonts w:ascii="仿宋_GB2312" w:hAnsi="仿宋_GB2312" w:eastAsia="仿宋_GB2312" w:cs="仿宋_GB2312"/>
          <w:b/>
          <w:sz w:val="32"/>
          <w:szCs w:val="32"/>
        </w:rPr>
      </w:pPr>
      <w:r>
        <w:rPr>
          <w:rFonts w:hint="eastAsia" w:ascii="仿宋_GB2312" w:hAnsi="仿宋_GB2312" w:eastAsia="仿宋_GB2312" w:cs="仿宋_GB2312"/>
          <w:sz w:val="32"/>
          <w:szCs w:val="32"/>
        </w:rPr>
        <w:t>人员经费348.12万元，主要包括：基本工资、津贴补贴、绩效工资、机关事业单位基本养老保险缴费、职业年金缴费、职工基本医疗保险缴费、其他社会保障缴费、住房公积金、其他工资福利支出、奖励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公用经费11.76万元，主要包括：办公费、差旅费、劳务费、工会经费、福利费、其他商品和服务支出、办公设备购置等。</w:t>
      </w:r>
    </w:p>
    <w:p>
      <w:pPr>
        <w:spacing w:line="560" w:lineRule="exact"/>
        <w:ind w:firstLine="640"/>
        <w:outlineLvl w:val="1"/>
        <w:rPr>
          <w:rFonts w:hint="eastAsia" w:ascii="黑体" w:eastAsia="黑体"/>
          <w:sz w:val="32"/>
          <w:szCs w:val="32"/>
        </w:rPr>
      </w:pPr>
      <w:bookmarkStart w:id="46" w:name="_Toc6073"/>
      <w:bookmarkStart w:id="47" w:name="_Toc15377216"/>
      <w:bookmarkStart w:id="48" w:name="_Toc15396610"/>
      <w:bookmarkStart w:id="49" w:name="_Toc15377218"/>
      <w:r>
        <w:rPr>
          <w:rFonts w:hint="eastAsia" w:ascii="黑体" w:eastAsia="黑体"/>
          <w:sz w:val="32"/>
          <w:szCs w:val="32"/>
        </w:rPr>
        <w:t>七、财政拨款“三公”经费支出决算情况说明</w:t>
      </w:r>
      <w:bookmarkEnd w:id="46"/>
    </w:p>
    <w:p>
      <w:pPr>
        <w:spacing w:line="600" w:lineRule="exact"/>
        <w:ind w:firstLine="643" w:firstLineChars="200"/>
        <w:outlineLvl w:val="2"/>
        <w:rPr>
          <w:rFonts w:ascii="仿宋_GB2312" w:eastAsia="仿宋_GB2312"/>
          <w:sz w:val="32"/>
          <w:szCs w:val="32"/>
        </w:rPr>
      </w:pPr>
      <w:r>
        <w:rPr>
          <w:rFonts w:hint="eastAsia" w:ascii="仿宋" w:hAnsi="仿宋" w:eastAsia="仿宋"/>
          <w:b/>
          <w:sz w:val="32"/>
          <w:szCs w:val="32"/>
        </w:rPr>
        <w:t>（一）“三公”经费财政拨款支出决算总体情况说明</w:t>
      </w:r>
      <w:bookmarkEnd w:id="47"/>
    </w:p>
    <w:p>
      <w:pPr>
        <w:spacing w:line="560" w:lineRule="exact"/>
        <w:ind w:firstLine="640"/>
        <w:rPr>
          <w:rFonts w:ascii="仿宋_GB2312" w:eastAsia="仿宋_GB2312"/>
          <w:sz w:val="32"/>
          <w:szCs w:val="32"/>
        </w:rPr>
      </w:pPr>
      <w:r>
        <w:rPr>
          <w:rFonts w:hint="eastAsia" w:ascii="仿宋_GB2312" w:eastAsia="仿宋_GB2312"/>
          <w:sz w:val="32"/>
          <w:szCs w:val="32"/>
        </w:rPr>
        <w:t>2022年“三公”经费财政拨款支出决算为0万元，较上年无变化。</w:t>
      </w:r>
    </w:p>
    <w:p>
      <w:pPr>
        <w:spacing w:line="600" w:lineRule="exact"/>
        <w:ind w:firstLine="640"/>
        <w:outlineLvl w:val="2"/>
        <w:rPr>
          <w:rFonts w:ascii="仿宋" w:hAnsi="仿宋" w:eastAsia="仿宋"/>
          <w:b/>
          <w:sz w:val="32"/>
          <w:szCs w:val="32"/>
        </w:rPr>
      </w:pPr>
      <w:bookmarkStart w:id="50" w:name="_Toc15377217"/>
      <w:r>
        <w:rPr>
          <w:rFonts w:hint="eastAsia" w:ascii="仿宋" w:hAnsi="仿宋" w:eastAsia="仿宋"/>
          <w:b/>
          <w:sz w:val="32"/>
          <w:szCs w:val="32"/>
        </w:rPr>
        <w:t>（二）“三公”经费财政拨款支出决算具体情况说明</w:t>
      </w:r>
      <w:bookmarkEnd w:id="50"/>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中，因公出国（境）费支出决算0万元，较上年无变化；截至2022年12月底，单位共有公务用车0辆，公务用车购置及运行维护费支出决算0万元，较上年无变化；公务接待费支出决算0万元，较上年无变化。</w:t>
      </w:r>
    </w:p>
    <w:p>
      <w:pPr>
        <w:spacing w:line="560" w:lineRule="exact"/>
        <w:ind w:firstLine="640"/>
        <w:outlineLvl w:val="1"/>
        <w:rPr>
          <w:rStyle w:val="27"/>
          <w:rFonts w:ascii="黑体" w:hAnsi="黑体" w:eastAsia="黑体"/>
        </w:rPr>
      </w:pPr>
      <w:bookmarkStart w:id="51" w:name="_Toc7452"/>
      <w:r>
        <w:rPr>
          <w:rFonts w:hint="eastAsia" w:ascii="黑体" w:eastAsia="黑体"/>
          <w:sz w:val="32"/>
          <w:szCs w:val="32"/>
        </w:rPr>
        <w:t>八、</w:t>
      </w:r>
      <w:r>
        <w:rPr>
          <w:rStyle w:val="27"/>
          <w:rFonts w:hint="eastAsia" w:ascii="黑体" w:hAnsi="黑体" w:eastAsia="黑体"/>
          <w:b w:val="0"/>
        </w:rPr>
        <w:t>政府性基金预算支出决算情况说明</w:t>
      </w:r>
      <w:bookmarkEnd w:id="48"/>
      <w:bookmarkEnd w:id="49"/>
      <w:bookmarkEnd w:id="51"/>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1"/>
        </w:numPr>
        <w:spacing w:line="560" w:lineRule="exact"/>
        <w:ind w:firstLine="640"/>
        <w:outlineLvl w:val="1"/>
        <w:rPr>
          <w:rStyle w:val="27"/>
          <w:rFonts w:ascii="黑体" w:hAnsi="黑体" w:eastAsia="黑体"/>
          <w:b w:val="0"/>
        </w:rPr>
      </w:pPr>
      <w:bookmarkStart w:id="52" w:name="_Toc2911"/>
      <w:bookmarkStart w:id="53" w:name="_Toc15377219"/>
      <w:bookmarkStart w:id="54" w:name="_Toc15396611"/>
      <w:r>
        <w:rPr>
          <w:rStyle w:val="27"/>
          <w:rFonts w:hint="eastAsia" w:ascii="黑体" w:hAnsi="黑体" w:eastAsia="黑体"/>
          <w:b w:val="0"/>
        </w:rPr>
        <w:t>国有资本经营预算支出决算情况说明</w:t>
      </w:r>
      <w:bookmarkEnd w:id="52"/>
      <w:bookmarkEnd w:id="53"/>
      <w:bookmarkEnd w:id="54"/>
    </w:p>
    <w:p>
      <w:pPr>
        <w:spacing w:line="56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1"/>
        </w:numPr>
        <w:spacing w:line="560" w:lineRule="exact"/>
        <w:ind w:firstLine="640"/>
        <w:outlineLvl w:val="1"/>
        <w:rPr>
          <w:rStyle w:val="27"/>
          <w:rFonts w:ascii="黑体" w:hAnsi="黑体" w:eastAsia="黑体"/>
          <w:b w:val="0"/>
        </w:rPr>
      </w:pPr>
      <w:bookmarkStart w:id="55" w:name="_Toc28034"/>
      <w:bookmarkStart w:id="56" w:name="_Toc15377221"/>
      <w:bookmarkStart w:id="57" w:name="_Toc15396612"/>
      <w:r>
        <w:rPr>
          <w:rStyle w:val="27"/>
          <w:rFonts w:hint="eastAsia" w:ascii="黑体" w:hAnsi="黑体" w:eastAsia="黑体"/>
          <w:b w:val="0"/>
        </w:rPr>
        <w:t>其他重要事项的情况说明</w:t>
      </w:r>
      <w:bookmarkEnd w:id="55"/>
      <w:bookmarkEnd w:id="56"/>
      <w:bookmarkEnd w:id="57"/>
    </w:p>
    <w:p>
      <w:pPr>
        <w:spacing w:line="560" w:lineRule="exact"/>
        <w:ind w:firstLine="643" w:firstLineChars="200"/>
        <w:rPr>
          <w:rFonts w:ascii="仿宋" w:hAnsi="仿宋" w:eastAsia="仿宋"/>
          <w:sz w:val="32"/>
          <w:szCs w:val="32"/>
        </w:rPr>
      </w:pPr>
      <w:bookmarkStart w:id="58" w:name="_Toc15377222"/>
      <w:r>
        <w:rPr>
          <w:rFonts w:hint="eastAsia" w:ascii="仿宋" w:hAnsi="仿宋" w:eastAsia="仿宋"/>
          <w:b/>
          <w:sz w:val="32"/>
          <w:szCs w:val="32"/>
        </w:rPr>
        <w:t>（一）机关运行经费支出情况</w:t>
      </w:r>
      <w:bookmarkEnd w:id="58"/>
    </w:p>
    <w:p>
      <w:pPr>
        <w:spacing w:line="56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22年，信息中心无机关运行经费。</w:t>
      </w:r>
    </w:p>
    <w:p>
      <w:pPr>
        <w:autoSpaceDE w:val="0"/>
        <w:autoSpaceDN w:val="0"/>
        <w:adjustRightInd w:val="0"/>
        <w:spacing w:line="560" w:lineRule="exact"/>
        <w:ind w:firstLine="643" w:firstLineChars="200"/>
        <w:jc w:val="left"/>
        <w:rPr>
          <w:rFonts w:ascii="仿宋" w:hAnsi="仿宋" w:eastAsia="仿宋"/>
          <w:b/>
          <w:sz w:val="32"/>
          <w:szCs w:val="32"/>
        </w:rPr>
      </w:pPr>
      <w:bookmarkStart w:id="59" w:name="_Toc15377223"/>
      <w:r>
        <w:rPr>
          <w:rFonts w:hint="eastAsia" w:ascii="仿宋" w:hAnsi="仿宋" w:eastAsia="仿宋"/>
          <w:b/>
          <w:sz w:val="32"/>
          <w:szCs w:val="32"/>
        </w:rPr>
        <w:t>（二）政府采购支出情况</w:t>
      </w:r>
      <w:bookmarkEnd w:id="59"/>
    </w:p>
    <w:p>
      <w:pPr>
        <w:spacing w:line="56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22年，信息中心政府采购支出总额3811.90万元，其中：政府采购货物支出29.84万元、政府采购工程支出0万元、政府采购服务支出3782.06万元。</w:t>
      </w:r>
      <w:r>
        <w:rPr>
          <w:rStyle w:val="16"/>
          <w:rFonts w:hint="eastAsia" w:ascii="仿宋_GB2312" w:hAnsi="仿宋_GB2312" w:eastAsia="仿宋_GB2312" w:cs="仿宋_GB2312"/>
          <w:b w:val="0"/>
          <w:bCs/>
          <w:sz w:val="32"/>
          <w:szCs w:val="32"/>
        </w:rPr>
        <w:t>主要用于预算管理一体化项目实施、信创实施、政务云资源租用及全省财政系统基础设施和重要信息系统运行保障。授予中小企</w:t>
      </w:r>
      <w:r>
        <w:rPr>
          <w:rFonts w:hint="eastAsia" w:ascii="仿宋_GB2312" w:eastAsia="仿宋_GB2312"/>
          <w:sz w:val="32"/>
          <w:szCs w:val="32"/>
        </w:rPr>
        <w:t>业合同金额3258.71万元，占政府采购支出总额的85.49</w:t>
      </w:r>
      <w:r>
        <w:rPr>
          <w:rFonts w:ascii="仿宋_GB2312" w:eastAsia="仿宋_GB2312"/>
          <w:sz w:val="32"/>
          <w:szCs w:val="32"/>
        </w:rPr>
        <w:t>%</w:t>
      </w:r>
      <w:r>
        <w:rPr>
          <w:rFonts w:hint="eastAsia" w:ascii="仿宋_GB2312" w:eastAsia="仿宋_GB2312"/>
          <w:sz w:val="32"/>
          <w:szCs w:val="32"/>
        </w:rPr>
        <w:t>，其中：授予小微企业合同金额1678.26万元，占政府采购支出总额的44.03</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560" w:lineRule="exact"/>
        <w:ind w:firstLine="643" w:firstLineChars="200"/>
        <w:jc w:val="left"/>
        <w:rPr>
          <w:rFonts w:ascii="仿宋" w:hAnsi="仿宋" w:eastAsia="仿宋"/>
          <w:b/>
          <w:sz w:val="32"/>
          <w:szCs w:val="32"/>
        </w:rPr>
      </w:pPr>
      <w:bookmarkStart w:id="60" w:name="_Toc15377224"/>
      <w:r>
        <w:rPr>
          <w:rFonts w:hint="eastAsia" w:ascii="仿宋" w:hAnsi="仿宋" w:eastAsia="仿宋"/>
          <w:b/>
          <w:sz w:val="32"/>
          <w:szCs w:val="32"/>
        </w:rPr>
        <w:t>（三）国有资产占有使用情况</w:t>
      </w:r>
      <w:bookmarkEnd w:id="60"/>
    </w:p>
    <w:p>
      <w:pPr>
        <w:spacing w:line="560" w:lineRule="exact"/>
        <w:ind w:firstLine="640" w:firstLineChars="200"/>
        <w:rPr>
          <w:rFonts w:ascii="仿宋_GB2312" w:hAnsi="仿宋_GB2312" w:eastAsia="仿宋_GB2312" w:cs="仿宋_GB2312"/>
          <w:color w:val="C0504D" w:themeColor="accent2"/>
          <w:sz w:val="32"/>
          <w:szCs w:val="32"/>
        </w:rPr>
      </w:pPr>
      <w:r>
        <w:rPr>
          <w:rFonts w:hint="eastAsia" w:ascii="仿宋_GB2312" w:hAnsi="仿宋_GB2312" w:eastAsia="仿宋_GB2312" w:cs="仿宋_GB2312"/>
          <w:sz w:val="32"/>
          <w:szCs w:val="32"/>
        </w:rPr>
        <w:t>截至2022年12月31日，信息中心共有车辆0辆。单价100万元以上专用设备22台（套）。</w:t>
      </w:r>
    </w:p>
    <w:p>
      <w:pPr>
        <w:autoSpaceDE w:val="0"/>
        <w:autoSpaceDN w:val="0"/>
        <w:adjustRightInd w:val="0"/>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根据预算绩效管理要求，本单位在2022年度预算编制阶段，组织对省级政务云服务费用等1个项目开展了预算事前绩效评估，对</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个项目开展绩效监控，年终执行完毕后，对13个项目开展了绩效自评，2022年特定目标类部门预算项目绩效目标自评表见附件（第四部分）。</w:t>
      </w:r>
    </w:p>
    <w:p>
      <w:pPr>
        <w:pStyle w:val="2"/>
        <w:spacing w:before="93" w:line="560" w:lineRule="exact"/>
        <w:rPr>
          <w:highlight w:val="yellow"/>
        </w:rPr>
      </w:pPr>
    </w:p>
    <w:p>
      <w:pPr>
        <w:widowControl/>
        <w:spacing w:line="560" w:lineRule="exact"/>
        <w:jc w:val="left"/>
        <w:rPr>
          <w:rFonts w:ascii="仿宋_GB2312" w:eastAsia="仿宋_GB2312"/>
          <w:b/>
          <w:sz w:val="32"/>
          <w:szCs w:val="32"/>
        </w:rPr>
      </w:pPr>
      <w:r>
        <w:rPr>
          <w:rFonts w:ascii="仿宋_GB2312" w:eastAsia="仿宋_GB2312"/>
          <w:b/>
          <w:sz w:val="32"/>
          <w:szCs w:val="32"/>
        </w:rPr>
        <w:br w:type="page"/>
      </w:r>
    </w:p>
    <w:p>
      <w:pPr>
        <w:numPr>
          <w:ilvl w:val="0"/>
          <w:numId w:val="2"/>
        </w:numPr>
        <w:spacing w:line="560" w:lineRule="exact"/>
        <w:ind w:firstLine="660" w:firstLineChars="150"/>
        <w:jc w:val="center"/>
        <w:outlineLvl w:val="0"/>
        <w:rPr>
          <w:rStyle w:val="26"/>
          <w:rFonts w:ascii="黑体" w:hAnsi="黑体" w:eastAsia="黑体"/>
          <w:b w:val="0"/>
        </w:rPr>
      </w:pPr>
      <w:bookmarkStart w:id="61" w:name="_Toc15377225"/>
      <w:bookmarkStart w:id="62" w:name="_Toc1991"/>
      <w:bookmarkStart w:id="63" w:name="_Toc15396613"/>
      <w:r>
        <w:rPr>
          <w:rFonts w:hint="eastAsia" w:ascii="黑体" w:hAnsi="黑体" w:eastAsia="黑体"/>
          <w:sz w:val="44"/>
          <w:szCs w:val="44"/>
        </w:rPr>
        <w:t>名</w:t>
      </w:r>
      <w:r>
        <w:rPr>
          <w:rStyle w:val="26"/>
          <w:rFonts w:hint="eastAsia" w:ascii="黑体" w:hAnsi="黑体" w:eastAsia="黑体"/>
          <w:b w:val="0"/>
        </w:rPr>
        <w:t>词解释</w:t>
      </w:r>
      <w:bookmarkEnd w:id="61"/>
      <w:bookmarkEnd w:id="62"/>
      <w:bookmarkEnd w:id="63"/>
    </w:p>
    <w:p>
      <w:pPr>
        <w:spacing w:line="560" w:lineRule="exact"/>
        <w:jc w:val="left"/>
        <w:rPr>
          <w:rFonts w:ascii="宋体"/>
          <w:b/>
          <w:sz w:val="44"/>
          <w:szCs w:val="44"/>
        </w:rPr>
      </w:pPr>
    </w:p>
    <w:p>
      <w:pPr>
        <w:pStyle w:val="24"/>
        <w:spacing w:line="560" w:lineRule="exact"/>
        <w:ind w:firstLine="640" w:firstLineChars="200"/>
        <w:rPr>
          <w:rFonts w:ascii="仿宋_GB2312" w:eastAsia="仿宋_GB2312"/>
          <w:sz w:val="32"/>
          <w:szCs w:val="32"/>
        </w:rPr>
      </w:pPr>
      <w:bookmarkStart w:id="64"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一般公共服务（类）财政事务（款）机关服务（项）：指为本部门各单位正常运行提供服务的基本支出。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一般公共服务（类）财政事务（款）信息化建设（项）：指用于业务软件开发、硬件购置、系统升级等信息化建设方面的项目支出。</w:t>
      </w:r>
    </w:p>
    <w:p>
      <w:pPr>
        <w:pStyle w:val="6"/>
        <w:ind w:firstLine="640"/>
        <w:rPr>
          <w:rFonts w:ascii="仿宋_GB2312" w:eastAsia="仿宋_GB2312"/>
          <w:sz w:val="32"/>
          <w:szCs w:val="32"/>
        </w:rPr>
      </w:pPr>
      <w:r>
        <w:rPr>
          <w:rFonts w:hint="eastAsia" w:ascii="仿宋_GB2312" w:eastAsia="仿宋_GB2312"/>
          <w:sz w:val="32"/>
          <w:szCs w:val="32"/>
        </w:rPr>
        <w:t>4.一般公共服务（类）财政事务（款）其他财政事务支出（项）：指除上述项目外，开展其他财政事务方面专门性工作任务的项目支出。</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社会保障和就业（类）行政事业单位养老支出（款）事业单位离退休（项）：指机关事业单位离退休人员的支出。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社会保障和就业（类）行政事业单位养老支出（款）机关事业单位基本养老保险缴费支出（项）：指机关事业单位实施养老保险制度由单位缴纳的基本养老保险费支出。</w:t>
      </w:r>
    </w:p>
    <w:p>
      <w:pPr>
        <w:spacing w:line="560" w:lineRule="exact"/>
        <w:ind w:firstLine="640" w:firstLineChars="200"/>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社会保障和就业（类）行政事业单位养老支出（款）机关事业单位职业年金缴费支出（项）：指机关事业单位实施养老保险制度由单位缴纳的职业年金支出。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卫生健康（类）行政事业单位医疗（款）事业单位医疗（项）：指单位用于缴纳职工基本医疗保险的经费。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住房保障（类）住房改革支出（款）住房公积金（项）：指行政事业单位按人力资源和社会保障部、财政部规定的基本工资和津贴补贴以及规定比例为职工缴纳的住房公积金。</w:t>
      </w:r>
    </w:p>
    <w:p>
      <w:pPr>
        <w:spacing w:line="560" w:lineRule="exact"/>
        <w:ind w:firstLine="640" w:firstLineChars="200"/>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住房保障（类）住房改革支出（款）购房补贴（项）：指按房改政策规定的标准，机关事业单位向符合条件职工发放的用于购买住房的补贴。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s="黑体"/>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center"/>
        <w:outlineLvl w:val="0"/>
        <w:rPr>
          <w:rStyle w:val="26"/>
          <w:rFonts w:ascii="黑体" w:hAnsi="黑体" w:eastAsia="黑体"/>
          <w:b w:val="0"/>
        </w:rPr>
      </w:pPr>
      <w:r>
        <w:rPr>
          <w:rFonts w:ascii="宋体"/>
          <w:b/>
          <w:sz w:val="44"/>
          <w:szCs w:val="44"/>
        </w:rPr>
        <w:br w:type="page"/>
      </w:r>
      <w:bookmarkStart w:id="65" w:name="_Toc24731"/>
      <w:bookmarkStart w:id="66" w:name="_Toc15396614"/>
      <w:r>
        <w:rPr>
          <w:rFonts w:hint="eastAsia" w:ascii="黑体" w:hAnsi="黑体" w:eastAsia="黑体"/>
          <w:sz w:val="44"/>
          <w:szCs w:val="44"/>
        </w:rPr>
        <w:t>第</w:t>
      </w:r>
      <w:r>
        <w:rPr>
          <w:rStyle w:val="26"/>
          <w:rFonts w:hint="eastAsia" w:ascii="黑体" w:hAnsi="黑体" w:eastAsia="黑体"/>
          <w:b w:val="0"/>
        </w:rPr>
        <w:t>四部分 附件</w:t>
      </w:r>
      <w:bookmarkEnd w:id="65"/>
      <w:bookmarkEnd w:id="66"/>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tbl>
      <w:tblPr>
        <w:tblStyle w:val="14"/>
        <w:tblW w:w="5000" w:type="pct"/>
        <w:tblInd w:w="0" w:type="dxa"/>
        <w:tblLayout w:type="autofit"/>
        <w:tblCellMar>
          <w:top w:w="0" w:type="dxa"/>
          <w:left w:w="108" w:type="dxa"/>
          <w:bottom w:w="0" w:type="dxa"/>
          <w:right w:w="108" w:type="dxa"/>
        </w:tblCellMar>
      </w:tblPr>
      <w:tblGrid>
        <w:gridCol w:w="576"/>
        <w:gridCol w:w="1005"/>
        <w:gridCol w:w="936"/>
        <w:gridCol w:w="1043"/>
        <w:gridCol w:w="396"/>
        <w:gridCol w:w="756"/>
        <w:gridCol w:w="756"/>
        <w:gridCol w:w="846"/>
        <w:gridCol w:w="396"/>
        <w:gridCol w:w="666"/>
        <w:gridCol w:w="1146"/>
      </w:tblGrid>
      <w:tr>
        <w:tblPrEx>
          <w:tblCellMar>
            <w:top w:w="0" w:type="dxa"/>
            <w:left w:w="108" w:type="dxa"/>
            <w:bottom w:w="0" w:type="dxa"/>
            <w:right w:w="108" w:type="dxa"/>
          </w:tblCellMar>
        </w:tblPrEx>
        <w:trPr>
          <w:trHeight w:val="70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bookmarkStart w:id="67" w:name="_Toc15396618"/>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87"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51000021T000000011533-网络安全整体保障服务</w:t>
            </w:r>
          </w:p>
        </w:tc>
      </w:tr>
      <w:tr>
        <w:tblPrEx>
          <w:tblCellMar>
            <w:top w:w="0" w:type="dxa"/>
            <w:left w:w="108" w:type="dxa"/>
            <w:bottom w:w="0" w:type="dxa"/>
            <w:right w:w="108" w:type="dxa"/>
          </w:tblCellMar>
        </w:tblPrEx>
        <w:trPr>
          <w:trHeight w:val="36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9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网络安全整体保障</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本项目严格按照采购计划、采购文件、响应文件和合同内容实施，项目满足合同服务质量和时效要求，项目支出不高于年初预算，未出现重大运行故障，服务对象满意度满足项目绩效目标。</w:t>
            </w:r>
          </w:p>
        </w:tc>
      </w:tr>
      <w:tr>
        <w:tblPrEx>
          <w:tblCellMar>
            <w:top w:w="0" w:type="dxa"/>
            <w:left w:w="108" w:type="dxa"/>
            <w:bottom w:w="0" w:type="dxa"/>
            <w:right w:w="108" w:type="dxa"/>
          </w:tblCellMar>
        </w:tblPrEx>
        <w:trPr>
          <w:trHeight w:val="5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本项目实现财政厅网络安全支撑服务，包括安全咨询服务（安全建设咨询、安全管理咨询、商用密码咨询、安全加固咨询）、安全保障服务（安全检测保障服务、应急响应保障服务、专项保障服务、日常安全运维保障服务）、网络安全培训及安全宣传周服务。</w:t>
            </w:r>
          </w:p>
        </w:tc>
      </w:tr>
      <w:tr>
        <w:tblPrEx>
          <w:tblCellMar>
            <w:top w:w="0" w:type="dxa"/>
            <w:left w:w="108" w:type="dxa"/>
            <w:bottom w:w="0" w:type="dxa"/>
            <w:right w:w="108"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324.00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213.60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132.00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61.80%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6.18</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一是省大数据中心出台了新的政务云资源管理办法，调整费用支付方式，2022年政务云安全增值服务的费用将在2023年支付，相应调减了预算；二是</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根据网络安全技术职称服务政府采购合同约定，尾款结转至2023年继续使用。</w:t>
            </w: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324.00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213.60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132.00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61.80%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满足合同服务质量要求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满足合同服务时效要求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132</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重大运行故障</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服务对象满意度评价</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96.18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项目自评96.18分，通过本项目，保障了二十大等重要时间节点的网络安全，未发生大的安全事件，并得到了省委网信办的通报表扬。</w:t>
            </w:r>
          </w:p>
        </w:tc>
      </w:tr>
      <w:tr>
        <w:tblPrEx>
          <w:tblCellMar>
            <w:top w:w="0" w:type="dxa"/>
            <w:left w:w="108" w:type="dxa"/>
            <w:bottom w:w="0" w:type="dxa"/>
            <w:right w:w="108" w:type="dxa"/>
          </w:tblCellMar>
        </w:tblPrEx>
        <w:trPr>
          <w:trHeight w:val="28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6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51000021T000000011534-网络安全建设</w:t>
            </w:r>
          </w:p>
        </w:tc>
      </w:tr>
      <w:tr>
        <w:tblPrEx>
          <w:tblCellMar>
            <w:top w:w="0" w:type="dxa"/>
            <w:left w:w="108" w:type="dxa"/>
            <w:bottom w:w="0" w:type="dxa"/>
            <w:right w:w="108" w:type="dxa"/>
          </w:tblCellMar>
        </w:tblPrEx>
        <w:trPr>
          <w:trHeight w:val="34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8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网络安全建设</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本项目严格按照采购计划、招标文件、投标文件和合同内容执行，满足合同服务质量要求，项目支出不高于年初预算，未出现重大运行故障、服务对象未出现不满意情况。</w:t>
            </w:r>
          </w:p>
        </w:tc>
      </w:tr>
      <w:tr>
        <w:tblPrEx>
          <w:tblCellMar>
            <w:top w:w="0" w:type="dxa"/>
            <w:left w:w="108" w:type="dxa"/>
            <w:bottom w:w="0" w:type="dxa"/>
            <w:right w:w="108" w:type="dxa"/>
          </w:tblCellMar>
        </w:tblPrEx>
        <w:trPr>
          <w:trHeight w:val="7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ascii="宋体" w:hAnsi="宋体" w:cs="宋体"/>
                <w:color w:val="000000"/>
                <w:kern w:val="0"/>
                <w:sz w:val="16"/>
                <w:szCs w:val="16"/>
              </w:rPr>
              <w:t>按照采购计划、招标文件、投标文件和合同，完成了全流量检测系统、蜜罐系统、内外网互联监测设备、财政业务专网网管系统、互联网网管系统、预算单位安全管控系统、抗DDOS攻击设备部署；完成备份一体机部署和NTP服务器部署；购买2台网络安全设备硬件维保和备品备件服务，32台网络安全设备授权；完成财政厅15套信息系统实施信息安全等级保护三级测评，完成8套信息系统实施信息安全等级保护二级测评。</w:t>
            </w:r>
          </w:p>
        </w:tc>
      </w:tr>
      <w:tr>
        <w:tblPrEx>
          <w:tblCellMar>
            <w:top w:w="0" w:type="dxa"/>
            <w:left w:w="108" w:type="dxa"/>
            <w:bottom w:w="0" w:type="dxa"/>
            <w:right w:w="108" w:type="dxa"/>
          </w:tblCellMar>
        </w:tblPrEx>
        <w:trPr>
          <w:trHeight w:val="4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607.00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414.46</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327.49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79.02%</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7.92</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因预算管理一体化系统目前还在不断的升级完善，相关数据安全需求还不能完全确定，如果现在实施项目难以达到预期目标，同时可能影响系统的稳定和性能，因此调减部分网络安全建设项目预算。实际完成的政府采购合同建设尾款结转至2023年继续使用。</w:t>
            </w: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607.00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414.46</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327.49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79.02%</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5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满足合同服务质量要求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327.49</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重大运行故障</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79"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97.92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项目自评97.92分，通过本项目，进一步加强了我厅网络安全监测、边界安全防护、网络管理、预算单位安全管控等网络安全。</w:t>
            </w: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由于本项目涉及的面较广，也受到相关主管部门对网络安全变化的影响，同时2021年启动本项目来，受疫情影响，项目推进较慢，部分系统功能有待完善。</w:t>
            </w: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未来对项目的实施需考虑更全面，保障项目能够按时顺利完成，进一步优化系统功能。</w:t>
            </w:r>
          </w:p>
        </w:tc>
      </w:tr>
      <w:tr>
        <w:tblPrEx>
          <w:tblCellMar>
            <w:top w:w="0" w:type="dxa"/>
            <w:left w:w="108" w:type="dxa"/>
            <w:bottom w:w="0" w:type="dxa"/>
            <w:right w:w="108" w:type="dxa"/>
          </w:tblCellMar>
        </w:tblPrEx>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6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51000021T000000011536-财政“一体化”业务建设资金</w:t>
            </w:r>
          </w:p>
        </w:tc>
      </w:tr>
      <w:tr>
        <w:tblPrEx>
          <w:tblCellMar>
            <w:top w:w="0" w:type="dxa"/>
            <w:left w:w="108" w:type="dxa"/>
            <w:bottom w:w="0" w:type="dxa"/>
            <w:right w:w="108" w:type="dxa"/>
          </w:tblCellMar>
        </w:tblPrEx>
        <w:trPr>
          <w:trHeight w:val="32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按质按时完成预算管理一体化系统的全省集中部署和推广实施工作，实现向财政部上传数据，并通过财政部的对标评估检测。</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4"/>
                <w:szCs w:val="14"/>
              </w:rPr>
            </w:pPr>
            <w:r>
              <w:rPr>
                <w:rFonts w:hint="eastAsia" w:ascii="黑体" w:hAnsi="黑体" w:eastAsia="黑体" w:cs="黑体"/>
                <w:color w:val="000000"/>
                <w:kern w:val="0"/>
                <w:sz w:val="14"/>
                <w:szCs w:val="14"/>
              </w:rPr>
              <w:t>已全面完成预算管理一体化系统的全省集中部署和推广实施工作，并实现向财政上传数据，财政部考核得分83.65%，目前正在对部分功能按四川省业务管理实际进行完善。</w:t>
            </w:r>
          </w:p>
        </w:tc>
      </w:tr>
      <w:tr>
        <w:tblPrEx>
          <w:tblCellMar>
            <w:top w:w="0" w:type="dxa"/>
            <w:left w:w="108" w:type="dxa"/>
            <w:bottom w:w="0" w:type="dxa"/>
            <w:right w:w="108" w:type="dxa"/>
          </w:tblCellMar>
        </w:tblPrEx>
        <w:trPr>
          <w:trHeight w:val="6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1.项目实施内容：遵循财政部制定的《规范》和《标准))，结合我省财政管理实际，在四川省开展预算管理一体化系统的全省集中部署并在全省范围内推广实施，最终，实现向财政部上传数据，并通过财政部的对标评估检测。2.项目实施过程：于2022年基于该系统办理预算调整和调剂、预算执行、政府采购、银行账户管理等业务，于2022年10月底上线决算和财务报告模块。</w:t>
            </w:r>
          </w:p>
        </w:tc>
      </w:tr>
      <w:tr>
        <w:tblPrEx>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1,298.00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1,298.00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1,298.00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1,298.00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1,298.00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1,298.00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推广范围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培训范围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对标评测</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系统上线时间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驻场服务时间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拟达成效</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使用人员满意度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培训（参会）人员满意度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4"/>
                <w:szCs w:val="14"/>
              </w:rPr>
            </w:pPr>
            <w:r>
              <w:rPr>
                <w:rFonts w:hint="eastAsia" w:ascii="微软雅黑" w:hAnsi="微软雅黑" w:eastAsia="微软雅黑" w:cs="微软雅黑"/>
                <w:color w:val="000000"/>
                <w:kern w:val="0"/>
                <w:sz w:val="14"/>
                <w:szCs w:val="14"/>
              </w:rPr>
              <w:t>项目自评得分100分，项目开展情况良好，在四川省全省范围内，按财政部预算管理一体化业务规范和技术标准，有效实现了基础库、项目库、预算编制、预算批复、预算调整和调剂、预算执行、会计核算、决算和报告的全流程信息化管理，以及向财政部定时上传数据，在财政部每月考核中，得分达到83.65%。</w:t>
            </w:r>
          </w:p>
        </w:tc>
      </w:tr>
      <w:tr>
        <w:tblPrEx>
          <w:tblCellMar>
            <w:top w:w="0" w:type="dxa"/>
            <w:left w:w="108" w:type="dxa"/>
            <w:bottom w:w="0" w:type="dxa"/>
            <w:right w:w="108" w:type="dxa"/>
          </w:tblCellMar>
        </w:tblPrEx>
        <w:trPr>
          <w:trHeight w:val="30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4"/>
                <w:szCs w:val="14"/>
              </w:rPr>
            </w:pPr>
            <w:r>
              <w:rPr>
                <w:rFonts w:hint="eastAsia" w:ascii="微软雅黑" w:hAnsi="微软雅黑" w:eastAsia="微软雅黑" w:cs="微软雅黑"/>
                <w:color w:val="000000"/>
                <w:kern w:val="0"/>
                <w:sz w:val="14"/>
                <w:szCs w:val="14"/>
              </w:rPr>
              <w:t>部分系统功能有待进一步优化完善。</w:t>
            </w:r>
          </w:p>
        </w:tc>
      </w:tr>
      <w:tr>
        <w:tblPrEx>
          <w:tblCellMar>
            <w:top w:w="0" w:type="dxa"/>
            <w:left w:w="108" w:type="dxa"/>
            <w:bottom w:w="0" w:type="dxa"/>
            <w:right w:w="108" w:type="dxa"/>
          </w:tblCellMar>
        </w:tblPrEx>
        <w:trPr>
          <w:trHeight w:val="31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4"/>
                <w:szCs w:val="14"/>
              </w:rPr>
            </w:pPr>
            <w:r>
              <w:rPr>
                <w:rFonts w:hint="eastAsia" w:ascii="微软雅黑" w:hAnsi="微软雅黑" w:eastAsia="微软雅黑" w:cs="微软雅黑"/>
                <w:color w:val="000000"/>
                <w:kern w:val="0"/>
                <w:sz w:val="14"/>
                <w:szCs w:val="14"/>
              </w:rPr>
              <w:t>加快督促力度，建立待完善功能台账，逐一核销。</w:t>
            </w:r>
          </w:p>
        </w:tc>
      </w:tr>
      <w:tr>
        <w:tblPrEx>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6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51000021T000000011541-网络及视频会议系统维保服务</w:t>
            </w:r>
          </w:p>
        </w:tc>
      </w:tr>
      <w:tr>
        <w:tblPrEx>
          <w:tblCellMar>
            <w:top w:w="0" w:type="dxa"/>
            <w:left w:w="108" w:type="dxa"/>
            <w:bottom w:w="0" w:type="dxa"/>
            <w:right w:w="108" w:type="dxa"/>
          </w:tblCellMar>
        </w:tblPrEx>
        <w:trPr>
          <w:trHeight w:val="36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82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ascii="宋体" w:hAnsi="宋体" w:cs="宋体"/>
                <w:color w:val="000000"/>
                <w:kern w:val="0"/>
                <w:sz w:val="16"/>
                <w:szCs w:val="16"/>
              </w:rPr>
              <w:t>确保财政厅视频会议正常召开</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本项目服务范围满足财政厅所有视频会议系统已过保硬件设备，服务时效符合合同要求，项目支出不高于年初预算，未出现重大运行故障，服务满意度满足绩效目标。</w:t>
            </w:r>
          </w:p>
        </w:tc>
      </w:tr>
      <w:tr>
        <w:tblPrEx>
          <w:tblCellMar>
            <w:top w:w="0" w:type="dxa"/>
            <w:left w:w="108" w:type="dxa"/>
            <w:bottom w:w="0" w:type="dxa"/>
            <w:right w:w="108" w:type="dxa"/>
          </w:tblCellMar>
        </w:tblPrEx>
        <w:trPr>
          <w:trHeight w:val="5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ascii="宋体" w:hAnsi="宋体" w:cs="宋体"/>
                <w:color w:val="000000"/>
                <w:kern w:val="0"/>
                <w:sz w:val="16"/>
                <w:szCs w:val="16"/>
              </w:rPr>
              <w:t>本项目实现对财政厅所有视频会议系统已过保的硬件设备进行预防性诊断、功能调整、配置优化和系统升级，并实现合同签订后10个工作日内，相关备品备件存放在指定位置，按照合同约定，对因设备故障导致业务中断，在相应响应时间内完成处置。</w:t>
            </w:r>
          </w:p>
        </w:tc>
      </w:tr>
      <w:tr>
        <w:tblPrEx>
          <w:tblCellMar>
            <w:top w:w="0" w:type="dxa"/>
            <w:left w:w="108" w:type="dxa"/>
            <w:bottom w:w="0" w:type="dxa"/>
            <w:right w:w="108" w:type="dxa"/>
          </w:tblCellMar>
        </w:tblPrEx>
        <w:trPr>
          <w:trHeight w:val="379"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45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91.92%</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9.19</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91.92%</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285"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6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服务范围财政厅所有视频会议系统已过保硬件设备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满足合同服务时效要求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22.98</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重大运行故障</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99.19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项目自评99.19分，通过本项目，保障了我厅视频会议系统的正常运行。</w:t>
            </w:r>
          </w:p>
        </w:tc>
      </w:tr>
      <w:tr>
        <w:tblPrEx>
          <w:tblCellMar>
            <w:top w:w="0" w:type="dxa"/>
            <w:left w:w="108" w:type="dxa"/>
            <w:bottom w:w="0" w:type="dxa"/>
            <w:right w:w="108" w:type="dxa"/>
          </w:tblCellMar>
        </w:tblPrEx>
        <w:trPr>
          <w:trHeight w:val="319"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4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51000021T000000011543-视频会议系统人员驻场服务</w:t>
            </w:r>
          </w:p>
        </w:tc>
      </w:tr>
      <w:tr>
        <w:tblPrEx>
          <w:tblCellMar>
            <w:top w:w="0" w:type="dxa"/>
            <w:left w:w="108" w:type="dxa"/>
            <w:bottom w:w="0" w:type="dxa"/>
            <w:right w:w="108" w:type="dxa"/>
          </w:tblCellMar>
        </w:tblPrEx>
        <w:trPr>
          <w:trHeight w:val="34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确保财政厅视频会议或其他会议顺利召开</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本项目按合同派驻1名运维人员提供驻场服务，满足合同服务时效要求，项目支出不高于年初预算，未出现重大运行故障，服务对象满意度满足绩效目标。</w:t>
            </w:r>
          </w:p>
        </w:tc>
      </w:tr>
      <w:tr>
        <w:tblPrEx>
          <w:tblCellMar>
            <w:top w:w="0" w:type="dxa"/>
            <w:left w:w="108" w:type="dxa"/>
            <w:bottom w:w="0" w:type="dxa"/>
            <w:right w:w="108" w:type="dxa"/>
          </w:tblCellMar>
        </w:tblPrEx>
        <w:trPr>
          <w:trHeight w:val="9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按合同要求1派驻名运维人员提供驻场服务，驻场工程师通过日常巡检、会议现场保障、会议录制、故障排除、技术咨询等方式，保障视频会议设备正常运行，确保四川省财政视频会议或其他会议的正常召开。</w:t>
            </w:r>
          </w:p>
        </w:tc>
      </w:tr>
      <w:tr>
        <w:tblPrEx>
          <w:tblCellMar>
            <w:top w:w="0" w:type="dxa"/>
            <w:left w:w="108" w:type="dxa"/>
            <w:bottom w:w="0" w:type="dxa"/>
            <w:right w:w="108" w:type="dxa"/>
          </w:tblCellMar>
        </w:tblPrEx>
        <w:trPr>
          <w:trHeight w:val="45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31.88</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31.88</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31.88</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31.88</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驻场人员</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满足合同服务时效要求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31.88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31.88</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重大运行故障</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项目自评100分，通过本项目，保障了我厅视频会议正常召开。</w:t>
            </w: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6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6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51000021T000000011549-转移支付系统、采购平台、门户网站运维服务</w:t>
            </w:r>
          </w:p>
        </w:tc>
      </w:tr>
      <w:tr>
        <w:tblPrEx>
          <w:tblCellMar>
            <w:top w:w="0" w:type="dxa"/>
            <w:left w:w="108" w:type="dxa"/>
            <w:bottom w:w="0" w:type="dxa"/>
            <w:right w:w="108" w:type="dxa"/>
          </w:tblCellMar>
        </w:tblPrEx>
        <w:trPr>
          <w:trHeight w:val="54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4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保障系统全年工作日不间断平稳运行。</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保障系统全年工作日不间断平稳运行。</w:t>
            </w:r>
          </w:p>
        </w:tc>
      </w:tr>
      <w:tr>
        <w:tblPrEx>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提供系统运行技术支持服务，保障系统平稳运行。</w:t>
            </w:r>
          </w:p>
        </w:tc>
      </w:tr>
      <w:tr>
        <w:tblPrEx>
          <w:tblCellMar>
            <w:top w:w="0" w:type="dxa"/>
            <w:left w:w="108" w:type="dxa"/>
            <w:bottom w:w="0" w:type="dxa"/>
            <w:right w:w="108" w:type="dxa"/>
          </w:tblCellMar>
        </w:tblPrEx>
        <w:trPr>
          <w:trHeight w:val="379"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45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45.00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19.20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45.00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19.20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网站运行情况</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服务及时响应，无拖延</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提升面向公众服务的水平</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提升网站用户的使用满意度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项目自评总分100分，保障了系统全年工作日不间断平稳运行。</w:t>
            </w:r>
          </w:p>
        </w:tc>
      </w:tr>
      <w:tr>
        <w:tblPrEx>
          <w:tblCellMar>
            <w:top w:w="0" w:type="dxa"/>
            <w:left w:w="108" w:type="dxa"/>
            <w:bottom w:w="0" w:type="dxa"/>
            <w:right w:w="108" w:type="dxa"/>
          </w:tblCellMar>
        </w:tblPrEx>
        <w:trPr>
          <w:trHeight w:val="42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2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51000021T000000011552-扶贫动态监控和直达资金监控运维</w:t>
            </w:r>
          </w:p>
        </w:tc>
      </w:tr>
      <w:tr>
        <w:tblPrEx>
          <w:tblCellMar>
            <w:top w:w="0" w:type="dxa"/>
            <w:left w:w="108" w:type="dxa"/>
            <w:bottom w:w="0" w:type="dxa"/>
            <w:right w:w="108" w:type="dxa"/>
          </w:tblCellMar>
        </w:tblPrEx>
        <w:trPr>
          <w:trHeight w:val="38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8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保障系统全年工作日不间断平稳运行。</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保障系统全年工作日不间断平稳运行。</w:t>
            </w:r>
          </w:p>
        </w:tc>
      </w:tr>
      <w:tr>
        <w:tblPrEx>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提供系统运行技术支持服务，保障系统平稳运行。</w:t>
            </w:r>
          </w:p>
        </w:tc>
      </w:tr>
      <w:tr>
        <w:tblPrEx>
          <w:tblCellMar>
            <w:top w:w="0" w:type="dxa"/>
            <w:left w:w="108" w:type="dxa"/>
            <w:bottom w:w="0" w:type="dxa"/>
            <w:right w:w="108" w:type="dxa"/>
          </w:tblCellMar>
        </w:tblPrEx>
        <w:trPr>
          <w:trHeight w:val="40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17.30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17.30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17.30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17.30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17.29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99.95%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服务范围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233</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系统运行情况</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现场服务</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小时/天</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远程服务响应时间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分钟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惠企利民</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用户满意度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19"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项目自评总分100分，保障了系统全年工作日不间断平稳运行。</w:t>
            </w:r>
          </w:p>
        </w:tc>
      </w:tr>
      <w:tr>
        <w:tblPrEx>
          <w:tblCellMar>
            <w:top w:w="0" w:type="dxa"/>
            <w:left w:w="108" w:type="dxa"/>
            <w:bottom w:w="0" w:type="dxa"/>
            <w:right w:w="108" w:type="dxa"/>
          </w:tblCellMar>
        </w:tblPrEx>
        <w:trPr>
          <w:trHeight w:val="32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87"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51000022T000000246980-楼层配线间改造</w:t>
            </w:r>
          </w:p>
        </w:tc>
      </w:tr>
      <w:tr>
        <w:tblPrEx>
          <w:tblCellMar>
            <w:top w:w="0" w:type="dxa"/>
            <w:left w:w="108" w:type="dxa"/>
            <w:bottom w:w="0" w:type="dxa"/>
            <w:right w:w="108" w:type="dxa"/>
          </w:tblCellMar>
        </w:tblPrEx>
        <w:trPr>
          <w:trHeight w:val="30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完成14个楼层配线间整改，网络配件正常使用</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4"/>
                <w:szCs w:val="14"/>
              </w:rPr>
            </w:pPr>
            <w:r>
              <w:rPr>
                <w:rFonts w:hint="eastAsia" w:ascii="黑体" w:hAnsi="黑体" w:eastAsia="黑体" w:cs="黑体"/>
                <w:color w:val="000000"/>
                <w:kern w:val="0"/>
                <w:sz w:val="14"/>
                <w:szCs w:val="14"/>
              </w:rPr>
              <w:t>本项目按照合同内容严格执行，安进度完成了配线间排线架部署和网线的梳理整改，实现了配线间整齐美观。</w:t>
            </w:r>
          </w:p>
        </w:tc>
      </w:tr>
      <w:tr>
        <w:tblPrEx>
          <w:tblCellMar>
            <w:top w:w="0" w:type="dxa"/>
            <w:left w:w="108" w:type="dxa"/>
            <w:bottom w:w="0" w:type="dxa"/>
            <w:right w:w="108" w:type="dxa"/>
          </w:tblCellMar>
        </w:tblPrEx>
        <w:trPr>
          <w:trHeight w:val="5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ascii="宋体" w:hAnsi="宋体" w:cs="宋体"/>
                <w:color w:val="000000"/>
                <w:kern w:val="0"/>
                <w:sz w:val="16"/>
                <w:szCs w:val="16"/>
              </w:rPr>
              <w:t>本项目主要对四川省财政厅局域网综合布线系统进行升级改造，对弱电配线间清理，拆除废旧线路，替换安装网络配线架，完成弱电配线间交换机与配线架的网线对应连接，在现有无线网络环境上增补</w:t>
            </w:r>
          </w:p>
        </w:tc>
      </w:tr>
      <w:tr>
        <w:tblPrEx>
          <w:tblCellMar>
            <w:top w:w="0" w:type="dxa"/>
            <w:left w:w="108" w:type="dxa"/>
            <w:bottom w:w="0" w:type="dxa"/>
            <w:right w:w="108" w:type="dxa"/>
          </w:tblCellMar>
        </w:tblPrEx>
        <w:trPr>
          <w:trHeight w:val="3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45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85.08%</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8.51</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按合同实际金额支付。</w:t>
            </w: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85.08%</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559"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配线间排线架部署楼层数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5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配线间网络设备板块模块部署楼层数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14</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4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2022年12月31日前完成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rPr>
              <w:t>层配线间线路使用、整齐美观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4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98.51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项目自评98.51分，通过本项目，更换了我厅老旧的配线架，对配线间进行了梳理，排除了安全隐患，提升了我厅局域网络的稳定性。</w:t>
            </w:r>
          </w:p>
        </w:tc>
      </w:tr>
      <w:tr>
        <w:tblPrEx>
          <w:tblCellMar>
            <w:top w:w="0" w:type="dxa"/>
            <w:left w:w="108" w:type="dxa"/>
            <w:bottom w:w="0" w:type="dxa"/>
            <w:right w:w="108" w:type="dxa"/>
          </w:tblCellMar>
        </w:tblPrEx>
        <w:trPr>
          <w:trHeight w:val="36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50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51000022T000000425537-财政信息系统综合运维服务</w:t>
            </w:r>
          </w:p>
        </w:tc>
      </w:tr>
      <w:tr>
        <w:tblPrEx>
          <w:tblCellMar>
            <w:top w:w="0" w:type="dxa"/>
            <w:left w:w="108" w:type="dxa"/>
            <w:bottom w:w="0" w:type="dxa"/>
            <w:right w:w="108" w:type="dxa"/>
          </w:tblCellMar>
        </w:tblPrEx>
        <w:trPr>
          <w:trHeight w:val="48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8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在合同期内完成信息中心项目的系统运维服务</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保障信息系统平稳运行。</w:t>
            </w:r>
          </w:p>
        </w:tc>
      </w:tr>
      <w:tr>
        <w:tblPrEx>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提供信息系统运行技术支持服务，保障系统平稳运行。</w:t>
            </w:r>
          </w:p>
        </w:tc>
      </w:tr>
      <w:tr>
        <w:tblPrEx>
          <w:tblCellMar>
            <w:top w:w="0" w:type="dxa"/>
            <w:left w:w="108" w:type="dxa"/>
            <w:bottom w:w="0" w:type="dxa"/>
            <w:right w:w="108" w:type="dxa"/>
          </w:tblCellMar>
        </w:tblPrEx>
        <w:trPr>
          <w:trHeight w:val="40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371.74</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371.74</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329.13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88.54%</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8.85</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因合同服务期跨年，2022年并未执行完成，结转至2023年继续执行。</w:t>
            </w: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371.74</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371.74</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329.13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88.54%</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满足合同服务时效要求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4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合同运维成本</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371.74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364.84</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4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节约成本</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4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98.85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项目自评总分98.85分，保障了信息系统平稳运行。</w:t>
            </w:r>
          </w:p>
        </w:tc>
      </w:tr>
      <w:tr>
        <w:tblPrEx>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439"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51000022T000000425538-金财综合及存储设备维保服务</w:t>
            </w:r>
          </w:p>
        </w:tc>
      </w:tr>
      <w:tr>
        <w:tblPrEx>
          <w:tblCellMar>
            <w:top w:w="0" w:type="dxa"/>
            <w:left w:w="108" w:type="dxa"/>
            <w:bottom w:w="0" w:type="dxa"/>
            <w:right w:w="108" w:type="dxa"/>
          </w:tblCellMar>
        </w:tblPrEx>
        <w:trPr>
          <w:trHeight w:val="38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8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8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完成金财工程及小型机存储设备的维保服务</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4"/>
                <w:szCs w:val="14"/>
              </w:rPr>
            </w:pPr>
            <w:r>
              <w:rPr>
                <w:rFonts w:hint="eastAsia" w:ascii="黑体" w:hAnsi="黑体" w:eastAsia="黑体" w:cs="黑体"/>
                <w:color w:val="000000"/>
                <w:kern w:val="0"/>
                <w:sz w:val="14"/>
                <w:szCs w:val="14"/>
              </w:rPr>
              <w:t>本项目完成对目标用户的日常运维服务，按合同内容严格执行派驻相应人数运维人员提供驻场服务，并按照要求完成运维服务时长，未出现过重大运行故障，服务满意度和投诉率均满足项目绩效目标。</w:t>
            </w:r>
          </w:p>
        </w:tc>
      </w:tr>
      <w:tr>
        <w:tblPrEx>
          <w:tblCellMar>
            <w:top w:w="0" w:type="dxa"/>
            <w:left w:w="108" w:type="dxa"/>
            <w:bottom w:w="0" w:type="dxa"/>
            <w:right w:w="108" w:type="dxa"/>
          </w:tblCellMar>
        </w:tblPrEx>
        <w:trPr>
          <w:trHeight w:val="3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购买运维人员驻场服务，完成全年度我厅网络、桌面终端等正常运行；购买小型机和存储硬件及操作系统维保服务，保证设备正常运行使用。</w:t>
            </w:r>
          </w:p>
        </w:tc>
      </w:tr>
      <w:tr>
        <w:tblPrEx>
          <w:tblCellMar>
            <w:top w:w="0" w:type="dxa"/>
            <w:left w:w="108" w:type="dxa"/>
            <w:bottom w:w="0" w:type="dxa"/>
            <w:right w:w="108" w:type="dxa"/>
          </w:tblCellMar>
        </w:tblPrEx>
        <w:trPr>
          <w:trHeight w:val="40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297.09</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297.09</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295.32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99.40%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9.94</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297.09</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297.09</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295.32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99.40%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服务用户量</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驻场服务时间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满足合同服务时效要求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297.09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295.32</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重大运行故障</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投诉率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99.4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4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项目自评99.4分，通过本项目，保障了我厅网络、桌面终端等的运行维护，保障小型机存储设备的正常运行。</w:t>
            </w:r>
          </w:p>
        </w:tc>
      </w:tr>
      <w:tr>
        <w:tblPrEx>
          <w:tblCellMar>
            <w:top w:w="0" w:type="dxa"/>
            <w:left w:w="108" w:type="dxa"/>
            <w:bottom w:w="0" w:type="dxa"/>
            <w:right w:w="108" w:type="dxa"/>
          </w:tblCellMar>
        </w:tblPrEx>
        <w:trPr>
          <w:trHeight w:val="36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6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51000022T000000425540-一卡通阳光审批支撑平台建设</w:t>
            </w:r>
          </w:p>
        </w:tc>
      </w:tr>
      <w:tr>
        <w:tblPrEx>
          <w:tblCellMar>
            <w:top w:w="0" w:type="dxa"/>
            <w:left w:w="108" w:type="dxa"/>
            <w:bottom w:w="0" w:type="dxa"/>
            <w:right w:w="108" w:type="dxa"/>
          </w:tblCellMar>
        </w:tblPrEx>
        <w:trPr>
          <w:trHeight w:val="36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4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保障四川省惠民惠农一卡通省级监管平台和省级基础支撑平台平稳运行</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保障一卡通平台平稳运行。</w:t>
            </w:r>
          </w:p>
        </w:tc>
      </w:tr>
      <w:tr>
        <w:tblPrEx>
          <w:tblCellMar>
            <w:top w:w="0" w:type="dxa"/>
            <w:left w:w="108" w:type="dxa"/>
            <w:bottom w:w="0" w:type="dxa"/>
            <w:right w:w="108" w:type="dxa"/>
          </w:tblCellMar>
        </w:tblPrEx>
        <w:trPr>
          <w:trHeight w:val="5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提供一卡通平台运行技术支持服务，保障平台平稳运行。</w:t>
            </w:r>
          </w:p>
        </w:tc>
      </w:tr>
      <w:tr>
        <w:tblPrEx>
          <w:tblCellMar>
            <w:top w:w="0" w:type="dxa"/>
            <w:left w:w="108" w:type="dxa"/>
            <w:bottom w:w="0" w:type="dxa"/>
            <w:right w:w="108" w:type="dxa"/>
          </w:tblCellMar>
        </w:tblPrEx>
        <w:trPr>
          <w:trHeight w:val="3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90.60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90.60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90.60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90.60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1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5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平台运行</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52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平台发放数据及收集及时性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6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提升重复享受补贴复查准确率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4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获得各业务主管部门及群众认可</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好坏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好</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项目自评总分100分，保障了一卡通平台平稳运行。</w:t>
            </w:r>
          </w:p>
        </w:tc>
      </w:tr>
      <w:tr>
        <w:tblPrEx>
          <w:tblCellMar>
            <w:top w:w="0" w:type="dxa"/>
            <w:left w:w="108" w:type="dxa"/>
            <w:bottom w:w="0" w:type="dxa"/>
            <w:right w:w="108" w:type="dxa"/>
          </w:tblCellMar>
        </w:tblPrEx>
        <w:trPr>
          <w:trHeight w:val="342"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6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360"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51000022T000004704313-省级政务云服务费用</w:t>
            </w:r>
          </w:p>
        </w:tc>
      </w:tr>
      <w:tr>
        <w:tblPrEx>
          <w:tblCellMar>
            <w:top w:w="0" w:type="dxa"/>
            <w:left w:w="108" w:type="dxa"/>
            <w:bottom w:w="0" w:type="dxa"/>
            <w:right w:w="108" w:type="dxa"/>
          </w:tblCellMar>
        </w:tblPrEx>
        <w:trPr>
          <w:trHeight w:val="36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285"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ascii="宋体" w:hAnsi="宋体" w:cs="宋体"/>
                <w:color w:val="000000"/>
                <w:kern w:val="0"/>
                <w:sz w:val="16"/>
                <w:szCs w:val="16"/>
              </w:rPr>
              <w:t>省级政务云三个服务商平台（电信、浪潮、移动）提供云资源服务</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云服务商平台服务验收合格率100%，全年无重大运行故障发生，全年持续发挥作用，为云上系统提供云资源服务，服务对象对提供的云服务均满意</w:t>
            </w:r>
          </w:p>
        </w:tc>
      </w:tr>
      <w:tr>
        <w:tblPrEx>
          <w:tblCellMar>
            <w:top w:w="0" w:type="dxa"/>
            <w:left w:w="108" w:type="dxa"/>
            <w:bottom w:w="0" w:type="dxa"/>
            <w:right w:w="108" w:type="dxa"/>
          </w:tblCellMar>
        </w:tblPrEx>
        <w:trPr>
          <w:trHeight w:val="5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ascii="宋体" w:hAnsi="宋体" w:cs="宋体"/>
                <w:color w:val="000000"/>
                <w:kern w:val="0"/>
                <w:sz w:val="16"/>
                <w:szCs w:val="16"/>
              </w:rPr>
              <w:t>我厅按照规定向云服务商平台采购相应云服务，包括云资源服务、云安全服务等，服务费采取”先使用后付费“方式，按实际使用量结算，经审查审批后签订了运维服务合同并完成。</w:t>
            </w:r>
          </w:p>
        </w:tc>
      </w:tr>
      <w:tr>
        <w:tblPrEx>
          <w:tblCellMar>
            <w:top w:w="0" w:type="dxa"/>
            <w:left w:w="108" w:type="dxa"/>
            <w:bottom w:w="0" w:type="dxa"/>
            <w:right w:w="108"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808.30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701.79</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808.30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701.79</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5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提供云服务商平台服务</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服务验收合格率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合同运维成本</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808.3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701.79</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重大运行故障</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长期持续发挥作用</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4"/>
                <w:szCs w:val="14"/>
              </w:rPr>
            </w:pPr>
            <w:r>
              <w:rPr>
                <w:rFonts w:hint="eastAsia" w:ascii="微软雅黑" w:hAnsi="微软雅黑" w:eastAsia="微软雅黑" w:cs="微软雅黑"/>
                <w:color w:val="000000"/>
                <w:kern w:val="0"/>
                <w:sz w:val="14"/>
                <w:szCs w:val="14"/>
              </w:rPr>
              <w:t>本项目年度完成自评价100分，按时完成费用支付，服务验收合格率100%，全年无重大运行故障发生，全年持续发挥作用，及时为云上系统提供云资源服务，服务对象对提供的云服务均满意</w:t>
            </w:r>
          </w:p>
        </w:tc>
      </w:tr>
      <w:tr>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4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94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50" w:type="pct"/>
            <w:gridSpan w:val="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51000022T000004772153-密码测评和整改</w:t>
            </w:r>
          </w:p>
        </w:tc>
      </w:tr>
      <w:tr>
        <w:tblPrEx>
          <w:tblCellMar>
            <w:top w:w="0" w:type="dxa"/>
            <w:left w:w="108" w:type="dxa"/>
            <w:bottom w:w="0" w:type="dxa"/>
            <w:right w:w="108" w:type="dxa"/>
          </w:tblCellMar>
        </w:tblPrEx>
        <w:trPr>
          <w:trHeight w:val="300" w:hRule="atLeast"/>
        </w:trPr>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四川省财政厅部门</w:t>
            </w:r>
          </w:p>
        </w:tc>
        <w:tc>
          <w:tcPr>
            <w:tcW w:w="383"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实施单位 </w:t>
            </w:r>
          </w:p>
        </w:tc>
        <w:tc>
          <w:tcPr>
            <w:tcW w:w="1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四川省财政信息中心</w:t>
            </w:r>
          </w:p>
        </w:tc>
      </w:tr>
      <w:tr>
        <w:tblPrEx>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6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3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按要求完成对我厅15个等保三级的信息系统密评和不少于3个系统密评整改</w:t>
            </w:r>
          </w:p>
        </w:tc>
        <w:tc>
          <w:tcPr>
            <w:tcW w:w="1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完成了等级保护三级信息系统实施商用密码应用安全性评估工作。</w:t>
            </w:r>
          </w:p>
        </w:tc>
      </w:tr>
      <w:tr>
        <w:tblPrEx>
          <w:tblCellMar>
            <w:top w:w="0" w:type="dxa"/>
            <w:left w:w="108" w:type="dxa"/>
            <w:bottom w:w="0" w:type="dxa"/>
            <w:right w:w="108" w:type="dxa"/>
          </w:tblCellMar>
        </w:tblPrEx>
        <w:trPr>
          <w:trHeight w:val="34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4"/>
                <w:szCs w:val="14"/>
              </w:rPr>
            </w:pPr>
            <w:r>
              <w:rPr>
                <w:rFonts w:ascii="宋体" w:hAnsi="宋体" w:cs="宋体"/>
                <w:color w:val="000000"/>
                <w:kern w:val="0"/>
                <w:sz w:val="14"/>
                <w:szCs w:val="14"/>
              </w:rPr>
              <w:t>2.项目实施内容及过程概述</w:t>
            </w:r>
          </w:p>
        </w:tc>
        <w:tc>
          <w:tcPr>
            <w:tcW w:w="40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完成了等级保护三级信息系统实施商用密码应用安全性评估工作。</w:t>
            </w:r>
          </w:p>
        </w:tc>
      </w:tr>
      <w:tr>
        <w:tblPrEx>
          <w:tblCellMar>
            <w:top w:w="0" w:type="dxa"/>
            <w:left w:w="108" w:type="dxa"/>
            <w:bottom w:w="0" w:type="dxa"/>
            <w:right w:w="108" w:type="dxa"/>
          </w:tblCellMar>
        </w:tblPrEx>
        <w:trPr>
          <w:trHeight w:val="709"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4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75.56%</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7.56</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因国家制定的《商用密码管理条例》（修订草案送审稿）正在修订中未正式发布，密码管理相关要求暂不明确，加之受疫情影响，密码整改项目因实施条件不成熟未开展，项目终止，相应调减了年初预算。</w:t>
            </w:r>
          </w:p>
        </w:tc>
      </w:tr>
      <w:tr>
        <w:tblPrEx>
          <w:tblCellMar>
            <w:top w:w="0" w:type="dxa"/>
            <w:left w:w="108" w:type="dxa"/>
            <w:bottom w:w="0" w:type="dxa"/>
            <w:right w:w="108" w:type="dxa"/>
          </w:tblCellMar>
        </w:tblPrEx>
        <w:trPr>
          <w:trHeight w:val="4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75.56%</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4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4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4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6"/>
                <w:szCs w:val="16"/>
              </w:rPr>
            </w:pPr>
          </w:p>
        </w:tc>
      </w:tr>
      <w:tr>
        <w:tblPrEx>
          <w:tblCellMar>
            <w:top w:w="0" w:type="dxa"/>
            <w:left w:w="108" w:type="dxa"/>
            <w:bottom w:w="0" w:type="dxa"/>
            <w:right w:w="108" w:type="dxa"/>
          </w:tblCellMar>
        </w:tblPrEx>
        <w:trPr>
          <w:trHeight w:val="40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密评信息系统数量</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个（套）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完成密评工作</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密评服务完成时间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68</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45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落实国家密码发相关要求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优</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85" w:hRule="atLeast"/>
        </w:trPr>
        <w:tc>
          <w:tcPr>
            <w:tcW w:w="36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97.56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本项目年度完成自评价97.56分，通过本项目,完成了国家密码测评要求.。</w:t>
            </w:r>
          </w:p>
        </w:tc>
      </w:tr>
      <w:tr>
        <w:tblPrEx>
          <w:tblCellMar>
            <w:top w:w="0" w:type="dxa"/>
            <w:left w:w="108" w:type="dxa"/>
            <w:bottom w:w="0" w:type="dxa"/>
            <w:right w:w="108" w:type="dxa"/>
          </w:tblCellMar>
        </w:tblPrEx>
        <w:trPr>
          <w:trHeight w:val="300" w:hRule="atLeast"/>
        </w:trPr>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存在问题</w:t>
            </w:r>
          </w:p>
        </w:tc>
        <w:tc>
          <w:tcPr>
            <w:tcW w:w="4758" w:type="pct"/>
            <w:gridSpan w:val="10"/>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4"/>
                <w:szCs w:val="14"/>
              </w:rPr>
            </w:pPr>
            <w:r>
              <w:rPr>
                <w:rFonts w:ascii="宋体" w:hAnsi="宋体" w:cs="宋体"/>
                <w:color w:val="000000"/>
                <w:kern w:val="0"/>
                <w:sz w:val="14"/>
                <w:szCs w:val="14"/>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bl>
    <w:p>
      <w:pPr>
        <w:pStyle w:val="2"/>
        <w:spacing w:before="93" w:line="560" w:lineRule="exact"/>
      </w:pP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tabs>
          <w:tab w:val="left" w:pos="2612"/>
          <w:tab w:val="center" w:pos="4213"/>
        </w:tabs>
        <w:spacing w:line="560" w:lineRule="exact"/>
        <w:jc w:val="left"/>
        <w:outlineLvl w:val="0"/>
        <w:rPr>
          <w:rFonts w:ascii="黑体" w:hAnsi="黑体" w:eastAsia="黑体"/>
          <w:sz w:val="44"/>
          <w:szCs w:val="44"/>
        </w:rPr>
      </w:pPr>
    </w:p>
    <w:p>
      <w:pPr>
        <w:pStyle w:val="6"/>
        <w:ind w:firstLine="880"/>
        <w:rPr>
          <w:rFonts w:ascii="黑体" w:hAnsi="黑体" w:eastAsia="黑体"/>
          <w:sz w:val="44"/>
          <w:szCs w:val="44"/>
        </w:rPr>
      </w:pPr>
    </w:p>
    <w:p/>
    <w:p>
      <w:pPr>
        <w:tabs>
          <w:tab w:val="left" w:pos="2612"/>
          <w:tab w:val="center" w:pos="4213"/>
        </w:tabs>
        <w:spacing w:line="560" w:lineRule="exact"/>
        <w:jc w:val="left"/>
        <w:outlineLvl w:val="0"/>
        <w:rPr>
          <w:rFonts w:ascii="仿宋" w:hAnsi="仿宋" w:eastAsia="仿宋"/>
        </w:rPr>
      </w:pPr>
      <w:r>
        <w:rPr>
          <w:rFonts w:hint="eastAsia" w:ascii="黑体" w:hAnsi="黑体" w:eastAsia="黑体"/>
          <w:sz w:val="44"/>
          <w:szCs w:val="44"/>
        </w:rPr>
        <w:tab/>
      </w:r>
      <w:bookmarkStart w:id="68" w:name="_Toc25123"/>
      <w:r>
        <w:rPr>
          <w:rFonts w:hint="eastAsia" w:ascii="黑体" w:hAnsi="黑体" w:eastAsia="黑体"/>
          <w:sz w:val="44"/>
          <w:szCs w:val="44"/>
        </w:rPr>
        <w:t>第</w:t>
      </w:r>
      <w:r>
        <w:rPr>
          <w:rStyle w:val="26"/>
          <w:rFonts w:hint="eastAsia" w:ascii="黑体" w:hAnsi="黑体" w:eastAsia="黑体"/>
          <w:b w:val="0"/>
        </w:rPr>
        <w:t>五部分 附表</w:t>
      </w:r>
      <w:bookmarkEnd w:id="64"/>
      <w:bookmarkEnd w:id="67"/>
      <w:bookmarkEnd w:id="68"/>
      <w:bookmarkStart w:id="69" w:name="_Toc15396619"/>
    </w:p>
    <w:p>
      <w:pPr>
        <w:pStyle w:val="4"/>
        <w:spacing w:line="560" w:lineRule="exact"/>
        <w:rPr>
          <w:rFonts w:ascii="仿宋" w:hAnsi="仿宋" w:eastAsia="仿宋"/>
        </w:rPr>
      </w:pPr>
      <w:bookmarkStart w:id="70" w:name="_Toc28848"/>
      <w:bookmarkStart w:id="71" w:name="_Toc23682"/>
      <w:r>
        <w:rPr>
          <w:rFonts w:hint="eastAsia" w:ascii="仿宋" w:hAnsi="仿宋" w:eastAsia="仿宋"/>
          <w:b w:val="0"/>
        </w:rPr>
        <w:t>一、收</w:t>
      </w:r>
      <w:r>
        <w:rPr>
          <w:rStyle w:val="27"/>
          <w:rFonts w:hint="eastAsia" w:ascii="仿宋" w:hAnsi="仿宋" w:eastAsia="仿宋"/>
          <w:b w:val="0"/>
          <w:bCs w:val="0"/>
        </w:rPr>
        <w:t>入支出决算总表</w:t>
      </w:r>
      <w:bookmarkEnd w:id="69"/>
      <w:bookmarkEnd w:id="70"/>
      <w:bookmarkEnd w:id="71"/>
    </w:p>
    <w:p>
      <w:pPr>
        <w:pStyle w:val="4"/>
        <w:spacing w:line="560" w:lineRule="exact"/>
        <w:rPr>
          <w:rFonts w:ascii="仿宋" w:hAnsi="仿宋" w:eastAsia="仿宋"/>
        </w:rPr>
      </w:pPr>
      <w:bookmarkStart w:id="72" w:name="_Toc9526"/>
      <w:bookmarkStart w:id="73" w:name="_Toc15396620"/>
      <w:bookmarkStart w:id="74" w:name="_Toc9740"/>
      <w:r>
        <w:rPr>
          <w:rFonts w:hint="eastAsia" w:ascii="仿宋" w:hAnsi="仿宋" w:eastAsia="仿宋"/>
          <w:b w:val="0"/>
        </w:rPr>
        <w:t>二、收</w:t>
      </w:r>
      <w:r>
        <w:rPr>
          <w:rStyle w:val="27"/>
          <w:rFonts w:hint="eastAsia" w:ascii="仿宋" w:hAnsi="仿宋" w:eastAsia="仿宋"/>
          <w:b w:val="0"/>
          <w:bCs w:val="0"/>
        </w:rPr>
        <w:t>入决算表</w:t>
      </w:r>
      <w:bookmarkEnd w:id="72"/>
      <w:bookmarkEnd w:id="73"/>
      <w:bookmarkEnd w:id="74"/>
    </w:p>
    <w:p>
      <w:pPr>
        <w:pStyle w:val="4"/>
        <w:spacing w:line="560" w:lineRule="exact"/>
        <w:rPr>
          <w:rFonts w:ascii="仿宋" w:hAnsi="仿宋" w:eastAsia="仿宋"/>
        </w:rPr>
      </w:pPr>
      <w:bookmarkStart w:id="75" w:name="_Toc15396621"/>
      <w:bookmarkStart w:id="76" w:name="_Toc27040"/>
      <w:bookmarkStart w:id="77" w:name="_Toc21405"/>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75"/>
      <w:bookmarkEnd w:id="76"/>
      <w:bookmarkEnd w:id="77"/>
    </w:p>
    <w:p>
      <w:pPr>
        <w:pStyle w:val="4"/>
        <w:spacing w:line="560" w:lineRule="exact"/>
        <w:rPr>
          <w:rFonts w:ascii="仿宋" w:hAnsi="仿宋" w:eastAsia="仿宋"/>
          <w:b w:val="0"/>
        </w:rPr>
      </w:pPr>
      <w:bookmarkStart w:id="78" w:name="_Toc15396622"/>
      <w:bookmarkStart w:id="79" w:name="_Toc20465"/>
      <w:bookmarkStart w:id="80" w:name="_Toc16706"/>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78"/>
      <w:bookmarkEnd w:id="79"/>
      <w:bookmarkEnd w:id="80"/>
    </w:p>
    <w:p>
      <w:pPr>
        <w:pStyle w:val="4"/>
        <w:spacing w:line="560" w:lineRule="exact"/>
        <w:rPr>
          <w:rStyle w:val="27"/>
          <w:rFonts w:ascii="仿宋" w:hAnsi="仿宋" w:eastAsia="仿宋"/>
          <w:b w:val="0"/>
          <w:bCs w:val="0"/>
        </w:rPr>
      </w:pPr>
      <w:bookmarkStart w:id="81" w:name="_Toc15396623"/>
      <w:bookmarkStart w:id="82" w:name="_Toc16909"/>
      <w:bookmarkStart w:id="83" w:name="_Toc2668"/>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81"/>
      <w:bookmarkEnd w:id="82"/>
      <w:bookmarkEnd w:id="83"/>
      <w:bookmarkStart w:id="84" w:name="_Toc15396624"/>
    </w:p>
    <w:p>
      <w:pPr>
        <w:pStyle w:val="4"/>
        <w:spacing w:line="560" w:lineRule="exact"/>
        <w:rPr>
          <w:rFonts w:ascii="仿宋" w:hAnsi="仿宋" w:eastAsia="仿宋"/>
        </w:rPr>
      </w:pPr>
      <w:bookmarkStart w:id="85" w:name="_Toc17068"/>
      <w:bookmarkStart w:id="86" w:name="_Toc5088"/>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84"/>
      <w:bookmarkEnd w:id="85"/>
      <w:bookmarkEnd w:id="86"/>
    </w:p>
    <w:p>
      <w:pPr>
        <w:pStyle w:val="4"/>
        <w:spacing w:line="560" w:lineRule="exact"/>
        <w:rPr>
          <w:rFonts w:ascii="仿宋" w:hAnsi="仿宋" w:eastAsia="仿宋"/>
        </w:rPr>
      </w:pPr>
      <w:bookmarkStart w:id="87" w:name="_Toc19876"/>
      <w:bookmarkStart w:id="88" w:name="_Toc15396625"/>
      <w:bookmarkStart w:id="89" w:name="_Toc4830"/>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87"/>
      <w:bookmarkEnd w:id="88"/>
      <w:bookmarkEnd w:id="89"/>
    </w:p>
    <w:p>
      <w:pPr>
        <w:pStyle w:val="4"/>
        <w:spacing w:line="560" w:lineRule="exact"/>
        <w:rPr>
          <w:rFonts w:ascii="仿宋" w:hAnsi="仿宋" w:eastAsia="仿宋"/>
        </w:rPr>
      </w:pPr>
      <w:bookmarkStart w:id="90" w:name="_Toc23266"/>
      <w:bookmarkStart w:id="91" w:name="_Toc23441"/>
      <w:bookmarkStart w:id="92"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90"/>
      <w:bookmarkEnd w:id="91"/>
      <w:bookmarkEnd w:id="92"/>
    </w:p>
    <w:p>
      <w:pPr>
        <w:pStyle w:val="4"/>
        <w:spacing w:line="560" w:lineRule="exact"/>
        <w:rPr>
          <w:rFonts w:ascii="仿宋" w:hAnsi="仿宋" w:eastAsia="仿宋"/>
        </w:rPr>
      </w:pPr>
      <w:bookmarkStart w:id="93" w:name="_Toc25938"/>
      <w:bookmarkStart w:id="94" w:name="_Toc15396627"/>
      <w:bookmarkStart w:id="95" w:name="_Toc11963"/>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93"/>
      <w:bookmarkEnd w:id="94"/>
      <w:bookmarkEnd w:id="95"/>
    </w:p>
    <w:p>
      <w:pPr>
        <w:pStyle w:val="4"/>
        <w:rPr>
          <w:rFonts w:ascii="仿宋" w:hAnsi="仿宋" w:eastAsia="仿宋"/>
          <w:color w:val="auto"/>
          <w:highlight w:val="none"/>
        </w:rPr>
      </w:pPr>
      <w:bookmarkStart w:id="96" w:name="_Toc15396628"/>
      <w:bookmarkStart w:id="97" w:name="_Toc15841"/>
      <w:bookmarkStart w:id="98" w:name="_Toc28278"/>
      <w:r>
        <w:rPr>
          <w:rStyle w:val="27"/>
          <w:rFonts w:hint="eastAsia" w:ascii="仿宋" w:hAnsi="仿宋" w:eastAsia="仿宋"/>
          <w:b w:val="0"/>
          <w:bCs w:val="0"/>
          <w:color w:val="auto"/>
          <w:highlight w:val="none"/>
        </w:rPr>
        <w:t>十、</w:t>
      </w:r>
      <w:bookmarkEnd w:id="96"/>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97"/>
      <w:bookmarkEnd w:id="98"/>
    </w:p>
    <w:p>
      <w:pPr>
        <w:pStyle w:val="4"/>
        <w:rPr>
          <w:rFonts w:ascii="仿宋" w:hAnsi="仿宋" w:eastAsia="仿宋"/>
          <w:color w:val="auto"/>
          <w:highlight w:val="none"/>
        </w:rPr>
      </w:pPr>
      <w:bookmarkStart w:id="99" w:name="_Toc15396629"/>
      <w:bookmarkStart w:id="100" w:name="_Toc24937"/>
      <w:bookmarkStart w:id="101" w:name="_Toc159"/>
      <w:r>
        <w:rPr>
          <w:rStyle w:val="27"/>
          <w:rFonts w:hint="eastAsia" w:ascii="仿宋" w:hAnsi="仿宋" w:eastAsia="仿宋"/>
          <w:b w:val="0"/>
          <w:bCs w:val="0"/>
          <w:color w:val="auto"/>
          <w:highlight w:val="none"/>
        </w:rPr>
        <w:t>十一、</w:t>
      </w:r>
      <w:bookmarkEnd w:id="99"/>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00"/>
      <w:bookmarkEnd w:id="101"/>
    </w:p>
    <w:p>
      <w:pPr>
        <w:pStyle w:val="4"/>
        <w:rPr>
          <w:rFonts w:ascii="仿宋" w:hAnsi="仿宋" w:eastAsia="仿宋"/>
          <w:color w:val="auto"/>
          <w:highlight w:val="none"/>
        </w:rPr>
      </w:pPr>
      <w:bookmarkStart w:id="102" w:name="_Toc15396630"/>
      <w:bookmarkStart w:id="103" w:name="_Toc806"/>
      <w:bookmarkStart w:id="104" w:name="_Toc3205"/>
      <w:r>
        <w:rPr>
          <w:rStyle w:val="27"/>
          <w:rFonts w:hint="eastAsia" w:ascii="仿宋" w:hAnsi="仿宋" w:eastAsia="仿宋"/>
          <w:b w:val="0"/>
          <w:bCs w:val="0"/>
          <w:color w:val="auto"/>
          <w:highlight w:val="none"/>
        </w:rPr>
        <w:t>十二、</w:t>
      </w:r>
      <w:bookmarkEnd w:id="102"/>
      <w:r>
        <w:rPr>
          <w:rStyle w:val="27"/>
          <w:rFonts w:hint="eastAsia" w:ascii="仿宋" w:hAnsi="仿宋" w:eastAsia="仿宋"/>
          <w:b w:val="0"/>
          <w:bCs w:val="0"/>
          <w:color w:val="auto"/>
          <w:highlight w:val="none"/>
          <w:lang w:eastAsia="zh-CN"/>
        </w:rPr>
        <w:t>国有资本经营预算财政拨款支出决算表</w:t>
      </w:r>
      <w:bookmarkEnd w:id="103"/>
      <w:bookmarkEnd w:id="104"/>
    </w:p>
    <w:p>
      <w:pPr>
        <w:pStyle w:val="4"/>
        <w:rPr>
          <w:rFonts w:hint="eastAsia" w:eastAsia="仿宋"/>
          <w:color w:val="auto"/>
          <w:highlight w:val="none"/>
          <w:lang w:eastAsia="zh-CN"/>
        </w:rPr>
      </w:pPr>
      <w:bookmarkStart w:id="105" w:name="_Toc15396631"/>
      <w:bookmarkStart w:id="106" w:name="_Toc15972"/>
      <w:bookmarkStart w:id="107" w:name="_Toc32038"/>
      <w:r>
        <w:rPr>
          <w:rStyle w:val="27"/>
          <w:rFonts w:hint="eastAsia" w:ascii="仿宋" w:hAnsi="仿宋" w:eastAsia="仿宋"/>
          <w:b w:val="0"/>
          <w:bCs w:val="0"/>
          <w:color w:val="auto"/>
          <w:highlight w:val="none"/>
        </w:rPr>
        <w:t>十三、</w:t>
      </w:r>
      <w:bookmarkEnd w:id="105"/>
      <w:r>
        <w:rPr>
          <w:rStyle w:val="27"/>
          <w:rFonts w:hint="eastAsia" w:ascii="仿宋" w:hAnsi="仿宋" w:eastAsia="仿宋"/>
          <w:b w:val="0"/>
          <w:bCs w:val="0"/>
          <w:color w:val="auto"/>
          <w:highlight w:val="none"/>
          <w:lang w:eastAsia="zh-CN"/>
        </w:rPr>
        <w:t>财政拨款“三公”经费支出决算表</w:t>
      </w:r>
      <w:bookmarkEnd w:id="106"/>
      <w:bookmarkEnd w:id="107"/>
    </w:p>
    <w:p>
      <w:pPr>
        <w:spacing w:line="560" w:lineRule="exact"/>
        <w:rPr>
          <w:rFonts w:eastAsia="仿宋"/>
        </w:rPr>
      </w:pPr>
    </w:p>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39A6F7-45E8-49C8-A269-3124DF7F72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2" w:fontKey="{71200869-367D-4DBA-A926-770D7C2B6ED7}"/>
  </w:font>
  <w:font w:name="仿宋_GB2312">
    <w:panose1 w:val="02010609030101010101"/>
    <w:charset w:val="86"/>
    <w:family w:val="modern"/>
    <w:pitch w:val="default"/>
    <w:sig w:usb0="00000001" w:usb1="080E0000" w:usb2="00000000" w:usb3="00000000" w:csb0="00040000" w:csb1="00000000"/>
    <w:embedRegular r:id="rId3" w:fontKey="{5FD4A240-AE8E-45CA-87D6-72F8EA322C2C}"/>
  </w:font>
  <w:font w:name="仿宋">
    <w:panose1 w:val="02010609060101010101"/>
    <w:charset w:val="86"/>
    <w:family w:val="modern"/>
    <w:pitch w:val="default"/>
    <w:sig w:usb0="800002BF" w:usb1="38CF7CFA" w:usb2="00000016" w:usb3="00000000" w:csb0="00040001" w:csb1="00000000"/>
    <w:embedRegular r:id="rId4" w:fontKey="{B1129B7E-9942-4DE1-BE78-9E364EAA6A3F}"/>
  </w:font>
  <w:font w:name="方正小标宋简体">
    <w:panose1 w:val="03000509000000000000"/>
    <w:charset w:val="86"/>
    <w:family w:val="script"/>
    <w:pitch w:val="default"/>
    <w:sig w:usb0="00000001" w:usb1="080E0000" w:usb2="00000000" w:usb3="00000000" w:csb0="00040000" w:csb1="00000000"/>
    <w:embedRegular r:id="rId5" w:fontKey="{12961563-95CA-48E3-96B2-D1D5DAF91892}"/>
  </w:font>
  <w:font w:name="方正仿宋_GB2312">
    <w:panose1 w:val="02000000000000000000"/>
    <w:charset w:val="86"/>
    <w:family w:val="auto"/>
    <w:pitch w:val="default"/>
    <w:sig w:usb0="00000000" w:usb1="00000000" w:usb2="00000000" w:usb3="00000000" w:csb0="00000000" w:csb1="00000000"/>
    <w:embedRegular r:id="rId6" w:fontKey="{9B0989B6-0D66-430F-996B-B9706F8F63AE}"/>
  </w:font>
  <w:font w:name="楷体">
    <w:panose1 w:val="02010609060101010101"/>
    <w:charset w:val="86"/>
    <w:family w:val="modern"/>
    <w:pitch w:val="default"/>
    <w:sig w:usb0="800002BF" w:usb1="38CF7CFA" w:usb2="00000016" w:usb3="00000000" w:csb0="00040001" w:csb1="00000000"/>
    <w:embedRegular r:id="rId7" w:fontKey="{919E1885-332F-4B47-B70F-281695C26F64}"/>
  </w:font>
  <w:font w:name="汉仪旗黑-55简">
    <w:altName w:val="黑体"/>
    <w:panose1 w:val="00020600040101010101"/>
    <w:charset w:val="8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embedRegular r:id="rId8" w:fontKey="{1499C399-7E6F-4279-BD0D-8E6397D824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0"/>
                  <w:jc w:val="center"/>
                </w:pPr>
              </w:p>
              <w:p>
                <w:pPr>
                  <w:pStyle w:val="2"/>
                  <w:spacing w:before="72"/>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0"/>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2"/>
                  <w:spacing w:before="72"/>
                </w:pPr>
              </w:p>
            </w:txbxContent>
          </v:textbox>
        </v:shape>
      </w:pic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M4NGY3ZmRiMTk2NDY0ZDQwMjMzMzk0ZGNmZWZmN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4B56"/>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4ECC"/>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5FF6"/>
    <w:rsid w:val="00520DA0"/>
    <w:rsid w:val="00557185"/>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0C20"/>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457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4F68"/>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41D4"/>
    <w:rsid w:val="00FA23E8"/>
    <w:rsid w:val="00FD3CC1"/>
    <w:rsid w:val="00FE4F48"/>
    <w:rsid w:val="00FF1E02"/>
    <w:rsid w:val="00FF30B4"/>
    <w:rsid w:val="06B30418"/>
    <w:rsid w:val="09332E35"/>
    <w:rsid w:val="0A2032A3"/>
    <w:rsid w:val="0B8A37D8"/>
    <w:rsid w:val="0BDA18F9"/>
    <w:rsid w:val="0BDE2A7B"/>
    <w:rsid w:val="0BED0F30"/>
    <w:rsid w:val="0F1A64E0"/>
    <w:rsid w:val="10C055FF"/>
    <w:rsid w:val="118107EC"/>
    <w:rsid w:val="11DD6519"/>
    <w:rsid w:val="13B1197C"/>
    <w:rsid w:val="1491608C"/>
    <w:rsid w:val="16BB723D"/>
    <w:rsid w:val="18015F3F"/>
    <w:rsid w:val="18AB4BBC"/>
    <w:rsid w:val="1BE8440E"/>
    <w:rsid w:val="1D155CEE"/>
    <w:rsid w:val="1DC10727"/>
    <w:rsid w:val="1E766FE4"/>
    <w:rsid w:val="1EC57086"/>
    <w:rsid w:val="1F593F5D"/>
    <w:rsid w:val="1F9773DE"/>
    <w:rsid w:val="20F57F95"/>
    <w:rsid w:val="21F357FD"/>
    <w:rsid w:val="23242834"/>
    <w:rsid w:val="240371BF"/>
    <w:rsid w:val="240F1F67"/>
    <w:rsid w:val="250B548D"/>
    <w:rsid w:val="257D10E3"/>
    <w:rsid w:val="25C741E6"/>
    <w:rsid w:val="2681093B"/>
    <w:rsid w:val="277D1FB8"/>
    <w:rsid w:val="27842671"/>
    <w:rsid w:val="29F610F6"/>
    <w:rsid w:val="29FD04D3"/>
    <w:rsid w:val="2A2A36FF"/>
    <w:rsid w:val="2ABE7A3E"/>
    <w:rsid w:val="2BEF61A7"/>
    <w:rsid w:val="2CC94F20"/>
    <w:rsid w:val="2EFA178C"/>
    <w:rsid w:val="2F0F4109"/>
    <w:rsid w:val="30B46D73"/>
    <w:rsid w:val="31195621"/>
    <w:rsid w:val="313703D4"/>
    <w:rsid w:val="319F7F4E"/>
    <w:rsid w:val="33AC1919"/>
    <w:rsid w:val="39AE70AB"/>
    <w:rsid w:val="3C0C0783"/>
    <w:rsid w:val="3D7E5C25"/>
    <w:rsid w:val="3F9F3A96"/>
    <w:rsid w:val="412972A6"/>
    <w:rsid w:val="436559B2"/>
    <w:rsid w:val="477E0A07"/>
    <w:rsid w:val="489F1409"/>
    <w:rsid w:val="493C27E9"/>
    <w:rsid w:val="496F39ED"/>
    <w:rsid w:val="49FF41D3"/>
    <w:rsid w:val="4BE068DB"/>
    <w:rsid w:val="4BF6002B"/>
    <w:rsid w:val="4C625E3A"/>
    <w:rsid w:val="4D6320EE"/>
    <w:rsid w:val="4E1D1C37"/>
    <w:rsid w:val="4ECE2238"/>
    <w:rsid w:val="4F292D66"/>
    <w:rsid w:val="51DB4B86"/>
    <w:rsid w:val="55333C3E"/>
    <w:rsid w:val="569F2B82"/>
    <w:rsid w:val="57DE1B27"/>
    <w:rsid w:val="58AA1EF2"/>
    <w:rsid w:val="59325B3A"/>
    <w:rsid w:val="5C420CDC"/>
    <w:rsid w:val="635E1A5C"/>
    <w:rsid w:val="64CA39A1"/>
    <w:rsid w:val="656D7114"/>
    <w:rsid w:val="672F50CE"/>
    <w:rsid w:val="67A21E3F"/>
    <w:rsid w:val="67CF2D7B"/>
    <w:rsid w:val="69F35626"/>
    <w:rsid w:val="69FC1673"/>
    <w:rsid w:val="6C4A05C8"/>
    <w:rsid w:val="6D6A4C52"/>
    <w:rsid w:val="6D6E1341"/>
    <w:rsid w:val="6E3E726A"/>
    <w:rsid w:val="6E460447"/>
    <w:rsid w:val="70982757"/>
    <w:rsid w:val="70CB230C"/>
    <w:rsid w:val="710F6E8C"/>
    <w:rsid w:val="711D41EA"/>
    <w:rsid w:val="72734D90"/>
    <w:rsid w:val="73775EE2"/>
    <w:rsid w:val="738C1628"/>
    <w:rsid w:val="743A37F4"/>
    <w:rsid w:val="748F39B9"/>
    <w:rsid w:val="77F2017E"/>
    <w:rsid w:val="784D67ED"/>
    <w:rsid w:val="794E5FE9"/>
    <w:rsid w:val="79E7B28D"/>
    <w:rsid w:val="7AA14CA8"/>
    <w:rsid w:val="7D371A74"/>
    <w:rsid w:val="7DF55E2F"/>
    <w:rsid w:val="7E65458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Normal Indent"/>
    <w:basedOn w:val="1"/>
    <w:next w:val="1"/>
    <w:qFormat/>
    <w:uiPriority w:val="0"/>
    <w:pPr>
      <w:ind w:firstLine="200" w:firstLineChars="200"/>
    </w:pPr>
    <w:rPr>
      <w:szCs w:val="21"/>
    </w:rPr>
  </w:style>
  <w:style w:type="paragraph" w:styleId="7">
    <w:name w:val="toc 3"/>
    <w:basedOn w:val="1"/>
    <w:next w:val="1"/>
    <w:unhideWhenUsed/>
    <w:qFormat/>
    <w:uiPriority w:val="39"/>
    <w:pPr>
      <w:tabs>
        <w:tab w:val="right" w:leader="dot" w:pos="8296"/>
      </w:tabs>
      <w:ind w:left="840" w:leftChars="400"/>
    </w:pPr>
  </w:style>
  <w:style w:type="paragraph" w:styleId="8">
    <w:name w:val="Body Text Indent 2"/>
    <w:basedOn w:val="1"/>
    <w:next w:val="1"/>
    <w:unhideWhenUsed/>
    <w:qFormat/>
    <w:uiPriority w:val="99"/>
    <w:pPr>
      <w:spacing w:after="120" w:line="480" w:lineRule="auto"/>
      <w:ind w:left="420" w:leftChars="2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17"/>
    <w:basedOn w:val="15"/>
    <w:qFormat/>
    <w:uiPriority w:val="0"/>
    <w:rPr>
      <w:rFonts w:hint="eastAsia" w:ascii="黑体" w:hAnsi="宋体" w:eastAsia="黑体" w:cs="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Desktop\2021&#24180;&#20915;&#31639;&#20844;&#24320;\&#22270;&#29255;.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Administrator\Desktop\2021&#24180;&#20915;&#31639;&#20844;&#24320;\&#22270;&#2925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Administrator\Desktop\2021&#24180;&#20915;&#31639;&#20844;&#24320;\&#22270;&#292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5235.56</c:v>
                </c:pt>
                <c:pt idx="1">
                  <c:v>5003.97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71942144"/>
        <c:axId val="71943680"/>
      </c:barChart>
      <c:catAx>
        <c:axId val="7194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43680"/>
        <c:crosses val="autoZero"/>
        <c:auto val="1"/>
        <c:lblAlgn val="ctr"/>
        <c:lblOffset val="100"/>
        <c:noMultiLvlLbl val="0"/>
      </c:catAx>
      <c:valAx>
        <c:axId val="71943680"/>
        <c:scaling>
          <c:orientation val="minMax"/>
          <c:max val="6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42144"/>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0694444444444"/>
          <c:y val="0.185185185185185"/>
          <c:w val="0.381944444444444"/>
          <c:h val="0.636574074074074"/>
        </c:manualLayout>
      </c:layout>
      <c:pieChart>
        <c:varyColors val="1"/>
        <c:ser>
          <c:idx val="0"/>
          <c:order val="0"/>
          <c:tx>
            <c:strRef>
              <c:f>[图片.xlsx]Sheet1!$A$24</c:f>
              <c:strCache>
                <c:ptCount val="1"/>
                <c:pt idx="0">
                  <c:v>2021年度</c:v>
                </c:pt>
              </c:strCache>
            </c:strRef>
          </c:tx>
          <c:spPr>
            <a:solidFill>
              <a:srgbClr val="5B9BD5">
                <a:lumMod val="75000"/>
              </a:srgbClr>
            </a:solidFill>
            <a:effectLst/>
          </c:spPr>
          <c:explosion val="0"/>
          <c:dPt>
            <c:idx val="0"/>
            <c:bubble3D val="0"/>
            <c:spPr>
              <a:solidFill>
                <a:srgbClr val="5B9BD5">
                  <a:lumMod val="75000"/>
                </a:srgbClr>
              </a:solidFill>
              <a:ln>
                <a:noFill/>
              </a:ln>
              <a:effectLst/>
            </c:spPr>
          </c:dPt>
          <c:dLbls>
            <c:dLbl>
              <c:idx val="0"/>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b="1">
                        <a:solidFill>
                          <a:schemeClr val="tx1"/>
                        </a:solidFill>
                      </a:rPr>
                      <a:t>一般公共预算财政拨款收入</a:t>
                    </a:r>
                    <a:r>
                      <a:rPr lang="en-US" altLang="zh-CN" b="1">
                        <a:solidFill>
                          <a:schemeClr val="tx1"/>
                        </a:solidFill>
                      </a:rPr>
                      <a:t>5003.97</a:t>
                    </a:r>
                    <a:r>
                      <a:rPr b="1">
                        <a:solidFill>
                          <a:schemeClr val="tx1"/>
                        </a:solidFill>
                      </a:rPr>
                      <a:t>万元，占100%</a:t>
                    </a:r>
                    <a:endParaRPr b="1">
                      <a:solidFill>
                        <a:schemeClr val="tx1"/>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[图片.xlsx]Sheet1!$A$25</c:f>
              <c:numCache>
                <c:formatCode>General</c:formatCode>
                <c:ptCount val="1"/>
                <c:pt idx="0">
                  <c:v>5235.56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ysClr val="window" lastClr="FFFFFF"/>
    </a:solidFill>
    <a:ln w="9525" cap="flat" cmpd="sng" algn="ctr">
      <a:no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634213663579"/>
          <c:y val="0.182503021573205"/>
          <c:w val="0.381944444444444"/>
          <c:h val="0.636574074074074"/>
        </c:manualLayout>
      </c:layout>
      <c:pieChart>
        <c:varyColors val="1"/>
        <c:ser>
          <c:idx val="0"/>
          <c:order val="0"/>
          <c:spPr>
            <a:solidFill>
              <a:srgbClr val="5B9BD5">
                <a:lumMod val="60000"/>
                <a:lumOff val="40000"/>
              </a:srgbClr>
            </a:solidFill>
            <a:effectLst/>
          </c:spPr>
          <c:explosion val="0"/>
          <c:dPt>
            <c:idx val="0"/>
            <c:bubble3D val="0"/>
            <c:spPr>
              <a:solidFill>
                <a:srgbClr val="5B9BD5">
                  <a:lumMod val="75000"/>
                </a:srgbClr>
              </a:solidFill>
              <a:ln>
                <a:noFill/>
              </a:ln>
              <a:effectLst/>
            </c:spPr>
          </c:dPt>
          <c:dPt>
            <c:idx val="1"/>
            <c:bubble3D val="0"/>
            <c:spPr>
              <a:solidFill>
                <a:srgbClr val="5B9BD5">
                  <a:lumMod val="60000"/>
                  <a:lumOff val="40000"/>
                </a:srgbClr>
              </a:solidFill>
              <a:ln>
                <a:noFill/>
              </a:ln>
              <a:effectLst/>
            </c:spPr>
          </c:dPt>
          <c:dLbls>
            <c:dLbl>
              <c:idx val="0"/>
              <c:layout>
                <c:manualLayout>
                  <c:x val="0.076838186610058"/>
                  <c:y val="-0.0386160444128577"/>
                </c:manualLayout>
              </c:layout>
              <c:tx>
                <c:rich>
                  <a:bodyPr rot="0" spcFirstLastPara="0" vertOverflow="ellipsis" vert="horz" wrap="square" lIns="38100" tIns="19050" rIns="38100" bIns="19050" anchor="ctr" anchorCtr="1" forceAA="0"/>
                  <a:lstStyle/>
                  <a:p>
                    <a:pPr defTabSz="914400">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b="1">
                        <a:solidFill>
                          <a:schemeClr val="tx1"/>
                        </a:solidFill>
                      </a:rPr>
                      <a:t>基本支出</a:t>
                    </a:r>
                    <a:r>
                      <a:rPr lang="en-US" altLang="zh-CN" b="1">
                        <a:solidFill>
                          <a:schemeClr val="tx1"/>
                        </a:solidFill>
                      </a:rPr>
                      <a:t>359.88</a:t>
                    </a:r>
                    <a:r>
                      <a:rPr b="1">
                        <a:solidFill>
                          <a:schemeClr val="tx1"/>
                        </a:solidFill>
                      </a:rPr>
                      <a:t>万元，占</a:t>
                    </a:r>
                    <a:r>
                      <a:rPr lang="en-US" altLang="zh-CN" b="1">
                        <a:solidFill>
                          <a:schemeClr val="tx1"/>
                        </a:solidFill>
                      </a:rPr>
                      <a:t>7.19</a:t>
                    </a:r>
                    <a:r>
                      <a:rPr b="1">
                        <a:solidFill>
                          <a:schemeClr val="tx1"/>
                        </a:solidFill>
                      </a:rPr>
                      <a:t>%</a:t>
                    </a:r>
                    <a:endParaRPr b="1">
                      <a:solidFill>
                        <a:schemeClr val="tx1"/>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2222850878891"/>
                  <c:y val="-0.217333770802295"/>
                </c:manualLayout>
              </c:layout>
              <c:tx>
                <c:rich>
                  <a:bodyPr rot="0" spcFirstLastPara="0" vertOverflow="ellipsis" vert="horz" wrap="square" lIns="38100" tIns="19050" rIns="38100" bIns="19050" anchor="ctr" anchorCtr="1" forceAA="0"/>
                  <a:lstStyle/>
                  <a:p>
                    <a:pPr defTabSz="914400">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b="1">
                        <a:solidFill>
                          <a:schemeClr val="tx1"/>
                        </a:solidFill>
                      </a:rPr>
                      <a:t>项目支出</a:t>
                    </a:r>
                    <a:r>
                      <a:rPr lang="en-US" altLang="zh-CN" b="1">
                        <a:solidFill>
                          <a:schemeClr val="tx1"/>
                        </a:solidFill>
                      </a:rPr>
                      <a:t>4644.09</a:t>
                    </a:r>
                    <a:r>
                      <a:rPr b="1">
                        <a:solidFill>
                          <a:schemeClr val="tx1"/>
                        </a:solidFill>
                      </a:rPr>
                      <a:t>万元，占</a:t>
                    </a:r>
                    <a:r>
                      <a:rPr lang="en-US" altLang="zh-CN" b="1">
                        <a:solidFill>
                          <a:schemeClr val="tx1"/>
                        </a:solidFill>
                      </a:rPr>
                      <a:t>92.81</a:t>
                    </a:r>
                    <a:r>
                      <a:rPr b="1">
                        <a:solidFill>
                          <a:schemeClr val="tx1"/>
                        </a:solidFill>
                      </a:rPr>
                      <a:t>%</a:t>
                    </a:r>
                    <a:endParaRPr b="1">
                      <a:solidFill>
                        <a:schemeClr val="tx1"/>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[图片.xlsx]Sheet1!$A$36:$B$36</c:f>
              <c:numCache>
                <c:formatCode>General</c:formatCode>
                <c:ptCount val="2"/>
                <c:pt idx="0">
                  <c:v>354.81</c:v>
                </c:pt>
                <c:pt idx="1">
                  <c:v>4880.75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ysClr val="window" lastClr="FFFFFF"/>
    </a:solidFill>
    <a:ln w="9525" cap="flat" cmpd="sng" algn="ctr">
      <a:no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5235.56</c:v>
                </c:pt>
                <c:pt idx="1">
                  <c:v>5003.97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73307648"/>
        <c:axId val="73309184"/>
      </c:barChart>
      <c:catAx>
        <c:axId val="7330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09184"/>
        <c:crosses val="autoZero"/>
        <c:auto val="1"/>
        <c:lblAlgn val="ctr"/>
        <c:lblOffset val="100"/>
        <c:noMultiLvlLbl val="0"/>
      </c:catAx>
      <c:valAx>
        <c:axId val="73309184"/>
        <c:scaling>
          <c:orientation val="minMax"/>
          <c:max val="6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07648"/>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5235.56</c:v>
                </c:pt>
                <c:pt idx="1">
                  <c:v>5003.97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71831552"/>
        <c:axId val="71833088"/>
      </c:barChart>
      <c:catAx>
        <c:axId val="7183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833088"/>
        <c:crosses val="autoZero"/>
        <c:auto val="1"/>
        <c:lblAlgn val="ctr"/>
        <c:lblOffset val="100"/>
        <c:noMultiLvlLbl val="0"/>
      </c:catAx>
      <c:valAx>
        <c:axId val="71833088"/>
        <c:scaling>
          <c:orientation val="minMax"/>
          <c:max val="6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83155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0694444444444"/>
          <c:y val="0.185185185185185"/>
          <c:w val="0.381944444444444"/>
          <c:h val="0.636574074074074"/>
        </c:manualLayout>
      </c:layout>
      <c:pieChart>
        <c:varyColors val="1"/>
        <c:ser>
          <c:idx val="0"/>
          <c:order val="0"/>
          <c:spPr>
            <a:solidFill>
              <a:srgbClr val="56C5D2"/>
            </a:solidFill>
            <a:effectLst/>
          </c:spPr>
          <c:explosion val="0"/>
          <c:dPt>
            <c:idx val="0"/>
            <c:bubble3D val="0"/>
            <c:spPr>
              <a:solidFill>
                <a:srgbClr val="F79C64"/>
              </a:solidFill>
              <a:ln>
                <a:noFill/>
              </a:ln>
              <a:effectLst/>
            </c:spPr>
          </c:dPt>
          <c:dPt>
            <c:idx val="1"/>
            <c:bubble3D val="0"/>
            <c:spPr>
              <a:solidFill>
                <a:srgbClr val="2F8BE7"/>
              </a:solidFill>
              <a:ln>
                <a:noFill/>
              </a:ln>
              <a:effectLst/>
            </c:spPr>
          </c:dPt>
          <c:dPt>
            <c:idx val="2"/>
            <c:bubble3D val="0"/>
            <c:spPr>
              <a:solidFill>
                <a:srgbClr val="2845AE"/>
              </a:solidFill>
              <a:ln>
                <a:noFill/>
              </a:ln>
              <a:effectLst/>
            </c:spPr>
          </c:dPt>
          <c:dPt>
            <c:idx val="3"/>
            <c:bubble3D val="0"/>
            <c:spPr>
              <a:solidFill>
                <a:srgbClr val="37DCB1"/>
              </a:solidFill>
              <a:ln>
                <a:noFill/>
              </a:ln>
              <a:effectLst/>
            </c:spPr>
          </c:dPt>
          <c:dLbls>
            <c:dLbl>
              <c:idx val="0"/>
              <c:layout>
                <c:manualLayout>
                  <c:x val="-0.0150481223293313"/>
                  <c:y val="-0.0975836657747148"/>
                </c:manualLayout>
              </c:layout>
              <c:tx>
                <c:rich>
                  <a:bodyPr rot="0" spcFirstLastPara="0" vertOverflow="ellipsis" vert="horz" wrap="square" lIns="38100" tIns="19050" rIns="38100" bIns="19050" anchor="ctr" anchorCtr="1" forceAA="0"/>
                  <a:lstStyle/>
                  <a:p>
                    <a:pPr defTabSz="914400">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b="1">
                        <a:solidFill>
                          <a:schemeClr val="tx1"/>
                        </a:solidFill>
                      </a:rPr>
                      <a:t>卫生健康（类）支出</a:t>
                    </a:r>
                    <a:r>
                      <a:rPr lang="en-US" altLang="zh-CN" b="1">
                        <a:solidFill>
                          <a:schemeClr val="tx1"/>
                        </a:solidFill>
                      </a:rPr>
                      <a:t>17.80</a:t>
                    </a:r>
                    <a:r>
                      <a:rPr b="1">
                        <a:solidFill>
                          <a:schemeClr val="tx1"/>
                        </a:solidFill>
                      </a:rPr>
                      <a:t>万元，占0.</a:t>
                    </a:r>
                    <a:r>
                      <a:rPr lang="en-US" altLang="zh-CN" b="1">
                        <a:solidFill>
                          <a:schemeClr val="tx1"/>
                        </a:solidFill>
                      </a:rPr>
                      <a:t>36</a:t>
                    </a:r>
                    <a:r>
                      <a:rPr b="1">
                        <a:solidFill>
                          <a:schemeClr val="tx1"/>
                        </a:solidFill>
                      </a:rPr>
                      <a:t>%</a:t>
                    </a:r>
                    <a:endParaRPr b="1">
                      <a:solidFill>
                        <a:schemeClr val="tx1"/>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314573298302258"/>
                  <c:y val="0.0239662563268266"/>
                </c:manualLayout>
              </c:layout>
              <c:tx>
                <c:rich>
                  <a:bodyPr rot="0" spcFirstLastPara="0" vertOverflow="ellipsis" vert="horz" wrap="square" lIns="38100" tIns="19050" rIns="38100" bIns="19050" anchor="ctr" anchorCtr="1" forceAA="0"/>
                  <a:lstStyle/>
                  <a:p>
                    <a:pPr defTabSz="914400">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b="1">
                        <a:solidFill>
                          <a:schemeClr val="tx1"/>
                        </a:solidFill>
                      </a:rPr>
                      <a:t>社会保障和就业（类）支出</a:t>
                    </a:r>
                    <a:r>
                      <a:rPr lang="en-US" altLang="zh-CN" b="1">
                        <a:solidFill>
                          <a:schemeClr val="tx1"/>
                        </a:solidFill>
                      </a:rPr>
                      <a:t>36</a:t>
                    </a:r>
                    <a:r>
                      <a:rPr b="1">
                        <a:solidFill>
                          <a:schemeClr val="tx1"/>
                        </a:solidFill>
                      </a:rPr>
                      <a:t>.77万元，占0.</a:t>
                    </a:r>
                    <a:r>
                      <a:rPr lang="en-US" altLang="zh-CN" b="1">
                        <a:solidFill>
                          <a:schemeClr val="tx1"/>
                        </a:solidFill>
                      </a:rPr>
                      <a:t>73</a:t>
                    </a:r>
                    <a:r>
                      <a:rPr b="1">
                        <a:solidFill>
                          <a:schemeClr val="tx1"/>
                        </a:solidFill>
                      </a:rPr>
                      <a:t>%</a:t>
                    </a:r>
                    <a:endParaRPr b="1">
                      <a:solidFill>
                        <a:schemeClr val="tx1"/>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forceAA="0"/>
                  <a:lstStyle/>
                  <a:p>
                    <a:pPr defTabSz="914400">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b="1">
                        <a:solidFill>
                          <a:schemeClr val="tx1"/>
                        </a:solidFill>
                      </a:rPr>
                      <a:t>一般公共服务（类）支出</a:t>
                    </a:r>
                    <a:r>
                      <a:rPr lang="en-US" altLang="zh-CN" b="1">
                        <a:solidFill>
                          <a:schemeClr val="tx1"/>
                        </a:solidFill>
                      </a:rPr>
                      <a:t>4901.66</a:t>
                    </a:r>
                    <a:r>
                      <a:rPr b="1">
                        <a:solidFill>
                          <a:schemeClr val="tx1"/>
                        </a:solidFill>
                      </a:rPr>
                      <a:t>万元，占97.</a:t>
                    </a:r>
                    <a:r>
                      <a:rPr lang="en-US" altLang="zh-CN" b="1">
                        <a:solidFill>
                          <a:schemeClr val="tx1"/>
                        </a:solidFill>
                      </a:rPr>
                      <a:t>96</a:t>
                    </a:r>
                    <a:r>
                      <a:rPr b="1">
                        <a:solidFill>
                          <a:schemeClr val="tx1"/>
                        </a:solidFill>
                      </a:rPr>
                      <a:t>%</a:t>
                    </a:r>
                    <a:endParaRPr b="1">
                      <a:solidFill>
                        <a:schemeClr val="tx1"/>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204057043805492"/>
                  <c:y val="0.024074803249438"/>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b="1">
                        <a:solidFill>
                          <a:schemeClr val="tx1"/>
                        </a:solidFill>
                      </a:rPr>
                      <a:t>住房保障（类）支出</a:t>
                    </a:r>
                    <a:r>
                      <a:rPr lang="en-US" altLang="zh-CN" b="1">
                        <a:solidFill>
                          <a:schemeClr val="tx1"/>
                        </a:solidFill>
                      </a:rPr>
                      <a:t>47.74</a:t>
                    </a:r>
                    <a:r>
                      <a:rPr b="1">
                        <a:solidFill>
                          <a:schemeClr val="tx1"/>
                        </a:solidFill>
                      </a:rPr>
                      <a:t>万元，占0.9</a:t>
                    </a:r>
                    <a:r>
                      <a:rPr lang="en-US" altLang="zh-CN" b="1">
                        <a:solidFill>
                          <a:schemeClr val="tx1"/>
                        </a:solidFill>
                      </a:rPr>
                      <a:t>5</a:t>
                    </a:r>
                    <a:r>
                      <a:rPr b="1">
                        <a:solidFill>
                          <a:schemeClr val="tx1"/>
                        </a:solidFill>
                      </a:rPr>
                      <a:t>%</a:t>
                    </a:r>
                    <a:endParaRPr b="1">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[图片.xlsx]Sheet1!$A$59:$D$59</c:f>
              <c:numCache>
                <c:formatCode>General</c:formatCode>
                <c:ptCount val="4"/>
                <c:pt idx="0">
                  <c:v>15.35</c:v>
                </c:pt>
                <c:pt idx="1">
                  <c:v>44.77</c:v>
                </c:pt>
                <c:pt idx="2">
                  <c:v>5124.26</c:v>
                </c:pt>
                <c:pt idx="3">
                  <c:v>51.18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ysClr val="window" lastClr="FFFFFF"/>
    </a:solidFill>
    <a:ln w="9525" cap="flat" cmpd="sng" algn="ctr">
      <a:no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13285</Words>
  <Characters>6122</Characters>
  <Lines>51</Lines>
  <Paragraphs>38</Paragraphs>
  <TotalTime>5</TotalTime>
  <ScaleCrop>false</ScaleCrop>
  <LinksUpToDate>false</LinksUpToDate>
  <CharactersWithSpaces>19369</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2023-08-23T07:08:00Z</dcterms:created>
  <dc:creator>曹颖</dc:creator>
  <cp:lastModifiedBy>罗璇</cp:lastModifiedBy>
  <cp:lastPrinted>2022-08-06T02:23:00Z</cp:lastPrinted>
  <dcterms:modified xsi:type="dcterms:W3CDTF">2023-09-05T06:48:52Z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F0064572A1864D40BD4D8A380C10265C_13</vt:lpwstr>
  </property>
</Properties>
</file>