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both"/>
        <w:rPr>
          <w:rFonts w:hint="eastAsia" w:ascii="方正小标宋简体" w:hAnsi="宋体" w:eastAsia="方正小标宋简体" w:cs="Times New Roman"/>
          <w:color w:val="auto"/>
          <w:kern w:val="2"/>
          <w:sz w:val="44"/>
          <w:szCs w:val="44"/>
          <w:highlight w:val="none"/>
          <w:lang w:val="en-US" w:eastAsia="zh-CN" w:bidi="ar-SA"/>
        </w:rPr>
      </w:pPr>
      <w:bookmarkStart w:id="0" w:name="_Toc15377425"/>
      <w:bookmarkStart w:id="1" w:name="_Toc15306267"/>
      <w:bookmarkStart w:id="2" w:name="_Toc15378441"/>
      <w:bookmarkStart w:id="3" w:name="_Toc15396597"/>
      <w:bookmarkStart w:id="4" w:name="_Toc15396475"/>
      <w:bookmarkStart w:id="5" w:name="_Toc15377193"/>
    </w:p>
    <w:p>
      <w:pPr>
        <w:pStyle w:val="8"/>
        <w:jc w:val="both"/>
        <w:rPr>
          <w:rFonts w:hint="eastAsia" w:ascii="方正小标宋简体" w:hAnsi="宋体" w:eastAsia="方正小标宋简体" w:cs="Times New Roman"/>
          <w:color w:val="auto"/>
          <w:kern w:val="2"/>
          <w:sz w:val="44"/>
          <w:szCs w:val="44"/>
          <w:highlight w:val="none"/>
          <w:lang w:val="en-US" w:eastAsia="zh-CN" w:bidi="ar-SA"/>
        </w:rPr>
      </w:pPr>
    </w:p>
    <w:p>
      <w:pPr>
        <w:pStyle w:val="8"/>
        <w:jc w:val="both"/>
        <w:rPr>
          <w:rFonts w:hint="eastAsia" w:ascii="方正小标宋简体" w:hAnsi="宋体" w:eastAsia="方正小标宋简体" w:cs="Times New Roman"/>
          <w:color w:val="auto"/>
          <w:kern w:val="2"/>
          <w:sz w:val="44"/>
          <w:szCs w:val="44"/>
          <w:highlight w:val="none"/>
          <w:lang w:val="en-US" w:eastAsia="zh-CN" w:bidi="ar-SA"/>
        </w:rPr>
      </w:pPr>
    </w:p>
    <w:p>
      <w:pPr>
        <w:pStyle w:val="8"/>
        <w:jc w:val="both"/>
        <w:rPr>
          <w:rFonts w:hint="eastAsia" w:ascii="方正小标宋简体" w:hAnsi="宋体" w:eastAsia="方正小标宋简体" w:cs="Times New Roman"/>
          <w:color w:val="auto"/>
          <w:kern w:val="2"/>
          <w:sz w:val="44"/>
          <w:szCs w:val="44"/>
          <w:highlight w:val="none"/>
          <w:lang w:val="en-US" w:eastAsia="zh-CN" w:bidi="ar-SA"/>
        </w:rPr>
      </w:pPr>
    </w:p>
    <w:p>
      <w:pPr>
        <w:pStyle w:val="8"/>
        <w:jc w:val="center"/>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2023年度</w:t>
      </w:r>
      <w:bookmarkEnd w:id="0"/>
      <w:bookmarkEnd w:id="1"/>
      <w:bookmarkEnd w:id="2"/>
      <w:bookmarkEnd w:id="3"/>
      <w:bookmarkEnd w:id="4"/>
      <w:bookmarkEnd w:id="5"/>
      <w:bookmarkStart w:id="6" w:name="_Toc15378442"/>
      <w:bookmarkStart w:id="7" w:name="_Toc15306268"/>
      <w:bookmarkStart w:id="8" w:name="_Toc15377194"/>
      <w:bookmarkStart w:id="9" w:name="_Toc15396598"/>
      <w:bookmarkStart w:id="10" w:name="_Toc15396476"/>
      <w:bookmarkStart w:id="11" w:name="_Toc15377426"/>
      <w:r>
        <w:rPr>
          <w:rFonts w:hint="eastAsia" w:ascii="方正小标宋简体" w:hAnsi="宋体" w:eastAsia="方正小标宋简体" w:cs="Times New Roman"/>
          <w:color w:val="auto"/>
          <w:kern w:val="2"/>
          <w:sz w:val="44"/>
          <w:szCs w:val="44"/>
          <w:highlight w:val="none"/>
          <w:lang w:val="en-US" w:eastAsia="zh-CN" w:bidi="ar-SA"/>
        </w:rPr>
        <w:t>民革四川省委会部门决算</w:t>
      </w:r>
      <w:bookmarkEnd w:id="6"/>
      <w:bookmarkEnd w:id="7"/>
      <w:bookmarkEnd w:id="8"/>
      <w:bookmarkEnd w:id="9"/>
      <w:bookmarkEnd w:id="10"/>
      <w:bookmarkEnd w:id="11"/>
    </w:p>
    <w:p>
      <w:pPr>
        <w:widowControl/>
        <w:jc w:val="center"/>
        <w:rPr>
          <w:rFonts w:hint="eastAsia" w:ascii="黑体" w:hAnsi="黑体" w:eastAsia="黑体"/>
          <w:color w:val="auto"/>
          <w:sz w:val="48"/>
          <w:szCs w:val="4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titlePg/>
          <w:docGrid w:type="lines" w:linePitch="312" w:charSpace="0"/>
        </w:sect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2"/>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w:t>
      </w:r>
      <w:r>
        <w:rPr>
          <w:rFonts w:hint="eastAsia"/>
          <w:color w:val="auto"/>
          <w:highlight w:val="none"/>
        </w:rPr>
        <w:t>日</w:t>
      </w:r>
    </w:p>
    <w:p>
      <w:pPr>
        <w:rPr>
          <w:color w:val="auto"/>
          <w:highlight w:val="none"/>
        </w:rPr>
      </w:pPr>
    </w:p>
    <w:p>
      <w:pPr>
        <w:pStyle w:val="12"/>
        <w:adjustRightInd w:val="0"/>
        <w:snapToGrid w:val="0"/>
        <w:spacing w:before="0" w:line="440" w:lineRule="exact"/>
        <w:jc w:val="left"/>
        <w:rPr>
          <w:rFonts w:hint="eastAsia" w:eastAsia="仿宋"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r>
        <w:rPr>
          <w:rFonts w:hint="eastAsia"/>
          <w:color w:val="auto"/>
          <w:sz w:val="24"/>
          <w:highlight w:val="none"/>
          <w:lang w:val="en-US" w:eastAsia="zh-CN"/>
        </w:rPr>
        <w:t>...................................................1</w:t>
      </w:r>
    </w:p>
    <w:p>
      <w:pPr>
        <w:pStyle w:val="14"/>
        <w:adjustRightInd w:val="0"/>
        <w:snapToGrid w:val="0"/>
        <w:spacing w:line="440" w:lineRule="exact"/>
        <w:jc w:val="left"/>
        <w:rPr>
          <w:rFonts w:hint="default" w:ascii="仿宋" w:hAnsi="仿宋" w:eastAsia="仿宋"/>
          <w:color w:val="auto"/>
          <w:sz w:val="24"/>
          <w:highlight w:val="none"/>
          <w:lang w:val="en-US"/>
        </w:rPr>
      </w:pPr>
      <w:r>
        <w:rPr>
          <w:rFonts w:hint="eastAsia"/>
          <w:color w:val="auto"/>
          <w:sz w:val="24"/>
          <w:highlight w:val="none"/>
        </w:rPr>
        <w:t>一、</w:t>
      </w:r>
      <w:r>
        <w:rPr>
          <w:rFonts w:hint="eastAsia"/>
          <w:color w:val="auto"/>
          <w:sz w:val="24"/>
          <w:highlight w:val="none"/>
          <w:lang w:eastAsia="zh-CN"/>
        </w:rPr>
        <w:t>部门职责</w:t>
      </w:r>
      <w:r>
        <w:rPr>
          <w:rFonts w:hint="eastAsia"/>
          <w:color w:val="auto"/>
          <w:sz w:val="24"/>
          <w:highlight w:val="none"/>
          <w:lang w:val="en-US" w:eastAsia="zh-CN"/>
        </w:rPr>
        <w:t>.........................................................................................................1</w:t>
      </w:r>
    </w:p>
    <w:p>
      <w:pPr>
        <w:pStyle w:val="14"/>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二、机构设置</w:t>
      </w:r>
      <w:r>
        <w:rPr>
          <w:rFonts w:hint="eastAsia"/>
          <w:color w:val="auto"/>
          <w:sz w:val="24"/>
          <w:highlight w:val="none"/>
          <w:lang w:val="en-US" w:eastAsia="zh-CN"/>
        </w:rPr>
        <w:t>.........................................................................................................1</w:t>
      </w:r>
    </w:p>
    <w:p>
      <w:pPr>
        <w:pStyle w:val="12"/>
        <w:adjustRightInd w:val="0"/>
        <w:snapToGrid w:val="0"/>
        <w:spacing w:before="0" w:line="440" w:lineRule="exact"/>
        <w:jc w:val="left"/>
        <w:rPr>
          <w:rFonts w:hint="eastAsia"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2023年度</w:t>
      </w:r>
      <w:r>
        <w:rPr>
          <w:rFonts w:hint="eastAsia"/>
          <w:color w:val="auto"/>
          <w:sz w:val="24"/>
          <w:highlight w:val="none"/>
        </w:rPr>
        <w:t>部门决算情况说明</w:t>
      </w:r>
      <w:r>
        <w:rPr>
          <w:rFonts w:hint="eastAsia"/>
          <w:color w:val="auto"/>
          <w:sz w:val="24"/>
          <w:highlight w:val="none"/>
          <w:lang w:val="en-US" w:eastAsia="zh-CN"/>
        </w:rPr>
        <w:t>..................................2</w:t>
      </w:r>
    </w:p>
    <w:p>
      <w:pPr>
        <w:pStyle w:val="14"/>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一、收入支出决算总体情况说明</w:t>
      </w:r>
      <w:r>
        <w:rPr>
          <w:rFonts w:hint="eastAsia"/>
          <w:color w:val="auto"/>
          <w:sz w:val="24"/>
          <w:highlight w:val="none"/>
          <w:lang w:val="en-US" w:eastAsia="zh-CN"/>
        </w:rPr>
        <w:t>..........................................................................2</w:t>
      </w:r>
    </w:p>
    <w:p>
      <w:pPr>
        <w:pStyle w:val="14"/>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val="en-US" w:eastAsia="zh-CN"/>
        </w:rPr>
        <w:t>..........................................................................................2</w:t>
      </w:r>
    </w:p>
    <w:p>
      <w:pPr>
        <w:pStyle w:val="14"/>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val="en-US" w:eastAsia="zh-CN"/>
        </w:rPr>
        <w:t>...........................................................................................3</w:t>
      </w:r>
    </w:p>
    <w:p>
      <w:pPr>
        <w:pStyle w:val="14"/>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val="en-US" w:eastAsia="zh-CN"/>
        </w:rPr>
        <w:t>..........................................................3</w:t>
      </w:r>
    </w:p>
    <w:p>
      <w:pPr>
        <w:pStyle w:val="14"/>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val="en-US" w:eastAsia="zh-CN"/>
        </w:rPr>
        <w:t>..................................................3</w:t>
      </w:r>
    </w:p>
    <w:p>
      <w:pPr>
        <w:pStyle w:val="14"/>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val="en-US" w:eastAsia="zh-CN"/>
        </w:rPr>
        <w:t>.........................................6</w:t>
      </w:r>
    </w:p>
    <w:p>
      <w:pPr>
        <w:pStyle w:val="14"/>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color w:val="auto"/>
          <w:sz w:val="24"/>
          <w:highlight w:val="none"/>
          <w:lang w:val="en-US" w:eastAsia="zh-CN"/>
        </w:rPr>
        <w:t>.................................................7</w:t>
      </w:r>
    </w:p>
    <w:p>
      <w:pPr>
        <w:pStyle w:val="14"/>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val="en-US" w:eastAsia="zh-CN"/>
        </w:rPr>
        <w:t>.............................................................8</w:t>
      </w:r>
    </w:p>
    <w:p>
      <w:pPr>
        <w:pStyle w:val="14"/>
        <w:adjustRightInd w:val="0"/>
        <w:snapToGrid w:val="0"/>
        <w:spacing w:line="440" w:lineRule="exact"/>
        <w:ind w:left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r>
        <w:rPr>
          <w:rFonts w:hint="eastAsia" w:asciiTheme="minorEastAsia" w:hAnsiTheme="minorEastAsia" w:eastAsiaTheme="minorEastAsia" w:cstheme="minorEastAsia"/>
          <w:color w:val="auto"/>
          <w:sz w:val="24"/>
          <w:highlight w:val="none"/>
          <w:lang w:val="en-US" w:eastAsia="zh-CN"/>
        </w:rPr>
        <w:t>.............................8</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asciiTheme="minorEastAsia" w:hAnsiTheme="minorEastAsia" w:eastAsiaTheme="minorEastAsia" w:cstheme="minorEastAsia"/>
          <w:color w:val="auto"/>
          <w:sz w:val="24"/>
          <w:highlight w:val="none"/>
          <w:lang w:val="en-US" w:eastAsia="zh-CN"/>
        </w:rPr>
      </w:pPr>
      <w:r>
        <w:rPr>
          <w:rStyle w:val="18"/>
          <w:rFonts w:hint="eastAsia" w:asciiTheme="minorEastAsia" w:hAnsiTheme="minorEastAsia" w:eastAsiaTheme="minorEastAsia" w:cstheme="minorEastAsia"/>
          <w:color w:val="auto"/>
          <w:sz w:val="24"/>
          <w:highlight w:val="none"/>
          <w:u w:val="none"/>
          <w:lang w:eastAsia="zh-CN"/>
        </w:rPr>
        <w:t>十</w:t>
      </w:r>
      <w:r>
        <w:rPr>
          <w:rStyle w:val="18"/>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rPr>
        <w:t>其他重要事项的情况说明</w:t>
      </w:r>
      <w:r>
        <w:rPr>
          <w:rFonts w:hint="eastAsia" w:asciiTheme="minorEastAsia" w:hAnsiTheme="minorEastAsia" w:eastAsiaTheme="minorEastAsia" w:cstheme="minorEastAsia"/>
          <w:color w:val="auto"/>
          <w:sz w:val="24"/>
          <w:highlight w:val="none"/>
          <w:lang w:val="en-US" w:eastAsia="zh-CN"/>
        </w:rPr>
        <w:t>.......................................9</w:t>
      </w:r>
    </w:p>
    <w:p>
      <w:pPr>
        <w:pStyle w:val="12"/>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lang w:val="en-US" w:eastAsia="zh-CN"/>
        </w:rPr>
        <w:t>..................................................11</w:t>
      </w:r>
    </w:p>
    <w:p>
      <w:pPr>
        <w:pStyle w:val="12"/>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highlight w:val="none"/>
          <w:lang w:val="en-US" w:eastAsia="zh-CN"/>
        </w:rPr>
        <w:t>......................................................14</w:t>
      </w:r>
    </w:p>
    <w:p>
      <w:pPr>
        <w:pStyle w:val="12"/>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lang w:val="en-US" w:eastAsia="zh-CN"/>
        </w:rPr>
        <w:t>......................................................23</w:t>
      </w: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一、收入支出决算总表</w:t>
      </w:r>
      <w:r>
        <w:rPr>
          <w:rFonts w:hint="eastAsia"/>
          <w:color w:val="auto"/>
          <w:sz w:val="24"/>
          <w:highlight w:val="none"/>
          <w:lang w:val="en-US" w:eastAsia="zh-CN"/>
        </w:rPr>
        <w:t>.......................................................................................23</w:t>
      </w: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二、收入决算表</w:t>
      </w:r>
      <w:r>
        <w:rPr>
          <w:rFonts w:hint="eastAsia"/>
          <w:color w:val="auto"/>
          <w:sz w:val="24"/>
          <w:highlight w:val="none"/>
          <w:lang w:val="en-US" w:eastAsia="zh-CN"/>
        </w:rPr>
        <w:t>...................................................................................................23</w:t>
      </w: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三、支出决算表</w:t>
      </w:r>
      <w:r>
        <w:rPr>
          <w:rFonts w:hint="eastAsia"/>
          <w:color w:val="auto"/>
          <w:sz w:val="24"/>
          <w:highlight w:val="none"/>
          <w:lang w:val="en-US" w:eastAsia="zh-CN"/>
        </w:rPr>
        <w:t>...................................................................................................23</w:t>
      </w: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四、财政拨款收入支出决算总表</w:t>
      </w:r>
      <w:r>
        <w:rPr>
          <w:rFonts w:hint="eastAsia"/>
          <w:color w:val="auto"/>
          <w:sz w:val="24"/>
          <w:highlight w:val="none"/>
          <w:lang w:val="en-US" w:eastAsia="zh-CN"/>
        </w:rPr>
        <w:t>.........................................................................23</w:t>
      </w: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五、财政拨款支出决算明细表</w:t>
      </w:r>
      <w:r>
        <w:rPr>
          <w:rFonts w:hint="eastAsia"/>
          <w:color w:val="auto"/>
          <w:sz w:val="24"/>
          <w:highlight w:val="none"/>
          <w:lang w:val="en-US" w:eastAsia="zh-CN"/>
        </w:rPr>
        <w:t>............................................................................23</w:t>
      </w: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六、一般公共预算财政拨款支出决算表</w:t>
      </w:r>
      <w:r>
        <w:rPr>
          <w:rFonts w:hint="eastAsia"/>
          <w:color w:val="auto"/>
          <w:sz w:val="24"/>
          <w:highlight w:val="none"/>
          <w:lang w:val="en-US" w:eastAsia="zh-CN"/>
        </w:rPr>
        <w:t>...........................................................23</w:t>
      </w: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七、一般公共预算财政拨款支出决算明细表</w:t>
      </w:r>
      <w:r>
        <w:rPr>
          <w:rFonts w:hint="eastAsia"/>
          <w:color w:val="auto"/>
          <w:sz w:val="24"/>
          <w:highlight w:val="none"/>
          <w:lang w:val="en-US" w:eastAsia="zh-CN"/>
        </w:rPr>
        <w:t>...................................................23</w:t>
      </w: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rFonts w:hint="eastAsia"/>
          <w:color w:val="auto"/>
          <w:sz w:val="24"/>
          <w:highlight w:val="none"/>
          <w:lang w:val="en-US" w:eastAsia="zh-CN"/>
        </w:rPr>
        <w:t>...........................................23</w:t>
      </w: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九、一般公共预算财政拨款项目支出决算表</w:t>
      </w:r>
      <w:r>
        <w:rPr>
          <w:rFonts w:hint="eastAsia"/>
          <w:color w:val="auto"/>
          <w:sz w:val="24"/>
          <w:highlight w:val="none"/>
          <w:lang w:val="en-US" w:eastAsia="zh-CN"/>
        </w:rPr>
        <w:t>...................................................23</w:t>
      </w:r>
    </w:p>
    <w:p>
      <w:pPr>
        <w:pStyle w:val="14"/>
        <w:adjustRightInd w:val="0"/>
        <w:snapToGrid w:val="0"/>
        <w:spacing w:line="440" w:lineRule="exact"/>
        <w:ind w:left="0" w:leftChars="0" w:firstLine="0" w:firstLineChars="0"/>
        <w:jc w:val="both"/>
        <w:rPr>
          <w:rFonts w:hint="default" w:eastAsia="宋体"/>
          <w:color w:val="auto"/>
          <w:sz w:val="24"/>
          <w:highlight w:val="none"/>
          <w:lang w:val="en-US" w:eastAsia="zh-CN"/>
        </w:rPr>
        <w:sectPr>
          <w:footerReference r:id="rId6" w:type="firs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十、政府性基金预算财政拨款收入支出决算表</w:t>
      </w:r>
      <w:r>
        <w:rPr>
          <w:rFonts w:hint="eastAsia"/>
          <w:color w:val="auto"/>
          <w:sz w:val="24"/>
          <w:highlight w:val="none"/>
          <w:lang w:val="en-US" w:eastAsia="zh-CN"/>
        </w:rPr>
        <w:t>...............................................23</w:t>
      </w:r>
    </w:p>
    <w:p>
      <w:pPr>
        <w:pStyle w:val="14"/>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十一、国有资本经营预算财政拨款收入支出决算表</w:t>
      </w:r>
      <w:r>
        <w:rPr>
          <w:rFonts w:hint="eastAsia"/>
          <w:color w:val="auto"/>
          <w:sz w:val="24"/>
          <w:highlight w:val="none"/>
          <w:lang w:val="en-US" w:eastAsia="zh-CN"/>
        </w:rPr>
        <w:t>.........................................23</w:t>
      </w:r>
    </w:p>
    <w:p>
      <w:pPr>
        <w:pStyle w:val="14"/>
        <w:adjustRightInd w:val="0"/>
        <w:snapToGrid w:val="0"/>
        <w:spacing w:line="440" w:lineRule="exact"/>
        <w:jc w:val="left"/>
        <w:rPr>
          <w:rFonts w:hint="default"/>
          <w:color w:val="auto"/>
          <w:sz w:val="24"/>
          <w:highlight w:val="none"/>
          <w:lang w:val="en-US"/>
        </w:rPr>
      </w:pPr>
      <w:r>
        <w:rPr>
          <w:rFonts w:hint="eastAsia"/>
          <w:color w:val="auto"/>
          <w:sz w:val="24"/>
          <w:highlight w:val="none"/>
        </w:rPr>
        <w:t>十二、</w:t>
      </w:r>
      <w:r>
        <w:rPr>
          <w:rFonts w:hint="eastAsia"/>
          <w:color w:val="auto"/>
          <w:sz w:val="24"/>
          <w:highlight w:val="none"/>
          <w:lang w:val="en-US" w:eastAsia="zh-CN"/>
        </w:rPr>
        <w:t>国有资本经营预算财政拨款支出决算表................................................23</w:t>
      </w:r>
    </w:p>
    <w:p>
      <w:pPr>
        <w:pStyle w:val="14"/>
        <w:adjustRightInd w:val="0"/>
        <w:snapToGrid w:val="0"/>
        <w:spacing w:line="440" w:lineRule="exact"/>
        <w:jc w:val="left"/>
        <w:rPr>
          <w:rFonts w:hint="default" w:eastAsia="宋体" w:asciiTheme="minorEastAsia" w:hAnsiTheme="minorEastAsia" w:cstheme="minorEastAsia"/>
          <w:color w:val="auto"/>
          <w:sz w:val="24"/>
          <w:highlight w:val="none"/>
          <w:lang w:val="en-US" w:eastAsia="zh-CN"/>
        </w:rPr>
      </w:pPr>
      <w:r>
        <w:rPr>
          <w:rFonts w:hint="eastAsia"/>
          <w:color w:val="auto"/>
          <w:sz w:val="24"/>
          <w:highlight w:val="none"/>
        </w:rPr>
        <w:t>十三、财政拨款“三公”经费支出决算表</w:t>
      </w:r>
      <w:r>
        <w:rPr>
          <w:rFonts w:hint="eastAsia"/>
          <w:color w:val="auto"/>
          <w:sz w:val="24"/>
          <w:highlight w:val="none"/>
          <w:lang w:val="en-US" w:eastAsia="zh-CN"/>
        </w:rPr>
        <w:t>........................................................23</w:t>
      </w:r>
    </w:p>
    <w:p>
      <w:pPr>
        <w:widowControl/>
        <w:adjustRightInd w:val="0"/>
        <w:snapToGrid w:val="0"/>
        <w:spacing w:line="440" w:lineRule="exact"/>
        <w:ind w:firstLine="1320" w:firstLineChars="550"/>
        <w:jc w:val="left"/>
        <w:rPr>
          <w:rFonts w:ascii="仿宋" w:hAnsi="仿宋" w:eastAsia="仿宋"/>
          <w:color w:val="auto"/>
          <w:sz w:val="24"/>
          <w:highlight w:val="none"/>
        </w:rPr>
      </w:pPr>
    </w:p>
    <w:p>
      <w:pPr>
        <w:pStyle w:val="5"/>
        <w:pageBreakBefore w:val="0"/>
        <w:kinsoku/>
        <w:wordWrap/>
        <w:overflowPunct/>
        <w:topLinePunct w:val="0"/>
        <w:autoSpaceDE/>
        <w:autoSpaceDN/>
        <w:bidi w:val="0"/>
        <w:spacing w:before="0" w:after="0" w:line="600" w:lineRule="exact"/>
        <w:jc w:val="center"/>
        <w:textAlignment w:val="auto"/>
        <w:rPr>
          <w:rFonts w:hint="default" w:ascii="Times New Roman" w:hAnsi="Times New Roman" w:eastAsia="黑体" w:cs="Times New Roman"/>
          <w:b w:val="0"/>
          <w:color w:val="auto"/>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bookmarkStart w:id="12" w:name="_Toc15377196"/>
      <w:bookmarkStart w:id="13" w:name="_Toc15396599"/>
    </w:p>
    <w:p>
      <w:pPr>
        <w:pStyle w:val="5"/>
        <w:pageBreakBefore w:val="0"/>
        <w:kinsoku/>
        <w:wordWrap/>
        <w:overflowPunct/>
        <w:topLinePunct w:val="0"/>
        <w:autoSpaceDE/>
        <w:autoSpaceDN/>
        <w:bidi w:val="0"/>
        <w:spacing w:before="0" w:after="0" w:line="600" w:lineRule="exact"/>
        <w:jc w:val="center"/>
        <w:textAlignment w:val="auto"/>
        <w:rPr>
          <w:rStyle w:val="28"/>
          <w:rFonts w:hint="default" w:ascii="Times New Roman" w:hAnsi="Times New Roman" w:eastAsia="黑体" w:cs="Times New Roman"/>
          <w:b/>
          <w:bCs w:val="0"/>
          <w:color w:val="auto"/>
          <w:highlight w:val="none"/>
        </w:rPr>
      </w:pPr>
      <w:r>
        <w:rPr>
          <w:rFonts w:hint="default" w:ascii="Times New Roman" w:hAnsi="Times New Roman" w:eastAsia="黑体" w:cs="Times New Roman"/>
          <w:b w:val="0"/>
          <w:color w:val="auto"/>
          <w:highlight w:val="none"/>
        </w:rPr>
        <w:t xml:space="preserve">第一部分 </w:t>
      </w:r>
      <w:r>
        <w:rPr>
          <w:rStyle w:val="28"/>
          <w:rFonts w:hint="default" w:ascii="Times New Roman" w:hAnsi="Times New Roman" w:eastAsia="黑体" w:cs="Times New Roman"/>
          <w:b w:val="0"/>
          <w:bCs w:val="0"/>
          <w:color w:val="auto"/>
          <w:highlight w:val="none"/>
        </w:rPr>
        <w:t>部门概况</w:t>
      </w:r>
      <w:bookmarkEnd w:id="12"/>
      <w:bookmarkEnd w:id="13"/>
    </w:p>
    <w:p>
      <w:pPr>
        <w:pageBreakBefore w:val="0"/>
        <w:widowControl/>
        <w:kinsoku/>
        <w:wordWrap/>
        <w:overflowPunct/>
        <w:topLinePunct w:val="0"/>
        <w:autoSpaceDE/>
        <w:autoSpaceDN/>
        <w:bidi w:val="0"/>
        <w:spacing w:line="600" w:lineRule="exact"/>
        <w:jc w:val="left"/>
        <w:textAlignment w:val="auto"/>
        <w:rPr>
          <w:rFonts w:hint="default" w:ascii="Times New Roman" w:hAnsi="Times New Roman" w:eastAsia="黑体" w:cs="Times New Roman"/>
          <w:color w:val="auto"/>
          <w:sz w:val="32"/>
          <w:szCs w:val="32"/>
          <w:highlight w:val="none"/>
        </w:rPr>
      </w:pPr>
    </w:p>
    <w:p>
      <w:pPr>
        <w:pStyle w:val="6"/>
        <w:pageBreakBefore w:val="0"/>
        <w:numPr>
          <w:ilvl w:val="0"/>
          <w:numId w:val="0"/>
        </w:numPr>
        <w:kinsoku/>
        <w:wordWrap/>
        <w:overflowPunct/>
        <w:topLinePunct w:val="0"/>
        <w:autoSpaceDE/>
        <w:autoSpaceDN/>
        <w:bidi w:val="0"/>
        <w:spacing w:before="0" w:after="0" w:line="600" w:lineRule="exact"/>
        <w:ind w:firstLine="640" w:firstLineChars="200"/>
        <w:textAlignment w:val="auto"/>
        <w:rPr>
          <w:rFonts w:hint="default" w:ascii="Times New Roman" w:hAnsi="Times New Roman" w:eastAsia="黑体" w:cs="Times New Roman"/>
          <w:b w:val="0"/>
          <w:color w:val="auto"/>
          <w:highlight w:val="none"/>
          <w:lang w:eastAsia="zh-CN"/>
        </w:rPr>
      </w:pPr>
      <w:r>
        <w:rPr>
          <w:rFonts w:hint="eastAsia" w:ascii="Times New Roman" w:hAnsi="Times New Roman" w:eastAsia="黑体" w:cs="Times New Roman"/>
          <w:b w:val="0"/>
          <w:color w:val="auto"/>
          <w:highlight w:val="none"/>
          <w:lang w:eastAsia="zh-CN"/>
        </w:rPr>
        <w:t>一、</w:t>
      </w:r>
      <w:r>
        <w:rPr>
          <w:rFonts w:hint="default" w:ascii="Times New Roman" w:hAnsi="Times New Roman" w:eastAsia="黑体" w:cs="Times New Roman"/>
          <w:b w:val="0"/>
          <w:color w:val="auto"/>
          <w:highlight w:val="none"/>
          <w:lang w:eastAsia="zh-CN"/>
        </w:rPr>
        <w:t>部门职责</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仿宋" w:cs="Times New Roman"/>
          <w:color w:val="auto"/>
          <w:sz w:val="32"/>
          <w:szCs w:val="32"/>
          <w:highlight w:val="none"/>
        </w:rPr>
        <w:t>中国国民党革命委员会四川省委员会（以下简称“民革四川省委”）是中国共产党领导的多党合作和政治协商制度中的参政党省级组织。主要工作职责是参政议政、民主监督和参加中国共产党领导的政治协商，助推经济社会发展和促进祖国和平统一。</w:t>
      </w:r>
    </w:p>
    <w:p>
      <w:pPr>
        <w:pStyle w:val="6"/>
        <w:pageBreakBefore w:val="0"/>
        <w:kinsoku/>
        <w:wordWrap/>
        <w:overflowPunct/>
        <w:topLinePunct w:val="0"/>
        <w:autoSpaceDE/>
        <w:autoSpaceDN/>
        <w:bidi w:val="0"/>
        <w:spacing w:before="0" w:after="0" w:line="600" w:lineRule="exact"/>
        <w:ind w:firstLine="640" w:firstLineChars="200"/>
        <w:textAlignment w:val="auto"/>
        <w:rPr>
          <w:rStyle w:val="29"/>
          <w:rFonts w:hint="default" w:ascii="Times New Roman" w:hAnsi="Times New Roman" w:cs="Times New Roman"/>
          <w:b w:val="0"/>
          <w:bCs w:val="0"/>
          <w:color w:val="auto"/>
          <w:highlight w:val="none"/>
        </w:rPr>
      </w:pPr>
      <w:bookmarkStart w:id="14" w:name="_Toc15377200"/>
      <w:bookmarkStart w:id="15" w:name="_Toc15396601"/>
      <w:r>
        <w:rPr>
          <w:rFonts w:hint="default" w:ascii="Times New Roman" w:hAnsi="Times New Roman" w:eastAsia="黑体" w:cs="Times New Roman"/>
          <w:b w:val="0"/>
          <w:color w:val="auto"/>
          <w:highlight w:val="none"/>
        </w:rPr>
        <w:t>二、机</w:t>
      </w:r>
      <w:r>
        <w:rPr>
          <w:rStyle w:val="29"/>
          <w:rFonts w:hint="default" w:ascii="Times New Roman" w:hAnsi="Times New Roman" w:eastAsia="黑体" w:cs="Times New Roman"/>
          <w:b w:val="0"/>
          <w:bCs w:val="0"/>
          <w:color w:val="auto"/>
          <w:highlight w:val="none"/>
        </w:rPr>
        <w:t>构设置</w:t>
      </w:r>
      <w:bookmarkEnd w:id="14"/>
      <w:bookmarkEnd w:id="15"/>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民革四川省委会</w:t>
      </w:r>
      <w:r>
        <w:rPr>
          <w:rFonts w:hint="default" w:ascii="Times New Roman" w:hAnsi="Times New Roman" w:eastAsia="仿宋" w:cs="Times New Roman"/>
          <w:color w:val="auto"/>
          <w:sz w:val="32"/>
          <w:szCs w:val="32"/>
          <w:highlight w:val="none"/>
        </w:rPr>
        <w:t>下属二级</w:t>
      </w:r>
      <w:r>
        <w:rPr>
          <w:rFonts w:hint="default" w:ascii="Times New Roman" w:hAnsi="Times New Roman" w:eastAsia="仿宋" w:cs="Times New Roman"/>
          <w:color w:val="auto"/>
          <w:sz w:val="32"/>
          <w:szCs w:val="32"/>
          <w:highlight w:val="none"/>
          <w:lang w:eastAsia="zh-CN"/>
        </w:rPr>
        <w:t>预算</w:t>
      </w:r>
      <w:r>
        <w:rPr>
          <w:rFonts w:hint="default" w:ascii="Times New Roman" w:hAnsi="Times New Roman" w:eastAsia="仿宋" w:cs="Times New Roman"/>
          <w:color w:val="auto"/>
          <w:sz w:val="32"/>
          <w:szCs w:val="32"/>
          <w:highlight w:val="none"/>
        </w:rPr>
        <w:t>单位</w:t>
      </w:r>
      <w:r>
        <w:rPr>
          <w:rFonts w:hint="default"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rPr>
        <w:t>个，其中行政单位</w:t>
      </w:r>
      <w:r>
        <w:rPr>
          <w:rFonts w:hint="default"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rPr>
        <w:t>个，参照公务员法管理的事业单位</w:t>
      </w:r>
      <w:r>
        <w:rPr>
          <w:rFonts w:hint="default" w:ascii="Times New Roman" w:hAnsi="Times New Roman" w:eastAsia="仿宋" w:cs="Times New Roman"/>
          <w:bCs/>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个，其他事业单位</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个。</w:t>
      </w:r>
    </w:p>
    <w:p>
      <w:pPr>
        <w:pStyle w:val="8"/>
        <w:pageBreakBefore w:val="0"/>
        <w:kinsoku/>
        <w:wordWrap/>
        <w:overflowPunct/>
        <w:topLinePunct w:val="0"/>
        <w:autoSpaceDE/>
        <w:autoSpaceDN/>
        <w:bidi w:val="0"/>
        <w:adjustRightInd w:val="0"/>
        <w:snapToGrid w:val="0"/>
        <w:spacing w:beforeLines="0" w:line="600" w:lineRule="exact"/>
        <w:ind w:firstLine="672" w:firstLineChars="21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纳入</w:t>
      </w:r>
      <w:r>
        <w:rPr>
          <w:rFonts w:hint="default" w:ascii="Times New Roman" w:hAnsi="Times New Roman" w:eastAsia="仿宋" w:cs="Times New Roman"/>
          <w:color w:val="auto"/>
          <w:sz w:val="32"/>
          <w:szCs w:val="32"/>
          <w:highlight w:val="none"/>
          <w:lang w:eastAsia="zh-CN"/>
        </w:rPr>
        <w:t>民革四川省委会2023</w:t>
      </w:r>
      <w:r>
        <w:rPr>
          <w:rFonts w:hint="default" w:ascii="Times New Roman" w:hAnsi="Times New Roman" w:eastAsia="仿宋" w:cs="Times New Roman"/>
          <w:color w:val="auto"/>
          <w:sz w:val="32"/>
          <w:szCs w:val="32"/>
          <w:highlight w:val="none"/>
        </w:rPr>
        <w:t>年度部门决算编制范围的二级预算单位包括：</w:t>
      </w:r>
    </w:p>
    <w:p>
      <w:pPr>
        <w:pStyle w:val="8"/>
        <w:pageBreakBefore w:val="0"/>
        <w:kinsoku/>
        <w:wordWrap/>
        <w:overflowPunct/>
        <w:topLinePunct w:val="0"/>
        <w:autoSpaceDE/>
        <w:autoSpaceDN/>
        <w:bidi w:val="0"/>
        <w:adjustRightInd w:val="0"/>
        <w:snapToGrid w:val="0"/>
        <w:spacing w:beforeLines="0" w:line="60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bookmarkStart w:id="16" w:name="_Toc15306276"/>
      <w:bookmarkStart w:id="17" w:name="_Toc15377433"/>
      <w:bookmarkStart w:id="18" w:name="_Toc15377202"/>
      <w:bookmarkStart w:id="19" w:name="_Toc15378449"/>
      <w:r>
        <w:rPr>
          <w:rFonts w:hint="default" w:ascii="Times New Roman" w:hAnsi="Times New Roman" w:eastAsia="仿宋_GB2312" w:cs="Times New Roman"/>
          <w:bCs/>
          <w:color w:val="000000"/>
          <w:sz w:val="32"/>
          <w:szCs w:val="32"/>
          <w:lang w:val="en-US"/>
        </w:rPr>
        <w:t>1.</w:t>
      </w:r>
      <w:r>
        <w:rPr>
          <w:rFonts w:hint="default" w:ascii="Times New Roman" w:hAnsi="Times New Roman" w:eastAsia="仿宋_GB2312" w:cs="Times New Roman"/>
          <w:bCs/>
          <w:color w:val="000000"/>
          <w:sz w:val="32"/>
          <w:szCs w:val="32"/>
        </w:rPr>
        <w:t>民革四川省委</w:t>
      </w:r>
      <w:r>
        <w:rPr>
          <w:rFonts w:hint="default" w:ascii="Times New Roman" w:hAnsi="Times New Roman" w:cs="Times New Roman"/>
          <w:bCs/>
          <w:color w:val="000000"/>
          <w:sz w:val="32"/>
          <w:szCs w:val="32"/>
          <w:lang w:eastAsia="zh-CN"/>
        </w:rPr>
        <w:t>会</w:t>
      </w:r>
      <w:r>
        <w:rPr>
          <w:rFonts w:hint="default" w:ascii="Times New Roman" w:hAnsi="Times New Roman" w:eastAsia="仿宋_GB2312" w:cs="Times New Roman"/>
          <w:bCs/>
          <w:color w:val="000000"/>
          <w:sz w:val="32"/>
          <w:szCs w:val="32"/>
        </w:rPr>
        <w:t>机关</w:t>
      </w:r>
    </w:p>
    <w:bookmarkEnd w:id="16"/>
    <w:bookmarkEnd w:id="17"/>
    <w:bookmarkEnd w:id="18"/>
    <w:bookmarkEnd w:id="19"/>
    <w:p>
      <w:pPr>
        <w:pageBreakBefore w:val="0"/>
        <w:widowControl/>
        <w:kinsoku/>
        <w:wordWrap/>
        <w:overflowPunct/>
        <w:topLinePunct w:val="0"/>
        <w:autoSpaceDE/>
        <w:autoSpaceDN/>
        <w:bidi w:val="0"/>
        <w:spacing w:line="600" w:lineRule="exact"/>
        <w:jc w:val="left"/>
        <w:textAlignment w:val="auto"/>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sz w:val="32"/>
          <w:szCs w:val="32"/>
          <w:highlight w:val="none"/>
        </w:rPr>
        <w:br w:type="page"/>
      </w:r>
    </w:p>
    <w:p>
      <w:pPr>
        <w:pStyle w:val="5"/>
        <w:pageBreakBefore w:val="0"/>
        <w:widowControl w:val="0"/>
        <w:kinsoku/>
        <w:wordWrap/>
        <w:overflowPunct/>
        <w:topLinePunct w:val="0"/>
        <w:autoSpaceDE/>
        <w:autoSpaceDN/>
        <w:bidi w:val="0"/>
        <w:adjustRightInd/>
        <w:spacing w:before="0" w:after="0" w:line="600" w:lineRule="exact"/>
        <w:ind w:left="0" w:leftChars="0" w:right="0"/>
        <w:jc w:val="center"/>
        <w:textAlignment w:val="auto"/>
        <w:rPr>
          <w:rStyle w:val="28"/>
          <w:rFonts w:ascii="黑体" w:hAnsi="黑体" w:eastAsia="黑体"/>
          <w:b w:val="0"/>
          <w:bCs/>
          <w:color w:val="auto"/>
          <w:highlight w:val="none"/>
        </w:rPr>
      </w:pPr>
      <w:bookmarkStart w:id="20" w:name="_Toc15377204"/>
      <w:bookmarkStart w:id="21"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8"/>
          <w:rFonts w:hint="eastAsia" w:ascii="黑体" w:hAnsi="黑体" w:eastAsia="黑体"/>
          <w:b w:val="0"/>
          <w:bCs/>
          <w:color w:val="auto"/>
          <w:highlight w:val="none"/>
        </w:rPr>
        <w:t>部门决算情况说明</w:t>
      </w:r>
      <w:bookmarkEnd w:id="20"/>
      <w:bookmarkEnd w:id="21"/>
    </w:p>
    <w:p>
      <w:pPr>
        <w:pageBreakBefore w:val="0"/>
        <w:widowControl w:val="0"/>
        <w:kinsoku/>
        <w:wordWrap/>
        <w:overflowPunct/>
        <w:topLinePunct w:val="0"/>
        <w:autoSpaceDE/>
        <w:autoSpaceDN/>
        <w:bidi w:val="0"/>
        <w:adjustRightInd/>
        <w:spacing w:line="600" w:lineRule="exact"/>
        <w:ind w:left="0" w:leftChars="0" w:right="0"/>
        <w:textAlignment w:val="auto"/>
        <w:rPr>
          <w:color w:val="auto"/>
          <w:highlight w:val="none"/>
        </w:rPr>
      </w:pPr>
    </w:p>
    <w:p>
      <w:pPr>
        <w:pStyle w:val="27"/>
        <w:pageBreakBefore w:val="0"/>
        <w:widowControl w:val="0"/>
        <w:numPr>
          <w:ilvl w:val="0"/>
          <w:numId w:val="0"/>
        </w:numPr>
        <w:kinsoku/>
        <w:wordWrap/>
        <w:overflowPunct/>
        <w:topLinePunct w:val="0"/>
        <w:autoSpaceDE/>
        <w:autoSpaceDN/>
        <w:bidi w:val="0"/>
        <w:adjustRightInd/>
        <w:spacing w:line="600" w:lineRule="exact"/>
        <w:ind w:left="454" w:leftChars="0" w:right="0" w:hanging="454" w:hangingChars="142"/>
        <w:textAlignment w:val="auto"/>
        <w:outlineLvl w:val="1"/>
        <w:rPr>
          <w:rStyle w:val="29"/>
          <w:rFonts w:ascii="黑体" w:hAnsi="黑体" w:eastAsia="黑体"/>
          <w:b w:val="0"/>
          <w:color w:val="auto"/>
          <w:highlight w:val="none"/>
        </w:rPr>
      </w:pPr>
      <w:bookmarkStart w:id="22" w:name="_Toc15396603"/>
      <w:bookmarkStart w:id="23" w:name="_Toc15377205"/>
      <w:r>
        <w:rPr>
          <w:rFonts w:hint="default" w:ascii="黑体" w:hAnsi="黑体" w:eastAsia="黑体" w:cstheme="majorBidi"/>
          <w:b w:val="0"/>
          <w:bCs/>
          <w:color w:val="auto"/>
          <w:kern w:val="2"/>
          <w:sz w:val="32"/>
          <w:szCs w:val="32"/>
          <w:lang w:val="en-US" w:eastAsia="zh-CN" w:bidi="ar-SA"/>
        </w:rPr>
        <w:t>一、</w:t>
      </w:r>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入支出决算总体情况说明</w:t>
      </w:r>
      <w:bookmarkEnd w:id="22"/>
      <w:bookmarkEnd w:id="23"/>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firstLine="640" w:firstLineChars="200"/>
        <w:jc w:val="both"/>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年度收、支总计</w:t>
      </w:r>
      <w:r>
        <w:rPr>
          <w:rFonts w:hint="default" w:ascii="Times New Roman" w:hAnsi="Times New Roman" w:eastAsia="仿宋" w:cs="Times New Roman"/>
          <w:color w:val="auto"/>
          <w:sz w:val="32"/>
          <w:szCs w:val="32"/>
          <w:highlight w:val="none"/>
          <w:lang w:eastAsia="zh-CN"/>
        </w:rPr>
        <w:t>均为</w:t>
      </w:r>
      <w:r>
        <w:rPr>
          <w:rFonts w:hint="default" w:ascii="Times New Roman" w:hAnsi="Times New Roman" w:eastAsia="仿宋" w:cs="Times New Roman"/>
          <w:color w:val="auto"/>
          <w:sz w:val="32"/>
          <w:szCs w:val="32"/>
          <w:highlight w:val="none"/>
          <w:lang w:val="en-US" w:eastAsia="zh-CN"/>
        </w:rPr>
        <w:t>1416.86</w:t>
      </w:r>
      <w:r>
        <w:rPr>
          <w:rFonts w:hint="default" w:ascii="Times New Roman" w:hAnsi="Times New Roman" w:eastAsia="仿宋" w:cs="Times New Roman"/>
          <w:color w:val="auto"/>
          <w:sz w:val="32"/>
          <w:szCs w:val="32"/>
          <w:highlight w:val="none"/>
        </w:rPr>
        <w:t>万元。与</w:t>
      </w:r>
      <w:r>
        <w:rPr>
          <w:rFonts w:hint="default" w:ascii="Times New Roman" w:hAnsi="Times New Roman" w:eastAsia="仿宋" w:cs="Times New Roman"/>
          <w:color w:val="auto"/>
          <w:sz w:val="32"/>
          <w:szCs w:val="32"/>
          <w:highlight w:val="none"/>
          <w:lang w:eastAsia="zh-CN"/>
        </w:rPr>
        <w:t>2022</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相比，收、支总计各减少</w:t>
      </w:r>
      <w:r>
        <w:rPr>
          <w:rFonts w:hint="default" w:ascii="Times New Roman" w:hAnsi="Times New Roman" w:eastAsia="仿宋" w:cs="Times New Roman"/>
          <w:color w:val="auto"/>
          <w:sz w:val="32"/>
          <w:szCs w:val="32"/>
          <w:highlight w:val="none"/>
          <w:lang w:val="en-US" w:eastAsia="zh-CN"/>
        </w:rPr>
        <w:t>13.47</w:t>
      </w:r>
      <w:r>
        <w:rPr>
          <w:rFonts w:hint="default" w:ascii="Times New Roman" w:hAnsi="Times New Roman" w:eastAsia="仿宋" w:cs="Times New Roman"/>
          <w:color w:val="auto"/>
          <w:sz w:val="32"/>
          <w:szCs w:val="32"/>
          <w:highlight w:val="none"/>
        </w:rPr>
        <w:t>万元，下降</w:t>
      </w:r>
      <w:r>
        <w:rPr>
          <w:rFonts w:hint="default" w:ascii="Times New Roman" w:hAnsi="Times New Roman" w:eastAsia="仿宋" w:cs="Times New Roman"/>
          <w:color w:val="auto"/>
          <w:sz w:val="32"/>
          <w:szCs w:val="32"/>
          <w:highlight w:val="none"/>
          <w:lang w:val="en-US" w:eastAsia="zh-CN"/>
        </w:rPr>
        <w:t>0.9</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eastAsia="仿宋_GB2312" w:cs="Times New Roman"/>
          <w:kern w:val="2"/>
          <w:sz w:val="32"/>
          <w:szCs w:val="32"/>
          <w:highlight w:val="none"/>
          <w:lang w:val="en-US" w:eastAsia="zh-CN" w:bidi="ar"/>
        </w:rPr>
        <w:t>本年无换届工作经费，项目支出减少。</w:t>
      </w:r>
    </w:p>
    <w:p>
      <w:pPr>
        <w:pageBreakBefore w:val="0"/>
        <w:widowControl w:val="0"/>
        <w:kinsoku/>
        <w:wordWrap/>
        <w:overflowPunct/>
        <w:topLinePunct w:val="0"/>
        <w:autoSpaceDE/>
        <w:autoSpaceDN/>
        <w:bidi w:val="0"/>
        <w:adjustRightInd/>
        <w:spacing w:line="600" w:lineRule="exact"/>
        <w:ind w:left="0" w:leftChars="0" w:right="0"/>
        <w:jc w:val="center"/>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ageBreakBefore w:val="0"/>
        <w:widowControl w:val="0"/>
        <w:kinsoku/>
        <w:wordWrap/>
        <w:overflowPunct/>
        <w:topLinePunct w:val="0"/>
        <w:autoSpaceDE/>
        <w:autoSpaceDN/>
        <w:bidi w:val="0"/>
        <w:adjustRightInd/>
        <w:spacing w:line="600" w:lineRule="exact"/>
        <w:ind w:left="0" w:leftChars="0" w:right="0"/>
        <w:jc w:val="center"/>
        <w:textAlignment w:val="auto"/>
        <w:rPr>
          <w:rFonts w:hint="eastAsia"/>
          <w:sz w:val="21"/>
          <w:szCs w:val="21"/>
        </w:rPr>
      </w:pP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1"/>
          <w:szCs w:val="21"/>
          <w:highlight w:val="none"/>
          <w:lang w:val="en-US" w:eastAsia="zh-CN"/>
        </w:rPr>
        <w:t xml:space="preserve">                                               单位：万元</w:t>
      </w:r>
    </w:p>
    <w:p>
      <w:pPr>
        <w:keepNext w:val="0"/>
        <w:keepLines w:val="0"/>
        <w:pageBreakBefore w:val="0"/>
        <w:widowControl w:val="0"/>
        <w:kinsoku/>
        <w:wordWrap/>
        <w:overflowPunct/>
        <w:topLinePunct w:val="0"/>
        <w:autoSpaceDE/>
        <w:autoSpaceDN/>
        <w:bidi w:val="0"/>
        <w:adjustRightInd/>
        <w:snapToGrid/>
        <w:spacing w:line="720" w:lineRule="auto"/>
        <w:ind w:firstLine="420" w:firstLineChars="200"/>
        <w:jc w:val="left"/>
        <w:textAlignment w:val="auto"/>
        <w:rPr>
          <w:rFonts w:hint="eastAsia" w:ascii="仿宋_GB2312" w:eastAsia="仿宋_GB2312"/>
          <w:color w:val="auto"/>
          <w:sz w:val="32"/>
          <w:szCs w:val="32"/>
          <w:highlight w:val="none"/>
          <w:lang w:eastAsia="zh-CN"/>
        </w:rPr>
      </w:pPr>
      <w:r>
        <w:drawing>
          <wp:anchor distT="0" distB="0" distL="114300" distR="114300" simplePos="0" relativeHeight="251659264" behindDoc="0" locked="0" layoutInCell="1" allowOverlap="1">
            <wp:simplePos x="0" y="0"/>
            <wp:positionH relativeFrom="column">
              <wp:posOffset>76200</wp:posOffset>
            </wp:positionH>
            <wp:positionV relativeFrom="paragraph">
              <wp:posOffset>47625</wp:posOffset>
            </wp:positionV>
            <wp:extent cx="4906645" cy="1997710"/>
            <wp:effectExtent l="4445" t="4445" r="22860" b="1714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
        <w:rPr>
          <w:rFonts w:hint="eastAsia" w:ascii="仿宋_GB2312" w:eastAsia="仿宋_GB2312"/>
          <w:color w:val="auto"/>
          <w:sz w:val="32"/>
          <w:szCs w:val="32"/>
          <w:highlight w:val="none"/>
          <w:lang w:eastAsia="zh-CN"/>
        </w:rPr>
      </w:pPr>
    </w:p>
    <w:p>
      <w:pPr>
        <w:pStyle w:val="27"/>
        <w:numPr>
          <w:ilvl w:val="0"/>
          <w:numId w:val="0"/>
        </w:numPr>
        <w:tabs>
          <w:tab w:val="left" w:pos="231"/>
        </w:tabs>
        <w:spacing w:line="600" w:lineRule="exact"/>
        <w:outlineLvl w:val="1"/>
        <w:rPr>
          <w:rFonts w:hint="eastAsia" w:ascii="黑体" w:hAnsi="黑体" w:eastAsia="黑体"/>
          <w:color w:val="auto"/>
          <w:sz w:val="32"/>
          <w:szCs w:val="32"/>
          <w:highlight w:val="none"/>
        </w:rPr>
      </w:pPr>
      <w:bookmarkStart w:id="24" w:name="_Toc15377206"/>
      <w:bookmarkStart w:id="25" w:name="_Toc15396604"/>
    </w:p>
    <w:p>
      <w:pPr>
        <w:pStyle w:val="27"/>
        <w:numPr>
          <w:ilvl w:val="0"/>
          <w:numId w:val="0"/>
        </w:numPr>
        <w:tabs>
          <w:tab w:val="left" w:pos="231"/>
        </w:tabs>
        <w:spacing w:line="600" w:lineRule="exact"/>
        <w:outlineLvl w:val="1"/>
        <w:rPr>
          <w:rFonts w:hint="eastAsia" w:ascii="黑体" w:hAnsi="黑体" w:eastAsia="黑体"/>
          <w:color w:val="auto"/>
          <w:sz w:val="32"/>
          <w:szCs w:val="32"/>
          <w:highlight w:val="none"/>
        </w:rPr>
      </w:pPr>
    </w:p>
    <w:p>
      <w:pPr>
        <w:pStyle w:val="27"/>
        <w:numPr>
          <w:ilvl w:val="0"/>
          <w:numId w:val="0"/>
        </w:numPr>
        <w:tabs>
          <w:tab w:val="left" w:pos="231"/>
        </w:tabs>
        <w:spacing w:line="600" w:lineRule="exact"/>
        <w:outlineLvl w:val="1"/>
        <w:rPr>
          <w:rFonts w:hint="eastAsia" w:ascii="黑体" w:hAnsi="黑体" w:eastAsia="黑体"/>
          <w:color w:val="auto"/>
          <w:sz w:val="32"/>
          <w:szCs w:val="32"/>
          <w:highlight w:val="none"/>
        </w:rPr>
      </w:pPr>
    </w:p>
    <w:p>
      <w:pPr>
        <w:pStyle w:val="27"/>
        <w:keepNext w:val="0"/>
        <w:keepLines w:val="0"/>
        <w:pageBreakBefore w:val="0"/>
        <w:widowControl w:val="0"/>
        <w:numPr>
          <w:ilvl w:val="0"/>
          <w:numId w:val="0"/>
        </w:numPr>
        <w:tabs>
          <w:tab w:val="left" w:pos="231"/>
        </w:tabs>
        <w:kinsoku/>
        <w:wordWrap/>
        <w:overflowPunct/>
        <w:topLinePunct w:val="0"/>
        <w:autoSpaceDE/>
        <w:autoSpaceDN/>
        <w:bidi w:val="0"/>
        <w:adjustRightInd/>
        <w:snapToGrid/>
        <w:spacing w:line="600" w:lineRule="exact"/>
        <w:ind w:firstLine="640" w:firstLineChars="200"/>
        <w:textAlignment w:val="auto"/>
        <w:outlineLvl w:val="1"/>
        <w:rPr>
          <w:rStyle w:val="29"/>
          <w:rFonts w:ascii="黑体" w:hAnsi="黑体" w:eastAsia="黑体"/>
          <w:b w:val="0"/>
          <w:color w:val="auto"/>
          <w:highlight w:val="none"/>
        </w:rPr>
      </w:pPr>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入决算情况说明</w:t>
      </w:r>
      <w:bookmarkEnd w:id="24"/>
      <w:bookmarkEnd w:id="25"/>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本年收入合计</w:t>
      </w:r>
      <w:r>
        <w:rPr>
          <w:rFonts w:hint="default" w:ascii="Times New Roman" w:hAnsi="Times New Roman" w:eastAsia="仿宋" w:cs="Times New Roman"/>
          <w:color w:val="auto"/>
          <w:sz w:val="32"/>
          <w:szCs w:val="32"/>
          <w:highlight w:val="none"/>
          <w:lang w:val="en-US" w:eastAsia="zh-CN"/>
        </w:rPr>
        <w:t>1416.86</w:t>
      </w:r>
      <w:r>
        <w:rPr>
          <w:rFonts w:hint="default" w:ascii="Times New Roman" w:hAnsi="Times New Roman" w:eastAsia="仿宋" w:cs="Times New Roman"/>
          <w:color w:val="auto"/>
          <w:sz w:val="32"/>
          <w:szCs w:val="32"/>
          <w:highlight w:val="none"/>
        </w:rPr>
        <w:t>万元，其中：一般公共预算财政拨款收入</w:t>
      </w:r>
      <w:r>
        <w:rPr>
          <w:rFonts w:hint="default" w:ascii="Times New Roman" w:hAnsi="Times New Roman" w:eastAsia="仿宋" w:cs="Times New Roman"/>
          <w:color w:val="auto"/>
          <w:sz w:val="32"/>
          <w:szCs w:val="32"/>
          <w:highlight w:val="none"/>
          <w:lang w:val="en-US" w:eastAsia="zh-CN"/>
        </w:rPr>
        <w:t>1416.86</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w:t>
      </w:r>
    </w:p>
    <w:p>
      <w:pPr>
        <w:keepNext w:val="0"/>
        <w:keepLines w:val="0"/>
        <w:pageBreakBefore w:val="0"/>
        <w:widowControl w:val="0"/>
        <w:kinsoku/>
        <w:wordWrap/>
        <w:overflowPunct/>
        <w:topLinePunct w:val="0"/>
        <w:autoSpaceDE/>
        <w:autoSpaceDN/>
        <w:bidi w:val="0"/>
        <w:adjustRightInd/>
        <w:snapToGrid/>
        <w:spacing w:line="720" w:lineRule="auto"/>
        <w:ind w:leftChars="0" w:firstLine="420" w:firstLineChars="200"/>
        <w:textAlignment w:val="auto"/>
        <w:rPr>
          <w:rFonts w:ascii="仿宋_GB2312" w:eastAsia="仿宋_GB2312"/>
          <w:color w:val="auto"/>
          <w:sz w:val="32"/>
          <w:szCs w:val="32"/>
          <w:highlight w:val="none"/>
        </w:rPr>
      </w:pPr>
      <w:r>
        <w:drawing>
          <wp:anchor distT="0" distB="0" distL="114300" distR="114300" simplePos="0" relativeHeight="251660288" behindDoc="0" locked="0" layoutInCell="1" allowOverlap="1">
            <wp:simplePos x="0" y="0"/>
            <wp:positionH relativeFrom="column">
              <wp:posOffset>523875</wp:posOffset>
            </wp:positionH>
            <wp:positionV relativeFrom="paragraph">
              <wp:posOffset>135255</wp:posOffset>
            </wp:positionV>
            <wp:extent cx="4165600" cy="1843405"/>
            <wp:effectExtent l="4445" t="4445" r="20955" b="1905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keepNext w:val="0"/>
        <w:keepLines w:val="0"/>
        <w:pageBreakBefore w:val="0"/>
        <w:widowControl w:val="0"/>
        <w:kinsoku/>
        <w:wordWrap/>
        <w:overflowPunct/>
        <w:topLinePunct w:val="0"/>
        <w:autoSpaceDE/>
        <w:autoSpaceDN/>
        <w:bidi w:val="0"/>
        <w:adjustRightInd/>
        <w:snapToGrid/>
        <w:spacing w:line="720" w:lineRule="auto"/>
        <w:ind w:leftChars="0" w:firstLine="640" w:firstLineChars="200"/>
        <w:textAlignment w:val="auto"/>
        <w:rPr>
          <w:rFonts w:ascii="仿宋_GB2312"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720" w:lineRule="auto"/>
        <w:ind w:leftChars="0" w:firstLine="640" w:firstLineChars="200"/>
        <w:textAlignment w:val="auto"/>
        <w:rPr>
          <w:rFonts w:ascii="仿宋_GB2312" w:eastAsia="仿宋_GB2312"/>
          <w:color w:val="auto"/>
          <w:sz w:val="32"/>
          <w:szCs w:val="32"/>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olor w:val="auto"/>
          <w:sz w:val="32"/>
          <w:szCs w:val="32"/>
          <w:highlight w:val="none"/>
          <w:lang w:eastAsia="zh-CN"/>
        </w:rPr>
      </w:pPr>
      <w:bookmarkStart w:id="26" w:name="_Toc15377207"/>
      <w:bookmarkStart w:id="27" w:name="_Toc15396605"/>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w:t>
      </w:r>
      <w:r>
        <w:rPr>
          <w:rStyle w:val="29"/>
          <w:rFonts w:hint="eastAsia" w:ascii="黑体" w:hAnsi="黑体" w:eastAsia="黑体"/>
          <w:b w:val="0"/>
          <w:color w:val="auto"/>
          <w:highlight w:val="none"/>
        </w:rPr>
        <w:t>出决算情况说明</w:t>
      </w:r>
      <w:bookmarkEnd w:id="26"/>
      <w:bookmarkEnd w:id="27"/>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1"/>
        <w:rPr>
          <w:rFonts w:ascii="仿宋" w:hAnsi="仿宋" w:eastAsia="仿宋"/>
          <w:color w:val="auto"/>
          <w:sz w:val="32"/>
          <w:szCs w:val="32"/>
          <w:highlight w:val="none"/>
        </w:rPr>
      </w:pPr>
      <w:r>
        <w:rPr>
          <w:rFonts w:hint="eastAsia" w:ascii="Times New Roman" w:hAnsi="Times New Roman" w:eastAsia="仿宋_GB2312" w:cs="Times New Roman"/>
          <w:kern w:val="2"/>
          <w:sz w:val="32"/>
          <w:szCs w:val="32"/>
          <w:highlight w:val="none"/>
          <w:lang w:val="en-US" w:eastAsia="zh-CN" w:bidi="ar"/>
        </w:rPr>
        <w:t>2023年度本年支出合计</w:t>
      </w:r>
      <w:r>
        <w:rPr>
          <w:rFonts w:hint="default" w:ascii="Times New Roman" w:hAnsi="Times New Roman" w:eastAsia="仿宋_GB2312" w:cs="Times New Roman"/>
          <w:kern w:val="2"/>
          <w:sz w:val="32"/>
          <w:szCs w:val="32"/>
          <w:highlight w:val="none"/>
          <w:lang w:val="en-US" w:eastAsia="zh-CN" w:bidi="ar"/>
        </w:rPr>
        <w:t>1416.86</w:t>
      </w:r>
      <w:r>
        <w:rPr>
          <w:rFonts w:hint="eastAsia" w:ascii="Times New Roman" w:hAnsi="Times New Roman" w:eastAsia="仿宋_GB2312" w:cs="Times New Roman"/>
          <w:kern w:val="2"/>
          <w:sz w:val="32"/>
          <w:szCs w:val="32"/>
          <w:highlight w:val="none"/>
          <w:lang w:val="en-US" w:eastAsia="zh-CN" w:bidi="ar"/>
        </w:rPr>
        <w:t>万元，其中：基本支出</w:t>
      </w:r>
      <w:r>
        <w:rPr>
          <w:rFonts w:hint="default" w:ascii="Times New Roman" w:hAnsi="Times New Roman" w:eastAsia="仿宋_GB2312" w:cs="Times New Roman"/>
          <w:kern w:val="2"/>
          <w:sz w:val="32"/>
          <w:szCs w:val="32"/>
          <w:highlight w:val="none"/>
          <w:lang w:val="en-US" w:eastAsia="zh-CN" w:bidi="ar"/>
        </w:rPr>
        <w:t>1226.96</w:t>
      </w:r>
      <w:r>
        <w:rPr>
          <w:rFonts w:hint="eastAsia" w:ascii="Times New Roman" w:hAnsi="Times New Roman" w:eastAsia="仿宋_GB2312" w:cs="Times New Roman"/>
          <w:kern w:val="2"/>
          <w:sz w:val="32"/>
          <w:szCs w:val="32"/>
          <w:highlight w:val="none"/>
          <w:lang w:val="en-US" w:eastAsia="zh-CN" w:bidi="ar"/>
        </w:rPr>
        <w:t>万元，占</w:t>
      </w:r>
      <w:r>
        <w:rPr>
          <w:rFonts w:hint="default" w:ascii="Times New Roman" w:hAnsi="Times New Roman" w:eastAsia="仿宋_GB2312" w:cs="Times New Roman"/>
          <w:kern w:val="2"/>
          <w:sz w:val="32"/>
          <w:szCs w:val="32"/>
          <w:highlight w:val="none"/>
          <w:lang w:val="en-US" w:eastAsia="zh-CN" w:bidi="ar"/>
        </w:rPr>
        <w:t>86.6</w:t>
      </w:r>
      <w:r>
        <w:rPr>
          <w:rFonts w:hint="eastAsia" w:ascii="Times New Roman" w:hAnsi="Times New Roman" w:eastAsia="仿宋_GB2312" w:cs="Times New Roman"/>
          <w:kern w:val="2"/>
          <w:sz w:val="32"/>
          <w:szCs w:val="32"/>
          <w:highlight w:val="none"/>
          <w:lang w:val="en-US" w:eastAsia="zh-CN" w:bidi="ar"/>
        </w:rPr>
        <w:t>%；项目支出</w:t>
      </w:r>
      <w:r>
        <w:rPr>
          <w:rFonts w:hint="default" w:ascii="Times New Roman" w:hAnsi="Times New Roman" w:eastAsia="仿宋_GB2312" w:cs="Times New Roman"/>
          <w:kern w:val="2"/>
          <w:sz w:val="32"/>
          <w:szCs w:val="32"/>
          <w:highlight w:val="none"/>
          <w:lang w:val="en-US" w:eastAsia="zh-CN" w:bidi="ar"/>
        </w:rPr>
        <w:t>189.9</w:t>
      </w:r>
      <w:r>
        <w:rPr>
          <w:rFonts w:hint="eastAsia" w:ascii="Times New Roman" w:hAnsi="Times New Roman" w:eastAsia="仿宋_GB2312" w:cs="Times New Roman"/>
          <w:kern w:val="2"/>
          <w:sz w:val="32"/>
          <w:szCs w:val="32"/>
          <w:highlight w:val="none"/>
          <w:lang w:val="en-US" w:eastAsia="zh-CN" w:bidi="ar"/>
        </w:rPr>
        <w:t>1万元，占</w:t>
      </w:r>
      <w:r>
        <w:rPr>
          <w:rFonts w:hint="default" w:ascii="Times New Roman" w:hAnsi="Times New Roman" w:eastAsia="仿宋_GB2312" w:cs="Times New Roman"/>
          <w:kern w:val="2"/>
          <w:sz w:val="32"/>
          <w:szCs w:val="32"/>
          <w:highlight w:val="none"/>
          <w:lang w:val="en-US" w:eastAsia="zh-CN" w:bidi="ar"/>
        </w:rPr>
        <w:t>13.4%</w:t>
      </w:r>
      <w:r>
        <w:rPr>
          <w:rFonts w:hint="eastAsia" w:ascii="仿宋" w:hAnsi="仿宋" w:eastAsia="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w:t>
      </w:r>
    </w:p>
    <w:p>
      <w:pPr>
        <w:keepNext w:val="0"/>
        <w:keepLines w:val="0"/>
        <w:pageBreakBefore w:val="0"/>
        <w:widowControl w:val="0"/>
        <w:kinsoku/>
        <w:wordWrap/>
        <w:overflowPunct/>
        <w:topLinePunct w:val="0"/>
        <w:autoSpaceDE/>
        <w:autoSpaceDN/>
        <w:bidi w:val="0"/>
        <w:adjustRightInd/>
        <w:snapToGrid/>
        <w:spacing w:line="720" w:lineRule="auto"/>
        <w:ind w:firstLine="640" w:firstLineChars="200"/>
        <w:textAlignment w:val="auto"/>
        <w:rPr>
          <w:rFonts w:ascii="仿宋_GB2312" w:eastAsia="仿宋_GB2312"/>
          <w:color w:val="auto"/>
          <w:sz w:val="32"/>
          <w:szCs w:val="32"/>
          <w:highlight w:val="none"/>
        </w:rPr>
      </w:pPr>
      <w:r>
        <w:rPr>
          <w:rFonts w:eastAsia="仿宋_GB2312"/>
          <w:color w:val="000000"/>
          <w:sz w:val="32"/>
          <w:szCs w:val="32"/>
        </w:rPr>
        <w:drawing>
          <wp:anchor distT="0" distB="0" distL="114300" distR="114300" simplePos="0" relativeHeight="251661312" behindDoc="0" locked="0" layoutInCell="1" allowOverlap="1">
            <wp:simplePos x="0" y="0"/>
            <wp:positionH relativeFrom="column">
              <wp:posOffset>933450</wp:posOffset>
            </wp:positionH>
            <wp:positionV relativeFrom="paragraph">
              <wp:posOffset>85725</wp:posOffset>
            </wp:positionV>
            <wp:extent cx="3505200" cy="2078355"/>
            <wp:effectExtent l="4445" t="4445" r="14605" b="1270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2"/>
        <w:rPr>
          <w:rFonts w:ascii="仿宋_GB2312" w:eastAsia="仿宋_GB2312"/>
          <w:color w:val="auto"/>
          <w:sz w:val="32"/>
          <w:szCs w:val="32"/>
          <w:highlight w:val="none"/>
        </w:rPr>
      </w:pPr>
    </w:p>
    <w:p>
      <w:pPr>
        <w:spacing w:line="600" w:lineRule="exact"/>
        <w:ind w:firstLine="640" w:firstLineChars="200"/>
        <w:outlineLvl w:val="1"/>
        <w:rPr>
          <w:rFonts w:hint="eastAsia" w:ascii="黑体" w:hAnsi="黑体" w:eastAsia="黑体"/>
          <w:color w:val="auto"/>
          <w:sz w:val="32"/>
          <w:szCs w:val="32"/>
          <w:highlight w:val="none"/>
        </w:rPr>
      </w:pPr>
      <w:bookmarkStart w:id="28" w:name="_Toc15377208"/>
      <w:bookmarkStart w:id="29" w:name="_Toc15396606"/>
    </w:p>
    <w:p>
      <w:pPr>
        <w:spacing w:line="600" w:lineRule="exact"/>
        <w:ind w:firstLine="640" w:firstLineChars="200"/>
        <w:outlineLvl w:val="1"/>
        <w:rPr>
          <w:rFonts w:hint="eastAsia" w:ascii="黑体" w:hAnsi="黑体" w:eastAsia="黑体"/>
          <w:color w:val="auto"/>
          <w:sz w:val="32"/>
          <w:szCs w:val="32"/>
          <w:highlight w:val="none"/>
        </w:rPr>
      </w:pPr>
    </w:p>
    <w:p>
      <w:pPr>
        <w:pStyle w:val="2"/>
        <w:ind w:left="0" w:leftChars="0" w:firstLine="0" w:firstLineChars="0"/>
        <w:rPr>
          <w:rFonts w:hint="eastAsia" w:ascii="黑体" w:hAnsi="黑体" w:eastAsia="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Style w:val="29"/>
          <w:rFonts w:ascii="黑体" w:hAnsi="黑体" w:eastAsia="黑体"/>
          <w:b w:val="0"/>
          <w:color w:val="auto"/>
          <w:highlight w:val="none"/>
        </w:rPr>
      </w:pPr>
      <w:r>
        <w:rPr>
          <w:rFonts w:hint="eastAsia" w:ascii="黑体" w:hAnsi="黑体" w:eastAsia="黑体"/>
          <w:color w:val="auto"/>
          <w:sz w:val="32"/>
          <w:szCs w:val="32"/>
          <w:highlight w:val="none"/>
        </w:rPr>
        <w:t>四、财</w:t>
      </w:r>
      <w:r>
        <w:rPr>
          <w:rStyle w:val="29"/>
          <w:rFonts w:hint="eastAsia" w:ascii="黑体" w:hAnsi="黑体" w:eastAsia="黑体"/>
          <w:b w:val="0"/>
          <w:color w:val="auto"/>
          <w:highlight w:val="none"/>
        </w:rPr>
        <w:t>政拨款收入支出决算总体情况说明</w:t>
      </w:r>
      <w:bookmarkEnd w:id="28"/>
      <w:bookmarkEnd w:id="29"/>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财政拨款收、支总计</w:t>
      </w:r>
      <w:r>
        <w:rPr>
          <w:rFonts w:hint="default" w:ascii="Times New Roman" w:hAnsi="Times New Roman" w:eastAsia="仿宋" w:cs="Times New Roman"/>
          <w:color w:val="auto"/>
          <w:sz w:val="32"/>
          <w:szCs w:val="32"/>
          <w:highlight w:val="none"/>
          <w:lang w:eastAsia="zh-CN"/>
        </w:rPr>
        <w:t>均为</w:t>
      </w:r>
      <w:r>
        <w:rPr>
          <w:rFonts w:hint="default" w:ascii="Times New Roman" w:hAnsi="Times New Roman" w:eastAsia="仿宋" w:cs="Times New Roman"/>
          <w:color w:val="auto"/>
          <w:sz w:val="32"/>
          <w:szCs w:val="32"/>
          <w:highlight w:val="none"/>
          <w:lang w:val="en-US" w:eastAsia="zh-CN"/>
        </w:rPr>
        <w:t>1416.86</w:t>
      </w:r>
      <w:r>
        <w:rPr>
          <w:rFonts w:hint="default" w:ascii="Times New Roman" w:hAnsi="Times New Roman" w:eastAsia="仿宋" w:cs="Times New Roman"/>
          <w:color w:val="auto"/>
          <w:sz w:val="32"/>
          <w:szCs w:val="32"/>
          <w:highlight w:val="none"/>
        </w:rPr>
        <w:t>万元。与</w:t>
      </w:r>
      <w:r>
        <w:rPr>
          <w:rFonts w:hint="default" w:ascii="Times New Roman" w:hAnsi="Times New Roman" w:eastAsia="仿宋" w:cs="Times New Roman"/>
          <w:color w:val="auto"/>
          <w:sz w:val="32"/>
          <w:szCs w:val="32"/>
          <w:highlight w:val="none"/>
          <w:lang w:eastAsia="zh-CN"/>
        </w:rPr>
        <w:t>2022</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相比，财政拨款收、支总计各减少</w:t>
      </w:r>
      <w:r>
        <w:rPr>
          <w:rFonts w:hint="default" w:ascii="Times New Roman" w:hAnsi="Times New Roman" w:eastAsia="仿宋" w:cs="Times New Roman"/>
          <w:color w:val="auto"/>
          <w:sz w:val="32"/>
          <w:szCs w:val="32"/>
          <w:highlight w:val="none"/>
          <w:lang w:val="en-US" w:eastAsia="zh-CN"/>
        </w:rPr>
        <w:t>13.47</w:t>
      </w:r>
      <w:r>
        <w:rPr>
          <w:rFonts w:hint="default" w:ascii="Times New Roman" w:hAnsi="Times New Roman" w:eastAsia="仿宋" w:cs="Times New Roman"/>
          <w:color w:val="auto"/>
          <w:sz w:val="32"/>
          <w:szCs w:val="32"/>
          <w:highlight w:val="none"/>
        </w:rPr>
        <w:t>万元，下降</w:t>
      </w:r>
      <w:r>
        <w:rPr>
          <w:rFonts w:hint="default" w:ascii="Times New Roman" w:hAnsi="Times New Roman" w:eastAsia="仿宋" w:cs="Times New Roman"/>
          <w:color w:val="auto"/>
          <w:sz w:val="32"/>
          <w:szCs w:val="32"/>
          <w:highlight w:val="none"/>
          <w:lang w:val="en-US" w:eastAsia="zh-CN"/>
        </w:rPr>
        <w:t>0.9%</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eastAsia="仿宋_GB2312" w:cs="Times New Roman"/>
          <w:kern w:val="2"/>
          <w:sz w:val="32"/>
          <w:szCs w:val="32"/>
          <w:highlight w:val="none"/>
          <w:lang w:val="en-US" w:eastAsia="zh-CN" w:bidi="ar"/>
        </w:rPr>
        <w:t>本年无换届工作经费，项目支出减少。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图4：财政拨款收、支决算总计变动情况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720" w:firstLineChars="3200"/>
        <w:textAlignment w:val="auto"/>
        <w:rPr>
          <w:rFonts w:ascii="仿宋" w:hAnsi="仿宋" w:eastAsia="仿宋"/>
          <w:color w:val="auto"/>
          <w:sz w:val="32"/>
          <w:szCs w:val="32"/>
          <w:highlight w:val="none"/>
        </w:rPr>
      </w:pPr>
      <w:r>
        <w:rPr>
          <w:rFonts w:hint="eastAsia" w:ascii="仿宋" w:hAnsi="仿宋" w:eastAsia="仿宋"/>
          <w:color w:val="auto"/>
          <w:sz w:val="21"/>
          <w:szCs w:val="21"/>
          <w:highlight w:val="none"/>
          <w:lang w:val="en-US" w:eastAsia="zh-CN"/>
        </w:rPr>
        <w:t>单位：万元</w:t>
      </w:r>
    </w:p>
    <w:p>
      <w:pPr>
        <w:pStyle w:val="2"/>
      </w:pPr>
      <w:r>
        <w:drawing>
          <wp:anchor distT="0" distB="0" distL="114300" distR="114300" simplePos="0" relativeHeight="251662336" behindDoc="0" locked="0" layoutInCell="1" allowOverlap="1">
            <wp:simplePos x="0" y="0"/>
            <wp:positionH relativeFrom="column">
              <wp:posOffset>266700</wp:posOffset>
            </wp:positionH>
            <wp:positionV relativeFrom="paragraph">
              <wp:posOffset>80010</wp:posOffset>
            </wp:positionV>
            <wp:extent cx="4838065" cy="1901825"/>
            <wp:effectExtent l="4445" t="4445" r="15240" b="1778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firstLineChars="200"/>
        <w:outlineLvl w:val="1"/>
        <w:rPr>
          <w:rFonts w:hint="eastAsia" w:ascii="黑体" w:hAnsi="黑体" w:eastAsia="黑体"/>
          <w:color w:val="auto"/>
          <w:sz w:val="32"/>
          <w:szCs w:val="32"/>
          <w:highlight w:val="none"/>
        </w:rPr>
      </w:pPr>
      <w:bookmarkStart w:id="30" w:name="_Toc15377209"/>
      <w:bookmarkStart w:id="31" w:name="_Toc15396607"/>
    </w:p>
    <w:p>
      <w:pPr>
        <w:tabs>
          <w:tab w:val="left" w:pos="801"/>
        </w:tabs>
        <w:bidi w:val="0"/>
        <w:ind w:left="8300" w:leftChars="3800" w:hanging="320" w:hangingChars="100"/>
        <w:jc w:val="left"/>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 xml:space="preserve">             </w:t>
      </w:r>
    </w:p>
    <w:p>
      <w:pPr>
        <w:tabs>
          <w:tab w:val="left" w:pos="801"/>
        </w:tabs>
        <w:bidi w:val="0"/>
        <w:ind w:left="8300" w:leftChars="3800" w:hanging="320" w:hangingChars="100"/>
        <w:jc w:val="left"/>
        <w:rPr>
          <w:rFonts w:hint="eastAsia" w:ascii="黑体" w:hAnsi="黑体" w:eastAsia="黑体"/>
          <w:color w:val="auto"/>
          <w:sz w:val="32"/>
          <w:szCs w:val="32"/>
          <w:highlight w:val="none"/>
          <w:lang w:val="en-US" w:eastAsia="zh-CN"/>
        </w:rPr>
      </w:pPr>
    </w:p>
    <w:p>
      <w:pPr>
        <w:tabs>
          <w:tab w:val="left" w:pos="801"/>
        </w:tabs>
        <w:bidi w:val="0"/>
        <w:ind w:left="8300" w:leftChars="3800" w:hanging="320" w:hangingChars="100"/>
        <w:jc w:val="left"/>
        <w:rPr>
          <w:rFonts w:hint="eastAsia" w:ascii="黑体" w:hAnsi="黑体" w:eastAsia="黑体"/>
          <w:color w:val="auto"/>
          <w:sz w:val="32"/>
          <w:szCs w:val="32"/>
          <w:highlight w:val="none"/>
          <w:lang w:val="en-US" w:eastAsia="zh-CN"/>
        </w:rPr>
      </w:pPr>
    </w:p>
    <w:p>
      <w:pPr>
        <w:tabs>
          <w:tab w:val="left" w:pos="801"/>
        </w:tabs>
        <w:bidi w:val="0"/>
        <w:ind w:left="8300" w:leftChars="3800" w:hanging="320" w:hangingChars="100"/>
        <w:jc w:val="left"/>
        <w:rPr>
          <w:rFonts w:hint="eastAsia" w:ascii="黑体" w:hAnsi="黑体" w:eastAsia="黑体"/>
          <w:color w:val="auto"/>
          <w:sz w:val="32"/>
          <w:szCs w:val="32"/>
          <w:highlight w:val="none"/>
          <w:lang w:val="en-US" w:eastAsia="zh-CN"/>
        </w:rPr>
      </w:pPr>
    </w:p>
    <w:p>
      <w:pPr>
        <w:keepNext w:val="0"/>
        <w:keepLines w:val="0"/>
        <w:pageBreakBefore w:val="0"/>
        <w:widowControl w:val="0"/>
        <w:tabs>
          <w:tab w:val="left" w:pos="801"/>
        </w:tabs>
        <w:kinsoku/>
        <w:wordWrap/>
        <w:overflowPunct/>
        <w:topLinePunct w:val="0"/>
        <w:autoSpaceDE/>
        <w:autoSpaceDN/>
        <w:bidi w:val="0"/>
        <w:adjustRightInd/>
        <w:snapToGrid/>
        <w:spacing w:line="600" w:lineRule="exact"/>
        <w:ind w:firstLine="640" w:firstLineChars="200"/>
        <w:jc w:val="left"/>
        <w:textAlignment w:val="auto"/>
        <w:rPr>
          <w:rStyle w:val="29"/>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般公共预算财政拨款支出决算情况说明</w:t>
      </w:r>
      <w:bookmarkEnd w:id="30"/>
      <w:bookmarkEnd w:id="31"/>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2"/>
        <w:rPr>
          <w:rFonts w:ascii="仿宋" w:hAnsi="仿宋" w:eastAsia="仿宋"/>
          <w:b/>
          <w:color w:val="auto"/>
          <w:sz w:val="32"/>
          <w:szCs w:val="32"/>
          <w:highlight w:val="none"/>
        </w:rPr>
      </w:pPr>
      <w:bookmarkStart w:id="32" w:name="_Toc15377210"/>
      <w:r>
        <w:rPr>
          <w:rFonts w:hint="eastAsia" w:ascii="仿宋" w:hAnsi="仿宋" w:eastAsia="仿宋"/>
          <w:b/>
          <w:color w:val="auto"/>
          <w:sz w:val="32"/>
          <w:szCs w:val="32"/>
          <w:highlight w:val="none"/>
        </w:rPr>
        <w:t>（一）一般公共预算财政拨款支出决算总体情况</w:t>
      </w:r>
      <w:bookmarkEnd w:id="32"/>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一般公共预算财政拨款支出</w:t>
      </w:r>
      <w:r>
        <w:rPr>
          <w:rFonts w:hint="default" w:ascii="Times New Roman" w:hAnsi="Times New Roman" w:eastAsia="仿宋" w:cs="Times New Roman"/>
          <w:color w:val="auto"/>
          <w:sz w:val="32"/>
          <w:szCs w:val="32"/>
          <w:highlight w:val="none"/>
          <w:lang w:val="en-US" w:eastAsia="zh-CN"/>
        </w:rPr>
        <w:t>1416.86</w:t>
      </w:r>
      <w:r>
        <w:rPr>
          <w:rFonts w:hint="default" w:ascii="Times New Roman" w:hAnsi="Times New Roman" w:eastAsia="仿宋" w:cs="Times New Roman"/>
          <w:color w:val="auto"/>
          <w:sz w:val="32"/>
          <w:szCs w:val="32"/>
          <w:highlight w:val="none"/>
        </w:rPr>
        <w:t>万元，占本年支出合计的</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%。与</w:t>
      </w:r>
      <w:r>
        <w:rPr>
          <w:rFonts w:hint="default" w:ascii="Times New Roman" w:hAnsi="Times New Roman" w:eastAsia="仿宋" w:cs="Times New Roman"/>
          <w:color w:val="auto"/>
          <w:sz w:val="32"/>
          <w:szCs w:val="32"/>
          <w:highlight w:val="none"/>
          <w:lang w:eastAsia="zh-CN"/>
        </w:rPr>
        <w:t>2022</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相比，一般公共预算财政拨款</w:t>
      </w:r>
      <w:r>
        <w:rPr>
          <w:rFonts w:hint="default" w:ascii="Times New Roman" w:hAnsi="Times New Roman" w:eastAsia="仿宋" w:cs="Times New Roman"/>
          <w:color w:val="auto"/>
          <w:sz w:val="32"/>
          <w:szCs w:val="32"/>
          <w:highlight w:val="none"/>
          <w:lang w:eastAsia="zh-CN"/>
        </w:rPr>
        <w:t>支出</w:t>
      </w:r>
      <w:r>
        <w:rPr>
          <w:rFonts w:hint="default" w:ascii="Times New Roman" w:hAnsi="Times New Roman" w:eastAsia="仿宋" w:cs="Times New Roman"/>
          <w:color w:val="auto"/>
          <w:sz w:val="32"/>
          <w:szCs w:val="32"/>
          <w:highlight w:val="none"/>
        </w:rPr>
        <w:t>减少</w:t>
      </w:r>
      <w:r>
        <w:rPr>
          <w:rFonts w:hint="default" w:ascii="Times New Roman" w:hAnsi="Times New Roman" w:eastAsia="仿宋" w:cs="Times New Roman"/>
          <w:color w:val="auto"/>
          <w:sz w:val="32"/>
          <w:szCs w:val="32"/>
          <w:highlight w:val="none"/>
          <w:lang w:val="en-US" w:eastAsia="zh-CN"/>
        </w:rPr>
        <w:t>13.47</w:t>
      </w:r>
      <w:r>
        <w:rPr>
          <w:rFonts w:hint="default" w:ascii="Times New Roman" w:hAnsi="Times New Roman" w:eastAsia="仿宋" w:cs="Times New Roman"/>
          <w:color w:val="auto"/>
          <w:sz w:val="32"/>
          <w:szCs w:val="32"/>
          <w:highlight w:val="none"/>
        </w:rPr>
        <w:t>万元，下降</w:t>
      </w:r>
      <w:r>
        <w:rPr>
          <w:rFonts w:hint="default" w:ascii="Times New Roman" w:hAnsi="Times New Roman" w:eastAsia="仿宋" w:cs="Times New Roman"/>
          <w:color w:val="auto"/>
          <w:sz w:val="32"/>
          <w:szCs w:val="32"/>
          <w:highlight w:val="none"/>
          <w:lang w:val="en-US" w:eastAsia="zh-CN"/>
        </w:rPr>
        <w:t>0.9%</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eastAsia="仿宋_GB2312" w:cs="Times New Roman"/>
          <w:kern w:val="2"/>
          <w:sz w:val="32"/>
          <w:szCs w:val="32"/>
          <w:highlight w:val="none"/>
          <w:lang w:val="en-US" w:eastAsia="zh-CN" w:bidi="ar"/>
        </w:rPr>
        <w:t>本年无换届工作经费，项目支出减少。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图5：一般公共预算财政拨款支出决算变动情况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90" w:firstLineChars="2900"/>
        <w:textAlignment w:val="auto"/>
        <w:rPr>
          <w:rFonts w:ascii="仿宋" w:hAnsi="仿宋" w:eastAsia="仿宋"/>
          <w:color w:val="auto"/>
          <w:sz w:val="32"/>
          <w:szCs w:val="32"/>
          <w:highlight w:val="none"/>
        </w:rPr>
      </w:pPr>
      <w:r>
        <w:rPr>
          <w:rFonts w:hint="eastAsia" w:ascii="仿宋" w:hAnsi="仿宋" w:eastAsia="仿宋"/>
          <w:color w:val="auto"/>
          <w:sz w:val="21"/>
          <w:szCs w:val="21"/>
          <w:highlight w:val="none"/>
          <w:lang w:val="en-US" w:eastAsia="zh-CN"/>
        </w:rPr>
        <w:t>单位：万元</w:t>
      </w:r>
    </w:p>
    <w:p>
      <w:pPr>
        <w:pStyle w:val="2"/>
        <w:ind w:left="0" w:leftChars="0" w:firstLine="0" w:firstLineChars="0"/>
      </w:pPr>
      <w:r>
        <w:rPr>
          <w:rFonts w:eastAsia="仿宋_GB2312"/>
          <w:color w:val="000000"/>
          <w:sz w:val="32"/>
          <w:szCs w:val="32"/>
        </w:rPr>
        <w:drawing>
          <wp:anchor distT="0" distB="0" distL="114300" distR="114300" simplePos="0" relativeHeight="251663360" behindDoc="0" locked="0" layoutInCell="1" allowOverlap="1">
            <wp:simplePos x="0" y="0"/>
            <wp:positionH relativeFrom="column">
              <wp:posOffset>476250</wp:posOffset>
            </wp:positionH>
            <wp:positionV relativeFrom="paragraph">
              <wp:posOffset>41910</wp:posOffset>
            </wp:positionV>
            <wp:extent cx="4262755" cy="2112010"/>
            <wp:effectExtent l="4445" t="4445" r="19050" b="1714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Style w:val="2"/>
      </w:pPr>
    </w:p>
    <w:p>
      <w:pPr>
        <w:pStyle w:val="2"/>
      </w:pPr>
    </w:p>
    <w:p>
      <w:pPr>
        <w:pStyle w:val="2"/>
      </w:pPr>
    </w:p>
    <w:p>
      <w:pPr>
        <w:pStyle w:val="2"/>
      </w:pPr>
    </w:p>
    <w:p>
      <w:pPr>
        <w:pStyle w:val="2"/>
      </w:pPr>
    </w:p>
    <w:p>
      <w:pPr>
        <w:pStyle w:val="2"/>
      </w:pPr>
    </w:p>
    <w:p>
      <w:pPr>
        <w:spacing w:line="600" w:lineRule="exact"/>
        <w:ind w:firstLine="8031" w:firstLineChars="2500"/>
        <w:outlineLvl w:val="2"/>
        <w:rPr>
          <w:rFonts w:hint="eastAsia" w:ascii="仿宋" w:hAnsi="仿宋" w:eastAsia="仿宋"/>
          <w:b/>
          <w:color w:val="auto"/>
          <w:sz w:val="32"/>
          <w:szCs w:val="32"/>
          <w:highlight w:val="none"/>
          <w:lang w:val="en-US" w:eastAsia="zh-CN"/>
        </w:rPr>
      </w:pPr>
      <w:bookmarkStart w:id="33" w:name="_Toc15377211"/>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right="0" w:firstLine="643" w:firstLineChars="200"/>
        <w:jc w:val="both"/>
        <w:textAlignment w:val="auto"/>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（二）一般公共预算财政拨款支出决算结构情况</w:t>
      </w:r>
      <w:bookmarkEnd w:id="33"/>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一般公共预算财政拨款支出</w:t>
      </w:r>
      <w:r>
        <w:rPr>
          <w:rFonts w:hint="default" w:ascii="Times New Roman" w:hAnsi="Times New Roman" w:eastAsia="仿宋" w:cs="Times New Roman"/>
          <w:color w:val="auto"/>
          <w:sz w:val="32"/>
          <w:szCs w:val="32"/>
          <w:highlight w:val="none"/>
          <w:lang w:val="en-US" w:eastAsia="zh-CN"/>
        </w:rPr>
        <w:t>1416.86</w:t>
      </w:r>
      <w:r>
        <w:rPr>
          <w:rFonts w:hint="default" w:ascii="Times New Roman" w:hAnsi="Times New Roman" w:eastAsia="仿宋" w:cs="Times New Roman"/>
          <w:color w:val="auto"/>
          <w:sz w:val="32"/>
          <w:szCs w:val="32"/>
          <w:highlight w:val="none"/>
        </w:rPr>
        <w:t>万元，主要用于以下方面:</w:t>
      </w:r>
      <w:r>
        <w:rPr>
          <w:rFonts w:hint="default" w:ascii="Times New Roman" w:hAnsi="Times New Roman" w:eastAsia="仿宋" w:cs="Times New Roman"/>
          <w:b/>
          <w:color w:val="auto"/>
          <w:sz w:val="32"/>
          <w:szCs w:val="32"/>
          <w:highlight w:val="none"/>
        </w:rPr>
        <w:t>一般公共服务</w:t>
      </w:r>
      <w:r>
        <w:rPr>
          <w:rFonts w:hint="default" w:ascii="Times New Roman" w:hAnsi="Times New Roman" w:eastAsia="仿宋" w:cs="Times New Roman"/>
          <w:b/>
          <w:bCs/>
          <w:color w:val="auto"/>
          <w:sz w:val="32"/>
          <w:szCs w:val="32"/>
          <w:highlight w:val="none"/>
        </w:rPr>
        <w:t>支出</w:t>
      </w:r>
      <w:r>
        <w:rPr>
          <w:rFonts w:hint="default" w:ascii="Times New Roman" w:hAnsi="Times New Roman" w:eastAsia="仿宋_GB2312" w:cs="Times New Roman"/>
          <w:kern w:val="2"/>
          <w:sz w:val="32"/>
          <w:szCs w:val="32"/>
          <w:lang w:val="en-US" w:eastAsia="zh-CN" w:bidi="ar"/>
        </w:rPr>
        <w:t>991.48</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70</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color w:val="auto"/>
          <w:sz w:val="32"/>
          <w:szCs w:val="32"/>
          <w:highlight w:val="none"/>
        </w:rPr>
        <w:t>教育支出</w:t>
      </w:r>
      <w:r>
        <w:rPr>
          <w:rFonts w:hint="default" w:ascii="Times New Roman" w:hAnsi="Times New Roman" w:eastAsia="仿宋_GB2312" w:cs="Times New Roman"/>
          <w:kern w:val="2"/>
          <w:sz w:val="32"/>
          <w:szCs w:val="32"/>
          <w:lang w:val="en-US" w:eastAsia="zh-CN" w:bidi="ar"/>
        </w:rPr>
        <w:t>21.66</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1.5</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color w:val="auto"/>
          <w:sz w:val="32"/>
          <w:szCs w:val="32"/>
          <w:highlight w:val="none"/>
        </w:rPr>
        <w:t>社会保障和就业</w:t>
      </w:r>
      <w:r>
        <w:rPr>
          <w:rFonts w:hint="default" w:ascii="Times New Roman" w:hAnsi="Times New Roman" w:eastAsia="仿宋" w:cs="Times New Roman"/>
          <w:b/>
          <w:bCs/>
          <w:color w:val="auto"/>
          <w:sz w:val="32"/>
          <w:szCs w:val="32"/>
          <w:highlight w:val="none"/>
        </w:rPr>
        <w:t>支出</w:t>
      </w:r>
      <w:r>
        <w:rPr>
          <w:rFonts w:hint="default" w:ascii="Times New Roman" w:hAnsi="Times New Roman" w:eastAsia="仿宋_GB2312" w:cs="Times New Roman"/>
          <w:kern w:val="2"/>
          <w:sz w:val="32"/>
          <w:szCs w:val="32"/>
          <w:lang w:val="en-US" w:eastAsia="zh-CN" w:bidi="ar"/>
        </w:rPr>
        <w:t>262.1</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18.5</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bCs/>
          <w:color w:val="auto"/>
          <w:sz w:val="32"/>
          <w:szCs w:val="32"/>
          <w:highlight w:val="none"/>
        </w:rPr>
        <w:t>卫生健康支出</w:t>
      </w:r>
      <w:r>
        <w:rPr>
          <w:rFonts w:hint="default" w:ascii="Times New Roman" w:hAnsi="Times New Roman" w:eastAsia="仿宋_GB2312" w:cs="Times New Roman"/>
          <w:kern w:val="2"/>
          <w:sz w:val="32"/>
          <w:szCs w:val="32"/>
          <w:lang w:val="en-US" w:eastAsia="zh-CN" w:bidi="ar"/>
        </w:rPr>
        <w:t>50.59</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3.6</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bCs/>
          <w:color w:val="auto"/>
          <w:sz w:val="32"/>
          <w:szCs w:val="32"/>
          <w:highlight w:val="none"/>
        </w:rPr>
        <w:t>住房保障支出</w:t>
      </w:r>
      <w:r>
        <w:rPr>
          <w:rFonts w:hint="default" w:ascii="Times New Roman" w:hAnsi="Times New Roman" w:eastAsia="仿宋_GB2312" w:cs="Times New Roman"/>
          <w:kern w:val="2"/>
          <w:sz w:val="32"/>
          <w:szCs w:val="32"/>
          <w:lang w:val="en-US" w:eastAsia="zh-CN" w:bidi="ar"/>
        </w:rPr>
        <w:t>91.03</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6.4</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keepNext w:val="0"/>
        <w:keepLines w:val="0"/>
        <w:pageBreakBefore w:val="0"/>
        <w:widowControl w:val="0"/>
        <w:kinsoku/>
        <w:wordWrap/>
        <w:overflowPunct/>
        <w:topLinePunct w:val="0"/>
        <w:autoSpaceDE/>
        <w:autoSpaceDN/>
        <w:bidi w:val="0"/>
        <w:adjustRightInd/>
        <w:snapToGrid/>
        <w:spacing w:line="720" w:lineRule="auto"/>
        <w:ind w:firstLine="420" w:firstLineChars="200"/>
        <w:textAlignment w:val="auto"/>
        <w:rPr>
          <w:rFonts w:ascii="仿宋" w:hAnsi="仿宋" w:eastAsia="仿宋"/>
          <w:color w:val="auto"/>
          <w:sz w:val="32"/>
          <w:szCs w:val="32"/>
          <w:highlight w:val="none"/>
        </w:rPr>
      </w:pPr>
      <w:r>
        <w:drawing>
          <wp:anchor distT="0" distB="0" distL="114300" distR="114300" simplePos="0" relativeHeight="251664384" behindDoc="0" locked="0" layoutInCell="1" allowOverlap="1">
            <wp:simplePos x="0" y="0"/>
            <wp:positionH relativeFrom="column">
              <wp:posOffset>553085</wp:posOffset>
            </wp:positionH>
            <wp:positionV relativeFrom="paragraph">
              <wp:posOffset>11430</wp:posOffset>
            </wp:positionV>
            <wp:extent cx="4209415" cy="1696085"/>
            <wp:effectExtent l="4445" t="4445" r="15240" b="1397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keepNext w:val="0"/>
        <w:keepLines w:val="0"/>
        <w:pageBreakBefore w:val="0"/>
        <w:widowControl w:val="0"/>
        <w:kinsoku/>
        <w:wordWrap/>
        <w:overflowPunct/>
        <w:topLinePunct w:val="0"/>
        <w:autoSpaceDE/>
        <w:autoSpaceDN/>
        <w:bidi w:val="0"/>
        <w:adjustRightInd/>
        <w:snapToGrid/>
        <w:spacing w:line="720" w:lineRule="auto"/>
        <w:ind w:firstLine="640" w:firstLineChars="200"/>
        <w:textAlignment w:val="auto"/>
        <w:rPr>
          <w:rFonts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 w:cs="Times New Roman"/>
          <w:b/>
          <w:color w:val="auto"/>
          <w:sz w:val="32"/>
          <w:szCs w:val="32"/>
          <w:highlight w:val="none"/>
        </w:rPr>
      </w:pPr>
      <w:bookmarkStart w:id="34" w:name="_Toc15377212"/>
      <w:r>
        <w:rPr>
          <w:rFonts w:hint="default" w:ascii="Times New Roman" w:hAnsi="Times New Roman" w:eastAsia="仿宋" w:cs="Times New Roman"/>
          <w:b/>
          <w:color w:val="auto"/>
          <w:sz w:val="32"/>
          <w:szCs w:val="32"/>
          <w:highlight w:val="none"/>
        </w:rPr>
        <w:t>（三）一般公共预算财政拨款支出决算具体情况</w:t>
      </w:r>
      <w:bookmarkEnd w:id="34"/>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 w:cs="Times New Roman"/>
          <w:color w:val="auto"/>
          <w:sz w:val="32"/>
          <w:szCs w:val="32"/>
          <w:highlight w:val="none"/>
        </w:rPr>
      </w:pPr>
      <w:bookmarkStart w:id="35" w:name="_Toc15377213"/>
      <w:bookmarkStart w:id="36" w:name="_Toc15377444"/>
      <w:bookmarkStart w:id="37" w:name="_Toc15378460"/>
      <w:r>
        <w:rPr>
          <w:rFonts w:hint="default" w:ascii="Times New Roman" w:hAnsi="Times New Roman" w:eastAsia="仿宋" w:cs="Times New Roman"/>
          <w:b/>
          <w:color w:val="auto"/>
          <w:sz w:val="32"/>
          <w:szCs w:val="32"/>
          <w:highlight w:val="none"/>
          <w:lang w:eastAsia="zh-CN"/>
        </w:rPr>
        <w:t>2023</w:t>
      </w:r>
      <w:r>
        <w:rPr>
          <w:rFonts w:hint="default" w:ascii="Times New Roman" w:hAnsi="Times New Roman" w:eastAsia="仿宋" w:cs="Times New Roman"/>
          <w:b/>
          <w:color w:val="auto"/>
          <w:sz w:val="32"/>
          <w:szCs w:val="32"/>
          <w:highlight w:val="none"/>
        </w:rPr>
        <w:t>年</w:t>
      </w:r>
      <w:r>
        <w:rPr>
          <w:rFonts w:hint="default" w:ascii="Times New Roman" w:hAnsi="Times New Roman" w:eastAsia="仿宋" w:cs="Times New Roman"/>
          <w:b/>
          <w:color w:val="auto"/>
          <w:sz w:val="32"/>
          <w:szCs w:val="32"/>
          <w:highlight w:val="none"/>
          <w:lang w:eastAsia="zh-CN"/>
        </w:rPr>
        <w:t>度一</w:t>
      </w:r>
      <w:r>
        <w:rPr>
          <w:rFonts w:hint="default" w:ascii="Times New Roman" w:hAnsi="Times New Roman" w:eastAsia="仿宋" w:cs="Times New Roman"/>
          <w:b/>
          <w:color w:val="auto"/>
          <w:sz w:val="32"/>
          <w:szCs w:val="32"/>
          <w:highlight w:val="none"/>
        </w:rPr>
        <w:t>般公共预算支出决算数为</w:t>
      </w:r>
      <w:r>
        <w:rPr>
          <w:rFonts w:hint="default" w:ascii="Times New Roman" w:hAnsi="Times New Roman" w:eastAsia="仿宋" w:cs="Times New Roman"/>
          <w:b/>
          <w:color w:val="auto"/>
          <w:sz w:val="32"/>
          <w:szCs w:val="32"/>
          <w:highlight w:val="none"/>
          <w:lang w:val="en-US" w:eastAsia="zh-CN"/>
        </w:rPr>
        <w:t>1416.86</w:t>
      </w:r>
      <w:r>
        <w:rPr>
          <w:rFonts w:hint="default" w:ascii="Times New Roman" w:hAnsi="Times New Roman" w:eastAsia="仿宋" w:cs="Times New Roman"/>
          <w:color w:val="auto"/>
          <w:sz w:val="32"/>
          <w:szCs w:val="32"/>
          <w:highlight w:val="none"/>
        </w:rPr>
        <w:t>，</w:t>
      </w:r>
      <w:r>
        <w:rPr>
          <w:rStyle w:val="17"/>
          <w:rFonts w:hint="default" w:ascii="Times New Roman" w:hAnsi="Times New Roman" w:eastAsia="仿宋" w:cs="Times New Roman"/>
          <w:bCs/>
          <w:color w:val="auto"/>
          <w:sz w:val="32"/>
          <w:szCs w:val="32"/>
          <w:highlight w:val="none"/>
        </w:rPr>
        <w:t>完成预算</w:t>
      </w:r>
      <w:r>
        <w:rPr>
          <w:rStyle w:val="17"/>
          <w:rFonts w:hint="default" w:ascii="Times New Roman" w:hAnsi="Times New Roman" w:eastAsia="仿宋" w:cs="Times New Roman"/>
          <w:bCs/>
          <w:color w:val="auto"/>
          <w:sz w:val="32"/>
          <w:szCs w:val="32"/>
          <w:highlight w:val="none"/>
          <w:lang w:val="en-US" w:eastAsia="zh-CN"/>
        </w:rPr>
        <w:t>93.7</w:t>
      </w:r>
      <w:r>
        <w:rPr>
          <w:rStyle w:val="17"/>
          <w:rFonts w:hint="default" w:ascii="Times New Roman" w:hAnsi="Times New Roman" w:eastAsia="仿宋" w:cs="Times New Roman"/>
          <w:bCs/>
          <w:color w:val="auto"/>
          <w:sz w:val="32"/>
          <w:szCs w:val="32"/>
          <w:highlight w:val="none"/>
        </w:rPr>
        <w:t>%。其中：</w:t>
      </w:r>
      <w:bookmarkEnd w:id="35"/>
      <w:bookmarkEnd w:id="36"/>
      <w:bookmarkEnd w:id="3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Style w:val="17"/>
          <w:rFonts w:hint="default" w:ascii="Times New Roman" w:hAnsi="Times New Roman" w:eastAsia="仿宋" w:cs="Times New Roman"/>
          <w:b w:val="0"/>
          <w:bCs/>
          <w:color w:val="auto"/>
          <w:sz w:val="32"/>
          <w:szCs w:val="32"/>
          <w:highlight w:val="none"/>
        </w:rPr>
      </w:pPr>
      <w:r>
        <w:rPr>
          <w:rStyle w:val="17"/>
          <w:rFonts w:hint="default" w:ascii="Times New Roman" w:hAnsi="Times New Roman" w:eastAsia="仿宋" w:cs="Times New Roman"/>
          <w:bCs/>
          <w:color w:val="000000"/>
          <w:sz w:val="32"/>
          <w:szCs w:val="32"/>
          <w:lang w:val="en-US" w:eastAsia="zh-CN"/>
        </w:rPr>
        <w:t>1.</w:t>
      </w:r>
      <w:r>
        <w:rPr>
          <w:rStyle w:val="17"/>
          <w:rFonts w:hint="default" w:ascii="Times New Roman" w:hAnsi="Times New Roman" w:eastAsia="仿宋" w:cs="Times New Roman"/>
          <w:bCs/>
          <w:color w:val="000000"/>
          <w:sz w:val="32"/>
          <w:szCs w:val="32"/>
        </w:rPr>
        <w:t>一般公共服务（类）民主党派及工商联事务（款）行政运行（项）</w:t>
      </w:r>
      <w:r>
        <w:rPr>
          <w:rStyle w:val="17"/>
          <w:rFonts w:hint="default" w:ascii="Times New Roman" w:hAnsi="Times New Roman" w:eastAsia="仿宋" w:cs="Times New Roman"/>
          <w:bCs/>
          <w:color w:val="auto"/>
          <w:sz w:val="32"/>
          <w:szCs w:val="32"/>
          <w:highlight w:val="none"/>
        </w:rPr>
        <w:t>:</w:t>
      </w:r>
      <w:r>
        <w:rPr>
          <w:rStyle w:val="17"/>
          <w:rFonts w:hint="default" w:ascii="Times New Roman" w:hAnsi="Times New Roman" w:eastAsia="仿宋" w:cs="Times New Roman"/>
          <w:b w:val="0"/>
          <w:bCs/>
          <w:color w:val="auto"/>
          <w:sz w:val="32"/>
          <w:szCs w:val="32"/>
          <w:highlight w:val="none"/>
        </w:rPr>
        <w:t xml:space="preserve"> 支出决算为</w:t>
      </w:r>
      <w:r>
        <w:rPr>
          <w:rStyle w:val="17"/>
          <w:rFonts w:hint="default" w:ascii="Times New Roman" w:hAnsi="Times New Roman" w:eastAsia="仿宋" w:cs="Times New Roman"/>
          <w:b w:val="0"/>
          <w:bCs/>
          <w:color w:val="auto"/>
          <w:sz w:val="32"/>
          <w:szCs w:val="32"/>
          <w:highlight w:val="none"/>
          <w:lang w:val="en-US" w:eastAsia="zh-CN"/>
        </w:rPr>
        <w:t>801.58</w:t>
      </w:r>
      <w:r>
        <w:rPr>
          <w:rStyle w:val="17"/>
          <w:rFonts w:hint="default" w:ascii="Times New Roman" w:hAnsi="Times New Roman" w:eastAsia="仿宋" w:cs="Times New Roman"/>
          <w:b w:val="0"/>
          <w:bCs/>
          <w:color w:val="auto"/>
          <w:sz w:val="32"/>
          <w:szCs w:val="32"/>
          <w:highlight w:val="none"/>
        </w:rPr>
        <w:t>万元，完成预算</w:t>
      </w:r>
      <w:r>
        <w:rPr>
          <w:rStyle w:val="17"/>
          <w:rFonts w:hint="default" w:ascii="Times New Roman" w:hAnsi="Times New Roman" w:eastAsia="仿宋" w:cs="Times New Roman"/>
          <w:b w:val="0"/>
          <w:bCs/>
          <w:color w:val="auto"/>
          <w:sz w:val="32"/>
          <w:szCs w:val="32"/>
          <w:highlight w:val="none"/>
          <w:lang w:val="en-US" w:eastAsia="zh-CN"/>
        </w:rPr>
        <w:t>92.7</w:t>
      </w:r>
      <w:r>
        <w:rPr>
          <w:rStyle w:val="17"/>
          <w:rFonts w:hint="default" w:ascii="Times New Roman" w:hAnsi="Times New Roman" w:eastAsia="仿宋" w:cs="Times New Roman"/>
          <w:b w:val="0"/>
          <w:bCs/>
          <w:color w:val="auto"/>
          <w:sz w:val="32"/>
          <w:szCs w:val="32"/>
          <w:highlight w:val="none"/>
        </w:rPr>
        <w:t>%，决算数小于预算数的主要原因是</w:t>
      </w:r>
      <w:r>
        <w:rPr>
          <w:rStyle w:val="17"/>
          <w:rFonts w:hint="default" w:ascii="Times New Roman" w:hAnsi="Times New Roman" w:eastAsia="仿宋" w:cs="Times New Roman"/>
          <w:b w:val="0"/>
          <w:bCs/>
          <w:color w:val="auto"/>
          <w:sz w:val="32"/>
          <w:szCs w:val="32"/>
          <w:highlight w:val="none"/>
          <w:lang w:eastAsia="zh-CN"/>
        </w:rPr>
        <w:t>职工退休，工资奖金津补贴等工资性支出减少</w:t>
      </w:r>
      <w:r>
        <w:rPr>
          <w:rStyle w:val="17"/>
          <w:rFonts w:hint="default" w:ascii="Times New Roman" w:hAnsi="Times New Roman" w:eastAsia="仿宋" w:cs="Times New Roman"/>
          <w:b w:val="0"/>
          <w:bCs/>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Style w:val="17"/>
          <w:rFonts w:hint="default" w:ascii="Times New Roman" w:hAnsi="Times New Roman" w:eastAsia="仿宋" w:cs="Times New Roman"/>
          <w:b w:val="0"/>
          <w:bCs/>
          <w:color w:val="auto"/>
          <w:sz w:val="32"/>
          <w:szCs w:val="32"/>
          <w:highlight w:val="none"/>
        </w:rPr>
      </w:pPr>
      <w:r>
        <w:rPr>
          <w:rStyle w:val="17"/>
          <w:rFonts w:hint="default" w:ascii="Times New Roman" w:hAnsi="Times New Roman" w:eastAsia="仿宋" w:cs="Times New Roman"/>
          <w:bCs/>
          <w:color w:val="000000"/>
          <w:sz w:val="32"/>
          <w:szCs w:val="32"/>
          <w:lang w:val="en-US" w:eastAsia="zh-CN"/>
        </w:rPr>
        <w:t>2.</w:t>
      </w:r>
      <w:r>
        <w:rPr>
          <w:rStyle w:val="17"/>
          <w:rFonts w:hint="default" w:ascii="Times New Roman" w:hAnsi="Times New Roman" w:eastAsia="仿宋" w:cs="Times New Roman"/>
          <w:bCs/>
          <w:color w:val="000000"/>
          <w:sz w:val="32"/>
          <w:szCs w:val="32"/>
        </w:rPr>
        <w:t>一般公共服务（类）民主党派及工商联事务（款）</w:t>
      </w:r>
      <w:r>
        <w:rPr>
          <w:rStyle w:val="17"/>
          <w:rFonts w:hint="default" w:ascii="Times New Roman" w:hAnsi="Times New Roman" w:eastAsia="仿宋" w:cs="Times New Roman"/>
          <w:bCs/>
          <w:color w:val="000000"/>
          <w:sz w:val="32"/>
          <w:szCs w:val="32"/>
          <w:lang w:eastAsia="zh-CN"/>
        </w:rPr>
        <w:t>一般行政管理事务</w:t>
      </w:r>
      <w:r>
        <w:rPr>
          <w:rStyle w:val="17"/>
          <w:rFonts w:hint="default" w:ascii="Times New Roman" w:hAnsi="Times New Roman" w:eastAsia="仿宋" w:cs="Times New Roman"/>
          <w:bCs/>
          <w:color w:val="000000"/>
          <w:sz w:val="32"/>
          <w:szCs w:val="32"/>
        </w:rPr>
        <w:t>（项）</w:t>
      </w:r>
      <w:r>
        <w:rPr>
          <w:rStyle w:val="17"/>
          <w:rFonts w:hint="default" w:ascii="Times New Roman" w:hAnsi="Times New Roman" w:eastAsia="仿宋" w:cs="Times New Roman"/>
          <w:bCs/>
          <w:color w:val="auto"/>
          <w:sz w:val="32"/>
          <w:szCs w:val="32"/>
          <w:highlight w:val="none"/>
        </w:rPr>
        <w:t>:</w:t>
      </w:r>
      <w:r>
        <w:rPr>
          <w:rStyle w:val="17"/>
          <w:rFonts w:hint="default" w:ascii="Times New Roman" w:hAnsi="Times New Roman" w:eastAsia="仿宋" w:cs="Times New Roman"/>
          <w:b w:val="0"/>
          <w:bCs/>
          <w:color w:val="auto"/>
          <w:sz w:val="32"/>
          <w:szCs w:val="32"/>
          <w:highlight w:val="none"/>
        </w:rPr>
        <w:t xml:space="preserve"> 支出决算为</w:t>
      </w:r>
      <w:r>
        <w:rPr>
          <w:rStyle w:val="17"/>
          <w:rFonts w:hint="default" w:ascii="Times New Roman" w:hAnsi="Times New Roman" w:eastAsia="仿宋" w:cs="Times New Roman"/>
          <w:b w:val="0"/>
          <w:bCs/>
          <w:color w:val="auto"/>
          <w:sz w:val="32"/>
          <w:szCs w:val="32"/>
          <w:highlight w:val="none"/>
          <w:lang w:val="en-US" w:eastAsia="zh-CN"/>
        </w:rPr>
        <w:t>31.5</w:t>
      </w:r>
      <w:r>
        <w:rPr>
          <w:rStyle w:val="17"/>
          <w:rFonts w:hint="default" w:ascii="Times New Roman" w:hAnsi="Times New Roman" w:eastAsia="仿宋" w:cs="Times New Roman"/>
          <w:b w:val="0"/>
          <w:bCs/>
          <w:color w:val="auto"/>
          <w:sz w:val="32"/>
          <w:szCs w:val="32"/>
          <w:highlight w:val="none"/>
        </w:rPr>
        <w:t>万元，完成预算</w:t>
      </w:r>
      <w:r>
        <w:rPr>
          <w:rStyle w:val="17"/>
          <w:rFonts w:hint="default" w:ascii="Times New Roman" w:hAnsi="Times New Roman" w:eastAsia="仿宋" w:cs="Times New Roman"/>
          <w:b w:val="0"/>
          <w:bCs/>
          <w:color w:val="auto"/>
          <w:sz w:val="32"/>
          <w:szCs w:val="32"/>
          <w:highlight w:val="none"/>
          <w:lang w:val="en-US" w:eastAsia="zh-CN"/>
        </w:rPr>
        <w:t>100</w:t>
      </w:r>
      <w:r>
        <w:rPr>
          <w:rStyle w:val="17"/>
          <w:rFonts w:hint="default" w:ascii="Times New Roman" w:hAnsi="Times New Roman" w:eastAsia="仿宋" w:cs="Times New Roman"/>
          <w:b w:val="0"/>
          <w:bCs/>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Style w:val="17"/>
          <w:rFonts w:hint="default" w:ascii="Times New Roman" w:hAnsi="Times New Roman" w:eastAsia="仿宋" w:cs="Times New Roman"/>
          <w:b w:val="0"/>
          <w:bCs/>
          <w:color w:val="auto"/>
          <w:sz w:val="32"/>
          <w:szCs w:val="32"/>
          <w:highlight w:val="none"/>
          <w:lang w:val="en-US" w:eastAsia="zh-CN"/>
        </w:rPr>
      </w:pPr>
      <w:r>
        <w:rPr>
          <w:rStyle w:val="17"/>
          <w:rFonts w:hint="default" w:ascii="Times New Roman" w:hAnsi="Times New Roman" w:eastAsia="仿宋" w:cs="Times New Roman"/>
          <w:bCs/>
          <w:color w:val="000000"/>
          <w:sz w:val="32"/>
          <w:szCs w:val="32"/>
        </w:rPr>
        <w:t>3.一般公共服务（类）民主党派及工商联事务（款）参政议政（项）:</w:t>
      </w:r>
      <w:r>
        <w:rPr>
          <w:rStyle w:val="17"/>
          <w:rFonts w:hint="default" w:ascii="Times New Roman" w:hAnsi="Times New Roman" w:eastAsia="仿宋" w:cs="Times New Roman"/>
          <w:b w:val="0"/>
          <w:bCs/>
          <w:color w:val="auto"/>
          <w:sz w:val="32"/>
          <w:szCs w:val="32"/>
          <w:highlight w:val="none"/>
        </w:rPr>
        <w:t>支出决算为</w:t>
      </w:r>
      <w:r>
        <w:rPr>
          <w:rStyle w:val="17"/>
          <w:rFonts w:hint="default" w:ascii="Times New Roman" w:hAnsi="Times New Roman" w:eastAsia="仿宋" w:cs="Times New Roman"/>
          <w:b w:val="0"/>
          <w:bCs/>
          <w:color w:val="auto"/>
          <w:sz w:val="32"/>
          <w:szCs w:val="32"/>
          <w:highlight w:val="none"/>
          <w:lang w:val="en-US" w:eastAsia="zh-CN"/>
        </w:rPr>
        <w:t>158.41</w:t>
      </w:r>
      <w:r>
        <w:rPr>
          <w:rStyle w:val="17"/>
          <w:rFonts w:hint="default" w:ascii="Times New Roman" w:hAnsi="Times New Roman" w:eastAsia="仿宋" w:cs="Times New Roman"/>
          <w:b w:val="0"/>
          <w:bCs/>
          <w:color w:val="auto"/>
          <w:sz w:val="32"/>
          <w:szCs w:val="32"/>
          <w:highlight w:val="none"/>
        </w:rPr>
        <w:t>万元，完成预算</w:t>
      </w:r>
      <w:r>
        <w:rPr>
          <w:rStyle w:val="17"/>
          <w:rFonts w:hint="default" w:ascii="Times New Roman" w:hAnsi="Times New Roman" w:eastAsia="仿宋" w:cs="Times New Roman"/>
          <w:b w:val="0"/>
          <w:bCs/>
          <w:color w:val="auto"/>
          <w:sz w:val="32"/>
          <w:szCs w:val="32"/>
          <w:highlight w:val="none"/>
          <w:lang w:val="en-US" w:eastAsia="zh-CN"/>
        </w:rPr>
        <w:t>99.9</w:t>
      </w:r>
      <w:r>
        <w:rPr>
          <w:rStyle w:val="17"/>
          <w:rFonts w:hint="default" w:ascii="Times New Roman" w:hAnsi="Times New Roman" w:eastAsia="仿宋" w:cs="Times New Roman"/>
          <w:b w:val="0"/>
          <w:bCs/>
          <w:color w:val="auto"/>
          <w:sz w:val="32"/>
          <w:szCs w:val="32"/>
          <w:highlight w:val="none"/>
        </w:rPr>
        <w:t>%，决算数小于预算数的主要原因是</w:t>
      </w:r>
      <w:r>
        <w:rPr>
          <w:rStyle w:val="17"/>
          <w:rFonts w:hint="default" w:ascii="Times New Roman" w:hAnsi="Times New Roman" w:eastAsia="仿宋" w:cs="Times New Roman"/>
          <w:b w:val="0"/>
          <w:bCs/>
          <w:color w:val="auto"/>
          <w:sz w:val="32"/>
          <w:szCs w:val="32"/>
          <w:highlight w:val="none"/>
          <w:lang w:eastAsia="zh-CN"/>
        </w:rPr>
        <w:t>设备购置费按标准预算，实际购买支出金额比标准金额少</w:t>
      </w:r>
      <w:r>
        <w:rPr>
          <w:rStyle w:val="17"/>
          <w:rFonts w:hint="default" w:ascii="Times New Roman" w:hAnsi="Times New Roman" w:eastAsia="仿宋"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color w:val="auto"/>
          <w:sz w:val="32"/>
          <w:szCs w:val="32"/>
          <w:highlight w:val="none"/>
        </w:rPr>
      </w:pPr>
      <w:r>
        <w:rPr>
          <w:rStyle w:val="17"/>
          <w:rFonts w:hint="default" w:ascii="Times New Roman" w:hAnsi="Times New Roman" w:eastAsia="仿宋" w:cs="Times New Roman"/>
          <w:bCs/>
          <w:color w:val="auto"/>
          <w:sz w:val="32"/>
          <w:szCs w:val="32"/>
          <w:highlight w:val="none"/>
          <w:lang w:val="en-US" w:eastAsia="zh-CN"/>
        </w:rPr>
        <w:t>4</w:t>
      </w:r>
      <w:r>
        <w:rPr>
          <w:rStyle w:val="17"/>
          <w:rFonts w:hint="default" w:ascii="Times New Roman" w:hAnsi="Times New Roman" w:eastAsia="仿宋" w:cs="Times New Roman"/>
          <w:bCs/>
          <w:color w:val="auto"/>
          <w:sz w:val="32"/>
          <w:szCs w:val="32"/>
          <w:highlight w:val="none"/>
        </w:rPr>
        <w:t>.</w:t>
      </w:r>
      <w:r>
        <w:rPr>
          <w:rStyle w:val="17"/>
          <w:rFonts w:hint="default" w:ascii="Times New Roman" w:hAnsi="Times New Roman" w:eastAsia="仿宋" w:cs="Times New Roman"/>
          <w:bCs/>
          <w:color w:val="000000"/>
          <w:sz w:val="32"/>
          <w:szCs w:val="32"/>
        </w:rPr>
        <w:t>教育（类）进修及培训（款）培训支出（项）</w:t>
      </w:r>
      <w:r>
        <w:rPr>
          <w:rStyle w:val="17"/>
          <w:rFonts w:hint="default" w:ascii="Times New Roman" w:hAnsi="Times New Roman" w:eastAsia="仿宋" w:cs="Times New Roman"/>
          <w:bCs/>
          <w:color w:val="auto"/>
          <w:sz w:val="32"/>
          <w:szCs w:val="32"/>
          <w:highlight w:val="none"/>
        </w:rPr>
        <w:t>:</w:t>
      </w:r>
      <w:r>
        <w:rPr>
          <w:rStyle w:val="17"/>
          <w:rFonts w:hint="default" w:ascii="Times New Roman" w:hAnsi="Times New Roman" w:eastAsia="仿宋" w:cs="Times New Roman"/>
          <w:b w:val="0"/>
          <w:bCs/>
          <w:color w:val="auto"/>
          <w:sz w:val="32"/>
          <w:szCs w:val="32"/>
          <w:highlight w:val="none"/>
        </w:rPr>
        <w:t xml:space="preserve"> 支出决算为</w:t>
      </w:r>
      <w:r>
        <w:rPr>
          <w:rStyle w:val="17"/>
          <w:rFonts w:hint="default" w:ascii="Times New Roman" w:hAnsi="Times New Roman" w:eastAsia="仿宋" w:cs="Times New Roman"/>
          <w:b w:val="0"/>
          <w:bCs/>
          <w:color w:val="auto"/>
          <w:sz w:val="32"/>
          <w:szCs w:val="32"/>
          <w:highlight w:val="none"/>
          <w:lang w:val="en-US" w:eastAsia="zh-CN"/>
        </w:rPr>
        <w:t>21.66</w:t>
      </w:r>
      <w:r>
        <w:rPr>
          <w:rStyle w:val="17"/>
          <w:rFonts w:hint="default" w:ascii="Times New Roman" w:hAnsi="Times New Roman" w:eastAsia="仿宋" w:cs="Times New Roman"/>
          <w:b w:val="0"/>
          <w:bCs/>
          <w:color w:val="auto"/>
          <w:sz w:val="32"/>
          <w:szCs w:val="32"/>
          <w:highlight w:val="none"/>
        </w:rPr>
        <w:t>万元，完成预算</w:t>
      </w:r>
      <w:r>
        <w:rPr>
          <w:rStyle w:val="17"/>
          <w:rFonts w:hint="default" w:ascii="Times New Roman" w:hAnsi="Times New Roman" w:eastAsia="仿宋" w:cs="Times New Roman"/>
          <w:b w:val="0"/>
          <w:bCs/>
          <w:color w:val="auto"/>
          <w:sz w:val="32"/>
          <w:szCs w:val="32"/>
          <w:highlight w:val="none"/>
          <w:lang w:val="en-US" w:eastAsia="zh-CN"/>
        </w:rPr>
        <w:t>100</w:t>
      </w:r>
      <w:r>
        <w:rPr>
          <w:rStyle w:val="17"/>
          <w:rFonts w:hint="default" w:ascii="Times New Roman" w:hAnsi="Times New Roman" w:eastAsia="仿宋"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color w:val="auto"/>
          <w:sz w:val="32"/>
          <w:szCs w:val="32"/>
          <w:highlight w:val="none"/>
        </w:rPr>
      </w:pPr>
      <w:r>
        <w:rPr>
          <w:rStyle w:val="17"/>
          <w:rFonts w:hint="default" w:ascii="Times New Roman" w:hAnsi="Times New Roman" w:eastAsia="仿宋" w:cs="Times New Roman"/>
          <w:bCs/>
          <w:color w:val="auto"/>
          <w:sz w:val="32"/>
          <w:szCs w:val="32"/>
          <w:highlight w:val="none"/>
          <w:lang w:val="en-US" w:eastAsia="zh-CN"/>
        </w:rPr>
        <w:t>5</w:t>
      </w:r>
      <w:r>
        <w:rPr>
          <w:rStyle w:val="17"/>
          <w:rFonts w:hint="default" w:ascii="Times New Roman" w:hAnsi="Times New Roman" w:eastAsia="仿宋" w:cs="Times New Roman"/>
          <w:bCs/>
          <w:color w:val="auto"/>
          <w:sz w:val="32"/>
          <w:szCs w:val="32"/>
          <w:highlight w:val="none"/>
        </w:rPr>
        <w:t>.</w:t>
      </w:r>
      <w:r>
        <w:rPr>
          <w:rStyle w:val="17"/>
          <w:rFonts w:hint="default" w:ascii="Times New Roman" w:hAnsi="Times New Roman" w:eastAsia="仿宋" w:cs="Times New Roman"/>
          <w:bCs/>
          <w:color w:val="000000"/>
          <w:sz w:val="32"/>
          <w:szCs w:val="32"/>
        </w:rPr>
        <w:t>社会保障和就业（类）行政事业单位养老支出（款）行政单位离退休（项）</w:t>
      </w:r>
      <w:r>
        <w:rPr>
          <w:rStyle w:val="17"/>
          <w:rFonts w:hint="default" w:ascii="Times New Roman" w:hAnsi="Times New Roman" w:eastAsia="仿宋" w:cs="Times New Roman"/>
          <w:bCs/>
          <w:color w:val="auto"/>
          <w:sz w:val="32"/>
          <w:szCs w:val="32"/>
          <w:highlight w:val="none"/>
        </w:rPr>
        <w:t>:</w:t>
      </w:r>
      <w:r>
        <w:rPr>
          <w:rStyle w:val="17"/>
          <w:rFonts w:hint="default" w:ascii="Times New Roman" w:hAnsi="Times New Roman" w:eastAsia="仿宋" w:cs="Times New Roman"/>
          <w:b w:val="0"/>
          <w:bCs/>
          <w:color w:val="auto"/>
          <w:sz w:val="32"/>
          <w:szCs w:val="32"/>
          <w:highlight w:val="none"/>
        </w:rPr>
        <w:t xml:space="preserve"> 支出决算为</w:t>
      </w:r>
      <w:r>
        <w:rPr>
          <w:rStyle w:val="17"/>
          <w:rFonts w:hint="default" w:ascii="Times New Roman" w:hAnsi="Times New Roman" w:eastAsia="仿宋" w:cs="Times New Roman"/>
          <w:b w:val="0"/>
          <w:bCs/>
          <w:color w:val="auto"/>
          <w:sz w:val="32"/>
          <w:szCs w:val="32"/>
          <w:highlight w:val="none"/>
          <w:lang w:val="en-US" w:eastAsia="zh-CN"/>
        </w:rPr>
        <w:t>163.06</w:t>
      </w:r>
      <w:r>
        <w:rPr>
          <w:rStyle w:val="17"/>
          <w:rFonts w:hint="default" w:ascii="Times New Roman" w:hAnsi="Times New Roman" w:eastAsia="仿宋" w:cs="Times New Roman"/>
          <w:b w:val="0"/>
          <w:bCs/>
          <w:color w:val="auto"/>
          <w:sz w:val="32"/>
          <w:szCs w:val="32"/>
          <w:highlight w:val="none"/>
        </w:rPr>
        <w:t>万元，完成预算</w:t>
      </w:r>
      <w:r>
        <w:rPr>
          <w:rStyle w:val="17"/>
          <w:rFonts w:hint="default" w:ascii="Times New Roman" w:hAnsi="Times New Roman" w:eastAsia="仿宋" w:cs="Times New Roman"/>
          <w:b w:val="0"/>
          <w:bCs/>
          <w:color w:val="auto"/>
          <w:sz w:val="32"/>
          <w:szCs w:val="32"/>
          <w:highlight w:val="none"/>
          <w:lang w:val="en-US" w:eastAsia="zh-CN"/>
        </w:rPr>
        <w:t>96</w:t>
      </w:r>
      <w:r>
        <w:rPr>
          <w:rStyle w:val="17"/>
          <w:rFonts w:hint="default" w:ascii="Times New Roman" w:hAnsi="Times New Roman" w:eastAsia="仿宋" w:cs="Times New Roman"/>
          <w:b w:val="0"/>
          <w:bCs/>
          <w:color w:val="auto"/>
          <w:sz w:val="32"/>
          <w:szCs w:val="32"/>
          <w:highlight w:val="none"/>
        </w:rPr>
        <w:t>%，决算数小于预算数的主要原因是</w:t>
      </w:r>
      <w:r>
        <w:rPr>
          <w:rStyle w:val="17"/>
          <w:rFonts w:hint="default" w:ascii="Times New Roman" w:hAnsi="Times New Roman" w:eastAsia="仿宋" w:cs="Times New Roman"/>
          <w:b w:val="0"/>
          <w:bCs/>
          <w:color w:val="auto"/>
          <w:sz w:val="32"/>
          <w:szCs w:val="32"/>
          <w:highlight w:val="none"/>
          <w:lang w:eastAsia="zh-CN"/>
        </w:rPr>
        <w:t>退休人员一次性补贴按人社局核定金额支出，小于预算金额</w:t>
      </w:r>
      <w:r>
        <w:rPr>
          <w:rStyle w:val="17"/>
          <w:rFonts w:hint="default" w:ascii="Times New Roman" w:hAnsi="Times New Roman" w:eastAsia="仿宋"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color w:val="auto"/>
          <w:sz w:val="32"/>
          <w:szCs w:val="32"/>
          <w:highlight w:val="none"/>
        </w:rPr>
      </w:pPr>
      <w:r>
        <w:rPr>
          <w:rStyle w:val="17"/>
          <w:rFonts w:hint="default" w:ascii="Times New Roman" w:hAnsi="Times New Roman" w:eastAsia="仿宋" w:cs="Times New Roman"/>
          <w:bCs/>
          <w:color w:val="auto"/>
          <w:sz w:val="32"/>
          <w:szCs w:val="32"/>
          <w:highlight w:val="none"/>
          <w:lang w:val="en-US" w:eastAsia="zh-CN"/>
        </w:rPr>
        <w:t>6</w:t>
      </w:r>
      <w:r>
        <w:rPr>
          <w:rStyle w:val="17"/>
          <w:rFonts w:hint="default" w:ascii="Times New Roman" w:hAnsi="Times New Roman" w:eastAsia="仿宋" w:cs="Times New Roman"/>
          <w:bCs/>
          <w:color w:val="auto"/>
          <w:sz w:val="32"/>
          <w:szCs w:val="32"/>
          <w:highlight w:val="none"/>
        </w:rPr>
        <w:t>.</w:t>
      </w:r>
      <w:r>
        <w:rPr>
          <w:rStyle w:val="17"/>
          <w:rFonts w:hint="default" w:ascii="Times New Roman" w:hAnsi="Times New Roman" w:eastAsia="仿宋" w:cs="Times New Roman"/>
          <w:bCs/>
          <w:color w:val="000000"/>
          <w:sz w:val="32"/>
          <w:szCs w:val="32"/>
        </w:rPr>
        <w:t>社会保障和就业（类）行政事业单位养老支出（款）机关事业单位基本养老保险缴费支出（项）</w:t>
      </w:r>
      <w:r>
        <w:rPr>
          <w:rStyle w:val="17"/>
          <w:rFonts w:hint="default" w:ascii="Times New Roman" w:hAnsi="Times New Roman" w:eastAsia="仿宋" w:cs="Times New Roman"/>
          <w:bCs/>
          <w:color w:val="auto"/>
          <w:sz w:val="32"/>
          <w:szCs w:val="32"/>
          <w:highlight w:val="none"/>
        </w:rPr>
        <w:t>:</w:t>
      </w:r>
      <w:r>
        <w:rPr>
          <w:rStyle w:val="17"/>
          <w:rFonts w:hint="default" w:ascii="Times New Roman" w:hAnsi="Times New Roman" w:eastAsia="仿宋" w:cs="Times New Roman"/>
          <w:b w:val="0"/>
          <w:bCs/>
          <w:color w:val="auto"/>
          <w:sz w:val="32"/>
          <w:szCs w:val="32"/>
          <w:highlight w:val="none"/>
        </w:rPr>
        <w:t xml:space="preserve"> 支出决算为</w:t>
      </w:r>
      <w:r>
        <w:rPr>
          <w:rStyle w:val="17"/>
          <w:rFonts w:hint="default" w:ascii="Times New Roman" w:hAnsi="Times New Roman" w:eastAsia="仿宋" w:cs="Times New Roman"/>
          <w:b w:val="0"/>
          <w:bCs/>
          <w:color w:val="auto"/>
          <w:sz w:val="32"/>
          <w:szCs w:val="32"/>
          <w:highlight w:val="none"/>
          <w:lang w:val="en-US" w:eastAsia="zh-CN"/>
        </w:rPr>
        <w:t>69.78</w:t>
      </w:r>
      <w:r>
        <w:rPr>
          <w:rStyle w:val="17"/>
          <w:rFonts w:hint="default" w:ascii="Times New Roman" w:hAnsi="Times New Roman" w:eastAsia="仿宋" w:cs="Times New Roman"/>
          <w:b w:val="0"/>
          <w:bCs/>
          <w:color w:val="auto"/>
          <w:sz w:val="32"/>
          <w:szCs w:val="32"/>
          <w:highlight w:val="none"/>
        </w:rPr>
        <w:t>万元，完成预算</w:t>
      </w:r>
      <w:r>
        <w:rPr>
          <w:rStyle w:val="17"/>
          <w:rFonts w:hint="default" w:ascii="Times New Roman" w:hAnsi="Times New Roman" w:eastAsia="仿宋" w:cs="Times New Roman"/>
          <w:b w:val="0"/>
          <w:bCs/>
          <w:color w:val="auto"/>
          <w:sz w:val="32"/>
          <w:szCs w:val="32"/>
          <w:highlight w:val="none"/>
          <w:lang w:val="en-US" w:eastAsia="zh-CN"/>
        </w:rPr>
        <w:t>88.58</w:t>
      </w:r>
      <w:r>
        <w:rPr>
          <w:rStyle w:val="17"/>
          <w:rFonts w:hint="default" w:ascii="Times New Roman" w:hAnsi="Times New Roman" w:eastAsia="仿宋" w:cs="Times New Roman"/>
          <w:b w:val="0"/>
          <w:bCs/>
          <w:color w:val="auto"/>
          <w:sz w:val="32"/>
          <w:szCs w:val="32"/>
          <w:highlight w:val="none"/>
        </w:rPr>
        <w:t>%，决算数小于预算数的主要原因是</w:t>
      </w:r>
      <w:r>
        <w:rPr>
          <w:rStyle w:val="17"/>
          <w:rFonts w:hint="default" w:ascii="Times New Roman" w:hAnsi="Times New Roman" w:eastAsia="仿宋" w:cs="Times New Roman"/>
          <w:b w:val="0"/>
          <w:bCs/>
          <w:color w:val="auto"/>
          <w:sz w:val="32"/>
          <w:szCs w:val="32"/>
          <w:highlight w:val="none"/>
          <w:lang w:val="en-US" w:eastAsia="zh-CN"/>
        </w:rPr>
        <w:t>1名职工退休</w:t>
      </w:r>
      <w:r>
        <w:rPr>
          <w:rStyle w:val="17"/>
          <w:rFonts w:hint="default" w:ascii="Times New Roman" w:hAnsi="Times New Roman" w:eastAsia="仿宋"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7"/>
          <w:rFonts w:hint="default" w:ascii="Times New Roman" w:hAnsi="Times New Roman" w:eastAsia="仿宋" w:cs="Times New Roman"/>
          <w:b w:val="0"/>
          <w:bCs/>
          <w:color w:val="auto"/>
          <w:sz w:val="32"/>
          <w:szCs w:val="32"/>
          <w:highlight w:val="none"/>
        </w:rPr>
      </w:pPr>
      <w:r>
        <w:rPr>
          <w:rStyle w:val="17"/>
          <w:rFonts w:hint="default" w:ascii="Times New Roman" w:hAnsi="Times New Roman" w:eastAsia="仿宋" w:cs="Times New Roman"/>
          <w:bCs/>
          <w:color w:val="auto"/>
          <w:sz w:val="32"/>
          <w:szCs w:val="32"/>
          <w:highlight w:val="none"/>
          <w:lang w:val="en-US" w:eastAsia="zh-CN"/>
        </w:rPr>
        <w:t>7</w:t>
      </w:r>
      <w:r>
        <w:rPr>
          <w:rStyle w:val="17"/>
          <w:rFonts w:hint="default" w:ascii="Times New Roman" w:hAnsi="Times New Roman" w:eastAsia="仿宋" w:cs="Times New Roman"/>
          <w:bCs/>
          <w:color w:val="auto"/>
          <w:sz w:val="32"/>
          <w:szCs w:val="32"/>
          <w:highlight w:val="none"/>
        </w:rPr>
        <w:t>.</w:t>
      </w:r>
      <w:r>
        <w:rPr>
          <w:rStyle w:val="17"/>
          <w:rFonts w:hint="default" w:ascii="Times New Roman" w:hAnsi="Times New Roman" w:eastAsia="仿宋" w:cs="Times New Roman"/>
          <w:bCs/>
          <w:color w:val="000000"/>
          <w:sz w:val="32"/>
          <w:szCs w:val="32"/>
        </w:rPr>
        <w:t>社会保障和就业（类）行政事业单位养老支出（款）机关事业单位</w:t>
      </w:r>
      <w:r>
        <w:rPr>
          <w:rStyle w:val="17"/>
          <w:rFonts w:hint="default" w:ascii="Times New Roman" w:hAnsi="Times New Roman" w:eastAsia="仿宋" w:cs="Times New Roman"/>
          <w:bCs/>
          <w:color w:val="000000"/>
          <w:sz w:val="32"/>
          <w:szCs w:val="32"/>
          <w:lang w:eastAsia="zh-CN"/>
        </w:rPr>
        <w:t>职业年金</w:t>
      </w:r>
      <w:r>
        <w:rPr>
          <w:rStyle w:val="17"/>
          <w:rFonts w:hint="default" w:ascii="Times New Roman" w:hAnsi="Times New Roman" w:eastAsia="仿宋" w:cs="Times New Roman"/>
          <w:bCs/>
          <w:color w:val="000000"/>
          <w:sz w:val="32"/>
          <w:szCs w:val="32"/>
        </w:rPr>
        <w:t>缴费支出（项）</w:t>
      </w:r>
      <w:r>
        <w:rPr>
          <w:rStyle w:val="17"/>
          <w:rFonts w:hint="default" w:ascii="Times New Roman" w:hAnsi="Times New Roman" w:eastAsia="仿宋" w:cs="Times New Roman"/>
          <w:bCs/>
          <w:color w:val="auto"/>
          <w:sz w:val="32"/>
          <w:szCs w:val="32"/>
          <w:highlight w:val="none"/>
        </w:rPr>
        <w:t>:</w:t>
      </w:r>
      <w:r>
        <w:rPr>
          <w:rStyle w:val="17"/>
          <w:rFonts w:hint="default" w:ascii="Times New Roman" w:hAnsi="Times New Roman" w:eastAsia="仿宋" w:cs="Times New Roman"/>
          <w:b w:val="0"/>
          <w:bCs/>
          <w:color w:val="auto"/>
          <w:sz w:val="32"/>
          <w:szCs w:val="32"/>
          <w:highlight w:val="none"/>
        </w:rPr>
        <w:t xml:space="preserve"> 支出决算为</w:t>
      </w:r>
      <w:r>
        <w:rPr>
          <w:rStyle w:val="17"/>
          <w:rFonts w:hint="default" w:ascii="Times New Roman" w:hAnsi="Times New Roman" w:eastAsia="仿宋" w:cs="Times New Roman"/>
          <w:b w:val="0"/>
          <w:bCs/>
          <w:color w:val="auto"/>
          <w:sz w:val="32"/>
          <w:szCs w:val="32"/>
          <w:highlight w:val="none"/>
          <w:lang w:val="en-US" w:eastAsia="zh-CN"/>
        </w:rPr>
        <w:t>29.26</w:t>
      </w:r>
      <w:r>
        <w:rPr>
          <w:rStyle w:val="17"/>
          <w:rFonts w:hint="default" w:ascii="Times New Roman" w:hAnsi="Times New Roman" w:eastAsia="仿宋" w:cs="Times New Roman"/>
          <w:b w:val="0"/>
          <w:bCs/>
          <w:color w:val="auto"/>
          <w:sz w:val="32"/>
          <w:szCs w:val="32"/>
          <w:highlight w:val="none"/>
        </w:rPr>
        <w:t>万元，完成预算</w:t>
      </w:r>
      <w:r>
        <w:rPr>
          <w:rStyle w:val="17"/>
          <w:rFonts w:hint="default" w:ascii="Times New Roman" w:hAnsi="Times New Roman" w:eastAsia="仿宋" w:cs="Times New Roman"/>
          <w:b w:val="0"/>
          <w:bCs/>
          <w:color w:val="auto"/>
          <w:sz w:val="32"/>
          <w:szCs w:val="32"/>
          <w:highlight w:val="none"/>
          <w:lang w:val="en-US" w:eastAsia="zh-CN"/>
        </w:rPr>
        <w:t>100</w:t>
      </w:r>
      <w:r>
        <w:rPr>
          <w:rStyle w:val="17"/>
          <w:rFonts w:hint="default" w:ascii="Times New Roman" w:hAnsi="Times New Roman" w:eastAsia="仿宋"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7"/>
          <w:rFonts w:hint="default" w:ascii="Times New Roman" w:hAnsi="Times New Roman" w:eastAsia="仿宋" w:cs="Times New Roman"/>
          <w:b/>
          <w:bCs w:val="0"/>
          <w:color w:val="auto"/>
          <w:sz w:val="32"/>
          <w:szCs w:val="32"/>
          <w:highlight w:val="none"/>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8.</w:t>
      </w:r>
      <w:r>
        <w:rPr>
          <w:rFonts w:hint="default" w:ascii="Times New Roman" w:hAnsi="Times New Roman" w:eastAsia="仿宋" w:cs="Times New Roman"/>
          <w:b/>
          <w:bCs/>
          <w:color w:val="000000" w:themeColor="text1"/>
          <w:sz w:val="32"/>
          <w:szCs w:val="32"/>
          <w14:textFill>
            <w14:solidFill>
              <w14:schemeClr w14:val="tx1"/>
            </w14:solidFill>
          </w14:textFill>
        </w:rPr>
        <w:t>卫生健康</w:t>
      </w:r>
      <w:r>
        <w:rPr>
          <w:rStyle w:val="17"/>
          <w:rFonts w:hint="default" w:ascii="Times New Roman" w:hAnsi="Times New Roman" w:eastAsia="仿宋" w:cs="Times New Roman"/>
          <w:bCs/>
          <w:color w:val="000000"/>
          <w:sz w:val="32"/>
          <w:szCs w:val="32"/>
        </w:rPr>
        <w:t>（类）行政事业单位医疗（款）行政单位医疗（项）:</w:t>
      </w:r>
      <w:r>
        <w:rPr>
          <w:rStyle w:val="17"/>
          <w:rFonts w:hint="default" w:ascii="Times New Roman" w:hAnsi="Times New Roman" w:eastAsia="仿宋" w:cs="Times New Roman"/>
          <w:b w:val="0"/>
          <w:bCs/>
          <w:color w:val="000000"/>
          <w:sz w:val="32"/>
          <w:szCs w:val="32"/>
        </w:rPr>
        <w:t>支出决算为</w:t>
      </w:r>
      <w:r>
        <w:rPr>
          <w:rStyle w:val="17"/>
          <w:rFonts w:hint="default" w:ascii="Times New Roman" w:hAnsi="Times New Roman" w:eastAsia="仿宋" w:cs="Times New Roman"/>
          <w:b w:val="0"/>
          <w:bCs/>
          <w:color w:val="000000"/>
          <w:sz w:val="32"/>
          <w:szCs w:val="32"/>
          <w:lang w:val="en-US" w:eastAsia="zh-CN"/>
        </w:rPr>
        <w:t>40.47</w:t>
      </w:r>
      <w:r>
        <w:rPr>
          <w:rStyle w:val="17"/>
          <w:rFonts w:hint="default" w:ascii="Times New Roman" w:hAnsi="Times New Roman" w:eastAsia="仿宋" w:cs="Times New Roman"/>
          <w:b w:val="0"/>
          <w:bCs/>
          <w:color w:val="000000"/>
          <w:sz w:val="32"/>
          <w:szCs w:val="32"/>
        </w:rPr>
        <w:t>万元，</w:t>
      </w:r>
      <w:r>
        <w:rPr>
          <w:rStyle w:val="17"/>
          <w:rFonts w:hint="default" w:ascii="Times New Roman" w:hAnsi="Times New Roman" w:eastAsia="仿宋" w:cs="Times New Roman"/>
          <w:b w:val="0"/>
          <w:bCs/>
          <w:color w:val="auto"/>
          <w:sz w:val="32"/>
          <w:szCs w:val="32"/>
          <w:highlight w:val="none"/>
        </w:rPr>
        <w:t>成预算</w:t>
      </w:r>
      <w:r>
        <w:rPr>
          <w:rStyle w:val="17"/>
          <w:rFonts w:hint="default" w:ascii="Times New Roman" w:hAnsi="Times New Roman" w:eastAsia="仿宋" w:cs="Times New Roman"/>
          <w:b w:val="0"/>
          <w:bCs/>
          <w:color w:val="auto"/>
          <w:sz w:val="32"/>
          <w:szCs w:val="32"/>
          <w:highlight w:val="none"/>
          <w:lang w:val="en-US" w:eastAsia="zh-CN"/>
        </w:rPr>
        <w:t>77.66</w:t>
      </w:r>
      <w:r>
        <w:rPr>
          <w:rStyle w:val="17"/>
          <w:rFonts w:hint="default" w:ascii="Times New Roman" w:hAnsi="Times New Roman" w:eastAsia="仿宋" w:cs="Times New Roman"/>
          <w:b w:val="0"/>
          <w:bCs/>
          <w:color w:val="auto"/>
          <w:sz w:val="32"/>
          <w:szCs w:val="32"/>
          <w:highlight w:val="none"/>
        </w:rPr>
        <w:t>%，决算数小于预算数的主要原因是</w:t>
      </w:r>
      <w:r>
        <w:rPr>
          <w:rStyle w:val="17"/>
          <w:rFonts w:hint="default" w:ascii="Times New Roman" w:hAnsi="Times New Roman" w:eastAsia="仿宋" w:cs="Times New Roman"/>
          <w:b w:val="0"/>
          <w:bCs/>
          <w:color w:val="auto"/>
          <w:sz w:val="32"/>
          <w:szCs w:val="32"/>
          <w:highlight w:val="none"/>
          <w:lang w:val="en-US" w:eastAsia="zh-CN"/>
        </w:rPr>
        <w:t>1名职工退休</w:t>
      </w:r>
      <w:r>
        <w:rPr>
          <w:rStyle w:val="17"/>
          <w:rFonts w:hint="default" w:ascii="Times New Roman" w:hAnsi="Times New Roman" w:eastAsia="仿宋"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
          <w:color w:val="auto"/>
          <w:sz w:val="32"/>
          <w:szCs w:val="32"/>
          <w:highlight w:val="none"/>
        </w:rPr>
      </w:pPr>
      <w:r>
        <w:rPr>
          <w:rStyle w:val="17"/>
          <w:rFonts w:hint="default" w:ascii="Times New Roman" w:hAnsi="Times New Roman" w:eastAsia="仿宋" w:cs="Times New Roman"/>
          <w:bCs/>
          <w:color w:val="auto"/>
          <w:sz w:val="32"/>
          <w:szCs w:val="32"/>
          <w:highlight w:val="none"/>
          <w:lang w:val="en-US" w:eastAsia="zh-CN"/>
        </w:rPr>
        <w:t>9</w:t>
      </w:r>
      <w:r>
        <w:rPr>
          <w:rStyle w:val="17"/>
          <w:rFonts w:hint="default" w:ascii="Times New Roman" w:hAnsi="Times New Roman" w:eastAsia="仿宋" w:cs="Times New Roman"/>
          <w:bCs/>
          <w:color w:val="auto"/>
          <w:sz w:val="32"/>
          <w:szCs w:val="32"/>
          <w:highlight w:val="none"/>
        </w:rPr>
        <w:t>.</w:t>
      </w:r>
      <w:r>
        <w:rPr>
          <w:rFonts w:hint="default" w:ascii="Times New Roman" w:hAnsi="Times New Roman" w:eastAsia="仿宋" w:cs="Times New Roman"/>
          <w:b/>
          <w:bCs/>
          <w:color w:val="000000" w:themeColor="text1"/>
          <w:sz w:val="32"/>
          <w:szCs w:val="32"/>
          <w14:textFill>
            <w14:solidFill>
              <w14:schemeClr w14:val="tx1"/>
            </w14:solidFill>
          </w14:textFill>
        </w:rPr>
        <w:t>卫生健康</w:t>
      </w:r>
      <w:r>
        <w:rPr>
          <w:rFonts w:hint="default" w:ascii="Times New Roman" w:hAnsi="Times New Roman" w:eastAsia="仿宋" w:cs="Times New Roman"/>
          <w:b/>
          <w:bCs/>
          <w:color w:val="000000"/>
          <w:sz w:val="32"/>
          <w:szCs w:val="32"/>
        </w:rPr>
        <w:t>（类）行政事业单位医疗（款）公务员医疗补助（项）</w:t>
      </w:r>
      <w:r>
        <w:rPr>
          <w:rStyle w:val="17"/>
          <w:rFonts w:hint="default" w:ascii="Times New Roman" w:hAnsi="Times New Roman" w:eastAsia="仿宋" w:cs="Times New Roman"/>
          <w:bCs/>
          <w:color w:val="auto"/>
          <w:sz w:val="32"/>
          <w:szCs w:val="32"/>
          <w:highlight w:val="none"/>
        </w:rPr>
        <w:t>:</w:t>
      </w:r>
      <w:r>
        <w:rPr>
          <w:rStyle w:val="17"/>
          <w:rFonts w:hint="default" w:ascii="Times New Roman" w:hAnsi="Times New Roman" w:eastAsia="仿宋" w:cs="Times New Roman"/>
          <w:b w:val="0"/>
          <w:bCs/>
          <w:color w:val="auto"/>
          <w:sz w:val="32"/>
          <w:szCs w:val="32"/>
          <w:highlight w:val="none"/>
        </w:rPr>
        <w:t>支出决算为</w:t>
      </w:r>
      <w:r>
        <w:rPr>
          <w:rStyle w:val="17"/>
          <w:rFonts w:hint="default" w:ascii="Times New Roman" w:hAnsi="Times New Roman" w:eastAsia="仿宋" w:cs="Times New Roman"/>
          <w:b w:val="0"/>
          <w:bCs/>
          <w:color w:val="auto"/>
          <w:sz w:val="32"/>
          <w:szCs w:val="32"/>
          <w:highlight w:val="none"/>
          <w:lang w:val="en-US" w:eastAsia="zh-CN"/>
        </w:rPr>
        <w:t>10.12</w:t>
      </w:r>
      <w:r>
        <w:rPr>
          <w:rStyle w:val="17"/>
          <w:rFonts w:hint="default" w:ascii="Times New Roman" w:hAnsi="Times New Roman" w:eastAsia="仿宋" w:cs="Times New Roman"/>
          <w:b w:val="0"/>
          <w:bCs/>
          <w:color w:val="auto"/>
          <w:sz w:val="32"/>
          <w:szCs w:val="32"/>
          <w:highlight w:val="none"/>
        </w:rPr>
        <w:t>万元，完成预算</w:t>
      </w:r>
      <w:r>
        <w:rPr>
          <w:rStyle w:val="17"/>
          <w:rFonts w:hint="default" w:ascii="Times New Roman" w:hAnsi="Times New Roman" w:eastAsia="仿宋" w:cs="Times New Roman"/>
          <w:b w:val="0"/>
          <w:bCs/>
          <w:color w:val="auto"/>
          <w:sz w:val="32"/>
          <w:szCs w:val="32"/>
          <w:highlight w:val="none"/>
          <w:lang w:val="en-US" w:eastAsia="zh-CN"/>
        </w:rPr>
        <w:t>100</w:t>
      </w:r>
      <w:r>
        <w:rPr>
          <w:rStyle w:val="17"/>
          <w:rFonts w:hint="default" w:ascii="Times New Roman" w:hAnsi="Times New Roman" w:eastAsia="仿宋"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7"/>
          <w:rFonts w:hint="default" w:ascii="Times New Roman" w:hAnsi="Times New Roman" w:eastAsia="仿宋" w:cs="Times New Roman"/>
          <w:b w:val="0"/>
          <w:bCs/>
          <w:color w:val="auto"/>
          <w:sz w:val="32"/>
          <w:szCs w:val="32"/>
          <w:highlight w:val="none"/>
          <w:lang w:val="en-US" w:eastAsia="zh-CN"/>
        </w:rPr>
      </w:pPr>
      <w:r>
        <w:rPr>
          <w:rStyle w:val="17"/>
          <w:rFonts w:hint="default" w:ascii="Times New Roman" w:hAnsi="Times New Roman" w:eastAsia="仿宋" w:cs="Times New Roman"/>
          <w:bCs/>
          <w:color w:val="auto"/>
          <w:sz w:val="32"/>
          <w:szCs w:val="32"/>
          <w:highlight w:val="none"/>
          <w:lang w:val="en-US" w:eastAsia="zh-CN"/>
        </w:rPr>
        <w:t>10.住房保障（类）住房改革支出（款）住房公积金（项）：</w:t>
      </w:r>
      <w:r>
        <w:rPr>
          <w:rStyle w:val="17"/>
          <w:rFonts w:hint="default" w:ascii="Times New Roman" w:hAnsi="Times New Roman" w:eastAsia="仿宋" w:cs="Times New Roman"/>
          <w:b w:val="0"/>
          <w:bCs/>
          <w:color w:val="auto"/>
          <w:sz w:val="32"/>
          <w:szCs w:val="32"/>
          <w:highlight w:val="none"/>
          <w:lang w:val="en-US" w:eastAsia="zh-CN"/>
        </w:rPr>
        <w:t>支出决算为62.45万元，完成预算93.88%，决算数小于预算数的主要原因是1名职工退休。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b/>
          <w:color w:val="auto"/>
          <w:sz w:val="32"/>
          <w:szCs w:val="32"/>
          <w:highlight w:val="none"/>
        </w:rPr>
      </w:pPr>
      <w:r>
        <w:rPr>
          <w:rStyle w:val="17"/>
          <w:rFonts w:hint="default" w:ascii="Times New Roman" w:hAnsi="Times New Roman" w:eastAsia="仿宋" w:cs="Times New Roman"/>
          <w:bCs/>
          <w:color w:val="auto"/>
          <w:sz w:val="32"/>
          <w:szCs w:val="32"/>
          <w:highlight w:val="none"/>
          <w:lang w:val="en-US" w:eastAsia="zh-CN"/>
        </w:rPr>
        <w:t>11.住房保障（类）住房改革支出（款）购房补贴（项）:</w:t>
      </w:r>
      <w:r>
        <w:rPr>
          <w:rStyle w:val="17"/>
          <w:rFonts w:hint="default" w:ascii="Times New Roman" w:hAnsi="Times New Roman" w:eastAsia="仿宋" w:cs="Times New Roman"/>
          <w:b w:val="0"/>
          <w:bCs/>
          <w:color w:val="auto"/>
          <w:sz w:val="32"/>
          <w:szCs w:val="32"/>
          <w:highlight w:val="none"/>
          <w:lang w:val="en-US" w:eastAsia="zh-CN"/>
        </w:rPr>
        <w:t>支出决算为28.57万元，完成预算97.8%，决算数小于预算数的主要原因是1名职工退休。</w:t>
      </w:r>
    </w:p>
    <w:p>
      <w:pPr>
        <w:keepNext w:val="0"/>
        <w:keepLines w:val="0"/>
        <w:pageBreakBefore w:val="0"/>
        <w:widowControl w:val="0"/>
        <w:tabs>
          <w:tab w:val="right" w:pos="8306"/>
        </w:tabs>
        <w:kinsoku/>
        <w:wordWrap/>
        <w:overflowPunct/>
        <w:topLinePunct w:val="0"/>
        <w:autoSpaceDE/>
        <w:autoSpaceDN/>
        <w:bidi w:val="0"/>
        <w:adjustRightInd/>
        <w:snapToGrid/>
        <w:spacing w:line="600" w:lineRule="exact"/>
        <w:ind w:firstLine="640"/>
        <w:textAlignment w:val="auto"/>
        <w:outlineLvl w:val="1"/>
        <w:rPr>
          <w:rStyle w:val="29"/>
          <w:color w:val="auto"/>
          <w:highlight w:val="none"/>
        </w:rPr>
      </w:pPr>
      <w:bookmarkStart w:id="38" w:name="_Toc15396608"/>
      <w:bookmarkStart w:id="39"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般公共预算财政拨款基本支出决算情况说明</w:t>
      </w:r>
      <w:bookmarkEnd w:id="38"/>
      <w:bookmarkEnd w:id="39"/>
      <w:r>
        <w:rPr>
          <w:rStyle w:val="29"/>
          <w:rFonts w:ascii="黑体" w:hAnsi="黑体" w:eastAsia="黑体"/>
          <w:b w:val="0"/>
          <w:color w:val="auto"/>
          <w:highlight w:val="none"/>
        </w:rPr>
        <w:tab/>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一般公共预算财政拨款基本支出</w:t>
      </w:r>
      <w:r>
        <w:rPr>
          <w:rFonts w:hint="default" w:ascii="Times New Roman" w:hAnsi="Times New Roman" w:eastAsia="仿宋" w:cs="Times New Roman"/>
          <w:color w:val="auto"/>
          <w:sz w:val="32"/>
          <w:szCs w:val="32"/>
          <w:highlight w:val="none"/>
          <w:lang w:val="en-US" w:eastAsia="zh-CN"/>
        </w:rPr>
        <w:t>122</w:t>
      </w:r>
      <w:r>
        <w:rPr>
          <w:rFonts w:hint="eastAsia" w:eastAsia="仿宋" w:cs="Times New Roman"/>
          <w:color w:val="auto"/>
          <w:sz w:val="32"/>
          <w:szCs w:val="32"/>
          <w:highlight w:val="none"/>
          <w:lang w:val="en-US" w:eastAsia="zh-CN"/>
        </w:rPr>
        <w:t>6</w:t>
      </w:r>
      <w:r>
        <w:rPr>
          <w:rFonts w:hint="default" w:ascii="Times New Roman" w:hAnsi="Times New Roman" w:eastAsia="仿宋" w:cs="Times New Roman"/>
          <w:color w:val="auto"/>
          <w:sz w:val="32"/>
          <w:szCs w:val="32"/>
          <w:highlight w:val="none"/>
          <w:lang w:val="en-US" w:eastAsia="zh-CN"/>
        </w:rPr>
        <w:t>.96</w:t>
      </w:r>
      <w:r>
        <w:rPr>
          <w:rFonts w:hint="default" w:ascii="Times New Roman" w:hAnsi="Times New Roman" w:eastAsia="仿宋" w:cs="Times New Roman"/>
          <w:color w:val="auto"/>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rPr>
        <w:t>人员经费</w:t>
      </w:r>
      <w:r>
        <w:rPr>
          <w:rFonts w:hint="default" w:ascii="Times New Roman" w:hAnsi="Times New Roman" w:eastAsia="仿宋" w:cs="Times New Roman"/>
          <w:color w:val="auto"/>
          <w:sz w:val="32"/>
          <w:szCs w:val="32"/>
          <w:highlight w:val="none"/>
          <w:lang w:val="en-US" w:eastAsia="zh-CN"/>
        </w:rPr>
        <w:t>910.64</w:t>
      </w:r>
      <w:r>
        <w:rPr>
          <w:rFonts w:hint="default" w:ascii="Times New Roman" w:hAnsi="Times New Roman" w:eastAsia="仿宋" w:cs="Times New Roman"/>
          <w:color w:val="auto"/>
          <w:sz w:val="32"/>
          <w:szCs w:val="32"/>
          <w:highlight w:val="none"/>
        </w:rPr>
        <w:t>万元，主要包括：基本工资、津贴补贴、奖金、机关事业单位基本养老保险缴费、职业年金缴费、其他社会保障缴费、其他工资福利支出、离休费、退休费、生活补助、医疗费补助、奖励金、住房公积金、其他对个人和家庭的补助支出等。</w:t>
      </w:r>
      <w:r>
        <w:rPr>
          <w:rFonts w:hint="default" w:ascii="Times New Roman" w:hAnsi="Times New Roman" w:eastAsia="仿宋" w:cs="Times New Roman"/>
          <w:color w:val="auto"/>
          <w:sz w:val="32"/>
          <w:szCs w:val="32"/>
          <w:highlight w:val="none"/>
        </w:rPr>
        <w:br w:type="textWrapping"/>
      </w:r>
      <w:r>
        <w:rPr>
          <w:rFonts w:hint="default" w:ascii="Times New Roman" w:hAnsi="Times New Roman" w:eastAsia="仿宋" w:cs="Times New Roman"/>
          <w:color w:val="auto"/>
          <w:sz w:val="32"/>
          <w:szCs w:val="32"/>
          <w:highlight w:val="none"/>
        </w:rPr>
        <w:t>　　公用经费</w:t>
      </w:r>
      <w:r>
        <w:rPr>
          <w:rFonts w:hint="default" w:ascii="Times New Roman" w:hAnsi="Times New Roman" w:eastAsia="仿宋" w:cs="Times New Roman"/>
          <w:color w:val="auto"/>
          <w:sz w:val="32"/>
          <w:szCs w:val="32"/>
          <w:highlight w:val="none"/>
          <w:lang w:val="en-US" w:eastAsia="zh-CN"/>
        </w:rPr>
        <w:t>316.31</w:t>
      </w:r>
      <w:r>
        <w:rPr>
          <w:rFonts w:hint="default" w:ascii="Times New Roman" w:hAnsi="Times New Roman" w:eastAsia="仿宋" w:cs="Times New Roman"/>
          <w:color w:val="auto"/>
          <w:sz w:val="32"/>
          <w:szCs w:val="32"/>
          <w:highlight w:val="none"/>
        </w:rPr>
        <w:t>万元，主要包括：办公费、印刷费、水费、电费、邮电费、差旅费、维修（护）费、租赁费、会议费、培训费、公务接待费、劳务费、委托业务费、工会经费、福利费、公务用车运行维护费、其他交通费、其他商品和服务支出、办公设备购置等。</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outlineLvl w:val="1"/>
        <w:rPr>
          <w:rStyle w:val="29"/>
          <w:rFonts w:hint="default" w:ascii="Times New Roman" w:hAnsi="Times New Roman" w:eastAsia="黑体" w:cs="Times New Roman"/>
          <w:b w:val="0"/>
          <w:color w:val="auto"/>
          <w:highlight w:val="none"/>
        </w:rPr>
      </w:pPr>
      <w:bookmarkStart w:id="40" w:name="_Toc15377215"/>
      <w:bookmarkStart w:id="41" w:name="_Toc15396609"/>
      <w:r>
        <w:rPr>
          <w:rFonts w:hint="default" w:ascii="Times New Roman" w:hAnsi="Times New Roman" w:eastAsia="黑体" w:cs="Times New Roman"/>
          <w:color w:val="auto"/>
          <w:sz w:val="32"/>
          <w:szCs w:val="32"/>
          <w:highlight w:val="none"/>
        </w:rPr>
        <w:t>七、</w:t>
      </w:r>
      <w:r>
        <w:rPr>
          <w:rStyle w:val="29"/>
          <w:rFonts w:hint="default" w:ascii="Times New Roman" w:hAnsi="Times New Roman" w:eastAsia="黑体" w:cs="Times New Roman"/>
          <w:b w:val="0"/>
          <w:color w:val="auto"/>
          <w:highlight w:val="none"/>
        </w:rPr>
        <w:t>财政拨款</w:t>
      </w:r>
      <w:r>
        <w:rPr>
          <w:rStyle w:val="29"/>
          <w:rFonts w:hint="default" w:ascii="Times New Roman" w:hAnsi="Times New Roman" w:eastAsia="黑体" w:cs="Times New Roman"/>
          <w:color w:val="auto"/>
          <w:highlight w:val="none"/>
        </w:rPr>
        <w:t>“</w:t>
      </w:r>
      <w:r>
        <w:rPr>
          <w:rStyle w:val="29"/>
          <w:rFonts w:hint="default" w:ascii="Times New Roman" w:hAnsi="Times New Roman" w:eastAsia="黑体" w:cs="Times New Roman"/>
          <w:b w:val="0"/>
          <w:color w:val="auto"/>
          <w:highlight w:val="none"/>
        </w:rPr>
        <w:t>三公”经费支出决算情况说明</w:t>
      </w:r>
      <w:bookmarkEnd w:id="40"/>
      <w:bookmarkEnd w:id="41"/>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outlineLvl w:val="2"/>
        <w:rPr>
          <w:rFonts w:hint="default" w:ascii="Times New Roman" w:hAnsi="Times New Roman" w:eastAsia="仿宋" w:cs="Times New Roman"/>
          <w:b/>
          <w:color w:val="auto"/>
          <w:sz w:val="32"/>
          <w:szCs w:val="32"/>
          <w:highlight w:val="none"/>
        </w:rPr>
      </w:pPr>
      <w:bookmarkStart w:id="42" w:name="_Toc15377216"/>
      <w:r>
        <w:rPr>
          <w:rFonts w:hint="default" w:ascii="Times New Roman" w:hAnsi="Times New Roman" w:eastAsia="仿宋" w:cs="Times New Roman"/>
          <w:b/>
          <w:color w:val="auto"/>
          <w:sz w:val="32"/>
          <w:szCs w:val="32"/>
          <w:highlight w:val="none"/>
        </w:rPr>
        <w:t>（一）“三公”经费财政拨款支出决算总体情况说明</w:t>
      </w:r>
      <w:bookmarkEnd w:id="42"/>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“三公”经费财政拨款支出决算为</w:t>
      </w:r>
      <w:r>
        <w:rPr>
          <w:rFonts w:hint="default" w:ascii="Times New Roman" w:hAnsi="Times New Roman" w:eastAsia="仿宋" w:cs="Times New Roman"/>
          <w:color w:val="auto"/>
          <w:sz w:val="32"/>
          <w:szCs w:val="32"/>
          <w:highlight w:val="none"/>
          <w:lang w:val="en-US" w:eastAsia="zh-CN"/>
        </w:rPr>
        <w:t>13.75</w:t>
      </w:r>
      <w:r>
        <w:rPr>
          <w:rFonts w:hint="default" w:ascii="Times New Roman" w:hAnsi="Times New Roman" w:eastAsia="仿宋" w:cs="Times New Roman"/>
          <w:color w:val="auto"/>
          <w:sz w:val="32"/>
          <w:szCs w:val="32"/>
          <w:highlight w:val="none"/>
        </w:rPr>
        <w:t>万元，完成预算</w:t>
      </w:r>
      <w:r>
        <w:rPr>
          <w:rFonts w:hint="default" w:ascii="Times New Roman" w:hAnsi="Times New Roman" w:eastAsia="仿宋" w:cs="Times New Roman"/>
          <w:color w:val="auto"/>
          <w:sz w:val="32"/>
          <w:szCs w:val="32"/>
          <w:highlight w:val="none"/>
          <w:lang w:val="en-US" w:eastAsia="zh-CN"/>
        </w:rPr>
        <w:t>91.67</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较上年度增加</w:t>
      </w:r>
      <w:r>
        <w:rPr>
          <w:rFonts w:hint="default" w:ascii="Times New Roman" w:hAnsi="Times New Roman" w:eastAsia="仿宋" w:cs="Times New Roman"/>
          <w:color w:val="auto"/>
          <w:sz w:val="32"/>
          <w:szCs w:val="32"/>
          <w:highlight w:val="none"/>
          <w:lang w:val="en-US" w:eastAsia="zh-CN"/>
        </w:rPr>
        <w:t>5.02万元，增长57.5%。</w:t>
      </w:r>
      <w:r>
        <w:rPr>
          <w:rFonts w:hint="default" w:ascii="Times New Roman" w:hAnsi="Times New Roman" w:eastAsia="仿宋" w:cs="Times New Roman"/>
          <w:color w:val="auto"/>
          <w:sz w:val="32"/>
          <w:szCs w:val="32"/>
          <w:highlight w:val="none"/>
        </w:rPr>
        <w:t>决算数小于预算数的主要原因是</w:t>
      </w:r>
      <w:r>
        <w:rPr>
          <w:rFonts w:hint="default" w:ascii="Times New Roman" w:hAnsi="Times New Roman" w:eastAsia="仿宋" w:cs="Times New Roman"/>
          <w:color w:val="auto"/>
          <w:sz w:val="32"/>
          <w:szCs w:val="32"/>
          <w:highlight w:val="none"/>
          <w:lang w:eastAsia="zh-CN"/>
        </w:rPr>
        <w:t>厉行节约，公务接待费减少</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outlineLvl w:val="2"/>
        <w:rPr>
          <w:rFonts w:hint="default" w:ascii="Times New Roman" w:hAnsi="Times New Roman" w:eastAsia="仿宋" w:cs="Times New Roman"/>
          <w:b/>
          <w:color w:val="auto"/>
          <w:sz w:val="32"/>
          <w:szCs w:val="32"/>
          <w:highlight w:val="none"/>
        </w:rPr>
      </w:pPr>
      <w:bookmarkStart w:id="43" w:name="_Toc15377217"/>
      <w:r>
        <w:rPr>
          <w:rFonts w:hint="default" w:ascii="Times New Roman" w:hAnsi="Times New Roman" w:eastAsia="仿宋" w:cs="Times New Roman"/>
          <w:b/>
          <w:color w:val="auto"/>
          <w:sz w:val="32"/>
          <w:szCs w:val="32"/>
          <w:highlight w:val="none"/>
        </w:rPr>
        <w:t>（二）“三公”经费财政拨款支出决算具体情况说明</w:t>
      </w:r>
      <w:bookmarkEnd w:id="43"/>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2023</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eastAsia="zh-CN"/>
        </w:rPr>
        <w:t>度</w:t>
      </w:r>
      <w:r>
        <w:rPr>
          <w:rFonts w:hint="default" w:ascii="Times New Roman" w:hAnsi="Times New Roman" w:eastAsia="仿宋" w:cs="Times New Roman"/>
          <w:color w:val="auto"/>
          <w:sz w:val="32"/>
          <w:szCs w:val="32"/>
          <w:highlight w:val="none"/>
        </w:rPr>
        <w:t>“三公”经费财政拨款支出决算中，因公出国（境）费支出决算</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%；公务用车购置及运行维护费支出决算</w:t>
      </w:r>
      <w:r>
        <w:rPr>
          <w:rFonts w:hint="default" w:ascii="Times New Roman" w:hAnsi="Times New Roman" w:eastAsia="仿宋" w:cs="Times New Roman"/>
          <w:color w:val="auto"/>
          <w:sz w:val="32"/>
          <w:szCs w:val="32"/>
          <w:highlight w:val="none"/>
          <w:lang w:val="en-US" w:eastAsia="zh-CN"/>
        </w:rPr>
        <w:t>9.92</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72.15</w:t>
      </w:r>
      <w:r>
        <w:rPr>
          <w:rFonts w:hint="default" w:ascii="Times New Roman" w:hAnsi="Times New Roman" w:eastAsia="仿宋" w:cs="Times New Roman"/>
          <w:color w:val="auto"/>
          <w:sz w:val="32"/>
          <w:szCs w:val="32"/>
          <w:highlight w:val="none"/>
        </w:rPr>
        <w:t>%；公务接待费支出决算</w:t>
      </w:r>
      <w:r>
        <w:rPr>
          <w:rFonts w:hint="default" w:ascii="Times New Roman" w:hAnsi="Times New Roman" w:eastAsia="仿宋" w:cs="Times New Roman"/>
          <w:color w:val="auto"/>
          <w:sz w:val="32"/>
          <w:szCs w:val="32"/>
          <w:highlight w:val="none"/>
          <w:lang w:val="en-US" w:eastAsia="zh-CN"/>
        </w:rPr>
        <w:t>3.83</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27.85</w:t>
      </w:r>
      <w:r>
        <w:rPr>
          <w:rFonts w:hint="default" w:ascii="Times New Roman" w:hAnsi="Times New Roman" w:eastAsia="仿宋" w:cs="Times New Roman"/>
          <w:color w:val="auto"/>
          <w:sz w:val="32"/>
          <w:szCs w:val="32"/>
          <w:highlight w:val="none"/>
        </w:rPr>
        <w:t>%。具体情况如下：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图7：“三公”经费财政拨款支出结构</w:t>
      </w:r>
    </w:p>
    <w:p>
      <w:pPr>
        <w:keepNext w:val="0"/>
        <w:keepLines w:val="0"/>
        <w:pageBreakBefore w:val="0"/>
        <w:widowControl w:val="0"/>
        <w:kinsoku/>
        <w:wordWrap/>
        <w:overflowPunct/>
        <w:topLinePunct w:val="0"/>
        <w:autoSpaceDE/>
        <w:autoSpaceDN/>
        <w:bidi w:val="0"/>
        <w:adjustRightInd/>
        <w:snapToGrid/>
        <w:spacing w:line="720" w:lineRule="auto"/>
        <w:ind w:firstLine="641"/>
        <w:textAlignment w:val="auto"/>
        <w:rPr>
          <w:rFonts w:hint="eastAsia" w:ascii="仿宋" w:hAnsi="仿宋" w:eastAsia="仿宋"/>
          <w:color w:val="auto"/>
          <w:sz w:val="32"/>
          <w:szCs w:val="32"/>
          <w:highlight w:val="none"/>
        </w:rPr>
      </w:pPr>
      <w:r>
        <w:rPr>
          <w:rFonts w:hint="eastAsia" w:ascii="仿宋_GB2312" w:eastAsia="仿宋_GB2312"/>
          <w:color w:val="000000"/>
          <w:sz w:val="32"/>
          <w:szCs w:val="32"/>
        </w:rPr>
        <w:drawing>
          <wp:anchor distT="0" distB="0" distL="114300" distR="114300" simplePos="0" relativeHeight="251665408" behindDoc="0" locked="0" layoutInCell="1" allowOverlap="1">
            <wp:simplePos x="0" y="0"/>
            <wp:positionH relativeFrom="column">
              <wp:posOffset>575945</wp:posOffset>
            </wp:positionH>
            <wp:positionV relativeFrom="paragraph">
              <wp:posOffset>128270</wp:posOffset>
            </wp:positionV>
            <wp:extent cx="4326890" cy="1930400"/>
            <wp:effectExtent l="4445" t="4445" r="12065" b="8255"/>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keepNext w:val="0"/>
        <w:keepLines w:val="0"/>
        <w:pageBreakBefore w:val="0"/>
        <w:widowControl w:val="0"/>
        <w:kinsoku/>
        <w:wordWrap/>
        <w:overflowPunct/>
        <w:topLinePunct w:val="0"/>
        <w:autoSpaceDE/>
        <w:autoSpaceDN/>
        <w:bidi w:val="0"/>
        <w:adjustRightInd/>
        <w:snapToGrid/>
        <w:spacing w:line="720" w:lineRule="auto"/>
        <w:ind w:firstLine="641"/>
        <w:textAlignment w:val="auto"/>
        <w:rPr>
          <w:rFonts w:hint="eastAsia"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720" w:lineRule="auto"/>
        <w:ind w:firstLine="641"/>
        <w:textAlignment w:val="auto"/>
        <w:rPr>
          <w:rFonts w:hint="eastAsia" w:ascii="仿宋" w:hAnsi="仿宋" w:eastAsia="仿宋"/>
          <w:color w:val="auto"/>
          <w:sz w:val="32"/>
          <w:szCs w:val="32"/>
          <w:highlight w:val="none"/>
        </w:rPr>
      </w:pPr>
    </w:p>
    <w:p>
      <w:pPr>
        <w:spacing w:line="600" w:lineRule="exact"/>
        <w:ind w:firstLine="640"/>
        <w:rPr>
          <w:rFonts w:ascii="仿宋_GB2312" w:eastAsia="仿宋_GB2312"/>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1.因公出国（境）经费支出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Style w:val="17"/>
          <w:rFonts w:hint="default" w:ascii="Times New Roman" w:hAnsi="Times New Roman" w:eastAsia="仿宋"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2.公务用车购置及运行维护费支出</w:t>
      </w:r>
      <w:r>
        <w:rPr>
          <w:rFonts w:hint="default" w:ascii="Times New Roman" w:hAnsi="Times New Roman" w:eastAsia="仿宋_GB2312" w:cs="Times New Roman"/>
          <w:color w:val="auto"/>
          <w:sz w:val="32"/>
          <w:szCs w:val="32"/>
          <w:highlight w:val="none"/>
          <w:lang w:val="en-US" w:eastAsia="zh-CN"/>
        </w:rPr>
        <w:t>9.92</w:t>
      </w:r>
      <w:r>
        <w:rPr>
          <w:rFonts w:hint="default" w:ascii="Times New Roman" w:hAnsi="Times New Roman" w:eastAsia="仿宋_GB2312" w:cs="Times New Roman"/>
          <w:color w:val="auto"/>
          <w:sz w:val="32"/>
          <w:szCs w:val="32"/>
          <w:highlight w:val="none"/>
        </w:rPr>
        <w:t>万元,</w:t>
      </w:r>
      <w:r>
        <w:rPr>
          <w:rStyle w:val="17"/>
          <w:rFonts w:hint="default" w:ascii="Times New Roman" w:hAnsi="Times New Roman" w:eastAsia="仿宋" w:cs="Times New Roman"/>
          <w:b w:val="0"/>
          <w:bCs/>
          <w:color w:val="auto"/>
          <w:sz w:val="32"/>
          <w:szCs w:val="32"/>
          <w:highlight w:val="none"/>
        </w:rPr>
        <w:t>完成预算</w:t>
      </w:r>
      <w:r>
        <w:rPr>
          <w:rStyle w:val="17"/>
          <w:rFonts w:hint="default" w:ascii="Times New Roman" w:hAnsi="Times New Roman" w:eastAsia="仿宋" w:cs="Times New Roman"/>
          <w:b w:val="0"/>
          <w:bCs/>
          <w:color w:val="auto"/>
          <w:sz w:val="32"/>
          <w:szCs w:val="32"/>
          <w:highlight w:val="none"/>
          <w:lang w:val="en-US" w:eastAsia="zh-CN"/>
        </w:rPr>
        <w:t>99.2</w:t>
      </w:r>
      <w:r>
        <w:rPr>
          <w:rStyle w:val="17"/>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公务用车购置及运行维护费支出决算比</w:t>
      </w:r>
      <w:r>
        <w:rPr>
          <w:rFonts w:hint="default" w:ascii="Times New Roman" w:hAnsi="Times New Roman" w:eastAsia="仿宋_GB2312" w:cs="Times New Roman"/>
          <w:color w:val="auto"/>
          <w:sz w:val="32"/>
          <w:szCs w:val="32"/>
          <w:highlight w:val="none"/>
          <w:lang w:eastAsia="zh-CN"/>
        </w:rPr>
        <w:t>2022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增加</w:t>
      </w:r>
      <w:r>
        <w:rPr>
          <w:rFonts w:hint="default" w:ascii="Times New Roman" w:hAnsi="Times New Roman" w:eastAsia="仿宋_GB2312" w:cs="Times New Roman"/>
          <w:color w:val="auto"/>
          <w:sz w:val="32"/>
          <w:szCs w:val="32"/>
          <w:highlight w:val="none"/>
          <w:lang w:val="en-US" w:eastAsia="zh-CN"/>
        </w:rPr>
        <w:t>3.09</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45.24</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color w:val="auto"/>
          <w:sz w:val="32"/>
          <w:szCs w:val="32"/>
          <w:highlight w:val="none"/>
          <w:lang w:eastAsia="zh-CN"/>
        </w:rPr>
        <w:t>疫情放开，公务出行活动增加</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color w:val="auto"/>
          <w:sz w:val="32"/>
          <w:szCs w:val="32"/>
          <w:highlight w:val="none"/>
          <w:lang w:eastAsia="zh-CN"/>
        </w:rPr>
      </w:pPr>
      <w:r>
        <w:rPr>
          <w:rFonts w:hint="default" w:ascii="Times New Roman" w:hAnsi="Times New Roman" w:eastAsia="仿宋_GB2312" w:cs="Times New Roman"/>
          <w:color w:val="auto"/>
          <w:sz w:val="32"/>
          <w:szCs w:val="32"/>
          <w:highlight w:val="none"/>
        </w:rPr>
        <w:t>其中：</w:t>
      </w:r>
      <w:r>
        <w:rPr>
          <w:rFonts w:hint="default" w:ascii="Times New Roman" w:hAnsi="Times New Roman" w:eastAsia="仿宋_GB2312" w:cs="Times New Roman"/>
          <w:b/>
          <w:color w:val="auto"/>
          <w:sz w:val="32"/>
          <w:szCs w:val="32"/>
          <w:highlight w:val="none"/>
        </w:rPr>
        <w:t>公务用车购置支出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全年按规定更新购置公务用车</w:t>
      </w:r>
      <w:r>
        <w:rPr>
          <w:rFonts w:hint="default" w:ascii="Times New Roman" w:hAnsi="Times New Roman" w:eastAsia="仿宋_GB2312" w:cs="Times New Roman"/>
          <w:color w:val="auto"/>
          <w:sz w:val="32"/>
          <w:szCs w:val="32"/>
          <w:highlight w:val="none"/>
          <w:lang w:val="en-US"/>
        </w:rPr>
        <w:t>0</w:t>
      </w:r>
      <w:r>
        <w:rPr>
          <w:rFonts w:hint="default" w:ascii="Times New Roman" w:hAnsi="Times New Roman" w:eastAsia="仿宋_GB2312" w:cs="Times New Roman"/>
          <w:color w:val="auto"/>
          <w:sz w:val="32"/>
          <w:szCs w:val="32"/>
          <w:highlight w:val="none"/>
        </w:rPr>
        <w:t>辆。截至20</w:t>
      </w:r>
      <w:r>
        <w:rPr>
          <w:rFonts w:hint="default" w:ascii="Times New Roman" w:hAnsi="Times New Roman" w:eastAsia="仿宋_GB2312" w:cs="Times New Roman"/>
          <w:color w:val="auto"/>
          <w:sz w:val="32"/>
          <w:szCs w:val="32"/>
          <w:highlight w:val="none"/>
          <w:lang w:val="en-US" w:eastAsia="zh-CN"/>
        </w:rPr>
        <w:t>23</w:t>
      </w:r>
      <w:r>
        <w:rPr>
          <w:rFonts w:hint="default" w:ascii="Times New Roman" w:hAnsi="Times New Roman" w:eastAsia="仿宋_GB2312" w:cs="Times New Roman"/>
          <w:color w:val="auto"/>
          <w:sz w:val="32"/>
          <w:szCs w:val="32"/>
          <w:highlight w:val="none"/>
        </w:rPr>
        <w:t>年12月底，</w:t>
      </w:r>
      <w:r>
        <w:rPr>
          <w:rFonts w:hint="default" w:ascii="Times New Roman" w:hAnsi="Times New Roman" w:eastAsia="仿宋_GB2312" w:cs="Times New Roman"/>
          <w:color w:val="auto"/>
          <w:sz w:val="32"/>
          <w:szCs w:val="32"/>
          <w:highlight w:val="none"/>
          <w:lang w:eastAsia="zh-CN"/>
        </w:rPr>
        <w:t>民革四川省委会</w:t>
      </w:r>
      <w:r>
        <w:rPr>
          <w:rFonts w:hint="default" w:ascii="Times New Roman" w:hAnsi="Times New Roman" w:eastAsia="仿宋_GB2312" w:cs="Times New Roman"/>
          <w:color w:val="auto"/>
          <w:sz w:val="32"/>
          <w:szCs w:val="32"/>
          <w:highlight w:val="none"/>
        </w:rPr>
        <w:t>共有公务用车</w:t>
      </w:r>
      <w:r>
        <w:rPr>
          <w:rFonts w:hint="default" w:ascii="Times New Roman" w:hAnsi="Times New Roman" w:eastAsia="仿宋_GB2312" w:cs="Times New Roman"/>
          <w:color w:val="auto"/>
          <w:sz w:val="32"/>
          <w:szCs w:val="32"/>
          <w:highlight w:val="none"/>
          <w:lang w:val="en-US"/>
        </w:rPr>
        <w:t>3</w:t>
      </w:r>
      <w:r>
        <w:rPr>
          <w:rFonts w:hint="default" w:ascii="Times New Roman" w:hAnsi="Times New Roman" w:eastAsia="仿宋_GB2312" w:cs="Times New Roman"/>
          <w:color w:val="auto"/>
          <w:sz w:val="32"/>
          <w:szCs w:val="32"/>
          <w:highlight w:val="none"/>
        </w:rPr>
        <w:t>辆，其中：轿车</w:t>
      </w:r>
      <w:r>
        <w:rPr>
          <w:rFonts w:hint="default" w:ascii="Times New Roman" w:hAnsi="Times New Roman" w:eastAsia="仿宋_GB2312" w:cs="Times New Roman"/>
          <w:color w:val="auto"/>
          <w:sz w:val="32"/>
          <w:szCs w:val="32"/>
          <w:highlight w:val="none"/>
          <w:lang w:val="en-US"/>
        </w:rPr>
        <w:t>2</w:t>
      </w:r>
      <w:r>
        <w:rPr>
          <w:rFonts w:hint="default" w:ascii="Times New Roman" w:hAnsi="Times New Roman" w:eastAsia="仿宋_GB2312" w:cs="Times New Roman"/>
          <w:color w:val="auto"/>
          <w:sz w:val="32"/>
          <w:szCs w:val="32"/>
          <w:highlight w:val="none"/>
        </w:rPr>
        <w:t>辆、越野车</w:t>
      </w:r>
      <w:r>
        <w:rPr>
          <w:rFonts w:hint="default" w:ascii="Times New Roman" w:hAnsi="Times New Roman" w:eastAsia="仿宋_GB2312" w:cs="Times New Roman"/>
          <w:color w:val="auto"/>
          <w:sz w:val="32"/>
          <w:szCs w:val="32"/>
          <w:highlight w:val="none"/>
          <w:lang w:val="en-US"/>
        </w:rPr>
        <w:t>0</w:t>
      </w:r>
      <w:r>
        <w:rPr>
          <w:rFonts w:hint="default" w:ascii="Times New Roman" w:hAnsi="Times New Roman" w:eastAsia="仿宋_GB2312" w:cs="Times New Roman"/>
          <w:color w:val="auto"/>
          <w:sz w:val="32"/>
          <w:szCs w:val="32"/>
          <w:highlight w:val="none"/>
        </w:rPr>
        <w:t>辆、载客汽车</w:t>
      </w:r>
      <w:r>
        <w:rPr>
          <w:rFonts w:hint="default" w:ascii="Times New Roman" w:hAnsi="Times New Roman" w:eastAsia="仿宋_GB2312" w:cs="Times New Roman"/>
          <w:color w:val="auto"/>
          <w:sz w:val="32"/>
          <w:szCs w:val="32"/>
          <w:highlight w:val="none"/>
          <w:lang w:val="en-US"/>
        </w:rPr>
        <w:t>1</w:t>
      </w:r>
      <w:r>
        <w:rPr>
          <w:rFonts w:hint="default" w:ascii="Times New Roman" w:hAnsi="Times New Roman" w:eastAsia="仿宋_GB2312" w:cs="Times New Roman"/>
          <w:color w:val="auto"/>
          <w:sz w:val="32"/>
          <w:szCs w:val="32"/>
          <w:highlight w:val="none"/>
        </w:rPr>
        <w:t>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公务用车运行维护费支出</w:t>
      </w:r>
      <w:r>
        <w:rPr>
          <w:rFonts w:hint="default" w:ascii="Times New Roman" w:hAnsi="Times New Roman" w:eastAsia="仿宋_GB2312" w:cs="Times New Roman"/>
          <w:color w:val="auto"/>
          <w:sz w:val="32"/>
          <w:szCs w:val="32"/>
          <w:highlight w:val="none"/>
          <w:lang w:val="en-US" w:eastAsia="zh-CN"/>
        </w:rPr>
        <w:t>9.92</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000000"/>
          <w:sz w:val="32"/>
          <w:szCs w:val="32"/>
        </w:rPr>
        <w:t>主要用于</w:t>
      </w:r>
      <w:r>
        <w:rPr>
          <w:rFonts w:hint="default" w:ascii="Times New Roman" w:hAnsi="Times New Roman" w:eastAsia="仿宋" w:cs="Times New Roman"/>
          <w:sz w:val="32"/>
          <w:szCs w:val="32"/>
        </w:rPr>
        <w:t>民革四川省委</w:t>
      </w:r>
      <w:r>
        <w:rPr>
          <w:rFonts w:hint="default" w:ascii="Times New Roman" w:hAnsi="Times New Roman" w:eastAsia="仿宋" w:cs="Times New Roman"/>
          <w:sz w:val="32"/>
          <w:szCs w:val="32"/>
          <w:lang w:eastAsia="zh-CN"/>
        </w:rPr>
        <w:t>会</w:t>
      </w:r>
      <w:r>
        <w:rPr>
          <w:rFonts w:hint="default" w:ascii="Times New Roman" w:hAnsi="Times New Roman" w:eastAsia="仿宋" w:cs="Times New Roman"/>
          <w:sz w:val="32"/>
          <w:szCs w:val="32"/>
        </w:rPr>
        <w:t>与各地市州民革组织工作联系、课题调研、民革工作宣传报道、开会、培训及公务接待工作</w:t>
      </w:r>
      <w:r>
        <w:rPr>
          <w:rFonts w:hint="default" w:ascii="Times New Roman" w:hAnsi="Times New Roman" w:eastAsia="仿宋_GB2312" w:cs="Times New Roman"/>
          <w:color w:val="000000"/>
          <w:sz w:val="32"/>
          <w:szCs w:val="32"/>
        </w:rPr>
        <w:t>等所需的公务用车燃料费、维修费、过路过桥费、保险费等支出。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3.公务接待费支出</w:t>
      </w:r>
      <w:r>
        <w:rPr>
          <w:rFonts w:hint="default" w:ascii="Times New Roman" w:hAnsi="Times New Roman" w:eastAsia="仿宋_GB2312" w:cs="Times New Roman"/>
          <w:color w:val="auto"/>
          <w:sz w:val="32"/>
          <w:szCs w:val="32"/>
          <w:highlight w:val="none"/>
          <w:lang w:val="en-US" w:eastAsia="zh-CN"/>
        </w:rPr>
        <w:t>3.83</w:t>
      </w:r>
      <w:r>
        <w:rPr>
          <w:rFonts w:hint="default" w:ascii="Times New Roman" w:hAnsi="Times New Roman" w:eastAsia="仿宋_GB2312" w:cs="Times New Roman"/>
          <w:color w:val="auto"/>
          <w:sz w:val="32"/>
          <w:szCs w:val="32"/>
          <w:highlight w:val="none"/>
        </w:rPr>
        <w:t>万元，</w:t>
      </w:r>
      <w:r>
        <w:rPr>
          <w:rStyle w:val="17"/>
          <w:rFonts w:hint="default" w:ascii="Times New Roman" w:hAnsi="Times New Roman" w:eastAsia="仿宋" w:cs="Times New Roman"/>
          <w:b w:val="0"/>
          <w:bCs/>
          <w:color w:val="auto"/>
          <w:sz w:val="32"/>
          <w:szCs w:val="32"/>
          <w:highlight w:val="none"/>
        </w:rPr>
        <w:t>完成预算</w:t>
      </w:r>
      <w:r>
        <w:rPr>
          <w:rStyle w:val="17"/>
          <w:rFonts w:hint="default" w:ascii="Times New Roman" w:hAnsi="Times New Roman" w:eastAsia="仿宋" w:cs="Times New Roman"/>
          <w:b w:val="0"/>
          <w:bCs/>
          <w:color w:val="auto"/>
          <w:sz w:val="32"/>
          <w:szCs w:val="32"/>
          <w:highlight w:val="none"/>
          <w:lang w:val="en-US" w:eastAsia="zh-CN"/>
        </w:rPr>
        <w:t>76.6</w:t>
      </w:r>
      <w:r>
        <w:rPr>
          <w:rStyle w:val="17"/>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公务接待费支出决算比</w:t>
      </w:r>
      <w:r>
        <w:rPr>
          <w:rFonts w:hint="default" w:ascii="Times New Roman" w:hAnsi="Times New Roman" w:eastAsia="仿宋_GB2312" w:cs="Times New Roman"/>
          <w:color w:val="auto"/>
          <w:sz w:val="32"/>
          <w:szCs w:val="32"/>
          <w:highlight w:val="none"/>
          <w:lang w:eastAsia="zh-CN"/>
        </w:rPr>
        <w:t>2022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增加</w:t>
      </w:r>
      <w:r>
        <w:rPr>
          <w:rFonts w:hint="default" w:ascii="Times New Roman" w:hAnsi="Times New Roman" w:eastAsia="仿宋_GB2312" w:cs="Times New Roman"/>
          <w:color w:val="auto"/>
          <w:sz w:val="32"/>
          <w:szCs w:val="32"/>
          <w:highlight w:val="none"/>
          <w:lang w:val="en-US" w:eastAsia="zh-CN"/>
        </w:rPr>
        <w:t>1.94</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102.6</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color w:val="auto"/>
          <w:sz w:val="32"/>
          <w:szCs w:val="32"/>
          <w:highlight w:val="none"/>
          <w:lang w:eastAsia="zh-CN"/>
        </w:rPr>
        <w:t>疫情放开，公务交流活动增加</w:t>
      </w:r>
      <w:r>
        <w:rPr>
          <w:rFonts w:hint="default" w:ascii="Times New Roman" w:hAnsi="Times New Roman" w:eastAsia="仿宋_GB2312" w:cs="Times New Roman"/>
          <w:color w:val="auto"/>
          <w:sz w:val="32"/>
          <w:szCs w:val="32"/>
          <w:highlight w:val="none"/>
        </w:rPr>
        <w:t>。其中：</w:t>
      </w:r>
    </w:p>
    <w:p>
      <w:pPr>
        <w:keepNext w:val="0"/>
        <w:keepLines w:val="0"/>
        <w:pageBreakBefore w:val="0"/>
        <w:kinsoku/>
        <w:wordWrap/>
        <w:overflowPunct/>
        <w:topLinePunct w:val="0"/>
        <w:bidi w:val="0"/>
        <w:snapToGrid/>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b/>
          <w:color w:val="auto"/>
          <w:sz w:val="32"/>
          <w:szCs w:val="32"/>
          <w:highlight w:val="none"/>
        </w:rPr>
        <w:t>国内公务接待支出</w:t>
      </w:r>
      <w:r>
        <w:rPr>
          <w:rFonts w:hint="default" w:ascii="Times New Roman" w:hAnsi="Times New Roman" w:eastAsia="仿宋" w:cs="Times New Roman"/>
          <w:color w:val="auto"/>
          <w:sz w:val="32"/>
          <w:szCs w:val="32"/>
          <w:highlight w:val="none"/>
          <w:lang w:val="en-US" w:eastAsia="zh-CN"/>
        </w:rPr>
        <w:t>3.83</w:t>
      </w:r>
      <w:r>
        <w:rPr>
          <w:rFonts w:hint="default" w:ascii="Times New Roman" w:hAnsi="Times New Roman" w:eastAsia="仿宋_GB2312" w:cs="Times New Roman"/>
          <w:color w:val="auto"/>
          <w:sz w:val="32"/>
          <w:szCs w:val="32"/>
          <w:highlight w:val="none"/>
        </w:rPr>
        <w:t>万元，主要用于</w:t>
      </w:r>
      <w:r>
        <w:rPr>
          <w:rFonts w:hint="default" w:ascii="Times New Roman" w:hAnsi="Times New Roman" w:eastAsia="仿宋_GB2312" w:cs="Times New Roman"/>
          <w:color w:val="000000"/>
          <w:sz w:val="32"/>
          <w:szCs w:val="32"/>
        </w:rPr>
        <w:t>执行公务、开展业务活动开支的交通费、住宿费、用餐费等</w:t>
      </w:r>
      <w:r>
        <w:rPr>
          <w:rFonts w:hint="default" w:ascii="Times New Roman" w:hAnsi="Times New Roman" w:eastAsia="仿宋_GB2312" w:cs="Times New Roman"/>
          <w:color w:val="auto"/>
          <w:sz w:val="32"/>
          <w:szCs w:val="32"/>
          <w:highlight w:val="none"/>
        </w:rPr>
        <w:t>。国内公务接待</w:t>
      </w:r>
      <w:r>
        <w:rPr>
          <w:rFonts w:hint="default"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批次，</w:t>
      </w:r>
      <w:r>
        <w:rPr>
          <w:rFonts w:hint="default" w:ascii="Times New Roman" w:hAnsi="Times New Roman" w:eastAsia="仿宋_GB2312" w:cs="Times New Roman"/>
          <w:color w:val="auto"/>
          <w:sz w:val="32"/>
          <w:szCs w:val="32"/>
          <w:highlight w:val="none"/>
          <w:lang w:val="en-US" w:eastAsia="zh-CN"/>
        </w:rPr>
        <w:t>194</w:t>
      </w:r>
      <w:r>
        <w:rPr>
          <w:rFonts w:hint="default" w:ascii="Times New Roman" w:hAnsi="Times New Roman" w:eastAsia="仿宋_GB2312" w:cs="Times New Roman"/>
          <w:color w:val="auto"/>
          <w:sz w:val="32"/>
          <w:szCs w:val="32"/>
          <w:highlight w:val="none"/>
        </w:rPr>
        <w:t>人次（不包括陪同人员），共计支出</w:t>
      </w:r>
      <w:r>
        <w:rPr>
          <w:rFonts w:hint="default" w:ascii="Times New Roman" w:hAnsi="Times New Roman" w:eastAsia="仿宋_GB2312" w:cs="Times New Roman"/>
          <w:color w:val="auto"/>
          <w:sz w:val="32"/>
          <w:szCs w:val="32"/>
          <w:highlight w:val="none"/>
          <w:lang w:val="en-US" w:eastAsia="zh-CN"/>
        </w:rPr>
        <w:t>3.83</w:t>
      </w:r>
      <w:r>
        <w:rPr>
          <w:rFonts w:hint="default" w:ascii="Times New Roman" w:hAnsi="Times New Roman" w:eastAsia="仿宋_GB2312" w:cs="Times New Roman"/>
          <w:color w:val="auto"/>
          <w:sz w:val="32"/>
          <w:szCs w:val="32"/>
          <w:highlight w:val="none"/>
        </w:rPr>
        <w:t>万元，具体内容包括：</w:t>
      </w:r>
      <w:r>
        <w:rPr>
          <w:rFonts w:hint="default" w:ascii="Times New Roman" w:hAnsi="Times New Roman" w:eastAsia="仿宋_GB2312" w:cs="Times New Roman"/>
          <w:sz w:val="32"/>
          <w:szCs w:val="32"/>
        </w:rPr>
        <w:t>接待民革中央领导及工作人员</w:t>
      </w:r>
      <w:r>
        <w:rPr>
          <w:rFonts w:hint="default" w:ascii="Times New Roman" w:hAnsi="Times New Roman" w:eastAsia="仿宋_GB2312" w:cs="Times New Roman"/>
          <w:sz w:val="32"/>
          <w:szCs w:val="32"/>
          <w:lang w:val="en-US" w:eastAsia="zh-CN"/>
        </w:rPr>
        <w:t>0.88</w:t>
      </w:r>
      <w:r>
        <w:rPr>
          <w:rFonts w:hint="default" w:ascii="Times New Roman" w:hAnsi="Times New Roman" w:eastAsia="仿宋_GB2312" w:cs="Times New Roman"/>
          <w:sz w:val="32"/>
          <w:szCs w:val="32"/>
        </w:rPr>
        <w:t>万元，接待省内民革组织及省级单位</w:t>
      </w:r>
      <w:r>
        <w:rPr>
          <w:rFonts w:hint="default" w:ascii="Times New Roman" w:hAnsi="Times New Roman" w:eastAsia="仿宋_GB2312" w:cs="Times New Roman"/>
          <w:sz w:val="32"/>
          <w:szCs w:val="32"/>
          <w:lang w:val="en-US" w:eastAsia="zh-CN"/>
        </w:rPr>
        <w:t>2.95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仿宋" w:cs="Times New Roman"/>
          <w:b/>
          <w:color w:val="auto"/>
          <w:sz w:val="32"/>
          <w:szCs w:val="32"/>
          <w:highlight w:val="none"/>
        </w:rPr>
        <w:t>外事接待支出</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bookmarkStart w:id="44" w:name="_Toc15377218"/>
      <w:bookmarkStart w:id="45" w:name="_Toc15396610"/>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1"/>
        <w:rPr>
          <w:rStyle w:val="29"/>
          <w:rFonts w:hint="default" w:ascii="Times New Roman" w:hAnsi="Times New Roman" w:eastAsia="黑体" w:cs="Times New Roman"/>
          <w:color w:val="auto"/>
          <w:highlight w:val="none"/>
        </w:rPr>
      </w:pPr>
      <w:r>
        <w:rPr>
          <w:rFonts w:hint="default" w:ascii="Times New Roman" w:hAnsi="Times New Roman" w:eastAsia="黑体" w:cs="Times New Roman"/>
          <w:color w:val="auto"/>
          <w:sz w:val="32"/>
          <w:szCs w:val="32"/>
          <w:highlight w:val="none"/>
        </w:rPr>
        <w:t>八、</w:t>
      </w:r>
      <w:r>
        <w:rPr>
          <w:rStyle w:val="29"/>
          <w:rFonts w:hint="default" w:ascii="Times New Roman" w:hAnsi="Times New Roman" w:eastAsia="黑体" w:cs="Times New Roman"/>
          <w:b w:val="0"/>
          <w:color w:val="auto"/>
          <w:highlight w:val="none"/>
        </w:rPr>
        <w:t>政府性基金预算支出决算情况说明</w:t>
      </w:r>
      <w:bookmarkEnd w:id="44"/>
      <w:bookmarkEnd w:id="45"/>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政府性基金预算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textAlignment w:val="auto"/>
        <w:outlineLvl w:val="1"/>
        <w:rPr>
          <w:rStyle w:val="29"/>
          <w:rFonts w:hint="default" w:ascii="Times New Roman" w:hAnsi="Times New Roman" w:eastAsia="黑体" w:cs="Times New Roman"/>
          <w:b w:val="0"/>
          <w:color w:val="auto"/>
          <w:highlight w:val="none"/>
        </w:rPr>
      </w:pPr>
      <w:bookmarkStart w:id="46" w:name="_Toc15396611"/>
      <w:bookmarkStart w:id="47" w:name="_Toc15377219"/>
      <w:r>
        <w:rPr>
          <w:rStyle w:val="29"/>
          <w:rFonts w:hint="default" w:ascii="Times New Roman" w:hAnsi="Times New Roman" w:eastAsia="黑体" w:cs="Times New Roman"/>
          <w:b w:val="0"/>
          <w:color w:val="auto"/>
          <w:highlight w:val="none"/>
        </w:rPr>
        <w:t>国有资本经营预算支出决算情况说明</w:t>
      </w:r>
      <w:bookmarkEnd w:id="46"/>
      <w:bookmarkEnd w:id="47"/>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国有资本经营预算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textAlignment w:val="auto"/>
        <w:outlineLvl w:val="1"/>
        <w:rPr>
          <w:rStyle w:val="29"/>
          <w:rFonts w:hint="default" w:ascii="Times New Roman" w:hAnsi="Times New Roman" w:eastAsia="黑体" w:cs="Times New Roman"/>
          <w:b w:val="0"/>
          <w:color w:val="auto"/>
          <w:highlight w:val="none"/>
        </w:rPr>
      </w:pPr>
      <w:bookmarkStart w:id="48" w:name="_Toc15377221"/>
      <w:bookmarkStart w:id="49" w:name="_Toc15396612"/>
      <w:r>
        <w:rPr>
          <w:rStyle w:val="29"/>
          <w:rFonts w:hint="default" w:ascii="Times New Roman" w:hAnsi="Times New Roman" w:eastAsia="黑体" w:cs="Times New Roman"/>
          <w:b w:val="0"/>
          <w:color w:val="auto"/>
          <w:highlight w:val="none"/>
        </w:rPr>
        <w:t>其他重要事项的情况说明</w:t>
      </w:r>
      <w:bookmarkEnd w:id="48"/>
      <w:bookmarkEnd w:id="49"/>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 w:cs="Times New Roman"/>
          <w:color w:val="auto"/>
          <w:sz w:val="32"/>
          <w:szCs w:val="32"/>
          <w:highlight w:val="none"/>
        </w:rPr>
      </w:pPr>
      <w:bookmarkStart w:id="50" w:name="_Toc15377222"/>
      <w:r>
        <w:rPr>
          <w:rFonts w:hint="default" w:ascii="Times New Roman" w:hAnsi="Times New Roman" w:eastAsia="仿宋" w:cs="Times New Roman"/>
          <w:b/>
          <w:color w:val="auto"/>
          <w:sz w:val="32"/>
          <w:szCs w:val="32"/>
          <w:highlight w:val="none"/>
        </w:rPr>
        <w:t>（一）机关运行经费支出情况</w:t>
      </w:r>
      <w:bookmarkEnd w:id="5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民革四川省委会</w:t>
      </w:r>
      <w:r>
        <w:rPr>
          <w:rFonts w:hint="default" w:ascii="Times New Roman" w:hAnsi="Times New Roman" w:eastAsia="仿宋_GB2312" w:cs="Times New Roman"/>
          <w:color w:val="auto"/>
          <w:sz w:val="32"/>
          <w:szCs w:val="32"/>
          <w:highlight w:val="none"/>
        </w:rPr>
        <w:t>机关运行经费支出</w:t>
      </w:r>
      <w:r>
        <w:rPr>
          <w:rFonts w:hint="default" w:ascii="Times New Roman" w:hAnsi="Times New Roman" w:eastAsia="仿宋_GB2312" w:cs="Times New Roman"/>
          <w:color w:val="auto"/>
          <w:sz w:val="32"/>
          <w:szCs w:val="32"/>
          <w:highlight w:val="none"/>
          <w:lang w:val="en-US" w:eastAsia="zh-CN"/>
        </w:rPr>
        <w:t>316.31</w:t>
      </w:r>
      <w:r>
        <w:rPr>
          <w:rFonts w:hint="default" w:ascii="Times New Roman" w:hAnsi="Times New Roman" w:eastAsia="仿宋_GB2312" w:cs="Times New Roman"/>
          <w:color w:val="auto"/>
          <w:sz w:val="32"/>
          <w:szCs w:val="32"/>
          <w:highlight w:val="none"/>
        </w:rPr>
        <w:t>万元，比</w:t>
      </w:r>
      <w:r>
        <w:rPr>
          <w:rFonts w:hint="default" w:ascii="Times New Roman" w:hAnsi="Times New Roman" w:eastAsia="仿宋_GB2312" w:cs="Times New Roman"/>
          <w:color w:val="auto"/>
          <w:sz w:val="32"/>
          <w:szCs w:val="32"/>
          <w:highlight w:val="none"/>
          <w:lang w:eastAsia="zh-CN"/>
        </w:rPr>
        <w:t>2022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增加</w:t>
      </w:r>
      <w:r>
        <w:rPr>
          <w:rFonts w:hint="default" w:ascii="Times New Roman" w:hAnsi="Times New Roman" w:eastAsia="仿宋_GB2312" w:cs="Times New Roman"/>
          <w:color w:val="auto"/>
          <w:sz w:val="32"/>
          <w:szCs w:val="32"/>
          <w:highlight w:val="none"/>
          <w:lang w:val="en-US" w:eastAsia="zh-CN"/>
        </w:rPr>
        <w:t>67.97</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27.4</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color w:val="auto"/>
          <w:sz w:val="32"/>
          <w:szCs w:val="32"/>
          <w:highlight w:val="none"/>
          <w:lang w:eastAsia="zh-CN"/>
        </w:rPr>
        <w:t>疫情放开，公务活动增多，</w:t>
      </w:r>
      <w:r>
        <w:rPr>
          <w:rFonts w:hint="default" w:ascii="Times New Roman" w:hAnsi="Times New Roman" w:eastAsia="仿宋_GB2312" w:cs="Times New Roman"/>
          <w:color w:val="auto"/>
          <w:sz w:val="32"/>
          <w:szCs w:val="32"/>
          <w:highlight w:val="none"/>
        </w:rPr>
        <w:t>机关运行经费</w:t>
      </w:r>
      <w:r>
        <w:rPr>
          <w:rFonts w:hint="default" w:ascii="Times New Roman" w:hAnsi="Times New Roman" w:eastAsia="仿宋_GB2312" w:cs="Times New Roman"/>
          <w:color w:val="auto"/>
          <w:sz w:val="32"/>
          <w:szCs w:val="32"/>
          <w:highlight w:val="none"/>
          <w:lang w:eastAsia="zh-CN"/>
        </w:rPr>
        <w:t>相应增多。</w:t>
      </w:r>
    </w:p>
    <w:p>
      <w:pPr>
        <w:keepNext w:val="0"/>
        <w:keepLines w:val="0"/>
        <w:pageBreakBefore w:val="0"/>
        <w:kinsoku/>
        <w:wordWrap/>
        <w:overflowPunct/>
        <w:topLinePunct w:val="0"/>
        <w:autoSpaceDE w:val="0"/>
        <w:autoSpaceDN w:val="0"/>
        <w:bidi w:val="0"/>
        <w:adjustRightInd w:val="0"/>
        <w:snapToGrid/>
        <w:spacing w:line="600" w:lineRule="exact"/>
        <w:ind w:firstLine="643" w:firstLineChars="200"/>
        <w:jc w:val="left"/>
        <w:textAlignment w:val="auto"/>
        <w:outlineLvl w:val="2"/>
        <w:rPr>
          <w:rFonts w:hint="default" w:ascii="Times New Roman" w:hAnsi="Times New Roman" w:eastAsia="仿宋" w:cs="Times New Roman"/>
          <w:b/>
          <w:color w:val="auto"/>
          <w:sz w:val="32"/>
          <w:szCs w:val="32"/>
          <w:highlight w:val="none"/>
        </w:rPr>
      </w:pPr>
      <w:bookmarkStart w:id="51" w:name="_Toc15377223"/>
      <w:r>
        <w:rPr>
          <w:rFonts w:hint="default" w:ascii="Times New Roman" w:hAnsi="Times New Roman" w:eastAsia="仿宋" w:cs="Times New Roman"/>
          <w:b/>
          <w:color w:val="auto"/>
          <w:sz w:val="32"/>
          <w:szCs w:val="32"/>
          <w:highlight w:val="none"/>
        </w:rPr>
        <w:t>（二）政府采购支出情况</w:t>
      </w:r>
      <w:bookmarkEnd w:id="51"/>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民革四川省委会</w:t>
      </w:r>
      <w:r>
        <w:rPr>
          <w:rFonts w:hint="default" w:ascii="Times New Roman" w:hAnsi="Times New Roman" w:eastAsia="仿宋_GB2312" w:cs="Times New Roman"/>
          <w:color w:val="auto"/>
          <w:sz w:val="32"/>
          <w:szCs w:val="32"/>
          <w:highlight w:val="none"/>
        </w:rPr>
        <w:t>政府采购支出总额</w:t>
      </w:r>
      <w:r>
        <w:rPr>
          <w:rFonts w:hint="default" w:ascii="Times New Roman" w:hAnsi="Times New Roman" w:eastAsia="仿宋_GB2312" w:cs="Times New Roman"/>
          <w:color w:val="auto"/>
          <w:sz w:val="32"/>
          <w:szCs w:val="32"/>
          <w:highlight w:val="none"/>
          <w:lang w:val="en-US" w:eastAsia="zh-CN"/>
        </w:rPr>
        <w:t>16.11</w:t>
      </w:r>
      <w:r>
        <w:rPr>
          <w:rFonts w:hint="default" w:ascii="Times New Roman" w:hAnsi="Times New Roman" w:eastAsia="仿宋_GB2312" w:cs="Times New Roman"/>
          <w:color w:val="auto"/>
          <w:sz w:val="32"/>
          <w:szCs w:val="32"/>
          <w:highlight w:val="none"/>
        </w:rPr>
        <w:t>万元，其中：政府采购货物支出</w:t>
      </w:r>
      <w:r>
        <w:rPr>
          <w:rFonts w:hint="default" w:ascii="Times New Roman" w:hAnsi="Times New Roman" w:eastAsia="仿宋_GB2312" w:cs="Times New Roman"/>
          <w:color w:val="auto"/>
          <w:sz w:val="32"/>
          <w:szCs w:val="32"/>
          <w:highlight w:val="none"/>
          <w:lang w:val="en-US" w:eastAsia="zh-CN"/>
        </w:rPr>
        <w:t>7.59</w:t>
      </w:r>
      <w:r>
        <w:rPr>
          <w:rFonts w:hint="default" w:ascii="Times New Roman" w:hAnsi="Times New Roman" w:eastAsia="仿宋_GB2312" w:cs="Times New Roman"/>
          <w:color w:val="auto"/>
          <w:sz w:val="32"/>
          <w:szCs w:val="32"/>
          <w:highlight w:val="none"/>
        </w:rPr>
        <w:t>万元、政府采购工程支出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万元、政府采购服务支出</w:t>
      </w:r>
      <w:r>
        <w:rPr>
          <w:rFonts w:hint="default" w:ascii="Times New Roman" w:hAnsi="Times New Roman" w:eastAsia="仿宋_GB2312" w:cs="Times New Roman"/>
          <w:color w:val="auto"/>
          <w:sz w:val="32"/>
          <w:szCs w:val="32"/>
          <w:highlight w:val="none"/>
          <w:lang w:val="en-US" w:eastAsia="zh-CN"/>
        </w:rPr>
        <w:t>8.52</w:t>
      </w:r>
      <w:r>
        <w:rPr>
          <w:rFonts w:hint="default" w:ascii="Times New Roman" w:hAnsi="Times New Roman" w:eastAsia="仿宋_GB2312" w:cs="Times New Roman"/>
          <w:color w:val="auto"/>
          <w:sz w:val="32"/>
          <w:szCs w:val="32"/>
          <w:highlight w:val="none"/>
        </w:rPr>
        <w:t>万元。主要用于</w:t>
      </w:r>
      <w:r>
        <w:rPr>
          <w:rFonts w:hint="default" w:ascii="Times New Roman" w:hAnsi="Times New Roman" w:eastAsia="仿宋_GB2312" w:cs="Times New Roman"/>
          <w:color w:val="auto"/>
          <w:sz w:val="32"/>
          <w:szCs w:val="32"/>
          <w:highlight w:val="none"/>
          <w:lang w:val="en-US" w:eastAsia="zh-CN"/>
        </w:rPr>
        <w:t>购买机关办公设备、</w:t>
      </w:r>
      <w:r>
        <w:rPr>
          <w:rFonts w:hint="default" w:ascii="Times New Roman" w:hAnsi="Times New Roman" w:eastAsia="仿宋_GB2312" w:cs="Times New Roman"/>
          <w:bCs/>
          <w:color w:val="000000"/>
          <w:sz w:val="32"/>
          <w:szCs w:val="32"/>
        </w:rPr>
        <w:t>汽车保险、汽车加油、汽车维修</w:t>
      </w:r>
      <w:r>
        <w:rPr>
          <w:rFonts w:hint="default" w:ascii="Times New Roman" w:hAnsi="Times New Roman" w:eastAsia="仿宋_GB2312" w:cs="Times New Roman"/>
          <w:bCs/>
          <w:color w:val="000000"/>
          <w:sz w:val="32"/>
          <w:szCs w:val="32"/>
          <w:lang w:val="en-US" w:eastAsia="zh-CN"/>
        </w:rPr>
        <w:t>等</w:t>
      </w:r>
      <w:r>
        <w:rPr>
          <w:rFonts w:hint="default" w:ascii="Times New Roman" w:hAnsi="Times New Roman" w:eastAsia="仿宋_GB2312" w:cs="Times New Roman"/>
          <w:color w:val="auto"/>
          <w:sz w:val="32"/>
          <w:szCs w:val="32"/>
          <w:highlight w:val="none"/>
        </w:rPr>
        <w:t>。授予中小企业合同金额</w:t>
      </w:r>
      <w:r>
        <w:rPr>
          <w:rFonts w:hint="default" w:ascii="Times New Roman" w:hAnsi="Times New Roman" w:eastAsia="仿宋_GB2312" w:cs="Times New Roman"/>
          <w:color w:val="auto"/>
          <w:sz w:val="32"/>
          <w:szCs w:val="32"/>
          <w:highlight w:val="none"/>
          <w:lang w:val="en-US" w:eastAsia="zh-CN"/>
        </w:rPr>
        <w:t>10.36</w:t>
      </w:r>
      <w:r>
        <w:rPr>
          <w:rFonts w:hint="default" w:ascii="Times New Roman" w:hAnsi="Times New Roman" w:eastAsia="仿宋_GB2312" w:cs="Times New Roman"/>
          <w:color w:val="auto"/>
          <w:sz w:val="32"/>
          <w:szCs w:val="32"/>
          <w:highlight w:val="none"/>
        </w:rPr>
        <w:t>万元，占政府采购支出总额的</w:t>
      </w:r>
      <w:r>
        <w:rPr>
          <w:rFonts w:hint="default" w:ascii="Times New Roman" w:hAnsi="Times New Roman" w:eastAsia="仿宋_GB2312" w:cs="Times New Roman"/>
          <w:color w:val="auto"/>
          <w:sz w:val="32"/>
          <w:szCs w:val="32"/>
          <w:highlight w:val="none"/>
          <w:lang w:val="en-US" w:eastAsia="zh-CN"/>
        </w:rPr>
        <w:t>64.3</w:t>
      </w:r>
      <w:r>
        <w:rPr>
          <w:rFonts w:hint="default" w:ascii="Times New Roman" w:hAnsi="Times New Roman" w:eastAsia="仿宋_GB2312" w:cs="Times New Roman"/>
          <w:color w:val="auto"/>
          <w:sz w:val="32"/>
          <w:szCs w:val="32"/>
          <w:highlight w:val="none"/>
        </w:rPr>
        <w:t>%，其中：授予小微企业合同金额</w:t>
      </w:r>
      <w:r>
        <w:rPr>
          <w:rFonts w:hint="default" w:ascii="Times New Roman" w:hAnsi="Times New Roman" w:eastAsia="仿宋_GB2312" w:cs="Times New Roman"/>
          <w:color w:val="auto"/>
          <w:sz w:val="32"/>
          <w:szCs w:val="32"/>
          <w:highlight w:val="none"/>
          <w:lang w:val="en-US" w:eastAsia="zh-CN"/>
        </w:rPr>
        <w:t>10.36</w:t>
      </w:r>
      <w:r>
        <w:rPr>
          <w:rFonts w:hint="default" w:ascii="Times New Roman" w:hAnsi="Times New Roman" w:eastAsia="仿宋_GB2312" w:cs="Times New Roman"/>
          <w:color w:val="auto"/>
          <w:sz w:val="32"/>
          <w:szCs w:val="32"/>
          <w:highlight w:val="none"/>
        </w:rPr>
        <w:t>万元，占政府采购支出总额的</w:t>
      </w:r>
      <w:r>
        <w:rPr>
          <w:rFonts w:hint="default" w:ascii="Times New Roman" w:hAnsi="Times New Roman" w:eastAsia="仿宋_GB2312" w:cs="Times New Roman"/>
          <w:color w:val="auto"/>
          <w:sz w:val="32"/>
          <w:szCs w:val="32"/>
          <w:highlight w:val="none"/>
          <w:lang w:val="en-US" w:eastAsia="zh-CN"/>
        </w:rPr>
        <w:t>64.3</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val="0"/>
        <w:autoSpaceDN w:val="0"/>
        <w:bidi w:val="0"/>
        <w:adjustRightInd w:val="0"/>
        <w:snapToGrid/>
        <w:spacing w:line="600" w:lineRule="exact"/>
        <w:ind w:firstLine="643" w:firstLineChars="200"/>
        <w:jc w:val="left"/>
        <w:textAlignment w:val="auto"/>
        <w:outlineLvl w:val="2"/>
        <w:rPr>
          <w:rFonts w:hint="default" w:ascii="Times New Roman" w:hAnsi="Times New Roman" w:eastAsia="仿宋" w:cs="Times New Roman"/>
          <w:b/>
          <w:color w:val="auto"/>
          <w:sz w:val="32"/>
          <w:szCs w:val="32"/>
          <w:highlight w:val="none"/>
        </w:rPr>
      </w:pPr>
      <w:bookmarkStart w:id="52" w:name="_Toc15377224"/>
      <w:r>
        <w:rPr>
          <w:rFonts w:hint="default" w:ascii="Times New Roman" w:hAnsi="Times New Roman" w:eastAsia="仿宋" w:cs="Times New Roman"/>
          <w:b/>
          <w:color w:val="auto"/>
          <w:sz w:val="32"/>
          <w:szCs w:val="32"/>
          <w:highlight w:val="none"/>
        </w:rPr>
        <w:t>（三）国有资产占有使用情况</w:t>
      </w:r>
      <w:bookmarkEnd w:id="52"/>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截至</w:t>
      </w: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年12月31日，</w:t>
      </w:r>
      <w:r>
        <w:rPr>
          <w:rFonts w:hint="default" w:ascii="Times New Roman" w:hAnsi="Times New Roman" w:eastAsia="仿宋_GB2312" w:cs="Times New Roman"/>
          <w:color w:val="auto"/>
          <w:sz w:val="32"/>
          <w:szCs w:val="32"/>
          <w:highlight w:val="none"/>
          <w:lang w:eastAsia="zh-CN"/>
        </w:rPr>
        <w:t>民革四川省委会</w:t>
      </w:r>
      <w:r>
        <w:rPr>
          <w:rFonts w:hint="default" w:ascii="Times New Roman" w:hAnsi="Times New Roman" w:eastAsia="仿宋_GB2312" w:cs="Times New Roman"/>
          <w:color w:val="auto"/>
          <w:sz w:val="32"/>
          <w:szCs w:val="32"/>
          <w:highlight w:val="none"/>
        </w:rPr>
        <w:t>共有车辆</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辆，其中：</w:t>
      </w:r>
      <w:r>
        <w:rPr>
          <w:rFonts w:hint="default" w:ascii="Times New Roman" w:hAnsi="Times New Roman" w:eastAsia="仿宋_GB2312" w:cs="Times New Roman"/>
          <w:color w:val="auto"/>
          <w:sz w:val="32"/>
          <w:szCs w:val="32"/>
          <w:highlight w:val="none"/>
          <w:lang w:eastAsia="zh-CN"/>
        </w:rPr>
        <w:t>离退休</w:t>
      </w:r>
      <w:r>
        <w:rPr>
          <w:rFonts w:hint="default" w:ascii="Times New Roman" w:hAnsi="Times New Roman" w:eastAsia="仿宋_GB2312" w:cs="Times New Roman"/>
          <w:color w:val="auto"/>
          <w:sz w:val="32"/>
          <w:szCs w:val="32"/>
          <w:highlight w:val="none"/>
        </w:rPr>
        <w:t>干部用车</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辆、机要通信用车</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辆、应急保障用车</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单价100万元以上设备</w:t>
      </w:r>
      <w:r>
        <w:rPr>
          <w:rFonts w:hint="default" w:ascii="Times New Roman" w:hAnsi="Times New Roman" w:eastAsia="仿宋_GB2312" w:cs="Times New Roman"/>
          <w:color w:val="auto"/>
          <w:sz w:val="32"/>
          <w:szCs w:val="32"/>
          <w:highlight w:val="none"/>
          <w:lang w:eastAsia="zh-CN"/>
        </w:rPr>
        <w:t>（不含车辆）</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台（套）。</w:t>
      </w:r>
    </w:p>
    <w:p>
      <w:pPr>
        <w:keepNext w:val="0"/>
        <w:keepLines w:val="0"/>
        <w:pageBreakBefore w:val="0"/>
        <w:kinsoku/>
        <w:wordWrap/>
        <w:overflowPunct/>
        <w:topLinePunct w:val="0"/>
        <w:autoSpaceDE w:val="0"/>
        <w:autoSpaceDN w:val="0"/>
        <w:bidi w:val="0"/>
        <w:adjustRightInd w:val="0"/>
        <w:snapToGrid/>
        <w:spacing w:line="600" w:lineRule="exact"/>
        <w:ind w:firstLine="643" w:firstLineChars="200"/>
        <w:jc w:val="left"/>
        <w:textAlignment w:val="auto"/>
        <w:outlineLvl w:val="2"/>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（四）预算绩效管理情况</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根据预算绩效管理要求，本部门在202</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年度预算编制阶段，</w:t>
      </w:r>
      <w:r>
        <w:rPr>
          <w:rFonts w:hint="default" w:ascii="Times New Roman" w:hAnsi="Times New Roman" w:eastAsia="仿宋_GB2312" w:cs="Times New Roman"/>
          <w:color w:val="auto"/>
          <w:sz w:val="32"/>
          <w:szCs w:val="32"/>
          <w:highlight w:val="none"/>
          <w:lang w:val="en-US" w:eastAsia="zh-CN"/>
        </w:rPr>
        <w:t>因项目未达到开展事前绩效评估要求，未对</w:t>
      </w:r>
      <w:r>
        <w:rPr>
          <w:rFonts w:hint="default" w:ascii="Times New Roman" w:hAnsi="Times New Roman" w:eastAsia="仿宋_GB2312" w:cs="Times New Roman"/>
          <w:color w:val="auto"/>
          <w:sz w:val="32"/>
          <w:szCs w:val="32"/>
          <w:highlight w:val="none"/>
        </w:rPr>
        <w:t>项目开展预算事前绩效评估，对</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13</w:t>
      </w:r>
      <w:r>
        <w:rPr>
          <w:rFonts w:hint="default" w:ascii="Times New Roman" w:hAnsi="Times New Roman" w:eastAsia="仿宋_GB2312" w:cs="Times New Roman"/>
          <w:color w:val="auto"/>
          <w:sz w:val="32"/>
          <w:szCs w:val="32"/>
          <w:highlight w:val="none"/>
        </w:rPr>
        <w:t>个项目编制了绩效目标，预算执行过程中，选取</w:t>
      </w:r>
      <w:r>
        <w:rPr>
          <w:rFonts w:hint="default"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rPr>
        <w:t>个项目开展绩效监控。</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b/>
          <w:color w:val="auto"/>
          <w:sz w:val="32"/>
          <w:szCs w:val="32"/>
          <w:highlight w:val="none"/>
        </w:rPr>
      </w:pPr>
      <w:r>
        <w:rPr>
          <w:rFonts w:hint="default" w:ascii="Times New Roman" w:hAnsi="Times New Roman" w:eastAsia="仿宋_GB2312" w:cs="Times New Roman"/>
          <w:color w:val="auto"/>
          <w:sz w:val="32"/>
          <w:szCs w:val="32"/>
          <w:highlight w:val="none"/>
          <w:lang w:eastAsia="zh-CN"/>
        </w:rPr>
        <w:t>组织</w:t>
      </w:r>
      <w:r>
        <w:rPr>
          <w:rFonts w:hint="default" w:ascii="Times New Roman" w:hAnsi="Times New Roman" w:eastAsia="仿宋_GB2312" w:cs="Times New Roman"/>
          <w:color w:val="auto"/>
          <w:sz w:val="32"/>
          <w:szCs w:val="32"/>
          <w:highlight w:val="none"/>
        </w:rPr>
        <w:t>对</w:t>
      </w:r>
      <w:r>
        <w:rPr>
          <w:rFonts w:hint="default" w:ascii="Times New Roman" w:hAnsi="Times New Roman" w:eastAsia="仿宋_GB2312" w:cs="Times New Roman"/>
          <w:color w:val="auto"/>
          <w:sz w:val="32"/>
          <w:szCs w:val="32"/>
          <w:highlight w:val="none"/>
          <w:lang w:val="en-US" w:eastAsia="zh-CN"/>
        </w:rPr>
        <w:t>2023年度一般公共预算、</w:t>
      </w:r>
      <w:r>
        <w:rPr>
          <w:rFonts w:hint="default" w:ascii="Times New Roman" w:hAnsi="Times New Roman" w:eastAsia="仿宋_GB2312" w:cs="Times New Roman"/>
          <w:color w:val="auto"/>
          <w:sz w:val="32"/>
          <w:szCs w:val="32"/>
          <w:highlight w:val="none"/>
          <w:lang w:eastAsia="zh-CN"/>
        </w:rPr>
        <w:t>政府性基金预算、国有资本经营预算、社会保险基金预算以及资本资产、债券资金等</w:t>
      </w:r>
      <w:r>
        <w:rPr>
          <w:rFonts w:hint="default" w:ascii="Times New Roman" w:hAnsi="Times New Roman" w:eastAsia="仿宋_GB2312" w:cs="Times New Roman"/>
          <w:color w:val="auto"/>
          <w:sz w:val="32"/>
          <w:szCs w:val="32"/>
          <w:highlight w:val="none"/>
          <w:lang w:val="en-US" w:eastAsia="zh-CN"/>
        </w:rPr>
        <w:t>全面开展绩效自评，形成民革四川省委会</w:t>
      </w:r>
      <w:r>
        <w:rPr>
          <w:rFonts w:hint="default" w:ascii="Times New Roman" w:hAnsi="Times New Roman" w:eastAsia="仿宋_GB2312" w:cs="Times New Roman"/>
          <w:color w:val="auto"/>
          <w:sz w:val="32"/>
          <w:szCs w:val="32"/>
          <w:highlight w:val="none"/>
          <w:lang w:eastAsia="zh-CN"/>
        </w:rPr>
        <w:t>部门整体（含部门预算项目）</w:t>
      </w:r>
      <w:r>
        <w:rPr>
          <w:rFonts w:hint="default" w:ascii="Times New Roman" w:hAnsi="Times New Roman" w:eastAsia="仿宋_GB2312" w:cs="Times New Roman"/>
          <w:color w:val="auto"/>
          <w:sz w:val="32"/>
          <w:szCs w:val="32"/>
          <w:highlight w:val="none"/>
          <w:lang w:val="en-US" w:eastAsia="zh-CN"/>
        </w:rPr>
        <w:t>绩效自评报告，其中，民革四川省委会部门整体</w:t>
      </w:r>
      <w:r>
        <w:rPr>
          <w:rFonts w:hint="default" w:ascii="Times New Roman" w:hAnsi="Times New Roman" w:eastAsia="仿宋_GB2312" w:cs="Times New Roman"/>
          <w:color w:val="auto"/>
          <w:sz w:val="32"/>
          <w:szCs w:val="32"/>
          <w:highlight w:val="none"/>
          <w:lang w:eastAsia="zh-CN"/>
        </w:rPr>
        <w:t>（含部门预算项目）</w:t>
      </w:r>
      <w:r>
        <w:rPr>
          <w:rFonts w:hint="default" w:ascii="Times New Roman" w:hAnsi="Times New Roman" w:eastAsia="仿宋_GB2312" w:cs="Times New Roman"/>
          <w:color w:val="auto"/>
          <w:sz w:val="32"/>
          <w:szCs w:val="32"/>
          <w:highlight w:val="none"/>
          <w:lang w:val="en-US" w:eastAsia="zh-CN"/>
        </w:rPr>
        <w:t>绩效自评得分为93.57分，绩效自评综述：民革四川省委会2023年度按要求编制了部门整体绩效目标，编制的绩效目标基本达到了要素完整、细化量化的要求，但部分目标编制还不够科学合理；省人大预算部门预算未提出绩效目标有关问题。2023年度，民革四川省委会认真贯彻《中共中央 国务院关于全面实施预算绩效管理的意见》</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中发〔</w:t>
      </w:r>
      <w:r>
        <w:rPr>
          <w:rFonts w:hint="default" w:ascii="Times New Roman" w:hAnsi="Times New Roman" w:eastAsia="仿宋_GB2312" w:cs="Times New Roman"/>
          <w:color w:val="auto"/>
          <w:kern w:val="0"/>
          <w:sz w:val="32"/>
          <w:szCs w:val="32"/>
          <w:highlight w:val="none"/>
          <w:lang w:val="en-US" w:eastAsia="zh-CN"/>
        </w:rPr>
        <w:t>2018</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34号）</w:t>
      </w:r>
      <w:r>
        <w:rPr>
          <w:rFonts w:hint="default" w:ascii="Times New Roman" w:hAnsi="Times New Roman" w:eastAsia="仿宋_GB2312" w:cs="Times New Roman"/>
          <w:color w:val="auto"/>
          <w:sz w:val="32"/>
          <w:szCs w:val="32"/>
          <w:highlight w:val="none"/>
          <w:lang w:val="en-US" w:eastAsia="zh-CN"/>
        </w:rPr>
        <w:t>文件精神，按照绩效管理与预算管理一体化的要求，努力将绩效管理融入预算编制、预算执行、预算监督全过程。通过开展事前绩效评估，严格绩效目标管理，强化绩效运行监控，完善绩效自评机制，拓宽结果应用范围等方式，结合组织建设、参政议政、社会服务和祖统等工作实际，聚焦构建以绩效为核心的财政资金管理机制，落实预算管理和绩效管理的主体责任，牢固树立“过紧日子”意识，增强预算刚性约束，提高资产配置效率，圆满完成了各项目标任务。</w:t>
      </w:r>
      <w:r>
        <w:rPr>
          <w:rFonts w:hint="default" w:ascii="Times New Roman" w:hAnsi="Times New Roman" w:eastAsia="仿宋_GB2312" w:cs="Times New Roman"/>
          <w:color w:val="auto"/>
          <w:sz w:val="32"/>
          <w:szCs w:val="32"/>
          <w:highlight w:val="none"/>
        </w:rPr>
        <w:t>绩效自评报告详见附件。</w:t>
      </w:r>
      <w:r>
        <w:rPr>
          <w:rFonts w:ascii="仿宋_GB2312" w:eastAsia="仿宋_GB2312"/>
          <w:b/>
          <w:color w:val="auto"/>
          <w:sz w:val="32"/>
          <w:szCs w:val="32"/>
          <w:highlight w:val="none"/>
        </w:rPr>
        <w:br w:type="page"/>
      </w:r>
    </w:p>
    <w:p/>
    <w:p>
      <w:pPr>
        <w:numPr>
          <w:ilvl w:val="0"/>
          <w:numId w:val="2"/>
        </w:numPr>
        <w:spacing w:line="600" w:lineRule="exact"/>
        <w:ind w:firstLine="660" w:firstLineChars="150"/>
        <w:jc w:val="center"/>
        <w:outlineLvl w:val="0"/>
        <w:rPr>
          <w:rStyle w:val="28"/>
          <w:rFonts w:ascii="黑体" w:hAnsi="黑体" w:eastAsia="黑体"/>
          <w:b w:val="0"/>
          <w:color w:val="auto"/>
          <w:highlight w:val="none"/>
        </w:rPr>
      </w:pPr>
      <w:bookmarkStart w:id="53" w:name="_Toc15396613"/>
      <w:bookmarkStart w:id="54" w:name="_Toc15377225"/>
      <w:r>
        <w:rPr>
          <w:rFonts w:hint="eastAsia" w:ascii="黑体" w:hAnsi="黑体" w:eastAsia="黑体"/>
          <w:color w:val="auto"/>
          <w:sz w:val="44"/>
          <w:szCs w:val="44"/>
          <w:highlight w:val="none"/>
        </w:rPr>
        <w:t>名</w:t>
      </w:r>
      <w:r>
        <w:rPr>
          <w:rStyle w:val="28"/>
          <w:rFonts w:hint="eastAsia" w:ascii="黑体" w:hAnsi="黑体" w:eastAsia="黑体"/>
          <w:b w:val="0"/>
          <w:color w:val="auto"/>
          <w:highlight w:val="none"/>
        </w:rPr>
        <w:t>词解释</w:t>
      </w:r>
      <w:bookmarkEnd w:id="53"/>
      <w:bookmarkEnd w:id="54"/>
    </w:p>
    <w:p>
      <w:pPr>
        <w:spacing w:line="600" w:lineRule="exact"/>
        <w:jc w:val="left"/>
        <w:rPr>
          <w:rFonts w:ascii="宋体"/>
          <w:b/>
          <w:color w:val="auto"/>
          <w:sz w:val="44"/>
          <w:szCs w:val="44"/>
          <w:highlight w:val="none"/>
        </w:rPr>
      </w:pP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2．一般公共服务（类）民主党派及工商联事务（款）行政运行（项）：反应行政单位（包括实行公务员管理的事业单位）的基本支出。</w:t>
      </w:r>
    </w:p>
    <w:p>
      <w:pPr>
        <w:ind w:firstLine="640" w:firstLineChars="200"/>
        <w:rPr>
          <w:rFonts w:hint="eastAsia" w:ascii="仿宋_GB2312" w:eastAsia="仿宋_GB2312"/>
          <w:color w:val="auto"/>
          <w:sz w:val="32"/>
          <w:szCs w:val="32"/>
          <w:highlight w:val="none"/>
        </w:rPr>
      </w:pPr>
      <w:r>
        <w:rPr>
          <w:rFonts w:hint="default" w:ascii="仿宋_GB2312" w:eastAsia="仿宋_GB2312"/>
          <w:color w:val="auto"/>
          <w:sz w:val="32"/>
          <w:szCs w:val="32"/>
          <w:highlight w:val="none"/>
          <w:lang w:val="en-US"/>
        </w:rPr>
        <w:t>3</w:t>
      </w:r>
      <w:r>
        <w:rPr>
          <w:rFonts w:hint="eastAsia" w:ascii="仿宋_GB2312" w:eastAsia="仿宋_GB2312"/>
          <w:color w:val="auto"/>
          <w:sz w:val="32"/>
          <w:szCs w:val="32"/>
          <w:highlight w:val="none"/>
        </w:rPr>
        <w:t>．一般公共服务（类）民主党派及工商联事务（款）</w:t>
      </w:r>
      <w:r>
        <w:rPr>
          <w:rFonts w:hint="eastAsia" w:ascii="仿宋_GB2312" w:eastAsia="仿宋_GB2312"/>
          <w:color w:val="auto"/>
          <w:sz w:val="32"/>
          <w:szCs w:val="32"/>
          <w:highlight w:val="none"/>
          <w:lang w:val="en-US" w:eastAsia="zh-CN"/>
        </w:rPr>
        <w:t>一般行政管理事务</w:t>
      </w:r>
      <w:r>
        <w:rPr>
          <w:rFonts w:hint="eastAsia" w:ascii="仿宋_GB2312" w:eastAsia="仿宋_GB2312"/>
          <w:color w:val="auto"/>
          <w:sz w:val="32"/>
          <w:szCs w:val="32"/>
          <w:highlight w:val="none"/>
        </w:rPr>
        <w:t>（项）：反应行政单位（包括实行公务员管理的事业单位）</w:t>
      </w:r>
      <w:r>
        <w:rPr>
          <w:rFonts w:hint="eastAsia" w:ascii="仿宋_GB2312" w:eastAsia="仿宋_GB2312"/>
          <w:color w:val="auto"/>
          <w:sz w:val="32"/>
          <w:szCs w:val="32"/>
          <w:highlight w:val="none"/>
          <w:lang w:val="en-US" w:eastAsia="zh-CN"/>
        </w:rPr>
        <w:t>未单独设置项级科目的其他项目支出</w:t>
      </w:r>
      <w:r>
        <w:rPr>
          <w:rFonts w:hint="eastAsia" w:ascii="仿宋_GB2312" w:eastAsia="仿宋_GB2312"/>
          <w:color w:val="auto"/>
          <w:sz w:val="32"/>
          <w:szCs w:val="32"/>
          <w:highlight w:val="none"/>
        </w:rPr>
        <w:t>。</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4.一般公共服务（类）民主党派及工商联事务（款）参政议政（项）：反映各民主党派为参政议政进行的调研、会议、检查等方面的支出。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5.教育（类）进修及培训（款）培训支出（项）:反映各部门安排的用于培训的支出。教育部门的师资培训，党校、行政学院等专业干部教育机构的支出，以及退役士兵、转业士官的培训支出，不在本科目反映。</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6.社会保障和就业（类）行政事业单位养老支出（款）行政单位离退休（项）：反映行政单位（包括实行公务员管理的事业单位）开支的离退休经费。</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7.社会保障和就业（类）行政事业单位养老支出（款）机关事业单位基本养老保险缴费支出（项）：反映机关事业单位实施养老保险制度由单位缴纳的基本养老保险支出。</w:t>
      </w:r>
    </w:p>
    <w:p>
      <w:pPr>
        <w:ind w:firstLine="640" w:firstLineChars="200"/>
        <w:rPr>
          <w:rFonts w:hint="eastAsia" w:ascii="仿宋_GB2312" w:eastAsia="仿宋_GB2312"/>
          <w:color w:val="auto"/>
          <w:sz w:val="32"/>
          <w:szCs w:val="32"/>
          <w:highlight w:val="none"/>
        </w:rPr>
      </w:pPr>
      <w:r>
        <w:rPr>
          <w:rFonts w:hint="default" w:ascii="仿宋_GB2312" w:eastAsia="仿宋_GB2312"/>
          <w:color w:val="auto"/>
          <w:sz w:val="32"/>
          <w:szCs w:val="32"/>
          <w:highlight w:val="none"/>
          <w:lang w:val="en-US"/>
        </w:rPr>
        <w:t>8</w:t>
      </w:r>
      <w:r>
        <w:rPr>
          <w:rFonts w:hint="eastAsia" w:ascii="仿宋_GB2312" w:eastAsia="仿宋_GB2312"/>
          <w:color w:val="auto"/>
          <w:sz w:val="32"/>
          <w:szCs w:val="32"/>
          <w:highlight w:val="none"/>
        </w:rPr>
        <w:t>.卫生健康（类）行政事业单位医疗（款）行政单位医疗（项）：反映财政部门安排的行政单位基本医疗保险缴费经费，未参加医疗保险的行政单位的公费医疗经费，按国家规定享受离休人员、红军老战士待遇人员的医疗经费。</w:t>
      </w:r>
    </w:p>
    <w:p>
      <w:pPr>
        <w:ind w:firstLine="640" w:firstLineChars="200"/>
        <w:rPr>
          <w:rFonts w:hint="eastAsia" w:ascii="仿宋_GB2312" w:eastAsia="仿宋_GB2312"/>
          <w:color w:val="auto"/>
          <w:sz w:val="32"/>
          <w:szCs w:val="32"/>
          <w:highlight w:val="none"/>
        </w:rPr>
      </w:pPr>
      <w:r>
        <w:rPr>
          <w:rFonts w:hint="default" w:ascii="仿宋_GB2312" w:eastAsia="仿宋_GB2312"/>
          <w:color w:val="auto"/>
          <w:sz w:val="32"/>
          <w:szCs w:val="32"/>
          <w:highlight w:val="none"/>
          <w:lang w:val="en-US"/>
        </w:rPr>
        <w:t>9</w:t>
      </w:r>
      <w:r>
        <w:rPr>
          <w:rFonts w:hint="eastAsia" w:ascii="仿宋_GB2312" w:eastAsia="仿宋_GB2312"/>
          <w:color w:val="auto"/>
          <w:sz w:val="32"/>
          <w:szCs w:val="32"/>
          <w:highlight w:val="none"/>
        </w:rPr>
        <w:t>.卫生健康（类）行政事业单位医疗（款）公务员医疗补助（项）：反映财政部门安排的公务员医疗补助经费。</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default" w:ascii="仿宋_GB2312" w:eastAsia="仿宋_GB2312"/>
          <w:color w:val="auto"/>
          <w:sz w:val="32"/>
          <w:szCs w:val="32"/>
          <w:highlight w:val="none"/>
          <w:lang w:val="en-US"/>
        </w:rPr>
        <w:t>0</w:t>
      </w:r>
      <w:r>
        <w:rPr>
          <w:rFonts w:hint="eastAsia" w:ascii="仿宋_GB2312" w:eastAsia="仿宋_GB2312"/>
          <w:color w:val="auto"/>
          <w:sz w:val="32"/>
          <w:szCs w:val="32"/>
          <w:highlight w:val="none"/>
        </w:rPr>
        <w:t>.住房保障（类）住房改革支出（款）住房公积金（项）：反映行政事业单位按人力资源和社会保障部、财政部规定的基本工资和津贴补贴以及规定比例为职工缴纳的住房公积金。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default" w:ascii="仿宋_GB2312" w:eastAsia="仿宋_GB2312"/>
          <w:color w:val="auto"/>
          <w:sz w:val="32"/>
          <w:szCs w:val="32"/>
          <w:highlight w:val="none"/>
          <w:lang w:val="en-US"/>
        </w:rPr>
        <w:t>1</w:t>
      </w:r>
      <w:r>
        <w:rPr>
          <w:rFonts w:hint="eastAsia" w:ascii="仿宋_GB2312" w:eastAsia="仿宋_GB2312"/>
          <w:color w:val="auto"/>
          <w:sz w:val="32"/>
          <w:szCs w:val="32"/>
          <w:highlight w:val="none"/>
        </w:rPr>
        <w:t>.住房保障（类）住房改革支出（款）购房补贴（项）：反映按房改政策规定，行政事业单位向符合条件职工、军队向转役复员离退休人员发放的用于购买住房的补贴。</w:t>
      </w:r>
      <w:r>
        <w:rPr>
          <w:rFonts w:ascii="仿宋_GB2312" w:eastAsia="仿宋_GB2312"/>
          <w:color w:val="auto"/>
          <w:sz w:val="32"/>
          <w:szCs w:val="32"/>
          <w:highlight w:val="none"/>
        </w:rPr>
        <w:t>27.</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default" w:ascii="仿宋_GB2312" w:eastAsia="仿宋_GB2312"/>
          <w:color w:val="auto"/>
          <w:sz w:val="32"/>
          <w:szCs w:val="32"/>
          <w:highlight w:val="none"/>
          <w:lang w:val="en-US"/>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default" w:ascii="仿宋_GB2312" w:eastAsia="仿宋_GB2312"/>
          <w:color w:val="auto"/>
          <w:sz w:val="32"/>
          <w:szCs w:val="32"/>
          <w:highlight w:val="none"/>
          <w:lang w:val="en-US"/>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6"/>
        <w:spacing w:line="560" w:lineRule="exact"/>
        <w:ind w:firstLine="640" w:firstLineChars="200"/>
        <w:rPr>
          <w:rFonts w:ascii="仿宋_GB2312" w:eastAsia="仿宋_GB2312"/>
          <w:color w:val="auto"/>
          <w:sz w:val="32"/>
          <w:szCs w:val="32"/>
          <w:highlight w:val="none"/>
        </w:rPr>
      </w:pPr>
      <w:r>
        <w:rPr>
          <w:rFonts w:hint="default" w:ascii="仿宋_GB2312" w:eastAsia="仿宋_GB2312"/>
          <w:color w:val="auto"/>
          <w:sz w:val="32"/>
          <w:szCs w:val="32"/>
          <w:highlight w:val="none"/>
          <w:lang w:val="en-US"/>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highlight w:val="none"/>
        </w:rPr>
      </w:pPr>
      <w:r>
        <w:rPr>
          <w:rFonts w:hint="default" w:ascii="仿宋_GB2312" w:eastAsia="仿宋_GB2312"/>
          <w:color w:val="auto"/>
          <w:sz w:val="32"/>
          <w:szCs w:val="32"/>
          <w:highlight w:val="none"/>
          <w:lang w:val="en-US"/>
        </w:rPr>
        <w:t>15</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auto"/>
          <w:sz w:val="44"/>
          <w:szCs w:val="44"/>
          <w:highlight w:val="none"/>
        </w:rPr>
      </w:pPr>
      <w:bookmarkStart w:id="55" w:name="_Toc15396614"/>
      <w:bookmarkStart w:id="56" w:name="_Toc15377226"/>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Style w:val="28"/>
          <w:rFonts w:hint="eastAsia" w:ascii="黑体" w:hAnsi="黑体" w:eastAsia="黑体"/>
          <w:b w:val="0"/>
          <w:color w:val="auto"/>
          <w:highlight w:val="none"/>
          <w:lang w:eastAsia="zh-CN"/>
        </w:rPr>
      </w:pPr>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四部分 附件</w:t>
      </w:r>
      <w:bookmarkEnd w:id="55"/>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FF0000"/>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方正小标宋简体" w:hAnsi="方正小标宋简体" w:eastAsia="黑体" w:cs="方正小标宋简体"/>
          <w:color w:val="auto"/>
          <w:sz w:val="44"/>
          <w:szCs w:val="44"/>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keepNext w:val="0"/>
        <w:keepLines w:val="0"/>
        <w:pageBreakBefore w:val="0"/>
        <w:widowControl/>
        <w:kinsoku/>
        <w:wordWrap/>
        <w:overflowPunct/>
        <w:topLinePunct w:val="0"/>
        <w:autoSpaceDE/>
        <w:autoSpaceDN/>
        <w:bidi w:val="0"/>
        <w:spacing w:line="600" w:lineRule="exact"/>
        <w:ind w:leftChars="0"/>
        <w:contextualSpacing/>
        <w:jc w:val="center"/>
        <w:textAlignment w:val="auto"/>
        <w:outlineLvl w:val="9"/>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方正小标宋简体" w:cs="Times New Roman"/>
          <w:b w:val="0"/>
          <w:bCs/>
          <w:sz w:val="44"/>
          <w:szCs w:val="44"/>
          <w:highlight w:val="none"/>
          <w:shd w:val="clear" w:color="auto" w:fill="FFFFFF"/>
        </w:rPr>
        <w:t>部门</w:t>
      </w:r>
      <w:r>
        <w:rPr>
          <w:rFonts w:hint="default" w:ascii="Times New Roman" w:hAnsi="Times New Roman" w:eastAsia="方正小标宋简体" w:cs="Times New Roman"/>
          <w:b w:val="0"/>
          <w:bCs/>
          <w:sz w:val="44"/>
          <w:szCs w:val="44"/>
          <w:highlight w:val="none"/>
          <w:shd w:val="clear" w:color="auto" w:fill="FFFFFF"/>
          <w:lang w:eastAsia="zh-CN"/>
        </w:rPr>
        <w:t>预算</w:t>
      </w:r>
      <w:r>
        <w:rPr>
          <w:rFonts w:hint="default" w:ascii="Times New Roman" w:hAnsi="Times New Roman" w:eastAsia="方正小标宋简体" w:cs="Times New Roman"/>
          <w:b w:val="0"/>
          <w:bCs/>
          <w:sz w:val="44"/>
          <w:szCs w:val="44"/>
          <w:highlight w:val="none"/>
          <w:shd w:val="clear" w:color="auto" w:fill="FFFFFF"/>
        </w:rPr>
        <w:t>绩效</w:t>
      </w:r>
      <w:r>
        <w:rPr>
          <w:rFonts w:hint="eastAsia" w:ascii="Times New Roman" w:hAnsi="Times New Roman" w:eastAsia="方正小标宋简体" w:cs="Times New Roman"/>
          <w:b w:val="0"/>
          <w:bCs/>
          <w:sz w:val="44"/>
          <w:szCs w:val="44"/>
          <w:highlight w:val="none"/>
          <w:shd w:val="clear" w:color="auto" w:fill="FFFFFF"/>
          <w:lang w:eastAsia="zh-CN"/>
        </w:rPr>
        <w:t>评价</w:t>
      </w:r>
      <w:r>
        <w:rPr>
          <w:rFonts w:hint="default" w:ascii="Times New Roman" w:hAnsi="Times New Roman" w:eastAsia="方正小标宋简体" w:cs="Times New Roman"/>
          <w:b w:val="0"/>
          <w:bCs/>
          <w:sz w:val="44"/>
          <w:szCs w:val="44"/>
          <w:highlight w:val="none"/>
          <w:shd w:val="clear" w:color="auto" w:fill="FFFFFF"/>
        </w:rPr>
        <w:t>报告</w:t>
      </w:r>
    </w:p>
    <w:p>
      <w:pPr>
        <w:keepNext w:val="0"/>
        <w:keepLines w:val="0"/>
        <w:pageBreakBefore w:val="0"/>
        <w:widowControl/>
        <w:kinsoku/>
        <w:wordWrap/>
        <w:overflowPunct/>
        <w:topLinePunct w:val="0"/>
        <w:autoSpaceDE/>
        <w:autoSpaceDN/>
        <w:bidi w:val="0"/>
        <w:adjustRightInd w:val="0"/>
        <w:snapToGrid w:val="0"/>
        <w:spacing w:line="600" w:lineRule="exact"/>
        <w:ind w:leftChars="0" w:firstLine="480" w:firstLineChars="200"/>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color w:val="000000"/>
          <w:kern w:val="0"/>
          <w:sz w:val="32"/>
          <w:szCs w:val="32"/>
          <w:highlight w:val="none"/>
          <w:shd w:val="clear" w:color="auto" w:fill="FFFFFF"/>
          <w:lang w:val="zh-CN"/>
        </w:rPr>
        <w:t>一、部门（单位）基本情况</w:t>
      </w:r>
    </w:p>
    <w:p>
      <w:pPr>
        <w:keepNext w:val="0"/>
        <w:keepLines w:val="0"/>
        <w:pageBreakBefore w:val="0"/>
        <w:widowControl/>
        <w:kinsoku/>
        <w:wordWrap/>
        <w:overflowPunct/>
        <w:topLinePunct w:val="0"/>
        <w:autoSpaceDE/>
        <w:autoSpaceDN/>
        <w:bidi w:val="0"/>
        <w:adjustRightInd w:val="0"/>
        <w:snapToGrid w:val="0"/>
        <w:spacing w:line="600" w:lineRule="exact"/>
        <w:ind w:leftChars="0" w:firstLine="643" w:firstLineChars="200"/>
        <w:contextualSpacing/>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color w:val="000000"/>
          <w:kern w:val="0"/>
          <w:sz w:val="32"/>
          <w:szCs w:val="32"/>
          <w:highlight w:val="none"/>
          <w:shd w:val="clear" w:color="auto" w:fill="FFFFFF"/>
          <w:lang w:val="zh-CN"/>
        </w:rPr>
        <w:t>（一）机构组成。</w:t>
      </w:r>
      <w:r>
        <w:rPr>
          <w:rFonts w:hint="default" w:ascii="Times New Roman" w:hAnsi="Times New Roman" w:eastAsia="仿宋_GB2312" w:cs="Times New Roman"/>
          <w:color w:val="000000"/>
          <w:kern w:val="0"/>
          <w:sz w:val="32"/>
          <w:szCs w:val="32"/>
          <w:highlight w:val="none"/>
          <w:shd w:val="clear" w:color="auto" w:fill="FFFFFF"/>
          <w:lang w:val="zh-CN"/>
        </w:rPr>
        <w:t>中国国民党革命委员会四川省委员会（以下简称“民革四川省委会”）是中国共产党领导的多党合作和政治协商制度中的参政党省级机关，其内设办公室、组织处、宣传处、联络处、社服处、参政议政处等六个职能处室，无下属二级预算单位。</w:t>
      </w:r>
    </w:p>
    <w:p>
      <w:pPr>
        <w:keepNext w:val="0"/>
        <w:keepLines w:val="0"/>
        <w:pageBreakBefore w:val="0"/>
        <w:widowControl/>
        <w:kinsoku/>
        <w:wordWrap/>
        <w:overflowPunct/>
        <w:topLinePunct w:val="0"/>
        <w:autoSpaceDE/>
        <w:autoSpaceDN/>
        <w:bidi w:val="0"/>
        <w:adjustRightInd w:val="0"/>
        <w:snapToGrid w:val="0"/>
        <w:spacing w:line="600" w:lineRule="exact"/>
        <w:ind w:leftChars="0" w:firstLine="643" w:firstLineChars="200"/>
        <w:contextualSpacing/>
        <w:jc w:val="both"/>
        <w:textAlignment w:val="auto"/>
        <w:rPr>
          <w:rFonts w:hint="default" w:ascii="Times New Roman" w:hAnsi="Times New Roman" w:eastAsia="仿宋_GB2312" w:cs="Times New Roman"/>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（二）机构职能。</w:t>
      </w:r>
      <w:r>
        <w:rPr>
          <w:rFonts w:hint="default" w:ascii="Times New Roman" w:hAnsi="Times New Roman" w:eastAsia="仿宋_GB2312" w:cs="Times New Roman"/>
          <w:color w:val="000000"/>
          <w:kern w:val="0"/>
          <w:sz w:val="32"/>
          <w:szCs w:val="32"/>
          <w:highlight w:val="none"/>
          <w:shd w:val="clear" w:color="auto" w:fill="FFFFFF"/>
          <w:lang w:val="zh-CN" w:eastAsia="zh-CN"/>
        </w:rPr>
        <w:t>民革四川省委会的主要职责为：认真履行参政议政、民主监督的职责；坚持以经济建设为中心，鼓励党员和所联系人士为改革开放、为四化建设多做贡献；以促进祖国和平统一为工作重点，加强同台湾、港澳和国外的国民党爱国人士的联系和团结，宣传“一国两制”、和平统一的方针和政策，积极发挥民革所特有的作用；把加强自身建设放在重要地位，通过思想建设、组织建设、领导班子建设和机关建设，健全参政党机制，以适应形势发展和需要；承办中共四川省委与中共</w:t>
      </w:r>
      <w:bookmarkStart w:id="72" w:name="_GoBack"/>
      <w:bookmarkEnd w:id="72"/>
      <w:r>
        <w:rPr>
          <w:rFonts w:hint="default" w:ascii="Times New Roman" w:hAnsi="Times New Roman" w:eastAsia="仿宋_GB2312" w:cs="Times New Roman"/>
          <w:color w:val="000000"/>
          <w:kern w:val="0"/>
          <w:sz w:val="32"/>
          <w:szCs w:val="32"/>
          <w:highlight w:val="none"/>
          <w:shd w:val="clear" w:color="auto" w:fill="FFFFFF"/>
          <w:lang w:val="zh-CN" w:eastAsia="zh-CN"/>
        </w:rPr>
        <w:t>中央主管部门或省政府与国务院有关部门交办的其它事项。</w:t>
      </w:r>
    </w:p>
    <w:p>
      <w:pPr>
        <w:keepNext w:val="0"/>
        <w:keepLines w:val="0"/>
        <w:pageBreakBefore w:val="0"/>
        <w:widowControl/>
        <w:kinsoku/>
        <w:wordWrap/>
        <w:overflowPunct/>
        <w:topLinePunct w:val="0"/>
        <w:autoSpaceDE/>
        <w:autoSpaceDN/>
        <w:bidi w:val="0"/>
        <w:adjustRightInd w:val="0"/>
        <w:snapToGrid w:val="0"/>
        <w:spacing w:line="600" w:lineRule="exact"/>
        <w:ind w:leftChars="0" w:firstLine="643" w:firstLineChars="200"/>
        <w:contextualSpacing/>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color w:val="000000"/>
          <w:kern w:val="0"/>
          <w:sz w:val="32"/>
          <w:szCs w:val="32"/>
          <w:highlight w:val="none"/>
          <w:shd w:val="clear" w:color="auto" w:fill="FFFFFF"/>
          <w:lang w:val="zh-CN"/>
        </w:rPr>
        <w:t>（三）人员概况。</w:t>
      </w:r>
      <w:r>
        <w:rPr>
          <w:rFonts w:hint="default" w:ascii="Times New Roman" w:hAnsi="Times New Roman" w:eastAsia="仿宋_GB2312" w:cs="Times New Roman"/>
          <w:color w:val="000000"/>
          <w:kern w:val="0"/>
          <w:sz w:val="32"/>
          <w:szCs w:val="32"/>
          <w:highlight w:val="none"/>
          <w:shd w:val="clear" w:color="auto" w:fill="FFFFFF"/>
          <w:lang w:val="zh-CN" w:eastAsia="zh-CN"/>
        </w:rPr>
        <w:t>民革四川省委会核定编制人数33人，其中：行政编制28人，机关工勤编制3人，计划单列编制2人。202</w:t>
      </w:r>
      <w:r>
        <w:rPr>
          <w:rFonts w:hint="default" w:ascii="Times New Roman" w:hAnsi="Times New Roman" w:eastAsia="仿宋_GB2312" w:cs="Times New Roman"/>
          <w:color w:val="000000"/>
          <w:kern w:val="0"/>
          <w:sz w:val="32"/>
          <w:szCs w:val="32"/>
          <w:highlight w:val="none"/>
          <w:shd w:val="clear" w:color="auto" w:fill="FFFFFF"/>
          <w:lang w:val="en-US" w:eastAsia="zh-CN"/>
        </w:rPr>
        <w:t>3</w:t>
      </w:r>
      <w:r>
        <w:rPr>
          <w:rFonts w:hint="default" w:ascii="Times New Roman" w:hAnsi="Times New Roman" w:eastAsia="仿宋_GB2312" w:cs="Times New Roman"/>
          <w:color w:val="000000"/>
          <w:kern w:val="0"/>
          <w:sz w:val="32"/>
          <w:szCs w:val="32"/>
          <w:highlight w:val="none"/>
          <w:shd w:val="clear" w:color="auto" w:fill="FFFFFF"/>
          <w:lang w:val="zh-CN" w:eastAsia="zh-CN"/>
        </w:rPr>
        <w:t>年末，实有在职人员</w:t>
      </w:r>
      <w:r>
        <w:rPr>
          <w:rFonts w:hint="default" w:ascii="Times New Roman" w:hAnsi="Times New Roman" w:eastAsia="仿宋_GB2312" w:cs="Times New Roman"/>
          <w:color w:val="000000"/>
          <w:kern w:val="0"/>
          <w:sz w:val="32"/>
          <w:szCs w:val="32"/>
          <w:highlight w:val="none"/>
          <w:shd w:val="clear" w:color="auto" w:fill="FFFFFF"/>
          <w:lang w:val="en-US" w:eastAsia="zh-CN"/>
        </w:rPr>
        <w:t>28</w:t>
      </w:r>
      <w:r>
        <w:rPr>
          <w:rFonts w:hint="default" w:ascii="Times New Roman" w:hAnsi="Times New Roman" w:eastAsia="仿宋_GB2312" w:cs="Times New Roman"/>
          <w:color w:val="000000"/>
          <w:kern w:val="0"/>
          <w:sz w:val="32"/>
          <w:szCs w:val="32"/>
          <w:highlight w:val="none"/>
          <w:shd w:val="clear" w:color="auto" w:fill="FFFFFF"/>
          <w:lang w:val="zh-CN" w:eastAsia="zh-CN"/>
        </w:rPr>
        <w:t>人（其中：公务员2</w:t>
      </w:r>
      <w:r>
        <w:rPr>
          <w:rFonts w:hint="default" w:ascii="Times New Roman" w:hAnsi="Times New Roman" w:eastAsia="仿宋_GB2312" w:cs="Times New Roman"/>
          <w:color w:val="000000"/>
          <w:kern w:val="0"/>
          <w:sz w:val="32"/>
          <w:szCs w:val="32"/>
          <w:highlight w:val="none"/>
          <w:shd w:val="clear" w:color="auto" w:fill="FFFFFF"/>
          <w:lang w:val="en-US" w:eastAsia="zh-CN"/>
        </w:rPr>
        <w:t>6人</w:t>
      </w:r>
      <w:r>
        <w:rPr>
          <w:rFonts w:hint="default" w:ascii="Times New Roman" w:hAnsi="Times New Roman" w:eastAsia="仿宋_GB2312" w:cs="Times New Roman"/>
          <w:color w:val="000000"/>
          <w:kern w:val="0"/>
          <w:sz w:val="32"/>
          <w:szCs w:val="32"/>
          <w:highlight w:val="none"/>
          <w:shd w:val="clear" w:color="auto" w:fill="FFFFFF"/>
          <w:lang w:val="zh-CN" w:eastAsia="zh-CN"/>
        </w:rPr>
        <w:t>、工勤人员2</w:t>
      </w:r>
      <w:r>
        <w:rPr>
          <w:rFonts w:hint="default" w:ascii="Times New Roman" w:hAnsi="Times New Roman" w:eastAsia="仿宋_GB2312" w:cs="Times New Roman"/>
          <w:color w:val="000000"/>
          <w:kern w:val="0"/>
          <w:sz w:val="32"/>
          <w:szCs w:val="32"/>
          <w:highlight w:val="none"/>
          <w:shd w:val="clear" w:color="auto" w:fill="FFFFFF"/>
          <w:lang w:val="en-US" w:eastAsia="zh-CN"/>
        </w:rPr>
        <w:t>人</w:t>
      </w:r>
      <w:r>
        <w:rPr>
          <w:rFonts w:hint="default" w:ascii="Times New Roman" w:hAnsi="Times New Roman" w:eastAsia="仿宋_GB2312" w:cs="Times New Roman"/>
          <w:color w:val="000000"/>
          <w:kern w:val="0"/>
          <w:sz w:val="32"/>
          <w:szCs w:val="32"/>
          <w:highlight w:val="none"/>
          <w:shd w:val="clear" w:color="auto" w:fill="FFFFFF"/>
          <w:lang w:val="zh-CN" w:eastAsia="zh-CN"/>
        </w:rPr>
        <w:t>），离休</w:t>
      </w:r>
      <w:r>
        <w:rPr>
          <w:rFonts w:hint="default" w:ascii="Times New Roman" w:hAnsi="Times New Roman" w:eastAsia="仿宋_GB2312" w:cs="Times New Roman"/>
          <w:color w:val="000000"/>
          <w:kern w:val="0"/>
          <w:sz w:val="32"/>
          <w:szCs w:val="32"/>
          <w:highlight w:val="none"/>
          <w:shd w:val="clear" w:color="auto" w:fill="FFFFFF"/>
          <w:lang w:val="en-US" w:eastAsia="zh-CN"/>
        </w:rPr>
        <w:t>干部</w:t>
      </w:r>
      <w:r>
        <w:rPr>
          <w:rFonts w:hint="default" w:ascii="Times New Roman" w:hAnsi="Times New Roman" w:eastAsia="仿宋_GB2312" w:cs="Times New Roman"/>
          <w:color w:val="000000"/>
          <w:kern w:val="0"/>
          <w:sz w:val="32"/>
          <w:szCs w:val="32"/>
          <w:highlight w:val="none"/>
          <w:shd w:val="clear" w:color="auto" w:fill="FFFFFF"/>
          <w:lang w:val="zh-CN" w:eastAsia="zh-CN"/>
        </w:rPr>
        <w:t>2</w:t>
      </w:r>
      <w:r>
        <w:rPr>
          <w:rFonts w:hint="default" w:ascii="Times New Roman" w:hAnsi="Times New Roman" w:eastAsia="仿宋_GB2312" w:cs="Times New Roman"/>
          <w:color w:val="000000"/>
          <w:kern w:val="0"/>
          <w:sz w:val="32"/>
          <w:szCs w:val="32"/>
          <w:highlight w:val="none"/>
          <w:shd w:val="clear" w:color="auto" w:fill="FFFFFF"/>
          <w:lang w:val="en-US" w:eastAsia="zh-CN"/>
        </w:rPr>
        <w:t>人，其他人员3人</w:t>
      </w:r>
      <w:r>
        <w:rPr>
          <w:rFonts w:hint="default" w:ascii="Times New Roman" w:hAnsi="Times New Roman" w:eastAsia="仿宋_GB2312" w:cs="Times New Roman"/>
          <w:color w:val="000000"/>
          <w:kern w:val="0"/>
          <w:sz w:val="32"/>
          <w:szCs w:val="32"/>
          <w:highlight w:val="none"/>
          <w:shd w:val="clear" w:color="auto" w:fill="FFFFFF"/>
          <w:lang w:val="zh-CN"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黑体" w:cs="Times New Roman"/>
          <w:color w:val="000000"/>
          <w:kern w:val="0"/>
          <w:sz w:val="32"/>
          <w:szCs w:val="32"/>
          <w:highlight w:val="none"/>
          <w:shd w:val="clear" w:color="auto" w:fill="FFFFFF"/>
        </w:rPr>
      </w:pPr>
      <w:r>
        <w:rPr>
          <w:rFonts w:hint="default" w:ascii="Times New Roman" w:hAnsi="Times New Roman" w:eastAsia="黑体" w:cs="Times New Roman"/>
          <w:color w:val="000000"/>
          <w:kern w:val="0"/>
          <w:sz w:val="32"/>
          <w:szCs w:val="32"/>
          <w:highlight w:val="none"/>
          <w:shd w:val="clear" w:color="auto" w:fill="FFFFFF"/>
        </w:rPr>
        <w:t>二、</w:t>
      </w:r>
      <w:r>
        <w:rPr>
          <w:rFonts w:hint="default" w:ascii="Times New Roman" w:hAnsi="Times New Roman" w:eastAsia="黑体" w:cs="Times New Roman"/>
          <w:color w:val="000000"/>
          <w:kern w:val="0"/>
          <w:sz w:val="32"/>
          <w:szCs w:val="32"/>
          <w:highlight w:val="none"/>
          <w:shd w:val="clear" w:color="auto" w:fill="FFFFFF"/>
          <w:lang w:eastAsia="zh-CN"/>
        </w:rPr>
        <w:t>部门</w:t>
      </w:r>
      <w:r>
        <w:rPr>
          <w:rFonts w:hint="default" w:ascii="Times New Roman" w:hAnsi="Times New Roman" w:eastAsia="黑体" w:cs="Times New Roman"/>
          <w:color w:val="000000"/>
          <w:kern w:val="0"/>
          <w:sz w:val="32"/>
          <w:szCs w:val="32"/>
          <w:highlight w:val="none"/>
          <w:shd w:val="clear" w:color="auto" w:fill="FFFFFF"/>
        </w:rPr>
        <w:t>资金收支情况</w:t>
      </w:r>
    </w:p>
    <w:p>
      <w:pPr>
        <w:keepNext w:val="0"/>
        <w:keepLines w:val="0"/>
        <w:pageBreakBefore w:val="0"/>
        <w:widowControl/>
        <w:kinsoku/>
        <w:wordWrap/>
        <w:overflowPunct/>
        <w:topLinePunct w:val="0"/>
        <w:autoSpaceDE/>
        <w:autoSpaceDN/>
        <w:bidi w:val="0"/>
        <w:adjustRightInd w:val="0"/>
        <w:snapToGrid w:val="0"/>
        <w:spacing w:line="600" w:lineRule="exact"/>
        <w:ind w:leftChars="0" w:firstLine="643" w:firstLineChars="200"/>
        <w:contextualSpacing/>
        <w:jc w:val="both"/>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en-US"/>
        </w:rPr>
      </w:pPr>
      <w:r>
        <w:rPr>
          <w:rFonts w:hint="default" w:ascii="Times New Roman" w:hAnsi="Times New Roman" w:eastAsia="楷体_GB2312" w:cs="Times New Roman"/>
          <w:b/>
          <w:bCs/>
          <w:color w:val="000000"/>
          <w:kern w:val="0"/>
          <w:sz w:val="32"/>
          <w:szCs w:val="32"/>
          <w:highlight w:val="none"/>
          <w:shd w:val="clear" w:color="auto" w:fill="FFFFFF"/>
          <w:lang w:val="zh-CN"/>
        </w:rPr>
        <w:t>（一）收入情况。</w:t>
      </w:r>
      <w:r>
        <w:rPr>
          <w:rFonts w:hint="default" w:ascii="Times New Roman" w:hAnsi="Times New Roman" w:eastAsia="仿宋_GB2312" w:cs="Times New Roman"/>
          <w:color w:val="000000"/>
          <w:kern w:val="0"/>
          <w:sz w:val="32"/>
          <w:szCs w:val="32"/>
          <w:highlight w:val="none"/>
          <w:shd w:val="clear" w:color="auto" w:fill="FFFFFF"/>
          <w:lang w:val="zh-CN" w:eastAsia="zh-CN"/>
        </w:rPr>
        <w:t>民革四川省委会</w:t>
      </w:r>
      <w:r>
        <w:rPr>
          <w:rFonts w:hint="default" w:ascii="Times New Roman" w:hAnsi="Times New Roman" w:eastAsia="仿宋_GB2312" w:cs="Times New Roman"/>
          <w:sz w:val="32"/>
          <w:szCs w:val="32"/>
          <w:lang w:val="en-US" w:eastAsia="zh-CN"/>
        </w:rPr>
        <w:t>2023年年初预算收入1268.57万元，全年预算收入1511.6万元。</w:t>
      </w:r>
    </w:p>
    <w:p>
      <w:pPr>
        <w:keepNext w:val="0"/>
        <w:keepLines w:val="0"/>
        <w:pageBreakBefore w:val="0"/>
        <w:widowControl/>
        <w:kinsoku/>
        <w:wordWrap/>
        <w:overflowPunct/>
        <w:topLinePunct w:val="0"/>
        <w:autoSpaceDE/>
        <w:autoSpaceDN/>
        <w:bidi w:val="0"/>
        <w:adjustRightInd w:val="0"/>
        <w:snapToGrid w:val="0"/>
        <w:spacing w:line="600" w:lineRule="exact"/>
        <w:ind w:leftChars="0" w:firstLine="643" w:firstLineChars="200"/>
        <w:contextualSpacing/>
        <w:jc w:val="both"/>
        <w:textAlignment w:val="auto"/>
        <w:outlineLvl w:val="9"/>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楷体_GB2312" w:cs="Times New Roman"/>
          <w:b/>
          <w:bCs/>
          <w:color w:val="000000"/>
          <w:kern w:val="0"/>
          <w:sz w:val="32"/>
          <w:szCs w:val="32"/>
          <w:highlight w:val="none"/>
          <w:shd w:val="clear" w:color="auto" w:fill="FFFFFF"/>
          <w:lang w:val="zh-CN"/>
        </w:rPr>
        <w:t>（二）支出情况。</w:t>
      </w:r>
      <w:r>
        <w:rPr>
          <w:rFonts w:hint="default" w:ascii="Times New Roman" w:hAnsi="Times New Roman" w:eastAsia="仿宋_GB2312" w:cs="Times New Roman"/>
          <w:color w:val="000000"/>
          <w:kern w:val="0"/>
          <w:sz w:val="32"/>
          <w:szCs w:val="32"/>
          <w:highlight w:val="none"/>
          <w:shd w:val="clear" w:color="auto" w:fill="FFFFFF"/>
          <w:lang w:val="zh-CN" w:eastAsia="zh-CN"/>
        </w:rPr>
        <w:t>民革四川省委会</w:t>
      </w:r>
      <w:r>
        <w:rPr>
          <w:rFonts w:hint="default" w:ascii="Times New Roman" w:hAnsi="Times New Roman" w:eastAsia="仿宋_GB2312" w:cs="Times New Roman"/>
          <w:kern w:val="2"/>
          <w:sz w:val="32"/>
          <w:szCs w:val="32"/>
          <w:highlight w:val="none"/>
          <w:lang w:val="en-US" w:eastAsia="zh-CN" w:bidi="ar"/>
        </w:rPr>
        <w:t>2023年全年预算支出安排1511.6万元，决算数为1416.86万元，</w:t>
      </w:r>
      <w:r>
        <w:rPr>
          <w:rFonts w:hint="eastAsia" w:ascii="Times New Roman" w:hAnsi="Times New Roman" w:eastAsia="仿宋_GB2312" w:cs="Times New Roman"/>
          <w:kern w:val="2"/>
          <w:sz w:val="32"/>
          <w:szCs w:val="32"/>
          <w:highlight w:val="none"/>
          <w:lang w:val="en-US" w:eastAsia="zh-CN" w:bidi="ar"/>
        </w:rPr>
        <w:t>其中：</w:t>
      </w:r>
      <w:r>
        <w:rPr>
          <w:rFonts w:hint="default" w:ascii="Times New Roman" w:hAnsi="Times New Roman" w:eastAsia="仿宋_GB2312" w:cs="Times New Roman"/>
          <w:b w:val="0"/>
          <w:bCs w:val="0"/>
          <w:sz w:val="32"/>
          <w:szCs w:val="32"/>
        </w:rPr>
        <w:t>一般公共服务支出</w:t>
      </w:r>
      <w:r>
        <w:rPr>
          <w:rFonts w:hint="default" w:ascii="Times New Roman" w:hAnsi="Times New Roman" w:eastAsia="仿宋_GB2312" w:cs="Times New Roman"/>
          <w:b w:val="0"/>
          <w:bCs w:val="0"/>
          <w:sz w:val="32"/>
          <w:szCs w:val="32"/>
          <w:lang w:val="en-US" w:eastAsia="zh-CN"/>
        </w:rPr>
        <w:t>991.48</w:t>
      </w:r>
      <w:r>
        <w:rPr>
          <w:rFonts w:hint="eastAsia" w:ascii="Times New Roman" w:hAnsi="Times New Roman" w:eastAsia="仿宋_GB2312" w:cs="Times New Roman"/>
          <w:b w:val="0"/>
          <w:bCs w:val="0"/>
          <w:sz w:val="32"/>
          <w:szCs w:val="32"/>
          <w:lang w:val="en-US" w:eastAsia="zh-CN"/>
        </w:rPr>
        <w:t>万元</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教育支出21.66</w:t>
      </w:r>
      <w:r>
        <w:rPr>
          <w:rFonts w:hint="default" w:ascii="Times New Roman" w:hAnsi="Times New Roman" w:eastAsia="仿宋_GB2312" w:cs="Times New Roman"/>
          <w:b w:val="0"/>
          <w:bCs w:val="0"/>
          <w:sz w:val="32"/>
          <w:szCs w:val="32"/>
          <w:lang w:eastAsia="zh-CN"/>
        </w:rPr>
        <w:t>万元，</w:t>
      </w:r>
      <w:r>
        <w:rPr>
          <w:rFonts w:hint="default" w:ascii="Times New Roman" w:hAnsi="Times New Roman" w:eastAsia="仿宋_GB2312" w:cs="Times New Roman"/>
          <w:b w:val="0"/>
          <w:bCs w:val="0"/>
          <w:sz w:val="32"/>
          <w:szCs w:val="32"/>
        </w:rPr>
        <w:t>社会保</w:t>
      </w:r>
      <w:r>
        <w:rPr>
          <w:rFonts w:hint="default" w:ascii="Times New Roman" w:hAnsi="Times New Roman" w:eastAsia="仿宋_GB2312" w:cs="Times New Roman"/>
          <w:b w:val="0"/>
          <w:bCs w:val="0"/>
          <w:sz w:val="32"/>
          <w:szCs w:val="32"/>
          <w:lang w:eastAsia="zh-CN"/>
        </w:rPr>
        <w:t>障和就业支出</w:t>
      </w:r>
      <w:r>
        <w:rPr>
          <w:rFonts w:hint="default" w:ascii="Times New Roman" w:hAnsi="Times New Roman" w:eastAsia="仿宋_GB2312" w:cs="Times New Roman"/>
          <w:b w:val="0"/>
          <w:bCs w:val="0"/>
          <w:sz w:val="32"/>
          <w:szCs w:val="32"/>
          <w:lang w:val="en-US" w:eastAsia="zh-CN"/>
        </w:rPr>
        <w:t>262.1万元，</w:t>
      </w:r>
      <w:r>
        <w:rPr>
          <w:rFonts w:hint="default" w:ascii="Times New Roman" w:hAnsi="Times New Roman" w:eastAsia="仿宋_GB2312" w:cs="Times New Roman"/>
          <w:b w:val="0"/>
          <w:bCs w:val="0"/>
          <w:sz w:val="32"/>
          <w:szCs w:val="32"/>
          <w:lang w:eastAsia="zh-CN"/>
        </w:rPr>
        <w:t>卫生健康支出50.6万元，住房保障支出</w:t>
      </w:r>
      <w:r>
        <w:rPr>
          <w:rFonts w:hint="default" w:ascii="Times New Roman" w:hAnsi="Times New Roman" w:eastAsia="仿宋_GB2312" w:cs="Times New Roman"/>
          <w:b w:val="0"/>
          <w:bCs w:val="0"/>
          <w:sz w:val="32"/>
          <w:szCs w:val="32"/>
          <w:lang w:val="en-US" w:eastAsia="zh-CN"/>
        </w:rPr>
        <w:t>91.02万元</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leftChars="0" w:firstLine="643" w:firstLineChars="200"/>
        <w:contextualSpacing/>
        <w:jc w:val="both"/>
        <w:textAlignment w:val="auto"/>
        <w:outlineLvl w:val="9"/>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（三）</w:t>
      </w:r>
      <w:r>
        <w:rPr>
          <w:rFonts w:hint="default" w:ascii="Times New Roman" w:hAnsi="Times New Roman" w:eastAsia="楷体_GB2312" w:cs="Times New Roman"/>
          <w:b/>
          <w:sz w:val="32"/>
          <w:szCs w:val="32"/>
        </w:rPr>
        <w:t>结余分配和结转结余情况</w:t>
      </w:r>
      <w:r>
        <w:rPr>
          <w:rFonts w:hint="default" w:ascii="Times New Roman" w:hAnsi="Times New Roman" w:eastAsia="楷体_GB2312" w:cs="Times New Roman"/>
          <w:b/>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仿宋_GB2312" w:cs="Times New Roman"/>
          <w:b w:val="0"/>
          <w:bCs w:val="0"/>
          <w:color w:val="000000"/>
          <w:kern w:val="0"/>
          <w:sz w:val="32"/>
          <w:szCs w:val="32"/>
          <w:highlight w:val="none"/>
          <w:shd w:val="clear" w:color="auto" w:fill="FFFFFF"/>
          <w:lang w:val="zh-CN" w:eastAsia="zh-CN"/>
        </w:rPr>
      </w:pPr>
      <w:r>
        <w:rPr>
          <w:rFonts w:hint="default" w:ascii="Times New Roman" w:hAnsi="Times New Roman" w:eastAsia="仿宋_GB2312" w:cs="Times New Roman"/>
          <w:color w:val="000000"/>
          <w:kern w:val="0"/>
          <w:sz w:val="32"/>
          <w:szCs w:val="32"/>
          <w:highlight w:val="none"/>
          <w:shd w:val="clear" w:color="auto" w:fill="FFFFFF"/>
          <w:lang w:val="zh-CN" w:eastAsia="zh-CN"/>
        </w:rPr>
        <w:t>民革四川省委会</w:t>
      </w:r>
      <w:r>
        <w:rPr>
          <w:rFonts w:hint="default" w:ascii="Times New Roman" w:hAnsi="Times New Roman" w:eastAsia="仿宋_GB2312" w:cs="Times New Roman"/>
          <w:sz w:val="32"/>
          <w:szCs w:val="32"/>
          <w:lang w:val="en-US" w:eastAsia="zh-CN"/>
        </w:rPr>
        <w:t>2023年度无</w:t>
      </w:r>
      <w:r>
        <w:rPr>
          <w:rFonts w:hint="default" w:ascii="Times New Roman" w:hAnsi="Times New Roman" w:eastAsia="仿宋_GB2312" w:cs="Times New Roman"/>
          <w:b w:val="0"/>
          <w:bCs w:val="0"/>
          <w:color w:val="000000"/>
          <w:kern w:val="0"/>
          <w:sz w:val="32"/>
          <w:szCs w:val="32"/>
          <w:highlight w:val="none"/>
          <w:shd w:val="clear" w:color="auto" w:fill="FFFFFF"/>
          <w:lang w:val="en-US" w:eastAsia="zh-CN"/>
        </w:rPr>
        <w:t>结转结余。</w:t>
      </w:r>
    </w:p>
    <w:p>
      <w:pPr>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黑体" w:cs="Times New Roman"/>
          <w:color w:val="000000" w:themeColor="text1"/>
          <w:kern w:val="0"/>
          <w:sz w:val="32"/>
          <w:szCs w:val="32"/>
          <w:highlight w:val="none"/>
          <w:shd w:val="clear" w:color="auto" w:fill="FFFFFF"/>
          <w14:textFill>
            <w14:solidFill>
              <w14:schemeClr w14:val="tx1"/>
            </w14:solidFill>
          </w14:textFill>
        </w:rPr>
      </w:pPr>
      <w:r>
        <w:rPr>
          <w:rFonts w:hint="default" w:ascii="Times New Roman" w:hAnsi="Times New Roman" w:eastAsia="黑体" w:cs="Times New Roman"/>
          <w:color w:val="000000"/>
          <w:kern w:val="0"/>
          <w:sz w:val="32"/>
          <w:szCs w:val="32"/>
          <w:highlight w:val="none"/>
          <w:shd w:val="clear" w:color="auto" w:fill="FFFFFF"/>
        </w:rPr>
        <w:t>三、</w:t>
      </w:r>
      <w:r>
        <w:rPr>
          <w:rFonts w:hint="default" w:ascii="Times New Roman" w:hAnsi="Times New Roman" w:eastAsia="黑体" w:cs="Times New Roman"/>
          <w:color w:val="000000"/>
          <w:kern w:val="0"/>
          <w:sz w:val="32"/>
          <w:szCs w:val="32"/>
          <w:highlight w:val="none"/>
          <w:u w:val="none"/>
          <w:shd w:val="clear" w:color="auto" w:fill="FFFFFF"/>
        </w:rPr>
        <w:t>部门</w:t>
      </w:r>
      <w:r>
        <w:rPr>
          <w:rFonts w:hint="default" w:ascii="Times New Roman" w:hAnsi="Times New Roman" w:eastAsia="黑体" w:cs="Times New Roman"/>
          <w:color w:val="000000"/>
          <w:kern w:val="0"/>
          <w:sz w:val="32"/>
          <w:szCs w:val="32"/>
          <w:highlight w:val="none"/>
          <w:u w:val="none"/>
          <w:shd w:val="clear" w:color="auto" w:fill="FFFFFF"/>
          <w:lang w:eastAsia="zh-CN"/>
        </w:rPr>
        <w:t>预算</w:t>
      </w:r>
      <w:r>
        <w:rPr>
          <w:rFonts w:hint="default" w:ascii="Times New Roman" w:hAnsi="Times New Roman" w:eastAsia="黑体" w:cs="Times New Roman"/>
          <w:color w:val="000000"/>
          <w:kern w:val="0"/>
          <w:sz w:val="32"/>
          <w:szCs w:val="32"/>
          <w:highlight w:val="none"/>
          <w:u w:val="none"/>
          <w:shd w:val="clear" w:color="auto" w:fill="FFFFFF"/>
        </w:rPr>
        <w:t>绩效</w:t>
      </w:r>
      <w:r>
        <w:rPr>
          <w:rFonts w:hint="default" w:ascii="Times New Roman" w:hAnsi="Times New Roman" w:eastAsia="黑体" w:cs="Times New Roman"/>
          <w:color w:val="000000"/>
          <w:kern w:val="0"/>
          <w:sz w:val="32"/>
          <w:szCs w:val="32"/>
          <w:highlight w:val="none"/>
          <w:u w:val="none"/>
          <w:shd w:val="clear" w:color="auto" w:fill="FFFFFF"/>
          <w:lang w:eastAsia="zh-CN"/>
        </w:rPr>
        <w:t>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contextualSpacing/>
        <w:jc w:val="both"/>
        <w:textAlignment w:val="auto"/>
        <w:outlineLvl w:val="9"/>
        <w:rPr>
          <w:rFonts w:hint="default" w:ascii="Times New Roman" w:hAnsi="Times New Roman" w:eastAsia="仿宋_GB2312" w:cs="Times New Roman"/>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（一）部门预算总体绩效分析。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楷体_GB2312" w:cs="Times New Roman"/>
          <w:color w:val="000000"/>
          <w:kern w:val="0"/>
          <w:sz w:val="32"/>
          <w:szCs w:val="32"/>
          <w:highlight w:val="none"/>
          <w:shd w:val="clear" w:color="auto" w:fill="FFFFFF"/>
          <w:lang w:val="zh-CN"/>
        </w:rPr>
      </w:pPr>
      <w:r>
        <w:rPr>
          <w:rFonts w:hint="default" w:ascii="Times New Roman" w:hAnsi="Times New Roman" w:eastAsia="楷体_GB2312" w:cs="Times New Roman"/>
          <w:color w:val="000000"/>
          <w:kern w:val="0"/>
          <w:sz w:val="32"/>
          <w:szCs w:val="32"/>
          <w:highlight w:val="none"/>
          <w:shd w:val="clear" w:color="auto" w:fill="FFFFFF"/>
          <w:lang w:val="en-US" w:eastAsia="zh-CN"/>
        </w:rPr>
        <w:t>1.</w:t>
      </w:r>
      <w:r>
        <w:rPr>
          <w:rFonts w:hint="default" w:ascii="Times New Roman" w:hAnsi="Times New Roman" w:eastAsia="楷体_GB2312" w:cs="Times New Roman"/>
          <w:color w:val="000000"/>
          <w:kern w:val="0"/>
          <w:sz w:val="32"/>
          <w:szCs w:val="32"/>
          <w:highlight w:val="none"/>
          <w:shd w:val="clear" w:color="auto" w:fill="FFFFFF"/>
          <w:lang w:val="zh-CN"/>
        </w:rPr>
        <w:t>履职效能。</w:t>
      </w:r>
    </w:p>
    <w:p>
      <w:pPr>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仿宋_GB2312" w:cs="Times New Roman"/>
          <w:color w:val="000000"/>
          <w:kern w:val="0"/>
          <w:sz w:val="32"/>
          <w:szCs w:val="32"/>
          <w:highlight w:val="none"/>
          <w:shd w:val="clear" w:color="auto" w:fill="FFFFFF"/>
          <w:lang w:val="zh-CN" w:eastAsia="zh-CN"/>
        </w:rPr>
      </w:pPr>
      <w:r>
        <w:rPr>
          <w:rFonts w:hint="default" w:ascii="Times New Roman" w:hAnsi="Times New Roman" w:eastAsia="楷体_GB2312" w:cs="Times New Roman"/>
          <w:color w:val="000000"/>
          <w:kern w:val="0"/>
          <w:sz w:val="32"/>
          <w:szCs w:val="32"/>
          <w:highlight w:val="none"/>
          <w:shd w:val="clear" w:color="auto" w:fill="FFFFFF"/>
          <w:lang w:val="zh-CN"/>
        </w:rPr>
        <w:t>（</w:t>
      </w:r>
      <w:r>
        <w:rPr>
          <w:rFonts w:hint="default" w:ascii="Times New Roman" w:hAnsi="Times New Roman" w:eastAsia="仿宋_GB2312" w:cs="Times New Roman"/>
          <w:color w:val="000000"/>
          <w:kern w:val="0"/>
          <w:sz w:val="32"/>
          <w:szCs w:val="32"/>
          <w:highlight w:val="none"/>
          <w:shd w:val="clear" w:color="auto" w:fill="FFFFFF"/>
          <w:lang w:val="en-US" w:eastAsia="zh-CN"/>
        </w:rPr>
        <w:t>1</w:t>
      </w:r>
      <w:r>
        <w:rPr>
          <w:rFonts w:hint="default" w:ascii="Times New Roman" w:hAnsi="Times New Roman" w:eastAsia="仿宋_GB2312" w:cs="Times New Roman"/>
          <w:color w:val="000000"/>
          <w:kern w:val="0"/>
          <w:sz w:val="32"/>
          <w:szCs w:val="32"/>
          <w:highlight w:val="none"/>
          <w:shd w:val="clear" w:color="auto" w:fill="FFFFFF"/>
          <w:lang w:val="zh-CN" w:eastAsia="zh-CN"/>
        </w:rPr>
        <w:t xml:space="preserve">）组织建设履职效果。年初计划发展新党员中本科以上人数占比90%，年末实际完成占比90.2%。分值5分，得分5分。  </w:t>
      </w:r>
    </w:p>
    <w:p>
      <w:pPr>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仿宋_GB2312" w:cs="Times New Roman"/>
          <w:color w:val="000000"/>
          <w:kern w:val="0"/>
          <w:sz w:val="32"/>
          <w:szCs w:val="32"/>
          <w:highlight w:val="none"/>
          <w:shd w:val="clear" w:color="auto" w:fill="FFFFFF"/>
          <w:lang w:val="zh-CN" w:eastAsia="zh-CN"/>
        </w:rPr>
      </w:pPr>
      <w:r>
        <w:rPr>
          <w:rFonts w:hint="default" w:ascii="Times New Roman" w:hAnsi="Times New Roman" w:eastAsia="仿宋_GB2312" w:cs="Times New Roman"/>
          <w:color w:val="000000"/>
          <w:kern w:val="0"/>
          <w:sz w:val="32"/>
          <w:szCs w:val="32"/>
          <w:highlight w:val="none"/>
          <w:shd w:val="clear" w:color="auto" w:fill="FFFFFF"/>
          <w:lang w:val="zh-CN" w:eastAsia="zh-CN"/>
        </w:rPr>
        <w:t>（</w:t>
      </w:r>
      <w:r>
        <w:rPr>
          <w:rFonts w:hint="default" w:ascii="Times New Roman" w:hAnsi="Times New Roman" w:eastAsia="仿宋_GB2312" w:cs="Times New Roman"/>
          <w:color w:val="000000"/>
          <w:kern w:val="0"/>
          <w:sz w:val="32"/>
          <w:szCs w:val="32"/>
          <w:highlight w:val="none"/>
          <w:shd w:val="clear" w:color="auto" w:fill="FFFFFF"/>
          <w:lang w:val="en-US" w:eastAsia="zh-CN"/>
        </w:rPr>
        <w:t>2</w:t>
      </w:r>
      <w:r>
        <w:rPr>
          <w:rFonts w:hint="default" w:ascii="Times New Roman" w:hAnsi="Times New Roman" w:eastAsia="仿宋_GB2312" w:cs="Times New Roman"/>
          <w:color w:val="000000"/>
          <w:kern w:val="0"/>
          <w:sz w:val="32"/>
          <w:szCs w:val="32"/>
          <w:highlight w:val="none"/>
          <w:shd w:val="clear" w:color="auto" w:fill="FFFFFF"/>
          <w:lang w:val="zh-CN" w:eastAsia="zh-CN"/>
        </w:rPr>
        <w:t xml:space="preserve">）参政议政履职效果。参政议政全年完成调研报告数量不少于25篇，年末实际完成31篇。分值5分，得分5分。  </w:t>
      </w:r>
    </w:p>
    <w:p>
      <w:pPr>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仿宋_GB2312" w:cs="Times New Roman"/>
          <w:color w:val="000000"/>
          <w:kern w:val="0"/>
          <w:sz w:val="32"/>
          <w:szCs w:val="32"/>
          <w:highlight w:val="none"/>
          <w:shd w:val="clear" w:color="auto" w:fill="FFFFFF"/>
          <w:lang w:val="zh-CN" w:eastAsia="zh-CN"/>
        </w:rPr>
        <w:t>（</w:t>
      </w:r>
      <w:r>
        <w:rPr>
          <w:rFonts w:hint="default" w:ascii="Times New Roman" w:hAnsi="Times New Roman" w:eastAsia="仿宋_GB2312" w:cs="Times New Roman"/>
          <w:color w:val="000000"/>
          <w:kern w:val="0"/>
          <w:sz w:val="32"/>
          <w:szCs w:val="32"/>
          <w:highlight w:val="none"/>
          <w:shd w:val="clear" w:color="auto" w:fill="FFFFFF"/>
          <w:lang w:val="en-US" w:eastAsia="zh-CN"/>
        </w:rPr>
        <w:t>3</w:t>
      </w:r>
      <w:r>
        <w:rPr>
          <w:rFonts w:hint="default" w:ascii="Times New Roman" w:hAnsi="Times New Roman" w:eastAsia="仿宋_GB2312" w:cs="Times New Roman"/>
          <w:color w:val="000000"/>
          <w:kern w:val="0"/>
          <w:sz w:val="32"/>
          <w:szCs w:val="32"/>
          <w:highlight w:val="none"/>
          <w:shd w:val="clear" w:color="auto" w:fill="FFFFFF"/>
          <w:lang w:val="zh-CN" w:eastAsia="zh-CN"/>
        </w:rPr>
        <w:t>）宣传履职效果。年初计划四川民革网站、微信公众号上传宣传稿件</w:t>
      </w:r>
      <w:r>
        <w:rPr>
          <w:rFonts w:hint="eastAsia" w:ascii="Times New Roman" w:hAnsi="Times New Roman" w:eastAsia="仿宋_GB2312" w:cs="Times New Roman"/>
          <w:color w:val="000000"/>
          <w:kern w:val="0"/>
          <w:sz w:val="32"/>
          <w:szCs w:val="32"/>
          <w:highlight w:val="none"/>
          <w:shd w:val="clear" w:color="auto" w:fill="FFFFFF"/>
          <w:lang w:val="zh-CN" w:eastAsia="zh-CN"/>
        </w:rPr>
        <w:t>（</w:t>
      </w:r>
      <w:r>
        <w:rPr>
          <w:rFonts w:hint="eastAsia" w:ascii="Times New Roman" w:hAnsi="Times New Roman" w:eastAsia="仿宋_GB2312" w:cs="Times New Roman"/>
          <w:color w:val="000000"/>
          <w:kern w:val="0"/>
          <w:sz w:val="32"/>
          <w:szCs w:val="32"/>
          <w:highlight w:val="none"/>
          <w:shd w:val="clear" w:color="auto" w:fill="FFFFFF"/>
          <w:lang w:val="en-US" w:eastAsia="zh-CN"/>
        </w:rPr>
        <w:t>不含转发</w:t>
      </w:r>
      <w:r>
        <w:rPr>
          <w:rFonts w:hint="eastAsia" w:ascii="Times New Roman" w:hAnsi="Times New Roman" w:eastAsia="仿宋_GB2312" w:cs="Times New Roman"/>
          <w:color w:val="000000"/>
          <w:kern w:val="0"/>
          <w:sz w:val="32"/>
          <w:szCs w:val="32"/>
          <w:highlight w:val="none"/>
          <w:shd w:val="clear" w:color="auto" w:fill="FFFFFF"/>
          <w:lang w:val="zh-CN" w:eastAsia="zh-CN"/>
        </w:rPr>
        <w:t>）</w:t>
      </w:r>
      <w:r>
        <w:rPr>
          <w:rFonts w:hint="default" w:ascii="Times New Roman" w:hAnsi="Times New Roman" w:eastAsia="仿宋_GB2312" w:cs="Times New Roman"/>
          <w:color w:val="000000"/>
          <w:kern w:val="0"/>
          <w:sz w:val="32"/>
          <w:szCs w:val="32"/>
          <w:highlight w:val="none"/>
          <w:shd w:val="clear" w:color="auto" w:fill="FFFFFF"/>
          <w:lang w:val="zh-CN" w:eastAsia="zh-CN"/>
        </w:rPr>
        <w:t>数量不少于300条，年末实际完成</w:t>
      </w:r>
      <w:r>
        <w:rPr>
          <w:rFonts w:hint="default" w:ascii="Times New Roman" w:hAnsi="Times New Roman" w:eastAsia="仿宋_GB2312" w:cs="Times New Roman"/>
          <w:color w:val="000000"/>
          <w:kern w:val="0"/>
          <w:sz w:val="32"/>
          <w:szCs w:val="32"/>
          <w:highlight w:val="none"/>
          <w:shd w:val="clear" w:color="auto" w:fill="FFFFFF"/>
          <w:lang w:val="en-US" w:eastAsia="zh-CN"/>
        </w:rPr>
        <w:t>3</w:t>
      </w:r>
      <w:r>
        <w:rPr>
          <w:rFonts w:hint="eastAsia" w:ascii="Times New Roman" w:hAnsi="Times New Roman" w:eastAsia="仿宋_GB2312" w:cs="Times New Roman"/>
          <w:color w:val="000000"/>
          <w:kern w:val="0"/>
          <w:sz w:val="32"/>
          <w:szCs w:val="32"/>
          <w:highlight w:val="none"/>
          <w:shd w:val="clear" w:color="auto" w:fill="FFFFFF"/>
          <w:lang w:val="en-US" w:eastAsia="zh-CN"/>
        </w:rPr>
        <w:t>11</w:t>
      </w:r>
      <w:r>
        <w:rPr>
          <w:rFonts w:hint="default" w:ascii="Times New Roman" w:hAnsi="Times New Roman" w:eastAsia="仿宋_GB2312" w:cs="Times New Roman"/>
          <w:color w:val="000000"/>
          <w:kern w:val="0"/>
          <w:sz w:val="32"/>
          <w:szCs w:val="32"/>
          <w:highlight w:val="none"/>
          <w:shd w:val="clear" w:color="auto" w:fill="FFFFFF"/>
          <w:lang w:val="zh-CN" w:eastAsia="zh-CN"/>
        </w:rPr>
        <w:t>条。分值5分，得分5分。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楷体_GB2312" w:cs="Times New Roman"/>
          <w:color w:val="000000"/>
          <w:kern w:val="0"/>
          <w:sz w:val="32"/>
          <w:szCs w:val="32"/>
          <w:highlight w:val="none"/>
          <w:shd w:val="clear" w:color="auto" w:fill="FFFFFF"/>
          <w:lang w:val="zh-CN"/>
        </w:rPr>
      </w:pPr>
      <w:r>
        <w:rPr>
          <w:rFonts w:hint="default" w:ascii="Times New Roman" w:hAnsi="Times New Roman" w:eastAsia="楷体_GB2312" w:cs="Times New Roman"/>
          <w:color w:val="000000"/>
          <w:kern w:val="0"/>
          <w:sz w:val="32"/>
          <w:szCs w:val="32"/>
          <w:highlight w:val="none"/>
          <w:shd w:val="clear" w:color="auto" w:fill="FFFFFF"/>
          <w:lang w:val="en-US" w:eastAsia="zh-CN"/>
        </w:rPr>
        <w:t>2.</w:t>
      </w:r>
      <w:r>
        <w:rPr>
          <w:rFonts w:hint="default" w:ascii="Times New Roman" w:hAnsi="Times New Roman" w:eastAsia="楷体_GB2312" w:cs="Times New Roman"/>
          <w:color w:val="000000"/>
          <w:kern w:val="0"/>
          <w:sz w:val="32"/>
          <w:szCs w:val="32"/>
          <w:highlight w:val="none"/>
          <w:shd w:val="clear" w:color="auto" w:fill="FFFFFF"/>
          <w:lang w:val="zh-CN"/>
        </w:rPr>
        <w:t>预算管理。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仿宋_GB2312" w:cs="Times New Roman"/>
          <w:color w:val="000000"/>
          <w:kern w:val="0"/>
          <w:sz w:val="32"/>
          <w:szCs w:val="32"/>
          <w:highlight w:val="none"/>
          <w:shd w:val="clear" w:color="auto" w:fill="FFFFFF"/>
          <w:lang w:val="zh-CN"/>
        </w:rPr>
        <w:t>（</w:t>
      </w:r>
      <w:r>
        <w:rPr>
          <w:rFonts w:hint="default" w:ascii="Times New Roman" w:hAnsi="Times New Roman" w:eastAsia="仿宋_GB2312" w:cs="Times New Roman"/>
          <w:color w:val="000000"/>
          <w:kern w:val="0"/>
          <w:sz w:val="32"/>
          <w:szCs w:val="32"/>
          <w:highlight w:val="none"/>
          <w:shd w:val="clear" w:color="auto" w:fill="FFFFFF"/>
          <w:lang w:val="en-US" w:eastAsia="zh-CN"/>
        </w:rPr>
        <w:t>1</w:t>
      </w:r>
      <w:r>
        <w:rPr>
          <w:rFonts w:hint="default" w:ascii="Times New Roman" w:hAnsi="Times New Roman" w:eastAsia="仿宋_GB2312" w:cs="Times New Roman"/>
          <w:color w:val="000000"/>
          <w:kern w:val="0"/>
          <w:sz w:val="32"/>
          <w:szCs w:val="32"/>
          <w:highlight w:val="none"/>
          <w:shd w:val="clear" w:color="auto" w:fill="FFFFFF"/>
          <w:lang w:val="zh-CN"/>
        </w:rPr>
        <w:t>）预算编制质量。民革四川省委会</w:t>
      </w:r>
      <w:r>
        <w:rPr>
          <w:rFonts w:hint="default" w:ascii="Times New Roman" w:hAnsi="Times New Roman" w:eastAsia="仿宋_GB2312" w:cs="Times New Roman"/>
          <w:color w:val="000000"/>
          <w:kern w:val="0"/>
          <w:sz w:val="32"/>
          <w:szCs w:val="32"/>
          <w:highlight w:val="none"/>
          <w:shd w:val="clear" w:color="auto" w:fill="FFFFFF"/>
          <w:lang w:val="en-US" w:eastAsia="zh-CN"/>
        </w:rPr>
        <w:t>2023年度预算偏离度为12%，资产配置预算偏离度为100%，政府采购预算偏离度为0.7%。分值8分，得分5.</w:t>
      </w:r>
      <w:r>
        <w:rPr>
          <w:rFonts w:hint="eastAsia" w:ascii="Times New Roman" w:hAnsi="Times New Roman" w:eastAsia="仿宋_GB2312" w:cs="Times New Roman"/>
          <w:color w:val="000000"/>
          <w:kern w:val="0"/>
          <w:sz w:val="32"/>
          <w:szCs w:val="32"/>
          <w:highlight w:val="none"/>
          <w:shd w:val="clear" w:color="auto" w:fill="FFFFFF"/>
          <w:lang w:val="en-US" w:eastAsia="zh-CN"/>
        </w:rPr>
        <w:t>4</w:t>
      </w:r>
      <w:r>
        <w:rPr>
          <w:rFonts w:hint="default" w:ascii="Times New Roman" w:hAnsi="Times New Roman" w:eastAsia="仿宋_GB2312" w:cs="Times New Roman"/>
          <w:color w:val="000000"/>
          <w:kern w:val="0"/>
          <w:sz w:val="32"/>
          <w:szCs w:val="32"/>
          <w:highlight w:val="none"/>
          <w:shd w:val="clear" w:color="auto" w:fill="FFFFFF"/>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仿宋_GB2312" w:cs="Times New Roman"/>
          <w:color w:val="000000"/>
          <w:kern w:val="0"/>
          <w:sz w:val="32"/>
          <w:szCs w:val="32"/>
          <w:highlight w:val="none"/>
          <w:shd w:val="clear" w:color="auto" w:fill="FFFFFF"/>
          <w:lang w:val="zh-CN"/>
        </w:rPr>
        <w:t>（</w:t>
      </w:r>
      <w:r>
        <w:rPr>
          <w:rFonts w:hint="default" w:ascii="Times New Roman" w:hAnsi="Times New Roman" w:eastAsia="仿宋_GB2312" w:cs="Times New Roman"/>
          <w:color w:val="000000"/>
          <w:kern w:val="0"/>
          <w:sz w:val="32"/>
          <w:szCs w:val="32"/>
          <w:highlight w:val="none"/>
          <w:shd w:val="clear" w:color="auto" w:fill="FFFFFF"/>
          <w:lang w:val="en-US" w:eastAsia="zh-CN"/>
        </w:rPr>
        <w:t>2</w:t>
      </w:r>
      <w:r>
        <w:rPr>
          <w:rFonts w:hint="default" w:ascii="Times New Roman" w:hAnsi="Times New Roman" w:eastAsia="仿宋_GB2312" w:cs="Times New Roman"/>
          <w:color w:val="000000"/>
          <w:kern w:val="0"/>
          <w:sz w:val="32"/>
          <w:szCs w:val="32"/>
          <w:highlight w:val="none"/>
          <w:shd w:val="clear" w:color="auto" w:fill="FFFFFF"/>
          <w:lang w:val="zh-CN"/>
        </w:rPr>
        <w:t>）单位收入统筹。民革四川省委会</w:t>
      </w:r>
      <w:r>
        <w:rPr>
          <w:rFonts w:hint="default" w:ascii="Times New Roman" w:hAnsi="Times New Roman" w:eastAsia="仿宋_GB2312" w:cs="Times New Roman"/>
          <w:color w:val="000000"/>
          <w:kern w:val="0"/>
          <w:sz w:val="32"/>
          <w:szCs w:val="32"/>
          <w:highlight w:val="none"/>
          <w:shd w:val="clear" w:color="auto" w:fill="FFFFFF"/>
          <w:lang w:val="en-US" w:eastAsia="zh-CN"/>
        </w:rPr>
        <w:t>2023年度</w:t>
      </w:r>
      <w:r>
        <w:rPr>
          <w:rFonts w:hint="default" w:ascii="Times New Roman" w:hAnsi="Times New Roman" w:eastAsia="仿宋_GB2312" w:cs="Times New Roman"/>
          <w:color w:val="000000"/>
          <w:kern w:val="0"/>
          <w:sz w:val="32"/>
          <w:szCs w:val="32"/>
          <w:highlight w:val="none"/>
          <w:shd w:val="clear" w:color="auto" w:fill="FFFFFF"/>
          <w:lang w:val="zh-CN"/>
        </w:rPr>
        <w:t>无部门自有收入，均为</w:t>
      </w:r>
      <w:r>
        <w:rPr>
          <w:rFonts w:hint="default" w:ascii="Times New Roman" w:hAnsi="Times New Roman" w:eastAsia="仿宋_GB2312" w:cs="Times New Roman"/>
          <w:b w:val="0"/>
          <w:bCs w:val="0"/>
          <w:color w:val="000000"/>
          <w:kern w:val="0"/>
          <w:sz w:val="32"/>
          <w:szCs w:val="32"/>
          <w:highlight w:val="none"/>
          <w:shd w:val="clear" w:color="auto" w:fill="FFFFFF"/>
          <w:lang w:val="en-US" w:eastAsia="zh-CN"/>
        </w:rPr>
        <w:t>一般公共预算财政拨款收入。分值4分，得分4分。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仿宋_GB2312" w:cs="Times New Roman"/>
          <w:color w:val="000000"/>
          <w:kern w:val="0"/>
          <w:sz w:val="32"/>
          <w:szCs w:val="32"/>
          <w:shd w:val="clear" w:fill="FFFFFF"/>
          <w:lang w:val="en-US" w:eastAsia="zh-CN" w:bidi="ar-SA"/>
        </w:rPr>
        <w:t>（3）</w:t>
      </w:r>
      <w:r>
        <w:rPr>
          <w:rFonts w:hint="default" w:ascii="Times New Roman" w:hAnsi="Times New Roman" w:eastAsia="仿宋_GB2312" w:cs="Times New Roman"/>
          <w:color w:val="000000"/>
          <w:kern w:val="0"/>
          <w:sz w:val="32"/>
          <w:szCs w:val="32"/>
          <w:highlight w:val="none"/>
          <w:shd w:val="clear" w:color="auto" w:fill="FFFFFF"/>
          <w:lang w:val="zh-CN"/>
        </w:rPr>
        <w:t>支出执行进度</w:t>
      </w:r>
      <w:r>
        <w:rPr>
          <w:rFonts w:hint="default" w:ascii="Times New Roman" w:hAnsi="Times New Roman" w:eastAsia="仿宋_GB2312" w:cs="Times New Roman"/>
          <w:color w:val="000000"/>
          <w:kern w:val="0"/>
          <w:sz w:val="32"/>
          <w:szCs w:val="32"/>
          <w:highlight w:val="none"/>
          <w:shd w:val="clear" w:color="auto" w:fill="FFFFFF"/>
          <w:lang w:val="en-US" w:eastAsia="zh-CN"/>
        </w:rPr>
        <w:t>。</w:t>
      </w:r>
      <w:r>
        <w:rPr>
          <w:rFonts w:hint="default" w:ascii="Times New Roman" w:hAnsi="Times New Roman" w:eastAsia="仿宋_GB2312" w:cs="Times New Roman"/>
          <w:color w:val="000000"/>
          <w:kern w:val="0"/>
          <w:sz w:val="32"/>
          <w:szCs w:val="32"/>
          <w:highlight w:val="none"/>
          <w:shd w:val="clear" w:color="auto" w:fill="FFFFFF"/>
          <w:lang w:val="zh-CN"/>
        </w:rPr>
        <w:t>民革四川省委会</w:t>
      </w:r>
      <w:r>
        <w:rPr>
          <w:rFonts w:hint="default" w:ascii="Times New Roman" w:hAnsi="Times New Roman" w:eastAsia="仿宋_GB2312" w:cs="Times New Roman"/>
          <w:color w:val="000000"/>
          <w:kern w:val="0"/>
          <w:sz w:val="32"/>
          <w:szCs w:val="32"/>
          <w:highlight w:val="none"/>
          <w:shd w:val="clear" w:color="auto" w:fill="FFFFFF"/>
          <w:lang w:val="en-US" w:eastAsia="zh-CN"/>
        </w:rPr>
        <w:t>2023年度全年预算数1511.6万元，1-6月预算执行数为642.75万元，1-6月支出预警金额为17.1万元，1-10月预算执行数为1113.64万元，1-10月支出预警金额为11.85万元。分值6分，</w:t>
      </w:r>
      <w:r>
        <w:rPr>
          <w:rFonts w:hint="default" w:ascii="Times New Roman" w:hAnsi="Times New Roman" w:eastAsia="仿宋_GB2312" w:cs="Times New Roman"/>
          <w:color w:val="000000"/>
          <w:kern w:val="0"/>
          <w:sz w:val="32"/>
          <w:szCs w:val="32"/>
          <w:highlight w:val="none"/>
          <w:shd w:val="clear" w:color="auto" w:fill="FFFFFF"/>
          <w:lang w:val="zh-CN"/>
        </w:rPr>
        <w:t>得分</w:t>
      </w:r>
      <w:r>
        <w:rPr>
          <w:rFonts w:hint="default" w:ascii="Times New Roman" w:hAnsi="Times New Roman" w:eastAsia="仿宋_GB2312" w:cs="Times New Roman"/>
          <w:color w:val="000000"/>
          <w:kern w:val="0"/>
          <w:sz w:val="32"/>
          <w:szCs w:val="32"/>
          <w:highlight w:val="none"/>
          <w:shd w:val="clear" w:color="auto" w:fill="FFFFFF"/>
          <w:lang w:val="en-US" w:eastAsia="zh-CN"/>
        </w:rPr>
        <w:t>5.</w:t>
      </w:r>
      <w:r>
        <w:rPr>
          <w:rFonts w:hint="eastAsia" w:ascii="Times New Roman" w:hAnsi="Times New Roman" w:eastAsia="仿宋_GB2312" w:cs="Times New Roman"/>
          <w:color w:val="000000"/>
          <w:kern w:val="0"/>
          <w:sz w:val="32"/>
          <w:szCs w:val="32"/>
          <w:highlight w:val="none"/>
          <w:shd w:val="clear" w:color="auto" w:fill="FFFFFF"/>
          <w:lang w:val="en-US" w:eastAsia="zh-CN"/>
        </w:rPr>
        <w:t>5</w:t>
      </w:r>
      <w:r>
        <w:rPr>
          <w:rFonts w:hint="default" w:ascii="Times New Roman" w:hAnsi="Times New Roman" w:eastAsia="仿宋_GB2312" w:cs="Times New Roman"/>
          <w:color w:val="000000"/>
          <w:kern w:val="0"/>
          <w:sz w:val="32"/>
          <w:szCs w:val="32"/>
          <w:highlight w:val="none"/>
          <w:shd w:val="clear" w:color="auto" w:fill="FFFFFF"/>
          <w:lang w:val="en-US" w:eastAsia="zh-CN"/>
        </w:rPr>
        <w:t>分。</w:t>
      </w: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仿宋_GB2312" w:cs="Times New Roman"/>
          <w:color w:val="000000"/>
          <w:kern w:val="0"/>
          <w:sz w:val="32"/>
          <w:szCs w:val="32"/>
          <w:highlight w:val="none"/>
          <w:shd w:val="clear" w:color="auto" w:fill="FFFFFF"/>
          <w:lang w:val="zh-CN"/>
        </w:rPr>
        <w:t>预算年终结余。民革四川省委会</w:t>
      </w:r>
      <w:r>
        <w:rPr>
          <w:rFonts w:hint="default" w:ascii="Times New Roman" w:hAnsi="Times New Roman" w:eastAsia="仿宋_GB2312" w:cs="Times New Roman"/>
          <w:color w:val="000000"/>
          <w:kern w:val="0"/>
          <w:sz w:val="32"/>
          <w:szCs w:val="32"/>
          <w:highlight w:val="none"/>
          <w:shd w:val="clear" w:color="auto" w:fill="FFFFFF"/>
          <w:lang w:val="en-US" w:eastAsia="zh-CN"/>
        </w:rPr>
        <w:t>2023年度部门注销金额94.74万元，部门整体预算结余率为0.6%。</w:t>
      </w:r>
      <w:r>
        <w:rPr>
          <w:rFonts w:hint="default" w:ascii="Times New Roman" w:hAnsi="Times New Roman" w:eastAsia="仿宋_GB2312" w:cs="Times New Roman"/>
          <w:color w:val="000000"/>
          <w:kern w:val="0"/>
          <w:sz w:val="32"/>
          <w:szCs w:val="32"/>
          <w:highlight w:val="none"/>
          <w:shd w:val="clear" w:color="auto" w:fill="FFFFFF"/>
          <w:lang w:val="zh-CN"/>
        </w:rPr>
        <w:t>分值</w:t>
      </w:r>
      <w:r>
        <w:rPr>
          <w:rFonts w:hint="default" w:ascii="Times New Roman" w:hAnsi="Times New Roman" w:eastAsia="仿宋_GB2312" w:cs="Times New Roman"/>
          <w:color w:val="000000"/>
          <w:kern w:val="0"/>
          <w:sz w:val="32"/>
          <w:szCs w:val="32"/>
          <w:highlight w:val="none"/>
          <w:shd w:val="clear" w:color="auto" w:fill="FFFFFF"/>
          <w:lang w:val="en-US" w:eastAsia="zh-CN"/>
        </w:rPr>
        <w:t>2分，</w:t>
      </w:r>
      <w:r>
        <w:rPr>
          <w:rFonts w:hint="default" w:ascii="Times New Roman" w:hAnsi="Times New Roman" w:eastAsia="仿宋_GB2312" w:cs="Times New Roman"/>
          <w:color w:val="000000"/>
          <w:kern w:val="0"/>
          <w:sz w:val="32"/>
          <w:szCs w:val="32"/>
          <w:highlight w:val="none"/>
          <w:shd w:val="clear" w:color="auto" w:fill="FFFFFF"/>
          <w:lang w:val="zh-CN"/>
        </w:rPr>
        <w:t>得分</w:t>
      </w:r>
      <w:r>
        <w:rPr>
          <w:rFonts w:hint="default" w:ascii="Times New Roman" w:hAnsi="Times New Roman" w:eastAsia="仿宋_GB2312" w:cs="Times New Roman"/>
          <w:color w:val="000000"/>
          <w:kern w:val="0"/>
          <w:sz w:val="32"/>
          <w:szCs w:val="32"/>
          <w:highlight w:val="none"/>
          <w:shd w:val="clear" w:color="auto" w:fill="FFFFFF"/>
          <w:lang w:val="en-US" w:eastAsia="zh-CN"/>
        </w:rPr>
        <w:t>1.87分。</w:t>
      </w: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left="0" w:leftChars="0" w:firstLine="640" w:firstLineChars="200"/>
        <w:contextualSpacing/>
        <w:jc w:val="both"/>
        <w:textAlignment w:val="auto"/>
        <w:outlineLvl w:val="9"/>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仿宋_GB2312" w:cs="Times New Roman"/>
          <w:color w:val="000000"/>
          <w:kern w:val="0"/>
          <w:sz w:val="32"/>
          <w:szCs w:val="32"/>
          <w:highlight w:val="none"/>
          <w:shd w:val="clear" w:color="auto" w:fill="FFFFFF"/>
          <w:lang w:val="zh-CN"/>
        </w:rPr>
        <w:t>严控一般性支出。民革四川省委会</w:t>
      </w:r>
      <w:r>
        <w:rPr>
          <w:rFonts w:hint="default" w:ascii="Times New Roman" w:hAnsi="Times New Roman" w:eastAsia="仿宋_GB2312" w:cs="Times New Roman"/>
          <w:color w:val="000000"/>
          <w:kern w:val="0"/>
          <w:sz w:val="32"/>
          <w:szCs w:val="32"/>
          <w:highlight w:val="none"/>
          <w:shd w:val="clear" w:color="auto" w:fill="FFFFFF"/>
          <w:lang w:val="en-US" w:eastAsia="zh-CN"/>
        </w:rPr>
        <w:t>2023年度</w:t>
      </w:r>
      <w:r>
        <w:rPr>
          <w:rFonts w:hint="default" w:ascii="Times New Roman" w:hAnsi="Times New Roman" w:eastAsia="仿宋_GB2312" w:cs="Times New Roman"/>
          <w:color w:val="000000"/>
          <w:kern w:val="0"/>
          <w:sz w:val="32"/>
          <w:szCs w:val="32"/>
          <w:highlight w:val="none"/>
          <w:shd w:val="clear" w:color="auto" w:fill="FFFFFF"/>
          <w:lang w:val="zh-CN"/>
        </w:rPr>
        <w:t>一般性支出年初预算</w:t>
      </w:r>
      <w:r>
        <w:rPr>
          <w:rFonts w:hint="default" w:ascii="Times New Roman" w:hAnsi="Times New Roman" w:eastAsia="仿宋_GB2312" w:cs="Times New Roman"/>
          <w:color w:val="000000"/>
          <w:kern w:val="0"/>
          <w:sz w:val="32"/>
          <w:szCs w:val="32"/>
          <w:highlight w:val="none"/>
          <w:shd w:val="clear" w:color="auto" w:fill="FFFFFF"/>
          <w:lang w:val="en-US" w:eastAsia="zh-CN"/>
        </w:rPr>
        <w:t>151.39万元，较2022年度减少32.67万元，下降17.75%。</w:t>
      </w:r>
      <w:r>
        <w:rPr>
          <w:rFonts w:hint="default" w:ascii="Times New Roman" w:hAnsi="Times New Roman" w:eastAsia="仿宋_GB2312" w:cs="Times New Roman"/>
          <w:color w:val="000000"/>
          <w:kern w:val="0"/>
          <w:sz w:val="32"/>
          <w:szCs w:val="32"/>
          <w:highlight w:val="none"/>
          <w:shd w:val="clear" w:color="auto" w:fill="FFFFFF"/>
          <w:lang w:val="zh-CN"/>
        </w:rPr>
        <w:t>分值</w:t>
      </w:r>
      <w:r>
        <w:rPr>
          <w:rFonts w:hint="default" w:ascii="Times New Roman" w:hAnsi="Times New Roman" w:eastAsia="仿宋_GB2312" w:cs="Times New Roman"/>
          <w:color w:val="000000"/>
          <w:kern w:val="0"/>
          <w:sz w:val="32"/>
          <w:szCs w:val="32"/>
          <w:highlight w:val="none"/>
          <w:shd w:val="clear" w:color="auto" w:fill="FFFFFF"/>
          <w:lang w:val="en-US" w:eastAsia="zh-CN"/>
        </w:rPr>
        <w:t>5分，</w:t>
      </w:r>
      <w:r>
        <w:rPr>
          <w:rFonts w:hint="default" w:ascii="Times New Roman" w:hAnsi="Times New Roman" w:eastAsia="仿宋_GB2312" w:cs="Times New Roman"/>
          <w:color w:val="000000"/>
          <w:kern w:val="0"/>
          <w:sz w:val="32"/>
          <w:szCs w:val="32"/>
          <w:highlight w:val="none"/>
          <w:shd w:val="clear" w:color="auto" w:fill="FFFFFF"/>
          <w:lang w:val="zh-CN"/>
        </w:rPr>
        <w:t>得分</w:t>
      </w:r>
      <w:r>
        <w:rPr>
          <w:rFonts w:hint="default" w:ascii="Times New Roman" w:hAnsi="Times New Roman" w:eastAsia="仿宋_GB2312" w:cs="Times New Roman"/>
          <w:color w:val="000000"/>
          <w:kern w:val="0"/>
          <w:sz w:val="32"/>
          <w:szCs w:val="32"/>
          <w:highlight w:val="none"/>
          <w:shd w:val="clear" w:color="auto" w:fill="FFFFFF"/>
          <w:lang w:val="en-US" w:eastAsia="zh-CN"/>
        </w:rPr>
        <w:t>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仿宋_GB2312" w:cs="Times New Roman"/>
          <w:color w:val="000000"/>
          <w:kern w:val="0"/>
          <w:sz w:val="32"/>
          <w:szCs w:val="32"/>
          <w:highlight w:val="none"/>
          <w:shd w:val="clear" w:color="auto" w:fill="FFFFFF"/>
          <w:lang w:val="zh-CN"/>
        </w:rPr>
      </w:pPr>
      <w:r>
        <w:rPr>
          <w:rFonts w:hint="default" w:ascii="Times New Roman" w:hAnsi="Times New Roman" w:eastAsia="楷体_GB2312" w:cs="Times New Roman"/>
          <w:color w:val="000000"/>
          <w:kern w:val="0"/>
          <w:sz w:val="32"/>
          <w:szCs w:val="32"/>
          <w:highlight w:val="none"/>
          <w:shd w:val="clear" w:color="auto" w:fill="FFFFFF"/>
          <w:lang w:val="en-US" w:eastAsia="zh-CN"/>
        </w:rPr>
        <w:t>3.</w:t>
      </w:r>
      <w:r>
        <w:rPr>
          <w:rFonts w:hint="default" w:ascii="Times New Roman" w:hAnsi="Times New Roman" w:eastAsia="楷体_GB2312" w:cs="Times New Roman"/>
          <w:color w:val="000000"/>
          <w:kern w:val="0"/>
          <w:sz w:val="32"/>
          <w:szCs w:val="32"/>
          <w:highlight w:val="none"/>
          <w:shd w:val="clear" w:color="auto" w:fill="FFFFFF"/>
          <w:lang w:val="zh-CN"/>
        </w:rPr>
        <w:t>财务管理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楷体_GB2312" w:cs="Times New Roman"/>
          <w:color w:val="000000"/>
          <w:kern w:val="0"/>
          <w:sz w:val="32"/>
          <w:szCs w:val="32"/>
          <w:shd w:val="clear" w:fill="FFFFFF"/>
          <w:lang w:val="zh-CN" w:eastAsia="zh-CN" w:bidi="ar-SA"/>
        </w:rPr>
        <w:t>（1）</w:t>
      </w:r>
      <w:r>
        <w:rPr>
          <w:rFonts w:hint="default" w:ascii="Times New Roman" w:hAnsi="Times New Roman" w:eastAsia="楷体_GB2312" w:cs="Times New Roman"/>
          <w:color w:val="000000"/>
          <w:kern w:val="0"/>
          <w:sz w:val="32"/>
          <w:szCs w:val="32"/>
          <w:highlight w:val="none"/>
          <w:shd w:val="clear" w:color="auto" w:fill="FFFFFF"/>
          <w:lang w:val="zh-CN"/>
        </w:rPr>
        <w:t>财务管理制度。</w:t>
      </w:r>
      <w:r>
        <w:rPr>
          <w:rFonts w:hint="default" w:ascii="Times New Roman" w:hAnsi="Times New Roman" w:eastAsia="仿宋_GB2312" w:cs="Times New Roman"/>
          <w:color w:val="000000"/>
          <w:kern w:val="0"/>
          <w:sz w:val="32"/>
          <w:szCs w:val="32"/>
          <w:highlight w:val="none"/>
          <w:shd w:val="clear" w:color="auto" w:fill="FFFFFF"/>
          <w:lang w:val="zh-CN"/>
        </w:rPr>
        <w:t>民革四川省委会已建立财政性资金管理决策程序规定（试行）、差旅费管理办法、会议费管理办法、培训费管理办法、财务管理办法等相关财务制度，在工作中，各处室严格落实财务制度，遵守财务规定。分值</w:t>
      </w:r>
      <w:r>
        <w:rPr>
          <w:rFonts w:hint="default" w:ascii="Times New Roman" w:hAnsi="Times New Roman" w:eastAsia="仿宋_GB2312" w:cs="Times New Roman"/>
          <w:color w:val="000000"/>
          <w:kern w:val="0"/>
          <w:sz w:val="32"/>
          <w:szCs w:val="32"/>
          <w:highlight w:val="none"/>
          <w:shd w:val="clear" w:color="auto" w:fill="FFFFFF"/>
          <w:lang w:val="en-US" w:eastAsia="zh-CN"/>
        </w:rPr>
        <w:t>4分，</w:t>
      </w:r>
      <w:r>
        <w:rPr>
          <w:rFonts w:hint="default" w:ascii="Times New Roman" w:hAnsi="Times New Roman" w:eastAsia="仿宋_GB2312" w:cs="Times New Roman"/>
          <w:color w:val="000000"/>
          <w:kern w:val="0"/>
          <w:sz w:val="32"/>
          <w:szCs w:val="32"/>
          <w:highlight w:val="none"/>
          <w:shd w:val="clear" w:color="auto" w:fill="FFFFFF"/>
          <w:lang w:val="zh-CN"/>
        </w:rPr>
        <w:t>得分</w:t>
      </w:r>
      <w:r>
        <w:rPr>
          <w:rFonts w:hint="default" w:ascii="Times New Roman" w:hAnsi="Times New Roman" w:eastAsia="仿宋_GB2312" w:cs="Times New Roman"/>
          <w:color w:val="000000"/>
          <w:kern w:val="0"/>
          <w:sz w:val="32"/>
          <w:szCs w:val="32"/>
          <w:highlight w:val="none"/>
          <w:shd w:val="clear" w:color="auto" w:fill="FFFFFF"/>
          <w:lang w:val="en-US" w:eastAsia="zh-CN"/>
        </w:rPr>
        <w:t>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仿宋_GB2312" w:cs="Times New Roman"/>
          <w:color w:val="000000"/>
          <w:kern w:val="0"/>
          <w:sz w:val="32"/>
          <w:szCs w:val="32"/>
          <w:shd w:val="clear" w:fill="FFFFFF"/>
          <w:lang w:val="en-US" w:eastAsia="zh-CN" w:bidi="ar-SA"/>
        </w:rPr>
        <w:t>（2）财务岗位设置。</w:t>
      </w:r>
      <w:r>
        <w:rPr>
          <w:rFonts w:hint="default" w:ascii="Times New Roman" w:hAnsi="Times New Roman" w:eastAsia="仿宋_GB2312" w:cs="Times New Roman"/>
          <w:color w:val="000000"/>
          <w:kern w:val="0"/>
          <w:sz w:val="32"/>
          <w:szCs w:val="32"/>
          <w:highlight w:val="none"/>
          <w:shd w:val="clear" w:color="auto" w:fill="FFFFFF"/>
          <w:lang w:val="zh-CN"/>
        </w:rPr>
        <w:t>民革四川省委会合理设置财务工作岗位，对出纳、会计等不相容岗位进行分离，明确各种职责权限，分值</w:t>
      </w:r>
      <w:r>
        <w:rPr>
          <w:rFonts w:hint="default" w:ascii="Times New Roman" w:hAnsi="Times New Roman" w:eastAsia="仿宋_GB2312" w:cs="Times New Roman"/>
          <w:color w:val="000000"/>
          <w:kern w:val="0"/>
          <w:sz w:val="32"/>
          <w:szCs w:val="32"/>
          <w:highlight w:val="none"/>
          <w:shd w:val="clear" w:color="auto" w:fill="FFFFFF"/>
          <w:lang w:val="en-US" w:eastAsia="zh-CN"/>
        </w:rPr>
        <w:t>2分，</w:t>
      </w:r>
      <w:r>
        <w:rPr>
          <w:rFonts w:hint="default" w:ascii="Times New Roman" w:hAnsi="Times New Roman" w:eastAsia="仿宋_GB2312" w:cs="Times New Roman"/>
          <w:color w:val="000000"/>
          <w:kern w:val="0"/>
          <w:sz w:val="32"/>
          <w:szCs w:val="32"/>
          <w:highlight w:val="none"/>
          <w:shd w:val="clear" w:color="auto" w:fill="FFFFFF"/>
          <w:lang w:val="zh-CN"/>
        </w:rPr>
        <w:t>得分</w:t>
      </w:r>
      <w:r>
        <w:rPr>
          <w:rFonts w:hint="default" w:ascii="Times New Roman" w:hAnsi="Times New Roman" w:eastAsia="仿宋_GB2312" w:cs="Times New Roman"/>
          <w:color w:val="000000"/>
          <w:kern w:val="0"/>
          <w:sz w:val="32"/>
          <w:szCs w:val="32"/>
          <w:highlight w:val="none"/>
          <w:shd w:val="clear" w:color="auto" w:fill="FFFFFF"/>
          <w:lang w:val="en-US" w:eastAsia="zh-CN"/>
        </w:rPr>
        <w:t>2分。</w:t>
      </w:r>
    </w:p>
    <w:p>
      <w:pPr>
        <w:keepNext w:val="0"/>
        <w:keepLines w:val="0"/>
        <w:pageBreakBefore w:val="0"/>
        <w:widowControl w:val="0"/>
        <w:numPr>
          <w:ilvl w:val="0"/>
          <w:numId w:val="4"/>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仿宋_GB2312" w:cs="Times New Roman"/>
          <w:color w:val="000000"/>
          <w:kern w:val="0"/>
          <w:sz w:val="32"/>
          <w:szCs w:val="32"/>
          <w:highlight w:val="none"/>
          <w:shd w:val="clear" w:color="auto" w:fill="FFFFFF"/>
          <w:lang w:val="zh-CN"/>
        </w:rPr>
      </w:pPr>
      <w:r>
        <w:rPr>
          <w:rFonts w:hint="default" w:ascii="Times New Roman" w:hAnsi="Times New Roman" w:eastAsia="仿宋_GB2312" w:cs="Times New Roman"/>
          <w:color w:val="000000"/>
          <w:kern w:val="0"/>
          <w:sz w:val="32"/>
          <w:szCs w:val="32"/>
          <w:shd w:val="clear" w:fill="FFFFFF"/>
          <w:lang w:val="zh-CN" w:eastAsia="zh-CN" w:bidi="ar-SA"/>
        </w:rPr>
        <w:t>资金使用规范。</w:t>
      </w:r>
      <w:r>
        <w:rPr>
          <w:rFonts w:hint="default" w:ascii="Times New Roman" w:hAnsi="Times New Roman" w:eastAsia="仿宋_GB2312" w:cs="Times New Roman"/>
          <w:color w:val="000000"/>
          <w:kern w:val="0"/>
          <w:sz w:val="32"/>
          <w:szCs w:val="32"/>
          <w:highlight w:val="none"/>
          <w:shd w:val="clear" w:color="auto" w:fill="FFFFFF"/>
          <w:lang w:val="zh-CN"/>
        </w:rPr>
        <w:t>民革四川省委会资金使用严格按照全年预算编制执行，依据本单位财务制度进行审批和报销。分值</w:t>
      </w:r>
      <w:r>
        <w:rPr>
          <w:rFonts w:hint="default" w:ascii="Times New Roman" w:hAnsi="Times New Roman" w:eastAsia="仿宋_GB2312" w:cs="Times New Roman"/>
          <w:color w:val="000000"/>
          <w:kern w:val="0"/>
          <w:sz w:val="32"/>
          <w:szCs w:val="32"/>
          <w:highlight w:val="none"/>
          <w:shd w:val="clear" w:color="auto" w:fill="FFFFFF"/>
          <w:lang w:val="en-US" w:eastAsia="zh-CN"/>
        </w:rPr>
        <w:t>4分，</w:t>
      </w:r>
      <w:r>
        <w:rPr>
          <w:rFonts w:hint="default" w:ascii="Times New Roman" w:hAnsi="Times New Roman" w:eastAsia="仿宋_GB2312" w:cs="Times New Roman"/>
          <w:color w:val="000000"/>
          <w:kern w:val="0"/>
          <w:sz w:val="32"/>
          <w:szCs w:val="32"/>
          <w:highlight w:val="none"/>
          <w:shd w:val="clear" w:color="auto" w:fill="FFFFFF"/>
          <w:lang w:val="zh-CN"/>
        </w:rPr>
        <w:t>得分</w:t>
      </w:r>
      <w:r>
        <w:rPr>
          <w:rFonts w:hint="default" w:ascii="Times New Roman" w:hAnsi="Times New Roman" w:eastAsia="仿宋_GB2312" w:cs="Times New Roman"/>
          <w:color w:val="000000"/>
          <w:kern w:val="0"/>
          <w:sz w:val="32"/>
          <w:szCs w:val="32"/>
          <w:highlight w:val="none"/>
          <w:shd w:val="clear" w:color="auto" w:fill="FFFFFF"/>
          <w:lang w:val="en-US" w:eastAsia="zh-CN"/>
        </w:rPr>
        <w:t>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楷体_GB2312" w:cs="Times New Roman"/>
          <w:color w:val="000000"/>
          <w:kern w:val="0"/>
          <w:sz w:val="32"/>
          <w:szCs w:val="32"/>
          <w:highlight w:val="none"/>
          <w:shd w:val="clear" w:color="auto" w:fill="FFFFFF"/>
          <w:lang w:val="zh-CN"/>
        </w:rPr>
      </w:pPr>
      <w:r>
        <w:rPr>
          <w:rFonts w:hint="default" w:ascii="Times New Roman" w:hAnsi="Times New Roman" w:eastAsia="楷体_GB2312" w:cs="Times New Roman"/>
          <w:color w:val="000000"/>
          <w:kern w:val="0"/>
          <w:sz w:val="32"/>
          <w:szCs w:val="32"/>
          <w:highlight w:val="none"/>
          <w:shd w:val="clear" w:color="auto" w:fill="FFFFFF"/>
          <w:lang w:val="en-US" w:eastAsia="zh-CN"/>
        </w:rPr>
        <w:t>4.</w:t>
      </w:r>
      <w:r>
        <w:rPr>
          <w:rFonts w:hint="default" w:ascii="Times New Roman" w:hAnsi="Times New Roman" w:eastAsia="楷体_GB2312" w:cs="Times New Roman"/>
          <w:color w:val="000000"/>
          <w:kern w:val="0"/>
          <w:sz w:val="32"/>
          <w:szCs w:val="32"/>
          <w:highlight w:val="none"/>
          <w:shd w:val="clear" w:color="auto" w:fill="FFFFFF"/>
          <w:lang w:val="zh-CN"/>
        </w:rPr>
        <w:t>资产管理。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仿宋_GB2312" w:cs="Times New Roman"/>
          <w:color w:val="262626" w:themeColor="text1" w:themeTint="D9"/>
          <w:kern w:val="0"/>
          <w:sz w:val="32"/>
          <w:szCs w:val="32"/>
          <w:highlight w:val="none"/>
          <w:shd w:val="clear" w:color="auto" w:fill="FFFFFF"/>
          <w:lang w:val="en-US" w:eastAsia="zh-CN"/>
          <w14:textFill>
            <w14:solidFill>
              <w14:schemeClr w14:val="tx1">
                <w14:lumMod w14:val="85000"/>
                <w14:lumOff w14:val="15000"/>
              </w14:schemeClr>
            </w14:solidFill>
          </w14:textFill>
        </w:rPr>
      </w:pPr>
      <w:r>
        <w:rPr>
          <w:rFonts w:hint="default" w:ascii="Times New Roman" w:hAnsi="Times New Roman" w:eastAsia="仿宋_GB2312" w:cs="Times New Roman"/>
          <w:color w:val="262626" w:themeColor="text1" w:themeTint="D9"/>
          <w:kern w:val="0"/>
          <w:sz w:val="32"/>
          <w:szCs w:val="32"/>
          <w:highlight w:val="none"/>
          <w:shd w:val="clear" w:color="auto" w:fill="FFFFFF"/>
          <w:lang w:val="zh-CN"/>
          <w14:textFill>
            <w14:solidFill>
              <w14:schemeClr w14:val="tx1">
                <w14:lumMod w14:val="85000"/>
                <w14:lumOff w14:val="15000"/>
              </w14:schemeClr>
            </w14:solidFill>
          </w14:textFill>
        </w:rPr>
        <w:t>（</w:t>
      </w:r>
      <w:r>
        <w:rPr>
          <w:rFonts w:hint="default" w:ascii="Times New Roman" w:hAnsi="Times New Roman" w:eastAsia="仿宋_GB2312" w:cs="Times New Roman"/>
          <w:color w:val="262626" w:themeColor="text1" w:themeTint="D9"/>
          <w:kern w:val="0"/>
          <w:sz w:val="32"/>
          <w:szCs w:val="32"/>
          <w:highlight w:val="none"/>
          <w:shd w:val="clear" w:color="auto" w:fill="FFFFFF"/>
          <w:lang w:val="en-US" w:eastAsia="zh-CN"/>
          <w14:textFill>
            <w14:solidFill>
              <w14:schemeClr w14:val="tx1">
                <w14:lumMod w14:val="85000"/>
                <w14:lumOff w14:val="15000"/>
              </w14:schemeClr>
            </w14:solidFill>
          </w14:textFill>
        </w:rPr>
        <w:t>1</w:t>
      </w:r>
      <w:r>
        <w:rPr>
          <w:rFonts w:hint="default" w:ascii="Times New Roman" w:hAnsi="Times New Roman" w:eastAsia="仿宋_GB2312" w:cs="Times New Roman"/>
          <w:color w:val="262626" w:themeColor="text1" w:themeTint="D9"/>
          <w:kern w:val="0"/>
          <w:sz w:val="32"/>
          <w:szCs w:val="32"/>
          <w:highlight w:val="none"/>
          <w:shd w:val="clear" w:color="auto" w:fill="FFFFFF"/>
          <w:lang w:val="zh-CN"/>
          <w14:textFill>
            <w14:solidFill>
              <w14:schemeClr w14:val="tx1">
                <w14:lumMod w14:val="85000"/>
                <w14:lumOff w14:val="15000"/>
              </w14:schemeClr>
            </w14:solidFill>
          </w14:textFill>
        </w:rPr>
        <w:t>）人均资产变化率</w:t>
      </w:r>
      <w:r>
        <w:rPr>
          <w:rFonts w:hint="default" w:ascii="Times New Roman" w:hAnsi="Times New Roman" w:eastAsia="仿宋_GB2312" w:cs="Times New Roman"/>
          <w:color w:val="262626" w:themeColor="text1" w:themeTint="D9"/>
          <w:kern w:val="0"/>
          <w:sz w:val="32"/>
          <w:szCs w:val="32"/>
          <w:highlight w:val="none"/>
          <w:shd w:val="clear" w:color="auto" w:fill="FFFFFF"/>
          <w:lang w:val="zh-CN" w:eastAsia="zh-CN"/>
          <w14:textFill>
            <w14:solidFill>
              <w14:schemeClr w14:val="tx1">
                <w14:lumMod w14:val="85000"/>
                <w14:lumOff w14:val="15000"/>
              </w14:schemeClr>
            </w14:solidFill>
          </w14:textFill>
        </w:rPr>
        <w:t>。民革四川省委会</w:t>
      </w:r>
      <w:r>
        <w:rPr>
          <w:rFonts w:hint="default" w:ascii="Times New Roman" w:hAnsi="Times New Roman" w:eastAsia="仿宋_GB2312" w:cs="Times New Roman"/>
          <w:color w:val="262626" w:themeColor="text1" w:themeTint="D9"/>
          <w:kern w:val="0"/>
          <w:sz w:val="32"/>
          <w:szCs w:val="32"/>
          <w:highlight w:val="none"/>
          <w:shd w:val="clear" w:color="auto" w:fill="FFFFFF"/>
          <w:lang w:val="en-US" w:eastAsia="zh-CN"/>
          <w14:textFill>
            <w14:solidFill>
              <w14:schemeClr w14:val="tx1">
                <w14:lumMod w14:val="85000"/>
                <w14:lumOff w14:val="15000"/>
              </w14:schemeClr>
            </w14:solidFill>
          </w14:textFill>
        </w:rPr>
        <w:t>2023年度人均资产变化率-1.21%，分值1.5分，得分1.5分，人均资产增长率-1%，分值1.5分，得分1.5分。共计3分。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仿宋_GB2312" w:cs="Times New Roman"/>
          <w:color w:val="262626" w:themeColor="text1" w:themeTint="D9"/>
          <w:kern w:val="0"/>
          <w:sz w:val="32"/>
          <w:szCs w:val="32"/>
          <w:highlight w:val="none"/>
          <w:shd w:val="clear" w:color="auto" w:fill="FFFFFF"/>
          <w:lang w:val="en-US" w:eastAsia="zh-CN"/>
          <w14:textFill>
            <w14:solidFill>
              <w14:schemeClr w14:val="tx1">
                <w14:lumMod w14:val="85000"/>
                <w14:lumOff w14:val="15000"/>
              </w14:schemeClr>
            </w14:solidFill>
          </w14:textFill>
        </w:rPr>
      </w:pPr>
      <w:r>
        <w:rPr>
          <w:rFonts w:hint="default" w:ascii="Times New Roman" w:hAnsi="Times New Roman" w:eastAsia="仿宋_GB2312" w:cs="Times New Roman"/>
          <w:color w:val="000000"/>
          <w:kern w:val="0"/>
          <w:sz w:val="32"/>
          <w:szCs w:val="32"/>
          <w:highlight w:val="none"/>
          <w:shd w:val="clear" w:color="auto" w:fill="FFFFFF"/>
          <w:lang w:val="zh-CN"/>
        </w:rPr>
        <w:t>（</w:t>
      </w:r>
      <w:r>
        <w:rPr>
          <w:rFonts w:hint="default" w:ascii="Times New Roman" w:hAnsi="Times New Roman" w:eastAsia="仿宋_GB2312" w:cs="Times New Roman"/>
          <w:color w:val="000000"/>
          <w:kern w:val="0"/>
          <w:sz w:val="32"/>
          <w:szCs w:val="32"/>
          <w:highlight w:val="none"/>
          <w:shd w:val="clear" w:color="auto" w:fill="FFFFFF"/>
          <w:lang w:val="en-US" w:eastAsia="zh-CN"/>
        </w:rPr>
        <w:t>2</w:t>
      </w:r>
      <w:r>
        <w:rPr>
          <w:rFonts w:hint="default" w:ascii="Times New Roman" w:hAnsi="Times New Roman" w:eastAsia="仿宋_GB2312" w:cs="Times New Roman"/>
          <w:color w:val="000000"/>
          <w:kern w:val="0"/>
          <w:sz w:val="32"/>
          <w:szCs w:val="32"/>
          <w:highlight w:val="none"/>
          <w:shd w:val="clear" w:color="auto" w:fill="FFFFFF"/>
          <w:lang w:val="zh-CN"/>
        </w:rPr>
        <w:t>）资产</w:t>
      </w:r>
      <w:r>
        <w:rPr>
          <w:rFonts w:hint="default" w:ascii="Times New Roman" w:hAnsi="Times New Roman" w:eastAsia="仿宋_GB2312" w:cs="Times New Roman"/>
          <w:color w:val="262626" w:themeColor="text1" w:themeTint="D9"/>
          <w:kern w:val="0"/>
          <w:sz w:val="32"/>
          <w:szCs w:val="32"/>
          <w:highlight w:val="none"/>
          <w:shd w:val="clear" w:color="auto" w:fill="FFFFFF"/>
          <w:lang w:val="zh-CN"/>
          <w14:textFill>
            <w14:solidFill>
              <w14:schemeClr w14:val="tx1">
                <w14:lumMod w14:val="85000"/>
                <w14:lumOff w14:val="15000"/>
              </w14:schemeClr>
            </w14:solidFill>
          </w14:textFill>
        </w:rPr>
        <w:t>利用率。民革四川省委会</w:t>
      </w:r>
      <w:r>
        <w:rPr>
          <w:rFonts w:hint="default" w:ascii="Times New Roman" w:hAnsi="Times New Roman" w:eastAsia="仿宋_GB2312" w:cs="Times New Roman"/>
          <w:color w:val="262626" w:themeColor="text1" w:themeTint="D9"/>
          <w:kern w:val="0"/>
          <w:sz w:val="32"/>
          <w:szCs w:val="32"/>
          <w:highlight w:val="none"/>
          <w:shd w:val="clear" w:color="auto" w:fill="FFFFFF"/>
          <w:lang w:val="en-US" w:eastAsia="zh-CN"/>
          <w14:textFill>
            <w14:solidFill>
              <w14:schemeClr w14:val="tx1">
                <w14:lumMod w14:val="85000"/>
                <w14:lumOff w14:val="15000"/>
              </w14:schemeClr>
            </w14:solidFill>
          </w14:textFill>
        </w:rPr>
        <w:t>2023年度</w:t>
      </w:r>
      <w:r>
        <w:rPr>
          <w:rFonts w:hint="default" w:ascii="Times New Roman" w:hAnsi="Times New Roman" w:eastAsia="仿宋_GB2312" w:cs="Times New Roman"/>
          <w:color w:val="262626" w:themeColor="text1" w:themeTint="D9"/>
          <w:kern w:val="0"/>
          <w:sz w:val="32"/>
          <w:szCs w:val="32"/>
          <w:highlight w:val="none"/>
          <w:shd w:val="clear" w:color="auto" w:fill="FFFFFF"/>
          <w:lang w:val="zh-CN"/>
          <w14:textFill>
            <w14:solidFill>
              <w14:schemeClr w14:val="tx1">
                <w14:lumMod w14:val="85000"/>
                <w14:lumOff w14:val="15000"/>
              </w14:schemeClr>
            </w14:solidFill>
          </w14:textFill>
        </w:rPr>
        <w:t>办公家具超最低使用年限资产利用率</w:t>
      </w:r>
      <w:r>
        <w:rPr>
          <w:rFonts w:hint="default" w:ascii="Times New Roman" w:hAnsi="Times New Roman" w:eastAsia="仿宋_GB2312" w:cs="Times New Roman"/>
          <w:color w:val="262626" w:themeColor="text1" w:themeTint="D9"/>
          <w:kern w:val="0"/>
          <w:sz w:val="32"/>
          <w:szCs w:val="32"/>
          <w:highlight w:val="none"/>
          <w:shd w:val="clear" w:color="auto" w:fill="FFFFFF"/>
          <w:lang w:val="en-US" w:eastAsia="zh-CN"/>
          <w14:textFill>
            <w14:solidFill>
              <w14:schemeClr w14:val="tx1">
                <w14:lumMod w14:val="85000"/>
                <w14:lumOff w14:val="15000"/>
              </w14:schemeClr>
            </w14:solidFill>
          </w14:textFill>
        </w:rPr>
        <w:t>7%，分值1.5分，得分0.3分，</w:t>
      </w:r>
      <w:r>
        <w:rPr>
          <w:rFonts w:hint="default" w:ascii="Times New Roman" w:hAnsi="Times New Roman" w:eastAsia="仿宋_GB2312" w:cs="Times New Roman"/>
          <w:color w:val="262626" w:themeColor="text1" w:themeTint="D9"/>
          <w:kern w:val="0"/>
          <w:sz w:val="32"/>
          <w:szCs w:val="32"/>
          <w:highlight w:val="none"/>
          <w:shd w:val="clear" w:color="auto" w:fill="FFFFFF"/>
          <w:lang w:val="zh-CN"/>
          <w14:textFill>
            <w14:solidFill>
              <w14:schemeClr w14:val="tx1">
                <w14:lumMod w14:val="85000"/>
                <w14:lumOff w14:val="15000"/>
              </w14:schemeClr>
            </w14:solidFill>
          </w14:textFill>
        </w:rPr>
        <w:t>办公设备超最低使用年限资产利用率</w:t>
      </w:r>
      <w:r>
        <w:rPr>
          <w:rFonts w:hint="default" w:ascii="Times New Roman" w:hAnsi="Times New Roman" w:eastAsia="仿宋_GB2312" w:cs="Times New Roman"/>
          <w:color w:val="262626" w:themeColor="text1" w:themeTint="D9"/>
          <w:kern w:val="0"/>
          <w:sz w:val="32"/>
          <w:szCs w:val="32"/>
          <w:highlight w:val="none"/>
          <w:shd w:val="clear" w:color="auto" w:fill="FFFFFF"/>
          <w:lang w:val="en-US" w:eastAsia="zh-CN"/>
          <w14:textFill>
            <w14:solidFill>
              <w14:schemeClr w14:val="tx1">
                <w14:lumMod w14:val="85000"/>
                <w14:lumOff w14:val="15000"/>
              </w14:schemeClr>
            </w14:solidFill>
          </w14:textFill>
        </w:rPr>
        <w:t>45%，分值1.5分，得分1.5分。共计1.8分。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仿宋_GB2312" w:cs="Times New Roman"/>
          <w:color w:val="000000"/>
          <w:kern w:val="0"/>
          <w:sz w:val="32"/>
          <w:szCs w:val="32"/>
          <w:highlight w:val="none"/>
          <w:shd w:val="clear" w:color="auto" w:fill="FFFFFF"/>
          <w:lang w:val="zh-CN"/>
        </w:rPr>
        <w:t>（</w:t>
      </w:r>
      <w:r>
        <w:rPr>
          <w:rFonts w:hint="default" w:ascii="Times New Roman" w:hAnsi="Times New Roman" w:eastAsia="仿宋_GB2312" w:cs="Times New Roman"/>
          <w:color w:val="000000"/>
          <w:kern w:val="0"/>
          <w:sz w:val="32"/>
          <w:szCs w:val="32"/>
          <w:highlight w:val="none"/>
          <w:shd w:val="clear" w:color="auto" w:fill="FFFFFF"/>
          <w:lang w:val="en-US" w:eastAsia="zh-CN"/>
        </w:rPr>
        <w:t>3</w:t>
      </w:r>
      <w:r>
        <w:rPr>
          <w:rFonts w:hint="default" w:ascii="Times New Roman" w:hAnsi="Times New Roman" w:eastAsia="仿宋_GB2312" w:cs="Times New Roman"/>
          <w:color w:val="000000"/>
          <w:kern w:val="0"/>
          <w:sz w:val="32"/>
          <w:szCs w:val="32"/>
          <w:highlight w:val="none"/>
          <w:shd w:val="clear" w:color="auto" w:fill="FFFFFF"/>
          <w:lang w:val="zh-CN"/>
        </w:rPr>
        <w:t>）资产盘活率。民革四川省委会</w:t>
      </w:r>
      <w:r>
        <w:rPr>
          <w:rFonts w:hint="default" w:ascii="Times New Roman" w:hAnsi="Times New Roman" w:eastAsia="仿宋_GB2312" w:cs="Times New Roman"/>
          <w:color w:val="000000"/>
          <w:kern w:val="0"/>
          <w:sz w:val="32"/>
          <w:szCs w:val="32"/>
          <w:highlight w:val="none"/>
          <w:shd w:val="clear" w:color="auto" w:fill="FFFFFF"/>
          <w:lang w:val="en-US" w:eastAsia="zh-CN"/>
        </w:rPr>
        <w:t>无闲置资产。分值3分，得分3分。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楷体_GB2312" w:cs="Times New Roman"/>
          <w:color w:val="000000"/>
          <w:kern w:val="0"/>
          <w:sz w:val="32"/>
          <w:szCs w:val="32"/>
          <w:highlight w:val="none"/>
          <w:shd w:val="clear" w:color="auto" w:fill="FFFFFF"/>
          <w:lang w:val="zh-CN"/>
        </w:rPr>
      </w:pPr>
      <w:r>
        <w:rPr>
          <w:rFonts w:hint="default" w:ascii="Times New Roman" w:hAnsi="Times New Roman" w:eastAsia="楷体_GB2312" w:cs="Times New Roman"/>
          <w:color w:val="000000"/>
          <w:kern w:val="0"/>
          <w:sz w:val="32"/>
          <w:szCs w:val="32"/>
          <w:highlight w:val="none"/>
          <w:shd w:val="clear" w:color="auto" w:fill="FFFFFF"/>
          <w:lang w:val="en-US" w:eastAsia="zh-CN"/>
        </w:rPr>
        <w:t>5.</w:t>
      </w:r>
      <w:r>
        <w:rPr>
          <w:rFonts w:hint="default" w:ascii="Times New Roman" w:hAnsi="Times New Roman" w:eastAsia="楷体_GB2312" w:cs="Times New Roman"/>
          <w:color w:val="000000"/>
          <w:kern w:val="0"/>
          <w:sz w:val="32"/>
          <w:szCs w:val="32"/>
          <w:highlight w:val="none"/>
          <w:shd w:val="clear" w:color="auto" w:fill="FFFFFF"/>
          <w:lang w:val="zh-CN"/>
        </w:rPr>
        <w:t>采购管理。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仿宋_GB2312" w:cs="Times New Roman"/>
          <w:color w:val="000000"/>
          <w:kern w:val="0"/>
          <w:sz w:val="32"/>
          <w:szCs w:val="32"/>
          <w:highlight w:val="none"/>
          <w:shd w:val="clear" w:color="auto" w:fill="FFFFFF"/>
          <w:lang w:val="zh-CN"/>
        </w:rPr>
        <w:t>（</w:t>
      </w:r>
      <w:r>
        <w:rPr>
          <w:rFonts w:hint="default" w:ascii="Times New Roman" w:hAnsi="Times New Roman" w:eastAsia="仿宋_GB2312" w:cs="Times New Roman"/>
          <w:color w:val="000000"/>
          <w:kern w:val="0"/>
          <w:sz w:val="32"/>
          <w:szCs w:val="32"/>
          <w:highlight w:val="none"/>
          <w:shd w:val="clear" w:color="auto" w:fill="FFFFFF"/>
          <w:lang w:val="en-US" w:eastAsia="zh-CN"/>
        </w:rPr>
        <w:t>1</w:t>
      </w:r>
      <w:r>
        <w:rPr>
          <w:rFonts w:hint="default" w:ascii="Times New Roman" w:hAnsi="Times New Roman" w:eastAsia="仿宋_GB2312" w:cs="Times New Roman"/>
          <w:color w:val="000000"/>
          <w:kern w:val="0"/>
          <w:sz w:val="32"/>
          <w:szCs w:val="32"/>
          <w:highlight w:val="none"/>
          <w:shd w:val="clear" w:color="auto" w:fill="FFFFFF"/>
          <w:lang w:val="zh-CN"/>
        </w:rPr>
        <w:t>）支持中小企业发展。民革四川省委会严格执行政府采购促进中小企业发展相关管理办法，并在</w:t>
      </w:r>
      <w:r>
        <w:rPr>
          <w:rFonts w:hint="default" w:ascii="Times New Roman" w:hAnsi="Times New Roman" w:eastAsia="仿宋_GB2312" w:cs="Times New Roman"/>
          <w:color w:val="000000"/>
          <w:kern w:val="0"/>
          <w:sz w:val="32"/>
          <w:szCs w:val="32"/>
          <w:highlight w:val="none"/>
          <w:shd w:val="clear" w:color="auto" w:fill="FFFFFF"/>
          <w:lang w:val="en-US" w:eastAsia="zh-CN"/>
        </w:rPr>
        <w:t>2023年度</w:t>
      </w:r>
      <w:r>
        <w:rPr>
          <w:rFonts w:hint="default" w:ascii="Times New Roman" w:hAnsi="Times New Roman" w:eastAsia="仿宋_GB2312" w:cs="Times New Roman"/>
          <w:color w:val="000000"/>
          <w:kern w:val="0"/>
          <w:sz w:val="32"/>
          <w:szCs w:val="32"/>
          <w:highlight w:val="none"/>
          <w:shd w:val="clear" w:color="auto" w:fill="FFFFFF"/>
          <w:lang w:val="zh-CN"/>
        </w:rPr>
        <w:t>采购预算中单独列示。分值</w:t>
      </w:r>
      <w:r>
        <w:rPr>
          <w:rFonts w:hint="default" w:ascii="Times New Roman" w:hAnsi="Times New Roman" w:eastAsia="仿宋_GB2312" w:cs="Times New Roman"/>
          <w:color w:val="000000"/>
          <w:kern w:val="0"/>
          <w:sz w:val="32"/>
          <w:szCs w:val="32"/>
          <w:highlight w:val="none"/>
          <w:shd w:val="clear" w:color="auto" w:fill="FFFFFF"/>
          <w:lang w:val="en-US" w:eastAsia="zh-CN"/>
        </w:rPr>
        <w:t>3分，得分3分。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仿宋_GB2312" w:cs="Times New Roman"/>
          <w:color w:val="000000"/>
          <w:kern w:val="0"/>
          <w:sz w:val="32"/>
          <w:szCs w:val="32"/>
          <w:highlight w:val="none"/>
          <w:shd w:val="clear" w:color="auto" w:fill="FFFFFF"/>
          <w:lang w:val="en-US" w:eastAsia="zh-CN"/>
        </w:rPr>
        <w:t>（2）采购执行率。民革四川省委会2023年度政府采购总预算16.22万元，实际支付总额16.11万元，已完成采购项目节约金额0.11万元。分值3分，得分3分。</w:t>
      </w:r>
    </w:p>
    <w:p>
      <w:pPr>
        <w:keepNext w:val="0"/>
        <w:keepLines w:val="0"/>
        <w:pageBreakBefore w:val="0"/>
        <w:widowControl/>
        <w:kinsoku/>
        <w:wordWrap/>
        <w:overflowPunct/>
        <w:topLinePunct w:val="0"/>
        <w:autoSpaceDE/>
        <w:autoSpaceDN/>
        <w:bidi w:val="0"/>
        <w:adjustRightInd w:val="0"/>
        <w:snapToGrid w:val="0"/>
        <w:spacing w:line="600" w:lineRule="exact"/>
        <w:ind w:leftChars="0" w:firstLine="643" w:firstLineChars="200"/>
        <w:contextualSpacing/>
        <w:jc w:val="both"/>
        <w:textAlignment w:val="auto"/>
        <w:outlineLvl w:val="9"/>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楷体_GB2312" w:cs="Times New Roman"/>
          <w:b/>
          <w:bCs/>
          <w:color w:val="000000"/>
          <w:kern w:val="0"/>
          <w:sz w:val="32"/>
          <w:szCs w:val="32"/>
          <w:highlight w:val="none"/>
          <w:shd w:val="clear" w:color="auto" w:fill="FFFFFF"/>
          <w:lang w:val="zh-CN"/>
        </w:rPr>
        <w:t>（二）部门预算项目绩效分析。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仿宋_GB2312" w:cs="Times New Roman"/>
          <w:color w:val="000000"/>
          <w:kern w:val="0"/>
          <w:sz w:val="32"/>
          <w:szCs w:val="32"/>
          <w:highlight w:val="none"/>
          <w:shd w:val="clear" w:color="auto" w:fill="FFFFFF"/>
          <w:lang w:val="zh-CN" w:eastAsia="zh-CN"/>
        </w:rPr>
      </w:pPr>
      <w:r>
        <w:rPr>
          <w:rFonts w:hint="default" w:ascii="Times New Roman" w:hAnsi="Times New Roman" w:eastAsia="仿宋_GB2312" w:cs="Times New Roman"/>
          <w:color w:val="000000"/>
          <w:kern w:val="0"/>
          <w:sz w:val="32"/>
          <w:szCs w:val="32"/>
          <w:highlight w:val="none"/>
          <w:shd w:val="clear" w:color="auto" w:fill="FFFFFF"/>
          <w:lang w:val="en-US" w:eastAsia="zh-CN"/>
        </w:rPr>
        <w:t>常年项目绩效分析。</w:t>
      </w:r>
      <w:r>
        <w:rPr>
          <w:rFonts w:hint="default" w:ascii="Times New Roman" w:hAnsi="Times New Roman" w:eastAsia="仿宋_GB2312" w:cs="Times New Roman"/>
          <w:color w:val="000000"/>
          <w:kern w:val="0"/>
          <w:sz w:val="32"/>
          <w:szCs w:val="32"/>
          <w:highlight w:val="none"/>
          <w:shd w:val="clear" w:color="auto" w:fill="FFFFFF"/>
          <w:lang w:val="zh-CN" w:eastAsia="zh-CN"/>
        </w:rPr>
        <w:t>该类项目总数</w:t>
      </w:r>
      <w:r>
        <w:rPr>
          <w:rFonts w:hint="eastAsia" w:ascii="Times New Roman" w:hAnsi="Times New Roman" w:eastAsia="仿宋_GB2312" w:cs="Times New Roman"/>
          <w:color w:val="000000"/>
          <w:kern w:val="0"/>
          <w:sz w:val="32"/>
          <w:szCs w:val="32"/>
          <w:highlight w:val="none"/>
          <w:shd w:val="clear" w:color="auto" w:fill="FFFFFF"/>
          <w:lang w:val="en-US" w:eastAsia="zh-CN"/>
        </w:rPr>
        <w:t>1</w:t>
      </w:r>
      <w:r>
        <w:rPr>
          <w:rFonts w:hint="default" w:ascii="Times New Roman" w:hAnsi="Times New Roman" w:eastAsia="仿宋_GB2312" w:cs="Times New Roman"/>
          <w:color w:val="000000"/>
          <w:kern w:val="0"/>
          <w:sz w:val="32"/>
          <w:szCs w:val="32"/>
          <w:highlight w:val="none"/>
          <w:shd w:val="clear" w:color="auto" w:fill="FFFFFF"/>
          <w:lang w:val="zh-CN" w:eastAsia="zh-CN"/>
        </w:rPr>
        <w:t>个，涉及预算总金额</w:t>
      </w:r>
      <w:r>
        <w:rPr>
          <w:rFonts w:hint="eastAsia" w:ascii="Times New Roman" w:hAnsi="Times New Roman" w:eastAsia="仿宋_GB2312" w:cs="Times New Roman"/>
          <w:color w:val="000000"/>
          <w:kern w:val="0"/>
          <w:sz w:val="32"/>
          <w:szCs w:val="32"/>
          <w:highlight w:val="none"/>
          <w:shd w:val="clear" w:color="auto" w:fill="FFFFFF"/>
          <w:lang w:val="en-US" w:eastAsia="zh-CN"/>
        </w:rPr>
        <w:t>158.5</w:t>
      </w:r>
      <w:r>
        <w:rPr>
          <w:rFonts w:hint="default" w:ascii="Times New Roman" w:hAnsi="Times New Roman" w:eastAsia="仿宋_GB2312" w:cs="Times New Roman"/>
          <w:color w:val="000000"/>
          <w:kern w:val="0"/>
          <w:sz w:val="32"/>
          <w:szCs w:val="32"/>
          <w:highlight w:val="none"/>
          <w:shd w:val="clear" w:color="auto" w:fill="FFFFFF"/>
          <w:lang w:val="zh-CN" w:eastAsia="zh-CN"/>
        </w:rPr>
        <w:t>万元，</w:t>
      </w:r>
      <w:r>
        <w:rPr>
          <w:rFonts w:hint="default" w:ascii="Times New Roman" w:hAnsi="Times New Roman" w:eastAsia="仿宋_GB2312" w:cs="Times New Roman"/>
          <w:color w:val="000000"/>
          <w:kern w:val="0"/>
          <w:sz w:val="32"/>
          <w:szCs w:val="32"/>
          <w:highlight w:val="none"/>
          <w:shd w:val="clear" w:color="auto" w:fill="FFFFFF"/>
          <w:lang w:val="zh-CN"/>
        </w:rPr>
        <w:t>1</w:t>
      </w:r>
      <w:r>
        <w:rPr>
          <w:rFonts w:hint="default" w:ascii="Times New Roman" w:hAnsi="Times New Roman" w:eastAsia="仿宋_GB2312" w:cs="Times New Roman"/>
          <w:color w:val="000000"/>
          <w:kern w:val="0"/>
          <w:sz w:val="32"/>
          <w:szCs w:val="32"/>
          <w:highlight w:val="none"/>
          <w:shd w:val="clear" w:color="auto" w:fill="FFFFFF"/>
          <w:lang w:val="zh-CN" w:eastAsia="zh-CN"/>
        </w:rPr>
        <w:t>—</w:t>
      </w:r>
      <w:r>
        <w:rPr>
          <w:rFonts w:hint="default" w:ascii="Times New Roman" w:hAnsi="Times New Roman" w:eastAsia="仿宋_GB2312" w:cs="Times New Roman"/>
          <w:color w:val="000000"/>
          <w:kern w:val="0"/>
          <w:sz w:val="32"/>
          <w:szCs w:val="32"/>
          <w:highlight w:val="none"/>
          <w:shd w:val="clear" w:color="auto" w:fill="FFFFFF"/>
          <w:lang w:val="zh-CN"/>
        </w:rPr>
        <w:t>1</w:t>
      </w:r>
      <w:r>
        <w:rPr>
          <w:rFonts w:hint="default" w:ascii="Times New Roman" w:hAnsi="Times New Roman" w:eastAsia="仿宋_GB2312" w:cs="Times New Roman"/>
          <w:color w:val="000000"/>
          <w:kern w:val="0"/>
          <w:sz w:val="32"/>
          <w:szCs w:val="32"/>
          <w:highlight w:val="none"/>
          <w:shd w:val="clear" w:color="auto" w:fill="FFFFFF"/>
          <w:lang w:val="en-US" w:eastAsia="zh-CN"/>
        </w:rPr>
        <w:t>2</w:t>
      </w:r>
      <w:r>
        <w:rPr>
          <w:rFonts w:hint="default" w:ascii="Times New Roman" w:hAnsi="Times New Roman" w:eastAsia="仿宋_GB2312" w:cs="Times New Roman"/>
          <w:color w:val="000000"/>
          <w:kern w:val="0"/>
          <w:sz w:val="32"/>
          <w:szCs w:val="32"/>
          <w:highlight w:val="none"/>
          <w:shd w:val="clear" w:color="auto" w:fill="FFFFFF"/>
          <w:lang w:val="zh-CN"/>
        </w:rPr>
        <w:t>月预算执行总体进度为</w:t>
      </w:r>
      <w:r>
        <w:rPr>
          <w:rFonts w:hint="default" w:ascii="Times New Roman" w:hAnsi="Times New Roman" w:eastAsia="仿宋_GB2312" w:cs="Times New Roman"/>
          <w:color w:val="000000"/>
          <w:kern w:val="0"/>
          <w:sz w:val="32"/>
          <w:szCs w:val="32"/>
          <w:highlight w:val="none"/>
          <w:shd w:val="clear" w:color="auto" w:fill="FFFFFF"/>
          <w:lang w:val="en-US" w:eastAsia="zh-CN"/>
        </w:rPr>
        <w:t>9</w:t>
      </w:r>
      <w:r>
        <w:rPr>
          <w:rFonts w:hint="eastAsia" w:ascii="Times New Roman" w:hAnsi="Times New Roman" w:eastAsia="仿宋_GB2312" w:cs="Times New Roman"/>
          <w:color w:val="000000"/>
          <w:kern w:val="0"/>
          <w:sz w:val="32"/>
          <w:szCs w:val="32"/>
          <w:highlight w:val="none"/>
          <w:shd w:val="clear" w:color="auto" w:fill="FFFFFF"/>
          <w:lang w:val="en-US" w:eastAsia="zh-CN"/>
        </w:rPr>
        <w:t>9.94</w:t>
      </w:r>
      <w:r>
        <w:rPr>
          <w:rFonts w:hint="default" w:ascii="Times New Roman" w:hAnsi="Times New Roman" w:eastAsia="仿宋_GB2312" w:cs="Times New Roman"/>
          <w:color w:val="000000"/>
          <w:kern w:val="0"/>
          <w:sz w:val="32"/>
          <w:szCs w:val="32"/>
          <w:highlight w:val="none"/>
          <w:shd w:val="clear" w:color="auto" w:fill="FFFFFF"/>
          <w:lang w:val="zh-CN"/>
        </w:rPr>
        <w:t>%，其中：</w:t>
      </w:r>
      <w:r>
        <w:rPr>
          <w:rFonts w:hint="default" w:ascii="Times New Roman" w:hAnsi="Times New Roman" w:eastAsia="仿宋_GB2312" w:cs="Times New Roman"/>
          <w:color w:val="000000"/>
          <w:kern w:val="0"/>
          <w:sz w:val="32"/>
          <w:szCs w:val="32"/>
          <w:highlight w:val="none"/>
          <w:shd w:val="clear" w:color="auto" w:fill="FFFFFF"/>
          <w:lang w:val="zh-CN" w:eastAsia="zh-CN"/>
        </w:rPr>
        <w:t>预算结余率大于</w:t>
      </w:r>
      <w:r>
        <w:rPr>
          <w:rFonts w:hint="default" w:ascii="Times New Roman" w:hAnsi="Times New Roman" w:eastAsia="仿宋_GB2312" w:cs="Times New Roman"/>
          <w:color w:val="000000"/>
          <w:kern w:val="0"/>
          <w:sz w:val="32"/>
          <w:szCs w:val="32"/>
          <w:highlight w:val="none"/>
          <w:shd w:val="clear" w:color="auto" w:fill="FFFFFF"/>
          <w:lang w:val="en-US" w:eastAsia="zh-CN"/>
        </w:rPr>
        <w:t>10%</w:t>
      </w:r>
      <w:r>
        <w:rPr>
          <w:rFonts w:hint="default" w:ascii="Times New Roman" w:hAnsi="Times New Roman" w:eastAsia="仿宋_GB2312" w:cs="Times New Roman"/>
          <w:color w:val="000000"/>
          <w:kern w:val="0"/>
          <w:sz w:val="32"/>
          <w:szCs w:val="32"/>
          <w:highlight w:val="none"/>
          <w:shd w:val="clear" w:color="auto" w:fill="FFFFFF"/>
          <w:lang w:val="zh-CN" w:eastAsia="zh-CN"/>
        </w:rPr>
        <w:t>的项目共计</w:t>
      </w:r>
      <w:r>
        <w:rPr>
          <w:rFonts w:hint="eastAsia" w:ascii="Times New Roman" w:hAnsi="Times New Roman" w:eastAsia="仿宋_GB2312" w:cs="Times New Roman"/>
          <w:color w:val="000000"/>
          <w:kern w:val="0"/>
          <w:sz w:val="32"/>
          <w:szCs w:val="32"/>
          <w:highlight w:val="none"/>
          <w:shd w:val="clear" w:color="auto" w:fill="FFFFFF"/>
          <w:lang w:val="en-US" w:eastAsia="zh-CN"/>
        </w:rPr>
        <w:t>0</w:t>
      </w:r>
      <w:r>
        <w:rPr>
          <w:rFonts w:hint="default" w:ascii="Times New Roman" w:hAnsi="Times New Roman" w:eastAsia="仿宋_GB2312" w:cs="Times New Roman"/>
          <w:color w:val="000000"/>
          <w:kern w:val="0"/>
          <w:sz w:val="32"/>
          <w:szCs w:val="32"/>
          <w:highlight w:val="none"/>
          <w:shd w:val="clear" w:color="auto" w:fill="FFFFFF"/>
          <w:lang w:val="zh-CN" w:eastAsia="zh-CN"/>
        </w:rPr>
        <w:t>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仿宋_GB2312" w:cs="Times New Roman"/>
          <w:color w:val="000000"/>
          <w:kern w:val="0"/>
          <w:sz w:val="32"/>
          <w:szCs w:val="32"/>
          <w:highlight w:val="none"/>
          <w:shd w:val="clear" w:color="auto" w:fill="FFFFFF"/>
          <w:lang w:val="zh-CN" w:eastAsia="zh-CN"/>
        </w:rPr>
      </w:pPr>
      <w:r>
        <w:rPr>
          <w:rFonts w:hint="default" w:ascii="Times New Roman" w:hAnsi="Times New Roman" w:eastAsia="仿宋_GB2312" w:cs="Times New Roman"/>
          <w:color w:val="000000"/>
          <w:kern w:val="0"/>
          <w:sz w:val="32"/>
          <w:szCs w:val="32"/>
          <w:highlight w:val="none"/>
          <w:shd w:val="clear" w:color="auto" w:fill="FFFFFF"/>
          <w:lang w:val="en-US" w:eastAsia="zh-CN"/>
        </w:rPr>
        <w:t>阶段（一次性）项目绩效分析。</w:t>
      </w:r>
      <w:r>
        <w:rPr>
          <w:rFonts w:hint="default" w:ascii="Times New Roman" w:hAnsi="Times New Roman" w:eastAsia="仿宋_GB2312" w:cs="Times New Roman"/>
          <w:color w:val="000000"/>
          <w:kern w:val="0"/>
          <w:sz w:val="32"/>
          <w:szCs w:val="32"/>
          <w:highlight w:val="none"/>
          <w:shd w:val="clear" w:color="auto" w:fill="FFFFFF"/>
          <w:lang w:val="zh-CN" w:eastAsia="zh-CN"/>
        </w:rPr>
        <w:t>该类项目总数</w:t>
      </w:r>
      <w:r>
        <w:rPr>
          <w:rFonts w:hint="default" w:ascii="Times New Roman" w:hAnsi="Times New Roman" w:eastAsia="仿宋_GB2312" w:cs="Times New Roman"/>
          <w:color w:val="000000"/>
          <w:kern w:val="0"/>
          <w:sz w:val="32"/>
          <w:szCs w:val="32"/>
          <w:highlight w:val="none"/>
          <w:shd w:val="clear" w:color="auto" w:fill="FFFFFF"/>
          <w:lang w:val="en-US" w:eastAsia="zh-CN"/>
        </w:rPr>
        <w:t>1</w:t>
      </w:r>
      <w:r>
        <w:rPr>
          <w:rFonts w:hint="default" w:ascii="Times New Roman" w:hAnsi="Times New Roman" w:eastAsia="仿宋_GB2312" w:cs="Times New Roman"/>
          <w:color w:val="000000"/>
          <w:kern w:val="0"/>
          <w:sz w:val="32"/>
          <w:szCs w:val="32"/>
          <w:highlight w:val="none"/>
          <w:shd w:val="clear" w:color="auto" w:fill="FFFFFF"/>
          <w:lang w:val="zh-CN" w:eastAsia="zh-CN"/>
        </w:rPr>
        <w:t>个，涉及预算总金额</w:t>
      </w:r>
      <w:r>
        <w:rPr>
          <w:rFonts w:hint="default" w:ascii="Times New Roman" w:hAnsi="Times New Roman" w:eastAsia="仿宋_GB2312" w:cs="Times New Roman"/>
          <w:color w:val="000000"/>
          <w:kern w:val="0"/>
          <w:sz w:val="32"/>
          <w:szCs w:val="32"/>
          <w:highlight w:val="none"/>
          <w:shd w:val="clear" w:color="auto" w:fill="FFFFFF"/>
          <w:lang w:val="en-US" w:eastAsia="zh-CN"/>
        </w:rPr>
        <w:t>2</w:t>
      </w:r>
      <w:r>
        <w:rPr>
          <w:rFonts w:hint="default" w:ascii="Times New Roman" w:hAnsi="Times New Roman" w:eastAsia="仿宋_GB2312" w:cs="Times New Roman"/>
          <w:color w:val="000000"/>
          <w:kern w:val="0"/>
          <w:sz w:val="32"/>
          <w:szCs w:val="32"/>
          <w:highlight w:val="none"/>
          <w:shd w:val="clear" w:color="auto" w:fill="FFFFFF"/>
          <w:lang w:val="zh-CN" w:eastAsia="zh-CN"/>
        </w:rPr>
        <w:t>万元，</w:t>
      </w:r>
      <w:r>
        <w:rPr>
          <w:rFonts w:hint="default" w:ascii="Times New Roman" w:hAnsi="Times New Roman" w:eastAsia="仿宋_GB2312" w:cs="Times New Roman"/>
          <w:color w:val="000000"/>
          <w:kern w:val="0"/>
          <w:sz w:val="32"/>
          <w:szCs w:val="32"/>
          <w:highlight w:val="none"/>
          <w:shd w:val="clear" w:color="auto" w:fill="FFFFFF"/>
          <w:lang w:val="zh-CN"/>
        </w:rPr>
        <w:t>1</w:t>
      </w:r>
      <w:r>
        <w:rPr>
          <w:rFonts w:hint="default" w:ascii="Times New Roman" w:hAnsi="Times New Roman" w:eastAsia="仿宋_GB2312" w:cs="Times New Roman"/>
          <w:color w:val="000000"/>
          <w:kern w:val="0"/>
          <w:sz w:val="32"/>
          <w:szCs w:val="32"/>
          <w:highlight w:val="none"/>
          <w:shd w:val="clear" w:color="auto" w:fill="FFFFFF"/>
          <w:lang w:val="zh-CN" w:eastAsia="zh-CN"/>
        </w:rPr>
        <w:t>—</w:t>
      </w:r>
      <w:r>
        <w:rPr>
          <w:rFonts w:hint="default" w:ascii="Times New Roman" w:hAnsi="Times New Roman" w:eastAsia="仿宋_GB2312" w:cs="Times New Roman"/>
          <w:color w:val="000000"/>
          <w:kern w:val="0"/>
          <w:sz w:val="32"/>
          <w:szCs w:val="32"/>
          <w:highlight w:val="none"/>
          <w:shd w:val="clear" w:color="auto" w:fill="FFFFFF"/>
          <w:lang w:val="zh-CN"/>
        </w:rPr>
        <w:t>1</w:t>
      </w:r>
      <w:r>
        <w:rPr>
          <w:rFonts w:hint="default" w:ascii="Times New Roman" w:hAnsi="Times New Roman" w:eastAsia="仿宋_GB2312" w:cs="Times New Roman"/>
          <w:color w:val="000000"/>
          <w:kern w:val="0"/>
          <w:sz w:val="32"/>
          <w:szCs w:val="32"/>
          <w:highlight w:val="none"/>
          <w:shd w:val="clear" w:color="auto" w:fill="FFFFFF"/>
          <w:lang w:val="en-US" w:eastAsia="zh-CN"/>
        </w:rPr>
        <w:t>2</w:t>
      </w:r>
      <w:r>
        <w:rPr>
          <w:rFonts w:hint="default" w:ascii="Times New Roman" w:hAnsi="Times New Roman" w:eastAsia="仿宋_GB2312" w:cs="Times New Roman"/>
          <w:color w:val="000000"/>
          <w:kern w:val="0"/>
          <w:sz w:val="32"/>
          <w:szCs w:val="32"/>
          <w:highlight w:val="none"/>
          <w:shd w:val="clear" w:color="auto" w:fill="FFFFFF"/>
          <w:lang w:val="zh-CN"/>
        </w:rPr>
        <w:t>月预算执行总体进度为</w:t>
      </w:r>
      <w:r>
        <w:rPr>
          <w:rFonts w:hint="default" w:ascii="Times New Roman" w:hAnsi="Times New Roman" w:eastAsia="仿宋_GB2312" w:cs="Times New Roman"/>
          <w:color w:val="000000"/>
          <w:kern w:val="0"/>
          <w:sz w:val="32"/>
          <w:szCs w:val="32"/>
          <w:highlight w:val="none"/>
          <w:shd w:val="clear" w:color="auto" w:fill="FFFFFF"/>
          <w:lang w:val="en-US" w:eastAsia="zh-CN"/>
        </w:rPr>
        <w:t>100</w:t>
      </w:r>
      <w:r>
        <w:rPr>
          <w:rFonts w:hint="default" w:ascii="Times New Roman" w:hAnsi="Times New Roman" w:eastAsia="仿宋_GB2312" w:cs="Times New Roman"/>
          <w:color w:val="000000"/>
          <w:kern w:val="0"/>
          <w:sz w:val="32"/>
          <w:szCs w:val="32"/>
          <w:highlight w:val="none"/>
          <w:shd w:val="clear" w:color="auto" w:fill="FFFFFF"/>
          <w:lang w:val="zh-CN"/>
        </w:rPr>
        <w:t>%，其中：</w:t>
      </w:r>
      <w:r>
        <w:rPr>
          <w:rFonts w:hint="default" w:ascii="Times New Roman" w:hAnsi="Times New Roman" w:eastAsia="仿宋_GB2312" w:cs="Times New Roman"/>
          <w:color w:val="000000"/>
          <w:kern w:val="0"/>
          <w:sz w:val="32"/>
          <w:szCs w:val="32"/>
          <w:highlight w:val="none"/>
          <w:shd w:val="clear" w:color="auto" w:fill="FFFFFF"/>
          <w:lang w:val="zh-CN" w:eastAsia="zh-CN"/>
        </w:rPr>
        <w:t>预算结余率大于</w:t>
      </w:r>
      <w:r>
        <w:rPr>
          <w:rFonts w:hint="default" w:ascii="Times New Roman" w:hAnsi="Times New Roman" w:eastAsia="仿宋_GB2312" w:cs="Times New Roman"/>
          <w:color w:val="000000"/>
          <w:kern w:val="0"/>
          <w:sz w:val="32"/>
          <w:szCs w:val="32"/>
          <w:highlight w:val="none"/>
          <w:shd w:val="clear" w:color="auto" w:fill="FFFFFF"/>
          <w:lang w:val="en-US" w:eastAsia="zh-CN"/>
        </w:rPr>
        <w:t>10%</w:t>
      </w:r>
      <w:r>
        <w:rPr>
          <w:rFonts w:hint="default" w:ascii="Times New Roman" w:hAnsi="Times New Roman" w:eastAsia="仿宋_GB2312" w:cs="Times New Roman"/>
          <w:color w:val="000000"/>
          <w:kern w:val="0"/>
          <w:sz w:val="32"/>
          <w:szCs w:val="32"/>
          <w:highlight w:val="none"/>
          <w:shd w:val="clear" w:color="auto" w:fill="FFFFFF"/>
          <w:lang w:val="zh-CN" w:eastAsia="zh-CN"/>
        </w:rPr>
        <w:t>的项目共计</w:t>
      </w:r>
      <w:r>
        <w:rPr>
          <w:rFonts w:hint="default" w:ascii="Times New Roman" w:hAnsi="Times New Roman" w:eastAsia="仿宋_GB2312" w:cs="Times New Roman"/>
          <w:color w:val="000000"/>
          <w:kern w:val="0"/>
          <w:sz w:val="32"/>
          <w:szCs w:val="32"/>
          <w:highlight w:val="none"/>
          <w:shd w:val="clear" w:color="auto" w:fill="FFFFFF"/>
          <w:lang w:val="en-US" w:eastAsia="zh-CN"/>
        </w:rPr>
        <w:t>0</w:t>
      </w:r>
      <w:r>
        <w:rPr>
          <w:rFonts w:hint="default" w:ascii="Times New Roman" w:hAnsi="Times New Roman" w:eastAsia="仿宋_GB2312" w:cs="Times New Roman"/>
          <w:color w:val="000000"/>
          <w:kern w:val="0"/>
          <w:sz w:val="32"/>
          <w:szCs w:val="32"/>
          <w:highlight w:val="none"/>
          <w:shd w:val="clear" w:color="auto" w:fill="FFFFFF"/>
          <w:lang w:val="zh-CN" w:eastAsia="zh-CN"/>
        </w:rPr>
        <w:t>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楷体_GB2312" w:cs="Times New Roman"/>
          <w:color w:val="000000"/>
          <w:kern w:val="0"/>
          <w:sz w:val="32"/>
          <w:szCs w:val="32"/>
          <w:highlight w:val="none"/>
          <w:shd w:val="clear" w:color="auto" w:fill="FFFFFF"/>
          <w:lang w:val="zh-CN"/>
        </w:rPr>
      </w:pPr>
      <w:r>
        <w:rPr>
          <w:rFonts w:hint="default" w:ascii="Times New Roman" w:hAnsi="Times New Roman" w:eastAsia="楷体_GB2312" w:cs="Times New Roman"/>
          <w:color w:val="000000"/>
          <w:kern w:val="0"/>
          <w:sz w:val="32"/>
          <w:szCs w:val="32"/>
          <w:highlight w:val="none"/>
          <w:shd w:val="clear" w:color="auto" w:fill="FFFFFF"/>
          <w:lang w:val="en-US" w:eastAsia="zh-CN"/>
        </w:rPr>
        <w:t>1.</w:t>
      </w:r>
      <w:r>
        <w:rPr>
          <w:rFonts w:hint="default" w:ascii="Times New Roman" w:hAnsi="Times New Roman" w:eastAsia="楷体_GB2312" w:cs="Times New Roman"/>
          <w:color w:val="000000"/>
          <w:kern w:val="0"/>
          <w:sz w:val="32"/>
          <w:szCs w:val="32"/>
          <w:highlight w:val="none"/>
          <w:shd w:val="clear" w:color="auto" w:fill="FFFFFF"/>
          <w:lang w:val="zh-CN"/>
        </w:rPr>
        <w:t>项目决策。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仿宋_GB2312" w:cs="Times New Roman"/>
          <w:color w:val="000000"/>
          <w:kern w:val="0"/>
          <w:sz w:val="32"/>
          <w:szCs w:val="32"/>
          <w:highlight w:val="none"/>
          <w:shd w:val="clear" w:color="auto" w:fill="FFFFFF"/>
          <w:lang w:val="zh-CN"/>
        </w:rPr>
        <w:t>（</w:t>
      </w:r>
      <w:r>
        <w:rPr>
          <w:rFonts w:hint="default" w:ascii="Times New Roman" w:hAnsi="Times New Roman" w:eastAsia="仿宋_GB2312" w:cs="Times New Roman"/>
          <w:color w:val="000000"/>
          <w:kern w:val="0"/>
          <w:sz w:val="32"/>
          <w:szCs w:val="32"/>
          <w:highlight w:val="none"/>
          <w:shd w:val="clear" w:color="auto" w:fill="FFFFFF"/>
          <w:lang w:val="en-US" w:eastAsia="zh-CN"/>
        </w:rPr>
        <w:t>1</w:t>
      </w:r>
      <w:r>
        <w:rPr>
          <w:rFonts w:hint="default" w:ascii="Times New Roman" w:hAnsi="Times New Roman" w:eastAsia="仿宋_GB2312" w:cs="Times New Roman"/>
          <w:color w:val="000000"/>
          <w:kern w:val="0"/>
          <w:sz w:val="32"/>
          <w:szCs w:val="32"/>
          <w:highlight w:val="none"/>
          <w:shd w:val="clear" w:color="auto" w:fill="FFFFFF"/>
          <w:lang w:val="zh-CN"/>
        </w:rPr>
        <w:t>）决策程序。民革四川省委会</w:t>
      </w:r>
      <w:r>
        <w:rPr>
          <w:rFonts w:hint="default" w:ascii="Times New Roman" w:hAnsi="Times New Roman" w:eastAsia="仿宋_GB2312" w:cs="Times New Roman"/>
          <w:color w:val="000000"/>
          <w:kern w:val="0"/>
          <w:sz w:val="32"/>
          <w:szCs w:val="32"/>
          <w:highlight w:val="none"/>
          <w:shd w:val="clear" w:color="auto" w:fill="FFFFFF"/>
          <w:lang w:val="en-US" w:eastAsia="zh-CN"/>
        </w:rPr>
        <w:t>2023年度阶段项目（含一次性项目）1个，为离退休省级干部参观考察经费，金额2万元，不满足事前绩效评估条件，可不进行事前绩效评估。分值4分，得分4分。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仿宋_GB2312" w:cs="Times New Roman"/>
          <w:color w:val="000000"/>
          <w:kern w:val="0"/>
          <w:sz w:val="32"/>
          <w:szCs w:val="32"/>
          <w:highlight w:val="none"/>
          <w:shd w:val="clear" w:color="auto" w:fill="FFFFFF"/>
          <w:lang w:val="en-US" w:eastAsia="zh-CN"/>
        </w:rPr>
        <w:t>（2）</w:t>
      </w:r>
      <w:r>
        <w:rPr>
          <w:rFonts w:hint="default" w:ascii="Times New Roman" w:hAnsi="Times New Roman" w:eastAsia="仿宋_GB2312" w:cs="Times New Roman"/>
          <w:color w:val="000000"/>
          <w:kern w:val="0"/>
          <w:sz w:val="32"/>
          <w:szCs w:val="32"/>
          <w:highlight w:val="none"/>
          <w:shd w:val="clear" w:color="auto" w:fill="FFFFFF"/>
          <w:lang w:val="zh-CN"/>
        </w:rPr>
        <w:t>目标设置</w:t>
      </w:r>
      <w:r>
        <w:rPr>
          <w:rFonts w:hint="default" w:ascii="Times New Roman" w:hAnsi="Times New Roman" w:eastAsia="仿宋_GB2312" w:cs="Times New Roman"/>
          <w:color w:val="000000"/>
          <w:kern w:val="0"/>
          <w:sz w:val="32"/>
          <w:szCs w:val="32"/>
          <w:highlight w:val="none"/>
          <w:shd w:val="clear" w:color="auto" w:fill="FFFFFF"/>
          <w:lang w:val="zh-CN" w:eastAsia="zh-CN"/>
        </w:rPr>
        <w:t>。</w:t>
      </w:r>
      <w:r>
        <w:rPr>
          <w:rFonts w:hint="default" w:ascii="Times New Roman" w:hAnsi="Times New Roman" w:eastAsia="仿宋_GB2312" w:cs="Times New Roman"/>
          <w:color w:val="000000"/>
          <w:kern w:val="0"/>
          <w:sz w:val="32"/>
          <w:szCs w:val="32"/>
          <w:highlight w:val="none"/>
          <w:shd w:val="clear" w:color="auto" w:fill="FFFFFF"/>
          <w:lang w:val="zh-CN"/>
        </w:rPr>
        <w:t>民革四川省委会</w:t>
      </w:r>
      <w:r>
        <w:rPr>
          <w:rFonts w:hint="default" w:ascii="Times New Roman" w:hAnsi="Times New Roman" w:eastAsia="仿宋_GB2312" w:cs="Times New Roman"/>
          <w:color w:val="000000"/>
          <w:kern w:val="0"/>
          <w:sz w:val="32"/>
          <w:szCs w:val="32"/>
          <w:highlight w:val="none"/>
          <w:shd w:val="clear" w:color="auto" w:fill="FFFFFF"/>
          <w:lang w:val="en-US" w:eastAsia="zh-CN"/>
        </w:rPr>
        <w:t>2023年度部门预算项目绩效目标与计划内的任务量、预算安排的资金量相匹配，绩效目标设置科学合理、规范完整、量化细化、预算匹配。分值4分，得分4分。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仿宋_GB2312" w:cs="Times New Roman"/>
          <w:color w:val="000000"/>
          <w:kern w:val="0"/>
          <w:sz w:val="32"/>
          <w:szCs w:val="32"/>
          <w:highlight w:val="none"/>
          <w:shd w:val="clear" w:color="auto" w:fill="FFFFFF"/>
          <w:lang w:val="en-US" w:eastAsia="zh-CN"/>
        </w:rPr>
        <w:t>（3）</w:t>
      </w:r>
      <w:r>
        <w:rPr>
          <w:rFonts w:hint="default" w:ascii="Times New Roman" w:hAnsi="Times New Roman" w:eastAsia="仿宋_GB2312" w:cs="Times New Roman"/>
          <w:color w:val="000000"/>
          <w:kern w:val="0"/>
          <w:sz w:val="32"/>
          <w:szCs w:val="32"/>
          <w:highlight w:val="none"/>
          <w:shd w:val="clear" w:color="auto" w:fill="FFFFFF"/>
          <w:lang w:val="zh-CN"/>
        </w:rPr>
        <w:t>项目入库。民革四川省委会</w:t>
      </w:r>
      <w:r>
        <w:rPr>
          <w:rFonts w:hint="default" w:ascii="Times New Roman" w:hAnsi="Times New Roman" w:eastAsia="仿宋_GB2312" w:cs="Times New Roman"/>
          <w:color w:val="000000"/>
          <w:kern w:val="0"/>
          <w:sz w:val="32"/>
          <w:szCs w:val="32"/>
          <w:highlight w:val="none"/>
          <w:shd w:val="clear" w:color="auto" w:fill="FFFFFF"/>
          <w:lang w:val="en-US" w:eastAsia="zh-CN"/>
        </w:rPr>
        <w:t>2023年度部门预算阶段项目（含一次性项目）按规定时间在2023年9月30日前入库。分值4分，得分4分。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楷体_GB2312" w:cs="Times New Roman"/>
          <w:color w:val="000000"/>
          <w:kern w:val="0"/>
          <w:sz w:val="32"/>
          <w:szCs w:val="32"/>
          <w:highlight w:val="none"/>
          <w:shd w:val="clear" w:color="auto" w:fill="FFFFFF"/>
          <w:lang w:val="zh-CN"/>
        </w:rPr>
      </w:pPr>
      <w:r>
        <w:rPr>
          <w:rFonts w:hint="default" w:ascii="Times New Roman" w:hAnsi="Times New Roman" w:eastAsia="楷体_GB2312" w:cs="Times New Roman"/>
          <w:color w:val="000000"/>
          <w:kern w:val="0"/>
          <w:sz w:val="32"/>
          <w:szCs w:val="32"/>
          <w:highlight w:val="none"/>
          <w:shd w:val="clear" w:color="auto" w:fill="FFFFFF"/>
          <w:lang w:val="en-US" w:eastAsia="zh-CN"/>
        </w:rPr>
        <w:t>2.项目执行</w:t>
      </w:r>
      <w:r>
        <w:rPr>
          <w:rFonts w:hint="default" w:ascii="Times New Roman" w:hAnsi="Times New Roman" w:eastAsia="楷体_GB2312" w:cs="Times New Roman"/>
          <w:color w:val="000000"/>
          <w:kern w:val="0"/>
          <w:sz w:val="32"/>
          <w:szCs w:val="32"/>
          <w:highlight w:val="none"/>
          <w:shd w:val="clear" w:color="auto" w:fill="FFFFFF"/>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仿宋_GB2312" w:cs="Times New Roman"/>
          <w:color w:val="000000"/>
          <w:kern w:val="0"/>
          <w:sz w:val="32"/>
          <w:szCs w:val="32"/>
          <w:highlight w:val="none"/>
          <w:shd w:val="clear" w:color="auto" w:fill="FFFFFF"/>
          <w:lang w:val="zh-CN"/>
        </w:rPr>
        <w:t>（</w:t>
      </w:r>
      <w:r>
        <w:rPr>
          <w:rFonts w:hint="default" w:ascii="Times New Roman" w:hAnsi="Times New Roman" w:eastAsia="仿宋_GB2312" w:cs="Times New Roman"/>
          <w:color w:val="000000"/>
          <w:kern w:val="0"/>
          <w:sz w:val="32"/>
          <w:szCs w:val="32"/>
          <w:highlight w:val="none"/>
          <w:shd w:val="clear" w:color="auto" w:fill="FFFFFF"/>
          <w:lang w:val="en-US" w:eastAsia="zh-CN"/>
        </w:rPr>
        <w:t>1</w:t>
      </w:r>
      <w:r>
        <w:rPr>
          <w:rFonts w:hint="default" w:ascii="Times New Roman" w:hAnsi="Times New Roman" w:eastAsia="仿宋_GB2312" w:cs="Times New Roman"/>
          <w:color w:val="000000"/>
          <w:kern w:val="0"/>
          <w:sz w:val="32"/>
          <w:szCs w:val="32"/>
          <w:highlight w:val="none"/>
          <w:shd w:val="clear" w:color="auto" w:fill="FFFFFF"/>
          <w:lang w:val="zh-CN"/>
        </w:rPr>
        <w:t>）执行同向</w:t>
      </w:r>
      <w:r>
        <w:rPr>
          <w:rFonts w:hint="default" w:ascii="Times New Roman" w:hAnsi="Times New Roman" w:eastAsia="仿宋_GB2312" w:cs="Times New Roman"/>
          <w:color w:val="000000"/>
          <w:kern w:val="0"/>
          <w:sz w:val="32"/>
          <w:szCs w:val="32"/>
          <w:highlight w:val="none"/>
          <w:shd w:val="clear" w:color="auto" w:fill="FFFFFF"/>
          <w:lang w:val="zh-CN" w:eastAsia="zh-CN"/>
        </w:rPr>
        <w:t>。</w:t>
      </w:r>
      <w:r>
        <w:rPr>
          <w:rFonts w:hint="default" w:ascii="Times New Roman" w:hAnsi="Times New Roman" w:eastAsia="仿宋_GB2312" w:cs="Times New Roman"/>
          <w:color w:val="000000"/>
          <w:kern w:val="0"/>
          <w:sz w:val="32"/>
          <w:szCs w:val="32"/>
          <w:highlight w:val="none"/>
          <w:shd w:val="clear" w:color="auto" w:fill="FFFFFF"/>
          <w:lang w:val="zh-CN"/>
        </w:rPr>
        <w:t>民革四川省委会</w:t>
      </w:r>
      <w:r>
        <w:rPr>
          <w:rFonts w:hint="default" w:ascii="Times New Roman" w:hAnsi="Times New Roman" w:eastAsia="仿宋_GB2312" w:cs="Times New Roman"/>
          <w:color w:val="000000"/>
          <w:kern w:val="0"/>
          <w:sz w:val="32"/>
          <w:szCs w:val="32"/>
          <w:highlight w:val="none"/>
          <w:shd w:val="clear" w:color="auto" w:fill="FFFFFF"/>
          <w:lang w:val="en-US" w:eastAsia="zh-CN"/>
        </w:rPr>
        <w:t>2023年度部门预算实际列支内容与绩效目标设置相符。分值4分，得分4分。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仿宋_GB2312" w:cs="Times New Roman"/>
          <w:color w:val="000000"/>
          <w:kern w:val="0"/>
          <w:sz w:val="32"/>
          <w:szCs w:val="32"/>
          <w:highlight w:val="none"/>
          <w:shd w:val="clear" w:color="auto" w:fill="FFFFFF"/>
          <w:lang w:val="zh-CN"/>
        </w:rPr>
        <w:t>（</w:t>
      </w:r>
      <w:r>
        <w:rPr>
          <w:rFonts w:hint="default" w:ascii="Times New Roman" w:hAnsi="Times New Roman" w:eastAsia="仿宋_GB2312" w:cs="Times New Roman"/>
          <w:color w:val="000000"/>
          <w:kern w:val="0"/>
          <w:sz w:val="32"/>
          <w:szCs w:val="32"/>
          <w:highlight w:val="none"/>
          <w:shd w:val="clear" w:color="auto" w:fill="FFFFFF"/>
          <w:lang w:val="en-US" w:eastAsia="zh-CN"/>
        </w:rPr>
        <w:t>2</w:t>
      </w:r>
      <w:r>
        <w:rPr>
          <w:rFonts w:hint="default" w:ascii="Times New Roman" w:hAnsi="Times New Roman" w:eastAsia="仿宋_GB2312" w:cs="Times New Roman"/>
          <w:color w:val="000000"/>
          <w:kern w:val="0"/>
          <w:sz w:val="32"/>
          <w:szCs w:val="32"/>
          <w:highlight w:val="none"/>
          <w:shd w:val="clear" w:color="auto" w:fill="FFFFFF"/>
          <w:lang w:val="zh-CN"/>
        </w:rPr>
        <w:t>）项目调整</w:t>
      </w:r>
      <w:r>
        <w:rPr>
          <w:rFonts w:hint="default" w:ascii="Times New Roman" w:hAnsi="Times New Roman" w:eastAsia="仿宋_GB2312" w:cs="Times New Roman"/>
          <w:color w:val="000000"/>
          <w:kern w:val="0"/>
          <w:sz w:val="32"/>
          <w:szCs w:val="32"/>
          <w:highlight w:val="none"/>
          <w:shd w:val="clear" w:color="auto" w:fill="FFFFFF"/>
          <w:lang w:val="zh-CN" w:eastAsia="zh-CN"/>
        </w:rPr>
        <w:t>。</w:t>
      </w:r>
      <w:r>
        <w:rPr>
          <w:rFonts w:hint="default" w:ascii="Times New Roman" w:hAnsi="Times New Roman" w:eastAsia="仿宋_GB2312" w:cs="Times New Roman"/>
          <w:color w:val="000000"/>
          <w:kern w:val="0"/>
          <w:sz w:val="32"/>
          <w:szCs w:val="32"/>
          <w:highlight w:val="none"/>
          <w:shd w:val="clear" w:color="auto" w:fill="FFFFFF"/>
          <w:lang w:val="zh-CN"/>
        </w:rPr>
        <w:t>民革四川省委会根据资金实际使用情况对</w:t>
      </w:r>
      <w:r>
        <w:rPr>
          <w:rFonts w:hint="default" w:ascii="Times New Roman" w:hAnsi="Times New Roman" w:eastAsia="仿宋_GB2312" w:cs="Times New Roman"/>
          <w:color w:val="000000"/>
          <w:kern w:val="0"/>
          <w:sz w:val="32"/>
          <w:szCs w:val="32"/>
          <w:highlight w:val="none"/>
          <w:shd w:val="clear" w:color="auto" w:fill="FFFFFF"/>
          <w:lang w:val="en-US" w:eastAsia="zh-CN"/>
        </w:rPr>
        <w:t>2023年度预算进行年中调整调剂。分值4分，得分4分。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仿宋_GB2312" w:cs="Times New Roman"/>
          <w:color w:val="000000"/>
          <w:kern w:val="0"/>
          <w:sz w:val="32"/>
          <w:szCs w:val="32"/>
          <w:highlight w:val="none"/>
          <w:shd w:val="clear" w:color="auto" w:fill="FFFFFF"/>
          <w:lang w:val="en-US" w:eastAsia="zh-CN"/>
        </w:rPr>
        <w:t>（3）执行结果。</w:t>
      </w:r>
      <w:r>
        <w:rPr>
          <w:rFonts w:hint="default" w:ascii="Times New Roman" w:hAnsi="Times New Roman" w:eastAsia="仿宋_GB2312" w:cs="Times New Roman"/>
          <w:color w:val="000000"/>
          <w:kern w:val="0"/>
          <w:sz w:val="32"/>
          <w:szCs w:val="32"/>
          <w:highlight w:val="none"/>
          <w:shd w:val="clear" w:color="auto" w:fill="FFFFFF"/>
          <w:lang w:val="zh-CN"/>
        </w:rPr>
        <w:t>民革四川省委会</w:t>
      </w:r>
      <w:r>
        <w:rPr>
          <w:rFonts w:hint="default" w:ascii="Times New Roman" w:hAnsi="Times New Roman" w:eastAsia="仿宋_GB2312" w:cs="Times New Roman"/>
          <w:color w:val="000000"/>
          <w:kern w:val="0"/>
          <w:sz w:val="32"/>
          <w:szCs w:val="32"/>
          <w:highlight w:val="none"/>
          <w:shd w:val="clear" w:color="auto" w:fill="FFFFFF"/>
          <w:lang w:val="en-US" w:eastAsia="zh-CN"/>
        </w:rPr>
        <w:t>2023年度部门预算常年项目</w:t>
      </w:r>
      <w:r>
        <w:rPr>
          <w:rFonts w:hint="eastAsia" w:ascii="Times New Roman" w:hAnsi="Times New Roman" w:eastAsia="仿宋_GB2312" w:cs="Times New Roman"/>
          <w:color w:val="000000"/>
          <w:kern w:val="0"/>
          <w:sz w:val="32"/>
          <w:szCs w:val="32"/>
          <w:highlight w:val="none"/>
          <w:shd w:val="clear" w:color="auto" w:fill="FFFFFF"/>
          <w:lang w:val="en-US" w:eastAsia="zh-CN"/>
        </w:rPr>
        <w:t>1</w:t>
      </w:r>
      <w:r>
        <w:rPr>
          <w:rFonts w:hint="default" w:ascii="Times New Roman" w:hAnsi="Times New Roman" w:eastAsia="仿宋_GB2312" w:cs="Times New Roman"/>
          <w:color w:val="000000"/>
          <w:kern w:val="0"/>
          <w:sz w:val="32"/>
          <w:szCs w:val="32"/>
          <w:highlight w:val="none"/>
          <w:shd w:val="clear" w:color="auto" w:fill="FFFFFF"/>
          <w:lang w:val="en-US" w:eastAsia="zh-CN"/>
        </w:rPr>
        <w:t>个，预算结余率小于10%的项目</w:t>
      </w:r>
      <w:r>
        <w:rPr>
          <w:rFonts w:hint="eastAsia" w:ascii="Times New Roman" w:hAnsi="Times New Roman" w:eastAsia="仿宋_GB2312" w:cs="Times New Roman"/>
          <w:color w:val="000000"/>
          <w:kern w:val="0"/>
          <w:sz w:val="32"/>
          <w:szCs w:val="32"/>
          <w:highlight w:val="none"/>
          <w:shd w:val="clear" w:color="auto" w:fill="FFFFFF"/>
          <w:lang w:val="en-US" w:eastAsia="zh-CN"/>
        </w:rPr>
        <w:t>1</w:t>
      </w:r>
      <w:r>
        <w:rPr>
          <w:rFonts w:hint="default" w:ascii="Times New Roman" w:hAnsi="Times New Roman" w:eastAsia="仿宋_GB2312" w:cs="Times New Roman"/>
          <w:color w:val="000000"/>
          <w:kern w:val="0"/>
          <w:sz w:val="32"/>
          <w:szCs w:val="32"/>
          <w:highlight w:val="none"/>
          <w:shd w:val="clear" w:color="auto" w:fill="FFFFFF"/>
          <w:lang w:val="en-US" w:eastAsia="zh-CN"/>
        </w:rPr>
        <w:t>个，阶段项目（含一次性项目）1个，预算结余率小于10%的项目1个。分值4分，得分4分。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楷体_GB2312" w:cs="Times New Roman"/>
          <w:color w:val="000000"/>
          <w:kern w:val="0"/>
          <w:sz w:val="32"/>
          <w:szCs w:val="32"/>
          <w:highlight w:val="none"/>
          <w:shd w:val="clear" w:color="auto" w:fill="FFFFFF"/>
          <w:lang w:val="zh-CN"/>
        </w:rPr>
      </w:pPr>
      <w:r>
        <w:rPr>
          <w:rFonts w:hint="default" w:ascii="Times New Roman" w:hAnsi="Times New Roman" w:eastAsia="楷体_GB2312" w:cs="Times New Roman"/>
          <w:color w:val="000000"/>
          <w:kern w:val="0"/>
          <w:sz w:val="32"/>
          <w:szCs w:val="32"/>
          <w:highlight w:val="none"/>
          <w:shd w:val="clear" w:color="auto" w:fill="FFFFFF"/>
          <w:lang w:val="en-US" w:eastAsia="zh-CN"/>
        </w:rPr>
        <w:t>3.</w:t>
      </w:r>
      <w:r>
        <w:rPr>
          <w:rFonts w:hint="default" w:ascii="Times New Roman" w:hAnsi="Times New Roman" w:eastAsia="楷体_GB2312" w:cs="Times New Roman"/>
          <w:color w:val="000000"/>
          <w:kern w:val="0"/>
          <w:sz w:val="32"/>
          <w:szCs w:val="32"/>
          <w:highlight w:val="none"/>
          <w:shd w:val="clear" w:color="auto" w:fill="FFFFFF"/>
          <w:lang w:val="zh-CN"/>
        </w:rPr>
        <w:t>目标实现。</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楷体_GB2312" w:cs="Times New Roman"/>
          <w:color w:val="000000"/>
          <w:kern w:val="0"/>
          <w:sz w:val="32"/>
          <w:szCs w:val="32"/>
          <w:highlight w:val="none"/>
          <w:shd w:val="clear" w:color="auto" w:fill="FFFFFF"/>
          <w:lang w:val="zh-CN"/>
        </w:rPr>
        <w:t>（</w:t>
      </w:r>
      <w:r>
        <w:rPr>
          <w:rFonts w:hint="default" w:ascii="Times New Roman" w:hAnsi="Times New Roman" w:eastAsia="楷体_GB2312" w:cs="Times New Roman"/>
          <w:color w:val="000000"/>
          <w:kern w:val="0"/>
          <w:sz w:val="32"/>
          <w:szCs w:val="32"/>
          <w:highlight w:val="none"/>
          <w:shd w:val="clear" w:color="auto" w:fill="FFFFFF"/>
          <w:lang w:val="en-US" w:eastAsia="zh-CN"/>
        </w:rPr>
        <w:t>1</w:t>
      </w:r>
      <w:r>
        <w:rPr>
          <w:rFonts w:hint="default" w:ascii="Times New Roman" w:hAnsi="Times New Roman" w:eastAsia="楷体_GB2312" w:cs="Times New Roman"/>
          <w:color w:val="000000"/>
          <w:kern w:val="0"/>
          <w:sz w:val="32"/>
          <w:szCs w:val="32"/>
          <w:highlight w:val="none"/>
          <w:shd w:val="clear" w:color="auto" w:fill="FFFFFF"/>
          <w:lang w:val="zh-CN"/>
        </w:rPr>
        <w:t>）</w:t>
      </w:r>
      <w:r>
        <w:rPr>
          <w:rFonts w:hint="default" w:ascii="Times New Roman" w:hAnsi="Times New Roman" w:eastAsia="仿宋_GB2312" w:cs="Times New Roman"/>
          <w:color w:val="000000"/>
          <w:kern w:val="0"/>
          <w:sz w:val="32"/>
          <w:szCs w:val="32"/>
          <w:highlight w:val="none"/>
          <w:shd w:val="clear" w:color="auto" w:fill="FFFFFF"/>
          <w:lang w:val="zh-CN"/>
        </w:rPr>
        <w:t>目标完成</w:t>
      </w:r>
      <w:r>
        <w:rPr>
          <w:rFonts w:hint="default" w:ascii="Times New Roman" w:hAnsi="Times New Roman" w:eastAsia="仿宋_GB2312" w:cs="Times New Roman"/>
          <w:color w:val="000000"/>
          <w:kern w:val="0"/>
          <w:sz w:val="32"/>
          <w:szCs w:val="32"/>
          <w:highlight w:val="none"/>
          <w:shd w:val="clear" w:color="auto" w:fill="FFFFFF"/>
          <w:lang w:val="zh-CN" w:eastAsia="zh-CN"/>
        </w:rPr>
        <w:t>。</w:t>
      </w:r>
      <w:r>
        <w:rPr>
          <w:rFonts w:hint="default" w:ascii="Times New Roman" w:hAnsi="Times New Roman" w:eastAsia="仿宋_GB2312" w:cs="Times New Roman"/>
          <w:color w:val="000000"/>
          <w:kern w:val="0"/>
          <w:sz w:val="32"/>
          <w:szCs w:val="32"/>
          <w:highlight w:val="none"/>
          <w:shd w:val="clear" w:color="auto" w:fill="FFFFFF"/>
          <w:lang w:val="zh-CN"/>
        </w:rPr>
        <w:t>民革四川省委会</w:t>
      </w:r>
      <w:r>
        <w:rPr>
          <w:rFonts w:hint="default" w:ascii="Times New Roman" w:hAnsi="Times New Roman" w:eastAsia="仿宋_GB2312" w:cs="Times New Roman"/>
          <w:color w:val="000000"/>
          <w:kern w:val="0"/>
          <w:sz w:val="32"/>
          <w:szCs w:val="32"/>
          <w:highlight w:val="none"/>
          <w:shd w:val="clear" w:color="auto" w:fill="FFFFFF"/>
          <w:lang w:val="en-US" w:eastAsia="zh-CN"/>
        </w:rPr>
        <w:t>2023年度部门预算项目绩效目标</w:t>
      </w:r>
      <w:r>
        <w:rPr>
          <w:rFonts w:hint="eastAsia" w:ascii="Times New Roman" w:hAnsi="Times New Roman" w:eastAsia="仿宋_GB2312" w:cs="Times New Roman"/>
          <w:color w:val="000000"/>
          <w:kern w:val="0"/>
          <w:sz w:val="32"/>
          <w:szCs w:val="32"/>
          <w:highlight w:val="none"/>
          <w:shd w:val="clear" w:color="auto" w:fill="FFFFFF"/>
          <w:lang w:val="en-US" w:eastAsia="zh-CN"/>
        </w:rPr>
        <w:t>完成情况良好</w:t>
      </w:r>
      <w:r>
        <w:rPr>
          <w:rFonts w:hint="default" w:ascii="Times New Roman" w:hAnsi="Times New Roman" w:eastAsia="仿宋_GB2312" w:cs="Times New Roman"/>
          <w:color w:val="000000"/>
          <w:kern w:val="0"/>
          <w:sz w:val="32"/>
          <w:szCs w:val="32"/>
          <w:highlight w:val="none"/>
          <w:shd w:val="clear" w:color="auto" w:fill="FFFFFF"/>
          <w:lang w:val="en-US" w:eastAsia="zh-CN"/>
        </w:rPr>
        <w:t>。分值4分，得分4分。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仿宋_GB2312" w:cs="Times New Roman"/>
          <w:color w:val="000000"/>
          <w:kern w:val="0"/>
          <w:sz w:val="32"/>
          <w:szCs w:val="32"/>
          <w:highlight w:val="none"/>
          <w:shd w:val="clear" w:color="auto" w:fill="FFFFFF"/>
          <w:lang w:val="zh-CN"/>
        </w:rPr>
        <w:t>（</w:t>
      </w:r>
      <w:r>
        <w:rPr>
          <w:rFonts w:hint="default" w:ascii="Times New Roman" w:hAnsi="Times New Roman" w:eastAsia="仿宋_GB2312" w:cs="Times New Roman"/>
          <w:color w:val="000000"/>
          <w:kern w:val="0"/>
          <w:sz w:val="32"/>
          <w:szCs w:val="32"/>
          <w:highlight w:val="none"/>
          <w:shd w:val="clear" w:color="auto" w:fill="FFFFFF"/>
          <w:lang w:val="en-US" w:eastAsia="zh-CN"/>
        </w:rPr>
        <w:t>2</w:t>
      </w:r>
      <w:r>
        <w:rPr>
          <w:rFonts w:hint="default" w:ascii="Times New Roman" w:hAnsi="Times New Roman" w:eastAsia="仿宋_GB2312" w:cs="Times New Roman"/>
          <w:color w:val="000000"/>
          <w:kern w:val="0"/>
          <w:sz w:val="32"/>
          <w:szCs w:val="32"/>
          <w:highlight w:val="none"/>
          <w:shd w:val="clear" w:color="auto" w:fill="FFFFFF"/>
          <w:lang w:val="zh-CN"/>
        </w:rPr>
        <w:t>）目标偏离</w:t>
      </w:r>
      <w:r>
        <w:rPr>
          <w:rFonts w:hint="default" w:ascii="Times New Roman" w:hAnsi="Times New Roman" w:eastAsia="仿宋_GB2312" w:cs="Times New Roman"/>
          <w:color w:val="000000"/>
          <w:kern w:val="0"/>
          <w:sz w:val="32"/>
          <w:szCs w:val="32"/>
          <w:highlight w:val="none"/>
          <w:shd w:val="clear" w:color="auto" w:fill="FFFFFF"/>
          <w:lang w:val="zh-CN" w:eastAsia="zh-CN"/>
        </w:rPr>
        <w:t>。</w:t>
      </w:r>
      <w:r>
        <w:rPr>
          <w:rFonts w:hint="default" w:ascii="Times New Roman" w:hAnsi="Times New Roman" w:eastAsia="仿宋_GB2312" w:cs="Times New Roman"/>
          <w:color w:val="000000"/>
          <w:kern w:val="0"/>
          <w:sz w:val="32"/>
          <w:szCs w:val="32"/>
          <w:highlight w:val="none"/>
          <w:shd w:val="clear" w:color="auto" w:fill="FFFFFF"/>
          <w:lang w:val="zh-CN"/>
        </w:rPr>
        <w:t>民革四川省委会</w:t>
      </w:r>
      <w:r>
        <w:rPr>
          <w:rFonts w:hint="default" w:ascii="Times New Roman" w:hAnsi="Times New Roman" w:eastAsia="仿宋_GB2312" w:cs="Times New Roman"/>
          <w:color w:val="000000"/>
          <w:kern w:val="0"/>
          <w:sz w:val="32"/>
          <w:szCs w:val="32"/>
          <w:highlight w:val="none"/>
          <w:shd w:val="clear" w:color="auto" w:fill="FFFFFF"/>
          <w:lang w:val="en-US" w:eastAsia="zh-CN"/>
        </w:rPr>
        <w:t>2023年度部门预算项目绩效目标数量指标</w:t>
      </w:r>
      <w:r>
        <w:rPr>
          <w:rFonts w:hint="eastAsia" w:ascii="Times New Roman" w:hAnsi="Times New Roman" w:eastAsia="仿宋_GB2312" w:cs="Times New Roman"/>
          <w:color w:val="000000"/>
          <w:kern w:val="0"/>
          <w:sz w:val="32"/>
          <w:szCs w:val="32"/>
          <w:highlight w:val="none"/>
          <w:shd w:val="clear" w:color="auto" w:fill="FFFFFF"/>
          <w:lang w:val="en-US" w:eastAsia="zh-CN"/>
        </w:rPr>
        <w:t>4个，超过</w:t>
      </w:r>
      <w:r>
        <w:rPr>
          <w:rFonts w:hint="default" w:ascii="Times New Roman" w:hAnsi="Times New Roman" w:eastAsia="仿宋_GB2312" w:cs="Times New Roman"/>
          <w:color w:val="000000"/>
          <w:kern w:val="0"/>
          <w:sz w:val="32"/>
          <w:szCs w:val="32"/>
          <w:highlight w:val="none"/>
          <w:shd w:val="clear" w:color="auto" w:fill="FFFFFF"/>
          <w:lang w:val="en-US" w:eastAsia="zh-CN"/>
        </w:rPr>
        <w:t>预期目标偏离度30%</w:t>
      </w:r>
      <w:r>
        <w:rPr>
          <w:rFonts w:hint="eastAsia" w:ascii="Times New Roman" w:hAnsi="Times New Roman" w:eastAsia="仿宋_GB2312" w:cs="Times New Roman"/>
          <w:color w:val="000000"/>
          <w:kern w:val="0"/>
          <w:sz w:val="32"/>
          <w:szCs w:val="32"/>
          <w:highlight w:val="none"/>
          <w:shd w:val="clear" w:color="auto" w:fill="FFFFFF"/>
          <w:lang w:val="en-US" w:eastAsia="zh-CN"/>
        </w:rPr>
        <w:t>的2个</w:t>
      </w:r>
      <w:r>
        <w:rPr>
          <w:rFonts w:hint="default" w:ascii="Times New Roman" w:hAnsi="Times New Roman" w:eastAsia="仿宋_GB2312" w:cs="Times New Roman"/>
          <w:color w:val="000000"/>
          <w:kern w:val="0"/>
          <w:sz w:val="32"/>
          <w:szCs w:val="32"/>
          <w:highlight w:val="none"/>
          <w:shd w:val="clear" w:color="auto" w:fill="FFFFFF"/>
          <w:lang w:val="en-US" w:eastAsia="zh-CN"/>
        </w:rPr>
        <w:t>。分值4分，得分</w:t>
      </w:r>
      <w:r>
        <w:rPr>
          <w:rFonts w:hint="eastAsia" w:ascii="Times New Roman" w:hAnsi="Times New Roman" w:eastAsia="仿宋_GB2312" w:cs="Times New Roman"/>
          <w:color w:val="000000"/>
          <w:kern w:val="0"/>
          <w:sz w:val="32"/>
          <w:szCs w:val="32"/>
          <w:highlight w:val="none"/>
          <w:shd w:val="clear" w:color="auto" w:fill="FFFFFF"/>
          <w:lang w:val="en-US" w:eastAsia="zh-CN"/>
        </w:rPr>
        <w:t>2</w:t>
      </w:r>
      <w:r>
        <w:rPr>
          <w:rFonts w:hint="default" w:ascii="Times New Roman" w:hAnsi="Times New Roman" w:eastAsia="仿宋_GB2312" w:cs="Times New Roman"/>
          <w:color w:val="000000"/>
          <w:kern w:val="0"/>
          <w:sz w:val="32"/>
          <w:szCs w:val="32"/>
          <w:highlight w:val="none"/>
          <w:shd w:val="clear" w:color="auto" w:fill="FFFFFF"/>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仿宋_GB2312" w:cs="Times New Roman"/>
          <w:sz w:val="32"/>
          <w:lang w:val="en-US"/>
        </w:rPr>
      </w:pPr>
      <w:r>
        <w:rPr>
          <w:rFonts w:hint="eastAsia" w:ascii="Times New Roman" w:hAnsi="Times New Roman" w:eastAsia="仿宋_GB2312" w:cs="Times New Roman"/>
          <w:color w:val="000000"/>
          <w:kern w:val="0"/>
          <w:sz w:val="32"/>
          <w:szCs w:val="32"/>
          <w:highlight w:val="none"/>
          <w:shd w:val="clear" w:color="auto" w:fill="FFFFFF"/>
          <w:lang w:val="en-US" w:eastAsia="zh-CN"/>
        </w:rPr>
        <w:t>（3）实现效果。</w:t>
      </w:r>
      <w:r>
        <w:rPr>
          <w:rFonts w:hint="default" w:ascii="Times New Roman" w:hAnsi="Times New Roman" w:eastAsia="仿宋_GB2312" w:cs="Times New Roman"/>
          <w:color w:val="000000"/>
          <w:kern w:val="0"/>
          <w:sz w:val="32"/>
          <w:szCs w:val="32"/>
          <w:highlight w:val="none"/>
          <w:shd w:val="clear" w:color="auto" w:fill="FFFFFF"/>
          <w:lang w:val="zh-CN"/>
        </w:rPr>
        <w:t>民革四川省委会</w:t>
      </w:r>
      <w:r>
        <w:rPr>
          <w:rFonts w:hint="default" w:ascii="Times New Roman" w:hAnsi="Times New Roman" w:eastAsia="仿宋_GB2312" w:cs="Times New Roman"/>
          <w:color w:val="000000"/>
          <w:kern w:val="0"/>
          <w:sz w:val="32"/>
          <w:szCs w:val="32"/>
          <w:highlight w:val="none"/>
          <w:shd w:val="clear" w:color="auto" w:fill="FFFFFF"/>
          <w:lang w:val="en-US" w:eastAsia="zh-CN"/>
        </w:rPr>
        <w:t>2023年度阶段项目（含一次性项目）</w:t>
      </w:r>
      <w:r>
        <w:rPr>
          <w:rFonts w:hint="eastAsia" w:ascii="Times New Roman" w:hAnsi="Times New Roman" w:eastAsia="仿宋_GB2312" w:cs="Times New Roman"/>
          <w:color w:val="000000"/>
          <w:kern w:val="0"/>
          <w:sz w:val="32"/>
          <w:szCs w:val="32"/>
          <w:highlight w:val="none"/>
          <w:shd w:val="clear" w:color="auto" w:fill="FFFFFF"/>
          <w:lang w:val="en-US" w:eastAsia="zh-CN"/>
        </w:rPr>
        <w:t>1个，完成绩效目标效益指标。</w:t>
      </w:r>
      <w:r>
        <w:rPr>
          <w:rFonts w:hint="default" w:ascii="Times New Roman" w:hAnsi="Times New Roman" w:eastAsia="仿宋_GB2312" w:cs="Times New Roman"/>
          <w:color w:val="000000"/>
          <w:kern w:val="0"/>
          <w:sz w:val="32"/>
          <w:szCs w:val="32"/>
          <w:highlight w:val="none"/>
          <w:shd w:val="clear" w:color="auto" w:fill="FFFFFF"/>
          <w:lang w:val="en-US" w:eastAsia="zh-CN"/>
        </w:rPr>
        <w:t>分值</w:t>
      </w:r>
      <w:r>
        <w:rPr>
          <w:rFonts w:hint="eastAsia" w:ascii="Times New Roman" w:hAnsi="Times New Roman" w:eastAsia="仿宋_GB2312" w:cs="Times New Roman"/>
          <w:color w:val="000000"/>
          <w:kern w:val="0"/>
          <w:sz w:val="32"/>
          <w:szCs w:val="32"/>
          <w:highlight w:val="none"/>
          <w:shd w:val="clear" w:color="auto" w:fill="FFFFFF"/>
          <w:lang w:val="en-US" w:eastAsia="zh-CN"/>
        </w:rPr>
        <w:t>3</w:t>
      </w:r>
      <w:r>
        <w:rPr>
          <w:rFonts w:hint="default" w:ascii="Times New Roman" w:hAnsi="Times New Roman" w:eastAsia="仿宋_GB2312" w:cs="Times New Roman"/>
          <w:color w:val="000000"/>
          <w:kern w:val="0"/>
          <w:sz w:val="32"/>
          <w:szCs w:val="32"/>
          <w:highlight w:val="none"/>
          <w:shd w:val="clear" w:color="auto" w:fill="FFFFFF"/>
          <w:lang w:val="en-US" w:eastAsia="zh-CN"/>
        </w:rPr>
        <w:t>分，得分</w:t>
      </w:r>
      <w:r>
        <w:rPr>
          <w:rFonts w:hint="eastAsia" w:ascii="Times New Roman" w:hAnsi="Times New Roman" w:eastAsia="仿宋_GB2312" w:cs="Times New Roman"/>
          <w:color w:val="000000"/>
          <w:kern w:val="0"/>
          <w:sz w:val="32"/>
          <w:szCs w:val="32"/>
          <w:highlight w:val="none"/>
          <w:shd w:val="clear" w:color="auto" w:fill="FFFFFF"/>
          <w:lang w:val="en-US" w:eastAsia="zh-CN"/>
        </w:rPr>
        <w:t>3</w:t>
      </w:r>
      <w:r>
        <w:rPr>
          <w:rFonts w:hint="default" w:ascii="Times New Roman" w:hAnsi="Times New Roman" w:eastAsia="仿宋_GB2312" w:cs="Times New Roman"/>
          <w:color w:val="000000"/>
          <w:kern w:val="0"/>
          <w:sz w:val="32"/>
          <w:szCs w:val="32"/>
          <w:highlight w:val="none"/>
          <w:shd w:val="clear" w:color="auto" w:fill="FFFFFF"/>
          <w:lang w:val="en-US" w:eastAsia="zh-CN"/>
        </w:rPr>
        <w:t>分。</w:t>
      </w:r>
    </w:p>
    <w:p>
      <w:pPr>
        <w:keepNext w:val="0"/>
        <w:keepLines w:val="0"/>
        <w:pageBreakBefore w:val="0"/>
        <w:numPr>
          <w:ilvl w:val="0"/>
          <w:numId w:val="5"/>
        </w:numPr>
        <w:kinsoku/>
        <w:wordWrap/>
        <w:overflowPunct/>
        <w:topLinePunct w:val="0"/>
        <w:autoSpaceDE/>
        <w:autoSpaceDN/>
        <w:bidi w:val="0"/>
        <w:spacing w:line="600" w:lineRule="exact"/>
        <w:ind w:leftChars="0" w:firstLine="643" w:firstLineChars="200"/>
        <w:jc w:val="both"/>
        <w:textAlignment w:val="auto"/>
        <w:rPr>
          <w:rFonts w:hint="default" w:ascii="Times New Roman" w:hAnsi="Times New Roman" w:eastAsia="楷体_GB2312" w:cs="Times New Roman"/>
          <w:b/>
          <w:bCs/>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重点领域</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default" w:ascii="Times New Roman" w:hAnsi="Times New Roman" w:eastAsia="楷体_GB2312" w:cs="Times New Roman"/>
          <w:b/>
          <w:bCs/>
          <w:color w:val="000000"/>
          <w:kern w:val="0"/>
          <w:sz w:val="32"/>
          <w:szCs w:val="32"/>
          <w:highlight w:val="none"/>
          <w:shd w:val="clear" w:color="auto" w:fill="FFFFFF"/>
          <w:lang w:val="zh-CN"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仿宋_GB2312" w:cs="Times New Roman"/>
          <w:color w:val="000000"/>
          <w:kern w:val="0"/>
          <w:sz w:val="32"/>
          <w:szCs w:val="32"/>
          <w:highlight w:val="none"/>
          <w:shd w:val="clear" w:color="auto" w:fill="FFFFFF"/>
          <w:lang w:val="zh-CN"/>
        </w:rPr>
        <w:t>民革四川省委</w:t>
      </w:r>
      <w:r>
        <w:rPr>
          <w:rFonts w:hint="default" w:ascii="Times New Roman" w:hAnsi="Times New Roman" w:eastAsia="仿宋_GB2312" w:cs="Times New Roman"/>
          <w:color w:val="000000"/>
          <w:kern w:val="0"/>
          <w:sz w:val="32"/>
          <w:szCs w:val="32"/>
          <w:highlight w:val="none"/>
          <w:shd w:val="clear" w:color="auto" w:fill="FFFFFF"/>
          <w:lang w:val="zh-CN" w:eastAsia="zh-CN"/>
        </w:rPr>
        <w:t>会</w:t>
      </w:r>
      <w:r>
        <w:rPr>
          <w:rFonts w:hint="default" w:ascii="Times New Roman" w:hAnsi="Times New Roman" w:eastAsia="仿宋_GB2312" w:cs="Times New Roman"/>
          <w:color w:val="000000"/>
          <w:kern w:val="0"/>
          <w:sz w:val="32"/>
          <w:szCs w:val="32"/>
          <w:highlight w:val="none"/>
          <w:shd w:val="clear" w:color="auto" w:fill="FFFFFF"/>
          <w:lang w:val="zh-CN"/>
        </w:rPr>
        <w:t>202</w:t>
      </w:r>
      <w:r>
        <w:rPr>
          <w:rFonts w:hint="default" w:ascii="Times New Roman" w:hAnsi="Times New Roman" w:eastAsia="仿宋_GB2312" w:cs="Times New Roman"/>
          <w:color w:val="000000"/>
          <w:kern w:val="0"/>
          <w:sz w:val="32"/>
          <w:szCs w:val="32"/>
          <w:highlight w:val="none"/>
          <w:shd w:val="clear" w:color="auto" w:fill="FFFFFF"/>
          <w:lang w:val="en-US" w:eastAsia="zh-CN"/>
        </w:rPr>
        <w:t>3</w:t>
      </w:r>
      <w:r>
        <w:rPr>
          <w:rFonts w:hint="default" w:ascii="Times New Roman" w:hAnsi="Times New Roman" w:eastAsia="仿宋_GB2312" w:cs="Times New Roman"/>
          <w:color w:val="000000"/>
          <w:kern w:val="0"/>
          <w:sz w:val="32"/>
          <w:szCs w:val="32"/>
          <w:highlight w:val="none"/>
          <w:shd w:val="clear" w:color="auto" w:fill="FFFFFF"/>
          <w:lang w:val="zh-CN"/>
        </w:rPr>
        <w:t>年度政府采购全年预算数</w:t>
      </w:r>
      <w:r>
        <w:rPr>
          <w:rFonts w:hint="default" w:ascii="Times New Roman" w:hAnsi="Times New Roman" w:eastAsia="仿宋_GB2312" w:cs="Times New Roman"/>
          <w:color w:val="000000"/>
          <w:kern w:val="0"/>
          <w:sz w:val="32"/>
          <w:szCs w:val="32"/>
          <w:highlight w:val="none"/>
          <w:shd w:val="clear" w:color="auto" w:fill="FFFFFF"/>
          <w:lang w:val="en-US" w:eastAsia="zh-CN"/>
        </w:rPr>
        <w:t>16.22万元，</w:t>
      </w:r>
      <w:r>
        <w:rPr>
          <w:rFonts w:hint="default" w:ascii="Times New Roman" w:hAnsi="Times New Roman" w:eastAsia="仿宋_GB2312" w:cs="Times New Roman"/>
          <w:color w:val="000000"/>
          <w:kern w:val="0"/>
          <w:sz w:val="32"/>
          <w:szCs w:val="32"/>
          <w:highlight w:val="none"/>
          <w:shd w:val="clear" w:color="auto" w:fill="FFFFFF"/>
          <w:lang w:val="zh-CN"/>
        </w:rPr>
        <w:t>预算执行数</w:t>
      </w:r>
      <w:r>
        <w:rPr>
          <w:rFonts w:hint="default" w:ascii="Times New Roman" w:hAnsi="Times New Roman" w:eastAsia="仿宋_GB2312" w:cs="Times New Roman"/>
          <w:color w:val="000000"/>
          <w:kern w:val="0"/>
          <w:sz w:val="32"/>
          <w:szCs w:val="32"/>
          <w:highlight w:val="none"/>
          <w:shd w:val="clear" w:color="auto" w:fill="FFFFFF"/>
          <w:lang w:val="en-US" w:eastAsia="zh-CN"/>
        </w:rPr>
        <w:t>16.11</w:t>
      </w:r>
      <w:r>
        <w:rPr>
          <w:rFonts w:hint="default" w:ascii="Times New Roman" w:hAnsi="Times New Roman" w:eastAsia="仿宋_GB2312" w:cs="Times New Roman"/>
          <w:color w:val="000000"/>
          <w:kern w:val="0"/>
          <w:sz w:val="32"/>
          <w:szCs w:val="32"/>
          <w:highlight w:val="none"/>
          <w:shd w:val="clear" w:color="auto" w:fill="FFFFFF"/>
          <w:lang w:val="zh-CN"/>
        </w:rPr>
        <w:t>万元，其中：采购货物支出</w:t>
      </w:r>
      <w:r>
        <w:rPr>
          <w:rFonts w:hint="default" w:ascii="Times New Roman" w:hAnsi="Times New Roman" w:eastAsia="仿宋_GB2312" w:cs="Times New Roman"/>
          <w:color w:val="000000"/>
          <w:kern w:val="0"/>
          <w:sz w:val="32"/>
          <w:szCs w:val="32"/>
          <w:highlight w:val="none"/>
          <w:shd w:val="clear" w:color="auto" w:fill="FFFFFF"/>
          <w:lang w:val="en-US" w:eastAsia="zh-CN"/>
        </w:rPr>
        <w:t>7.59</w:t>
      </w:r>
      <w:r>
        <w:rPr>
          <w:rFonts w:hint="default" w:ascii="Times New Roman" w:hAnsi="Times New Roman" w:eastAsia="仿宋_GB2312" w:cs="Times New Roman"/>
          <w:color w:val="000000"/>
          <w:kern w:val="0"/>
          <w:sz w:val="32"/>
          <w:szCs w:val="32"/>
          <w:highlight w:val="none"/>
          <w:shd w:val="clear" w:color="auto" w:fill="FFFFFF"/>
          <w:lang w:val="zh-CN"/>
        </w:rPr>
        <w:t>万元、采购服务支出</w:t>
      </w:r>
      <w:r>
        <w:rPr>
          <w:rFonts w:hint="default" w:ascii="Times New Roman" w:hAnsi="Times New Roman" w:eastAsia="仿宋_GB2312" w:cs="Times New Roman"/>
          <w:color w:val="000000"/>
          <w:kern w:val="0"/>
          <w:sz w:val="32"/>
          <w:szCs w:val="32"/>
          <w:highlight w:val="none"/>
          <w:shd w:val="clear" w:color="auto" w:fill="FFFFFF"/>
          <w:lang w:val="en-US" w:eastAsia="zh-CN"/>
        </w:rPr>
        <w:t>8.52</w:t>
      </w:r>
      <w:r>
        <w:rPr>
          <w:rFonts w:hint="default" w:ascii="Times New Roman" w:hAnsi="Times New Roman" w:eastAsia="仿宋_GB2312" w:cs="Times New Roman"/>
          <w:color w:val="000000"/>
          <w:kern w:val="0"/>
          <w:sz w:val="32"/>
          <w:szCs w:val="32"/>
          <w:highlight w:val="none"/>
          <w:shd w:val="clear" w:color="auto" w:fill="FFFFFF"/>
          <w:lang w:val="zh-CN"/>
        </w:rPr>
        <w:t>万元，预算执行率</w:t>
      </w:r>
      <w:r>
        <w:rPr>
          <w:rFonts w:hint="default" w:ascii="Times New Roman" w:hAnsi="Times New Roman" w:eastAsia="仿宋_GB2312" w:cs="Times New Roman"/>
          <w:color w:val="000000"/>
          <w:kern w:val="0"/>
          <w:sz w:val="32"/>
          <w:szCs w:val="32"/>
          <w:highlight w:val="none"/>
          <w:shd w:val="clear" w:color="auto" w:fill="FFFFFF"/>
          <w:lang w:val="en-US" w:eastAsia="zh-CN"/>
        </w:rPr>
        <w:t>99.32%，完成情况良好。</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3" w:firstLineChars="200"/>
        <w:contextualSpacing/>
        <w:jc w:val="both"/>
        <w:textAlignment w:val="auto"/>
        <w:rPr>
          <w:rFonts w:hint="default" w:ascii="Times New Roman" w:hAnsi="Times New Roman" w:eastAsia="楷体_GB2312" w:cs="Times New Roman"/>
          <w:b/>
          <w:bCs/>
          <w:sz w:val="32"/>
          <w:szCs w:val="32"/>
          <w:lang w:val="zh-CN"/>
        </w:rPr>
      </w:pPr>
      <w:r>
        <w:rPr>
          <w:rFonts w:hint="default" w:ascii="Times New Roman" w:hAnsi="Times New Roman" w:eastAsia="楷体_GB2312" w:cs="Times New Roman"/>
          <w:b/>
          <w:bCs/>
          <w:sz w:val="32"/>
          <w:szCs w:val="32"/>
          <w:lang w:val="zh-CN"/>
        </w:rPr>
        <w:t>（四）绩效结果应用情况。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rPr>
          <w:rFonts w:hint="default" w:ascii="Times New Roman" w:hAnsi="Times New Roman" w:eastAsia="仿宋_GB2312" w:cs="Times New Roman"/>
          <w:color w:val="000000"/>
          <w:kern w:val="0"/>
          <w:sz w:val="32"/>
          <w:szCs w:val="32"/>
          <w:highlight w:val="none"/>
          <w:shd w:val="clear" w:color="auto" w:fill="FFFFFF"/>
          <w:lang w:val="zh-CN"/>
        </w:rPr>
      </w:pPr>
      <w:r>
        <w:rPr>
          <w:rFonts w:hint="default" w:ascii="Times New Roman" w:hAnsi="Times New Roman" w:eastAsia="仿宋_GB2312" w:cs="Times New Roman"/>
          <w:color w:val="000000"/>
          <w:kern w:val="0"/>
          <w:sz w:val="32"/>
          <w:szCs w:val="32"/>
          <w:highlight w:val="none"/>
          <w:shd w:val="clear" w:color="auto" w:fill="FFFFFF"/>
          <w:lang w:val="zh-CN"/>
        </w:rPr>
        <w:t>1.内部应用</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rPr>
          <w:rFonts w:hint="default" w:ascii="Times New Roman" w:hAnsi="Times New Roman" w:eastAsia="仿宋_GB2312" w:cs="Times New Roman"/>
          <w:color w:val="000000"/>
          <w:kern w:val="0"/>
          <w:sz w:val="32"/>
          <w:szCs w:val="32"/>
          <w:highlight w:val="none"/>
          <w:shd w:val="clear" w:color="auto" w:fill="FFFFFF"/>
          <w:lang w:val="zh-CN"/>
        </w:rPr>
      </w:pPr>
      <w:r>
        <w:rPr>
          <w:rFonts w:hint="default" w:ascii="Times New Roman" w:hAnsi="Times New Roman" w:eastAsia="仿宋_GB2312" w:cs="Times New Roman"/>
          <w:color w:val="000000"/>
          <w:kern w:val="0"/>
          <w:sz w:val="32"/>
          <w:szCs w:val="32"/>
          <w:highlight w:val="none"/>
          <w:shd w:val="clear" w:color="auto" w:fill="FFFFFF"/>
          <w:lang w:val="zh-CN"/>
        </w:rPr>
        <w:t>为确保部门绩效和预算目标的一致性，提高部门的工作效率和绩效水平，为</w:t>
      </w:r>
      <w:r>
        <w:rPr>
          <w:rFonts w:hint="default" w:ascii="Times New Roman" w:hAnsi="Times New Roman" w:eastAsia="仿宋_GB2312" w:cs="Times New Roman"/>
          <w:color w:val="000000"/>
          <w:kern w:val="0"/>
          <w:sz w:val="32"/>
          <w:szCs w:val="32"/>
          <w:highlight w:val="none"/>
          <w:shd w:val="clear" w:color="auto" w:fill="FFFFFF"/>
          <w:lang w:val="en-US" w:eastAsia="zh-CN"/>
        </w:rPr>
        <w:t>组织建设、</w:t>
      </w:r>
      <w:r>
        <w:rPr>
          <w:rFonts w:hint="default" w:ascii="Times New Roman" w:hAnsi="Times New Roman" w:eastAsia="仿宋_GB2312" w:cs="Times New Roman"/>
          <w:color w:val="000000"/>
          <w:kern w:val="0"/>
          <w:sz w:val="32"/>
          <w:szCs w:val="32"/>
          <w:highlight w:val="none"/>
          <w:shd w:val="clear" w:color="auto" w:fill="FFFFFF"/>
          <w:lang w:val="zh-CN"/>
        </w:rPr>
        <w:t>参政议政、</w:t>
      </w:r>
      <w:r>
        <w:rPr>
          <w:rFonts w:hint="default" w:ascii="Times New Roman" w:hAnsi="Times New Roman" w:eastAsia="仿宋_GB2312" w:cs="Times New Roman"/>
          <w:color w:val="000000"/>
          <w:kern w:val="0"/>
          <w:sz w:val="32"/>
          <w:szCs w:val="32"/>
          <w:highlight w:val="none"/>
          <w:shd w:val="clear" w:color="auto" w:fill="FFFFFF"/>
          <w:lang w:val="en-US" w:eastAsia="zh-CN"/>
        </w:rPr>
        <w:t>社会服务</w:t>
      </w:r>
      <w:r>
        <w:rPr>
          <w:rFonts w:hint="default" w:ascii="Times New Roman" w:hAnsi="Times New Roman" w:eastAsia="仿宋_GB2312" w:cs="Times New Roman"/>
          <w:color w:val="000000"/>
          <w:kern w:val="0"/>
          <w:sz w:val="32"/>
          <w:szCs w:val="32"/>
          <w:highlight w:val="none"/>
          <w:shd w:val="clear" w:color="auto" w:fill="FFFFFF"/>
          <w:lang w:val="zh-CN"/>
        </w:rPr>
        <w:t>和</w:t>
      </w:r>
      <w:r>
        <w:rPr>
          <w:rFonts w:hint="default" w:ascii="Times New Roman" w:hAnsi="Times New Roman" w:eastAsia="仿宋_GB2312" w:cs="Times New Roman"/>
          <w:color w:val="000000"/>
          <w:kern w:val="0"/>
          <w:sz w:val="32"/>
          <w:szCs w:val="32"/>
          <w:highlight w:val="none"/>
          <w:shd w:val="clear" w:color="auto" w:fill="FFFFFF"/>
          <w:lang w:val="en-US" w:eastAsia="zh-CN"/>
        </w:rPr>
        <w:t>祖统工作</w:t>
      </w:r>
      <w:r>
        <w:rPr>
          <w:rFonts w:hint="default" w:ascii="Times New Roman" w:hAnsi="Times New Roman" w:eastAsia="仿宋_GB2312" w:cs="Times New Roman"/>
          <w:color w:val="000000"/>
          <w:kern w:val="0"/>
          <w:sz w:val="32"/>
          <w:szCs w:val="32"/>
          <w:highlight w:val="none"/>
          <w:shd w:val="clear" w:color="auto" w:fill="FFFFFF"/>
          <w:lang w:val="zh-CN"/>
        </w:rPr>
        <w:t>提供有力支持。</w:t>
      </w:r>
      <w:r>
        <w:rPr>
          <w:rFonts w:hint="default" w:ascii="Times New Roman" w:hAnsi="Times New Roman" w:eastAsia="仿宋_GB2312" w:cs="Times New Roman"/>
          <w:color w:val="000000"/>
          <w:kern w:val="0"/>
          <w:sz w:val="32"/>
          <w:szCs w:val="32"/>
          <w:highlight w:val="none"/>
          <w:shd w:val="clear" w:color="auto" w:fill="FFFFFF"/>
          <w:lang w:val="en-US" w:eastAsia="zh-CN"/>
        </w:rPr>
        <w:t>民革</w:t>
      </w:r>
      <w:r>
        <w:rPr>
          <w:rFonts w:hint="default" w:ascii="Times New Roman" w:hAnsi="Times New Roman" w:eastAsia="仿宋_GB2312" w:cs="Times New Roman"/>
          <w:color w:val="000000"/>
          <w:kern w:val="0"/>
          <w:sz w:val="32"/>
          <w:szCs w:val="32"/>
          <w:highlight w:val="none"/>
          <w:shd w:val="clear" w:color="auto" w:fill="FFFFFF"/>
          <w:lang w:val="zh-CN"/>
        </w:rPr>
        <w:t>四川省委会根据《四川省省级财政预算绩效结果应用管理办法》（川财绩〔2019〕15号）和《四川省省级财政预算绩效结果与预算安排挂钩实施细则（试行）》（川财办〔2020〕53号）的相关要求，结合</w:t>
      </w:r>
      <w:r>
        <w:rPr>
          <w:rFonts w:hint="default" w:ascii="Times New Roman" w:hAnsi="Times New Roman" w:eastAsia="仿宋_GB2312" w:cs="Times New Roman"/>
          <w:color w:val="000000"/>
          <w:kern w:val="0"/>
          <w:sz w:val="32"/>
          <w:szCs w:val="32"/>
          <w:highlight w:val="none"/>
          <w:shd w:val="clear" w:color="auto" w:fill="FFFFFF"/>
          <w:lang w:val="en-US" w:eastAsia="zh-CN"/>
        </w:rPr>
        <w:t>民革</w:t>
      </w:r>
      <w:r>
        <w:rPr>
          <w:rFonts w:hint="default" w:ascii="Times New Roman" w:hAnsi="Times New Roman" w:eastAsia="仿宋_GB2312" w:cs="Times New Roman"/>
          <w:color w:val="000000"/>
          <w:kern w:val="0"/>
          <w:sz w:val="32"/>
          <w:szCs w:val="32"/>
          <w:highlight w:val="none"/>
          <w:shd w:val="clear" w:color="auto" w:fill="FFFFFF"/>
          <w:lang w:val="zh-CN"/>
        </w:rPr>
        <w:t>四川省委会工作实际，积极推动部门内部绩效考核与工作经费挂钩机制，探索将成本效益分析方法运用在部门预算编制和绩效考核工作中。</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rPr>
          <w:rFonts w:hint="default" w:ascii="Times New Roman" w:hAnsi="Times New Roman" w:eastAsia="仿宋_GB2312" w:cs="Times New Roman"/>
          <w:color w:val="000000"/>
          <w:kern w:val="0"/>
          <w:sz w:val="32"/>
          <w:szCs w:val="32"/>
          <w:highlight w:val="none"/>
          <w:shd w:val="clear" w:color="auto" w:fill="FFFFFF"/>
          <w:lang w:val="zh-CN"/>
        </w:rPr>
      </w:pPr>
      <w:r>
        <w:rPr>
          <w:rFonts w:hint="default" w:ascii="Times New Roman" w:hAnsi="Times New Roman" w:eastAsia="仿宋_GB2312" w:cs="Times New Roman"/>
          <w:color w:val="000000"/>
          <w:kern w:val="0"/>
          <w:sz w:val="32"/>
          <w:szCs w:val="32"/>
          <w:highlight w:val="none"/>
          <w:shd w:val="clear" w:color="auto" w:fill="FFFFFF"/>
          <w:lang w:val="zh-CN"/>
        </w:rPr>
        <w:t>2.自评公开</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rPr>
          <w:rFonts w:hint="default" w:ascii="Times New Roman" w:hAnsi="Times New Roman" w:eastAsia="仿宋_GB2312" w:cs="Times New Roman"/>
          <w:color w:val="000000"/>
          <w:kern w:val="0"/>
          <w:sz w:val="32"/>
          <w:szCs w:val="32"/>
          <w:highlight w:val="none"/>
          <w:shd w:val="clear" w:color="auto" w:fill="FFFFFF"/>
          <w:lang w:val="zh-CN"/>
        </w:rPr>
      </w:pPr>
      <w:r>
        <w:rPr>
          <w:rFonts w:hint="default" w:ascii="Times New Roman" w:hAnsi="Times New Roman" w:eastAsia="仿宋_GB2312" w:cs="Times New Roman"/>
          <w:color w:val="000000"/>
          <w:kern w:val="0"/>
          <w:sz w:val="32"/>
          <w:szCs w:val="32"/>
          <w:highlight w:val="none"/>
          <w:shd w:val="clear" w:color="auto" w:fill="FFFFFF"/>
          <w:lang w:val="zh-CN"/>
        </w:rPr>
        <w:t>202</w:t>
      </w:r>
      <w:r>
        <w:rPr>
          <w:rFonts w:hint="default" w:ascii="Times New Roman" w:hAnsi="Times New Roman" w:eastAsia="仿宋_GB2312" w:cs="Times New Roman"/>
          <w:color w:val="000000"/>
          <w:kern w:val="0"/>
          <w:sz w:val="32"/>
          <w:szCs w:val="32"/>
          <w:highlight w:val="none"/>
          <w:shd w:val="clear" w:color="auto" w:fill="FFFFFF"/>
          <w:lang w:val="en-US" w:eastAsia="zh-CN"/>
        </w:rPr>
        <w:t>3</w:t>
      </w:r>
      <w:r>
        <w:rPr>
          <w:rFonts w:hint="default" w:ascii="Times New Roman" w:hAnsi="Times New Roman" w:eastAsia="仿宋_GB2312" w:cs="Times New Roman"/>
          <w:color w:val="000000"/>
          <w:kern w:val="0"/>
          <w:sz w:val="32"/>
          <w:szCs w:val="32"/>
          <w:highlight w:val="none"/>
          <w:shd w:val="clear" w:color="auto" w:fill="FFFFFF"/>
          <w:lang w:val="zh-CN"/>
        </w:rPr>
        <w:t>年8月2</w:t>
      </w:r>
      <w:r>
        <w:rPr>
          <w:rFonts w:hint="default" w:ascii="Times New Roman" w:hAnsi="Times New Roman" w:eastAsia="仿宋_GB2312" w:cs="Times New Roman"/>
          <w:color w:val="000000"/>
          <w:kern w:val="0"/>
          <w:sz w:val="32"/>
          <w:szCs w:val="32"/>
          <w:highlight w:val="none"/>
          <w:shd w:val="clear" w:color="auto" w:fill="FFFFFF"/>
          <w:lang w:val="en-US" w:eastAsia="zh-CN"/>
        </w:rPr>
        <w:t>5</w:t>
      </w:r>
      <w:r>
        <w:rPr>
          <w:rFonts w:hint="default" w:ascii="Times New Roman" w:hAnsi="Times New Roman" w:eastAsia="仿宋_GB2312" w:cs="Times New Roman"/>
          <w:color w:val="000000"/>
          <w:kern w:val="0"/>
          <w:sz w:val="32"/>
          <w:szCs w:val="32"/>
          <w:highlight w:val="none"/>
          <w:shd w:val="clear" w:color="auto" w:fill="FFFFFF"/>
          <w:lang w:val="zh-CN"/>
        </w:rPr>
        <w:t>日，</w:t>
      </w:r>
      <w:r>
        <w:rPr>
          <w:rFonts w:hint="default" w:ascii="Times New Roman" w:hAnsi="Times New Roman" w:eastAsia="仿宋_GB2312" w:cs="Times New Roman"/>
          <w:color w:val="000000"/>
          <w:kern w:val="0"/>
          <w:sz w:val="32"/>
          <w:szCs w:val="32"/>
          <w:highlight w:val="none"/>
          <w:shd w:val="clear" w:color="auto" w:fill="FFFFFF"/>
          <w:lang w:val="en-US" w:eastAsia="zh-CN"/>
        </w:rPr>
        <w:t>民革</w:t>
      </w:r>
      <w:r>
        <w:rPr>
          <w:rFonts w:hint="default" w:ascii="Times New Roman" w:hAnsi="Times New Roman" w:eastAsia="仿宋_GB2312" w:cs="Times New Roman"/>
          <w:color w:val="000000"/>
          <w:kern w:val="0"/>
          <w:sz w:val="32"/>
          <w:szCs w:val="32"/>
          <w:highlight w:val="none"/>
          <w:shd w:val="clear" w:color="auto" w:fill="FFFFFF"/>
          <w:lang w:val="zh-CN"/>
        </w:rPr>
        <w:t>四川省委</w:t>
      </w:r>
      <w:r>
        <w:rPr>
          <w:rFonts w:hint="default" w:ascii="Times New Roman" w:hAnsi="Times New Roman" w:eastAsia="仿宋_GB2312" w:cs="Times New Roman"/>
          <w:color w:val="000000"/>
          <w:kern w:val="0"/>
          <w:sz w:val="32"/>
          <w:szCs w:val="32"/>
          <w:highlight w:val="none"/>
          <w:shd w:val="clear" w:color="auto" w:fill="FFFFFF"/>
          <w:lang w:val="en-US" w:eastAsia="zh-CN"/>
        </w:rPr>
        <w:t>会</w:t>
      </w:r>
      <w:r>
        <w:rPr>
          <w:rFonts w:hint="default" w:ascii="Times New Roman" w:hAnsi="Times New Roman" w:eastAsia="仿宋_GB2312" w:cs="Times New Roman"/>
          <w:color w:val="000000"/>
          <w:kern w:val="0"/>
          <w:sz w:val="32"/>
          <w:szCs w:val="32"/>
          <w:highlight w:val="none"/>
          <w:shd w:val="clear" w:color="auto" w:fill="FFFFFF"/>
          <w:lang w:val="zh-CN"/>
        </w:rPr>
        <w:t>已按照省财政厅的要求，将202</w:t>
      </w:r>
      <w:r>
        <w:rPr>
          <w:rFonts w:hint="default" w:ascii="Times New Roman" w:hAnsi="Times New Roman" w:eastAsia="仿宋_GB2312" w:cs="Times New Roman"/>
          <w:color w:val="000000"/>
          <w:kern w:val="0"/>
          <w:sz w:val="32"/>
          <w:szCs w:val="32"/>
          <w:highlight w:val="none"/>
          <w:shd w:val="clear" w:color="auto" w:fill="FFFFFF"/>
          <w:lang w:val="en-US" w:eastAsia="zh-CN"/>
        </w:rPr>
        <w:t>2</w:t>
      </w:r>
      <w:r>
        <w:rPr>
          <w:rFonts w:hint="default" w:ascii="Times New Roman" w:hAnsi="Times New Roman" w:eastAsia="仿宋_GB2312" w:cs="Times New Roman"/>
          <w:color w:val="000000"/>
          <w:kern w:val="0"/>
          <w:sz w:val="32"/>
          <w:szCs w:val="32"/>
          <w:highlight w:val="none"/>
          <w:shd w:val="clear" w:color="auto" w:fill="FFFFFF"/>
          <w:lang w:val="zh-CN"/>
        </w:rPr>
        <w:t>年度部门整体支出自评报告同部门决算在财政厅预算决算公开板块和</w:t>
      </w:r>
      <w:r>
        <w:rPr>
          <w:rFonts w:hint="default" w:ascii="Times New Roman" w:hAnsi="Times New Roman" w:eastAsia="仿宋_GB2312" w:cs="Times New Roman"/>
          <w:color w:val="000000"/>
          <w:kern w:val="0"/>
          <w:sz w:val="32"/>
          <w:szCs w:val="32"/>
          <w:highlight w:val="none"/>
          <w:shd w:val="clear" w:color="auto" w:fill="FFFFFF"/>
          <w:lang w:val="en-US" w:eastAsia="zh-CN"/>
        </w:rPr>
        <w:t>民革</w:t>
      </w:r>
      <w:r>
        <w:rPr>
          <w:rFonts w:hint="default" w:ascii="Times New Roman" w:hAnsi="Times New Roman" w:eastAsia="仿宋_GB2312" w:cs="Times New Roman"/>
          <w:color w:val="000000"/>
          <w:kern w:val="0"/>
          <w:sz w:val="32"/>
          <w:szCs w:val="32"/>
          <w:highlight w:val="none"/>
          <w:shd w:val="clear" w:color="auto" w:fill="FFFFFF"/>
          <w:lang w:val="zh-CN"/>
        </w:rPr>
        <w:t>四川省委会门户网站向社会进行了公开。</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rPr>
          <w:rFonts w:hint="default" w:ascii="Times New Roman" w:hAnsi="Times New Roman" w:eastAsia="仿宋_GB2312" w:cs="Times New Roman"/>
          <w:color w:val="000000"/>
          <w:kern w:val="0"/>
          <w:sz w:val="32"/>
          <w:szCs w:val="32"/>
          <w:highlight w:val="none"/>
          <w:shd w:val="clear" w:color="auto" w:fill="FFFFFF"/>
          <w:lang w:val="zh-CN"/>
        </w:rPr>
      </w:pPr>
      <w:r>
        <w:rPr>
          <w:rFonts w:hint="default" w:ascii="Times New Roman" w:hAnsi="Times New Roman" w:eastAsia="仿宋_GB2312" w:cs="Times New Roman"/>
          <w:color w:val="000000"/>
          <w:kern w:val="0"/>
          <w:sz w:val="32"/>
          <w:szCs w:val="32"/>
          <w:highlight w:val="none"/>
          <w:shd w:val="clear" w:color="auto" w:fill="FFFFFF"/>
          <w:lang w:val="zh-CN"/>
        </w:rPr>
        <w:t>3.问题整改</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rPr>
          <w:rFonts w:hint="default" w:ascii="Times New Roman" w:hAnsi="Times New Roman" w:eastAsia="仿宋_GB2312" w:cs="Times New Roman"/>
          <w:color w:val="000000"/>
          <w:kern w:val="0"/>
          <w:sz w:val="32"/>
          <w:szCs w:val="32"/>
          <w:highlight w:val="none"/>
          <w:shd w:val="clear" w:color="auto" w:fill="FFFFFF"/>
          <w:lang w:val="zh-CN"/>
        </w:rPr>
      </w:pPr>
      <w:r>
        <w:rPr>
          <w:rFonts w:hint="default" w:ascii="Times New Roman" w:hAnsi="Times New Roman" w:eastAsia="仿宋_GB2312" w:cs="Times New Roman"/>
          <w:color w:val="000000"/>
          <w:kern w:val="0"/>
          <w:sz w:val="32"/>
          <w:szCs w:val="32"/>
          <w:highlight w:val="none"/>
          <w:shd w:val="clear" w:color="auto" w:fill="FFFFFF"/>
          <w:lang w:val="zh-CN"/>
        </w:rPr>
        <w:t>202</w:t>
      </w:r>
      <w:r>
        <w:rPr>
          <w:rFonts w:hint="default" w:ascii="Times New Roman" w:hAnsi="Times New Roman" w:eastAsia="仿宋_GB2312" w:cs="Times New Roman"/>
          <w:color w:val="000000"/>
          <w:kern w:val="0"/>
          <w:sz w:val="32"/>
          <w:szCs w:val="32"/>
          <w:highlight w:val="none"/>
          <w:shd w:val="clear" w:color="auto" w:fill="FFFFFF"/>
          <w:lang w:val="en-US" w:eastAsia="zh-CN"/>
        </w:rPr>
        <w:t>3</w:t>
      </w:r>
      <w:r>
        <w:rPr>
          <w:rFonts w:hint="default" w:ascii="Times New Roman" w:hAnsi="Times New Roman" w:eastAsia="仿宋_GB2312" w:cs="Times New Roman"/>
          <w:color w:val="000000"/>
          <w:kern w:val="0"/>
          <w:sz w:val="32"/>
          <w:szCs w:val="32"/>
          <w:highlight w:val="none"/>
          <w:shd w:val="clear" w:color="auto" w:fill="FFFFFF"/>
          <w:lang w:val="zh-CN"/>
        </w:rPr>
        <w:t>年度，</w:t>
      </w:r>
      <w:r>
        <w:rPr>
          <w:rFonts w:hint="default" w:ascii="Times New Roman" w:hAnsi="Times New Roman" w:eastAsia="仿宋_GB2312" w:cs="Times New Roman"/>
          <w:color w:val="000000"/>
          <w:kern w:val="0"/>
          <w:sz w:val="32"/>
          <w:szCs w:val="32"/>
          <w:highlight w:val="none"/>
          <w:shd w:val="clear" w:color="auto" w:fill="FFFFFF"/>
          <w:lang w:val="en-US" w:eastAsia="zh-CN"/>
        </w:rPr>
        <w:t>民革</w:t>
      </w:r>
      <w:r>
        <w:rPr>
          <w:rFonts w:hint="default" w:ascii="Times New Roman" w:hAnsi="Times New Roman" w:eastAsia="仿宋_GB2312" w:cs="Times New Roman"/>
          <w:color w:val="000000"/>
          <w:kern w:val="0"/>
          <w:sz w:val="32"/>
          <w:szCs w:val="32"/>
          <w:highlight w:val="none"/>
          <w:shd w:val="clear" w:color="auto" w:fill="FFFFFF"/>
          <w:lang w:val="zh-CN"/>
        </w:rPr>
        <w:t>四川省委会针对</w:t>
      </w:r>
      <w:r>
        <w:rPr>
          <w:rFonts w:hint="default" w:ascii="Times New Roman" w:hAnsi="Times New Roman" w:eastAsia="仿宋_GB2312" w:cs="Times New Roman"/>
          <w:color w:val="000000"/>
          <w:kern w:val="0"/>
          <w:sz w:val="32"/>
          <w:szCs w:val="32"/>
          <w:highlight w:val="none"/>
          <w:shd w:val="clear" w:color="auto" w:fill="FFFFFF"/>
          <w:lang w:val="en-US" w:eastAsia="zh-CN"/>
        </w:rPr>
        <w:t>财政厅</w:t>
      </w:r>
      <w:r>
        <w:rPr>
          <w:rFonts w:hint="default" w:ascii="Times New Roman" w:hAnsi="Times New Roman" w:eastAsia="仿宋_GB2312" w:cs="Times New Roman"/>
          <w:color w:val="000000"/>
          <w:kern w:val="0"/>
          <w:sz w:val="32"/>
          <w:szCs w:val="32"/>
          <w:highlight w:val="none"/>
          <w:shd w:val="clear" w:color="auto" w:fill="FFFFFF"/>
          <w:lang w:val="zh-CN"/>
        </w:rPr>
        <w:t>绩效目标核查、绩效监控核查提出的问题，已进行了整改，并及时将整改结果向财政厅进行了反馈。</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rPr>
          <w:rFonts w:hint="default" w:ascii="Times New Roman" w:hAnsi="Times New Roman" w:eastAsia="仿宋_GB2312" w:cs="Times New Roman"/>
          <w:color w:val="000000"/>
          <w:kern w:val="0"/>
          <w:sz w:val="32"/>
          <w:szCs w:val="32"/>
          <w:highlight w:val="none"/>
          <w:shd w:val="clear" w:color="auto" w:fill="FFFFFF"/>
          <w:lang w:val="zh-CN"/>
        </w:rPr>
      </w:pPr>
      <w:r>
        <w:rPr>
          <w:rFonts w:hint="default" w:ascii="Times New Roman" w:hAnsi="Times New Roman" w:eastAsia="仿宋_GB2312" w:cs="Times New Roman"/>
          <w:color w:val="000000"/>
          <w:kern w:val="0"/>
          <w:sz w:val="32"/>
          <w:szCs w:val="32"/>
          <w:highlight w:val="none"/>
          <w:shd w:val="clear" w:color="auto" w:fill="FFFFFF"/>
          <w:lang w:val="zh-CN"/>
        </w:rPr>
        <w:t>4.应用反馈</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contextualSpacing/>
        <w:jc w:val="both"/>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color w:val="000000"/>
          <w:kern w:val="0"/>
          <w:sz w:val="32"/>
          <w:szCs w:val="32"/>
          <w:highlight w:val="none"/>
          <w:shd w:val="clear" w:color="auto" w:fill="FFFFFF"/>
          <w:lang w:val="zh-CN"/>
        </w:rPr>
        <w:t>202</w:t>
      </w:r>
      <w:r>
        <w:rPr>
          <w:rFonts w:hint="default" w:ascii="Times New Roman" w:hAnsi="Times New Roman" w:eastAsia="仿宋_GB2312" w:cs="Times New Roman"/>
          <w:color w:val="000000"/>
          <w:kern w:val="0"/>
          <w:sz w:val="32"/>
          <w:szCs w:val="32"/>
          <w:highlight w:val="none"/>
          <w:shd w:val="clear" w:color="auto" w:fill="FFFFFF"/>
          <w:lang w:val="en-US" w:eastAsia="zh-CN"/>
        </w:rPr>
        <w:t>3</w:t>
      </w:r>
      <w:r>
        <w:rPr>
          <w:rFonts w:hint="default" w:ascii="Times New Roman" w:hAnsi="Times New Roman" w:eastAsia="仿宋_GB2312" w:cs="Times New Roman"/>
          <w:color w:val="000000"/>
          <w:kern w:val="0"/>
          <w:sz w:val="32"/>
          <w:szCs w:val="32"/>
          <w:highlight w:val="none"/>
          <w:shd w:val="clear" w:color="auto" w:fill="FFFFFF"/>
          <w:lang w:val="zh-CN"/>
        </w:rPr>
        <w:t>年度，</w:t>
      </w:r>
      <w:r>
        <w:rPr>
          <w:rFonts w:hint="default" w:ascii="Times New Roman" w:hAnsi="Times New Roman" w:eastAsia="仿宋_GB2312" w:cs="Times New Roman"/>
          <w:color w:val="000000"/>
          <w:kern w:val="0"/>
          <w:sz w:val="32"/>
          <w:szCs w:val="32"/>
          <w:highlight w:val="none"/>
          <w:shd w:val="clear" w:color="auto" w:fill="FFFFFF"/>
          <w:lang w:val="en-US" w:eastAsia="zh-CN"/>
        </w:rPr>
        <w:t>民革</w:t>
      </w:r>
      <w:r>
        <w:rPr>
          <w:rFonts w:hint="default" w:ascii="Times New Roman" w:hAnsi="Times New Roman" w:eastAsia="仿宋_GB2312" w:cs="Times New Roman"/>
          <w:color w:val="000000"/>
          <w:kern w:val="0"/>
          <w:sz w:val="32"/>
          <w:szCs w:val="32"/>
          <w:highlight w:val="none"/>
          <w:shd w:val="clear" w:color="auto" w:fill="FFFFFF"/>
          <w:lang w:val="zh-CN"/>
        </w:rPr>
        <w:t>四川省委会针对绩效目标管理、事前绩效评估、绩效运行监控、事后绩效评价四个方面的绩效结果应用情况，按照财政厅的相关要求，及时向财政厅进行了反馈，按时报送了各项预算绩效管理资料。</w:t>
      </w:r>
    </w:p>
    <w:p>
      <w:pPr>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黑体" w:cs="Times New Roman"/>
          <w:color w:val="000000"/>
          <w:kern w:val="0"/>
          <w:sz w:val="32"/>
          <w:szCs w:val="32"/>
          <w:highlight w:val="none"/>
          <w:shd w:val="clear" w:color="auto" w:fill="FFFFFF"/>
        </w:rPr>
      </w:pPr>
      <w:r>
        <w:rPr>
          <w:rFonts w:hint="default" w:ascii="Times New Roman" w:hAnsi="Times New Roman" w:eastAsia="黑体" w:cs="Times New Roman"/>
          <w:color w:val="000000"/>
          <w:kern w:val="0"/>
          <w:sz w:val="32"/>
          <w:szCs w:val="32"/>
          <w:highlight w:val="none"/>
          <w:shd w:val="clear" w:color="auto" w:fill="FFFFFF"/>
          <w:lang w:eastAsia="zh-CN"/>
        </w:rPr>
        <w:t>四、</w:t>
      </w:r>
      <w:r>
        <w:rPr>
          <w:rFonts w:hint="default" w:ascii="Times New Roman" w:hAnsi="Times New Roman" w:eastAsia="黑体" w:cs="Times New Roman"/>
          <w:color w:val="000000"/>
          <w:kern w:val="0"/>
          <w:sz w:val="32"/>
          <w:szCs w:val="32"/>
          <w:highlight w:val="none"/>
          <w:shd w:val="clear" w:color="auto" w:fill="FFFFFF"/>
        </w:rPr>
        <w:t>评价结论及建议</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Chars="0" w:firstLine="643" w:firstLineChars="200"/>
        <w:jc w:val="both"/>
        <w:textAlignment w:val="auto"/>
        <w:rPr>
          <w:rFonts w:hint="default" w:ascii="Times New Roman" w:hAnsi="Times New Roman" w:eastAsia="仿宋_GB2312" w:cs="Times New Roman"/>
          <w:color w:val="000000"/>
          <w:kern w:val="0"/>
          <w:sz w:val="32"/>
          <w:szCs w:val="32"/>
          <w:highlight w:val="none"/>
          <w:shd w:val="clear" w:color="auto" w:fill="FFFFFF"/>
          <w:lang w:val="en-US"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eastAsia="zh-CN" w:bidi="ar-SA"/>
        </w:rPr>
        <w:t>（一）评价结论。</w:t>
      </w:r>
      <w:r>
        <w:rPr>
          <w:rFonts w:hint="eastAsia" w:ascii="Times New Roman" w:hAnsi="Times New Roman" w:eastAsia="仿宋_GB2312" w:cs="Times New Roman"/>
          <w:color w:val="000000"/>
          <w:kern w:val="0"/>
          <w:sz w:val="32"/>
          <w:szCs w:val="32"/>
          <w:highlight w:val="none"/>
          <w:shd w:val="clear" w:color="auto" w:fill="FFFFFF"/>
          <w:lang w:val="en-US" w:eastAsia="zh-CN" w:bidi="ar-SA"/>
        </w:rPr>
        <w:t>民革四川省委</w:t>
      </w:r>
      <w:r>
        <w:rPr>
          <w:rFonts w:hint="default" w:ascii="Times New Roman" w:hAnsi="Times New Roman" w:eastAsia="仿宋_GB2312" w:cs="Times New Roman"/>
          <w:color w:val="000000"/>
          <w:kern w:val="0"/>
          <w:sz w:val="32"/>
          <w:szCs w:val="32"/>
          <w:highlight w:val="none"/>
          <w:shd w:val="clear" w:color="auto" w:fill="FFFFFF"/>
          <w:lang w:val="en-US" w:eastAsia="zh-CN" w:bidi="ar-SA"/>
        </w:rPr>
        <w:t>部门整体绩效评价指标体系自评得分9</w:t>
      </w:r>
      <w:r>
        <w:rPr>
          <w:rFonts w:hint="eastAsia" w:ascii="Times New Roman" w:hAnsi="Times New Roman" w:eastAsia="仿宋_GB2312" w:cs="Times New Roman"/>
          <w:color w:val="000000"/>
          <w:kern w:val="0"/>
          <w:sz w:val="32"/>
          <w:szCs w:val="32"/>
          <w:highlight w:val="none"/>
          <w:shd w:val="clear" w:color="auto" w:fill="FFFFFF"/>
          <w:lang w:val="en-US" w:eastAsia="zh-CN" w:bidi="ar-SA"/>
        </w:rPr>
        <w:t>3</w:t>
      </w:r>
      <w:r>
        <w:rPr>
          <w:rFonts w:hint="default" w:ascii="Times New Roman" w:hAnsi="Times New Roman" w:eastAsia="仿宋_GB2312" w:cs="Times New Roman"/>
          <w:color w:val="000000"/>
          <w:kern w:val="0"/>
          <w:sz w:val="32"/>
          <w:szCs w:val="32"/>
          <w:highlight w:val="none"/>
          <w:shd w:val="clear" w:color="auto" w:fill="FFFFFF"/>
          <w:lang w:val="en-US" w:eastAsia="zh-CN" w:bidi="ar-SA"/>
        </w:rPr>
        <w:t>.</w:t>
      </w:r>
      <w:r>
        <w:rPr>
          <w:rFonts w:hint="eastAsia" w:ascii="Times New Roman" w:hAnsi="Times New Roman" w:eastAsia="仿宋_GB2312" w:cs="Times New Roman"/>
          <w:color w:val="000000"/>
          <w:kern w:val="0"/>
          <w:sz w:val="32"/>
          <w:szCs w:val="32"/>
          <w:highlight w:val="none"/>
          <w:shd w:val="clear" w:color="auto" w:fill="FFFFFF"/>
          <w:lang w:val="en-US" w:eastAsia="zh-CN" w:bidi="ar-SA"/>
        </w:rPr>
        <w:t>57</w:t>
      </w:r>
      <w:r>
        <w:rPr>
          <w:rFonts w:hint="default" w:ascii="Times New Roman" w:hAnsi="Times New Roman" w:eastAsia="仿宋_GB2312" w:cs="Times New Roman"/>
          <w:color w:val="000000"/>
          <w:kern w:val="0"/>
          <w:sz w:val="32"/>
          <w:szCs w:val="32"/>
          <w:highlight w:val="none"/>
          <w:shd w:val="clear" w:color="auto" w:fill="FFFFFF"/>
          <w:lang w:val="en-US" w:eastAsia="zh-CN" w:bidi="ar-SA"/>
        </w:rPr>
        <w:t>分（满分为100分）。</w:t>
      </w:r>
    </w:p>
    <w:p>
      <w:pPr>
        <w:keepNext w:val="0"/>
        <w:keepLines w:val="0"/>
        <w:pageBreakBefore w:val="0"/>
        <w:widowControl/>
        <w:kinsoku/>
        <w:wordWrap/>
        <w:overflowPunct/>
        <w:topLinePunct w:val="0"/>
        <w:autoSpaceDE/>
        <w:autoSpaceDN/>
        <w:bidi w:val="0"/>
        <w:adjustRightInd w:val="0"/>
        <w:snapToGrid w:val="0"/>
        <w:spacing w:line="600" w:lineRule="exact"/>
        <w:ind w:leftChars="0" w:firstLine="643" w:firstLineChars="200"/>
        <w:contextualSpacing/>
        <w:jc w:val="both"/>
        <w:textAlignment w:val="auto"/>
        <w:outlineLvl w:val="9"/>
        <w:rPr>
          <w:rFonts w:hint="default" w:ascii="Times New Roman" w:hAnsi="Times New Roman" w:eastAsia="仿宋_GB2312" w:cs="Times New Roman"/>
          <w:color w:val="000000"/>
          <w:kern w:val="0"/>
          <w:sz w:val="32"/>
          <w:szCs w:val="32"/>
          <w:highlight w:val="none"/>
          <w:shd w:val="clear" w:color="auto" w:fill="FFFFFF"/>
          <w:lang w:val="en-US"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rPr>
        <w:t>（二）存在问题。</w:t>
      </w:r>
      <w:r>
        <w:rPr>
          <w:rFonts w:hint="default" w:ascii="Times New Roman" w:hAnsi="Times New Roman" w:eastAsia="仿宋_GB2312" w:cs="Times New Roman"/>
          <w:color w:val="000000"/>
          <w:kern w:val="0"/>
          <w:sz w:val="32"/>
          <w:szCs w:val="32"/>
          <w:highlight w:val="none"/>
          <w:shd w:val="clear" w:color="auto" w:fill="FFFFFF"/>
          <w:lang w:val="zh-CN" w:eastAsia="zh-CN" w:bidi="ar-SA"/>
        </w:rPr>
        <w:t>一是预算编制质量需进一步提高，二是预算执行进度较慢，三是年终支出缺乏统筹安排。</w:t>
      </w:r>
    </w:p>
    <w:p>
      <w:pPr>
        <w:keepNext w:val="0"/>
        <w:keepLines w:val="0"/>
        <w:pageBreakBefore w:val="0"/>
        <w:widowControl/>
        <w:kinsoku/>
        <w:wordWrap/>
        <w:overflowPunct/>
        <w:topLinePunct w:val="0"/>
        <w:autoSpaceDE/>
        <w:autoSpaceDN/>
        <w:bidi w:val="0"/>
        <w:adjustRightInd w:val="0"/>
        <w:snapToGrid w:val="0"/>
        <w:spacing w:line="600" w:lineRule="exact"/>
        <w:ind w:leftChars="0" w:firstLine="643" w:firstLineChars="200"/>
        <w:contextualSpacing/>
        <w:jc w:val="both"/>
        <w:textAlignment w:val="auto"/>
        <w:outlineLvl w:val="9"/>
        <w:rPr>
          <w:rFonts w:hint="default" w:ascii="Times New Roman" w:hAnsi="Times New Roman" w:eastAsia="楷体_GB2312" w:cs="Times New Roman"/>
          <w:b/>
          <w:bCs/>
          <w:color w:val="000000"/>
          <w:kern w:val="0"/>
          <w:sz w:val="32"/>
          <w:szCs w:val="32"/>
          <w:highlight w:val="none"/>
          <w:shd w:val="clear" w:color="auto" w:fill="FFFFFF"/>
          <w:lang w:val="zh-CN" w:eastAsia="zh-CN"/>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（三）改进建议。</w:t>
      </w:r>
      <w:bookmarkStart w:id="57" w:name="_Hlk110546638"/>
    </w:p>
    <w:p>
      <w:pPr>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仿宋_GB2312" w:cs="Times New Roman"/>
          <w:color w:val="000000"/>
          <w:kern w:val="0"/>
          <w:sz w:val="32"/>
          <w:szCs w:val="32"/>
          <w:highlight w:val="none"/>
          <w:shd w:val="clear" w:color="auto" w:fill="FFFFFF"/>
          <w:lang w:val="en" w:eastAsia="zh-CN" w:bidi="ar-SA"/>
        </w:rPr>
      </w:pPr>
      <w:r>
        <w:rPr>
          <w:rFonts w:hint="default" w:ascii="Times New Roman" w:hAnsi="Times New Roman" w:eastAsia="仿宋_GB2312" w:cs="Times New Roman"/>
          <w:color w:val="000000"/>
          <w:kern w:val="0"/>
          <w:sz w:val="32"/>
          <w:szCs w:val="32"/>
          <w:highlight w:val="none"/>
          <w:shd w:val="clear" w:color="auto" w:fill="FFFFFF"/>
          <w:lang w:val="en" w:eastAsia="zh-CN" w:bidi="ar-SA"/>
        </w:rPr>
        <w:t>（</w:t>
      </w:r>
      <w:r>
        <w:rPr>
          <w:rFonts w:hint="default" w:ascii="Times New Roman" w:hAnsi="Times New Roman" w:eastAsia="仿宋_GB2312" w:cs="Times New Roman"/>
          <w:color w:val="000000"/>
          <w:kern w:val="0"/>
          <w:sz w:val="32"/>
          <w:szCs w:val="32"/>
          <w:highlight w:val="none"/>
          <w:shd w:val="clear" w:color="auto" w:fill="FFFFFF"/>
          <w:lang w:val="en-US" w:eastAsia="zh-CN" w:bidi="ar-SA"/>
        </w:rPr>
        <w:t>1</w:t>
      </w:r>
      <w:r>
        <w:rPr>
          <w:rFonts w:hint="default" w:ascii="Times New Roman" w:hAnsi="Times New Roman" w:eastAsia="仿宋_GB2312" w:cs="Times New Roman"/>
          <w:color w:val="000000"/>
          <w:kern w:val="0"/>
          <w:sz w:val="32"/>
          <w:szCs w:val="32"/>
          <w:highlight w:val="none"/>
          <w:shd w:val="clear" w:color="auto" w:fill="FFFFFF"/>
          <w:lang w:val="en" w:eastAsia="zh-CN" w:bidi="ar-SA"/>
        </w:rPr>
        <w:t>）预算编制时，</w:t>
      </w:r>
      <w:r>
        <w:rPr>
          <w:rFonts w:hint="eastAsia" w:ascii="Times New Roman" w:hAnsi="Times New Roman" w:eastAsia="仿宋_GB2312" w:cs="Times New Roman"/>
          <w:color w:val="000000"/>
          <w:kern w:val="0"/>
          <w:sz w:val="32"/>
          <w:szCs w:val="32"/>
          <w:highlight w:val="none"/>
          <w:shd w:val="clear" w:color="auto" w:fill="FFFFFF"/>
          <w:lang w:val="en-US" w:eastAsia="zh-CN" w:bidi="ar-SA"/>
        </w:rPr>
        <w:t>需</w:t>
      </w:r>
      <w:r>
        <w:rPr>
          <w:rFonts w:hint="default" w:ascii="Times New Roman" w:hAnsi="Times New Roman" w:eastAsia="仿宋_GB2312" w:cs="Times New Roman"/>
          <w:color w:val="000000"/>
          <w:kern w:val="0"/>
          <w:sz w:val="32"/>
          <w:szCs w:val="32"/>
          <w:highlight w:val="none"/>
          <w:shd w:val="clear" w:color="auto" w:fill="FFFFFF"/>
          <w:lang w:val="en" w:eastAsia="zh-CN" w:bidi="ar-SA"/>
        </w:rPr>
        <w:t>更加细致统计单位重大工作活动、各处室日常工作所需开支，更加科学合理分配预算，与绩效目标匹配，降低预算编制偏离度，提高预算编制质量。</w:t>
      </w:r>
    </w:p>
    <w:p>
      <w:pPr>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仿宋_GB2312" w:cs="Times New Roman"/>
          <w:color w:val="000000"/>
          <w:kern w:val="0"/>
          <w:sz w:val="32"/>
          <w:szCs w:val="32"/>
          <w:highlight w:val="none"/>
          <w:shd w:val="clear" w:color="auto" w:fill="FFFFFF"/>
          <w:lang w:val="en" w:eastAsia="zh-CN" w:bidi="ar-SA"/>
        </w:rPr>
      </w:pPr>
      <w:r>
        <w:rPr>
          <w:rFonts w:hint="default" w:ascii="Times New Roman" w:hAnsi="Times New Roman" w:eastAsia="仿宋_GB2312" w:cs="Times New Roman"/>
          <w:color w:val="000000"/>
          <w:kern w:val="0"/>
          <w:sz w:val="32"/>
          <w:szCs w:val="32"/>
          <w:highlight w:val="none"/>
          <w:shd w:val="clear" w:color="auto" w:fill="FFFFFF"/>
          <w:lang w:val="en" w:eastAsia="zh-CN" w:bidi="ar-SA"/>
        </w:rPr>
        <w:t>（</w:t>
      </w:r>
      <w:r>
        <w:rPr>
          <w:rFonts w:hint="default" w:ascii="Times New Roman" w:hAnsi="Times New Roman" w:eastAsia="仿宋_GB2312" w:cs="Times New Roman"/>
          <w:color w:val="000000"/>
          <w:kern w:val="0"/>
          <w:sz w:val="32"/>
          <w:szCs w:val="32"/>
          <w:highlight w:val="none"/>
          <w:shd w:val="clear" w:color="auto" w:fill="FFFFFF"/>
          <w:lang w:val="en-US" w:eastAsia="zh-CN" w:bidi="ar-SA"/>
        </w:rPr>
        <w:t>2</w:t>
      </w:r>
      <w:r>
        <w:rPr>
          <w:rFonts w:hint="default" w:ascii="Times New Roman" w:hAnsi="Times New Roman" w:eastAsia="仿宋_GB2312" w:cs="Times New Roman"/>
          <w:color w:val="000000"/>
          <w:kern w:val="0"/>
          <w:sz w:val="32"/>
          <w:szCs w:val="32"/>
          <w:highlight w:val="none"/>
          <w:shd w:val="clear" w:color="auto" w:fill="FFFFFF"/>
          <w:lang w:val="en" w:eastAsia="zh-CN" w:bidi="ar-SA"/>
        </w:rPr>
        <w:t>）召开预算绩效管理培训会，增强干部职工绩效管理意识。不定期督促各处室加快预算执行进度，科学合理统筹预算执行余额，减少年终结余。</w:t>
      </w:r>
    </w:p>
    <w:p>
      <w:pPr>
        <w:keepNext w:val="0"/>
        <w:keepLines w:val="0"/>
        <w:pageBreakBefore w:val="0"/>
        <w:widowControl/>
        <w:kinsoku/>
        <w:wordWrap/>
        <w:overflowPunct/>
        <w:topLinePunct w:val="0"/>
        <w:autoSpaceDE/>
        <w:autoSpaceDN/>
        <w:bidi w:val="0"/>
        <w:adjustRightInd w:val="0"/>
        <w:snapToGrid w:val="0"/>
        <w:spacing w:line="600" w:lineRule="exact"/>
        <w:ind w:leftChars="0" w:firstLine="640" w:firstLineChars="200"/>
        <w:contextualSpacing/>
        <w:jc w:val="both"/>
        <w:textAlignment w:val="auto"/>
        <w:outlineLvl w:val="9"/>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仿宋_GB2312" w:cs="Times New Roman"/>
          <w:color w:val="000000"/>
          <w:kern w:val="0"/>
          <w:sz w:val="32"/>
          <w:szCs w:val="32"/>
          <w:highlight w:val="none"/>
          <w:shd w:val="clear" w:color="auto" w:fill="FFFFFF"/>
          <w:lang w:val="en" w:eastAsia="zh-CN" w:bidi="ar-SA"/>
        </w:rPr>
        <w:t>（</w:t>
      </w:r>
      <w:r>
        <w:rPr>
          <w:rFonts w:hint="default" w:ascii="Times New Roman" w:hAnsi="Times New Roman" w:eastAsia="仿宋_GB2312" w:cs="Times New Roman"/>
          <w:color w:val="000000"/>
          <w:kern w:val="0"/>
          <w:sz w:val="32"/>
          <w:szCs w:val="32"/>
          <w:highlight w:val="none"/>
          <w:shd w:val="clear" w:color="auto" w:fill="FFFFFF"/>
          <w:lang w:val="en-US" w:eastAsia="zh-CN" w:bidi="ar-SA"/>
        </w:rPr>
        <w:t>3</w:t>
      </w:r>
      <w:r>
        <w:rPr>
          <w:rFonts w:hint="default" w:ascii="Times New Roman" w:hAnsi="Times New Roman" w:eastAsia="仿宋_GB2312" w:cs="Times New Roman"/>
          <w:color w:val="000000"/>
          <w:kern w:val="0"/>
          <w:sz w:val="32"/>
          <w:szCs w:val="32"/>
          <w:highlight w:val="none"/>
          <w:shd w:val="clear" w:color="auto" w:fill="FFFFFF"/>
          <w:lang w:val="en" w:eastAsia="zh-CN" w:bidi="ar-SA"/>
        </w:rPr>
        <w:t>）进一步提高财务人员业务能力，积极参加财政厅组织的业务学习培训，加强与其他部门业务人员的沟通交流。</w:t>
      </w:r>
      <w:bookmarkEnd w:id="57"/>
    </w:p>
    <w:p>
      <w:pPr>
        <w:pStyle w:val="2"/>
        <w:keepNext w:val="0"/>
        <w:keepLines w:val="0"/>
        <w:pageBreakBefore w:val="0"/>
        <w:numPr>
          <w:ilvl w:val="0"/>
          <w:numId w:val="0"/>
        </w:numPr>
        <w:kinsoku/>
        <w:wordWrap/>
        <w:overflowPunct/>
        <w:topLinePunct w:val="0"/>
        <w:autoSpaceDE/>
        <w:autoSpaceDN/>
        <w:bidi w:val="0"/>
        <w:spacing w:after="0" w:line="600" w:lineRule="exact"/>
        <w:ind w:leftChars="0" w:firstLine="640" w:firstLineChars="200"/>
        <w:textAlignment w:val="auto"/>
        <w:rPr>
          <w:rFonts w:hint="eastAsia" w:hAnsi="Times New Roman" w:cs="Times New Roman"/>
          <w:color w:val="auto"/>
          <w:sz w:val="32"/>
          <w:szCs w:val="32"/>
          <w:highlight w:val="none"/>
          <w:lang w:val="zh-CN" w:eastAsia="zh-CN"/>
        </w:rPr>
      </w:pPr>
    </w:p>
    <w:p>
      <w:pPr>
        <w:pStyle w:val="2"/>
        <w:keepNext w:val="0"/>
        <w:keepLines w:val="0"/>
        <w:pageBreakBefore w:val="0"/>
        <w:numPr>
          <w:ilvl w:val="0"/>
          <w:numId w:val="0"/>
        </w:numPr>
        <w:kinsoku/>
        <w:wordWrap/>
        <w:overflowPunct/>
        <w:topLinePunct w:val="0"/>
        <w:autoSpaceDE/>
        <w:autoSpaceDN/>
        <w:bidi w:val="0"/>
        <w:spacing w:after="0" w:line="600" w:lineRule="exact"/>
        <w:ind w:leftChars="0" w:firstLine="640" w:firstLineChars="200"/>
        <w:textAlignment w:val="auto"/>
        <w:rPr>
          <w:rFonts w:hint="eastAsia" w:ascii="Times New Roman" w:hAnsi="Times New Roman" w:eastAsia="仿宋_GB2312" w:cs="Times New Roman"/>
          <w:color w:val="000000"/>
          <w:kern w:val="0"/>
          <w:sz w:val="32"/>
          <w:szCs w:val="32"/>
          <w:highlight w:val="none"/>
          <w:shd w:val="clear" w:color="auto" w:fill="FFFFFF"/>
          <w:lang w:val="zh-CN" w:eastAsia="zh-CN" w:bidi="ar-SA"/>
        </w:rPr>
      </w:pPr>
      <w:r>
        <w:rPr>
          <w:rFonts w:hint="eastAsia" w:ascii="Times New Roman" w:hAnsi="Times New Roman" w:eastAsia="仿宋_GB2312" w:cs="Times New Roman"/>
          <w:color w:val="000000"/>
          <w:kern w:val="0"/>
          <w:sz w:val="32"/>
          <w:szCs w:val="32"/>
          <w:highlight w:val="none"/>
          <w:shd w:val="clear" w:color="auto" w:fill="FFFFFF"/>
          <w:lang w:val="zh-CN" w:eastAsia="zh-CN" w:bidi="ar-SA"/>
        </w:rPr>
        <w:t>附表：</w:t>
      </w:r>
      <w:r>
        <w:rPr>
          <w:rFonts w:hint="eastAsia" w:ascii="Times New Roman" w:hAnsi="Times New Roman" w:eastAsia="仿宋_GB2312" w:cs="Times New Roman"/>
          <w:color w:val="000000"/>
          <w:kern w:val="0"/>
          <w:sz w:val="32"/>
          <w:szCs w:val="32"/>
          <w:highlight w:val="none"/>
          <w:shd w:val="clear" w:color="auto" w:fill="FFFFFF"/>
          <w:lang w:val="en-US" w:eastAsia="zh-CN" w:bidi="ar-SA"/>
        </w:rPr>
        <w:t>部门预算项目支出绩效自评表（2023年度）</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kern w:val="2"/>
          <w:sz w:val="32"/>
          <w:szCs w:val="24"/>
          <w:highlight w:val="none"/>
          <w:lang w:val="en-US" w:eastAsia="zh-CN" w:bidi="ar-SA"/>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kern w:val="2"/>
          <w:sz w:val="32"/>
          <w:szCs w:val="24"/>
          <w:highlight w:val="none"/>
          <w:lang w:val="en-US" w:eastAsia="zh-CN" w:bidi="ar-SA"/>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kern w:val="2"/>
          <w:sz w:val="32"/>
          <w:szCs w:val="24"/>
          <w:highlight w:val="none"/>
          <w:lang w:val="en-US" w:eastAsia="zh-CN" w:bidi="ar-SA"/>
        </w:rPr>
      </w:pPr>
    </w:p>
    <w:p>
      <w:pPr>
        <w:keepNext w:val="0"/>
        <w:keepLines w:val="0"/>
        <w:pageBreakBefore w:val="0"/>
        <w:kinsoku/>
        <w:wordWrap/>
        <w:overflowPunct/>
        <w:topLinePunct w:val="0"/>
        <w:autoSpaceDE/>
        <w:autoSpaceDN/>
        <w:bidi w:val="0"/>
        <w:spacing w:line="560" w:lineRule="exact"/>
        <w:jc w:val="both"/>
        <w:textAlignment w:val="auto"/>
        <w:rPr>
          <w:rFonts w:hint="default" w:ascii="黑体" w:hAnsi="黑体" w:eastAsia="黑体" w:cs="黑体"/>
          <w:kern w:val="2"/>
          <w:sz w:val="32"/>
          <w:szCs w:val="24"/>
          <w:highlight w:val="none"/>
          <w:lang w:val="en-US" w:eastAsia="zh-CN" w:bidi="ar-SA"/>
        </w:rPr>
      </w:pPr>
      <w:r>
        <w:rPr>
          <w:rFonts w:hint="eastAsia" w:ascii="黑体" w:hAnsi="黑体" w:eastAsia="黑体" w:cs="黑体"/>
          <w:kern w:val="2"/>
          <w:sz w:val="32"/>
          <w:szCs w:val="24"/>
          <w:highlight w:val="none"/>
          <w:lang w:val="en-US" w:eastAsia="zh-CN" w:bidi="ar-SA"/>
        </w:rPr>
        <w:t>附表</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966"/>
        <w:gridCol w:w="915"/>
        <w:gridCol w:w="1208"/>
        <w:gridCol w:w="396"/>
        <w:gridCol w:w="864"/>
        <w:gridCol w:w="396"/>
        <w:gridCol w:w="846"/>
        <w:gridCol w:w="486"/>
        <w:gridCol w:w="486"/>
        <w:gridCol w:w="1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394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51000023T000008506989-离退休省部级干部参观考察经费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0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中国国民党革命委员会四川省委员会部门</w:t>
            </w:r>
          </w:p>
        </w:tc>
        <w:tc>
          <w:tcPr>
            <w:tcW w:w="37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中国国民党革命委员会四川省委员会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0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3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保障省部级实职离退休干部到省外参观考察。</w:t>
            </w:r>
          </w:p>
        </w:tc>
        <w:tc>
          <w:tcPr>
            <w:tcW w:w="160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已完成对省部级实职离退休干部到省外参观考察的保障。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394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9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9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参观考察人数</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7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8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6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自评得分100分，效果良好。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6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657"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62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237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widowControl/>
        <w:jc w:val="both"/>
        <w:rPr>
          <w:rFonts w:hint="eastAsia" w:ascii="黑体" w:hAnsi="黑体" w:eastAsia="黑体"/>
          <w:color w:val="auto"/>
          <w:sz w:val="44"/>
          <w:szCs w:val="44"/>
          <w:highlight w:val="none"/>
        </w:rPr>
      </w:pPr>
      <w:bookmarkStart w:id="58" w:name="_Toc15396618"/>
    </w:p>
    <w:p>
      <w:pPr>
        <w:widowControl/>
        <w:jc w:val="center"/>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五部分 附表</w:t>
      </w:r>
      <w:bookmarkEnd w:id="56"/>
      <w:bookmarkEnd w:id="58"/>
      <w:bookmarkStart w:id="59" w:name="_Toc15396619"/>
    </w:p>
    <w:p>
      <w:pPr>
        <w:pStyle w:val="6"/>
        <w:rPr>
          <w:rFonts w:ascii="仿宋" w:hAnsi="仿宋" w:eastAsia="仿宋"/>
          <w:color w:val="auto"/>
          <w:highlight w:val="none"/>
        </w:rPr>
      </w:pPr>
      <w:r>
        <w:rPr>
          <w:rFonts w:hint="eastAsia" w:ascii="仿宋" w:hAnsi="仿宋" w:eastAsia="仿宋"/>
          <w:b w:val="0"/>
          <w:color w:val="auto"/>
          <w:highlight w:val="none"/>
        </w:rPr>
        <w:t>一、收</w:t>
      </w:r>
      <w:r>
        <w:rPr>
          <w:rStyle w:val="29"/>
          <w:rFonts w:hint="eastAsia" w:ascii="仿宋" w:hAnsi="仿宋" w:eastAsia="仿宋"/>
          <w:b w:val="0"/>
          <w:bCs w:val="0"/>
          <w:color w:val="auto"/>
          <w:highlight w:val="none"/>
        </w:rPr>
        <w:t>入支出决算总表</w:t>
      </w:r>
      <w:bookmarkEnd w:id="59"/>
    </w:p>
    <w:p>
      <w:pPr>
        <w:pStyle w:val="6"/>
        <w:rPr>
          <w:rFonts w:ascii="仿宋" w:hAnsi="仿宋" w:eastAsia="仿宋"/>
          <w:color w:val="auto"/>
          <w:highlight w:val="none"/>
        </w:rPr>
      </w:pPr>
      <w:bookmarkStart w:id="60" w:name="_Toc15396620"/>
      <w:r>
        <w:rPr>
          <w:rFonts w:hint="eastAsia" w:ascii="仿宋" w:hAnsi="仿宋" w:eastAsia="仿宋"/>
          <w:b w:val="0"/>
          <w:color w:val="auto"/>
          <w:highlight w:val="none"/>
        </w:rPr>
        <w:t>二、收</w:t>
      </w:r>
      <w:r>
        <w:rPr>
          <w:rStyle w:val="29"/>
          <w:rFonts w:hint="eastAsia" w:ascii="仿宋" w:hAnsi="仿宋" w:eastAsia="仿宋"/>
          <w:b w:val="0"/>
          <w:bCs w:val="0"/>
          <w:color w:val="auto"/>
          <w:highlight w:val="none"/>
        </w:rPr>
        <w:t>入决算表</w:t>
      </w:r>
      <w:bookmarkEnd w:id="60"/>
    </w:p>
    <w:p>
      <w:pPr>
        <w:pStyle w:val="6"/>
        <w:rPr>
          <w:rFonts w:ascii="仿宋" w:hAnsi="仿宋" w:eastAsia="仿宋"/>
          <w:color w:val="auto"/>
          <w:highlight w:val="none"/>
        </w:rPr>
      </w:pPr>
      <w:bookmarkStart w:id="61" w:name="_Toc15396621"/>
      <w:r>
        <w:rPr>
          <w:rStyle w:val="29"/>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9"/>
          <w:rFonts w:hint="eastAsia" w:ascii="仿宋" w:hAnsi="仿宋" w:eastAsia="仿宋"/>
          <w:b w:val="0"/>
          <w:bCs w:val="0"/>
          <w:color w:val="auto"/>
          <w:highlight w:val="none"/>
        </w:rPr>
        <w:t>出决算表</w:t>
      </w:r>
      <w:bookmarkEnd w:id="61"/>
    </w:p>
    <w:p>
      <w:pPr>
        <w:pStyle w:val="6"/>
        <w:rPr>
          <w:rFonts w:ascii="仿宋" w:hAnsi="仿宋" w:eastAsia="仿宋"/>
          <w:b w:val="0"/>
          <w:color w:val="auto"/>
          <w:highlight w:val="none"/>
        </w:rPr>
      </w:pPr>
      <w:bookmarkStart w:id="62" w:name="_Toc15396622"/>
      <w:r>
        <w:rPr>
          <w:rStyle w:val="29"/>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政拨款收入支出决算总表</w:t>
      </w:r>
      <w:bookmarkEnd w:id="62"/>
    </w:p>
    <w:p>
      <w:pPr>
        <w:pStyle w:val="6"/>
        <w:rPr>
          <w:rStyle w:val="29"/>
          <w:rFonts w:ascii="仿宋" w:hAnsi="仿宋" w:eastAsia="仿宋"/>
          <w:b w:val="0"/>
          <w:bCs w:val="0"/>
          <w:color w:val="auto"/>
          <w:highlight w:val="none"/>
        </w:rPr>
      </w:pPr>
      <w:bookmarkStart w:id="63" w:name="_Toc15396623"/>
      <w:r>
        <w:rPr>
          <w:rStyle w:val="29"/>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政拨款支出决算明细表</w:t>
      </w:r>
      <w:bookmarkEnd w:id="63"/>
      <w:bookmarkStart w:id="64" w:name="_Toc15396624"/>
    </w:p>
    <w:p>
      <w:pPr>
        <w:pStyle w:val="6"/>
        <w:rPr>
          <w:rFonts w:ascii="仿宋" w:hAnsi="仿宋" w:eastAsia="仿宋"/>
          <w:color w:val="auto"/>
          <w:highlight w:val="none"/>
        </w:rPr>
      </w:pPr>
      <w:r>
        <w:rPr>
          <w:rStyle w:val="29"/>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般公共预算财政拨款支出决算表</w:t>
      </w:r>
      <w:bookmarkEnd w:id="64"/>
    </w:p>
    <w:p>
      <w:pPr>
        <w:pStyle w:val="6"/>
        <w:rPr>
          <w:rFonts w:ascii="仿宋" w:hAnsi="仿宋" w:eastAsia="仿宋"/>
          <w:color w:val="auto"/>
          <w:highlight w:val="none"/>
        </w:rPr>
      </w:pPr>
      <w:bookmarkStart w:id="65" w:name="_Toc15396625"/>
      <w:r>
        <w:rPr>
          <w:rStyle w:val="29"/>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般公共预算财政拨款支出决算明细表</w:t>
      </w:r>
      <w:bookmarkEnd w:id="65"/>
    </w:p>
    <w:p>
      <w:pPr>
        <w:pStyle w:val="6"/>
        <w:rPr>
          <w:rFonts w:ascii="仿宋" w:hAnsi="仿宋" w:eastAsia="仿宋"/>
          <w:color w:val="auto"/>
          <w:highlight w:val="none"/>
        </w:rPr>
      </w:pPr>
      <w:bookmarkStart w:id="66" w:name="_Toc15396626"/>
      <w:r>
        <w:rPr>
          <w:rStyle w:val="29"/>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般公共预算财政拨款基本支出决算表</w:t>
      </w:r>
      <w:bookmarkEnd w:id="66"/>
    </w:p>
    <w:p>
      <w:pPr>
        <w:pStyle w:val="6"/>
        <w:rPr>
          <w:rFonts w:ascii="仿宋" w:hAnsi="仿宋" w:eastAsia="仿宋"/>
          <w:color w:val="auto"/>
          <w:highlight w:val="none"/>
        </w:rPr>
      </w:pPr>
      <w:bookmarkStart w:id="67" w:name="_Toc15396627"/>
      <w:r>
        <w:rPr>
          <w:rStyle w:val="29"/>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般公共预算财政拨款项目支出决算表</w:t>
      </w:r>
      <w:bookmarkEnd w:id="67"/>
    </w:p>
    <w:p>
      <w:pPr>
        <w:pStyle w:val="6"/>
        <w:rPr>
          <w:rFonts w:ascii="仿宋" w:hAnsi="仿宋" w:eastAsia="仿宋"/>
          <w:color w:val="auto"/>
          <w:highlight w:val="none"/>
        </w:rPr>
      </w:pPr>
      <w:bookmarkStart w:id="68" w:name="_Toc15396628"/>
      <w:r>
        <w:rPr>
          <w:rStyle w:val="29"/>
          <w:rFonts w:hint="eastAsia" w:ascii="仿宋" w:hAnsi="仿宋" w:eastAsia="仿宋"/>
          <w:b w:val="0"/>
          <w:bCs w:val="0"/>
          <w:color w:val="auto"/>
          <w:highlight w:val="none"/>
        </w:rPr>
        <w:t>十、</w:t>
      </w:r>
      <w:bookmarkEnd w:id="68"/>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府性基金预算财政拨款收入支出决算表</w:t>
      </w:r>
    </w:p>
    <w:p>
      <w:pPr>
        <w:pStyle w:val="6"/>
        <w:rPr>
          <w:rFonts w:ascii="仿宋" w:hAnsi="仿宋" w:eastAsia="仿宋"/>
          <w:color w:val="auto"/>
          <w:highlight w:val="none"/>
        </w:rPr>
      </w:pPr>
      <w:bookmarkStart w:id="69" w:name="_Toc15396629"/>
      <w:r>
        <w:rPr>
          <w:rStyle w:val="29"/>
          <w:rFonts w:hint="eastAsia" w:ascii="仿宋" w:hAnsi="仿宋" w:eastAsia="仿宋"/>
          <w:b w:val="0"/>
          <w:bCs w:val="0"/>
          <w:color w:val="auto"/>
          <w:highlight w:val="none"/>
        </w:rPr>
        <w:t>十一、</w:t>
      </w:r>
      <w:bookmarkEnd w:id="69"/>
      <w:r>
        <w:rPr>
          <w:rFonts w:hint="eastAsia" w:ascii="仿宋" w:hAnsi="仿宋" w:eastAsia="仿宋"/>
          <w:b w:val="0"/>
          <w:color w:val="auto"/>
          <w:highlight w:val="none"/>
        </w:rPr>
        <w:t>国</w:t>
      </w:r>
      <w:r>
        <w:rPr>
          <w:rStyle w:val="29"/>
          <w:rFonts w:hint="eastAsia" w:ascii="仿宋" w:hAnsi="仿宋" w:eastAsia="仿宋"/>
          <w:b w:val="0"/>
          <w:bCs w:val="0"/>
          <w:color w:val="auto"/>
          <w:highlight w:val="none"/>
        </w:rPr>
        <w:t>有资本经营预算</w:t>
      </w:r>
      <w:r>
        <w:rPr>
          <w:rStyle w:val="29"/>
          <w:rFonts w:hint="eastAsia" w:ascii="仿宋" w:hAnsi="仿宋" w:eastAsia="仿宋"/>
          <w:b w:val="0"/>
          <w:bCs w:val="0"/>
          <w:color w:val="auto"/>
          <w:highlight w:val="none"/>
          <w:lang w:eastAsia="zh-CN"/>
        </w:rPr>
        <w:t>财政拨款收入</w:t>
      </w:r>
      <w:r>
        <w:rPr>
          <w:rStyle w:val="29"/>
          <w:rFonts w:hint="eastAsia" w:ascii="仿宋" w:hAnsi="仿宋" w:eastAsia="仿宋"/>
          <w:b w:val="0"/>
          <w:bCs w:val="0"/>
          <w:color w:val="auto"/>
          <w:highlight w:val="none"/>
        </w:rPr>
        <w:t>支出决算表</w:t>
      </w:r>
    </w:p>
    <w:p>
      <w:pPr>
        <w:pStyle w:val="6"/>
        <w:rPr>
          <w:rFonts w:ascii="仿宋" w:hAnsi="仿宋" w:eastAsia="仿宋"/>
          <w:color w:val="auto"/>
          <w:highlight w:val="none"/>
        </w:rPr>
      </w:pPr>
      <w:bookmarkStart w:id="70" w:name="_Toc15396630"/>
      <w:r>
        <w:rPr>
          <w:rStyle w:val="29"/>
          <w:rFonts w:hint="eastAsia" w:ascii="仿宋" w:hAnsi="仿宋" w:eastAsia="仿宋"/>
          <w:b w:val="0"/>
          <w:bCs w:val="0"/>
          <w:color w:val="auto"/>
          <w:highlight w:val="none"/>
        </w:rPr>
        <w:t>十二、</w:t>
      </w:r>
      <w:bookmarkEnd w:id="70"/>
      <w:r>
        <w:rPr>
          <w:rStyle w:val="29"/>
          <w:rFonts w:hint="eastAsia" w:ascii="仿宋" w:hAnsi="仿宋" w:eastAsia="仿宋"/>
          <w:b w:val="0"/>
          <w:bCs w:val="0"/>
          <w:color w:val="auto"/>
          <w:highlight w:val="none"/>
          <w:lang w:eastAsia="zh-CN"/>
        </w:rPr>
        <w:t>国有资本经营预算财政拨款支出决算表</w:t>
      </w:r>
    </w:p>
    <w:p>
      <w:pPr>
        <w:pStyle w:val="6"/>
        <w:rPr>
          <w:rStyle w:val="29"/>
          <w:rFonts w:hint="eastAsia" w:ascii="仿宋" w:hAnsi="仿宋" w:eastAsia="仿宋"/>
          <w:b w:val="0"/>
          <w:bCs w:val="0"/>
          <w:color w:val="auto"/>
          <w:highlight w:val="none"/>
          <w:lang w:eastAsia="zh-CN"/>
        </w:rPr>
      </w:pPr>
      <w:bookmarkStart w:id="71" w:name="_Toc15396631"/>
      <w:r>
        <w:rPr>
          <w:rStyle w:val="29"/>
          <w:rFonts w:hint="eastAsia" w:ascii="仿宋" w:hAnsi="仿宋" w:eastAsia="仿宋"/>
          <w:b w:val="0"/>
          <w:bCs w:val="0"/>
          <w:color w:val="auto"/>
          <w:highlight w:val="none"/>
        </w:rPr>
        <w:t>十三、</w:t>
      </w:r>
      <w:bookmarkEnd w:id="71"/>
      <w:r>
        <w:rPr>
          <w:rStyle w:val="29"/>
          <w:rFonts w:hint="eastAsia" w:ascii="仿宋" w:hAnsi="仿宋" w:eastAsia="仿宋"/>
          <w:b w:val="0"/>
          <w:bCs w:val="0"/>
          <w:color w:val="auto"/>
          <w:highlight w:val="none"/>
          <w:lang w:eastAsia="zh-CN"/>
        </w:rPr>
        <w:t>财政拨款“三公”经费支出决算表</w:t>
      </w:r>
    </w:p>
    <w:p>
      <w:pPr>
        <w:rPr>
          <w:rFonts w:hint="eastAsia"/>
          <w:lang w:eastAsia="zh-CN"/>
        </w:rPr>
      </w:pPr>
    </w:p>
    <w:sectPr>
      <w:footerReference r:id="rId9" w:type="firs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tabs>
        <w:tab w:val="left" w:pos="4918"/>
        <w:tab w:val="clear" w:pos="4153"/>
      </w:tabs>
      <w:rPr>
        <w:rFonts w:hint="eastAsia" w:eastAsia="宋体"/>
        <w:lang w:eastAsia="zh-CN"/>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tabs>
        <w:tab w:val="left" w:pos="4918"/>
        <w:tab w:val="clear" w:pos="4153"/>
      </w:tabs>
      <w:rPr>
        <w:rFonts w:hint="eastAsia" w:eastAsia="宋体"/>
        <w:lang w:eastAsia="zh-CN"/>
      </w:rPr>
    </w:pP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p>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posOffset>2601595</wp:posOffset>
              </wp:positionH>
              <wp:positionV relativeFrom="paragraph">
                <wp:posOffset>-9525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85pt;margin-top:-0.75pt;height:144pt;width:144pt;mso-position-horizontal-relative:margin;mso-wrap-style:none;z-index:251661312;mso-width-relative:page;mso-height-relative:page;" filled="f" stroked="f" coordsize="21600,21600" o:gfxdata="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XL0+7ZAAAACgEAAA8AAAAAAAAAAQAgAAAAIgAAAGRycy9kb3ducmV2Lnht&#10;bFBLAQIUABQAAAAIAIdO4kDrADh6MQIAAGMEAAAOAAAAAAAAAAEAIAAAACgBAABkcnMvZTJvRG9j&#10;LnhtbFBLBQYAAAAABgAGAFkBAADLBQAAAAA=&#10;">
              <v:fill on="f" focussize="0,0"/>
              <v:stroke on="f" weight="0.5pt"/>
              <v:imagedata o:title=""/>
              <o:lock v:ext="edit" aspectratio="f"/>
              <v:textbox inset="0mm,0mm,0mm,0mm" style="mso-fit-shape-to-text:t;">
                <w:txbxContent>
                  <w:p>
                    <w:pPr>
                      <w:pStyle w:val="11"/>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6C58D"/>
    <w:multiLevelType w:val="singleLevel"/>
    <w:tmpl w:val="9826C58D"/>
    <w:lvl w:ilvl="0" w:tentative="0">
      <w:start w:val="4"/>
      <w:numFmt w:val="decimal"/>
      <w:suff w:val="nothing"/>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3C84EEE4"/>
    <w:multiLevelType w:val="singleLevel"/>
    <w:tmpl w:val="3C84EEE4"/>
    <w:lvl w:ilvl="0" w:tentative="0">
      <w:start w:val="3"/>
      <w:numFmt w:val="chineseCounting"/>
      <w:suff w:val="nothing"/>
      <w:lvlText w:val="（%1）"/>
      <w:lvlJc w:val="left"/>
      <w:rPr>
        <w:rFonts w:hint="eastAsia"/>
      </w:rPr>
    </w:lvl>
  </w:abstractNum>
  <w:abstractNum w:abstractNumId="4">
    <w:nsid w:val="600086A4"/>
    <w:multiLevelType w:val="singleLevel"/>
    <w:tmpl w:val="600086A4"/>
    <w:lvl w:ilvl="0" w:tentative="0">
      <w:start w:val="3"/>
      <w:numFmt w:val="decimal"/>
      <w:suff w:val="nothing"/>
      <w:lvlText w:val="（%1）"/>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YzhhMmViMTIwZWZiYTRmOWYyNzM4ODg1Yzg1MDkifQ=="/>
    <w:docVar w:name="KSO_WPS_MARK_KEY" w:val="a489ba0c-8255-4083-9433-158b5a9812a6"/>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73D2"/>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E34F5"/>
    <w:rsid w:val="015975B8"/>
    <w:rsid w:val="028875D2"/>
    <w:rsid w:val="02FEBE30"/>
    <w:rsid w:val="040E27E3"/>
    <w:rsid w:val="061E35DE"/>
    <w:rsid w:val="066E0107"/>
    <w:rsid w:val="07491032"/>
    <w:rsid w:val="07996F6E"/>
    <w:rsid w:val="07C24F25"/>
    <w:rsid w:val="07DFD8BA"/>
    <w:rsid w:val="09012917"/>
    <w:rsid w:val="09137F54"/>
    <w:rsid w:val="0A2032A3"/>
    <w:rsid w:val="0BEB340A"/>
    <w:rsid w:val="0D35B1ED"/>
    <w:rsid w:val="0F98263C"/>
    <w:rsid w:val="101860EC"/>
    <w:rsid w:val="10C055FF"/>
    <w:rsid w:val="118107EC"/>
    <w:rsid w:val="11FC016B"/>
    <w:rsid w:val="1306440E"/>
    <w:rsid w:val="13385D06"/>
    <w:rsid w:val="13D50BC4"/>
    <w:rsid w:val="14D507B4"/>
    <w:rsid w:val="15115DD4"/>
    <w:rsid w:val="16BB723D"/>
    <w:rsid w:val="179D7CAF"/>
    <w:rsid w:val="186504BB"/>
    <w:rsid w:val="1BE8440E"/>
    <w:rsid w:val="1D155CEE"/>
    <w:rsid w:val="1D6E17A5"/>
    <w:rsid w:val="1E740ACF"/>
    <w:rsid w:val="1E7602DE"/>
    <w:rsid w:val="1FF35744"/>
    <w:rsid w:val="1FF6BC77"/>
    <w:rsid w:val="20C0056A"/>
    <w:rsid w:val="22916662"/>
    <w:rsid w:val="23860B96"/>
    <w:rsid w:val="240371BF"/>
    <w:rsid w:val="276E0D20"/>
    <w:rsid w:val="281408E2"/>
    <w:rsid w:val="283D6944"/>
    <w:rsid w:val="290C07F0"/>
    <w:rsid w:val="29FD04D3"/>
    <w:rsid w:val="2A5A4DB3"/>
    <w:rsid w:val="2AA80080"/>
    <w:rsid w:val="2BFF7BC6"/>
    <w:rsid w:val="2C8A61B5"/>
    <w:rsid w:val="2CA60F5C"/>
    <w:rsid w:val="2DF04E50"/>
    <w:rsid w:val="2DFE26D1"/>
    <w:rsid w:val="2F040D46"/>
    <w:rsid w:val="2FAE5751"/>
    <w:rsid w:val="2FB1A395"/>
    <w:rsid w:val="2FD9A7D8"/>
    <w:rsid w:val="319F7F4E"/>
    <w:rsid w:val="31E85B72"/>
    <w:rsid w:val="31EA7C43"/>
    <w:rsid w:val="3281224F"/>
    <w:rsid w:val="3304709D"/>
    <w:rsid w:val="331C0B79"/>
    <w:rsid w:val="349D6851"/>
    <w:rsid w:val="35474AB0"/>
    <w:rsid w:val="36352DC4"/>
    <w:rsid w:val="364F4412"/>
    <w:rsid w:val="36513CE6"/>
    <w:rsid w:val="36932551"/>
    <w:rsid w:val="36981915"/>
    <w:rsid w:val="36AA5135"/>
    <w:rsid w:val="36BE0DA7"/>
    <w:rsid w:val="376B6AA6"/>
    <w:rsid w:val="376D39B2"/>
    <w:rsid w:val="37CA01F4"/>
    <w:rsid w:val="37E16F03"/>
    <w:rsid w:val="37F53A3B"/>
    <w:rsid w:val="389B6C89"/>
    <w:rsid w:val="38D469F0"/>
    <w:rsid w:val="397BAF1F"/>
    <w:rsid w:val="39816807"/>
    <w:rsid w:val="3AB79AF3"/>
    <w:rsid w:val="3B7EF35A"/>
    <w:rsid w:val="3B8B1A48"/>
    <w:rsid w:val="3B9FDB6C"/>
    <w:rsid w:val="3BF5BC2F"/>
    <w:rsid w:val="3CEBA265"/>
    <w:rsid w:val="3D4F2F4A"/>
    <w:rsid w:val="3D954E00"/>
    <w:rsid w:val="3D98207C"/>
    <w:rsid w:val="3E5A1BA6"/>
    <w:rsid w:val="3E6B1C93"/>
    <w:rsid w:val="3E78745D"/>
    <w:rsid w:val="3FF4CAE0"/>
    <w:rsid w:val="3FF7B227"/>
    <w:rsid w:val="41594397"/>
    <w:rsid w:val="419E51AD"/>
    <w:rsid w:val="441A605F"/>
    <w:rsid w:val="443F172A"/>
    <w:rsid w:val="44E268DA"/>
    <w:rsid w:val="46050649"/>
    <w:rsid w:val="47090753"/>
    <w:rsid w:val="47995FDF"/>
    <w:rsid w:val="4A627F82"/>
    <w:rsid w:val="4AE515FF"/>
    <w:rsid w:val="4B0E749A"/>
    <w:rsid w:val="4B4F25DA"/>
    <w:rsid w:val="4BE068DB"/>
    <w:rsid w:val="4D577224"/>
    <w:rsid w:val="4D73619F"/>
    <w:rsid w:val="4DBF1CEB"/>
    <w:rsid w:val="4EAB630A"/>
    <w:rsid w:val="4ECE2238"/>
    <w:rsid w:val="4FCE41A2"/>
    <w:rsid w:val="4FE9BD67"/>
    <w:rsid w:val="4FFB052F"/>
    <w:rsid w:val="50715259"/>
    <w:rsid w:val="50BB0282"/>
    <w:rsid w:val="52B21B59"/>
    <w:rsid w:val="53267C20"/>
    <w:rsid w:val="536E3CD2"/>
    <w:rsid w:val="537E6D0A"/>
    <w:rsid w:val="53F74C96"/>
    <w:rsid w:val="55B059B2"/>
    <w:rsid w:val="56E47B74"/>
    <w:rsid w:val="57BD3DD4"/>
    <w:rsid w:val="58005114"/>
    <w:rsid w:val="5A783688"/>
    <w:rsid w:val="5AE623A0"/>
    <w:rsid w:val="5AF92295"/>
    <w:rsid w:val="5BDD79E6"/>
    <w:rsid w:val="5BFF5DFC"/>
    <w:rsid w:val="5CD71FC4"/>
    <w:rsid w:val="5D1F11B5"/>
    <w:rsid w:val="5DAE1B18"/>
    <w:rsid w:val="5DE7D9E5"/>
    <w:rsid w:val="5ECEC941"/>
    <w:rsid w:val="5FBF9FF3"/>
    <w:rsid w:val="5FCD4E2C"/>
    <w:rsid w:val="5FEF394A"/>
    <w:rsid w:val="5FF67715"/>
    <w:rsid w:val="60AC5E39"/>
    <w:rsid w:val="61C80A51"/>
    <w:rsid w:val="62BF3928"/>
    <w:rsid w:val="636B6AA9"/>
    <w:rsid w:val="646B1B68"/>
    <w:rsid w:val="647F5392"/>
    <w:rsid w:val="678B0C3C"/>
    <w:rsid w:val="67EE6D37"/>
    <w:rsid w:val="6A276531"/>
    <w:rsid w:val="6A7A48B2"/>
    <w:rsid w:val="6C4A05C8"/>
    <w:rsid w:val="6C8742B8"/>
    <w:rsid w:val="6DBF5E93"/>
    <w:rsid w:val="6DFF077E"/>
    <w:rsid w:val="6E7E3605"/>
    <w:rsid w:val="6E7FDCC7"/>
    <w:rsid w:val="6ED6A62E"/>
    <w:rsid w:val="6EE00B15"/>
    <w:rsid w:val="6F6FB3EB"/>
    <w:rsid w:val="6F8731EA"/>
    <w:rsid w:val="6FCE6052"/>
    <w:rsid w:val="6FD57C00"/>
    <w:rsid w:val="6FEFFFD8"/>
    <w:rsid w:val="6FF5CC65"/>
    <w:rsid w:val="6FFB47EC"/>
    <w:rsid w:val="6FFF034A"/>
    <w:rsid w:val="712A28F1"/>
    <w:rsid w:val="715C0E4B"/>
    <w:rsid w:val="72233669"/>
    <w:rsid w:val="72734D90"/>
    <w:rsid w:val="72AA61A6"/>
    <w:rsid w:val="7332FE48"/>
    <w:rsid w:val="73AB61DA"/>
    <w:rsid w:val="73AD73D5"/>
    <w:rsid w:val="73B6EB34"/>
    <w:rsid w:val="73FA497D"/>
    <w:rsid w:val="744731E5"/>
    <w:rsid w:val="74BBD01D"/>
    <w:rsid w:val="74ED5379"/>
    <w:rsid w:val="756252EE"/>
    <w:rsid w:val="758D7B90"/>
    <w:rsid w:val="75DEEEC2"/>
    <w:rsid w:val="76E3355F"/>
    <w:rsid w:val="76FF5125"/>
    <w:rsid w:val="77560455"/>
    <w:rsid w:val="776F6FFA"/>
    <w:rsid w:val="778769C8"/>
    <w:rsid w:val="778C5F09"/>
    <w:rsid w:val="77DC22F5"/>
    <w:rsid w:val="797709B7"/>
    <w:rsid w:val="79D0629D"/>
    <w:rsid w:val="79D7FD79"/>
    <w:rsid w:val="79EE5BA4"/>
    <w:rsid w:val="79FC627C"/>
    <w:rsid w:val="7A894339"/>
    <w:rsid w:val="7A911ED0"/>
    <w:rsid w:val="7AFF7572"/>
    <w:rsid w:val="7B6C7DFB"/>
    <w:rsid w:val="7BBFBED0"/>
    <w:rsid w:val="7BC3E394"/>
    <w:rsid w:val="7CBFC87B"/>
    <w:rsid w:val="7CF71559"/>
    <w:rsid w:val="7CFE0F48"/>
    <w:rsid w:val="7D7EC23E"/>
    <w:rsid w:val="7E8ADEBF"/>
    <w:rsid w:val="7E926217"/>
    <w:rsid w:val="7EEF11D3"/>
    <w:rsid w:val="7F3F679B"/>
    <w:rsid w:val="7F4FC4EF"/>
    <w:rsid w:val="7F5E4D54"/>
    <w:rsid w:val="7FA30C79"/>
    <w:rsid w:val="7FAF8ABF"/>
    <w:rsid w:val="7FB7269E"/>
    <w:rsid w:val="7FC96657"/>
    <w:rsid w:val="7FDA9588"/>
    <w:rsid w:val="7FDF220F"/>
    <w:rsid w:val="7FEDC5F7"/>
    <w:rsid w:val="7FEDD9DE"/>
    <w:rsid w:val="7FF5890D"/>
    <w:rsid w:val="7FF93490"/>
    <w:rsid w:val="99FF2014"/>
    <w:rsid w:val="A6DD0D7F"/>
    <w:rsid w:val="ADC6F725"/>
    <w:rsid w:val="B7CF06AB"/>
    <w:rsid w:val="B7CFA926"/>
    <w:rsid w:val="B7F8786B"/>
    <w:rsid w:val="BABB6AA1"/>
    <w:rsid w:val="BB2F4199"/>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FFA9E8"/>
    <w:rsid w:val="E5F4E9DC"/>
    <w:rsid w:val="E70FE695"/>
    <w:rsid w:val="ECFED1BC"/>
    <w:rsid w:val="ED1D69BB"/>
    <w:rsid w:val="ED7FD312"/>
    <w:rsid w:val="EF53993F"/>
    <w:rsid w:val="EFBFB2F4"/>
    <w:rsid w:val="EFBFFA21"/>
    <w:rsid w:val="F2BEBCB8"/>
    <w:rsid w:val="F36FB518"/>
    <w:rsid w:val="F3DE1A04"/>
    <w:rsid w:val="F3F722E5"/>
    <w:rsid w:val="FA5F1E70"/>
    <w:rsid w:val="FA5FDB97"/>
    <w:rsid w:val="FB7F486A"/>
    <w:rsid w:val="FBFF5B2E"/>
    <w:rsid w:val="FD7FFE2B"/>
    <w:rsid w:val="FDEE196B"/>
    <w:rsid w:val="FDFE6575"/>
    <w:rsid w:val="FEDFDDC2"/>
    <w:rsid w:val="FEED32F6"/>
    <w:rsid w:val="FEF781DD"/>
    <w:rsid w:val="FF3F7E3F"/>
    <w:rsid w:val="FFBA12D7"/>
    <w:rsid w:val="FFDFFAEE"/>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next w:val="2"/>
    <w:qFormat/>
    <w:uiPriority w:val="0"/>
    <w:pPr>
      <w:spacing w:after="120"/>
      <w:ind w:leftChars="200"/>
    </w:pPr>
    <w:rPr>
      <w:rFonts w:ascii="仿宋_GB2312"/>
      <w:szCs w:val="32"/>
    </w:rPr>
  </w:style>
  <w:style w:type="paragraph" w:styleId="4">
    <w:name w:val="header"/>
    <w:basedOn w:val="1"/>
    <w:link w:val="2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2"/>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4"/>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5"/>
    <w:qFormat/>
    <w:uiPriority w:val="9"/>
    <w:rPr>
      <w:rFonts w:ascii="Times New Roman" w:hAnsi="Times New Roman"/>
      <w:b/>
      <w:bCs/>
      <w:kern w:val="44"/>
      <w:sz w:val="44"/>
      <w:szCs w:val="44"/>
    </w:rPr>
  </w:style>
  <w:style w:type="character" w:customStyle="1" w:styleId="29">
    <w:name w:val="标题 2 Char"/>
    <w:basedOn w:val="16"/>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7"/>
    <w:qFormat/>
    <w:uiPriority w:val="9"/>
    <w:rPr>
      <w:rFonts w:ascii="Times New Roman" w:hAnsi="Times New Roman"/>
      <w:b/>
      <w:bCs/>
      <w:kern w:val="2"/>
      <w:sz w:val="32"/>
      <w:szCs w:val="32"/>
    </w:rPr>
  </w:style>
  <w:style w:type="paragraph" w:customStyle="1" w:styleId="33">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5">
    <w:name w:val="NormalIndent"/>
    <w:qFormat/>
    <w:uiPriority w:val="0"/>
    <w:pPr>
      <w:widowControl w:val="0"/>
      <w:ind w:firstLine="420" w:firstLineChars="20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收入支出与上年对比情况分析</a:t>
            </a:r>
            <a:endParaRPr lang="zh-CN" altLang="en-US"/>
          </a:p>
        </c:rich>
      </c:tx>
      <c:layout/>
      <c:overlay val="0"/>
    </c:title>
    <c:autoTitleDeleted val="0"/>
    <c:plotArea>
      <c:layout>
        <c:manualLayout>
          <c:layoutTarget val="inner"/>
          <c:xMode val="edge"/>
          <c:yMode val="edge"/>
          <c:x val="0.0285714285714286"/>
          <c:y val="0.308474576271186"/>
          <c:w val="0.946275946275946"/>
          <c:h val="0.595435028248588"/>
        </c:manualLayout>
      </c:layout>
      <c:barChart>
        <c:barDir val="col"/>
        <c:grouping val="clustered"/>
        <c:varyColors val="0"/>
        <c:ser>
          <c:idx val="0"/>
          <c:order val="0"/>
          <c:tx>
            <c:strRef>
              <c:f>Sheet1!$B$1</c:f>
              <c:strCache>
                <c:ptCount val="1"/>
                <c:pt idx="0">
                  <c:v>2023年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Sheet1!$B$2:$B$3</c:f>
              <c:numCache>
                <c:formatCode>General</c:formatCode>
                <c:ptCount val="2"/>
                <c:pt idx="0">
                  <c:v>1416.86</c:v>
                </c:pt>
                <c:pt idx="1">
                  <c:v>1416.86</c:v>
                </c:pt>
              </c:numCache>
            </c:numRef>
          </c:val>
        </c:ser>
        <c:ser>
          <c:idx val="1"/>
          <c:order val="1"/>
          <c:tx>
            <c:strRef>
              <c:f>Sheet1!$C$1</c:f>
              <c:strCache>
                <c:ptCount val="1"/>
                <c:pt idx="0">
                  <c:v>2022年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Sheet1!$C$2:$C$3</c:f>
              <c:numCache>
                <c:formatCode>General</c:formatCode>
                <c:ptCount val="2"/>
                <c:pt idx="0">
                  <c:v>1430.33</c:v>
                </c:pt>
                <c:pt idx="1">
                  <c:v>1430.33</c:v>
                </c:pt>
              </c:numCache>
            </c:numRef>
          </c:val>
        </c:ser>
        <c:dLbls>
          <c:showLegendKey val="0"/>
          <c:showVal val="1"/>
          <c:showCatName val="0"/>
          <c:showSerName val="0"/>
          <c:showPercent val="0"/>
          <c:showBubbleSize val="0"/>
        </c:dLbls>
        <c:gapWidth val="150"/>
        <c:overlap val="-25"/>
        <c:axId val="294081280"/>
        <c:axId val="294082816"/>
      </c:barChart>
      <c:catAx>
        <c:axId val="294081280"/>
        <c:scaling>
          <c:orientation val="minMax"/>
        </c:scaling>
        <c:delete val="0"/>
        <c:axPos val="b"/>
        <c:majorTickMark val="none"/>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294082816"/>
        <c:crosses val="autoZero"/>
        <c:auto val="1"/>
        <c:lblAlgn val="ctr"/>
        <c:lblOffset val="100"/>
        <c:noMultiLvlLbl val="0"/>
      </c:catAx>
      <c:valAx>
        <c:axId val="294082816"/>
        <c:scaling>
          <c:orientation val="minMax"/>
        </c:scaling>
        <c:delete val="1"/>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94081280"/>
        <c:crosses val="autoZero"/>
        <c:crossBetween val="between"/>
      </c:valAx>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各项收入占总收入的比重</c:v>
                </c:pt>
              </c:strCache>
            </c:strRef>
          </c:tx>
          <c:explosion val="0"/>
          <c:dPt>
            <c:idx val="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c:f>
              <c:strCache>
                <c:ptCount val="1"/>
                <c:pt idx="0">
                  <c:v>一般公共预算财政拨款收入</c:v>
                </c:pt>
              </c:strCache>
            </c:strRef>
          </c:cat>
          <c:val>
            <c:numRef>
              <c:f>Sheet1!$B$2</c:f>
              <c:numCache>
                <c:formatCode>0%</c:formatCode>
                <c:ptCount val="1"/>
                <c:pt idx="0">
                  <c:v>1</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本年支出合计</c:v>
                </c:pt>
              </c:strCache>
            </c:strRef>
          </c:tx>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Lbl>
              <c:idx val="0"/>
              <c:layout>
                <c:manualLayout>
                  <c:x val="-0.0746250993434981"/>
                  <c:y val="-0.200549334366822"/>
                </c:manualLayout>
              </c:layout>
              <c:tx>
                <c:rich>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r>
                      <a:rPr lang="en-US" altLang="zh-CN"/>
                      <a:t>86.6%</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13.4%</a:t>
                    </a:r>
                    <a:endParaRPr lang="en-US" altLang="zh-CN"/>
                  </a:p>
                </c:rich>
              </c:tx>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0"/>
              <c:showCatName val="0"/>
              <c:showSerName val="0"/>
              <c:showPercent val="1"/>
              <c:showBubbleSize val="0"/>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0.866</c:v>
                </c:pt>
                <c:pt idx="1">
                  <c:v>0.134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noFill/>
    <a:ln w="9525" cap="flat" cmpd="sng" algn="ctr">
      <a:solidFill>
        <a:schemeClr val="dk1">
          <a:lumMod val="25000"/>
          <a:lumOff val="7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97865291145251"/>
          <c:y val="0.281292851551078"/>
          <c:w val="0.946275946275946"/>
          <c:h val="0.595435028248588"/>
        </c:manualLayout>
      </c:layout>
      <c:barChart>
        <c:barDir val="col"/>
        <c:grouping val="clustered"/>
        <c:varyColors val="0"/>
        <c:ser>
          <c:idx val="0"/>
          <c:order val="0"/>
          <c:tx>
            <c:strRef>
              <c:f>Sheet1!$B$1</c:f>
              <c:strCache>
                <c:ptCount val="1"/>
                <c:pt idx="0">
                  <c:v>2023年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Sheet1!$B$2:$B$3</c:f>
              <c:numCache>
                <c:formatCode>General</c:formatCode>
                <c:ptCount val="2"/>
                <c:pt idx="0">
                  <c:v>1416.86</c:v>
                </c:pt>
                <c:pt idx="1">
                  <c:v>1416.86</c:v>
                </c:pt>
              </c:numCache>
            </c:numRef>
          </c:val>
        </c:ser>
        <c:ser>
          <c:idx val="1"/>
          <c:order val="1"/>
          <c:tx>
            <c:strRef>
              <c:f>Sheet1!$C$1</c:f>
              <c:strCache>
                <c:ptCount val="1"/>
                <c:pt idx="0">
                  <c:v>2022年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Sheet1!$C$2:$C$3</c:f>
              <c:numCache>
                <c:formatCode>General</c:formatCode>
                <c:ptCount val="2"/>
                <c:pt idx="0">
                  <c:v>1430.33</c:v>
                </c:pt>
                <c:pt idx="1">
                  <c:v>1430.33</c:v>
                </c:pt>
              </c:numCache>
            </c:numRef>
          </c:val>
        </c:ser>
        <c:dLbls>
          <c:showLegendKey val="0"/>
          <c:showVal val="1"/>
          <c:showCatName val="0"/>
          <c:showSerName val="0"/>
          <c:showPercent val="0"/>
          <c:showBubbleSize val="0"/>
        </c:dLbls>
        <c:gapWidth val="150"/>
        <c:overlap val="-25"/>
        <c:axId val="294081280"/>
        <c:axId val="294082816"/>
      </c:barChart>
      <c:catAx>
        <c:axId val="294081280"/>
        <c:scaling>
          <c:orientation val="minMax"/>
        </c:scaling>
        <c:delete val="0"/>
        <c:axPos val="b"/>
        <c:majorTickMark val="none"/>
        <c:minorTickMark val="none"/>
        <c:tickLblPos val="nextTo"/>
        <c:txPr>
          <a:bodyPr rot="-6000000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crossAx val="294082816"/>
        <c:crosses val="autoZero"/>
        <c:auto val="1"/>
        <c:lblAlgn val="ctr"/>
        <c:lblOffset val="100"/>
        <c:noMultiLvlLbl val="0"/>
      </c:catAx>
      <c:valAx>
        <c:axId val="294082816"/>
        <c:scaling>
          <c:orientation val="minMax"/>
        </c:scaling>
        <c:delete val="1"/>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94081280"/>
        <c:crosses val="autoZero"/>
        <c:crossBetween val="between"/>
      </c:valAx>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812411680644041"/>
          <c:y val="0.125194083941088"/>
          <c:w val="0.905175"/>
          <c:h val="0.7605"/>
        </c:manualLayout>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类别 1</c:v>
                </c:pt>
              </c:strCache>
            </c:strRef>
          </c:cat>
          <c:val>
            <c:numRef>
              <c:f>Sheet1!$B$2</c:f>
              <c:numCache>
                <c:formatCode>General</c:formatCode>
                <c:ptCount val="1"/>
                <c:pt idx="0">
                  <c:v>1416.86</c:v>
                </c:pt>
              </c:numCache>
            </c:numRef>
          </c:val>
        </c:ser>
        <c:ser>
          <c:idx val="1"/>
          <c:order val="1"/>
          <c:tx>
            <c:strRef>
              <c:f>Sheet1!$C$1</c:f>
              <c:strCache>
                <c:ptCount val="1"/>
                <c:pt idx="0">
                  <c:v>2022年</c:v>
                </c:pt>
              </c:strCache>
            </c:strRef>
          </c:tx>
          <c:spPr>
            <a:solidFill>
              <a:schemeClr val="accent2"/>
            </a:solidFill>
            <a:ln>
              <a:noFill/>
            </a:ln>
            <a:effectLst/>
          </c:spPr>
          <c:invertIfNegative val="0"/>
          <c:dLbls>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类别 1</c:v>
                </c:pt>
              </c:strCache>
            </c:strRef>
          </c:cat>
          <c:val>
            <c:numRef>
              <c:f>Sheet1!$C$2</c:f>
              <c:numCache>
                <c:formatCode>General</c:formatCode>
                <c:ptCount val="1"/>
                <c:pt idx="0">
                  <c:v>1430.33</c:v>
                </c:pt>
              </c:numCache>
            </c:numRef>
          </c:val>
        </c:ser>
        <c:dLbls>
          <c:showLegendKey val="0"/>
          <c:showVal val="1"/>
          <c:showCatName val="0"/>
          <c:showSerName val="0"/>
          <c:showPercent val="0"/>
          <c:showBubbleSize val="0"/>
        </c:dLbls>
        <c:gapWidth val="219"/>
        <c:overlap val="-27"/>
        <c:axId val="294766848"/>
        <c:axId val="294768000"/>
      </c:barChart>
      <c:catAx>
        <c:axId val="294766848"/>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94768000"/>
        <c:crosses val="autoZero"/>
        <c:auto val="1"/>
        <c:lblAlgn val="ctr"/>
        <c:lblOffset val="100"/>
        <c:noMultiLvlLbl val="0"/>
      </c:catAx>
      <c:valAx>
        <c:axId val="2947680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4766848"/>
        <c:crosses val="autoZero"/>
        <c:crossBetween val="between"/>
      </c:valAx>
      <c:spPr>
        <a:noFill/>
        <a:ln>
          <a:noFill/>
        </a:ln>
        <a:effectLst/>
      </c:spPr>
    </c:plotArea>
    <c:legend>
      <c:legendPos val="b"/>
      <c:layout>
        <c:manualLayout>
          <c:xMode val="edge"/>
          <c:yMode val="edge"/>
          <c:x val="0.298078355429763"/>
          <c:y val="0.863199037883343"/>
          <c:w val="0.469238790406674"/>
          <c:h val="0.10072158749248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各项支出占总支出的比重</c:v>
                </c:pt>
              </c:strCache>
            </c:strRef>
          </c:tx>
          <c:explosion val="0"/>
          <c:dPt>
            <c:idx val="0"/>
            <c:bubble3D val="0"/>
          </c:dPt>
          <c:dPt>
            <c:idx val="1"/>
            <c:bubble3D val="0"/>
          </c:dPt>
          <c:dPt>
            <c:idx val="2"/>
            <c:bubble3D val="0"/>
          </c:dPt>
          <c:dPt>
            <c:idx val="3"/>
            <c:bubble3D val="0"/>
          </c:dPt>
          <c:dPt>
            <c:idx val="4"/>
            <c:bubble3D val="0"/>
          </c:dPt>
          <c:dLbls>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1</a:t>
                    </a:r>
                    <a:r>
                      <a:rPr lang="en-US" altLang="zh-CN"/>
                      <a:t>.5</a:t>
                    </a:r>
                    <a:r>
                      <a:t>%</a:t>
                    </a:r>
                  </a:p>
                </c:rich>
              </c:tx>
              <c:dLblPos val="bestFit"/>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1</a:t>
                    </a:r>
                    <a:r>
                      <a:rPr lang="en-US" altLang="zh-CN"/>
                      <a:t>8.5</a:t>
                    </a:r>
                    <a:r>
                      <a:t>%</a:t>
                    </a:r>
                  </a:p>
                </c:rich>
              </c:tx>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0.00236776563851235"/>
                  <c:y val="0.028646992019077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3.6</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6.4</a:t>
                    </a:r>
                    <a:r>
                      <a:t>%</a:t>
                    </a:r>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一般公共服务支出</c:v>
                </c:pt>
                <c:pt idx="1">
                  <c:v>教育支出</c:v>
                </c:pt>
                <c:pt idx="2">
                  <c:v>社会保障和就业支出</c:v>
                </c:pt>
                <c:pt idx="3">
                  <c:v>卫生健康支出</c:v>
                </c:pt>
                <c:pt idx="4">
                  <c:v>住房保障支出</c:v>
                </c:pt>
              </c:strCache>
            </c:strRef>
          </c:cat>
          <c:val>
            <c:numRef>
              <c:f>Sheet1!$B$2:$B$6</c:f>
              <c:numCache>
                <c:formatCode>General</c:formatCode>
                <c:ptCount val="5"/>
                <c:pt idx="0">
                  <c:v>70</c:v>
                </c:pt>
                <c:pt idx="1" c:formatCode="@">
                  <c:v>1.5</c:v>
                </c:pt>
                <c:pt idx="2" c:formatCode="0.00_ ">
                  <c:v>18.5</c:v>
                </c:pt>
                <c:pt idx="3">
                  <c:v>3.6</c:v>
                </c:pt>
                <c:pt idx="4">
                  <c:v>6.4</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
        <c:rich>
          <a:bodyPr/>
          <a:lstStyle/>
          <a:p>
            <a:pPr>
              <a:defRPr/>
            </a:pPr>
          </a:p>
        </c:rich>
      </c:tx>
    </c:title>
    <c:autoTitleDeleted val="0"/>
    <c:plotArea>
      <c:layout>
        <c:manualLayout>
          <c:layoutTarget val="inner"/>
          <c:xMode val="edge"/>
          <c:yMode val="edge"/>
          <c:x val="0.330874228559268"/>
          <c:y val="0.22318839011103"/>
          <c:w val="0.338251755692701"/>
          <c:h val="0.573439402548908"/>
        </c:manualLayout>
      </c:layout>
      <c:pieChart>
        <c:varyColors val="1"/>
        <c:ser>
          <c:idx val="0"/>
          <c:order val="0"/>
          <c:tx>
            <c:strRef>
              <c:f>Sheet1!$B$1</c:f>
              <c:strCache>
                <c:ptCount val="1"/>
                <c:pt idx="0">
                  <c:v>“三公”经费财政拨款支出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公务用车购置及运行维护费</c:v>
                </c:pt>
                <c:pt idx="1">
                  <c:v>公务接待费</c:v>
                </c:pt>
              </c:strCache>
            </c:strRef>
          </c:cat>
          <c:val>
            <c:numRef>
              <c:f>Sheet1!$B$2:$B$3</c:f>
              <c:numCache>
                <c:formatCode>0.00%</c:formatCode>
                <c:ptCount val="2"/>
                <c:pt idx="0">
                  <c:v>0.7215</c:v>
                </c:pt>
                <c:pt idx="1">
                  <c:v>0.2785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26</Pages>
  <Words>9159</Words>
  <Characters>11974</Characters>
  <Lines>61</Lines>
  <Paragraphs>17</Paragraphs>
  <TotalTime>16</TotalTime>
  <ScaleCrop>false</ScaleCrop>
  <LinksUpToDate>false</LinksUpToDate>
  <CharactersWithSpaces>12066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2020-08-08T09:49:00Z</dcterms:created>
  <dc:creator>曹颖</dc:creator>
  <cp:lastModifiedBy>???</cp:lastModifiedBy>
  <cp:lastPrinted>2024-08-05T01:44:00Z</cp:lastPrinted>
  <dcterms:modified xsi:type="dcterms:W3CDTF">2024-09-27T01:59:25Z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7EA4984E4A2E45F9871DBCC2BD6A3745_12</vt:lpwstr>
  </property>
</Properties>
</file>