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2024年四川省政府专项债券（</w:t>
      </w:r>
      <w:r>
        <w:rPr>
          <w:rFonts w:hint="eastAsia" w:eastAsia="方正小标宋简体" w:cs="Times New Roman"/>
          <w:sz w:val="44"/>
          <w:szCs w:val="44"/>
          <w:highlight w:val="none"/>
          <w:lang w:val="en-US" w:eastAsia="zh-CN"/>
        </w:rPr>
        <w:t>七至十二期</w:t>
      </w:r>
      <w:r>
        <w:rPr>
          <w:rFonts w:hint="default" w:ascii="Times New Roman" w:hAnsi="Times New Roman" w:eastAsia="方正小标宋简体" w:cs="Times New Roman"/>
          <w:sz w:val="44"/>
          <w:szCs w:val="4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信息披露文件</w:t>
      </w:r>
    </w:p>
    <w:p>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cs="Times New Roman"/>
          <w:szCs w:val="32"/>
          <w:highlight w:val="none"/>
        </w:rPr>
      </w:pPr>
    </w:p>
    <w:p>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一、债券概况</w:t>
      </w:r>
    </w:p>
    <w:p>
      <w:pPr>
        <w:pStyle w:val="2"/>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（一）基本情况</w:t>
      </w:r>
    </w:p>
    <w:p>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2024年四川省政府专项债券（</w:t>
      </w:r>
      <w:r>
        <w:rPr>
          <w:rFonts w:hint="eastAsia" w:ascii="Times New Roman" w:hAnsi="Times New Roman" w:eastAsia="仿宋_GB2312" w:cs="Times New Roman"/>
          <w:sz w:val="32"/>
          <w:szCs w:val="32"/>
          <w:highlight w:val="none"/>
          <w:lang w:val="en-US" w:eastAsia="zh-CN"/>
        </w:rPr>
        <w:t>七至十二期</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发行总额</w:t>
      </w:r>
      <w:r>
        <w:rPr>
          <w:rFonts w:hint="eastAsia" w:ascii="Times New Roman" w:hAnsi="Times New Roman" w:eastAsia="仿宋_GB2312" w:cs="Times New Roman"/>
          <w:sz w:val="32"/>
          <w:szCs w:val="32"/>
          <w:highlight w:val="none"/>
          <w:lang w:val="en-US" w:eastAsia="zh-CN"/>
        </w:rPr>
        <w:t>393.8859</w:t>
      </w:r>
      <w:r>
        <w:rPr>
          <w:rFonts w:hint="default" w:ascii="Times New Roman" w:hAnsi="Times New Roman" w:eastAsia="仿宋_GB2312" w:cs="Times New Roman"/>
          <w:sz w:val="32"/>
          <w:szCs w:val="32"/>
          <w:highlight w:val="none"/>
        </w:rPr>
        <w:t>亿元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全部为新增债券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期限为</w:t>
      </w:r>
      <w:r>
        <w:rPr>
          <w:rFonts w:hint="default" w:ascii="Times New Roman" w:hAnsi="Times New Roman" w:eastAsia="仿宋_GB2312" w:cs="Times New Roman"/>
          <w:sz w:val="32"/>
          <w:szCs w:val="32"/>
          <w:lang w:val="en-US" w:eastAsia="zh-CN"/>
        </w:rPr>
        <w:t>7年、</w:t>
      </w:r>
      <w:r>
        <w:rPr>
          <w:rFonts w:hint="default" w:ascii="Times New Roman" w:hAnsi="Times New Roman" w:eastAsia="仿宋_GB2312" w:cs="Times New Roman"/>
          <w:sz w:val="32"/>
          <w:szCs w:val="32"/>
        </w:rPr>
        <w:t>10年、15年、20年、30年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7年期</w:t>
      </w:r>
      <w:r>
        <w:rPr>
          <w:rFonts w:hint="default" w:ascii="Times New Roman" w:hAnsi="Times New Roman" w:eastAsia="仿宋_GB2312" w:cs="Times New Roman"/>
          <w:sz w:val="32"/>
          <w:szCs w:val="32"/>
        </w:rPr>
        <w:t>债券利息按年支付</w:t>
      </w:r>
      <w:r>
        <w:rPr>
          <w:rFonts w:hint="default" w:ascii="Times New Roman" w:hAnsi="Times New Roman" w:eastAsia="仿宋_GB2312" w:cs="Times New Roman"/>
          <w:sz w:val="32"/>
          <w:szCs w:val="32"/>
          <w:lang w:eastAsia="zh-CN"/>
        </w:rPr>
        <w:t>，其余债券利息按半年支付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四川省政府专项债券（</w:t>
      </w:r>
      <w:r>
        <w:rPr>
          <w:rFonts w:hint="eastAsia" w:ascii="Times New Roman" w:hAnsi="Times New Roman" w:eastAsia="仿宋_GB2312" w:cs="Times New Roman"/>
          <w:sz w:val="32"/>
          <w:szCs w:val="32"/>
          <w:lang w:val="en-US" w:eastAsia="zh-CN"/>
        </w:rPr>
        <w:t>十二</w:t>
      </w:r>
      <w:r>
        <w:rPr>
          <w:rFonts w:hint="default" w:ascii="Times New Roman" w:hAnsi="Times New Roman" w:eastAsia="仿宋_GB2312" w:cs="Times New Roman"/>
          <w:sz w:val="32"/>
          <w:szCs w:val="32"/>
        </w:rPr>
        <w:t>期）于20</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年至20</w:t>
      </w:r>
      <w:r>
        <w:rPr>
          <w:rFonts w:hint="default" w:ascii="Times New Roman" w:hAnsi="Times New Roman" w:eastAsia="仿宋_GB2312" w:cs="Times New Roman"/>
          <w:sz w:val="32"/>
          <w:szCs w:val="32"/>
          <w:lang w:val="en-US" w:eastAsia="zh-CN"/>
        </w:rPr>
        <w:t>54</w:t>
      </w:r>
      <w:r>
        <w:rPr>
          <w:rFonts w:hint="default" w:ascii="Times New Roman" w:hAnsi="Times New Roman" w:eastAsia="仿宋_GB2312" w:cs="Times New Roman"/>
          <w:sz w:val="32"/>
          <w:szCs w:val="32"/>
        </w:rPr>
        <w:t>年每年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偿还本金</w:t>
      </w:r>
      <w:r>
        <w:rPr>
          <w:rFonts w:hint="default" w:ascii="Times New Roman" w:hAnsi="Times New Roman" w:eastAsia="仿宋_GB2312" w:cs="Times New Roman"/>
          <w:sz w:val="32"/>
          <w:szCs w:val="32"/>
          <w:lang w:val="en-US" w:eastAsia="zh-CN"/>
        </w:rPr>
        <w:t>11452万</w:t>
      </w:r>
      <w:r>
        <w:rPr>
          <w:rFonts w:hint="default" w:ascii="Times New Roman" w:hAnsi="Times New Roman" w:eastAsia="仿宋_GB2312" w:cs="Times New Roman"/>
          <w:sz w:val="32"/>
          <w:szCs w:val="32"/>
          <w:lang w:eastAsia="zh-CN"/>
        </w:rPr>
        <w:t>元</w:t>
      </w:r>
      <w:r>
        <w:rPr>
          <w:rFonts w:hint="default" w:ascii="Times New Roman" w:hAnsi="Times New Roman" w:eastAsia="仿宋_GB2312" w:cs="Times New Roman"/>
          <w:sz w:val="32"/>
          <w:szCs w:val="32"/>
        </w:rPr>
        <w:t>(占发行总额的4%)，已兑付本金自本金兑付日起不另计利息，其余债券到期后一次性偿还本金并支付最后一次利息。</w:t>
      </w:r>
      <w:r>
        <w:rPr>
          <w:rFonts w:hint="default" w:ascii="Times New Roman" w:hAnsi="Times New Roman" w:eastAsia="仿宋_GB2312" w:cs="Times New Roman"/>
          <w:sz w:val="32"/>
          <w:szCs w:val="32"/>
          <w:highlight w:val="none"/>
          <w:lang w:eastAsia="zh-CN"/>
        </w:rPr>
        <w:t>各期</w:t>
      </w:r>
      <w:r>
        <w:rPr>
          <w:rFonts w:hint="default" w:ascii="Times New Roman" w:hAnsi="Times New Roman" w:eastAsia="仿宋_GB2312" w:cs="Times New Roman"/>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sz w:val="32"/>
          <w:szCs w:val="32"/>
          <w:highlight w:val="none"/>
          <w:lang w:eastAsia="zh-CN"/>
        </w:rPr>
        <w:t>2024年四川省政府专项债券（</w:t>
      </w:r>
      <w:r>
        <w:rPr>
          <w:rFonts w:hint="eastAsia" w:ascii="Times New Roman" w:hAnsi="Times New Roman" w:eastAsia="仿宋_GB2312" w:cs="Times New Roman"/>
          <w:sz w:val="32"/>
          <w:szCs w:val="32"/>
          <w:highlight w:val="none"/>
          <w:lang w:eastAsia="zh-CN"/>
        </w:rPr>
        <w:t>七至十二期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有关事项的通知》。</w:t>
      </w:r>
    </w:p>
    <w:p>
      <w:pPr>
        <w:pStyle w:val="2"/>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（二）发行方式</w:t>
      </w:r>
    </w:p>
    <w:p>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2024年四川省政府专项债券（</w:t>
      </w:r>
      <w:r>
        <w:rPr>
          <w:rFonts w:hint="eastAsia" w:ascii="Times New Roman" w:hAnsi="Times New Roman" w:eastAsia="仿宋_GB2312" w:cs="Times New Roman"/>
          <w:sz w:val="32"/>
          <w:szCs w:val="32"/>
          <w:highlight w:val="none"/>
          <w:lang w:eastAsia="zh-CN"/>
        </w:rPr>
        <w:t>七至十二期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通过招标方式发行。四川省财政厅于招标日通过财政部</w:t>
      </w:r>
      <w:r>
        <w:rPr>
          <w:rFonts w:hint="eastAsia" w:ascii="Times New Roman" w:hAnsi="Times New Roman" w:eastAsia="仿宋_GB2312" w:cs="Times New Roman"/>
          <w:sz w:val="32"/>
          <w:szCs w:val="32"/>
          <w:highlight w:val="none"/>
          <w:lang w:val="en-US" w:eastAsia="zh-CN"/>
        </w:rPr>
        <w:t>上海证券交易所</w:t>
      </w:r>
      <w:r>
        <w:rPr>
          <w:rFonts w:hint="default" w:ascii="Times New Roman" w:hAnsi="Times New Roman" w:eastAsia="仿宋_GB2312" w:cs="Times New Roman"/>
          <w:sz w:val="32"/>
          <w:szCs w:val="32"/>
          <w:highlight w:val="none"/>
        </w:rPr>
        <w:t>政府债券发行系统组织招投标工作，参与机构为</w:t>
      </w:r>
      <w:r>
        <w:rPr>
          <w:rFonts w:hint="default" w:ascii="Times New Roman" w:hAnsi="Times New Roman"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sz w:val="32"/>
          <w:szCs w:val="32"/>
          <w:highlight w:val="none"/>
          <w:lang w:eastAsia="zh-CN"/>
        </w:rPr>
        <w:t>2024年四川省政府专项债券（</w:t>
      </w:r>
      <w:r>
        <w:rPr>
          <w:rFonts w:hint="eastAsia" w:ascii="Times New Roman" w:hAnsi="Times New Roman" w:eastAsia="仿宋_GB2312" w:cs="Times New Roman"/>
          <w:sz w:val="32"/>
          <w:szCs w:val="32"/>
          <w:highlight w:val="none"/>
          <w:lang w:eastAsia="zh-CN"/>
        </w:rPr>
        <w:t>七至十二期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有关事项的通知》等。</w:t>
      </w:r>
    </w:p>
    <w:p>
      <w:pPr>
        <w:pStyle w:val="2"/>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（三）募集资金投向说明</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按照财政部要求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专项债券纳入政府性基金预算管理</w:t>
      </w:r>
      <w:r>
        <w:rPr>
          <w:rFonts w:hint="default" w:ascii="Times New Roman" w:hAnsi="Times New Roman" w:eastAsia="仿宋_GB2312" w:cs="Times New Roman"/>
          <w:sz w:val="32"/>
          <w:szCs w:val="32"/>
          <w:lang w:val="en-US" w:eastAsia="zh-CN"/>
        </w:rPr>
        <w:t>。本批新增</w:t>
      </w:r>
      <w:r>
        <w:rPr>
          <w:rFonts w:hint="default" w:ascii="Times New Roman" w:hAnsi="Times New Roman" w:eastAsia="仿宋_GB2312" w:cs="Times New Roman"/>
          <w:sz w:val="32"/>
          <w:szCs w:val="32"/>
        </w:rPr>
        <w:t>专项债券各期债券项目情况详见附件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二、信用评级情况</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w:t>
      </w:r>
      <w:r>
        <w:rPr>
          <w:rFonts w:hint="default" w:ascii="Times New Roman" w:hAnsi="Times New Roman" w:eastAsia="仿宋_GB2312" w:cs="Times New Roman"/>
          <w:sz w:val="32"/>
          <w:szCs w:val="32"/>
          <w:highlight w:val="none"/>
          <w:lang w:eastAsia="zh-CN"/>
        </w:rPr>
        <w:t>联合</w:t>
      </w:r>
      <w:r>
        <w:rPr>
          <w:rFonts w:hint="default" w:ascii="Times New Roman" w:hAnsi="Times New Roman" w:eastAsia="仿宋_GB2312" w:cs="Times New Roman"/>
          <w:sz w:val="32"/>
          <w:szCs w:val="32"/>
          <w:highlight w:val="none"/>
        </w:rPr>
        <w:t>资信评估</w:t>
      </w:r>
      <w:r>
        <w:rPr>
          <w:rFonts w:hint="default" w:ascii="Times New Roman" w:hAnsi="Times New Roman" w:eastAsia="仿宋_GB2312" w:cs="Times New Roman"/>
          <w:sz w:val="32"/>
          <w:szCs w:val="32"/>
          <w:highlight w:val="none"/>
          <w:lang w:eastAsia="zh-CN"/>
        </w:rPr>
        <w:t>股份</w:t>
      </w:r>
      <w:r>
        <w:rPr>
          <w:rFonts w:hint="default" w:ascii="Times New Roman" w:hAnsi="Times New Roman" w:eastAsia="仿宋_GB2312" w:cs="Times New Roman"/>
          <w:sz w:val="32"/>
          <w:szCs w:val="32"/>
          <w:highlight w:val="none"/>
        </w:rPr>
        <w:t>有限公司综合评定，</w:t>
      </w:r>
      <w:r>
        <w:rPr>
          <w:rFonts w:hint="default" w:ascii="Times New Roman" w:hAnsi="Times New Roman" w:eastAsia="仿宋_GB2312" w:cs="Times New Roman"/>
          <w:sz w:val="32"/>
          <w:szCs w:val="32"/>
          <w:highlight w:val="none"/>
          <w:lang w:eastAsia="zh-CN"/>
        </w:rPr>
        <w:t>2024年四川省政府专项债券（</w:t>
      </w:r>
      <w:r>
        <w:rPr>
          <w:rFonts w:hint="eastAsia" w:ascii="Times New Roman" w:hAnsi="Times New Roman" w:eastAsia="仿宋_GB2312" w:cs="Times New Roman"/>
          <w:sz w:val="32"/>
          <w:szCs w:val="32"/>
          <w:highlight w:val="none"/>
          <w:lang w:eastAsia="zh-CN"/>
        </w:rPr>
        <w:t>七至十二期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债券信用级别均为AAA。在</w:t>
      </w:r>
      <w:r>
        <w:rPr>
          <w:rFonts w:hint="default" w:ascii="Times New Roman" w:hAnsi="Times New Roman" w:eastAsia="仿宋_GB2312" w:cs="Times New Roman"/>
          <w:sz w:val="32"/>
          <w:szCs w:val="32"/>
          <w:highlight w:val="none"/>
          <w:lang w:eastAsia="zh-CN"/>
        </w:rPr>
        <w:t>2024年四川省政府专项债券（</w:t>
      </w:r>
      <w:r>
        <w:rPr>
          <w:rFonts w:hint="eastAsia" w:ascii="Times New Roman" w:hAnsi="Times New Roman" w:eastAsia="仿宋_GB2312" w:cs="Times New Roman"/>
          <w:sz w:val="32"/>
          <w:szCs w:val="32"/>
          <w:highlight w:val="none"/>
          <w:lang w:eastAsia="zh-CN"/>
        </w:rPr>
        <w:t>七至十二期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存续期内，四川省财政厅将委托</w:t>
      </w:r>
      <w:r>
        <w:rPr>
          <w:rFonts w:hint="default" w:ascii="Times New Roman" w:hAnsi="Times New Roman" w:eastAsia="仿宋_GB2312" w:cs="Times New Roman"/>
          <w:sz w:val="32"/>
          <w:szCs w:val="32"/>
          <w:highlight w:val="none"/>
          <w:lang w:eastAsia="zh-CN"/>
        </w:rPr>
        <w:t>联合</w:t>
      </w:r>
      <w:r>
        <w:rPr>
          <w:rFonts w:hint="default" w:ascii="Times New Roman" w:hAnsi="Times New Roman" w:eastAsia="仿宋_GB2312" w:cs="Times New Roman"/>
          <w:sz w:val="32"/>
          <w:szCs w:val="32"/>
          <w:highlight w:val="none"/>
        </w:rPr>
        <w:t>资信评估</w:t>
      </w:r>
      <w:r>
        <w:rPr>
          <w:rFonts w:hint="default" w:ascii="Times New Roman" w:hAnsi="Times New Roman" w:eastAsia="仿宋_GB2312" w:cs="Times New Roman"/>
          <w:sz w:val="32"/>
          <w:szCs w:val="32"/>
          <w:highlight w:val="none"/>
          <w:lang w:eastAsia="zh-CN"/>
        </w:rPr>
        <w:t>股份</w:t>
      </w:r>
      <w:r>
        <w:rPr>
          <w:rFonts w:hint="default" w:ascii="Times New Roman" w:hAnsi="Times New Roman" w:eastAsia="仿宋_GB2312" w:cs="Times New Roman"/>
          <w:sz w:val="32"/>
          <w:szCs w:val="32"/>
          <w:highlight w:val="none"/>
        </w:rPr>
        <w:t>有限公司每年开展一次跟踪评级。</w:t>
      </w:r>
    </w:p>
    <w:p>
      <w:pPr>
        <w:keepNext w:val="0"/>
        <w:keepLines w:val="0"/>
        <w:pageBreakBefore w:val="0"/>
        <w:widowControl w:val="0"/>
        <w:kinsoku/>
        <w:wordWrap/>
        <w:overflowPunct/>
        <w:topLinePunct w:val="0"/>
        <w:autoSpaceDE/>
        <w:autoSpaceDN/>
        <w:bidi w:val="0"/>
        <w:adjustRightInd/>
        <w:snapToGrid/>
        <w:spacing w:line="580" w:lineRule="exact"/>
        <w:ind w:firstLine="771" w:firstLineChars="241"/>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三、全省中长期经济规划情况</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《四川省国民经济和社会发展第十四个五年规划和二</w:t>
      </w:r>
      <w:r>
        <w:rPr>
          <w:rFonts w:hint="default" w:ascii="Times New Roman" w:hAnsi="Times New Roman" w:cs="Times New Roman"/>
          <w:color w:val="000000" w:themeColor="text1"/>
          <w:sz w:val="32"/>
          <w:szCs w:val="32"/>
          <w:highlight w:val="none"/>
          <w14:textFill>
            <w14:solidFill>
              <w14:schemeClr w14:val="tx1"/>
            </w14:solidFill>
          </w14:textFill>
        </w:rPr>
        <w:t>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sz w:val="32"/>
          <w:szCs w:val="32"/>
          <w:highlight w:val="none"/>
        </w:rPr>
        <w:t>“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义民主法治更加健全，更高水平的法治四川平安四川建设扎实推进，城乡基层治理制度创新和能力建设取得新成效，防范化解重大风险体</w:t>
      </w:r>
      <w:r>
        <w:rPr>
          <w:rFonts w:hint="default" w:ascii="Times New Roman" w:hAnsi="Times New Roman" w:eastAsia="仿宋_GB2312" w:cs="Times New Roman"/>
          <w:sz w:val="32"/>
          <w:szCs w:val="32"/>
          <w:highlight w:val="none"/>
          <w:lang w:val="en-US" w:eastAsia="zh-CN"/>
        </w:rPr>
        <w:tab/>
      </w:r>
      <w:r>
        <w:rPr>
          <w:rFonts w:hint="default" w:ascii="Times New Roman" w:hAnsi="Times New Roman" w:eastAsia="仿宋_GB2312" w:cs="Times New Roman"/>
          <w:sz w:val="32"/>
          <w:szCs w:val="32"/>
          <w:highlight w:val="none"/>
        </w:rPr>
        <w:t>制机制不断健全。</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sz w:val="32"/>
          <w:szCs w:val="32"/>
          <w:highlight w:val="none"/>
        </w:rPr>
        <w:t>二〇三五年远景目标：经济实力大幅跃升，人均地区生产总值在二〇二〇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《四川省国民经济和社会发展第十四个五年规划和二</w:t>
      </w:r>
      <w:r>
        <w:rPr>
          <w:rFonts w:hint="default" w:ascii="Times New Roman" w:hAnsi="Times New Roman" w:cs="Times New Roman"/>
          <w:color w:val="000000" w:themeColor="text1"/>
          <w:sz w:val="32"/>
          <w:szCs w:val="32"/>
          <w:highlight w:val="none"/>
          <w14:textFill>
            <w14:solidFill>
              <w14:schemeClr w14:val="tx1"/>
            </w14:solidFill>
          </w14:textFill>
        </w:rPr>
        <w:t>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三五年远景目标纲要》具体内容参见四川省发展和改革委员会网站。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8"/>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21</w:t>
            </w:r>
            <w:r>
              <w:rPr>
                <w:rFonts w:hint="default" w:ascii="Times New Roman" w:hAnsi="Times New Roman" w:eastAsia="仿宋_GB2312" w:cs="Times New Roman"/>
                <w:b/>
                <w:bCs/>
                <w:kern w:val="2"/>
                <w:sz w:val="24"/>
                <w:szCs w:val="21"/>
                <w:highlight w:val="none"/>
                <w:lang w:val="en-US" w:eastAsia="zh-CN" w:bidi="ar-SA"/>
              </w:rPr>
              <w:t>－202</w:t>
            </w:r>
            <w:r>
              <w:rPr>
                <w:rFonts w:hint="default" w:ascii="Times New Roman" w:hAnsi="Times New Roman" w:cs="Times New Roman"/>
                <w:b/>
                <w:bCs/>
                <w:kern w:val="2"/>
                <w:sz w:val="24"/>
                <w:szCs w:val="21"/>
                <w:highlight w:val="none"/>
                <w:lang w:val="en-US" w:eastAsia="zh-CN" w:bidi="ar-SA"/>
              </w:rPr>
              <w:t>3</w:t>
            </w:r>
            <w:r>
              <w:rPr>
                <w:rFonts w:hint="default" w:ascii="Times New Roman" w:hAnsi="Times New Roman" w:cs="Times New Roman"/>
                <w:b/>
                <w:kern w:val="0"/>
                <w:sz w:val="24"/>
                <w:highlight w:val="none"/>
              </w:rPr>
              <w:t>年经济基本状况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qUYeHWAAAABwEAAA8AAAAAAAAAAQAgAAAAOAAAAGRycy9kb3ducmV2&#10;LnhtbFBLAQIUABQAAAAIAIdO4kBMT29s6AEAAKMDAAAOAAAAAAAAAAEAIAAAADs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rPr>
              <w:t>202</w:t>
            </w:r>
            <w:r>
              <w:rPr>
                <w:rFonts w:hint="default" w:ascii="Times New Roman" w:hAnsi="Times New Roman" w:cs="Times New Roman"/>
                <w:kern w:val="0"/>
                <w:sz w:val="24"/>
                <w:highlight w:val="none"/>
                <w:lang w:val="en-US" w:eastAsia="zh-CN"/>
              </w:rPr>
              <w:t>1</w:t>
            </w:r>
            <w:r>
              <w:rPr>
                <w:rFonts w:hint="default" w:ascii="Times New Roman" w:hAnsi="Times New Roman" w:cs="Times New Roman"/>
                <w:kern w:val="0"/>
                <w:sz w:val="24"/>
                <w:highlight w:val="none"/>
              </w:rPr>
              <w:t>年</w:t>
            </w:r>
          </w:p>
        </w:tc>
        <w:tc>
          <w:tcPr>
            <w:tcW w:w="1722"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53850.8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5661.9</w:t>
            </w:r>
          </w:p>
          <w:p>
            <w:pPr>
              <w:spacing w:line="400" w:lineRule="exact"/>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6056.64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19901.4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21306.70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28287.6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32769.54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pPr>
              <w:spacing w:line="400" w:lineRule="exact"/>
              <w:ind w:left="640"/>
              <w:jc w:val="right"/>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 w:eastAsia="zh-CN"/>
              </w:rPr>
              <w:t>10.5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37.0</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52.5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1473.2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1511.7</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884.1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931.5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858.</w:t>
            </w:r>
            <w:r>
              <w:rPr>
                <w:rFonts w:hint="default" w:ascii="Times New Roman" w:hAnsi="Times New Roman" w:cs="Times New Roman"/>
                <w:sz w:val="24"/>
                <w:highlight w:val="none"/>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589.1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580.3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503.</w:t>
            </w:r>
            <w:r>
              <w:rPr>
                <w:rFonts w:hint="default" w:ascii="Times New Roman" w:hAnsi="Times New Roman" w:cs="Times New Roman"/>
                <w:sz w:val="24"/>
                <w:highlight w:val="none"/>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24133.2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26313.4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41444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45227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17575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105.9</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107.5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100077.3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111661.3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122980.74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80340.4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92239.2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105790.59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VycJdcAAAAIAQAADwAAAAAAAAABACAAAAA4AAAAZHJzL2Rvd25y&#10;ZXYueG1sUEsBAhQAFAAAAAgAh07iQFuMgjLpAQAAowMAAA4AAAAAAAAAAQAgAAAAPA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2</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130" w:type="dxa"/>
            <w:gridSpan w:val="4"/>
            <w:shd w:val="clear" w:color="auto" w:fill="auto"/>
            <w:noWrap/>
            <w:vAlign w:val="center"/>
          </w:tcPr>
          <w:p>
            <w:pPr>
              <w:widowControl/>
              <w:spacing w:line="400" w:lineRule="exact"/>
              <w:ind w:firstLine="480"/>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886.6</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4880.5</w:t>
            </w:r>
          </w:p>
        </w:tc>
        <w:tc>
          <w:tcPr>
            <w:tcW w:w="1031" w:type="dxa"/>
            <w:shd w:val="clear" w:color="auto" w:fill="auto"/>
            <w:noWrap/>
            <w:vAlign w:val="center"/>
          </w:tcPr>
          <w:p>
            <w:pPr>
              <w:widowControl/>
              <w:jc w:val="center"/>
              <w:rPr>
                <w:rFonts w:hint="default" w:ascii="Times New Roman" w:hAnsi="Times New Roman"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993.30</w:t>
            </w:r>
          </w:p>
        </w:tc>
        <w:tc>
          <w:tcPr>
            <w:tcW w:w="1182" w:type="dxa"/>
            <w:gridSpan w:val="2"/>
            <w:shd w:val="clear" w:color="auto" w:fill="auto"/>
            <w:vAlign w:val="center"/>
          </w:tcPr>
          <w:p>
            <w:pPr>
              <w:widowControl/>
              <w:jc w:val="center"/>
              <w:rPr>
                <w:rFonts w:hint="default" w:ascii="Times New Roman" w:hAnsi="Times New Roman"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5529.1</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1013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5778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2257.4</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11914.7</w:t>
            </w:r>
          </w:p>
        </w:tc>
        <w:tc>
          <w:tcPr>
            <w:tcW w:w="1031" w:type="dxa"/>
            <w:shd w:val="clear" w:color="auto" w:fill="auto"/>
            <w:noWrap/>
            <w:vAlign w:val="center"/>
          </w:tcPr>
          <w:p>
            <w:pPr>
              <w:widowControl/>
              <w:jc w:val="center"/>
              <w:rPr>
                <w:rFonts w:hint="default" w:ascii="Times New Roman" w:hAnsi="Times New Roman"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2071.06</w:t>
            </w:r>
          </w:p>
        </w:tc>
        <w:tc>
          <w:tcPr>
            <w:tcW w:w="1182" w:type="dxa"/>
            <w:gridSpan w:val="2"/>
            <w:shd w:val="clear" w:color="auto" w:fill="auto"/>
            <w:vAlign w:val="center"/>
          </w:tcPr>
          <w:p>
            <w:pPr>
              <w:widowControl/>
              <w:jc w:val="center"/>
              <w:rPr>
                <w:rFonts w:hint="default" w:ascii="Times New Roman" w:hAnsi="Times New Roman"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12731.7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2262.8</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13531.5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7321.7</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8633.6</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7644.8</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9269</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6643.5</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7640.2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6835.5</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865.6</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7327.1</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982.5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6111</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rPr>
              <w:t>1184.1</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1184.1</w:t>
            </w:r>
          </w:p>
        </w:tc>
        <w:tc>
          <w:tcPr>
            <w:tcW w:w="1031" w:type="dxa"/>
            <w:shd w:val="clear" w:color="auto" w:fill="auto"/>
            <w:noWrap/>
            <w:vAlign w:val="center"/>
          </w:tcPr>
          <w:p>
            <w:pPr>
              <w:spacing w:line="24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 w:eastAsia="zh-CN"/>
              </w:rPr>
              <w:t>1417.2</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1417.2</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83.7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4780.5</w:t>
            </w:r>
          </w:p>
        </w:tc>
        <w:tc>
          <w:tcPr>
            <w:tcW w:w="1087"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129.1</w:t>
            </w:r>
          </w:p>
        </w:tc>
        <w:tc>
          <w:tcPr>
            <w:tcW w:w="1126" w:type="dxa"/>
            <w:shd w:val="clear" w:color="auto" w:fill="auto"/>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4515.6</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114.3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36.7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6595.8</w:t>
            </w:r>
          </w:p>
        </w:tc>
        <w:tc>
          <w:tcPr>
            <w:tcW w:w="1087"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yellow"/>
                <w:lang w:val="en" w:eastAsia="zh-CN"/>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 w:eastAsia="zh-CN"/>
              </w:rPr>
              <w:t>1</w:t>
            </w:r>
          </w:p>
        </w:tc>
        <w:tc>
          <w:tcPr>
            <w:tcW w:w="1126" w:type="dxa"/>
            <w:shd w:val="clear" w:color="auto" w:fill="auto"/>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6209.7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67.3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5907.8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2688.9</w:t>
            </w:r>
          </w:p>
        </w:tc>
        <w:tc>
          <w:tcPr>
            <w:tcW w:w="1113" w:type="dxa"/>
            <w:gridSpan w:val="3"/>
            <w:shd w:val="clear" w:color="auto" w:fill="auto"/>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2688.9</w:t>
            </w:r>
          </w:p>
        </w:tc>
        <w:tc>
          <w:tcPr>
            <w:tcW w:w="1087"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 w:eastAsia="zh-CN"/>
              </w:rPr>
              <w:t>3051.3</w:t>
            </w:r>
          </w:p>
        </w:tc>
        <w:tc>
          <w:tcPr>
            <w:tcW w:w="1126" w:type="dxa"/>
            <w:shd w:val="clear" w:color="auto" w:fill="auto"/>
            <w:vAlign w:val="center"/>
          </w:tcPr>
          <w:p>
            <w:pPr>
              <w:spacing w:line="24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 w:eastAsia="zh-CN"/>
              </w:rPr>
              <w:t>3051.3</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31.7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142.7</w:t>
            </w:r>
          </w:p>
        </w:tc>
        <w:tc>
          <w:tcPr>
            <w:tcW w:w="1087"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30.6</w:t>
            </w:r>
          </w:p>
        </w:tc>
        <w:tc>
          <w:tcPr>
            <w:tcW w:w="1126" w:type="dxa"/>
            <w:shd w:val="clear" w:color="auto" w:fill="auto"/>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163.8</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25</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15.2</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81.5</w:t>
            </w:r>
          </w:p>
        </w:tc>
        <w:tc>
          <w:tcPr>
            <w:tcW w:w="1087" w:type="dxa"/>
            <w:gridSpan w:val="2"/>
            <w:shd w:val="clear" w:color="auto" w:fill="auto"/>
            <w:noWrap/>
            <w:vAlign w:val="center"/>
          </w:tcPr>
          <w:p>
            <w:pPr>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sz w:val="24"/>
                <w:highlight w:val="none"/>
                <w:lang w:val="en-US" w:eastAsia="zh-CN"/>
              </w:rPr>
              <w:t>23.0</w:t>
            </w:r>
          </w:p>
        </w:tc>
        <w:tc>
          <w:tcPr>
            <w:tcW w:w="1126" w:type="dxa"/>
            <w:shd w:val="clear" w:color="auto" w:fill="auto"/>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83.4</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16.9</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67.4</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848.5</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179.4</w:t>
            </w:r>
          </w:p>
        </w:tc>
        <w:tc>
          <w:tcPr>
            <w:tcW w:w="1126"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983.0</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82.8</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0</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560.7</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26"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925.2</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eastAsia="zh-CN"/>
              </w:rPr>
              <w:t>20269.7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 w:eastAsia="zh-CN"/>
              </w:rPr>
              <w:t>20936.7</w:t>
            </w:r>
          </w:p>
        </w:tc>
      </w:tr>
    </w:tbl>
    <w:p>
      <w:pPr>
        <w:pStyle w:val="2"/>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pPr>
        <w:pStyle w:val="2"/>
        <w:snapToGrid w:val="0"/>
        <w:spacing w:line="300" w:lineRule="exact"/>
        <w:ind w:firstLine="420" w:firstLineChars="200"/>
        <w:rPr>
          <w:rFonts w:hint="default" w:ascii="Times New Roman" w:hAnsi="Times New Roman" w:eastAsia="仿宋_GB2312" w:cs="Times New Roman"/>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2023年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default"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2024年为预算数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五、四川省地方政府债务管理情况</w:t>
      </w:r>
    </w:p>
    <w:p>
      <w:pPr>
        <w:pStyle w:val="2"/>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（一）四川省地方政府债务基本情况。</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rPr>
        <w:t>全省</w:t>
      </w:r>
      <w:r>
        <w:rPr>
          <w:rFonts w:hint="default" w:ascii="Times New Roman" w:hAnsi="Times New Roman" w:eastAsia="仿宋_GB2312" w:cs="Times New Roman"/>
          <w:sz w:val="32"/>
          <w:szCs w:val="32"/>
          <w:highlight w:val="none"/>
        </w:rPr>
        <w:t>债务余额为</w:t>
      </w:r>
      <w:r>
        <w:rPr>
          <w:rFonts w:hint="default" w:ascii="Times New Roman" w:hAnsi="Times New Roman" w:eastAsia="仿宋_GB2312" w:cs="Times New Roman"/>
          <w:sz w:val="32"/>
          <w:szCs w:val="32"/>
          <w:highlight w:val="none"/>
          <w:lang w:val="en-US" w:eastAsia="zh-CN"/>
        </w:rPr>
        <w:t>20269.7</w:t>
      </w:r>
      <w:r>
        <w:rPr>
          <w:rFonts w:hint="default" w:ascii="Times New Roman" w:hAnsi="Times New Roman" w:eastAsia="仿宋_GB2312" w:cs="Times New Roman"/>
          <w:sz w:val="32"/>
          <w:szCs w:val="32"/>
          <w:highlight w:val="none"/>
        </w:rPr>
        <w:t>亿元，控制在国务院</w:t>
      </w:r>
      <w:r>
        <w:rPr>
          <w:rFonts w:hint="default" w:ascii="Times New Roman" w:hAnsi="Times New Roman" w:eastAsia="仿宋_GB2312" w:cs="Times New Roman"/>
          <w:sz w:val="32"/>
          <w:szCs w:val="32"/>
          <w:highlight w:val="none"/>
          <w:lang w:val="en-US" w:eastAsia="zh-CN"/>
        </w:rPr>
        <w:t>批准</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val="en" w:eastAsia="zh-CN"/>
        </w:rPr>
        <w:t>20936.7</w:t>
      </w:r>
      <w:r>
        <w:rPr>
          <w:rFonts w:hint="default" w:ascii="Times New Roman" w:hAnsi="Times New Roman" w:eastAsia="仿宋_GB2312" w:cs="Times New Roman"/>
          <w:sz w:val="32"/>
          <w:szCs w:val="32"/>
          <w:highlight w:val="none"/>
          <w:lang w:val="en-US" w:eastAsia="zh-CN"/>
        </w:rPr>
        <w:t>亿</w:t>
      </w:r>
      <w:r>
        <w:rPr>
          <w:rFonts w:hint="default" w:ascii="Times New Roman" w:hAnsi="Times New Roman" w:eastAsia="仿宋_GB2312" w:cs="Times New Roman"/>
          <w:sz w:val="32"/>
          <w:szCs w:val="32"/>
          <w:highlight w:val="none"/>
        </w:rPr>
        <w:t>元限额内，债务风险总体可控。</w:t>
      </w:r>
      <w:r>
        <w:rPr>
          <w:rFonts w:hint="default" w:ascii="Times New Roman" w:hAnsi="Times New Roman" w:eastAsia="仿宋_GB2312" w:cs="Times New Roman"/>
          <w:sz w:val="32"/>
          <w:szCs w:val="32"/>
          <w:highlight w:val="none"/>
          <w:lang w:val="en-US" w:eastAsia="zh-CN"/>
        </w:rPr>
        <w:t>分类型看：全省一般债务限额</w:t>
      </w:r>
      <w:r>
        <w:rPr>
          <w:rFonts w:hint="default" w:ascii="Times New Roman" w:hAnsi="Times New Roman" w:eastAsia="仿宋_GB2312" w:cs="Times New Roman"/>
          <w:sz w:val="32"/>
          <w:szCs w:val="32"/>
          <w:highlight w:val="none"/>
          <w:lang w:val="en" w:eastAsia="zh-CN"/>
        </w:rPr>
        <w:t>7905.4</w:t>
      </w:r>
      <w:r>
        <w:rPr>
          <w:rFonts w:hint="default" w:ascii="Times New Roman" w:hAnsi="Times New Roman" w:eastAsia="仿宋_GB2312" w:cs="Times New Roman"/>
          <w:sz w:val="32"/>
          <w:szCs w:val="32"/>
          <w:highlight w:val="none"/>
          <w:lang w:val="en-US" w:eastAsia="zh-CN"/>
        </w:rPr>
        <w:t>亿元，余额7615.6亿元；专项债务限额</w:t>
      </w:r>
      <w:r>
        <w:rPr>
          <w:rFonts w:hint="default" w:ascii="Times New Roman" w:hAnsi="Times New Roman" w:eastAsia="仿宋_GB2312" w:cs="Times New Roman"/>
          <w:sz w:val="32"/>
          <w:szCs w:val="32"/>
          <w:highlight w:val="none"/>
          <w:lang w:val="en" w:eastAsia="zh-CN"/>
        </w:rPr>
        <w:t>13031.3</w:t>
      </w:r>
      <w:r>
        <w:rPr>
          <w:rFonts w:hint="default" w:ascii="Times New Roman" w:hAnsi="Times New Roman" w:eastAsia="仿宋_GB2312" w:cs="Times New Roman"/>
          <w:sz w:val="32"/>
          <w:szCs w:val="32"/>
          <w:highlight w:val="none"/>
          <w:lang w:val="en-US" w:eastAsia="zh-CN"/>
        </w:rPr>
        <w:t>亿元，余额12654.1亿元。分级次看：省级债务限额</w:t>
      </w:r>
      <w:r>
        <w:rPr>
          <w:rFonts w:hint="default" w:ascii="Times New Roman" w:hAnsi="Times New Roman" w:eastAsia="仿宋_GB2312" w:cs="Times New Roman"/>
          <w:sz w:val="32"/>
          <w:szCs w:val="32"/>
          <w:highlight w:val="none"/>
          <w:lang w:val="en" w:eastAsia="zh-CN"/>
        </w:rPr>
        <w:t>1516.7</w:t>
      </w:r>
      <w:r>
        <w:rPr>
          <w:rFonts w:hint="default" w:ascii="Times New Roman" w:hAnsi="Times New Roman" w:eastAsia="仿宋_GB2312" w:cs="Times New Roman"/>
          <w:sz w:val="32"/>
          <w:szCs w:val="32"/>
          <w:highlight w:val="none"/>
          <w:lang w:val="en-US" w:eastAsia="zh-CN"/>
        </w:rPr>
        <w:t>亿元，余额1329.2亿元；市级债务限额</w:t>
      </w:r>
      <w:r>
        <w:rPr>
          <w:rFonts w:hint="default" w:ascii="Times New Roman" w:hAnsi="Times New Roman" w:eastAsia="仿宋_GB2312" w:cs="Times New Roman"/>
          <w:sz w:val="32"/>
          <w:szCs w:val="32"/>
          <w:highlight w:val="none"/>
          <w:lang w:val="en" w:eastAsia="zh-CN"/>
        </w:rPr>
        <w:t>6183.5</w:t>
      </w:r>
      <w:r>
        <w:rPr>
          <w:rFonts w:hint="default" w:ascii="Times New Roman" w:hAnsi="Times New Roman" w:eastAsia="仿宋_GB2312" w:cs="Times New Roman"/>
          <w:sz w:val="32"/>
          <w:szCs w:val="32"/>
          <w:highlight w:val="none"/>
          <w:lang w:val="en-US" w:eastAsia="zh-CN"/>
        </w:rPr>
        <w:t>亿元，余额</w:t>
      </w:r>
      <w:r>
        <w:rPr>
          <w:rFonts w:hint="default" w:ascii="Times New Roman" w:hAnsi="Times New Roman" w:eastAsia="仿宋_GB2312" w:cs="Times New Roman"/>
          <w:sz w:val="32"/>
          <w:szCs w:val="32"/>
          <w:highlight w:val="none"/>
          <w:lang w:val="en" w:eastAsia="zh-CN"/>
        </w:rPr>
        <w:t>5988.4</w:t>
      </w:r>
      <w:r>
        <w:rPr>
          <w:rFonts w:hint="default" w:ascii="Times New Roman" w:hAnsi="Times New Roman" w:eastAsia="仿宋_GB2312" w:cs="Times New Roman"/>
          <w:sz w:val="32"/>
          <w:szCs w:val="32"/>
          <w:highlight w:val="none"/>
          <w:lang w:val="en-US" w:eastAsia="zh-CN"/>
        </w:rPr>
        <w:t>亿元</w:t>
      </w:r>
      <w:r>
        <w:rPr>
          <w:rFonts w:hint="default" w:ascii="Times New Roman" w:hAnsi="Times New Roman" w:eastAsia="仿宋_GB2312" w:cs="Times New Roman"/>
          <w:sz w:val="32"/>
          <w:szCs w:val="32"/>
          <w:highlight w:val="none"/>
          <w:lang w:val="en" w:eastAsia="zh-CN"/>
        </w:rPr>
        <w:t>;县</w:t>
      </w:r>
      <w:r>
        <w:rPr>
          <w:rFonts w:hint="default" w:ascii="Times New Roman" w:hAnsi="Times New Roman" w:eastAsia="仿宋_GB2312" w:cs="Times New Roman"/>
          <w:sz w:val="32"/>
          <w:szCs w:val="32"/>
          <w:highlight w:val="none"/>
          <w:lang w:val="en-US" w:eastAsia="zh-CN"/>
        </w:rPr>
        <w:t>级债务限额13236.5亿元，余额12952.1亿元。</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2023年，全省新增政府债券主要聚焦成渝经济双城经济圈建设、新型工业化、乡村振兴等领域，有力支持了西渝高铁、川藏铁路引入段、亭子口</w:t>
      </w:r>
      <w:r>
        <w:rPr>
          <w:rFonts w:hint="eastAsia" w:ascii="Times New Roman" w:hAnsi="Times New Roman" w:eastAsia="仿宋_GB2312" w:cs="Times New Roman"/>
          <w:sz w:val="32"/>
          <w:szCs w:val="32"/>
          <w:highlight w:val="none"/>
          <w:lang w:val="en-US" w:eastAsia="zh-CN"/>
        </w:rPr>
        <w:t>灌</w:t>
      </w:r>
      <w:r>
        <w:rPr>
          <w:rFonts w:hint="default" w:ascii="Times New Roman" w:hAnsi="Times New Roman" w:eastAsia="仿宋_GB2312" w:cs="Times New Roman"/>
          <w:sz w:val="32"/>
          <w:szCs w:val="32"/>
          <w:highlight w:val="none"/>
          <w:lang w:val="en-US" w:eastAsia="zh-CN"/>
        </w:rPr>
        <w:t>区、三星堆遗址保护等重大项目建设</w:t>
      </w:r>
      <w:r>
        <w:rPr>
          <w:rFonts w:hint="default" w:ascii="Times New Roman" w:hAnsi="Times New Roman" w:eastAsia="仿宋_GB2312" w:cs="Times New Roman"/>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（二）四川省加强债务管理、防范化解政府债务风险采取的主要措施。</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四川省委、省政府高度重视政府债务管理工作，积极采取有效措施完善相关制度机制，切实防范和化解地方政府债务风险。</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val="en-US" w:eastAsia="zh-CN"/>
        </w:rPr>
        <w:t>1.</w:t>
      </w:r>
      <w:r>
        <w:rPr>
          <w:rFonts w:hint="default" w:ascii="Times New Roman" w:hAnsi="Times New Roman" w:eastAsia="楷体_GB2312" w:cs="Times New Roman"/>
          <w:sz w:val="32"/>
          <w:szCs w:val="32"/>
          <w:highlight w:val="none"/>
        </w:rPr>
        <w:t>加强统筹部署，完善政府债务管理。</w:t>
      </w:r>
    </w:p>
    <w:p>
      <w:pPr>
        <w:pStyle w:val="2"/>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lang w:eastAsia="zh-CN"/>
        </w:rPr>
        <w:t>完善管理制度机制</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sz w:val="32"/>
          <w:szCs w:val="32"/>
          <w:highlight w:val="none"/>
        </w:rPr>
        <w:t>印发《四川省地方政府专项债券全生命周期管理办法》，进一步明确专项债券</w:t>
      </w:r>
      <w:r>
        <w:rPr>
          <w:rFonts w:hint="default" w:ascii="Times New Roman" w:hAnsi="Times New Roman" w:eastAsia="仿宋_GB2312" w:cs="Times New Roman"/>
          <w:sz w:val="32"/>
          <w:szCs w:val="32"/>
          <w:highlight w:val="none"/>
          <w:lang w:eastAsia="zh-CN"/>
        </w:rPr>
        <w:t>“借、用、管、还”管理要求及程序</w:t>
      </w:r>
      <w:r>
        <w:rPr>
          <w:rFonts w:hint="default" w:ascii="Times New Roman" w:hAnsi="Times New Roman" w:eastAsia="仿宋_GB2312" w:cs="Times New Roman"/>
          <w:sz w:val="32"/>
          <w:szCs w:val="32"/>
          <w:highlight w:val="none"/>
        </w:rPr>
        <w:t>，为地方做好</w:t>
      </w:r>
      <w:r>
        <w:rPr>
          <w:rFonts w:hint="default" w:ascii="Times New Roman" w:hAnsi="Times New Roman" w:eastAsia="仿宋_GB2312" w:cs="Times New Roman"/>
          <w:sz w:val="32"/>
          <w:szCs w:val="32"/>
          <w:highlight w:val="none"/>
          <w:lang w:eastAsia="zh-CN"/>
        </w:rPr>
        <w:t>专项债券</w:t>
      </w:r>
      <w:r>
        <w:rPr>
          <w:rFonts w:hint="default" w:ascii="Times New Roman" w:hAnsi="Times New Roman" w:eastAsia="仿宋_GB2312" w:cs="Times New Roman"/>
          <w:sz w:val="32"/>
          <w:szCs w:val="32"/>
          <w:highlight w:val="none"/>
        </w:rPr>
        <w:t>全生命周期管理提供政策指导。创新建立专项债券资金监管账户管理制度，通过“</w:t>
      </w:r>
      <w:r>
        <w:rPr>
          <w:rFonts w:hint="default" w:ascii="Times New Roman" w:hAnsi="Times New Roman" w:eastAsia="仿宋_GB2312" w:cs="Times New Roman"/>
          <w:sz w:val="32"/>
          <w:szCs w:val="32"/>
          <w:highlight w:val="none"/>
          <w:lang w:eastAsia="zh-CN"/>
        </w:rPr>
        <w:t>国库集中支付</w:t>
      </w:r>
      <w:r>
        <w:rPr>
          <w:rFonts w:hint="default" w:ascii="Times New Roman" w:hAnsi="Times New Roman" w:eastAsia="仿宋_GB2312" w:cs="Times New Roman"/>
          <w:sz w:val="32"/>
          <w:szCs w:val="32"/>
          <w:highlight w:val="none"/>
          <w:lang w:val="en-US" w:eastAsia="zh-CN"/>
        </w:rPr>
        <w:t>+企业监管</w:t>
      </w:r>
      <w:r>
        <w:rPr>
          <w:rFonts w:hint="default" w:ascii="Times New Roman" w:hAnsi="Times New Roman" w:eastAsia="仿宋_GB2312" w:cs="Times New Roman"/>
          <w:sz w:val="32"/>
          <w:szCs w:val="32"/>
          <w:highlight w:val="none"/>
        </w:rPr>
        <w:t>账户+管理系统”</w:t>
      </w:r>
      <w:r>
        <w:rPr>
          <w:rFonts w:hint="default" w:ascii="Times New Roman" w:hAnsi="Times New Roman" w:eastAsia="仿宋_GB2312" w:cs="Times New Roman"/>
          <w:sz w:val="32"/>
          <w:szCs w:val="32"/>
          <w:highlight w:val="none"/>
          <w:lang w:val="en-US" w:eastAsia="zh-CN"/>
        </w:rPr>
        <w:t>方式</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对资金支付</w:t>
      </w:r>
      <w:r>
        <w:rPr>
          <w:rFonts w:hint="default" w:ascii="Times New Roman" w:hAnsi="Times New Roman" w:eastAsia="仿宋_GB2312" w:cs="Times New Roman"/>
          <w:sz w:val="32"/>
          <w:szCs w:val="32"/>
          <w:highlight w:val="none"/>
        </w:rPr>
        <w:t>实现“一竿子插到底”穿透监管，最大限度消除监管盲区</w:t>
      </w:r>
      <w:r>
        <w:rPr>
          <w:rFonts w:hint="default" w:ascii="Times New Roman" w:hAnsi="Times New Roman" w:eastAsia="仿宋_GB2312" w:cs="Times New Roman"/>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（2）严格债务预算管理。</w:t>
      </w:r>
      <w:r>
        <w:rPr>
          <w:rFonts w:hint="default" w:ascii="Times New Roman" w:hAnsi="Times New Roman" w:eastAsia="仿宋_GB2312" w:cs="Times New Roman"/>
          <w:sz w:val="32"/>
          <w:szCs w:val="32"/>
          <w:highlight w:val="none"/>
          <w:lang w:val="en-US" w:eastAsia="zh-CN"/>
        </w:rPr>
        <w:t>将债务收入、支出、还本、付息、发行全面纳入预算管理。督促省级部门和市县部门通过安排年度预算资金、盘活存量资金等偿还政府债务，发行适当规模再融资债券偿还到期债券本金。</w:t>
      </w:r>
    </w:p>
    <w:p>
      <w:pPr>
        <w:pStyle w:val="2"/>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（3）推进债务管理绩效考核。</w:t>
      </w:r>
      <w:r>
        <w:rPr>
          <w:rFonts w:hint="default" w:ascii="Times New Roman" w:hAnsi="Times New Roman" w:eastAsia="仿宋_GB2312" w:cs="Times New Roman"/>
          <w:b w:val="0"/>
          <w:bCs w:val="0"/>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sz w:val="32"/>
          <w:szCs w:val="32"/>
          <w:highlight w:val="none"/>
        </w:rPr>
        <w:t>引导地方政府树立“举债必问效，无效必问责”的资</w:t>
      </w:r>
      <w:r>
        <w:rPr>
          <w:rFonts w:hint="default" w:ascii="Times New Roman" w:hAnsi="Times New Roman" w:eastAsia="仿宋_GB2312" w:cs="Times New Roman"/>
          <w:b w:val="0"/>
          <w:bCs w:val="0"/>
          <w:sz w:val="32"/>
          <w:szCs w:val="32"/>
          <w:highlight w:val="none"/>
          <w:lang w:val="en-US" w:eastAsia="zh-CN"/>
        </w:rPr>
        <w:t>金管理理念，促进债券资金安全高效使用。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方正楷体简体" w:cs="Times New Roman"/>
          <w:kern w:val="2"/>
          <w:sz w:val="32"/>
          <w:szCs w:val="32"/>
          <w:highlight w:val="none"/>
          <w:lang w:val="en-US" w:eastAsia="zh-CN" w:bidi="ar-SA"/>
        </w:rPr>
        <w:t>2</w:t>
      </w:r>
      <w:r>
        <w:rPr>
          <w:rFonts w:hint="default" w:ascii="Times New Roman" w:hAnsi="Times New Roman" w:eastAsia="楷体_GB2312" w:cs="Times New Roman"/>
          <w:kern w:val="2"/>
          <w:sz w:val="32"/>
          <w:szCs w:val="32"/>
          <w:highlight w:val="none"/>
          <w:lang w:val="en-US" w:eastAsia="zh-CN" w:bidi="ar-SA"/>
        </w:rPr>
        <w:t>.聚焦重点领域，加力促投资稳增长。</w:t>
      </w:r>
    </w:p>
    <w:p>
      <w:pPr>
        <w:pStyle w:val="2"/>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（1）积极落实中央和省委安排部署。</w:t>
      </w:r>
      <w:r>
        <w:rPr>
          <w:rFonts w:hint="default" w:ascii="Times New Roman" w:hAnsi="Times New Roman" w:eastAsia="仿宋_GB2312" w:cs="Times New Roman"/>
          <w:sz w:val="32"/>
          <w:szCs w:val="32"/>
          <w:highlight w:val="none"/>
          <w:lang w:val="en-US" w:eastAsia="zh-CN"/>
        </w:rPr>
        <w:t>坚持“资金跟着项目走”原则，聚焦成渝地区双城经济圈建设、乡村振兴等中央和省重大战略项目，优先支持省委省政府明确的铁路、三星堆等重点领域项目，积极向中央汇报，争取新增限额支持，增强对重大战略决策的支撑力度，充分发挥债券资金逆周期调节、“补短板、惠民生、促消费、扩内需”的积极作用。</w:t>
      </w:r>
    </w:p>
    <w:p>
      <w:pPr>
        <w:pStyle w:val="2"/>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（2）精心优选债券发行项目。</w:t>
      </w:r>
      <w:r>
        <w:rPr>
          <w:rFonts w:hint="default" w:ascii="Times New Roman" w:hAnsi="Times New Roman" w:eastAsia="仿宋_GB2312" w:cs="Times New Roman"/>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pPr>
        <w:pStyle w:val="2"/>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（3）加快债券使用进度。</w:t>
      </w:r>
      <w:r>
        <w:rPr>
          <w:rFonts w:hint="default" w:ascii="Times New Roman" w:hAnsi="Times New Roman" w:eastAsia="仿宋_GB2312" w:cs="Times New Roman"/>
          <w:sz w:val="32"/>
          <w:szCs w:val="32"/>
          <w:highlight w:val="none"/>
          <w:lang w:val="en-US" w:eastAsia="zh-CN"/>
        </w:rPr>
        <w:t>提前做好资金拨付方案，新增债券资金</w:t>
      </w:r>
      <w:bookmarkStart w:id="0" w:name="_GoBack"/>
      <w:bookmarkEnd w:id="0"/>
      <w:r>
        <w:rPr>
          <w:rFonts w:hint="eastAsia" w:ascii="Times New Roman" w:hAnsi="Times New Roman" w:eastAsia="仿宋_GB2312" w:cs="Times New Roman"/>
          <w:sz w:val="32"/>
          <w:szCs w:val="32"/>
          <w:highlight w:val="none"/>
          <w:lang w:val="en-US" w:eastAsia="zh-CN"/>
        </w:rPr>
        <w:t>及时</w:t>
      </w:r>
      <w:r>
        <w:rPr>
          <w:rFonts w:hint="default" w:ascii="Times New Roman" w:hAnsi="Times New Roman" w:eastAsia="仿宋_GB2312" w:cs="Times New Roman"/>
          <w:sz w:val="32"/>
          <w:szCs w:val="32"/>
          <w:highlight w:val="none"/>
          <w:lang w:val="en-US" w:eastAsia="zh-CN"/>
        </w:rPr>
        <w:t>拨付至市县；建立“日监测、周调度、月通报”机制，督促市县加快债券资金拨付使用进度，新增专项债券使用进度进一步加快。</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3.强化风险防控，牢牢守住防范风险底线。</w:t>
      </w:r>
    </w:p>
    <w:p>
      <w:pPr>
        <w:pStyle w:val="2"/>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（1）严格债务限额管理。</w:t>
      </w:r>
      <w:r>
        <w:rPr>
          <w:rFonts w:hint="default" w:ascii="Times New Roman" w:hAnsi="Times New Roman" w:eastAsia="仿宋_GB2312" w:cs="Times New Roman"/>
          <w:b w:val="0"/>
          <w:bCs w:val="0"/>
          <w:sz w:val="32"/>
          <w:szCs w:val="32"/>
          <w:highlight w:val="none"/>
        </w:rPr>
        <w:t>根据</w:t>
      </w:r>
      <w:r>
        <w:rPr>
          <w:rFonts w:hint="default" w:ascii="Times New Roman" w:hAnsi="Times New Roman" w:eastAsia="仿宋_GB2312" w:cs="Times New Roman"/>
          <w:b w:val="0"/>
          <w:bCs w:val="0"/>
          <w:sz w:val="32"/>
          <w:szCs w:val="32"/>
          <w:highlight w:val="none"/>
          <w:lang w:eastAsia="zh-CN"/>
        </w:rPr>
        <w:t>债务</w:t>
      </w:r>
      <w:r>
        <w:rPr>
          <w:rFonts w:hint="default" w:ascii="Times New Roman" w:hAnsi="Times New Roman" w:eastAsia="仿宋_GB2312" w:cs="Times New Roman"/>
          <w:b w:val="0"/>
          <w:bCs w:val="0"/>
          <w:sz w:val="32"/>
          <w:szCs w:val="32"/>
          <w:highlight w:val="none"/>
        </w:rPr>
        <w:t>风险等因素科学分配市县新增</w:t>
      </w:r>
      <w:r>
        <w:rPr>
          <w:rFonts w:hint="default" w:ascii="Times New Roman" w:hAnsi="Times New Roman" w:eastAsia="仿宋_GB2312" w:cs="Times New Roman"/>
          <w:b w:val="0"/>
          <w:bCs w:val="0"/>
          <w:sz w:val="32"/>
          <w:szCs w:val="32"/>
          <w:highlight w:val="none"/>
          <w:lang w:eastAsia="zh-CN"/>
        </w:rPr>
        <w:t>债务</w:t>
      </w:r>
      <w:r>
        <w:rPr>
          <w:rFonts w:hint="default" w:ascii="Times New Roman" w:hAnsi="Times New Roman" w:eastAsia="仿宋_GB2312" w:cs="Times New Roman"/>
          <w:b w:val="0"/>
          <w:bCs w:val="0"/>
          <w:sz w:val="32"/>
          <w:szCs w:val="32"/>
          <w:highlight w:val="none"/>
        </w:rPr>
        <w:t>限额，对</w:t>
      </w:r>
      <w:r>
        <w:rPr>
          <w:rFonts w:hint="default" w:ascii="Times New Roman" w:hAnsi="Times New Roman" w:eastAsia="仿宋_GB2312" w:cs="Times New Roman"/>
          <w:b w:val="0"/>
          <w:bCs w:val="0"/>
          <w:sz w:val="32"/>
          <w:szCs w:val="32"/>
          <w:highlight w:val="none"/>
          <w:lang w:eastAsia="zh-CN"/>
        </w:rPr>
        <w:t>债务</w:t>
      </w:r>
      <w:r>
        <w:rPr>
          <w:rFonts w:hint="default" w:ascii="Times New Roman" w:hAnsi="Times New Roman" w:eastAsia="仿宋_GB2312" w:cs="Times New Roman"/>
          <w:b w:val="0"/>
          <w:bCs w:val="0"/>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sz w:val="32"/>
          <w:szCs w:val="32"/>
          <w:highlight w:val="none"/>
          <w:lang w:eastAsia="zh-CN"/>
        </w:rPr>
        <w:t>债务</w:t>
      </w:r>
      <w:r>
        <w:rPr>
          <w:rFonts w:hint="default" w:ascii="Times New Roman" w:hAnsi="Times New Roman" w:eastAsia="仿宋_GB2312" w:cs="Times New Roman"/>
          <w:b w:val="0"/>
          <w:bCs w:val="0"/>
          <w:sz w:val="32"/>
          <w:szCs w:val="32"/>
          <w:highlight w:val="none"/>
        </w:rPr>
        <w:t>风险水平。</w:t>
      </w:r>
      <w:r>
        <w:rPr>
          <w:rFonts w:hint="default" w:ascii="Times New Roman" w:hAnsi="Times New Roman" w:eastAsia="仿宋_GB2312" w:cs="Times New Roman"/>
          <w:b w:val="0"/>
          <w:bCs w:val="0"/>
          <w:sz w:val="32"/>
          <w:szCs w:val="32"/>
          <w:highlight w:val="none"/>
          <w:lang w:val="en-US" w:eastAsia="zh-CN"/>
        </w:rPr>
        <w:t>2023年</w:t>
      </w:r>
      <w:r>
        <w:rPr>
          <w:rFonts w:hint="default" w:ascii="Times New Roman" w:hAnsi="Times New Roman" w:eastAsia="仿宋_GB2312" w:cs="Times New Roman"/>
          <w:b w:val="0"/>
          <w:bCs w:val="0"/>
          <w:sz w:val="32"/>
          <w:szCs w:val="32"/>
          <w:highlight w:val="none"/>
        </w:rPr>
        <w:t>全省政府</w:t>
      </w:r>
      <w:r>
        <w:rPr>
          <w:rFonts w:hint="default" w:ascii="Times New Roman" w:hAnsi="Times New Roman" w:eastAsia="仿宋_GB2312" w:cs="Times New Roman"/>
          <w:b w:val="0"/>
          <w:bCs w:val="0"/>
          <w:sz w:val="32"/>
          <w:szCs w:val="32"/>
          <w:highlight w:val="none"/>
          <w:lang w:eastAsia="zh-CN"/>
        </w:rPr>
        <w:t>债务</w:t>
      </w:r>
      <w:r>
        <w:rPr>
          <w:rFonts w:hint="default" w:ascii="Times New Roman" w:hAnsi="Times New Roman" w:eastAsia="仿宋_GB2312" w:cs="Times New Roman"/>
          <w:b w:val="0"/>
          <w:bCs w:val="0"/>
          <w:sz w:val="32"/>
          <w:szCs w:val="32"/>
          <w:highlight w:val="none"/>
        </w:rPr>
        <w:t>余额严格控制在财政部核定我省</w:t>
      </w:r>
      <w:r>
        <w:rPr>
          <w:rFonts w:hint="default" w:ascii="Times New Roman" w:hAnsi="Times New Roman" w:eastAsia="仿宋_GB2312" w:cs="Times New Roman"/>
          <w:b w:val="0"/>
          <w:bCs w:val="0"/>
          <w:sz w:val="32"/>
          <w:szCs w:val="32"/>
          <w:highlight w:val="none"/>
          <w:lang w:eastAsia="zh-CN"/>
        </w:rPr>
        <w:t>债务</w:t>
      </w:r>
      <w:r>
        <w:rPr>
          <w:rFonts w:hint="default" w:ascii="Times New Roman" w:hAnsi="Times New Roman" w:eastAsia="仿宋_GB2312" w:cs="Times New Roman"/>
          <w:b w:val="0"/>
          <w:bCs w:val="0"/>
          <w:sz w:val="32"/>
          <w:szCs w:val="32"/>
          <w:highlight w:val="none"/>
        </w:rPr>
        <w:t>限额以内，</w:t>
      </w:r>
      <w:r>
        <w:rPr>
          <w:rFonts w:hint="default" w:ascii="Times New Roman" w:hAnsi="Times New Roman" w:eastAsia="仿宋_GB2312" w:cs="Times New Roman"/>
          <w:b w:val="0"/>
          <w:bCs w:val="0"/>
          <w:sz w:val="32"/>
          <w:szCs w:val="32"/>
          <w:highlight w:val="none"/>
          <w:lang w:eastAsia="zh-CN"/>
        </w:rPr>
        <w:t>债务</w:t>
      </w:r>
      <w:r>
        <w:rPr>
          <w:rFonts w:hint="default" w:ascii="Times New Roman" w:hAnsi="Times New Roman" w:eastAsia="仿宋_GB2312" w:cs="Times New Roman"/>
          <w:b w:val="0"/>
          <w:bCs w:val="0"/>
          <w:sz w:val="32"/>
          <w:szCs w:val="32"/>
          <w:highlight w:val="none"/>
        </w:rPr>
        <w:t>风险总体可控</w:t>
      </w:r>
      <w:r>
        <w:rPr>
          <w:rFonts w:hint="default" w:ascii="Times New Roman" w:hAnsi="Times New Roman" w:eastAsia="仿宋_GB2312" w:cs="Times New Roman"/>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（2）全面完成到期政府债务偿还。</w:t>
      </w:r>
      <w:r>
        <w:rPr>
          <w:rFonts w:hint="default" w:ascii="Times New Roman" w:hAnsi="Times New Roman" w:eastAsia="仿宋_GB2312" w:cs="Times New Roman"/>
          <w:sz w:val="32"/>
          <w:szCs w:val="32"/>
          <w:highlight w:val="none"/>
          <w:lang w:val="en-US" w:eastAsia="zh-CN"/>
        </w:rPr>
        <w:t>依法落实法定债券偿还责任，按照“谁使用、谁偿还”的原则，严格落实偿债资金来源，提高自有资金偿债比例，切实维护了省政府信誉。</w:t>
      </w:r>
    </w:p>
    <w:p>
      <w:pPr>
        <w:pStyle w:val="2"/>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（3）强化债务风险监测预警。</w:t>
      </w:r>
      <w:r>
        <w:rPr>
          <w:rFonts w:hint="default" w:ascii="Times New Roman" w:hAnsi="Times New Roman" w:eastAsia="仿宋_GB2312" w:cs="Times New Roman"/>
          <w:b w:val="0"/>
          <w:bCs w:val="0"/>
          <w:sz w:val="32"/>
          <w:szCs w:val="32"/>
          <w:highlight w:val="none"/>
        </w:rPr>
        <w:t>定期开展</w:t>
      </w:r>
      <w:r>
        <w:rPr>
          <w:rFonts w:hint="default" w:ascii="Times New Roman" w:hAnsi="Times New Roman" w:eastAsia="仿宋_GB2312" w:cs="Times New Roman"/>
          <w:b w:val="0"/>
          <w:bCs w:val="0"/>
          <w:sz w:val="32"/>
          <w:szCs w:val="32"/>
          <w:highlight w:val="none"/>
          <w:lang w:eastAsia="zh-CN"/>
        </w:rPr>
        <w:t>债务</w:t>
      </w:r>
      <w:r>
        <w:rPr>
          <w:rFonts w:hint="default" w:ascii="Times New Roman" w:hAnsi="Times New Roman" w:eastAsia="仿宋_GB2312" w:cs="Times New Roman"/>
          <w:b w:val="0"/>
          <w:bCs w:val="0"/>
          <w:sz w:val="32"/>
          <w:szCs w:val="32"/>
          <w:highlight w:val="none"/>
        </w:rPr>
        <w:t>风险评估，及时通报评估结果</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用好发函提示、落实跟踪整改和约谈督促“两书一函”制度，</w:t>
      </w:r>
      <w:r>
        <w:rPr>
          <w:rFonts w:hint="default" w:ascii="Times New Roman" w:hAnsi="Times New Roman" w:eastAsia="仿宋_GB2312" w:cs="Times New Roman"/>
          <w:b w:val="0"/>
          <w:bCs w:val="0"/>
          <w:sz w:val="32"/>
          <w:szCs w:val="32"/>
          <w:highlight w:val="none"/>
          <w:lang w:eastAsia="zh-CN"/>
        </w:rPr>
        <w:t>强化预警提示</w:t>
      </w:r>
      <w:r>
        <w:rPr>
          <w:rFonts w:hint="default" w:ascii="Times New Roman" w:hAnsi="Times New Roman" w:eastAsia="仿宋_GB2312" w:cs="Times New Roman"/>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lang w:val="en-US" w:eastAsia="zh-CN"/>
        </w:rPr>
        <w:t>（4）严格违规举债追责问责。</w:t>
      </w:r>
      <w:r>
        <w:rPr>
          <w:rFonts w:hint="default" w:ascii="Times New Roman" w:hAnsi="Times New Roman" w:eastAsia="仿宋_GB2312" w:cs="Times New Roman"/>
          <w:b w:val="0"/>
          <w:bCs w:val="0"/>
          <w:sz w:val="32"/>
          <w:szCs w:val="32"/>
          <w:highlight w:val="none"/>
          <w:lang w:eastAsia="zh-CN"/>
        </w:rPr>
        <w:t>严格落实政府举债终身问责制和债务问题倒查机制，实施隐性债务问责闭环管理</w:t>
      </w:r>
      <w:r>
        <w:rPr>
          <w:rFonts w:hint="default" w:ascii="Times New Roman" w:hAnsi="Times New Roman" w:eastAsia="仿宋_GB2312" w:cs="Times New Roman"/>
          <w:b w:val="0"/>
          <w:bCs w:val="0"/>
          <w:sz w:val="32"/>
          <w:szCs w:val="32"/>
          <w:highlight w:val="none"/>
        </w:rPr>
        <w:t>，积极配合省纪委监委对相关责任主体进行追责问责。</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rPr>
      </w:pPr>
    </w:p>
    <w:p>
      <w:pPr>
        <w:keepNext w:val="0"/>
        <w:keepLines w:val="0"/>
        <w:pageBreakBefore w:val="0"/>
        <w:kinsoku/>
        <w:wordWrap/>
        <w:overflowPunct/>
        <w:topLinePunct w:val="0"/>
        <w:autoSpaceDE/>
        <w:autoSpaceDN/>
        <w:bidi w:val="0"/>
        <w:adjustRightInd/>
        <w:snapToGrid/>
        <w:spacing w:line="530" w:lineRule="exact"/>
        <w:ind w:left="2076" w:leftChars="212" w:hanging="1440" w:hangingChars="450"/>
        <w:jc w:val="left"/>
        <w:textAlignment w:val="auto"/>
        <w:rPr>
          <w:rFonts w:hint="default" w:ascii="Times New Roman" w:hAnsi="Times New Roman" w:cs="Times New Roman"/>
          <w:kern w:val="0"/>
          <w:sz w:val="32"/>
          <w:szCs w:val="32"/>
          <w:lang w:val="zh-CN"/>
        </w:rPr>
      </w:pPr>
      <w:r>
        <w:rPr>
          <w:rFonts w:hint="default" w:ascii="Times New Roman" w:hAnsi="Times New Roman" w:cs="Times New Roman"/>
          <w:kern w:val="0"/>
          <w:sz w:val="32"/>
          <w:szCs w:val="32"/>
          <w:lang w:val="zh-CN"/>
        </w:rPr>
        <w:t>附件：1.</w:t>
      </w:r>
      <w:r>
        <w:rPr>
          <w:rFonts w:hint="default" w:ascii="Times New Roman" w:hAnsi="Times New Roman" w:eastAsia="仿宋_GB2312" w:cs="Times New Roman"/>
          <w:sz w:val="32"/>
          <w:szCs w:val="24"/>
        </w:rPr>
        <w:t>202</w:t>
      </w:r>
      <w:r>
        <w:rPr>
          <w:rFonts w:hint="default" w:ascii="Times New Roman" w:hAnsi="Times New Roman" w:cs="Times New Roman"/>
          <w:sz w:val="32"/>
          <w:szCs w:val="24"/>
          <w:lang w:val="en-US" w:eastAsia="zh-CN"/>
        </w:rPr>
        <w:t>4</w:t>
      </w:r>
      <w:r>
        <w:rPr>
          <w:rFonts w:hint="default" w:ascii="Times New Roman" w:hAnsi="Times New Roman" w:eastAsia="仿宋_GB2312" w:cs="Times New Roman"/>
          <w:sz w:val="32"/>
          <w:szCs w:val="24"/>
        </w:rPr>
        <w:t>年四川省政府专项债券</w:t>
      </w:r>
      <w:r>
        <w:rPr>
          <w:rFonts w:hint="default" w:ascii="Times New Roman" w:hAnsi="Times New Roman" w:eastAsia="仿宋_GB2312" w:cs="Times New Roman"/>
          <w:sz w:val="32"/>
          <w:szCs w:val="32"/>
          <w:lang w:eastAsia="zh-CN"/>
        </w:rPr>
        <w:t>（</w:t>
      </w:r>
      <w:r>
        <w:rPr>
          <w:rFonts w:hint="eastAsia" w:cs="Times New Roman"/>
          <w:sz w:val="32"/>
          <w:szCs w:val="32"/>
          <w:lang w:eastAsia="zh-CN"/>
        </w:rPr>
        <w:t>七至十二期</w:t>
      </w:r>
      <w:r>
        <w:rPr>
          <w:rFonts w:hint="default" w:ascii="Times New Roman" w:hAnsi="Times New Roman" w:eastAsia="仿宋_GB2312" w:cs="Times New Roman"/>
          <w:sz w:val="32"/>
          <w:szCs w:val="32"/>
          <w:lang w:eastAsia="zh-CN"/>
        </w:rPr>
        <w:t>）</w:t>
      </w:r>
      <w:r>
        <w:rPr>
          <w:rFonts w:hint="default" w:ascii="Times New Roman" w:hAnsi="Times New Roman" w:cs="Times New Roman"/>
          <w:kern w:val="0"/>
          <w:sz w:val="32"/>
          <w:szCs w:val="32"/>
          <w:lang w:val="zh-CN"/>
        </w:rPr>
        <w:t>各期债券项目情况</w:t>
      </w:r>
    </w:p>
    <w:p>
      <w:pPr>
        <w:keepNext w:val="0"/>
        <w:keepLines w:val="0"/>
        <w:pageBreakBefore w:val="0"/>
        <w:kinsoku/>
        <w:wordWrap/>
        <w:overflowPunct/>
        <w:topLinePunct w:val="0"/>
        <w:autoSpaceDE/>
        <w:autoSpaceDN/>
        <w:bidi w:val="0"/>
        <w:adjustRightInd/>
        <w:snapToGrid/>
        <w:spacing w:line="530" w:lineRule="exact"/>
        <w:ind w:left="2076" w:leftChars="212" w:hanging="1440" w:hangingChars="450"/>
        <w:jc w:val="left"/>
        <w:textAlignment w:val="auto"/>
        <w:rPr>
          <w:rFonts w:hint="default" w:ascii="Times New Roman" w:hAnsi="Times New Roman" w:cs="Times New Roman"/>
          <w:kern w:val="0"/>
          <w:sz w:val="32"/>
          <w:szCs w:val="32"/>
          <w:lang w:val="zh-CN"/>
        </w:rPr>
      </w:pPr>
      <w:r>
        <w:rPr>
          <w:rFonts w:hint="default" w:ascii="Times New Roman" w:hAnsi="Times New Roman" w:cs="Times New Roman"/>
          <w:kern w:val="0"/>
          <w:sz w:val="32"/>
          <w:szCs w:val="32"/>
          <w:lang w:val="zh-CN"/>
        </w:rPr>
        <w:t xml:space="preserve">      2.</w:t>
      </w:r>
      <w:r>
        <w:rPr>
          <w:rFonts w:hint="default" w:ascii="Times New Roman" w:hAnsi="Times New Roman" w:eastAsia="仿宋_GB2312" w:cs="Times New Roman"/>
          <w:sz w:val="32"/>
          <w:szCs w:val="24"/>
        </w:rPr>
        <w:t>202</w:t>
      </w:r>
      <w:r>
        <w:rPr>
          <w:rFonts w:hint="default" w:ascii="Times New Roman" w:hAnsi="Times New Roman" w:cs="Times New Roman"/>
          <w:sz w:val="32"/>
          <w:szCs w:val="24"/>
          <w:lang w:val="en-US" w:eastAsia="zh-CN"/>
        </w:rPr>
        <w:t>4</w:t>
      </w:r>
      <w:r>
        <w:rPr>
          <w:rFonts w:hint="default" w:ascii="Times New Roman" w:hAnsi="Times New Roman" w:eastAsia="仿宋_GB2312" w:cs="Times New Roman"/>
          <w:sz w:val="32"/>
          <w:szCs w:val="24"/>
        </w:rPr>
        <w:t>年四川省政府专项债券</w:t>
      </w:r>
      <w:r>
        <w:rPr>
          <w:rFonts w:hint="default" w:ascii="Times New Roman" w:hAnsi="Times New Roman" w:eastAsia="仿宋_GB2312" w:cs="Times New Roman"/>
          <w:sz w:val="32"/>
          <w:szCs w:val="32"/>
          <w:lang w:eastAsia="zh-CN"/>
        </w:rPr>
        <w:t>（</w:t>
      </w:r>
      <w:r>
        <w:rPr>
          <w:rFonts w:hint="eastAsia" w:cs="Times New Roman"/>
          <w:sz w:val="32"/>
          <w:szCs w:val="32"/>
          <w:lang w:eastAsia="zh-CN"/>
        </w:rPr>
        <w:t>七至十二期</w:t>
      </w:r>
      <w:r>
        <w:rPr>
          <w:rFonts w:hint="default" w:ascii="Times New Roman" w:hAnsi="Times New Roman" w:eastAsia="仿宋_GB2312" w:cs="Times New Roman"/>
          <w:sz w:val="32"/>
          <w:szCs w:val="32"/>
          <w:lang w:eastAsia="zh-CN"/>
        </w:rPr>
        <w:t>）</w:t>
      </w:r>
      <w:r>
        <w:rPr>
          <w:rFonts w:hint="default" w:ascii="Times New Roman" w:hAnsi="Times New Roman" w:cs="Times New Roman"/>
          <w:kern w:val="0"/>
          <w:sz w:val="32"/>
          <w:szCs w:val="32"/>
          <w:lang w:val="zh-CN"/>
        </w:rPr>
        <w:t>各期债券法律意见书</w:t>
      </w:r>
    </w:p>
    <w:p>
      <w:pPr>
        <w:keepNext w:val="0"/>
        <w:keepLines w:val="0"/>
        <w:pageBreakBefore w:val="0"/>
        <w:kinsoku/>
        <w:wordWrap/>
        <w:overflowPunct/>
        <w:topLinePunct w:val="0"/>
        <w:autoSpaceDE/>
        <w:autoSpaceDN/>
        <w:bidi w:val="0"/>
        <w:adjustRightInd/>
        <w:snapToGrid/>
        <w:spacing w:line="530" w:lineRule="exact"/>
        <w:ind w:left="2076" w:leftChars="212" w:hanging="1440" w:hangingChars="450"/>
        <w:jc w:val="left"/>
        <w:textAlignment w:val="auto"/>
        <w:rPr>
          <w:rFonts w:hint="default" w:ascii="Times New Roman" w:hAnsi="Times New Roman" w:cs="Times New Roman"/>
          <w:kern w:val="0"/>
          <w:sz w:val="32"/>
          <w:szCs w:val="32"/>
          <w:lang w:val="zh-CN"/>
        </w:rPr>
      </w:pPr>
      <w:r>
        <w:rPr>
          <w:rFonts w:hint="default" w:ascii="Times New Roman" w:hAnsi="Times New Roman" w:cs="Times New Roman"/>
          <w:kern w:val="0"/>
          <w:sz w:val="32"/>
          <w:szCs w:val="32"/>
          <w:lang w:val="zh-CN"/>
        </w:rPr>
        <w:t xml:space="preserve">      3.</w:t>
      </w:r>
      <w:r>
        <w:rPr>
          <w:rFonts w:hint="default" w:ascii="Times New Roman" w:hAnsi="Times New Roman" w:eastAsia="仿宋_GB2312" w:cs="Times New Roman"/>
          <w:sz w:val="32"/>
          <w:szCs w:val="24"/>
        </w:rPr>
        <w:t>202</w:t>
      </w:r>
      <w:r>
        <w:rPr>
          <w:rFonts w:hint="default" w:ascii="Times New Roman" w:hAnsi="Times New Roman" w:cs="Times New Roman"/>
          <w:sz w:val="32"/>
          <w:szCs w:val="24"/>
          <w:lang w:val="en-US" w:eastAsia="zh-CN"/>
        </w:rPr>
        <w:t>4</w:t>
      </w:r>
      <w:r>
        <w:rPr>
          <w:rFonts w:hint="default" w:ascii="Times New Roman" w:hAnsi="Times New Roman" w:eastAsia="仿宋_GB2312" w:cs="Times New Roman"/>
          <w:sz w:val="32"/>
          <w:szCs w:val="24"/>
        </w:rPr>
        <w:t>年四川省政府专项债券</w:t>
      </w:r>
      <w:r>
        <w:rPr>
          <w:rFonts w:hint="default" w:ascii="Times New Roman" w:hAnsi="Times New Roman" w:eastAsia="仿宋_GB2312" w:cs="Times New Roman"/>
          <w:sz w:val="32"/>
          <w:szCs w:val="32"/>
          <w:lang w:eastAsia="zh-CN"/>
        </w:rPr>
        <w:t>（</w:t>
      </w:r>
      <w:r>
        <w:rPr>
          <w:rFonts w:hint="eastAsia" w:cs="Times New Roman"/>
          <w:sz w:val="32"/>
          <w:szCs w:val="32"/>
          <w:lang w:eastAsia="zh-CN"/>
        </w:rPr>
        <w:t>七至十二期</w:t>
      </w:r>
      <w:r>
        <w:rPr>
          <w:rFonts w:hint="default" w:ascii="Times New Roman" w:hAnsi="Times New Roman" w:eastAsia="仿宋_GB2312" w:cs="Times New Roman"/>
          <w:sz w:val="32"/>
          <w:szCs w:val="32"/>
          <w:lang w:eastAsia="zh-CN"/>
        </w:rPr>
        <w:t>）</w:t>
      </w:r>
      <w:r>
        <w:rPr>
          <w:rFonts w:hint="default" w:ascii="Times New Roman" w:hAnsi="Times New Roman" w:cs="Times New Roman"/>
          <w:kern w:val="0"/>
          <w:sz w:val="32"/>
          <w:szCs w:val="32"/>
          <w:lang w:val="zh-CN"/>
        </w:rPr>
        <w:t>各期债券财务评估报告</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四川省财政厅</w:t>
      </w:r>
    </w:p>
    <w:p>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lang w:eastAsia="zh-CN"/>
        </w:rPr>
        <w:t>202</w:t>
      </w:r>
      <w:r>
        <w:rPr>
          <w:rFonts w:hint="default"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lang w:eastAsia="zh-CN"/>
        </w:rPr>
        <w:t>年</w:t>
      </w:r>
      <w:r>
        <w:rPr>
          <w:rFonts w:hint="eastAsia" w:cs="Times New Roman"/>
          <w:sz w:val="32"/>
          <w:szCs w:val="32"/>
          <w:highlight w:val="none"/>
          <w:lang w:val="en-US" w:eastAsia="zh-CN"/>
        </w:rPr>
        <w:t>5</w:t>
      </w:r>
      <w:r>
        <w:rPr>
          <w:rFonts w:hint="default" w:ascii="Times New Roman" w:hAnsi="Times New Roman" w:cs="Times New Roman"/>
          <w:sz w:val="32"/>
          <w:szCs w:val="32"/>
          <w:highlight w:val="none"/>
        </w:rPr>
        <w:t>月</w:t>
      </w:r>
      <w:r>
        <w:rPr>
          <w:rFonts w:hint="eastAsia" w:cs="Times New Roman"/>
          <w:sz w:val="32"/>
          <w:szCs w:val="32"/>
          <w:highlight w:val="none"/>
          <w:lang w:val="en-US" w:eastAsia="zh-CN"/>
        </w:rPr>
        <w:t>10</w:t>
      </w:r>
      <w:r>
        <w:rPr>
          <w:rFonts w:hint="default" w:ascii="Times New Roman" w:hAnsi="Times New Roman" w:cs="Times New Roman"/>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false"/>
  <w:bordersDoNotSurroundFooter w:val="false"/>
  <w:documentProtection w:enforcement="0"/>
  <w:defaultTabStop w:val="420"/>
  <w:evenAndOddHeaders w:val="true"/>
  <w:drawingGridHorizontalSpacing w:val="150"/>
  <w:drawingGridVerticalSpacing w:val="20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mZmYjNjMDA4MGEyMmU1Zjc2ODgxZGU3MDdlOTA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585277B"/>
    <w:rsid w:val="07E50E92"/>
    <w:rsid w:val="0F5E2B9C"/>
    <w:rsid w:val="0FCAD5FD"/>
    <w:rsid w:val="15EFB84A"/>
    <w:rsid w:val="16BFDA76"/>
    <w:rsid w:val="177D3A52"/>
    <w:rsid w:val="17B6C2A3"/>
    <w:rsid w:val="17CE2129"/>
    <w:rsid w:val="17FFA77D"/>
    <w:rsid w:val="1B672BB3"/>
    <w:rsid w:val="1B67B585"/>
    <w:rsid w:val="1B7FC8E2"/>
    <w:rsid w:val="1BFA4442"/>
    <w:rsid w:val="1BFFC1B4"/>
    <w:rsid w:val="1D3C0843"/>
    <w:rsid w:val="1E584D33"/>
    <w:rsid w:val="1EF3C8EF"/>
    <w:rsid w:val="1F7F37F3"/>
    <w:rsid w:val="1FEF0EED"/>
    <w:rsid w:val="1FF86D77"/>
    <w:rsid w:val="273A1534"/>
    <w:rsid w:val="27FB4DFE"/>
    <w:rsid w:val="292BBD26"/>
    <w:rsid w:val="2C335417"/>
    <w:rsid w:val="2D2F22EB"/>
    <w:rsid w:val="2DBF1862"/>
    <w:rsid w:val="2E7BB22E"/>
    <w:rsid w:val="2ED5C25D"/>
    <w:rsid w:val="33BD96C9"/>
    <w:rsid w:val="3478FD3B"/>
    <w:rsid w:val="35FF6C41"/>
    <w:rsid w:val="35FFA103"/>
    <w:rsid w:val="365FE963"/>
    <w:rsid w:val="37F7809A"/>
    <w:rsid w:val="399565E0"/>
    <w:rsid w:val="3ADDA097"/>
    <w:rsid w:val="3B7E7D56"/>
    <w:rsid w:val="3BF725E0"/>
    <w:rsid w:val="3BFBF273"/>
    <w:rsid w:val="3BFD26E4"/>
    <w:rsid w:val="3BFF0771"/>
    <w:rsid w:val="3D9DD624"/>
    <w:rsid w:val="3DAB5EBA"/>
    <w:rsid w:val="3DEFA9F2"/>
    <w:rsid w:val="3DF3C86E"/>
    <w:rsid w:val="3ECAC84C"/>
    <w:rsid w:val="3EFB41F2"/>
    <w:rsid w:val="3F5F4240"/>
    <w:rsid w:val="3F7BEE77"/>
    <w:rsid w:val="3FB668E4"/>
    <w:rsid w:val="3FBFF260"/>
    <w:rsid w:val="3FEF23FA"/>
    <w:rsid w:val="3FF57F37"/>
    <w:rsid w:val="3FF71C72"/>
    <w:rsid w:val="3FFB5F92"/>
    <w:rsid w:val="3FFF50AD"/>
    <w:rsid w:val="45F8CE6B"/>
    <w:rsid w:val="47BF50EF"/>
    <w:rsid w:val="47DFF301"/>
    <w:rsid w:val="48BFAD72"/>
    <w:rsid w:val="4D32FB4C"/>
    <w:rsid w:val="4EBF3093"/>
    <w:rsid w:val="4EDFAE00"/>
    <w:rsid w:val="4FAF7337"/>
    <w:rsid w:val="4FFAE02C"/>
    <w:rsid w:val="4FFF460D"/>
    <w:rsid w:val="536F073F"/>
    <w:rsid w:val="53731939"/>
    <w:rsid w:val="53E90DC1"/>
    <w:rsid w:val="54F3BD53"/>
    <w:rsid w:val="54FF9442"/>
    <w:rsid w:val="57BAD169"/>
    <w:rsid w:val="57DF3D15"/>
    <w:rsid w:val="57EB7B42"/>
    <w:rsid w:val="57FD754E"/>
    <w:rsid w:val="57FEF054"/>
    <w:rsid w:val="57FF76F9"/>
    <w:rsid w:val="59B13FF3"/>
    <w:rsid w:val="5B27C3AC"/>
    <w:rsid w:val="5BABDEC5"/>
    <w:rsid w:val="5BDFA3DF"/>
    <w:rsid w:val="5BFD30E1"/>
    <w:rsid w:val="5D7BF844"/>
    <w:rsid w:val="5DBFCF28"/>
    <w:rsid w:val="5DFB2A50"/>
    <w:rsid w:val="5E7F692A"/>
    <w:rsid w:val="5EDF67C8"/>
    <w:rsid w:val="5EFF05BA"/>
    <w:rsid w:val="5F3E4F45"/>
    <w:rsid w:val="5F6F1C9E"/>
    <w:rsid w:val="5F7E92C4"/>
    <w:rsid w:val="5FAB9A0B"/>
    <w:rsid w:val="5FE12A79"/>
    <w:rsid w:val="5FEFBC4C"/>
    <w:rsid w:val="5FF876FE"/>
    <w:rsid w:val="5FFD044C"/>
    <w:rsid w:val="5FFFD7D0"/>
    <w:rsid w:val="5FFFFB39"/>
    <w:rsid w:val="62FEF3EA"/>
    <w:rsid w:val="63F53E4A"/>
    <w:rsid w:val="64112789"/>
    <w:rsid w:val="69DC461E"/>
    <w:rsid w:val="6AEF0117"/>
    <w:rsid w:val="6BCE4C44"/>
    <w:rsid w:val="6BDE6032"/>
    <w:rsid w:val="6BDF36B5"/>
    <w:rsid w:val="6BEE630D"/>
    <w:rsid w:val="6BEE974E"/>
    <w:rsid w:val="6BF75424"/>
    <w:rsid w:val="6BFF8BC0"/>
    <w:rsid w:val="6D3E6A51"/>
    <w:rsid w:val="6D57D810"/>
    <w:rsid w:val="6DB123F6"/>
    <w:rsid w:val="6DE7862E"/>
    <w:rsid w:val="6DFC43BE"/>
    <w:rsid w:val="6DFD60E9"/>
    <w:rsid w:val="6DFF793F"/>
    <w:rsid w:val="6E7B86E4"/>
    <w:rsid w:val="6EB788C1"/>
    <w:rsid w:val="6EBB229C"/>
    <w:rsid w:val="6EDE8759"/>
    <w:rsid w:val="6EDEF351"/>
    <w:rsid w:val="6EFA30DF"/>
    <w:rsid w:val="6EFE97D7"/>
    <w:rsid w:val="6F6FC48D"/>
    <w:rsid w:val="6F75BB17"/>
    <w:rsid w:val="6F7D0098"/>
    <w:rsid w:val="6FBF8D8F"/>
    <w:rsid w:val="6FCF9866"/>
    <w:rsid w:val="6FDD6BFC"/>
    <w:rsid w:val="6FDFA035"/>
    <w:rsid w:val="6FF52F76"/>
    <w:rsid w:val="6FFDD9A5"/>
    <w:rsid w:val="6FFF0B70"/>
    <w:rsid w:val="6FFFA9D8"/>
    <w:rsid w:val="71775D74"/>
    <w:rsid w:val="71F33F0B"/>
    <w:rsid w:val="72FF21FE"/>
    <w:rsid w:val="73577D8C"/>
    <w:rsid w:val="73F8844F"/>
    <w:rsid w:val="73FEF53F"/>
    <w:rsid w:val="74DEBB8B"/>
    <w:rsid w:val="74EFE397"/>
    <w:rsid w:val="75134281"/>
    <w:rsid w:val="755ABB90"/>
    <w:rsid w:val="7567AB9C"/>
    <w:rsid w:val="757F2BD9"/>
    <w:rsid w:val="757F9695"/>
    <w:rsid w:val="75ED567D"/>
    <w:rsid w:val="75FFBE1C"/>
    <w:rsid w:val="769FD087"/>
    <w:rsid w:val="76BE1A6C"/>
    <w:rsid w:val="76F7792E"/>
    <w:rsid w:val="770F83CD"/>
    <w:rsid w:val="777D983C"/>
    <w:rsid w:val="77BF985E"/>
    <w:rsid w:val="77EB0A30"/>
    <w:rsid w:val="77FD2DD1"/>
    <w:rsid w:val="77FFD227"/>
    <w:rsid w:val="77FFE042"/>
    <w:rsid w:val="786F6BBB"/>
    <w:rsid w:val="7955109C"/>
    <w:rsid w:val="79C33213"/>
    <w:rsid w:val="79F7D4A2"/>
    <w:rsid w:val="79FE0439"/>
    <w:rsid w:val="7AEC944A"/>
    <w:rsid w:val="7B1FA6F6"/>
    <w:rsid w:val="7B2AABAE"/>
    <w:rsid w:val="7B341286"/>
    <w:rsid w:val="7B56316B"/>
    <w:rsid w:val="7B6E1E1B"/>
    <w:rsid w:val="7BD72066"/>
    <w:rsid w:val="7BDDC4A3"/>
    <w:rsid w:val="7BF3C519"/>
    <w:rsid w:val="7BFFA358"/>
    <w:rsid w:val="7C54566E"/>
    <w:rsid w:val="7C5F8FDA"/>
    <w:rsid w:val="7C7D4167"/>
    <w:rsid w:val="7CBDD19A"/>
    <w:rsid w:val="7CFCADF1"/>
    <w:rsid w:val="7CFF8BFD"/>
    <w:rsid w:val="7D397FB7"/>
    <w:rsid w:val="7D7377E8"/>
    <w:rsid w:val="7DBF6886"/>
    <w:rsid w:val="7DBFA8D5"/>
    <w:rsid w:val="7DDDD8B2"/>
    <w:rsid w:val="7DDE0CEE"/>
    <w:rsid w:val="7DFC5C92"/>
    <w:rsid w:val="7DFE5D73"/>
    <w:rsid w:val="7DFFDAF8"/>
    <w:rsid w:val="7EB8A718"/>
    <w:rsid w:val="7EDC4E86"/>
    <w:rsid w:val="7EF2A455"/>
    <w:rsid w:val="7EF7AF70"/>
    <w:rsid w:val="7EFF3402"/>
    <w:rsid w:val="7F2BE7C6"/>
    <w:rsid w:val="7F3AB47F"/>
    <w:rsid w:val="7F3F12B6"/>
    <w:rsid w:val="7F57D7C8"/>
    <w:rsid w:val="7F5B6313"/>
    <w:rsid w:val="7F6D60C9"/>
    <w:rsid w:val="7F7EA3C0"/>
    <w:rsid w:val="7FA5CC08"/>
    <w:rsid w:val="7FAB911C"/>
    <w:rsid w:val="7FACE480"/>
    <w:rsid w:val="7FB11C79"/>
    <w:rsid w:val="7FBD1E61"/>
    <w:rsid w:val="7FBF1A1B"/>
    <w:rsid w:val="7FCE92E5"/>
    <w:rsid w:val="7FCF1F29"/>
    <w:rsid w:val="7FD2D104"/>
    <w:rsid w:val="7FDD85A0"/>
    <w:rsid w:val="7FDD95D2"/>
    <w:rsid w:val="7FF3E1C0"/>
    <w:rsid w:val="7FF3F85B"/>
    <w:rsid w:val="7FF566CD"/>
    <w:rsid w:val="7FF75800"/>
    <w:rsid w:val="7FF7B62B"/>
    <w:rsid w:val="7FFAFB55"/>
    <w:rsid w:val="7FFB297B"/>
    <w:rsid w:val="7FFC5838"/>
    <w:rsid w:val="7FFD9899"/>
    <w:rsid w:val="7FFF391B"/>
    <w:rsid w:val="7FFF633F"/>
    <w:rsid w:val="7FFF8903"/>
    <w:rsid w:val="7FFFAD8B"/>
    <w:rsid w:val="8EBF225C"/>
    <w:rsid w:val="8F5D59A4"/>
    <w:rsid w:val="8F5F6B2D"/>
    <w:rsid w:val="8FFB0B75"/>
    <w:rsid w:val="97BF2327"/>
    <w:rsid w:val="98B74015"/>
    <w:rsid w:val="9B9C1F6C"/>
    <w:rsid w:val="9BDF3334"/>
    <w:rsid w:val="9C7EF351"/>
    <w:rsid w:val="9D4B5CFF"/>
    <w:rsid w:val="9D7B2324"/>
    <w:rsid w:val="9F8F6FA3"/>
    <w:rsid w:val="9FCE4ACA"/>
    <w:rsid w:val="9FD4B984"/>
    <w:rsid w:val="9FFB9794"/>
    <w:rsid w:val="9FFC9604"/>
    <w:rsid w:val="9FFFDB11"/>
    <w:rsid w:val="A5FE2FD1"/>
    <w:rsid w:val="A67C683F"/>
    <w:rsid w:val="ABBBED28"/>
    <w:rsid w:val="AD9F8C9A"/>
    <w:rsid w:val="ADEC83D2"/>
    <w:rsid w:val="ADFF10CC"/>
    <w:rsid w:val="AEFF80E1"/>
    <w:rsid w:val="AF7EFD40"/>
    <w:rsid w:val="AFEDA70A"/>
    <w:rsid w:val="AFFFE447"/>
    <w:rsid w:val="AFFFF3BB"/>
    <w:rsid w:val="B0F7249B"/>
    <w:rsid w:val="B2AB062D"/>
    <w:rsid w:val="B35B6153"/>
    <w:rsid w:val="B37B5FD8"/>
    <w:rsid w:val="B38ED6A9"/>
    <w:rsid w:val="B5BC6AC8"/>
    <w:rsid w:val="B5C629E9"/>
    <w:rsid w:val="B5FFC808"/>
    <w:rsid w:val="B66DE0F3"/>
    <w:rsid w:val="B71F229D"/>
    <w:rsid w:val="B78EF67C"/>
    <w:rsid w:val="B7E93359"/>
    <w:rsid w:val="B7FC8FD4"/>
    <w:rsid w:val="B7FF31FE"/>
    <w:rsid w:val="BB6F226D"/>
    <w:rsid w:val="BE7DF3AB"/>
    <w:rsid w:val="BEEB588E"/>
    <w:rsid w:val="BEFC921C"/>
    <w:rsid w:val="BEFF10AD"/>
    <w:rsid w:val="BF5E20FA"/>
    <w:rsid w:val="BF7F1BD2"/>
    <w:rsid w:val="BFA33CA7"/>
    <w:rsid w:val="BFBDDB71"/>
    <w:rsid w:val="BFEFF3F7"/>
    <w:rsid w:val="BFFDAF01"/>
    <w:rsid w:val="BFFF8EE6"/>
    <w:rsid w:val="BFFFACE1"/>
    <w:rsid w:val="BFFFCC8A"/>
    <w:rsid w:val="BFFFE75D"/>
    <w:rsid w:val="C7BBC6D6"/>
    <w:rsid w:val="C89ED9A7"/>
    <w:rsid w:val="CB26FCAB"/>
    <w:rsid w:val="CCDD36C3"/>
    <w:rsid w:val="CF7F0D62"/>
    <w:rsid w:val="D1F503FA"/>
    <w:rsid w:val="D3FF088E"/>
    <w:rsid w:val="D6BD08E7"/>
    <w:rsid w:val="D6EB119C"/>
    <w:rsid w:val="D77A959F"/>
    <w:rsid w:val="D7B710EC"/>
    <w:rsid w:val="D97BE255"/>
    <w:rsid w:val="DACF21D7"/>
    <w:rsid w:val="DB5DBF45"/>
    <w:rsid w:val="DB7387A1"/>
    <w:rsid w:val="DBA799E2"/>
    <w:rsid w:val="DC7ABEE3"/>
    <w:rsid w:val="DC7F37B0"/>
    <w:rsid w:val="DC9E4C42"/>
    <w:rsid w:val="DD5FA653"/>
    <w:rsid w:val="DDC3496C"/>
    <w:rsid w:val="DDFB2394"/>
    <w:rsid w:val="DE77926B"/>
    <w:rsid w:val="DE7DE59B"/>
    <w:rsid w:val="DEE262E6"/>
    <w:rsid w:val="DEEFF9CF"/>
    <w:rsid w:val="DF3F2014"/>
    <w:rsid w:val="DF9FAA1C"/>
    <w:rsid w:val="DFBBD75C"/>
    <w:rsid w:val="DFD9770E"/>
    <w:rsid w:val="DFDD016C"/>
    <w:rsid w:val="DFDF029D"/>
    <w:rsid w:val="DFE61A72"/>
    <w:rsid w:val="DFF34AD3"/>
    <w:rsid w:val="DFF39B79"/>
    <w:rsid w:val="DFFB60A3"/>
    <w:rsid w:val="DFFD31B0"/>
    <w:rsid w:val="DFFF47CA"/>
    <w:rsid w:val="DFFFAE61"/>
    <w:rsid w:val="E2DB5A87"/>
    <w:rsid w:val="E5AF7A9E"/>
    <w:rsid w:val="E5FC02D1"/>
    <w:rsid w:val="E6BB69F9"/>
    <w:rsid w:val="E6EF37CC"/>
    <w:rsid w:val="E72F10DC"/>
    <w:rsid w:val="E778A862"/>
    <w:rsid w:val="E7DF50C1"/>
    <w:rsid w:val="E87B70A2"/>
    <w:rsid w:val="E8D76BCE"/>
    <w:rsid w:val="EADC83D7"/>
    <w:rsid w:val="EBDECC2E"/>
    <w:rsid w:val="ECEAAF28"/>
    <w:rsid w:val="EDBFD3AA"/>
    <w:rsid w:val="EDFD232B"/>
    <w:rsid w:val="EDFE5F27"/>
    <w:rsid w:val="EDFFCF00"/>
    <w:rsid w:val="EE8AFE1C"/>
    <w:rsid w:val="EF5969A3"/>
    <w:rsid w:val="EFABB031"/>
    <w:rsid w:val="EFADAA4C"/>
    <w:rsid w:val="EFD55489"/>
    <w:rsid w:val="EFE31411"/>
    <w:rsid w:val="EFEF0094"/>
    <w:rsid w:val="F1F395D8"/>
    <w:rsid w:val="F1FF3360"/>
    <w:rsid w:val="F2DEA05A"/>
    <w:rsid w:val="F2FF3A7A"/>
    <w:rsid w:val="F3794464"/>
    <w:rsid w:val="F3CF073D"/>
    <w:rsid w:val="F3FA869C"/>
    <w:rsid w:val="F4FF84A5"/>
    <w:rsid w:val="F5D77FD0"/>
    <w:rsid w:val="F5FE7683"/>
    <w:rsid w:val="F639FDF8"/>
    <w:rsid w:val="F7798D0D"/>
    <w:rsid w:val="F7BFF8A7"/>
    <w:rsid w:val="F7D76496"/>
    <w:rsid w:val="F7DB7B04"/>
    <w:rsid w:val="F7EDAF2A"/>
    <w:rsid w:val="F7EEC0BA"/>
    <w:rsid w:val="F7F597CB"/>
    <w:rsid w:val="F7F715EE"/>
    <w:rsid w:val="F7FF61F0"/>
    <w:rsid w:val="F7FFD1F6"/>
    <w:rsid w:val="F8D04070"/>
    <w:rsid w:val="F8E8D507"/>
    <w:rsid w:val="F9841BE9"/>
    <w:rsid w:val="F9FA1080"/>
    <w:rsid w:val="FA3D022F"/>
    <w:rsid w:val="FA7F6236"/>
    <w:rsid w:val="FABC5063"/>
    <w:rsid w:val="FB1FB846"/>
    <w:rsid w:val="FB770C10"/>
    <w:rsid w:val="FB9D71D8"/>
    <w:rsid w:val="FBA94DEF"/>
    <w:rsid w:val="FBDB2C9C"/>
    <w:rsid w:val="FBF758AD"/>
    <w:rsid w:val="FBF9AB6F"/>
    <w:rsid w:val="FBFC24EB"/>
    <w:rsid w:val="FBFF6260"/>
    <w:rsid w:val="FBFFB511"/>
    <w:rsid w:val="FBFFD543"/>
    <w:rsid w:val="FC6BECB3"/>
    <w:rsid w:val="FC798D9B"/>
    <w:rsid w:val="FCFF4F1C"/>
    <w:rsid w:val="FD3D36C1"/>
    <w:rsid w:val="FD59D062"/>
    <w:rsid w:val="FD5DE01D"/>
    <w:rsid w:val="FD7579DB"/>
    <w:rsid w:val="FD7AEB45"/>
    <w:rsid w:val="FDD5052B"/>
    <w:rsid w:val="FDE92824"/>
    <w:rsid w:val="FDED4FE7"/>
    <w:rsid w:val="FDEF0B21"/>
    <w:rsid w:val="FDF5B80F"/>
    <w:rsid w:val="FDFBE4BF"/>
    <w:rsid w:val="FDFD87BE"/>
    <w:rsid w:val="FDFF84B5"/>
    <w:rsid w:val="FDFFDA72"/>
    <w:rsid w:val="FE31A3AF"/>
    <w:rsid w:val="FE5D4482"/>
    <w:rsid w:val="FEB7EB15"/>
    <w:rsid w:val="FEBFDD69"/>
    <w:rsid w:val="FEDB0CBA"/>
    <w:rsid w:val="FEEFC20F"/>
    <w:rsid w:val="FEFB3EE1"/>
    <w:rsid w:val="FEFF92FD"/>
    <w:rsid w:val="FEFFF2F2"/>
    <w:rsid w:val="FF1FC617"/>
    <w:rsid w:val="FF4F0527"/>
    <w:rsid w:val="FF5BCBA9"/>
    <w:rsid w:val="FF5FD35F"/>
    <w:rsid w:val="FF7C733A"/>
    <w:rsid w:val="FF9C3594"/>
    <w:rsid w:val="FFAF580F"/>
    <w:rsid w:val="FFBB58BA"/>
    <w:rsid w:val="FFCEDCEE"/>
    <w:rsid w:val="FFD7A303"/>
    <w:rsid w:val="FFD7A69E"/>
    <w:rsid w:val="FFDD06B4"/>
    <w:rsid w:val="FFDE9A2D"/>
    <w:rsid w:val="FFE57E77"/>
    <w:rsid w:val="FFEB7DAB"/>
    <w:rsid w:val="FFEC12BB"/>
    <w:rsid w:val="FFECA782"/>
    <w:rsid w:val="FFED928B"/>
    <w:rsid w:val="FFEF5E18"/>
    <w:rsid w:val="FFF99E5D"/>
    <w:rsid w:val="FFF9A8D9"/>
    <w:rsid w:val="FFFA308C"/>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 w:val="21"/>
      <w:szCs w:val="21"/>
    </w:rPr>
  </w:style>
  <w:style w:type="paragraph" w:styleId="3">
    <w:name w:val="Date"/>
    <w:basedOn w:val="1"/>
    <w:next w:val="1"/>
    <w:link w:val="15"/>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line="560" w:lineRule="exact"/>
    </w:pPr>
    <w:rPr>
      <w:rFonts w:eastAsia="宋体"/>
      <w:sz w:val="24"/>
    </w:rPr>
  </w:style>
  <w:style w:type="paragraph" w:styleId="7">
    <w:name w:val="Title"/>
    <w:basedOn w:val="1"/>
    <w:next w:val="1"/>
    <w:qFormat/>
    <w:uiPriority w:val="10"/>
    <w:pPr>
      <w:jc w:val="center"/>
      <w:outlineLvl w:val="0"/>
    </w:pPr>
    <w:rPr>
      <w:rFonts w:ascii="Arial" w:hAnsi="Arial"/>
      <w:b/>
      <w:sz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5"/>
    <w:semiHidden/>
    <w:qFormat/>
    <w:uiPriority w:val="99"/>
    <w:rPr>
      <w:sz w:val="18"/>
      <w:szCs w:val="18"/>
    </w:rPr>
  </w:style>
  <w:style w:type="character" w:customStyle="1" w:styleId="12">
    <w:name w:val="页脚 Char"/>
    <w:basedOn w:val="10"/>
    <w:link w:val="4"/>
    <w:qFormat/>
    <w:uiPriority w:val="99"/>
    <w:rPr>
      <w:sz w:val="18"/>
      <w:szCs w:val="18"/>
    </w:rPr>
  </w:style>
  <w:style w:type="character" w:customStyle="1" w:styleId="13">
    <w:name w:val="纯文本 Char"/>
    <w:basedOn w:val="10"/>
    <w:link w:val="2"/>
    <w:qFormat/>
    <w:uiPriority w:val="0"/>
    <w:rPr>
      <w:rFonts w:ascii="宋体" w:hAnsi="Courier New" w:eastAsia="宋体" w:cs="Courier New"/>
      <w:szCs w:val="21"/>
    </w:rPr>
  </w:style>
  <w:style w:type="paragraph" w:styleId="14">
    <w:name w:val="List Paragraph"/>
    <w:basedOn w:val="1"/>
    <w:qFormat/>
    <w:uiPriority w:val="34"/>
    <w:pPr>
      <w:ind w:firstLine="420" w:firstLineChars="200"/>
    </w:pPr>
  </w:style>
  <w:style w:type="character" w:customStyle="1" w:styleId="15">
    <w:name w:val="日期 Char"/>
    <w:basedOn w:val="10"/>
    <w:link w:val="3"/>
    <w:semiHidden/>
    <w:qFormat/>
    <w:uiPriority w:val="99"/>
    <w:rPr>
      <w:rFonts w:ascii="Times New Roman" w:hAnsi="Times New Roman" w:eastAsia="仿宋_GB2312" w:cs="Times New Roman"/>
      <w:sz w:val="30"/>
      <w:szCs w:val="24"/>
    </w:rPr>
  </w:style>
  <w:style w:type="character" w:customStyle="1" w:styleId="16">
    <w:name w:val="NormalCharacter"/>
    <w:qFormat/>
    <w:uiPriority w:val="0"/>
    <w:rPr>
      <w:rFonts w:ascii="Calibri" w:hAnsi="Calibri" w:eastAsia="宋体" w:cs="Times New Roman"/>
      <w:kern w:val="2"/>
      <w:sz w:val="21"/>
      <w:szCs w:val="24"/>
      <w:lang w:val="en-US" w:eastAsia="zh-CN" w:bidi="ar-SA"/>
    </w:rPr>
  </w:style>
  <w:style w:type="character" w:customStyle="1" w:styleId="17">
    <w:name w:val="font0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4003</Words>
  <Characters>4720</Characters>
  <Lines>38</Lines>
  <Paragraphs>10</Paragraphs>
  <TotalTime>5</TotalTime>
  <ScaleCrop>false</ScaleCrop>
  <LinksUpToDate>false</LinksUpToDate>
  <CharactersWithSpaces>4803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2021-11-17T02:40:00Z</dcterms:created>
  <dc:creator>牟伶俐</dc:creator>
  <cp:lastModifiedBy>牟伶俐</cp:lastModifiedBy>
  <cp:lastPrinted>2024-05-10T09:38:00Z</cp:lastPrinted>
  <dcterms:modified xsi:type="dcterms:W3CDTF">2024-05-10T18:47:58Z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47BB76FA37244270AEEE1B5355229B5D</vt:lpwstr>
  </property>
</Properties>
</file>