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765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14:paraId="6F5A19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eastAsia="zh-CN"/>
        </w:rPr>
        <w:t>再融资一般债券</w:t>
      </w:r>
    </w:p>
    <w:p w14:paraId="1BF905F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eastAsia="zh-CN"/>
        </w:rPr>
        <w:t>（二期）</w:t>
      </w:r>
      <w:r>
        <w:rPr>
          <w:rFonts w:hint="default" w:ascii="Times New Roman" w:hAnsi="Times New Roman" w:eastAsia="方正小标宋简体" w:cs="Times New Roman"/>
          <w:color w:val="auto"/>
          <w:sz w:val="44"/>
          <w:szCs w:val="44"/>
          <w:highlight w:val="none"/>
        </w:rPr>
        <w:t>信息披露文件</w:t>
      </w:r>
    </w:p>
    <w:p w14:paraId="77B8768D">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092FC74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43BC7C31">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58957696">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再融资一般债券（二期）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47.103亿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债券利息</w:t>
      </w:r>
      <w:r>
        <w:rPr>
          <w:rFonts w:hint="eastAsia" w:ascii="Times New Roman" w:hAnsi="Times New Roman" w:eastAsia="仿宋_GB2312"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lang w:eastAsia="zh-CN"/>
        </w:rPr>
        <w:t>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再融资一般债券（二期）</w:t>
      </w:r>
      <w:r>
        <w:rPr>
          <w:rFonts w:hint="default" w:ascii="Times New Roman" w:hAnsi="Times New Roman" w:eastAsia="仿宋_GB2312" w:cs="Times New Roman"/>
          <w:color w:val="auto"/>
          <w:sz w:val="32"/>
          <w:szCs w:val="32"/>
          <w:highlight w:val="none"/>
        </w:rPr>
        <w:t>有关事项的通知》。</w:t>
      </w:r>
    </w:p>
    <w:p w14:paraId="654DC262">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301CB542">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再融资一般债券（二期）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再融资一般债券（二期）</w:t>
      </w:r>
      <w:r>
        <w:rPr>
          <w:rFonts w:hint="default" w:ascii="Times New Roman" w:hAnsi="Times New Roman" w:eastAsia="仿宋_GB2312" w:cs="Times New Roman"/>
          <w:color w:val="auto"/>
          <w:sz w:val="32"/>
          <w:szCs w:val="32"/>
          <w:highlight w:val="none"/>
        </w:rPr>
        <w:t>有关事项的通知》等。</w:t>
      </w:r>
    </w:p>
    <w:p w14:paraId="1DE21C72">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0E5D3A4C">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u w:val="none"/>
        </w:rPr>
        <w:t>按照财政部要求，</w:t>
      </w:r>
      <w:r>
        <w:rPr>
          <w:rFonts w:hint="default" w:ascii="Times New Roman" w:hAnsi="Times New Roman" w:eastAsia="仿宋_GB2312" w:cs="Times New Roman"/>
          <w:sz w:val="32"/>
          <w:szCs w:val="32"/>
          <w:highlight w:val="none"/>
          <w:u w:val="none"/>
          <w:lang w:val="en-US" w:eastAsia="zh-CN"/>
        </w:rPr>
        <w:t>一般</w:t>
      </w:r>
      <w:r>
        <w:rPr>
          <w:rFonts w:hint="default" w:ascii="Times New Roman" w:hAnsi="Times New Roman" w:eastAsia="仿宋_GB2312" w:cs="Times New Roman"/>
          <w:sz w:val="32"/>
          <w:szCs w:val="32"/>
          <w:highlight w:val="none"/>
          <w:u w:val="none"/>
          <w:lang w:eastAsia="zh-CN"/>
        </w:rPr>
        <w:t>债券纳入</w:t>
      </w:r>
      <w:r>
        <w:rPr>
          <w:rFonts w:hint="default" w:ascii="Times New Roman" w:hAnsi="Times New Roman" w:eastAsia="仿宋_GB2312" w:cs="Times New Roman"/>
          <w:sz w:val="32"/>
          <w:szCs w:val="32"/>
          <w:highlight w:val="none"/>
          <w:u w:val="none"/>
          <w:lang w:val="en-US" w:eastAsia="zh-CN"/>
        </w:rPr>
        <w:t>一般公共</w:t>
      </w:r>
      <w:r>
        <w:rPr>
          <w:rFonts w:hint="default" w:ascii="Times New Roman" w:hAnsi="Times New Roman" w:eastAsia="仿宋_GB2312" w:cs="Times New Roman"/>
          <w:sz w:val="32"/>
          <w:szCs w:val="32"/>
          <w:highlight w:val="none"/>
          <w:u w:val="none"/>
          <w:lang w:eastAsia="zh-CN"/>
        </w:rPr>
        <w:t>预算管理，专项债券纳入政府性基金预算管理。</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年四川省政府</w:t>
      </w:r>
      <w:r>
        <w:rPr>
          <w:rFonts w:hint="eastAsia" w:ascii="Times New Roman" w:hAnsi="Times New Roman" w:eastAsia="仿宋_GB2312" w:cs="Times New Roman"/>
          <w:sz w:val="32"/>
          <w:szCs w:val="32"/>
          <w:highlight w:val="none"/>
          <w:lang w:eastAsia="zh-CN"/>
        </w:rPr>
        <w:t>再融资一般债券（二期）</w:t>
      </w:r>
      <w:r>
        <w:rPr>
          <w:rFonts w:hint="default" w:ascii="Times New Roman" w:hAnsi="Times New Roman" w:eastAsia="仿宋_GB2312" w:cs="Times New Roman"/>
          <w:sz w:val="32"/>
          <w:szCs w:val="32"/>
          <w:highlight w:val="none"/>
          <w:u w:val="none"/>
          <w:lang w:eastAsia="zh-CN"/>
        </w:rPr>
        <w:t>募集资金全部用于偿还到期政府债券</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本金</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到期债券具体情况如下：</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38"/>
        <w:gridCol w:w="1042"/>
        <w:gridCol w:w="861"/>
        <w:gridCol w:w="884"/>
        <w:gridCol w:w="1039"/>
        <w:gridCol w:w="1049"/>
      </w:tblGrid>
      <w:tr w14:paraId="393B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623" w:type="pct"/>
            <w:vAlign w:val="center"/>
          </w:tcPr>
          <w:p w14:paraId="22CD9E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债券名称</w:t>
            </w:r>
          </w:p>
        </w:tc>
        <w:tc>
          <w:tcPr>
            <w:tcW w:w="683" w:type="pct"/>
            <w:vAlign w:val="center"/>
          </w:tcPr>
          <w:p w14:paraId="653C43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债券代码</w:t>
            </w:r>
          </w:p>
        </w:tc>
        <w:tc>
          <w:tcPr>
            <w:tcW w:w="575" w:type="pct"/>
            <w:vAlign w:val="center"/>
          </w:tcPr>
          <w:p w14:paraId="22959B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债券简称</w:t>
            </w:r>
          </w:p>
        </w:tc>
        <w:tc>
          <w:tcPr>
            <w:tcW w:w="475" w:type="pct"/>
            <w:vAlign w:val="center"/>
          </w:tcPr>
          <w:p w14:paraId="76CCF1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发行规模（亿元）</w:t>
            </w:r>
          </w:p>
        </w:tc>
        <w:tc>
          <w:tcPr>
            <w:tcW w:w="488" w:type="pct"/>
            <w:vAlign w:val="center"/>
          </w:tcPr>
          <w:p w14:paraId="0E6383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票面利率（%）</w:t>
            </w:r>
          </w:p>
        </w:tc>
        <w:tc>
          <w:tcPr>
            <w:tcW w:w="573" w:type="pct"/>
            <w:vAlign w:val="center"/>
          </w:tcPr>
          <w:p w14:paraId="77F1A0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还本</w:t>
            </w:r>
          </w:p>
          <w:p w14:paraId="5FAED6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付息日</w:t>
            </w:r>
          </w:p>
        </w:tc>
        <w:tc>
          <w:tcPr>
            <w:tcW w:w="579" w:type="pct"/>
            <w:vAlign w:val="center"/>
          </w:tcPr>
          <w:p w14:paraId="630228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auto"/>
                <w:kern w:val="0"/>
                <w:sz w:val="16"/>
                <w:szCs w:val="16"/>
                <w:highlight w:val="none"/>
                <w:u w:val="none"/>
                <w:lang w:val="en-US" w:eastAsia="zh-CN" w:bidi="ar"/>
              </w:rPr>
            </w:pPr>
            <w:r>
              <w:rPr>
                <w:rFonts w:hint="default" w:ascii="Times New Roman" w:hAnsi="Times New Roman" w:eastAsia="宋体" w:cs="Times New Roman"/>
                <w:i w:val="0"/>
                <w:color w:val="auto"/>
                <w:kern w:val="0"/>
                <w:sz w:val="16"/>
                <w:szCs w:val="16"/>
                <w:highlight w:val="none"/>
                <w:u w:val="none"/>
                <w:lang w:val="en-US" w:eastAsia="zh-CN" w:bidi="ar"/>
              </w:rPr>
              <w:t>发行再融资债券偿还金额（亿元）</w:t>
            </w:r>
          </w:p>
        </w:tc>
      </w:tr>
      <w:tr w14:paraId="18CA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pct"/>
            <w:vAlign w:val="center"/>
          </w:tcPr>
          <w:p w14:paraId="0C0404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2018年四川省政府一般债券（二期）</w:t>
            </w:r>
          </w:p>
        </w:tc>
        <w:tc>
          <w:tcPr>
            <w:tcW w:w="683" w:type="pct"/>
            <w:vAlign w:val="center"/>
          </w:tcPr>
          <w:p w14:paraId="1FD18C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147851</w:t>
            </w:r>
          </w:p>
        </w:tc>
        <w:tc>
          <w:tcPr>
            <w:tcW w:w="575" w:type="pct"/>
            <w:vAlign w:val="center"/>
          </w:tcPr>
          <w:p w14:paraId="7CBA9F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color w:val="auto"/>
                <w:kern w:val="0"/>
                <w:sz w:val="16"/>
                <w:szCs w:val="16"/>
                <w:highlight w:val="none"/>
                <w:u w:val="none"/>
                <w:lang w:val="en-US" w:eastAsia="zh-CN" w:bidi="ar"/>
              </w:rPr>
              <w:t>18四川02</w:t>
            </w:r>
          </w:p>
        </w:tc>
        <w:tc>
          <w:tcPr>
            <w:tcW w:w="475" w:type="pct"/>
            <w:vAlign w:val="center"/>
          </w:tcPr>
          <w:p w14:paraId="1A6AF9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53</w:t>
            </w:r>
          </w:p>
        </w:tc>
        <w:tc>
          <w:tcPr>
            <w:tcW w:w="488" w:type="pct"/>
            <w:vAlign w:val="center"/>
          </w:tcPr>
          <w:p w14:paraId="0F2242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4.1</w:t>
            </w:r>
          </w:p>
        </w:tc>
        <w:tc>
          <w:tcPr>
            <w:tcW w:w="573" w:type="pct"/>
            <w:vAlign w:val="center"/>
          </w:tcPr>
          <w:p w14:paraId="7D7CF5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2025</w:t>
            </w:r>
            <w:r>
              <w:rPr>
                <w:rFonts w:hint="eastAsia" w:cs="Times New Roman" w:eastAsiaTheme="minorEastAsia"/>
                <w:i w:val="0"/>
                <w:iCs w:val="0"/>
                <w:color w:val="000000"/>
                <w:kern w:val="0"/>
                <w:sz w:val="16"/>
                <w:szCs w:val="16"/>
                <w:u w:val="none"/>
                <w:lang w:val="en-US" w:eastAsia="zh-CN" w:bidi="ar"/>
              </w:rPr>
              <w:t>/3/23</w:t>
            </w:r>
          </w:p>
        </w:tc>
        <w:tc>
          <w:tcPr>
            <w:tcW w:w="579" w:type="pct"/>
            <w:vAlign w:val="center"/>
          </w:tcPr>
          <w:p w14:paraId="40801C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eastAsiaTheme="minorEastAsia"/>
                <w:i w:val="0"/>
                <w:color w:val="auto"/>
                <w:kern w:val="0"/>
                <w:sz w:val="16"/>
                <w:szCs w:val="16"/>
                <w:highlight w:val="none"/>
                <w:u w:val="none"/>
                <w:lang w:val="en-US" w:eastAsia="zh-CN" w:bidi="ar"/>
              </w:rPr>
            </w:pPr>
            <w:r>
              <w:rPr>
                <w:rFonts w:hint="eastAsia" w:cs="Times New Roman" w:eastAsiaTheme="minorEastAsia"/>
                <w:i w:val="0"/>
                <w:color w:val="auto"/>
                <w:kern w:val="0"/>
                <w:sz w:val="16"/>
                <w:szCs w:val="16"/>
                <w:highlight w:val="none"/>
                <w:u w:val="none"/>
                <w:lang w:val="en-US" w:eastAsia="zh-CN" w:bidi="ar"/>
              </w:rPr>
              <w:t>47.103</w:t>
            </w:r>
          </w:p>
        </w:tc>
      </w:tr>
    </w:tbl>
    <w:p w14:paraId="29C2100D">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二、信用评级情况</w:t>
      </w:r>
    </w:p>
    <w:p w14:paraId="0288EB80">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再融资一般债券（二期）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再融资一般债券（二期）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4CBBB11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C1189AD">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4B67F9D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757F1836">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4DC06D78">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53F1383">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7335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3484CE5D">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67FF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755D66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21</w:t>
            </w:r>
            <w:r>
              <w:rPr>
                <w:rFonts w:hint="default" w:ascii="Times New Roman" w:hAnsi="Times New Roman" w:eastAsia="仿宋_GB2312" w:cs="Times New Roman"/>
                <w:b/>
                <w:bCs/>
                <w:kern w:val="2"/>
                <w:sz w:val="24"/>
                <w:szCs w:val="21"/>
                <w:highlight w:val="none"/>
                <w:lang w:val="en-US" w:eastAsia="zh-CN" w:bidi="ar-SA"/>
              </w:rPr>
              <w:t>－202</w:t>
            </w:r>
            <w:r>
              <w:rPr>
                <w:rFonts w:hint="default" w:ascii="Times New Roman" w:hAnsi="Times New Roman" w:cs="Times New Roman"/>
                <w:b/>
                <w:bCs/>
                <w:kern w:val="2"/>
                <w:sz w:val="24"/>
                <w:szCs w:val="21"/>
                <w:highlight w:val="none"/>
                <w:lang w:val="en-US" w:eastAsia="zh-CN" w:bidi="ar-SA"/>
              </w:rPr>
              <w:t>3</w:t>
            </w:r>
            <w:r>
              <w:rPr>
                <w:rFonts w:hint="default" w:ascii="Times New Roman" w:hAnsi="Times New Roman" w:cs="Times New Roman"/>
                <w:b/>
                <w:kern w:val="0"/>
                <w:sz w:val="24"/>
                <w:highlight w:val="none"/>
              </w:rPr>
              <w:t>年经济基本状况</w:t>
            </w:r>
          </w:p>
        </w:tc>
      </w:tr>
      <w:tr w14:paraId="7158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727909F">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37543A15">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3C89DEA8">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rPr>
              <w:t>202</w:t>
            </w:r>
            <w:r>
              <w:rPr>
                <w:rFonts w:hint="default" w:ascii="Times New Roman" w:hAnsi="Times New Roman" w:cs="Times New Roman"/>
                <w:kern w:val="0"/>
                <w:sz w:val="24"/>
                <w:highlight w:val="none"/>
                <w:lang w:val="en-US" w:eastAsia="zh-CN"/>
              </w:rPr>
              <w:t>1</w:t>
            </w:r>
            <w:r>
              <w:rPr>
                <w:rFonts w:hint="default" w:ascii="Times New Roman" w:hAnsi="Times New Roman" w:cs="Times New Roman"/>
                <w:kern w:val="0"/>
                <w:sz w:val="24"/>
                <w:highlight w:val="none"/>
              </w:rPr>
              <w:t>年</w:t>
            </w:r>
          </w:p>
        </w:tc>
        <w:tc>
          <w:tcPr>
            <w:tcW w:w="1722" w:type="dxa"/>
            <w:gridSpan w:val="2"/>
            <w:shd w:val="clear" w:color="auto" w:fill="auto"/>
            <w:noWrap/>
            <w:vAlign w:val="center"/>
          </w:tcPr>
          <w:p w14:paraId="7078A391">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2AA676C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r>
      <w:tr w14:paraId="155E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533BD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0BB0A7E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53850.8</w:t>
            </w:r>
          </w:p>
        </w:tc>
        <w:tc>
          <w:tcPr>
            <w:tcW w:w="1722" w:type="dxa"/>
            <w:gridSpan w:val="2"/>
            <w:shd w:val="clear" w:color="auto" w:fill="auto"/>
            <w:noWrap/>
            <w:vAlign w:val="center"/>
          </w:tcPr>
          <w:p w14:paraId="330E1B5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534" w:type="dxa"/>
            <w:gridSpan w:val="3"/>
            <w:shd w:val="clear" w:color="auto" w:fill="auto"/>
            <w:noWrap/>
            <w:vAlign w:val="center"/>
          </w:tcPr>
          <w:p w14:paraId="17167243">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r>
      <w:tr w14:paraId="4279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40C1424">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5A143C0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8.2</w:t>
            </w:r>
          </w:p>
        </w:tc>
        <w:tc>
          <w:tcPr>
            <w:tcW w:w="1722" w:type="dxa"/>
            <w:gridSpan w:val="2"/>
            <w:shd w:val="clear" w:color="auto" w:fill="auto"/>
            <w:noWrap/>
            <w:vAlign w:val="center"/>
          </w:tcPr>
          <w:p w14:paraId="2940902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534" w:type="dxa"/>
            <w:gridSpan w:val="3"/>
            <w:shd w:val="clear" w:color="auto" w:fill="auto"/>
            <w:noWrap/>
            <w:vAlign w:val="center"/>
          </w:tcPr>
          <w:p w14:paraId="472ADBB9">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w:t>
            </w:r>
          </w:p>
        </w:tc>
      </w:tr>
      <w:tr w14:paraId="1D5D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A3CF2A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63A58143">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5661.9</w:t>
            </w:r>
          </w:p>
          <w:p w14:paraId="2F09D6FC">
            <w:pPr>
              <w:spacing w:line="400" w:lineRule="exact"/>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623C973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534" w:type="dxa"/>
            <w:gridSpan w:val="3"/>
            <w:shd w:val="clear" w:color="auto" w:fill="auto"/>
            <w:noWrap/>
            <w:vAlign w:val="center"/>
          </w:tcPr>
          <w:p w14:paraId="41A1EB75">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6056.64</w:t>
            </w:r>
          </w:p>
        </w:tc>
      </w:tr>
      <w:tr w14:paraId="1963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5CD7795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B176E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19901.4</w:t>
            </w:r>
          </w:p>
        </w:tc>
        <w:tc>
          <w:tcPr>
            <w:tcW w:w="1722" w:type="dxa"/>
            <w:gridSpan w:val="2"/>
            <w:shd w:val="clear" w:color="auto" w:fill="auto"/>
            <w:noWrap/>
            <w:vAlign w:val="center"/>
          </w:tcPr>
          <w:p w14:paraId="4E36EF7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534" w:type="dxa"/>
            <w:gridSpan w:val="3"/>
            <w:shd w:val="clear" w:color="auto" w:fill="auto"/>
            <w:noWrap/>
            <w:vAlign w:val="center"/>
          </w:tcPr>
          <w:p w14:paraId="06A0BCBD">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21306.70</w:t>
            </w:r>
          </w:p>
        </w:tc>
      </w:tr>
      <w:tr w14:paraId="608D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243736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1449108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28287.6</w:t>
            </w:r>
          </w:p>
        </w:tc>
        <w:tc>
          <w:tcPr>
            <w:tcW w:w="1722" w:type="dxa"/>
            <w:gridSpan w:val="2"/>
            <w:shd w:val="clear" w:color="auto" w:fill="auto"/>
            <w:noWrap/>
            <w:vAlign w:val="center"/>
          </w:tcPr>
          <w:p w14:paraId="7504DCD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534" w:type="dxa"/>
            <w:gridSpan w:val="3"/>
            <w:shd w:val="clear" w:color="auto" w:fill="auto"/>
            <w:noWrap/>
            <w:vAlign w:val="center"/>
          </w:tcPr>
          <w:p w14:paraId="38773198">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32769.54</w:t>
            </w:r>
          </w:p>
        </w:tc>
      </w:tr>
      <w:tr w14:paraId="7A6B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8542FD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5D45B185">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7DE6E3B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39C6CF3B">
            <w:pPr>
              <w:spacing w:line="400" w:lineRule="exact"/>
              <w:ind w:left="640"/>
              <w:jc w:val="right"/>
              <w:rPr>
                <w:rFonts w:hint="default" w:ascii="Times New Roman" w:hAnsi="Times New Roman" w:eastAsia="仿宋_GB2312" w:cs="Times New Roman"/>
                <w:sz w:val="24"/>
                <w:highlight w:val="none"/>
              </w:rPr>
            </w:pPr>
          </w:p>
        </w:tc>
      </w:tr>
      <w:tr w14:paraId="304C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7A2D69F4">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808599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w:t>
            </w:r>
          </w:p>
        </w:tc>
        <w:tc>
          <w:tcPr>
            <w:tcW w:w="1722" w:type="dxa"/>
            <w:gridSpan w:val="2"/>
            <w:shd w:val="clear" w:color="auto" w:fill="auto"/>
            <w:noWrap/>
            <w:vAlign w:val="center"/>
          </w:tcPr>
          <w:p w14:paraId="3F48076F">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 w:eastAsia="zh-CN"/>
              </w:rPr>
              <w:t>10.5</w:t>
            </w:r>
          </w:p>
        </w:tc>
        <w:tc>
          <w:tcPr>
            <w:tcW w:w="1534" w:type="dxa"/>
            <w:gridSpan w:val="3"/>
            <w:shd w:val="clear" w:color="auto" w:fill="auto"/>
            <w:noWrap/>
            <w:vAlign w:val="center"/>
          </w:tcPr>
          <w:p w14:paraId="48EA145B">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10.1</w:t>
            </w:r>
          </w:p>
        </w:tc>
      </w:tr>
      <w:tr w14:paraId="023C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AE852C4">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AA637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37.0</w:t>
            </w:r>
          </w:p>
        </w:tc>
        <w:tc>
          <w:tcPr>
            <w:tcW w:w="1722" w:type="dxa"/>
            <w:gridSpan w:val="2"/>
            <w:shd w:val="clear" w:color="auto" w:fill="auto"/>
            <w:noWrap/>
            <w:vAlign w:val="center"/>
          </w:tcPr>
          <w:p w14:paraId="4646AD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534" w:type="dxa"/>
            <w:gridSpan w:val="3"/>
            <w:shd w:val="clear" w:color="auto" w:fill="auto"/>
            <w:noWrap/>
            <w:vAlign w:val="center"/>
          </w:tcPr>
          <w:p w14:paraId="63EA185A">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35.4</w:t>
            </w:r>
          </w:p>
        </w:tc>
      </w:tr>
      <w:tr w14:paraId="537E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9D7E1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4AFE3B6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52.5</w:t>
            </w:r>
          </w:p>
        </w:tc>
        <w:tc>
          <w:tcPr>
            <w:tcW w:w="1722" w:type="dxa"/>
            <w:gridSpan w:val="2"/>
            <w:shd w:val="clear" w:color="auto" w:fill="auto"/>
            <w:noWrap/>
            <w:vAlign w:val="center"/>
          </w:tcPr>
          <w:p w14:paraId="11B3C8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534" w:type="dxa"/>
            <w:gridSpan w:val="3"/>
            <w:shd w:val="clear" w:color="auto" w:fill="auto"/>
            <w:noWrap/>
            <w:vAlign w:val="center"/>
          </w:tcPr>
          <w:p w14:paraId="00F754AC">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54.5</w:t>
            </w:r>
          </w:p>
        </w:tc>
      </w:tr>
      <w:tr w14:paraId="26CB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0769563">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0FA546D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10.1</w:t>
            </w:r>
          </w:p>
        </w:tc>
        <w:tc>
          <w:tcPr>
            <w:tcW w:w="1722" w:type="dxa"/>
            <w:gridSpan w:val="2"/>
            <w:shd w:val="clear" w:color="auto" w:fill="auto"/>
            <w:noWrap/>
            <w:vAlign w:val="center"/>
          </w:tcPr>
          <w:p w14:paraId="51AFE69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534" w:type="dxa"/>
            <w:gridSpan w:val="3"/>
            <w:shd w:val="clear" w:color="auto" w:fill="auto"/>
            <w:noWrap/>
            <w:vAlign w:val="center"/>
          </w:tcPr>
          <w:p w14:paraId="452CCF84">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4.4</w:t>
            </w:r>
          </w:p>
        </w:tc>
      </w:tr>
      <w:tr w14:paraId="50F5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62B86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进出口总额（亿美元）</w:t>
            </w:r>
          </w:p>
        </w:tc>
        <w:tc>
          <w:tcPr>
            <w:tcW w:w="1552" w:type="dxa"/>
            <w:gridSpan w:val="3"/>
            <w:shd w:val="clear" w:color="auto" w:fill="auto"/>
            <w:noWrap/>
            <w:vAlign w:val="center"/>
          </w:tcPr>
          <w:p w14:paraId="5B35B71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1473.2</w:t>
            </w:r>
          </w:p>
        </w:tc>
        <w:tc>
          <w:tcPr>
            <w:tcW w:w="1722" w:type="dxa"/>
            <w:gridSpan w:val="2"/>
            <w:shd w:val="clear" w:color="auto" w:fill="auto"/>
            <w:noWrap/>
            <w:vAlign w:val="center"/>
          </w:tcPr>
          <w:p w14:paraId="0157025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1511.7</w:t>
            </w:r>
          </w:p>
        </w:tc>
        <w:tc>
          <w:tcPr>
            <w:tcW w:w="1534" w:type="dxa"/>
            <w:gridSpan w:val="3"/>
            <w:shd w:val="clear" w:color="auto" w:fill="auto"/>
            <w:noWrap/>
            <w:vAlign w:val="center"/>
          </w:tcPr>
          <w:p w14:paraId="1D86DD69">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1361.1</w:t>
            </w:r>
          </w:p>
        </w:tc>
      </w:tr>
      <w:tr w14:paraId="3E34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AB8BCE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出口额（亿美元）</w:t>
            </w:r>
          </w:p>
        </w:tc>
        <w:tc>
          <w:tcPr>
            <w:tcW w:w="1552" w:type="dxa"/>
            <w:gridSpan w:val="3"/>
            <w:shd w:val="clear" w:color="auto" w:fill="auto"/>
            <w:noWrap/>
            <w:vAlign w:val="center"/>
          </w:tcPr>
          <w:p w14:paraId="78AEB7B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884.1</w:t>
            </w:r>
          </w:p>
        </w:tc>
        <w:tc>
          <w:tcPr>
            <w:tcW w:w="1722" w:type="dxa"/>
            <w:gridSpan w:val="2"/>
            <w:shd w:val="clear" w:color="auto" w:fill="auto"/>
            <w:noWrap/>
            <w:vAlign w:val="center"/>
          </w:tcPr>
          <w:p w14:paraId="613904B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931.5</w:t>
            </w:r>
          </w:p>
        </w:tc>
        <w:tc>
          <w:tcPr>
            <w:tcW w:w="1534" w:type="dxa"/>
            <w:gridSpan w:val="3"/>
            <w:shd w:val="clear" w:color="auto" w:fill="auto"/>
            <w:noWrap/>
            <w:vAlign w:val="center"/>
          </w:tcPr>
          <w:p w14:paraId="593CB41B">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858.</w:t>
            </w:r>
            <w:r>
              <w:rPr>
                <w:rFonts w:hint="default" w:ascii="Times New Roman" w:hAnsi="Times New Roman" w:cs="Times New Roman"/>
                <w:sz w:val="24"/>
                <w:highlight w:val="none"/>
                <w:lang w:val="en" w:eastAsia="zh-CN"/>
              </w:rPr>
              <w:t>1</w:t>
            </w:r>
          </w:p>
        </w:tc>
      </w:tr>
      <w:tr w14:paraId="0D07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79A379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进口额（亿美元）</w:t>
            </w:r>
          </w:p>
        </w:tc>
        <w:tc>
          <w:tcPr>
            <w:tcW w:w="1552" w:type="dxa"/>
            <w:gridSpan w:val="3"/>
            <w:shd w:val="clear" w:color="auto" w:fill="auto"/>
            <w:noWrap/>
            <w:vAlign w:val="center"/>
          </w:tcPr>
          <w:p w14:paraId="33D77BF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589.1</w:t>
            </w:r>
          </w:p>
        </w:tc>
        <w:tc>
          <w:tcPr>
            <w:tcW w:w="1722" w:type="dxa"/>
            <w:gridSpan w:val="2"/>
            <w:shd w:val="clear" w:color="auto" w:fill="auto"/>
            <w:noWrap/>
            <w:vAlign w:val="center"/>
          </w:tcPr>
          <w:p w14:paraId="14E2B8D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580.3</w:t>
            </w:r>
          </w:p>
        </w:tc>
        <w:tc>
          <w:tcPr>
            <w:tcW w:w="1534" w:type="dxa"/>
            <w:gridSpan w:val="3"/>
            <w:shd w:val="clear" w:color="auto" w:fill="auto"/>
            <w:noWrap/>
            <w:vAlign w:val="center"/>
          </w:tcPr>
          <w:p w14:paraId="35E5C45D">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503.</w:t>
            </w:r>
            <w:r>
              <w:rPr>
                <w:rFonts w:hint="default" w:ascii="Times New Roman" w:hAnsi="Times New Roman" w:cs="Times New Roman"/>
                <w:sz w:val="24"/>
                <w:highlight w:val="none"/>
                <w:lang w:val="en" w:eastAsia="zh-CN"/>
              </w:rPr>
              <w:t>1</w:t>
            </w:r>
          </w:p>
        </w:tc>
      </w:tr>
      <w:tr w14:paraId="0562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737D110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45243AB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24133.2</w:t>
            </w:r>
          </w:p>
        </w:tc>
        <w:tc>
          <w:tcPr>
            <w:tcW w:w="1722" w:type="dxa"/>
            <w:gridSpan w:val="2"/>
            <w:shd w:val="clear" w:color="auto" w:fill="auto"/>
            <w:noWrap/>
            <w:vAlign w:val="center"/>
          </w:tcPr>
          <w:p w14:paraId="045FCCE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534" w:type="dxa"/>
            <w:gridSpan w:val="3"/>
            <w:shd w:val="clear" w:color="auto" w:fill="auto"/>
            <w:noWrap/>
            <w:vAlign w:val="center"/>
          </w:tcPr>
          <w:p w14:paraId="27A98C97">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26313.4</w:t>
            </w:r>
          </w:p>
        </w:tc>
      </w:tr>
      <w:tr w14:paraId="24E4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7DD518A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1B52BE3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41444</w:t>
            </w:r>
          </w:p>
        </w:tc>
        <w:tc>
          <w:tcPr>
            <w:tcW w:w="1722" w:type="dxa"/>
            <w:gridSpan w:val="2"/>
            <w:shd w:val="clear" w:color="auto" w:fill="auto"/>
            <w:noWrap/>
            <w:vAlign w:val="center"/>
          </w:tcPr>
          <w:p w14:paraId="750A6BD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534" w:type="dxa"/>
            <w:gridSpan w:val="3"/>
            <w:shd w:val="clear" w:color="auto" w:fill="auto"/>
            <w:noWrap/>
            <w:vAlign w:val="center"/>
          </w:tcPr>
          <w:p w14:paraId="046B337D">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45227</w:t>
            </w:r>
          </w:p>
        </w:tc>
      </w:tr>
      <w:tr w14:paraId="145F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75D32C1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8BF765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17575</w:t>
            </w:r>
          </w:p>
        </w:tc>
        <w:tc>
          <w:tcPr>
            <w:tcW w:w="1722" w:type="dxa"/>
            <w:gridSpan w:val="2"/>
            <w:shd w:val="clear" w:color="auto" w:fill="auto"/>
            <w:noWrap/>
            <w:vAlign w:val="center"/>
          </w:tcPr>
          <w:p w14:paraId="6218167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534" w:type="dxa"/>
            <w:gridSpan w:val="3"/>
            <w:shd w:val="clear" w:color="auto" w:fill="auto"/>
            <w:noWrap/>
            <w:vAlign w:val="center"/>
          </w:tcPr>
          <w:p w14:paraId="22CA59F7">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19978</w:t>
            </w:r>
          </w:p>
        </w:tc>
      </w:tr>
      <w:tr w14:paraId="52B0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12AA224">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389A8AE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100.3</w:t>
            </w:r>
          </w:p>
        </w:tc>
        <w:tc>
          <w:tcPr>
            <w:tcW w:w="1722" w:type="dxa"/>
            <w:gridSpan w:val="2"/>
            <w:shd w:val="clear" w:color="auto" w:fill="auto"/>
            <w:noWrap/>
            <w:vAlign w:val="center"/>
          </w:tcPr>
          <w:p w14:paraId="7394C42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534" w:type="dxa"/>
            <w:gridSpan w:val="3"/>
            <w:shd w:val="clear" w:color="auto" w:fill="auto"/>
            <w:noWrap/>
            <w:vAlign w:val="center"/>
          </w:tcPr>
          <w:p w14:paraId="0B93FE5C">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100.0</w:t>
            </w:r>
          </w:p>
        </w:tc>
      </w:tr>
      <w:tr w14:paraId="034F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600A444">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1384BCB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105.9</w:t>
            </w:r>
          </w:p>
        </w:tc>
        <w:tc>
          <w:tcPr>
            <w:tcW w:w="1722" w:type="dxa"/>
            <w:gridSpan w:val="2"/>
            <w:shd w:val="clear" w:color="auto" w:fill="auto"/>
            <w:noWrap/>
            <w:vAlign w:val="center"/>
          </w:tcPr>
          <w:p w14:paraId="6798D75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534" w:type="dxa"/>
            <w:gridSpan w:val="3"/>
            <w:shd w:val="clear" w:color="auto" w:fill="auto"/>
            <w:noWrap/>
            <w:vAlign w:val="center"/>
          </w:tcPr>
          <w:p w14:paraId="720CD1C5">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97.6</w:t>
            </w:r>
          </w:p>
        </w:tc>
      </w:tr>
      <w:tr w14:paraId="3279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7191214">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755F4E3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107.5</w:t>
            </w:r>
          </w:p>
        </w:tc>
        <w:tc>
          <w:tcPr>
            <w:tcW w:w="1722" w:type="dxa"/>
            <w:gridSpan w:val="2"/>
            <w:shd w:val="clear" w:color="auto" w:fill="auto"/>
            <w:noWrap/>
            <w:vAlign w:val="center"/>
          </w:tcPr>
          <w:p w14:paraId="0FF92CE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534" w:type="dxa"/>
            <w:gridSpan w:val="3"/>
            <w:shd w:val="clear" w:color="auto" w:fill="auto"/>
            <w:noWrap/>
            <w:vAlign w:val="center"/>
          </w:tcPr>
          <w:p w14:paraId="212DCC35">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97.1</w:t>
            </w:r>
          </w:p>
        </w:tc>
      </w:tr>
      <w:tr w14:paraId="598B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56686B4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金融机构各项存款余额（本外币）（亿元）</w:t>
            </w:r>
          </w:p>
        </w:tc>
        <w:tc>
          <w:tcPr>
            <w:tcW w:w="1552" w:type="dxa"/>
            <w:gridSpan w:val="3"/>
            <w:shd w:val="clear" w:color="auto" w:fill="auto"/>
            <w:noWrap/>
            <w:vAlign w:val="center"/>
          </w:tcPr>
          <w:p w14:paraId="4C220D9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100077.3</w:t>
            </w:r>
          </w:p>
        </w:tc>
        <w:tc>
          <w:tcPr>
            <w:tcW w:w="1722" w:type="dxa"/>
            <w:gridSpan w:val="2"/>
            <w:shd w:val="clear" w:color="auto" w:fill="auto"/>
            <w:noWrap/>
            <w:vAlign w:val="center"/>
          </w:tcPr>
          <w:p w14:paraId="6A0A98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111661.3</w:t>
            </w:r>
          </w:p>
        </w:tc>
        <w:tc>
          <w:tcPr>
            <w:tcW w:w="1534" w:type="dxa"/>
            <w:gridSpan w:val="3"/>
            <w:shd w:val="clear" w:color="auto" w:fill="auto"/>
            <w:noWrap/>
            <w:vAlign w:val="center"/>
          </w:tcPr>
          <w:p w14:paraId="309A554F">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122980.74</w:t>
            </w:r>
          </w:p>
        </w:tc>
      </w:tr>
      <w:tr w14:paraId="0D46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FCFFDA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金融机构各项贷款余额（本外币）（亿元）</w:t>
            </w:r>
          </w:p>
        </w:tc>
        <w:tc>
          <w:tcPr>
            <w:tcW w:w="1552" w:type="dxa"/>
            <w:gridSpan w:val="3"/>
            <w:shd w:val="clear" w:color="auto" w:fill="auto"/>
            <w:noWrap/>
            <w:vAlign w:val="center"/>
          </w:tcPr>
          <w:p w14:paraId="4B7D3BC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80340.4</w:t>
            </w:r>
          </w:p>
        </w:tc>
        <w:tc>
          <w:tcPr>
            <w:tcW w:w="1722" w:type="dxa"/>
            <w:gridSpan w:val="2"/>
            <w:shd w:val="clear" w:color="auto" w:fill="auto"/>
            <w:noWrap/>
            <w:vAlign w:val="center"/>
          </w:tcPr>
          <w:p w14:paraId="141599E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92239.2</w:t>
            </w:r>
          </w:p>
        </w:tc>
        <w:tc>
          <w:tcPr>
            <w:tcW w:w="1534" w:type="dxa"/>
            <w:gridSpan w:val="3"/>
            <w:shd w:val="clear" w:color="auto" w:fill="auto"/>
            <w:noWrap/>
            <w:vAlign w:val="center"/>
          </w:tcPr>
          <w:p w14:paraId="34B183A6">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105790.59</w:t>
            </w:r>
          </w:p>
        </w:tc>
      </w:tr>
      <w:tr w14:paraId="2B8E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2D716E20">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35FB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1109E378">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6508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325D7E18">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4F27718A">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0C00482C">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6F2AE2FA">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2F213483">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0C98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7FF044F0">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4C83417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4E5BD10F">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C2BF42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20F5915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22A0700C">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69EF8467">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4D19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6FEF994">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429C4EA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18F7E8E7">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149E3D03">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10C1A639">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2C36E5F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1DED78A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0C27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297928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0D36C257">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6E6E9851">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1939A8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4208FF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574158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3FF2B296">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092B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0A0FDFE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31F82740">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0D03B991">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12941FCC">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B53550C">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20706565">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0F574CD2">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0515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3544E48A">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0C145E41">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67E1B9F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4ADC789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53736CF9">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3340C8D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79A3B9B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2C43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5CC1C6A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2C2F9981">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2064EF7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4DCBFC29">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0055760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14D45C96">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1C1B7BF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45F1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362B2B22">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7270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61A3388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3F211C8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03B0FB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747D3599">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54FD589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3025B5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2BB865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4870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6CBFD4D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0A9AB5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F1516B">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6CA129FA">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26FD9B02">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27709D62">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68B59FE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35DA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5DBD119B">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4AC0623E">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5CF3BAD7">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744D904E">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779EA1E3">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5FE72B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1EEFDFE9">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068B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297A4AF5">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797F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86ED45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1A763F9D">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73D4D1B3">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7FDAA85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66C4C40A">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49CC4ED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5F52E4B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4B90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0513980A">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5697C472">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19792B8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4B688BA4">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7AC6BF5B">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209D3386">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3E23A696">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BFF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5417D7E9">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21D1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14E199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49EF58A2">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3652824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1C8D0CD9">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55BA8903">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0955FD9">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4C29CFC0">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46B2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4A1971FA">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5AA96AE2">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3386AB04">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4FE6DA3F">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114EC771">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6DC0EEA9">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6E931BC5">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45FE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696A839B">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7E33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1FB64FEA">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411015ED">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6C48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25320453">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11F70015">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31124DF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085962FC">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627A68F0">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2DB6E734">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3A02EB74">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03C3108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5BD49518">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7166F02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027697D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5FA6343E">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617819CB">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7097ADA">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29DD54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6AF1F911">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74430F68">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48386C3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C9D47F8">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5E0A471A">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6F058B1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0B8C891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7DAA05D8">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1E79804A">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67506199">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hint="default" w:ascii="Times New Roman" w:hAnsi="Times New Roman" w:cs="Times New Roman"/>
          <w:kern w:val="0"/>
          <w:sz w:val="32"/>
          <w:szCs w:val="32"/>
          <w:highlight w:val="none"/>
          <w:lang w:val="zh-CN"/>
        </w:rPr>
      </w:pPr>
    </w:p>
    <w:p w14:paraId="20639B1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7FDB2691">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3115B8D4">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2F388E19">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11</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57C6EB-A21E-45B8-9255-F296224594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90F311B-336D-4464-9DC7-0DEEBB741512}"/>
  </w:font>
  <w:font w:name="方正小标宋_GBK">
    <w:panose1 w:val="03000509000000000000"/>
    <w:charset w:val="86"/>
    <w:family w:val="script"/>
    <w:pitch w:val="default"/>
    <w:sig w:usb0="00000001" w:usb1="080E0000" w:usb2="00000000" w:usb3="00000000" w:csb0="00040000" w:csb1="00000000"/>
    <w:embedRegular r:id="rId3" w:fontKey="{63DDCD72-A329-4EFD-BF1C-E7F04DA6A00B}"/>
  </w:font>
  <w:font w:name="方正小标宋简体">
    <w:panose1 w:val="02000000000000000000"/>
    <w:charset w:val="86"/>
    <w:family w:val="auto"/>
    <w:pitch w:val="default"/>
    <w:sig w:usb0="00000001" w:usb1="08000000" w:usb2="00000000" w:usb3="00000000" w:csb0="00040000" w:csb1="00000000"/>
    <w:embedRegular r:id="rId4" w:fontKey="{15D20860-BCC9-4512-96C9-16C3B068C6CA}"/>
  </w:font>
  <w:font w:name="楷体_GB2312">
    <w:altName w:val="楷体"/>
    <w:panose1 w:val="02010609030101010101"/>
    <w:charset w:val="86"/>
    <w:family w:val="auto"/>
    <w:pitch w:val="default"/>
    <w:sig w:usb0="00000000" w:usb1="00000000" w:usb2="00000000" w:usb3="00000000" w:csb0="00040000" w:csb1="00000000"/>
    <w:embedRegular r:id="rId5" w:fontKey="{64897530-8310-441C-9885-7D3474C7D394}"/>
  </w:font>
  <w:font w:name="方正楷体简体">
    <w:altName w:val="宋体"/>
    <w:panose1 w:val="02010601030101010101"/>
    <w:charset w:val="86"/>
    <w:family w:val="auto"/>
    <w:pitch w:val="default"/>
    <w:sig w:usb0="00000000" w:usb1="00000000" w:usb2="00000000" w:usb3="00000000" w:csb0="00040000" w:csb1="00000000"/>
    <w:embedRegular r:id="rId6" w:fontKey="{299F7557-F96D-4A6E-81B9-E5C367733FE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5A63B5E1">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98D0F3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7E54C70A">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68C2DEA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21B4775"/>
    <w:rsid w:val="06692FBA"/>
    <w:rsid w:val="07E50E92"/>
    <w:rsid w:val="0A365806"/>
    <w:rsid w:val="0AC319AC"/>
    <w:rsid w:val="0F5E2B9C"/>
    <w:rsid w:val="0F7F3A2A"/>
    <w:rsid w:val="0FCAD5FD"/>
    <w:rsid w:val="12EB54C2"/>
    <w:rsid w:val="15EFB84A"/>
    <w:rsid w:val="16974C50"/>
    <w:rsid w:val="16BFDA76"/>
    <w:rsid w:val="177D3A52"/>
    <w:rsid w:val="17B6C2A3"/>
    <w:rsid w:val="17BBC06E"/>
    <w:rsid w:val="17CE2129"/>
    <w:rsid w:val="17EF3D38"/>
    <w:rsid w:val="17FFA77D"/>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73A1534"/>
    <w:rsid w:val="27EF5ADE"/>
    <w:rsid w:val="27FB4DFE"/>
    <w:rsid w:val="292BBD26"/>
    <w:rsid w:val="29447E57"/>
    <w:rsid w:val="2A75E0DA"/>
    <w:rsid w:val="2C335417"/>
    <w:rsid w:val="2D2F22EB"/>
    <w:rsid w:val="2DBF1862"/>
    <w:rsid w:val="2E7BB22E"/>
    <w:rsid w:val="2ED5C25D"/>
    <w:rsid w:val="2FFB7B0E"/>
    <w:rsid w:val="32E75215"/>
    <w:rsid w:val="33BD96C9"/>
    <w:rsid w:val="3478FD3B"/>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8E73B5"/>
    <w:rsid w:val="4305631D"/>
    <w:rsid w:val="45F8CE6B"/>
    <w:rsid w:val="47BF50EF"/>
    <w:rsid w:val="47DFF301"/>
    <w:rsid w:val="48BFAD72"/>
    <w:rsid w:val="4A35F3AD"/>
    <w:rsid w:val="4D32FB4C"/>
    <w:rsid w:val="4EBF3093"/>
    <w:rsid w:val="4EDFAE00"/>
    <w:rsid w:val="4F9B4BDA"/>
    <w:rsid w:val="4FAF7337"/>
    <w:rsid w:val="4FFAE02C"/>
    <w:rsid w:val="4FFF460D"/>
    <w:rsid w:val="50ED1619"/>
    <w:rsid w:val="516FDEC3"/>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014DF"/>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6B1851"/>
    <w:rsid w:val="626D2A76"/>
    <w:rsid w:val="62FEF3EA"/>
    <w:rsid w:val="633BC343"/>
    <w:rsid w:val="63F53E4A"/>
    <w:rsid w:val="64112789"/>
    <w:rsid w:val="65FA4BFF"/>
    <w:rsid w:val="671013B3"/>
    <w:rsid w:val="677E777D"/>
    <w:rsid w:val="68BF6F8E"/>
    <w:rsid w:val="6953D380"/>
    <w:rsid w:val="696BCE12"/>
    <w:rsid w:val="69DC461E"/>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6FC48D"/>
    <w:rsid w:val="6F75BB17"/>
    <w:rsid w:val="6F7D0098"/>
    <w:rsid w:val="6FBF8D8F"/>
    <w:rsid w:val="6FCD9F65"/>
    <w:rsid w:val="6FCF9866"/>
    <w:rsid w:val="6FDD6BFC"/>
    <w:rsid w:val="6FDFA035"/>
    <w:rsid w:val="6FF52F76"/>
    <w:rsid w:val="6FFDD9A5"/>
    <w:rsid w:val="6FFF0B70"/>
    <w:rsid w:val="6FFFA9D8"/>
    <w:rsid w:val="70FD42BC"/>
    <w:rsid w:val="71775D74"/>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BF6886"/>
    <w:rsid w:val="7DBFA8D5"/>
    <w:rsid w:val="7DDDD8B2"/>
    <w:rsid w:val="7DDE0CEE"/>
    <w:rsid w:val="7DFC5C92"/>
    <w:rsid w:val="7DFE5D73"/>
    <w:rsid w:val="7DFF7E4E"/>
    <w:rsid w:val="7DFFDAF8"/>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CFD7CF"/>
    <w:rsid w:val="AEFF80E1"/>
    <w:rsid w:val="AF7EFD40"/>
    <w:rsid w:val="AFEDA70A"/>
    <w:rsid w:val="AFF7119B"/>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524</Words>
  <Characters>576</Characters>
  <Lines>38</Lines>
  <Paragraphs>10</Paragraphs>
  <TotalTime>0</TotalTime>
  <ScaleCrop>false</ScaleCrop>
  <LinksUpToDate>false</LinksUpToDate>
  <CharactersWithSpaces>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2021-12-02T10:40:00Z</dcterms:created>
  <dc:creator>牟伶俐</dc:creator>
  <cp:lastModifiedBy>无形的手</cp:lastModifiedBy>
  <cp:lastPrinted>2025-03-10T09:54:00Z</cp:lastPrinted>
  <dcterms:modified xsi:type="dcterms:W3CDTF">2025-03-11T07:03:29Z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